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69" w:rsidRPr="002A4AC2" w:rsidRDefault="007F5047" w:rsidP="002A4AC2">
      <w:pPr>
        <w:pStyle w:val="Corpodeltesto"/>
      </w:pPr>
      <w:r w:rsidRPr="002A4AC2">
        <w:t>U</w:t>
      </w:r>
      <w:r w:rsidR="009B36EE" w:rsidRPr="002A4AC2">
        <w:t xml:space="preserve">nion </w:t>
      </w:r>
      <w:r w:rsidRPr="002A4AC2">
        <w:t xml:space="preserve">inclusiveness </w:t>
      </w:r>
      <w:r w:rsidR="002A4AC2">
        <w:t>and</w:t>
      </w:r>
      <w:r w:rsidR="009B36EE" w:rsidRPr="002A4AC2">
        <w:t xml:space="preserve"> temporary agency workers</w:t>
      </w:r>
      <w:r w:rsidRPr="002A4AC2">
        <w:t xml:space="preserve">: The role of </w:t>
      </w:r>
      <w:r w:rsidR="00D41FAC" w:rsidRPr="002A4AC2">
        <w:t>p</w:t>
      </w:r>
      <w:r w:rsidRPr="002A4AC2">
        <w:t xml:space="preserve">ower resources and </w:t>
      </w:r>
      <w:r w:rsidR="00D41FAC" w:rsidRPr="002A4AC2">
        <w:t xml:space="preserve">union </w:t>
      </w:r>
      <w:r w:rsidRPr="002A4AC2">
        <w:t>ideology</w:t>
      </w:r>
    </w:p>
    <w:p w:rsidR="002A4AC2" w:rsidRDefault="002A4AC2" w:rsidP="00143569">
      <w:pPr>
        <w:autoSpaceDE w:val="0"/>
        <w:autoSpaceDN w:val="0"/>
        <w:adjustRightInd w:val="0"/>
        <w:rPr>
          <w:rFonts w:ascii="Arial" w:hAnsi="Arial" w:cs="Arial"/>
          <w:b/>
          <w:lang w:val="en-GB"/>
        </w:rPr>
      </w:pPr>
    </w:p>
    <w:p w:rsidR="002A4AC2" w:rsidRPr="002A4AC2" w:rsidRDefault="002A4AC2" w:rsidP="002A4AC2">
      <w:pPr>
        <w:pStyle w:val="Sommario1"/>
        <w:rPr>
          <w:rFonts w:ascii="Arial" w:hAnsi="Arial" w:cs="Arial"/>
        </w:rPr>
      </w:pPr>
      <w:r w:rsidRPr="002A4AC2">
        <w:rPr>
          <w:rFonts w:ascii="Arial" w:hAnsi="Arial" w:cs="Arial"/>
        </w:rPr>
        <w:t xml:space="preserve">Chiara Benassi </w:t>
      </w:r>
    </w:p>
    <w:p w:rsidR="002A4AC2" w:rsidRDefault="002A4AC2" w:rsidP="002A4AC2">
      <w:pPr>
        <w:rPr>
          <w:rStyle w:val="xbe"/>
        </w:rPr>
      </w:pPr>
      <w:r w:rsidRPr="002A4AC2">
        <w:rPr>
          <w:rFonts w:ascii="Arial" w:hAnsi="Arial" w:cs="Arial"/>
          <w:sz w:val="22"/>
          <w:szCs w:val="22"/>
        </w:rPr>
        <w:t>Royal Holloway, University of London, UK</w:t>
      </w:r>
    </w:p>
    <w:p w:rsidR="002A4AC2" w:rsidRPr="002A4AC2" w:rsidRDefault="002A4AC2" w:rsidP="002A4AC2">
      <w:pPr>
        <w:rPr>
          <w:rFonts w:ascii="Arial" w:hAnsi="Arial" w:cs="Arial"/>
          <w:sz w:val="22"/>
          <w:szCs w:val="22"/>
        </w:rPr>
      </w:pPr>
    </w:p>
    <w:p w:rsidR="002A4AC2" w:rsidRPr="002A4AC2" w:rsidRDefault="002A4AC2" w:rsidP="002A4AC2">
      <w:pPr>
        <w:pStyle w:val="Sommario1"/>
        <w:rPr>
          <w:rFonts w:ascii="Arial" w:eastAsia="Times New Roman" w:hAnsi="Arial" w:cs="Arial"/>
          <w:noProof/>
          <w:lang w:eastAsia="en-GB"/>
        </w:rPr>
      </w:pPr>
      <w:r w:rsidRPr="002A4AC2">
        <w:rPr>
          <w:rFonts w:ascii="Arial" w:eastAsia="Times New Roman" w:hAnsi="Arial" w:cs="Arial"/>
          <w:noProof/>
          <w:lang w:eastAsia="en-GB"/>
        </w:rPr>
        <w:t>Tim Vlandas</w:t>
      </w:r>
    </w:p>
    <w:p w:rsidR="002A4AC2" w:rsidRPr="002A4AC2" w:rsidRDefault="00C874B1" w:rsidP="002A4AC2">
      <w:pPr>
        <w:rPr>
          <w:rFonts w:ascii="Arial" w:eastAsia="Times New Roman" w:hAnsi="Arial" w:cs="Arial"/>
          <w:noProof/>
          <w:sz w:val="22"/>
          <w:szCs w:val="22"/>
          <w:lang w:eastAsia="en-GB"/>
        </w:rPr>
      </w:pPr>
      <w:r>
        <w:rPr>
          <w:rFonts w:ascii="Arial" w:eastAsia="Times New Roman" w:hAnsi="Arial" w:cs="Arial"/>
          <w:noProof/>
          <w:sz w:val="22"/>
          <w:szCs w:val="22"/>
          <w:lang w:eastAsia="en-GB"/>
        </w:rPr>
        <w:t>University of Reading, UK</w:t>
      </w:r>
    </w:p>
    <w:p w:rsidR="002A4AC2" w:rsidRDefault="002A4AC2" w:rsidP="002A4AC2">
      <w:pPr>
        <w:rPr>
          <w:rFonts w:eastAsia="Times New Roman" w:cs="Times New Roman"/>
          <w:noProof/>
          <w:sz w:val="22"/>
          <w:szCs w:val="22"/>
          <w:lang w:eastAsia="en-GB"/>
        </w:rPr>
      </w:pPr>
    </w:p>
    <w:p w:rsidR="00143569" w:rsidRPr="002A4AC2" w:rsidRDefault="00D41FAC" w:rsidP="00143569">
      <w:pPr>
        <w:rPr>
          <w:rFonts w:ascii="Arial" w:hAnsi="Arial" w:cs="Arial"/>
          <w:b/>
          <w:sz w:val="20"/>
          <w:szCs w:val="20"/>
        </w:rPr>
      </w:pPr>
      <w:r w:rsidRPr="002A4AC2">
        <w:rPr>
          <w:rFonts w:ascii="Arial" w:hAnsi="Arial" w:cs="Arial"/>
          <w:b/>
          <w:sz w:val="20"/>
          <w:szCs w:val="20"/>
        </w:rPr>
        <w:t xml:space="preserve">Corresponding author: </w:t>
      </w:r>
    </w:p>
    <w:p w:rsidR="00D41FAC" w:rsidRPr="002A4AC2" w:rsidRDefault="00AA7CFC" w:rsidP="00143569">
      <w:pPr>
        <w:rPr>
          <w:rStyle w:val="xbe"/>
        </w:rPr>
      </w:pPr>
      <w:r w:rsidRPr="002A4AC2">
        <w:rPr>
          <w:rFonts w:ascii="Arial" w:hAnsi="Arial" w:cs="Arial"/>
          <w:sz w:val="20"/>
          <w:szCs w:val="20"/>
        </w:rPr>
        <w:t>Chiara Benassi</w:t>
      </w:r>
      <w:r w:rsidR="002A4AC2">
        <w:rPr>
          <w:rFonts w:ascii="Arial" w:hAnsi="Arial" w:cs="Arial"/>
          <w:sz w:val="20"/>
          <w:szCs w:val="20"/>
        </w:rPr>
        <w:t>,</w:t>
      </w:r>
      <w:r w:rsidR="00D41FAC" w:rsidRPr="002A4AC2">
        <w:rPr>
          <w:rFonts w:ascii="Arial" w:hAnsi="Arial" w:cs="Arial"/>
          <w:sz w:val="20"/>
          <w:szCs w:val="20"/>
        </w:rPr>
        <w:t xml:space="preserve"> School of Management, </w:t>
      </w:r>
      <w:r w:rsidR="002A4AC2" w:rsidRPr="002A4AC2">
        <w:rPr>
          <w:rFonts w:ascii="Arial" w:hAnsi="Arial" w:cs="Arial"/>
          <w:sz w:val="20"/>
          <w:szCs w:val="20"/>
        </w:rPr>
        <w:t xml:space="preserve">Royal Holloway, </w:t>
      </w:r>
      <w:r w:rsidR="00D41FAC" w:rsidRPr="002A4AC2">
        <w:rPr>
          <w:rStyle w:val="xbe"/>
          <w:rFonts w:ascii="Arial" w:hAnsi="Arial" w:cs="Arial"/>
          <w:sz w:val="20"/>
          <w:szCs w:val="20"/>
        </w:rPr>
        <w:t>Egham Hill, Egham, Surrey TW20 0EX</w:t>
      </w:r>
      <w:r w:rsidR="002A4AC2">
        <w:rPr>
          <w:rStyle w:val="xbe"/>
          <w:rFonts w:ascii="Arial" w:hAnsi="Arial" w:cs="Arial"/>
          <w:sz w:val="20"/>
          <w:szCs w:val="20"/>
        </w:rPr>
        <w:t>, UK</w:t>
      </w:r>
      <w:r w:rsidR="00D41FAC" w:rsidRPr="002A4AC2">
        <w:rPr>
          <w:rStyle w:val="xbe"/>
          <w:rFonts w:ascii="Arial" w:hAnsi="Arial" w:cs="Arial"/>
          <w:sz w:val="20"/>
          <w:szCs w:val="20"/>
        </w:rPr>
        <w:t>.</w:t>
      </w:r>
    </w:p>
    <w:p w:rsidR="00143569" w:rsidRDefault="00D41FAC" w:rsidP="00143569">
      <w:pPr>
        <w:rPr>
          <w:rStyle w:val="xbe"/>
        </w:rPr>
      </w:pPr>
      <w:r w:rsidRPr="002A4AC2">
        <w:rPr>
          <w:rStyle w:val="xbe"/>
          <w:rFonts w:ascii="Arial" w:hAnsi="Arial" w:cs="Arial"/>
          <w:sz w:val="20"/>
          <w:szCs w:val="20"/>
        </w:rPr>
        <w:t xml:space="preserve">Email: </w:t>
      </w:r>
      <w:r w:rsidRPr="002A4AC2">
        <w:rPr>
          <w:rFonts w:ascii="Arial" w:hAnsi="Arial" w:cs="Arial"/>
          <w:sz w:val="20"/>
          <w:szCs w:val="20"/>
        </w:rPr>
        <w:t>chiara.benassi@rhul.ac.uk</w:t>
      </w:r>
      <w:r w:rsidRPr="002A4AC2">
        <w:rPr>
          <w:rStyle w:val="xbe"/>
          <w:rFonts w:ascii="Arial" w:hAnsi="Arial" w:cs="Arial"/>
          <w:sz w:val="20"/>
          <w:szCs w:val="20"/>
        </w:rPr>
        <w:t xml:space="preserve"> </w:t>
      </w:r>
    </w:p>
    <w:p w:rsidR="009149C3" w:rsidRPr="002A4AC2" w:rsidRDefault="009149C3" w:rsidP="00143569">
      <w:pPr>
        <w:rPr>
          <w:rFonts w:ascii="Arial" w:hAnsi="Arial" w:cs="Arial"/>
          <w:sz w:val="20"/>
          <w:szCs w:val="20"/>
        </w:rPr>
      </w:pPr>
    </w:p>
    <w:p w:rsidR="00143569" w:rsidRDefault="00143569" w:rsidP="00143569">
      <w:pPr>
        <w:rPr>
          <w:rFonts w:eastAsia="Times New Roman" w:cs="Times New Roman"/>
          <w:noProof/>
          <w:sz w:val="22"/>
          <w:szCs w:val="22"/>
          <w:lang w:eastAsia="en-GB"/>
        </w:rPr>
      </w:pPr>
    </w:p>
    <w:p w:rsidR="00143569" w:rsidRPr="002A4AC2" w:rsidRDefault="00AA7CFC" w:rsidP="00143569">
      <w:pPr>
        <w:rPr>
          <w:rFonts w:ascii="Arial" w:hAnsi="Arial" w:cs="Arial"/>
          <w:b/>
          <w:sz w:val="22"/>
          <w:szCs w:val="22"/>
        </w:rPr>
      </w:pPr>
      <w:r w:rsidRPr="002A4AC2">
        <w:rPr>
          <w:rFonts w:ascii="Arial" w:hAnsi="Arial" w:cs="Arial"/>
          <w:b/>
          <w:sz w:val="22"/>
          <w:szCs w:val="22"/>
        </w:rPr>
        <w:t>Abstract</w:t>
      </w:r>
    </w:p>
    <w:p w:rsidR="00143569" w:rsidRDefault="009B5154" w:rsidP="00143569">
      <w:pPr>
        <w:rPr>
          <w:rFonts w:ascii="Arial" w:hAnsi="Arial" w:cs="Arial"/>
          <w:sz w:val="22"/>
          <w:szCs w:val="22"/>
          <w:lang w:val="en-GB"/>
        </w:rPr>
      </w:pPr>
      <w:r w:rsidRPr="002A4AC2">
        <w:rPr>
          <w:rFonts w:ascii="Arial" w:hAnsi="Arial" w:cs="Arial"/>
          <w:sz w:val="22"/>
          <w:szCs w:val="22"/>
          <w:lang w:val="en-GB"/>
        </w:rPr>
        <w:t xml:space="preserve">This </w:t>
      </w:r>
      <w:r w:rsidR="002A4AC2">
        <w:rPr>
          <w:rFonts w:ascii="Arial" w:hAnsi="Arial" w:cs="Arial"/>
          <w:sz w:val="22"/>
          <w:szCs w:val="22"/>
          <w:lang w:val="en-GB"/>
        </w:rPr>
        <w:t>article</w:t>
      </w:r>
      <w:r w:rsidRPr="002A4AC2">
        <w:rPr>
          <w:rFonts w:ascii="Arial" w:hAnsi="Arial" w:cs="Arial"/>
          <w:sz w:val="22"/>
          <w:szCs w:val="22"/>
          <w:lang w:val="en-GB"/>
        </w:rPr>
        <w:t xml:space="preserve"> investigates </w:t>
      </w:r>
      <w:r w:rsidR="009149C3">
        <w:rPr>
          <w:rFonts w:ascii="Arial" w:hAnsi="Arial" w:cs="Arial"/>
          <w:bCs/>
          <w:sz w:val="22"/>
          <w:szCs w:val="22"/>
          <w:lang w:val="en-GB"/>
        </w:rPr>
        <w:t>the</w:t>
      </w:r>
      <w:r w:rsidRPr="002A4AC2">
        <w:rPr>
          <w:rFonts w:ascii="Arial" w:hAnsi="Arial" w:cs="Arial"/>
          <w:bCs/>
          <w:sz w:val="22"/>
          <w:szCs w:val="22"/>
          <w:lang w:val="en-GB"/>
        </w:rPr>
        <w:t xml:space="preserve"> determin</w:t>
      </w:r>
      <w:r w:rsidR="009149C3">
        <w:rPr>
          <w:rFonts w:ascii="Arial" w:hAnsi="Arial" w:cs="Arial"/>
          <w:bCs/>
          <w:sz w:val="22"/>
          <w:szCs w:val="22"/>
          <w:lang w:val="en-GB"/>
        </w:rPr>
        <w:t>ant</w:t>
      </w:r>
      <w:r w:rsidRPr="002A4AC2">
        <w:rPr>
          <w:rFonts w:ascii="Arial" w:hAnsi="Arial" w:cs="Arial"/>
          <w:bCs/>
          <w:sz w:val="22"/>
          <w:szCs w:val="22"/>
          <w:lang w:val="en-GB"/>
        </w:rPr>
        <w:t>s</w:t>
      </w:r>
      <w:r w:rsidR="009149C3">
        <w:rPr>
          <w:rFonts w:ascii="Arial" w:hAnsi="Arial" w:cs="Arial"/>
          <w:bCs/>
          <w:sz w:val="22"/>
          <w:szCs w:val="22"/>
          <w:lang w:val="en-GB"/>
        </w:rPr>
        <w:t xml:space="preserve"> of</w:t>
      </w:r>
      <w:r w:rsidRPr="002A4AC2">
        <w:rPr>
          <w:rFonts w:ascii="Arial" w:hAnsi="Arial" w:cs="Arial"/>
          <w:bCs/>
          <w:sz w:val="22"/>
          <w:szCs w:val="22"/>
          <w:lang w:val="en-GB"/>
        </w:rPr>
        <w:t xml:space="preserve"> union inclusiveness towards agency workers in Western Europe</w:t>
      </w:r>
      <w:r w:rsidR="009149C3">
        <w:rPr>
          <w:rFonts w:ascii="Arial" w:hAnsi="Arial" w:cs="Arial"/>
          <w:bCs/>
          <w:sz w:val="22"/>
          <w:szCs w:val="22"/>
          <w:lang w:val="en-GB"/>
        </w:rPr>
        <w:t>, using an</w:t>
      </w:r>
      <w:r w:rsidRPr="002A4AC2">
        <w:rPr>
          <w:rFonts w:ascii="Arial" w:hAnsi="Arial" w:cs="Arial"/>
          <w:bCs/>
          <w:sz w:val="22"/>
          <w:szCs w:val="22"/>
          <w:lang w:val="en-GB"/>
        </w:rPr>
        <w:t xml:space="preserve"> index </w:t>
      </w:r>
      <w:r w:rsidR="009149C3">
        <w:rPr>
          <w:rFonts w:ascii="Arial" w:hAnsi="Arial" w:cs="Arial"/>
          <w:bCs/>
          <w:sz w:val="22"/>
          <w:szCs w:val="22"/>
          <w:lang w:val="en-GB"/>
        </w:rPr>
        <w:t>which</w:t>
      </w:r>
      <w:r w:rsidRPr="002A4AC2">
        <w:rPr>
          <w:rFonts w:ascii="Arial" w:hAnsi="Arial" w:cs="Arial"/>
          <w:bCs/>
          <w:sz w:val="22"/>
          <w:szCs w:val="22"/>
          <w:lang w:val="en-GB"/>
        </w:rPr>
        <w:t xml:space="preserve"> combines union</w:t>
      </w:r>
      <w:r w:rsidR="009149C3">
        <w:rPr>
          <w:rFonts w:ascii="Arial" w:hAnsi="Arial" w:cs="Arial"/>
          <w:bCs/>
          <w:sz w:val="22"/>
          <w:szCs w:val="22"/>
          <w:lang w:val="en-GB"/>
        </w:rPr>
        <w:t>ization rates</w:t>
      </w:r>
      <w:r w:rsidRPr="002A4AC2">
        <w:rPr>
          <w:rFonts w:ascii="Arial" w:hAnsi="Arial" w:cs="Arial"/>
          <w:bCs/>
          <w:sz w:val="22"/>
          <w:szCs w:val="22"/>
          <w:lang w:val="en-GB"/>
        </w:rPr>
        <w:t xml:space="preserve"> with dimensions of collective agreements covering agency workers. </w:t>
      </w:r>
      <w:r w:rsidR="009149C3">
        <w:rPr>
          <w:rFonts w:ascii="Arial" w:hAnsi="Arial" w:cs="Arial"/>
          <w:bCs/>
          <w:sz w:val="22"/>
          <w:szCs w:val="22"/>
          <w:lang w:val="en-GB"/>
        </w:rPr>
        <w:t>Using</w:t>
      </w:r>
      <w:r w:rsidRPr="002A4AC2">
        <w:rPr>
          <w:rFonts w:ascii="Arial" w:hAnsi="Arial" w:cs="Arial"/>
          <w:bCs/>
          <w:sz w:val="22"/>
          <w:szCs w:val="22"/>
          <w:lang w:val="en-GB"/>
        </w:rPr>
        <w:t xml:space="preserve"> </w:t>
      </w:r>
      <w:r w:rsidR="009149C3" w:rsidRPr="002A4AC2">
        <w:rPr>
          <w:rFonts w:ascii="Arial" w:hAnsi="Arial" w:cs="Arial"/>
          <w:bCs/>
          <w:sz w:val="22"/>
          <w:szCs w:val="22"/>
          <w:lang w:val="en-GB"/>
        </w:rPr>
        <w:t>fuzzy</w:t>
      </w:r>
      <w:r w:rsidR="00CA45EA">
        <w:rPr>
          <w:rFonts w:ascii="Arial" w:hAnsi="Arial" w:cs="Arial"/>
          <w:bCs/>
          <w:sz w:val="22"/>
          <w:szCs w:val="22"/>
          <w:lang w:val="en-GB"/>
        </w:rPr>
        <w:t>-</w:t>
      </w:r>
      <w:r w:rsidR="009149C3" w:rsidRPr="002A4AC2">
        <w:rPr>
          <w:rFonts w:ascii="Arial" w:hAnsi="Arial" w:cs="Arial"/>
          <w:bCs/>
          <w:sz w:val="22"/>
          <w:szCs w:val="22"/>
          <w:lang w:val="en-GB"/>
        </w:rPr>
        <w:t xml:space="preserve">set </w:t>
      </w:r>
      <w:r w:rsidR="00CA45EA" w:rsidRPr="002A4AC2">
        <w:rPr>
          <w:rFonts w:ascii="Arial" w:hAnsi="Arial" w:cs="Arial"/>
          <w:bCs/>
          <w:sz w:val="22"/>
          <w:szCs w:val="22"/>
          <w:lang w:val="en-GB"/>
        </w:rPr>
        <w:t>Qualitative Comparative Analysis</w:t>
      </w:r>
      <w:r w:rsidR="009149C3">
        <w:rPr>
          <w:rFonts w:ascii="Arial" w:hAnsi="Arial" w:cs="Arial"/>
          <w:bCs/>
          <w:sz w:val="22"/>
          <w:szCs w:val="22"/>
          <w:lang w:val="en-GB"/>
        </w:rPr>
        <w:t>, we</w:t>
      </w:r>
      <w:r w:rsidR="009149C3" w:rsidRPr="002A4AC2">
        <w:rPr>
          <w:rFonts w:ascii="Arial" w:hAnsi="Arial" w:cs="Arial"/>
          <w:bCs/>
          <w:sz w:val="22"/>
          <w:szCs w:val="22"/>
          <w:lang w:val="en-GB"/>
        </w:rPr>
        <w:t xml:space="preserve"> </w:t>
      </w:r>
      <w:r w:rsidRPr="002A4AC2">
        <w:rPr>
          <w:rFonts w:ascii="Arial" w:hAnsi="Arial" w:cs="Arial"/>
          <w:bCs/>
          <w:sz w:val="22"/>
          <w:szCs w:val="22"/>
          <w:lang w:val="en-GB"/>
        </w:rPr>
        <w:t>identif</w:t>
      </w:r>
      <w:r w:rsidR="009149C3">
        <w:rPr>
          <w:rFonts w:ascii="Arial" w:hAnsi="Arial" w:cs="Arial"/>
          <w:bCs/>
          <w:sz w:val="22"/>
          <w:szCs w:val="22"/>
          <w:lang w:val="en-GB"/>
        </w:rPr>
        <w:t>y</w:t>
      </w:r>
      <w:r w:rsidRPr="002A4AC2">
        <w:rPr>
          <w:rFonts w:ascii="Arial" w:hAnsi="Arial" w:cs="Arial"/>
          <w:bCs/>
          <w:sz w:val="22"/>
          <w:szCs w:val="22"/>
          <w:lang w:val="en-GB"/>
        </w:rPr>
        <w:t xml:space="preserve"> two combinations of conditions leading to inclusiveness: </w:t>
      </w:r>
      <w:r w:rsidR="009149C3">
        <w:rPr>
          <w:rFonts w:ascii="Arial" w:hAnsi="Arial" w:cs="Arial"/>
          <w:bCs/>
          <w:sz w:val="22"/>
          <w:szCs w:val="22"/>
          <w:lang w:val="en-GB"/>
        </w:rPr>
        <w:t>t</w:t>
      </w:r>
      <w:r w:rsidRPr="002A4AC2">
        <w:rPr>
          <w:rFonts w:ascii="Arial" w:hAnsi="Arial" w:cs="Arial"/>
          <w:sz w:val="22"/>
          <w:szCs w:val="22"/>
          <w:lang w:val="en-GB"/>
        </w:rPr>
        <w:t>he ‘</w:t>
      </w:r>
      <w:r w:rsidR="00F953E9" w:rsidRPr="002A4AC2">
        <w:rPr>
          <w:rFonts w:ascii="Arial" w:hAnsi="Arial" w:cs="Arial"/>
          <w:sz w:val="22"/>
          <w:szCs w:val="22"/>
          <w:lang w:val="en-GB"/>
        </w:rPr>
        <w:t xml:space="preserve">Northern </w:t>
      </w:r>
      <w:r w:rsidRPr="002A4AC2">
        <w:rPr>
          <w:rFonts w:ascii="Arial" w:hAnsi="Arial" w:cs="Arial"/>
          <w:sz w:val="22"/>
          <w:szCs w:val="22"/>
          <w:lang w:val="en-GB"/>
        </w:rPr>
        <w:t>path’ includes high union density, high bargaining coverage and high union authority, and is consistent with the power resource</w:t>
      </w:r>
      <w:r w:rsidR="009149C3">
        <w:rPr>
          <w:rFonts w:ascii="Arial" w:hAnsi="Arial" w:cs="Arial"/>
          <w:sz w:val="22"/>
          <w:szCs w:val="22"/>
          <w:lang w:val="en-GB"/>
        </w:rPr>
        <w:t>s</w:t>
      </w:r>
      <w:r w:rsidRPr="002A4AC2">
        <w:rPr>
          <w:rFonts w:ascii="Arial" w:hAnsi="Arial" w:cs="Arial"/>
          <w:sz w:val="22"/>
          <w:szCs w:val="22"/>
          <w:lang w:val="en-GB"/>
        </w:rPr>
        <w:t xml:space="preserve"> approach. The ‘Southern path</w:t>
      </w:r>
      <w:r w:rsidR="00F953E9" w:rsidRPr="002A4AC2">
        <w:rPr>
          <w:rFonts w:ascii="Arial" w:hAnsi="Arial" w:cs="Arial"/>
          <w:sz w:val="22"/>
          <w:szCs w:val="22"/>
          <w:lang w:val="en-GB"/>
        </w:rPr>
        <w:t>’</w:t>
      </w:r>
      <w:r w:rsidRPr="002A4AC2">
        <w:rPr>
          <w:rFonts w:ascii="Arial" w:hAnsi="Arial" w:cs="Arial"/>
          <w:sz w:val="22"/>
          <w:szCs w:val="22"/>
          <w:lang w:val="en-GB"/>
        </w:rPr>
        <w:t xml:space="preserve"> combines high union authority, high bargaining coverage</w:t>
      </w:r>
      <w:r w:rsidR="004E07F6" w:rsidRPr="002A4AC2">
        <w:rPr>
          <w:rFonts w:ascii="Arial" w:hAnsi="Arial" w:cs="Arial"/>
          <w:sz w:val="22"/>
          <w:szCs w:val="22"/>
          <w:lang w:val="en-GB"/>
        </w:rPr>
        <w:t xml:space="preserve"> </w:t>
      </w:r>
      <w:r w:rsidRPr="002A4AC2">
        <w:rPr>
          <w:rFonts w:ascii="Arial" w:hAnsi="Arial" w:cs="Arial"/>
          <w:sz w:val="22"/>
          <w:szCs w:val="22"/>
          <w:lang w:val="en-GB"/>
        </w:rPr>
        <w:t xml:space="preserve">and working-class orientation, showing that ideology </w:t>
      </w:r>
      <w:r w:rsidR="009149C3" w:rsidRPr="002A4AC2">
        <w:rPr>
          <w:rFonts w:ascii="Arial" w:hAnsi="Arial" w:cs="Arial"/>
          <w:sz w:val="22"/>
          <w:szCs w:val="22"/>
          <w:lang w:val="en-GB"/>
        </w:rPr>
        <w:t xml:space="preserve">rather than institutional incentives </w:t>
      </w:r>
      <w:r w:rsidRPr="002A4AC2">
        <w:rPr>
          <w:rFonts w:ascii="Arial" w:hAnsi="Arial" w:cs="Arial"/>
          <w:sz w:val="22"/>
          <w:szCs w:val="22"/>
          <w:lang w:val="en-GB"/>
        </w:rPr>
        <w:t xml:space="preserve">shapes union strategies towards the marginal workforce. </w:t>
      </w:r>
    </w:p>
    <w:p w:rsidR="009149C3" w:rsidRPr="002A4AC2" w:rsidRDefault="009149C3" w:rsidP="00143569">
      <w:pPr>
        <w:rPr>
          <w:rFonts w:ascii="Arial" w:hAnsi="Arial" w:cs="Arial"/>
          <w:sz w:val="22"/>
          <w:szCs w:val="22"/>
          <w:lang w:val="en-GB"/>
        </w:rPr>
      </w:pPr>
    </w:p>
    <w:p w:rsidR="00735083" w:rsidRPr="002A4AC2" w:rsidRDefault="00735083" w:rsidP="00143569">
      <w:pPr>
        <w:rPr>
          <w:rFonts w:ascii="Arial" w:eastAsia="Times New Roman" w:hAnsi="Arial" w:cs="Arial"/>
          <w:noProof/>
          <w:sz w:val="22"/>
          <w:szCs w:val="22"/>
          <w:lang w:eastAsia="en-GB"/>
        </w:rPr>
      </w:pPr>
    </w:p>
    <w:p w:rsidR="002A4AC2" w:rsidRPr="009149C3" w:rsidRDefault="00AA7CFC" w:rsidP="002A4AC2">
      <w:pPr>
        <w:pStyle w:val="Testonormale"/>
        <w:rPr>
          <w:rFonts w:ascii="Arial" w:eastAsia="Times New Roman" w:hAnsi="Arial" w:cs="Arial"/>
          <w:b/>
          <w:noProof/>
          <w:szCs w:val="22"/>
          <w:lang w:eastAsia="en-GB" w:bidi="gu-IN"/>
        </w:rPr>
      </w:pPr>
      <w:r w:rsidRPr="009149C3">
        <w:rPr>
          <w:rFonts w:ascii="Arial" w:eastAsia="Times New Roman" w:hAnsi="Arial" w:cs="Arial"/>
          <w:b/>
          <w:noProof/>
          <w:szCs w:val="22"/>
          <w:lang w:eastAsia="en-GB" w:bidi="gu-IN"/>
        </w:rPr>
        <w:t>Keywords</w:t>
      </w:r>
    </w:p>
    <w:p w:rsidR="00143569" w:rsidRPr="002A4AC2" w:rsidRDefault="009B5154" w:rsidP="002A4AC2">
      <w:pPr>
        <w:pStyle w:val="Testonormale"/>
        <w:rPr>
          <w:rFonts w:ascii="Arial" w:eastAsia="Times New Roman" w:hAnsi="Arial" w:cs="Arial"/>
          <w:noProof/>
          <w:szCs w:val="22"/>
          <w:lang w:eastAsia="en-GB" w:bidi="gu-IN"/>
        </w:rPr>
      </w:pPr>
      <w:r w:rsidRPr="002A4AC2">
        <w:rPr>
          <w:rFonts w:ascii="Arial" w:eastAsia="Times New Roman" w:hAnsi="Arial" w:cs="Arial"/>
          <w:noProof/>
          <w:szCs w:val="22"/>
          <w:lang w:eastAsia="en-GB" w:bidi="gu-IN"/>
        </w:rPr>
        <w:t>union strategies, ideology, identity, dual</w:t>
      </w:r>
      <w:r w:rsidR="002A4AC2">
        <w:rPr>
          <w:rFonts w:ascii="Arial" w:eastAsia="Times New Roman" w:hAnsi="Arial" w:cs="Arial"/>
          <w:noProof/>
          <w:szCs w:val="22"/>
          <w:lang w:eastAsia="en-GB" w:bidi="gu-IN"/>
        </w:rPr>
        <w:t>ization</w:t>
      </w:r>
      <w:r w:rsidRPr="002A4AC2">
        <w:rPr>
          <w:rFonts w:ascii="Arial" w:eastAsia="Times New Roman" w:hAnsi="Arial" w:cs="Arial"/>
          <w:noProof/>
          <w:szCs w:val="22"/>
          <w:lang w:eastAsia="en-GB" w:bidi="gu-IN"/>
        </w:rPr>
        <w:t xml:space="preserve">, agency workers, Italy, Southern Europe, Ghent </w:t>
      </w:r>
    </w:p>
    <w:p w:rsidR="002A4AC2" w:rsidRDefault="002A4AC2" w:rsidP="00143569">
      <w:pPr>
        <w:rPr>
          <w:rFonts w:ascii="Arial" w:eastAsia="Times New Roman" w:hAnsi="Arial" w:cs="Arial"/>
          <w:noProof/>
          <w:sz w:val="22"/>
          <w:szCs w:val="22"/>
          <w:lang w:eastAsia="en-GB"/>
        </w:rPr>
      </w:pPr>
    </w:p>
    <w:p w:rsidR="002A4AC2" w:rsidRPr="002A4AC2" w:rsidRDefault="002A4AC2" w:rsidP="00143569">
      <w:pPr>
        <w:rPr>
          <w:rFonts w:ascii="Arial" w:eastAsia="Times New Roman" w:hAnsi="Arial" w:cs="Arial"/>
          <w:noProof/>
          <w:sz w:val="22"/>
          <w:szCs w:val="22"/>
          <w:lang w:eastAsia="en-GB"/>
        </w:rPr>
      </w:pPr>
    </w:p>
    <w:p w:rsidR="00143569" w:rsidRDefault="009B36EE" w:rsidP="00143569">
      <w:pPr>
        <w:rPr>
          <w:rFonts w:cs="Times New Roman"/>
          <w:sz w:val="22"/>
          <w:szCs w:val="22"/>
        </w:rPr>
      </w:pPr>
      <w:r w:rsidRPr="00B81049">
        <w:rPr>
          <w:rFonts w:cs="Times New Roman"/>
          <w:sz w:val="22"/>
          <w:szCs w:val="22"/>
        </w:rPr>
        <w:t xml:space="preserve">Contingent work has been growing in </w:t>
      </w:r>
      <w:r w:rsidR="000B09DF" w:rsidRPr="00B81049">
        <w:rPr>
          <w:rFonts w:cs="Times New Roman"/>
          <w:sz w:val="22"/>
          <w:szCs w:val="22"/>
        </w:rPr>
        <w:t xml:space="preserve">Europe </w:t>
      </w:r>
      <w:r w:rsidRPr="00B81049">
        <w:rPr>
          <w:rFonts w:cs="Times New Roman"/>
          <w:sz w:val="22"/>
          <w:szCs w:val="22"/>
        </w:rPr>
        <w:t>during the last twenty years, challenging</w:t>
      </w:r>
      <w:r w:rsidR="008F693C">
        <w:rPr>
          <w:rFonts w:cs="Times New Roman"/>
          <w:sz w:val="22"/>
          <w:szCs w:val="22"/>
        </w:rPr>
        <w:t xml:space="preserve"> trade</w:t>
      </w:r>
      <w:r w:rsidRPr="00B81049">
        <w:rPr>
          <w:rFonts w:cs="Times New Roman"/>
          <w:sz w:val="22"/>
          <w:szCs w:val="22"/>
        </w:rPr>
        <w:t xml:space="preserve"> unions’ structure</w:t>
      </w:r>
      <w:r w:rsidR="008F693C">
        <w:rPr>
          <w:rFonts w:cs="Times New Roman"/>
          <w:sz w:val="22"/>
          <w:szCs w:val="22"/>
        </w:rPr>
        <w:t>s</w:t>
      </w:r>
      <w:r w:rsidRPr="00B81049">
        <w:rPr>
          <w:rFonts w:cs="Times New Roman"/>
          <w:sz w:val="22"/>
          <w:szCs w:val="22"/>
        </w:rPr>
        <w:t xml:space="preserve"> and </w:t>
      </w:r>
      <w:r w:rsidR="008F693C">
        <w:rPr>
          <w:rFonts w:cs="Times New Roman"/>
          <w:sz w:val="22"/>
          <w:szCs w:val="22"/>
        </w:rPr>
        <w:t xml:space="preserve">their </w:t>
      </w:r>
      <w:r w:rsidRPr="00B81049">
        <w:rPr>
          <w:rFonts w:cs="Times New Roman"/>
          <w:sz w:val="22"/>
          <w:szCs w:val="22"/>
        </w:rPr>
        <w:t xml:space="preserve">understanding of representation </w:t>
      </w:r>
      <w:r w:rsidRPr="00B81049">
        <w:rPr>
          <w:rFonts w:cs="Times New Roman"/>
          <w:noProof/>
          <w:sz w:val="22"/>
          <w:szCs w:val="22"/>
        </w:rPr>
        <w:t>(Gumbrell-McCormick</w:t>
      </w:r>
      <w:r w:rsidR="0086618E" w:rsidRPr="00B81049">
        <w:rPr>
          <w:rFonts w:cs="Times New Roman"/>
          <w:noProof/>
          <w:sz w:val="22"/>
          <w:szCs w:val="22"/>
        </w:rPr>
        <w:t>,</w:t>
      </w:r>
      <w:r w:rsidRPr="00B81049">
        <w:rPr>
          <w:rFonts w:cs="Times New Roman"/>
          <w:noProof/>
          <w:sz w:val="22"/>
          <w:szCs w:val="22"/>
        </w:rPr>
        <w:t xml:space="preserve"> 2011)</w:t>
      </w:r>
      <w:r w:rsidRPr="00B81049">
        <w:rPr>
          <w:rFonts w:cs="Times New Roman"/>
          <w:sz w:val="22"/>
          <w:szCs w:val="22"/>
        </w:rPr>
        <w:t>. Recent researc</w:t>
      </w:r>
      <w:r w:rsidR="00757F81" w:rsidRPr="00B81049">
        <w:rPr>
          <w:rFonts w:cs="Times New Roman"/>
          <w:sz w:val="22"/>
          <w:szCs w:val="22"/>
        </w:rPr>
        <w:t>h</w:t>
      </w:r>
      <w:r w:rsidRPr="00B81049">
        <w:rPr>
          <w:rFonts w:cs="Times New Roman"/>
          <w:sz w:val="22"/>
          <w:szCs w:val="22"/>
        </w:rPr>
        <w:t xml:space="preserve"> on labour market dual</w:t>
      </w:r>
      <w:r w:rsidR="002A4AC2">
        <w:rPr>
          <w:rFonts w:cs="Times New Roman"/>
          <w:sz w:val="22"/>
          <w:szCs w:val="22"/>
        </w:rPr>
        <w:t>ization</w:t>
      </w:r>
      <w:r w:rsidRPr="00B81049">
        <w:rPr>
          <w:rFonts w:cs="Times New Roman"/>
          <w:sz w:val="22"/>
          <w:szCs w:val="22"/>
        </w:rPr>
        <w:t xml:space="preserve"> argues that some unions </w:t>
      </w:r>
      <w:r w:rsidR="009B364F" w:rsidRPr="00B81049">
        <w:rPr>
          <w:rFonts w:cs="Times New Roman"/>
          <w:sz w:val="22"/>
          <w:szCs w:val="22"/>
        </w:rPr>
        <w:t xml:space="preserve">discriminate against </w:t>
      </w:r>
      <w:r w:rsidRPr="00B81049">
        <w:rPr>
          <w:rFonts w:cs="Times New Roman"/>
          <w:sz w:val="22"/>
          <w:szCs w:val="22"/>
        </w:rPr>
        <w:t>contingent workers</w:t>
      </w:r>
      <w:r w:rsidR="009B364F" w:rsidRPr="00B81049">
        <w:rPr>
          <w:rFonts w:cs="Times New Roman"/>
          <w:sz w:val="22"/>
          <w:szCs w:val="22"/>
        </w:rPr>
        <w:t>, contributing</w:t>
      </w:r>
      <w:r w:rsidR="00616CC8" w:rsidRPr="00B81049">
        <w:rPr>
          <w:rFonts w:cs="Times New Roman"/>
          <w:sz w:val="22"/>
          <w:szCs w:val="22"/>
        </w:rPr>
        <w:t xml:space="preserve"> </w:t>
      </w:r>
      <w:r w:rsidRPr="00B81049">
        <w:rPr>
          <w:rFonts w:cs="Times New Roman"/>
          <w:sz w:val="22"/>
          <w:szCs w:val="22"/>
        </w:rPr>
        <w:t>to inequality between the</w:t>
      </w:r>
      <w:r w:rsidR="004D7D8C" w:rsidRPr="00B81049">
        <w:rPr>
          <w:rFonts w:cs="Times New Roman"/>
          <w:sz w:val="22"/>
          <w:szCs w:val="22"/>
        </w:rPr>
        <w:t xml:space="preserve">ir well-protected </w:t>
      </w:r>
      <w:r w:rsidRPr="00B81049">
        <w:rPr>
          <w:rFonts w:cs="Times New Roman"/>
          <w:sz w:val="22"/>
          <w:szCs w:val="22"/>
        </w:rPr>
        <w:t xml:space="preserve">core </w:t>
      </w:r>
      <w:r w:rsidR="004D7D8C" w:rsidRPr="00B81049">
        <w:rPr>
          <w:rFonts w:cs="Times New Roman"/>
          <w:sz w:val="22"/>
          <w:szCs w:val="22"/>
        </w:rPr>
        <w:t xml:space="preserve">members </w:t>
      </w:r>
      <w:r w:rsidRPr="00B81049">
        <w:rPr>
          <w:rFonts w:cs="Times New Roman"/>
          <w:sz w:val="22"/>
          <w:szCs w:val="22"/>
        </w:rPr>
        <w:t>and the growing marginal workforce</w:t>
      </w:r>
      <w:r w:rsidR="004D7D8C" w:rsidRPr="00B81049">
        <w:rPr>
          <w:rFonts w:cs="Times New Roman"/>
          <w:sz w:val="22"/>
          <w:szCs w:val="22"/>
        </w:rPr>
        <w:t xml:space="preserve"> </w:t>
      </w:r>
      <w:r w:rsidRPr="00B81049">
        <w:rPr>
          <w:rFonts w:cs="Times New Roman"/>
          <w:noProof/>
          <w:sz w:val="22"/>
          <w:szCs w:val="22"/>
        </w:rPr>
        <w:t>(</w:t>
      </w:r>
      <w:r w:rsidR="0086618E" w:rsidRPr="00B81049">
        <w:rPr>
          <w:rFonts w:cs="Times New Roman"/>
          <w:noProof/>
          <w:sz w:val="22"/>
          <w:szCs w:val="22"/>
        </w:rPr>
        <w:t>Bentolila et al., 2012</w:t>
      </w:r>
      <w:r w:rsidR="009B79A3" w:rsidRPr="00B81049">
        <w:rPr>
          <w:rFonts w:cs="Times New Roman"/>
          <w:noProof/>
          <w:sz w:val="22"/>
          <w:szCs w:val="22"/>
        </w:rPr>
        <w:t>; Palier and Thelen, 2010</w:t>
      </w:r>
      <w:r w:rsidRPr="00B81049">
        <w:rPr>
          <w:rFonts w:cs="Times New Roman"/>
          <w:noProof/>
          <w:sz w:val="22"/>
          <w:szCs w:val="22"/>
        </w:rPr>
        <w:t>)</w:t>
      </w:r>
      <w:r w:rsidRPr="00B81049">
        <w:rPr>
          <w:rFonts w:cs="Times New Roman"/>
          <w:sz w:val="22"/>
          <w:szCs w:val="22"/>
        </w:rPr>
        <w:t>. In contrast, the revital</w:t>
      </w:r>
      <w:r w:rsidR="002A4AC2">
        <w:rPr>
          <w:rFonts w:cs="Times New Roman"/>
          <w:sz w:val="22"/>
          <w:szCs w:val="22"/>
        </w:rPr>
        <w:t>ization</w:t>
      </w:r>
      <w:r w:rsidRPr="00B81049">
        <w:rPr>
          <w:rFonts w:cs="Times New Roman"/>
          <w:sz w:val="22"/>
          <w:szCs w:val="22"/>
        </w:rPr>
        <w:t xml:space="preserve"> literature </w:t>
      </w:r>
      <w:r w:rsidR="00757F81" w:rsidRPr="00B81049">
        <w:rPr>
          <w:rFonts w:cs="Times New Roman"/>
          <w:sz w:val="22"/>
          <w:szCs w:val="22"/>
        </w:rPr>
        <w:t>shows</w:t>
      </w:r>
      <w:r w:rsidRPr="00B81049">
        <w:rPr>
          <w:rFonts w:cs="Times New Roman"/>
          <w:sz w:val="22"/>
          <w:szCs w:val="22"/>
        </w:rPr>
        <w:t xml:space="preserve"> that unions </w:t>
      </w:r>
      <w:r w:rsidR="009B364F" w:rsidRPr="00B81049">
        <w:rPr>
          <w:rFonts w:cs="Times New Roman"/>
          <w:sz w:val="22"/>
          <w:szCs w:val="22"/>
        </w:rPr>
        <w:t>try</w:t>
      </w:r>
      <w:r w:rsidRPr="00B81049">
        <w:rPr>
          <w:rFonts w:cs="Times New Roman"/>
          <w:sz w:val="22"/>
          <w:szCs w:val="22"/>
        </w:rPr>
        <w:t xml:space="preserve"> to expand their representation domain to contingent workers through recruiting and bargaining initiatives </w:t>
      </w:r>
      <w:r w:rsidR="0086618E" w:rsidRPr="00B81049">
        <w:rPr>
          <w:rFonts w:cs="Times New Roman"/>
          <w:noProof/>
          <w:sz w:val="22"/>
          <w:szCs w:val="22"/>
        </w:rPr>
        <w:t xml:space="preserve">(Heery and Adler, </w:t>
      </w:r>
      <w:r w:rsidRPr="00B81049">
        <w:rPr>
          <w:rFonts w:cs="Times New Roman"/>
          <w:noProof/>
          <w:sz w:val="22"/>
          <w:szCs w:val="22"/>
        </w:rPr>
        <w:t>2004)</w:t>
      </w:r>
      <w:r w:rsidRPr="00B81049">
        <w:rPr>
          <w:rFonts w:cs="Times New Roman"/>
          <w:sz w:val="22"/>
          <w:szCs w:val="22"/>
        </w:rPr>
        <w:t xml:space="preserve">. </w:t>
      </w:r>
    </w:p>
    <w:p w:rsidR="00143569" w:rsidRDefault="008F693C" w:rsidP="008F693C">
      <w:pPr>
        <w:rPr>
          <w:rFonts w:cs="Times New Roman"/>
          <w:sz w:val="22"/>
          <w:szCs w:val="22"/>
        </w:rPr>
      </w:pPr>
      <w:r>
        <w:rPr>
          <w:rFonts w:cs="Times New Roman"/>
          <w:sz w:val="22"/>
          <w:szCs w:val="22"/>
        </w:rPr>
        <w:tab/>
      </w:r>
      <w:r w:rsidR="009B36EE" w:rsidRPr="00B81049">
        <w:rPr>
          <w:rFonts w:cs="Times New Roman"/>
          <w:sz w:val="22"/>
          <w:szCs w:val="22"/>
        </w:rPr>
        <w:t>Within th</w:t>
      </w:r>
      <w:r>
        <w:rPr>
          <w:rFonts w:cs="Times New Roman"/>
          <w:sz w:val="22"/>
          <w:szCs w:val="22"/>
        </w:rPr>
        <w:t>is</w:t>
      </w:r>
      <w:r w:rsidR="009B36EE" w:rsidRPr="00B81049">
        <w:rPr>
          <w:rFonts w:cs="Times New Roman"/>
          <w:sz w:val="22"/>
          <w:szCs w:val="22"/>
        </w:rPr>
        <w:t xml:space="preserve"> literature there is significant </w:t>
      </w:r>
      <w:r>
        <w:rPr>
          <w:rFonts w:cs="Times New Roman"/>
          <w:sz w:val="22"/>
          <w:szCs w:val="22"/>
        </w:rPr>
        <w:t>attention to</w:t>
      </w:r>
      <w:r w:rsidR="009B36EE" w:rsidRPr="00B81049">
        <w:rPr>
          <w:rFonts w:cs="Times New Roman"/>
          <w:sz w:val="22"/>
          <w:szCs w:val="22"/>
        </w:rPr>
        <w:t xml:space="preserve"> temporary agency workers (TAWs)</w:t>
      </w:r>
      <w:r>
        <w:rPr>
          <w:rFonts w:cs="Times New Roman"/>
          <w:sz w:val="22"/>
          <w:szCs w:val="22"/>
        </w:rPr>
        <w:t>;</w:t>
      </w:r>
      <w:r w:rsidR="009B36EE" w:rsidRPr="00B81049">
        <w:rPr>
          <w:rFonts w:cs="Times New Roman"/>
          <w:sz w:val="22"/>
          <w:szCs w:val="22"/>
        </w:rPr>
        <w:t xml:space="preserve"> </w:t>
      </w:r>
      <w:r>
        <w:rPr>
          <w:rFonts w:cs="Times New Roman"/>
          <w:sz w:val="22"/>
          <w:szCs w:val="22"/>
        </w:rPr>
        <w:t>these</w:t>
      </w:r>
      <w:r w:rsidR="009B36EE" w:rsidRPr="00B81049">
        <w:rPr>
          <w:rFonts w:cs="Times New Roman"/>
          <w:sz w:val="22"/>
          <w:szCs w:val="22"/>
        </w:rPr>
        <w:t xml:space="preserve"> require targeted union action because of the triangular configuration between worker, </w:t>
      </w:r>
      <w:r>
        <w:rPr>
          <w:rFonts w:cs="Times New Roman"/>
          <w:sz w:val="22"/>
          <w:szCs w:val="22"/>
        </w:rPr>
        <w:t>employment</w:t>
      </w:r>
      <w:r w:rsidR="009B36EE" w:rsidRPr="00B81049">
        <w:rPr>
          <w:rFonts w:cs="Times New Roman"/>
          <w:sz w:val="22"/>
          <w:szCs w:val="22"/>
        </w:rPr>
        <w:t xml:space="preserve"> agency and hiring company </w:t>
      </w:r>
      <w:r w:rsidR="009B36EE" w:rsidRPr="00B81049">
        <w:rPr>
          <w:rFonts w:cs="Times New Roman"/>
          <w:noProof/>
          <w:sz w:val="22"/>
          <w:szCs w:val="22"/>
        </w:rPr>
        <w:t>(Håkansson et al.</w:t>
      </w:r>
      <w:r w:rsidR="0086618E" w:rsidRPr="00B81049">
        <w:rPr>
          <w:rFonts w:cs="Times New Roman"/>
          <w:noProof/>
          <w:sz w:val="22"/>
          <w:szCs w:val="22"/>
        </w:rPr>
        <w:t>,</w:t>
      </w:r>
      <w:r w:rsidR="009B36EE" w:rsidRPr="00B81049">
        <w:rPr>
          <w:rFonts w:cs="Times New Roman"/>
          <w:noProof/>
          <w:sz w:val="22"/>
          <w:szCs w:val="22"/>
        </w:rPr>
        <w:t xml:space="preserve"> 2009)</w:t>
      </w:r>
      <w:r w:rsidR="009B36EE" w:rsidRPr="00B81049">
        <w:rPr>
          <w:rFonts w:cs="Times New Roman"/>
          <w:sz w:val="22"/>
          <w:szCs w:val="22"/>
        </w:rPr>
        <w:t xml:space="preserve">. Furthermore, </w:t>
      </w:r>
      <w:r w:rsidR="0040109C" w:rsidRPr="00B81049">
        <w:rPr>
          <w:rFonts w:cs="Times New Roman"/>
          <w:sz w:val="22"/>
          <w:szCs w:val="22"/>
        </w:rPr>
        <w:t>agency</w:t>
      </w:r>
      <w:r w:rsidR="009B36EE" w:rsidRPr="00B81049">
        <w:rPr>
          <w:rFonts w:cs="Times New Roman"/>
          <w:sz w:val="22"/>
          <w:szCs w:val="22"/>
        </w:rPr>
        <w:t xml:space="preserve"> work</w:t>
      </w:r>
      <w:r w:rsidR="00F75155" w:rsidRPr="00B81049">
        <w:rPr>
          <w:rFonts w:cs="Times New Roman"/>
          <w:sz w:val="22"/>
          <w:szCs w:val="22"/>
        </w:rPr>
        <w:t xml:space="preserve"> represents a particular</w:t>
      </w:r>
      <w:r w:rsidR="00E32468" w:rsidRPr="00B81049">
        <w:rPr>
          <w:rFonts w:cs="Times New Roman"/>
          <w:sz w:val="22"/>
          <w:szCs w:val="22"/>
        </w:rPr>
        <w:t>ly</w:t>
      </w:r>
      <w:r w:rsidR="00F75155" w:rsidRPr="00B81049">
        <w:rPr>
          <w:rFonts w:cs="Times New Roman"/>
          <w:sz w:val="22"/>
          <w:szCs w:val="22"/>
        </w:rPr>
        <w:t xml:space="preserve"> interesting subject for cross-national research</w:t>
      </w:r>
      <w:r>
        <w:rPr>
          <w:rFonts w:cs="Times New Roman"/>
          <w:sz w:val="22"/>
          <w:szCs w:val="22"/>
        </w:rPr>
        <w:t>:</w:t>
      </w:r>
      <w:r w:rsidR="00F75155" w:rsidRPr="00B81049">
        <w:rPr>
          <w:rFonts w:cs="Times New Roman"/>
          <w:sz w:val="22"/>
          <w:szCs w:val="22"/>
        </w:rPr>
        <w:t xml:space="preserve"> it </w:t>
      </w:r>
      <w:r w:rsidR="000B121A" w:rsidRPr="00B81049">
        <w:rPr>
          <w:rFonts w:cs="Times New Roman"/>
          <w:sz w:val="22"/>
          <w:szCs w:val="22"/>
        </w:rPr>
        <w:t>raises</w:t>
      </w:r>
      <w:r w:rsidR="00F75155" w:rsidRPr="00B81049">
        <w:rPr>
          <w:rFonts w:cs="Times New Roman"/>
          <w:sz w:val="22"/>
          <w:szCs w:val="22"/>
        </w:rPr>
        <w:t xml:space="preserve"> </w:t>
      </w:r>
      <w:r w:rsidR="009B36EE" w:rsidRPr="00B81049">
        <w:rPr>
          <w:rFonts w:cs="Times New Roman"/>
          <w:sz w:val="22"/>
          <w:szCs w:val="22"/>
        </w:rPr>
        <w:t>similar challenges but result</w:t>
      </w:r>
      <w:r>
        <w:rPr>
          <w:rFonts w:cs="Times New Roman"/>
          <w:sz w:val="22"/>
          <w:szCs w:val="22"/>
        </w:rPr>
        <w:t>s</w:t>
      </w:r>
      <w:r w:rsidR="009B36EE" w:rsidRPr="00B81049">
        <w:rPr>
          <w:rFonts w:cs="Times New Roman"/>
          <w:sz w:val="22"/>
          <w:szCs w:val="22"/>
        </w:rPr>
        <w:t xml:space="preserve"> in different </w:t>
      </w:r>
      <w:r w:rsidR="0040109C" w:rsidRPr="00B81049">
        <w:rPr>
          <w:rFonts w:cs="Times New Roman"/>
          <w:sz w:val="22"/>
          <w:szCs w:val="22"/>
        </w:rPr>
        <w:t xml:space="preserve">union </w:t>
      </w:r>
      <w:r w:rsidR="009B36EE" w:rsidRPr="00B81049">
        <w:rPr>
          <w:rFonts w:cs="Times New Roman"/>
          <w:sz w:val="22"/>
          <w:szCs w:val="22"/>
        </w:rPr>
        <w:t>responses</w:t>
      </w:r>
      <w:r w:rsidR="00F75155" w:rsidRPr="00B81049">
        <w:rPr>
          <w:rFonts w:cs="Times New Roman"/>
          <w:sz w:val="22"/>
          <w:szCs w:val="22"/>
        </w:rPr>
        <w:t xml:space="preserve"> across European countries </w:t>
      </w:r>
      <w:r w:rsidR="00C262EC" w:rsidRPr="00B81049">
        <w:rPr>
          <w:rFonts w:cs="Times New Roman"/>
          <w:noProof/>
          <w:sz w:val="22"/>
          <w:szCs w:val="22"/>
        </w:rPr>
        <w:t>(Ahlberg</w:t>
      </w:r>
      <w:r w:rsidR="009B36EE" w:rsidRPr="00B81049">
        <w:rPr>
          <w:rFonts w:cs="Times New Roman"/>
          <w:noProof/>
          <w:sz w:val="22"/>
          <w:szCs w:val="22"/>
        </w:rPr>
        <w:t xml:space="preserve"> et al. 2008</w:t>
      </w:r>
      <w:r w:rsidR="006526B6" w:rsidRPr="00B81049">
        <w:rPr>
          <w:rFonts w:cs="Times New Roman"/>
          <w:noProof/>
          <w:sz w:val="22"/>
          <w:szCs w:val="22"/>
        </w:rPr>
        <w:t xml:space="preserve">; </w:t>
      </w:r>
      <w:r w:rsidR="009B36EE" w:rsidRPr="00B81049">
        <w:rPr>
          <w:rFonts w:cs="Times New Roman"/>
          <w:noProof/>
          <w:sz w:val="22"/>
          <w:szCs w:val="22"/>
        </w:rPr>
        <w:t>Pulignano and Doerflinger</w:t>
      </w:r>
      <w:r w:rsidR="00BC3BCE" w:rsidRPr="00B81049">
        <w:rPr>
          <w:rFonts w:cs="Times New Roman"/>
          <w:noProof/>
          <w:sz w:val="22"/>
          <w:szCs w:val="22"/>
        </w:rPr>
        <w:t>,</w:t>
      </w:r>
      <w:r w:rsidR="009B36EE" w:rsidRPr="00B81049">
        <w:rPr>
          <w:rFonts w:cs="Times New Roman"/>
          <w:noProof/>
          <w:sz w:val="22"/>
          <w:szCs w:val="22"/>
        </w:rPr>
        <w:t xml:space="preserve"> 2013)</w:t>
      </w:r>
      <w:r w:rsidR="009B36EE" w:rsidRPr="00B81049">
        <w:rPr>
          <w:rFonts w:cs="Times New Roman"/>
          <w:sz w:val="22"/>
          <w:szCs w:val="22"/>
        </w:rPr>
        <w:t>. By building on th</w:t>
      </w:r>
      <w:r w:rsidR="00CE65D0" w:rsidRPr="00B81049">
        <w:rPr>
          <w:rFonts w:cs="Times New Roman"/>
          <w:sz w:val="22"/>
          <w:szCs w:val="22"/>
        </w:rPr>
        <w:t xml:space="preserve">is </w:t>
      </w:r>
      <w:r w:rsidR="009B36EE" w:rsidRPr="00B81049">
        <w:rPr>
          <w:rFonts w:cs="Times New Roman"/>
          <w:sz w:val="22"/>
          <w:szCs w:val="22"/>
        </w:rPr>
        <w:t xml:space="preserve">research, we explore the controversy regarding the extent to which unions are inclusive. </w:t>
      </w:r>
    </w:p>
    <w:p w:rsidR="00143569" w:rsidRDefault="00D22FAD" w:rsidP="00D22FAD">
      <w:pPr>
        <w:rPr>
          <w:rFonts w:cs="Times New Roman"/>
          <w:sz w:val="22"/>
          <w:szCs w:val="22"/>
        </w:rPr>
      </w:pPr>
      <w:r>
        <w:rPr>
          <w:rFonts w:cs="Times New Roman"/>
          <w:sz w:val="22"/>
          <w:szCs w:val="22"/>
        </w:rPr>
        <w:tab/>
      </w:r>
      <w:r w:rsidR="008F693C">
        <w:rPr>
          <w:rFonts w:cs="Times New Roman"/>
          <w:sz w:val="22"/>
          <w:szCs w:val="22"/>
        </w:rPr>
        <w:t>T</w:t>
      </w:r>
      <w:r w:rsidR="009B36EE" w:rsidRPr="00B81049">
        <w:rPr>
          <w:rFonts w:cs="Times New Roman"/>
          <w:sz w:val="22"/>
          <w:szCs w:val="22"/>
        </w:rPr>
        <w:t>he revital</w:t>
      </w:r>
      <w:r w:rsidR="002A4AC2">
        <w:rPr>
          <w:rFonts w:cs="Times New Roman"/>
          <w:sz w:val="22"/>
          <w:szCs w:val="22"/>
        </w:rPr>
        <w:t>ization</w:t>
      </w:r>
      <w:r w:rsidR="009B36EE" w:rsidRPr="00B81049">
        <w:rPr>
          <w:rFonts w:cs="Times New Roman"/>
          <w:sz w:val="22"/>
          <w:szCs w:val="22"/>
        </w:rPr>
        <w:t xml:space="preserve"> literature </w:t>
      </w:r>
      <w:r w:rsidR="009B36EE" w:rsidRPr="00B81049">
        <w:rPr>
          <w:rFonts w:cs="Times New Roman"/>
          <w:sz w:val="22"/>
          <w:szCs w:val="22"/>
          <w:lang w:val="en-GB"/>
        </w:rPr>
        <w:t>mainly relies on case studies of</w:t>
      </w:r>
      <w:r w:rsidR="009B36EE" w:rsidRPr="00B81049">
        <w:rPr>
          <w:rFonts w:cs="Times New Roman"/>
          <w:sz w:val="22"/>
          <w:szCs w:val="22"/>
        </w:rPr>
        <w:t xml:space="preserve"> union strategies</w:t>
      </w:r>
      <w:r>
        <w:rPr>
          <w:rFonts w:cs="Times New Roman"/>
          <w:sz w:val="22"/>
          <w:szCs w:val="22"/>
        </w:rPr>
        <w:t>,</w:t>
      </w:r>
      <w:r w:rsidR="009B36EE" w:rsidRPr="00B81049">
        <w:rPr>
          <w:rFonts w:cs="Times New Roman"/>
          <w:sz w:val="22"/>
          <w:szCs w:val="22"/>
        </w:rPr>
        <w:t xml:space="preserve"> </w:t>
      </w:r>
      <w:r w:rsidRPr="00B81049">
        <w:rPr>
          <w:rFonts w:cs="Times New Roman"/>
          <w:noProof/>
          <w:sz w:val="22"/>
          <w:szCs w:val="22"/>
          <w:lang w:val="en-GB"/>
        </w:rPr>
        <w:t>neglecting</w:t>
      </w:r>
      <w:r w:rsidRPr="00B81049">
        <w:rPr>
          <w:rFonts w:cs="Times New Roman"/>
          <w:noProof/>
          <w:sz w:val="22"/>
          <w:szCs w:val="22"/>
        </w:rPr>
        <w:t xml:space="preserve"> the</w:t>
      </w:r>
      <w:r>
        <w:rPr>
          <w:rFonts w:cs="Times New Roman"/>
          <w:noProof/>
          <w:sz w:val="22"/>
          <w:szCs w:val="22"/>
        </w:rPr>
        <w:t>ir</w:t>
      </w:r>
      <w:r w:rsidRPr="00B81049">
        <w:rPr>
          <w:rFonts w:cs="Times New Roman"/>
          <w:noProof/>
          <w:sz w:val="22"/>
          <w:szCs w:val="22"/>
        </w:rPr>
        <w:t xml:space="preserve"> actual achievements </w:t>
      </w:r>
      <w:r w:rsidR="009B36EE" w:rsidRPr="00B81049">
        <w:rPr>
          <w:rFonts w:cs="Times New Roman"/>
          <w:noProof/>
          <w:sz w:val="22"/>
          <w:szCs w:val="22"/>
          <w:lang w:val="en-GB"/>
        </w:rPr>
        <w:t>(Greer</w:t>
      </w:r>
      <w:r w:rsidR="00BC3BCE" w:rsidRPr="00B81049">
        <w:rPr>
          <w:rFonts w:cs="Times New Roman"/>
          <w:noProof/>
          <w:sz w:val="22"/>
          <w:szCs w:val="22"/>
          <w:lang w:val="en-GB"/>
        </w:rPr>
        <w:t>,</w:t>
      </w:r>
      <w:r w:rsidR="009B36EE" w:rsidRPr="00B81049">
        <w:rPr>
          <w:rFonts w:cs="Times New Roman"/>
          <w:noProof/>
          <w:sz w:val="22"/>
          <w:szCs w:val="22"/>
          <w:lang w:val="en-GB"/>
        </w:rPr>
        <w:t xml:space="preserve"> 2008</w:t>
      </w:r>
      <w:r w:rsidR="00BC3BCE" w:rsidRPr="00B81049">
        <w:rPr>
          <w:rFonts w:cs="Times New Roman"/>
          <w:noProof/>
          <w:sz w:val="22"/>
          <w:szCs w:val="22"/>
          <w:lang w:val="en-GB"/>
        </w:rPr>
        <w:t>;</w:t>
      </w:r>
      <w:r w:rsidR="009B36EE" w:rsidRPr="00B81049">
        <w:rPr>
          <w:rFonts w:cs="Times New Roman"/>
          <w:noProof/>
          <w:sz w:val="22"/>
          <w:szCs w:val="22"/>
          <w:lang w:val="en-GB"/>
        </w:rPr>
        <w:t xml:space="preserve"> Krzywdzinski</w:t>
      </w:r>
      <w:r w:rsidR="00BC3BCE" w:rsidRPr="00B81049">
        <w:rPr>
          <w:rFonts w:cs="Times New Roman"/>
          <w:noProof/>
          <w:sz w:val="22"/>
          <w:szCs w:val="22"/>
          <w:lang w:val="en-GB"/>
        </w:rPr>
        <w:t>,</w:t>
      </w:r>
      <w:r w:rsidR="009B36EE" w:rsidRPr="00B81049">
        <w:rPr>
          <w:rFonts w:cs="Times New Roman"/>
          <w:noProof/>
          <w:sz w:val="22"/>
          <w:szCs w:val="22"/>
          <w:lang w:val="en-GB"/>
        </w:rPr>
        <w:t xml:space="preserve"> 2010</w:t>
      </w:r>
      <w:r w:rsidR="00757F81" w:rsidRPr="00B81049">
        <w:rPr>
          <w:rFonts w:cs="Times New Roman"/>
          <w:noProof/>
          <w:sz w:val="22"/>
          <w:szCs w:val="22"/>
          <w:lang w:val="en-GB"/>
        </w:rPr>
        <w:t xml:space="preserve">), </w:t>
      </w:r>
      <w:r w:rsidR="009B36EE" w:rsidRPr="00B81049">
        <w:rPr>
          <w:rFonts w:cs="Times New Roman"/>
          <w:noProof/>
          <w:sz w:val="22"/>
          <w:szCs w:val="22"/>
        </w:rPr>
        <w:t xml:space="preserve">and </w:t>
      </w:r>
      <w:r>
        <w:rPr>
          <w:rFonts w:cs="Times New Roman"/>
          <w:sz w:val="22"/>
          <w:szCs w:val="22"/>
          <w:lang w:val="en-GB"/>
        </w:rPr>
        <w:t>does not permit</w:t>
      </w:r>
      <w:r w:rsidR="009B36EE" w:rsidRPr="00B81049">
        <w:rPr>
          <w:rFonts w:cs="Times New Roman"/>
          <w:sz w:val="22"/>
          <w:szCs w:val="22"/>
          <w:lang w:val="en-GB"/>
        </w:rPr>
        <w:t xml:space="preserve"> systematic cross-national comparison</w:t>
      </w:r>
      <w:r w:rsidR="009B36EE" w:rsidRPr="00B81049">
        <w:rPr>
          <w:rFonts w:cs="Times New Roman"/>
          <w:noProof/>
          <w:sz w:val="22"/>
          <w:szCs w:val="22"/>
        </w:rPr>
        <w:t>.</w:t>
      </w:r>
      <w:r w:rsidR="0040109C" w:rsidRPr="00B81049">
        <w:rPr>
          <w:rFonts w:cs="Times New Roman"/>
          <w:noProof/>
          <w:sz w:val="22"/>
          <w:szCs w:val="22"/>
        </w:rPr>
        <w:t xml:space="preserve"> </w:t>
      </w:r>
      <w:r w:rsidR="009B36EE" w:rsidRPr="00B81049">
        <w:rPr>
          <w:rFonts w:cs="Times New Roman"/>
          <w:noProof/>
          <w:sz w:val="22"/>
          <w:szCs w:val="22"/>
        </w:rPr>
        <w:t xml:space="preserve">On the other hand, </w:t>
      </w:r>
      <w:r w:rsidR="009B36EE" w:rsidRPr="00B81049">
        <w:rPr>
          <w:rFonts w:cs="Times New Roman"/>
          <w:sz w:val="22"/>
          <w:szCs w:val="22"/>
        </w:rPr>
        <w:t>the dual</w:t>
      </w:r>
      <w:r w:rsidR="002A4AC2">
        <w:rPr>
          <w:rFonts w:cs="Times New Roman"/>
          <w:sz w:val="22"/>
          <w:szCs w:val="22"/>
        </w:rPr>
        <w:t>ization</w:t>
      </w:r>
      <w:r w:rsidR="009B36EE" w:rsidRPr="00B81049">
        <w:rPr>
          <w:rFonts w:cs="Times New Roman"/>
          <w:sz w:val="22"/>
          <w:szCs w:val="22"/>
        </w:rPr>
        <w:t xml:space="preserve"> literature </w:t>
      </w:r>
      <w:r w:rsidR="00A96B98" w:rsidRPr="00B81049">
        <w:rPr>
          <w:rFonts w:cs="Times New Roman"/>
          <w:sz w:val="22"/>
          <w:szCs w:val="22"/>
        </w:rPr>
        <w:t xml:space="preserve">derives </w:t>
      </w:r>
      <w:r w:rsidR="00367388" w:rsidRPr="00B81049">
        <w:rPr>
          <w:rFonts w:cs="Times New Roman"/>
          <w:sz w:val="22"/>
          <w:szCs w:val="22"/>
        </w:rPr>
        <w:t xml:space="preserve">union </w:t>
      </w:r>
      <w:r w:rsidR="00A96B98" w:rsidRPr="00B81049">
        <w:rPr>
          <w:rFonts w:cs="Times New Roman"/>
          <w:sz w:val="22"/>
          <w:szCs w:val="22"/>
        </w:rPr>
        <w:t xml:space="preserve">preferences from </w:t>
      </w:r>
      <w:r w:rsidR="009B36EE" w:rsidRPr="00B81049">
        <w:rPr>
          <w:rFonts w:cs="Times New Roman"/>
          <w:sz w:val="22"/>
          <w:szCs w:val="22"/>
        </w:rPr>
        <w:t>th</w:t>
      </w:r>
      <w:r>
        <w:rPr>
          <w:rFonts w:cs="Times New Roman"/>
          <w:sz w:val="22"/>
          <w:szCs w:val="22"/>
        </w:rPr>
        <w:t>os</w:t>
      </w:r>
      <w:r w:rsidR="009B36EE" w:rsidRPr="00B81049">
        <w:rPr>
          <w:rFonts w:cs="Times New Roman"/>
          <w:sz w:val="22"/>
          <w:szCs w:val="22"/>
        </w:rPr>
        <w:t xml:space="preserve">e of permanent workers or </w:t>
      </w:r>
      <w:r>
        <w:rPr>
          <w:rFonts w:cs="Times New Roman"/>
          <w:sz w:val="22"/>
          <w:szCs w:val="22"/>
        </w:rPr>
        <w:t>from</w:t>
      </w:r>
      <w:r w:rsidR="009B36EE" w:rsidRPr="00B81049">
        <w:rPr>
          <w:rFonts w:cs="Times New Roman"/>
          <w:sz w:val="22"/>
          <w:szCs w:val="22"/>
        </w:rPr>
        <w:t xml:space="preserve">labour market outcomes </w:t>
      </w:r>
      <w:r w:rsidR="009B36EE" w:rsidRPr="00B81049">
        <w:rPr>
          <w:rFonts w:cs="Times New Roman"/>
          <w:noProof/>
          <w:sz w:val="22"/>
          <w:szCs w:val="22"/>
        </w:rPr>
        <w:t>(Palier and Thelen</w:t>
      </w:r>
      <w:r w:rsidR="00BC3BCE" w:rsidRPr="00B81049">
        <w:rPr>
          <w:rFonts w:cs="Times New Roman"/>
          <w:noProof/>
          <w:sz w:val="22"/>
          <w:szCs w:val="22"/>
        </w:rPr>
        <w:t>,</w:t>
      </w:r>
      <w:r w:rsidR="009B36EE" w:rsidRPr="00B81049">
        <w:rPr>
          <w:rFonts w:cs="Times New Roman"/>
          <w:noProof/>
          <w:sz w:val="22"/>
          <w:szCs w:val="22"/>
        </w:rPr>
        <w:t xml:space="preserve"> 2010</w:t>
      </w:r>
      <w:r w:rsidR="009B79A3" w:rsidRPr="00B81049">
        <w:rPr>
          <w:rFonts w:cs="Times New Roman"/>
          <w:noProof/>
          <w:sz w:val="22"/>
          <w:szCs w:val="22"/>
        </w:rPr>
        <w:t>; Rueda, 2005</w:t>
      </w:r>
      <w:r w:rsidR="009B36EE" w:rsidRPr="00B81049">
        <w:rPr>
          <w:rFonts w:cs="Times New Roman"/>
          <w:noProof/>
          <w:sz w:val="22"/>
          <w:szCs w:val="22"/>
        </w:rPr>
        <w:t>)</w:t>
      </w:r>
      <w:r w:rsidR="00F312D5" w:rsidRPr="00B81049">
        <w:rPr>
          <w:rFonts w:cs="Times New Roman"/>
          <w:sz w:val="22"/>
          <w:szCs w:val="22"/>
        </w:rPr>
        <w:t xml:space="preserve">, neglecting </w:t>
      </w:r>
      <w:r w:rsidR="009B36EE" w:rsidRPr="00B81049">
        <w:rPr>
          <w:rFonts w:cs="Times New Roman"/>
          <w:sz w:val="22"/>
          <w:szCs w:val="22"/>
        </w:rPr>
        <w:t xml:space="preserve">the constraints under which unions operate and the drivers of union strategies beyond their members’ interests. </w:t>
      </w:r>
    </w:p>
    <w:p w:rsidR="00143569" w:rsidRDefault="00D22FAD" w:rsidP="00D22FAD">
      <w:pPr>
        <w:rPr>
          <w:rFonts w:cs="Times New Roman"/>
          <w:sz w:val="22"/>
          <w:szCs w:val="22"/>
        </w:rPr>
      </w:pPr>
      <w:r>
        <w:rPr>
          <w:rFonts w:cs="Times New Roman"/>
          <w:sz w:val="22"/>
          <w:szCs w:val="22"/>
        </w:rPr>
        <w:tab/>
      </w:r>
      <w:r w:rsidR="008F693C" w:rsidRPr="00B81049">
        <w:rPr>
          <w:rFonts w:cs="Times New Roman"/>
          <w:sz w:val="22"/>
          <w:szCs w:val="22"/>
        </w:rPr>
        <w:t>We reconceptual</w:t>
      </w:r>
      <w:r w:rsidR="008F693C">
        <w:rPr>
          <w:rFonts w:cs="Times New Roman"/>
          <w:sz w:val="22"/>
          <w:szCs w:val="22"/>
        </w:rPr>
        <w:t>ize</w:t>
      </w:r>
      <w:r w:rsidR="008F693C" w:rsidRPr="00B81049">
        <w:rPr>
          <w:rFonts w:cs="Times New Roman"/>
          <w:sz w:val="22"/>
          <w:szCs w:val="22"/>
        </w:rPr>
        <w:t xml:space="preserve"> </w:t>
      </w:r>
      <w:r w:rsidR="008F693C">
        <w:rPr>
          <w:rFonts w:cs="Times New Roman"/>
          <w:sz w:val="22"/>
          <w:szCs w:val="22"/>
        </w:rPr>
        <w:t>‘</w:t>
      </w:r>
      <w:r w:rsidR="008F693C" w:rsidRPr="00B81049">
        <w:rPr>
          <w:rFonts w:cs="Times New Roman"/>
          <w:sz w:val="22"/>
          <w:szCs w:val="22"/>
        </w:rPr>
        <w:t>union inclusiveness</w:t>
      </w:r>
      <w:r w:rsidR="008F693C">
        <w:rPr>
          <w:rFonts w:cs="Times New Roman"/>
          <w:sz w:val="22"/>
          <w:szCs w:val="22"/>
        </w:rPr>
        <w:t>’</w:t>
      </w:r>
      <w:r>
        <w:rPr>
          <w:rFonts w:cs="Times New Roman"/>
          <w:sz w:val="22"/>
          <w:szCs w:val="22"/>
        </w:rPr>
        <w:t xml:space="preserve"> as</w:t>
      </w:r>
      <w:r w:rsidR="009B36EE" w:rsidRPr="00B81049">
        <w:rPr>
          <w:rFonts w:cs="Times New Roman"/>
          <w:sz w:val="22"/>
          <w:szCs w:val="22"/>
        </w:rPr>
        <w:t xml:space="preserve"> intermedia</w:t>
      </w:r>
      <w:r>
        <w:rPr>
          <w:rFonts w:cs="Times New Roman"/>
          <w:sz w:val="22"/>
          <w:szCs w:val="22"/>
        </w:rPr>
        <w:t xml:space="preserve">ting </w:t>
      </w:r>
      <w:r w:rsidR="009B36EE" w:rsidRPr="00B81049">
        <w:rPr>
          <w:rFonts w:cs="Times New Roman"/>
          <w:sz w:val="22"/>
          <w:szCs w:val="22"/>
        </w:rPr>
        <w:t xml:space="preserve">between inputs (strategies) and labour market outcomes. </w:t>
      </w:r>
      <w:r w:rsidR="007A1416" w:rsidRPr="00B81049">
        <w:rPr>
          <w:rFonts w:cs="Times New Roman"/>
          <w:sz w:val="22"/>
          <w:szCs w:val="22"/>
        </w:rPr>
        <w:t xml:space="preserve">We capture this </w:t>
      </w:r>
      <w:r w:rsidR="00C30D0E" w:rsidRPr="00B81049">
        <w:rPr>
          <w:rFonts w:cs="Times New Roman"/>
          <w:sz w:val="22"/>
          <w:szCs w:val="22"/>
        </w:rPr>
        <w:t>through</w:t>
      </w:r>
      <w:r w:rsidR="007A1416" w:rsidRPr="00B81049">
        <w:rPr>
          <w:rFonts w:cs="Times New Roman"/>
          <w:sz w:val="22"/>
          <w:szCs w:val="22"/>
        </w:rPr>
        <w:t xml:space="preserve"> an </w:t>
      </w:r>
      <w:r w:rsidR="009B36EE" w:rsidRPr="00B81049">
        <w:rPr>
          <w:rFonts w:cs="Times New Roman"/>
          <w:sz w:val="22"/>
          <w:szCs w:val="22"/>
          <w:lang w:val="en-GB"/>
        </w:rPr>
        <w:t xml:space="preserve">index </w:t>
      </w:r>
      <w:r w:rsidR="0002428A" w:rsidRPr="00B81049">
        <w:rPr>
          <w:rFonts w:cs="Times New Roman"/>
          <w:sz w:val="22"/>
          <w:szCs w:val="22"/>
          <w:lang w:val="en-GB"/>
        </w:rPr>
        <w:t>including</w:t>
      </w:r>
      <w:r w:rsidR="009B36EE" w:rsidRPr="00B81049">
        <w:rPr>
          <w:rFonts w:cs="Times New Roman"/>
          <w:sz w:val="22"/>
          <w:szCs w:val="22"/>
          <w:lang w:val="en-GB"/>
        </w:rPr>
        <w:t xml:space="preserve"> both the content of collective agreements for TAWs and the union density of temporary workers. </w:t>
      </w:r>
      <w:r w:rsidR="00CE65D0" w:rsidRPr="00B81049">
        <w:rPr>
          <w:rFonts w:cs="Times New Roman"/>
          <w:sz w:val="22"/>
          <w:szCs w:val="22"/>
          <w:lang w:val="en-GB"/>
        </w:rPr>
        <w:t xml:space="preserve">By </w:t>
      </w:r>
      <w:r w:rsidRPr="00B81049">
        <w:rPr>
          <w:rFonts w:cs="Times New Roman"/>
          <w:sz w:val="22"/>
          <w:szCs w:val="22"/>
          <w:lang w:val="en-GB"/>
        </w:rPr>
        <w:t xml:space="preserve">systematically </w:t>
      </w:r>
      <w:r w:rsidR="009B36EE" w:rsidRPr="00B81049">
        <w:rPr>
          <w:rFonts w:cs="Times New Roman"/>
          <w:sz w:val="22"/>
          <w:szCs w:val="22"/>
          <w:lang w:val="en-GB"/>
        </w:rPr>
        <w:t>coding union inclusiveness towards TAWs across 14 western European countries</w:t>
      </w:r>
      <w:r w:rsidR="00CE65D0" w:rsidRPr="00B81049">
        <w:rPr>
          <w:rFonts w:cs="Times New Roman"/>
          <w:sz w:val="22"/>
          <w:szCs w:val="22"/>
          <w:lang w:val="en-GB"/>
        </w:rPr>
        <w:t xml:space="preserve">, </w:t>
      </w:r>
      <w:r w:rsidR="009B36EE" w:rsidRPr="00B81049">
        <w:rPr>
          <w:rFonts w:cs="Times New Roman"/>
          <w:sz w:val="22"/>
          <w:szCs w:val="22"/>
          <w:lang w:val="en-GB"/>
        </w:rPr>
        <w:t xml:space="preserve">we observe that unions </w:t>
      </w:r>
      <w:r w:rsidR="00597677" w:rsidRPr="00B81049">
        <w:rPr>
          <w:rFonts w:cs="Times New Roman"/>
          <w:sz w:val="22"/>
          <w:szCs w:val="22"/>
          <w:lang w:val="en-GB"/>
        </w:rPr>
        <w:t xml:space="preserve">in Ghent countries </w:t>
      </w:r>
      <w:r w:rsidR="009B36EE" w:rsidRPr="00B81049">
        <w:rPr>
          <w:rFonts w:cs="Times New Roman"/>
          <w:sz w:val="22"/>
          <w:szCs w:val="22"/>
          <w:lang w:val="en-GB"/>
        </w:rPr>
        <w:t xml:space="preserve">(Belgium, Denmark, Finland and Sweden) are inclusive, maintaining </w:t>
      </w:r>
      <w:r>
        <w:rPr>
          <w:rFonts w:cs="Times New Roman"/>
          <w:sz w:val="22"/>
          <w:szCs w:val="22"/>
          <w:lang w:val="en-GB"/>
        </w:rPr>
        <w:t>a</w:t>
      </w:r>
      <w:r w:rsidR="009B36EE" w:rsidRPr="00B81049">
        <w:rPr>
          <w:rFonts w:cs="Times New Roman"/>
          <w:sz w:val="22"/>
          <w:szCs w:val="22"/>
          <w:lang w:val="en-GB"/>
        </w:rPr>
        <w:t xml:space="preserve"> tradition of broad-based membership and encompassing collective agreements </w:t>
      </w:r>
      <w:r w:rsidR="009B36EE" w:rsidRPr="00B81049">
        <w:rPr>
          <w:rFonts w:cs="Times New Roman"/>
          <w:noProof/>
          <w:sz w:val="22"/>
          <w:szCs w:val="22"/>
          <w:lang w:val="en-GB"/>
        </w:rPr>
        <w:t>(Ebbinghaus</w:t>
      </w:r>
      <w:r w:rsidR="00BC3BCE" w:rsidRPr="00B81049">
        <w:rPr>
          <w:rFonts w:cs="Times New Roman"/>
          <w:noProof/>
          <w:sz w:val="22"/>
          <w:szCs w:val="22"/>
          <w:lang w:val="en-GB"/>
        </w:rPr>
        <w:t xml:space="preserve">, </w:t>
      </w:r>
      <w:r w:rsidR="009B36EE" w:rsidRPr="00B81049">
        <w:rPr>
          <w:rFonts w:cs="Times New Roman"/>
          <w:noProof/>
          <w:sz w:val="22"/>
          <w:szCs w:val="22"/>
          <w:lang w:val="en-GB"/>
        </w:rPr>
        <w:t>2002)</w:t>
      </w:r>
      <w:r w:rsidR="009B36EE" w:rsidRPr="00B81049">
        <w:rPr>
          <w:rFonts w:cs="Times New Roman"/>
          <w:sz w:val="22"/>
          <w:szCs w:val="22"/>
          <w:lang w:val="en-GB"/>
        </w:rPr>
        <w:t xml:space="preserve">. However, </w:t>
      </w:r>
      <w:r w:rsidR="009B36EE" w:rsidRPr="00B81049">
        <w:rPr>
          <w:rFonts w:cs="Times New Roman"/>
          <w:sz w:val="22"/>
          <w:szCs w:val="22"/>
        </w:rPr>
        <w:t>unions in France, Italy and Spain are also inclusive</w:t>
      </w:r>
      <w:r w:rsidR="007A1416" w:rsidRPr="00B81049">
        <w:rPr>
          <w:rFonts w:cs="Times New Roman"/>
          <w:sz w:val="22"/>
          <w:szCs w:val="22"/>
        </w:rPr>
        <w:t xml:space="preserve">. This contrasts with </w:t>
      </w:r>
      <w:r w:rsidR="009B36EE" w:rsidRPr="00B81049">
        <w:rPr>
          <w:rFonts w:cs="Times New Roman"/>
          <w:sz w:val="22"/>
          <w:szCs w:val="22"/>
        </w:rPr>
        <w:t>the dual</w:t>
      </w:r>
      <w:r w:rsidR="002A4AC2">
        <w:rPr>
          <w:rFonts w:cs="Times New Roman"/>
          <w:sz w:val="22"/>
          <w:szCs w:val="22"/>
        </w:rPr>
        <w:t>ization</w:t>
      </w:r>
      <w:r w:rsidR="009B36EE" w:rsidRPr="00B81049">
        <w:rPr>
          <w:rFonts w:cs="Times New Roman"/>
          <w:sz w:val="22"/>
          <w:szCs w:val="22"/>
        </w:rPr>
        <w:t xml:space="preserve"> literature </w:t>
      </w:r>
      <w:r w:rsidR="007A1416" w:rsidRPr="00B81049">
        <w:rPr>
          <w:rFonts w:cs="Times New Roman"/>
          <w:sz w:val="22"/>
          <w:szCs w:val="22"/>
        </w:rPr>
        <w:t xml:space="preserve">that </w:t>
      </w:r>
      <w:r w:rsidR="009B36EE" w:rsidRPr="00B81049">
        <w:rPr>
          <w:rFonts w:cs="Times New Roman"/>
          <w:sz w:val="22"/>
          <w:szCs w:val="22"/>
        </w:rPr>
        <w:t>typically represents the</w:t>
      </w:r>
      <w:r>
        <w:rPr>
          <w:rFonts w:cs="Times New Roman"/>
          <w:sz w:val="22"/>
          <w:szCs w:val="22"/>
        </w:rPr>
        <w:t>se</w:t>
      </w:r>
      <w:r w:rsidR="009B36EE" w:rsidRPr="00B81049">
        <w:rPr>
          <w:rFonts w:cs="Times New Roman"/>
          <w:sz w:val="22"/>
          <w:szCs w:val="22"/>
        </w:rPr>
        <w:t xml:space="preserve"> as exclusi</w:t>
      </w:r>
      <w:r>
        <w:rPr>
          <w:rFonts w:cs="Times New Roman"/>
          <w:sz w:val="22"/>
          <w:szCs w:val="22"/>
        </w:rPr>
        <w:t>onary</w:t>
      </w:r>
      <w:r w:rsidR="009B36EE" w:rsidRPr="00B81049">
        <w:rPr>
          <w:rFonts w:cs="Times New Roman"/>
          <w:sz w:val="22"/>
          <w:szCs w:val="22"/>
        </w:rPr>
        <w:t xml:space="preserve"> </w:t>
      </w:r>
      <w:r w:rsidR="009B36EE" w:rsidRPr="00B81049">
        <w:rPr>
          <w:rFonts w:cs="Times New Roman"/>
          <w:noProof/>
          <w:sz w:val="22"/>
          <w:szCs w:val="22"/>
          <w:lang w:val="en-GB"/>
        </w:rPr>
        <w:t>(</w:t>
      </w:r>
      <w:r w:rsidR="009B79A3" w:rsidRPr="00B81049">
        <w:rPr>
          <w:rFonts w:cs="Times New Roman"/>
          <w:noProof/>
          <w:sz w:val="22"/>
          <w:szCs w:val="22"/>
          <w:lang w:val="en-GB"/>
        </w:rPr>
        <w:t xml:space="preserve">Bentolila et al., 2011; </w:t>
      </w:r>
      <w:r w:rsidR="009B36EE" w:rsidRPr="00B81049">
        <w:rPr>
          <w:rFonts w:cs="Times New Roman"/>
          <w:noProof/>
          <w:sz w:val="22"/>
          <w:szCs w:val="22"/>
          <w:lang w:val="en-GB"/>
        </w:rPr>
        <w:t>Palier and Thelen</w:t>
      </w:r>
      <w:r w:rsidR="00BC3BCE" w:rsidRPr="00B81049">
        <w:rPr>
          <w:rFonts w:cs="Times New Roman"/>
          <w:noProof/>
          <w:sz w:val="22"/>
          <w:szCs w:val="22"/>
          <w:lang w:val="en-GB"/>
        </w:rPr>
        <w:t>,</w:t>
      </w:r>
      <w:r w:rsidR="009B36EE" w:rsidRPr="00B81049">
        <w:rPr>
          <w:rFonts w:cs="Times New Roman"/>
          <w:noProof/>
          <w:sz w:val="22"/>
          <w:szCs w:val="22"/>
          <w:lang w:val="en-GB"/>
        </w:rPr>
        <w:t xml:space="preserve"> 2010; Simoni</w:t>
      </w:r>
      <w:r w:rsidR="00BC3BCE" w:rsidRPr="00B81049">
        <w:rPr>
          <w:rFonts w:cs="Times New Roman"/>
          <w:noProof/>
          <w:sz w:val="22"/>
          <w:szCs w:val="22"/>
          <w:lang w:val="en-GB"/>
        </w:rPr>
        <w:t xml:space="preserve">, </w:t>
      </w:r>
      <w:r w:rsidR="009B36EE" w:rsidRPr="00B81049">
        <w:rPr>
          <w:rFonts w:cs="Times New Roman"/>
          <w:noProof/>
          <w:sz w:val="22"/>
          <w:szCs w:val="22"/>
          <w:lang w:val="en-GB"/>
        </w:rPr>
        <w:t>2012)</w:t>
      </w:r>
      <w:r w:rsidR="009B36EE" w:rsidRPr="00B81049">
        <w:rPr>
          <w:rFonts w:cs="Times New Roman"/>
          <w:sz w:val="22"/>
          <w:szCs w:val="22"/>
        </w:rPr>
        <w:t xml:space="preserve">. </w:t>
      </w:r>
    </w:p>
    <w:p w:rsidR="00143569" w:rsidRDefault="00D22FAD" w:rsidP="00D22FAD">
      <w:pPr>
        <w:rPr>
          <w:rFonts w:cs="Times New Roman"/>
          <w:sz w:val="22"/>
          <w:szCs w:val="22"/>
          <w:lang w:val="en-GB"/>
        </w:rPr>
      </w:pPr>
      <w:r>
        <w:rPr>
          <w:rFonts w:cs="Times New Roman"/>
          <w:sz w:val="22"/>
          <w:szCs w:val="22"/>
        </w:rPr>
        <w:tab/>
      </w:r>
      <w:r w:rsidR="007A1416" w:rsidRPr="00B81049">
        <w:rPr>
          <w:rFonts w:cs="Times New Roman"/>
          <w:sz w:val="22"/>
          <w:szCs w:val="22"/>
          <w:lang w:val="en-GB"/>
        </w:rPr>
        <w:t>T</w:t>
      </w:r>
      <w:r w:rsidR="00F312D5" w:rsidRPr="00B81049">
        <w:rPr>
          <w:rFonts w:cs="Times New Roman"/>
          <w:sz w:val="22"/>
          <w:szCs w:val="22"/>
          <w:lang w:val="en-GB"/>
        </w:rPr>
        <w:t>his pattern calls for a reassessment of the determinants of un</w:t>
      </w:r>
      <w:r w:rsidR="0098372D" w:rsidRPr="00B81049">
        <w:rPr>
          <w:rFonts w:cs="Times New Roman"/>
          <w:sz w:val="22"/>
          <w:szCs w:val="22"/>
          <w:lang w:val="en-GB"/>
        </w:rPr>
        <w:t>ion inclusiveness towards TAWs</w:t>
      </w:r>
      <w:r w:rsidR="007A1416" w:rsidRPr="00B81049">
        <w:rPr>
          <w:rFonts w:cs="Times New Roman"/>
          <w:sz w:val="22"/>
          <w:szCs w:val="22"/>
          <w:lang w:val="en-GB"/>
        </w:rPr>
        <w:t>. U</w:t>
      </w:r>
      <w:r w:rsidR="0098372D" w:rsidRPr="00B81049">
        <w:rPr>
          <w:rFonts w:cs="Times New Roman"/>
          <w:sz w:val="22"/>
          <w:szCs w:val="22"/>
          <w:lang w:val="en-GB"/>
        </w:rPr>
        <w:t>sing</w:t>
      </w:r>
      <w:r w:rsidR="00F312D5" w:rsidRPr="00B81049">
        <w:rPr>
          <w:rFonts w:cs="Times New Roman"/>
          <w:sz w:val="22"/>
          <w:szCs w:val="22"/>
          <w:lang w:val="en-GB"/>
        </w:rPr>
        <w:t xml:space="preserve"> the method of </w:t>
      </w:r>
      <w:r w:rsidR="00CE65D0" w:rsidRPr="00B81049">
        <w:rPr>
          <w:rFonts w:cs="Times New Roman"/>
          <w:sz w:val="22"/>
          <w:szCs w:val="22"/>
          <w:lang w:val="en-GB"/>
        </w:rPr>
        <w:t>fuzzy-set Qualitative Comparative Analysis (</w:t>
      </w:r>
      <w:r w:rsidR="0098372D" w:rsidRPr="00B81049">
        <w:rPr>
          <w:rFonts w:cs="Times New Roman"/>
          <w:sz w:val="22"/>
          <w:szCs w:val="22"/>
          <w:lang w:val="en-GB"/>
        </w:rPr>
        <w:t>fs</w:t>
      </w:r>
      <w:r w:rsidR="00CE65D0" w:rsidRPr="00B81049">
        <w:rPr>
          <w:rFonts w:cs="Times New Roman"/>
          <w:sz w:val="22"/>
          <w:szCs w:val="22"/>
          <w:lang w:val="en-GB"/>
        </w:rPr>
        <w:t>QCA)</w:t>
      </w:r>
      <w:r w:rsidR="007A1416" w:rsidRPr="00B81049">
        <w:rPr>
          <w:rFonts w:cs="Times New Roman"/>
          <w:sz w:val="22"/>
          <w:szCs w:val="22"/>
          <w:lang w:val="en-GB"/>
        </w:rPr>
        <w:t xml:space="preserve">, we test </w:t>
      </w:r>
      <w:r w:rsidR="009B36EE" w:rsidRPr="00B81049">
        <w:rPr>
          <w:rFonts w:cs="Times New Roman"/>
          <w:sz w:val="22"/>
          <w:szCs w:val="22"/>
          <w:lang w:val="en-GB"/>
        </w:rPr>
        <w:t xml:space="preserve">conditions related to bargaining </w:t>
      </w:r>
      <w:r w:rsidR="0003180B" w:rsidRPr="00B81049">
        <w:rPr>
          <w:rFonts w:cs="Times New Roman"/>
          <w:sz w:val="22"/>
          <w:szCs w:val="22"/>
          <w:lang w:val="en-GB"/>
        </w:rPr>
        <w:t xml:space="preserve">power and union preferences </w:t>
      </w:r>
      <w:r w:rsidR="00CA45EA">
        <w:rPr>
          <w:rFonts w:cs="Times New Roman"/>
          <w:sz w:val="22"/>
          <w:szCs w:val="22"/>
          <w:lang w:val="en-GB"/>
        </w:rPr>
        <w:t>or</w:t>
      </w:r>
      <w:r w:rsidR="0098372D" w:rsidRPr="00B81049">
        <w:rPr>
          <w:rFonts w:cs="Times New Roman"/>
          <w:sz w:val="22"/>
          <w:szCs w:val="22"/>
          <w:lang w:val="en-GB"/>
        </w:rPr>
        <w:t xml:space="preserve"> ideology</w:t>
      </w:r>
      <w:r w:rsidR="007A1416" w:rsidRPr="00B81049">
        <w:rPr>
          <w:rFonts w:cs="Times New Roman"/>
          <w:sz w:val="22"/>
          <w:szCs w:val="22"/>
          <w:lang w:val="en-GB"/>
        </w:rPr>
        <w:t xml:space="preserve">. We </w:t>
      </w:r>
      <w:r w:rsidR="00F75155" w:rsidRPr="00B81049">
        <w:rPr>
          <w:rFonts w:cs="Times New Roman"/>
          <w:sz w:val="22"/>
          <w:szCs w:val="22"/>
          <w:lang w:val="en-GB"/>
        </w:rPr>
        <w:t xml:space="preserve">find </w:t>
      </w:r>
      <w:r w:rsidR="007A1416" w:rsidRPr="00B81049">
        <w:rPr>
          <w:rFonts w:cs="Times New Roman"/>
          <w:sz w:val="22"/>
          <w:szCs w:val="22"/>
          <w:lang w:val="en-GB"/>
        </w:rPr>
        <w:t xml:space="preserve">two </w:t>
      </w:r>
      <w:r w:rsidR="00CA45EA">
        <w:rPr>
          <w:rFonts w:cs="Times New Roman"/>
          <w:sz w:val="22"/>
          <w:szCs w:val="22"/>
          <w:lang w:val="en-GB"/>
        </w:rPr>
        <w:t xml:space="preserve">different </w:t>
      </w:r>
      <w:r w:rsidR="00F75155" w:rsidRPr="00B81049">
        <w:rPr>
          <w:rFonts w:cs="Times New Roman"/>
          <w:sz w:val="22"/>
          <w:szCs w:val="22"/>
          <w:lang w:val="en-GB"/>
        </w:rPr>
        <w:t>path</w:t>
      </w:r>
      <w:r w:rsidR="00367388" w:rsidRPr="00B81049">
        <w:rPr>
          <w:rFonts w:cs="Times New Roman"/>
          <w:sz w:val="22"/>
          <w:szCs w:val="22"/>
          <w:lang w:val="en-GB"/>
        </w:rPr>
        <w:t>s</w:t>
      </w:r>
      <w:r w:rsidR="007A1416" w:rsidRPr="00B81049">
        <w:rPr>
          <w:rFonts w:cs="Times New Roman"/>
          <w:sz w:val="22"/>
          <w:szCs w:val="22"/>
          <w:lang w:val="en-GB"/>
        </w:rPr>
        <w:t xml:space="preserve"> </w:t>
      </w:r>
      <w:r w:rsidR="00367388" w:rsidRPr="00B81049">
        <w:rPr>
          <w:rFonts w:cs="Times New Roman"/>
          <w:sz w:val="22"/>
          <w:szCs w:val="22"/>
          <w:lang w:val="en-GB"/>
        </w:rPr>
        <w:t>to union inclusiveness</w:t>
      </w:r>
      <w:r w:rsidR="00CA45EA">
        <w:rPr>
          <w:rFonts w:cs="Times New Roman"/>
          <w:sz w:val="22"/>
          <w:szCs w:val="22"/>
          <w:lang w:val="en-GB"/>
        </w:rPr>
        <w:t>,</w:t>
      </w:r>
      <w:r w:rsidR="00F75155" w:rsidRPr="00B81049">
        <w:rPr>
          <w:rFonts w:cs="Times New Roman"/>
          <w:sz w:val="22"/>
          <w:szCs w:val="22"/>
          <w:lang w:val="en-GB"/>
        </w:rPr>
        <w:t xml:space="preserve"> </w:t>
      </w:r>
      <w:r w:rsidR="00367388" w:rsidRPr="00B81049">
        <w:rPr>
          <w:rFonts w:cs="Times New Roman"/>
          <w:sz w:val="22"/>
          <w:szCs w:val="22"/>
          <w:lang w:val="en-GB"/>
        </w:rPr>
        <w:t xml:space="preserve">in </w:t>
      </w:r>
      <w:r w:rsidR="0003180B" w:rsidRPr="00B81049">
        <w:rPr>
          <w:rFonts w:cs="Times New Roman"/>
          <w:sz w:val="22"/>
          <w:szCs w:val="22"/>
          <w:lang w:val="en-GB"/>
        </w:rPr>
        <w:t>the Ghent countries</w:t>
      </w:r>
      <w:r w:rsidR="00367388" w:rsidRPr="00B81049">
        <w:rPr>
          <w:rFonts w:cs="Times New Roman"/>
          <w:sz w:val="22"/>
          <w:szCs w:val="22"/>
          <w:lang w:val="en-GB"/>
        </w:rPr>
        <w:t xml:space="preserve"> </w:t>
      </w:r>
      <w:r w:rsidR="007A1416" w:rsidRPr="00B81049">
        <w:rPr>
          <w:rFonts w:cs="Times New Roman"/>
          <w:sz w:val="22"/>
          <w:szCs w:val="22"/>
          <w:lang w:val="en-GB"/>
        </w:rPr>
        <w:t xml:space="preserve">and </w:t>
      </w:r>
      <w:r w:rsidR="00367388" w:rsidRPr="00B81049">
        <w:rPr>
          <w:rFonts w:cs="Times New Roman"/>
          <w:sz w:val="22"/>
          <w:szCs w:val="22"/>
          <w:lang w:val="en-GB"/>
        </w:rPr>
        <w:t>in France, Italy and Spain</w:t>
      </w:r>
      <w:r w:rsidR="00C249EF" w:rsidRPr="00B81049">
        <w:rPr>
          <w:rFonts w:cs="Times New Roman"/>
          <w:sz w:val="22"/>
          <w:szCs w:val="22"/>
          <w:lang w:val="en-GB"/>
        </w:rPr>
        <w:t>.</w:t>
      </w:r>
      <w:r w:rsidR="007A1416" w:rsidRPr="00B81049">
        <w:rPr>
          <w:rFonts w:cs="Times New Roman"/>
          <w:sz w:val="22"/>
          <w:szCs w:val="22"/>
          <w:lang w:val="en-GB"/>
        </w:rPr>
        <w:t xml:space="preserve"> The ‘Northern path’ combines high bargaining coverage with high union authority and high union density. The ‘Southern path’ </w:t>
      </w:r>
      <w:r w:rsidR="00CA45EA">
        <w:rPr>
          <w:rFonts w:cs="Times New Roman"/>
          <w:sz w:val="22"/>
          <w:szCs w:val="22"/>
          <w:lang w:val="en-GB"/>
        </w:rPr>
        <w:t>involves</w:t>
      </w:r>
      <w:r w:rsidR="007A1416" w:rsidRPr="00B81049">
        <w:rPr>
          <w:rFonts w:cs="Times New Roman"/>
          <w:sz w:val="22"/>
          <w:szCs w:val="22"/>
          <w:lang w:val="en-GB"/>
        </w:rPr>
        <w:t xml:space="preserve"> high bargaining coverage, high union authority</w:t>
      </w:r>
      <w:r w:rsidR="004E07F6" w:rsidRPr="00B81049">
        <w:rPr>
          <w:rFonts w:cs="Times New Roman"/>
          <w:sz w:val="22"/>
          <w:szCs w:val="22"/>
          <w:lang w:val="en-GB"/>
        </w:rPr>
        <w:t>,</w:t>
      </w:r>
      <w:r w:rsidR="00CA45EA">
        <w:rPr>
          <w:rFonts w:cs="Times New Roman"/>
          <w:sz w:val="22"/>
          <w:szCs w:val="22"/>
          <w:lang w:val="en-GB"/>
        </w:rPr>
        <w:t xml:space="preserve"> statutory</w:t>
      </w:r>
      <w:r w:rsidR="004E07F6" w:rsidRPr="00B81049">
        <w:rPr>
          <w:rFonts w:cs="Times New Roman"/>
          <w:sz w:val="22"/>
          <w:szCs w:val="22"/>
          <w:lang w:val="en-GB"/>
        </w:rPr>
        <w:t xml:space="preserve"> </w:t>
      </w:r>
      <w:r w:rsidR="00CA45EA" w:rsidRPr="00B81049">
        <w:rPr>
          <w:rFonts w:cs="Times New Roman"/>
          <w:sz w:val="22"/>
          <w:szCs w:val="22"/>
          <w:lang w:val="en-GB"/>
        </w:rPr>
        <w:t xml:space="preserve">regulation </w:t>
      </w:r>
      <w:r w:rsidR="004E07F6" w:rsidRPr="00B81049">
        <w:rPr>
          <w:rFonts w:cs="Times New Roman"/>
          <w:sz w:val="22"/>
          <w:szCs w:val="22"/>
          <w:lang w:val="en-GB"/>
        </w:rPr>
        <w:t>of TAW</w:t>
      </w:r>
      <w:r w:rsidR="007A1416" w:rsidRPr="00B81049">
        <w:rPr>
          <w:rFonts w:cs="Times New Roman"/>
          <w:sz w:val="22"/>
          <w:szCs w:val="22"/>
          <w:lang w:val="en-GB"/>
        </w:rPr>
        <w:t xml:space="preserve"> and working class ideology.</w:t>
      </w:r>
    </w:p>
    <w:p w:rsidR="00143569" w:rsidRDefault="00CA45EA" w:rsidP="00CA45EA">
      <w:pPr>
        <w:rPr>
          <w:rFonts w:cs="Times New Roman"/>
          <w:sz w:val="22"/>
          <w:szCs w:val="22"/>
          <w:lang w:val="en-GB"/>
        </w:rPr>
      </w:pPr>
      <w:r>
        <w:rPr>
          <w:rFonts w:cs="Times New Roman"/>
          <w:sz w:val="22"/>
          <w:szCs w:val="22"/>
          <w:lang w:val="en-GB"/>
        </w:rPr>
        <w:tab/>
      </w:r>
      <w:r w:rsidR="00757F81" w:rsidRPr="00B81049">
        <w:rPr>
          <w:rFonts w:cs="Times New Roman"/>
          <w:sz w:val="22"/>
          <w:szCs w:val="22"/>
          <w:lang w:val="en-GB"/>
        </w:rPr>
        <w:t>We first</w:t>
      </w:r>
      <w:r w:rsidR="009B36EE" w:rsidRPr="00B81049">
        <w:rPr>
          <w:rFonts w:cs="Times New Roman"/>
          <w:sz w:val="22"/>
          <w:szCs w:val="22"/>
          <w:lang w:val="en-GB"/>
        </w:rPr>
        <w:t xml:space="preserve"> </w:t>
      </w:r>
      <w:r w:rsidR="007A1416" w:rsidRPr="00B81049">
        <w:rPr>
          <w:rFonts w:cs="Times New Roman"/>
          <w:sz w:val="22"/>
          <w:szCs w:val="22"/>
          <w:lang w:val="en-GB"/>
        </w:rPr>
        <w:t xml:space="preserve">discuss </w:t>
      </w:r>
      <w:r w:rsidR="009B36EE" w:rsidRPr="00B81049">
        <w:rPr>
          <w:rFonts w:cs="Times New Roman"/>
          <w:sz w:val="22"/>
          <w:szCs w:val="22"/>
          <w:lang w:val="en-GB"/>
        </w:rPr>
        <w:t>the</w:t>
      </w:r>
      <w:r w:rsidR="0003180B" w:rsidRPr="00B81049">
        <w:rPr>
          <w:rFonts w:cs="Times New Roman"/>
          <w:sz w:val="22"/>
          <w:szCs w:val="22"/>
          <w:lang w:val="en-GB"/>
        </w:rPr>
        <w:t xml:space="preserve"> construction of the</w:t>
      </w:r>
      <w:r w:rsidR="009B36EE" w:rsidRPr="00B81049">
        <w:rPr>
          <w:rFonts w:cs="Times New Roman"/>
          <w:sz w:val="22"/>
          <w:szCs w:val="22"/>
          <w:lang w:val="en-GB"/>
        </w:rPr>
        <w:t xml:space="preserve"> index </w:t>
      </w:r>
      <w:r w:rsidR="008F693C">
        <w:rPr>
          <w:rFonts w:cs="Times New Roman"/>
          <w:sz w:val="22"/>
          <w:szCs w:val="22"/>
          <w:lang w:val="en-GB"/>
        </w:rPr>
        <w:t>‘</w:t>
      </w:r>
      <w:r w:rsidR="009B36EE" w:rsidRPr="00B81049">
        <w:rPr>
          <w:rFonts w:cs="Times New Roman"/>
          <w:sz w:val="22"/>
          <w:szCs w:val="22"/>
          <w:lang w:val="en-GB"/>
        </w:rPr>
        <w:t>union inclusiveness</w:t>
      </w:r>
      <w:r w:rsidR="008F693C">
        <w:rPr>
          <w:rFonts w:cs="Times New Roman"/>
          <w:sz w:val="22"/>
          <w:szCs w:val="22"/>
          <w:lang w:val="en-GB"/>
        </w:rPr>
        <w:t>’</w:t>
      </w:r>
      <w:r w:rsidR="009B36EE" w:rsidRPr="00B81049">
        <w:rPr>
          <w:rFonts w:cs="Times New Roman"/>
          <w:sz w:val="22"/>
          <w:szCs w:val="22"/>
          <w:lang w:val="en-GB"/>
        </w:rPr>
        <w:t xml:space="preserve"> </w:t>
      </w:r>
      <w:r w:rsidR="0003180B" w:rsidRPr="00B81049">
        <w:rPr>
          <w:rFonts w:cs="Times New Roman"/>
          <w:sz w:val="22"/>
          <w:szCs w:val="22"/>
          <w:lang w:val="en-GB"/>
        </w:rPr>
        <w:t>for our 14</w:t>
      </w:r>
      <w:r w:rsidR="009B36EE" w:rsidRPr="00B81049">
        <w:rPr>
          <w:rFonts w:cs="Times New Roman"/>
          <w:sz w:val="22"/>
          <w:szCs w:val="22"/>
          <w:lang w:val="en-GB"/>
        </w:rPr>
        <w:t xml:space="preserve"> countries. </w:t>
      </w:r>
      <w:r w:rsidR="007A1416" w:rsidRPr="00B81049">
        <w:rPr>
          <w:rFonts w:cs="Times New Roman"/>
          <w:sz w:val="22"/>
          <w:szCs w:val="22"/>
          <w:lang w:val="en-GB"/>
        </w:rPr>
        <w:t>Next, w</w:t>
      </w:r>
      <w:r w:rsidR="009B36EE" w:rsidRPr="00B81049">
        <w:rPr>
          <w:rFonts w:cs="Times New Roman"/>
          <w:sz w:val="22"/>
          <w:szCs w:val="22"/>
          <w:lang w:val="en-GB"/>
        </w:rPr>
        <w:t xml:space="preserve">e identify potential conditions leading to inclusiveness and discuss our methodology. </w:t>
      </w:r>
      <w:r w:rsidR="0003180B" w:rsidRPr="00B81049">
        <w:rPr>
          <w:rFonts w:cs="Times New Roman"/>
          <w:sz w:val="22"/>
          <w:szCs w:val="22"/>
          <w:lang w:val="en-GB"/>
        </w:rPr>
        <w:t>W</w:t>
      </w:r>
      <w:r w:rsidR="009B36EE" w:rsidRPr="00B81049">
        <w:rPr>
          <w:rFonts w:cs="Times New Roman"/>
          <w:sz w:val="22"/>
          <w:szCs w:val="22"/>
          <w:lang w:val="en-GB"/>
        </w:rPr>
        <w:t xml:space="preserve">e </w:t>
      </w:r>
      <w:r w:rsidR="007A1416" w:rsidRPr="00B81049">
        <w:rPr>
          <w:rFonts w:cs="Times New Roman"/>
          <w:sz w:val="22"/>
          <w:szCs w:val="22"/>
          <w:lang w:val="en-GB"/>
        </w:rPr>
        <w:t xml:space="preserve">then </w:t>
      </w:r>
      <w:r w:rsidR="009B36EE" w:rsidRPr="00B81049">
        <w:rPr>
          <w:rFonts w:cs="Times New Roman"/>
          <w:sz w:val="22"/>
          <w:szCs w:val="22"/>
          <w:lang w:val="en-GB"/>
        </w:rPr>
        <w:t>present the results of the fsQCA analysis and</w:t>
      </w:r>
      <w:r w:rsidR="0003180B" w:rsidRPr="00B81049">
        <w:rPr>
          <w:rFonts w:cs="Times New Roman"/>
          <w:sz w:val="22"/>
          <w:szCs w:val="22"/>
          <w:lang w:val="en-GB"/>
        </w:rPr>
        <w:t xml:space="preserve"> </w:t>
      </w:r>
      <w:r w:rsidR="007A1416" w:rsidRPr="00B81049">
        <w:rPr>
          <w:rFonts w:cs="Times New Roman"/>
          <w:sz w:val="22"/>
          <w:szCs w:val="22"/>
          <w:lang w:val="en-GB"/>
        </w:rPr>
        <w:t>compare the</w:t>
      </w:r>
      <w:r>
        <w:rPr>
          <w:rFonts w:cs="Times New Roman"/>
          <w:sz w:val="22"/>
          <w:szCs w:val="22"/>
          <w:lang w:val="en-GB"/>
        </w:rPr>
        <w:t>se</w:t>
      </w:r>
      <w:r w:rsidR="007A1416" w:rsidRPr="00B81049">
        <w:rPr>
          <w:rFonts w:cs="Times New Roman"/>
          <w:sz w:val="22"/>
          <w:szCs w:val="22"/>
          <w:lang w:val="en-GB"/>
        </w:rPr>
        <w:t xml:space="preserve"> to</w:t>
      </w:r>
      <w:r w:rsidR="0003180B" w:rsidRPr="00B81049">
        <w:rPr>
          <w:rFonts w:cs="Times New Roman"/>
          <w:sz w:val="22"/>
          <w:szCs w:val="22"/>
          <w:lang w:val="en-GB"/>
        </w:rPr>
        <w:t xml:space="preserve"> </w:t>
      </w:r>
      <w:r>
        <w:rPr>
          <w:rFonts w:cs="Times New Roman"/>
          <w:sz w:val="22"/>
          <w:szCs w:val="22"/>
          <w:lang w:val="en-GB"/>
        </w:rPr>
        <w:t>country-level</w:t>
      </w:r>
      <w:r w:rsidR="0003180B" w:rsidRPr="00B81049">
        <w:rPr>
          <w:rFonts w:cs="Times New Roman"/>
          <w:sz w:val="22"/>
          <w:szCs w:val="22"/>
          <w:lang w:val="en-GB"/>
        </w:rPr>
        <w:t xml:space="preserve"> experience, with a particular focus on the Italian case</w:t>
      </w:r>
      <w:r w:rsidR="007A1416" w:rsidRPr="00B81049">
        <w:rPr>
          <w:rFonts w:cs="Times New Roman"/>
          <w:sz w:val="22"/>
          <w:szCs w:val="22"/>
          <w:lang w:val="en-GB"/>
        </w:rPr>
        <w:t xml:space="preserve"> </w:t>
      </w:r>
      <w:r w:rsidR="0003180B" w:rsidRPr="00B81049">
        <w:rPr>
          <w:rFonts w:cs="Times New Roman"/>
          <w:sz w:val="22"/>
          <w:szCs w:val="22"/>
          <w:lang w:val="en-GB"/>
        </w:rPr>
        <w:t xml:space="preserve">in order </w:t>
      </w:r>
      <w:r w:rsidR="009B36EE" w:rsidRPr="00B81049">
        <w:rPr>
          <w:rFonts w:cs="Times New Roman"/>
          <w:sz w:val="22"/>
          <w:szCs w:val="22"/>
          <w:lang w:val="en-GB"/>
        </w:rPr>
        <w:t>to illustrate the causal mechanism</w:t>
      </w:r>
      <w:r w:rsidR="0003180B" w:rsidRPr="00B81049">
        <w:rPr>
          <w:rFonts w:cs="Times New Roman"/>
          <w:sz w:val="22"/>
          <w:szCs w:val="22"/>
          <w:lang w:val="en-GB"/>
        </w:rPr>
        <w:t xml:space="preserve"> of the </w:t>
      </w:r>
      <w:r w:rsidR="008F693C">
        <w:rPr>
          <w:rFonts w:cs="Times New Roman"/>
          <w:sz w:val="22"/>
          <w:szCs w:val="22"/>
          <w:lang w:val="en-GB"/>
        </w:rPr>
        <w:t>‘</w:t>
      </w:r>
      <w:r w:rsidR="0003180B" w:rsidRPr="00B81049">
        <w:rPr>
          <w:rFonts w:cs="Times New Roman"/>
          <w:sz w:val="22"/>
          <w:szCs w:val="22"/>
          <w:lang w:val="en-GB"/>
        </w:rPr>
        <w:t>Southern</w:t>
      </w:r>
      <w:r w:rsidR="008F693C">
        <w:rPr>
          <w:rFonts w:cs="Times New Roman"/>
          <w:sz w:val="22"/>
          <w:szCs w:val="22"/>
          <w:lang w:val="en-GB"/>
        </w:rPr>
        <w:t>’</w:t>
      </w:r>
      <w:r w:rsidR="0003180B" w:rsidRPr="00B81049">
        <w:rPr>
          <w:rFonts w:cs="Times New Roman"/>
          <w:sz w:val="22"/>
          <w:szCs w:val="22"/>
          <w:lang w:val="en-GB"/>
        </w:rPr>
        <w:t xml:space="preserve"> path</w:t>
      </w:r>
      <w:r w:rsidR="009B36EE" w:rsidRPr="00B81049">
        <w:rPr>
          <w:rFonts w:cs="Times New Roman"/>
          <w:sz w:val="22"/>
          <w:szCs w:val="22"/>
          <w:lang w:val="en-GB"/>
        </w:rPr>
        <w:t xml:space="preserve">. </w:t>
      </w:r>
      <w:r w:rsidR="007A1416" w:rsidRPr="00B81049">
        <w:rPr>
          <w:rFonts w:cs="Times New Roman"/>
          <w:sz w:val="22"/>
          <w:szCs w:val="22"/>
          <w:lang w:val="en-GB"/>
        </w:rPr>
        <w:t>The final section concludes</w:t>
      </w:r>
      <w:r w:rsidR="0003180B" w:rsidRPr="00B81049">
        <w:rPr>
          <w:rFonts w:cs="Times New Roman"/>
          <w:sz w:val="22"/>
          <w:szCs w:val="22"/>
          <w:lang w:val="en-GB"/>
        </w:rPr>
        <w:t>.</w:t>
      </w:r>
    </w:p>
    <w:p w:rsidR="009B36EE" w:rsidRDefault="009B36EE" w:rsidP="00143569">
      <w:pPr>
        <w:autoSpaceDE w:val="0"/>
        <w:autoSpaceDN w:val="0"/>
        <w:adjustRightInd w:val="0"/>
        <w:rPr>
          <w:rFonts w:cs="Times New Roman"/>
          <w:szCs w:val="22"/>
          <w:lang w:val="en-GB"/>
        </w:rPr>
      </w:pPr>
    </w:p>
    <w:p w:rsidR="00CA45EA" w:rsidRPr="0086618E" w:rsidRDefault="00CA45EA" w:rsidP="00143569">
      <w:pPr>
        <w:autoSpaceDE w:val="0"/>
        <w:autoSpaceDN w:val="0"/>
        <w:adjustRightInd w:val="0"/>
        <w:rPr>
          <w:rFonts w:cs="Times New Roman"/>
          <w:szCs w:val="22"/>
          <w:lang w:val="en-GB"/>
        </w:rPr>
      </w:pPr>
    </w:p>
    <w:p w:rsidR="00143569" w:rsidRDefault="009B36EE" w:rsidP="00143569">
      <w:pPr>
        <w:autoSpaceDE w:val="0"/>
        <w:autoSpaceDN w:val="0"/>
        <w:adjustRightInd w:val="0"/>
        <w:rPr>
          <w:rFonts w:cs="Times New Roman"/>
          <w:szCs w:val="22"/>
          <w:lang w:val="en-GB"/>
        </w:rPr>
      </w:pPr>
      <w:r w:rsidRPr="0086618E">
        <w:rPr>
          <w:rFonts w:ascii="Arial" w:hAnsi="Arial" w:cs="Arial"/>
          <w:b/>
          <w:lang w:val="en-GB"/>
        </w:rPr>
        <w:t xml:space="preserve">Comparing union inclusiveness </w:t>
      </w:r>
    </w:p>
    <w:p w:rsidR="00CA45EA" w:rsidRDefault="00CA45EA" w:rsidP="00143569">
      <w:pPr>
        <w:autoSpaceDE w:val="0"/>
        <w:autoSpaceDN w:val="0"/>
        <w:adjustRightInd w:val="0"/>
        <w:rPr>
          <w:rFonts w:cs="Times New Roman"/>
          <w:sz w:val="22"/>
          <w:szCs w:val="22"/>
          <w:lang w:val="en-GB"/>
        </w:rPr>
      </w:pPr>
    </w:p>
    <w:p w:rsidR="00143569" w:rsidRDefault="009B36EE" w:rsidP="00143569">
      <w:pPr>
        <w:autoSpaceDE w:val="0"/>
        <w:autoSpaceDN w:val="0"/>
        <w:adjustRightInd w:val="0"/>
        <w:rPr>
          <w:rFonts w:cs="Times New Roman"/>
          <w:sz w:val="22"/>
          <w:szCs w:val="22"/>
          <w:lang w:val="en-GB"/>
        </w:rPr>
      </w:pPr>
      <w:r w:rsidRPr="00B81049">
        <w:rPr>
          <w:rFonts w:cs="Times New Roman"/>
          <w:sz w:val="22"/>
          <w:szCs w:val="22"/>
          <w:lang w:val="en-GB"/>
        </w:rPr>
        <w:t xml:space="preserve">Union inclusiveness towards temporary workers, including TAWs, is often measured </w:t>
      </w:r>
      <w:r w:rsidR="00CA45EA">
        <w:rPr>
          <w:rFonts w:cs="Times New Roman"/>
          <w:sz w:val="22"/>
          <w:szCs w:val="22"/>
          <w:lang w:val="en-GB"/>
        </w:rPr>
        <w:t>by</w:t>
      </w:r>
      <w:r w:rsidRPr="00B81049">
        <w:rPr>
          <w:rFonts w:cs="Times New Roman"/>
          <w:sz w:val="22"/>
          <w:szCs w:val="22"/>
          <w:lang w:val="en-GB"/>
        </w:rPr>
        <w:t xml:space="preserve"> the union</w:t>
      </w:r>
      <w:r w:rsidR="002A4AC2">
        <w:rPr>
          <w:rFonts w:cs="Times New Roman"/>
          <w:sz w:val="22"/>
          <w:szCs w:val="22"/>
          <w:lang w:val="en-GB"/>
        </w:rPr>
        <w:t>ization</w:t>
      </w:r>
      <w:r w:rsidRPr="00B81049">
        <w:rPr>
          <w:rFonts w:cs="Times New Roman"/>
          <w:sz w:val="22"/>
          <w:szCs w:val="22"/>
          <w:lang w:val="en-GB"/>
        </w:rPr>
        <w:t xml:space="preserve"> rate </w:t>
      </w:r>
      <w:r w:rsidRPr="00B81049">
        <w:rPr>
          <w:rFonts w:cs="Times New Roman"/>
          <w:noProof/>
          <w:sz w:val="22"/>
          <w:szCs w:val="22"/>
          <w:lang w:val="en-GB"/>
        </w:rPr>
        <w:t>(Ebbinghaus al.</w:t>
      </w:r>
      <w:r w:rsidR="00BC3BCE" w:rsidRPr="00B81049">
        <w:rPr>
          <w:rFonts w:cs="Times New Roman"/>
          <w:noProof/>
          <w:sz w:val="22"/>
          <w:szCs w:val="22"/>
          <w:lang w:val="en-GB"/>
        </w:rPr>
        <w:t>,</w:t>
      </w:r>
      <w:r w:rsidRPr="00B81049">
        <w:rPr>
          <w:rFonts w:cs="Times New Roman"/>
          <w:noProof/>
          <w:sz w:val="22"/>
          <w:szCs w:val="22"/>
          <w:lang w:val="en-GB"/>
        </w:rPr>
        <w:t xml:space="preserve"> 2008)</w:t>
      </w:r>
      <w:r w:rsidR="005B5BD9" w:rsidRPr="00B81049">
        <w:rPr>
          <w:rFonts w:cs="Times New Roman"/>
          <w:sz w:val="22"/>
          <w:szCs w:val="22"/>
          <w:lang w:val="en-GB"/>
        </w:rPr>
        <w:t xml:space="preserve">, disregarding the collective bargaining dimension. </w:t>
      </w:r>
      <w:r w:rsidR="00F307EE" w:rsidRPr="00B81049">
        <w:rPr>
          <w:rFonts w:cs="Times New Roman"/>
          <w:sz w:val="22"/>
          <w:szCs w:val="22"/>
          <w:lang w:val="en-GB"/>
        </w:rPr>
        <w:t xml:space="preserve">In contrast, </w:t>
      </w:r>
      <w:r w:rsidR="00A5792E">
        <w:rPr>
          <w:rFonts w:cs="Times New Roman"/>
          <w:sz w:val="22"/>
          <w:szCs w:val="22"/>
          <w:lang w:val="en-GB"/>
        </w:rPr>
        <w:t xml:space="preserve">we follow </w:t>
      </w:r>
      <w:r w:rsidRPr="00B81049">
        <w:rPr>
          <w:rFonts w:cs="Times New Roman"/>
          <w:sz w:val="22"/>
          <w:szCs w:val="22"/>
          <w:lang w:val="en-GB"/>
        </w:rPr>
        <w:t>Heery</w:t>
      </w:r>
      <w:r w:rsidR="00A5792E">
        <w:rPr>
          <w:rFonts w:cs="Times New Roman"/>
          <w:sz w:val="22"/>
          <w:szCs w:val="22"/>
          <w:lang w:val="en-GB"/>
        </w:rPr>
        <w:t xml:space="preserve"> in adopting an</w:t>
      </w:r>
      <w:r w:rsidR="00757F81" w:rsidRPr="00B81049">
        <w:rPr>
          <w:rFonts w:cs="Times New Roman"/>
          <w:noProof/>
          <w:sz w:val="22"/>
          <w:szCs w:val="22"/>
          <w:lang w:val="en-GB"/>
        </w:rPr>
        <w:t xml:space="preserve"> </w:t>
      </w:r>
      <w:r w:rsidRPr="00B81049">
        <w:rPr>
          <w:rFonts w:cs="Times New Roman"/>
          <w:sz w:val="22"/>
          <w:szCs w:val="22"/>
          <w:lang w:val="en-GB"/>
        </w:rPr>
        <w:t>encompassing concept of union inclusiveness towards non-standard workers</w:t>
      </w:r>
      <w:r w:rsidR="00A5792E">
        <w:rPr>
          <w:rFonts w:cs="Times New Roman"/>
          <w:sz w:val="22"/>
          <w:szCs w:val="22"/>
          <w:lang w:val="en-GB"/>
        </w:rPr>
        <w:t>,</w:t>
      </w:r>
      <w:r w:rsidR="005B5BD9" w:rsidRPr="00B81049">
        <w:rPr>
          <w:rFonts w:cs="Times New Roman"/>
          <w:sz w:val="22"/>
          <w:szCs w:val="22"/>
          <w:lang w:val="en-GB"/>
        </w:rPr>
        <w:t xml:space="preserve"> </w:t>
      </w:r>
      <w:r w:rsidR="00A5792E">
        <w:rPr>
          <w:rFonts w:cs="Times New Roman"/>
          <w:sz w:val="22"/>
          <w:szCs w:val="22"/>
          <w:lang w:val="en-GB"/>
        </w:rPr>
        <w:t>involving</w:t>
      </w:r>
      <w:r w:rsidR="005B5BD9" w:rsidRPr="00B81049">
        <w:rPr>
          <w:rFonts w:cs="Times New Roman"/>
          <w:sz w:val="22"/>
          <w:szCs w:val="22"/>
          <w:lang w:val="en-GB"/>
        </w:rPr>
        <w:t xml:space="preserve"> both recru</w:t>
      </w:r>
      <w:r w:rsidR="00757F81" w:rsidRPr="00B81049">
        <w:rPr>
          <w:rFonts w:cs="Times New Roman"/>
          <w:sz w:val="22"/>
          <w:szCs w:val="22"/>
          <w:lang w:val="en-GB"/>
        </w:rPr>
        <w:t xml:space="preserve">itment and </w:t>
      </w:r>
      <w:r w:rsidRPr="00B81049">
        <w:rPr>
          <w:rFonts w:cs="Times New Roman"/>
          <w:sz w:val="22"/>
          <w:szCs w:val="22"/>
          <w:lang w:val="en-GB"/>
        </w:rPr>
        <w:t xml:space="preserve">bargained provisions. When unions aim to achieve equal treatment for contingent workers, their strategy is defined as </w:t>
      </w:r>
      <w:r w:rsidR="008F693C">
        <w:rPr>
          <w:rFonts w:cs="Times New Roman"/>
          <w:sz w:val="22"/>
          <w:szCs w:val="22"/>
          <w:lang w:val="en-GB"/>
        </w:rPr>
        <w:t>‘</w:t>
      </w:r>
      <w:r w:rsidRPr="00B81049">
        <w:rPr>
          <w:rFonts w:cs="Times New Roman"/>
          <w:sz w:val="22"/>
          <w:szCs w:val="22"/>
          <w:lang w:val="en-GB"/>
        </w:rPr>
        <w:t>inclusion</w:t>
      </w:r>
      <w:r w:rsidR="008F693C">
        <w:rPr>
          <w:rFonts w:cs="Times New Roman"/>
          <w:sz w:val="22"/>
          <w:szCs w:val="22"/>
          <w:lang w:val="en-GB"/>
        </w:rPr>
        <w:t>’</w:t>
      </w:r>
      <w:r w:rsidRPr="00B81049">
        <w:rPr>
          <w:rFonts w:cs="Times New Roman"/>
          <w:sz w:val="22"/>
          <w:szCs w:val="22"/>
          <w:lang w:val="en-GB"/>
        </w:rPr>
        <w:t xml:space="preserve">. </w:t>
      </w:r>
      <w:r w:rsidR="008F693C">
        <w:rPr>
          <w:rFonts w:cs="Times New Roman"/>
          <w:sz w:val="22"/>
          <w:szCs w:val="22"/>
          <w:lang w:val="en-GB"/>
        </w:rPr>
        <w:t>‘</w:t>
      </w:r>
      <w:r w:rsidRPr="00B81049">
        <w:rPr>
          <w:rFonts w:cs="Times New Roman"/>
          <w:sz w:val="22"/>
          <w:szCs w:val="22"/>
          <w:lang w:val="en-GB"/>
        </w:rPr>
        <w:t>Engagement</w:t>
      </w:r>
      <w:r w:rsidR="008F693C">
        <w:rPr>
          <w:rFonts w:cs="Times New Roman"/>
          <w:sz w:val="22"/>
          <w:szCs w:val="22"/>
          <w:lang w:val="en-GB"/>
        </w:rPr>
        <w:t>’</w:t>
      </w:r>
      <w:r w:rsidRPr="00B81049">
        <w:rPr>
          <w:rFonts w:cs="Times New Roman"/>
          <w:sz w:val="22"/>
          <w:szCs w:val="22"/>
          <w:lang w:val="en-GB"/>
        </w:rPr>
        <w:t xml:space="preserve"> </w:t>
      </w:r>
      <w:r w:rsidR="005B5BD9" w:rsidRPr="00B81049">
        <w:rPr>
          <w:rFonts w:cs="Times New Roman"/>
          <w:sz w:val="22"/>
          <w:szCs w:val="22"/>
          <w:lang w:val="en-GB"/>
        </w:rPr>
        <w:t>refers to</w:t>
      </w:r>
      <w:r w:rsidRPr="00B81049">
        <w:rPr>
          <w:rFonts w:cs="Times New Roman"/>
          <w:sz w:val="22"/>
          <w:szCs w:val="22"/>
          <w:lang w:val="en-GB"/>
        </w:rPr>
        <w:t xml:space="preserve"> union strategies targeting conti</w:t>
      </w:r>
      <w:r w:rsidR="00CA45EA">
        <w:rPr>
          <w:rFonts w:cs="Times New Roman"/>
          <w:sz w:val="22"/>
          <w:szCs w:val="22"/>
          <w:lang w:val="en-GB"/>
        </w:rPr>
        <w:t>ngent workers’ specific needs (</w:t>
      </w:r>
      <w:r w:rsidR="00CA45EA" w:rsidRPr="00B81049">
        <w:rPr>
          <w:rFonts w:cs="Times New Roman"/>
          <w:sz w:val="22"/>
          <w:szCs w:val="22"/>
          <w:lang w:val="en-GB"/>
        </w:rPr>
        <w:t>Heery, 2009</w:t>
      </w:r>
      <w:r w:rsidR="00CA45EA">
        <w:rPr>
          <w:rFonts w:cs="Times New Roman"/>
          <w:sz w:val="22"/>
          <w:szCs w:val="22"/>
          <w:lang w:val="en-GB"/>
        </w:rPr>
        <w:t>:</w:t>
      </w:r>
      <w:r w:rsidRPr="00B81049">
        <w:rPr>
          <w:rFonts w:cs="Times New Roman"/>
          <w:sz w:val="22"/>
          <w:szCs w:val="22"/>
          <w:lang w:val="en-GB"/>
        </w:rPr>
        <w:t xml:space="preserve"> 431). </w:t>
      </w:r>
    </w:p>
    <w:p w:rsidR="00143569" w:rsidRDefault="00CA45EA" w:rsidP="00CA45EA">
      <w:pPr>
        <w:autoSpaceDE w:val="0"/>
        <w:autoSpaceDN w:val="0"/>
        <w:adjustRightInd w:val="0"/>
        <w:rPr>
          <w:rFonts w:cs="Times New Roman"/>
          <w:sz w:val="22"/>
          <w:szCs w:val="22"/>
          <w:lang w:val="en-GB"/>
        </w:rPr>
      </w:pPr>
      <w:r>
        <w:rPr>
          <w:rFonts w:cs="Times New Roman"/>
          <w:sz w:val="22"/>
          <w:szCs w:val="22"/>
          <w:lang w:val="en-GB"/>
        </w:rPr>
        <w:tab/>
      </w:r>
      <w:r w:rsidR="009B36EE" w:rsidRPr="00B81049">
        <w:rPr>
          <w:rFonts w:cs="Times New Roman"/>
          <w:sz w:val="22"/>
          <w:szCs w:val="22"/>
          <w:lang w:val="en-GB"/>
        </w:rPr>
        <w:t>We first consider</w:t>
      </w:r>
      <w:r w:rsidR="007A1416" w:rsidRPr="00B81049">
        <w:rPr>
          <w:rFonts w:cs="Times New Roman"/>
          <w:sz w:val="22"/>
          <w:szCs w:val="22"/>
          <w:lang w:val="en-GB"/>
        </w:rPr>
        <w:t>ed</w:t>
      </w:r>
      <w:r w:rsidR="009B36EE" w:rsidRPr="00B81049">
        <w:rPr>
          <w:rFonts w:cs="Times New Roman"/>
          <w:sz w:val="22"/>
          <w:szCs w:val="22"/>
          <w:lang w:val="en-GB"/>
        </w:rPr>
        <w:t xml:space="preserve"> union density of TAWs as a proxy for internal representation</w:t>
      </w:r>
      <w:r w:rsidR="00A5792E">
        <w:rPr>
          <w:rFonts w:cs="Times New Roman"/>
          <w:sz w:val="22"/>
          <w:szCs w:val="22"/>
          <w:lang w:val="en-GB"/>
        </w:rPr>
        <w:t>,</w:t>
      </w:r>
      <w:r w:rsidR="009B36EE" w:rsidRPr="00B81049">
        <w:rPr>
          <w:rFonts w:cs="Times New Roman"/>
          <w:sz w:val="22"/>
          <w:szCs w:val="22"/>
          <w:lang w:val="en-GB"/>
        </w:rPr>
        <w:t xml:space="preserve"> but the data </w:t>
      </w:r>
      <w:r w:rsidR="00A5792E">
        <w:rPr>
          <w:rFonts w:cs="Times New Roman"/>
          <w:sz w:val="22"/>
          <w:szCs w:val="22"/>
          <w:lang w:val="en-GB"/>
        </w:rPr>
        <w:t>are</w:t>
      </w:r>
      <w:r w:rsidR="009B36EE" w:rsidRPr="00B81049">
        <w:rPr>
          <w:rFonts w:cs="Times New Roman"/>
          <w:sz w:val="22"/>
          <w:szCs w:val="22"/>
          <w:lang w:val="en-GB"/>
        </w:rPr>
        <w:t xml:space="preserve"> not available for all countries.</w:t>
      </w:r>
      <w:r w:rsidR="00A5792E">
        <w:rPr>
          <w:rFonts w:cs="Times New Roman"/>
          <w:sz w:val="22"/>
          <w:szCs w:val="22"/>
          <w:lang w:val="en-GB"/>
        </w:rPr>
        <w:t>, W</w:t>
      </w:r>
      <w:r w:rsidR="009B36EE" w:rsidRPr="00B81049">
        <w:rPr>
          <w:rFonts w:cs="Times New Roman"/>
          <w:sz w:val="22"/>
          <w:szCs w:val="22"/>
          <w:lang w:val="en-GB"/>
        </w:rPr>
        <w:t xml:space="preserve">e </w:t>
      </w:r>
      <w:r w:rsidR="00A5792E">
        <w:rPr>
          <w:rFonts w:cs="Times New Roman"/>
          <w:sz w:val="22"/>
          <w:szCs w:val="22"/>
          <w:lang w:val="en-GB"/>
        </w:rPr>
        <w:t>t</w:t>
      </w:r>
      <w:r w:rsidR="00A5792E" w:rsidRPr="00B81049">
        <w:rPr>
          <w:rFonts w:cs="Times New Roman"/>
          <w:sz w:val="22"/>
          <w:szCs w:val="22"/>
          <w:lang w:val="en-GB"/>
        </w:rPr>
        <w:t xml:space="preserve">herefore </w:t>
      </w:r>
      <w:r w:rsidR="009B36EE" w:rsidRPr="00B81049">
        <w:rPr>
          <w:rFonts w:cs="Times New Roman"/>
          <w:sz w:val="22"/>
          <w:szCs w:val="22"/>
          <w:lang w:val="en-GB"/>
        </w:rPr>
        <w:t>rely on the data on the union density of temporary workers calculated by Ebbinghaus et al. (2008) us</w:t>
      </w:r>
      <w:r w:rsidR="00A5792E">
        <w:rPr>
          <w:rFonts w:cs="Times New Roman"/>
          <w:sz w:val="22"/>
          <w:szCs w:val="22"/>
          <w:lang w:val="en-GB"/>
        </w:rPr>
        <w:t xml:space="preserve">ing the European Social Survey for </w:t>
      </w:r>
      <w:r w:rsidR="009B36EE" w:rsidRPr="00B81049">
        <w:rPr>
          <w:rFonts w:cs="Times New Roman"/>
          <w:sz w:val="22"/>
          <w:szCs w:val="22"/>
          <w:lang w:val="en-GB"/>
        </w:rPr>
        <w:t xml:space="preserve">2002/03. In order to ensure that this measure is reliable, we compared </w:t>
      </w:r>
      <w:r w:rsidR="00A5792E">
        <w:rPr>
          <w:rFonts w:cs="Times New Roman"/>
          <w:sz w:val="22"/>
          <w:szCs w:val="22"/>
          <w:lang w:val="en-GB"/>
        </w:rPr>
        <w:t>these</w:t>
      </w:r>
      <w:r w:rsidR="009B36EE" w:rsidRPr="00B81049">
        <w:rPr>
          <w:rFonts w:cs="Times New Roman"/>
          <w:sz w:val="22"/>
          <w:szCs w:val="22"/>
          <w:lang w:val="en-GB"/>
        </w:rPr>
        <w:t xml:space="preserve"> density rates for temporary workers with the rates for TAWs in Arrowsmith </w:t>
      </w:r>
      <w:r w:rsidR="009B36EE" w:rsidRPr="00B81049">
        <w:rPr>
          <w:rFonts w:cs="Times New Roman"/>
          <w:noProof/>
          <w:sz w:val="22"/>
          <w:szCs w:val="22"/>
          <w:lang w:val="en-GB"/>
        </w:rPr>
        <w:t>(2009)</w:t>
      </w:r>
      <w:r w:rsidR="009B36EE" w:rsidRPr="00B81049">
        <w:rPr>
          <w:rFonts w:cs="Times New Roman"/>
          <w:sz w:val="22"/>
          <w:szCs w:val="22"/>
          <w:lang w:val="en-GB"/>
        </w:rPr>
        <w:t xml:space="preserve">, which refer approximately to the same period but are available only for eight countries. </w:t>
      </w:r>
      <w:r w:rsidR="00F307EE" w:rsidRPr="00B81049">
        <w:rPr>
          <w:rFonts w:cs="Times New Roman"/>
          <w:sz w:val="22"/>
          <w:szCs w:val="22"/>
          <w:lang w:val="en-GB"/>
        </w:rPr>
        <w:t>Given that</w:t>
      </w:r>
      <w:r w:rsidR="009B36EE" w:rsidRPr="00B81049">
        <w:rPr>
          <w:rFonts w:cs="Times New Roman"/>
          <w:sz w:val="22"/>
          <w:szCs w:val="22"/>
          <w:lang w:val="en-GB"/>
        </w:rPr>
        <w:t xml:space="preserve"> the</w:t>
      </w:r>
      <w:r w:rsidR="00A5792E">
        <w:rPr>
          <w:rFonts w:cs="Times New Roman"/>
          <w:sz w:val="22"/>
          <w:szCs w:val="22"/>
          <w:lang w:val="en-GB"/>
        </w:rPr>
        <w:t>s</w:t>
      </w:r>
      <w:r w:rsidR="009B36EE" w:rsidRPr="00B81049">
        <w:rPr>
          <w:rFonts w:cs="Times New Roman"/>
          <w:sz w:val="22"/>
          <w:szCs w:val="22"/>
          <w:lang w:val="en-GB"/>
        </w:rPr>
        <w:t xml:space="preserve">e data </w:t>
      </w:r>
      <w:r w:rsidR="00A5792E">
        <w:rPr>
          <w:rFonts w:cs="Times New Roman"/>
          <w:sz w:val="22"/>
          <w:szCs w:val="22"/>
          <w:lang w:val="en-GB"/>
        </w:rPr>
        <w:t>cover</w:t>
      </w:r>
      <w:r w:rsidR="009B36EE" w:rsidRPr="00B81049">
        <w:rPr>
          <w:rFonts w:cs="Times New Roman"/>
          <w:sz w:val="22"/>
          <w:szCs w:val="22"/>
          <w:lang w:val="en-GB"/>
        </w:rPr>
        <w:t xml:space="preserve"> </w:t>
      </w:r>
      <w:r w:rsidR="00757F81" w:rsidRPr="00B81049">
        <w:rPr>
          <w:rFonts w:cs="Times New Roman"/>
          <w:sz w:val="22"/>
          <w:szCs w:val="22"/>
          <w:lang w:val="en-GB"/>
        </w:rPr>
        <w:t xml:space="preserve">few </w:t>
      </w:r>
      <w:r w:rsidR="009B36EE" w:rsidRPr="00B81049">
        <w:rPr>
          <w:rFonts w:cs="Times New Roman"/>
          <w:sz w:val="22"/>
          <w:szCs w:val="22"/>
          <w:lang w:val="en-GB"/>
        </w:rPr>
        <w:t xml:space="preserve">countries and the density </w:t>
      </w:r>
      <w:r w:rsidR="00757F81" w:rsidRPr="00B81049">
        <w:rPr>
          <w:rFonts w:cs="Times New Roman"/>
          <w:sz w:val="22"/>
          <w:szCs w:val="22"/>
          <w:lang w:val="en-GB"/>
        </w:rPr>
        <w:t>rat</w:t>
      </w:r>
      <w:r w:rsidR="009B36EE" w:rsidRPr="00B81049">
        <w:rPr>
          <w:rFonts w:cs="Times New Roman"/>
          <w:sz w:val="22"/>
          <w:szCs w:val="22"/>
          <w:lang w:val="en-GB"/>
        </w:rPr>
        <w:t>e</w:t>
      </w:r>
      <w:r w:rsidR="00757F81" w:rsidRPr="00B81049">
        <w:rPr>
          <w:rFonts w:cs="Times New Roman"/>
          <w:sz w:val="22"/>
          <w:szCs w:val="22"/>
          <w:lang w:val="en-GB"/>
        </w:rPr>
        <w:t>s</w:t>
      </w:r>
      <w:r w:rsidR="009B36EE" w:rsidRPr="00B81049">
        <w:rPr>
          <w:rFonts w:cs="Times New Roman"/>
          <w:sz w:val="22"/>
          <w:szCs w:val="22"/>
          <w:lang w:val="en-GB"/>
        </w:rPr>
        <w:t xml:space="preserve"> of TAWs are union estimations, the correlation between the series is high (0.83) and the ranking of the countries is similar</w:t>
      </w:r>
      <w:r w:rsidR="00BC3BCE" w:rsidRPr="00B81049">
        <w:rPr>
          <w:rFonts w:cs="Times New Roman"/>
          <w:sz w:val="22"/>
          <w:szCs w:val="22"/>
          <w:lang w:val="en-GB"/>
        </w:rPr>
        <w:t>.</w:t>
      </w:r>
      <w:r w:rsidR="009B36EE" w:rsidRPr="00B81049">
        <w:rPr>
          <w:rFonts w:cs="Times New Roman"/>
          <w:sz w:val="22"/>
          <w:szCs w:val="22"/>
          <w:lang w:val="en-GB"/>
        </w:rPr>
        <w:t xml:space="preserve"> </w:t>
      </w:r>
    </w:p>
    <w:p w:rsidR="00143569" w:rsidRDefault="00A5792E" w:rsidP="00A5792E">
      <w:pPr>
        <w:autoSpaceDE w:val="0"/>
        <w:autoSpaceDN w:val="0"/>
        <w:adjustRightInd w:val="0"/>
        <w:rPr>
          <w:rFonts w:cs="Times New Roman"/>
          <w:sz w:val="22"/>
          <w:szCs w:val="22"/>
          <w:lang w:val="en-GB"/>
        </w:rPr>
      </w:pPr>
      <w:r>
        <w:rPr>
          <w:rFonts w:cs="Times New Roman"/>
          <w:sz w:val="22"/>
          <w:szCs w:val="22"/>
          <w:lang w:val="en-GB"/>
        </w:rPr>
        <w:tab/>
      </w:r>
      <w:r w:rsidR="00367388" w:rsidRPr="00B81049">
        <w:rPr>
          <w:rFonts w:cs="Times New Roman"/>
          <w:sz w:val="22"/>
          <w:szCs w:val="22"/>
          <w:lang w:val="en-GB"/>
        </w:rPr>
        <w:t>W</w:t>
      </w:r>
      <w:r w:rsidR="009B36EE" w:rsidRPr="00B81049">
        <w:rPr>
          <w:rFonts w:cs="Times New Roman"/>
          <w:sz w:val="22"/>
          <w:szCs w:val="22"/>
          <w:lang w:val="en-GB"/>
        </w:rPr>
        <w:t>e include four types of collectively agreed</w:t>
      </w:r>
      <w:r w:rsidR="00757F81" w:rsidRPr="00B81049">
        <w:rPr>
          <w:rFonts w:cs="Times New Roman"/>
          <w:sz w:val="22"/>
          <w:szCs w:val="22"/>
          <w:lang w:val="en-GB"/>
        </w:rPr>
        <w:t xml:space="preserve"> provision</w:t>
      </w:r>
      <w:r w:rsidR="009B36EE" w:rsidRPr="00B81049">
        <w:rPr>
          <w:rFonts w:cs="Times New Roman"/>
          <w:sz w:val="22"/>
          <w:szCs w:val="22"/>
          <w:lang w:val="en-GB"/>
        </w:rPr>
        <w:t xml:space="preserve">s. </w:t>
      </w:r>
      <w:r w:rsidR="00BA05DE">
        <w:rPr>
          <w:rFonts w:cs="Times New Roman"/>
          <w:sz w:val="22"/>
          <w:szCs w:val="22"/>
          <w:lang w:val="en-GB"/>
        </w:rPr>
        <w:t>E</w:t>
      </w:r>
      <w:r w:rsidR="009B36EE" w:rsidRPr="00B81049">
        <w:rPr>
          <w:rFonts w:cs="Times New Roman"/>
          <w:sz w:val="22"/>
          <w:szCs w:val="22"/>
          <w:lang w:val="en-GB"/>
        </w:rPr>
        <w:t xml:space="preserve">qual pay was selected as indicator </w:t>
      </w:r>
      <w:r w:rsidR="00B90A47" w:rsidRPr="00B81049">
        <w:rPr>
          <w:rFonts w:cs="Times New Roman"/>
          <w:sz w:val="22"/>
          <w:szCs w:val="22"/>
          <w:lang w:val="en-GB"/>
        </w:rPr>
        <w:t xml:space="preserve">of </w:t>
      </w:r>
      <w:r w:rsidR="008F693C">
        <w:rPr>
          <w:rFonts w:cs="Times New Roman"/>
          <w:sz w:val="22"/>
          <w:szCs w:val="22"/>
          <w:lang w:val="en-GB"/>
        </w:rPr>
        <w:t>‘</w:t>
      </w:r>
      <w:r w:rsidR="00B90A47" w:rsidRPr="00B81049">
        <w:rPr>
          <w:rFonts w:cs="Times New Roman"/>
          <w:sz w:val="22"/>
          <w:szCs w:val="22"/>
          <w:lang w:val="en-GB"/>
        </w:rPr>
        <w:t>inclusion</w:t>
      </w:r>
      <w:r w:rsidR="008F693C">
        <w:rPr>
          <w:rFonts w:cs="Times New Roman"/>
          <w:sz w:val="22"/>
          <w:szCs w:val="22"/>
          <w:lang w:val="en-GB"/>
        </w:rPr>
        <w:t>’</w:t>
      </w:r>
      <w:r w:rsidR="00BA05DE">
        <w:rPr>
          <w:rFonts w:cs="Times New Roman"/>
          <w:sz w:val="22"/>
          <w:szCs w:val="22"/>
          <w:lang w:val="en-GB"/>
        </w:rPr>
        <w:t>,</w:t>
      </w:r>
      <w:r w:rsidR="00B90A47" w:rsidRPr="00B81049">
        <w:rPr>
          <w:rFonts w:cs="Times New Roman"/>
          <w:sz w:val="22"/>
          <w:szCs w:val="22"/>
          <w:lang w:val="en-GB"/>
        </w:rPr>
        <w:t xml:space="preserve"> </w:t>
      </w:r>
      <w:r w:rsidR="009B36EE" w:rsidRPr="00B81049">
        <w:rPr>
          <w:rFonts w:cs="Times New Roman"/>
          <w:sz w:val="22"/>
          <w:szCs w:val="22"/>
          <w:lang w:val="en-GB"/>
        </w:rPr>
        <w:t xml:space="preserve">because wages are the most relevant source of deviation between permanent and temporary workers </w:t>
      </w:r>
      <w:r w:rsidR="009B36EE" w:rsidRPr="00B81049">
        <w:rPr>
          <w:rFonts w:cs="Times New Roman"/>
          <w:noProof/>
          <w:sz w:val="22"/>
          <w:szCs w:val="22"/>
          <w:lang w:val="en-GB"/>
        </w:rPr>
        <w:t>(Segal and Sullivan</w:t>
      </w:r>
      <w:r w:rsidR="00695D4E" w:rsidRPr="00B81049">
        <w:rPr>
          <w:rFonts w:cs="Times New Roman"/>
          <w:noProof/>
          <w:sz w:val="22"/>
          <w:szCs w:val="22"/>
          <w:lang w:val="en-GB"/>
        </w:rPr>
        <w:t>,</w:t>
      </w:r>
      <w:r w:rsidR="009B36EE" w:rsidRPr="00B81049">
        <w:rPr>
          <w:rFonts w:cs="Times New Roman"/>
          <w:noProof/>
          <w:sz w:val="22"/>
          <w:szCs w:val="22"/>
          <w:lang w:val="en-GB"/>
        </w:rPr>
        <w:t xml:space="preserve"> 1997).</w:t>
      </w:r>
      <w:r w:rsidR="009B36EE" w:rsidRPr="00B81049">
        <w:rPr>
          <w:rFonts w:cs="Times New Roman"/>
          <w:sz w:val="22"/>
          <w:szCs w:val="22"/>
          <w:lang w:val="en-GB"/>
        </w:rPr>
        <w:t xml:space="preserve"> Provisions addressing</w:t>
      </w:r>
      <w:r w:rsidR="00BA05DE">
        <w:rPr>
          <w:rFonts w:cs="Times New Roman"/>
          <w:sz w:val="22"/>
          <w:szCs w:val="22"/>
          <w:lang w:val="en-GB"/>
        </w:rPr>
        <w:t xml:space="preserve"> the</w:t>
      </w:r>
      <w:r w:rsidR="009B36EE" w:rsidRPr="00B81049">
        <w:rPr>
          <w:rFonts w:cs="Times New Roman"/>
          <w:sz w:val="22"/>
          <w:szCs w:val="22"/>
          <w:lang w:val="en-GB"/>
        </w:rPr>
        <w:t xml:space="preserve"> </w:t>
      </w:r>
      <w:r w:rsidR="00BA05DE" w:rsidRPr="00B81049">
        <w:rPr>
          <w:rFonts w:cs="Times New Roman"/>
          <w:sz w:val="22"/>
          <w:szCs w:val="22"/>
          <w:lang w:val="en-GB"/>
        </w:rPr>
        <w:t xml:space="preserve">specific needs </w:t>
      </w:r>
      <w:r w:rsidR="00BA05DE">
        <w:rPr>
          <w:rFonts w:cs="Times New Roman"/>
          <w:sz w:val="22"/>
          <w:szCs w:val="22"/>
          <w:lang w:val="en-GB"/>
        </w:rPr>
        <w:t xml:space="preserve">of </w:t>
      </w:r>
      <w:r w:rsidR="009B36EE" w:rsidRPr="00B81049">
        <w:rPr>
          <w:rFonts w:cs="Times New Roman"/>
          <w:sz w:val="22"/>
          <w:szCs w:val="22"/>
          <w:lang w:val="en-GB"/>
        </w:rPr>
        <w:t xml:space="preserve">TAWs </w:t>
      </w:r>
      <w:r w:rsidR="00757F81" w:rsidRPr="00B81049">
        <w:rPr>
          <w:rFonts w:cs="Times New Roman"/>
          <w:sz w:val="22"/>
          <w:szCs w:val="22"/>
          <w:lang w:val="en-GB"/>
        </w:rPr>
        <w:t xml:space="preserve">(engagement dimension) include supplementary training, which </w:t>
      </w:r>
      <w:r w:rsidR="00F307EE" w:rsidRPr="00B81049">
        <w:rPr>
          <w:rFonts w:cs="Times New Roman"/>
          <w:sz w:val="22"/>
          <w:szCs w:val="22"/>
          <w:lang w:val="en-GB"/>
        </w:rPr>
        <w:t xml:space="preserve">addresses </w:t>
      </w:r>
      <w:r w:rsidR="00757F81" w:rsidRPr="00B81049">
        <w:rPr>
          <w:rFonts w:cs="Times New Roman"/>
          <w:sz w:val="22"/>
          <w:szCs w:val="22"/>
          <w:lang w:val="en-GB"/>
        </w:rPr>
        <w:t>th</w:t>
      </w:r>
      <w:r w:rsidR="00F307EE" w:rsidRPr="00B81049">
        <w:rPr>
          <w:rFonts w:cs="Times New Roman"/>
          <w:sz w:val="22"/>
          <w:szCs w:val="22"/>
          <w:lang w:val="en-GB"/>
        </w:rPr>
        <w:t>e</w:t>
      </w:r>
      <w:r w:rsidR="00757F81" w:rsidRPr="00B81049">
        <w:rPr>
          <w:rFonts w:cs="Times New Roman"/>
          <w:sz w:val="22"/>
          <w:szCs w:val="22"/>
          <w:lang w:val="en-GB"/>
        </w:rPr>
        <w:t xml:space="preserve"> needs</w:t>
      </w:r>
      <w:r w:rsidR="00F307EE" w:rsidRPr="00B81049">
        <w:rPr>
          <w:rFonts w:cs="Times New Roman"/>
          <w:sz w:val="22"/>
          <w:szCs w:val="22"/>
          <w:lang w:val="en-GB"/>
        </w:rPr>
        <w:t xml:space="preserve"> </w:t>
      </w:r>
      <w:r w:rsidR="00757F81" w:rsidRPr="00B81049">
        <w:rPr>
          <w:rFonts w:cs="Times New Roman"/>
          <w:sz w:val="22"/>
          <w:szCs w:val="22"/>
          <w:lang w:val="en-GB"/>
        </w:rPr>
        <w:t xml:space="preserve">resulting from frequent changes of workplace and job position; and flexibility </w:t>
      </w:r>
      <w:r w:rsidR="009B36EE" w:rsidRPr="00B81049">
        <w:rPr>
          <w:rFonts w:cs="Times New Roman"/>
          <w:sz w:val="22"/>
          <w:szCs w:val="22"/>
          <w:lang w:val="en-GB"/>
        </w:rPr>
        <w:t>and availability bonuses</w:t>
      </w:r>
      <w:r w:rsidR="00757F81" w:rsidRPr="00B81049">
        <w:rPr>
          <w:rFonts w:cs="Times New Roman"/>
          <w:sz w:val="22"/>
          <w:szCs w:val="22"/>
          <w:lang w:val="en-GB"/>
        </w:rPr>
        <w:t>, which</w:t>
      </w:r>
      <w:r w:rsidR="009B36EE" w:rsidRPr="00B81049">
        <w:rPr>
          <w:rFonts w:cs="Times New Roman"/>
          <w:sz w:val="22"/>
          <w:szCs w:val="22"/>
          <w:lang w:val="en-GB"/>
        </w:rPr>
        <w:t xml:space="preserve"> are similarly important because they compensate for </w:t>
      </w:r>
      <w:r w:rsidR="003F3473" w:rsidRPr="00B81049">
        <w:rPr>
          <w:rFonts w:cs="Times New Roman"/>
          <w:sz w:val="22"/>
          <w:szCs w:val="22"/>
          <w:lang w:val="en-GB"/>
        </w:rPr>
        <w:t xml:space="preserve">job </w:t>
      </w:r>
      <w:r w:rsidR="009B36EE" w:rsidRPr="00B81049">
        <w:rPr>
          <w:rFonts w:cs="Times New Roman"/>
          <w:sz w:val="22"/>
          <w:szCs w:val="22"/>
          <w:lang w:val="en-GB"/>
        </w:rPr>
        <w:t>insecurity. We collect information on the provisions bargained by the unions for TAWs between 1998 and 2007</w:t>
      </w:r>
      <w:r w:rsidR="00BA05DE">
        <w:rPr>
          <w:rFonts w:cs="Times New Roman"/>
          <w:sz w:val="22"/>
          <w:szCs w:val="22"/>
          <w:lang w:val="en-GB"/>
        </w:rPr>
        <w:t>,</w:t>
      </w:r>
      <w:r w:rsidR="009B36EE" w:rsidRPr="00B81049">
        <w:rPr>
          <w:rFonts w:cs="Times New Roman"/>
          <w:sz w:val="22"/>
          <w:szCs w:val="22"/>
          <w:lang w:val="en-GB"/>
        </w:rPr>
        <w:t xml:space="preserve"> relying on national and cross-national reports of the European Industrial Relations Observatory (EIRO) </w:t>
      </w:r>
      <w:r w:rsidR="009B36EE" w:rsidRPr="00B81049">
        <w:rPr>
          <w:rFonts w:cs="Times New Roman"/>
          <w:noProof/>
          <w:sz w:val="22"/>
          <w:szCs w:val="22"/>
          <w:lang w:val="en-GB"/>
        </w:rPr>
        <w:t>(Arrowsmith</w:t>
      </w:r>
      <w:r w:rsidR="00695D4E" w:rsidRPr="00B81049">
        <w:rPr>
          <w:rFonts w:cs="Times New Roman"/>
          <w:noProof/>
          <w:sz w:val="22"/>
          <w:szCs w:val="22"/>
          <w:lang w:val="en-GB"/>
        </w:rPr>
        <w:t>,</w:t>
      </w:r>
      <w:r w:rsidR="009B36EE" w:rsidRPr="00B81049">
        <w:rPr>
          <w:rFonts w:cs="Times New Roman"/>
          <w:noProof/>
          <w:sz w:val="22"/>
          <w:szCs w:val="22"/>
          <w:lang w:val="en-GB"/>
        </w:rPr>
        <w:t xml:space="preserve"> 2009)</w:t>
      </w:r>
      <w:r w:rsidR="00367388" w:rsidRPr="00B81049">
        <w:rPr>
          <w:rFonts w:cs="Times New Roman"/>
          <w:sz w:val="22"/>
          <w:szCs w:val="22"/>
          <w:lang w:val="en-GB"/>
        </w:rPr>
        <w:t xml:space="preserve"> and</w:t>
      </w:r>
      <w:r w:rsidR="009B36EE" w:rsidRPr="00B81049">
        <w:rPr>
          <w:rFonts w:cs="Times New Roman"/>
          <w:sz w:val="22"/>
          <w:szCs w:val="22"/>
          <w:lang w:val="en-GB"/>
        </w:rPr>
        <w:t xml:space="preserve"> other research institutes </w:t>
      </w:r>
      <w:r w:rsidR="009B36EE" w:rsidRPr="00B81049">
        <w:rPr>
          <w:rFonts w:cs="Times New Roman"/>
          <w:noProof/>
          <w:sz w:val="22"/>
          <w:szCs w:val="22"/>
          <w:lang w:val="en-GB"/>
        </w:rPr>
        <w:t>(</w:t>
      </w:r>
      <w:r w:rsidR="004C2BD1">
        <w:rPr>
          <w:rFonts w:cs="Times New Roman"/>
          <w:noProof/>
          <w:sz w:val="22"/>
          <w:szCs w:val="22"/>
          <w:lang w:val="en-GB"/>
        </w:rPr>
        <w:t>Chaidron</w:t>
      </w:r>
      <w:r w:rsidR="00695D4E" w:rsidRPr="00B81049">
        <w:rPr>
          <w:rFonts w:cs="Times New Roman"/>
          <w:noProof/>
          <w:sz w:val="22"/>
          <w:szCs w:val="22"/>
          <w:lang w:val="en-GB"/>
        </w:rPr>
        <w:t>,</w:t>
      </w:r>
      <w:r w:rsidR="009B36EE" w:rsidRPr="00B81049">
        <w:rPr>
          <w:rFonts w:cs="Times New Roman"/>
          <w:noProof/>
          <w:sz w:val="22"/>
          <w:szCs w:val="22"/>
          <w:lang w:val="en-GB"/>
        </w:rPr>
        <w:t xml:space="preserve"> 2003, JILPT</w:t>
      </w:r>
      <w:r w:rsidR="00695D4E" w:rsidRPr="00B81049">
        <w:rPr>
          <w:rFonts w:cs="Times New Roman"/>
          <w:noProof/>
          <w:sz w:val="22"/>
          <w:szCs w:val="22"/>
          <w:lang w:val="en-GB"/>
        </w:rPr>
        <w:t>,</w:t>
      </w:r>
      <w:r w:rsidR="009B36EE" w:rsidRPr="00B81049">
        <w:rPr>
          <w:rFonts w:cs="Times New Roman"/>
          <w:noProof/>
          <w:sz w:val="22"/>
          <w:szCs w:val="22"/>
          <w:lang w:val="en-GB"/>
        </w:rPr>
        <w:t xml:space="preserve"> 2011)</w:t>
      </w:r>
      <w:r w:rsidR="00F307EE" w:rsidRPr="00B81049">
        <w:rPr>
          <w:rFonts w:cs="Times New Roman"/>
          <w:noProof/>
          <w:sz w:val="22"/>
          <w:szCs w:val="22"/>
          <w:lang w:val="en-GB"/>
        </w:rPr>
        <w:t>,</w:t>
      </w:r>
      <w:r w:rsidR="009B36EE" w:rsidRPr="00B81049">
        <w:rPr>
          <w:rFonts w:cs="Times New Roman"/>
          <w:sz w:val="22"/>
          <w:szCs w:val="22"/>
          <w:lang w:val="en-GB"/>
        </w:rPr>
        <w:t xml:space="preserve"> and national </w:t>
      </w:r>
      <w:r w:rsidR="00757F81" w:rsidRPr="00B81049">
        <w:rPr>
          <w:rFonts w:cs="Times New Roman"/>
          <w:sz w:val="22"/>
          <w:szCs w:val="22"/>
          <w:lang w:val="en-GB"/>
        </w:rPr>
        <w:t>c</w:t>
      </w:r>
      <w:r w:rsidR="009B36EE" w:rsidRPr="00B81049">
        <w:rPr>
          <w:rFonts w:cs="Times New Roman"/>
          <w:sz w:val="22"/>
          <w:szCs w:val="22"/>
          <w:lang w:val="en-GB"/>
        </w:rPr>
        <w:t xml:space="preserve">ollective </w:t>
      </w:r>
      <w:r w:rsidR="00BA05DE">
        <w:rPr>
          <w:rFonts w:cs="Times New Roman"/>
          <w:sz w:val="22"/>
          <w:szCs w:val="22"/>
          <w:lang w:val="en-GB"/>
        </w:rPr>
        <w:t>a</w:t>
      </w:r>
      <w:r w:rsidR="009B36EE" w:rsidRPr="00B81049">
        <w:rPr>
          <w:rFonts w:cs="Times New Roman"/>
          <w:sz w:val="22"/>
          <w:szCs w:val="22"/>
          <w:lang w:val="en-GB"/>
        </w:rPr>
        <w:t xml:space="preserve">greements. </w:t>
      </w:r>
    </w:p>
    <w:p w:rsidR="00143569" w:rsidRDefault="00BA05DE" w:rsidP="00BA05DE">
      <w:pPr>
        <w:autoSpaceDE w:val="0"/>
        <w:autoSpaceDN w:val="0"/>
        <w:adjustRightInd w:val="0"/>
        <w:rPr>
          <w:rFonts w:cs="Times New Roman"/>
          <w:sz w:val="22"/>
          <w:szCs w:val="22"/>
          <w:lang w:val="en-GB"/>
        </w:rPr>
      </w:pPr>
      <w:r>
        <w:rPr>
          <w:rFonts w:cs="Times New Roman"/>
          <w:sz w:val="22"/>
          <w:szCs w:val="22"/>
          <w:lang w:val="en-GB"/>
        </w:rPr>
        <w:tab/>
      </w:r>
      <w:r w:rsidR="009B36EE" w:rsidRPr="00B81049">
        <w:rPr>
          <w:rFonts w:cs="Times New Roman"/>
          <w:sz w:val="22"/>
          <w:szCs w:val="22"/>
          <w:lang w:val="en-GB"/>
        </w:rPr>
        <w:t xml:space="preserve">Table 1 displays information on union inclusiveness across European countries and specifies which provisions are included in </w:t>
      </w:r>
      <w:r w:rsidRPr="00B81049">
        <w:rPr>
          <w:rFonts w:cs="Times New Roman"/>
          <w:sz w:val="22"/>
          <w:szCs w:val="22"/>
          <w:lang w:val="en-GB"/>
        </w:rPr>
        <w:t xml:space="preserve">collective </w:t>
      </w:r>
      <w:r>
        <w:rPr>
          <w:rFonts w:cs="Times New Roman"/>
          <w:sz w:val="22"/>
          <w:szCs w:val="22"/>
          <w:lang w:val="en-GB"/>
        </w:rPr>
        <w:t>a</w:t>
      </w:r>
      <w:r w:rsidRPr="00B81049">
        <w:rPr>
          <w:rFonts w:cs="Times New Roman"/>
          <w:sz w:val="22"/>
          <w:szCs w:val="22"/>
          <w:lang w:val="en-GB"/>
        </w:rPr>
        <w:t xml:space="preserve">greements </w:t>
      </w:r>
      <w:r w:rsidR="009B36EE" w:rsidRPr="00B81049">
        <w:rPr>
          <w:rFonts w:cs="Times New Roman"/>
          <w:sz w:val="22"/>
          <w:szCs w:val="22"/>
          <w:lang w:val="en-GB"/>
        </w:rPr>
        <w:t>and which are set by law</w:t>
      </w:r>
      <w:r w:rsidR="00E2710B" w:rsidRPr="00B81049">
        <w:rPr>
          <w:rFonts w:cs="Times New Roman"/>
          <w:sz w:val="22"/>
          <w:szCs w:val="22"/>
          <w:lang w:val="en-GB"/>
        </w:rPr>
        <w:t xml:space="preserve">. </w:t>
      </w:r>
      <w:r w:rsidR="000D0D41" w:rsidRPr="00B81049">
        <w:rPr>
          <w:rFonts w:cs="Times New Roman"/>
          <w:sz w:val="22"/>
          <w:szCs w:val="22"/>
          <w:lang w:val="en-GB"/>
        </w:rPr>
        <w:t>U</w:t>
      </w:r>
      <w:r w:rsidR="009B36EE" w:rsidRPr="00B81049">
        <w:rPr>
          <w:rFonts w:cs="Times New Roman"/>
          <w:sz w:val="22"/>
          <w:szCs w:val="22"/>
          <w:lang w:val="en-GB"/>
        </w:rPr>
        <w:t xml:space="preserve">nions </w:t>
      </w:r>
      <w:r w:rsidR="00E2710B" w:rsidRPr="00B81049">
        <w:rPr>
          <w:rFonts w:cs="Times New Roman"/>
          <w:sz w:val="22"/>
          <w:szCs w:val="22"/>
          <w:lang w:val="en-GB"/>
        </w:rPr>
        <w:t xml:space="preserve">in Ghent countries </w:t>
      </w:r>
      <w:r w:rsidR="009B36EE" w:rsidRPr="00B81049">
        <w:rPr>
          <w:rFonts w:cs="Times New Roman"/>
          <w:sz w:val="22"/>
          <w:szCs w:val="22"/>
          <w:lang w:val="en-GB"/>
        </w:rPr>
        <w:t xml:space="preserve">display a </w:t>
      </w:r>
      <w:r w:rsidR="000D0D41" w:rsidRPr="00B81049">
        <w:rPr>
          <w:rFonts w:cs="Times New Roman"/>
          <w:sz w:val="22"/>
          <w:szCs w:val="22"/>
          <w:lang w:val="en-GB"/>
        </w:rPr>
        <w:t xml:space="preserve">comparatively </w:t>
      </w:r>
      <w:r w:rsidR="009B36EE" w:rsidRPr="00B81049">
        <w:rPr>
          <w:rFonts w:cs="Times New Roman"/>
          <w:sz w:val="22"/>
          <w:szCs w:val="22"/>
          <w:lang w:val="en-GB"/>
        </w:rPr>
        <w:t xml:space="preserve">high union density of temporary workers, and they also have relatively encompassing collective agreements. However, despite the low union density of temporary workers, unions in Spain, Italy and France have bargained inclusive collective agreements for TAWs </w:t>
      </w:r>
      <w:r>
        <w:rPr>
          <w:rFonts w:cs="Times New Roman"/>
          <w:sz w:val="22"/>
          <w:szCs w:val="22"/>
          <w:lang w:val="en-GB"/>
        </w:rPr>
        <w:t>covering</w:t>
      </w:r>
      <w:r w:rsidR="009B36EE" w:rsidRPr="00B81049">
        <w:rPr>
          <w:rFonts w:cs="Times New Roman"/>
          <w:sz w:val="22"/>
          <w:szCs w:val="22"/>
          <w:lang w:val="en-GB"/>
        </w:rPr>
        <w:t xml:space="preserve"> most of the above dimensions. </w:t>
      </w:r>
    </w:p>
    <w:p w:rsidR="00BA05DE" w:rsidRDefault="00BA05DE" w:rsidP="00BA05DE">
      <w:pPr>
        <w:autoSpaceDE w:val="0"/>
        <w:autoSpaceDN w:val="0"/>
        <w:adjustRightInd w:val="0"/>
        <w:rPr>
          <w:rFonts w:cs="Times New Roman"/>
          <w:sz w:val="22"/>
          <w:szCs w:val="22"/>
          <w:lang w:val="en-GB"/>
        </w:rPr>
      </w:pPr>
    </w:p>
    <w:p w:rsidR="00BA05DE" w:rsidRDefault="00BA05DE" w:rsidP="00BA05DE">
      <w:pPr>
        <w:autoSpaceDE w:val="0"/>
        <w:autoSpaceDN w:val="0"/>
        <w:adjustRightInd w:val="0"/>
        <w:rPr>
          <w:rFonts w:cs="Times New Roman"/>
          <w:sz w:val="22"/>
          <w:szCs w:val="22"/>
          <w:lang w:val="en-GB"/>
        </w:rPr>
      </w:pPr>
      <w:r>
        <w:rPr>
          <w:rFonts w:cs="Times New Roman"/>
          <w:sz w:val="22"/>
          <w:szCs w:val="22"/>
          <w:lang w:val="en-GB"/>
        </w:rPr>
        <w:t>[Table 1 about here]</w:t>
      </w:r>
    </w:p>
    <w:p w:rsidR="00BA05DE" w:rsidRDefault="00BA05DE" w:rsidP="00BA05DE">
      <w:pPr>
        <w:autoSpaceDE w:val="0"/>
        <w:autoSpaceDN w:val="0"/>
        <w:adjustRightInd w:val="0"/>
        <w:rPr>
          <w:rFonts w:cs="Times New Roman"/>
          <w:sz w:val="22"/>
          <w:szCs w:val="22"/>
          <w:lang w:val="en-GB"/>
        </w:rPr>
      </w:pPr>
    </w:p>
    <w:p w:rsidR="00143569" w:rsidRDefault="00BA05DE" w:rsidP="00BA05DE">
      <w:pPr>
        <w:autoSpaceDE w:val="0"/>
        <w:autoSpaceDN w:val="0"/>
        <w:adjustRightInd w:val="0"/>
        <w:rPr>
          <w:rFonts w:cs="Times New Roman"/>
          <w:sz w:val="22"/>
          <w:szCs w:val="22"/>
          <w:lang w:val="en-GB"/>
        </w:rPr>
      </w:pPr>
      <w:r>
        <w:rPr>
          <w:rFonts w:cs="Times New Roman"/>
          <w:sz w:val="22"/>
          <w:szCs w:val="22"/>
          <w:lang w:val="en-GB"/>
        </w:rPr>
        <w:tab/>
      </w:r>
      <w:r w:rsidR="00E2710B" w:rsidRPr="00B81049">
        <w:rPr>
          <w:rFonts w:cs="Times New Roman"/>
          <w:sz w:val="22"/>
          <w:szCs w:val="22"/>
          <w:lang w:val="en-GB"/>
        </w:rPr>
        <w:t xml:space="preserve">While </w:t>
      </w:r>
      <w:r w:rsidRPr="00B81049">
        <w:rPr>
          <w:rFonts w:cs="Times New Roman"/>
          <w:sz w:val="22"/>
          <w:szCs w:val="22"/>
          <w:lang w:val="en-GB"/>
        </w:rPr>
        <w:t xml:space="preserve">union </w:t>
      </w:r>
      <w:r w:rsidR="009B36EE" w:rsidRPr="00B81049">
        <w:rPr>
          <w:rFonts w:cs="Times New Roman"/>
          <w:sz w:val="22"/>
          <w:szCs w:val="22"/>
          <w:lang w:val="en-GB"/>
        </w:rPr>
        <w:t xml:space="preserve">inclusiveness </w:t>
      </w:r>
      <w:r w:rsidR="00367388" w:rsidRPr="00B81049">
        <w:rPr>
          <w:rFonts w:cs="Times New Roman"/>
          <w:sz w:val="22"/>
          <w:szCs w:val="22"/>
          <w:lang w:val="en-GB"/>
        </w:rPr>
        <w:t xml:space="preserve">in Ghent countries </w:t>
      </w:r>
      <w:r w:rsidR="009B36EE" w:rsidRPr="00B81049">
        <w:rPr>
          <w:rFonts w:cs="Times New Roman"/>
          <w:sz w:val="22"/>
          <w:szCs w:val="22"/>
          <w:lang w:val="en-GB"/>
        </w:rPr>
        <w:t>is consistent with existing literatur</w:t>
      </w:r>
      <w:r w:rsidR="00E2710B" w:rsidRPr="00B81049">
        <w:rPr>
          <w:rFonts w:cs="Times New Roman"/>
          <w:sz w:val="22"/>
          <w:szCs w:val="22"/>
          <w:lang w:val="en-GB"/>
        </w:rPr>
        <w:t>e</w:t>
      </w:r>
      <w:r w:rsidR="009B36EE" w:rsidRPr="00B81049">
        <w:rPr>
          <w:rFonts w:cs="Times New Roman"/>
          <w:sz w:val="22"/>
          <w:szCs w:val="22"/>
          <w:lang w:val="en-GB"/>
        </w:rPr>
        <w:t xml:space="preserve">, </w:t>
      </w:r>
      <w:r>
        <w:rPr>
          <w:rFonts w:cs="Times New Roman"/>
          <w:sz w:val="22"/>
          <w:szCs w:val="22"/>
          <w:lang w:val="en-GB"/>
        </w:rPr>
        <w:t>that in</w:t>
      </w:r>
      <w:r w:rsidR="009B36EE" w:rsidRPr="00B81049">
        <w:rPr>
          <w:rFonts w:cs="Times New Roman"/>
          <w:sz w:val="22"/>
          <w:szCs w:val="22"/>
          <w:lang w:val="en-GB"/>
        </w:rPr>
        <w:t xml:space="preserve"> Spa</w:t>
      </w:r>
      <w:r>
        <w:rPr>
          <w:rFonts w:cs="Times New Roman"/>
          <w:sz w:val="22"/>
          <w:szCs w:val="22"/>
          <w:lang w:val="en-GB"/>
        </w:rPr>
        <w:t>i</w:t>
      </w:r>
      <w:r w:rsidR="009B36EE" w:rsidRPr="00B81049">
        <w:rPr>
          <w:rFonts w:cs="Times New Roman"/>
          <w:sz w:val="22"/>
          <w:szCs w:val="22"/>
          <w:lang w:val="en-GB"/>
        </w:rPr>
        <w:t>n, Ital</w:t>
      </w:r>
      <w:r>
        <w:rPr>
          <w:rFonts w:cs="Times New Roman"/>
          <w:sz w:val="22"/>
          <w:szCs w:val="22"/>
          <w:lang w:val="en-GB"/>
        </w:rPr>
        <w:t>y</w:t>
      </w:r>
      <w:r w:rsidR="009B36EE" w:rsidRPr="00B81049">
        <w:rPr>
          <w:rFonts w:cs="Times New Roman"/>
          <w:sz w:val="22"/>
          <w:szCs w:val="22"/>
          <w:lang w:val="en-GB"/>
        </w:rPr>
        <w:t xml:space="preserve"> and Fr</w:t>
      </w:r>
      <w:r>
        <w:rPr>
          <w:rFonts w:cs="Times New Roman"/>
          <w:sz w:val="22"/>
          <w:szCs w:val="22"/>
          <w:lang w:val="en-GB"/>
        </w:rPr>
        <w:t xml:space="preserve">ance </w:t>
      </w:r>
      <w:r w:rsidR="009B36EE" w:rsidRPr="00B81049">
        <w:rPr>
          <w:rFonts w:cs="Times New Roman"/>
          <w:sz w:val="22"/>
          <w:szCs w:val="22"/>
          <w:lang w:val="en-GB"/>
        </w:rPr>
        <w:t>is surprising because th</w:t>
      </w:r>
      <w:r w:rsidR="000D0D41" w:rsidRPr="00B81049">
        <w:rPr>
          <w:rFonts w:cs="Times New Roman"/>
          <w:sz w:val="22"/>
          <w:szCs w:val="22"/>
          <w:lang w:val="en-GB"/>
        </w:rPr>
        <w:t>e</w:t>
      </w:r>
      <w:r w:rsidR="009B36EE" w:rsidRPr="00B81049">
        <w:rPr>
          <w:rFonts w:cs="Times New Roman"/>
          <w:sz w:val="22"/>
          <w:szCs w:val="22"/>
          <w:lang w:val="en-GB"/>
        </w:rPr>
        <w:t xml:space="preserve">se countries are </w:t>
      </w:r>
      <w:r>
        <w:rPr>
          <w:rFonts w:cs="Times New Roman"/>
          <w:sz w:val="22"/>
          <w:szCs w:val="22"/>
          <w:lang w:val="en-GB"/>
        </w:rPr>
        <w:t>marked</w:t>
      </w:r>
      <w:r w:rsidR="009B36EE" w:rsidRPr="00B81049">
        <w:rPr>
          <w:rFonts w:cs="Times New Roman"/>
          <w:sz w:val="22"/>
          <w:szCs w:val="22"/>
          <w:lang w:val="en-GB"/>
        </w:rPr>
        <w:t xml:space="preserve"> by </w:t>
      </w:r>
      <w:r w:rsidRPr="00B81049">
        <w:rPr>
          <w:rFonts w:cs="Times New Roman"/>
          <w:sz w:val="22"/>
          <w:szCs w:val="22"/>
          <w:lang w:val="en-GB"/>
        </w:rPr>
        <w:t xml:space="preserve">labour market </w:t>
      </w:r>
      <w:r w:rsidR="009B36EE" w:rsidRPr="00B81049">
        <w:rPr>
          <w:rFonts w:cs="Times New Roman"/>
          <w:sz w:val="22"/>
          <w:szCs w:val="22"/>
          <w:lang w:val="en-GB"/>
        </w:rPr>
        <w:t>dual</w:t>
      </w:r>
      <w:r>
        <w:rPr>
          <w:rFonts w:cs="Times New Roman"/>
          <w:sz w:val="22"/>
          <w:szCs w:val="22"/>
          <w:lang w:val="en-GB"/>
        </w:rPr>
        <w:t>ism</w:t>
      </w:r>
      <w:r w:rsidR="009B36EE" w:rsidRPr="00B81049">
        <w:rPr>
          <w:rFonts w:cs="Times New Roman"/>
          <w:sz w:val="22"/>
          <w:szCs w:val="22"/>
          <w:lang w:val="en-GB"/>
        </w:rPr>
        <w:t xml:space="preserve">, </w:t>
      </w:r>
      <w:r w:rsidR="00AE3D38" w:rsidRPr="00B81049">
        <w:rPr>
          <w:rFonts w:cs="Times New Roman"/>
          <w:sz w:val="22"/>
          <w:szCs w:val="22"/>
          <w:lang w:val="en-GB"/>
        </w:rPr>
        <w:t xml:space="preserve">to which </w:t>
      </w:r>
      <w:r w:rsidR="009B36EE" w:rsidRPr="00B81049">
        <w:rPr>
          <w:rFonts w:cs="Times New Roman"/>
          <w:sz w:val="22"/>
          <w:szCs w:val="22"/>
          <w:lang w:val="en-GB"/>
        </w:rPr>
        <w:t xml:space="preserve">unions have been claimed to contribute. </w:t>
      </w:r>
      <w:r w:rsidR="000D0D41" w:rsidRPr="00B81049">
        <w:rPr>
          <w:rFonts w:cs="Times New Roman"/>
          <w:sz w:val="22"/>
          <w:szCs w:val="22"/>
          <w:lang w:val="en-GB"/>
        </w:rPr>
        <w:t>For instance</w:t>
      </w:r>
      <w:r w:rsidR="009B36EE" w:rsidRPr="00B81049">
        <w:rPr>
          <w:rFonts w:cs="Times New Roman"/>
          <w:sz w:val="22"/>
          <w:szCs w:val="22"/>
          <w:lang w:val="en-GB"/>
        </w:rPr>
        <w:t>, it has been argued that unions have agreed to the liberal</w:t>
      </w:r>
      <w:r w:rsidR="002A4AC2">
        <w:rPr>
          <w:rFonts w:cs="Times New Roman"/>
          <w:sz w:val="22"/>
          <w:szCs w:val="22"/>
          <w:lang w:val="en-GB"/>
        </w:rPr>
        <w:t>ization</w:t>
      </w:r>
      <w:r w:rsidR="009B36EE" w:rsidRPr="00B81049">
        <w:rPr>
          <w:rFonts w:cs="Times New Roman"/>
          <w:sz w:val="22"/>
          <w:szCs w:val="22"/>
          <w:lang w:val="en-GB"/>
        </w:rPr>
        <w:t xml:space="preserve"> </w:t>
      </w:r>
      <w:r w:rsidR="00367388" w:rsidRPr="00B81049">
        <w:rPr>
          <w:rFonts w:cs="Times New Roman"/>
          <w:sz w:val="22"/>
          <w:szCs w:val="22"/>
          <w:lang w:val="en-GB"/>
        </w:rPr>
        <w:t>of peripheral labour markets</w:t>
      </w:r>
      <w:r w:rsidR="009B36EE" w:rsidRPr="00B81049">
        <w:rPr>
          <w:rFonts w:cs="Times New Roman"/>
          <w:sz w:val="22"/>
          <w:szCs w:val="22"/>
          <w:lang w:val="en-GB"/>
        </w:rPr>
        <w:t xml:space="preserve"> in order to defend the standards of their core members </w:t>
      </w:r>
      <w:r w:rsidR="009B36EE" w:rsidRPr="00B81049">
        <w:rPr>
          <w:rFonts w:cs="Times New Roman"/>
          <w:noProof/>
          <w:sz w:val="22"/>
          <w:szCs w:val="22"/>
        </w:rPr>
        <w:t>(</w:t>
      </w:r>
      <w:r w:rsidR="003D3490" w:rsidRPr="00B81049">
        <w:rPr>
          <w:rFonts w:cs="Times New Roman"/>
          <w:noProof/>
          <w:sz w:val="22"/>
          <w:szCs w:val="22"/>
        </w:rPr>
        <w:t xml:space="preserve">Bentolila et al., 2012; </w:t>
      </w:r>
      <w:r w:rsidR="009B36EE" w:rsidRPr="00B81049">
        <w:rPr>
          <w:rFonts w:cs="Times New Roman"/>
          <w:noProof/>
          <w:sz w:val="22"/>
          <w:szCs w:val="22"/>
        </w:rPr>
        <w:t>Palier and Thelen</w:t>
      </w:r>
      <w:r w:rsidR="00695D4E" w:rsidRPr="00B81049">
        <w:rPr>
          <w:rFonts w:cs="Times New Roman"/>
          <w:noProof/>
          <w:sz w:val="22"/>
          <w:szCs w:val="22"/>
        </w:rPr>
        <w:t>,</w:t>
      </w:r>
      <w:r w:rsidR="009B36EE" w:rsidRPr="00B81049">
        <w:rPr>
          <w:rFonts w:cs="Times New Roman"/>
          <w:noProof/>
          <w:sz w:val="22"/>
          <w:szCs w:val="22"/>
        </w:rPr>
        <w:t xml:space="preserve"> 2010</w:t>
      </w:r>
      <w:r w:rsidR="00695D4E" w:rsidRPr="00B81049">
        <w:rPr>
          <w:rFonts w:cs="Times New Roman"/>
          <w:noProof/>
          <w:sz w:val="22"/>
          <w:szCs w:val="22"/>
        </w:rPr>
        <w:t>;</w:t>
      </w:r>
      <w:r w:rsidR="009B36EE" w:rsidRPr="00B81049">
        <w:rPr>
          <w:rFonts w:cs="Times New Roman"/>
          <w:noProof/>
          <w:sz w:val="22"/>
          <w:szCs w:val="22"/>
        </w:rPr>
        <w:t xml:space="preserve"> Simoni</w:t>
      </w:r>
      <w:r w:rsidR="00695D4E" w:rsidRPr="00B81049">
        <w:rPr>
          <w:rFonts w:cs="Times New Roman"/>
          <w:noProof/>
          <w:sz w:val="22"/>
          <w:szCs w:val="22"/>
        </w:rPr>
        <w:t>,</w:t>
      </w:r>
      <w:r w:rsidR="009B36EE" w:rsidRPr="00B81049">
        <w:rPr>
          <w:rFonts w:cs="Times New Roman"/>
          <w:noProof/>
          <w:sz w:val="22"/>
          <w:szCs w:val="22"/>
        </w:rPr>
        <w:t xml:space="preserve"> 2012)</w:t>
      </w:r>
      <w:r w:rsidR="009B36EE" w:rsidRPr="00B81049">
        <w:rPr>
          <w:rFonts w:cs="Times New Roman"/>
          <w:sz w:val="22"/>
          <w:szCs w:val="22"/>
        </w:rPr>
        <w:t xml:space="preserve">. </w:t>
      </w:r>
      <w:r>
        <w:rPr>
          <w:rFonts w:cs="Times New Roman"/>
          <w:sz w:val="22"/>
          <w:szCs w:val="22"/>
        </w:rPr>
        <w:t>Thus</w:t>
      </w:r>
      <w:r w:rsidR="009B36EE" w:rsidRPr="00B81049">
        <w:rPr>
          <w:rFonts w:cs="Times New Roman"/>
          <w:sz w:val="22"/>
          <w:szCs w:val="22"/>
        </w:rPr>
        <w:t xml:space="preserve"> we should expect </w:t>
      </w:r>
      <w:r w:rsidRPr="00B81049">
        <w:rPr>
          <w:rFonts w:cs="Times New Roman"/>
          <w:sz w:val="22"/>
          <w:szCs w:val="22"/>
        </w:rPr>
        <w:t xml:space="preserve">much lower </w:t>
      </w:r>
      <w:r w:rsidR="009B36EE" w:rsidRPr="00B81049">
        <w:rPr>
          <w:rFonts w:cs="Times New Roman"/>
          <w:sz w:val="22"/>
          <w:szCs w:val="22"/>
        </w:rPr>
        <w:t xml:space="preserve">union inclusiveness in Southern </w:t>
      </w:r>
      <w:r>
        <w:rPr>
          <w:rFonts w:cs="Times New Roman"/>
          <w:sz w:val="22"/>
          <w:szCs w:val="22"/>
        </w:rPr>
        <w:t>countries</w:t>
      </w:r>
      <w:r w:rsidR="009B36EE" w:rsidRPr="00B81049">
        <w:rPr>
          <w:rFonts w:cs="Times New Roman"/>
          <w:sz w:val="22"/>
          <w:szCs w:val="22"/>
        </w:rPr>
        <w:t xml:space="preserve">. </w:t>
      </w:r>
      <w:r w:rsidR="000D0D41" w:rsidRPr="00B81049">
        <w:rPr>
          <w:rFonts w:cs="Times New Roman"/>
          <w:sz w:val="22"/>
          <w:szCs w:val="22"/>
        </w:rPr>
        <w:t xml:space="preserve">This calls for a reinvestigation of the </w:t>
      </w:r>
      <w:r w:rsidR="009B36EE" w:rsidRPr="00B81049">
        <w:rPr>
          <w:rFonts w:cs="Times New Roman"/>
          <w:sz w:val="22"/>
          <w:szCs w:val="22"/>
        </w:rPr>
        <w:t xml:space="preserve">conditions </w:t>
      </w:r>
      <w:r w:rsidR="000D0D41" w:rsidRPr="00B81049">
        <w:rPr>
          <w:rFonts w:cs="Times New Roman"/>
          <w:sz w:val="22"/>
          <w:szCs w:val="22"/>
        </w:rPr>
        <w:t>leading to inclusiveness, which we discus</w:t>
      </w:r>
      <w:r w:rsidR="00343983" w:rsidRPr="00B81049">
        <w:rPr>
          <w:rFonts w:cs="Times New Roman"/>
          <w:sz w:val="22"/>
          <w:szCs w:val="22"/>
        </w:rPr>
        <w:t>s</w:t>
      </w:r>
      <w:r w:rsidR="000D0D41" w:rsidRPr="00B81049">
        <w:rPr>
          <w:rFonts w:cs="Times New Roman"/>
          <w:sz w:val="22"/>
          <w:szCs w:val="22"/>
        </w:rPr>
        <w:t xml:space="preserve"> next</w:t>
      </w:r>
      <w:r w:rsidR="00B90A47" w:rsidRPr="00B81049">
        <w:rPr>
          <w:rFonts w:cs="Times New Roman"/>
          <w:sz w:val="22"/>
          <w:szCs w:val="22"/>
        </w:rPr>
        <w:t>.</w:t>
      </w:r>
    </w:p>
    <w:p w:rsidR="00143569" w:rsidRDefault="00143569" w:rsidP="00143569">
      <w:pPr>
        <w:autoSpaceDE w:val="0"/>
        <w:autoSpaceDN w:val="0"/>
        <w:adjustRightInd w:val="0"/>
        <w:rPr>
          <w:rFonts w:cs="Times New Roman"/>
          <w:szCs w:val="22"/>
          <w:lang w:val="en-GB"/>
        </w:rPr>
      </w:pPr>
    </w:p>
    <w:p w:rsidR="00BA05DE" w:rsidRDefault="00BA05DE" w:rsidP="00143569">
      <w:pPr>
        <w:autoSpaceDE w:val="0"/>
        <w:autoSpaceDN w:val="0"/>
        <w:adjustRightInd w:val="0"/>
        <w:rPr>
          <w:rFonts w:cs="Times New Roman"/>
          <w:szCs w:val="22"/>
          <w:lang w:val="en-GB"/>
        </w:rPr>
      </w:pPr>
    </w:p>
    <w:p w:rsidR="00143569" w:rsidRDefault="009B36EE" w:rsidP="00143569">
      <w:pPr>
        <w:pStyle w:val="Titolo1"/>
        <w:numPr>
          <w:ilvl w:val="0"/>
          <w:numId w:val="0"/>
        </w:numPr>
        <w:tabs>
          <w:tab w:val="left" w:pos="360"/>
        </w:tabs>
        <w:spacing w:before="0"/>
        <w:rPr>
          <w:rFonts w:ascii="Arial" w:hAnsi="Arial" w:cs="Arial"/>
          <w:color w:val="auto"/>
          <w:sz w:val="24"/>
          <w:szCs w:val="24"/>
          <w:lang w:val="en-GB"/>
        </w:rPr>
      </w:pPr>
      <w:r w:rsidRPr="0086618E">
        <w:rPr>
          <w:rFonts w:ascii="Arial" w:hAnsi="Arial" w:cs="Arial"/>
          <w:color w:val="auto"/>
          <w:sz w:val="24"/>
          <w:szCs w:val="24"/>
          <w:lang w:val="en-GB"/>
        </w:rPr>
        <w:t>The determinants of union inclusiveness</w:t>
      </w:r>
    </w:p>
    <w:p w:rsidR="005B7C0F" w:rsidRDefault="005B7C0F" w:rsidP="00143569">
      <w:pPr>
        <w:autoSpaceDE w:val="0"/>
        <w:autoSpaceDN w:val="0"/>
        <w:adjustRightInd w:val="0"/>
        <w:rPr>
          <w:rFonts w:cs="Times New Roman"/>
          <w:sz w:val="22"/>
          <w:szCs w:val="22"/>
          <w:lang w:val="en-GB"/>
        </w:rPr>
      </w:pPr>
    </w:p>
    <w:p w:rsidR="00143569" w:rsidRDefault="009B36EE" w:rsidP="00143569">
      <w:pPr>
        <w:autoSpaceDE w:val="0"/>
        <w:autoSpaceDN w:val="0"/>
        <w:adjustRightInd w:val="0"/>
        <w:rPr>
          <w:rFonts w:cs="Times New Roman"/>
          <w:sz w:val="22"/>
          <w:szCs w:val="22"/>
          <w:lang w:val="en-GB"/>
        </w:rPr>
      </w:pPr>
      <w:r w:rsidRPr="00B81049">
        <w:rPr>
          <w:rFonts w:cs="Times New Roman"/>
          <w:sz w:val="22"/>
          <w:szCs w:val="22"/>
          <w:lang w:val="en-GB"/>
        </w:rPr>
        <w:t xml:space="preserve">The puzzle described above invites a reconsideration of the determinants of union inclusiveness towards temporary workers. We first present the conditions </w:t>
      </w:r>
      <w:r w:rsidR="005E481C" w:rsidRPr="00B81049">
        <w:rPr>
          <w:rFonts w:cs="Times New Roman"/>
          <w:sz w:val="22"/>
          <w:szCs w:val="22"/>
          <w:lang w:val="en-GB"/>
        </w:rPr>
        <w:t>explaining</w:t>
      </w:r>
      <w:r w:rsidRPr="00B81049">
        <w:rPr>
          <w:rFonts w:cs="Times New Roman"/>
          <w:sz w:val="22"/>
          <w:szCs w:val="22"/>
          <w:lang w:val="en-GB"/>
        </w:rPr>
        <w:t xml:space="preserve"> union inclusiveness in the </w:t>
      </w:r>
      <w:r w:rsidR="00597677" w:rsidRPr="00B81049">
        <w:rPr>
          <w:rFonts w:cs="Times New Roman"/>
          <w:sz w:val="22"/>
          <w:szCs w:val="22"/>
          <w:lang w:val="en-GB"/>
        </w:rPr>
        <w:t>Ghent countries</w:t>
      </w:r>
      <w:r w:rsidRPr="00B81049">
        <w:rPr>
          <w:rFonts w:cs="Times New Roman"/>
          <w:sz w:val="22"/>
          <w:szCs w:val="22"/>
          <w:lang w:val="en-GB"/>
        </w:rPr>
        <w:t xml:space="preserve"> according to the dual</w:t>
      </w:r>
      <w:r w:rsidR="002A4AC2">
        <w:rPr>
          <w:rFonts w:cs="Times New Roman"/>
          <w:sz w:val="22"/>
          <w:szCs w:val="22"/>
          <w:lang w:val="en-GB"/>
        </w:rPr>
        <w:t>ization</w:t>
      </w:r>
      <w:r w:rsidRPr="00B81049">
        <w:rPr>
          <w:rFonts w:cs="Times New Roman"/>
          <w:sz w:val="22"/>
          <w:szCs w:val="22"/>
          <w:lang w:val="en-GB"/>
        </w:rPr>
        <w:t xml:space="preserve"> literature and the power resource</w:t>
      </w:r>
      <w:r w:rsidR="005B7C0F">
        <w:rPr>
          <w:rFonts w:cs="Times New Roman"/>
          <w:sz w:val="22"/>
          <w:szCs w:val="22"/>
          <w:lang w:val="en-GB"/>
        </w:rPr>
        <w:t>s</w:t>
      </w:r>
      <w:r w:rsidRPr="00B81049">
        <w:rPr>
          <w:rFonts w:cs="Times New Roman"/>
          <w:sz w:val="22"/>
          <w:szCs w:val="22"/>
          <w:lang w:val="en-GB"/>
        </w:rPr>
        <w:t xml:space="preserve"> approach. We then </w:t>
      </w:r>
      <w:r w:rsidR="005B7C0F">
        <w:rPr>
          <w:rFonts w:cs="Times New Roman"/>
          <w:sz w:val="22"/>
          <w:szCs w:val="22"/>
          <w:lang w:val="en-GB"/>
        </w:rPr>
        <w:t>discuss</w:t>
      </w:r>
      <w:r w:rsidRPr="00B81049">
        <w:rPr>
          <w:rFonts w:cs="Times New Roman"/>
          <w:sz w:val="22"/>
          <w:szCs w:val="22"/>
          <w:lang w:val="en-GB"/>
        </w:rPr>
        <w:t xml:space="preserve"> which additional conditions may explain the high inclusiveness of the </w:t>
      </w:r>
      <w:r w:rsidR="008F693C">
        <w:rPr>
          <w:rFonts w:cs="Times New Roman"/>
          <w:sz w:val="22"/>
          <w:szCs w:val="22"/>
          <w:lang w:val="en-GB"/>
        </w:rPr>
        <w:t>‘</w:t>
      </w:r>
      <w:r w:rsidRPr="00B81049">
        <w:rPr>
          <w:rFonts w:cs="Times New Roman"/>
          <w:sz w:val="22"/>
          <w:szCs w:val="22"/>
          <w:lang w:val="en-GB"/>
        </w:rPr>
        <w:t>Southern</w:t>
      </w:r>
      <w:r w:rsidR="008F693C">
        <w:rPr>
          <w:rFonts w:cs="Times New Roman"/>
          <w:sz w:val="22"/>
          <w:szCs w:val="22"/>
          <w:lang w:val="en-GB"/>
        </w:rPr>
        <w:t>’</w:t>
      </w:r>
      <w:r w:rsidRPr="00B81049">
        <w:rPr>
          <w:rFonts w:cs="Times New Roman"/>
          <w:sz w:val="22"/>
          <w:szCs w:val="22"/>
          <w:lang w:val="en-GB"/>
        </w:rPr>
        <w:t xml:space="preserve"> cluster. </w:t>
      </w:r>
    </w:p>
    <w:p w:rsidR="003F7BB7" w:rsidRPr="0086618E" w:rsidRDefault="003F7BB7" w:rsidP="00143569">
      <w:pPr>
        <w:autoSpaceDE w:val="0"/>
        <w:autoSpaceDN w:val="0"/>
        <w:adjustRightInd w:val="0"/>
        <w:ind w:firstLine="425"/>
        <w:rPr>
          <w:rFonts w:cs="Times New Roman"/>
          <w:szCs w:val="22"/>
          <w:lang w:val="en-GB"/>
        </w:rPr>
      </w:pPr>
    </w:p>
    <w:p w:rsidR="00143569" w:rsidRPr="009A0EE3" w:rsidRDefault="009B36EE" w:rsidP="00143569">
      <w:pPr>
        <w:autoSpaceDE w:val="0"/>
        <w:autoSpaceDN w:val="0"/>
        <w:adjustRightInd w:val="0"/>
        <w:rPr>
          <w:rFonts w:ascii="Arial" w:hAnsi="Arial" w:cs="Arial"/>
          <w:i/>
          <w:sz w:val="22"/>
          <w:szCs w:val="22"/>
          <w:lang w:val="en-GB"/>
        </w:rPr>
      </w:pPr>
      <w:bookmarkStart w:id="0" w:name="_Toc325385685"/>
      <w:r w:rsidRPr="009A0EE3">
        <w:rPr>
          <w:rFonts w:ascii="Arial" w:hAnsi="Arial" w:cs="Arial"/>
          <w:i/>
          <w:sz w:val="22"/>
          <w:szCs w:val="22"/>
          <w:lang w:val="en-GB"/>
        </w:rPr>
        <w:t xml:space="preserve">Explaining the Northern path </w:t>
      </w:r>
      <w:bookmarkEnd w:id="0"/>
    </w:p>
    <w:p w:rsidR="005B7C0F" w:rsidRDefault="005B7C0F" w:rsidP="00143569">
      <w:pPr>
        <w:autoSpaceDE w:val="0"/>
        <w:autoSpaceDN w:val="0"/>
        <w:adjustRightInd w:val="0"/>
        <w:rPr>
          <w:rFonts w:cs="Times New Roman"/>
          <w:sz w:val="22"/>
          <w:szCs w:val="22"/>
          <w:lang w:val="en-GB"/>
        </w:rPr>
      </w:pPr>
    </w:p>
    <w:p w:rsidR="00143569" w:rsidRDefault="009B36EE" w:rsidP="00143569">
      <w:pPr>
        <w:autoSpaceDE w:val="0"/>
        <w:autoSpaceDN w:val="0"/>
        <w:adjustRightInd w:val="0"/>
        <w:rPr>
          <w:rFonts w:cs="Times New Roman"/>
          <w:noProof/>
          <w:sz w:val="22"/>
          <w:szCs w:val="22"/>
          <w:lang w:val="en-GB"/>
        </w:rPr>
      </w:pPr>
      <w:r w:rsidRPr="00B81049">
        <w:rPr>
          <w:rFonts w:cs="Times New Roman"/>
          <w:sz w:val="22"/>
          <w:szCs w:val="22"/>
          <w:lang w:val="en-GB"/>
        </w:rPr>
        <w:t>The dual</w:t>
      </w:r>
      <w:r w:rsidR="002A4AC2">
        <w:rPr>
          <w:rFonts w:cs="Times New Roman"/>
          <w:sz w:val="22"/>
          <w:szCs w:val="22"/>
          <w:lang w:val="en-GB"/>
        </w:rPr>
        <w:t>ization</w:t>
      </w:r>
      <w:r w:rsidR="003F3473" w:rsidRPr="00B81049">
        <w:rPr>
          <w:rFonts w:cs="Times New Roman"/>
          <w:sz w:val="22"/>
          <w:szCs w:val="22"/>
          <w:lang w:val="en-GB"/>
        </w:rPr>
        <w:t xml:space="preserve"> </w:t>
      </w:r>
      <w:r w:rsidRPr="00B81049">
        <w:rPr>
          <w:rFonts w:cs="Times New Roman"/>
          <w:sz w:val="22"/>
          <w:szCs w:val="22"/>
          <w:lang w:val="en-GB"/>
        </w:rPr>
        <w:t xml:space="preserve">literature </w:t>
      </w:r>
      <w:r w:rsidR="005B7C0F" w:rsidRPr="00B81049">
        <w:rPr>
          <w:rFonts w:cs="Times New Roman"/>
          <w:noProof/>
          <w:sz w:val="22"/>
          <w:szCs w:val="22"/>
          <w:lang w:val="en-GB"/>
        </w:rPr>
        <w:t>(Marx and Picot, 2013)</w:t>
      </w:r>
      <w:r w:rsidR="005B7C0F">
        <w:rPr>
          <w:rFonts w:cs="Times New Roman"/>
          <w:noProof/>
          <w:sz w:val="22"/>
          <w:szCs w:val="22"/>
          <w:lang w:val="en-GB"/>
        </w:rPr>
        <w:t xml:space="preserve"> </w:t>
      </w:r>
      <w:r w:rsidRPr="00B81049">
        <w:rPr>
          <w:rFonts w:cs="Times New Roman"/>
          <w:sz w:val="22"/>
          <w:szCs w:val="22"/>
          <w:lang w:val="en-GB"/>
        </w:rPr>
        <w:t>emphasises di</w:t>
      </w:r>
      <w:r w:rsidR="005B7C0F">
        <w:rPr>
          <w:rFonts w:cs="Times New Roman"/>
          <w:sz w:val="22"/>
          <w:szCs w:val="22"/>
          <w:lang w:val="en-GB"/>
        </w:rPr>
        <w:t>ff</w:t>
      </w:r>
      <w:r w:rsidRPr="00B81049">
        <w:rPr>
          <w:rFonts w:cs="Times New Roman"/>
          <w:sz w:val="22"/>
          <w:szCs w:val="22"/>
          <w:lang w:val="en-GB"/>
        </w:rPr>
        <w:t>eren</w:t>
      </w:r>
      <w:r w:rsidR="005B7C0F">
        <w:rPr>
          <w:rFonts w:cs="Times New Roman"/>
          <w:sz w:val="22"/>
          <w:szCs w:val="22"/>
          <w:lang w:val="en-GB"/>
        </w:rPr>
        <w:t>ces in</w:t>
      </w:r>
      <w:r w:rsidRPr="00B81049">
        <w:rPr>
          <w:rFonts w:cs="Times New Roman"/>
          <w:sz w:val="22"/>
          <w:szCs w:val="22"/>
          <w:lang w:val="en-GB"/>
        </w:rPr>
        <w:t xml:space="preserve"> preferences between </w:t>
      </w:r>
      <w:r w:rsidR="005E481C" w:rsidRPr="00B81049">
        <w:rPr>
          <w:rFonts w:cs="Times New Roman"/>
          <w:sz w:val="22"/>
          <w:szCs w:val="22"/>
          <w:lang w:val="en-GB"/>
        </w:rPr>
        <w:t xml:space="preserve">non-standard workers </w:t>
      </w:r>
      <w:r w:rsidR="005B7C0F">
        <w:rPr>
          <w:rFonts w:cs="Times New Roman"/>
          <w:sz w:val="22"/>
          <w:szCs w:val="22"/>
          <w:lang w:val="en-GB"/>
        </w:rPr>
        <w:t>(and also the</w:t>
      </w:r>
      <w:r w:rsidR="005E481C" w:rsidRPr="00B81049">
        <w:rPr>
          <w:rFonts w:cs="Times New Roman"/>
          <w:sz w:val="22"/>
          <w:szCs w:val="22"/>
          <w:lang w:val="en-GB"/>
        </w:rPr>
        <w:t xml:space="preserve"> unemployed</w:t>
      </w:r>
      <w:r w:rsidR="005B7C0F">
        <w:rPr>
          <w:rFonts w:cs="Times New Roman"/>
          <w:sz w:val="22"/>
          <w:szCs w:val="22"/>
          <w:lang w:val="en-GB"/>
        </w:rPr>
        <w:t>)</w:t>
      </w:r>
      <w:r w:rsidR="005E481C" w:rsidRPr="00B81049">
        <w:rPr>
          <w:rFonts w:cs="Times New Roman"/>
          <w:sz w:val="22"/>
          <w:szCs w:val="22"/>
          <w:lang w:val="en-GB"/>
        </w:rPr>
        <w:t xml:space="preserve"> and </w:t>
      </w:r>
      <w:r w:rsidRPr="00B81049">
        <w:rPr>
          <w:rFonts w:cs="Times New Roman"/>
          <w:sz w:val="22"/>
          <w:szCs w:val="22"/>
          <w:lang w:val="en-GB"/>
        </w:rPr>
        <w:t>workers in full-time permanent employment</w:t>
      </w:r>
      <w:r w:rsidR="005E481C" w:rsidRPr="00B81049">
        <w:rPr>
          <w:rFonts w:cs="Times New Roman"/>
          <w:sz w:val="22"/>
          <w:szCs w:val="22"/>
          <w:lang w:val="en-GB"/>
        </w:rPr>
        <w:t xml:space="preserve">, who </w:t>
      </w:r>
      <w:r w:rsidR="005B7C0F">
        <w:rPr>
          <w:rFonts w:cs="Times New Roman"/>
          <w:sz w:val="22"/>
          <w:szCs w:val="22"/>
          <w:lang w:val="en-GB"/>
        </w:rPr>
        <w:t>primarily shape</w:t>
      </w:r>
      <w:r w:rsidR="005E481C" w:rsidRPr="00B81049">
        <w:rPr>
          <w:rFonts w:cs="Times New Roman"/>
          <w:sz w:val="22"/>
          <w:szCs w:val="22"/>
          <w:lang w:val="en-GB"/>
        </w:rPr>
        <w:t xml:space="preserve"> u</w:t>
      </w:r>
      <w:r w:rsidRPr="00B81049">
        <w:rPr>
          <w:rFonts w:cs="Times New Roman"/>
          <w:sz w:val="22"/>
          <w:szCs w:val="22"/>
          <w:lang w:val="en-GB"/>
        </w:rPr>
        <w:t>nion</w:t>
      </w:r>
      <w:r w:rsidR="003F3473" w:rsidRPr="00B81049">
        <w:rPr>
          <w:rFonts w:cs="Times New Roman"/>
          <w:sz w:val="22"/>
          <w:szCs w:val="22"/>
          <w:lang w:val="en-GB"/>
        </w:rPr>
        <w:t xml:space="preserve"> strategies </w:t>
      </w:r>
      <w:r w:rsidR="005E481C" w:rsidRPr="00B81049">
        <w:rPr>
          <w:rFonts w:cs="Times New Roman"/>
          <w:sz w:val="22"/>
          <w:szCs w:val="22"/>
          <w:lang w:val="en-GB"/>
        </w:rPr>
        <w:t>because they</w:t>
      </w:r>
      <w:r w:rsidRPr="00B81049">
        <w:rPr>
          <w:rFonts w:cs="Times New Roman"/>
          <w:sz w:val="22"/>
          <w:szCs w:val="22"/>
          <w:lang w:val="en-GB"/>
        </w:rPr>
        <w:t xml:space="preserve"> </w:t>
      </w:r>
      <w:r w:rsidR="008F693C">
        <w:rPr>
          <w:rFonts w:cs="Times New Roman"/>
          <w:sz w:val="22"/>
          <w:szCs w:val="22"/>
          <w:lang w:val="en-GB"/>
        </w:rPr>
        <w:t>‘</w:t>
      </w:r>
      <w:r w:rsidRPr="00B81049">
        <w:rPr>
          <w:rFonts w:cs="Times New Roman"/>
          <w:sz w:val="22"/>
          <w:szCs w:val="22"/>
          <w:lang w:val="en-GB"/>
        </w:rPr>
        <w:t>tend to be both more union</w:t>
      </w:r>
      <w:r w:rsidR="008F693C">
        <w:rPr>
          <w:rFonts w:cs="Times New Roman"/>
          <w:sz w:val="22"/>
          <w:szCs w:val="22"/>
          <w:lang w:val="en-GB"/>
        </w:rPr>
        <w:t>ize</w:t>
      </w:r>
      <w:r w:rsidRPr="00B81049">
        <w:rPr>
          <w:rFonts w:cs="Times New Roman"/>
          <w:sz w:val="22"/>
          <w:szCs w:val="22"/>
          <w:lang w:val="en-GB"/>
        </w:rPr>
        <w:t>d and a more influential constituency</w:t>
      </w:r>
      <w:r w:rsidR="008F693C">
        <w:rPr>
          <w:rFonts w:cs="Times New Roman"/>
          <w:sz w:val="22"/>
          <w:szCs w:val="22"/>
          <w:lang w:val="en-GB"/>
        </w:rPr>
        <w:t>’</w:t>
      </w:r>
      <w:r w:rsidRPr="00B81049">
        <w:rPr>
          <w:rFonts w:cs="Times New Roman"/>
          <w:sz w:val="22"/>
          <w:szCs w:val="22"/>
          <w:lang w:val="en-GB"/>
        </w:rPr>
        <w:t xml:space="preserve"> </w:t>
      </w:r>
      <w:r w:rsidRPr="00B81049">
        <w:rPr>
          <w:rFonts w:cs="Times New Roman"/>
          <w:noProof/>
          <w:sz w:val="22"/>
          <w:szCs w:val="22"/>
          <w:lang w:val="en-GB"/>
        </w:rPr>
        <w:t>(Rueda</w:t>
      </w:r>
      <w:r w:rsidR="00695D4E" w:rsidRPr="00B81049">
        <w:rPr>
          <w:rFonts w:cs="Times New Roman"/>
          <w:noProof/>
          <w:sz w:val="22"/>
          <w:szCs w:val="22"/>
          <w:lang w:val="en-GB"/>
        </w:rPr>
        <w:t>,</w:t>
      </w:r>
      <w:r w:rsidRPr="00B81049">
        <w:rPr>
          <w:rFonts w:cs="Times New Roman"/>
          <w:noProof/>
          <w:sz w:val="22"/>
          <w:szCs w:val="22"/>
          <w:lang w:val="en-GB"/>
        </w:rPr>
        <w:t xml:space="preserve"> 2007: 28). </w:t>
      </w:r>
      <w:r w:rsidR="005B7C0F">
        <w:rPr>
          <w:rFonts w:cs="Times New Roman"/>
          <w:noProof/>
          <w:sz w:val="22"/>
          <w:szCs w:val="22"/>
          <w:lang w:val="en-GB"/>
        </w:rPr>
        <w:t>However, t</w:t>
      </w:r>
      <w:r w:rsidR="00695D4E" w:rsidRPr="00B81049">
        <w:rPr>
          <w:rFonts w:cs="Times New Roman"/>
          <w:noProof/>
          <w:sz w:val="22"/>
          <w:szCs w:val="22"/>
          <w:lang w:val="en-GB"/>
        </w:rPr>
        <w:t xml:space="preserve">wo </w:t>
      </w:r>
      <w:r w:rsidRPr="00B81049">
        <w:rPr>
          <w:rFonts w:cs="Times New Roman"/>
          <w:noProof/>
          <w:sz w:val="22"/>
          <w:szCs w:val="22"/>
          <w:lang w:val="en-GB"/>
        </w:rPr>
        <w:t xml:space="preserve">conditions </w:t>
      </w:r>
      <w:r w:rsidR="005B7C0F">
        <w:rPr>
          <w:rFonts w:cs="Times New Roman"/>
          <w:noProof/>
          <w:sz w:val="22"/>
          <w:szCs w:val="22"/>
          <w:lang w:val="en-GB"/>
        </w:rPr>
        <w:t>may</w:t>
      </w:r>
      <w:r w:rsidRPr="00B81049">
        <w:rPr>
          <w:rFonts w:cs="Times New Roman"/>
          <w:noProof/>
          <w:sz w:val="22"/>
          <w:szCs w:val="22"/>
          <w:lang w:val="en-GB"/>
        </w:rPr>
        <w:t xml:space="preserve"> align the interests </w:t>
      </w:r>
      <w:r w:rsidRPr="00B81049">
        <w:rPr>
          <w:rFonts w:cs="Times New Roman"/>
          <w:sz w:val="22"/>
          <w:szCs w:val="22"/>
          <w:lang w:val="en-GB"/>
        </w:rPr>
        <w:t xml:space="preserve">of </w:t>
      </w:r>
      <w:r w:rsidR="00695D4E" w:rsidRPr="00B81049">
        <w:rPr>
          <w:rFonts w:cs="Times New Roman"/>
          <w:sz w:val="22"/>
          <w:szCs w:val="22"/>
          <w:lang w:val="en-GB"/>
        </w:rPr>
        <w:t>TAWs</w:t>
      </w:r>
      <w:r w:rsidRPr="00B81049">
        <w:rPr>
          <w:rFonts w:cs="Times New Roman"/>
          <w:sz w:val="22"/>
          <w:szCs w:val="22"/>
          <w:lang w:val="en-GB"/>
        </w:rPr>
        <w:t xml:space="preserve"> and </w:t>
      </w:r>
      <w:r w:rsidR="003F3473" w:rsidRPr="00B81049">
        <w:rPr>
          <w:rFonts w:cs="Times New Roman"/>
          <w:sz w:val="22"/>
          <w:szCs w:val="22"/>
          <w:lang w:val="en-GB"/>
        </w:rPr>
        <w:t>per</w:t>
      </w:r>
      <w:r w:rsidR="005E481C" w:rsidRPr="00B81049">
        <w:rPr>
          <w:rFonts w:cs="Times New Roman"/>
          <w:sz w:val="22"/>
          <w:szCs w:val="22"/>
          <w:lang w:val="en-GB"/>
        </w:rPr>
        <w:t xml:space="preserve">manent </w:t>
      </w:r>
      <w:r w:rsidRPr="00B81049">
        <w:rPr>
          <w:rFonts w:cs="Times New Roman"/>
          <w:sz w:val="22"/>
          <w:szCs w:val="22"/>
          <w:lang w:val="en-GB"/>
        </w:rPr>
        <w:t>worker</w:t>
      </w:r>
      <w:r w:rsidR="005E481C" w:rsidRPr="00B81049">
        <w:rPr>
          <w:rFonts w:cs="Times New Roman"/>
          <w:sz w:val="22"/>
          <w:szCs w:val="22"/>
          <w:lang w:val="en-GB"/>
        </w:rPr>
        <w:t>s</w:t>
      </w:r>
      <w:r w:rsidR="00D8462D" w:rsidRPr="00B81049">
        <w:rPr>
          <w:rFonts w:cs="Times New Roman"/>
          <w:sz w:val="22"/>
          <w:szCs w:val="22"/>
          <w:lang w:val="en-GB"/>
        </w:rPr>
        <w:t>:</w:t>
      </w:r>
      <w:r w:rsidRPr="00B81049">
        <w:rPr>
          <w:rFonts w:cs="Times New Roman"/>
          <w:sz w:val="22"/>
          <w:szCs w:val="22"/>
          <w:lang w:val="en-GB"/>
        </w:rPr>
        <w:t xml:space="preserve"> First, </w:t>
      </w:r>
      <w:r w:rsidR="005E481C" w:rsidRPr="00B81049">
        <w:rPr>
          <w:rFonts w:cs="Times New Roman"/>
          <w:sz w:val="22"/>
          <w:szCs w:val="22"/>
          <w:lang w:val="en-GB"/>
        </w:rPr>
        <w:t xml:space="preserve">low </w:t>
      </w:r>
      <w:r w:rsidRPr="00B81049">
        <w:rPr>
          <w:rFonts w:cs="Times New Roman"/>
          <w:sz w:val="22"/>
          <w:szCs w:val="22"/>
          <w:lang w:val="en-GB"/>
        </w:rPr>
        <w:t>employment protection</w:t>
      </w:r>
      <w:r w:rsidR="00884DA6" w:rsidRPr="00B81049">
        <w:rPr>
          <w:rFonts w:cs="Times New Roman"/>
          <w:sz w:val="22"/>
          <w:szCs w:val="22"/>
          <w:lang w:val="en-GB"/>
        </w:rPr>
        <w:t xml:space="preserve"> (</w:t>
      </w:r>
      <w:r w:rsidR="005B7C0F">
        <w:rPr>
          <w:rFonts w:cs="Times New Roman"/>
          <w:sz w:val="22"/>
          <w:szCs w:val="22"/>
          <w:lang w:val="en-GB"/>
        </w:rPr>
        <w:t>as</w:t>
      </w:r>
      <w:r w:rsidR="00884DA6" w:rsidRPr="00B81049">
        <w:rPr>
          <w:rFonts w:cs="Times New Roman"/>
          <w:sz w:val="22"/>
          <w:szCs w:val="22"/>
          <w:lang w:val="en-GB"/>
        </w:rPr>
        <w:t xml:space="preserve"> in Denmark and Sweden)</w:t>
      </w:r>
      <w:r w:rsidRPr="00B81049">
        <w:rPr>
          <w:rFonts w:cs="Times New Roman"/>
          <w:sz w:val="22"/>
          <w:szCs w:val="22"/>
          <w:lang w:val="en-GB"/>
        </w:rPr>
        <w:t xml:space="preserve"> </w:t>
      </w:r>
      <w:r w:rsidR="00884DA6" w:rsidRPr="00B81049">
        <w:rPr>
          <w:rFonts w:cs="Times New Roman"/>
          <w:sz w:val="22"/>
          <w:szCs w:val="22"/>
          <w:lang w:val="en-GB"/>
        </w:rPr>
        <w:t xml:space="preserve">exposes core workers to labour market risks, </w:t>
      </w:r>
      <w:r w:rsidR="005B7C0F">
        <w:rPr>
          <w:rFonts w:cs="Times New Roman"/>
          <w:sz w:val="22"/>
          <w:szCs w:val="22"/>
          <w:lang w:val="en-GB"/>
        </w:rPr>
        <w:t xml:space="preserve">hence </w:t>
      </w:r>
      <w:r w:rsidR="005E481C" w:rsidRPr="00B81049">
        <w:rPr>
          <w:rFonts w:cs="Times New Roman"/>
          <w:sz w:val="22"/>
          <w:szCs w:val="22"/>
          <w:lang w:val="en-GB"/>
        </w:rPr>
        <w:t xml:space="preserve">core workers and their unions </w:t>
      </w:r>
      <w:r w:rsidR="005B7C0F">
        <w:rPr>
          <w:rFonts w:cs="Times New Roman"/>
          <w:sz w:val="22"/>
          <w:szCs w:val="22"/>
          <w:lang w:val="en-GB"/>
        </w:rPr>
        <w:t>may</w:t>
      </w:r>
      <w:r w:rsidR="00884DA6" w:rsidRPr="00B81049">
        <w:rPr>
          <w:rFonts w:cs="Times New Roman"/>
          <w:sz w:val="22"/>
          <w:szCs w:val="22"/>
          <w:lang w:val="en-GB"/>
        </w:rPr>
        <w:t xml:space="preserve"> support pro-outsider policies</w:t>
      </w:r>
      <w:r w:rsidRPr="00B81049">
        <w:rPr>
          <w:rFonts w:cs="Times New Roman"/>
          <w:sz w:val="22"/>
          <w:szCs w:val="22"/>
          <w:lang w:val="en-GB"/>
        </w:rPr>
        <w:t xml:space="preserve"> </w:t>
      </w:r>
      <w:r w:rsidRPr="00B81049">
        <w:rPr>
          <w:rFonts w:cs="Times New Roman"/>
          <w:noProof/>
          <w:sz w:val="22"/>
          <w:szCs w:val="22"/>
          <w:lang w:val="en-GB"/>
        </w:rPr>
        <w:t>(Rueda</w:t>
      </w:r>
      <w:r w:rsidR="00695D4E" w:rsidRPr="00B81049">
        <w:rPr>
          <w:rFonts w:cs="Times New Roman"/>
          <w:noProof/>
          <w:sz w:val="22"/>
          <w:szCs w:val="22"/>
          <w:lang w:val="en-GB"/>
        </w:rPr>
        <w:t>,</w:t>
      </w:r>
      <w:r w:rsidRPr="00B81049">
        <w:rPr>
          <w:rFonts w:cs="Times New Roman"/>
          <w:noProof/>
          <w:sz w:val="22"/>
          <w:szCs w:val="22"/>
          <w:lang w:val="en-GB"/>
        </w:rPr>
        <w:t xml:space="preserve"> 2007)</w:t>
      </w:r>
      <w:r w:rsidR="008352FF" w:rsidRPr="00B81049">
        <w:rPr>
          <w:rFonts w:cs="Times New Roman"/>
          <w:noProof/>
          <w:sz w:val="22"/>
          <w:szCs w:val="22"/>
          <w:lang w:val="en-GB"/>
        </w:rPr>
        <w:t xml:space="preserve">. </w:t>
      </w:r>
    </w:p>
    <w:p w:rsidR="005B7C0F" w:rsidRDefault="005B7C0F" w:rsidP="00143569">
      <w:pPr>
        <w:autoSpaceDE w:val="0"/>
        <w:autoSpaceDN w:val="0"/>
        <w:adjustRightInd w:val="0"/>
        <w:rPr>
          <w:rFonts w:cs="Times New Roman"/>
          <w:noProof/>
          <w:sz w:val="22"/>
          <w:szCs w:val="22"/>
          <w:lang w:val="en-GB"/>
        </w:rPr>
      </w:pPr>
    </w:p>
    <w:p w:rsidR="00143569" w:rsidRDefault="009B36EE" w:rsidP="005B7C0F">
      <w:pPr>
        <w:tabs>
          <w:tab w:val="left" w:pos="0"/>
          <w:tab w:val="left" w:pos="1276"/>
        </w:tabs>
        <w:ind w:left="425"/>
        <w:rPr>
          <w:rFonts w:cs="Times New Roman"/>
          <w:sz w:val="22"/>
          <w:szCs w:val="22"/>
          <w:lang w:val="en-GB"/>
        </w:rPr>
      </w:pPr>
      <w:r w:rsidRPr="00B81049">
        <w:rPr>
          <w:rFonts w:cs="Times New Roman"/>
          <w:i/>
          <w:sz w:val="22"/>
          <w:szCs w:val="22"/>
          <w:lang w:val="en-GB"/>
        </w:rPr>
        <w:t xml:space="preserve">Condition 1: </w:t>
      </w:r>
      <w:r w:rsidRPr="00B81049">
        <w:rPr>
          <w:rFonts w:cs="Times New Roman"/>
          <w:sz w:val="22"/>
          <w:szCs w:val="22"/>
          <w:lang w:val="en-GB"/>
        </w:rPr>
        <w:t xml:space="preserve">Low employment protection for permanent workers leads to union inclusiveness towards TAWs. </w:t>
      </w:r>
    </w:p>
    <w:p w:rsidR="005B7C0F" w:rsidRDefault="005B7C0F" w:rsidP="00143569">
      <w:pPr>
        <w:tabs>
          <w:tab w:val="left" w:pos="0"/>
          <w:tab w:val="left" w:pos="1276"/>
        </w:tabs>
        <w:rPr>
          <w:rFonts w:cs="Times New Roman"/>
          <w:sz w:val="22"/>
          <w:szCs w:val="22"/>
          <w:lang w:val="en-GB"/>
        </w:rPr>
      </w:pPr>
    </w:p>
    <w:p w:rsidR="00143569" w:rsidRDefault="005B7C0F" w:rsidP="008B6F74">
      <w:pPr>
        <w:tabs>
          <w:tab w:val="left" w:pos="0"/>
          <w:tab w:val="left" w:pos="709"/>
        </w:tabs>
        <w:rPr>
          <w:rFonts w:cs="Times New Roman"/>
          <w:sz w:val="22"/>
          <w:szCs w:val="22"/>
          <w:lang w:val="en-GB"/>
        </w:rPr>
      </w:pPr>
      <w:r>
        <w:rPr>
          <w:rFonts w:cs="Times New Roman"/>
          <w:sz w:val="22"/>
          <w:szCs w:val="22"/>
          <w:lang w:val="en-GB"/>
        </w:rPr>
        <w:tab/>
      </w:r>
      <w:r w:rsidR="009B36EE" w:rsidRPr="00B81049">
        <w:rPr>
          <w:rFonts w:cs="Times New Roman"/>
          <w:sz w:val="22"/>
          <w:szCs w:val="22"/>
          <w:lang w:val="en-GB"/>
        </w:rPr>
        <w:t>Second, the dual</w:t>
      </w:r>
      <w:r w:rsidR="002A4AC2">
        <w:rPr>
          <w:rFonts w:cs="Times New Roman"/>
          <w:sz w:val="22"/>
          <w:szCs w:val="22"/>
          <w:lang w:val="en-GB"/>
        </w:rPr>
        <w:t>ization</w:t>
      </w:r>
      <w:r w:rsidR="009B36EE" w:rsidRPr="00B81049">
        <w:rPr>
          <w:rFonts w:cs="Times New Roman"/>
          <w:sz w:val="22"/>
          <w:szCs w:val="22"/>
          <w:lang w:val="en-GB"/>
        </w:rPr>
        <w:t xml:space="preserve"> literature argues that high union density </w:t>
      </w:r>
      <w:r>
        <w:rPr>
          <w:rFonts w:cs="Times New Roman"/>
          <w:sz w:val="22"/>
          <w:szCs w:val="22"/>
          <w:lang w:val="en-GB"/>
        </w:rPr>
        <w:t>(</w:t>
      </w:r>
      <w:r w:rsidR="009B36EE" w:rsidRPr="00B81049">
        <w:rPr>
          <w:rFonts w:cs="Times New Roman"/>
          <w:sz w:val="22"/>
          <w:szCs w:val="22"/>
          <w:lang w:val="en-GB"/>
        </w:rPr>
        <w:t xml:space="preserve">which is typical of </w:t>
      </w:r>
      <w:r w:rsidR="00884DA6" w:rsidRPr="00B81049">
        <w:rPr>
          <w:rFonts w:cs="Times New Roman"/>
          <w:sz w:val="22"/>
          <w:szCs w:val="22"/>
          <w:lang w:val="en-GB"/>
        </w:rPr>
        <w:t xml:space="preserve">the </w:t>
      </w:r>
      <w:r w:rsidR="009B36EE" w:rsidRPr="00B81049">
        <w:rPr>
          <w:rFonts w:cs="Times New Roman"/>
          <w:sz w:val="22"/>
          <w:szCs w:val="22"/>
          <w:lang w:val="en-GB"/>
        </w:rPr>
        <w:t xml:space="preserve">Ghent </w:t>
      </w:r>
      <w:r w:rsidR="00884DA6" w:rsidRPr="00B81049">
        <w:rPr>
          <w:rFonts w:cs="Times New Roman"/>
          <w:sz w:val="22"/>
          <w:szCs w:val="22"/>
          <w:lang w:val="en-GB"/>
        </w:rPr>
        <w:t>countries</w:t>
      </w:r>
      <w:r>
        <w:rPr>
          <w:rFonts w:cs="Times New Roman"/>
          <w:sz w:val="22"/>
          <w:szCs w:val="22"/>
          <w:lang w:val="en-GB"/>
        </w:rPr>
        <w:t>)</w:t>
      </w:r>
      <w:r w:rsidR="009B36EE" w:rsidRPr="00B81049">
        <w:rPr>
          <w:rFonts w:cs="Times New Roman"/>
          <w:sz w:val="22"/>
          <w:szCs w:val="22"/>
          <w:lang w:val="en-GB"/>
        </w:rPr>
        <w:t xml:space="preserve"> </w:t>
      </w:r>
      <w:r w:rsidR="008B6F74">
        <w:rPr>
          <w:rFonts w:cs="Times New Roman"/>
          <w:sz w:val="22"/>
          <w:szCs w:val="22"/>
          <w:lang w:val="en-GB"/>
        </w:rPr>
        <w:t>means that</w:t>
      </w:r>
      <w:r w:rsidR="009B36EE" w:rsidRPr="00B81049">
        <w:rPr>
          <w:rFonts w:cs="Times New Roman"/>
          <w:sz w:val="22"/>
          <w:szCs w:val="22"/>
          <w:lang w:val="en-GB"/>
        </w:rPr>
        <w:t xml:space="preserve"> marginal workers, including TAWs, are also part of the union constituencies and therefore influence bargaining priorities </w:t>
      </w:r>
      <w:r w:rsidR="009B36EE" w:rsidRPr="00B81049">
        <w:rPr>
          <w:rFonts w:cs="Times New Roman"/>
          <w:noProof/>
          <w:sz w:val="22"/>
          <w:szCs w:val="22"/>
          <w:lang w:val="en-GB"/>
        </w:rPr>
        <w:t>(Lindvall and Rueda</w:t>
      </w:r>
      <w:r w:rsidR="009B79A3" w:rsidRPr="00B81049">
        <w:rPr>
          <w:rFonts w:cs="Times New Roman"/>
          <w:noProof/>
          <w:sz w:val="22"/>
          <w:szCs w:val="22"/>
          <w:lang w:val="en-GB"/>
        </w:rPr>
        <w:t>,</w:t>
      </w:r>
      <w:r w:rsidR="009B36EE" w:rsidRPr="00B81049">
        <w:rPr>
          <w:rFonts w:cs="Times New Roman"/>
          <w:noProof/>
          <w:sz w:val="22"/>
          <w:szCs w:val="22"/>
          <w:lang w:val="en-GB"/>
        </w:rPr>
        <w:t xml:space="preserve"> 2014)</w:t>
      </w:r>
      <w:r w:rsidR="009B36EE" w:rsidRPr="00B81049">
        <w:rPr>
          <w:rFonts w:cs="Times New Roman"/>
          <w:sz w:val="22"/>
          <w:szCs w:val="22"/>
          <w:lang w:val="en-GB"/>
        </w:rPr>
        <w:t>. The power resource</w:t>
      </w:r>
      <w:r w:rsidR="008B6F74">
        <w:rPr>
          <w:rFonts w:cs="Times New Roman"/>
          <w:sz w:val="22"/>
          <w:szCs w:val="22"/>
          <w:lang w:val="en-GB"/>
        </w:rPr>
        <w:t>s</w:t>
      </w:r>
      <w:r w:rsidR="009B36EE" w:rsidRPr="00B81049">
        <w:rPr>
          <w:rFonts w:cs="Times New Roman"/>
          <w:sz w:val="22"/>
          <w:szCs w:val="22"/>
          <w:lang w:val="en-GB"/>
        </w:rPr>
        <w:t xml:space="preserve"> approach also </w:t>
      </w:r>
      <w:r w:rsidR="00F953E9" w:rsidRPr="00B81049">
        <w:rPr>
          <w:rFonts w:cs="Times New Roman"/>
          <w:sz w:val="22"/>
          <w:szCs w:val="22"/>
          <w:lang w:val="en-GB"/>
        </w:rPr>
        <w:t xml:space="preserve">posits </w:t>
      </w:r>
      <w:r w:rsidR="009B36EE" w:rsidRPr="00B81049">
        <w:rPr>
          <w:rFonts w:cs="Times New Roman"/>
          <w:sz w:val="22"/>
          <w:szCs w:val="22"/>
          <w:lang w:val="en-GB"/>
        </w:rPr>
        <w:t>that high density lead</w:t>
      </w:r>
      <w:r w:rsidR="00E42A63" w:rsidRPr="00B81049">
        <w:rPr>
          <w:rFonts w:cs="Times New Roman"/>
          <w:sz w:val="22"/>
          <w:szCs w:val="22"/>
          <w:lang w:val="en-GB"/>
        </w:rPr>
        <w:t>s</w:t>
      </w:r>
      <w:r w:rsidR="009B36EE" w:rsidRPr="00B81049">
        <w:rPr>
          <w:rFonts w:cs="Times New Roman"/>
          <w:sz w:val="22"/>
          <w:szCs w:val="22"/>
          <w:lang w:val="en-GB"/>
        </w:rPr>
        <w:t xml:space="preserve"> to inclusiveness</w:t>
      </w:r>
      <w:r w:rsidR="008B6F74">
        <w:rPr>
          <w:rFonts w:cs="Times New Roman"/>
          <w:sz w:val="22"/>
          <w:szCs w:val="22"/>
          <w:lang w:val="en-GB"/>
        </w:rPr>
        <w:t>,</w:t>
      </w:r>
      <w:r w:rsidR="009B36EE" w:rsidRPr="00B81049">
        <w:rPr>
          <w:rFonts w:cs="Times New Roman"/>
          <w:sz w:val="22"/>
          <w:szCs w:val="22"/>
          <w:lang w:val="en-GB"/>
        </w:rPr>
        <w:t xml:space="preserve"> but </w:t>
      </w:r>
      <w:r w:rsidR="00695D4E" w:rsidRPr="00B81049">
        <w:rPr>
          <w:rFonts w:cs="Times New Roman"/>
          <w:sz w:val="22"/>
          <w:szCs w:val="22"/>
          <w:lang w:val="en-GB"/>
        </w:rPr>
        <w:t xml:space="preserve">through </w:t>
      </w:r>
      <w:r w:rsidR="009B36EE" w:rsidRPr="00B81049">
        <w:rPr>
          <w:rFonts w:cs="Times New Roman"/>
          <w:sz w:val="22"/>
          <w:szCs w:val="22"/>
          <w:lang w:val="en-GB"/>
        </w:rPr>
        <w:t xml:space="preserve">a different causal mechanism. </w:t>
      </w:r>
      <w:r w:rsidR="00E42A63" w:rsidRPr="00B81049">
        <w:rPr>
          <w:rFonts w:cs="Times New Roman"/>
          <w:sz w:val="22"/>
          <w:szCs w:val="22"/>
          <w:lang w:val="en-GB"/>
        </w:rPr>
        <w:t xml:space="preserve">As this approach treats the labour movement as a homogenous actor representing the interests of the whole workforce, the representation of temporary workers depends mainly on whether unions have sufficient power resources </w:t>
      </w:r>
      <w:r w:rsidR="00E42A63" w:rsidRPr="00B81049">
        <w:rPr>
          <w:rFonts w:cs="Times New Roman"/>
          <w:noProof/>
          <w:sz w:val="22"/>
          <w:szCs w:val="22"/>
          <w:lang w:val="en-GB"/>
        </w:rPr>
        <w:t>(Korpi, 1983)</w:t>
      </w:r>
      <w:r w:rsidR="00E42A63" w:rsidRPr="00B81049">
        <w:rPr>
          <w:rFonts w:cs="Times New Roman"/>
          <w:sz w:val="22"/>
          <w:szCs w:val="22"/>
          <w:lang w:val="en-GB"/>
        </w:rPr>
        <w:t>. Thus, h</w:t>
      </w:r>
      <w:r w:rsidR="004403B5" w:rsidRPr="00B81049">
        <w:rPr>
          <w:rFonts w:cs="Times New Roman"/>
          <w:sz w:val="22"/>
          <w:szCs w:val="22"/>
          <w:lang w:val="en-GB"/>
        </w:rPr>
        <w:t>igh</w:t>
      </w:r>
      <w:r w:rsidR="009B36EE" w:rsidRPr="00B81049">
        <w:rPr>
          <w:rFonts w:cs="Times New Roman"/>
          <w:sz w:val="22"/>
          <w:szCs w:val="22"/>
          <w:lang w:val="en-GB"/>
        </w:rPr>
        <w:t xml:space="preserve"> union density could be expected to contribute to union inclusiveness </w:t>
      </w:r>
      <w:r w:rsidR="000D0D41" w:rsidRPr="00B81049">
        <w:rPr>
          <w:rFonts w:cs="Times New Roman"/>
          <w:sz w:val="22"/>
          <w:szCs w:val="22"/>
          <w:lang w:val="en-GB"/>
        </w:rPr>
        <w:t xml:space="preserve">by increasing unions’ </w:t>
      </w:r>
      <w:r w:rsidR="009B36EE" w:rsidRPr="00B81049">
        <w:rPr>
          <w:rFonts w:cs="Times New Roman"/>
          <w:sz w:val="22"/>
          <w:szCs w:val="22"/>
          <w:lang w:val="en-GB"/>
        </w:rPr>
        <w:t>mobil</w:t>
      </w:r>
      <w:r w:rsidR="002A4AC2">
        <w:rPr>
          <w:rFonts w:cs="Times New Roman"/>
          <w:sz w:val="22"/>
          <w:szCs w:val="22"/>
          <w:lang w:val="en-GB"/>
        </w:rPr>
        <w:t>ization</w:t>
      </w:r>
      <w:r w:rsidR="009B36EE" w:rsidRPr="00B81049">
        <w:rPr>
          <w:rFonts w:cs="Times New Roman"/>
          <w:sz w:val="22"/>
          <w:szCs w:val="22"/>
          <w:lang w:val="en-GB"/>
        </w:rPr>
        <w:t xml:space="preserve"> potential and political influence</w:t>
      </w:r>
      <w:r w:rsidR="00884DA6" w:rsidRPr="00B81049">
        <w:rPr>
          <w:rFonts w:cs="Times New Roman"/>
          <w:sz w:val="22"/>
          <w:szCs w:val="22"/>
          <w:lang w:val="en-GB"/>
        </w:rPr>
        <w:t xml:space="preserve">. </w:t>
      </w:r>
      <w:r w:rsidR="00E42A63" w:rsidRPr="00B81049">
        <w:rPr>
          <w:rFonts w:cs="Times New Roman"/>
          <w:sz w:val="22"/>
          <w:szCs w:val="22"/>
          <w:lang w:val="en-GB"/>
        </w:rPr>
        <w:t xml:space="preserve">Indeed, research </w:t>
      </w:r>
      <w:r w:rsidR="000D0D41" w:rsidRPr="00B81049">
        <w:rPr>
          <w:rFonts w:cs="Times New Roman"/>
          <w:sz w:val="22"/>
          <w:szCs w:val="22"/>
          <w:lang w:val="en-GB"/>
        </w:rPr>
        <w:t xml:space="preserve">has </w:t>
      </w:r>
      <w:r w:rsidR="00E42A63" w:rsidRPr="00B81049">
        <w:rPr>
          <w:rFonts w:cs="Times New Roman"/>
          <w:sz w:val="22"/>
          <w:szCs w:val="22"/>
          <w:lang w:val="en-GB"/>
        </w:rPr>
        <w:t>found a link between union density and better outcomes for the whole workforce</w:t>
      </w:r>
      <w:r w:rsidR="008B6F74">
        <w:rPr>
          <w:rFonts w:cs="Times New Roman"/>
          <w:sz w:val="22"/>
          <w:szCs w:val="22"/>
          <w:lang w:val="en-GB"/>
        </w:rPr>
        <w:t>, such as</w:t>
      </w:r>
      <w:r w:rsidR="000D0D41" w:rsidRPr="00B81049">
        <w:rPr>
          <w:rFonts w:cs="Times New Roman"/>
          <w:sz w:val="22"/>
          <w:szCs w:val="22"/>
          <w:lang w:val="en-GB"/>
        </w:rPr>
        <w:t xml:space="preserve"> </w:t>
      </w:r>
      <w:r w:rsidR="00E42A63" w:rsidRPr="00B81049">
        <w:rPr>
          <w:rFonts w:cs="Times New Roman"/>
          <w:sz w:val="22"/>
          <w:szCs w:val="22"/>
          <w:lang w:val="en-GB"/>
        </w:rPr>
        <w:t>lower wage inequality</w:t>
      </w:r>
      <w:r w:rsidR="000D0D41" w:rsidRPr="00B81049">
        <w:rPr>
          <w:rFonts w:cs="Times New Roman"/>
          <w:sz w:val="22"/>
          <w:szCs w:val="22"/>
          <w:lang w:val="en-GB"/>
        </w:rPr>
        <w:t xml:space="preserve"> </w:t>
      </w:r>
      <w:r w:rsidR="008B6F74">
        <w:rPr>
          <w:rFonts w:cs="Times New Roman"/>
          <w:sz w:val="22"/>
          <w:szCs w:val="22"/>
          <w:lang w:val="en-GB"/>
        </w:rPr>
        <w:t>(</w:t>
      </w:r>
      <w:r w:rsidR="00E42A63" w:rsidRPr="00B81049">
        <w:rPr>
          <w:rFonts w:cs="Times New Roman"/>
          <w:noProof/>
          <w:sz w:val="22"/>
          <w:szCs w:val="22"/>
          <w:lang w:val="en-GB"/>
        </w:rPr>
        <w:t>Rueda and Pontusson</w:t>
      </w:r>
      <w:r w:rsidR="009B79A3" w:rsidRPr="00B81049">
        <w:rPr>
          <w:rFonts w:cs="Times New Roman"/>
          <w:noProof/>
          <w:sz w:val="22"/>
          <w:szCs w:val="22"/>
          <w:lang w:val="en-GB"/>
        </w:rPr>
        <w:t>,</w:t>
      </w:r>
      <w:r w:rsidR="00E42A63" w:rsidRPr="00B81049">
        <w:rPr>
          <w:rFonts w:cs="Times New Roman"/>
          <w:noProof/>
          <w:sz w:val="22"/>
          <w:szCs w:val="22"/>
          <w:lang w:val="en-GB"/>
        </w:rPr>
        <w:t xml:space="preserve"> 2000)</w:t>
      </w:r>
      <w:r w:rsidR="00E42A63" w:rsidRPr="00B81049">
        <w:rPr>
          <w:rFonts w:cs="Times New Roman"/>
          <w:sz w:val="22"/>
          <w:szCs w:val="22"/>
          <w:lang w:val="en-GB"/>
        </w:rPr>
        <w:t>.</w:t>
      </w:r>
      <w:r w:rsidR="008B6F74">
        <w:rPr>
          <w:rFonts w:cs="Times New Roman"/>
          <w:sz w:val="22"/>
          <w:szCs w:val="22"/>
          <w:lang w:val="en-GB"/>
        </w:rPr>
        <w:t xml:space="preserve"> </w:t>
      </w:r>
      <w:r w:rsidR="009B36EE" w:rsidRPr="00B81049">
        <w:rPr>
          <w:rFonts w:cs="Times New Roman"/>
          <w:sz w:val="22"/>
          <w:szCs w:val="22"/>
          <w:lang w:val="en-GB"/>
        </w:rPr>
        <w:t xml:space="preserve">Thus, though the </w:t>
      </w:r>
      <w:r w:rsidR="008B6F74">
        <w:rPr>
          <w:rFonts w:cs="Times New Roman"/>
          <w:sz w:val="22"/>
          <w:szCs w:val="22"/>
          <w:lang w:val="en-GB"/>
        </w:rPr>
        <w:t>two</w:t>
      </w:r>
      <w:r w:rsidR="009B36EE" w:rsidRPr="00B81049">
        <w:rPr>
          <w:rFonts w:cs="Times New Roman"/>
          <w:sz w:val="22"/>
          <w:szCs w:val="22"/>
          <w:lang w:val="en-GB"/>
        </w:rPr>
        <w:t xml:space="preserve"> approach</w:t>
      </w:r>
      <w:r w:rsidR="008B6F74">
        <w:rPr>
          <w:rFonts w:cs="Times New Roman"/>
          <w:sz w:val="22"/>
          <w:szCs w:val="22"/>
          <w:lang w:val="en-GB"/>
        </w:rPr>
        <w:t>es</w:t>
      </w:r>
      <w:r w:rsidR="009B36EE" w:rsidRPr="00B81049">
        <w:rPr>
          <w:rFonts w:cs="Times New Roman"/>
          <w:sz w:val="22"/>
          <w:szCs w:val="22"/>
          <w:lang w:val="en-GB"/>
        </w:rPr>
        <w:t xml:space="preserve"> suggest different causal mechanisms, we can derive the following condition: </w:t>
      </w:r>
    </w:p>
    <w:p w:rsidR="008B6F74" w:rsidRDefault="008B6F74" w:rsidP="008B6F74">
      <w:pPr>
        <w:tabs>
          <w:tab w:val="left" w:pos="0"/>
          <w:tab w:val="left" w:pos="709"/>
        </w:tabs>
        <w:rPr>
          <w:rFonts w:cs="Times New Roman"/>
          <w:sz w:val="22"/>
          <w:szCs w:val="22"/>
          <w:lang w:val="en-GB"/>
        </w:rPr>
      </w:pPr>
    </w:p>
    <w:p w:rsidR="00143569" w:rsidRDefault="009B36EE" w:rsidP="008B6F74">
      <w:pPr>
        <w:autoSpaceDE w:val="0"/>
        <w:autoSpaceDN w:val="0"/>
        <w:adjustRightInd w:val="0"/>
        <w:ind w:left="708"/>
        <w:rPr>
          <w:rFonts w:cs="Times New Roman"/>
          <w:sz w:val="22"/>
          <w:szCs w:val="22"/>
          <w:lang w:val="en-GB"/>
        </w:rPr>
      </w:pPr>
      <w:r w:rsidRPr="00B81049">
        <w:rPr>
          <w:rFonts w:cs="Times New Roman"/>
          <w:i/>
          <w:sz w:val="22"/>
          <w:szCs w:val="22"/>
          <w:lang w:val="en-GB"/>
        </w:rPr>
        <w:t>Condition 2:</w:t>
      </w:r>
      <w:r w:rsidRPr="00B81049">
        <w:rPr>
          <w:rFonts w:cs="Times New Roman"/>
          <w:sz w:val="22"/>
          <w:szCs w:val="22"/>
          <w:lang w:val="en-GB"/>
        </w:rPr>
        <w:t xml:space="preserve"> High union density leads to union inclusiveness towards TAWs.</w:t>
      </w:r>
    </w:p>
    <w:p w:rsidR="008B6F74" w:rsidRDefault="008B6F74" w:rsidP="00143569">
      <w:pPr>
        <w:autoSpaceDE w:val="0"/>
        <w:autoSpaceDN w:val="0"/>
        <w:adjustRightInd w:val="0"/>
        <w:rPr>
          <w:rFonts w:cs="Times New Roman"/>
          <w:sz w:val="22"/>
          <w:szCs w:val="22"/>
          <w:lang w:val="en-GB"/>
        </w:rPr>
      </w:pPr>
    </w:p>
    <w:p w:rsidR="00143569" w:rsidRDefault="008B6F74" w:rsidP="008B6F74">
      <w:pPr>
        <w:autoSpaceDE w:val="0"/>
        <w:autoSpaceDN w:val="0"/>
        <w:adjustRightInd w:val="0"/>
        <w:rPr>
          <w:rFonts w:cs="Times New Roman"/>
          <w:sz w:val="22"/>
          <w:szCs w:val="22"/>
          <w:lang w:val="en-GB"/>
        </w:rPr>
      </w:pPr>
      <w:r>
        <w:rPr>
          <w:rFonts w:cs="Times New Roman"/>
          <w:sz w:val="22"/>
          <w:szCs w:val="22"/>
          <w:lang w:val="en-GB"/>
        </w:rPr>
        <w:tab/>
      </w:r>
      <w:r w:rsidR="009B36EE" w:rsidRPr="00B81049">
        <w:rPr>
          <w:rFonts w:cs="Times New Roman"/>
          <w:sz w:val="22"/>
          <w:szCs w:val="22"/>
          <w:lang w:val="en-GB"/>
        </w:rPr>
        <w:t>A further power-based explanation for inclusiveness concerns the strength of collective bargaining institutions</w:t>
      </w:r>
      <w:r w:rsidR="006526B6" w:rsidRPr="00B81049">
        <w:rPr>
          <w:rFonts w:cs="Times New Roman"/>
          <w:sz w:val="22"/>
          <w:szCs w:val="22"/>
          <w:lang w:val="en-GB"/>
        </w:rPr>
        <w:t>.</w:t>
      </w:r>
      <w:r w:rsidR="009B36EE" w:rsidRPr="00B81049">
        <w:rPr>
          <w:rFonts w:cs="Times New Roman"/>
          <w:sz w:val="22"/>
          <w:szCs w:val="22"/>
          <w:lang w:val="en-GB"/>
        </w:rPr>
        <w:t xml:space="preserve"> </w:t>
      </w:r>
      <w:r w:rsidR="003F3473" w:rsidRPr="00B81049">
        <w:rPr>
          <w:rFonts w:cs="Times New Roman"/>
          <w:sz w:val="22"/>
          <w:szCs w:val="22"/>
          <w:lang w:val="en-GB"/>
        </w:rPr>
        <w:t xml:space="preserve">Comparative studies at sectoral and workplace level </w:t>
      </w:r>
      <w:r w:rsidR="000D0D41" w:rsidRPr="00B81049">
        <w:rPr>
          <w:rFonts w:cs="Times New Roman"/>
          <w:sz w:val="22"/>
          <w:szCs w:val="22"/>
          <w:lang w:val="en-GB"/>
        </w:rPr>
        <w:t>have show</w:t>
      </w:r>
      <w:r w:rsidR="005B3BC0">
        <w:rPr>
          <w:rFonts w:cs="Times New Roman"/>
          <w:sz w:val="22"/>
          <w:szCs w:val="22"/>
          <w:lang w:val="en-GB"/>
        </w:rPr>
        <w:t>n</w:t>
      </w:r>
      <w:r w:rsidR="000D0D41" w:rsidRPr="00B81049">
        <w:rPr>
          <w:rFonts w:cs="Times New Roman"/>
          <w:sz w:val="22"/>
          <w:szCs w:val="22"/>
          <w:lang w:val="en-GB"/>
        </w:rPr>
        <w:t xml:space="preserve"> </w:t>
      </w:r>
      <w:r w:rsidR="003F3473" w:rsidRPr="00B81049">
        <w:rPr>
          <w:rFonts w:cs="Times New Roman"/>
          <w:sz w:val="22"/>
          <w:szCs w:val="22"/>
          <w:lang w:val="en-GB"/>
        </w:rPr>
        <w:t xml:space="preserve">that </w:t>
      </w:r>
      <w:r w:rsidR="00884DA6" w:rsidRPr="00B81049">
        <w:rPr>
          <w:rFonts w:cs="Times New Roman"/>
          <w:sz w:val="22"/>
          <w:szCs w:val="22"/>
          <w:lang w:val="en-GB"/>
        </w:rPr>
        <w:t>i</w:t>
      </w:r>
      <w:r w:rsidR="009B36EE" w:rsidRPr="00B81049">
        <w:rPr>
          <w:rFonts w:cs="Times New Roman"/>
          <w:sz w:val="22"/>
          <w:szCs w:val="22"/>
          <w:lang w:val="en-GB"/>
        </w:rPr>
        <w:t xml:space="preserve">nstitutional resources available to unions </w:t>
      </w:r>
      <w:r w:rsidR="006526B6" w:rsidRPr="00B81049">
        <w:rPr>
          <w:rFonts w:cs="Times New Roman"/>
          <w:sz w:val="22"/>
          <w:szCs w:val="22"/>
          <w:lang w:val="en-GB"/>
        </w:rPr>
        <w:t xml:space="preserve">crucially contribute to </w:t>
      </w:r>
      <w:r w:rsidR="009B36EE" w:rsidRPr="00B81049">
        <w:rPr>
          <w:rFonts w:cs="Times New Roman"/>
          <w:sz w:val="22"/>
          <w:szCs w:val="22"/>
          <w:lang w:val="en-GB"/>
        </w:rPr>
        <w:t xml:space="preserve">the success of their strategies </w:t>
      </w:r>
      <w:r w:rsidR="00E42A63" w:rsidRPr="00B81049">
        <w:rPr>
          <w:rFonts w:cs="Times New Roman"/>
          <w:sz w:val="22"/>
          <w:szCs w:val="22"/>
          <w:lang w:val="en-GB"/>
        </w:rPr>
        <w:t>towards</w:t>
      </w:r>
      <w:r w:rsidR="009B36EE" w:rsidRPr="00B81049">
        <w:rPr>
          <w:rFonts w:cs="Times New Roman"/>
          <w:sz w:val="22"/>
          <w:szCs w:val="22"/>
          <w:lang w:val="en-GB"/>
        </w:rPr>
        <w:t xml:space="preserve"> marginal workers</w:t>
      </w:r>
      <w:r w:rsidR="006526B6" w:rsidRPr="00B81049">
        <w:rPr>
          <w:rFonts w:cs="Times New Roman"/>
          <w:sz w:val="22"/>
          <w:szCs w:val="22"/>
          <w:lang w:val="en-GB"/>
        </w:rPr>
        <w:t xml:space="preserve"> </w:t>
      </w:r>
      <w:r w:rsidR="009B36EE" w:rsidRPr="00B81049">
        <w:rPr>
          <w:rFonts w:cs="Times New Roman"/>
          <w:noProof/>
          <w:sz w:val="22"/>
          <w:szCs w:val="22"/>
          <w:lang w:val="en-GB"/>
        </w:rPr>
        <w:t>(Keune</w:t>
      </w:r>
      <w:r w:rsidR="009B79A3" w:rsidRPr="00B81049">
        <w:rPr>
          <w:rFonts w:cs="Times New Roman"/>
          <w:noProof/>
          <w:sz w:val="22"/>
          <w:szCs w:val="22"/>
          <w:lang w:val="en-GB"/>
        </w:rPr>
        <w:t>,</w:t>
      </w:r>
      <w:r w:rsidR="009B36EE" w:rsidRPr="00B81049">
        <w:rPr>
          <w:rFonts w:cs="Times New Roman"/>
          <w:noProof/>
          <w:sz w:val="22"/>
          <w:szCs w:val="22"/>
          <w:lang w:val="en-GB"/>
        </w:rPr>
        <w:t xml:space="preserve"> 2013</w:t>
      </w:r>
      <w:r w:rsidR="00884DA6" w:rsidRPr="00B81049">
        <w:rPr>
          <w:rFonts w:cs="Times New Roman"/>
          <w:noProof/>
          <w:sz w:val="22"/>
          <w:szCs w:val="22"/>
          <w:lang w:val="en-GB"/>
        </w:rPr>
        <w:t>; Pulignano and Keune</w:t>
      </w:r>
      <w:r w:rsidR="009B79A3" w:rsidRPr="00B81049">
        <w:rPr>
          <w:rFonts w:cs="Times New Roman"/>
          <w:noProof/>
          <w:sz w:val="22"/>
          <w:szCs w:val="22"/>
          <w:lang w:val="en-GB"/>
        </w:rPr>
        <w:t>,</w:t>
      </w:r>
      <w:r w:rsidR="00884DA6" w:rsidRPr="00B81049">
        <w:rPr>
          <w:rFonts w:cs="Times New Roman"/>
          <w:noProof/>
          <w:sz w:val="22"/>
          <w:szCs w:val="22"/>
          <w:lang w:val="en-GB"/>
        </w:rPr>
        <w:t xml:space="preserve"> 2014</w:t>
      </w:r>
      <w:r w:rsidR="009B36EE" w:rsidRPr="00B81049">
        <w:rPr>
          <w:rFonts w:cs="Times New Roman"/>
          <w:noProof/>
          <w:sz w:val="22"/>
          <w:szCs w:val="22"/>
          <w:lang w:val="en-GB"/>
        </w:rPr>
        <w:t>)</w:t>
      </w:r>
      <w:r w:rsidR="008352FF" w:rsidRPr="00B81049">
        <w:rPr>
          <w:rFonts w:cs="Times New Roman"/>
          <w:sz w:val="22"/>
          <w:szCs w:val="22"/>
          <w:lang w:val="en-GB"/>
        </w:rPr>
        <w:t>.</w:t>
      </w:r>
    </w:p>
    <w:p w:rsidR="005B3BC0" w:rsidRDefault="005B3BC0" w:rsidP="008B6F74">
      <w:pPr>
        <w:autoSpaceDE w:val="0"/>
        <w:autoSpaceDN w:val="0"/>
        <w:adjustRightInd w:val="0"/>
        <w:rPr>
          <w:rFonts w:cs="Times New Roman"/>
          <w:sz w:val="22"/>
          <w:szCs w:val="22"/>
          <w:lang w:val="en-GB"/>
        </w:rPr>
      </w:pPr>
    </w:p>
    <w:p w:rsidR="005B3BC0" w:rsidRDefault="005B3BC0" w:rsidP="008B6F74">
      <w:pPr>
        <w:autoSpaceDE w:val="0"/>
        <w:autoSpaceDN w:val="0"/>
        <w:adjustRightInd w:val="0"/>
        <w:rPr>
          <w:rFonts w:cs="Times New Roman"/>
          <w:sz w:val="22"/>
          <w:szCs w:val="22"/>
          <w:lang w:val="en-GB"/>
        </w:rPr>
      </w:pPr>
    </w:p>
    <w:p w:rsidR="00143569" w:rsidRDefault="009B36EE" w:rsidP="005B3BC0">
      <w:pPr>
        <w:autoSpaceDE w:val="0"/>
        <w:autoSpaceDN w:val="0"/>
        <w:adjustRightInd w:val="0"/>
        <w:ind w:left="708"/>
        <w:rPr>
          <w:rFonts w:cs="Times New Roman"/>
          <w:sz w:val="22"/>
          <w:szCs w:val="22"/>
          <w:lang w:val="en-GB"/>
        </w:rPr>
      </w:pPr>
      <w:r w:rsidRPr="00B81049">
        <w:rPr>
          <w:rFonts w:cs="Times New Roman"/>
          <w:i/>
          <w:sz w:val="22"/>
          <w:szCs w:val="22"/>
          <w:lang w:val="en-GB"/>
        </w:rPr>
        <w:t xml:space="preserve">Condition 3: </w:t>
      </w:r>
      <w:r w:rsidRPr="00B81049">
        <w:rPr>
          <w:rFonts w:cs="Times New Roman"/>
          <w:sz w:val="22"/>
          <w:szCs w:val="22"/>
          <w:lang w:val="en-GB"/>
        </w:rPr>
        <w:t>Strong collective bargaining rights</w:t>
      </w:r>
      <w:r w:rsidRPr="00B81049">
        <w:rPr>
          <w:rFonts w:cs="Times New Roman"/>
          <w:bCs/>
          <w:sz w:val="22"/>
          <w:szCs w:val="22"/>
          <w:lang w:val="en-GB"/>
        </w:rPr>
        <w:t xml:space="preserve"> lead unions to bargain inclusive provisions for TAWs.</w:t>
      </w:r>
      <w:r w:rsidRPr="00B81049">
        <w:rPr>
          <w:rFonts w:cs="Times New Roman"/>
          <w:sz w:val="22"/>
          <w:szCs w:val="22"/>
          <w:lang w:val="en-GB"/>
        </w:rPr>
        <w:t xml:space="preserve"> </w:t>
      </w:r>
    </w:p>
    <w:p w:rsidR="005B3BC0" w:rsidRDefault="005B3BC0" w:rsidP="005B3BC0">
      <w:pPr>
        <w:autoSpaceDE w:val="0"/>
        <w:autoSpaceDN w:val="0"/>
        <w:adjustRightInd w:val="0"/>
        <w:rPr>
          <w:rFonts w:cs="Times New Roman"/>
          <w:sz w:val="22"/>
          <w:szCs w:val="22"/>
          <w:lang w:val="en-GB"/>
        </w:rPr>
      </w:pPr>
    </w:p>
    <w:p w:rsidR="00143569" w:rsidRDefault="005B3BC0" w:rsidP="005B3BC0">
      <w:pPr>
        <w:autoSpaceDE w:val="0"/>
        <w:autoSpaceDN w:val="0"/>
        <w:adjustRightInd w:val="0"/>
        <w:rPr>
          <w:rFonts w:cs="Times New Roman"/>
          <w:sz w:val="22"/>
          <w:szCs w:val="22"/>
          <w:lang w:val="en-GB"/>
        </w:rPr>
      </w:pPr>
      <w:r>
        <w:rPr>
          <w:rFonts w:cs="Times New Roman"/>
          <w:sz w:val="22"/>
          <w:szCs w:val="22"/>
          <w:lang w:val="en-GB"/>
        </w:rPr>
        <w:tab/>
      </w:r>
      <w:r w:rsidR="000D0D41" w:rsidRPr="00B81049">
        <w:rPr>
          <w:rFonts w:cs="Times New Roman"/>
          <w:sz w:val="22"/>
          <w:szCs w:val="22"/>
          <w:lang w:val="en-GB"/>
        </w:rPr>
        <w:t xml:space="preserve">In addition, </w:t>
      </w:r>
      <w:r w:rsidR="009B36EE" w:rsidRPr="00B81049">
        <w:rPr>
          <w:rFonts w:cs="Times New Roman"/>
          <w:sz w:val="22"/>
          <w:szCs w:val="22"/>
          <w:lang w:val="en-GB"/>
        </w:rPr>
        <w:t xml:space="preserve">the structure of the labour movement has an impact on union bargaining strategies </w:t>
      </w:r>
      <w:r w:rsidR="009B36EE" w:rsidRPr="00B81049">
        <w:rPr>
          <w:rFonts w:cs="Times New Roman"/>
          <w:noProof/>
          <w:sz w:val="22"/>
          <w:szCs w:val="22"/>
          <w:lang w:val="en-GB"/>
        </w:rPr>
        <w:t>(Frege and Kelly</w:t>
      </w:r>
      <w:r w:rsidR="009B79A3" w:rsidRPr="00B81049">
        <w:rPr>
          <w:rFonts w:cs="Times New Roman"/>
          <w:noProof/>
          <w:sz w:val="22"/>
          <w:szCs w:val="22"/>
          <w:lang w:val="en-GB"/>
        </w:rPr>
        <w:t>,</w:t>
      </w:r>
      <w:r w:rsidR="009B36EE" w:rsidRPr="00B81049">
        <w:rPr>
          <w:rFonts w:cs="Times New Roman"/>
          <w:noProof/>
          <w:sz w:val="22"/>
          <w:szCs w:val="22"/>
          <w:lang w:val="en-GB"/>
        </w:rPr>
        <w:t xml:space="preserve"> 2003)</w:t>
      </w:r>
      <w:r w:rsidR="009B36EE" w:rsidRPr="00B81049">
        <w:rPr>
          <w:rFonts w:cs="Times New Roman"/>
          <w:sz w:val="22"/>
          <w:szCs w:val="22"/>
          <w:lang w:val="en-GB"/>
        </w:rPr>
        <w:t xml:space="preserve">. </w:t>
      </w:r>
      <w:r>
        <w:rPr>
          <w:rFonts w:cs="Times New Roman"/>
          <w:sz w:val="22"/>
          <w:szCs w:val="22"/>
          <w:lang w:val="en-GB"/>
        </w:rPr>
        <w:t>C</w:t>
      </w:r>
      <w:r w:rsidR="009B36EE" w:rsidRPr="00B81049">
        <w:rPr>
          <w:rFonts w:cs="Times New Roman"/>
          <w:sz w:val="22"/>
          <w:szCs w:val="22"/>
          <w:lang w:val="en-GB"/>
        </w:rPr>
        <w:t>entral</w:t>
      </w:r>
      <w:r w:rsidR="008F693C">
        <w:rPr>
          <w:rFonts w:cs="Times New Roman"/>
          <w:sz w:val="22"/>
          <w:szCs w:val="22"/>
          <w:lang w:val="en-GB"/>
        </w:rPr>
        <w:t>ize</w:t>
      </w:r>
      <w:r w:rsidR="009B36EE" w:rsidRPr="00B81049">
        <w:rPr>
          <w:rFonts w:cs="Times New Roman"/>
          <w:sz w:val="22"/>
          <w:szCs w:val="22"/>
          <w:lang w:val="en-GB"/>
        </w:rPr>
        <w:t xml:space="preserve">d decision-making </w:t>
      </w:r>
      <w:r w:rsidR="0061223E" w:rsidRPr="00B81049">
        <w:rPr>
          <w:rFonts w:cs="Times New Roman"/>
          <w:sz w:val="22"/>
          <w:szCs w:val="22"/>
          <w:lang w:val="en-GB"/>
        </w:rPr>
        <w:t xml:space="preserve">tends </w:t>
      </w:r>
      <w:r w:rsidR="009B36EE" w:rsidRPr="00B81049">
        <w:rPr>
          <w:rFonts w:cs="Times New Roman"/>
          <w:sz w:val="22"/>
          <w:szCs w:val="22"/>
          <w:lang w:val="en-GB"/>
        </w:rPr>
        <w:t>to be associated with encompassing bargaining goals</w:t>
      </w:r>
      <w:r>
        <w:rPr>
          <w:rFonts w:cs="Times New Roman"/>
          <w:sz w:val="22"/>
          <w:szCs w:val="22"/>
          <w:lang w:val="en-GB"/>
        </w:rPr>
        <w:t>,</w:t>
      </w:r>
      <w:r w:rsidR="009B36EE" w:rsidRPr="00B81049">
        <w:rPr>
          <w:rFonts w:cs="Times New Roman"/>
          <w:sz w:val="22"/>
          <w:szCs w:val="22"/>
          <w:lang w:val="en-GB"/>
        </w:rPr>
        <w:t xml:space="preserve"> because the authority of the national union confederation prevent</w:t>
      </w:r>
      <w:r w:rsidR="002520AC" w:rsidRPr="00B81049">
        <w:rPr>
          <w:rFonts w:cs="Times New Roman"/>
          <w:sz w:val="22"/>
          <w:szCs w:val="22"/>
          <w:lang w:val="en-GB"/>
        </w:rPr>
        <w:t>s</w:t>
      </w:r>
      <w:r w:rsidR="009B36EE" w:rsidRPr="00B81049">
        <w:rPr>
          <w:rFonts w:cs="Times New Roman"/>
          <w:sz w:val="22"/>
          <w:szCs w:val="22"/>
          <w:lang w:val="en-GB"/>
        </w:rPr>
        <w:t xml:space="preserve"> sectoral or </w:t>
      </w:r>
      <w:r>
        <w:rPr>
          <w:rFonts w:cs="Times New Roman"/>
          <w:sz w:val="22"/>
          <w:szCs w:val="22"/>
          <w:lang w:val="en-GB"/>
        </w:rPr>
        <w:t>occupational</w:t>
      </w:r>
      <w:r w:rsidR="009B36EE" w:rsidRPr="00B81049">
        <w:rPr>
          <w:rFonts w:cs="Times New Roman"/>
          <w:sz w:val="22"/>
          <w:szCs w:val="22"/>
          <w:lang w:val="en-GB"/>
        </w:rPr>
        <w:t xml:space="preserve"> unions from pursuing particularistic interests rather than the general welfare of the working class </w:t>
      </w:r>
      <w:r w:rsidR="009B36EE" w:rsidRPr="00B81049">
        <w:rPr>
          <w:rFonts w:cs="Times New Roman"/>
          <w:noProof/>
          <w:sz w:val="22"/>
          <w:szCs w:val="22"/>
          <w:lang w:val="en-GB"/>
        </w:rPr>
        <w:t>(Gordon</w:t>
      </w:r>
      <w:r w:rsidR="009B79A3" w:rsidRPr="00B81049">
        <w:rPr>
          <w:rFonts w:cs="Times New Roman"/>
          <w:noProof/>
          <w:sz w:val="22"/>
          <w:szCs w:val="22"/>
          <w:lang w:val="en-GB"/>
        </w:rPr>
        <w:t>,</w:t>
      </w:r>
      <w:r w:rsidR="009B36EE" w:rsidRPr="00B81049">
        <w:rPr>
          <w:rFonts w:cs="Times New Roman"/>
          <w:noProof/>
          <w:sz w:val="22"/>
          <w:szCs w:val="22"/>
          <w:lang w:val="en-GB"/>
        </w:rPr>
        <w:t xml:space="preserve"> 2014</w:t>
      </w:r>
      <w:r w:rsidR="009B79A3" w:rsidRPr="00B81049">
        <w:rPr>
          <w:rFonts w:cs="Times New Roman"/>
          <w:noProof/>
          <w:sz w:val="22"/>
          <w:szCs w:val="22"/>
          <w:lang w:val="en-GB"/>
        </w:rPr>
        <w:t>; Oliver, 2010</w:t>
      </w:r>
      <w:r w:rsidR="009B36EE" w:rsidRPr="00B81049">
        <w:rPr>
          <w:rFonts w:cs="Times New Roman"/>
          <w:noProof/>
          <w:sz w:val="22"/>
          <w:szCs w:val="22"/>
          <w:lang w:val="en-GB"/>
        </w:rPr>
        <w:t>)</w:t>
      </w:r>
      <w:r w:rsidR="009B36EE" w:rsidRPr="00B81049">
        <w:rPr>
          <w:rFonts w:cs="Times New Roman"/>
          <w:sz w:val="22"/>
          <w:szCs w:val="22"/>
          <w:lang w:val="en-GB"/>
        </w:rPr>
        <w:t xml:space="preserve">. For instance, Gordon </w:t>
      </w:r>
      <w:r w:rsidR="009B36EE" w:rsidRPr="00B81049">
        <w:rPr>
          <w:rFonts w:cs="Times New Roman"/>
          <w:noProof/>
          <w:sz w:val="22"/>
          <w:szCs w:val="22"/>
          <w:lang w:val="en-GB"/>
        </w:rPr>
        <w:t>(2014)</w:t>
      </w:r>
      <w:r w:rsidR="009B36EE" w:rsidRPr="00B81049">
        <w:rPr>
          <w:rFonts w:cs="Times New Roman"/>
          <w:sz w:val="22"/>
          <w:szCs w:val="22"/>
          <w:lang w:val="en-GB"/>
        </w:rPr>
        <w:t xml:space="preserve"> contends that unions with a centrali</w:t>
      </w:r>
      <w:r>
        <w:rPr>
          <w:rFonts w:cs="Times New Roman"/>
          <w:sz w:val="22"/>
          <w:szCs w:val="22"/>
          <w:lang w:val="en-GB"/>
        </w:rPr>
        <w:t>z</w:t>
      </w:r>
      <w:r w:rsidR="009B36EE" w:rsidRPr="00B81049">
        <w:rPr>
          <w:rFonts w:cs="Times New Roman"/>
          <w:sz w:val="22"/>
          <w:szCs w:val="22"/>
          <w:lang w:val="en-GB"/>
        </w:rPr>
        <w:t>ed structure (</w:t>
      </w:r>
      <w:r>
        <w:rPr>
          <w:rFonts w:cs="Times New Roman"/>
          <w:sz w:val="22"/>
          <w:szCs w:val="22"/>
          <w:lang w:val="en-GB"/>
        </w:rPr>
        <w:t>as</w:t>
      </w:r>
      <w:r w:rsidR="009B36EE" w:rsidRPr="00B81049">
        <w:rPr>
          <w:rFonts w:cs="Times New Roman"/>
          <w:sz w:val="22"/>
          <w:szCs w:val="22"/>
          <w:lang w:val="en-GB"/>
        </w:rPr>
        <w:t xml:space="preserve"> in Austria, </w:t>
      </w:r>
      <w:r>
        <w:rPr>
          <w:rFonts w:cs="Times New Roman"/>
          <w:sz w:val="22"/>
          <w:szCs w:val="22"/>
          <w:lang w:val="en-GB"/>
        </w:rPr>
        <w:t xml:space="preserve">the </w:t>
      </w:r>
      <w:r w:rsidR="009B36EE" w:rsidRPr="00B81049">
        <w:rPr>
          <w:rFonts w:cs="Times New Roman"/>
          <w:sz w:val="22"/>
          <w:szCs w:val="22"/>
          <w:lang w:val="en-GB"/>
        </w:rPr>
        <w:t xml:space="preserve">Netherlands and Sweden) are more likely to support </w:t>
      </w:r>
      <w:r w:rsidR="003F3473" w:rsidRPr="00B81049">
        <w:rPr>
          <w:rFonts w:cs="Times New Roman"/>
          <w:sz w:val="22"/>
          <w:szCs w:val="22"/>
          <w:lang w:val="en-GB"/>
        </w:rPr>
        <w:t xml:space="preserve">pro-outsider </w:t>
      </w:r>
      <w:r w:rsidR="009B36EE" w:rsidRPr="00B81049">
        <w:rPr>
          <w:rFonts w:cs="Times New Roman"/>
          <w:sz w:val="22"/>
          <w:szCs w:val="22"/>
          <w:lang w:val="en-GB"/>
        </w:rPr>
        <w:t>policies</w:t>
      </w:r>
      <w:r w:rsidR="003F3473" w:rsidRPr="00B81049">
        <w:rPr>
          <w:rFonts w:cs="Times New Roman"/>
          <w:sz w:val="22"/>
          <w:szCs w:val="22"/>
          <w:lang w:val="en-GB"/>
        </w:rPr>
        <w:t xml:space="preserve"> such as unemployment benefits</w:t>
      </w:r>
      <w:r w:rsidR="009B36EE" w:rsidRPr="00B81049">
        <w:rPr>
          <w:rFonts w:cs="Times New Roman"/>
          <w:sz w:val="22"/>
          <w:szCs w:val="22"/>
          <w:lang w:val="en-GB"/>
        </w:rPr>
        <w:t xml:space="preserve">. </w:t>
      </w:r>
    </w:p>
    <w:p w:rsidR="005B3BC0" w:rsidRDefault="005B3BC0" w:rsidP="005B3BC0">
      <w:pPr>
        <w:autoSpaceDE w:val="0"/>
        <w:autoSpaceDN w:val="0"/>
        <w:adjustRightInd w:val="0"/>
        <w:rPr>
          <w:rFonts w:cs="Times New Roman"/>
          <w:sz w:val="22"/>
          <w:szCs w:val="22"/>
          <w:lang w:val="en-GB"/>
        </w:rPr>
      </w:pPr>
    </w:p>
    <w:p w:rsidR="00143569" w:rsidRDefault="009B36EE" w:rsidP="005B3BC0">
      <w:pPr>
        <w:autoSpaceDE w:val="0"/>
        <w:autoSpaceDN w:val="0"/>
        <w:adjustRightInd w:val="0"/>
        <w:ind w:left="708"/>
        <w:rPr>
          <w:rFonts w:cs="Times New Roman"/>
          <w:i/>
          <w:sz w:val="22"/>
          <w:szCs w:val="22"/>
          <w:lang w:val="en-GB"/>
        </w:rPr>
      </w:pPr>
      <w:r w:rsidRPr="00B81049">
        <w:rPr>
          <w:rFonts w:cs="Times New Roman"/>
          <w:i/>
          <w:sz w:val="22"/>
          <w:szCs w:val="22"/>
          <w:lang w:val="en-GB"/>
        </w:rPr>
        <w:t xml:space="preserve">Condition 4: </w:t>
      </w:r>
      <w:r w:rsidRPr="00B81049">
        <w:rPr>
          <w:rFonts w:cs="Times New Roman"/>
          <w:sz w:val="22"/>
          <w:szCs w:val="22"/>
          <w:lang w:val="en-GB"/>
        </w:rPr>
        <w:t>High union central authority leads to union inclusiveness towards TAWs</w:t>
      </w:r>
      <w:r w:rsidRPr="00B81049">
        <w:rPr>
          <w:rFonts w:cs="Times New Roman"/>
          <w:i/>
          <w:sz w:val="22"/>
          <w:szCs w:val="22"/>
          <w:lang w:val="en-GB"/>
        </w:rPr>
        <w:t>.</w:t>
      </w:r>
    </w:p>
    <w:p w:rsidR="003F7BB7" w:rsidRPr="0086618E" w:rsidRDefault="003F7BB7" w:rsidP="00143569">
      <w:pPr>
        <w:autoSpaceDE w:val="0"/>
        <w:autoSpaceDN w:val="0"/>
        <w:adjustRightInd w:val="0"/>
        <w:rPr>
          <w:rFonts w:cs="Times New Roman"/>
          <w:i/>
          <w:szCs w:val="22"/>
          <w:lang w:val="en-GB"/>
        </w:rPr>
      </w:pPr>
      <w:bookmarkStart w:id="1" w:name="_Toc325385687"/>
    </w:p>
    <w:bookmarkEnd w:id="1"/>
    <w:p w:rsidR="005B3BC0" w:rsidRDefault="005B3BC0" w:rsidP="00143569">
      <w:pPr>
        <w:pStyle w:val="Titolo2"/>
        <w:numPr>
          <w:ilvl w:val="0"/>
          <w:numId w:val="0"/>
        </w:numPr>
        <w:spacing w:before="0"/>
        <w:rPr>
          <w:rFonts w:ascii="Arial" w:hAnsi="Arial" w:cs="Arial"/>
          <w:b w:val="0"/>
          <w:i/>
          <w:color w:val="auto"/>
          <w:sz w:val="24"/>
          <w:szCs w:val="24"/>
          <w:lang w:val="en-GB"/>
        </w:rPr>
      </w:pPr>
    </w:p>
    <w:p w:rsidR="00143569" w:rsidRPr="009A0EE3" w:rsidRDefault="009B36EE" w:rsidP="00143569">
      <w:pPr>
        <w:pStyle w:val="Titolo2"/>
        <w:numPr>
          <w:ilvl w:val="0"/>
          <w:numId w:val="0"/>
        </w:numPr>
        <w:spacing w:before="0"/>
        <w:rPr>
          <w:rFonts w:ascii="Arial" w:hAnsi="Arial" w:cs="Arial"/>
          <w:b w:val="0"/>
          <w:i/>
          <w:color w:val="auto"/>
          <w:sz w:val="22"/>
          <w:szCs w:val="22"/>
          <w:lang w:val="en-GB"/>
        </w:rPr>
      </w:pPr>
      <w:r w:rsidRPr="009A0EE3">
        <w:rPr>
          <w:rFonts w:ascii="Arial" w:hAnsi="Arial" w:cs="Arial"/>
          <w:b w:val="0"/>
          <w:i/>
          <w:color w:val="auto"/>
          <w:sz w:val="22"/>
          <w:szCs w:val="22"/>
          <w:lang w:val="en-GB"/>
        </w:rPr>
        <w:t xml:space="preserve">Explaining the Southern path </w:t>
      </w:r>
    </w:p>
    <w:p w:rsidR="005B3BC0" w:rsidRDefault="005B3BC0" w:rsidP="00143569">
      <w:pPr>
        <w:autoSpaceDE w:val="0"/>
        <w:autoSpaceDN w:val="0"/>
        <w:adjustRightInd w:val="0"/>
        <w:rPr>
          <w:rFonts w:cs="Times New Roman"/>
          <w:sz w:val="22"/>
          <w:szCs w:val="22"/>
          <w:lang w:val="en-GB"/>
        </w:rPr>
      </w:pPr>
    </w:p>
    <w:p w:rsidR="00143569" w:rsidRDefault="009B36EE" w:rsidP="00143569">
      <w:pPr>
        <w:autoSpaceDE w:val="0"/>
        <w:autoSpaceDN w:val="0"/>
        <w:adjustRightInd w:val="0"/>
        <w:rPr>
          <w:rFonts w:cs="Times New Roman"/>
          <w:sz w:val="22"/>
          <w:szCs w:val="22"/>
          <w:lang w:val="en-GB"/>
        </w:rPr>
      </w:pPr>
      <w:r w:rsidRPr="00B81049">
        <w:rPr>
          <w:rFonts w:cs="Times New Roman"/>
          <w:sz w:val="22"/>
          <w:szCs w:val="22"/>
          <w:lang w:val="en-GB"/>
        </w:rPr>
        <w:t xml:space="preserve">According to the comparative political economy literature, France, Italy and Spain </w:t>
      </w:r>
      <w:r w:rsidR="005B3BC0">
        <w:rPr>
          <w:rFonts w:cs="Times New Roman"/>
          <w:sz w:val="22"/>
          <w:szCs w:val="22"/>
          <w:lang w:val="en-GB"/>
        </w:rPr>
        <w:t>demonstrate</w:t>
      </w:r>
      <w:r w:rsidRPr="00B81049">
        <w:rPr>
          <w:rFonts w:cs="Times New Roman"/>
          <w:sz w:val="22"/>
          <w:szCs w:val="22"/>
          <w:lang w:val="en-GB"/>
        </w:rPr>
        <w:t xml:space="preserve"> pervasive </w:t>
      </w:r>
      <w:r w:rsidR="005B3BC0" w:rsidRPr="00B81049">
        <w:rPr>
          <w:rFonts w:cs="Times New Roman"/>
          <w:sz w:val="22"/>
          <w:szCs w:val="22"/>
          <w:lang w:val="en-GB"/>
        </w:rPr>
        <w:t xml:space="preserve">state </w:t>
      </w:r>
      <w:r w:rsidRPr="00B81049">
        <w:rPr>
          <w:rFonts w:cs="Times New Roman"/>
          <w:sz w:val="22"/>
          <w:szCs w:val="22"/>
          <w:lang w:val="en-GB"/>
        </w:rPr>
        <w:t xml:space="preserve">regulatory interventions in the market, including the labour market </w:t>
      </w:r>
      <w:r w:rsidRPr="00B81049">
        <w:rPr>
          <w:rFonts w:cs="Times New Roman"/>
          <w:noProof/>
          <w:sz w:val="22"/>
          <w:szCs w:val="22"/>
          <w:lang w:val="en-GB"/>
        </w:rPr>
        <w:t>(Schmidt</w:t>
      </w:r>
      <w:r w:rsidR="009B79A3" w:rsidRPr="00B81049">
        <w:rPr>
          <w:rFonts w:cs="Times New Roman"/>
          <w:noProof/>
          <w:sz w:val="22"/>
          <w:szCs w:val="22"/>
          <w:lang w:val="en-GB"/>
        </w:rPr>
        <w:t>,</w:t>
      </w:r>
      <w:r w:rsidRPr="00B81049">
        <w:rPr>
          <w:rFonts w:cs="Times New Roman"/>
          <w:noProof/>
          <w:sz w:val="22"/>
          <w:szCs w:val="22"/>
          <w:lang w:val="en-GB"/>
        </w:rPr>
        <w:t xml:space="preserve"> 2006)</w:t>
      </w:r>
      <w:r w:rsidR="005B3BC0">
        <w:rPr>
          <w:rFonts w:cs="Times New Roman"/>
          <w:noProof/>
          <w:sz w:val="22"/>
          <w:szCs w:val="22"/>
          <w:lang w:val="en-GB"/>
        </w:rPr>
        <w:t>; and</w:t>
      </w:r>
      <w:r w:rsidRPr="00B81049">
        <w:rPr>
          <w:rFonts w:cs="Times New Roman"/>
          <w:sz w:val="22"/>
          <w:szCs w:val="22"/>
          <w:lang w:val="en-GB"/>
        </w:rPr>
        <w:t xml:space="preserve"> dense labour market regulation is usually a source of union power</w:t>
      </w:r>
      <w:r w:rsidR="004654A7" w:rsidRPr="00B81049">
        <w:rPr>
          <w:rFonts w:cs="Times New Roman"/>
          <w:sz w:val="22"/>
          <w:szCs w:val="22"/>
          <w:lang w:val="en-GB"/>
        </w:rPr>
        <w:t xml:space="preserve"> </w:t>
      </w:r>
      <w:r w:rsidR="004654A7" w:rsidRPr="00B81049">
        <w:rPr>
          <w:rFonts w:cs="Times New Roman"/>
          <w:noProof/>
          <w:sz w:val="22"/>
          <w:szCs w:val="22"/>
          <w:lang w:val="en-GB"/>
        </w:rPr>
        <w:t>(Doellgast and Benassi</w:t>
      </w:r>
      <w:r w:rsidR="009B79A3" w:rsidRPr="00B81049">
        <w:rPr>
          <w:rFonts w:cs="Times New Roman"/>
          <w:noProof/>
          <w:sz w:val="22"/>
          <w:szCs w:val="22"/>
          <w:lang w:val="en-GB"/>
        </w:rPr>
        <w:t>,</w:t>
      </w:r>
      <w:r w:rsidR="004654A7" w:rsidRPr="00B81049">
        <w:rPr>
          <w:rFonts w:cs="Times New Roman"/>
          <w:noProof/>
          <w:sz w:val="22"/>
          <w:szCs w:val="22"/>
          <w:lang w:val="en-GB"/>
        </w:rPr>
        <w:t xml:space="preserve"> 2014: 229</w:t>
      </w:r>
      <w:r w:rsidR="005B3BC0">
        <w:rPr>
          <w:rFonts w:cs="Times New Roman"/>
          <w:noProof/>
          <w:sz w:val="22"/>
          <w:szCs w:val="22"/>
          <w:lang w:val="en-GB"/>
        </w:rPr>
        <w:t>-230</w:t>
      </w:r>
      <w:r w:rsidR="004654A7" w:rsidRPr="00B81049">
        <w:rPr>
          <w:rFonts w:cs="Times New Roman"/>
          <w:noProof/>
          <w:sz w:val="22"/>
          <w:szCs w:val="22"/>
          <w:lang w:val="en-GB"/>
        </w:rPr>
        <w:t>)</w:t>
      </w:r>
      <w:r w:rsidR="005B3BC0">
        <w:rPr>
          <w:rFonts w:cs="Times New Roman"/>
          <w:noProof/>
          <w:sz w:val="22"/>
          <w:szCs w:val="22"/>
          <w:lang w:val="en-GB"/>
        </w:rPr>
        <w:t>.</w:t>
      </w:r>
      <w:r w:rsidR="0061223E" w:rsidRPr="00B81049">
        <w:rPr>
          <w:rFonts w:cs="Times New Roman"/>
          <w:sz w:val="22"/>
          <w:szCs w:val="22"/>
          <w:lang w:val="en-GB"/>
        </w:rPr>
        <w:t xml:space="preserve"> </w:t>
      </w:r>
      <w:r w:rsidR="005B3BC0">
        <w:rPr>
          <w:rFonts w:cs="Times New Roman"/>
          <w:sz w:val="22"/>
          <w:szCs w:val="22"/>
          <w:lang w:val="en-GB"/>
        </w:rPr>
        <w:t>Conversely</w:t>
      </w:r>
      <w:r w:rsidRPr="00B81049">
        <w:rPr>
          <w:rFonts w:cs="Times New Roman"/>
          <w:sz w:val="22"/>
          <w:szCs w:val="22"/>
          <w:lang w:val="en-GB"/>
        </w:rPr>
        <w:t xml:space="preserve">, loopholes in </w:t>
      </w:r>
      <w:r w:rsidR="005B3BC0" w:rsidRPr="00B81049">
        <w:rPr>
          <w:rFonts w:cs="Times New Roman"/>
          <w:sz w:val="22"/>
          <w:szCs w:val="22"/>
          <w:lang w:val="en-GB"/>
        </w:rPr>
        <w:t xml:space="preserve">TAW </w:t>
      </w:r>
      <w:r w:rsidRPr="00B81049">
        <w:rPr>
          <w:rFonts w:cs="Times New Roman"/>
          <w:sz w:val="22"/>
          <w:szCs w:val="22"/>
          <w:lang w:val="en-GB"/>
        </w:rPr>
        <w:t xml:space="preserve">regulation </w:t>
      </w:r>
      <w:r w:rsidR="008352FF" w:rsidRPr="00B81049">
        <w:rPr>
          <w:rFonts w:cs="Times New Roman"/>
          <w:sz w:val="22"/>
          <w:szCs w:val="22"/>
          <w:lang w:val="en-GB"/>
        </w:rPr>
        <w:t xml:space="preserve">were found to </w:t>
      </w:r>
      <w:r w:rsidRPr="00B81049">
        <w:rPr>
          <w:rFonts w:cs="Times New Roman"/>
          <w:sz w:val="22"/>
          <w:szCs w:val="22"/>
          <w:lang w:val="en-GB"/>
        </w:rPr>
        <w:t xml:space="preserve">restrain unions’ ability to bargain for these workers because they offer employers exit options from collective agreements </w:t>
      </w:r>
      <w:r w:rsidRPr="00B81049">
        <w:rPr>
          <w:rFonts w:cs="Times New Roman"/>
          <w:noProof/>
          <w:sz w:val="22"/>
          <w:szCs w:val="22"/>
        </w:rPr>
        <w:t>(Bosch et al.</w:t>
      </w:r>
      <w:r w:rsidR="002520AC" w:rsidRPr="00B81049">
        <w:rPr>
          <w:rFonts w:cs="Times New Roman"/>
          <w:noProof/>
          <w:sz w:val="22"/>
          <w:szCs w:val="22"/>
        </w:rPr>
        <w:t>,</w:t>
      </w:r>
      <w:r w:rsidRPr="00B81049">
        <w:rPr>
          <w:rFonts w:cs="Times New Roman"/>
          <w:noProof/>
          <w:sz w:val="22"/>
          <w:szCs w:val="22"/>
        </w:rPr>
        <w:t xml:space="preserve"> 2010)</w:t>
      </w:r>
      <w:r w:rsidRPr="00B81049">
        <w:rPr>
          <w:rFonts w:cs="Times New Roman"/>
          <w:sz w:val="22"/>
          <w:szCs w:val="22"/>
        </w:rPr>
        <w:t>.</w:t>
      </w:r>
      <w:r w:rsidRPr="00B81049">
        <w:rPr>
          <w:rFonts w:cs="Times New Roman"/>
          <w:sz w:val="22"/>
          <w:szCs w:val="22"/>
          <w:lang w:val="en-GB"/>
        </w:rPr>
        <w:t xml:space="preserve"> </w:t>
      </w:r>
    </w:p>
    <w:p w:rsidR="005B3BC0" w:rsidRDefault="005B3BC0" w:rsidP="00143569">
      <w:pPr>
        <w:autoSpaceDE w:val="0"/>
        <w:autoSpaceDN w:val="0"/>
        <w:adjustRightInd w:val="0"/>
        <w:rPr>
          <w:rFonts w:cs="Times New Roman"/>
          <w:sz w:val="22"/>
          <w:szCs w:val="22"/>
          <w:lang w:val="en-GB"/>
        </w:rPr>
      </w:pPr>
    </w:p>
    <w:p w:rsidR="00143569" w:rsidRDefault="009B36EE" w:rsidP="005B3BC0">
      <w:pPr>
        <w:autoSpaceDE w:val="0"/>
        <w:autoSpaceDN w:val="0"/>
        <w:adjustRightInd w:val="0"/>
        <w:ind w:left="708"/>
        <w:rPr>
          <w:rFonts w:cs="Times New Roman"/>
          <w:sz w:val="22"/>
          <w:szCs w:val="22"/>
          <w:lang w:val="en-GB"/>
        </w:rPr>
      </w:pPr>
      <w:r w:rsidRPr="00B81049">
        <w:rPr>
          <w:rFonts w:cs="Times New Roman"/>
          <w:i/>
          <w:sz w:val="22"/>
          <w:szCs w:val="22"/>
          <w:lang w:val="en-GB"/>
        </w:rPr>
        <w:t xml:space="preserve">Condition 5. </w:t>
      </w:r>
      <w:r w:rsidRPr="00B81049">
        <w:rPr>
          <w:rFonts w:cs="Times New Roman"/>
          <w:sz w:val="22"/>
          <w:szCs w:val="22"/>
          <w:lang w:val="en-GB"/>
        </w:rPr>
        <w:t xml:space="preserve">The presence of law regulating </w:t>
      </w:r>
      <w:r w:rsidR="004654A7" w:rsidRPr="00B81049">
        <w:rPr>
          <w:rFonts w:cs="Times New Roman"/>
          <w:sz w:val="22"/>
          <w:szCs w:val="22"/>
          <w:lang w:val="en-GB"/>
        </w:rPr>
        <w:t>TAW</w:t>
      </w:r>
      <w:r w:rsidRPr="00B81049">
        <w:rPr>
          <w:rFonts w:cs="Times New Roman"/>
          <w:sz w:val="22"/>
          <w:szCs w:val="22"/>
          <w:lang w:val="en-GB"/>
        </w:rPr>
        <w:t xml:space="preserve"> and putting it under unions’ domain leads to union inclusiveness towards TAWs.</w:t>
      </w:r>
    </w:p>
    <w:p w:rsidR="005B3BC0" w:rsidRDefault="005B3BC0" w:rsidP="00143569">
      <w:pPr>
        <w:autoSpaceDE w:val="0"/>
        <w:autoSpaceDN w:val="0"/>
        <w:adjustRightInd w:val="0"/>
        <w:rPr>
          <w:rFonts w:cs="Times New Roman"/>
          <w:sz w:val="22"/>
          <w:szCs w:val="22"/>
          <w:lang w:val="en-GB"/>
        </w:rPr>
      </w:pPr>
    </w:p>
    <w:p w:rsidR="00143569" w:rsidRDefault="005B3BC0" w:rsidP="005B3BC0">
      <w:pPr>
        <w:autoSpaceDE w:val="0"/>
        <w:autoSpaceDN w:val="0"/>
        <w:adjustRightInd w:val="0"/>
        <w:rPr>
          <w:rFonts w:cs="Times New Roman"/>
          <w:sz w:val="22"/>
          <w:szCs w:val="22"/>
          <w:lang w:val="en-GB"/>
        </w:rPr>
      </w:pPr>
      <w:r>
        <w:rPr>
          <w:rFonts w:cs="Times New Roman"/>
          <w:sz w:val="22"/>
          <w:szCs w:val="22"/>
          <w:lang w:val="en-GB"/>
        </w:rPr>
        <w:tab/>
      </w:r>
      <w:r w:rsidR="009B36EE" w:rsidRPr="00B81049">
        <w:rPr>
          <w:rFonts w:cs="Times New Roman"/>
          <w:sz w:val="22"/>
          <w:szCs w:val="22"/>
          <w:lang w:val="en-GB"/>
        </w:rPr>
        <w:t xml:space="preserve">A large and growing temporary sector is likely to push unions to </w:t>
      </w:r>
      <w:r w:rsidR="00E2200B">
        <w:rPr>
          <w:rFonts w:cs="Times New Roman"/>
          <w:sz w:val="22"/>
          <w:szCs w:val="22"/>
          <w:lang w:val="en-GB"/>
        </w:rPr>
        <w:t>seek</w:t>
      </w:r>
      <w:r w:rsidR="009B36EE" w:rsidRPr="00B81049">
        <w:rPr>
          <w:rFonts w:cs="Times New Roman"/>
          <w:sz w:val="22"/>
          <w:szCs w:val="22"/>
          <w:lang w:val="en-GB"/>
        </w:rPr>
        <w:t xml:space="preserve"> the regulation of the sector and to include contingent workers in their representation domain </w:t>
      </w:r>
      <w:r w:rsidR="009B36EE" w:rsidRPr="00B81049">
        <w:rPr>
          <w:rFonts w:cs="Times New Roman"/>
          <w:noProof/>
          <w:sz w:val="22"/>
          <w:szCs w:val="22"/>
          <w:lang w:val="en-GB"/>
        </w:rPr>
        <w:t>(</w:t>
      </w:r>
      <w:r w:rsidR="00E2200B" w:rsidRPr="00B81049">
        <w:rPr>
          <w:rFonts w:cs="Times New Roman"/>
          <w:noProof/>
          <w:sz w:val="22"/>
          <w:szCs w:val="22"/>
          <w:lang w:val="en-GB"/>
        </w:rPr>
        <w:t>Benassi and Dorigatti, 2014</w:t>
      </w:r>
      <w:r w:rsidR="00E2200B">
        <w:rPr>
          <w:rFonts w:cs="Times New Roman"/>
          <w:noProof/>
          <w:sz w:val="22"/>
          <w:szCs w:val="22"/>
          <w:lang w:val="en-GB"/>
        </w:rPr>
        <w:t xml:space="preserve">; </w:t>
      </w:r>
      <w:r w:rsidR="009B36EE" w:rsidRPr="00B81049">
        <w:rPr>
          <w:rFonts w:cs="Times New Roman"/>
          <w:noProof/>
          <w:sz w:val="22"/>
          <w:szCs w:val="22"/>
          <w:lang w:val="en-GB"/>
        </w:rPr>
        <w:t>Keune</w:t>
      </w:r>
      <w:r w:rsidR="00394C20" w:rsidRPr="00B81049">
        <w:rPr>
          <w:rFonts w:cs="Times New Roman"/>
          <w:noProof/>
          <w:sz w:val="22"/>
          <w:szCs w:val="22"/>
          <w:lang w:val="en-GB"/>
        </w:rPr>
        <w:t>,</w:t>
      </w:r>
      <w:r w:rsidR="009B36EE" w:rsidRPr="00B81049">
        <w:rPr>
          <w:rFonts w:cs="Times New Roman"/>
          <w:noProof/>
          <w:sz w:val="22"/>
          <w:szCs w:val="22"/>
          <w:lang w:val="en-GB"/>
        </w:rPr>
        <w:t xml:space="preserve"> 2013: 66)</w:t>
      </w:r>
      <w:r w:rsidR="009B36EE" w:rsidRPr="00B81049">
        <w:rPr>
          <w:rFonts w:cs="Times New Roman"/>
          <w:sz w:val="22"/>
          <w:szCs w:val="22"/>
          <w:lang w:val="en-GB"/>
        </w:rPr>
        <w:t xml:space="preserve">. For instance, </w:t>
      </w:r>
      <w:r w:rsidR="008352FF" w:rsidRPr="00B81049">
        <w:rPr>
          <w:rFonts w:cs="Times New Roman"/>
          <w:sz w:val="22"/>
          <w:szCs w:val="22"/>
          <w:lang w:val="en-GB"/>
        </w:rPr>
        <w:t xml:space="preserve">French </w:t>
      </w:r>
      <w:r w:rsidR="009B36EE" w:rsidRPr="00B81049">
        <w:rPr>
          <w:rFonts w:cs="Times New Roman"/>
          <w:sz w:val="22"/>
          <w:szCs w:val="22"/>
          <w:lang w:val="en-GB"/>
        </w:rPr>
        <w:t xml:space="preserve">unions </w:t>
      </w:r>
      <w:r w:rsidR="00E2200B">
        <w:rPr>
          <w:rFonts w:cs="Times New Roman"/>
          <w:sz w:val="22"/>
          <w:szCs w:val="22"/>
          <w:lang w:val="en-GB"/>
        </w:rPr>
        <w:t>demanded greater</w:t>
      </w:r>
      <w:r w:rsidR="009B36EE" w:rsidRPr="00B81049">
        <w:rPr>
          <w:rFonts w:cs="Times New Roman"/>
          <w:sz w:val="22"/>
          <w:szCs w:val="22"/>
          <w:lang w:val="en-GB"/>
        </w:rPr>
        <w:t xml:space="preserve"> employment protection for temporary workers</w:t>
      </w:r>
      <w:r w:rsidR="00E2200B">
        <w:rPr>
          <w:rFonts w:cs="Times New Roman"/>
          <w:sz w:val="22"/>
          <w:szCs w:val="22"/>
          <w:lang w:val="en-GB"/>
        </w:rPr>
        <w:t>,</w:t>
      </w:r>
      <w:r w:rsidR="009B36EE" w:rsidRPr="00B81049">
        <w:rPr>
          <w:rFonts w:cs="Times New Roman"/>
          <w:sz w:val="22"/>
          <w:szCs w:val="22"/>
          <w:lang w:val="en-GB"/>
        </w:rPr>
        <w:t xml:space="preserve"> because they feared that this growing workforce segment would undermine the core workforce</w:t>
      </w:r>
      <w:r w:rsidR="008352FF" w:rsidRPr="00B81049">
        <w:rPr>
          <w:rFonts w:cs="Times New Roman"/>
          <w:sz w:val="22"/>
          <w:szCs w:val="22"/>
          <w:lang w:val="en-GB"/>
        </w:rPr>
        <w:t xml:space="preserve"> (Vlandas</w:t>
      </w:r>
      <w:r w:rsidR="009B79A3" w:rsidRPr="00B81049">
        <w:rPr>
          <w:rFonts w:cs="Times New Roman"/>
          <w:sz w:val="22"/>
          <w:szCs w:val="22"/>
          <w:lang w:val="en-GB"/>
        </w:rPr>
        <w:t>,</w:t>
      </w:r>
      <w:r w:rsidR="008352FF" w:rsidRPr="00B81049">
        <w:rPr>
          <w:rFonts w:cs="Times New Roman"/>
          <w:sz w:val="22"/>
          <w:szCs w:val="22"/>
          <w:lang w:val="en-GB"/>
        </w:rPr>
        <w:t xml:space="preserve"> </w:t>
      </w:r>
      <w:r w:rsidR="008352FF" w:rsidRPr="00B81049">
        <w:rPr>
          <w:rFonts w:cs="Times New Roman"/>
          <w:noProof/>
          <w:sz w:val="22"/>
          <w:szCs w:val="22"/>
          <w:lang w:val="en-GB"/>
        </w:rPr>
        <w:t>2013a)</w:t>
      </w:r>
      <w:r w:rsidR="009B36EE" w:rsidRPr="00B81049">
        <w:rPr>
          <w:rFonts w:cs="Times New Roman"/>
          <w:sz w:val="22"/>
          <w:szCs w:val="22"/>
          <w:lang w:val="en-GB"/>
        </w:rPr>
        <w:t xml:space="preserve">. </w:t>
      </w:r>
    </w:p>
    <w:p w:rsidR="00E2200B" w:rsidRDefault="00E2200B" w:rsidP="005B3BC0">
      <w:pPr>
        <w:autoSpaceDE w:val="0"/>
        <w:autoSpaceDN w:val="0"/>
        <w:adjustRightInd w:val="0"/>
        <w:rPr>
          <w:rFonts w:cs="Times New Roman"/>
          <w:sz w:val="22"/>
          <w:szCs w:val="22"/>
          <w:lang w:val="en-GB"/>
        </w:rPr>
      </w:pPr>
    </w:p>
    <w:p w:rsidR="00143569" w:rsidRDefault="009B36EE" w:rsidP="00E2200B">
      <w:pPr>
        <w:ind w:left="708"/>
        <w:rPr>
          <w:rFonts w:cs="Times New Roman"/>
          <w:sz w:val="22"/>
          <w:szCs w:val="22"/>
          <w:lang w:val="en-GB"/>
        </w:rPr>
      </w:pPr>
      <w:r w:rsidRPr="00B81049">
        <w:rPr>
          <w:rFonts w:cs="Times New Roman"/>
          <w:i/>
          <w:sz w:val="22"/>
          <w:szCs w:val="22"/>
          <w:lang w:val="en-GB"/>
        </w:rPr>
        <w:t xml:space="preserve">Condition 6. </w:t>
      </w:r>
      <w:r w:rsidRPr="00B81049">
        <w:rPr>
          <w:rFonts w:cs="Times New Roman"/>
          <w:sz w:val="22"/>
          <w:szCs w:val="22"/>
          <w:lang w:val="en-GB"/>
        </w:rPr>
        <w:t>The large presence of temporary work in the labour market leads to union inclusiveness towards TAWs.</w:t>
      </w:r>
      <w:bookmarkStart w:id="2" w:name="_Toc325385688"/>
    </w:p>
    <w:p w:rsidR="00E2200B" w:rsidRDefault="00E2200B" w:rsidP="00143569">
      <w:pPr>
        <w:rPr>
          <w:rFonts w:cs="Times New Roman"/>
          <w:sz w:val="22"/>
          <w:szCs w:val="22"/>
          <w:lang w:val="en-GB"/>
        </w:rPr>
      </w:pPr>
    </w:p>
    <w:p w:rsidR="00143569" w:rsidRDefault="00E2200B" w:rsidP="00E2200B">
      <w:pPr>
        <w:rPr>
          <w:rFonts w:cs="Times New Roman"/>
          <w:sz w:val="22"/>
          <w:szCs w:val="22"/>
        </w:rPr>
      </w:pPr>
      <w:r>
        <w:rPr>
          <w:rFonts w:cs="Times New Roman"/>
          <w:sz w:val="22"/>
          <w:szCs w:val="22"/>
          <w:lang w:val="en-GB"/>
        </w:rPr>
        <w:tab/>
      </w:r>
      <w:r w:rsidR="009B36EE" w:rsidRPr="00B81049">
        <w:rPr>
          <w:rFonts w:cs="Times New Roman"/>
          <w:sz w:val="22"/>
          <w:szCs w:val="22"/>
          <w:lang w:val="en-GB"/>
        </w:rPr>
        <w:t xml:space="preserve">All factors mentioned above explain union inclusiveness in both Northern and Southern Europe as a </w:t>
      </w:r>
      <w:r>
        <w:rPr>
          <w:rFonts w:cs="Times New Roman"/>
          <w:sz w:val="22"/>
          <w:szCs w:val="22"/>
          <w:lang w:val="en-GB"/>
        </w:rPr>
        <w:t>response</w:t>
      </w:r>
      <w:r w:rsidR="009B36EE" w:rsidRPr="00B81049">
        <w:rPr>
          <w:rFonts w:cs="Times New Roman"/>
          <w:sz w:val="22"/>
          <w:szCs w:val="22"/>
          <w:lang w:val="en-GB"/>
        </w:rPr>
        <w:t xml:space="preserve"> to a structure of incentives and of power resources provided by the institutional and economic context. However, existing literature </w:t>
      </w:r>
      <w:r w:rsidR="001000FA" w:rsidRPr="00B81049">
        <w:rPr>
          <w:rFonts w:cs="Times New Roman"/>
          <w:sz w:val="22"/>
          <w:szCs w:val="22"/>
          <w:lang w:val="en-GB"/>
        </w:rPr>
        <w:t>shows</w:t>
      </w:r>
      <w:r w:rsidR="009B36EE" w:rsidRPr="00B81049">
        <w:rPr>
          <w:rFonts w:cs="Times New Roman"/>
          <w:sz w:val="22"/>
          <w:szCs w:val="22"/>
          <w:lang w:val="en-GB"/>
        </w:rPr>
        <w:t xml:space="preserve"> that unions</w:t>
      </w:r>
      <w:r w:rsidR="00F953E9" w:rsidRPr="00B81049">
        <w:rPr>
          <w:rFonts w:cs="Times New Roman"/>
          <w:sz w:val="22"/>
          <w:szCs w:val="22"/>
          <w:lang w:val="en-GB"/>
        </w:rPr>
        <w:t>’</w:t>
      </w:r>
      <w:r w:rsidR="009B36EE" w:rsidRPr="00B81049">
        <w:rPr>
          <w:rFonts w:cs="Times New Roman"/>
          <w:sz w:val="22"/>
          <w:szCs w:val="22"/>
          <w:lang w:val="en-GB"/>
        </w:rPr>
        <w:t xml:space="preserve"> strategies are also influenced by cultural and ideological factors </w:t>
      </w:r>
      <w:r w:rsidR="009B36EE" w:rsidRPr="00B81049">
        <w:rPr>
          <w:rFonts w:cs="Times New Roman"/>
          <w:noProof/>
          <w:sz w:val="22"/>
          <w:szCs w:val="22"/>
          <w:lang w:val="en-GB"/>
        </w:rPr>
        <w:t>(Meardi</w:t>
      </w:r>
      <w:r w:rsidR="009B79A3" w:rsidRPr="00B81049">
        <w:rPr>
          <w:rFonts w:cs="Times New Roman"/>
          <w:noProof/>
          <w:sz w:val="22"/>
          <w:szCs w:val="22"/>
          <w:lang w:val="en-GB"/>
        </w:rPr>
        <w:t>,</w:t>
      </w:r>
      <w:r w:rsidR="009B36EE" w:rsidRPr="00B81049">
        <w:rPr>
          <w:rFonts w:cs="Times New Roman"/>
          <w:noProof/>
          <w:sz w:val="22"/>
          <w:szCs w:val="22"/>
          <w:lang w:val="en-GB"/>
        </w:rPr>
        <w:t xml:space="preserve"> 2011</w:t>
      </w:r>
      <w:r w:rsidR="009B79A3" w:rsidRPr="00B81049">
        <w:rPr>
          <w:rFonts w:cs="Times New Roman"/>
          <w:noProof/>
          <w:sz w:val="22"/>
          <w:szCs w:val="22"/>
          <w:lang w:val="en-GB"/>
        </w:rPr>
        <w:t>;</w:t>
      </w:r>
      <w:r w:rsidR="009B36EE" w:rsidRPr="00B81049">
        <w:rPr>
          <w:rFonts w:cs="Times New Roman"/>
          <w:noProof/>
          <w:sz w:val="22"/>
          <w:szCs w:val="22"/>
          <w:lang w:val="en-GB"/>
        </w:rPr>
        <w:t xml:space="preserve"> Pulignano and Doerflinger</w:t>
      </w:r>
      <w:r w:rsidR="009B79A3" w:rsidRPr="00B81049">
        <w:rPr>
          <w:rFonts w:cs="Times New Roman"/>
          <w:noProof/>
          <w:sz w:val="22"/>
          <w:szCs w:val="22"/>
          <w:lang w:val="en-GB"/>
        </w:rPr>
        <w:t>,</w:t>
      </w:r>
      <w:r w:rsidR="009B36EE" w:rsidRPr="00B81049">
        <w:rPr>
          <w:rFonts w:cs="Times New Roman"/>
          <w:noProof/>
          <w:sz w:val="22"/>
          <w:szCs w:val="22"/>
          <w:lang w:val="en-GB"/>
        </w:rPr>
        <w:t xml:space="preserve"> 2013</w:t>
      </w:r>
      <w:r w:rsidR="009B79A3" w:rsidRPr="00B81049">
        <w:rPr>
          <w:rFonts w:cs="Times New Roman"/>
          <w:noProof/>
          <w:sz w:val="22"/>
          <w:szCs w:val="22"/>
          <w:lang w:val="en-GB"/>
        </w:rPr>
        <w:t>;</w:t>
      </w:r>
      <w:r w:rsidR="00FA1744" w:rsidRPr="00B81049">
        <w:rPr>
          <w:rFonts w:cs="Times New Roman"/>
          <w:noProof/>
          <w:sz w:val="22"/>
          <w:szCs w:val="22"/>
          <w:lang w:val="en-GB"/>
        </w:rPr>
        <w:t xml:space="preserve"> Vlandas</w:t>
      </w:r>
      <w:r w:rsidR="009B79A3" w:rsidRPr="00B81049">
        <w:rPr>
          <w:rFonts w:cs="Times New Roman"/>
          <w:noProof/>
          <w:sz w:val="22"/>
          <w:szCs w:val="22"/>
          <w:lang w:val="en-GB"/>
        </w:rPr>
        <w:t>,</w:t>
      </w:r>
      <w:r w:rsidR="00FA1744" w:rsidRPr="00B81049">
        <w:rPr>
          <w:rFonts w:cs="Times New Roman"/>
          <w:noProof/>
          <w:sz w:val="22"/>
          <w:szCs w:val="22"/>
          <w:lang w:val="en-GB"/>
        </w:rPr>
        <w:t xml:space="preserve"> 2013b</w:t>
      </w:r>
      <w:r w:rsidR="009B36EE" w:rsidRPr="00B81049">
        <w:rPr>
          <w:rFonts w:cs="Times New Roman"/>
          <w:noProof/>
          <w:sz w:val="22"/>
          <w:szCs w:val="22"/>
          <w:lang w:val="en-GB"/>
        </w:rPr>
        <w:t>)</w:t>
      </w:r>
      <w:r w:rsidR="009B36EE" w:rsidRPr="00B81049">
        <w:rPr>
          <w:rFonts w:cs="Times New Roman"/>
          <w:sz w:val="22"/>
          <w:szCs w:val="22"/>
          <w:lang w:val="en-GB"/>
        </w:rPr>
        <w:t xml:space="preserve">. </w:t>
      </w:r>
      <w:r w:rsidR="002520AC" w:rsidRPr="00B81049">
        <w:rPr>
          <w:rFonts w:cs="Times New Roman"/>
          <w:sz w:val="22"/>
          <w:szCs w:val="22"/>
          <w:lang w:val="en-GB"/>
        </w:rPr>
        <w:t>U</w:t>
      </w:r>
      <w:r w:rsidR="009B36EE" w:rsidRPr="00B81049">
        <w:rPr>
          <w:rFonts w:cs="Times New Roman"/>
          <w:sz w:val="22"/>
          <w:szCs w:val="22"/>
          <w:lang w:val="en-GB"/>
        </w:rPr>
        <w:t xml:space="preserve">nions </w:t>
      </w:r>
      <w:r>
        <w:rPr>
          <w:rFonts w:cs="Times New Roman"/>
          <w:sz w:val="22"/>
          <w:szCs w:val="22"/>
          <w:lang w:val="en-GB"/>
        </w:rPr>
        <w:t>must</w:t>
      </w:r>
      <w:r w:rsidR="009B36EE" w:rsidRPr="00B81049">
        <w:rPr>
          <w:rFonts w:cs="Times New Roman"/>
          <w:sz w:val="22"/>
          <w:szCs w:val="22"/>
          <w:lang w:val="en-GB"/>
        </w:rPr>
        <w:t xml:space="preserve"> be </w:t>
      </w:r>
      <w:r>
        <w:rPr>
          <w:rFonts w:cs="Times New Roman"/>
          <w:sz w:val="22"/>
          <w:szCs w:val="22"/>
          <w:lang w:val="en-GB"/>
        </w:rPr>
        <w:t>understood not</w:t>
      </w:r>
      <w:r w:rsidR="009B36EE" w:rsidRPr="00B81049">
        <w:rPr>
          <w:rFonts w:cs="Times New Roman"/>
          <w:sz w:val="22"/>
          <w:szCs w:val="22"/>
          <w:lang w:val="en-GB"/>
        </w:rPr>
        <w:t xml:space="preserve"> as </w:t>
      </w:r>
      <w:r>
        <w:rPr>
          <w:rFonts w:cs="Times New Roman"/>
          <w:sz w:val="22"/>
          <w:szCs w:val="22"/>
          <w:lang w:val="en-GB"/>
        </w:rPr>
        <w:t>‘</w:t>
      </w:r>
      <w:r w:rsidR="009B36EE" w:rsidRPr="00B81049">
        <w:rPr>
          <w:rFonts w:cs="Times New Roman"/>
          <w:sz w:val="22"/>
          <w:szCs w:val="22"/>
          <w:lang w:val="en-GB"/>
        </w:rPr>
        <w:t>rational</w:t>
      </w:r>
      <w:r>
        <w:rPr>
          <w:rFonts w:cs="Times New Roman"/>
          <w:sz w:val="22"/>
          <w:szCs w:val="22"/>
          <w:lang w:val="en-GB"/>
        </w:rPr>
        <w:t>’</w:t>
      </w:r>
      <w:r w:rsidR="009B36EE" w:rsidRPr="00B81049">
        <w:rPr>
          <w:rFonts w:cs="Times New Roman"/>
          <w:sz w:val="22"/>
          <w:szCs w:val="22"/>
          <w:lang w:val="en-GB"/>
        </w:rPr>
        <w:t xml:space="preserve"> actors with fixed interests but as actors with distinctive logics of action, or ideological orientation</w:t>
      </w:r>
      <w:r>
        <w:rPr>
          <w:rFonts w:cs="Times New Roman"/>
          <w:sz w:val="22"/>
          <w:szCs w:val="22"/>
          <w:lang w:val="en-GB"/>
        </w:rPr>
        <w:t>s</w:t>
      </w:r>
      <w:r w:rsidR="009B36EE" w:rsidRPr="00B81049">
        <w:rPr>
          <w:rFonts w:cs="Times New Roman"/>
          <w:sz w:val="22"/>
          <w:szCs w:val="22"/>
          <w:lang w:val="en-GB"/>
        </w:rPr>
        <w:t xml:space="preserve">, which derive from their embeddedness in the national context. </w:t>
      </w:r>
      <w:r w:rsidR="009B36EE" w:rsidRPr="00B81049">
        <w:rPr>
          <w:rFonts w:cs="Times New Roman"/>
          <w:sz w:val="22"/>
          <w:szCs w:val="22"/>
        </w:rPr>
        <w:t>According to Hyman (2001), union identities can be conceptual</w:t>
      </w:r>
      <w:r w:rsidR="008F693C">
        <w:rPr>
          <w:rFonts w:cs="Times New Roman"/>
          <w:sz w:val="22"/>
          <w:szCs w:val="22"/>
        </w:rPr>
        <w:t>ize</w:t>
      </w:r>
      <w:r w:rsidR="009B36EE" w:rsidRPr="00B81049">
        <w:rPr>
          <w:rFonts w:cs="Times New Roman"/>
          <w:sz w:val="22"/>
          <w:szCs w:val="22"/>
        </w:rPr>
        <w:t xml:space="preserve">d </w:t>
      </w:r>
      <w:r>
        <w:rPr>
          <w:rFonts w:cs="Times New Roman"/>
          <w:sz w:val="22"/>
          <w:szCs w:val="22"/>
        </w:rPr>
        <w:t>within a tension</w:t>
      </w:r>
      <w:r w:rsidR="009B36EE" w:rsidRPr="00B81049">
        <w:rPr>
          <w:rFonts w:cs="Times New Roman"/>
          <w:sz w:val="22"/>
          <w:szCs w:val="22"/>
        </w:rPr>
        <w:t xml:space="preserve"> between market, class and society, which </w:t>
      </w:r>
      <w:r>
        <w:rPr>
          <w:rFonts w:cs="Times New Roman"/>
          <w:sz w:val="22"/>
          <w:szCs w:val="22"/>
        </w:rPr>
        <w:t>generate</w:t>
      </w:r>
      <w:r w:rsidR="009B36EE" w:rsidRPr="00B81049">
        <w:rPr>
          <w:rFonts w:cs="Times New Roman"/>
          <w:sz w:val="22"/>
          <w:szCs w:val="22"/>
        </w:rPr>
        <w:t xml:space="preserve"> three ideal type</w:t>
      </w:r>
      <w:r>
        <w:rPr>
          <w:rFonts w:cs="Times New Roman"/>
          <w:sz w:val="22"/>
          <w:szCs w:val="22"/>
        </w:rPr>
        <w:t>s</w:t>
      </w:r>
      <w:r w:rsidR="009B36EE" w:rsidRPr="00B81049">
        <w:rPr>
          <w:rFonts w:cs="Times New Roman"/>
          <w:sz w:val="22"/>
          <w:szCs w:val="22"/>
        </w:rPr>
        <w:t xml:space="preserve">: </w:t>
      </w:r>
      <w:r>
        <w:rPr>
          <w:rFonts w:cs="Times New Roman"/>
          <w:sz w:val="22"/>
          <w:szCs w:val="22"/>
        </w:rPr>
        <w:t>b</w:t>
      </w:r>
      <w:r w:rsidR="009B36EE" w:rsidRPr="00B81049">
        <w:rPr>
          <w:rFonts w:cs="Times New Roman"/>
          <w:sz w:val="22"/>
          <w:szCs w:val="22"/>
        </w:rPr>
        <w:t>usiness unionism, class unionism and social partnership. The identity of a union never fully overlaps with one ideal type</w:t>
      </w:r>
      <w:r w:rsidR="00243FFA" w:rsidRPr="00B81049">
        <w:rPr>
          <w:rFonts w:cs="Times New Roman"/>
          <w:sz w:val="22"/>
          <w:szCs w:val="22"/>
        </w:rPr>
        <w:t xml:space="preserve">: </w:t>
      </w:r>
      <w:r w:rsidR="009B36EE" w:rsidRPr="00B81049">
        <w:rPr>
          <w:rFonts w:cs="Times New Roman"/>
          <w:sz w:val="22"/>
          <w:szCs w:val="22"/>
        </w:rPr>
        <w:t xml:space="preserve">unions are caught in a tension between two of the three ideal types, </w:t>
      </w:r>
      <w:r w:rsidR="002520AC" w:rsidRPr="00B81049">
        <w:rPr>
          <w:rFonts w:cs="Times New Roman"/>
          <w:sz w:val="22"/>
          <w:szCs w:val="22"/>
        </w:rPr>
        <w:t xml:space="preserve">and tend </w:t>
      </w:r>
      <w:r w:rsidR="009B36EE" w:rsidRPr="00B81049">
        <w:rPr>
          <w:rFonts w:cs="Times New Roman"/>
          <w:sz w:val="22"/>
          <w:szCs w:val="22"/>
        </w:rPr>
        <w:t>either to the one or the other extreme</w:t>
      </w:r>
      <w:r w:rsidR="002520AC" w:rsidRPr="00B81049">
        <w:rPr>
          <w:rFonts w:cs="Times New Roman"/>
          <w:sz w:val="22"/>
          <w:szCs w:val="22"/>
        </w:rPr>
        <w:t xml:space="preserve"> d</w:t>
      </w:r>
      <w:r w:rsidR="009B36EE" w:rsidRPr="00B81049">
        <w:rPr>
          <w:rFonts w:cs="Times New Roman"/>
          <w:sz w:val="22"/>
          <w:szCs w:val="22"/>
        </w:rPr>
        <w:t>epending on the economic and political context and on the issues at stake.</w:t>
      </w:r>
    </w:p>
    <w:p w:rsidR="00143569" w:rsidRDefault="00E2200B" w:rsidP="00E2200B">
      <w:pPr>
        <w:rPr>
          <w:rFonts w:cs="Times New Roman"/>
          <w:sz w:val="22"/>
          <w:szCs w:val="22"/>
        </w:rPr>
      </w:pPr>
      <w:r>
        <w:rPr>
          <w:rFonts w:cs="Times New Roman"/>
          <w:sz w:val="22"/>
          <w:szCs w:val="22"/>
        </w:rPr>
        <w:tab/>
      </w:r>
      <w:r w:rsidR="009B36EE" w:rsidRPr="00B81049">
        <w:rPr>
          <w:rFonts w:cs="Times New Roman"/>
          <w:sz w:val="22"/>
          <w:szCs w:val="22"/>
        </w:rPr>
        <w:t xml:space="preserve">There is significant evidence that ideology has affected union strategies towards marginal groups of workers such as migrants </w:t>
      </w:r>
      <w:r w:rsidR="009B36EE" w:rsidRPr="00B81049">
        <w:rPr>
          <w:rFonts w:cs="Times New Roman"/>
          <w:noProof/>
          <w:sz w:val="22"/>
          <w:szCs w:val="22"/>
        </w:rPr>
        <w:t>(Connolly et al.</w:t>
      </w:r>
      <w:r w:rsidR="002520AC" w:rsidRPr="00B81049">
        <w:rPr>
          <w:rFonts w:cs="Times New Roman"/>
          <w:noProof/>
          <w:sz w:val="22"/>
          <w:szCs w:val="22"/>
        </w:rPr>
        <w:t xml:space="preserve">, </w:t>
      </w:r>
      <w:r w:rsidR="009B36EE" w:rsidRPr="00B81049">
        <w:rPr>
          <w:rFonts w:cs="Times New Roman"/>
          <w:noProof/>
          <w:sz w:val="22"/>
          <w:szCs w:val="22"/>
        </w:rPr>
        <w:t>2014</w:t>
      </w:r>
      <w:r w:rsidR="009B79A3" w:rsidRPr="00B81049">
        <w:rPr>
          <w:rFonts w:cs="Times New Roman"/>
          <w:noProof/>
          <w:sz w:val="22"/>
          <w:szCs w:val="22"/>
        </w:rPr>
        <w:t>; Marino, 2012</w:t>
      </w:r>
      <w:r w:rsidR="009B36EE" w:rsidRPr="00B81049">
        <w:rPr>
          <w:rFonts w:cs="Times New Roman"/>
          <w:noProof/>
          <w:sz w:val="22"/>
          <w:szCs w:val="22"/>
        </w:rPr>
        <w:t>)</w:t>
      </w:r>
      <w:r w:rsidR="009B36EE" w:rsidRPr="00B81049">
        <w:rPr>
          <w:rFonts w:cs="Times New Roman"/>
          <w:sz w:val="22"/>
          <w:szCs w:val="22"/>
        </w:rPr>
        <w:t xml:space="preserve">, young workers </w:t>
      </w:r>
      <w:r w:rsidR="009B36EE" w:rsidRPr="00B81049">
        <w:rPr>
          <w:rFonts w:cs="Times New Roman"/>
          <w:noProof/>
          <w:sz w:val="22"/>
          <w:szCs w:val="22"/>
        </w:rPr>
        <w:t>(Papadopoulos</w:t>
      </w:r>
      <w:r w:rsidR="002520AC" w:rsidRPr="00B81049">
        <w:rPr>
          <w:rFonts w:cs="Times New Roman"/>
          <w:noProof/>
          <w:sz w:val="22"/>
          <w:szCs w:val="22"/>
        </w:rPr>
        <w:t>,</w:t>
      </w:r>
      <w:r w:rsidR="009B36EE" w:rsidRPr="00B81049">
        <w:rPr>
          <w:rFonts w:cs="Times New Roman"/>
          <w:noProof/>
          <w:sz w:val="22"/>
          <w:szCs w:val="22"/>
        </w:rPr>
        <w:t xml:space="preserve"> 2014)</w:t>
      </w:r>
      <w:r w:rsidR="009B36EE" w:rsidRPr="00B81049">
        <w:rPr>
          <w:rFonts w:cs="Times New Roman"/>
          <w:sz w:val="22"/>
          <w:szCs w:val="22"/>
        </w:rPr>
        <w:t xml:space="preserve"> and agency workers. </w:t>
      </w:r>
      <w:r w:rsidR="008352FF" w:rsidRPr="00B81049">
        <w:rPr>
          <w:rFonts w:cs="Times New Roman"/>
          <w:sz w:val="22"/>
          <w:szCs w:val="22"/>
        </w:rPr>
        <w:t>I</w:t>
      </w:r>
      <w:r w:rsidR="009B36EE" w:rsidRPr="00B81049">
        <w:rPr>
          <w:rFonts w:cs="Times New Roman"/>
          <w:sz w:val="22"/>
          <w:szCs w:val="22"/>
        </w:rPr>
        <w:t xml:space="preserve">n their </w:t>
      </w:r>
      <w:r w:rsidR="008352FF" w:rsidRPr="00B81049">
        <w:rPr>
          <w:rFonts w:cs="Times New Roman"/>
          <w:sz w:val="22"/>
          <w:szCs w:val="22"/>
        </w:rPr>
        <w:t>comparison of</w:t>
      </w:r>
      <w:r w:rsidR="009B36EE" w:rsidRPr="00B81049">
        <w:rPr>
          <w:rFonts w:cs="Times New Roman"/>
          <w:sz w:val="22"/>
          <w:szCs w:val="22"/>
        </w:rPr>
        <w:t xml:space="preserve"> two manufacturing companies in Belgium and Germany</w:t>
      </w:r>
      <w:r w:rsidR="00243FFA" w:rsidRPr="00B81049">
        <w:rPr>
          <w:rFonts w:cs="Times New Roman"/>
          <w:sz w:val="22"/>
          <w:szCs w:val="22"/>
        </w:rPr>
        <w:t>,</w:t>
      </w:r>
      <w:r w:rsidR="009B36EE" w:rsidRPr="00B81049">
        <w:rPr>
          <w:rFonts w:cs="Times New Roman"/>
          <w:sz w:val="22"/>
          <w:szCs w:val="22"/>
        </w:rPr>
        <w:t xml:space="preserve"> Pulignano and Doerflinger (2013) showed that the inclusive approach </w:t>
      </w:r>
      <w:r w:rsidRPr="00B81049">
        <w:rPr>
          <w:rFonts w:cs="Times New Roman"/>
          <w:sz w:val="22"/>
          <w:szCs w:val="22"/>
        </w:rPr>
        <w:t xml:space="preserve">of Belgian unions </w:t>
      </w:r>
      <w:r w:rsidR="008352FF" w:rsidRPr="00B81049">
        <w:rPr>
          <w:rFonts w:cs="Times New Roman"/>
          <w:sz w:val="22"/>
          <w:szCs w:val="22"/>
        </w:rPr>
        <w:t xml:space="preserve">towards TAWs </w:t>
      </w:r>
      <w:r>
        <w:rPr>
          <w:rFonts w:cs="Times New Roman"/>
          <w:sz w:val="22"/>
          <w:szCs w:val="22"/>
        </w:rPr>
        <w:t>resulted from</w:t>
      </w:r>
      <w:r w:rsidR="009B36EE" w:rsidRPr="00B81049">
        <w:rPr>
          <w:rFonts w:cs="Times New Roman"/>
          <w:sz w:val="22"/>
          <w:szCs w:val="22"/>
        </w:rPr>
        <w:t xml:space="preserve"> their identity between society and class</w:t>
      </w:r>
      <w:r w:rsidR="008352FF" w:rsidRPr="00B81049">
        <w:rPr>
          <w:rFonts w:cs="Times New Roman"/>
          <w:sz w:val="22"/>
          <w:szCs w:val="22"/>
        </w:rPr>
        <w:t>,</w:t>
      </w:r>
      <w:r w:rsidR="009B36EE" w:rsidRPr="00B81049">
        <w:rPr>
          <w:rFonts w:cs="Times New Roman"/>
          <w:sz w:val="22"/>
          <w:szCs w:val="22"/>
        </w:rPr>
        <w:t xml:space="preserve"> combined with local conditions. </w:t>
      </w:r>
    </w:p>
    <w:p w:rsidR="00143569" w:rsidRDefault="00E2200B" w:rsidP="00E2200B">
      <w:pPr>
        <w:rPr>
          <w:rFonts w:cs="Times New Roman"/>
          <w:sz w:val="22"/>
          <w:szCs w:val="22"/>
          <w:lang w:val="en-GB"/>
        </w:rPr>
      </w:pPr>
      <w:r>
        <w:rPr>
          <w:rFonts w:cs="Times New Roman"/>
          <w:sz w:val="22"/>
          <w:szCs w:val="22"/>
        </w:rPr>
        <w:tab/>
      </w:r>
      <w:r>
        <w:rPr>
          <w:rFonts w:cs="Times New Roman"/>
          <w:sz w:val="22"/>
          <w:szCs w:val="22"/>
          <w:lang w:val="en-GB"/>
        </w:rPr>
        <w:t>I</w:t>
      </w:r>
      <w:r w:rsidR="009B36EE" w:rsidRPr="00B81049">
        <w:rPr>
          <w:rFonts w:cs="Times New Roman"/>
          <w:sz w:val="22"/>
          <w:szCs w:val="22"/>
          <w:lang w:val="en-GB"/>
        </w:rPr>
        <w:t xml:space="preserve">deological orientation is </w:t>
      </w:r>
      <w:r w:rsidR="00243FFA" w:rsidRPr="00B81049">
        <w:rPr>
          <w:rFonts w:cs="Times New Roman"/>
          <w:sz w:val="22"/>
          <w:szCs w:val="22"/>
          <w:lang w:val="en-GB"/>
        </w:rPr>
        <w:t xml:space="preserve">likely to be </w:t>
      </w:r>
      <w:r w:rsidR="009B36EE" w:rsidRPr="00B81049">
        <w:rPr>
          <w:rFonts w:cs="Times New Roman"/>
          <w:sz w:val="22"/>
          <w:szCs w:val="22"/>
          <w:lang w:val="en-GB"/>
        </w:rPr>
        <w:t xml:space="preserve">particular important for explaining union inclusiveness in the Southern cluster. Previous literature </w:t>
      </w:r>
      <w:r>
        <w:rPr>
          <w:rFonts w:cs="Times New Roman"/>
          <w:sz w:val="22"/>
          <w:szCs w:val="22"/>
          <w:lang w:val="en-GB"/>
        </w:rPr>
        <w:t xml:space="preserve">has </w:t>
      </w:r>
      <w:r w:rsidR="009B36EE" w:rsidRPr="00B81049">
        <w:rPr>
          <w:rFonts w:cs="Times New Roman"/>
          <w:sz w:val="22"/>
          <w:szCs w:val="22"/>
          <w:lang w:val="en-GB"/>
        </w:rPr>
        <w:t xml:space="preserve">found that French, Italian and Spanish unions pursue bargaining strategies which are committed to equality and to the increase of general welfare </w:t>
      </w:r>
      <w:r w:rsidR="009B36EE" w:rsidRPr="00B81049">
        <w:rPr>
          <w:rFonts w:cs="Times New Roman"/>
          <w:noProof/>
          <w:sz w:val="22"/>
          <w:szCs w:val="22"/>
        </w:rPr>
        <w:t>(Jódar et al.</w:t>
      </w:r>
      <w:r w:rsidR="00E94252" w:rsidRPr="00B81049">
        <w:rPr>
          <w:rFonts w:cs="Times New Roman"/>
          <w:noProof/>
          <w:sz w:val="22"/>
          <w:szCs w:val="22"/>
        </w:rPr>
        <w:t>,</w:t>
      </w:r>
      <w:r w:rsidR="009B36EE" w:rsidRPr="00B81049">
        <w:rPr>
          <w:rFonts w:cs="Times New Roman"/>
          <w:noProof/>
          <w:sz w:val="22"/>
          <w:szCs w:val="22"/>
        </w:rPr>
        <w:t xml:space="preserve"> 2011</w:t>
      </w:r>
      <w:r w:rsidR="00E94252" w:rsidRPr="00B81049">
        <w:rPr>
          <w:rFonts w:cs="Times New Roman"/>
          <w:noProof/>
          <w:sz w:val="22"/>
          <w:szCs w:val="22"/>
        </w:rPr>
        <w:t>;</w:t>
      </w:r>
      <w:r w:rsidR="009B36EE" w:rsidRPr="00B81049">
        <w:rPr>
          <w:rFonts w:cs="Times New Roman"/>
          <w:noProof/>
          <w:sz w:val="22"/>
          <w:szCs w:val="22"/>
        </w:rPr>
        <w:t xml:space="preserve"> Regalia</w:t>
      </w:r>
      <w:r w:rsidR="00E94252" w:rsidRPr="00B81049">
        <w:rPr>
          <w:rFonts w:cs="Times New Roman"/>
          <w:noProof/>
          <w:sz w:val="22"/>
          <w:szCs w:val="22"/>
        </w:rPr>
        <w:t>,</w:t>
      </w:r>
      <w:r w:rsidR="009B36EE" w:rsidRPr="00B81049">
        <w:rPr>
          <w:rFonts w:cs="Times New Roman"/>
          <w:noProof/>
          <w:sz w:val="22"/>
          <w:szCs w:val="22"/>
        </w:rPr>
        <w:t xml:space="preserve"> 2012</w:t>
      </w:r>
      <w:r w:rsidR="00E94252" w:rsidRPr="00B81049">
        <w:rPr>
          <w:rFonts w:cs="Times New Roman"/>
          <w:noProof/>
          <w:sz w:val="22"/>
          <w:szCs w:val="22"/>
        </w:rPr>
        <w:t>;</w:t>
      </w:r>
      <w:r w:rsidR="009B36EE" w:rsidRPr="00B81049">
        <w:rPr>
          <w:rFonts w:cs="Times New Roman"/>
          <w:noProof/>
          <w:sz w:val="22"/>
          <w:szCs w:val="22"/>
        </w:rPr>
        <w:t xml:space="preserve"> Rojot</w:t>
      </w:r>
      <w:r w:rsidR="00E94252" w:rsidRPr="00B81049">
        <w:rPr>
          <w:rFonts w:cs="Times New Roman"/>
          <w:noProof/>
          <w:sz w:val="22"/>
          <w:szCs w:val="22"/>
        </w:rPr>
        <w:t>,</w:t>
      </w:r>
      <w:r w:rsidR="009B36EE" w:rsidRPr="00B81049">
        <w:rPr>
          <w:rFonts w:cs="Times New Roman"/>
          <w:noProof/>
          <w:sz w:val="22"/>
          <w:szCs w:val="22"/>
        </w:rPr>
        <w:t xml:space="preserve"> 2014)</w:t>
      </w:r>
      <w:r w:rsidR="009B36EE" w:rsidRPr="00B81049">
        <w:rPr>
          <w:rFonts w:cs="Times New Roman"/>
          <w:sz w:val="22"/>
          <w:szCs w:val="22"/>
          <w:lang w:val="en-GB"/>
        </w:rPr>
        <w:t>. These bargaining strategies are linked to their class</w:t>
      </w:r>
      <w:r>
        <w:rPr>
          <w:rFonts w:cs="Times New Roman"/>
          <w:sz w:val="22"/>
          <w:szCs w:val="22"/>
          <w:lang w:val="en-GB"/>
        </w:rPr>
        <w:t xml:space="preserve"> </w:t>
      </w:r>
      <w:r w:rsidR="009B36EE" w:rsidRPr="00B81049">
        <w:rPr>
          <w:rFonts w:cs="Times New Roman"/>
          <w:sz w:val="22"/>
          <w:szCs w:val="22"/>
          <w:lang w:val="en-GB"/>
        </w:rPr>
        <w:t>orientation, which is reflected in high politic</w:t>
      </w:r>
      <w:r w:rsidR="002A4AC2">
        <w:rPr>
          <w:rFonts w:cs="Times New Roman"/>
          <w:sz w:val="22"/>
          <w:szCs w:val="22"/>
          <w:lang w:val="en-GB"/>
        </w:rPr>
        <w:t>ization</w:t>
      </w:r>
      <w:r w:rsidR="009B36EE" w:rsidRPr="00B81049">
        <w:rPr>
          <w:rFonts w:cs="Times New Roman"/>
          <w:sz w:val="22"/>
          <w:szCs w:val="22"/>
          <w:lang w:val="en-GB"/>
        </w:rPr>
        <w:t xml:space="preserve"> and militancy against employers </w:t>
      </w:r>
      <w:r w:rsidR="009B36EE" w:rsidRPr="00B81049">
        <w:rPr>
          <w:rFonts w:cs="Times New Roman"/>
          <w:noProof/>
          <w:sz w:val="22"/>
          <w:szCs w:val="22"/>
          <w:lang w:val="en-GB"/>
        </w:rPr>
        <w:t>(Frege and Kelly</w:t>
      </w:r>
      <w:r w:rsidR="00E94252" w:rsidRPr="00B81049">
        <w:rPr>
          <w:rFonts w:cs="Times New Roman"/>
          <w:noProof/>
          <w:sz w:val="22"/>
          <w:szCs w:val="22"/>
          <w:lang w:val="en-GB"/>
        </w:rPr>
        <w:t>,</w:t>
      </w:r>
      <w:r w:rsidR="009B36EE" w:rsidRPr="00B81049">
        <w:rPr>
          <w:rFonts w:cs="Times New Roman"/>
          <w:noProof/>
          <w:sz w:val="22"/>
          <w:szCs w:val="22"/>
          <w:lang w:val="en-GB"/>
        </w:rPr>
        <w:t xml:space="preserve"> 2003</w:t>
      </w:r>
      <w:r w:rsidR="00E94252" w:rsidRPr="00B81049">
        <w:rPr>
          <w:rFonts w:cs="Times New Roman"/>
          <w:noProof/>
          <w:sz w:val="22"/>
          <w:szCs w:val="22"/>
          <w:lang w:val="en-GB"/>
        </w:rPr>
        <w:t xml:space="preserve">; </w:t>
      </w:r>
      <w:r w:rsidR="009B36EE" w:rsidRPr="00B81049">
        <w:rPr>
          <w:rFonts w:cs="Times New Roman"/>
          <w:noProof/>
          <w:sz w:val="22"/>
          <w:szCs w:val="22"/>
          <w:lang w:val="en-GB"/>
        </w:rPr>
        <w:t>Gumbrell-McCormick and Hyman</w:t>
      </w:r>
      <w:r w:rsidR="00E94252" w:rsidRPr="00B81049">
        <w:rPr>
          <w:rFonts w:cs="Times New Roman"/>
          <w:noProof/>
          <w:sz w:val="22"/>
          <w:szCs w:val="22"/>
          <w:lang w:val="en-GB"/>
        </w:rPr>
        <w:t>,</w:t>
      </w:r>
      <w:r w:rsidR="009B36EE" w:rsidRPr="00B81049">
        <w:rPr>
          <w:rFonts w:cs="Times New Roman"/>
          <w:noProof/>
          <w:sz w:val="22"/>
          <w:szCs w:val="22"/>
          <w:lang w:val="en-GB"/>
        </w:rPr>
        <w:t xml:space="preserve"> 2013)</w:t>
      </w:r>
      <w:r w:rsidR="009B36EE" w:rsidRPr="00B81049">
        <w:rPr>
          <w:rFonts w:cs="Times New Roman"/>
          <w:sz w:val="22"/>
          <w:szCs w:val="22"/>
          <w:lang w:val="en-GB"/>
        </w:rPr>
        <w:t xml:space="preserve">. It can therefore be expected that their working-class orientation is associated with inclusiveness towards TAWs. </w:t>
      </w:r>
    </w:p>
    <w:p w:rsidR="00E2200B" w:rsidRDefault="00E2200B" w:rsidP="00E2200B">
      <w:pPr>
        <w:rPr>
          <w:rFonts w:cs="Times New Roman"/>
          <w:sz w:val="22"/>
          <w:szCs w:val="22"/>
          <w:lang w:val="en-GB"/>
        </w:rPr>
      </w:pPr>
    </w:p>
    <w:p w:rsidR="00143569" w:rsidRDefault="009B36EE" w:rsidP="00E2200B">
      <w:pPr>
        <w:autoSpaceDE w:val="0"/>
        <w:autoSpaceDN w:val="0"/>
        <w:adjustRightInd w:val="0"/>
        <w:ind w:left="708"/>
        <w:rPr>
          <w:rFonts w:cs="Times New Roman"/>
          <w:sz w:val="22"/>
          <w:szCs w:val="22"/>
          <w:lang w:val="en-GB"/>
        </w:rPr>
      </w:pPr>
      <w:r w:rsidRPr="00B81049">
        <w:rPr>
          <w:rFonts w:cs="Times New Roman"/>
          <w:i/>
          <w:sz w:val="22"/>
          <w:szCs w:val="22"/>
          <w:lang w:val="en-GB"/>
        </w:rPr>
        <w:t xml:space="preserve">Condition 7. </w:t>
      </w:r>
      <w:r w:rsidRPr="00B81049">
        <w:rPr>
          <w:rFonts w:cs="Times New Roman"/>
          <w:sz w:val="22"/>
          <w:szCs w:val="22"/>
          <w:lang w:val="en-GB"/>
        </w:rPr>
        <w:t xml:space="preserve">Working-class orientation lead to inclusiveness towards TAWs. </w:t>
      </w:r>
    </w:p>
    <w:p w:rsidR="00E2200B" w:rsidRDefault="00E2200B" w:rsidP="00143569">
      <w:pPr>
        <w:autoSpaceDE w:val="0"/>
        <w:autoSpaceDN w:val="0"/>
        <w:adjustRightInd w:val="0"/>
        <w:rPr>
          <w:rFonts w:cs="Times New Roman"/>
          <w:sz w:val="22"/>
          <w:szCs w:val="22"/>
          <w:lang w:val="en-GB"/>
        </w:rPr>
      </w:pPr>
    </w:p>
    <w:p w:rsidR="003F7BB7" w:rsidRPr="0086618E" w:rsidRDefault="003F7BB7" w:rsidP="00143569">
      <w:pPr>
        <w:autoSpaceDE w:val="0"/>
        <w:autoSpaceDN w:val="0"/>
        <w:adjustRightInd w:val="0"/>
        <w:rPr>
          <w:rFonts w:cs="Times New Roman"/>
          <w:szCs w:val="22"/>
          <w:lang w:val="en-GB"/>
        </w:rPr>
      </w:pPr>
    </w:p>
    <w:p w:rsidR="00143569" w:rsidRDefault="009B36EE" w:rsidP="00143569">
      <w:pPr>
        <w:autoSpaceDE w:val="0"/>
        <w:autoSpaceDN w:val="0"/>
        <w:adjustRightInd w:val="0"/>
        <w:rPr>
          <w:rFonts w:ascii="Arial" w:hAnsi="Arial" w:cs="Arial"/>
          <w:b/>
          <w:lang w:val="en-GB"/>
        </w:rPr>
      </w:pPr>
      <w:r w:rsidRPr="0086618E">
        <w:rPr>
          <w:rFonts w:ascii="Arial" w:hAnsi="Arial" w:cs="Arial"/>
          <w:b/>
          <w:lang w:val="en-GB"/>
        </w:rPr>
        <w:t xml:space="preserve">Method </w:t>
      </w:r>
      <w:bookmarkEnd w:id="2"/>
    </w:p>
    <w:p w:rsidR="00E2200B" w:rsidRDefault="00E2200B" w:rsidP="00E2200B">
      <w:pPr>
        <w:autoSpaceDE w:val="0"/>
        <w:autoSpaceDN w:val="0"/>
        <w:adjustRightInd w:val="0"/>
        <w:rPr>
          <w:rFonts w:cs="Times New Roman"/>
          <w:sz w:val="22"/>
          <w:szCs w:val="22"/>
          <w:lang w:val="en-GB"/>
        </w:rPr>
      </w:pPr>
    </w:p>
    <w:p w:rsidR="00143569" w:rsidRPr="004C38A2" w:rsidRDefault="009B36EE" w:rsidP="004C38A2">
      <w:pPr>
        <w:pStyle w:val="Testonormale"/>
        <w:autoSpaceDE w:val="0"/>
        <w:autoSpaceDN w:val="0"/>
        <w:adjustRightInd w:val="0"/>
        <w:rPr>
          <w:rFonts w:ascii="Times New Roman" w:hAnsi="Times New Roman"/>
          <w:szCs w:val="22"/>
          <w:lang w:val="en-GB" w:bidi="gu-IN"/>
        </w:rPr>
      </w:pPr>
      <w:r w:rsidRPr="004C38A2">
        <w:rPr>
          <w:rFonts w:ascii="Times New Roman" w:hAnsi="Times New Roman"/>
          <w:szCs w:val="22"/>
          <w:lang w:val="en-GB" w:bidi="gu-IN"/>
        </w:rPr>
        <w:t xml:space="preserve">We collected data for </w:t>
      </w:r>
      <w:r w:rsidR="00E94252" w:rsidRPr="004C38A2">
        <w:rPr>
          <w:rFonts w:ascii="Times New Roman" w:hAnsi="Times New Roman"/>
          <w:szCs w:val="22"/>
          <w:lang w:val="en-GB" w:bidi="gu-IN"/>
        </w:rPr>
        <w:t xml:space="preserve">fourteen </w:t>
      </w:r>
      <w:r w:rsidRPr="004C38A2">
        <w:rPr>
          <w:rFonts w:ascii="Times New Roman" w:hAnsi="Times New Roman"/>
          <w:szCs w:val="22"/>
          <w:lang w:val="en-GB" w:bidi="gu-IN"/>
        </w:rPr>
        <w:t>Western European countr</w:t>
      </w:r>
      <w:r w:rsidR="004C38A2" w:rsidRPr="004C38A2">
        <w:rPr>
          <w:rFonts w:ascii="Times New Roman" w:hAnsi="Times New Roman"/>
          <w:szCs w:val="22"/>
          <w:lang w:val="en-GB" w:bidi="gu-IN"/>
        </w:rPr>
        <w:t>i</w:t>
      </w:r>
      <w:r w:rsidRPr="004C38A2">
        <w:rPr>
          <w:rFonts w:ascii="Times New Roman" w:hAnsi="Times New Roman"/>
          <w:szCs w:val="22"/>
          <w:lang w:val="en-GB" w:bidi="gu-IN"/>
        </w:rPr>
        <w:t>es (EU15 minus Luxembourg) in the most recent period prior to the crisis (1998-</w:t>
      </w:r>
      <w:r w:rsidR="004C38A2" w:rsidRPr="004C38A2">
        <w:rPr>
          <w:rFonts w:ascii="Times New Roman" w:hAnsi="Times New Roman"/>
          <w:szCs w:val="22"/>
          <w:lang w:val="en-GB" w:bidi="gu-IN"/>
        </w:rPr>
        <w:t>-</w:t>
      </w:r>
      <w:r w:rsidRPr="004C38A2">
        <w:rPr>
          <w:rFonts w:ascii="Times New Roman" w:hAnsi="Times New Roman"/>
          <w:szCs w:val="22"/>
          <w:lang w:val="en-GB" w:bidi="gu-IN"/>
        </w:rPr>
        <w:t xml:space="preserve">2007). While the crisis period is of </w:t>
      </w:r>
      <w:r w:rsidR="004C38A2" w:rsidRPr="004C38A2">
        <w:rPr>
          <w:rFonts w:ascii="Times New Roman" w:hAnsi="Times New Roman"/>
          <w:szCs w:val="22"/>
          <w:lang w:val="en-GB" w:bidi="gu-IN"/>
        </w:rPr>
        <w:t>obvious</w:t>
      </w:r>
      <w:r w:rsidRPr="004C38A2">
        <w:rPr>
          <w:rFonts w:ascii="Times New Roman" w:hAnsi="Times New Roman"/>
          <w:szCs w:val="22"/>
          <w:lang w:val="en-GB" w:bidi="gu-IN"/>
        </w:rPr>
        <w:t xml:space="preserve"> interest, it is outside the scope of this </w:t>
      </w:r>
      <w:r w:rsidR="002A4AC2" w:rsidRPr="004C38A2">
        <w:rPr>
          <w:rFonts w:ascii="Times New Roman" w:hAnsi="Times New Roman"/>
          <w:szCs w:val="22"/>
          <w:lang w:val="en-GB" w:bidi="gu-IN"/>
        </w:rPr>
        <w:t>article</w:t>
      </w:r>
      <w:r w:rsidRPr="004C38A2">
        <w:rPr>
          <w:rFonts w:ascii="Times New Roman" w:hAnsi="Times New Roman"/>
          <w:szCs w:val="22"/>
          <w:lang w:val="en-GB" w:bidi="gu-IN"/>
        </w:rPr>
        <w:t xml:space="preserve"> for </w:t>
      </w:r>
      <w:r w:rsidR="00884DA6" w:rsidRPr="004C38A2">
        <w:rPr>
          <w:rFonts w:ascii="Times New Roman" w:hAnsi="Times New Roman"/>
          <w:szCs w:val="22"/>
          <w:lang w:val="en-GB" w:bidi="gu-IN"/>
        </w:rPr>
        <w:t xml:space="preserve">three </w:t>
      </w:r>
      <w:r w:rsidRPr="004C38A2">
        <w:rPr>
          <w:rFonts w:ascii="Times New Roman" w:hAnsi="Times New Roman"/>
          <w:szCs w:val="22"/>
          <w:lang w:val="en-GB" w:bidi="gu-IN"/>
        </w:rPr>
        <w:t xml:space="preserve">reasons. First, most of the literature we </w:t>
      </w:r>
      <w:r w:rsidR="004C38A2" w:rsidRPr="004C38A2">
        <w:rPr>
          <w:rFonts w:ascii="Times New Roman" w:hAnsi="Times New Roman"/>
          <w:szCs w:val="22"/>
          <w:lang w:val="en-GB" w:bidi="gu-IN"/>
        </w:rPr>
        <w:t>address</w:t>
      </w:r>
      <w:r w:rsidRPr="004C38A2">
        <w:rPr>
          <w:rFonts w:ascii="Times New Roman" w:hAnsi="Times New Roman"/>
          <w:szCs w:val="22"/>
          <w:lang w:val="en-GB" w:bidi="gu-IN"/>
        </w:rPr>
        <w:t xml:space="preserve"> concerns dynamics in non-crisis periods (Frege and Kelly</w:t>
      </w:r>
      <w:r w:rsidR="009B79A3" w:rsidRPr="004C38A2">
        <w:rPr>
          <w:rFonts w:ascii="Times New Roman" w:hAnsi="Times New Roman"/>
          <w:szCs w:val="22"/>
          <w:lang w:val="en-GB" w:bidi="gu-IN"/>
        </w:rPr>
        <w:t>,</w:t>
      </w:r>
      <w:r w:rsidRPr="004C38A2">
        <w:rPr>
          <w:rFonts w:ascii="Times New Roman" w:hAnsi="Times New Roman"/>
          <w:szCs w:val="22"/>
          <w:lang w:val="en-GB" w:bidi="gu-IN"/>
        </w:rPr>
        <w:t xml:space="preserve"> 2003; Rueda</w:t>
      </w:r>
      <w:r w:rsidR="009B79A3" w:rsidRPr="004C38A2">
        <w:rPr>
          <w:rFonts w:ascii="Times New Roman" w:hAnsi="Times New Roman"/>
          <w:szCs w:val="22"/>
          <w:lang w:val="en-GB" w:bidi="gu-IN"/>
        </w:rPr>
        <w:t>,</w:t>
      </w:r>
      <w:r w:rsidRPr="004C38A2">
        <w:rPr>
          <w:rFonts w:ascii="Times New Roman" w:hAnsi="Times New Roman"/>
          <w:szCs w:val="22"/>
          <w:lang w:val="en-GB" w:bidi="gu-IN"/>
        </w:rPr>
        <w:t xml:space="preserve"> 2007)</w:t>
      </w:r>
      <w:r w:rsidR="004C38A2" w:rsidRPr="004C38A2">
        <w:rPr>
          <w:rFonts w:ascii="Times New Roman" w:hAnsi="Times New Roman"/>
          <w:szCs w:val="22"/>
          <w:lang w:val="en-GB" w:bidi="gu-IN"/>
        </w:rPr>
        <w:t>;</w:t>
      </w:r>
      <w:r w:rsidR="00E94252" w:rsidRPr="004C38A2">
        <w:rPr>
          <w:rFonts w:ascii="Times New Roman" w:hAnsi="Times New Roman"/>
          <w:szCs w:val="22"/>
          <w:lang w:val="en-GB" w:bidi="gu-IN"/>
        </w:rPr>
        <w:t xml:space="preserve"> </w:t>
      </w:r>
      <w:r w:rsidR="004C38A2" w:rsidRPr="004C38A2">
        <w:rPr>
          <w:rFonts w:ascii="Times New Roman" w:hAnsi="Times New Roman"/>
          <w:szCs w:val="22"/>
          <w:lang w:val="en-GB" w:bidi="gu-IN"/>
        </w:rPr>
        <w:t>in</w:t>
      </w:r>
      <w:r w:rsidR="00E94252" w:rsidRPr="004C38A2">
        <w:rPr>
          <w:rFonts w:ascii="Times New Roman" w:hAnsi="Times New Roman"/>
          <w:szCs w:val="22"/>
          <w:lang w:val="en-GB" w:bidi="gu-IN"/>
        </w:rPr>
        <w:t xml:space="preserve"> crisis times</w:t>
      </w:r>
      <w:r w:rsidR="004C38A2" w:rsidRPr="004C38A2">
        <w:rPr>
          <w:rFonts w:ascii="Times New Roman" w:hAnsi="Times New Roman"/>
          <w:szCs w:val="22"/>
          <w:lang w:val="en-GB" w:bidi="gu-IN"/>
        </w:rPr>
        <w:t>,</w:t>
      </w:r>
      <w:r w:rsidR="00E94252" w:rsidRPr="004C38A2">
        <w:rPr>
          <w:rFonts w:ascii="Times New Roman" w:hAnsi="Times New Roman"/>
          <w:szCs w:val="22"/>
          <w:lang w:val="en-GB" w:bidi="gu-IN"/>
        </w:rPr>
        <w:t xml:space="preserve"> union </w:t>
      </w:r>
      <w:r w:rsidR="004C38A2" w:rsidRPr="004C38A2">
        <w:rPr>
          <w:rFonts w:ascii="Times New Roman" w:hAnsi="Times New Roman"/>
          <w:szCs w:val="22"/>
          <w:lang w:val="en-GB" w:bidi="gu-IN"/>
        </w:rPr>
        <w:t xml:space="preserve">aims </w:t>
      </w:r>
      <w:r w:rsidR="00E94252" w:rsidRPr="004C38A2">
        <w:rPr>
          <w:rFonts w:ascii="Times New Roman" w:hAnsi="Times New Roman"/>
          <w:szCs w:val="22"/>
          <w:lang w:val="en-GB" w:bidi="gu-IN"/>
        </w:rPr>
        <w:t xml:space="preserve">are likely to </w:t>
      </w:r>
      <w:r w:rsidR="004C38A2" w:rsidRPr="004C38A2">
        <w:rPr>
          <w:rFonts w:ascii="Times New Roman" w:hAnsi="Times New Roman"/>
          <w:szCs w:val="22"/>
          <w:lang w:val="en-GB" w:bidi="gu-IN"/>
        </w:rPr>
        <w:t>be distinctive, because of</w:t>
      </w:r>
      <w:r w:rsidR="00E94252" w:rsidRPr="004C38A2">
        <w:rPr>
          <w:rFonts w:ascii="Times New Roman" w:hAnsi="Times New Roman"/>
          <w:szCs w:val="22"/>
          <w:lang w:val="en-GB" w:bidi="gu-IN"/>
        </w:rPr>
        <w:t xml:space="preserve"> rapid</w:t>
      </w:r>
      <w:r w:rsidRPr="004C38A2">
        <w:rPr>
          <w:rFonts w:ascii="Times New Roman" w:hAnsi="Times New Roman"/>
          <w:szCs w:val="22"/>
          <w:lang w:val="en-GB" w:bidi="gu-IN"/>
        </w:rPr>
        <w:t xml:space="preserve"> labour market changes</w:t>
      </w:r>
      <w:r w:rsidR="00E94252" w:rsidRPr="004C38A2">
        <w:rPr>
          <w:rFonts w:ascii="Times New Roman" w:hAnsi="Times New Roman"/>
          <w:szCs w:val="22"/>
          <w:lang w:val="en-GB" w:bidi="gu-IN"/>
        </w:rPr>
        <w:t xml:space="preserve"> and </w:t>
      </w:r>
      <w:r w:rsidR="004C38A2" w:rsidRPr="004C38A2">
        <w:rPr>
          <w:rFonts w:ascii="Times New Roman" w:hAnsi="Times New Roman"/>
          <w:szCs w:val="22"/>
          <w:lang w:val="en-GB" w:bidi="gu-IN"/>
        </w:rPr>
        <w:t>a decline in</w:t>
      </w:r>
      <w:r w:rsidR="00E94252" w:rsidRPr="004C38A2">
        <w:rPr>
          <w:rFonts w:ascii="Times New Roman" w:hAnsi="Times New Roman"/>
          <w:szCs w:val="22"/>
          <w:lang w:val="en-GB" w:bidi="gu-IN"/>
        </w:rPr>
        <w:t xml:space="preserve"> temporary work</w:t>
      </w:r>
      <w:r w:rsidRPr="004C38A2">
        <w:rPr>
          <w:rFonts w:ascii="Times New Roman" w:hAnsi="Times New Roman"/>
          <w:szCs w:val="22"/>
          <w:lang w:val="en-GB" w:bidi="gu-IN"/>
        </w:rPr>
        <w:t xml:space="preserve">. By restricting our analysis we can be confident that differences between our findings and previous literature </w:t>
      </w:r>
      <w:r w:rsidR="004C38A2" w:rsidRPr="004C38A2">
        <w:rPr>
          <w:rFonts w:ascii="Times New Roman" w:hAnsi="Times New Roman"/>
          <w:szCs w:val="22"/>
          <w:lang w:val="en-GB" w:bidi="gu-IN"/>
        </w:rPr>
        <w:t>do</w:t>
      </w:r>
      <w:r w:rsidRPr="004C38A2">
        <w:rPr>
          <w:rFonts w:ascii="Times New Roman" w:hAnsi="Times New Roman"/>
          <w:szCs w:val="22"/>
          <w:lang w:val="en-GB" w:bidi="gu-IN"/>
        </w:rPr>
        <w:t xml:space="preserve"> not </w:t>
      </w:r>
      <w:r w:rsidR="004C38A2" w:rsidRPr="004C38A2">
        <w:rPr>
          <w:rFonts w:ascii="Times New Roman" w:hAnsi="Times New Roman"/>
          <w:szCs w:val="22"/>
          <w:lang w:val="en-GB" w:bidi="gu-IN"/>
        </w:rPr>
        <w:t>reflect the</w:t>
      </w:r>
      <w:r w:rsidRPr="004C38A2">
        <w:rPr>
          <w:rFonts w:ascii="Times New Roman" w:hAnsi="Times New Roman"/>
          <w:szCs w:val="22"/>
          <w:lang w:val="en-GB" w:bidi="gu-IN"/>
        </w:rPr>
        <w:t xml:space="preserve"> crisis</w:t>
      </w:r>
      <w:r w:rsidR="004C38A2" w:rsidRPr="004C38A2">
        <w:rPr>
          <w:rFonts w:ascii="Times New Roman" w:hAnsi="Times New Roman"/>
          <w:szCs w:val="22"/>
          <w:lang w:val="en-GB" w:bidi="gu-IN"/>
        </w:rPr>
        <w:t>,</w:t>
      </w:r>
      <w:r w:rsidRPr="004C38A2">
        <w:rPr>
          <w:rFonts w:ascii="Times New Roman" w:hAnsi="Times New Roman"/>
          <w:szCs w:val="22"/>
          <w:lang w:val="en-GB" w:bidi="gu-IN"/>
        </w:rPr>
        <w:t xml:space="preserve"> but rather pre-crisis dynamics that previous theories had not fully captured. Second, while in principle one could analyse both crisis and non-crisis dynamics, this is in practice difficult because of space constraints</w:t>
      </w:r>
      <w:r w:rsidR="000369AF" w:rsidRPr="004C38A2">
        <w:rPr>
          <w:rFonts w:ascii="Times New Roman" w:hAnsi="Times New Roman"/>
          <w:szCs w:val="22"/>
          <w:lang w:val="en-GB" w:bidi="gu-IN"/>
        </w:rPr>
        <w:t xml:space="preserve"> and of </w:t>
      </w:r>
      <w:r w:rsidRPr="004C38A2">
        <w:rPr>
          <w:rFonts w:ascii="Times New Roman" w:hAnsi="Times New Roman"/>
          <w:szCs w:val="22"/>
          <w:lang w:val="en-GB" w:bidi="gu-IN"/>
        </w:rPr>
        <w:t xml:space="preserve">the inclusion of too many conditions for a QCA on 14 cases (see our discussion below). Third, </w:t>
      </w:r>
      <w:r w:rsidR="00CA3BBF" w:rsidRPr="004C38A2">
        <w:rPr>
          <w:rFonts w:ascii="Times New Roman" w:hAnsi="Times New Roman"/>
          <w:szCs w:val="22"/>
          <w:lang w:val="en-GB" w:bidi="gu-IN"/>
        </w:rPr>
        <w:t>the</w:t>
      </w:r>
      <w:r w:rsidRPr="004C38A2">
        <w:rPr>
          <w:rFonts w:ascii="Times New Roman" w:hAnsi="Times New Roman"/>
          <w:szCs w:val="22"/>
          <w:lang w:val="en-GB" w:bidi="gu-IN"/>
        </w:rPr>
        <w:t xml:space="preserve"> new European Directive on Agency Work in 2008 ha</w:t>
      </w:r>
      <w:r w:rsidR="00243FFA" w:rsidRPr="004C38A2">
        <w:rPr>
          <w:rFonts w:ascii="Times New Roman" w:hAnsi="Times New Roman"/>
          <w:szCs w:val="22"/>
          <w:lang w:val="en-GB" w:bidi="gu-IN"/>
        </w:rPr>
        <w:t>s</w:t>
      </w:r>
      <w:r w:rsidRPr="004C38A2">
        <w:rPr>
          <w:rFonts w:ascii="Times New Roman" w:hAnsi="Times New Roman"/>
          <w:szCs w:val="22"/>
          <w:lang w:val="en-GB" w:bidi="gu-IN"/>
        </w:rPr>
        <w:t xml:space="preserve"> caused a convergence on certain minimum standards, </w:t>
      </w:r>
      <w:r w:rsidR="000369AF" w:rsidRPr="004C38A2">
        <w:rPr>
          <w:rFonts w:ascii="Times New Roman" w:hAnsi="Times New Roman"/>
          <w:szCs w:val="22"/>
          <w:lang w:val="en-GB" w:bidi="gu-IN"/>
        </w:rPr>
        <w:t>probably leading</w:t>
      </w:r>
      <w:r w:rsidRPr="004C38A2">
        <w:rPr>
          <w:rFonts w:ascii="Times New Roman" w:hAnsi="Times New Roman"/>
          <w:szCs w:val="22"/>
          <w:lang w:val="en-GB" w:bidi="gu-IN"/>
        </w:rPr>
        <w:t xml:space="preserve"> to high</w:t>
      </w:r>
      <w:r w:rsidR="004C38A2" w:rsidRPr="004C38A2">
        <w:rPr>
          <w:rFonts w:ascii="Times New Roman" w:hAnsi="Times New Roman"/>
          <w:szCs w:val="22"/>
          <w:lang w:val="en-GB" w:bidi="gu-IN"/>
        </w:rPr>
        <w:t>er</w:t>
      </w:r>
      <w:r w:rsidRPr="004C38A2">
        <w:rPr>
          <w:rFonts w:ascii="Times New Roman" w:hAnsi="Times New Roman"/>
          <w:szCs w:val="22"/>
          <w:lang w:val="en-GB" w:bidi="gu-IN"/>
        </w:rPr>
        <w:t xml:space="preserve"> union inclusiveness irrespective of national</w:t>
      </w:r>
      <w:r w:rsidR="004C38A2" w:rsidRPr="004C38A2">
        <w:rPr>
          <w:rFonts w:ascii="Times New Roman" w:hAnsi="Times New Roman"/>
          <w:szCs w:val="22"/>
          <w:lang w:val="en-GB" w:bidi="gu-IN"/>
        </w:rPr>
        <w:t xml:space="preserve"> specific</w:t>
      </w:r>
      <w:r w:rsidR="008559F0">
        <w:rPr>
          <w:rFonts w:ascii="Times New Roman" w:hAnsi="Times New Roman"/>
          <w:szCs w:val="22"/>
          <w:lang w:val="en-GB" w:bidi="gu-IN"/>
        </w:rPr>
        <w:t>i</w:t>
      </w:r>
      <w:r w:rsidR="004C38A2" w:rsidRPr="004C38A2">
        <w:rPr>
          <w:rFonts w:ascii="Times New Roman" w:hAnsi="Times New Roman"/>
          <w:szCs w:val="22"/>
          <w:lang w:val="en-GB" w:bidi="gu-IN"/>
        </w:rPr>
        <w:t>ties</w:t>
      </w:r>
      <w:r w:rsidRPr="004C38A2">
        <w:rPr>
          <w:rFonts w:ascii="Times New Roman" w:hAnsi="Times New Roman"/>
          <w:szCs w:val="22"/>
          <w:lang w:val="en-GB" w:bidi="gu-IN"/>
        </w:rPr>
        <w:t xml:space="preserve">. </w:t>
      </w:r>
    </w:p>
    <w:p w:rsidR="00C874B1" w:rsidRDefault="004C38A2" w:rsidP="004C38A2">
      <w:pPr>
        <w:autoSpaceDE w:val="0"/>
        <w:autoSpaceDN w:val="0"/>
        <w:adjustRightInd w:val="0"/>
        <w:rPr>
          <w:rFonts w:cs="Times New Roman"/>
          <w:sz w:val="22"/>
          <w:szCs w:val="22"/>
          <w:lang w:val="en-GB"/>
        </w:rPr>
      </w:pPr>
      <w:r>
        <w:rPr>
          <w:rFonts w:cs="Times New Roman"/>
          <w:sz w:val="22"/>
          <w:szCs w:val="22"/>
          <w:lang w:val="en-GB"/>
        </w:rPr>
        <w:tab/>
      </w:r>
      <w:r w:rsidR="00CE65D0" w:rsidRPr="00B81049">
        <w:rPr>
          <w:rFonts w:cs="Times New Roman"/>
          <w:sz w:val="22"/>
          <w:szCs w:val="22"/>
          <w:lang w:val="en-GB"/>
        </w:rPr>
        <w:t xml:space="preserve">We use the method of fsQCA, which relies on Boolean algebra to identify necessary and sufficient conditions for the presence of a given outcome. This process </w:t>
      </w:r>
      <w:r w:rsidR="008F693C">
        <w:rPr>
          <w:rFonts w:cs="Times New Roman"/>
          <w:sz w:val="22"/>
          <w:szCs w:val="22"/>
          <w:lang w:val="en-GB"/>
        </w:rPr>
        <w:t>‘</w:t>
      </w:r>
      <w:r w:rsidR="00CE65D0" w:rsidRPr="00B81049">
        <w:rPr>
          <w:rFonts w:cs="Times New Roman"/>
          <w:sz w:val="22"/>
          <w:szCs w:val="22"/>
          <w:lang w:val="en-GB"/>
        </w:rPr>
        <w:t>formalises the logic of qualitative analysis</w:t>
      </w:r>
      <w:r w:rsidR="008F693C">
        <w:rPr>
          <w:rFonts w:cs="Times New Roman"/>
          <w:sz w:val="22"/>
          <w:szCs w:val="22"/>
          <w:lang w:val="en-GB"/>
        </w:rPr>
        <w:t>’</w:t>
      </w:r>
      <w:r w:rsidR="00CE65D0" w:rsidRPr="00B81049">
        <w:rPr>
          <w:rFonts w:cs="Times New Roman"/>
          <w:sz w:val="22"/>
          <w:szCs w:val="22"/>
          <w:lang w:val="en-GB"/>
        </w:rPr>
        <w:t xml:space="preserve"> and </w:t>
      </w:r>
      <w:r w:rsidR="008F693C">
        <w:rPr>
          <w:rFonts w:cs="Times New Roman"/>
          <w:sz w:val="22"/>
          <w:szCs w:val="22"/>
          <w:lang w:val="en-GB"/>
        </w:rPr>
        <w:t>‘</w:t>
      </w:r>
      <w:r w:rsidR="00CE65D0" w:rsidRPr="00B81049">
        <w:rPr>
          <w:rFonts w:cs="Times New Roman"/>
          <w:sz w:val="22"/>
          <w:szCs w:val="22"/>
        </w:rPr>
        <w:t>makes it possible to bring the logic and empirical intensity of qualitative approaches to studies that embrace more than a handful of cases</w:t>
      </w:r>
      <w:r w:rsidR="008F693C">
        <w:rPr>
          <w:rFonts w:cs="Times New Roman"/>
          <w:sz w:val="22"/>
          <w:szCs w:val="22"/>
        </w:rPr>
        <w:t>’</w:t>
      </w:r>
      <w:r w:rsidR="008559F0">
        <w:rPr>
          <w:rFonts w:cs="Times New Roman"/>
          <w:sz w:val="22"/>
          <w:szCs w:val="22"/>
        </w:rPr>
        <w:t xml:space="preserve"> (Ragin, nd).</w:t>
      </w:r>
      <w:r w:rsidR="00C874B1" w:rsidRPr="00B81049">
        <w:rPr>
          <w:rFonts w:cs="Times New Roman"/>
          <w:sz w:val="22"/>
          <w:szCs w:val="22"/>
        </w:rPr>
        <w:t xml:space="preserve"> We use </w:t>
      </w:r>
      <w:r w:rsidR="00C874B1" w:rsidRPr="00B81049">
        <w:rPr>
          <w:rFonts w:cs="Times New Roman"/>
          <w:sz w:val="22"/>
          <w:szCs w:val="22"/>
          <w:lang w:val="en-GB"/>
        </w:rPr>
        <w:t>fsQCA for two reasons. First, we have only 14 country cases</w:t>
      </w:r>
      <w:r w:rsidR="008559F0">
        <w:rPr>
          <w:rFonts w:cs="Times New Roman"/>
          <w:sz w:val="22"/>
          <w:szCs w:val="22"/>
          <w:lang w:val="en-GB"/>
        </w:rPr>
        <w:t>,</w:t>
      </w:r>
      <w:r w:rsidR="00C874B1" w:rsidRPr="00B81049">
        <w:rPr>
          <w:rFonts w:cs="Times New Roman"/>
          <w:sz w:val="22"/>
          <w:szCs w:val="22"/>
          <w:lang w:val="en-GB"/>
        </w:rPr>
        <w:t xml:space="preserve"> so this method is more appropriate than regression analysis, which requires a larger sample to draw valid causal inference. Second, we want to explore how different combinations of factors lead to the outcome of union inclusiveness towards TAWs. </w:t>
      </w:r>
    </w:p>
    <w:p w:rsidR="00C874B1" w:rsidRDefault="008559F0" w:rsidP="00143569">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 xml:space="preserve">We first identify relevant proxies for our outcome and conditions, and calibrate them. Then, we identify the necessary conditions and run a series of models including multiple combinations of the necessary condition with other conditions. We include four conditions at a time, which yields 16 possible combinations (two to the power of the number of conditions), meaning that some combinations do not correspond to any empirical observation. We also try five conditions in subsequent models. While we only report the models showing the highest consistency and coverage values, we also discuss other models with different combinations of conditions that have lower coverage and consistency scores. The full results for these other models as well as the detailed presentation of the calibration process and the original data are in </w:t>
      </w:r>
      <w:r>
        <w:rPr>
          <w:rFonts w:cs="Times New Roman"/>
          <w:sz w:val="22"/>
          <w:szCs w:val="22"/>
          <w:lang w:val="en-GB"/>
        </w:rPr>
        <w:t>an</w:t>
      </w:r>
      <w:r w:rsidR="00C874B1" w:rsidRPr="00B81049">
        <w:rPr>
          <w:rFonts w:cs="Times New Roman"/>
          <w:sz w:val="22"/>
          <w:szCs w:val="22"/>
          <w:lang w:val="en-GB"/>
        </w:rPr>
        <w:t xml:space="preserve"> </w:t>
      </w:r>
      <w:r>
        <w:rPr>
          <w:rFonts w:cs="Times New Roman"/>
          <w:sz w:val="22"/>
          <w:szCs w:val="22"/>
          <w:lang w:val="en-GB"/>
        </w:rPr>
        <w:t>A</w:t>
      </w:r>
      <w:r w:rsidR="00C874B1" w:rsidRPr="00B81049">
        <w:rPr>
          <w:rFonts w:cs="Times New Roman"/>
          <w:sz w:val="22"/>
          <w:szCs w:val="22"/>
          <w:lang w:val="en-GB"/>
        </w:rPr>
        <w:t>ppendix, which is available on the ResearchGate and Academia profiles of the authors.</w:t>
      </w:r>
    </w:p>
    <w:p w:rsidR="00C874B1" w:rsidRDefault="008559F0" w:rsidP="008559F0">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 xml:space="preserve">The QCA software analyses all possible combinations of conditions leading to our outcome in the model under consideration. Only combinations with a consistency score of at least 0.8 were considered, which means the combination is almost always sufficient for the outcome to occur </w:t>
      </w:r>
      <w:r w:rsidR="00C874B1" w:rsidRPr="00B81049">
        <w:rPr>
          <w:rFonts w:cs="Times New Roman"/>
          <w:noProof/>
          <w:sz w:val="22"/>
          <w:szCs w:val="22"/>
          <w:lang w:val="en-GB"/>
        </w:rPr>
        <w:t>(Avdagic, 2010: 644)</w:t>
      </w:r>
      <w:r w:rsidR="00C874B1" w:rsidRPr="00B81049">
        <w:rPr>
          <w:rFonts w:cs="Times New Roman"/>
          <w:sz w:val="22"/>
          <w:szCs w:val="22"/>
          <w:lang w:val="en-GB"/>
        </w:rPr>
        <w:t xml:space="preserve">. We exclude all logical remainders (combinations </w:t>
      </w:r>
      <w:r w:rsidRPr="00B81049">
        <w:rPr>
          <w:rFonts w:cs="Times New Roman"/>
          <w:sz w:val="22"/>
          <w:szCs w:val="22"/>
          <w:lang w:val="en-GB"/>
        </w:rPr>
        <w:t xml:space="preserve">that are theoretically possible but are </w:t>
      </w:r>
      <w:r w:rsidR="00C874B1" w:rsidRPr="00B81049">
        <w:rPr>
          <w:rFonts w:cs="Times New Roman"/>
          <w:sz w:val="22"/>
          <w:szCs w:val="22"/>
          <w:lang w:val="en-GB"/>
        </w:rPr>
        <w:t>not empirically observed).</w:t>
      </w:r>
    </w:p>
    <w:p w:rsidR="00C874B1" w:rsidRDefault="008559F0" w:rsidP="008559F0">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 xml:space="preserve">These are the key metrics that the QCA software generates: the combination(s) of conditions that are sufficient to explain the presence of the outcome, that is, our Composite Index of Inclusiveness; the solution coverage is a measure of </w:t>
      </w:r>
      <w:r w:rsidR="00C874B1">
        <w:rPr>
          <w:rFonts w:cs="Times New Roman"/>
          <w:sz w:val="22"/>
          <w:szCs w:val="22"/>
          <w:lang w:val="en-GB"/>
        </w:rPr>
        <w:t>‘</w:t>
      </w:r>
      <w:r w:rsidR="00C874B1" w:rsidRPr="00B81049">
        <w:rPr>
          <w:rFonts w:cs="Times New Roman"/>
          <w:sz w:val="22"/>
          <w:szCs w:val="22"/>
          <w:lang w:val="en-GB"/>
        </w:rPr>
        <w:t>empirical relevance</w:t>
      </w:r>
      <w:r w:rsidR="00C874B1">
        <w:rPr>
          <w:rFonts w:cs="Times New Roman"/>
          <w:sz w:val="22"/>
          <w:szCs w:val="22"/>
          <w:lang w:val="en-GB"/>
        </w:rPr>
        <w:t>’</w:t>
      </w:r>
      <w:r>
        <w:rPr>
          <w:rFonts w:cs="Times New Roman"/>
          <w:sz w:val="22"/>
          <w:szCs w:val="22"/>
          <w:lang w:val="en-GB"/>
        </w:rPr>
        <w:t>,</w:t>
      </w:r>
      <w:r w:rsidR="00C874B1" w:rsidRPr="00B81049">
        <w:rPr>
          <w:rFonts w:cs="Times New Roman"/>
          <w:sz w:val="22"/>
          <w:szCs w:val="22"/>
          <w:lang w:val="en-GB"/>
        </w:rPr>
        <w:t xml:space="preserve"> akin to the </w:t>
      </w:r>
      <w:r w:rsidR="00C874B1">
        <w:rPr>
          <w:rFonts w:cs="Times New Roman"/>
          <w:sz w:val="22"/>
          <w:szCs w:val="22"/>
          <w:lang w:val="en-GB"/>
        </w:rPr>
        <w:t>‘</w:t>
      </w:r>
      <w:r w:rsidR="00C874B1" w:rsidRPr="00B81049">
        <w:rPr>
          <w:rFonts w:cs="Times New Roman"/>
          <w:sz w:val="22"/>
          <w:szCs w:val="22"/>
          <w:lang w:val="en-GB"/>
        </w:rPr>
        <w:t>R</w:t>
      </w:r>
      <w:r w:rsidR="00C874B1" w:rsidRPr="00B81049">
        <w:rPr>
          <w:rFonts w:cs="Times New Roman"/>
          <w:sz w:val="22"/>
          <w:szCs w:val="22"/>
          <w:vertAlign w:val="superscript"/>
          <w:lang w:val="en-GB"/>
        </w:rPr>
        <w:t>2</w:t>
      </w:r>
      <w:r w:rsidR="00C874B1" w:rsidRPr="00B81049">
        <w:rPr>
          <w:rFonts w:cs="Times New Roman"/>
          <w:sz w:val="22"/>
          <w:szCs w:val="22"/>
          <w:lang w:val="en-GB"/>
        </w:rPr>
        <w:t xml:space="preserve"> in regression analysis</w:t>
      </w:r>
      <w:r w:rsidR="00C874B1">
        <w:rPr>
          <w:rFonts w:cs="Times New Roman"/>
          <w:sz w:val="22"/>
          <w:szCs w:val="22"/>
          <w:lang w:val="en-GB"/>
        </w:rPr>
        <w:t>’</w:t>
      </w:r>
      <w:r w:rsidR="00C874B1" w:rsidRPr="00B81049">
        <w:rPr>
          <w:rFonts w:cs="Times New Roman"/>
          <w:sz w:val="22"/>
          <w:szCs w:val="22"/>
          <w:lang w:val="en-GB"/>
        </w:rPr>
        <w:t xml:space="preserve">; the consistency measure captures </w:t>
      </w:r>
      <w:r w:rsidR="00C874B1">
        <w:rPr>
          <w:rFonts w:cs="Times New Roman"/>
          <w:sz w:val="22"/>
          <w:szCs w:val="22"/>
          <w:lang w:val="en-GB"/>
        </w:rPr>
        <w:t>‘</w:t>
      </w:r>
      <w:r w:rsidR="00C874B1" w:rsidRPr="00B81049">
        <w:rPr>
          <w:rFonts w:cs="Times New Roman"/>
          <w:sz w:val="22"/>
          <w:szCs w:val="22"/>
          <w:lang w:val="en-GB"/>
        </w:rPr>
        <w:t>how well a given solution set explains the outcome in question</w:t>
      </w:r>
      <w:r w:rsidR="00C874B1">
        <w:rPr>
          <w:rFonts w:cs="Times New Roman"/>
          <w:sz w:val="22"/>
          <w:szCs w:val="22"/>
          <w:lang w:val="en-GB"/>
        </w:rPr>
        <w:t>’</w:t>
      </w:r>
      <w:r w:rsidR="00C874B1" w:rsidRPr="00B81049">
        <w:rPr>
          <w:rFonts w:cs="Times New Roman"/>
          <w:sz w:val="22"/>
          <w:szCs w:val="22"/>
          <w:lang w:val="en-GB"/>
        </w:rPr>
        <w:t xml:space="preserve">; the raw coverage shows how many of the cases are covered by a given causal configuration; and the unique coverage is a measure of </w:t>
      </w:r>
      <w:r w:rsidR="00C874B1">
        <w:rPr>
          <w:rFonts w:cs="Times New Roman"/>
          <w:sz w:val="22"/>
          <w:szCs w:val="22"/>
          <w:lang w:val="en-GB"/>
        </w:rPr>
        <w:t>‘</w:t>
      </w:r>
      <w:r w:rsidR="00C874B1" w:rsidRPr="00B81049">
        <w:rPr>
          <w:rFonts w:cs="Times New Roman"/>
          <w:sz w:val="22"/>
          <w:szCs w:val="22"/>
          <w:lang w:val="en-GB"/>
        </w:rPr>
        <w:t>the proportion of cases explained exclusively by a given causal configuration</w:t>
      </w:r>
      <w:r w:rsidR="00C874B1">
        <w:rPr>
          <w:rFonts w:cs="Times New Roman"/>
          <w:sz w:val="22"/>
          <w:szCs w:val="22"/>
          <w:lang w:val="en-GB"/>
        </w:rPr>
        <w:t>’</w:t>
      </w:r>
      <w:r w:rsidR="00C874B1" w:rsidRPr="00B81049">
        <w:rPr>
          <w:rFonts w:cs="Times New Roman"/>
          <w:sz w:val="22"/>
          <w:szCs w:val="22"/>
          <w:lang w:val="en-GB"/>
        </w:rPr>
        <w:t xml:space="preserve"> (Avdagic, 2010: 645</w:t>
      </w:r>
      <w:r>
        <w:rPr>
          <w:rFonts w:cs="Times New Roman"/>
          <w:sz w:val="22"/>
          <w:szCs w:val="22"/>
          <w:lang w:val="en-GB"/>
        </w:rPr>
        <w:t>-6</w:t>
      </w:r>
      <w:r w:rsidR="00C874B1" w:rsidRPr="00B81049">
        <w:rPr>
          <w:rFonts w:cs="Times New Roman"/>
          <w:sz w:val="22"/>
          <w:szCs w:val="22"/>
          <w:lang w:val="en-GB"/>
        </w:rPr>
        <w:t xml:space="preserve">). </w:t>
      </w:r>
    </w:p>
    <w:p w:rsidR="008559F0" w:rsidRDefault="008559F0" w:rsidP="008559F0">
      <w:pPr>
        <w:autoSpaceDE w:val="0"/>
        <w:autoSpaceDN w:val="0"/>
        <w:adjustRightInd w:val="0"/>
        <w:rPr>
          <w:rFonts w:cs="Times New Roman"/>
          <w:sz w:val="22"/>
          <w:szCs w:val="22"/>
          <w:lang w:val="en-GB" w:eastAsia="it-IT"/>
        </w:rPr>
      </w:pPr>
    </w:p>
    <w:p w:rsidR="00C874B1" w:rsidRPr="0086618E" w:rsidRDefault="00C874B1" w:rsidP="00143569">
      <w:pPr>
        <w:autoSpaceDE w:val="0"/>
        <w:autoSpaceDN w:val="0"/>
        <w:adjustRightInd w:val="0"/>
        <w:rPr>
          <w:rFonts w:cs="Times New Roman"/>
          <w:szCs w:val="22"/>
          <w:lang w:val="en-GB"/>
        </w:rPr>
      </w:pPr>
    </w:p>
    <w:p w:rsidR="00C874B1" w:rsidRPr="009A0EE3" w:rsidRDefault="00C874B1" w:rsidP="00143569">
      <w:pPr>
        <w:autoSpaceDE w:val="0"/>
        <w:autoSpaceDN w:val="0"/>
        <w:adjustRightInd w:val="0"/>
        <w:rPr>
          <w:rFonts w:ascii="Arial" w:hAnsi="Arial" w:cs="Arial"/>
          <w:i/>
          <w:sz w:val="22"/>
          <w:szCs w:val="22"/>
          <w:lang w:val="en-GB"/>
        </w:rPr>
      </w:pPr>
      <w:r w:rsidRPr="009A0EE3">
        <w:rPr>
          <w:rFonts w:ascii="Arial" w:hAnsi="Arial" w:cs="Arial"/>
          <w:i/>
          <w:sz w:val="22"/>
          <w:szCs w:val="22"/>
          <w:lang w:val="en-GB"/>
        </w:rPr>
        <w:t>Calibrating union inclusiveness</w:t>
      </w:r>
    </w:p>
    <w:p w:rsidR="008559F0" w:rsidRDefault="008559F0" w:rsidP="00143569">
      <w:pPr>
        <w:autoSpaceDE w:val="0"/>
        <w:autoSpaceDN w:val="0"/>
        <w:adjustRightInd w:val="0"/>
        <w:rPr>
          <w:rFonts w:cs="Times New Roman"/>
          <w:sz w:val="22"/>
          <w:szCs w:val="22"/>
          <w:lang w:val="en-GB"/>
        </w:rPr>
      </w:pPr>
    </w:p>
    <w:p w:rsidR="00C874B1" w:rsidRDefault="00C874B1" w:rsidP="00143569">
      <w:pPr>
        <w:autoSpaceDE w:val="0"/>
        <w:autoSpaceDN w:val="0"/>
        <w:adjustRightInd w:val="0"/>
        <w:rPr>
          <w:rFonts w:cs="Times New Roman"/>
          <w:sz w:val="22"/>
          <w:szCs w:val="22"/>
          <w:lang w:val="en-GB"/>
        </w:rPr>
      </w:pPr>
      <w:r w:rsidRPr="00B81049">
        <w:rPr>
          <w:rFonts w:cs="Times New Roman"/>
          <w:sz w:val="22"/>
          <w:szCs w:val="22"/>
          <w:lang w:val="en-GB"/>
        </w:rPr>
        <w:t>Our outcome variable is based on three dimensions of union inclusiveness. For our first dimension</w:t>
      </w:r>
      <w:r w:rsidR="008559F0">
        <w:rPr>
          <w:rFonts w:cs="Times New Roman"/>
          <w:sz w:val="22"/>
          <w:szCs w:val="22"/>
          <w:lang w:val="en-GB"/>
        </w:rPr>
        <w:t>,</w:t>
      </w:r>
      <w:r w:rsidRPr="00B81049">
        <w:rPr>
          <w:rFonts w:cs="Times New Roman"/>
          <w:sz w:val="22"/>
          <w:szCs w:val="22"/>
          <w:lang w:val="en-GB"/>
        </w:rPr>
        <w:t xml:space="preserve"> union density of temporary workers</w:t>
      </w:r>
      <w:r w:rsidR="008559F0">
        <w:rPr>
          <w:rFonts w:cs="Times New Roman"/>
          <w:sz w:val="22"/>
          <w:szCs w:val="22"/>
          <w:lang w:val="en-GB"/>
        </w:rPr>
        <w:t>,</w:t>
      </w:r>
      <w:r w:rsidRPr="00B81049">
        <w:rPr>
          <w:rFonts w:cs="Times New Roman"/>
          <w:sz w:val="22"/>
          <w:szCs w:val="22"/>
          <w:lang w:val="en-GB"/>
        </w:rPr>
        <w:t xml:space="preserve"> we use the direct method of calibration, which </w:t>
      </w:r>
      <w:r w:rsidRPr="00B81049">
        <w:rPr>
          <w:rFonts w:cs="Times New Roman"/>
          <w:sz w:val="22"/>
          <w:szCs w:val="22"/>
          <w:lang w:val="en-GB" w:eastAsia="it-IT"/>
        </w:rPr>
        <w:t>uses a logistic function to fit the raw data between the three qualitative anchors at 0.95 (full membership), 0.5 (point of indifference) and 0.05 (full non-membership).</w:t>
      </w:r>
      <w:r w:rsidRPr="00B81049">
        <w:rPr>
          <w:rFonts w:cs="Times New Roman"/>
          <w:sz w:val="22"/>
          <w:szCs w:val="22"/>
          <w:lang w:val="en-GB"/>
        </w:rPr>
        <w:t xml:space="preserve"> The three anchors correspond to gaps in the data. In order to establish the membership threshold, we calculated the middle value between the union density rates of Netherlands and Austria, where we find one of the biggest gaps in the distribution. The value for the threshold is 21. We decided not to raise the threshold to the other big gap between Belgium and Sweden</w:t>
      </w:r>
      <w:r w:rsidR="008559F0">
        <w:rPr>
          <w:rFonts w:cs="Times New Roman"/>
          <w:sz w:val="22"/>
          <w:szCs w:val="22"/>
          <w:lang w:val="en-GB"/>
        </w:rPr>
        <w:t>,</w:t>
      </w:r>
      <w:r w:rsidRPr="00B81049">
        <w:rPr>
          <w:rFonts w:cs="Times New Roman"/>
          <w:sz w:val="22"/>
          <w:szCs w:val="22"/>
          <w:lang w:val="en-GB"/>
        </w:rPr>
        <w:t xml:space="preserve"> because union density of 30-40</w:t>
      </w:r>
      <w:r w:rsidR="008559F0">
        <w:rPr>
          <w:rFonts w:cs="Times New Roman"/>
          <w:sz w:val="22"/>
          <w:szCs w:val="22"/>
          <w:lang w:val="en-GB"/>
        </w:rPr>
        <w:t xml:space="preserve"> percent</w:t>
      </w:r>
      <w:r w:rsidRPr="00B81049">
        <w:rPr>
          <w:rFonts w:cs="Times New Roman"/>
          <w:sz w:val="22"/>
          <w:szCs w:val="22"/>
          <w:lang w:val="en-GB"/>
        </w:rPr>
        <w:t xml:space="preserve"> among temporary workers cannot be considered low </w:t>
      </w:r>
      <w:r w:rsidR="008559F0">
        <w:rPr>
          <w:rFonts w:cs="Times New Roman"/>
          <w:sz w:val="22"/>
          <w:szCs w:val="22"/>
          <w:lang w:val="en-GB"/>
        </w:rPr>
        <w:t>(</w:t>
      </w:r>
      <w:r w:rsidRPr="00B81049">
        <w:rPr>
          <w:rFonts w:cs="Times New Roman"/>
          <w:sz w:val="22"/>
          <w:szCs w:val="22"/>
          <w:lang w:val="en-GB"/>
        </w:rPr>
        <w:t xml:space="preserve">for comparison, union density </w:t>
      </w:r>
      <w:r w:rsidR="004E3E94">
        <w:rPr>
          <w:rFonts w:cs="Times New Roman"/>
          <w:sz w:val="22"/>
          <w:szCs w:val="22"/>
          <w:lang w:val="en-GB"/>
        </w:rPr>
        <w:t>for</w:t>
      </w:r>
      <w:r w:rsidRPr="00B81049">
        <w:rPr>
          <w:rFonts w:cs="Times New Roman"/>
          <w:sz w:val="22"/>
          <w:szCs w:val="22"/>
          <w:lang w:val="en-GB"/>
        </w:rPr>
        <w:t xml:space="preserve"> the </w:t>
      </w:r>
      <w:r w:rsidR="004E3E94">
        <w:rPr>
          <w:rFonts w:cs="Times New Roman"/>
          <w:sz w:val="22"/>
          <w:szCs w:val="22"/>
          <w:lang w:val="en-GB"/>
        </w:rPr>
        <w:t xml:space="preserve">whole </w:t>
      </w:r>
      <w:r w:rsidRPr="00B81049">
        <w:rPr>
          <w:rFonts w:cs="Times New Roman"/>
          <w:sz w:val="22"/>
          <w:szCs w:val="22"/>
          <w:lang w:val="en-GB"/>
        </w:rPr>
        <w:t>French workforce is around 8</w:t>
      </w:r>
      <w:r>
        <w:rPr>
          <w:rFonts w:cs="Times New Roman"/>
          <w:sz w:val="22"/>
          <w:szCs w:val="22"/>
          <w:lang w:val="en-GB"/>
        </w:rPr>
        <w:t xml:space="preserve"> percent</w:t>
      </w:r>
      <w:r w:rsidR="008559F0">
        <w:rPr>
          <w:rFonts w:cs="Times New Roman"/>
          <w:sz w:val="22"/>
          <w:szCs w:val="22"/>
          <w:lang w:val="en-GB"/>
        </w:rPr>
        <w:t>)</w:t>
      </w:r>
      <w:r w:rsidRPr="00B81049">
        <w:rPr>
          <w:rFonts w:cs="Times New Roman"/>
          <w:sz w:val="22"/>
          <w:szCs w:val="22"/>
          <w:lang w:val="en-GB"/>
        </w:rPr>
        <w:t xml:space="preserve">. The thresholds for full non-membership is 2.4 and full membership 75.9. </w:t>
      </w:r>
    </w:p>
    <w:p w:rsidR="00C874B1" w:rsidRDefault="004E3E94" w:rsidP="004E3E94">
      <w:pPr>
        <w:autoSpaceDE w:val="0"/>
        <w:autoSpaceDN w:val="0"/>
        <w:adjustRightInd w:val="0"/>
        <w:rPr>
          <w:rFonts w:cs="Times New Roman"/>
          <w:iCs/>
          <w:sz w:val="22"/>
          <w:szCs w:val="22"/>
          <w:lang w:val="en-GB" w:eastAsia="it-IT"/>
        </w:rPr>
      </w:pPr>
      <w:r>
        <w:rPr>
          <w:rFonts w:cs="Times New Roman"/>
          <w:sz w:val="22"/>
          <w:szCs w:val="22"/>
          <w:lang w:val="en-GB"/>
        </w:rPr>
        <w:tab/>
      </w:r>
      <w:r w:rsidR="00C874B1" w:rsidRPr="00B81049">
        <w:rPr>
          <w:rFonts w:cs="Times New Roman"/>
          <w:sz w:val="22"/>
          <w:szCs w:val="22"/>
          <w:lang w:val="en-GB"/>
        </w:rPr>
        <w:t xml:space="preserve">For the two dimensions of inclusiveness based on </w:t>
      </w:r>
      <w:r>
        <w:rPr>
          <w:rFonts w:cs="Times New Roman"/>
          <w:sz w:val="22"/>
          <w:szCs w:val="22"/>
          <w:lang w:val="en-GB"/>
        </w:rPr>
        <w:t>collectively agreed</w:t>
      </w:r>
      <w:r w:rsidR="00C874B1" w:rsidRPr="00B81049">
        <w:rPr>
          <w:rFonts w:cs="Times New Roman"/>
          <w:sz w:val="22"/>
          <w:szCs w:val="22"/>
          <w:lang w:val="en-GB"/>
        </w:rPr>
        <w:t xml:space="preserve"> provisions for TAWs, we use the theoretical calibration, which is based on logical reasoning, on </w:t>
      </w:r>
      <w:r w:rsidR="00C874B1">
        <w:rPr>
          <w:rFonts w:cs="Times New Roman"/>
          <w:sz w:val="22"/>
          <w:szCs w:val="22"/>
          <w:lang w:val="en-GB"/>
        </w:rPr>
        <w:t>‘</w:t>
      </w:r>
      <w:r w:rsidR="00C874B1" w:rsidRPr="00B81049">
        <w:rPr>
          <w:rFonts w:cs="Times New Roman"/>
          <w:sz w:val="22"/>
          <w:szCs w:val="22"/>
          <w:lang w:val="en-GB"/>
        </w:rPr>
        <w:t>g</w:t>
      </w:r>
      <w:r w:rsidR="00C874B1" w:rsidRPr="00B81049">
        <w:rPr>
          <w:rFonts w:cs="Times New Roman"/>
          <w:iCs/>
          <w:sz w:val="22"/>
          <w:szCs w:val="22"/>
          <w:lang w:val="en-GB" w:eastAsia="it-IT"/>
        </w:rPr>
        <w:t>enerally accepted notions in the social sciences</w:t>
      </w:r>
      <w:r w:rsidR="00C874B1">
        <w:rPr>
          <w:rFonts w:cs="Times New Roman"/>
          <w:sz w:val="22"/>
          <w:szCs w:val="22"/>
          <w:lang w:val="en-GB" w:eastAsia="it-IT"/>
        </w:rPr>
        <w:t>’</w:t>
      </w:r>
      <w:r w:rsidR="00C874B1" w:rsidRPr="00B81049">
        <w:rPr>
          <w:rFonts w:cs="Times New Roman"/>
          <w:sz w:val="22"/>
          <w:szCs w:val="22"/>
          <w:lang w:val="en-GB" w:eastAsia="it-IT"/>
        </w:rPr>
        <w:t xml:space="preserve"> and on </w:t>
      </w:r>
      <w:r w:rsidR="00C874B1">
        <w:rPr>
          <w:rFonts w:cs="Times New Roman"/>
          <w:sz w:val="22"/>
          <w:szCs w:val="22"/>
          <w:lang w:val="en-GB" w:eastAsia="it-IT"/>
        </w:rPr>
        <w:t>‘</w:t>
      </w:r>
      <w:r w:rsidR="00C874B1" w:rsidRPr="00B81049">
        <w:rPr>
          <w:rFonts w:cs="Times New Roman"/>
          <w:iCs/>
          <w:sz w:val="22"/>
          <w:szCs w:val="22"/>
          <w:lang w:val="en-GB" w:eastAsia="it-IT"/>
        </w:rPr>
        <w:t>the knowledge of the researcher accumulated in a specific field of study or specific cases</w:t>
      </w:r>
      <w:r w:rsidR="00C874B1">
        <w:rPr>
          <w:rFonts w:cs="Times New Roman"/>
          <w:iCs/>
          <w:sz w:val="22"/>
          <w:szCs w:val="22"/>
          <w:lang w:val="en-GB" w:eastAsia="it-IT"/>
        </w:rPr>
        <w:t>’</w:t>
      </w:r>
      <w:r w:rsidR="00C874B1" w:rsidRPr="00B81049">
        <w:rPr>
          <w:rFonts w:cs="Times New Roman"/>
          <w:iCs/>
          <w:sz w:val="22"/>
          <w:szCs w:val="22"/>
          <w:lang w:val="en-GB" w:eastAsia="it-IT"/>
        </w:rPr>
        <w:t xml:space="preserve"> </w:t>
      </w:r>
      <w:r w:rsidR="00C874B1" w:rsidRPr="00B81049">
        <w:rPr>
          <w:rFonts w:cs="Times New Roman"/>
          <w:iCs/>
          <w:noProof/>
          <w:sz w:val="22"/>
          <w:szCs w:val="22"/>
          <w:lang w:val="en-GB" w:eastAsia="it-IT"/>
        </w:rPr>
        <w:t>(Schneider and Wagemann, 2012: 11). The equal pay dimension</w:t>
      </w:r>
      <w:r w:rsidR="00C874B1" w:rsidRPr="00B81049">
        <w:rPr>
          <w:rFonts w:cs="Times New Roman"/>
          <w:iCs/>
          <w:sz w:val="22"/>
          <w:szCs w:val="22"/>
          <w:lang w:val="en-GB" w:eastAsia="it-IT"/>
        </w:rPr>
        <w:t xml:space="preserve"> is coded </w:t>
      </w:r>
      <w:r w:rsidR="00C874B1" w:rsidRPr="00B81049">
        <w:rPr>
          <w:rFonts w:cs="Times New Roman"/>
          <w:sz w:val="22"/>
          <w:szCs w:val="22"/>
          <w:lang w:val="en-GB"/>
        </w:rPr>
        <w:t xml:space="preserve">0 if there are no legal or collectively agreed provisions or </w:t>
      </w:r>
      <w:r>
        <w:rPr>
          <w:rFonts w:cs="Times New Roman"/>
          <w:sz w:val="22"/>
          <w:szCs w:val="22"/>
          <w:lang w:val="en-GB"/>
        </w:rPr>
        <w:t>if collective agreements weaken</w:t>
      </w:r>
      <w:r w:rsidR="00C874B1" w:rsidRPr="00B81049">
        <w:rPr>
          <w:rFonts w:cs="Times New Roman"/>
          <w:sz w:val="22"/>
          <w:szCs w:val="22"/>
          <w:lang w:val="en-GB"/>
        </w:rPr>
        <w:t xml:space="preserve"> the law; 0.2 if there is a law but no </w:t>
      </w:r>
      <w:r>
        <w:rPr>
          <w:rFonts w:cs="Times New Roman"/>
          <w:sz w:val="22"/>
          <w:szCs w:val="22"/>
          <w:lang w:val="en-GB"/>
        </w:rPr>
        <w:t xml:space="preserve">collective agreements, </w:t>
      </w:r>
      <w:r w:rsidR="00C874B1" w:rsidRPr="00B81049">
        <w:rPr>
          <w:rFonts w:cs="Times New Roman"/>
          <w:iCs/>
          <w:sz w:val="22"/>
          <w:szCs w:val="22"/>
          <w:lang w:val="en-GB" w:eastAsia="it-IT"/>
        </w:rPr>
        <w:t xml:space="preserve">because legal provisions do not necessarily reflect an inclusive </w:t>
      </w:r>
      <w:r w:rsidRPr="00B81049">
        <w:rPr>
          <w:rFonts w:cs="Times New Roman"/>
          <w:iCs/>
          <w:sz w:val="22"/>
          <w:szCs w:val="22"/>
          <w:lang w:val="en-GB" w:eastAsia="it-IT"/>
        </w:rPr>
        <w:t xml:space="preserve">union </w:t>
      </w:r>
      <w:r w:rsidR="00C874B1" w:rsidRPr="00B81049">
        <w:rPr>
          <w:rFonts w:cs="Times New Roman"/>
          <w:iCs/>
          <w:sz w:val="22"/>
          <w:szCs w:val="22"/>
          <w:lang w:val="en-GB" w:eastAsia="it-IT"/>
        </w:rPr>
        <w:t xml:space="preserve">orientation; 0.8 if </w:t>
      </w:r>
      <w:r>
        <w:rPr>
          <w:rFonts w:cs="Times New Roman"/>
          <w:sz w:val="22"/>
          <w:szCs w:val="22"/>
          <w:lang w:val="en-GB"/>
        </w:rPr>
        <w:t xml:space="preserve">collective agreements </w:t>
      </w:r>
      <w:r w:rsidR="00C874B1" w:rsidRPr="00B81049">
        <w:rPr>
          <w:rFonts w:cs="Times New Roman"/>
          <w:iCs/>
          <w:sz w:val="22"/>
          <w:szCs w:val="22"/>
          <w:lang w:val="en-GB" w:eastAsia="it-IT"/>
        </w:rPr>
        <w:t xml:space="preserve">exist but the provisions do not set equal pay for all temporary workers or </w:t>
      </w:r>
      <w:r>
        <w:rPr>
          <w:rFonts w:cs="Times New Roman"/>
          <w:iCs/>
          <w:sz w:val="22"/>
          <w:szCs w:val="22"/>
          <w:lang w:val="en-GB" w:eastAsia="it-IT"/>
        </w:rPr>
        <w:t>if</w:t>
      </w:r>
      <w:r w:rsidR="00C874B1" w:rsidRPr="00B81049">
        <w:rPr>
          <w:rFonts w:cs="Times New Roman"/>
          <w:iCs/>
          <w:sz w:val="22"/>
          <w:szCs w:val="22"/>
          <w:lang w:val="en-GB" w:eastAsia="it-IT"/>
        </w:rPr>
        <w:t xml:space="preserve"> equal pay applies only after a certain period of time. The value is equal to 1 if the </w:t>
      </w:r>
      <w:r>
        <w:rPr>
          <w:rFonts w:cs="Times New Roman"/>
          <w:sz w:val="22"/>
          <w:szCs w:val="22"/>
          <w:lang w:val="en-GB"/>
        </w:rPr>
        <w:t xml:space="preserve">collective agreements </w:t>
      </w:r>
      <w:r w:rsidR="00C874B1" w:rsidRPr="00B81049">
        <w:rPr>
          <w:rFonts w:cs="Times New Roman"/>
          <w:iCs/>
          <w:sz w:val="22"/>
          <w:szCs w:val="22"/>
          <w:lang w:val="en-GB" w:eastAsia="it-IT"/>
        </w:rPr>
        <w:t xml:space="preserve">include equal pay provisions for all workers. </w:t>
      </w:r>
    </w:p>
    <w:p w:rsidR="00C874B1" w:rsidRDefault="004E3E94" w:rsidP="004E3E94">
      <w:pPr>
        <w:autoSpaceDE w:val="0"/>
        <w:autoSpaceDN w:val="0"/>
        <w:adjustRightInd w:val="0"/>
        <w:rPr>
          <w:rFonts w:cs="Times New Roman"/>
          <w:sz w:val="22"/>
          <w:szCs w:val="22"/>
          <w:lang w:val="en-GB"/>
        </w:rPr>
      </w:pPr>
      <w:r>
        <w:rPr>
          <w:rFonts w:cs="Times New Roman"/>
          <w:iCs/>
          <w:sz w:val="22"/>
          <w:szCs w:val="22"/>
          <w:lang w:val="en-GB" w:eastAsia="it-IT"/>
        </w:rPr>
        <w:tab/>
      </w:r>
      <w:r w:rsidR="00C874B1" w:rsidRPr="00B81049">
        <w:rPr>
          <w:rFonts w:cs="Times New Roman"/>
          <w:iCs/>
          <w:sz w:val="22"/>
          <w:szCs w:val="22"/>
          <w:lang w:val="en-GB" w:eastAsia="it-IT"/>
        </w:rPr>
        <w:t xml:space="preserve">For our third dimension capturing compensating provisions (flexibility bonus, supplementary training, indemnity for availability), the value is </w:t>
      </w:r>
      <w:r w:rsidR="00C874B1" w:rsidRPr="00B81049">
        <w:rPr>
          <w:rFonts w:cs="Times New Roman"/>
          <w:sz w:val="22"/>
          <w:szCs w:val="22"/>
          <w:lang w:val="en-GB"/>
        </w:rPr>
        <w:t xml:space="preserve">0 if there are no provisions. It is 0.2 if there are </w:t>
      </w:r>
      <w:r w:rsidR="000D1EA2">
        <w:rPr>
          <w:rFonts w:cs="Times New Roman"/>
          <w:sz w:val="22"/>
          <w:szCs w:val="22"/>
          <w:lang w:val="en-GB"/>
        </w:rPr>
        <w:t>law</w:t>
      </w:r>
      <w:r w:rsidR="00C874B1" w:rsidRPr="00B81049">
        <w:rPr>
          <w:rFonts w:cs="Times New Roman"/>
          <w:sz w:val="22"/>
          <w:szCs w:val="22"/>
          <w:lang w:val="en-GB"/>
        </w:rPr>
        <w:t xml:space="preserve">s but no collectively agreed provisions. We attribute </w:t>
      </w:r>
      <w:r w:rsidR="000D1EA2">
        <w:rPr>
          <w:rFonts w:cs="Times New Roman"/>
          <w:sz w:val="22"/>
          <w:szCs w:val="22"/>
          <w:lang w:val="en-GB"/>
        </w:rPr>
        <w:t xml:space="preserve">a </w:t>
      </w:r>
      <w:r w:rsidR="00C874B1" w:rsidRPr="00B81049">
        <w:rPr>
          <w:rFonts w:cs="Times New Roman"/>
          <w:sz w:val="22"/>
          <w:szCs w:val="22"/>
          <w:lang w:val="en-GB"/>
        </w:rPr>
        <w:t>value of 0.4 to cases with only one collectively agreed provision</w:t>
      </w:r>
      <w:r w:rsidR="000D1EA2">
        <w:rPr>
          <w:rFonts w:cs="Times New Roman"/>
          <w:sz w:val="22"/>
          <w:szCs w:val="22"/>
          <w:lang w:val="en-GB"/>
        </w:rPr>
        <w:t>,</w:t>
      </w:r>
      <w:r w:rsidR="00C874B1" w:rsidRPr="00B81049">
        <w:rPr>
          <w:rFonts w:cs="Times New Roman"/>
          <w:sz w:val="22"/>
          <w:szCs w:val="22"/>
          <w:lang w:val="en-GB"/>
        </w:rPr>
        <w:t xml:space="preserve"> 0.8 if there are provisions for two dimensions and 1 is there are provisions for all three dimensions. </w:t>
      </w:r>
    </w:p>
    <w:p w:rsidR="00C874B1" w:rsidRDefault="000D1EA2" w:rsidP="000D1EA2">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 xml:space="preserve">We have combined the calibrated values into </w:t>
      </w:r>
      <w:r>
        <w:rPr>
          <w:rFonts w:cs="Times New Roman"/>
          <w:sz w:val="22"/>
          <w:szCs w:val="22"/>
          <w:lang w:val="en-GB"/>
        </w:rPr>
        <w:t>what</w:t>
      </w:r>
      <w:r w:rsidR="00C874B1" w:rsidRPr="00B81049">
        <w:rPr>
          <w:rFonts w:cs="Times New Roman"/>
          <w:sz w:val="22"/>
          <w:szCs w:val="22"/>
          <w:lang w:val="en-GB"/>
        </w:rPr>
        <w:t xml:space="preserve"> we call the Composite Index of Inclusiveness (CII), which is shown in the last column of Table 1. This is obtained by calculating the simple average of the calibrated values of the representation, equality and compensating dimensions.</w:t>
      </w:r>
    </w:p>
    <w:p w:rsidR="000D1EA2" w:rsidRDefault="000D1EA2" w:rsidP="000D1EA2">
      <w:pPr>
        <w:autoSpaceDE w:val="0"/>
        <w:autoSpaceDN w:val="0"/>
        <w:adjustRightInd w:val="0"/>
        <w:rPr>
          <w:rFonts w:cs="Times New Roman"/>
          <w:sz w:val="22"/>
          <w:szCs w:val="22"/>
          <w:lang w:val="en-GB"/>
        </w:rPr>
      </w:pPr>
    </w:p>
    <w:p w:rsidR="00C874B1" w:rsidRPr="009A0EE3" w:rsidRDefault="00C874B1" w:rsidP="00143569">
      <w:pPr>
        <w:pStyle w:val="Titolo2"/>
        <w:numPr>
          <w:ilvl w:val="0"/>
          <w:numId w:val="0"/>
        </w:numPr>
        <w:spacing w:before="0"/>
        <w:rPr>
          <w:rFonts w:ascii="Arial" w:hAnsi="Arial" w:cs="Arial"/>
          <w:b w:val="0"/>
          <w:i/>
          <w:color w:val="auto"/>
          <w:sz w:val="22"/>
          <w:szCs w:val="22"/>
          <w:lang w:val="en-GB"/>
        </w:rPr>
      </w:pPr>
      <w:r w:rsidRPr="009A0EE3">
        <w:rPr>
          <w:rFonts w:ascii="Arial" w:hAnsi="Arial" w:cs="Arial"/>
          <w:b w:val="0"/>
          <w:i/>
          <w:color w:val="auto"/>
          <w:sz w:val="22"/>
          <w:szCs w:val="22"/>
          <w:lang w:val="en-GB"/>
        </w:rPr>
        <w:t>Calibrating the conditions</w:t>
      </w:r>
    </w:p>
    <w:p w:rsidR="009A0EE3" w:rsidRDefault="009A0EE3" w:rsidP="00143569">
      <w:pPr>
        <w:autoSpaceDE w:val="0"/>
        <w:autoSpaceDN w:val="0"/>
        <w:adjustRightInd w:val="0"/>
        <w:rPr>
          <w:rFonts w:cs="Times New Roman"/>
          <w:sz w:val="22"/>
          <w:szCs w:val="22"/>
          <w:lang w:val="en-GB"/>
        </w:rPr>
      </w:pPr>
    </w:p>
    <w:p w:rsidR="00C874B1" w:rsidRDefault="009A0EE3" w:rsidP="00143569">
      <w:pPr>
        <w:autoSpaceDE w:val="0"/>
        <w:autoSpaceDN w:val="0"/>
        <w:adjustRightInd w:val="0"/>
        <w:rPr>
          <w:rFonts w:cs="Times New Roman"/>
          <w:sz w:val="22"/>
          <w:szCs w:val="22"/>
          <w:lang w:val="en-GB"/>
        </w:rPr>
      </w:pPr>
      <w:r>
        <w:rPr>
          <w:rFonts w:cs="Times New Roman"/>
          <w:sz w:val="22"/>
          <w:szCs w:val="22"/>
          <w:lang w:val="en-GB"/>
        </w:rPr>
        <w:t>To</w:t>
      </w:r>
      <w:r w:rsidR="00C874B1" w:rsidRPr="00B81049">
        <w:rPr>
          <w:rFonts w:cs="Times New Roman"/>
          <w:sz w:val="22"/>
          <w:szCs w:val="22"/>
          <w:lang w:val="en-GB"/>
        </w:rPr>
        <w:t xml:space="preserve"> calibrat</w:t>
      </w:r>
      <w:r>
        <w:rPr>
          <w:rFonts w:cs="Times New Roman"/>
          <w:sz w:val="22"/>
          <w:szCs w:val="22"/>
          <w:lang w:val="en-GB"/>
        </w:rPr>
        <w:t>e</w:t>
      </w:r>
      <w:r w:rsidR="00C874B1" w:rsidRPr="00B81049">
        <w:rPr>
          <w:rFonts w:cs="Times New Roman"/>
          <w:sz w:val="22"/>
          <w:szCs w:val="22"/>
          <w:lang w:val="en-GB"/>
        </w:rPr>
        <w:t xml:space="preserve"> our conditions, we use the direct method of calibration discussed earlier, with the exception of the presence of law and of union ideology, where we use instead the theoretical calibration. </w:t>
      </w:r>
    </w:p>
    <w:p w:rsidR="00C874B1" w:rsidRDefault="009A0EE3" w:rsidP="009A0EE3">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The job security of permanent workers (condition 1) relies on the OECD index of Employment Protection Legislation (EPL). Union density (condition 2) is captured by the share of union</w:t>
      </w:r>
      <w:r w:rsidR="00C874B1">
        <w:rPr>
          <w:rFonts w:cs="Times New Roman"/>
          <w:sz w:val="22"/>
          <w:szCs w:val="22"/>
          <w:lang w:val="en-GB"/>
        </w:rPr>
        <w:t>ize</w:t>
      </w:r>
      <w:r w:rsidR="00C874B1" w:rsidRPr="00B81049">
        <w:rPr>
          <w:rFonts w:cs="Times New Roman"/>
          <w:sz w:val="22"/>
          <w:szCs w:val="22"/>
          <w:lang w:val="en-GB"/>
        </w:rPr>
        <w:t>d employees. We proxy strong collective bargaining rights (condition 3) using the share of employees covered by wage bargaining agreements. High central union authority (condition 4) relies on Visser</w:t>
      </w:r>
      <w:r>
        <w:rPr>
          <w:rFonts w:cs="Times New Roman"/>
          <w:sz w:val="22"/>
          <w:szCs w:val="22"/>
          <w:lang w:val="en-GB"/>
        </w:rPr>
        <w:t xml:space="preserve"> (2013)</w:t>
      </w:r>
      <w:r w:rsidR="00C874B1" w:rsidRPr="00B81049">
        <w:rPr>
          <w:rFonts w:cs="Times New Roman"/>
          <w:sz w:val="22"/>
          <w:szCs w:val="22"/>
          <w:lang w:val="en-GB"/>
        </w:rPr>
        <w:t xml:space="preserve">. Condition 5 on the presence of regulation of temporary work is coded as a fuzzy set using the EIRO database (we also created and used a crisp version of this condition). For condition 6, we rely on the share of temporary workers in the economy because of limited data availability; however, it is plausible that </w:t>
      </w:r>
      <w:r w:rsidR="00C874B1" w:rsidRPr="00B81049">
        <w:rPr>
          <w:rFonts w:cs="Times New Roman"/>
          <w:sz w:val="22"/>
          <w:szCs w:val="22"/>
        </w:rPr>
        <w:t>unions would shape their strategies towards TAWs in the context of the broader problem of temporary work.</w:t>
      </w:r>
      <w:r w:rsidR="00E73EE3">
        <w:rPr>
          <w:rFonts w:cs="Times New Roman"/>
          <w:sz w:val="22"/>
          <w:szCs w:val="22"/>
        </w:rPr>
        <w:t xml:space="preserve"> </w:t>
      </w:r>
    </w:p>
    <w:p w:rsidR="00C874B1" w:rsidRDefault="009A0EE3" w:rsidP="009A0EE3">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Our measure of union class ideology (condition 7) is based on secondary literature concerning ideological orientation</w:t>
      </w:r>
      <w:r>
        <w:rPr>
          <w:rFonts w:cs="Times New Roman"/>
          <w:sz w:val="22"/>
          <w:szCs w:val="22"/>
          <w:lang w:val="en-GB"/>
        </w:rPr>
        <w:t>s</w:t>
      </w:r>
      <w:r w:rsidR="00C874B1" w:rsidRPr="00B81049">
        <w:rPr>
          <w:rFonts w:cs="Times New Roman"/>
          <w:sz w:val="22"/>
          <w:szCs w:val="22"/>
          <w:lang w:val="en-GB"/>
        </w:rPr>
        <w:t xml:space="preserve"> and strategies. We have categor</w:t>
      </w:r>
      <w:r w:rsidR="00C874B1">
        <w:rPr>
          <w:rFonts w:cs="Times New Roman"/>
          <w:sz w:val="22"/>
          <w:szCs w:val="22"/>
          <w:lang w:val="en-GB"/>
        </w:rPr>
        <w:t>ize</w:t>
      </w:r>
      <w:r w:rsidR="00C874B1" w:rsidRPr="00B81049">
        <w:rPr>
          <w:rFonts w:cs="Times New Roman"/>
          <w:sz w:val="22"/>
          <w:szCs w:val="22"/>
          <w:lang w:val="en-GB"/>
        </w:rPr>
        <w:t>d the labour movements of the 14 countr</w:t>
      </w:r>
      <w:r>
        <w:rPr>
          <w:rFonts w:cs="Times New Roman"/>
          <w:sz w:val="22"/>
          <w:szCs w:val="22"/>
          <w:lang w:val="en-GB"/>
        </w:rPr>
        <w:t xml:space="preserve">ies in our study along Hyman’s </w:t>
      </w:r>
      <w:r w:rsidR="00C874B1" w:rsidRPr="00B81049">
        <w:rPr>
          <w:rFonts w:cs="Times New Roman"/>
          <w:sz w:val="22"/>
          <w:szCs w:val="22"/>
          <w:lang w:val="en-GB"/>
        </w:rPr>
        <w:t>tript</w:t>
      </w:r>
      <w:r>
        <w:rPr>
          <w:rFonts w:cs="Times New Roman"/>
          <w:sz w:val="22"/>
          <w:szCs w:val="22"/>
          <w:lang w:val="en-GB"/>
        </w:rPr>
        <w:t>y</w:t>
      </w:r>
      <w:r w:rsidR="00C874B1" w:rsidRPr="00B81049">
        <w:rPr>
          <w:rFonts w:cs="Times New Roman"/>
          <w:sz w:val="22"/>
          <w:szCs w:val="22"/>
          <w:lang w:val="en-GB"/>
        </w:rPr>
        <w:t>c</w:t>
      </w:r>
      <w:r>
        <w:rPr>
          <w:rFonts w:cs="Times New Roman"/>
          <w:sz w:val="22"/>
          <w:szCs w:val="22"/>
          <w:lang w:val="en-GB"/>
        </w:rPr>
        <w:t>h</w:t>
      </w:r>
      <w:r w:rsidR="00C874B1" w:rsidRPr="00B81049">
        <w:rPr>
          <w:rFonts w:cs="Times New Roman"/>
          <w:sz w:val="22"/>
          <w:szCs w:val="22"/>
          <w:lang w:val="en-GB"/>
        </w:rPr>
        <w:t xml:space="preserve"> </w:t>
      </w:r>
      <w:r w:rsidR="00C874B1">
        <w:rPr>
          <w:rFonts w:cs="Times New Roman"/>
          <w:sz w:val="22"/>
          <w:szCs w:val="22"/>
          <w:lang w:val="en-GB"/>
        </w:rPr>
        <w:t>‘</w:t>
      </w:r>
      <w:r w:rsidR="00C874B1" w:rsidRPr="00B81049">
        <w:rPr>
          <w:rFonts w:cs="Times New Roman"/>
          <w:sz w:val="22"/>
          <w:szCs w:val="22"/>
          <w:lang w:val="en-GB"/>
        </w:rPr>
        <w:t>class, market and society</w:t>
      </w:r>
      <w:r w:rsidR="00C874B1">
        <w:rPr>
          <w:rFonts w:cs="Times New Roman"/>
          <w:sz w:val="22"/>
          <w:szCs w:val="22"/>
          <w:lang w:val="en-GB"/>
        </w:rPr>
        <w:t>’</w:t>
      </w:r>
      <w:r w:rsidR="00C874B1" w:rsidRPr="00B81049">
        <w:rPr>
          <w:rFonts w:cs="Times New Roman"/>
          <w:sz w:val="22"/>
          <w:szCs w:val="22"/>
          <w:lang w:val="en-GB"/>
        </w:rPr>
        <w:t xml:space="preserve"> (2001). We code working-class ideology as a fuzzy set as there are ideological differences between national union confederations and there is never a perfect overlap between the ideal type and the actual union. The labour movements included in the set of working-class oriented unions are </w:t>
      </w:r>
      <w:r w:rsidR="002A678A">
        <w:rPr>
          <w:rFonts w:cs="Times New Roman"/>
          <w:sz w:val="22"/>
          <w:szCs w:val="22"/>
          <w:lang w:val="en-GB"/>
        </w:rPr>
        <w:t>include</w:t>
      </w:r>
      <w:r w:rsidR="00C874B1" w:rsidRPr="00B81049">
        <w:rPr>
          <w:rFonts w:cs="Times New Roman"/>
          <w:sz w:val="22"/>
          <w:szCs w:val="22"/>
          <w:lang w:val="en-GB"/>
        </w:rPr>
        <w:t xml:space="preserve"> at least one working-class oriented confederation, which engages in collective bargaining. This seems to us to be a conservative threshold, consistent with the fact that one confederation alone could potentially sign collective agreements for TAWs, therefore influencing the overall bargaining process. </w:t>
      </w:r>
    </w:p>
    <w:p w:rsidR="00C874B1" w:rsidRDefault="002A678A" w:rsidP="002A678A">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 xml:space="preserve">Because ideology is difficult to </w:t>
      </w:r>
      <w:r w:rsidRPr="00B81049">
        <w:rPr>
          <w:rFonts w:cs="Times New Roman"/>
          <w:sz w:val="22"/>
          <w:szCs w:val="22"/>
          <w:lang w:val="en-GB"/>
        </w:rPr>
        <w:t xml:space="preserve">identify </w:t>
      </w:r>
      <w:r w:rsidR="00C874B1" w:rsidRPr="00B81049">
        <w:rPr>
          <w:rFonts w:cs="Times New Roman"/>
          <w:sz w:val="22"/>
          <w:szCs w:val="22"/>
          <w:lang w:val="en-GB"/>
        </w:rPr>
        <w:t xml:space="preserve">robustly and reliably, we also used an externally reliable proxy. We choose Visser’s index of effective number of confederations, and assume that the presence of two or more confederations </w:t>
      </w:r>
      <w:r>
        <w:rPr>
          <w:rFonts w:cs="Times New Roman"/>
          <w:sz w:val="22"/>
          <w:szCs w:val="22"/>
          <w:lang w:val="en-GB"/>
        </w:rPr>
        <w:t>---</w:t>
      </w:r>
      <w:r w:rsidR="00C874B1" w:rsidRPr="00B81049">
        <w:rPr>
          <w:rFonts w:cs="Times New Roman"/>
          <w:sz w:val="22"/>
          <w:szCs w:val="22"/>
          <w:lang w:val="en-GB"/>
        </w:rPr>
        <w:t xml:space="preserve"> where both have significant membership </w:t>
      </w:r>
      <w:r>
        <w:rPr>
          <w:rFonts w:cs="Times New Roman"/>
          <w:sz w:val="22"/>
          <w:szCs w:val="22"/>
          <w:lang w:val="en-GB"/>
        </w:rPr>
        <w:t>--</w:t>
      </w:r>
      <w:r w:rsidR="00C874B1" w:rsidRPr="00B81049">
        <w:rPr>
          <w:rFonts w:cs="Times New Roman"/>
          <w:sz w:val="22"/>
          <w:szCs w:val="22"/>
          <w:lang w:val="en-GB"/>
        </w:rPr>
        <w:t xml:space="preserve">- is likely to be associated with the presence of at least one union confederation with a working-class orientation. These robustness checks can also be found in the Appendix. </w:t>
      </w:r>
    </w:p>
    <w:p w:rsidR="00C874B1" w:rsidRDefault="00C874B1" w:rsidP="00143569">
      <w:pPr>
        <w:autoSpaceDE w:val="0"/>
        <w:autoSpaceDN w:val="0"/>
        <w:adjustRightInd w:val="0"/>
        <w:ind w:firstLine="425"/>
        <w:rPr>
          <w:rFonts w:cs="Times New Roman"/>
          <w:sz w:val="22"/>
          <w:szCs w:val="22"/>
          <w:lang w:val="en-GB"/>
        </w:rPr>
      </w:pPr>
    </w:p>
    <w:p w:rsidR="002A678A" w:rsidRPr="0086618E" w:rsidRDefault="002A678A" w:rsidP="00143569">
      <w:pPr>
        <w:autoSpaceDE w:val="0"/>
        <w:autoSpaceDN w:val="0"/>
        <w:adjustRightInd w:val="0"/>
        <w:ind w:firstLine="425"/>
        <w:rPr>
          <w:rFonts w:cs="Times New Roman"/>
          <w:szCs w:val="22"/>
          <w:lang w:val="en-GB"/>
        </w:rPr>
      </w:pPr>
    </w:p>
    <w:p w:rsidR="00C874B1" w:rsidRDefault="00C874B1" w:rsidP="00143569">
      <w:pPr>
        <w:autoSpaceDE w:val="0"/>
        <w:autoSpaceDN w:val="0"/>
        <w:adjustRightInd w:val="0"/>
        <w:rPr>
          <w:rFonts w:ascii="Arial" w:hAnsi="Arial" w:cs="Arial"/>
          <w:b/>
          <w:szCs w:val="22"/>
          <w:lang w:val="en-GB"/>
        </w:rPr>
      </w:pPr>
      <w:r w:rsidRPr="0086618E">
        <w:rPr>
          <w:rFonts w:ascii="Arial" w:hAnsi="Arial" w:cs="Arial"/>
          <w:b/>
          <w:szCs w:val="22"/>
          <w:lang w:val="en-GB"/>
        </w:rPr>
        <w:t>Findings from QCA</w:t>
      </w:r>
    </w:p>
    <w:p w:rsidR="002A678A" w:rsidRDefault="002A678A" w:rsidP="00143569">
      <w:pPr>
        <w:autoSpaceDE w:val="0"/>
        <w:autoSpaceDN w:val="0"/>
        <w:adjustRightInd w:val="0"/>
        <w:rPr>
          <w:rFonts w:cs="Times New Roman"/>
          <w:sz w:val="22"/>
          <w:szCs w:val="22"/>
          <w:lang w:val="en-GB"/>
        </w:rPr>
      </w:pPr>
    </w:p>
    <w:p w:rsidR="00C874B1" w:rsidRPr="00C47169" w:rsidRDefault="00C874B1" w:rsidP="00143569">
      <w:pPr>
        <w:autoSpaceDE w:val="0"/>
        <w:autoSpaceDN w:val="0"/>
        <w:adjustRightInd w:val="0"/>
        <w:rPr>
          <w:rFonts w:cs="Times New Roman"/>
          <w:sz w:val="22"/>
          <w:szCs w:val="22"/>
          <w:lang w:val="en-GB"/>
        </w:rPr>
      </w:pPr>
      <w:r w:rsidRPr="00B81049">
        <w:rPr>
          <w:rFonts w:cs="Times New Roman"/>
          <w:sz w:val="22"/>
          <w:szCs w:val="22"/>
          <w:lang w:val="en-GB"/>
        </w:rPr>
        <w:t xml:space="preserve">We first identify necessary conditions for the presence of our outcome and then discuss the </w:t>
      </w:r>
      <w:r w:rsidR="00C47169">
        <w:rPr>
          <w:rFonts w:cs="Times New Roman"/>
          <w:sz w:val="22"/>
          <w:szCs w:val="22"/>
          <w:lang w:val="en-GB"/>
        </w:rPr>
        <w:t>alternative</w:t>
      </w:r>
      <w:r w:rsidRPr="00B81049">
        <w:rPr>
          <w:rFonts w:cs="Times New Roman"/>
          <w:sz w:val="22"/>
          <w:szCs w:val="22"/>
          <w:lang w:val="en-GB"/>
        </w:rPr>
        <w:t xml:space="preserve"> sufficient paths which emerge from our analysis. These are presented in Table 2. Two conditions have a consistency score higher than 0.9, suggesting these might be necessary conditions for </w:t>
      </w:r>
      <w:bookmarkStart w:id="3" w:name="_Toc325385694"/>
      <w:r w:rsidRPr="00B81049">
        <w:rPr>
          <w:rFonts w:cs="Times New Roman"/>
          <w:sz w:val="22"/>
          <w:szCs w:val="22"/>
          <w:lang w:val="en-GB"/>
        </w:rPr>
        <w:t xml:space="preserve">union inclusiveness towards TAWs: high bargaining coverage and high union authority. However, while high authority of union confederations on their sectoral unions seems at first necessary, the analysis of an XY plot suggests that the condition is trivial because it is present in both outcome and non-outcome cases (see figures A1 and A2 in the </w:t>
      </w:r>
      <w:r w:rsidR="00C47169">
        <w:rPr>
          <w:rFonts w:cs="Times New Roman"/>
          <w:sz w:val="22"/>
          <w:szCs w:val="22"/>
          <w:lang w:val="en-GB"/>
        </w:rPr>
        <w:t>A</w:t>
      </w:r>
      <w:r w:rsidRPr="00B81049">
        <w:rPr>
          <w:rFonts w:cs="Times New Roman"/>
          <w:sz w:val="22"/>
          <w:szCs w:val="22"/>
          <w:lang w:val="en-GB"/>
        </w:rPr>
        <w:t>ppendix) (Schneider and Wagemann, 2012: 235 ff.). As a result, we do not consider high union authority to be a necessary condition.</w:t>
      </w:r>
      <w:r w:rsidR="00C47169">
        <w:rPr>
          <w:rFonts w:cs="Times New Roman"/>
          <w:sz w:val="22"/>
          <w:szCs w:val="22"/>
          <w:lang w:val="en-GB"/>
        </w:rPr>
        <w:t xml:space="preserve"> </w:t>
      </w:r>
      <w:r w:rsidR="00C47169" w:rsidRPr="00C47169">
        <w:rPr>
          <w:rFonts w:cs="Times New Roman"/>
          <w:sz w:val="22"/>
          <w:szCs w:val="22"/>
          <w:lang w:val="en-GB"/>
        </w:rPr>
        <w:t>Other models including variables such as bargaining centrali</w:t>
      </w:r>
      <w:r w:rsidR="00C47169">
        <w:rPr>
          <w:rFonts w:cs="Times New Roman"/>
          <w:sz w:val="22"/>
          <w:szCs w:val="22"/>
          <w:lang w:val="en-GB"/>
        </w:rPr>
        <w:t>z</w:t>
      </w:r>
      <w:r w:rsidR="00C47169" w:rsidRPr="00C47169">
        <w:rPr>
          <w:rFonts w:cs="Times New Roman"/>
          <w:sz w:val="22"/>
          <w:szCs w:val="22"/>
          <w:lang w:val="en-GB"/>
        </w:rPr>
        <w:t>ation were also run but yield weaker results</w:t>
      </w:r>
      <w:r w:rsidR="00C47169">
        <w:rPr>
          <w:rFonts w:cs="Times New Roman"/>
          <w:sz w:val="22"/>
          <w:szCs w:val="22"/>
          <w:lang w:val="en-GB"/>
        </w:rPr>
        <w:t>,</w:t>
      </w:r>
      <w:r w:rsidR="00C47169" w:rsidRPr="00C47169">
        <w:rPr>
          <w:rFonts w:cs="Times New Roman"/>
          <w:sz w:val="22"/>
          <w:szCs w:val="22"/>
          <w:lang w:val="en-GB"/>
        </w:rPr>
        <w:t xml:space="preserve"> so are not reported for reasons of parsimony.</w:t>
      </w:r>
    </w:p>
    <w:p w:rsidR="00C47169" w:rsidRPr="00C47169" w:rsidRDefault="00C47169" w:rsidP="00143569">
      <w:pPr>
        <w:autoSpaceDE w:val="0"/>
        <w:autoSpaceDN w:val="0"/>
        <w:adjustRightInd w:val="0"/>
        <w:rPr>
          <w:rFonts w:cs="Times New Roman"/>
          <w:sz w:val="22"/>
          <w:szCs w:val="22"/>
          <w:lang w:val="en-GB"/>
        </w:rPr>
      </w:pPr>
    </w:p>
    <w:p w:rsidR="00C874B1" w:rsidRDefault="00C47169" w:rsidP="00143569">
      <w:pPr>
        <w:autoSpaceDE w:val="0"/>
        <w:autoSpaceDN w:val="0"/>
        <w:adjustRightInd w:val="0"/>
        <w:rPr>
          <w:rFonts w:cs="Times New Roman"/>
          <w:sz w:val="22"/>
          <w:szCs w:val="22"/>
          <w:lang w:val="en-GB"/>
        </w:rPr>
      </w:pPr>
      <w:r>
        <w:rPr>
          <w:rFonts w:cs="Times New Roman"/>
          <w:sz w:val="22"/>
          <w:szCs w:val="22"/>
          <w:lang w:val="en-GB"/>
        </w:rPr>
        <w:t>[T</w:t>
      </w:r>
      <w:r w:rsidR="00C874B1" w:rsidRPr="00B81049">
        <w:rPr>
          <w:rFonts w:cs="Times New Roman"/>
          <w:sz w:val="22"/>
          <w:szCs w:val="22"/>
          <w:lang w:val="en-GB"/>
        </w:rPr>
        <w:t>able 2 about here</w:t>
      </w:r>
      <w:bookmarkEnd w:id="3"/>
      <w:r>
        <w:rPr>
          <w:rFonts w:cs="Times New Roman"/>
          <w:sz w:val="22"/>
          <w:szCs w:val="22"/>
          <w:lang w:val="en-GB"/>
        </w:rPr>
        <w:t>]</w:t>
      </w:r>
    </w:p>
    <w:p w:rsidR="00C47169" w:rsidRDefault="00C47169" w:rsidP="00143569">
      <w:pPr>
        <w:autoSpaceDE w:val="0"/>
        <w:autoSpaceDN w:val="0"/>
        <w:adjustRightInd w:val="0"/>
        <w:rPr>
          <w:rFonts w:cs="Times New Roman"/>
          <w:sz w:val="22"/>
          <w:szCs w:val="22"/>
          <w:lang w:val="en-GB"/>
        </w:rPr>
      </w:pPr>
    </w:p>
    <w:p w:rsidR="00C47169" w:rsidRDefault="00C47169" w:rsidP="00143569">
      <w:pPr>
        <w:autoSpaceDE w:val="0"/>
        <w:autoSpaceDN w:val="0"/>
        <w:adjustRightInd w:val="0"/>
        <w:rPr>
          <w:rFonts w:cs="Times New Roman"/>
          <w:sz w:val="22"/>
          <w:szCs w:val="22"/>
          <w:lang w:val="en-GB"/>
        </w:rPr>
      </w:pPr>
    </w:p>
    <w:p w:rsidR="00C874B1" w:rsidRDefault="00C874B1" w:rsidP="00143569">
      <w:pPr>
        <w:autoSpaceDE w:val="0"/>
        <w:autoSpaceDN w:val="0"/>
        <w:adjustRightInd w:val="0"/>
        <w:ind w:firstLine="425"/>
        <w:rPr>
          <w:rFonts w:cs="Times New Roman"/>
          <w:sz w:val="22"/>
          <w:szCs w:val="22"/>
          <w:lang w:val="en-GB"/>
        </w:rPr>
      </w:pPr>
      <w:r w:rsidRPr="00B81049">
        <w:rPr>
          <w:rFonts w:cs="Times New Roman"/>
          <w:sz w:val="22"/>
          <w:szCs w:val="22"/>
          <w:lang w:val="en-GB"/>
        </w:rPr>
        <w:t>In order to identify sufficient paths to inclusiveness, we first run a model including the necessary condition (bargaining coverage) and three conditions: the share of temporary workers, union density and low EPL. This first model (</w:t>
      </w:r>
      <w:r w:rsidR="00E73EE3">
        <w:rPr>
          <w:rFonts w:cs="Times New Roman"/>
          <w:sz w:val="22"/>
          <w:szCs w:val="22"/>
          <w:lang w:val="en-GB"/>
        </w:rPr>
        <w:t>M</w:t>
      </w:r>
      <w:r w:rsidRPr="00B81049">
        <w:rPr>
          <w:rFonts w:cs="Times New Roman"/>
          <w:sz w:val="22"/>
          <w:szCs w:val="22"/>
          <w:lang w:val="en-GB"/>
        </w:rPr>
        <w:t xml:space="preserve">odel 1, </w:t>
      </w:r>
      <w:r w:rsidR="00E73EE3">
        <w:rPr>
          <w:rFonts w:cs="Times New Roman"/>
          <w:sz w:val="22"/>
          <w:szCs w:val="22"/>
          <w:lang w:val="en-GB"/>
        </w:rPr>
        <w:t>T</w:t>
      </w:r>
      <w:r w:rsidRPr="00B81049">
        <w:rPr>
          <w:rFonts w:cs="Times New Roman"/>
          <w:sz w:val="22"/>
          <w:szCs w:val="22"/>
          <w:lang w:val="en-GB"/>
        </w:rPr>
        <w:t xml:space="preserve">able A8 of the </w:t>
      </w:r>
      <w:r w:rsidR="00E73EE3">
        <w:rPr>
          <w:rFonts w:cs="Times New Roman"/>
          <w:sz w:val="22"/>
          <w:szCs w:val="22"/>
          <w:lang w:val="en-GB"/>
        </w:rPr>
        <w:t>A</w:t>
      </w:r>
      <w:r w:rsidRPr="00B81049">
        <w:rPr>
          <w:rFonts w:cs="Times New Roman"/>
          <w:sz w:val="22"/>
          <w:szCs w:val="22"/>
          <w:lang w:val="en-GB"/>
        </w:rPr>
        <w:t xml:space="preserve">ppendix) yields two paths: one </w:t>
      </w:r>
      <w:r w:rsidR="0041676A">
        <w:rPr>
          <w:rFonts w:cs="Times New Roman"/>
          <w:sz w:val="22"/>
          <w:szCs w:val="22"/>
          <w:lang w:val="en-GB"/>
        </w:rPr>
        <w:t>comprising</w:t>
      </w:r>
      <w:r w:rsidRPr="00B81049">
        <w:rPr>
          <w:rFonts w:cs="Times New Roman"/>
          <w:sz w:val="22"/>
          <w:szCs w:val="22"/>
          <w:lang w:val="en-GB"/>
        </w:rPr>
        <w:t xml:space="preserve"> </w:t>
      </w:r>
      <w:r w:rsidR="0041676A">
        <w:rPr>
          <w:rFonts w:cs="Times New Roman"/>
          <w:sz w:val="22"/>
          <w:szCs w:val="22"/>
          <w:lang w:val="en-GB"/>
        </w:rPr>
        <w:t>n</w:t>
      </w:r>
      <w:r w:rsidRPr="00B81049">
        <w:rPr>
          <w:rFonts w:cs="Times New Roman"/>
          <w:sz w:val="22"/>
          <w:szCs w:val="22"/>
          <w:lang w:val="en-GB"/>
        </w:rPr>
        <w:t xml:space="preserve">ot-high temporary work, </w:t>
      </w:r>
      <w:r w:rsidR="0041676A">
        <w:rPr>
          <w:rFonts w:cs="Times New Roman"/>
          <w:sz w:val="22"/>
          <w:szCs w:val="22"/>
          <w:lang w:val="en-GB"/>
        </w:rPr>
        <w:t>n</w:t>
      </w:r>
      <w:r w:rsidRPr="00B81049">
        <w:rPr>
          <w:rFonts w:cs="Times New Roman"/>
          <w:sz w:val="22"/>
          <w:szCs w:val="22"/>
          <w:lang w:val="en-GB"/>
        </w:rPr>
        <w:t>ot-low EPL, high union density and high bargaining coverage</w:t>
      </w:r>
      <w:r w:rsidR="00E73EE3">
        <w:rPr>
          <w:rFonts w:cs="Times New Roman"/>
          <w:sz w:val="22"/>
          <w:szCs w:val="22"/>
          <w:lang w:val="en-GB"/>
        </w:rPr>
        <w:t>, which</w:t>
      </w:r>
      <w:r w:rsidRPr="00B81049">
        <w:rPr>
          <w:rFonts w:cs="Times New Roman"/>
          <w:sz w:val="22"/>
          <w:szCs w:val="22"/>
          <w:lang w:val="en-GB"/>
        </w:rPr>
        <w:t xml:space="preserve"> covers Denmark and Belgium, while the other </w:t>
      </w:r>
      <w:r w:rsidR="00E73EE3">
        <w:rPr>
          <w:rFonts w:cs="Times New Roman"/>
          <w:sz w:val="22"/>
          <w:szCs w:val="22"/>
          <w:lang w:val="en-GB"/>
        </w:rPr>
        <w:t>comprising</w:t>
      </w:r>
      <w:r w:rsidRPr="00B81049">
        <w:rPr>
          <w:rFonts w:cs="Times New Roman"/>
          <w:sz w:val="22"/>
          <w:szCs w:val="22"/>
          <w:lang w:val="en-GB"/>
        </w:rPr>
        <w:t xml:space="preserve"> high density, high bargaining coverage, high temporary work and low EPL covers Finland and Sweden. The model exhibits a high consistency (0.97) but a low coverage (0.60).</w:t>
      </w:r>
    </w:p>
    <w:p w:rsidR="00C874B1" w:rsidRDefault="00E73EE3" w:rsidP="00143569">
      <w:pPr>
        <w:autoSpaceDE w:val="0"/>
        <w:autoSpaceDN w:val="0"/>
        <w:adjustRightInd w:val="0"/>
        <w:ind w:firstLine="425"/>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Next, we replace temporary work with whether laws are in place (both crisp and fuzzy conditions</w:t>
      </w:r>
      <w:r>
        <w:rPr>
          <w:rFonts w:cs="Times New Roman"/>
          <w:sz w:val="22"/>
          <w:szCs w:val="22"/>
          <w:lang w:val="en-GB"/>
        </w:rPr>
        <w:t>:</w:t>
      </w:r>
      <w:r w:rsidR="00C874B1" w:rsidRPr="00B81049">
        <w:rPr>
          <w:rFonts w:cs="Times New Roman"/>
          <w:sz w:val="22"/>
          <w:szCs w:val="22"/>
          <w:lang w:val="en-GB"/>
        </w:rPr>
        <w:t xml:space="preserve"> see </w:t>
      </w:r>
      <w:r>
        <w:rPr>
          <w:rFonts w:cs="Times New Roman"/>
          <w:sz w:val="22"/>
          <w:szCs w:val="22"/>
          <w:lang w:val="en-GB"/>
        </w:rPr>
        <w:t>M</w:t>
      </w:r>
      <w:r w:rsidR="00C874B1" w:rsidRPr="00B81049">
        <w:rPr>
          <w:rFonts w:cs="Times New Roman"/>
          <w:sz w:val="22"/>
          <w:szCs w:val="22"/>
          <w:lang w:val="en-GB"/>
        </w:rPr>
        <w:t xml:space="preserve">odels 2 and 3 in </w:t>
      </w:r>
      <w:r>
        <w:rPr>
          <w:rFonts w:cs="Times New Roman"/>
          <w:sz w:val="22"/>
          <w:szCs w:val="22"/>
          <w:lang w:val="en-GB"/>
        </w:rPr>
        <w:t>T</w:t>
      </w:r>
      <w:r w:rsidR="00C874B1" w:rsidRPr="00B81049">
        <w:rPr>
          <w:rFonts w:cs="Times New Roman"/>
          <w:sz w:val="22"/>
          <w:szCs w:val="22"/>
          <w:lang w:val="en-GB"/>
        </w:rPr>
        <w:t>able A8). The coverage improves (0.66) while consistency falls (0.90) and our paths are altered: the first path (high bargaining coverage, high density, not-high laws) covers Finland, Sweden and Denmark, while the second path (high bargaining coverage, high union density, not-low EPL) covers Denmark and Belgium. These models therefore do not allow us to explain union inclusiveness in Southern Europe.</w:t>
      </w:r>
    </w:p>
    <w:p w:rsidR="00C874B1" w:rsidRPr="00E73EE3" w:rsidRDefault="00E73EE3" w:rsidP="00E73EE3">
      <w:pPr>
        <w:pStyle w:val="Testonormale"/>
        <w:autoSpaceDE w:val="0"/>
        <w:autoSpaceDN w:val="0"/>
        <w:adjustRightInd w:val="0"/>
        <w:rPr>
          <w:rFonts w:ascii="Times New Roman" w:hAnsi="Times New Roman"/>
          <w:szCs w:val="22"/>
          <w:lang w:val="en-GB" w:bidi="gu-IN"/>
        </w:rPr>
      </w:pPr>
      <w:r w:rsidRPr="00E73EE3">
        <w:rPr>
          <w:rFonts w:ascii="Times New Roman" w:hAnsi="Times New Roman"/>
          <w:szCs w:val="22"/>
          <w:lang w:val="en-GB" w:bidi="gu-IN"/>
        </w:rPr>
        <w:tab/>
      </w:r>
      <w:r w:rsidR="00C874B1" w:rsidRPr="00E73EE3">
        <w:rPr>
          <w:rFonts w:ascii="Times New Roman" w:hAnsi="Times New Roman"/>
          <w:szCs w:val="22"/>
          <w:lang w:val="en-GB" w:bidi="gu-IN"/>
        </w:rPr>
        <w:t>Replacing the presence of law by working</w:t>
      </w:r>
      <w:r w:rsidRPr="00E73EE3">
        <w:rPr>
          <w:rFonts w:ascii="Times New Roman" w:hAnsi="Times New Roman"/>
          <w:szCs w:val="22"/>
          <w:lang w:val="en-GB" w:bidi="gu-IN"/>
        </w:rPr>
        <w:t>-</w:t>
      </w:r>
      <w:r w:rsidR="00C874B1" w:rsidRPr="00E73EE3">
        <w:rPr>
          <w:rFonts w:ascii="Times New Roman" w:hAnsi="Times New Roman"/>
          <w:szCs w:val="22"/>
          <w:lang w:val="en-GB" w:bidi="gu-IN"/>
        </w:rPr>
        <w:t xml:space="preserve">class ideology results in a better model, shown in Model 1 of Table 3. The first path covers Denmark, Sweden, Finland, and Belgium and occurs through high bargaining coverage, not-working class ideology and high union density (0.99 consistency and 0.62 raw coverage). The second path explains France, Italy, and Spain and </w:t>
      </w:r>
      <w:r w:rsidRPr="00E73EE3">
        <w:rPr>
          <w:rFonts w:ascii="Times New Roman" w:hAnsi="Times New Roman"/>
          <w:szCs w:val="22"/>
          <w:lang w:val="en-GB" w:bidi="gu-IN"/>
        </w:rPr>
        <w:t>comprises</w:t>
      </w:r>
      <w:r w:rsidR="00C874B1" w:rsidRPr="00E73EE3">
        <w:rPr>
          <w:rFonts w:ascii="Times New Roman" w:hAnsi="Times New Roman"/>
          <w:szCs w:val="22"/>
          <w:lang w:val="en-GB" w:bidi="gu-IN"/>
        </w:rPr>
        <w:t xml:space="preserve"> high bargaining coverage, not-low density and not-low EPL, as well as working</w:t>
      </w:r>
      <w:r w:rsidRPr="00E73EE3">
        <w:rPr>
          <w:rFonts w:ascii="Times New Roman" w:hAnsi="Times New Roman"/>
          <w:szCs w:val="22"/>
          <w:lang w:val="en-GB" w:bidi="gu-IN"/>
        </w:rPr>
        <w:t>-</w:t>
      </w:r>
      <w:r w:rsidR="00C874B1" w:rsidRPr="00E73EE3">
        <w:rPr>
          <w:rFonts w:ascii="Times New Roman" w:hAnsi="Times New Roman"/>
          <w:szCs w:val="22"/>
          <w:lang w:val="en-GB" w:bidi="gu-IN"/>
        </w:rPr>
        <w:t xml:space="preserve">class ideology (0.87 consistency and 0.37 raw coverage). The overall consistency score for this solution is 0.93 and the coverage is higher than before (0.82). </w:t>
      </w:r>
    </w:p>
    <w:p w:rsidR="00C874B1" w:rsidRDefault="00E73EE3" w:rsidP="00E73EE3">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Replacing low EPL by temporary work does not affect the presence of the two paths but the coverage is lower</w:t>
      </w:r>
      <w:r>
        <w:rPr>
          <w:rFonts w:cs="Times New Roman"/>
          <w:sz w:val="22"/>
          <w:szCs w:val="22"/>
          <w:lang w:val="en-GB"/>
        </w:rPr>
        <w:t>,</w:t>
      </w:r>
      <w:r w:rsidR="00C874B1" w:rsidRPr="00B81049">
        <w:rPr>
          <w:rFonts w:cs="Times New Roman"/>
          <w:sz w:val="22"/>
          <w:szCs w:val="22"/>
          <w:lang w:val="en-GB"/>
        </w:rPr>
        <w:t xml:space="preserve"> so we discard this model (</w:t>
      </w:r>
      <w:r>
        <w:rPr>
          <w:rFonts w:cs="Times New Roman"/>
          <w:sz w:val="22"/>
          <w:szCs w:val="22"/>
          <w:lang w:val="en-GB"/>
        </w:rPr>
        <w:t>M</w:t>
      </w:r>
      <w:r w:rsidR="00C874B1" w:rsidRPr="00B81049">
        <w:rPr>
          <w:rFonts w:cs="Times New Roman"/>
          <w:sz w:val="22"/>
          <w:szCs w:val="22"/>
          <w:lang w:val="en-GB"/>
        </w:rPr>
        <w:t xml:space="preserve">odel 6, </w:t>
      </w:r>
      <w:r>
        <w:rPr>
          <w:rFonts w:cs="Times New Roman"/>
          <w:sz w:val="22"/>
          <w:szCs w:val="22"/>
          <w:lang w:val="en-GB"/>
        </w:rPr>
        <w:t>T</w:t>
      </w:r>
      <w:r w:rsidR="00C874B1" w:rsidRPr="00B81049">
        <w:rPr>
          <w:rFonts w:cs="Times New Roman"/>
          <w:sz w:val="22"/>
          <w:szCs w:val="22"/>
          <w:lang w:val="en-GB"/>
        </w:rPr>
        <w:t>able A8).</w:t>
      </w:r>
      <w:r>
        <w:rPr>
          <w:rFonts w:cs="Times New Roman"/>
          <w:sz w:val="22"/>
          <w:szCs w:val="22"/>
          <w:lang w:val="en-GB"/>
        </w:rPr>
        <w:t xml:space="preserve"> </w:t>
      </w:r>
      <w:r w:rsidR="00C874B1" w:rsidRPr="00B81049">
        <w:rPr>
          <w:rFonts w:cs="Times New Roman"/>
          <w:sz w:val="22"/>
          <w:szCs w:val="22"/>
          <w:lang w:val="en-GB"/>
        </w:rPr>
        <w:t xml:space="preserve">Replacing low EPL by law in the </w:t>
      </w:r>
      <w:r>
        <w:rPr>
          <w:rFonts w:cs="Times New Roman"/>
          <w:sz w:val="22"/>
          <w:szCs w:val="22"/>
          <w:lang w:val="en-GB"/>
        </w:rPr>
        <w:t>M</w:t>
      </w:r>
      <w:r w:rsidR="00C874B1" w:rsidRPr="00B81049">
        <w:rPr>
          <w:rFonts w:cs="Times New Roman"/>
          <w:sz w:val="22"/>
          <w:szCs w:val="22"/>
          <w:lang w:val="en-GB"/>
        </w:rPr>
        <w:t>odel 1</w:t>
      </w:r>
      <w:r>
        <w:rPr>
          <w:rFonts w:cs="Times New Roman"/>
          <w:sz w:val="22"/>
          <w:szCs w:val="22"/>
          <w:lang w:val="en-GB"/>
        </w:rPr>
        <w:t xml:space="preserve"> </w:t>
      </w:r>
      <w:r w:rsidR="00C874B1" w:rsidRPr="00B81049">
        <w:rPr>
          <w:rFonts w:cs="Times New Roman"/>
          <w:sz w:val="22"/>
          <w:szCs w:val="22"/>
          <w:lang w:val="en-GB"/>
        </w:rPr>
        <w:t>shows that law is a component of the Southern path (</w:t>
      </w:r>
      <w:r>
        <w:rPr>
          <w:rFonts w:cs="Times New Roman"/>
          <w:sz w:val="22"/>
          <w:szCs w:val="22"/>
          <w:lang w:val="en-GB"/>
        </w:rPr>
        <w:t>M</w:t>
      </w:r>
      <w:r w:rsidR="00C874B1" w:rsidRPr="00B81049">
        <w:rPr>
          <w:rFonts w:cs="Times New Roman"/>
          <w:sz w:val="22"/>
          <w:szCs w:val="22"/>
          <w:lang w:val="en-GB"/>
        </w:rPr>
        <w:t>odel 2). Overall consistency remains around 0.93 and coverage remains around 0.82. The raw coverage and consistency scores of the Southern path are slightly lower than before.</w:t>
      </w:r>
    </w:p>
    <w:p w:rsidR="00C874B1" w:rsidRDefault="00E73EE3" w:rsidP="00E73EE3">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 xml:space="preserve">Next, we add high union authority to the four conditions that constituted </w:t>
      </w:r>
      <w:r>
        <w:rPr>
          <w:rFonts w:cs="Times New Roman"/>
          <w:sz w:val="22"/>
          <w:szCs w:val="22"/>
          <w:lang w:val="en-GB"/>
        </w:rPr>
        <w:t>M</w:t>
      </w:r>
      <w:r w:rsidR="00C874B1" w:rsidRPr="00B81049">
        <w:rPr>
          <w:rFonts w:cs="Times New Roman"/>
          <w:sz w:val="22"/>
          <w:szCs w:val="22"/>
          <w:lang w:val="en-GB"/>
        </w:rPr>
        <w:t>odel 1, which becomes part of both the Southern and the Northern paths (</w:t>
      </w:r>
      <w:r>
        <w:rPr>
          <w:rFonts w:cs="Times New Roman"/>
          <w:sz w:val="22"/>
          <w:szCs w:val="22"/>
          <w:lang w:val="en-GB"/>
        </w:rPr>
        <w:t>M</w:t>
      </w:r>
      <w:r w:rsidR="00C874B1" w:rsidRPr="00B81049">
        <w:rPr>
          <w:rFonts w:cs="Times New Roman"/>
          <w:sz w:val="22"/>
          <w:szCs w:val="22"/>
          <w:lang w:val="en-GB"/>
        </w:rPr>
        <w:t>odel 3). Even though the overall coverage is slightly lower (0.78), the consistency scores for the model and the path remain similarly high. Substituting low EPL by the presence of law, coverage (0.79) and consistency (0.92) remain more or less the same (</w:t>
      </w:r>
      <w:r>
        <w:rPr>
          <w:rFonts w:cs="Times New Roman"/>
          <w:sz w:val="22"/>
          <w:szCs w:val="22"/>
          <w:lang w:val="en-GB"/>
        </w:rPr>
        <w:t>M</w:t>
      </w:r>
      <w:r w:rsidR="00C874B1" w:rsidRPr="00B81049">
        <w:rPr>
          <w:rFonts w:cs="Times New Roman"/>
          <w:sz w:val="22"/>
          <w:szCs w:val="22"/>
          <w:lang w:val="en-GB"/>
        </w:rPr>
        <w:t xml:space="preserve">odel 4). This model is included in the </w:t>
      </w:r>
      <w:r>
        <w:rPr>
          <w:rFonts w:cs="Times New Roman"/>
          <w:sz w:val="22"/>
          <w:szCs w:val="22"/>
          <w:lang w:val="en-GB"/>
        </w:rPr>
        <w:t>T</w:t>
      </w:r>
      <w:r w:rsidR="00C874B1" w:rsidRPr="00B81049">
        <w:rPr>
          <w:rFonts w:cs="Times New Roman"/>
          <w:sz w:val="22"/>
          <w:szCs w:val="22"/>
          <w:lang w:val="en-GB"/>
        </w:rPr>
        <w:t xml:space="preserve">able because it still scores high and, following logical reasoning, it is the most </w:t>
      </w:r>
      <w:r w:rsidR="00C874B1">
        <w:rPr>
          <w:rFonts w:cs="Times New Roman"/>
          <w:sz w:val="22"/>
          <w:szCs w:val="22"/>
          <w:lang w:val="en-GB"/>
        </w:rPr>
        <w:t>‘</w:t>
      </w:r>
      <w:r w:rsidR="00C874B1" w:rsidRPr="00B81049">
        <w:rPr>
          <w:rFonts w:cs="Times New Roman"/>
          <w:sz w:val="22"/>
          <w:szCs w:val="22"/>
          <w:lang w:val="en-GB"/>
        </w:rPr>
        <w:t>complete</w:t>
      </w:r>
      <w:r w:rsidR="00C874B1">
        <w:rPr>
          <w:rFonts w:cs="Times New Roman"/>
          <w:sz w:val="22"/>
          <w:szCs w:val="22"/>
          <w:lang w:val="en-GB"/>
        </w:rPr>
        <w:t>’</w:t>
      </w:r>
      <w:r w:rsidR="00C874B1" w:rsidRPr="00B81049">
        <w:rPr>
          <w:rFonts w:cs="Times New Roman"/>
          <w:sz w:val="22"/>
          <w:szCs w:val="22"/>
          <w:lang w:val="en-GB"/>
        </w:rPr>
        <w:t xml:space="preserve"> as it includes all conditions whose presence was identified as relevant. The Ghent path now comp</w:t>
      </w:r>
      <w:r>
        <w:rPr>
          <w:rFonts w:cs="Times New Roman"/>
          <w:sz w:val="22"/>
          <w:szCs w:val="22"/>
          <w:lang w:val="en-GB"/>
        </w:rPr>
        <w:t xml:space="preserve">rises </w:t>
      </w:r>
      <w:r w:rsidR="00C874B1" w:rsidRPr="00B81049">
        <w:rPr>
          <w:rFonts w:cs="Times New Roman"/>
          <w:sz w:val="22"/>
          <w:szCs w:val="22"/>
          <w:lang w:val="en-GB"/>
        </w:rPr>
        <w:t xml:space="preserve">high bargaining coverage, high union authority, not-working class ideology and high density. This path has a consistency of 0.99 and raw coverage of 0.59. The Southern path </w:t>
      </w:r>
      <w:r>
        <w:rPr>
          <w:rFonts w:cs="Times New Roman"/>
          <w:sz w:val="22"/>
          <w:szCs w:val="22"/>
          <w:lang w:val="en-GB"/>
        </w:rPr>
        <w:t>comprises</w:t>
      </w:r>
      <w:r w:rsidR="00C874B1" w:rsidRPr="00B81049">
        <w:rPr>
          <w:rFonts w:cs="Times New Roman"/>
          <w:sz w:val="22"/>
          <w:szCs w:val="22"/>
          <w:lang w:val="en-GB"/>
        </w:rPr>
        <w:t xml:space="preserve"> high bargaining coverage, not-high density, working class ideology, high union authority and high law. This path has a consistency of 0.86 and a raw coverage of 0.35.</w:t>
      </w:r>
    </w:p>
    <w:p w:rsidR="00C874B1" w:rsidRDefault="00E73EE3" w:rsidP="00E73EE3">
      <w:pPr>
        <w:autoSpaceDE w:val="0"/>
        <w:autoSpaceDN w:val="0"/>
        <w:adjustRightInd w:val="0"/>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As a robustness check, we rerun all our analysis substituting working</w:t>
      </w:r>
      <w:r>
        <w:rPr>
          <w:rFonts w:cs="Times New Roman"/>
          <w:sz w:val="22"/>
          <w:szCs w:val="22"/>
          <w:lang w:val="en-GB"/>
        </w:rPr>
        <w:t>-</w:t>
      </w:r>
      <w:r w:rsidR="00C874B1" w:rsidRPr="00B81049">
        <w:rPr>
          <w:rFonts w:cs="Times New Roman"/>
          <w:sz w:val="22"/>
          <w:szCs w:val="22"/>
          <w:lang w:val="en-GB"/>
        </w:rPr>
        <w:t xml:space="preserve">class ideology by our alternative proxy, which is a measure of the fragmentation of the union movement in each country. The results do not change substantively (see </w:t>
      </w:r>
      <w:r>
        <w:rPr>
          <w:rFonts w:cs="Times New Roman"/>
          <w:sz w:val="22"/>
          <w:szCs w:val="22"/>
          <w:lang w:val="en-GB"/>
        </w:rPr>
        <w:t>M</w:t>
      </w:r>
      <w:r w:rsidR="00C874B1" w:rsidRPr="00B81049">
        <w:rPr>
          <w:rFonts w:cs="Times New Roman"/>
          <w:sz w:val="22"/>
          <w:szCs w:val="22"/>
          <w:lang w:val="en-GB"/>
        </w:rPr>
        <w:t xml:space="preserve">odels 5, 7, 9, 11, 13, 15, 17, 19, and 21 in </w:t>
      </w:r>
      <w:r>
        <w:rPr>
          <w:rFonts w:cs="Times New Roman"/>
          <w:sz w:val="22"/>
          <w:szCs w:val="22"/>
          <w:lang w:val="en-GB"/>
        </w:rPr>
        <w:t>T</w:t>
      </w:r>
      <w:r w:rsidR="00C874B1" w:rsidRPr="00B81049">
        <w:rPr>
          <w:rFonts w:cs="Times New Roman"/>
          <w:sz w:val="22"/>
          <w:szCs w:val="22"/>
          <w:lang w:val="en-GB"/>
        </w:rPr>
        <w:t>able A8).</w:t>
      </w:r>
    </w:p>
    <w:p w:rsidR="003E070C" w:rsidRPr="00B81049" w:rsidRDefault="003E070C" w:rsidP="00E73EE3">
      <w:pPr>
        <w:autoSpaceDE w:val="0"/>
        <w:autoSpaceDN w:val="0"/>
        <w:adjustRightInd w:val="0"/>
        <w:rPr>
          <w:rFonts w:cs="Times New Roman"/>
          <w:sz w:val="22"/>
          <w:szCs w:val="22"/>
          <w:lang w:val="en-GB"/>
        </w:rPr>
      </w:pPr>
    </w:p>
    <w:p w:rsidR="00C874B1" w:rsidRDefault="003E070C" w:rsidP="00143569">
      <w:pPr>
        <w:autoSpaceDE w:val="0"/>
        <w:autoSpaceDN w:val="0"/>
        <w:adjustRightInd w:val="0"/>
        <w:rPr>
          <w:rFonts w:cs="Times New Roman"/>
          <w:sz w:val="22"/>
          <w:szCs w:val="22"/>
          <w:lang w:val="en-GB"/>
        </w:rPr>
      </w:pPr>
      <w:r>
        <w:rPr>
          <w:rFonts w:cs="Times New Roman"/>
          <w:sz w:val="22"/>
          <w:szCs w:val="22"/>
          <w:lang w:val="en-GB"/>
        </w:rPr>
        <w:t>[Table 3 about here]</w:t>
      </w:r>
    </w:p>
    <w:p w:rsidR="003E070C" w:rsidRDefault="003E070C" w:rsidP="00143569">
      <w:pPr>
        <w:autoSpaceDE w:val="0"/>
        <w:autoSpaceDN w:val="0"/>
        <w:adjustRightInd w:val="0"/>
        <w:rPr>
          <w:rFonts w:cs="Times New Roman"/>
          <w:sz w:val="22"/>
          <w:szCs w:val="22"/>
          <w:lang w:val="en-GB"/>
        </w:rPr>
      </w:pPr>
    </w:p>
    <w:p w:rsidR="00C874B1" w:rsidRPr="0086618E" w:rsidRDefault="00C874B1" w:rsidP="00143569">
      <w:pPr>
        <w:rPr>
          <w:rFonts w:cs="Times New Roman"/>
          <w:szCs w:val="22"/>
          <w:lang w:val="en-GB"/>
        </w:rPr>
      </w:pPr>
    </w:p>
    <w:p w:rsidR="00C874B1" w:rsidRDefault="00C874B1" w:rsidP="00143569">
      <w:pPr>
        <w:autoSpaceDE w:val="0"/>
        <w:autoSpaceDN w:val="0"/>
        <w:adjustRightInd w:val="0"/>
        <w:rPr>
          <w:rFonts w:ascii="Arial" w:hAnsi="Arial" w:cs="Arial"/>
          <w:b/>
          <w:lang w:val="en-GB"/>
        </w:rPr>
      </w:pPr>
      <w:r w:rsidRPr="0086618E">
        <w:rPr>
          <w:rFonts w:ascii="Arial" w:hAnsi="Arial" w:cs="Arial"/>
          <w:b/>
          <w:lang w:val="en-GB"/>
        </w:rPr>
        <w:t>Back to country cases</w:t>
      </w:r>
    </w:p>
    <w:p w:rsidR="003E070C" w:rsidRDefault="003E070C" w:rsidP="00143569">
      <w:pPr>
        <w:autoSpaceDE w:val="0"/>
        <w:autoSpaceDN w:val="0"/>
        <w:adjustRightInd w:val="0"/>
        <w:rPr>
          <w:rFonts w:cs="Times New Roman"/>
          <w:sz w:val="22"/>
          <w:szCs w:val="22"/>
          <w:lang w:val="en-GB"/>
        </w:rPr>
      </w:pPr>
    </w:p>
    <w:p w:rsidR="00C874B1" w:rsidRDefault="00C874B1" w:rsidP="00143569">
      <w:pPr>
        <w:autoSpaceDE w:val="0"/>
        <w:autoSpaceDN w:val="0"/>
        <w:adjustRightInd w:val="0"/>
        <w:rPr>
          <w:rFonts w:cs="Times New Roman"/>
          <w:sz w:val="22"/>
          <w:szCs w:val="22"/>
          <w:lang w:val="en-GB"/>
        </w:rPr>
      </w:pPr>
      <w:r w:rsidRPr="00B81049">
        <w:rPr>
          <w:rFonts w:cs="Times New Roman"/>
          <w:sz w:val="22"/>
          <w:szCs w:val="22"/>
          <w:lang w:val="en-GB"/>
        </w:rPr>
        <w:t xml:space="preserve">We now discuss how our results are qualitatively consistent with the cross-national variation in inclusiveness in all country cases. Note that we cannot illustrate in detail the </w:t>
      </w:r>
      <w:r>
        <w:rPr>
          <w:rFonts w:cs="Times New Roman"/>
          <w:sz w:val="22"/>
          <w:szCs w:val="22"/>
          <w:lang w:val="en-GB"/>
        </w:rPr>
        <w:t>‘</w:t>
      </w:r>
      <w:r w:rsidRPr="00B81049">
        <w:rPr>
          <w:rFonts w:cs="Times New Roman"/>
          <w:sz w:val="22"/>
          <w:szCs w:val="22"/>
          <w:lang w:val="en-GB"/>
        </w:rPr>
        <w:t>exclusi</w:t>
      </w:r>
      <w:r w:rsidR="003E070C">
        <w:rPr>
          <w:rFonts w:cs="Times New Roman"/>
          <w:sz w:val="22"/>
          <w:szCs w:val="22"/>
          <w:lang w:val="en-GB"/>
        </w:rPr>
        <w:t>onary</w:t>
      </w:r>
      <w:r w:rsidRPr="00B81049">
        <w:rPr>
          <w:rFonts w:cs="Times New Roman"/>
          <w:sz w:val="22"/>
          <w:szCs w:val="22"/>
          <w:lang w:val="en-GB"/>
        </w:rPr>
        <w:t xml:space="preserve"> cases</w:t>
      </w:r>
      <w:r>
        <w:rPr>
          <w:rFonts w:cs="Times New Roman"/>
          <w:sz w:val="22"/>
          <w:szCs w:val="22"/>
          <w:lang w:val="en-GB"/>
        </w:rPr>
        <w:t>’</w:t>
      </w:r>
      <w:r w:rsidRPr="00B81049">
        <w:rPr>
          <w:rFonts w:cs="Times New Roman"/>
          <w:sz w:val="22"/>
          <w:szCs w:val="22"/>
          <w:lang w:val="en-GB"/>
        </w:rPr>
        <w:t xml:space="preserve"> because fsQCA only shows causal paths leading to inclusiveness. We discuss both the Ghent path and the Southern path. While the former path is consistent with the existing literature, the latter path is novel; therefore, following best practice for fsQCA </w:t>
      </w:r>
      <w:r w:rsidRPr="00B81049">
        <w:rPr>
          <w:rFonts w:cs="Times New Roman"/>
          <w:noProof/>
          <w:sz w:val="22"/>
          <w:szCs w:val="22"/>
          <w:lang w:val="en-GB"/>
        </w:rPr>
        <w:t>(Schneider and Rohlfing, 2013)</w:t>
      </w:r>
      <w:r w:rsidRPr="00B81049">
        <w:rPr>
          <w:rFonts w:cs="Times New Roman"/>
          <w:sz w:val="22"/>
          <w:szCs w:val="22"/>
          <w:lang w:val="en-GB"/>
        </w:rPr>
        <w:t xml:space="preserve">, we dedicate a subsection to the analysis of the causal mechanism by focusing on the Italian case. </w:t>
      </w:r>
    </w:p>
    <w:p w:rsidR="00C874B1" w:rsidRDefault="00C874B1" w:rsidP="00143569">
      <w:pPr>
        <w:autoSpaceDE w:val="0"/>
        <w:autoSpaceDN w:val="0"/>
        <w:adjustRightInd w:val="0"/>
        <w:rPr>
          <w:rFonts w:cs="Times New Roman"/>
          <w:szCs w:val="22"/>
          <w:lang w:val="en-GB"/>
        </w:rPr>
      </w:pPr>
    </w:p>
    <w:p w:rsidR="003E070C" w:rsidRPr="0086618E" w:rsidRDefault="003E070C" w:rsidP="00143569">
      <w:pPr>
        <w:autoSpaceDE w:val="0"/>
        <w:autoSpaceDN w:val="0"/>
        <w:adjustRightInd w:val="0"/>
        <w:rPr>
          <w:rFonts w:cs="Times New Roman"/>
          <w:szCs w:val="22"/>
          <w:lang w:val="en-GB"/>
        </w:rPr>
      </w:pPr>
    </w:p>
    <w:p w:rsidR="00C874B1" w:rsidRPr="003E070C" w:rsidRDefault="00C874B1" w:rsidP="00143569">
      <w:pPr>
        <w:pStyle w:val="Titolo2"/>
        <w:numPr>
          <w:ilvl w:val="0"/>
          <w:numId w:val="0"/>
        </w:numPr>
        <w:spacing w:before="0"/>
        <w:rPr>
          <w:rFonts w:ascii="Arial" w:hAnsi="Arial" w:cs="Arial"/>
          <w:b w:val="0"/>
          <w:i/>
          <w:color w:val="auto"/>
          <w:sz w:val="22"/>
          <w:szCs w:val="22"/>
          <w:lang w:val="en-GB"/>
        </w:rPr>
      </w:pPr>
      <w:r w:rsidRPr="003E070C">
        <w:rPr>
          <w:rFonts w:ascii="Arial" w:hAnsi="Arial" w:cs="Arial"/>
          <w:b w:val="0"/>
          <w:i/>
          <w:color w:val="auto"/>
          <w:sz w:val="22"/>
          <w:szCs w:val="22"/>
          <w:lang w:val="en-GB"/>
        </w:rPr>
        <w:t>Coun</w:t>
      </w:r>
      <w:r w:rsidR="003E070C">
        <w:rPr>
          <w:rFonts w:ascii="Arial" w:hAnsi="Arial" w:cs="Arial"/>
          <w:b w:val="0"/>
          <w:i/>
          <w:color w:val="auto"/>
          <w:sz w:val="22"/>
          <w:szCs w:val="22"/>
          <w:lang w:val="en-GB"/>
        </w:rPr>
        <w:t>try</w:t>
      </w:r>
      <w:r w:rsidRPr="003E070C">
        <w:rPr>
          <w:rFonts w:ascii="Arial" w:hAnsi="Arial" w:cs="Arial"/>
          <w:b w:val="0"/>
          <w:i/>
          <w:color w:val="auto"/>
          <w:sz w:val="22"/>
          <w:szCs w:val="22"/>
          <w:lang w:val="en-GB"/>
        </w:rPr>
        <w:t xml:space="preserve"> overview</w:t>
      </w:r>
      <w:r w:rsidR="003E070C">
        <w:rPr>
          <w:rFonts w:ascii="Arial" w:hAnsi="Arial" w:cs="Arial"/>
          <w:b w:val="0"/>
          <w:i/>
          <w:color w:val="auto"/>
          <w:sz w:val="22"/>
          <w:szCs w:val="22"/>
          <w:lang w:val="en-GB"/>
        </w:rPr>
        <w:t>s</w:t>
      </w:r>
      <w:r w:rsidRPr="003E070C">
        <w:rPr>
          <w:rFonts w:ascii="Arial" w:hAnsi="Arial" w:cs="Arial"/>
          <w:b w:val="0"/>
          <w:i/>
          <w:color w:val="auto"/>
          <w:sz w:val="22"/>
          <w:szCs w:val="22"/>
          <w:lang w:val="en-GB"/>
        </w:rPr>
        <w:t xml:space="preserve"> </w:t>
      </w:r>
    </w:p>
    <w:p w:rsidR="003E070C" w:rsidRDefault="003E070C" w:rsidP="00143569">
      <w:pPr>
        <w:rPr>
          <w:rFonts w:cs="Times New Roman"/>
          <w:sz w:val="22"/>
          <w:szCs w:val="22"/>
          <w:lang w:val="en-GB"/>
        </w:rPr>
      </w:pPr>
    </w:p>
    <w:p w:rsidR="00C874B1" w:rsidRDefault="00C874B1" w:rsidP="00143569">
      <w:pPr>
        <w:rPr>
          <w:rFonts w:cs="Times New Roman"/>
          <w:sz w:val="22"/>
          <w:szCs w:val="22"/>
          <w:lang w:val="en-GB"/>
        </w:rPr>
      </w:pPr>
      <w:r w:rsidRPr="00B81049">
        <w:rPr>
          <w:rFonts w:cs="Times New Roman"/>
          <w:sz w:val="22"/>
          <w:szCs w:val="22"/>
          <w:lang w:val="en-GB"/>
        </w:rPr>
        <w:t xml:space="preserve">Six cases score as </w:t>
      </w:r>
      <w:r w:rsidR="003E070C" w:rsidRPr="00B81049">
        <w:rPr>
          <w:rFonts w:cs="Times New Roman"/>
          <w:sz w:val="22"/>
          <w:szCs w:val="22"/>
          <w:lang w:val="en-GB"/>
        </w:rPr>
        <w:t>exclusi</w:t>
      </w:r>
      <w:r w:rsidR="003E070C">
        <w:rPr>
          <w:rFonts w:cs="Times New Roman"/>
          <w:sz w:val="22"/>
          <w:szCs w:val="22"/>
          <w:lang w:val="en-GB"/>
        </w:rPr>
        <w:t>onary</w:t>
      </w:r>
      <w:r w:rsidR="003E070C" w:rsidRPr="00B81049">
        <w:rPr>
          <w:rFonts w:cs="Times New Roman"/>
          <w:sz w:val="22"/>
          <w:szCs w:val="22"/>
          <w:lang w:val="en-GB"/>
        </w:rPr>
        <w:t xml:space="preserve"> </w:t>
      </w:r>
      <w:r w:rsidRPr="00B81049">
        <w:rPr>
          <w:rFonts w:cs="Times New Roman"/>
          <w:sz w:val="22"/>
          <w:szCs w:val="22"/>
          <w:lang w:val="en-GB"/>
        </w:rPr>
        <w:t>towards TAWs: Austria, Germany, Greece, Ireland, Portugal and</w:t>
      </w:r>
      <w:r w:rsidR="003E070C">
        <w:rPr>
          <w:rFonts w:cs="Times New Roman"/>
          <w:sz w:val="22"/>
          <w:szCs w:val="22"/>
          <w:lang w:val="en-GB"/>
        </w:rPr>
        <w:t xml:space="preserve"> the</w:t>
      </w:r>
      <w:r w:rsidRPr="00B81049">
        <w:rPr>
          <w:rFonts w:cs="Times New Roman"/>
          <w:sz w:val="22"/>
          <w:szCs w:val="22"/>
          <w:lang w:val="en-GB"/>
        </w:rPr>
        <w:t xml:space="preserve"> UK. Even though the absence of conditions does not necessarily lead to exclusiveness (Schneider and Wagemann, 2011)</w:t>
      </w:r>
      <w:r w:rsidR="003E070C">
        <w:rPr>
          <w:rFonts w:cs="Times New Roman"/>
          <w:sz w:val="22"/>
          <w:szCs w:val="22"/>
          <w:lang w:val="en-GB"/>
        </w:rPr>
        <w:t>,</w:t>
      </w:r>
      <w:r w:rsidRPr="00B81049">
        <w:rPr>
          <w:rFonts w:cs="Times New Roman"/>
          <w:sz w:val="22"/>
          <w:szCs w:val="22"/>
          <w:lang w:val="en-GB"/>
        </w:rPr>
        <w:t xml:space="preserve"> we briefly discuss here the differences between these cases and the inclusive cases along several dimensions. Austria, Ireland and the UK have comparatively small temporary work sectors, which might partly explain the limited union efforts for TAWs. </w:t>
      </w:r>
      <w:r w:rsidR="002773BC">
        <w:rPr>
          <w:rFonts w:cs="Times New Roman"/>
          <w:sz w:val="22"/>
          <w:szCs w:val="22"/>
          <w:lang w:val="en-GB"/>
        </w:rPr>
        <w:t>T</w:t>
      </w:r>
      <w:r w:rsidRPr="00B81049">
        <w:rPr>
          <w:rFonts w:cs="Times New Roman"/>
          <w:sz w:val="22"/>
          <w:szCs w:val="22"/>
          <w:lang w:val="en-GB"/>
        </w:rPr>
        <w:t xml:space="preserve">he German </w:t>
      </w:r>
      <w:r w:rsidR="003E070C">
        <w:rPr>
          <w:rFonts w:cs="Times New Roman"/>
          <w:sz w:val="22"/>
          <w:szCs w:val="22"/>
          <w:lang w:val="en-GB"/>
        </w:rPr>
        <w:t>DGB</w:t>
      </w:r>
      <w:r w:rsidRPr="00B81049">
        <w:rPr>
          <w:rFonts w:cs="Times New Roman"/>
          <w:sz w:val="22"/>
          <w:szCs w:val="22"/>
          <w:lang w:val="en-GB"/>
        </w:rPr>
        <w:t xml:space="preserve"> </w:t>
      </w:r>
      <w:r w:rsidR="002773BC">
        <w:rPr>
          <w:rFonts w:cs="Times New Roman"/>
          <w:sz w:val="22"/>
          <w:szCs w:val="22"/>
          <w:lang w:val="en-GB"/>
        </w:rPr>
        <w:t>(</w:t>
      </w:r>
      <w:r w:rsidR="002773BC">
        <w:rPr>
          <w:i/>
          <w:color w:val="000000"/>
          <w:sz w:val="22"/>
          <w:szCs w:val="22"/>
          <w:lang w:val="de-DE"/>
        </w:rPr>
        <w:t>Deutscher Gewerkschaftsbund</w:t>
      </w:r>
      <w:r w:rsidR="002773BC">
        <w:rPr>
          <w:color w:val="000000"/>
          <w:sz w:val="22"/>
          <w:szCs w:val="22"/>
          <w:lang w:val="de-DE"/>
        </w:rPr>
        <w:t>)</w:t>
      </w:r>
      <w:r w:rsidR="002773BC" w:rsidRPr="00A0419A">
        <w:rPr>
          <w:rFonts w:cs="Arial"/>
          <w:sz w:val="22"/>
          <w:szCs w:val="22"/>
          <w:lang w:val="de-DE"/>
        </w:rPr>
        <w:t xml:space="preserve"> </w:t>
      </w:r>
      <w:r w:rsidRPr="00B81049">
        <w:rPr>
          <w:rFonts w:cs="Times New Roman"/>
          <w:sz w:val="22"/>
          <w:szCs w:val="22"/>
          <w:lang w:val="en-GB"/>
        </w:rPr>
        <w:t>has limited authority over the agenda</w:t>
      </w:r>
      <w:r w:rsidR="003E070C">
        <w:rPr>
          <w:rFonts w:cs="Times New Roman"/>
          <w:sz w:val="22"/>
          <w:szCs w:val="22"/>
          <w:lang w:val="en-GB"/>
        </w:rPr>
        <w:t>-</w:t>
      </w:r>
      <w:r w:rsidRPr="00B81049">
        <w:rPr>
          <w:rFonts w:cs="Times New Roman"/>
          <w:sz w:val="22"/>
          <w:szCs w:val="22"/>
          <w:lang w:val="en-GB"/>
        </w:rPr>
        <w:t>setting of its sectoral unions, confirming the argument of the dual</w:t>
      </w:r>
      <w:r>
        <w:rPr>
          <w:rFonts w:cs="Times New Roman"/>
          <w:sz w:val="22"/>
          <w:szCs w:val="22"/>
          <w:lang w:val="en-GB"/>
        </w:rPr>
        <w:t>ization</w:t>
      </w:r>
      <w:r w:rsidRPr="00B81049">
        <w:rPr>
          <w:rFonts w:cs="Times New Roman"/>
          <w:sz w:val="22"/>
          <w:szCs w:val="22"/>
          <w:lang w:val="en-GB"/>
        </w:rPr>
        <w:t xml:space="preserve"> literature that the prominence of unions in German export-oriented sectors led the labour movement to neglect outsiders’ interests </w:t>
      </w:r>
      <w:r w:rsidRPr="00B81049">
        <w:rPr>
          <w:rFonts w:cs="Times New Roman"/>
          <w:noProof/>
          <w:sz w:val="22"/>
          <w:szCs w:val="22"/>
          <w:lang w:val="en-GB"/>
        </w:rPr>
        <w:t>(Hassel, 2014; Palier and Thelen, 2010)</w:t>
      </w:r>
      <w:r w:rsidRPr="00B81049">
        <w:rPr>
          <w:rFonts w:cs="Times New Roman"/>
          <w:sz w:val="22"/>
          <w:szCs w:val="22"/>
          <w:lang w:val="en-GB"/>
        </w:rPr>
        <w:t xml:space="preserve">. Regarding ideology, the literature on union strategies has highlighted tendencies towards the market within the labour movement of all cases excluding Portugal </w:t>
      </w:r>
      <w:r w:rsidRPr="00B81049">
        <w:rPr>
          <w:rFonts w:cs="Times New Roman"/>
          <w:noProof/>
          <w:sz w:val="22"/>
          <w:szCs w:val="22"/>
          <w:lang w:val="en-GB"/>
        </w:rPr>
        <w:t xml:space="preserve">(see </w:t>
      </w:r>
      <w:r w:rsidR="003E070C">
        <w:rPr>
          <w:rFonts w:cs="Times New Roman"/>
          <w:noProof/>
          <w:sz w:val="22"/>
          <w:szCs w:val="22"/>
          <w:lang w:val="en-GB"/>
        </w:rPr>
        <w:t>T</w:t>
      </w:r>
      <w:r w:rsidRPr="00B81049">
        <w:rPr>
          <w:rFonts w:cs="Times New Roman"/>
          <w:noProof/>
          <w:sz w:val="22"/>
          <w:szCs w:val="22"/>
          <w:lang w:val="en-GB"/>
        </w:rPr>
        <w:t>able A4)</w:t>
      </w:r>
      <w:r w:rsidRPr="00B81049">
        <w:rPr>
          <w:rFonts w:cs="Times New Roman"/>
          <w:sz w:val="22"/>
          <w:szCs w:val="22"/>
          <w:lang w:val="en-GB"/>
        </w:rPr>
        <w:t>. Finally, the low bargaining coverage rates in Greece, Ireland, Portugal and</w:t>
      </w:r>
      <w:r w:rsidR="003E070C">
        <w:rPr>
          <w:rFonts w:cs="Times New Roman"/>
          <w:sz w:val="22"/>
          <w:szCs w:val="22"/>
          <w:lang w:val="en-GB"/>
        </w:rPr>
        <w:t xml:space="preserve"> the</w:t>
      </w:r>
      <w:r w:rsidRPr="00B81049">
        <w:rPr>
          <w:rFonts w:cs="Times New Roman"/>
          <w:sz w:val="22"/>
          <w:szCs w:val="22"/>
          <w:lang w:val="en-GB"/>
        </w:rPr>
        <w:t xml:space="preserve"> UK (Visser, 2013) show that the</w:t>
      </w:r>
      <w:r w:rsidR="003E070C">
        <w:rPr>
          <w:rFonts w:cs="Times New Roman"/>
          <w:sz w:val="22"/>
          <w:szCs w:val="22"/>
          <w:lang w:val="en-GB"/>
        </w:rPr>
        <w:t>se</w:t>
      </w:r>
      <w:r w:rsidRPr="00B81049">
        <w:rPr>
          <w:rFonts w:cs="Times New Roman"/>
          <w:sz w:val="22"/>
          <w:szCs w:val="22"/>
          <w:lang w:val="en-GB"/>
        </w:rPr>
        <w:t xml:space="preserve"> national labour movements have limited power to achieve encompassing agreements for TAWs. </w:t>
      </w:r>
    </w:p>
    <w:p w:rsidR="00C874B1" w:rsidRDefault="00433300" w:rsidP="00433300">
      <w:pPr>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The Northern path comprises Denmark, Sweden, Finland, and Belgium. Low employment protection and the size of the temporary sector, which varies from 9</w:t>
      </w:r>
      <w:r w:rsidR="00C874B1">
        <w:rPr>
          <w:rFonts w:cs="Times New Roman"/>
          <w:sz w:val="22"/>
          <w:szCs w:val="22"/>
          <w:lang w:val="en-GB"/>
        </w:rPr>
        <w:t xml:space="preserve"> percent</w:t>
      </w:r>
      <w:r w:rsidR="00C874B1" w:rsidRPr="00B81049">
        <w:rPr>
          <w:rFonts w:cs="Times New Roman"/>
          <w:sz w:val="22"/>
          <w:szCs w:val="22"/>
          <w:lang w:val="en-GB"/>
        </w:rPr>
        <w:t xml:space="preserve"> in Belgium to 16</w:t>
      </w:r>
      <w:r w:rsidR="00C874B1">
        <w:rPr>
          <w:rFonts w:cs="Times New Roman"/>
          <w:sz w:val="22"/>
          <w:szCs w:val="22"/>
          <w:lang w:val="en-GB"/>
        </w:rPr>
        <w:t xml:space="preserve"> percent</w:t>
      </w:r>
      <w:r w:rsidR="00C874B1" w:rsidRPr="00B81049">
        <w:rPr>
          <w:rFonts w:cs="Times New Roman"/>
          <w:sz w:val="22"/>
          <w:szCs w:val="22"/>
          <w:lang w:val="en-GB"/>
        </w:rPr>
        <w:t xml:space="preserve"> in Finland (OECD, 2000), do not seem particularly relevant in these cases. In contrast, the countries </w:t>
      </w:r>
      <w:r>
        <w:rPr>
          <w:rFonts w:cs="Times New Roman"/>
          <w:sz w:val="22"/>
          <w:szCs w:val="22"/>
          <w:lang w:val="en-GB"/>
        </w:rPr>
        <w:t>display</w:t>
      </w:r>
      <w:r w:rsidR="00C874B1" w:rsidRPr="00B81049">
        <w:rPr>
          <w:rFonts w:cs="Times New Roman"/>
          <w:sz w:val="22"/>
          <w:szCs w:val="22"/>
          <w:lang w:val="en-GB"/>
        </w:rPr>
        <w:t xml:space="preserve"> high density rates, between 50</w:t>
      </w:r>
      <w:r w:rsidR="00C874B1">
        <w:rPr>
          <w:rFonts w:cs="Times New Roman"/>
          <w:sz w:val="22"/>
          <w:szCs w:val="22"/>
          <w:lang w:val="en-GB"/>
        </w:rPr>
        <w:t xml:space="preserve"> percent</w:t>
      </w:r>
      <w:r w:rsidR="00C874B1" w:rsidRPr="00B81049">
        <w:rPr>
          <w:rFonts w:cs="Times New Roman"/>
          <w:sz w:val="22"/>
          <w:szCs w:val="22"/>
          <w:lang w:val="en-GB"/>
        </w:rPr>
        <w:t xml:space="preserve"> in Belgium and 80</w:t>
      </w:r>
      <w:r w:rsidR="00C874B1">
        <w:rPr>
          <w:rFonts w:cs="Times New Roman"/>
          <w:sz w:val="22"/>
          <w:szCs w:val="22"/>
          <w:lang w:val="en-GB"/>
        </w:rPr>
        <w:t xml:space="preserve"> percent</w:t>
      </w:r>
      <w:r w:rsidR="00C874B1" w:rsidRPr="00B81049">
        <w:rPr>
          <w:rFonts w:cs="Times New Roman"/>
          <w:sz w:val="22"/>
          <w:szCs w:val="22"/>
          <w:lang w:val="en-GB"/>
        </w:rPr>
        <w:t xml:space="preserve"> in Sweden</w:t>
      </w:r>
      <w:r>
        <w:rPr>
          <w:rFonts w:cs="Times New Roman"/>
          <w:sz w:val="22"/>
          <w:szCs w:val="22"/>
          <w:lang w:val="en-GB"/>
        </w:rPr>
        <w:t>,</w:t>
      </w:r>
      <w:r w:rsidR="00C874B1" w:rsidRPr="00B81049">
        <w:rPr>
          <w:rFonts w:cs="Times New Roman"/>
          <w:sz w:val="22"/>
          <w:szCs w:val="22"/>
          <w:lang w:val="en-GB"/>
        </w:rPr>
        <w:t xml:space="preserve"> and high bargaining coverage, ranging from 77</w:t>
      </w:r>
      <w:r w:rsidR="00C874B1">
        <w:rPr>
          <w:rFonts w:cs="Times New Roman"/>
          <w:sz w:val="22"/>
          <w:szCs w:val="22"/>
          <w:lang w:val="en-GB"/>
        </w:rPr>
        <w:t xml:space="preserve"> percent</w:t>
      </w:r>
      <w:r w:rsidR="00C874B1" w:rsidRPr="00B81049">
        <w:rPr>
          <w:rFonts w:cs="Times New Roman"/>
          <w:sz w:val="22"/>
          <w:szCs w:val="22"/>
          <w:lang w:val="en-GB"/>
        </w:rPr>
        <w:t xml:space="preserve"> in Denmark to 96</w:t>
      </w:r>
      <w:r w:rsidR="00C874B1">
        <w:rPr>
          <w:rFonts w:cs="Times New Roman"/>
          <w:sz w:val="22"/>
          <w:szCs w:val="22"/>
          <w:lang w:val="en-GB"/>
        </w:rPr>
        <w:t xml:space="preserve"> percent</w:t>
      </w:r>
      <w:r w:rsidR="00C874B1" w:rsidRPr="00B81049">
        <w:rPr>
          <w:rFonts w:cs="Times New Roman"/>
          <w:sz w:val="22"/>
          <w:szCs w:val="22"/>
          <w:lang w:val="en-GB"/>
        </w:rPr>
        <w:t xml:space="preserve"> in Belgium (Visser, 2013).</w:t>
      </w:r>
      <w:r w:rsidR="00E73EE3">
        <w:rPr>
          <w:rFonts w:cs="Times New Roman"/>
          <w:sz w:val="22"/>
          <w:szCs w:val="22"/>
          <w:lang w:val="en-GB"/>
        </w:rPr>
        <w:t xml:space="preserve"> </w:t>
      </w:r>
      <w:r w:rsidR="00C874B1" w:rsidRPr="00B81049">
        <w:rPr>
          <w:rFonts w:cs="Times New Roman"/>
          <w:sz w:val="22"/>
          <w:szCs w:val="22"/>
          <w:lang w:val="en-GB"/>
        </w:rPr>
        <w:t>All</w:t>
      </w:r>
      <w:r>
        <w:rPr>
          <w:rFonts w:cs="Times New Roman"/>
          <w:sz w:val="22"/>
          <w:szCs w:val="22"/>
          <w:lang w:val="en-GB"/>
        </w:rPr>
        <w:t xml:space="preserve"> these</w:t>
      </w:r>
      <w:r w:rsidR="00C874B1" w:rsidRPr="00B81049">
        <w:rPr>
          <w:rFonts w:cs="Times New Roman"/>
          <w:sz w:val="22"/>
          <w:szCs w:val="22"/>
          <w:lang w:val="en-GB"/>
        </w:rPr>
        <w:t xml:space="preserve"> labour movements also </w:t>
      </w:r>
      <w:r>
        <w:rPr>
          <w:rFonts w:cs="Times New Roman"/>
          <w:sz w:val="22"/>
          <w:szCs w:val="22"/>
          <w:lang w:val="en-GB"/>
        </w:rPr>
        <w:t>display high</w:t>
      </w:r>
      <w:r w:rsidR="00C874B1" w:rsidRPr="00B81049">
        <w:rPr>
          <w:rFonts w:cs="Times New Roman"/>
          <w:sz w:val="22"/>
          <w:szCs w:val="22"/>
          <w:lang w:val="en-GB"/>
        </w:rPr>
        <w:t xml:space="preserve"> central authority, which allows the coordination of the policies of member unions. Thus, the Northern path follows the expectation of insider-outsider theories in regard to union density but, most of all, of the power resource</w:t>
      </w:r>
      <w:r>
        <w:rPr>
          <w:rFonts w:cs="Times New Roman"/>
          <w:sz w:val="22"/>
          <w:szCs w:val="22"/>
          <w:lang w:val="en-GB"/>
        </w:rPr>
        <w:t>s</w:t>
      </w:r>
      <w:r w:rsidR="00C874B1" w:rsidRPr="00B81049">
        <w:rPr>
          <w:rFonts w:cs="Times New Roman"/>
          <w:sz w:val="22"/>
          <w:szCs w:val="22"/>
          <w:lang w:val="en-GB"/>
        </w:rPr>
        <w:t xml:space="preserve"> approach. It shows that a strong and unitar</w:t>
      </w:r>
      <w:r>
        <w:rPr>
          <w:rFonts w:cs="Times New Roman"/>
          <w:sz w:val="22"/>
          <w:szCs w:val="22"/>
          <w:lang w:val="en-GB"/>
        </w:rPr>
        <w:t>y</w:t>
      </w:r>
      <w:r w:rsidR="00C874B1" w:rsidRPr="00B81049">
        <w:rPr>
          <w:rFonts w:cs="Times New Roman"/>
          <w:sz w:val="22"/>
          <w:szCs w:val="22"/>
          <w:lang w:val="en-GB"/>
        </w:rPr>
        <w:t xml:space="preserve"> labour movement is inclusive towards TAWs, confirming the traditional association between the Ghent system and egalitarian workers’ outcomes </w:t>
      </w:r>
      <w:r w:rsidR="00C874B1" w:rsidRPr="00B81049">
        <w:rPr>
          <w:rFonts w:cs="Times New Roman"/>
          <w:noProof/>
          <w:sz w:val="22"/>
          <w:szCs w:val="22"/>
          <w:lang w:val="en-GB"/>
        </w:rPr>
        <w:t>(Rueda and Pontusson, 2000; Thelen, 2014)</w:t>
      </w:r>
      <w:r w:rsidR="00C874B1" w:rsidRPr="00B81049">
        <w:rPr>
          <w:rFonts w:cs="Times New Roman"/>
          <w:sz w:val="22"/>
          <w:szCs w:val="22"/>
          <w:lang w:val="en-GB"/>
        </w:rPr>
        <w:t xml:space="preserve">. </w:t>
      </w:r>
    </w:p>
    <w:p w:rsidR="00C874B1" w:rsidRDefault="00433300" w:rsidP="00433300">
      <w:pPr>
        <w:rPr>
          <w:rFonts w:cs="Times New Roman"/>
          <w:sz w:val="22"/>
          <w:szCs w:val="22"/>
          <w:lang w:val="en-GB"/>
        </w:rPr>
      </w:pPr>
      <w:r>
        <w:rPr>
          <w:rFonts w:cs="Times New Roman"/>
          <w:sz w:val="22"/>
          <w:szCs w:val="22"/>
          <w:lang w:val="en-GB"/>
        </w:rPr>
        <w:tab/>
      </w:r>
      <w:r w:rsidR="00C874B1" w:rsidRPr="00B81049">
        <w:rPr>
          <w:rFonts w:cs="Times New Roman"/>
          <w:sz w:val="22"/>
          <w:szCs w:val="22"/>
          <w:lang w:val="en-GB"/>
        </w:rPr>
        <w:t xml:space="preserve">Low employment protection and high density were not relevant to the Southern path, as France, Italy and Spain have </w:t>
      </w:r>
      <w:r w:rsidR="00C874B1" w:rsidRPr="00B81049">
        <w:rPr>
          <w:rFonts w:eastAsia="Times New Roman" w:cs="Times New Roman"/>
          <w:bCs/>
          <w:kern w:val="32"/>
          <w:sz w:val="22"/>
          <w:szCs w:val="22"/>
          <w:lang w:val="en-GB"/>
        </w:rPr>
        <w:t>comparatively high employment protection for permanent workers</w:t>
      </w:r>
      <w:r w:rsidR="00C874B1" w:rsidRPr="00B81049">
        <w:rPr>
          <w:rFonts w:cs="Times New Roman"/>
          <w:sz w:val="22"/>
          <w:szCs w:val="22"/>
          <w:lang w:val="en-GB"/>
        </w:rPr>
        <w:t xml:space="preserve"> and </w:t>
      </w:r>
      <w:r>
        <w:rPr>
          <w:rFonts w:cs="Times New Roman"/>
          <w:sz w:val="22"/>
          <w:szCs w:val="22"/>
          <w:lang w:val="en-GB"/>
        </w:rPr>
        <w:t>medium</w:t>
      </w:r>
      <w:r w:rsidR="00C874B1" w:rsidRPr="00B81049">
        <w:rPr>
          <w:rFonts w:cs="Times New Roman"/>
          <w:sz w:val="22"/>
          <w:szCs w:val="22"/>
          <w:lang w:val="en-GB"/>
        </w:rPr>
        <w:t xml:space="preserve"> to low density. These findings contrast with the expectations of the dual</w:t>
      </w:r>
      <w:r w:rsidR="00C874B1">
        <w:rPr>
          <w:rFonts w:cs="Times New Roman"/>
          <w:sz w:val="22"/>
          <w:szCs w:val="22"/>
          <w:lang w:val="en-GB"/>
        </w:rPr>
        <w:t>ization</w:t>
      </w:r>
      <w:r w:rsidR="00C874B1" w:rsidRPr="00B81049">
        <w:rPr>
          <w:rFonts w:cs="Times New Roman"/>
          <w:sz w:val="22"/>
          <w:szCs w:val="22"/>
          <w:lang w:val="en-GB"/>
        </w:rPr>
        <w:t xml:space="preserve"> literature and (partly) of the power resource</w:t>
      </w:r>
      <w:r>
        <w:rPr>
          <w:rFonts w:cs="Times New Roman"/>
          <w:sz w:val="22"/>
          <w:szCs w:val="22"/>
          <w:lang w:val="en-GB"/>
        </w:rPr>
        <w:t>s</w:t>
      </w:r>
      <w:r w:rsidR="00C874B1" w:rsidRPr="00B81049">
        <w:rPr>
          <w:rFonts w:cs="Times New Roman"/>
          <w:sz w:val="22"/>
          <w:szCs w:val="22"/>
          <w:lang w:val="en-GB"/>
        </w:rPr>
        <w:t xml:space="preserve"> approach. All three </w:t>
      </w:r>
      <w:r>
        <w:rPr>
          <w:rFonts w:cs="Times New Roman"/>
          <w:sz w:val="22"/>
          <w:szCs w:val="22"/>
          <w:lang w:val="en-GB"/>
        </w:rPr>
        <w:t>countries possess</w:t>
      </w:r>
      <w:r w:rsidR="00C874B1" w:rsidRPr="00B81049">
        <w:rPr>
          <w:rFonts w:cs="Times New Roman"/>
          <w:sz w:val="22"/>
          <w:szCs w:val="22"/>
          <w:lang w:val="en-GB"/>
        </w:rPr>
        <w:t xml:space="preserve"> a large temporary work sector (over 30</w:t>
      </w:r>
      <w:r w:rsidR="00C874B1">
        <w:rPr>
          <w:rFonts w:cs="Times New Roman"/>
          <w:sz w:val="22"/>
          <w:szCs w:val="22"/>
          <w:lang w:val="en-GB"/>
        </w:rPr>
        <w:t xml:space="preserve"> percent</w:t>
      </w:r>
      <w:r w:rsidR="00C874B1" w:rsidRPr="00B81049">
        <w:rPr>
          <w:rFonts w:cs="Times New Roman"/>
          <w:sz w:val="22"/>
          <w:szCs w:val="22"/>
          <w:lang w:val="en-GB"/>
        </w:rPr>
        <w:t xml:space="preserve"> in Spain) and an encompassing legislative framework setting equal pay for TAWs and the provision of training in all three countries, </w:t>
      </w:r>
      <w:r>
        <w:rPr>
          <w:rFonts w:cs="Times New Roman"/>
          <w:sz w:val="22"/>
          <w:szCs w:val="22"/>
          <w:lang w:val="en-GB"/>
        </w:rPr>
        <w:t>a</w:t>
      </w:r>
      <w:r w:rsidR="00C874B1" w:rsidRPr="00B81049">
        <w:rPr>
          <w:rFonts w:cs="Times New Roman"/>
          <w:sz w:val="22"/>
          <w:szCs w:val="22"/>
          <w:lang w:val="en-GB"/>
        </w:rPr>
        <w:t xml:space="preserve"> flexibility bonus in France and </w:t>
      </w:r>
      <w:r>
        <w:rPr>
          <w:rFonts w:cs="Times New Roman"/>
          <w:sz w:val="22"/>
          <w:szCs w:val="22"/>
          <w:lang w:val="en-GB"/>
        </w:rPr>
        <w:t>an</w:t>
      </w:r>
      <w:r w:rsidR="00C874B1" w:rsidRPr="00B81049">
        <w:rPr>
          <w:rFonts w:cs="Times New Roman"/>
          <w:sz w:val="22"/>
          <w:szCs w:val="22"/>
          <w:lang w:val="en-GB"/>
        </w:rPr>
        <w:t xml:space="preserve"> indemnity </w:t>
      </w:r>
      <w:r>
        <w:rPr>
          <w:rFonts w:cs="Times New Roman"/>
          <w:sz w:val="22"/>
          <w:szCs w:val="22"/>
          <w:lang w:val="en-GB"/>
        </w:rPr>
        <w:t>for</w:t>
      </w:r>
      <w:r w:rsidR="00C874B1" w:rsidRPr="00B81049">
        <w:rPr>
          <w:rFonts w:cs="Times New Roman"/>
          <w:sz w:val="22"/>
          <w:szCs w:val="22"/>
          <w:lang w:val="en-GB"/>
        </w:rPr>
        <w:t xml:space="preserve"> availability in Italy and in France (Arrowsmith, 2009). The high levels of regulation reflect the expectations of the political economy literature, which claims that the state in Mediterranean countries has an important regulatory role </w:t>
      </w:r>
      <w:r>
        <w:rPr>
          <w:rFonts w:cs="Times New Roman"/>
          <w:sz w:val="22"/>
          <w:szCs w:val="22"/>
          <w:lang w:val="en-GB"/>
        </w:rPr>
        <w:t>i</w:t>
      </w:r>
      <w:r w:rsidR="00C874B1" w:rsidRPr="00B81049">
        <w:rPr>
          <w:rFonts w:cs="Times New Roman"/>
          <w:sz w:val="22"/>
          <w:szCs w:val="22"/>
          <w:lang w:val="en-GB"/>
        </w:rPr>
        <w:t>n the labour market (Schmidt, 2003).</w:t>
      </w:r>
      <w:r w:rsidR="00C874B1" w:rsidRPr="00B81049">
        <w:rPr>
          <w:rFonts w:eastAsia="Times New Roman" w:cs="Times New Roman"/>
          <w:bCs/>
          <w:kern w:val="32"/>
          <w:sz w:val="22"/>
          <w:szCs w:val="22"/>
          <w:lang w:val="en-GB"/>
        </w:rPr>
        <w:t xml:space="preserve"> Furthermore, the national labour movement </w:t>
      </w:r>
      <w:r>
        <w:rPr>
          <w:rFonts w:eastAsia="Times New Roman" w:cs="Times New Roman"/>
          <w:bCs/>
          <w:kern w:val="32"/>
          <w:sz w:val="22"/>
          <w:szCs w:val="22"/>
          <w:lang w:val="en-GB"/>
        </w:rPr>
        <w:t>includes</w:t>
      </w:r>
      <w:r w:rsidR="00C874B1" w:rsidRPr="00B81049">
        <w:rPr>
          <w:rFonts w:eastAsia="Times New Roman" w:cs="Times New Roman"/>
          <w:bCs/>
          <w:kern w:val="32"/>
          <w:sz w:val="22"/>
          <w:szCs w:val="22"/>
          <w:lang w:val="en-GB"/>
        </w:rPr>
        <w:t xml:space="preserve"> at least one working class-oriented union in each country </w:t>
      </w:r>
      <w:r w:rsidR="00C874B1" w:rsidRPr="00B81049">
        <w:rPr>
          <w:rFonts w:cs="Times New Roman"/>
          <w:noProof/>
          <w:sz w:val="22"/>
          <w:szCs w:val="22"/>
        </w:rPr>
        <w:t>(Accornero, 1992; Martínez Lucio, 2003; Vlandas, 2013a)</w:t>
      </w:r>
      <w:r w:rsidR="00C874B1" w:rsidRPr="00B81049">
        <w:rPr>
          <w:rFonts w:cs="Times New Roman"/>
          <w:sz w:val="22"/>
          <w:szCs w:val="22"/>
          <w:lang w:eastAsia="it-IT"/>
        </w:rPr>
        <w:t>.</w:t>
      </w:r>
      <w:r w:rsidR="00C874B1" w:rsidRPr="00B81049">
        <w:rPr>
          <w:rFonts w:eastAsia="Times New Roman" w:cs="Times New Roman"/>
          <w:bCs/>
          <w:kern w:val="32"/>
          <w:sz w:val="22"/>
          <w:szCs w:val="22"/>
          <w:lang w:val="en-GB"/>
        </w:rPr>
        <w:t xml:space="preserve"> </w:t>
      </w:r>
      <w:r w:rsidR="00C874B1" w:rsidRPr="00B81049">
        <w:rPr>
          <w:rFonts w:cs="Times New Roman"/>
          <w:sz w:val="22"/>
          <w:szCs w:val="22"/>
          <w:lang w:val="en-GB"/>
        </w:rPr>
        <w:t>This means that at least one of the unions within the labour movement want</w:t>
      </w:r>
      <w:r>
        <w:rPr>
          <w:rFonts w:cs="Times New Roman"/>
          <w:sz w:val="22"/>
          <w:szCs w:val="22"/>
          <w:lang w:val="en-GB"/>
        </w:rPr>
        <w:t>s</w:t>
      </w:r>
      <w:r w:rsidR="00C874B1" w:rsidRPr="00B81049">
        <w:rPr>
          <w:rFonts w:cs="Times New Roman"/>
          <w:sz w:val="22"/>
          <w:szCs w:val="22"/>
          <w:lang w:val="en-GB"/>
        </w:rPr>
        <w:t xml:space="preserve"> to represent and protect all workers for ideological rather than only for strategic reasons.</w:t>
      </w:r>
    </w:p>
    <w:p w:rsidR="00433300" w:rsidRDefault="00433300" w:rsidP="00433300">
      <w:pPr>
        <w:rPr>
          <w:rFonts w:cs="Times New Roman"/>
          <w:sz w:val="22"/>
          <w:szCs w:val="22"/>
          <w:lang w:val="en-GB"/>
        </w:rPr>
      </w:pPr>
    </w:p>
    <w:p w:rsidR="00C874B1" w:rsidRPr="0086618E" w:rsidRDefault="00C874B1" w:rsidP="00143569">
      <w:pPr>
        <w:autoSpaceDE w:val="0"/>
        <w:autoSpaceDN w:val="0"/>
        <w:adjustRightInd w:val="0"/>
        <w:ind w:firstLine="425"/>
        <w:rPr>
          <w:rFonts w:cs="Times New Roman"/>
          <w:szCs w:val="22"/>
          <w:lang w:val="en-GB"/>
        </w:rPr>
      </w:pPr>
    </w:p>
    <w:p w:rsidR="00C874B1" w:rsidRPr="00433300" w:rsidRDefault="00C874B1" w:rsidP="00143569">
      <w:pPr>
        <w:pStyle w:val="Titolo2"/>
        <w:numPr>
          <w:ilvl w:val="0"/>
          <w:numId w:val="0"/>
        </w:numPr>
        <w:spacing w:before="0"/>
        <w:rPr>
          <w:rFonts w:ascii="Arial" w:hAnsi="Arial" w:cs="Arial"/>
          <w:b w:val="0"/>
          <w:i/>
          <w:color w:val="auto"/>
          <w:sz w:val="22"/>
          <w:szCs w:val="22"/>
          <w:lang w:val="en-GB"/>
        </w:rPr>
      </w:pPr>
      <w:r w:rsidRPr="00433300">
        <w:rPr>
          <w:rFonts w:ascii="Arial" w:hAnsi="Arial" w:cs="Arial"/>
          <w:b w:val="0"/>
          <w:i/>
          <w:color w:val="auto"/>
          <w:sz w:val="22"/>
          <w:szCs w:val="22"/>
          <w:lang w:val="en-GB"/>
        </w:rPr>
        <w:t>The Italian case</w:t>
      </w:r>
    </w:p>
    <w:p w:rsidR="00433300" w:rsidRDefault="00433300" w:rsidP="00143569">
      <w:pPr>
        <w:autoSpaceDE w:val="0"/>
        <w:autoSpaceDN w:val="0"/>
        <w:adjustRightInd w:val="0"/>
        <w:rPr>
          <w:rFonts w:cs="Times New Roman"/>
          <w:sz w:val="22"/>
          <w:szCs w:val="22"/>
          <w:lang w:val="en-GB"/>
        </w:rPr>
      </w:pPr>
    </w:p>
    <w:p w:rsidR="00C874B1" w:rsidRDefault="00C874B1" w:rsidP="00A7161F">
      <w:pPr>
        <w:pStyle w:val="Testonormale"/>
        <w:autoSpaceDE w:val="0"/>
        <w:autoSpaceDN w:val="0"/>
        <w:adjustRightInd w:val="0"/>
        <w:rPr>
          <w:rFonts w:ascii="Times New Roman" w:hAnsi="Times New Roman"/>
          <w:szCs w:val="22"/>
          <w:lang w:val="en-GB" w:bidi="gu-IN"/>
        </w:rPr>
      </w:pPr>
      <w:r w:rsidRPr="00A7161F">
        <w:rPr>
          <w:rFonts w:ascii="Times New Roman" w:hAnsi="Times New Roman"/>
          <w:szCs w:val="22"/>
          <w:lang w:val="en-GB" w:bidi="gu-IN"/>
        </w:rPr>
        <w:t xml:space="preserve">The Italian case allows us to explore in greater depth the causal mechanism. </w:t>
      </w:r>
      <w:r w:rsidR="00153831">
        <w:rPr>
          <w:rFonts w:ascii="Times New Roman" w:hAnsi="Times New Roman"/>
          <w:szCs w:val="22"/>
          <w:lang w:val="en-GB" w:bidi="gu-IN"/>
        </w:rPr>
        <w:t>We draw</w:t>
      </w:r>
      <w:r w:rsidRPr="00A7161F">
        <w:rPr>
          <w:rFonts w:ascii="Times New Roman" w:hAnsi="Times New Roman"/>
          <w:szCs w:val="22"/>
          <w:lang w:val="en-GB" w:bidi="gu-IN"/>
        </w:rPr>
        <w:t xml:space="preserve"> on secondary literature and on eight interviews conducted between 2011 and 2012 with officials of the atypical workers’ unions, as well as with union officials in the manufacturing sector (metal</w:t>
      </w:r>
      <w:r w:rsidR="00153831">
        <w:rPr>
          <w:rFonts w:ascii="Times New Roman" w:hAnsi="Times New Roman"/>
          <w:szCs w:val="22"/>
          <w:lang w:val="en-GB" w:bidi="gu-IN"/>
        </w:rPr>
        <w:t>-working</w:t>
      </w:r>
      <w:r w:rsidRPr="00A7161F">
        <w:rPr>
          <w:rFonts w:ascii="Times New Roman" w:hAnsi="Times New Roman"/>
          <w:szCs w:val="22"/>
          <w:lang w:val="en-GB" w:bidi="gu-IN"/>
        </w:rPr>
        <w:t>) and in services (telecommunication</w:t>
      </w:r>
      <w:r w:rsidR="00153831">
        <w:rPr>
          <w:rFonts w:ascii="Times New Roman" w:hAnsi="Times New Roman"/>
          <w:szCs w:val="22"/>
          <w:lang w:val="en-GB" w:bidi="gu-IN"/>
        </w:rPr>
        <w:t>s</w:t>
      </w:r>
      <w:r w:rsidRPr="00A7161F">
        <w:rPr>
          <w:rFonts w:ascii="Times New Roman" w:hAnsi="Times New Roman"/>
          <w:szCs w:val="22"/>
          <w:lang w:val="en-GB" w:bidi="gu-IN"/>
        </w:rPr>
        <w:t xml:space="preserve">). </w:t>
      </w:r>
    </w:p>
    <w:p w:rsidR="00C874B1" w:rsidRDefault="00D415CB" w:rsidP="00D415CB">
      <w:pPr>
        <w:pStyle w:val="Testonormale"/>
        <w:autoSpaceDE w:val="0"/>
        <w:autoSpaceDN w:val="0"/>
        <w:adjustRightInd w:val="0"/>
        <w:rPr>
          <w:rFonts w:ascii="Times New Roman" w:eastAsia="Times New Roman" w:hAnsi="Times New Roman"/>
          <w:bCs/>
          <w:noProof/>
          <w:kern w:val="32"/>
          <w:szCs w:val="22"/>
          <w:lang w:val="en-GB"/>
        </w:rPr>
      </w:pPr>
      <w:r w:rsidRPr="00D415CB">
        <w:rPr>
          <w:rFonts w:ascii="Times New Roman" w:hAnsi="Times New Roman"/>
          <w:szCs w:val="22"/>
          <w:lang w:val="en-GB" w:bidi="gu-IN"/>
        </w:rPr>
        <w:tab/>
      </w:r>
      <w:r w:rsidR="00C874B1" w:rsidRPr="00D415CB">
        <w:rPr>
          <w:rFonts w:ascii="Times New Roman" w:hAnsi="Times New Roman"/>
          <w:szCs w:val="22"/>
          <w:lang w:val="en-GB"/>
        </w:rPr>
        <w:t xml:space="preserve">The </w:t>
      </w:r>
      <w:r w:rsidR="00153831" w:rsidRPr="00D415CB">
        <w:rPr>
          <w:rFonts w:ascii="Times New Roman" w:hAnsi="Times New Roman"/>
          <w:szCs w:val="22"/>
          <w:lang w:val="en-GB"/>
        </w:rPr>
        <w:t xml:space="preserve">Italian unions score 0.67 on the inclusiveness </w:t>
      </w:r>
      <w:r w:rsidR="00C874B1" w:rsidRPr="00D415CB">
        <w:rPr>
          <w:rFonts w:ascii="Times New Roman" w:hAnsi="Times New Roman"/>
          <w:szCs w:val="22"/>
          <w:lang w:val="en-GB"/>
        </w:rPr>
        <w:t xml:space="preserve">index. </w:t>
      </w:r>
      <w:r w:rsidR="00153831" w:rsidRPr="00D415CB">
        <w:rPr>
          <w:rFonts w:ascii="Times New Roman" w:hAnsi="Times New Roman"/>
          <w:szCs w:val="22"/>
          <w:lang w:val="en-GB"/>
        </w:rPr>
        <w:t>U</w:t>
      </w:r>
      <w:r w:rsidR="00C874B1" w:rsidRPr="00D415CB">
        <w:rPr>
          <w:rFonts w:ascii="Times New Roman" w:hAnsi="Times New Roman"/>
          <w:szCs w:val="22"/>
          <w:lang w:val="en-GB"/>
        </w:rPr>
        <w:t xml:space="preserve">nion density of temporary workers is low (10 percent) compared to the whole </w:t>
      </w:r>
      <w:r w:rsidR="00C874B1" w:rsidRPr="002773BC">
        <w:rPr>
          <w:rFonts w:ascii="Times New Roman" w:hAnsi="Times New Roman"/>
          <w:szCs w:val="22"/>
          <w:lang w:val="en-GB"/>
        </w:rPr>
        <w:t xml:space="preserve">workforce (around 30 percent). </w:t>
      </w:r>
      <w:r w:rsidR="00153831" w:rsidRPr="002773BC">
        <w:rPr>
          <w:rFonts w:ascii="Times New Roman" w:hAnsi="Times New Roman"/>
          <w:szCs w:val="22"/>
          <w:lang w:val="en-GB"/>
        </w:rPr>
        <w:t>However</w:t>
      </w:r>
      <w:r w:rsidR="00C874B1" w:rsidRPr="002773BC">
        <w:rPr>
          <w:rFonts w:ascii="Times New Roman" w:hAnsi="Times New Roman"/>
          <w:szCs w:val="22"/>
          <w:lang w:val="en-GB"/>
        </w:rPr>
        <w:t>, the three confederations CGIL</w:t>
      </w:r>
      <w:r w:rsidR="002773BC" w:rsidRPr="002773BC">
        <w:rPr>
          <w:rFonts w:ascii="Times New Roman" w:hAnsi="Times New Roman"/>
          <w:szCs w:val="22"/>
          <w:lang w:val="en-GB"/>
        </w:rPr>
        <w:t xml:space="preserve"> (</w:t>
      </w:r>
      <w:r w:rsidR="002773BC" w:rsidRPr="002773BC">
        <w:rPr>
          <w:rFonts w:ascii="Times New Roman" w:hAnsi="Times New Roman"/>
          <w:i/>
          <w:szCs w:val="22"/>
          <w:lang w:val="it-IT"/>
        </w:rPr>
        <w:t>Confederazione generale italiana del lavoro</w:t>
      </w:r>
      <w:r w:rsidR="002773BC" w:rsidRPr="002773BC">
        <w:rPr>
          <w:rFonts w:ascii="Times New Roman" w:hAnsi="Times New Roman"/>
          <w:szCs w:val="22"/>
          <w:lang w:val="it-IT"/>
        </w:rPr>
        <w:t>)</w:t>
      </w:r>
      <w:r w:rsidR="00C874B1" w:rsidRPr="002773BC">
        <w:rPr>
          <w:rFonts w:ascii="Times New Roman" w:hAnsi="Times New Roman"/>
          <w:szCs w:val="22"/>
          <w:lang w:val="en-GB"/>
        </w:rPr>
        <w:t xml:space="preserve">, CISL </w:t>
      </w:r>
      <w:r w:rsidR="002773BC" w:rsidRPr="002773BC">
        <w:rPr>
          <w:rFonts w:ascii="Times New Roman" w:hAnsi="Times New Roman"/>
          <w:szCs w:val="22"/>
          <w:lang w:val="en-GB"/>
        </w:rPr>
        <w:t>(</w:t>
      </w:r>
      <w:r w:rsidR="002773BC" w:rsidRPr="002773BC">
        <w:rPr>
          <w:rFonts w:ascii="Times New Roman" w:hAnsi="Times New Roman"/>
          <w:i/>
          <w:color w:val="000000"/>
          <w:szCs w:val="22"/>
          <w:lang w:val="it-IT"/>
        </w:rPr>
        <w:t>Confederazione italiana sindacati lavoratori</w:t>
      </w:r>
      <w:r w:rsidR="002773BC" w:rsidRPr="002773BC">
        <w:rPr>
          <w:rFonts w:ascii="Times New Roman" w:hAnsi="Times New Roman"/>
          <w:iCs/>
          <w:szCs w:val="22"/>
          <w:lang w:val="it-IT"/>
        </w:rPr>
        <w:t xml:space="preserve">) </w:t>
      </w:r>
      <w:r w:rsidR="00C874B1" w:rsidRPr="002773BC">
        <w:rPr>
          <w:rFonts w:ascii="Times New Roman" w:hAnsi="Times New Roman"/>
          <w:szCs w:val="22"/>
          <w:lang w:val="en-GB"/>
        </w:rPr>
        <w:t xml:space="preserve">and UIL </w:t>
      </w:r>
      <w:r w:rsidR="002773BC" w:rsidRPr="002773BC">
        <w:rPr>
          <w:rFonts w:ascii="Times New Roman" w:hAnsi="Times New Roman"/>
          <w:szCs w:val="22"/>
          <w:lang w:val="en-GB"/>
        </w:rPr>
        <w:t>(</w:t>
      </w:r>
      <w:r w:rsidR="002773BC" w:rsidRPr="002773BC">
        <w:rPr>
          <w:rFonts w:ascii="Times New Roman" w:hAnsi="Times New Roman"/>
          <w:i/>
          <w:color w:val="000000"/>
          <w:szCs w:val="22"/>
          <w:lang w:val="de-DE"/>
        </w:rPr>
        <w:t>Unione italiana del lavoro</w:t>
      </w:r>
      <w:r w:rsidR="002773BC" w:rsidRPr="002773BC">
        <w:rPr>
          <w:rFonts w:ascii="Times New Roman" w:hAnsi="Times New Roman"/>
          <w:color w:val="000000"/>
          <w:szCs w:val="22"/>
          <w:lang w:val="de-DE"/>
        </w:rPr>
        <w:t>)</w:t>
      </w:r>
      <w:r w:rsidR="002773BC" w:rsidRPr="002773BC">
        <w:rPr>
          <w:rFonts w:ascii="Times New Roman" w:hAnsi="Times New Roman"/>
          <w:iCs/>
          <w:szCs w:val="22"/>
          <w:lang w:val="de-DE"/>
        </w:rPr>
        <w:t xml:space="preserve"> </w:t>
      </w:r>
      <w:r w:rsidR="00C874B1" w:rsidRPr="002773BC">
        <w:rPr>
          <w:rFonts w:ascii="Times New Roman" w:hAnsi="Times New Roman"/>
          <w:szCs w:val="22"/>
          <w:lang w:val="en-GB"/>
        </w:rPr>
        <w:t>created unions for atypical workers at the end of the 1990s (N</w:t>
      </w:r>
      <w:r w:rsidR="00A7161F" w:rsidRPr="002773BC">
        <w:rPr>
          <w:rFonts w:ascii="Times New Roman" w:hAnsi="Times New Roman"/>
          <w:szCs w:val="22"/>
          <w:lang w:val="en-GB"/>
        </w:rPr>
        <w:t>IdiL</w:t>
      </w:r>
      <w:r w:rsidR="00C874B1" w:rsidRPr="002773BC">
        <w:rPr>
          <w:rFonts w:ascii="Times New Roman" w:hAnsi="Times New Roman"/>
          <w:szCs w:val="22"/>
          <w:lang w:val="en-GB"/>
        </w:rPr>
        <w:t>, Fe</w:t>
      </w:r>
      <w:r w:rsidRPr="002773BC">
        <w:rPr>
          <w:rFonts w:ascii="Times New Roman" w:hAnsi="Times New Roman"/>
          <w:szCs w:val="22"/>
          <w:lang w:val="en-GB"/>
        </w:rPr>
        <w:t>LSA</w:t>
      </w:r>
      <w:r w:rsidR="00C874B1" w:rsidRPr="002773BC">
        <w:rPr>
          <w:rFonts w:ascii="Times New Roman" w:hAnsi="Times New Roman"/>
          <w:szCs w:val="22"/>
          <w:lang w:val="en-GB"/>
        </w:rPr>
        <w:t xml:space="preserve"> and CPO, </w:t>
      </w:r>
      <w:r w:rsidRPr="002773BC">
        <w:rPr>
          <w:rFonts w:ascii="Times New Roman" w:hAnsi="Times New Roman"/>
          <w:szCs w:val="22"/>
          <w:lang w:val="en-GB"/>
        </w:rPr>
        <w:t xml:space="preserve">now </w:t>
      </w:r>
      <w:r w:rsidRPr="002773BC">
        <w:rPr>
          <w:rFonts w:ascii="Times New Roman" w:hAnsi="Times New Roman"/>
          <w:szCs w:val="22"/>
        </w:rPr>
        <w:t>Tem.p@</w:t>
      </w:r>
      <w:r w:rsidR="00C874B1" w:rsidRPr="002773BC">
        <w:rPr>
          <w:rFonts w:ascii="Times New Roman" w:hAnsi="Times New Roman"/>
          <w:szCs w:val="22"/>
          <w:lang w:val="en-GB"/>
        </w:rPr>
        <w:t>). These unions signed</w:t>
      </w:r>
      <w:r w:rsidR="00C874B1" w:rsidRPr="00D415CB">
        <w:rPr>
          <w:rFonts w:ascii="Times New Roman" w:hAnsi="Times New Roman"/>
          <w:szCs w:val="22"/>
          <w:lang w:val="en-GB"/>
        </w:rPr>
        <w:t xml:space="preserve"> the first collective agreement for TAWs in 1998 (</w:t>
      </w:r>
      <w:r w:rsidR="002773BC" w:rsidRPr="00D415CB">
        <w:rPr>
          <w:rFonts w:ascii="Times New Roman" w:hAnsi="Times New Roman"/>
          <w:szCs w:val="22"/>
          <w:lang w:val="en-GB"/>
        </w:rPr>
        <w:t xml:space="preserve">since </w:t>
      </w:r>
      <w:r w:rsidR="00C874B1" w:rsidRPr="00D415CB">
        <w:rPr>
          <w:rFonts w:ascii="Times New Roman" w:hAnsi="Times New Roman"/>
          <w:szCs w:val="22"/>
          <w:lang w:val="en-GB"/>
        </w:rPr>
        <w:t>renewed twice) to promote the principle of equal pay already set by law</w:t>
      </w:r>
      <w:r w:rsidRPr="00D415CB">
        <w:rPr>
          <w:rFonts w:ascii="Times New Roman" w:hAnsi="Times New Roman"/>
          <w:szCs w:val="22"/>
          <w:lang w:val="en-GB"/>
        </w:rPr>
        <w:t>,</w:t>
      </w:r>
      <w:r w:rsidR="00C874B1" w:rsidRPr="00D415CB">
        <w:rPr>
          <w:rFonts w:ascii="Times New Roman" w:hAnsi="Times New Roman"/>
          <w:szCs w:val="22"/>
          <w:lang w:val="en-GB"/>
        </w:rPr>
        <w:t xml:space="preserve"> </w:t>
      </w:r>
      <w:r w:rsidRPr="00D415CB">
        <w:rPr>
          <w:rFonts w:ascii="Times New Roman" w:hAnsi="Times New Roman"/>
          <w:szCs w:val="22"/>
          <w:lang w:val="en-GB"/>
        </w:rPr>
        <w:t>covering</w:t>
      </w:r>
      <w:r w:rsidR="00C874B1" w:rsidRPr="00D415CB">
        <w:rPr>
          <w:rFonts w:ascii="Times New Roman" w:hAnsi="Times New Roman"/>
          <w:szCs w:val="22"/>
          <w:lang w:val="en-GB"/>
        </w:rPr>
        <w:t xml:space="preserve"> </w:t>
      </w:r>
      <w:r w:rsidR="00C874B1" w:rsidRPr="00D415CB">
        <w:rPr>
          <w:rFonts w:ascii="Times New Roman" w:eastAsia="Times New Roman" w:hAnsi="Times New Roman"/>
          <w:bCs/>
          <w:kern w:val="32"/>
          <w:szCs w:val="22"/>
          <w:lang w:val="en-GB"/>
        </w:rPr>
        <w:t xml:space="preserve">working hours, job classifications and leave. </w:t>
      </w:r>
      <w:r w:rsidRPr="00D415CB">
        <w:rPr>
          <w:rFonts w:ascii="Times New Roman" w:eastAsia="Times New Roman" w:hAnsi="Times New Roman"/>
          <w:bCs/>
          <w:kern w:val="32"/>
          <w:szCs w:val="22"/>
          <w:lang w:val="en-GB"/>
        </w:rPr>
        <w:t>T</w:t>
      </w:r>
      <w:r w:rsidR="00C874B1" w:rsidRPr="00D415CB">
        <w:rPr>
          <w:rFonts w:ascii="Times New Roman" w:eastAsia="Times New Roman" w:hAnsi="Times New Roman"/>
          <w:bCs/>
          <w:kern w:val="32"/>
          <w:szCs w:val="22"/>
          <w:lang w:val="en-GB"/>
        </w:rPr>
        <w:t xml:space="preserve">he 1998 agreement was the basis for the bilateral training institution </w:t>
      </w:r>
      <w:r w:rsidR="00C874B1" w:rsidRPr="00D415CB">
        <w:rPr>
          <w:rFonts w:ascii="Times New Roman" w:eastAsia="Times New Roman" w:hAnsi="Times New Roman"/>
          <w:bCs/>
          <w:i/>
          <w:kern w:val="32"/>
          <w:szCs w:val="22"/>
          <w:lang w:val="en-GB"/>
        </w:rPr>
        <w:t>Formatemp</w:t>
      </w:r>
      <w:r w:rsidR="00C874B1" w:rsidRPr="00D415CB">
        <w:rPr>
          <w:rFonts w:ascii="Times New Roman" w:eastAsia="Times New Roman" w:hAnsi="Times New Roman"/>
          <w:bCs/>
          <w:kern w:val="32"/>
          <w:szCs w:val="22"/>
          <w:lang w:val="en-GB"/>
        </w:rPr>
        <w:t>, jointly managed by unions and employers</w:t>
      </w:r>
      <w:r w:rsidR="00C874B1" w:rsidRPr="00D415CB">
        <w:rPr>
          <w:rFonts w:ascii="Times New Roman" w:hAnsi="Times New Roman"/>
          <w:szCs w:val="22"/>
          <w:lang w:val="en-GB"/>
        </w:rPr>
        <w:t>; and the</w:t>
      </w:r>
      <w:r w:rsidR="00C874B1" w:rsidRPr="00D415CB">
        <w:rPr>
          <w:rFonts w:ascii="Times New Roman" w:eastAsia="Times New Roman" w:hAnsi="Times New Roman"/>
          <w:bCs/>
          <w:kern w:val="32"/>
          <w:szCs w:val="22"/>
          <w:lang w:val="en-GB"/>
        </w:rPr>
        <w:t xml:space="preserve"> additional bilateral fund </w:t>
      </w:r>
      <w:r w:rsidR="00C874B1" w:rsidRPr="00D415CB">
        <w:rPr>
          <w:rFonts w:ascii="Times New Roman" w:eastAsia="Times New Roman" w:hAnsi="Times New Roman"/>
          <w:bCs/>
          <w:i/>
          <w:kern w:val="32"/>
          <w:szCs w:val="22"/>
          <w:lang w:val="en-GB"/>
        </w:rPr>
        <w:t>Ebitemp</w:t>
      </w:r>
      <w:r w:rsidR="00C874B1" w:rsidRPr="00D415CB">
        <w:rPr>
          <w:rFonts w:ascii="Times New Roman" w:eastAsia="Times New Roman" w:hAnsi="Times New Roman"/>
          <w:bCs/>
          <w:kern w:val="32"/>
          <w:szCs w:val="22"/>
          <w:lang w:val="en-GB"/>
        </w:rPr>
        <w:t xml:space="preserve">, which provides the indemnity </w:t>
      </w:r>
      <w:r w:rsidRPr="00D415CB">
        <w:rPr>
          <w:rFonts w:ascii="Times New Roman" w:eastAsia="Times New Roman" w:hAnsi="Times New Roman"/>
          <w:bCs/>
          <w:kern w:val="32"/>
          <w:szCs w:val="22"/>
          <w:lang w:val="en-GB"/>
        </w:rPr>
        <w:t>for</w:t>
      </w:r>
      <w:r w:rsidR="00C874B1" w:rsidRPr="00D415CB">
        <w:rPr>
          <w:rFonts w:ascii="Times New Roman" w:eastAsia="Times New Roman" w:hAnsi="Times New Roman"/>
          <w:bCs/>
          <w:kern w:val="32"/>
          <w:szCs w:val="22"/>
          <w:lang w:val="en-GB"/>
        </w:rPr>
        <w:t xml:space="preserve"> availability of </w:t>
      </w:r>
      <w:r w:rsidRPr="00D415CB">
        <w:rPr>
          <w:rFonts w:ascii="Times New Roman" w:eastAsia="Times New Roman" w:hAnsi="Times New Roman"/>
          <w:bCs/>
          <w:kern w:val="32"/>
          <w:szCs w:val="22"/>
          <w:lang w:val="en-GB"/>
        </w:rPr>
        <w:t>€</w:t>
      </w:r>
      <w:r w:rsidR="00C874B1" w:rsidRPr="00D415CB">
        <w:rPr>
          <w:rFonts w:ascii="Times New Roman" w:eastAsia="Times New Roman" w:hAnsi="Times New Roman"/>
          <w:bCs/>
          <w:kern w:val="32"/>
          <w:szCs w:val="22"/>
          <w:lang w:val="en-GB"/>
        </w:rPr>
        <w:t>700</w:t>
      </w:r>
      <w:r w:rsidRPr="00D415CB">
        <w:rPr>
          <w:rFonts w:ascii="Times New Roman" w:eastAsia="Times New Roman" w:hAnsi="Times New Roman"/>
          <w:bCs/>
          <w:kern w:val="32"/>
          <w:szCs w:val="22"/>
          <w:lang w:val="en-GB"/>
        </w:rPr>
        <w:t xml:space="preserve"> per </w:t>
      </w:r>
      <w:r w:rsidR="00C874B1" w:rsidRPr="00D415CB">
        <w:rPr>
          <w:rFonts w:ascii="Times New Roman" w:eastAsia="Times New Roman" w:hAnsi="Times New Roman"/>
          <w:bCs/>
          <w:kern w:val="32"/>
          <w:szCs w:val="22"/>
          <w:lang w:val="en-GB"/>
        </w:rPr>
        <w:t xml:space="preserve">month to TAWs </w:t>
      </w:r>
      <w:r w:rsidR="00C874B1" w:rsidRPr="00D415CB">
        <w:rPr>
          <w:rFonts w:ascii="Times New Roman" w:eastAsia="Times New Roman" w:hAnsi="Times New Roman"/>
          <w:bCs/>
          <w:noProof/>
          <w:kern w:val="32"/>
          <w:szCs w:val="22"/>
          <w:lang w:val="en-GB"/>
        </w:rPr>
        <w:t>(Leonardi, 2008; Pulignano et al., forthcoming)</w:t>
      </w:r>
      <w:r w:rsidRPr="00D415CB">
        <w:rPr>
          <w:rFonts w:ascii="Times New Roman" w:eastAsia="Times New Roman" w:hAnsi="Times New Roman"/>
          <w:bCs/>
          <w:noProof/>
          <w:kern w:val="32"/>
          <w:szCs w:val="22"/>
          <w:lang w:val="en-GB"/>
        </w:rPr>
        <w:t>.</w:t>
      </w:r>
    </w:p>
    <w:p w:rsidR="00C874B1" w:rsidRDefault="00D415CB" w:rsidP="00D415CB">
      <w:pPr>
        <w:pStyle w:val="Testonormale"/>
        <w:autoSpaceDE w:val="0"/>
        <w:autoSpaceDN w:val="0"/>
        <w:adjustRightInd w:val="0"/>
        <w:rPr>
          <w:rFonts w:ascii="Times New Roman" w:hAnsi="Times New Roman"/>
          <w:szCs w:val="22"/>
          <w:lang w:val="en-GB"/>
        </w:rPr>
      </w:pPr>
      <w:r w:rsidRPr="00D415CB">
        <w:rPr>
          <w:rFonts w:ascii="Times New Roman" w:eastAsia="Times New Roman" w:hAnsi="Times New Roman"/>
          <w:bCs/>
          <w:noProof/>
          <w:kern w:val="32"/>
          <w:szCs w:val="22"/>
          <w:lang w:val="en-GB"/>
        </w:rPr>
        <w:tab/>
      </w:r>
      <w:r w:rsidR="00C874B1" w:rsidRPr="00D415CB">
        <w:rPr>
          <w:rFonts w:ascii="Times New Roman" w:eastAsia="Times New Roman" w:hAnsi="Times New Roman"/>
          <w:szCs w:val="22"/>
          <w:lang w:val="en-GB" w:eastAsia="en-GB"/>
        </w:rPr>
        <w:t xml:space="preserve">These provisions </w:t>
      </w:r>
      <w:r>
        <w:rPr>
          <w:rFonts w:ascii="Times New Roman" w:eastAsia="Times New Roman" w:hAnsi="Times New Roman"/>
          <w:szCs w:val="22"/>
          <w:lang w:val="en-GB" w:eastAsia="en-GB"/>
        </w:rPr>
        <w:t>exceeded</w:t>
      </w:r>
      <w:r w:rsidR="00C874B1" w:rsidRPr="00D415CB">
        <w:rPr>
          <w:rFonts w:ascii="Times New Roman" w:eastAsia="Times New Roman" w:hAnsi="Times New Roman"/>
          <w:szCs w:val="22"/>
          <w:lang w:val="en-GB" w:eastAsia="en-GB"/>
        </w:rPr>
        <w:t xml:space="preserve"> the legislati</w:t>
      </w:r>
      <w:r>
        <w:rPr>
          <w:rFonts w:ascii="Times New Roman" w:eastAsia="Times New Roman" w:hAnsi="Times New Roman"/>
          <w:szCs w:val="22"/>
          <w:lang w:val="en-GB" w:eastAsia="en-GB"/>
        </w:rPr>
        <w:t>ve requirements</w:t>
      </w:r>
      <w:r w:rsidR="00C874B1" w:rsidRPr="00D415CB">
        <w:rPr>
          <w:rFonts w:ascii="Times New Roman" w:eastAsia="Times New Roman" w:hAnsi="Times New Roman"/>
          <w:szCs w:val="22"/>
          <w:lang w:val="en-GB" w:eastAsia="en-GB"/>
        </w:rPr>
        <w:t xml:space="preserve"> and were fundamental for </w:t>
      </w:r>
      <w:r>
        <w:rPr>
          <w:rFonts w:ascii="Times New Roman" w:eastAsia="Times New Roman" w:hAnsi="Times New Roman"/>
          <w:szCs w:val="22"/>
          <w:lang w:val="en-GB" w:eastAsia="en-GB"/>
        </w:rPr>
        <w:t>their</w:t>
      </w:r>
      <w:r w:rsidR="00C874B1" w:rsidRPr="00D415CB">
        <w:rPr>
          <w:rFonts w:ascii="Times New Roman" w:eastAsia="Times New Roman" w:hAnsi="Times New Roman"/>
          <w:szCs w:val="22"/>
          <w:lang w:val="en-GB" w:eastAsia="en-GB"/>
        </w:rPr>
        <w:t xml:space="preserve"> implementation. Previous legislation had already set the principle of equal pay and created a training fund (1997</w:t>
      </w:r>
      <w:r>
        <w:rPr>
          <w:rFonts w:ascii="Times New Roman" w:eastAsia="Times New Roman" w:hAnsi="Times New Roman"/>
          <w:szCs w:val="22"/>
          <w:lang w:val="en-GB" w:eastAsia="en-GB"/>
        </w:rPr>
        <w:t xml:space="preserve"> Treu</w:t>
      </w:r>
      <w:r w:rsidR="00C874B1" w:rsidRPr="00D415CB">
        <w:rPr>
          <w:rFonts w:ascii="Times New Roman" w:eastAsia="Times New Roman" w:hAnsi="Times New Roman"/>
          <w:szCs w:val="22"/>
          <w:lang w:val="en-GB" w:eastAsia="en-GB"/>
        </w:rPr>
        <w:t xml:space="preserve"> </w:t>
      </w:r>
      <w:r>
        <w:rPr>
          <w:rFonts w:ascii="Times New Roman" w:eastAsia="Times New Roman" w:hAnsi="Times New Roman"/>
          <w:szCs w:val="22"/>
          <w:lang w:val="en-GB" w:eastAsia="en-GB"/>
        </w:rPr>
        <w:t>law</w:t>
      </w:r>
      <w:r w:rsidR="00C874B1" w:rsidRPr="00D415CB">
        <w:rPr>
          <w:rFonts w:ascii="Times New Roman" w:eastAsia="Times New Roman" w:hAnsi="Times New Roman"/>
          <w:szCs w:val="22"/>
          <w:lang w:val="en-GB" w:eastAsia="en-GB"/>
        </w:rPr>
        <w:t>)</w:t>
      </w:r>
      <w:r>
        <w:rPr>
          <w:rFonts w:ascii="Times New Roman" w:eastAsia="Times New Roman" w:hAnsi="Times New Roman"/>
          <w:szCs w:val="22"/>
          <w:lang w:val="en-GB" w:eastAsia="en-GB"/>
        </w:rPr>
        <w:t>,</w:t>
      </w:r>
      <w:r w:rsidR="00C874B1" w:rsidRPr="00D415CB">
        <w:rPr>
          <w:rFonts w:ascii="Times New Roman" w:eastAsia="Times New Roman" w:hAnsi="Times New Roman"/>
          <w:szCs w:val="22"/>
          <w:lang w:val="en-GB" w:eastAsia="en-GB"/>
        </w:rPr>
        <w:t xml:space="preserve"> and contained provisions for availability (2003 Biagi law</w:t>
      </w:r>
      <w:r w:rsidR="00C874B1" w:rsidRPr="00D415CB">
        <w:rPr>
          <w:rFonts w:ascii="Times New Roman" w:hAnsi="Times New Roman"/>
          <w:szCs w:val="22"/>
          <w:lang w:val="en-GB"/>
        </w:rPr>
        <w:t xml:space="preserve">). </w:t>
      </w:r>
      <w:r w:rsidR="00C874B1" w:rsidRPr="00D415CB">
        <w:rPr>
          <w:rFonts w:ascii="Times New Roman" w:eastAsia="Times New Roman" w:hAnsi="Times New Roman"/>
          <w:szCs w:val="22"/>
          <w:lang w:val="en-GB" w:eastAsia="en-GB"/>
        </w:rPr>
        <w:t xml:space="preserve">However, the legislative provisions were so general that they resulted in an ‘implementation vacuum’ the social partners had to fill </w:t>
      </w:r>
      <w:r w:rsidR="00C874B1" w:rsidRPr="00D415CB">
        <w:rPr>
          <w:rFonts w:ascii="Times New Roman" w:eastAsia="Times New Roman" w:hAnsi="Times New Roman"/>
          <w:noProof/>
          <w:szCs w:val="22"/>
          <w:lang w:val="en-GB" w:eastAsia="en-GB"/>
        </w:rPr>
        <w:t>(Johnston et al., 2011: 356)</w:t>
      </w:r>
      <w:r w:rsidR="00C874B1" w:rsidRPr="00D415CB">
        <w:rPr>
          <w:rFonts w:ascii="Times New Roman" w:eastAsia="Times New Roman" w:hAnsi="Times New Roman"/>
          <w:szCs w:val="22"/>
          <w:lang w:val="en-GB" w:eastAsia="en-GB"/>
        </w:rPr>
        <w:t xml:space="preserve">. The collective agreements also </w:t>
      </w:r>
      <w:r>
        <w:rPr>
          <w:rFonts w:ascii="Times New Roman" w:eastAsia="Times New Roman" w:hAnsi="Times New Roman"/>
          <w:szCs w:val="22"/>
          <w:lang w:val="en-GB" w:eastAsia="en-GB"/>
        </w:rPr>
        <w:t>preceded</w:t>
      </w:r>
      <w:r w:rsidR="00C874B1" w:rsidRPr="00D415CB">
        <w:rPr>
          <w:rFonts w:ascii="Times New Roman" w:eastAsia="Times New Roman" w:hAnsi="Times New Roman"/>
          <w:szCs w:val="22"/>
          <w:lang w:val="en-GB" w:eastAsia="en-GB"/>
        </w:rPr>
        <w:t xml:space="preserve"> the law</w:t>
      </w:r>
      <w:r w:rsidRPr="00D415CB">
        <w:rPr>
          <w:rFonts w:ascii="Times New Roman" w:eastAsia="Times New Roman" w:hAnsi="Times New Roman"/>
          <w:szCs w:val="22"/>
          <w:lang w:val="en-GB" w:eastAsia="en-GB"/>
        </w:rPr>
        <w:t xml:space="preserve"> </w:t>
      </w:r>
      <w:r>
        <w:rPr>
          <w:rFonts w:ascii="Times New Roman" w:eastAsia="Times New Roman" w:hAnsi="Times New Roman"/>
          <w:szCs w:val="22"/>
          <w:lang w:val="en-GB" w:eastAsia="en-GB"/>
        </w:rPr>
        <w:t xml:space="preserve">on </w:t>
      </w:r>
      <w:r w:rsidRPr="00D415CB">
        <w:rPr>
          <w:rFonts w:ascii="Times New Roman" w:eastAsia="Times New Roman" w:hAnsi="Times New Roman"/>
          <w:szCs w:val="22"/>
          <w:lang w:val="en-GB" w:eastAsia="en-GB"/>
        </w:rPr>
        <w:t>indemnity</w:t>
      </w:r>
      <w:r w:rsidR="00C874B1" w:rsidRPr="00D415CB">
        <w:rPr>
          <w:rFonts w:ascii="Times New Roman" w:eastAsia="Times New Roman" w:hAnsi="Times New Roman"/>
          <w:szCs w:val="22"/>
          <w:lang w:val="en-GB" w:eastAsia="en-GB"/>
        </w:rPr>
        <w:t xml:space="preserve"> (Burroni and Pedaci, 2014)</w:t>
      </w:r>
      <w:r w:rsidR="00C874B1" w:rsidRPr="00D415CB">
        <w:rPr>
          <w:rFonts w:ascii="Times New Roman" w:hAnsi="Times New Roman"/>
          <w:szCs w:val="22"/>
          <w:lang w:val="en-GB"/>
        </w:rPr>
        <w:t>.</w:t>
      </w:r>
    </w:p>
    <w:p w:rsidR="00C874B1" w:rsidRPr="00D415CB" w:rsidRDefault="00D415CB" w:rsidP="00D415CB">
      <w:pPr>
        <w:pStyle w:val="Testonormale"/>
        <w:autoSpaceDE w:val="0"/>
        <w:autoSpaceDN w:val="0"/>
        <w:adjustRightInd w:val="0"/>
        <w:rPr>
          <w:rFonts w:ascii="Times New Roman" w:hAnsi="Times New Roman"/>
          <w:szCs w:val="22"/>
          <w:lang w:val="en-GB"/>
        </w:rPr>
      </w:pPr>
      <w:r w:rsidRPr="00D415CB">
        <w:rPr>
          <w:rFonts w:ascii="Times New Roman" w:hAnsi="Times New Roman"/>
          <w:szCs w:val="22"/>
          <w:lang w:val="en-GB"/>
        </w:rPr>
        <w:tab/>
      </w:r>
      <w:r w:rsidR="00C874B1" w:rsidRPr="00D415CB">
        <w:rPr>
          <w:rFonts w:ascii="Times New Roman" w:hAnsi="Times New Roman"/>
          <w:szCs w:val="22"/>
          <w:lang w:val="en-GB"/>
        </w:rPr>
        <w:t xml:space="preserve">The institutionalized bargaining rights ensure the independence of union power from the membership, allowing unions to pursue solidaristic goals independently </w:t>
      </w:r>
      <w:r w:rsidRPr="00D415CB">
        <w:rPr>
          <w:rFonts w:ascii="Times New Roman" w:hAnsi="Times New Roman"/>
          <w:szCs w:val="22"/>
          <w:lang w:val="en-GB"/>
        </w:rPr>
        <w:t>of</w:t>
      </w:r>
      <w:r w:rsidR="00C874B1" w:rsidRPr="00D415CB">
        <w:rPr>
          <w:rFonts w:ascii="Times New Roman" w:hAnsi="Times New Roman"/>
          <w:szCs w:val="22"/>
          <w:lang w:val="en-GB"/>
        </w:rPr>
        <w:t xml:space="preserve"> the commitment of (atypical) workers to the union. A union official involved in the campaigns for precarious workers in call cent</w:t>
      </w:r>
      <w:r w:rsidRPr="00D415CB">
        <w:rPr>
          <w:rFonts w:ascii="Times New Roman" w:hAnsi="Times New Roman"/>
          <w:szCs w:val="22"/>
          <w:lang w:val="en-GB"/>
        </w:rPr>
        <w:t>r</w:t>
      </w:r>
      <w:r w:rsidR="00C874B1" w:rsidRPr="00D415CB">
        <w:rPr>
          <w:rFonts w:ascii="Times New Roman" w:hAnsi="Times New Roman"/>
          <w:szCs w:val="22"/>
          <w:lang w:val="en-GB"/>
        </w:rPr>
        <w:t>es (including TAWs) pointed out that the union does not run campaigns only for its members or for recruiting but rather for improving the working conditions of the workforce.</w:t>
      </w:r>
    </w:p>
    <w:p w:rsidR="00143569" w:rsidRPr="00D415CB" w:rsidRDefault="00D415CB" w:rsidP="00D415CB">
      <w:pPr>
        <w:pStyle w:val="Testonormale"/>
        <w:autoSpaceDE w:val="0"/>
        <w:autoSpaceDN w:val="0"/>
        <w:adjustRightInd w:val="0"/>
        <w:rPr>
          <w:rFonts w:ascii="Times New Roman" w:hAnsi="Times New Roman"/>
          <w:szCs w:val="22"/>
          <w:lang w:val="en-GB"/>
        </w:rPr>
      </w:pPr>
      <w:r w:rsidRPr="00D415CB">
        <w:rPr>
          <w:rFonts w:ascii="Times New Roman" w:hAnsi="Times New Roman"/>
          <w:szCs w:val="22"/>
          <w:lang w:val="en-GB"/>
        </w:rPr>
        <w:tab/>
      </w:r>
      <w:r w:rsidR="00C874B1" w:rsidRPr="00D415CB">
        <w:rPr>
          <w:rFonts w:ascii="Times New Roman" w:hAnsi="Times New Roman"/>
          <w:szCs w:val="22"/>
          <w:lang w:val="en-GB"/>
        </w:rPr>
        <w:t xml:space="preserve">This propensity for encompassing bargaining also </w:t>
      </w:r>
      <w:r w:rsidRPr="00D415CB">
        <w:rPr>
          <w:rFonts w:ascii="Times New Roman" w:hAnsi="Times New Roman"/>
          <w:szCs w:val="22"/>
          <w:lang w:val="en-GB"/>
        </w:rPr>
        <w:t>reflects</w:t>
      </w:r>
      <w:r w:rsidR="00C874B1" w:rsidRPr="00D415CB">
        <w:rPr>
          <w:rFonts w:ascii="Times New Roman" w:hAnsi="Times New Roman"/>
          <w:szCs w:val="22"/>
          <w:lang w:val="en-GB"/>
        </w:rPr>
        <w:t xml:space="preserve"> Italian unions’ identities and internalized values. </w:t>
      </w:r>
      <w:r>
        <w:rPr>
          <w:rFonts w:ascii="Times New Roman" w:hAnsi="Times New Roman"/>
          <w:szCs w:val="22"/>
          <w:lang w:val="en-GB"/>
        </w:rPr>
        <w:t>They</w:t>
      </w:r>
      <w:r w:rsidR="00C874B1" w:rsidRPr="00D415CB">
        <w:rPr>
          <w:rFonts w:ascii="Times New Roman" w:hAnsi="Times New Roman"/>
          <w:szCs w:val="22"/>
          <w:lang w:val="en-GB"/>
        </w:rPr>
        <w:t xml:space="preserve"> are oriented ‘</w:t>
      </w:r>
      <w:r w:rsidR="00C874B1" w:rsidRPr="00D415CB">
        <w:rPr>
          <w:rFonts w:ascii="Times New Roman" w:eastAsia="Times New Roman" w:hAnsi="Times New Roman"/>
          <w:bCs/>
          <w:kern w:val="32"/>
          <w:szCs w:val="22"/>
          <w:lang w:val="en-GB"/>
        </w:rPr>
        <w:t xml:space="preserve">between class and society’ (Hyman, 2001: 143), which </w:t>
      </w:r>
      <w:r>
        <w:rPr>
          <w:rFonts w:ascii="Times New Roman" w:eastAsia="Times New Roman" w:hAnsi="Times New Roman"/>
          <w:bCs/>
          <w:kern w:val="32"/>
          <w:szCs w:val="22"/>
          <w:lang w:val="en-GB"/>
        </w:rPr>
        <w:t xml:space="preserve">is </w:t>
      </w:r>
      <w:r w:rsidR="00C874B1" w:rsidRPr="00D415CB">
        <w:rPr>
          <w:rFonts w:ascii="Times New Roman" w:eastAsia="Times New Roman" w:hAnsi="Times New Roman"/>
          <w:bCs/>
          <w:kern w:val="32"/>
          <w:szCs w:val="22"/>
          <w:lang w:val="en-GB"/>
        </w:rPr>
        <w:t>expresse</w:t>
      </w:r>
      <w:r>
        <w:rPr>
          <w:rFonts w:ascii="Times New Roman" w:eastAsia="Times New Roman" w:hAnsi="Times New Roman"/>
          <w:bCs/>
          <w:kern w:val="32"/>
          <w:szCs w:val="22"/>
          <w:lang w:val="en-GB"/>
        </w:rPr>
        <w:t>d</w:t>
      </w:r>
      <w:r w:rsidR="00C874B1" w:rsidRPr="00D415CB">
        <w:rPr>
          <w:rFonts w:ascii="Times New Roman" w:eastAsia="Times New Roman" w:hAnsi="Times New Roman"/>
          <w:bCs/>
          <w:kern w:val="32"/>
          <w:szCs w:val="22"/>
          <w:lang w:val="en-GB"/>
        </w:rPr>
        <w:t xml:space="preserve"> in support and solidarity also to marginal workers in the name of ‘working-class unity’. However, their ideologies are different: </w:t>
      </w:r>
      <w:r w:rsidR="00C874B1" w:rsidRPr="00D415CB">
        <w:rPr>
          <w:rFonts w:ascii="Times New Roman" w:hAnsi="Times New Roman"/>
          <w:szCs w:val="22"/>
          <w:lang w:val="en-GB"/>
        </w:rPr>
        <w:t>CISL is catholic, while UIL has socialist roots. CGIL, which is the biggest union confederation and lead</w:t>
      </w:r>
      <w:r w:rsidR="002773BC">
        <w:rPr>
          <w:rFonts w:ascii="Times New Roman" w:hAnsi="Times New Roman"/>
          <w:szCs w:val="22"/>
          <w:lang w:val="en-GB"/>
        </w:rPr>
        <w:t>s</w:t>
      </w:r>
      <w:r w:rsidR="00C874B1" w:rsidRPr="00D415CB">
        <w:rPr>
          <w:rFonts w:ascii="Times New Roman" w:hAnsi="Times New Roman"/>
          <w:szCs w:val="22"/>
          <w:lang w:val="en-GB"/>
        </w:rPr>
        <w:t xml:space="preserve"> </w:t>
      </w:r>
      <w:r w:rsidR="00C874B1" w:rsidRPr="00D415CB">
        <w:rPr>
          <w:rFonts w:ascii="Times New Roman" w:eastAsia="Times New Roman" w:hAnsi="Times New Roman"/>
          <w:bCs/>
          <w:kern w:val="32"/>
          <w:szCs w:val="22"/>
          <w:lang w:val="en-GB"/>
        </w:rPr>
        <w:t>the initiatives towards TAWs</w:t>
      </w:r>
      <w:r w:rsidR="00A7161F" w:rsidRPr="00D415CB">
        <w:rPr>
          <w:rFonts w:ascii="Times New Roman" w:eastAsia="Times New Roman" w:hAnsi="Times New Roman"/>
          <w:bCs/>
          <w:kern w:val="32"/>
          <w:szCs w:val="22"/>
          <w:lang w:val="en-GB"/>
        </w:rPr>
        <w:t xml:space="preserve"> (</w:t>
      </w:r>
      <w:r w:rsidR="00A7161F" w:rsidRPr="00D415CB">
        <w:rPr>
          <w:rFonts w:ascii="Times New Roman" w:hAnsi="Times New Roman"/>
          <w:bCs/>
          <w:kern w:val="32"/>
          <w:szCs w:val="22"/>
          <w:lang w:val="en-GB"/>
        </w:rPr>
        <w:t>Gumbrell-McCormick, 2011: 301</w:t>
      </w:r>
      <w:r w:rsidR="00A7161F" w:rsidRPr="00D415CB">
        <w:rPr>
          <w:rFonts w:ascii="Times New Roman" w:hAnsi="Times New Roman"/>
          <w:szCs w:val="22"/>
          <w:lang w:val="en-GB"/>
        </w:rPr>
        <w:t>)</w:t>
      </w:r>
      <w:r w:rsidR="00C874B1" w:rsidRPr="00D415CB">
        <w:rPr>
          <w:rFonts w:ascii="Times New Roman" w:hAnsi="Times New Roman"/>
          <w:szCs w:val="22"/>
          <w:lang w:val="en-GB"/>
        </w:rPr>
        <w:t>,</w:t>
      </w:r>
      <w:bookmarkStart w:id="4" w:name="OLE_LINK4"/>
      <w:bookmarkStart w:id="5" w:name="_Toc325385696"/>
      <w:r w:rsidR="009B36EE" w:rsidRPr="00D415CB">
        <w:rPr>
          <w:rFonts w:ascii="Times New Roman" w:hAnsi="Times New Roman"/>
          <w:szCs w:val="22"/>
          <w:lang w:val="en-GB"/>
        </w:rPr>
        <w:t xml:space="preserve"> was the former communist confederation, and still is the most left-wing organ</w:t>
      </w:r>
      <w:r w:rsidR="002A4AC2" w:rsidRPr="00D415CB">
        <w:rPr>
          <w:rFonts w:ascii="Times New Roman" w:hAnsi="Times New Roman"/>
          <w:szCs w:val="22"/>
          <w:lang w:val="en-GB"/>
        </w:rPr>
        <w:t>ization</w:t>
      </w:r>
      <w:r w:rsidR="00151430" w:rsidRPr="00D415CB">
        <w:rPr>
          <w:rFonts w:ascii="Times New Roman" w:hAnsi="Times New Roman"/>
          <w:szCs w:val="22"/>
          <w:lang w:val="en-GB"/>
        </w:rPr>
        <w:t xml:space="preserve"> with its identity</w:t>
      </w:r>
      <w:r w:rsidR="009B36EE" w:rsidRPr="00D415CB">
        <w:rPr>
          <w:rFonts w:ascii="Times New Roman" w:eastAsia="Times New Roman" w:hAnsi="Times New Roman"/>
          <w:bCs/>
          <w:kern w:val="32"/>
          <w:szCs w:val="22"/>
          <w:lang w:val="en-GB"/>
        </w:rPr>
        <w:t xml:space="preserve"> built around ‘the defence of workers’ rights’ (Hyman 2001: 165). </w:t>
      </w:r>
      <w:r w:rsidR="009B36EE" w:rsidRPr="00D415CB">
        <w:rPr>
          <w:rFonts w:ascii="Times New Roman" w:hAnsi="Times New Roman"/>
          <w:szCs w:val="22"/>
          <w:lang w:val="en-GB"/>
        </w:rPr>
        <w:t>A NI</w:t>
      </w:r>
      <w:r w:rsidR="002773BC">
        <w:rPr>
          <w:rFonts w:ascii="Times New Roman" w:hAnsi="Times New Roman"/>
          <w:szCs w:val="22"/>
          <w:lang w:val="en-GB"/>
        </w:rPr>
        <w:t>diL</w:t>
      </w:r>
      <w:r w:rsidR="009B36EE" w:rsidRPr="00D415CB">
        <w:rPr>
          <w:rFonts w:ascii="Times New Roman" w:hAnsi="Times New Roman"/>
          <w:szCs w:val="22"/>
          <w:lang w:val="en-GB"/>
        </w:rPr>
        <w:t xml:space="preserve"> official explain</w:t>
      </w:r>
      <w:r w:rsidR="000E46CA" w:rsidRPr="00D415CB">
        <w:rPr>
          <w:rFonts w:ascii="Times New Roman" w:hAnsi="Times New Roman"/>
          <w:szCs w:val="22"/>
          <w:lang w:val="en-GB"/>
        </w:rPr>
        <w:t>ed</w:t>
      </w:r>
      <w:r w:rsidR="009B36EE" w:rsidRPr="00D415CB">
        <w:rPr>
          <w:rFonts w:ascii="Times New Roman" w:hAnsi="Times New Roman"/>
          <w:szCs w:val="22"/>
          <w:lang w:val="en-GB"/>
        </w:rPr>
        <w:t xml:space="preserve"> that the idea of bargaining for the whole workforce is deeply rooted in the purposes and strategies of the union, which he sees as </w:t>
      </w:r>
      <w:r w:rsidR="008F693C" w:rsidRPr="00D415CB">
        <w:rPr>
          <w:rFonts w:ascii="Times New Roman" w:hAnsi="Times New Roman"/>
          <w:szCs w:val="22"/>
          <w:lang w:val="en-GB"/>
        </w:rPr>
        <w:t>‘</w:t>
      </w:r>
      <w:r w:rsidR="009B36EE" w:rsidRPr="00D415CB">
        <w:rPr>
          <w:rFonts w:ascii="Times New Roman" w:hAnsi="Times New Roman"/>
          <w:szCs w:val="22"/>
          <w:lang w:val="en-GB"/>
        </w:rPr>
        <w:t>tying everyone together</w:t>
      </w:r>
      <w:r w:rsidR="008F693C" w:rsidRPr="00D415CB">
        <w:rPr>
          <w:rFonts w:ascii="Times New Roman" w:hAnsi="Times New Roman"/>
          <w:szCs w:val="22"/>
          <w:lang w:val="en-GB"/>
        </w:rPr>
        <w:t>’</w:t>
      </w:r>
      <w:r w:rsidR="009B36EE" w:rsidRPr="00D415CB">
        <w:rPr>
          <w:rFonts w:ascii="Times New Roman" w:hAnsi="Times New Roman"/>
          <w:szCs w:val="22"/>
          <w:lang w:val="en-GB"/>
        </w:rPr>
        <w:t xml:space="preserve"> to avoid </w:t>
      </w:r>
      <w:r w:rsidR="008F693C" w:rsidRPr="00D415CB">
        <w:rPr>
          <w:rFonts w:ascii="Times New Roman" w:hAnsi="Times New Roman"/>
          <w:szCs w:val="22"/>
          <w:lang w:val="en-GB"/>
        </w:rPr>
        <w:t>‘</w:t>
      </w:r>
      <w:r w:rsidR="009B36EE" w:rsidRPr="00D415CB">
        <w:rPr>
          <w:rFonts w:ascii="Times New Roman" w:hAnsi="Times New Roman"/>
          <w:szCs w:val="22"/>
          <w:lang w:val="en-GB"/>
        </w:rPr>
        <w:t>locking themselves in a stronghold</w:t>
      </w:r>
      <w:r w:rsidR="008F693C" w:rsidRPr="00D415CB">
        <w:rPr>
          <w:rFonts w:ascii="Times New Roman" w:hAnsi="Times New Roman"/>
          <w:szCs w:val="22"/>
          <w:lang w:val="en-GB"/>
        </w:rPr>
        <w:t>’</w:t>
      </w:r>
      <w:r w:rsidR="00151430" w:rsidRPr="00D415CB">
        <w:rPr>
          <w:rFonts w:ascii="Times New Roman" w:hAnsi="Times New Roman"/>
          <w:szCs w:val="22"/>
          <w:lang w:val="en-GB"/>
        </w:rPr>
        <w:t>.</w:t>
      </w:r>
    </w:p>
    <w:p w:rsidR="00143569" w:rsidRPr="00D415CB" w:rsidRDefault="00D415CB" w:rsidP="00D415CB">
      <w:pPr>
        <w:pStyle w:val="Testonormale"/>
        <w:autoSpaceDE w:val="0"/>
        <w:autoSpaceDN w:val="0"/>
        <w:adjustRightInd w:val="0"/>
        <w:rPr>
          <w:rFonts w:ascii="Times New Roman" w:hAnsi="Times New Roman"/>
          <w:szCs w:val="22"/>
          <w:lang w:val="en-GB"/>
        </w:rPr>
      </w:pPr>
      <w:r w:rsidRPr="00D415CB">
        <w:rPr>
          <w:rFonts w:ascii="Times New Roman" w:hAnsi="Times New Roman"/>
          <w:szCs w:val="22"/>
          <w:lang w:val="en-GB"/>
        </w:rPr>
        <w:tab/>
      </w:r>
      <w:bookmarkEnd w:id="4"/>
      <w:r w:rsidR="009B36EE" w:rsidRPr="00D415CB">
        <w:rPr>
          <w:rFonts w:ascii="Times New Roman" w:hAnsi="Times New Roman"/>
          <w:szCs w:val="22"/>
          <w:lang w:val="en-GB"/>
        </w:rPr>
        <w:t>This crucial working</w:t>
      </w:r>
      <w:r w:rsidR="002773BC">
        <w:rPr>
          <w:rFonts w:ascii="Times New Roman" w:hAnsi="Times New Roman"/>
          <w:szCs w:val="22"/>
          <w:lang w:val="en-GB"/>
        </w:rPr>
        <w:t>-</w:t>
      </w:r>
      <w:r w:rsidR="009B36EE" w:rsidRPr="00D415CB">
        <w:rPr>
          <w:rFonts w:ascii="Times New Roman" w:hAnsi="Times New Roman"/>
          <w:szCs w:val="22"/>
          <w:lang w:val="en-GB"/>
        </w:rPr>
        <w:t xml:space="preserve">class orientation is also </w:t>
      </w:r>
      <w:r w:rsidR="002773BC">
        <w:rPr>
          <w:rFonts w:ascii="Times New Roman" w:hAnsi="Times New Roman"/>
          <w:szCs w:val="22"/>
          <w:lang w:val="en-GB"/>
        </w:rPr>
        <w:t>linked</w:t>
      </w:r>
      <w:r w:rsidR="009B36EE" w:rsidRPr="00D415CB">
        <w:rPr>
          <w:rFonts w:ascii="Times New Roman" w:hAnsi="Times New Roman"/>
          <w:szCs w:val="22"/>
          <w:lang w:val="en-GB"/>
        </w:rPr>
        <w:t xml:space="preserve"> to the confederal structure. The unions organ</w:t>
      </w:r>
      <w:r w:rsidR="008F693C" w:rsidRPr="00D415CB">
        <w:rPr>
          <w:rFonts w:ascii="Times New Roman" w:hAnsi="Times New Roman"/>
          <w:szCs w:val="22"/>
          <w:lang w:val="en-GB"/>
        </w:rPr>
        <w:t>ize</w:t>
      </w:r>
      <w:r w:rsidR="009B36EE" w:rsidRPr="00D415CB">
        <w:rPr>
          <w:rFonts w:ascii="Times New Roman" w:hAnsi="Times New Roman"/>
          <w:szCs w:val="22"/>
          <w:lang w:val="en-GB"/>
        </w:rPr>
        <w:t xml:space="preserve"> the workforce vertically across occupations, and </w:t>
      </w:r>
      <w:r w:rsidR="002773BC">
        <w:rPr>
          <w:rFonts w:ascii="Times New Roman" w:hAnsi="Times New Roman"/>
          <w:szCs w:val="22"/>
          <w:lang w:val="en-GB"/>
        </w:rPr>
        <w:t xml:space="preserve">in </w:t>
      </w:r>
      <w:r w:rsidR="009B36EE" w:rsidRPr="00D415CB">
        <w:rPr>
          <w:rFonts w:ascii="Times New Roman" w:hAnsi="Times New Roman"/>
          <w:szCs w:val="22"/>
          <w:lang w:val="en-GB"/>
        </w:rPr>
        <w:t xml:space="preserve">every sector </w:t>
      </w:r>
      <w:r w:rsidR="002773BC">
        <w:rPr>
          <w:rFonts w:ascii="Times New Roman" w:hAnsi="Times New Roman"/>
          <w:szCs w:val="22"/>
          <w:lang w:val="en-GB"/>
        </w:rPr>
        <w:t>there are</w:t>
      </w:r>
      <w:r w:rsidR="009B36EE" w:rsidRPr="00D415CB">
        <w:rPr>
          <w:rFonts w:ascii="Times New Roman" w:hAnsi="Times New Roman"/>
          <w:szCs w:val="22"/>
          <w:lang w:val="en-GB"/>
        </w:rPr>
        <w:t xml:space="preserve"> three different unions affiliated to each confederation. All sectoral unions are committed to the principle of confederalism, which implies that unions within the same confederation cannot strike collective bargaining agreements that diverge excessively. Thus, according to a NI</w:t>
      </w:r>
      <w:r w:rsidR="002773BC">
        <w:rPr>
          <w:rFonts w:ascii="Times New Roman" w:hAnsi="Times New Roman"/>
          <w:szCs w:val="22"/>
          <w:lang w:val="en-GB"/>
        </w:rPr>
        <w:t>di</w:t>
      </w:r>
      <w:r w:rsidR="009B36EE" w:rsidRPr="00D415CB">
        <w:rPr>
          <w:rFonts w:ascii="Times New Roman" w:hAnsi="Times New Roman"/>
          <w:szCs w:val="22"/>
          <w:lang w:val="en-GB"/>
        </w:rPr>
        <w:t>L union official, it is in the nature of confederal unions to represent all workers without discriminati</w:t>
      </w:r>
      <w:r w:rsidR="002773BC">
        <w:rPr>
          <w:rFonts w:ascii="Times New Roman" w:hAnsi="Times New Roman"/>
          <w:szCs w:val="22"/>
          <w:lang w:val="en-GB"/>
        </w:rPr>
        <w:t>o</w:t>
      </w:r>
      <w:r w:rsidR="009B36EE" w:rsidRPr="00D415CB">
        <w:rPr>
          <w:rFonts w:ascii="Times New Roman" w:hAnsi="Times New Roman"/>
          <w:szCs w:val="22"/>
          <w:lang w:val="en-GB"/>
        </w:rPr>
        <w:t xml:space="preserve">n </w:t>
      </w:r>
      <w:r w:rsidR="006802A7" w:rsidRPr="00D415CB">
        <w:rPr>
          <w:rFonts w:ascii="Times New Roman" w:hAnsi="Times New Roman"/>
          <w:szCs w:val="22"/>
          <w:lang w:val="en-GB"/>
        </w:rPr>
        <w:t>(Durazzi</w:t>
      </w:r>
      <w:r w:rsidR="009B79A3" w:rsidRPr="00D415CB">
        <w:rPr>
          <w:rFonts w:ascii="Times New Roman" w:hAnsi="Times New Roman"/>
          <w:szCs w:val="22"/>
          <w:lang w:val="en-GB"/>
        </w:rPr>
        <w:t>,</w:t>
      </w:r>
      <w:r w:rsidR="006802A7" w:rsidRPr="00D415CB">
        <w:rPr>
          <w:rFonts w:ascii="Times New Roman" w:hAnsi="Times New Roman"/>
          <w:szCs w:val="22"/>
          <w:lang w:val="en-GB"/>
        </w:rPr>
        <w:t xml:space="preserve"> 2013)</w:t>
      </w:r>
      <w:r w:rsidR="009B36EE" w:rsidRPr="00D415CB">
        <w:rPr>
          <w:rFonts w:ascii="Times New Roman" w:hAnsi="Times New Roman"/>
          <w:szCs w:val="22"/>
          <w:lang w:val="en-GB"/>
        </w:rPr>
        <w:t xml:space="preserve">. </w:t>
      </w:r>
    </w:p>
    <w:p w:rsidR="00143569" w:rsidRDefault="00D415CB" w:rsidP="00D415CB">
      <w:pPr>
        <w:pStyle w:val="Testonormale"/>
        <w:autoSpaceDE w:val="0"/>
        <w:autoSpaceDN w:val="0"/>
        <w:adjustRightInd w:val="0"/>
        <w:rPr>
          <w:rFonts w:ascii="Times New Roman" w:hAnsi="Times New Roman"/>
          <w:szCs w:val="22"/>
          <w:lang w:val="en-GB"/>
        </w:rPr>
      </w:pPr>
      <w:r w:rsidRPr="00D415CB">
        <w:rPr>
          <w:rFonts w:ascii="Times New Roman" w:hAnsi="Times New Roman"/>
          <w:szCs w:val="22"/>
          <w:lang w:val="en-GB"/>
        </w:rPr>
        <w:tab/>
      </w:r>
      <w:r w:rsidR="004A2A26" w:rsidRPr="00D415CB">
        <w:rPr>
          <w:rFonts w:ascii="Times New Roman" w:hAnsi="Times New Roman"/>
          <w:szCs w:val="22"/>
          <w:lang w:val="en-GB"/>
        </w:rPr>
        <w:t>All</w:t>
      </w:r>
      <w:r w:rsidR="009B36EE" w:rsidRPr="00D415CB">
        <w:rPr>
          <w:rFonts w:ascii="Times New Roman" w:hAnsi="Times New Roman"/>
          <w:szCs w:val="22"/>
          <w:lang w:val="en-GB"/>
        </w:rPr>
        <w:t xml:space="preserve"> conditions in the </w:t>
      </w:r>
      <w:r w:rsidR="002773BC">
        <w:rPr>
          <w:rFonts w:ascii="Times New Roman" w:hAnsi="Times New Roman"/>
          <w:szCs w:val="22"/>
          <w:lang w:val="en-GB"/>
        </w:rPr>
        <w:t xml:space="preserve">Southern </w:t>
      </w:r>
      <w:r w:rsidR="009B36EE" w:rsidRPr="00D415CB">
        <w:rPr>
          <w:rFonts w:ascii="Times New Roman" w:hAnsi="Times New Roman"/>
          <w:szCs w:val="22"/>
          <w:lang w:val="en-GB"/>
        </w:rPr>
        <w:t xml:space="preserve">path can be causally related to the outcome in the Italian case. The ability of unions to set homogenous standards </w:t>
      </w:r>
      <w:r w:rsidR="00103FF3" w:rsidRPr="00D415CB">
        <w:rPr>
          <w:rFonts w:ascii="Times New Roman" w:hAnsi="Times New Roman"/>
          <w:szCs w:val="22"/>
          <w:lang w:val="en-GB"/>
        </w:rPr>
        <w:t>for the workforce</w:t>
      </w:r>
      <w:r w:rsidR="009B36EE" w:rsidRPr="00D415CB">
        <w:rPr>
          <w:rFonts w:ascii="Times New Roman" w:hAnsi="Times New Roman"/>
          <w:szCs w:val="22"/>
          <w:lang w:val="en-GB"/>
        </w:rPr>
        <w:t xml:space="preserve"> is necessary to adopt solidaristic bargaining policies which do not serve particularistic members</w:t>
      </w:r>
      <w:r w:rsidR="002773BC">
        <w:rPr>
          <w:rFonts w:ascii="Times New Roman" w:hAnsi="Times New Roman"/>
          <w:szCs w:val="22"/>
          <w:lang w:val="en-GB"/>
        </w:rPr>
        <w:t>hip</w:t>
      </w:r>
      <w:r w:rsidR="009B36EE" w:rsidRPr="00D415CB">
        <w:rPr>
          <w:rFonts w:ascii="Times New Roman" w:hAnsi="Times New Roman"/>
          <w:szCs w:val="22"/>
          <w:lang w:val="en-GB"/>
        </w:rPr>
        <w:t xml:space="preserve"> interests. The law provide</w:t>
      </w:r>
      <w:r w:rsidR="002773BC">
        <w:rPr>
          <w:rFonts w:ascii="Times New Roman" w:hAnsi="Times New Roman"/>
          <w:szCs w:val="22"/>
          <w:lang w:val="en-GB"/>
        </w:rPr>
        <w:t>s</w:t>
      </w:r>
      <w:r w:rsidR="009B36EE" w:rsidRPr="00D415CB">
        <w:rPr>
          <w:rFonts w:ascii="Times New Roman" w:hAnsi="Times New Roman"/>
          <w:szCs w:val="22"/>
          <w:lang w:val="en-GB"/>
        </w:rPr>
        <w:t xml:space="preserve"> a general framework, which unions use to achieve often more generous provisions through collective agreements. </w:t>
      </w:r>
      <w:r w:rsidR="007D70C5" w:rsidRPr="00D415CB">
        <w:rPr>
          <w:rFonts w:ascii="Times New Roman" w:hAnsi="Times New Roman"/>
          <w:szCs w:val="22"/>
          <w:lang w:val="en-GB"/>
        </w:rPr>
        <w:t>Finally, u</w:t>
      </w:r>
      <w:r w:rsidR="009B36EE" w:rsidRPr="00D415CB">
        <w:rPr>
          <w:rFonts w:ascii="Times New Roman" w:hAnsi="Times New Roman"/>
          <w:szCs w:val="22"/>
          <w:lang w:val="en-GB"/>
        </w:rPr>
        <w:t xml:space="preserve">nions’ bargaining </w:t>
      </w:r>
      <w:r w:rsidR="00103FF3" w:rsidRPr="00D415CB">
        <w:rPr>
          <w:rFonts w:ascii="Times New Roman" w:hAnsi="Times New Roman"/>
          <w:szCs w:val="22"/>
          <w:lang w:val="en-GB"/>
        </w:rPr>
        <w:t xml:space="preserve">strategies </w:t>
      </w:r>
      <w:r w:rsidR="002773BC">
        <w:rPr>
          <w:rFonts w:ascii="Times New Roman" w:hAnsi="Times New Roman"/>
          <w:szCs w:val="22"/>
          <w:lang w:val="en-GB"/>
        </w:rPr>
        <w:t>a</w:t>
      </w:r>
      <w:r w:rsidR="00103FF3" w:rsidRPr="00D415CB">
        <w:rPr>
          <w:rFonts w:ascii="Times New Roman" w:hAnsi="Times New Roman"/>
          <w:szCs w:val="22"/>
          <w:lang w:val="en-GB"/>
        </w:rPr>
        <w:t xml:space="preserve">re </w:t>
      </w:r>
      <w:r w:rsidR="009B36EE" w:rsidRPr="00D415CB">
        <w:rPr>
          <w:rFonts w:ascii="Times New Roman" w:hAnsi="Times New Roman"/>
          <w:szCs w:val="22"/>
          <w:lang w:val="en-GB"/>
        </w:rPr>
        <w:t>driven by their wor</w:t>
      </w:r>
      <w:r w:rsidR="002773BC">
        <w:rPr>
          <w:rFonts w:ascii="Times New Roman" w:hAnsi="Times New Roman"/>
          <w:szCs w:val="22"/>
          <w:lang w:val="en-GB"/>
        </w:rPr>
        <w:t>king-class orientation and rest</w:t>
      </w:r>
      <w:r w:rsidR="009B36EE" w:rsidRPr="00D415CB">
        <w:rPr>
          <w:rFonts w:ascii="Times New Roman" w:hAnsi="Times New Roman"/>
          <w:szCs w:val="22"/>
          <w:lang w:val="en-GB"/>
        </w:rPr>
        <w:t xml:space="preserve"> on a confederal structure that allow</w:t>
      </w:r>
      <w:r w:rsidR="002773BC">
        <w:rPr>
          <w:rFonts w:ascii="Times New Roman" w:hAnsi="Times New Roman"/>
          <w:szCs w:val="22"/>
          <w:lang w:val="en-GB"/>
        </w:rPr>
        <w:t>s</w:t>
      </w:r>
      <w:r w:rsidR="009B36EE" w:rsidRPr="00D415CB">
        <w:rPr>
          <w:rFonts w:ascii="Times New Roman" w:hAnsi="Times New Roman"/>
          <w:szCs w:val="22"/>
          <w:lang w:val="en-GB"/>
        </w:rPr>
        <w:t xml:space="preserve"> unions to pursue the ideal of working-class unity. </w:t>
      </w:r>
    </w:p>
    <w:p w:rsidR="002773BC" w:rsidRPr="00D415CB" w:rsidRDefault="002773BC" w:rsidP="00D415CB">
      <w:pPr>
        <w:pStyle w:val="Testonormale"/>
        <w:autoSpaceDE w:val="0"/>
        <w:autoSpaceDN w:val="0"/>
        <w:adjustRightInd w:val="0"/>
        <w:rPr>
          <w:rFonts w:ascii="Times New Roman" w:hAnsi="Times New Roman"/>
          <w:szCs w:val="22"/>
          <w:lang w:val="en-GB"/>
        </w:rPr>
      </w:pPr>
    </w:p>
    <w:p w:rsidR="00AA7CFC" w:rsidRPr="0086618E" w:rsidRDefault="00AA7CFC" w:rsidP="00143569">
      <w:pPr>
        <w:autoSpaceDE w:val="0"/>
        <w:autoSpaceDN w:val="0"/>
        <w:adjustRightInd w:val="0"/>
        <w:rPr>
          <w:rFonts w:cs="Times New Roman"/>
          <w:szCs w:val="22"/>
          <w:lang w:val="en-GB"/>
        </w:rPr>
      </w:pPr>
    </w:p>
    <w:bookmarkEnd w:id="5"/>
    <w:p w:rsidR="00143569" w:rsidRDefault="009B36EE" w:rsidP="00143569">
      <w:pPr>
        <w:rPr>
          <w:rFonts w:ascii="Arial" w:hAnsi="Arial" w:cs="Arial"/>
          <w:b/>
          <w:lang w:val="en-GB"/>
        </w:rPr>
      </w:pPr>
      <w:r w:rsidRPr="0086618E">
        <w:rPr>
          <w:rFonts w:ascii="Arial" w:hAnsi="Arial" w:cs="Arial"/>
          <w:b/>
          <w:lang w:val="en-GB"/>
        </w:rPr>
        <w:t xml:space="preserve">Discussion </w:t>
      </w:r>
    </w:p>
    <w:p w:rsidR="002773BC" w:rsidRDefault="002773BC" w:rsidP="002773BC">
      <w:pPr>
        <w:autoSpaceDE w:val="0"/>
        <w:autoSpaceDN w:val="0"/>
        <w:adjustRightInd w:val="0"/>
        <w:rPr>
          <w:rFonts w:cs="Times New Roman"/>
          <w:sz w:val="22"/>
          <w:szCs w:val="22"/>
          <w:lang w:val="en-GB"/>
        </w:rPr>
      </w:pPr>
    </w:p>
    <w:p w:rsidR="00143569" w:rsidRDefault="002773BC" w:rsidP="002773BC">
      <w:pPr>
        <w:autoSpaceDE w:val="0"/>
        <w:autoSpaceDN w:val="0"/>
        <w:adjustRightInd w:val="0"/>
        <w:rPr>
          <w:rFonts w:cs="Times New Roman"/>
          <w:sz w:val="22"/>
          <w:szCs w:val="22"/>
          <w:lang w:val="en-GB"/>
        </w:rPr>
      </w:pPr>
      <w:r>
        <w:rPr>
          <w:rFonts w:cs="Times New Roman"/>
          <w:sz w:val="22"/>
          <w:szCs w:val="22"/>
          <w:lang w:val="en-GB"/>
        </w:rPr>
        <w:t>We have</w:t>
      </w:r>
      <w:r w:rsidR="009B36EE" w:rsidRPr="00B81049">
        <w:rPr>
          <w:rFonts w:cs="Times New Roman"/>
          <w:sz w:val="22"/>
          <w:szCs w:val="22"/>
          <w:lang w:val="en-GB"/>
        </w:rPr>
        <w:t xml:space="preserve"> </w:t>
      </w:r>
      <w:r w:rsidR="00BA43FC" w:rsidRPr="00B81049">
        <w:rPr>
          <w:rFonts w:cs="Times New Roman"/>
          <w:sz w:val="22"/>
          <w:szCs w:val="22"/>
          <w:lang w:val="en-GB"/>
        </w:rPr>
        <w:t>investigated</w:t>
      </w:r>
      <w:r w:rsidR="009B36EE" w:rsidRPr="00B81049">
        <w:rPr>
          <w:rFonts w:cs="Times New Roman"/>
          <w:sz w:val="22"/>
          <w:szCs w:val="22"/>
          <w:lang w:val="en-GB"/>
        </w:rPr>
        <w:t xml:space="preserve"> the variation in union inclusiveness of TAWs in Western Europe</w:t>
      </w:r>
      <w:r>
        <w:rPr>
          <w:rFonts w:cs="Times New Roman"/>
          <w:sz w:val="22"/>
          <w:szCs w:val="22"/>
          <w:lang w:val="en-GB"/>
        </w:rPr>
        <w:t xml:space="preserve">, </w:t>
      </w:r>
      <w:r w:rsidR="009B36EE" w:rsidRPr="00B81049">
        <w:rPr>
          <w:rFonts w:cs="Times New Roman"/>
          <w:sz w:val="22"/>
          <w:szCs w:val="22"/>
          <w:lang w:val="en-GB"/>
        </w:rPr>
        <w:t>develop</w:t>
      </w:r>
      <w:r w:rsidR="006D2F38">
        <w:rPr>
          <w:rFonts w:cs="Times New Roman"/>
          <w:sz w:val="22"/>
          <w:szCs w:val="22"/>
          <w:lang w:val="en-GB"/>
        </w:rPr>
        <w:t>ing</w:t>
      </w:r>
      <w:r w:rsidR="009B36EE" w:rsidRPr="00B81049">
        <w:rPr>
          <w:rFonts w:cs="Times New Roman"/>
          <w:sz w:val="22"/>
          <w:szCs w:val="22"/>
          <w:lang w:val="en-GB"/>
        </w:rPr>
        <w:t xml:space="preserve"> a measure of union inclusiveness combining the union density of temporary workers with collective agreements for TAWs. Our first contribution is therefore to provide a systematic picture of union inclusiveness across countries. </w:t>
      </w:r>
      <w:r w:rsidR="006D2F38">
        <w:rPr>
          <w:rFonts w:cs="Times New Roman"/>
          <w:sz w:val="22"/>
          <w:szCs w:val="22"/>
          <w:lang w:val="en-GB"/>
        </w:rPr>
        <w:t>This</w:t>
      </w:r>
      <w:r w:rsidR="009B36EE" w:rsidRPr="00B81049">
        <w:rPr>
          <w:rFonts w:cs="Times New Roman"/>
          <w:sz w:val="22"/>
          <w:szCs w:val="22"/>
          <w:lang w:val="en-GB"/>
        </w:rPr>
        <w:t xml:space="preserve"> reveal</w:t>
      </w:r>
      <w:r w:rsidR="006D2F38">
        <w:rPr>
          <w:rFonts w:cs="Times New Roman"/>
          <w:sz w:val="22"/>
          <w:szCs w:val="22"/>
          <w:lang w:val="en-GB"/>
        </w:rPr>
        <w:t>s</w:t>
      </w:r>
      <w:r w:rsidR="009B36EE" w:rsidRPr="00B81049">
        <w:rPr>
          <w:rFonts w:cs="Times New Roman"/>
          <w:sz w:val="22"/>
          <w:szCs w:val="22"/>
          <w:lang w:val="en-GB"/>
        </w:rPr>
        <w:t xml:space="preserve"> a puzzling cross-national </w:t>
      </w:r>
      <w:r w:rsidR="006D2F38">
        <w:rPr>
          <w:rFonts w:cs="Times New Roman"/>
          <w:sz w:val="22"/>
          <w:szCs w:val="22"/>
          <w:lang w:val="en-GB"/>
        </w:rPr>
        <w:t>pattern,</w:t>
      </w:r>
      <w:r w:rsidR="009B36EE" w:rsidRPr="00B81049">
        <w:rPr>
          <w:rFonts w:cs="Times New Roman"/>
          <w:sz w:val="22"/>
          <w:szCs w:val="22"/>
          <w:lang w:val="en-GB"/>
        </w:rPr>
        <w:t xml:space="preserve"> which could not easily be explained by the existing literature: while union inclusiveness in </w:t>
      </w:r>
      <w:r w:rsidR="00597677" w:rsidRPr="00B81049">
        <w:rPr>
          <w:rFonts w:cs="Times New Roman"/>
          <w:sz w:val="22"/>
          <w:szCs w:val="22"/>
          <w:lang w:val="en-GB"/>
        </w:rPr>
        <w:t xml:space="preserve">Ghent </w:t>
      </w:r>
      <w:r w:rsidR="009B36EE" w:rsidRPr="00B81049">
        <w:rPr>
          <w:rFonts w:cs="Times New Roman"/>
          <w:sz w:val="22"/>
          <w:szCs w:val="22"/>
          <w:lang w:val="en-GB"/>
        </w:rPr>
        <w:t>countries seem</w:t>
      </w:r>
      <w:r w:rsidR="006D2F38">
        <w:rPr>
          <w:rFonts w:cs="Times New Roman"/>
          <w:sz w:val="22"/>
          <w:szCs w:val="22"/>
          <w:lang w:val="en-GB"/>
        </w:rPr>
        <w:t>s</w:t>
      </w:r>
      <w:r w:rsidR="009B36EE" w:rsidRPr="00B81049">
        <w:rPr>
          <w:rFonts w:cs="Times New Roman"/>
          <w:sz w:val="22"/>
          <w:szCs w:val="22"/>
          <w:lang w:val="en-GB"/>
        </w:rPr>
        <w:t xml:space="preserve"> consistent with </w:t>
      </w:r>
      <w:r w:rsidR="009B36EE" w:rsidRPr="00B81049">
        <w:rPr>
          <w:rFonts w:cs="Times New Roman"/>
          <w:i/>
          <w:sz w:val="22"/>
          <w:szCs w:val="22"/>
          <w:lang w:val="en-GB"/>
        </w:rPr>
        <w:t>a priori</w:t>
      </w:r>
      <w:r w:rsidR="009B36EE" w:rsidRPr="00B81049">
        <w:rPr>
          <w:rFonts w:cs="Times New Roman"/>
          <w:sz w:val="22"/>
          <w:szCs w:val="22"/>
          <w:lang w:val="en-GB"/>
        </w:rPr>
        <w:t xml:space="preserve"> expectations of the power resource</w:t>
      </w:r>
      <w:r w:rsidR="006D2F38">
        <w:rPr>
          <w:rFonts w:cs="Times New Roman"/>
          <w:sz w:val="22"/>
          <w:szCs w:val="22"/>
          <w:lang w:val="en-GB"/>
        </w:rPr>
        <w:t>s</w:t>
      </w:r>
      <w:r w:rsidR="009B36EE" w:rsidRPr="00B81049">
        <w:rPr>
          <w:rFonts w:cs="Times New Roman"/>
          <w:sz w:val="22"/>
          <w:szCs w:val="22"/>
          <w:lang w:val="en-GB"/>
        </w:rPr>
        <w:t xml:space="preserve"> approach and insider-outsider literature, some Southern European countries display an unexpectedly high level of inclusiveness. </w:t>
      </w:r>
    </w:p>
    <w:p w:rsidR="00143569" w:rsidRDefault="006D2F38" w:rsidP="006D2F38">
      <w:pPr>
        <w:autoSpaceDE w:val="0"/>
        <w:autoSpaceDN w:val="0"/>
        <w:adjustRightInd w:val="0"/>
        <w:rPr>
          <w:rFonts w:cs="Times New Roman"/>
          <w:sz w:val="22"/>
          <w:szCs w:val="22"/>
          <w:lang w:val="en-GB"/>
        </w:rPr>
      </w:pPr>
      <w:r>
        <w:rPr>
          <w:rFonts w:cs="Times New Roman"/>
          <w:sz w:val="22"/>
          <w:szCs w:val="22"/>
          <w:lang w:val="en-GB"/>
        </w:rPr>
        <w:tab/>
        <w:t>We then</w:t>
      </w:r>
      <w:r w:rsidR="00E22E67" w:rsidRPr="00B81049">
        <w:rPr>
          <w:rFonts w:cs="Times New Roman"/>
          <w:sz w:val="22"/>
          <w:szCs w:val="22"/>
          <w:lang w:val="en-GB"/>
        </w:rPr>
        <w:t xml:space="preserve"> </w:t>
      </w:r>
      <w:r w:rsidR="00B25A53" w:rsidRPr="00B81049">
        <w:rPr>
          <w:rFonts w:cs="Times New Roman"/>
          <w:sz w:val="22"/>
          <w:szCs w:val="22"/>
          <w:lang w:val="en-GB"/>
        </w:rPr>
        <w:t xml:space="preserve">carried out </w:t>
      </w:r>
      <w:r w:rsidR="001A6E18" w:rsidRPr="00B81049">
        <w:rPr>
          <w:rFonts w:cs="Times New Roman"/>
          <w:sz w:val="22"/>
          <w:szCs w:val="22"/>
          <w:lang w:val="en-GB"/>
        </w:rPr>
        <w:t>a</w:t>
      </w:r>
      <w:r w:rsidR="009B36EE" w:rsidRPr="00B81049">
        <w:rPr>
          <w:rFonts w:cs="Times New Roman"/>
          <w:sz w:val="22"/>
          <w:szCs w:val="22"/>
          <w:lang w:val="en-GB"/>
        </w:rPr>
        <w:t xml:space="preserve"> systematic cross-national investigation of the </w:t>
      </w:r>
      <w:r w:rsidR="00E22E67" w:rsidRPr="00B81049">
        <w:rPr>
          <w:rFonts w:cs="Times New Roman"/>
          <w:sz w:val="22"/>
          <w:szCs w:val="22"/>
          <w:lang w:val="en-GB"/>
        </w:rPr>
        <w:t>necessary conditions for</w:t>
      </w:r>
      <w:r w:rsidR="009B36EE" w:rsidRPr="00B81049">
        <w:rPr>
          <w:rFonts w:cs="Times New Roman"/>
          <w:sz w:val="22"/>
          <w:szCs w:val="22"/>
          <w:lang w:val="en-GB"/>
        </w:rPr>
        <w:t xml:space="preserve"> union </w:t>
      </w:r>
      <w:r w:rsidR="00E22E67" w:rsidRPr="00B81049">
        <w:rPr>
          <w:rFonts w:cs="Times New Roman"/>
          <w:sz w:val="22"/>
          <w:szCs w:val="22"/>
          <w:lang w:val="en-GB"/>
        </w:rPr>
        <w:t xml:space="preserve">inclusiveness </w:t>
      </w:r>
      <w:r w:rsidR="009B36EE" w:rsidRPr="00B81049">
        <w:rPr>
          <w:rFonts w:cs="Times New Roman"/>
          <w:sz w:val="22"/>
          <w:szCs w:val="22"/>
          <w:lang w:val="en-GB"/>
        </w:rPr>
        <w:t xml:space="preserve">towards </w:t>
      </w:r>
      <w:r w:rsidR="001A6E18" w:rsidRPr="00B81049">
        <w:rPr>
          <w:rFonts w:cs="Times New Roman"/>
          <w:sz w:val="22"/>
          <w:szCs w:val="22"/>
          <w:lang w:val="en-GB"/>
        </w:rPr>
        <w:t>TAWs</w:t>
      </w:r>
      <w:r w:rsidR="009B36EE" w:rsidRPr="00B81049">
        <w:rPr>
          <w:rFonts w:cs="Times New Roman"/>
          <w:sz w:val="22"/>
          <w:szCs w:val="22"/>
          <w:lang w:val="en-GB"/>
        </w:rPr>
        <w:t xml:space="preserve">. </w:t>
      </w:r>
      <w:r w:rsidR="001A6E18" w:rsidRPr="00B81049">
        <w:rPr>
          <w:rFonts w:cs="Times New Roman"/>
          <w:sz w:val="22"/>
          <w:szCs w:val="22"/>
          <w:lang w:val="en-GB"/>
        </w:rPr>
        <w:t>The</w:t>
      </w:r>
      <w:r w:rsidR="009B36EE" w:rsidRPr="00B81049">
        <w:rPr>
          <w:rFonts w:cs="Times New Roman"/>
          <w:sz w:val="22"/>
          <w:szCs w:val="22"/>
          <w:lang w:val="en-GB"/>
        </w:rPr>
        <w:t xml:space="preserve"> fsQCA identif</w:t>
      </w:r>
      <w:r w:rsidR="001A6E18" w:rsidRPr="00B81049">
        <w:rPr>
          <w:rFonts w:cs="Times New Roman"/>
          <w:sz w:val="22"/>
          <w:szCs w:val="22"/>
          <w:lang w:val="en-GB"/>
        </w:rPr>
        <w:t>ied</w:t>
      </w:r>
      <w:r w:rsidR="009B36EE" w:rsidRPr="00B81049">
        <w:rPr>
          <w:rFonts w:cs="Times New Roman"/>
          <w:sz w:val="22"/>
          <w:szCs w:val="22"/>
          <w:lang w:val="en-GB"/>
        </w:rPr>
        <w:t xml:space="preserve"> high bargaining coverage as a necessary condition, suggesting that strong bargaining rights are crucial for unions’ ability to undertake inclusive strategies, consistent with the power resource</w:t>
      </w:r>
      <w:r>
        <w:rPr>
          <w:rFonts w:cs="Times New Roman"/>
          <w:sz w:val="22"/>
          <w:szCs w:val="22"/>
          <w:lang w:val="en-GB"/>
        </w:rPr>
        <w:t>s</w:t>
      </w:r>
      <w:r w:rsidR="009B36EE" w:rsidRPr="00B81049">
        <w:rPr>
          <w:rFonts w:cs="Times New Roman"/>
          <w:sz w:val="22"/>
          <w:szCs w:val="22"/>
          <w:lang w:val="en-GB"/>
        </w:rPr>
        <w:t xml:space="preserve"> perspective </w:t>
      </w:r>
      <w:r w:rsidR="009B36EE" w:rsidRPr="00B81049">
        <w:rPr>
          <w:rFonts w:cs="Times New Roman"/>
          <w:noProof/>
          <w:sz w:val="22"/>
          <w:szCs w:val="22"/>
          <w:lang w:val="en-GB"/>
        </w:rPr>
        <w:t>(Korpi</w:t>
      </w:r>
      <w:r w:rsidR="001D581E" w:rsidRPr="00B81049">
        <w:rPr>
          <w:rFonts w:cs="Times New Roman"/>
          <w:noProof/>
          <w:sz w:val="22"/>
          <w:szCs w:val="22"/>
          <w:lang w:val="en-GB"/>
        </w:rPr>
        <w:t>,</w:t>
      </w:r>
      <w:r w:rsidR="009B36EE" w:rsidRPr="00B81049">
        <w:rPr>
          <w:rFonts w:cs="Times New Roman"/>
          <w:noProof/>
          <w:sz w:val="22"/>
          <w:szCs w:val="22"/>
          <w:lang w:val="en-GB"/>
        </w:rPr>
        <w:t xml:space="preserve"> 1983)</w:t>
      </w:r>
      <w:r w:rsidR="009B36EE" w:rsidRPr="00B81049">
        <w:rPr>
          <w:rFonts w:cs="Times New Roman"/>
          <w:sz w:val="22"/>
          <w:szCs w:val="22"/>
          <w:lang w:val="en-GB"/>
        </w:rPr>
        <w:t>. High confedera</w:t>
      </w:r>
      <w:r>
        <w:rPr>
          <w:rFonts w:cs="Times New Roman"/>
          <w:sz w:val="22"/>
          <w:szCs w:val="22"/>
          <w:lang w:val="en-GB"/>
        </w:rPr>
        <w:t>l</w:t>
      </w:r>
      <w:r w:rsidR="009B36EE" w:rsidRPr="00B81049">
        <w:rPr>
          <w:rFonts w:cs="Times New Roman"/>
          <w:sz w:val="22"/>
          <w:szCs w:val="22"/>
          <w:lang w:val="en-GB"/>
        </w:rPr>
        <w:t xml:space="preserve"> authority, which is present in both paths, also confirms that central</w:t>
      </w:r>
      <w:r w:rsidR="008F693C">
        <w:rPr>
          <w:rFonts w:cs="Times New Roman"/>
          <w:sz w:val="22"/>
          <w:szCs w:val="22"/>
          <w:lang w:val="en-GB"/>
        </w:rPr>
        <w:t>ize</w:t>
      </w:r>
      <w:r w:rsidR="009B36EE" w:rsidRPr="00B81049">
        <w:rPr>
          <w:rFonts w:cs="Times New Roman"/>
          <w:sz w:val="22"/>
          <w:szCs w:val="22"/>
          <w:lang w:val="en-GB"/>
        </w:rPr>
        <w:t>d decision-making contribute</w:t>
      </w:r>
      <w:r>
        <w:rPr>
          <w:rFonts w:cs="Times New Roman"/>
          <w:sz w:val="22"/>
          <w:szCs w:val="22"/>
          <w:lang w:val="en-GB"/>
        </w:rPr>
        <w:t>s</w:t>
      </w:r>
      <w:r w:rsidR="009B36EE" w:rsidRPr="00B81049">
        <w:rPr>
          <w:rFonts w:cs="Times New Roman"/>
          <w:sz w:val="22"/>
          <w:szCs w:val="22"/>
          <w:lang w:val="en-GB"/>
        </w:rPr>
        <w:t xml:space="preserve"> to a more encompassing labour movement.</w:t>
      </w:r>
      <w:r w:rsidR="00E73EE3">
        <w:rPr>
          <w:rFonts w:cs="Times New Roman"/>
          <w:sz w:val="22"/>
          <w:szCs w:val="22"/>
          <w:lang w:val="en-GB"/>
        </w:rPr>
        <w:t xml:space="preserve"> </w:t>
      </w:r>
      <w:r w:rsidR="00276447" w:rsidRPr="00B81049">
        <w:rPr>
          <w:rFonts w:cs="Times New Roman"/>
          <w:sz w:val="22"/>
          <w:szCs w:val="22"/>
          <w:lang w:val="en-GB"/>
        </w:rPr>
        <w:t>By contrast, o</w:t>
      </w:r>
      <w:r w:rsidR="009B36EE" w:rsidRPr="00B81049">
        <w:rPr>
          <w:rFonts w:cs="Times New Roman"/>
          <w:sz w:val="22"/>
          <w:szCs w:val="22"/>
          <w:lang w:val="en-GB"/>
        </w:rPr>
        <w:t xml:space="preserve">ur results contradict the expectation of the </w:t>
      </w:r>
      <w:r w:rsidR="00B07A31" w:rsidRPr="00B81049">
        <w:rPr>
          <w:rFonts w:cs="Times New Roman"/>
          <w:sz w:val="22"/>
          <w:szCs w:val="22"/>
          <w:lang w:val="en-GB"/>
        </w:rPr>
        <w:t>dual</w:t>
      </w:r>
      <w:r w:rsidR="002A4AC2">
        <w:rPr>
          <w:rFonts w:cs="Times New Roman"/>
          <w:sz w:val="22"/>
          <w:szCs w:val="22"/>
          <w:lang w:val="en-GB"/>
        </w:rPr>
        <w:t>ization</w:t>
      </w:r>
      <w:r w:rsidR="009B36EE" w:rsidRPr="00B81049">
        <w:rPr>
          <w:rFonts w:cs="Times New Roman"/>
          <w:sz w:val="22"/>
          <w:szCs w:val="22"/>
          <w:lang w:val="en-GB"/>
        </w:rPr>
        <w:t xml:space="preserve"> literature that low employment protection is necessary for union inclusiveness towards </w:t>
      </w:r>
      <w:r w:rsidR="00B07A31" w:rsidRPr="00B81049">
        <w:rPr>
          <w:rFonts w:cs="Times New Roman"/>
          <w:sz w:val="22"/>
          <w:szCs w:val="22"/>
          <w:lang w:val="en-GB"/>
        </w:rPr>
        <w:t>TAWs</w:t>
      </w:r>
      <w:r w:rsidR="009B36EE" w:rsidRPr="00B81049">
        <w:rPr>
          <w:rFonts w:cs="Times New Roman"/>
          <w:sz w:val="22"/>
          <w:szCs w:val="22"/>
          <w:lang w:val="en-GB"/>
        </w:rPr>
        <w:t xml:space="preserve"> </w:t>
      </w:r>
      <w:r w:rsidR="009B36EE" w:rsidRPr="00B81049">
        <w:rPr>
          <w:rFonts w:cs="Times New Roman"/>
          <w:noProof/>
          <w:sz w:val="22"/>
          <w:szCs w:val="22"/>
          <w:lang w:val="en-GB"/>
        </w:rPr>
        <w:t>(Rueda, 2007)</w:t>
      </w:r>
      <w:r w:rsidR="009B36EE" w:rsidRPr="00B81049">
        <w:rPr>
          <w:rFonts w:cs="Times New Roman"/>
          <w:sz w:val="22"/>
          <w:szCs w:val="22"/>
          <w:lang w:val="en-GB"/>
        </w:rPr>
        <w:t xml:space="preserve">. The relevance of collective bargaining coverage, instead, suggests that insiders’ institutions can also be used to deliver outcomes for outsiders </w:t>
      </w:r>
      <w:r w:rsidR="009B36EE" w:rsidRPr="00B81049">
        <w:rPr>
          <w:rFonts w:cs="Times New Roman"/>
          <w:noProof/>
          <w:sz w:val="22"/>
          <w:szCs w:val="22"/>
          <w:lang w:val="en-GB"/>
        </w:rPr>
        <w:t>(Oliver, 2010)</w:t>
      </w:r>
      <w:r w:rsidR="009B36EE" w:rsidRPr="00B81049">
        <w:rPr>
          <w:rFonts w:cs="Times New Roman"/>
          <w:sz w:val="22"/>
          <w:szCs w:val="22"/>
          <w:lang w:val="en-GB"/>
        </w:rPr>
        <w:t xml:space="preserve">. </w:t>
      </w:r>
    </w:p>
    <w:p w:rsidR="00143569" w:rsidRDefault="006D2F38" w:rsidP="006D2F38">
      <w:pPr>
        <w:autoSpaceDE w:val="0"/>
        <w:autoSpaceDN w:val="0"/>
        <w:adjustRightInd w:val="0"/>
        <w:rPr>
          <w:rFonts w:cs="Times New Roman"/>
          <w:sz w:val="22"/>
          <w:szCs w:val="22"/>
          <w:lang w:val="en-GB"/>
        </w:rPr>
      </w:pPr>
      <w:r>
        <w:rPr>
          <w:rFonts w:cs="Times New Roman"/>
          <w:sz w:val="22"/>
          <w:szCs w:val="22"/>
          <w:lang w:val="en-GB"/>
        </w:rPr>
        <w:tab/>
        <w:t>Our</w:t>
      </w:r>
      <w:r w:rsidR="009B36EE" w:rsidRPr="00B81049">
        <w:rPr>
          <w:rFonts w:cs="Times New Roman"/>
          <w:sz w:val="22"/>
          <w:szCs w:val="22"/>
          <w:lang w:val="en-GB"/>
        </w:rPr>
        <w:t xml:space="preserve"> analysis </w:t>
      </w:r>
      <w:r>
        <w:rPr>
          <w:rFonts w:cs="Times New Roman"/>
          <w:sz w:val="22"/>
          <w:szCs w:val="22"/>
          <w:lang w:val="en-GB"/>
        </w:rPr>
        <w:t xml:space="preserve">has </w:t>
      </w:r>
      <w:r w:rsidR="009B36EE" w:rsidRPr="00B81049">
        <w:rPr>
          <w:rFonts w:cs="Times New Roman"/>
          <w:sz w:val="22"/>
          <w:szCs w:val="22"/>
          <w:lang w:val="en-GB"/>
        </w:rPr>
        <w:t xml:space="preserve">found two causal paths to inclusiveness: </w:t>
      </w:r>
      <w:r w:rsidR="00B07A31" w:rsidRPr="00B81049">
        <w:rPr>
          <w:rFonts w:cs="Times New Roman"/>
          <w:sz w:val="22"/>
          <w:szCs w:val="22"/>
          <w:lang w:val="en-GB"/>
        </w:rPr>
        <w:t xml:space="preserve">the </w:t>
      </w:r>
      <w:r w:rsidR="009B36EE" w:rsidRPr="00B81049">
        <w:rPr>
          <w:rFonts w:cs="Times New Roman"/>
          <w:sz w:val="22"/>
          <w:szCs w:val="22"/>
          <w:lang w:val="en-GB"/>
        </w:rPr>
        <w:t>‘</w:t>
      </w:r>
      <w:r w:rsidR="00B07A31" w:rsidRPr="00B81049">
        <w:rPr>
          <w:rFonts w:cs="Times New Roman"/>
          <w:sz w:val="22"/>
          <w:szCs w:val="22"/>
          <w:lang w:val="en-GB"/>
        </w:rPr>
        <w:t xml:space="preserve">Northern </w:t>
      </w:r>
      <w:r w:rsidR="009B36EE" w:rsidRPr="00B81049">
        <w:rPr>
          <w:rFonts w:cs="Times New Roman"/>
          <w:sz w:val="22"/>
          <w:szCs w:val="22"/>
          <w:lang w:val="en-GB"/>
        </w:rPr>
        <w:t>path’</w:t>
      </w:r>
      <w:r w:rsidR="00B07A31" w:rsidRPr="00B81049">
        <w:rPr>
          <w:rFonts w:cs="Times New Roman"/>
          <w:sz w:val="22"/>
          <w:szCs w:val="22"/>
          <w:lang w:val="en-GB"/>
        </w:rPr>
        <w:t>,</w:t>
      </w:r>
      <w:r w:rsidR="009B36EE" w:rsidRPr="00B81049">
        <w:rPr>
          <w:rFonts w:cs="Times New Roman"/>
          <w:sz w:val="22"/>
          <w:szCs w:val="22"/>
          <w:lang w:val="en-GB"/>
        </w:rPr>
        <w:t xml:space="preserve"> which combines high bargaining coverage with high union authority and high density, </w:t>
      </w:r>
      <w:r w:rsidR="00B07A31" w:rsidRPr="00B81049">
        <w:rPr>
          <w:rFonts w:cs="Times New Roman"/>
          <w:sz w:val="22"/>
          <w:szCs w:val="22"/>
          <w:lang w:val="en-GB"/>
        </w:rPr>
        <w:t>is consistent with the power resource</w:t>
      </w:r>
      <w:r>
        <w:rPr>
          <w:rFonts w:cs="Times New Roman"/>
          <w:sz w:val="22"/>
          <w:szCs w:val="22"/>
          <w:lang w:val="en-GB"/>
        </w:rPr>
        <w:t>s</w:t>
      </w:r>
      <w:r w:rsidR="00B07A31" w:rsidRPr="00B81049">
        <w:rPr>
          <w:rFonts w:cs="Times New Roman"/>
          <w:sz w:val="22"/>
          <w:szCs w:val="22"/>
          <w:lang w:val="en-GB"/>
        </w:rPr>
        <w:t xml:space="preserve"> approach and only partly with insider-outsider theory. The</w:t>
      </w:r>
      <w:r w:rsidR="009B36EE" w:rsidRPr="00B81049">
        <w:rPr>
          <w:rFonts w:cs="Times New Roman"/>
          <w:sz w:val="22"/>
          <w:szCs w:val="22"/>
          <w:lang w:val="en-GB"/>
        </w:rPr>
        <w:t xml:space="preserve"> ‘Southern path’</w:t>
      </w:r>
      <w:r w:rsidR="00B07A31" w:rsidRPr="00B81049">
        <w:rPr>
          <w:rFonts w:cs="Times New Roman"/>
          <w:sz w:val="22"/>
          <w:szCs w:val="22"/>
          <w:lang w:val="en-GB"/>
        </w:rPr>
        <w:t>,</w:t>
      </w:r>
      <w:r w:rsidR="009B36EE" w:rsidRPr="00B81049">
        <w:rPr>
          <w:rFonts w:cs="Times New Roman"/>
          <w:sz w:val="22"/>
          <w:szCs w:val="22"/>
          <w:lang w:val="en-GB"/>
        </w:rPr>
        <w:t xml:space="preserve"> which </w:t>
      </w:r>
      <w:r>
        <w:rPr>
          <w:rFonts w:cs="Times New Roman"/>
          <w:sz w:val="22"/>
          <w:szCs w:val="22"/>
          <w:lang w:val="en-GB"/>
        </w:rPr>
        <w:t>involves</w:t>
      </w:r>
      <w:r w:rsidR="009B36EE" w:rsidRPr="00B81049">
        <w:rPr>
          <w:rFonts w:cs="Times New Roman"/>
          <w:sz w:val="22"/>
          <w:szCs w:val="22"/>
          <w:lang w:val="en-GB"/>
        </w:rPr>
        <w:t xml:space="preserve"> high bargaining coverage, high union authority and working</w:t>
      </w:r>
      <w:r>
        <w:rPr>
          <w:rFonts w:cs="Times New Roman"/>
          <w:sz w:val="22"/>
          <w:szCs w:val="22"/>
          <w:lang w:val="en-GB"/>
        </w:rPr>
        <w:t>-</w:t>
      </w:r>
      <w:r w:rsidR="009B36EE" w:rsidRPr="00B81049">
        <w:rPr>
          <w:rFonts w:cs="Times New Roman"/>
          <w:sz w:val="22"/>
          <w:szCs w:val="22"/>
          <w:lang w:val="en-GB"/>
        </w:rPr>
        <w:t>class ideology</w:t>
      </w:r>
      <w:r w:rsidR="00B07A31" w:rsidRPr="00B81049">
        <w:rPr>
          <w:rFonts w:cs="Times New Roman"/>
          <w:sz w:val="22"/>
          <w:szCs w:val="22"/>
          <w:lang w:val="en-GB"/>
        </w:rPr>
        <w:t xml:space="preserve"> (and also the presence of law in a slightly weaker path), points to the relevance of </w:t>
      </w:r>
      <w:r w:rsidRPr="00B81049">
        <w:rPr>
          <w:rFonts w:cs="Times New Roman"/>
          <w:sz w:val="22"/>
          <w:szCs w:val="22"/>
          <w:lang w:val="en-GB"/>
        </w:rPr>
        <w:t xml:space="preserve">labour movement </w:t>
      </w:r>
      <w:r w:rsidR="00B07A31" w:rsidRPr="00B81049">
        <w:rPr>
          <w:rFonts w:cs="Times New Roman"/>
          <w:sz w:val="22"/>
          <w:szCs w:val="22"/>
          <w:lang w:val="en-GB"/>
        </w:rPr>
        <w:t>ideology. The presence of state legislation in th</w:t>
      </w:r>
      <w:r>
        <w:rPr>
          <w:rFonts w:cs="Times New Roman"/>
          <w:sz w:val="22"/>
          <w:szCs w:val="22"/>
          <w:lang w:val="en-GB"/>
        </w:rPr>
        <w:t>is</w:t>
      </w:r>
      <w:r w:rsidR="00B07A31" w:rsidRPr="00B81049">
        <w:rPr>
          <w:rFonts w:cs="Times New Roman"/>
          <w:sz w:val="22"/>
          <w:szCs w:val="22"/>
          <w:lang w:val="en-GB"/>
        </w:rPr>
        <w:t xml:space="preserve"> path </w:t>
      </w:r>
      <w:r w:rsidR="00E22E67" w:rsidRPr="00B81049">
        <w:rPr>
          <w:rFonts w:cs="Times New Roman"/>
          <w:sz w:val="22"/>
          <w:szCs w:val="22"/>
          <w:lang w:val="en-GB"/>
        </w:rPr>
        <w:t xml:space="preserve">is consistent with </w:t>
      </w:r>
      <w:r w:rsidR="00C249EF" w:rsidRPr="00B81049">
        <w:rPr>
          <w:rFonts w:cs="Times New Roman"/>
          <w:sz w:val="22"/>
          <w:szCs w:val="22"/>
          <w:lang w:val="en-GB"/>
        </w:rPr>
        <w:t xml:space="preserve">the </w:t>
      </w:r>
      <w:r w:rsidR="00E22E67" w:rsidRPr="00B81049">
        <w:rPr>
          <w:rFonts w:cs="Times New Roman"/>
          <w:sz w:val="22"/>
          <w:szCs w:val="22"/>
          <w:lang w:val="en-GB"/>
        </w:rPr>
        <w:t xml:space="preserve">notion that </w:t>
      </w:r>
      <w:r w:rsidR="00B07A31" w:rsidRPr="00B81049">
        <w:rPr>
          <w:rFonts w:cs="Times New Roman"/>
          <w:sz w:val="22"/>
          <w:szCs w:val="22"/>
          <w:lang w:val="en-GB"/>
        </w:rPr>
        <w:t xml:space="preserve">the state can provide a </w:t>
      </w:r>
      <w:r w:rsidR="008F693C">
        <w:rPr>
          <w:rFonts w:cs="Times New Roman"/>
          <w:sz w:val="22"/>
          <w:szCs w:val="22"/>
          <w:lang w:val="en-GB"/>
        </w:rPr>
        <w:t>‘</w:t>
      </w:r>
      <w:r w:rsidR="00B07A31" w:rsidRPr="00B81049">
        <w:rPr>
          <w:rFonts w:cs="Times New Roman"/>
          <w:sz w:val="22"/>
          <w:szCs w:val="22"/>
          <w:lang w:val="en-GB"/>
        </w:rPr>
        <w:t>helping hand</w:t>
      </w:r>
      <w:r w:rsidR="008F693C">
        <w:rPr>
          <w:rFonts w:cs="Times New Roman"/>
          <w:sz w:val="22"/>
          <w:szCs w:val="22"/>
          <w:lang w:val="en-GB"/>
        </w:rPr>
        <w:t>’</w:t>
      </w:r>
      <w:r w:rsidR="00B07A31" w:rsidRPr="00B81049">
        <w:rPr>
          <w:rFonts w:cs="Times New Roman"/>
          <w:sz w:val="22"/>
          <w:szCs w:val="22"/>
          <w:lang w:val="en-GB"/>
        </w:rPr>
        <w:t xml:space="preserve"> to unions in regulating increasingly flexible labour markets </w:t>
      </w:r>
      <w:r w:rsidR="00B07A31" w:rsidRPr="00B81049">
        <w:rPr>
          <w:rFonts w:cs="Times New Roman"/>
          <w:noProof/>
          <w:sz w:val="22"/>
          <w:szCs w:val="22"/>
          <w:lang w:val="en-GB"/>
        </w:rPr>
        <w:t>(Burroni and Pedaci</w:t>
      </w:r>
      <w:r w:rsidR="009B79A3" w:rsidRPr="00B81049">
        <w:rPr>
          <w:rFonts w:cs="Times New Roman"/>
          <w:noProof/>
          <w:sz w:val="22"/>
          <w:szCs w:val="22"/>
          <w:lang w:val="en-GB"/>
        </w:rPr>
        <w:t>,</w:t>
      </w:r>
      <w:r w:rsidR="00B07A31" w:rsidRPr="00B81049">
        <w:rPr>
          <w:rFonts w:cs="Times New Roman"/>
          <w:noProof/>
          <w:sz w:val="22"/>
          <w:szCs w:val="22"/>
          <w:lang w:val="en-GB"/>
        </w:rPr>
        <w:t xml:space="preserve"> 2014</w:t>
      </w:r>
      <w:r w:rsidR="009B79A3" w:rsidRPr="00B81049">
        <w:rPr>
          <w:rFonts w:cs="Times New Roman"/>
          <w:noProof/>
          <w:sz w:val="22"/>
          <w:szCs w:val="22"/>
          <w:lang w:val="en-GB"/>
        </w:rPr>
        <w:t xml:space="preserve">; </w:t>
      </w:r>
      <w:r w:rsidR="00B07A31" w:rsidRPr="00B81049">
        <w:rPr>
          <w:rFonts w:cs="Times New Roman"/>
          <w:noProof/>
          <w:sz w:val="22"/>
          <w:szCs w:val="22"/>
          <w:lang w:val="en-GB"/>
        </w:rPr>
        <w:t>Thelen</w:t>
      </w:r>
      <w:r w:rsidR="009B79A3" w:rsidRPr="00B81049">
        <w:rPr>
          <w:rFonts w:cs="Times New Roman"/>
          <w:noProof/>
          <w:sz w:val="22"/>
          <w:szCs w:val="22"/>
          <w:lang w:val="en-GB"/>
        </w:rPr>
        <w:t>,</w:t>
      </w:r>
      <w:r w:rsidR="00B07A31" w:rsidRPr="00B81049">
        <w:rPr>
          <w:rFonts w:cs="Times New Roman"/>
          <w:noProof/>
          <w:sz w:val="22"/>
          <w:szCs w:val="22"/>
          <w:lang w:val="en-GB"/>
        </w:rPr>
        <w:t xml:space="preserve"> 2014)</w:t>
      </w:r>
      <w:r w:rsidR="00B07A31" w:rsidRPr="00B81049">
        <w:rPr>
          <w:rFonts w:cs="Times New Roman"/>
          <w:sz w:val="22"/>
          <w:szCs w:val="22"/>
          <w:lang w:val="en-GB"/>
        </w:rPr>
        <w:t>.</w:t>
      </w:r>
    </w:p>
    <w:p w:rsidR="00143569" w:rsidRDefault="006D2F38" w:rsidP="006D2F38">
      <w:pPr>
        <w:autoSpaceDE w:val="0"/>
        <w:autoSpaceDN w:val="0"/>
        <w:adjustRightInd w:val="0"/>
        <w:rPr>
          <w:rFonts w:cs="Times New Roman"/>
          <w:sz w:val="22"/>
          <w:szCs w:val="22"/>
          <w:lang w:val="en-GB"/>
        </w:rPr>
      </w:pPr>
      <w:r>
        <w:rPr>
          <w:rFonts w:cs="Times New Roman"/>
          <w:sz w:val="22"/>
          <w:szCs w:val="22"/>
          <w:lang w:val="en-GB"/>
        </w:rPr>
        <w:tab/>
      </w:r>
      <w:r w:rsidR="009B36EE" w:rsidRPr="00B81049">
        <w:rPr>
          <w:rFonts w:cs="Times New Roman"/>
          <w:sz w:val="22"/>
          <w:szCs w:val="22"/>
          <w:lang w:val="en-GB"/>
        </w:rPr>
        <w:t xml:space="preserve">The difference in causal mechanisms between the </w:t>
      </w:r>
      <w:r w:rsidR="00597677" w:rsidRPr="00B81049">
        <w:rPr>
          <w:rFonts w:cs="Times New Roman"/>
          <w:sz w:val="22"/>
          <w:szCs w:val="22"/>
          <w:lang w:val="en-GB"/>
        </w:rPr>
        <w:t xml:space="preserve">Ghent </w:t>
      </w:r>
      <w:r w:rsidR="009B36EE" w:rsidRPr="00B81049">
        <w:rPr>
          <w:rFonts w:cs="Times New Roman"/>
          <w:sz w:val="22"/>
          <w:szCs w:val="22"/>
          <w:lang w:val="en-GB"/>
        </w:rPr>
        <w:t xml:space="preserve">and the Southern paths are best explained with reference to distinct ‘logics of action’ of labour movements. In the </w:t>
      </w:r>
      <w:r w:rsidR="00597677" w:rsidRPr="00B81049">
        <w:rPr>
          <w:rFonts w:cs="Times New Roman"/>
          <w:sz w:val="22"/>
          <w:szCs w:val="22"/>
          <w:lang w:val="en-GB"/>
        </w:rPr>
        <w:t>Ghent countries</w:t>
      </w:r>
      <w:r w:rsidR="009B36EE" w:rsidRPr="00B81049">
        <w:rPr>
          <w:rFonts w:cs="Times New Roman"/>
          <w:sz w:val="22"/>
          <w:szCs w:val="22"/>
          <w:lang w:val="en-GB"/>
        </w:rPr>
        <w:t>, the insider-outsider approach suggests that unions’ preferences are influenced by the outsiders, who are well represented among their membership. In France, Italy and Spain</w:t>
      </w:r>
      <w:r w:rsidR="00033EEE" w:rsidRPr="00B81049">
        <w:rPr>
          <w:rFonts w:cs="Times New Roman"/>
          <w:sz w:val="22"/>
          <w:szCs w:val="22"/>
          <w:lang w:val="en-GB"/>
        </w:rPr>
        <w:t>,</w:t>
      </w:r>
      <w:r w:rsidR="009B36EE" w:rsidRPr="00B81049">
        <w:rPr>
          <w:rFonts w:cs="Times New Roman"/>
          <w:sz w:val="22"/>
          <w:szCs w:val="22"/>
          <w:lang w:val="en-GB"/>
        </w:rPr>
        <w:t xml:space="preserve"> unions bargain following their working-class ideology, which is reflected in solidaristic policies. Thus, while existing literature describe a representational logic of strategy formation towards contingent workers (</w:t>
      </w:r>
      <w:r>
        <w:rPr>
          <w:rFonts w:cs="Times New Roman"/>
          <w:sz w:val="22"/>
          <w:szCs w:val="22"/>
          <w:lang w:val="en-GB"/>
        </w:rPr>
        <w:t>as</w:t>
      </w:r>
      <w:r w:rsidR="009B36EE" w:rsidRPr="00B81049">
        <w:rPr>
          <w:rFonts w:cs="Times New Roman"/>
          <w:sz w:val="22"/>
          <w:szCs w:val="22"/>
          <w:lang w:val="en-GB"/>
        </w:rPr>
        <w:t xml:space="preserve"> in the Northern path), we f</w:t>
      </w:r>
      <w:r>
        <w:rPr>
          <w:rFonts w:cs="Times New Roman"/>
          <w:sz w:val="22"/>
          <w:szCs w:val="22"/>
          <w:lang w:val="en-GB"/>
        </w:rPr>
        <w:t>i</w:t>
      </w:r>
      <w:r w:rsidR="009B36EE" w:rsidRPr="00B81049">
        <w:rPr>
          <w:rFonts w:cs="Times New Roman"/>
          <w:sz w:val="22"/>
          <w:szCs w:val="22"/>
          <w:lang w:val="en-GB"/>
        </w:rPr>
        <w:t>nd that Southern unions formulate their strategies following their ideological orientation</w:t>
      </w:r>
      <w:r>
        <w:rPr>
          <w:rFonts w:cs="Times New Roman"/>
          <w:sz w:val="22"/>
          <w:szCs w:val="22"/>
          <w:lang w:val="en-GB"/>
        </w:rPr>
        <w:t>s</w:t>
      </w:r>
      <w:r w:rsidR="009B36EE" w:rsidRPr="00B81049">
        <w:rPr>
          <w:rFonts w:cs="Times New Roman"/>
          <w:sz w:val="22"/>
          <w:szCs w:val="22"/>
          <w:lang w:val="en-GB"/>
        </w:rPr>
        <w:t xml:space="preserve">. </w:t>
      </w:r>
    </w:p>
    <w:p w:rsidR="00143569" w:rsidRDefault="006D2F38" w:rsidP="006D2F38">
      <w:pPr>
        <w:autoSpaceDE w:val="0"/>
        <w:autoSpaceDN w:val="0"/>
        <w:adjustRightInd w:val="0"/>
        <w:rPr>
          <w:rFonts w:cs="Times New Roman"/>
          <w:sz w:val="22"/>
          <w:szCs w:val="22"/>
          <w:lang w:val="en-GB"/>
        </w:rPr>
      </w:pPr>
      <w:r>
        <w:rPr>
          <w:rFonts w:cs="Times New Roman"/>
          <w:sz w:val="22"/>
          <w:szCs w:val="22"/>
          <w:lang w:val="en-GB"/>
        </w:rPr>
        <w:tab/>
      </w:r>
      <w:r w:rsidR="009B36EE" w:rsidRPr="00B81049">
        <w:rPr>
          <w:rFonts w:cs="Times New Roman"/>
          <w:sz w:val="22"/>
          <w:szCs w:val="22"/>
          <w:lang w:val="en-GB"/>
        </w:rPr>
        <w:t xml:space="preserve">Finally, our </w:t>
      </w:r>
      <w:r w:rsidR="002A4AC2">
        <w:rPr>
          <w:rFonts w:cs="Times New Roman"/>
          <w:sz w:val="22"/>
          <w:szCs w:val="22"/>
          <w:lang w:val="en-GB"/>
        </w:rPr>
        <w:t>article</w:t>
      </w:r>
      <w:r w:rsidR="009B36EE" w:rsidRPr="00B81049">
        <w:rPr>
          <w:rFonts w:cs="Times New Roman"/>
          <w:sz w:val="22"/>
          <w:szCs w:val="22"/>
          <w:lang w:val="en-GB"/>
        </w:rPr>
        <w:t xml:space="preserve"> contributes to a growing literature pointing at the need </w:t>
      </w:r>
      <w:r>
        <w:rPr>
          <w:rFonts w:cs="Times New Roman"/>
          <w:sz w:val="22"/>
          <w:szCs w:val="22"/>
          <w:lang w:val="en-GB"/>
        </w:rPr>
        <w:t>to</w:t>
      </w:r>
      <w:r w:rsidR="009B36EE" w:rsidRPr="00B81049">
        <w:rPr>
          <w:rFonts w:cs="Times New Roman"/>
          <w:sz w:val="22"/>
          <w:szCs w:val="22"/>
          <w:lang w:val="en-GB"/>
        </w:rPr>
        <w:t xml:space="preserve"> combin</w:t>
      </w:r>
      <w:r>
        <w:rPr>
          <w:rFonts w:cs="Times New Roman"/>
          <w:sz w:val="22"/>
          <w:szCs w:val="22"/>
          <w:lang w:val="en-GB"/>
        </w:rPr>
        <w:t>e</w:t>
      </w:r>
      <w:r w:rsidR="009B36EE" w:rsidRPr="00B81049">
        <w:rPr>
          <w:rFonts w:cs="Times New Roman"/>
          <w:sz w:val="22"/>
          <w:szCs w:val="22"/>
          <w:lang w:val="en-GB"/>
        </w:rPr>
        <w:t xml:space="preserve"> institutional and cultural/ideological factors for explaining unions’ bargaining strategies. National identities and culture have been most often included in explanations for building cross-national solidarities and transnational bargaining</w:t>
      </w:r>
      <w:r>
        <w:rPr>
          <w:rFonts w:cs="Times New Roman"/>
          <w:sz w:val="22"/>
          <w:szCs w:val="22"/>
          <w:lang w:val="en-GB"/>
        </w:rPr>
        <w:t>, or failing to do so</w:t>
      </w:r>
      <w:r w:rsidR="009B36EE" w:rsidRPr="00B81049">
        <w:rPr>
          <w:rFonts w:cs="Times New Roman"/>
          <w:sz w:val="22"/>
          <w:szCs w:val="22"/>
          <w:lang w:val="en-GB"/>
        </w:rPr>
        <w:t xml:space="preserve"> </w:t>
      </w:r>
      <w:r w:rsidR="009B36EE" w:rsidRPr="00B81049">
        <w:rPr>
          <w:rFonts w:cs="Times New Roman"/>
          <w:noProof/>
          <w:sz w:val="22"/>
          <w:szCs w:val="22"/>
          <w:lang w:val="en-GB"/>
        </w:rPr>
        <w:t>(Meardi</w:t>
      </w:r>
      <w:r w:rsidR="001D581E" w:rsidRPr="00B81049">
        <w:rPr>
          <w:rFonts w:cs="Times New Roman"/>
          <w:noProof/>
          <w:sz w:val="22"/>
          <w:szCs w:val="22"/>
          <w:lang w:val="en-GB"/>
        </w:rPr>
        <w:t>,</w:t>
      </w:r>
      <w:r w:rsidR="009B36EE" w:rsidRPr="00B81049">
        <w:rPr>
          <w:rFonts w:cs="Times New Roman"/>
          <w:noProof/>
          <w:sz w:val="22"/>
          <w:szCs w:val="22"/>
          <w:lang w:val="en-GB"/>
        </w:rPr>
        <w:t xml:space="preserve"> 2011</w:t>
      </w:r>
      <w:r w:rsidR="001D581E" w:rsidRPr="00B81049">
        <w:rPr>
          <w:rFonts w:cs="Times New Roman"/>
          <w:noProof/>
          <w:sz w:val="22"/>
          <w:szCs w:val="22"/>
          <w:lang w:val="en-GB"/>
        </w:rPr>
        <w:t>;</w:t>
      </w:r>
      <w:r w:rsidR="009B36EE" w:rsidRPr="00B81049">
        <w:rPr>
          <w:rFonts w:cs="Times New Roman"/>
          <w:noProof/>
          <w:sz w:val="22"/>
          <w:szCs w:val="22"/>
          <w:lang w:val="en-GB"/>
        </w:rPr>
        <w:t xml:space="preserve"> Pernicka and Glassner</w:t>
      </w:r>
      <w:r w:rsidR="001D581E" w:rsidRPr="00B81049">
        <w:rPr>
          <w:rFonts w:cs="Times New Roman"/>
          <w:noProof/>
          <w:sz w:val="22"/>
          <w:szCs w:val="22"/>
          <w:lang w:val="en-GB"/>
        </w:rPr>
        <w:t>,</w:t>
      </w:r>
      <w:r w:rsidR="009B36EE" w:rsidRPr="00B81049">
        <w:rPr>
          <w:rFonts w:cs="Times New Roman"/>
          <w:noProof/>
          <w:sz w:val="22"/>
          <w:szCs w:val="22"/>
          <w:lang w:val="en-GB"/>
        </w:rPr>
        <w:t xml:space="preserve"> 2014)</w:t>
      </w:r>
      <w:r w:rsidR="009B36EE" w:rsidRPr="00B81049">
        <w:rPr>
          <w:rFonts w:cs="Times New Roman"/>
          <w:sz w:val="22"/>
          <w:szCs w:val="22"/>
          <w:lang w:val="en-GB"/>
        </w:rPr>
        <w:t xml:space="preserve">; however, recent literature has also shown that union identity should </w:t>
      </w:r>
      <w:bookmarkStart w:id="6" w:name="_GoBack"/>
      <w:bookmarkEnd w:id="6"/>
      <w:r w:rsidR="009B36EE" w:rsidRPr="00B81049">
        <w:rPr>
          <w:rFonts w:cs="Times New Roman"/>
          <w:sz w:val="22"/>
          <w:szCs w:val="22"/>
          <w:lang w:val="en-GB"/>
        </w:rPr>
        <w:t>be included in cross-national analyses of</w:t>
      </w:r>
      <w:r w:rsidR="00E73EE3">
        <w:rPr>
          <w:rFonts w:cs="Times New Roman"/>
          <w:sz w:val="22"/>
          <w:szCs w:val="22"/>
          <w:lang w:val="en-GB"/>
        </w:rPr>
        <w:t xml:space="preserve"> </w:t>
      </w:r>
      <w:r w:rsidR="009B36EE" w:rsidRPr="00B81049">
        <w:rPr>
          <w:rFonts w:cs="Times New Roman"/>
          <w:sz w:val="22"/>
          <w:szCs w:val="22"/>
          <w:lang w:val="en-GB"/>
        </w:rPr>
        <w:t xml:space="preserve">unions’ attitudes towards the marginal workforce </w:t>
      </w:r>
      <w:r w:rsidR="009B36EE" w:rsidRPr="00B81049">
        <w:rPr>
          <w:rFonts w:cs="Times New Roman"/>
          <w:noProof/>
          <w:sz w:val="22"/>
          <w:szCs w:val="22"/>
          <w:lang w:val="en-GB"/>
        </w:rPr>
        <w:t>(Marino</w:t>
      </w:r>
      <w:r w:rsidR="009B79A3" w:rsidRPr="00B81049">
        <w:rPr>
          <w:rFonts w:cs="Times New Roman"/>
          <w:noProof/>
          <w:sz w:val="22"/>
          <w:szCs w:val="22"/>
          <w:lang w:val="en-GB"/>
        </w:rPr>
        <w:t>,</w:t>
      </w:r>
      <w:r w:rsidR="009B36EE" w:rsidRPr="00B81049">
        <w:rPr>
          <w:rFonts w:cs="Times New Roman"/>
          <w:noProof/>
          <w:sz w:val="22"/>
          <w:szCs w:val="22"/>
          <w:lang w:val="en-GB"/>
        </w:rPr>
        <w:t xml:space="preserve"> 2012</w:t>
      </w:r>
      <w:r w:rsidR="009B79A3" w:rsidRPr="00B81049">
        <w:rPr>
          <w:rFonts w:cs="Times New Roman"/>
          <w:noProof/>
          <w:sz w:val="22"/>
          <w:szCs w:val="22"/>
          <w:lang w:val="en-GB"/>
        </w:rPr>
        <w:t xml:space="preserve">; </w:t>
      </w:r>
      <w:r w:rsidR="009B36EE" w:rsidRPr="00B81049">
        <w:rPr>
          <w:rFonts w:cs="Times New Roman"/>
          <w:noProof/>
          <w:sz w:val="22"/>
          <w:szCs w:val="22"/>
          <w:lang w:val="en-GB"/>
        </w:rPr>
        <w:t>Papadopoulos</w:t>
      </w:r>
      <w:r w:rsidR="009B79A3" w:rsidRPr="00B81049">
        <w:rPr>
          <w:rFonts w:cs="Times New Roman"/>
          <w:noProof/>
          <w:sz w:val="22"/>
          <w:szCs w:val="22"/>
          <w:lang w:val="en-GB"/>
        </w:rPr>
        <w:t>,</w:t>
      </w:r>
      <w:r w:rsidR="009B36EE" w:rsidRPr="00B81049">
        <w:rPr>
          <w:rFonts w:cs="Times New Roman"/>
          <w:noProof/>
          <w:sz w:val="22"/>
          <w:szCs w:val="22"/>
          <w:lang w:val="en-GB"/>
        </w:rPr>
        <w:t xml:space="preserve"> 2014</w:t>
      </w:r>
      <w:r w:rsidR="009B79A3" w:rsidRPr="00B81049">
        <w:rPr>
          <w:rFonts w:cs="Times New Roman"/>
          <w:noProof/>
          <w:sz w:val="22"/>
          <w:szCs w:val="22"/>
          <w:lang w:val="en-GB"/>
        </w:rPr>
        <w:t>; Pulignano and Doerflinger, 2013</w:t>
      </w:r>
      <w:r w:rsidR="009B36EE" w:rsidRPr="00B81049">
        <w:rPr>
          <w:rFonts w:cs="Times New Roman"/>
          <w:noProof/>
          <w:sz w:val="22"/>
          <w:szCs w:val="22"/>
          <w:lang w:val="en-GB"/>
        </w:rPr>
        <w:t>)</w:t>
      </w:r>
      <w:r w:rsidR="009B36EE" w:rsidRPr="00B81049">
        <w:rPr>
          <w:rFonts w:cs="Times New Roman"/>
          <w:sz w:val="22"/>
          <w:szCs w:val="22"/>
          <w:lang w:val="en-GB"/>
        </w:rPr>
        <w:t>. Our findings on the relevance of working-class ideology for the Southern path corroborate the potential of this research perspective.</w:t>
      </w:r>
    </w:p>
    <w:p w:rsidR="002A4AC2" w:rsidRDefault="002A4AC2" w:rsidP="00143569">
      <w:pPr>
        <w:autoSpaceDE w:val="0"/>
        <w:autoSpaceDN w:val="0"/>
        <w:adjustRightInd w:val="0"/>
        <w:ind w:firstLine="425"/>
        <w:rPr>
          <w:rFonts w:cs="Times New Roman"/>
          <w:sz w:val="22"/>
          <w:szCs w:val="22"/>
          <w:lang w:val="en-GB"/>
        </w:rPr>
      </w:pPr>
    </w:p>
    <w:p w:rsidR="002A4AC2" w:rsidRDefault="002A4AC2" w:rsidP="00143569">
      <w:pPr>
        <w:autoSpaceDE w:val="0"/>
        <w:autoSpaceDN w:val="0"/>
        <w:adjustRightInd w:val="0"/>
        <w:ind w:firstLine="425"/>
        <w:rPr>
          <w:rFonts w:cs="Times New Roman"/>
          <w:sz w:val="22"/>
          <w:szCs w:val="22"/>
          <w:lang w:val="en-GB"/>
        </w:rPr>
      </w:pPr>
    </w:p>
    <w:p w:rsidR="002A4AC2" w:rsidRDefault="002A4AC2" w:rsidP="002A4AC2">
      <w:pPr>
        <w:rPr>
          <w:rFonts w:ascii="Arial" w:hAnsi="Arial" w:cs="Arial"/>
          <w:b/>
          <w:szCs w:val="22"/>
        </w:rPr>
      </w:pPr>
      <w:r>
        <w:rPr>
          <w:rFonts w:ascii="Arial" w:hAnsi="Arial" w:cs="Arial"/>
          <w:b/>
          <w:szCs w:val="22"/>
        </w:rPr>
        <w:t>Funding</w:t>
      </w:r>
    </w:p>
    <w:p w:rsidR="002A4AC2" w:rsidRDefault="002A4AC2" w:rsidP="002A4AC2">
      <w:pPr>
        <w:rPr>
          <w:rFonts w:ascii="Arial" w:hAnsi="Arial" w:cs="Arial"/>
          <w:b/>
          <w:szCs w:val="22"/>
        </w:rPr>
      </w:pPr>
    </w:p>
    <w:p w:rsidR="002A4AC2" w:rsidRDefault="002A4AC2" w:rsidP="002A4AC2">
      <w:pPr>
        <w:rPr>
          <w:rFonts w:ascii="Arial" w:hAnsi="Arial" w:cs="Arial"/>
          <w:b/>
          <w:szCs w:val="22"/>
        </w:rPr>
      </w:pPr>
    </w:p>
    <w:p w:rsidR="002A4AC2" w:rsidRPr="00143569" w:rsidRDefault="002A4AC2" w:rsidP="002A4AC2">
      <w:pPr>
        <w:rPr>
          <w:rFonts w:ascii="Arial" w:hAnsi="Arial" w:cs="Arial"/>
          <w:b/>
          <w:szCs w:val="22"/>
        </w:rPr>
      </w:pPr>
      <w:r w:rsidRPr="00143569">
        <w:rPr>
          <w:rFonts w:ascii="Arial" w:hAnsi="Arial" w:cs="Arial"/>
          <w:b/>
          <w:szCs w:val="22"/>
        </w:rPr>
        <w:t>References</w:t>
      </w:r>
    </w:p>
    <w:p w:rsidR="002A4AC2" w:rsidRPr="0086618E" w:rsidRDefault="002A4AC2" w:rsidP="002A4AC2">
      <w:pPr>
        <w:rPr>
          <w:rFonts w:cs="Times New Roman"/>
          <w:b/>
          <w:szCs w:val="22"/>
        </w:rPr>
      </w:pP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Accornero A (1992) </w:t>
      </w:r>
      <w:r w:rsidRPr="00B81049">
        <w:rPr>
          <w:i/>
          <w:color w:val="auto"/>
          <w:sz w:val="22"/>
          <w:szCs w:val="22"/>
          <w:lang w:val="fr-BE"/>
        </w:rPr>
        <w:t xml:space="preserve">La parabola del sindacato: Ascesa e declino di una cultura. </w:t>
      </w:r>
      <w:r w:rsidRPr="00B81049">
        <w:rPr>
          <w:color w:val="auto"/>
          <w:sz w:val="22"/>
          <w:szCs w:val="22"/>
        </w:rPr>
        <w:t>Bologna</w:t>
      </w:r>
      <w:r w:rsidR="005B7C0F">
        <w:rPr>
          <w:color w:val="auto"/>
          <w:sz w:val="22"/>
          <w:szCs w:val="22"/>
        </w:rPr>
        <w:t>:</w:t>
      </w:r>
      <w:r w:rsidRPr="00B81049">
        <w:rPr>
          <w:color w:val="auto"/>
          <w:sz w:val="22"/>
          <w:szCs w:val="22"/>
        </w:rPr>
        <w:t xml:space="preserve"> Il Mulino.</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Ahlberg K, Bercusson B and Bruun N (2008) </w:t>
      </w:r>
      <w:r w:rsidRPr="00B81049">
        <w:rPr>
          <w:i/>
          <w:color w:val="auto"/>
          <w:sz w:val="22"/>
          <w:szCs w:val="22"/>
        </w:rPr>
        <w:t>Transnational Labour Regulation. A Case study of Temporary Agency Work.</w:t>
      </w:r>
      <w:r w:rsidRPr="00B81049">
        <w:rPr>
          <w:color w:val="auto"/>
          <w:sz w:val="22"/>
          <w:szCs w:val="22"/>
        </w:rPr>
        <w:t xml:space="preserve"> Brussels</w:t>
      </w:r>
      <w:r>
        <w:rPr>
          <w:color w:val="auto"/>
          <w:sz w:val="22"/>
          <w:szCs w:val="22"/>
        </w:rPr>
        <w:t>:</w:t>
      </w:r>
      <w:r w:rsidRPr="00B81049">
        <w:rPr>
          <w:color w:val="auto"/>
          <w:sz w:val="22"/>
          <w:szCs w:val="22"/>
        </w:rPr>
        <w:t xml:space="preserve"> Peter Lang.</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Arrowsmith, J (2009) Temporary Agency Work and Collective Bargaining in the EU. Dublin</w:t>
      </w:r>
      <w:r>
        <w:rPr>
          <w:color w:val="auto"/>
          <w:sz w:val="22"/>
          <w:szCs w:val="22"/>
        </w:rPr>
        <w:t>:</w:t>
      </w:r>
      <w:r w:rsidRPr="00B81049">
        <w:rPr>
          <w:i/>
          <w:color w:val="auto"/>
          <w:sz w:val="22"/>
          <w:szCs w:val="22"/>
        </w:rPr>
        <w:t xml:space="preserve"> </w:t>
      </w:r>
      <w:r w:rsidRPr="00143569">
        <w:rPr>
          <w:color w:val="auto"/>
          <w:sz w:val="22"/>
          <w:szCs w:val="22"/>
        </w:rPr>
        <w:t>European Foundation</w:t>
      </w:r>
      <w:r w:rsidRPr="00B81049">
        <w:rPr>
          <w:color w:val="auto"/>
          <w:sz w:val="22"/>
          <w:szCs w:val="22"/>
        </w:rPr>
        <w:t>.</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Avdagic S (2010) When Are Concerted Reforms Feasible? Explaining the Emergence of Social Pacts in Western Europe. </w:t>
      </w:r>
      <w:r w:rsidRPr="00B81049">
        <w:rPr>
          <w:i/>
          <w:color w:val="auto"/>
          <w:sz w:val="22"/>
          <w:szCs w:val="22"/>
        </w:rPr>
        <w:t>Comparative Political Studies</w:t>
      </w:r>
      <w:r w:rsidRPr="00B81049">
        <w:rPr>
          <w:color w:val="auto"/>
          <w:sz w:val="22"/>
          <w:szCs w:val="22"/>
        </w:rPr>
        <w:t xml:space="preserve"> 43(5): 628-657.</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Benassi C and Dorigatti L (2014) Straight to the Core: the IG Metall Campaign towards Agency Workers. </w:t>
      </w:r>
      <w:r w:rsidRPr="00B81049">
        <w:rPr>
          <w:i/>
          <w:color w:val="auto"/>
          <w:sz w:val="22"/>
          <w:szCs w:val="22"/>
        </w:rPr>
        <w:t>British Journal of Industrial Relations</w:t>
      </w:r>
      <w:r w:rsidRPr="00B81049">
        <w:rPr>
          <w:color w:val="auto"/>
          <w:sz w:val="22"/>
          <w:szCs w:val="22"/>
        </w:rPr>
        <w:t xml:space="preserve"> </w:t>
      </w:r>
      <w:r>
        <w:rPr>
          <w:color w:val="auto"/>
          <w:sz w:val="22"/>
          <w:szCs w:val="22"/>
        </w:rPr>
        <w:t>doi</w:t>
      </w:r>
      <w:r w:rsidRPr="00143569">
        <w:rPr>
          <w:color w:val="000000" w:themeColor="text1"/>
          <w:sz w:val="22"/>
          <w:szCs w:val="22"/>
        </w:rPr>
        <w:t>: 10.1111/bjir.12079</w:t>
      </w:r>
      <w:r w:rsidRPr="00B81049">
        <w:rPr>
          <w:color w:val="auto"/>
          <w:sz w:val="22"/>
          <w:szCs w:val="22"/>
        </w:rPr>
        <w:t>.</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Bentolila S, Dolado J and Jimeno F (2012) The Spanish labour market: A very costly insider-outsider divide. </w:t>
      </w:r>
      <w:r w:rsidRPr="004C2BD1">
        <w:rPr>
          <w:rFonts w:eastAsia="Calibri"/>
          <w:color w:val="000000" w:themeColor="text1"/>
          <w:sz w:val="22"/>
          <w:szCs w:val="22"/>
        </w:rPr>
        <w:t>http://www.voxeu.org/article/jobless-spain-what-can-be-done-about-insider-outsider-divide.</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Berton F, Richiardi M and Sacchi S (2012) </w:t>
      </w:r>
      <w:r w:rsidRPr="00B81049">
        <w:rPr>
          <w:i/>
          <w:color w:val="auto"/>
          <w:sz w:val="22"/>
          <w:szCs w:val="22"/>
        </w:rPr>
        <w:t>The political economy of work security and flexibility: Italy in comparative perspective</w:t>
      </w:r>
      <w:r w:rsidRPr="00B81049">
        <w:rPr>
          <w:color w:val="auto"/>
          <w:sz w:val="22"/>
          <w:szCs w:val="22"/>
        </w:rPr>
        <w:t>. Chicago</w:t>
      </w:r>
      <w:r>
        <w:rPr>
          <w:color w:val="auto"/>
          <w:sz w:val="22"/>
          <w:szCs w:val="22"/>
        </w:rPr>
        <w:t>:</w:t>
      </w:r>
      <w:r w:rsidRPr="00B81049">
        <w:rPr>
          <w:color w:val="auto"/>
          <w:sz w:val="22"/>
          <w:szCs w:val="22"/>
        </w:rPr>
        <w:t xml:space="preserve"> Policy Press.</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Bosch G, Mayhew K and Gautié J (2010) Industrial Relations, Legal Regulations and Wage Setting. </w:t>
      </w:r>
      <w:r w:rsidRPr="00B81049">
        <w:rPr>
          <w:i/>
          <w:color w:val="auto"/>
          <w:sz w:val="22"/>
          <w:szCs w:val="22"/>
        </w:rPr>
        <w:t>Low Wage in the Wealthy Work</w:t>
      </w:r>
      <w:r w:rsidRPr="00B81049">
        <w:rPr>
          <w:color w:val="auto"/>
          <w:sz w:val="22"/>
          <w:szCs w:val="22"/>
        </w:rPr>
        <w:t>. J. Gautié and J. Schmitt. New York</w:t>
      </w:r>
      <w:r>
        <w:rPr>
          <w:color w:val="auto"/>
          <w:sz w:val="22"/>
          <w:szCs w:val="22"/>
        </w:rPr>
        <w:t>:</w:t>
      </w:r>
      <w:r w:rsidRPr="00B81049">
        <w:rPr>
          <w:color w:val="auto"/>
          <w:sz w:val="22"/>
          <w:szCs w:val="22"/>
        </w:rPr>
        <w:t xml:space="preserve"> Russel</w:t>
      </w:r>
      <w:r>
        <w:rPr>
          <w:color w:val="auto"/>
          <w:sz w:val="22"/>
          <w:szCs w:val="22"/>
        </w:rPr>
        <w:t>l</w:t>
      </w:r>
      <w:r w:rsidRPr="00B81049">
        <w:rPr>
          <w:color w:val="auto"/>
          <w:sz w:val="22"/>
          <w:szCs w:val="22"/>
        </w:rPr>
        <w:t xml:space="preserve"> Sage </w:t>
      </w:r>
      <w:r>
        <w:rPr>
          <w:color w:val="auto"/>
          <w:sz w:val="22"/>
          <w:szCs w:val="22"/>
        </w:rPr>
        <w:t>Foundation,</w:t>
      </w:r>
      <w:r w:rsidRPr="00B81049">
        <w:rPr>
          <w:b/>
          <w:color w:val="auto"/>
          <w:sz w:val="22"/>
          <w:szCs w:val="22"/>
        </w:rPr>
        <w:t xml:space="preserve"> </w:t>
      </w:r>
      <w:r w:rsidRPr="00143569">
        <w:rPr>
          <w:color w:val="auto"/>
          <w:sz w:val="22"/>
          <w:szCs w:val="22"/>
        </w:rPr>
        <w:t>pp.</w:t>
      </w:r>
      <w:r>
        <w:rPr>
          <w:b/>
          <w:color w:val="auto"/>
          <w:sz w:val="22"/>
          <w:szCs w:val="22"/>
        </w:rPr>
        <w:t xml:space="preserve"> </w:t>
      </w:r>
      <w:r w:rsidRPr="00B81049">
        <w:rPr>
          <w:color w:val="auto"/>
          <w:sz w:val="22"/>
          <w:szCs w:val="22"/>
        </w:rPr>
        <w:t>91-146.</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Burroni L and Pedaci M (2014) Collective bargaining, atypical employment and welfare provisions: The case of temporary agency work in Italy. </w:t>
      </w:r>
      <w:r w:rsidRPr="00B81049">
        <w:rPr>
          <w:i/>
          <w:color w:val="auto"/>
          <w:sz w:val="22"/>
          <w:szCs w:val="22"/>
        </w:rPr>
        <w:t>Stato e mercato</w:t>
      </w:r>
      <w:r w:rsidRPr="00B81049">
        <w:rPr>
          <w:color w:val="auto"/>
          <w:sz w:val="22"/>
          <w:szCs w:val="22"/>
        </w:rPr>
        <w:t xml:space="preserve"> 34(2): 169-194.</w:t>
      </w:r>
    </w:p>
    <w:p w:rsidR="002A4AC2" w:rsidRPr="00B81049" w:rsidRDefault="002A4AC2" w:rsidP="002A4AC2">
      <w:pPr>
        <w:pStyle w:val="EndNoteBibliography"/>
        <w:ind w:left="720" w:hanging="720"/>
        <w:jc w:val="left"/>
        <w:rPr>
          <w:color w:val="auto"/>
          <w:sz w:val="22"/>
          <w:szCs w:val="22"/>
        </w:rPr>
      </w:pPr>
      <w:r>
        <w:rPr>
          <w:color w:val="auto"/>
          <w:sz w:val="22"/>
          <w:szCs w:val="22"/>
          <w:lang w:val="en-GB"/>
        </w:rPr>
        <w:t>Chaidron, A</w:t>
      </w:r>
      <w:r w:rsidRPr="00B81049">
        <w:rPr>
          <w:color w:val="auto"/>
          <w:sz w:val="22"/>
          <w:szCs w:val="22"/>
          <w:lang w:val="en-GB"/>
        </w:rPr>
        <w:t xml:space="preserve"> (2003) </w:t>
      </w:r>
      <w:r w:rsidRPr="00B81049">
        <w:rPr>
          <w:i/>
          <w:color w:val="auto"/>
          <w:sz w:val="22"/>
          <w:szCs w:val="22"/>
        </w:rPr>
        <w:t>Institutional Representativeness of trade unions and employers’organisations in the temporary agency work sector</w:t>
      </w:r>
      <w:r w:rsidRPr="00B81049">
        <w:rPr>
          <w:color w:val="auto"/>
          <w:sz w:val="22"/>
          <w:szCs w:val="22"/>
        </w:rPr>
        <w:t xml:space="preserve">. </w:t>
      </w:r>
      <w:r>
        <w:rPr>
          <w:color w:val="auto"/>
          <w:sz w:val="22"/>
          <w:szCs w:val="22"/>
        </w:rPr>
        <w:t xml:space="preserve">Louvain-la-Neuve: </w:t>
      </w:r>
      <w:r w:rsidRPr="00B81049">
        <w:rPr>
          <w:color w:val="auto"/>
          <w:sz w:val="22"/>
          <w:szCs w:val="22"/>
          <w:lang w:val="en-GB"/>
        </w:rPr>
        <w:t>Institut des sciences du travail</w:t>
      </w:r>
      <w:r w:rsidRPr="00B81049">
        <w:rPr>
          <w:color w:val="auto"/>
          <w:sz w:val="22"/>
          <w:szCs w:val="22"/>
        </w:rPr>
        <w:t>.</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Clegg D (2012) Solidarity or Dualization? Social Governance, Union Preferences, and Unemployment Benefit Adjustment in Belgium and France. In: Emmenegger P, Hausermann S,</w:t>
      </w:r>
      <w:r w:rsidR="00E73EE3">
        <w:rPr>
          <w:color w:val="auto"/>
          <w:sz w:val="22"/>
          <w:szCs w:val="22"/>
        </w:rPr>
        <w:t xml:space="preserve"> </w:t>
      </w:r>
      <w:r w:rsidRPr="00B81049">
        <w:rPr>
          <w:color w:val="auto"/>
          <w:sz w:val="22"/>
          <w:szCs w:val="22"/>
        </w:rPr>
        <w:t xml:space="preserve">Palier B and Seelaib-Kaiser M (eds) </w:t>
      </w:r>
      <w:r w:rsidRPr="00143569">
        <w:rPr>
          <w:i/>
          <w:color w:val="auto"/>
          <w:sz w:val="22"/>
          <w:szCs w:val="22"/>
        </w:rPr>
        <w:t>The Age of Dualization: The Changing Face of Inequality in Deindustrializing Societies.</w:t>
      </w:r>
      <w:r w:rsidRPr="00B81049">
        <w:rPr>
          <w:color w:val="auto"/>
          <w:sz w:val="22"/>
          <w:szCs w:val="22"/>
        </w:rPr>
        <w:t xml:space="preserve"> Oxford</w:t>
      </w:r>
      <w:r>
        <w:rPr>
          <w:color w:val="auto"/>
          <w:sz w:val="22"/>
          <w:szCs w:val="22"/>
        </w:rPr>
        <w:t>:</w:t>
      </w:r>
      <w:r w:rsidRPr="00B81049">
        <w:rPr>
          <w:color w:val="auto"/>
          <w:sz w:val="22"/>
          <w:szCs w:val="22"/>
        </w:rPr>
        <w:t xml:space="preserve"> Oxford University Press</w:t>
      </w:r>
      <w:r>
        <w:rPr>
          <w:color w:val="auto"/>
          <w:sz w:val="22"/>
          <w:szCs w:val="22"/>
        </w:rPr>
        <w:t>, pp.</w:t>
      </w:r>
      <w:r w:rsidRPr="00B81049">
        <w:rPr>
          <w:b/>
          <w:color w:val="auto"/>
          <w:sz w:val="22"/>
          <w:szCs w:val="22"/>
        </w:rPr>
        <w:t xml:space="preserve"> </w:t>
      </w:r>
      <w:r w:rsidRPr="00B81049">
        <w:rPr>
          <w:color w:val="auto"/>
          <w:sz w:val="22"/>
          <w:szCs w:val="22"/>
        </w:rPr>
        <w:t>34-54.</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Connolly H, Marino S and </w:t>
      </w:r>
      <w:r>
        <w:rPr>
          <w:color w:val="auto"/>
          <w:sz w:val="22"/>
          <w:szCs w:val="22"/>
        </w:rPr>
        <w:t xml:space="preserve">Martínez Lucio </w:t>
      </w:r>
      <w:r w:rsidRPr="00B81049">
        <w:rPr>
          <w:color w:val="auto"/>
          <w:sz w:val="22"/>
          <w:szCs w:val="22"/>
        </w:rPr>
        <w:t xml:space="preserve">M (2014) Trade union renewal and the challenges of representation: Strategies towards migrant and ethnic minority workers in the Netherlands, Spain and the United Kingdom. </w:t>
      </w:r>
      <w:r w:rsidRPr="00B81049">
        <w:rPr>
          <w:i/>
          <w:color w:val="auto"/>
          <w:sz w:val="22"/>
          <w:szCs w:val="22"/>
        </w:rPr>
        <w:t>European Journal of Industrial Relations</w:t>
      </w:r>
      <w:r w:rsidRPr="00B81049">
        <w:rPr>
          <w:color w:val="auto"/>
          <w:sz w:val="22"/>
          <w:szCs w:val="22"/>
        </w:rPr>
        <w:t xml:space="preserve"> 20(1): 5-20.</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Doellgast V and Benassi C (2014). Collective bargaining. In: Wilkinson A, Donaghey J, Dundon T and Freeman R B (eds) </w:t>
      </w:r>
      <w:r w:rsidRPr="00B81049">
        <w:rPr>
          <w:i/>
          <w:color w:val="auto"/>
          <w:sz w:val="22"/>
          <w:szCs w:val="22"/>
        </w:rPr>
        <w:t>Handbook of Research on Employee Voice</w:t>
      </w:r>
      <w:r w:rsidRPr="00B81049">
        <w:rPr>
          <w:color w:val="auto"/>
          <w:sz w:val="22"/>
          <w:szCs w:val="22"/>
        </w:rPr>
        <w:t>.</w:t>
      </w:r>
      <w:r>
        <w:rPr>
          <w:color w:val="auto"/>
          <w:sz w:val="22"/>
          <w:szCs w:val="22"/>
        </w:rPr>
        <w:t xml:space="preserve"> Cheltenham:</w:t>
      </w:r>
      <w:r w:rsidRPr="00B81049">
        <w:rPr>
          <w:color w:val="auto"/>
          <w:sz w:val="22"/>
          <w:szCs w:val="22"/>
        </w:rPr>
        <w:t xml:space="preserve"> Edward Elgar</w:t>
      </w:r>
      <w:r>
        <w:rPr>
          <w:color w:val="auto"/>
          <w:sz w:val="22"/>
          <w:szCs w:val="22"/>
        </w:rPr>
        <w:t>, pp.</w:t>
      </w:r>
      <w:r w:rsidRPr="00B81049">
        <w:rPr>
          <w:b/>
          <w:color w:val="auto"/>
          <w:sz w:val="22"/>
          <w:szCs w:val="22"/>
        </w:rPr>
        <w:t xml:space="preserve"> </w:t>
      </w:r>
      <w:r w:rsidRPr="00B81049">
        <w:rPr>
          <w:color w:val="auto"/>
          <w:sz w:val="22"/>
          <w:szCs w:val="22"/>
        </w:rPr>
        <w:t>227-246.</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Durazzi N (2013) Inclusive unions in a dualised labour market? Explaining unions’ strategies towards temporary agency workers in Italy. </w:t>
      </w:r>
      <w:r>
        <w:rPr>
          <w:color w:val="auto"/>
          <w:sz w:val="22"/>
          <w:szCs w:val="22"/>
        </w:rPr>
        <w:t>MSc</w:t>
      </w:r>
      <w:r w:rsidRPr="004C2BD1">
        <w:rPr>
          <w:color w:val="auto"/>
          <w:sz w:val="22"/>
          <w:szCs w:val="22"/>
        </w:rPr>
        <w:t xml:space="preserve"> thesis</w:t>
      </w:r>
      <w:r>
        <w:rPr>
          <w:color w:val="auto"/>
          <w:sz w:val="22"/>
          <w:szCs w:val="22"/>
        </w:rPr>
        <w:t>,</w:t>
      </w:r>
      <w:r w:rsidRPr="004C2BD1">
        <w:rPr>
          <w:color w:val="auto"/>
          <w:sz w:val="22"/>
          <w:szCs w:val="22"/>
        </w:rPr>
        <w:t xml:space="preserve"> European Institute, London School of Economics and Political Science</w:t>
      </w:r>
      <w:r w:rsidRPr="00B81049">
        <w:rPr>
          <w:i/>
          <w:color w:val="auto"/>
          <w:sz w:val="22"/>
          <w:szCs w:val="22"/>
        </w:rPr>
        <w:t>.</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Ebbinghaus B (2002) Globalization and trade unions: a comparative-historical examination of the convergence thesis. </w:t>
      </w:r>
      <w:r w:rsidRPr="00B81049">
        <w:rPr>
          <w:i/>
          <w:color w:val="auto"/>
          <w:sz w:val="22"/>
          <w:szCs w:val="22"/>
        </w:rPr>
        <w:t xml:space="preserve">Économie Appliquée </w:t>
      </w:r>
      <w:r w:rsidRPr="00B81049">
        <w:rPr>
          <w:color w:val="auto"/>
          <w:sz w:val="22"/>
          <w:szCs w:val="22"/>
        </w:rPr>
        <w:t>55(2): 121-139.</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Ebbinghaus B, Goebel C and Koos S (2008). Mitgliedschaft in Gewerkschaften: Inklusions- und Exklusionstendenzen in der Organisation von Arbeitnehmerinteressen in Europa. </w:t>
      </w:r>
      <w:r w:rsidRPr="004C2BD1">
        <w:rPr>
          <w:color w:val="auto"/>
          <w:sz w:val="22"/>
          <w:szCs w:val="22"/>
        </w:rPr>
        <w:t>Working Paper 111.</w:t>
      </w:r>
      <w:r w:rsidRPr="00B81049">
        <w:rPr>
          <w:color w:val="auto"/>
          <w:sz w:val="22"/>
          <w:szCs w:val="22"/>
        </w:rPr>
        <w:t xml:space="preserve"> </w:t>
      </w:r>
      <w:r w:rsidRPr="004C2BD1">
        <w:rPr>
          <w:rFonts w:eastAsia="Calibri"/>
          <w:color w:val="000000" w:themeColor="text1"/>
          <w:sz w:val="22"/>
          <w:szCs w:val="22"/>
        </w:rPr>
        <w:t>http://www.mzes.uni-mannheim.de/publications/wp/wp-111.pdf</w:t>
      </w:r>
      <w:r w:rsidRPr="004C2BD1">
        <w:rPr>
          <w:color w:val="000000" w:themeColor="text1"/>
          <w:sz w:val="22"/>
          <w:szCs w:val="22"/>
        </w:rPr>
        <w:t xml:space="preserve">. </w:t>
      </w:r>
      <w:r w:rsidRPr="00B81049">
        <w:rPr>
          <w:color w:val="auto"/>
          <w:sz w:val="22"/>
          <w:szCs w:val="22"/>
        </w:rPr>
        <w:tab/>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Frege C and Kelly J (2003) Union Revitalization Strategies in Comparative Perspective. </w:t>
      </w:r>
      <w:r w:rsidRPr="00B81049">
        <w:rPr>
          <w:i/>
          <w:color w:val="auto"/>
          <w:sz w:val="22"/>
          <w:szCs w:val="22"/>
        </w:rPr>
        <w:t>European Journal of Industrial Relations</w:t>
      </w:r>
      <w:r w:rsidRPr="00B81049">
        <w:rPr>
          <w:color w:val="auto"/>
          <w:sz w:val="22"/>
          <w:szCs w:val="22"/>
        </w:rPr>
        <w:t xml:space="preserve"> 9(1): 7-24.</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Gordon J C (2014) Protecting the unemployed: varieties of unionism and the evolution of unemployment benefits and active labor market policy in the rich democracies. </w:t>
      </w:r>
      <w:r w:rsidRPr="00B81049">
        <w:rPr>
          <w:i/>
          <w:color w:val="auto"/>
          <w:sz w:val="22"/>
          <w:szCs w:val="22"/>
        </w:rPr>
        <w:t>Socio-Economic Review</w:t>
      </w:r>
      <w:r w:rsidRPr="00B81049">
        <w:rPr>
          <w:color w:val="auto"/>
          <w:sz w:val="22"/>
          <w:szCs w:val="22"/>
        </w:rPr>
        <w:t xml:space="preserve"> </w:t>
      </w:r>
      <w:r w:rsidRPr="004C2BD1">
        <w:rPr>
          <w:rStyle w:val="st1"/>
          <w:color w:val="000000" w:themeColor="text1"/>
          <w:sz w:val="22"/>
          <w:szCs w:val="22"/>
        </w:rPr>
        <w:t>doi: 10.1093/ser/mwu029</w:t>
      </w:r>
      <w:r w:rsidRPr="00B81049">
        <w:rPr>
          <w:color w:val="auto"/>
          <w:sz w:val="22"/>
          <w:szCs w:val="22"/>
        </w:rPr>
        <w:t>.</w:t>
      </w:r>
      <w:r w:rsidRPr="00B81049">
        <w:rPr>
          <w:color w:val="auto"/>
          <w:sz w:val="22"/>
          <w:szCs w:val="22"/>
        </w:rPr>
        <w:tab/>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Greer I (2008) Social Movement Unionism and Social Partnership in Germany. </w:t>
      </w:r>
      <w:r w:rsidRPr="00B81049">
        <w:rPr>
          <w:i/>
          <w:color w:val="auto"/>
          <w:sz w:val="22"/>
          <w:szCs w:val="22"/>
        </w:rPr>
        <w:t>Industrial Relations</w:t>
      </w:r>
      <w:r w:rsidRPr="00B81049">
        <w:rPr>
          <w:color w:val="auto"/>
          <w:sz w:val="22"/>
          <w:szCs w:val="22"/>
        </w:rPr>
        <w:t xml:space="preserve"> 47(4): 602</w:t>
      </w:r>
      <w:r>
        <w:rPr>
          <w:color w:val="auto"/>
          <w:sz w:val="22"/>
          <w:szCs w:val="22"/>
        </w:rPr>
        <w:t>-</w:t>
      </w:r>
      <w:r w:rsidRPr="00B81049">
        <w:rPr>
          <w:color w:val="auto"/>
          <w:sz w:val="22"/>
          <w:szCs w:val="22"/>
        </w:rPr>
        <w:t>624.</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Gumbrell-McCormick R (2011) European Trade Unions and ‘Atypical’ Workers. </w:t>
      </w:r>
      <w:r w:rsidRPr="00B81049">
        <w:rPr>
          <w:i/>
          <w:color w:val="auto"/>
          <w:sz w:val="22"/>
          <w:szCs w:val="22"/>
        </w:rPr>
        <w:t>Industrial Relations Journal</w:t>
      </w:r>
      <w:r w:rsidRPr="00B81049">
        <w:rPr>
          <w:color w:val="auto"/>
          <w:sz w:val="22"/>
          <w:szCs w:val="22"/>
        </w:rPr>
        <w:t xml:space="preserve"> 42(3): 293-310.</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Gumbrell-McCormick, R. and R. Hyman (2013). Mapping the Terrain: Varieties of Industrial Relations and Trade Unionism. In: Gumbrell-McCormick R and Hyman R</w:t>
      </w:r>
      <w:r w:rsidRPr="00B81049">
        <w:rPr>
          <w:i/>
          <w:color w:val="auto"/>
          <w:sz w:val="22"/>
          <w:szCs w:val="22"/>
        </w:rPr>
        <w:t xml:space="preserve"> </w:t>
      </w:r>
      <w:r w:rsidRPr="00B81049">
        <w:rPr>
          <w:color w:val="auto"/>
          <w:sz w:val="22"/>
          <w:szCs w:val="22"/>
        </w:rPr>
        <w:t xml:space="preserve">(eds) </w:t>
      </w:r>
      <w:r w:rsidRPr="00B81049">
        <w:rPr>
          <w:i/>
          <w:color w:val="auto"/>
          <w:sz w:val="22"/>
          <w:szCs w:val="22"/>
        </w:rPr>
        <w:t>Trade unions in western Europe: Hard times, hard choices</w:t>
      </w:r>
      <w:r w:rsidRPr="00B81049">
        <w:rPr>
          <w:color w:val="auto"/>
          <w:sz w:val="22"/>
          <w:szCs w:val="22"/>
        </w:rPr>
        <w:t>. Oxford, Oxford University Press</w:t>
      </w:r>
      <w:r w:rsidRPr="00B81049">
        <w:rPr>
          <w:b/>
          <w:color w:val="auto"/>
          <w:sz w:val="22"/>
          <w:szCs w:val="22"/>
        </w:rPr>
        <w:t xml:space="preserve">, </w:t>
      </w:r>
      <w:r w:rsidRPr="00B81049">
        <w:rPr>
          <w:color w:val="auto"/>
          <w:sz w:val="22"/>
          <w:szCs w:val="22"/>
        </w:rPr>
        <w:t>pp</w:t>
      </w:r>
      <w:r w:rsidRPr="00B81049">
        <w:rPr>
          <w:b/>
          <w:color w:val="auto"/>
          <w:sz w:val="22"/>
          <w:szCs w:val="22"/>
        </w:rPr>
        <w:t xml:space="preserve"> </w:t>
      </w:r>
      <w:r w:rsidRPr="00B81049">
        <w:rPr>
          <w:color w:val="auto"/>
          <w:sz w:val="22"/>
          <w:szCs w:val="22"/>
        </w:rPr>
        <w:t>2-29.</w:t>
      </w:r>
    </w:p>
    <w:p w:rsidR="002A4AC2" w:rsidRPr="004C2BD1" w:rsidRDefault="002A4AC2" w:rsidP="002A4AC2">
      <w:pPr>
        <w:pStyle w:val="EndNoteBibliography"/>
        <w:ind w:left="720" w:hanging="720"/>
        <w:jc w:val="left"/>
        <w:rPr>
          <w:color w:val="000000" w:themeColor="text1"/>
          <w:sz w:val="22"/>
          <w:szCs w:val="22"/>
        </w:rPr>
      </w:pPr>
      <w:r w:rsidRPr="004C2BD1">
        <w:rPr>
          <w:color w:val="000000" w:themeColor="text1"/>
          <w:sz w:val="22"/>
          <w:szCs w:val="22"/>
        </w:rPr>
        <w:t>Håkansson K,</w:t>
      </w:r>
      <w:r w:rsidRPr="004C2BD1">
        <w:rPr>
          <w:rFonts w:eastAsiaTheme="minorHAnsi"/>
          <w:color w:val="000000" w:themeColor="text1"/>
          <w:sz w:val="22"/>
          <w:szCs w:val="22"/>
          <w:lang w:val="it-IT" w:eastAsia="en-US" w:bidi="ar-SA"/>
        </w:rPr>
        <w:t xml:space="preserve"> Isidorsson T, Pond R, Sol E, Teissier C, Unterschütz J and Warneck</w:t>
      </w:r>
      <w:r w:rsidRPr="004C2BD1">
        <w:rPr>
          <w:color w:val="000000" w:themeColor="text1"/>
          <w:sz w:val="22"/>
          <w:szCs w:val="22"/>
        </w:rPr>
        <w:t xml:space="preserve"> </w:t>
      </w:r>
      <w:r w:rsidRPr="004C2BD1">
        <w:rPr>
          <w:rFonts w:eastAsiaTheme="minorHAnsi"/>
          <w:color w:val="000000" w:themeColor="text1"/>
          <w:sz w:val="22"/>
          <w:szCs w:val="22"/>
          <w:lang w:val="it-IT" w:eastAsia="en-US" w:bidi="ar-SA"/>
        </w:rPr>
        <w:t xml:space="preserve">F </w:t>
      </w:r>
      <w:r w:rsidRPr="004C2BD1">
        <w:rPr>
          <w:color w:val="000000" w:themeColor="text1"/>
          <w:sz w:val="22"/>
          <w:szCs w:val="22"/>
        </w:rPr>
        <w:t xml:space="preserve">(2009) The representation of agency workers in Europe at national and local level in France, Netherlands, Sweden, Poland and the UK. http://www.gu.se/digitalAssets/1272/1272408_Short_summary_RAW_Eng_090225.pdf. </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Hassel A (2014) The Paradox of Liberalization</w:t>
      </w:r>
      <w:r>
        <w:rPr>
          <w:color w:val="auto"/>
          <w:sz w:val="22"/>
          <w:szCs w:val="22"/>
        </w:rPr>
        <w:t>:</w:t>
      </w:r>
      <w:r w:rsidRPr="00B81049">
        <w:rPr>
          <w:color w:val="auto"/>
          <w:sz w:val="22"/>
          <w:szCs w:val="22"/>
        </w:rPr>
        <w:t xml:space="preserve"> Understanding Dualism and the Recovery of the German Political Economy. </w:t>
      </w:r>
      <w:r w:rsidRPr="00B81049">
        <w:rPr>
          <w:i/>
          <w:color w:val="auto"/>
          <w:sz w:val="22"/>
          <w:szCs w:val="22"/>
        </w:rPr>
        <w:t>British Journal of Industrial Relations</w:t>
      </w:r>
      <w:r w:rsidRPr="00B81049">
        <w:rPr>
          <w:color w:val="auto"/>
          <w:sz w:val="22"/>
          <w:szCs w:val="22"/>
        </w:rPr>
        <w:t xml:space="preserve"> 52(1): 57-81.</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Heery E (2009) Trade Unions and Contingent Labour: Scale and Method. </w:t>
      </w:r>
      <w:r w:rsidRPr="00B81049">
        <w:rPr>
          <w:i/>
          <w:color w:val="auto"/>
          <w:sz w:val="22"/>
          <w:szCs w:val="22"/>
        </w:rPr>
        <w:t>Cambridge Journal of Regions, Economy and Society</w:t>
      </w:r>
      <w:r w:rsidRPr="00B81049">
        <w:rPr>
          <w:color w:val="auto"/>
          <w:sz w:val="22"/>
          <w:szCs w:val="22"/>
          <w:u w:val="single"/>
        </w:rPr>
        <w:t xml:space="preserve"> </w:t>
      </w:r>
      <w:r w:rsidRPr="00B81049">
        <w:rPr>
          <w:color w:val="auto"/>
          <w:sz w:val="22"/>
          <w:szCs w:val="22"/>
        </w:rPr>
        <w:t>2(3): 429-442.</w:t>
      </w:r>
    </w:p>
    <w:p w:rsidR="002A4AC2" w:rsidRPr="00B81049" w:rsidRDefault="002A4AC2" w:rsidP="002A4AC2">
      <w:pPr>
        <w:pStyle w:val="EndNoteBibliography"/>
        <w:ind w:left="709" w:hanging="709"/>
        <w:jc w:val="left"/>
        <w:rPr>
          <w:color w:val="auto"/>
          <w:sz w:val="22"/>
          <w:szCs w:val="22"/>
        </w:rPr>
      </w:pPr>
      <w:r w:rsidRPr="00B81049">
        <w:rPr>
          <w:color w:val="auto"/>
          <w:sz w:val="22"/>
          <w:szCs w:val="22"/>
        </w:rPr>
        <w:t>Heery E and Adler L (2004) Organizing the Unorganized. In: Frege C and Kelly J</w:t>
      </w:r>
      <w:r w:rsidRPr="00B81049">
        <w:rPr>
          <w:i/>
          <w:color w:val="auto"/>
          <w:sz w:val="22"/>
          <w:szCs w:val="22"/>
        </w:rPr>
        <w:t xml:space="preserve"> </w:t>
      </w:r>
      <w:r w:rsidRPr="00B81049">
        <w:rPr>
          <w:color w:val="auto"/>
          <w:sz w:val="22"/>
          <w:szCs w:val="22"/>
        </w:rPr>
        <w:t xml:space="preserve">(eds) </w:t>
      </w:r>
      <w:r w:rsidRPr="00B81049">
        <w:rPr>
          <w:i/>
          <w:color w:val="auto"/>
          <w:sz w:val="22"/>
          <w:szCs w:val="22"/>
        </w:rPr>
        <w:t>Varieties of Unionism: Strategies for Union Revitalization in a Globalizing Economy</w:t>
      </w:r>
      <w:r w:rsidRPr="00B81049">
        <w:rPr>
          <w:color w:val="auto"/>
          <w:sz w:val="22"/>
          <w:szCs w:val="22"/>
        </w:rPr>
        <w:t>. Oxford</w:t>
      </w:r>
      <w:r>
        <w:rPr>
          <w:color w:val="auto"/>
          <w:sz w:val="22"/>
          <w:szCs w:val="22"/>
        </w:rPr>
        <w:t>:</w:t>
      </w:r>
      <w:r w:rsidRPr="00B81049">
        <w:rPr>
          <w:color w:val="auto"/>
          <w:sz w:val="22"/>
          <w:szCs w:val="22"/>
        </w:rPr>
        <w:t xml:space="preserve"> Oxford University Press</w:t>
      </w:r>
      <w:r w:rsidRPr="00B81049">
        <w:rPr>
          <w:b/>
          <w:color w:val="auto"/>
          <w:sz w:val="22"/>
          <w:szCs w:val="22"/>
        </w:rPr>
        <w:t xml:space="preserve">, </w:t>
      </w:r>
      <w:r w:rsidRPr="00B81049">
        <w:rPr>
          <w:color w:val="auto"/>
          <w:sz w:val="22"/>
          <w:szCs w:val="22"/>
        </w:rPr>
        <w:t>pp</w:t>
      </w:r>
      <w:r>
        <w:rPr>
          <w:color w:val="auto"/>
          <w:sz w:val="22"/>
          <w:szCs w:val="22"/>
        </w:rPr>
        <w:t>.</w:t>
      </w:r>
      <w:r w:rsidRPr="00B81049">
        <w:rPr>
          <w:color w:val="auto"/>
          <w:sz w:val="22"/>
          <w:szCs w:val="22"/>
        </w:rPr>
        <w:t xml:space="preserve"> 45-69.</w:t>
      </w:r>
    </w:p>
    <w:p w:rsidR="002A4AC2" w:rsidRPr="00B81049" w:rsidRDefault="002A4AC2" w:rsidP="002A4AC2">
      <w:pPr>
        <w:pStyle w:val="EndNoteBibliography"/>
        <w:ind w:left="720" w:hanging="720"/>
        <w:jc w:val="left"/>
        <w:rPr>
          <w:color w:val="auto"/>
          <w:sz w:val="22"/>
          <w:szCs w:val="22"/>
          <w:lang w:val="en-GB"/>
        </w:rPr>
      </w:pPr>
      <w:r w:rsidRPr="00B81049">
        <w:rPr>
          <w:color w:val="auto"/>
          <w:sz w:val="22"/>
          <w:szCs w:val="22"/>
        </w:rPr>
        <w:t xml:space="preserve">Hyman R (2001) </w:t>
      </w:r>
      <w:r w:rsidRPr="00B81049">
        <w:rPr>
          <w:i/>
          <w:color w:val="auto"/>
          <w:sz w:val="22"/>
          <w:szCs w:val="22"/>
        </w:rPr>
        <w:t>Understanding European Trade Unionism. Between Market, Class</w:t>
      </w:r>
      <w:r>
        <w:rPr>
          <w:i/>
          <w:color w:val="auto"/>
          <w:sz w:val="22"/>
          <w:szCs w:val="22"/>
        </w:rPr>
        <w:t xml:space="preserve"> and </w:t>
      </w:r>
      <w:r w:rsidRPr="00B81049">
        <w:rPr>
          <w:i/>
          <w:color w:val="auto"/>
          <w:sz w:val="22"/>
          <w:szCs w:val="22"/>
        </w:rPr>
        <w:t>Society</w:t>
      </w:r>
      <w:r w:rsidRPr="00B81049">
        <w:rPr>
          <w:color w:val="auto"/>
          <w:sz w:val="22"/>
          <w:szCs w:val="22"/>
        </w:rPr>
        <w:t xml:space="preserve">. </w:t>
      </w:r>
      <w:r w:rsidRPr="00B81049">
        <w:rPr>
          <w:color w:val="auto"/>
          <w:sz w:val="22"/>
          <w:szCs w:val="22"/>
          <w:lang w:val="en-GB"/>
        </w:rPr>
        <w:t>London</w:t>
      </w:r>
      <w:r>
        <w:rPr>
          <w:color w:val="auto"/>
          <w:sz w:val="22"/>
          <w:szCs w:val="22"/>
          <w:lang w:val="en-GB"/>
        </w:rPr>
        <w:t>: Sage</w:t>
      </w:r>
      <w:r w:rsidRPr="00B81049">
        <w:rPr>
          <w:color w:val="auto"/>
          <w:sz w:val="22"/>
          <w:szCs w:val="22"/>
          <w:lang w:val="en-GB"/>
        </w:rPr>
        <w:t>.</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JILPT (2011). Non-regular Employment - Issues and Challenges Common to the Major Developed Countries</w:t>
      </w:r>
      <w:r>
        <w:rPr>
          <w:color w:val="auto"/>
          <w:sz w:val="22"/>
          <w:szCs w:val="22"/>
        </w:rPr>
        <w:t>.</w:t>
      </w:r>
      <w:r w:rsidRPr="00B81049">
        <w:rPr>
          <w:color w:val="auto"/>
          <w:sz w:val="22"/>
          <w:szCs w:val="22"/>
        </w:rPr>
        <w:t xml:space="preserve"> Tokyo</w:t>
      </w:r>
      <w:r>
        <w:rPr>
          <w:color w:val="auto"/>
          <w:sz w:val="22"/>
          <w:szCs w:val="22"/>
        </w:rPr>
        <w:t>:</w:t>
      </w:r>
      <w:r w:rsidRPr="00B81049">
        <w:rPr>
          <w:color w:val="auto"/>
          <w:sz w:val="22"/>
          <w:szCs w:val="22"/>
        </w:rPr>
        <w:t xml:space="preserve"> Japan Institute for Labor Policy and Training.</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Jódar P, Vidal S and Alòs R (2011) Union Activism in an Inclusive System of Industrial Relations: Evidence from a Spanish Case Study. </w:t>
      </w:r>
      <w:r w:rsidRPr="00B81049">
        <w:rPr>
          <w:i/>
          <w:color w:val="auto"/>
          <w:sz w:val="22"/>
          <w:szCs w:val="22"/>
        </w:rPr>
        <w:t>British Journal of Industrial Relations</w:t>
      </w:r>
      <w:r w:rsidRPr="00B81049">
        <w:rPr>
          <w:color w:val="auto"/>
          <w:sz w:val="22"/>
          <w:szCs w:val="22"/>
        </w:rPr>
        <w:t xml:space="preserve"> 49: s158-s180.</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Johnston A, Kornelakis A and Rodriguez-D’Acri C (2011) Social partners and the welfare state: Recalibration, privatization or collectivization of social risks? </w:t>
      </w:r>
      <w:r w:rsidRPr="00B81049">
        <w:rPr>
          <w:i/>
          <w:color w:val="auto"/>
          <w:sz w:val="22"/>
          <w:szCs w:val="22"/>
        </w:rPr>
        <w:t>European Journal of Industrial Relations</w:t>
      </w:r>
      <w:r w:rsidRPr="00B81049">
        <w:rPr>
          <w:color w:val="auto"/>
          <w:sz w:val="22"/>
          <w:szCs w:val="22"/>
        </w:rPr>
        <w:t xml:space="preserve"> 17(4): 349-364.</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Keune M (2013) Trade union responses to precarious work in seven European countries. </w:t>
      </w:r>
      <w:r w:rsidRPr="002D6A19">
        <w:rPr>
          <w:i/>
          <w:color w:val="auto"/>
          <w:sz w:val="22"/>
          <w:szCs w:val="22"/>
        </w:rPr>
        <w:t>International Journal of Labour Research</w:t>
      </w:r>
      <w:r w:rsidRPr="00B81049">
        <w:rPr>
          <w:color w:val="auto"/>
          <w:sz w:val="22"/>
          <w:szCs w:val="22"/>
        </w:rPr>
        <w:t xml:space="preserve"> 5(1): 59-78.</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Korpi W (1983) </w:t>
      </w:r>
      <w:r w:rsidRPr="00B81049">
        <w:rPr>
          <w:i/>
          <w:color w:val="auto"/>
          <w:sz w:val="22"/>
          <w:szCs w:val="22"/>
        </w:rPr>
        <w:t>The Democratic Class Struggle</w:t>
      </w:r>
      <w:r w:rsidRPr="00B81049">
        <w:rPr>
          <w:color w:val="auto"/>
          <w:sz w:val="22"/>
          <w:szCs w:val="22"/>
        </w:rPr>
        <w:t xml:space="preserve"> London</w:t>
      </w:r>
      <w:r>
        <w:rPr>
          <w:color w:val="auto"/>
          <w:sz w:val="22"/>
          <w:szCs w:val="22"/>
        </w:rPr>
        <w:t>:</w:t>
      </w:r>
      <w:r w:rsidRPr="00B81049">
        <w:rPr>
          <w:color w:val="auto"/>
          <w:sz w:val="22"/>
          <w:szCs w:val="22"/>
        </w:rPr>
        <w:t xml:space="preserve"> Routledge and Kegan Paul.</w:t>
      </w:r>
      <w:r w:rsidRPr="00B81049">
        <w:rPr>
          <w:color w:val="auto"/>
          <w:sz w:val="22"/>
          <w:szCs w:val="22"/>
        </w:rPr>
        <w:tab/>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Krzywdzinski M (2010) Organizing employees in Central Eastern Europe: The approach of Solidarno</w:t>
      </w:r>
      <w:r w:rsidRPr="00B81049">
        <w:rPr>
          <w:rFonts w:eastAsia="Calibri"/>
          <w:noProof w:val="0"/>
          <w:color w:val="auto"/>
          <w:spacing w:val="0"/>
          <w:kern w:val="0"/>
          <w:sz w:val="22"/>
          <w:szCs w:val="22"/>
        </w:rPr>
        <w:t>ść</w:t>
      </w:r>
      <w:r w:rsidRPr="00B81049">
        <w:rPr>
          <w:color w:val="auto"/>
          <w:sz w:val="22"/>
          <w:szCs w:val="22"/>
        </w:rPr>
        <w:t xml:space="preserve">. </w:t>
      </w:r>
      <w:r w:rsidRPr="00B81049">
        <w:rPr>
          <w:i/>
          <w:color w:val="auto"/>
          <w:sz w:val="22"/>
          <w:szCs w:val="22"/>
        </w:rPr>
        <w:t>European Journal of Industrial Relations</w:t>
      </w:r>
      <w:r w:rsidRPr="00B81049">
        <w:rPr>
          <w:color w:val="auto"/>
          <w:sz w:val="22"/>
          <w:szCs w:val="22"/>
        </w:rPr>
        <w:t xml:space="preserve"> 16(3): 277-292.</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Leonardi S (2008) Union Organisation of Employees in Atypical and Precarious Work in Italy. </w:t>
      </w:r>
      <w:r w:rsidRPr="00B81049">
        <w:rPr>
          <w:i/>
          <w:color w:val="auto"/>
          <w:sz w:val="22"/>
          <w:szCs w:val="22"/>
        </w:rPr>
        <w:t>International Journal of Action Research</w:t>
      </w:r>
      <w:r w:rsidRPr="00B81049">
        <w:rPr>
          <w:color w:val="auto"/>
          <w:sz w:val="22"/>
          <w:szCs w:val="22"/>
        </w:rPr>
        <w:t xml:space="preserve"> 4(3): 220-234.</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Lindvall J and Rueda D (2014) The insider</w:t>
      </w:r>
      <w:r>
        <w:rPr>
          <w:color w:val="auto"/>
          <w:sz w:val="22"/>
          <w:szCs w:val="22"/>
        </w:rPr>
        <w:t>-</w:t>
      </w:r>
      <w:r w:rsidRPr="00B81049">
        <w:rPr>
          <w:color w:val="auto"/>
          <w:sz w:val="22"/>
          <w:szCs w:val="22"/>
        </w:rPr>
        <w:t xml:space="preserve">outsider dilemma. </w:t>
      </w:r>
      <w:r w:rsidRPr="00B81049">
        <w:rPr>
          <w:i/>
          <w:color w:val="auto"/>
          <w:sz w:val="22"/>
          <w:szCs w:val="22"/>
        </w:rPr>
        <w:t>British Journal of Political Science</w:t>
      </w:r>
      <w:r w:rsidRPr="00B81049">
        <w:rPr>
          <w:color w:val="auto"/>
          <w:sz w:val="22"/>
          <w:szCs w:val="22"/>
        </w:rPr>
        <w:t xml:space="preserve"> 44(02): 460-475.</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Marino S (2012) Trade union inclusion of migrant and ethnic minority workers: Comparing Italy and the Netherlands. </w:t>
      </w:r>
      <w:r w:rsidRPr="00B81049">
        <w:rPr>
          <w:i/>
          <w:color w:val="auto"/>
          <w:sz w:val="22"/>
          <w:szCs w:val="22"/>
        </w:rPr>
        <w:t>European Journal of Industrial Relations</w:t>
      </w:r>
      <w:r w:rsidRPr="00B81049">
        <w:rPr>
          <w:color w:val="auto"/>
          <w:sz w:val="22"/>
          <w:szCs w:val="22"/>
        </w:rPr>
        <w:t xml:space="preserve"> 18(1): 5-20.</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Martínez Lucio M (2003) New communication systems and trade union politics: a case study of Spanish trade unions and the role of the internet. </w:t>
      </w:r>
      <w:r w:rsidRPr="00B81049">
        <w:rPr>
          <w:i/>
          <w:color w:val="auto"/>
          <w:sz w:val="22"/>
          <w:szCs w:val="22"/>
        </w:rPr>
        <w:t>Industrial Relations Journal</w:t>
      </w:r>
      <w:r w:rsidRPr="00B81049">
        <w:rPr>
          <w:color w:val="auto"/>
          <w:sz w:val="22"/>
          <w:szCs w:val="22"/>
        </w:rPr>
        <w:t xml:space="preserve"> 34(4): 334-347.</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Marx P and Picot G (2013) The party preferences of atypical workers in Germany. </w:t>
      </w:r>
      <w:r w:rsidRPr="00B81049">
        <w:rPr>
          <w:i/>
          <w:color w:val="auto"/>
          <w:sz w:val="22"/>
          <w:szCs w:val="22"/>
        </w:rPr>
        <w:t>Journal of European Social Policy</w:t>
      </w:r>
      <w:r w:rsidRPr="00B81049">
        <w:rPr>
          <w:color w:val="auto"/>
          <w:sz w:val="22"/>
          <w:szCs w:val="22"/>
        </w:rPr>
        <w:t xml:space="preserve"> 23(2): 164-178.</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Meardi G (2011) Understanding trade union cultures. </w:t>
      </w:r>
      <w:r w:rsidRPr="00B81049">
        <w:rPr>
          <w:i/>
          <w:color w:val="auto"/>
          <w:sz w:val="22"/>
          <w:szCs w:val="22"/>
        </w:rPr>
        <w:t>Industrielle Beziehungen</w:t>
      </w:r>
      <w:r w:rsidRPr="00B81049">
        <w:rPr>
          <w:color w:val="auto"/>
          <w:sz w:val="22"/>
          <w:szCs w:val="22"/>
        </w:rPr>
        <w:t xml:space="preserve"> 18(4): 336-345.</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Oliver R (2010) Powerful Remnants? The Politics of Egalitarian Bargaining Institutions in Italy and Sweden. </w:t>
      </w:r>
      <w:r w:rsidRPr="00B81049">
        <w:rPr>
          <w:i/>
          <w:color w:val="auto"/>
          <w:sz w:val="22"/>
          <w:szCs w:val="22"/>
        </w:rPr>
        <w:t>Socio-Economic Review</w:t>
      </w:r>
      <w:r w:rsidRPr="00B81049">
        <w:rPr>
          <w:b/>
          <w:color w:val="auto"/>
          <w:sz w:val="22"/>
          <w:szCs w:val="22"/>
        </w:rPr>
        <w:t xml:space="preserve"> </w:t>
      </w:r>
      <w:r w:rsidRPr="00B81049">
        <w:rPr>
          <w:color w:val="auto"/>
          <w:sz w:val="22"/>
          <w:szCs w:val="22"/>
        </w:rPr>
        <w:t>9(3): 1-34.</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Palier B and Thelen K (2010) Institutionalizing Dualism: Complementarities and Change in France and Germany. </w:t>
      </w:r>
      <w:r w:rsidRPr="00B81049">
        <w:rPr>
          <w:i/>
          <w:color w:val="auto"/>
          <w:sz w:val="22"/>
          <w:szCs w:val="22"/>
        </w:rPr>
        <w:t>Politics</w:t>
      </w:r>
      <w:r>
        <w:rPr>
          <w:i/>
          <w:color w:val="auto"/>
          <w:sz w:val="22"/>
          <w:szCs w:val="22"/>
        </w:rPr>
        <w:t xml:space="preserve"> </w:t>
      </w:r>
      <w:r w:rsidRPr="00B81049">
        <w:rPr>
          <w:i/>
          <w:color w:val="auto"/>
          <w:sz w:val="22"/>
          <w:szCs w:val="22"/>
        </w:rPr>
        <w:t>&amp;</w:t>
      </w:r>
      <w:r>
        <w:rPr>
          <w:i/>
          <w:color w:val="auto"/>
          <w:sz w:val="22"/>
          <w:szCs w:val="22"/>
        </w:rPr>
        <w:t xml:space="preserve"> </w:t>
      </w:r>
      <w:r w:rsidRPr="00B81049">
        <w:rPr>
          <w:i/>
          <w:color w:val="auto"/>
          <w:sz w:val="22"/>
          <w:szCs w:val="22"/>
        </w:rPr>
        <w:t>Society</w:t>
      </w:r>
      <w:r w:rsidRPr="00B81049">
        <w:rPr>
          <w:color w:val="auto"/>
          <w:sz w:val="22"/>
          <w:szCs w:val="22"/>
        </w:rPr>
        <w:t xml:space="preserve"> 38(1): 119-148.</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Papadopoulos O (2014) Youth unemployment discourses in Greece and Ireland before and during the economic crisis: Moving from divergence to ‘contingent convergence’.</w:t>
      </w:r>
      <w:r w:rsidRPr="00B81049">
        <w:rPr>
          <w:i/>
          <w:color w:val="auto"/>
          <w:sz w:val="22"/>
          <w:szCs w:val="22"/>
        </w:rPr>
        <w:t xml:space="preserve"> Economic and Industrial Democracy</w:t>
      </w:r>
      <w:r w:rsidRPr="00B81049">
        <w:rPr>
          <w:color w:val="auto"/>
          <w:sz w:val="22"/>
          <w:szCs w:val="22"/>
        </w:rPr>
        <w:t>.</w:t>
      </w:r>
      <w:r>
        <w:rPr>
          <w:color w:val="auto"/>
          <w:sz w:val="22"/>
          <w:szCs w:val="22"/>
        </w:rPr>
        <w:t xml:space="preserve"> </w:t>
      </w:r>
      <w:r w:rsidRPr="002D6A19">
        <w:rPr>
          <w:rStyle w:val="slug-metadata-note3"/>
          <w:bCs/>
          <w:color w:val="000000" w:themeColor="text1"/>
          <w:sz w:val="22"/>
          <w:szCs w:val="22"/>
        </w:rPr>
        <w:t xml:space="preserve">doi: </w:t>
      </w:r>
      <w:r w:rsidRPr="002D6A19">
        <w:rPr>
          <w:rStyle w:val="slug-doi"/>
          <w:bCs/>
          <w:color w:val="000000" w:themeColor="text1"/>
          <w:sz w:val="22"/>
          <w:szCs w:val="22"/>
        </w:rPr>
        <w:t>10.1177/0143831X14550694</w:t>
      </w:r>
    </w:p>
    <w:p w:rsidR="002A4AC2" w:rsidRDefault="002A4AC2" w:rsidP="002A4AC2">
      <w:pPr>
        <w:pStyle w:val="EndNoteBibliography"/>
        <w:ind w:left="709" w:hanging="709"/>
        <w:jc w:val="left"/>
        <w:rPr>
          <w:color w:val="auto"/>
          <w:sz w:val="22"/>
          <w:szCs w:val="22"/>
        </w:rPr>
      </w:pPr>
      <w:r w:rsidRPr="00B81049">
        <w:rPr>
          <w:color w:val="auto"/>
          <w:sz w:val="22"/>
          <w:szCs w:val="22"/>
        </w:rPr>
        <w:t xml:space="preserve">Pernicka S and Glassner V (2014) Transnational trade union strategies towards European wage policy: A neo-institutional framework. </w:t>
      </w:r>
      <w:r w:rsidRPr="00B81049">
        <w:rPr>
          <w:i/>
          <w:color w:val="auto"/>
          <w:sz w:val="22"/>
          <w:szCs w:val="22"/>
        </w:rPr>
        <w:t>European Journal of Industrial Relations</w:t>
      </w:r>
      <w:r w:rsidRPr="00B81049">
        <w:rPr>
          <w:color w:val="auto"/>
          <w:sz w:val="22"/>
          <w:szCs w:val="22"/>
        </w:rPr>
        <w:t xml:space="preserve"> </w:t>
      </w:r>
      <w:r w:rsidRPr="00B81049">
        <w:rPr>
          <w:rStyle w:val="slug-vol"/>
          <w:color w:val="auto"/>
          <w:sz w:val="22"/>
          <w:szCs w:val="22"/>
        </w:rPr>
        <w:t>20(</w:t>
      </w:r>
      <w:r w:rsidRPr="00B81049">
        <w:rPr>
          <w:rStyle w:val="slug-issue"/>
          <w:color w:val="auto"/>
          <w:sz w:val="22"/>
          <w:szCs w:val="22"/>
        </w:rPr>
        <w:t xml:space="preserve">4): </w:t>
      </w:r>
      <w:r w:rsidRPr="00B81049">
        <w:rPr>
          <w:rStyle w:val="slug-pages"/>
          <w:color w:val="auto"/>
          <w:sz w:val="22"/>
          <w:szCs w:val="22"/>
        </w:rPr>
        <w:t>317-334.</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Pulignano V and Doerflinger N (2013) A head with two tales: trade unions' influence on temporary agency work in Belgian and German workplaces. </w:t>
      </w:r>
      <w:r w:rsidRPr="00B81049">
        <w:rPr>
          <w:i/>
          <w:color w:val="auto"/>
          <w:sz w:val="22"/>
          <w:szCs w:val="22"/>
        </w:rPr>
        <w:t>International Journal of Human Resource Management</w:t>
      </w:r>
      <w:r w:rsidRPr="00B81049">
        <w:rPr>
          <w:color w:val="auto"/>
          <w:sz w:val="22"/>
          <w:szCs w:val="22"/>
          <w:u w:val="single"/>
        </w:rPr>
        <w:t xml:space="preserve"> </w:t>
      </w:r>
      <w:r w:rsidRPr="00B81049">
        <w:rPr>
          <w:color w:val="auto"/>
          <w:sz w:val="22"/>
          <w:szCs w:val="22"/>
        </w:rPr>
        <w:t>24(2): 4149-4165.</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Pulignano V and Keune M (2014) Understanding varieties of flexibility and security in multinationals: Product markets, institutions variation and local bargaining. </w:t>
      </w:r>
      <w:r w:rsidRPr="00B81049">
        <w:rPr>
          <w:i/>
          <w:color w:val="auto"/>
          <w:sz w:val="22"/>
          <w:szCs w:val="22"/>
        </w:rPr>
        <w:t>European</w:t>
      </w:r>
      <w:r w:rsidRPr="00B81049">
        <w:rPr>
          <w:color w:val="auto"/>
          <w:sz w:val="22"/>
          <w:szCs w:val="22"/>
          <w:u w:val="single"/>
        </w:rPr>
        <w:t xml:space="preserve"> </w:t>
      </w:r>
      <w:r w:rsidRPr="00B81049">
        <w:rPr>
          <w:i/>
          <w:color w:val="auto"/>
          <w:sz w:val="22"/>
          <w:szCs w:val="22"/>
        </w:rPr>
        <w:t xml:space="preserve">Journal of Industrial Relations </w:t>
      </w:r>
      <w:r w:rsidRPr="00B81049">
        <w:rPr>
          <w:color w:val="auto"/>
          <w:sz w:val="22"/>
          <w:szCs w:val="22"/>
        </w:rPr>
        <w:t>21(1): 5-21.</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Pulignano V, Ortiz L and De Franceschi F (forthcoming) Union</w:t>
      </w:r>
      <w:r w:rsidR="00E73EE3">
        <w:rPr>
          <w:color w:val="auto"/>
          <w:sz w:val="22"/>
          <w:szCs w:val="22"/>
        </w:rPr>
        <w:t xml:space="preserve"> </w:t>
      </w:r>
      <w:r w:rsidRPr="00B81049">
        <w:rPr>
          <w:color w:val="auto"/>
          <w:sz w:val="22"/>
          <w:szCs w:val="22"/>
        </w:rPr>
        <w:t xml:space="preserve">responses to precarious workers: Italy and Spain compared. </w:t>
      </w:r>
      <w:r w:rsidRPr="00B81049">
        <w:rPr>
          <w:i/>
          <w:color w:val="auto"/>
          <w:sz w:val="22"/>
          <w:szCs w:val="22"/>
        </w:rPr>
        <w:t>European Journal of Industrial Relations.</w:t>
      </w:r>
    </w:p>
    <w:p w:rsidR="004C38A2" w:rsidRPr="004C38A2" w:rsidRDefault="004C38A2" w:rsidP="002A4AC2">
      <w:pPr>
        <w:pStyle w:val="EndNoteBibliography"/>
        <w:ind w:left="720" w:hanging="720"/>
        <w:jc w:val="left"/>
        <w:rPr>
          <w:color w:val="000000" w:themeColor="text1"/>
          <w:sz w:val="22"/>
          <w:szCs w:val="22"/>
        </w:rPr>
      </w:pPr>
      <w:r>
        <w:rPr>
          <w:color w:val="auto"/>
          <w:sz w:val="22"/>
          <w:szCs w:val="22"/>
        </w:rPr>
        <w:t xml:space="preserve">Ragin, C (nd) fuzzy set </w:t>
      </w:r>
      <w:r w:rsidRPr="004C38A2">
        <w:rPr>
          <w:color w:val="000000" w:themeColor="text1"/>
          <w:sz w:val="22"/>
          <w:szCs w:val="22"/>
        </w:rPr>
        <w:t>Qualitative Comparative Analysis</w:t>
      </w:r>
      <w:r>
        <w:rPr>
          <w:color w:val="000000" w:themeColor="text1"/>
          <w:sz w:val="22"/>
          <w:szCs w:val="22"/>
        </w:rPr>
        <w:t>.</w:t>
      </w:r>
      <w:r w:rsidRPr="004C38A2">
        <w:rPr>
          <w:color w:val="000000" w:themeColor="text1"/>
          <w:sz w:val="22"/>
          <w:szCs w:val="22"/>
        </w:rPr>
        <w:t xml:space="preserve"> http://www.u.arizona.edu/~cragin/fsQCA/</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Regalia I (2012) Italian Trade Unions: Still Shifting between Consolidated Organizations and Social Movements? </w:t>
      </w:r>
      <w:r w:rsidRPr="00B81049">
        <w:rPr>
          <w:i/>
          <w:color w:val="auto"/>
          <w:sz w:val="22"/>
          <w:szCs w:val="22"/>
        </w:rPr>
        <w:t>Management Revue</w:t>
      </w:r>
      <w:r w:rsidRPr="00B81049">
        <w:rPr>
          <w:color w:val="auto"/>
          <w:sz w:val="22"/>
          <w:szCs w:val="22"/>
        </w:rPr>
        <w:t xml:space="preserve"> 23(4): 386-407.</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Rojot J (2014) French industrial relations: a dual paradox with deep historical roots. </w:t>
      </w:r>
      <w:r w:rsidRPr="00B81049">
        <w:rPr>
          <w:i/>
          <w:color w:val="auto"/>
          <w:sz w:val="22"/>
          <w:szCs w:val="22"/>
        </w:rPr>
        <w:t>International Journal of Organizational Analysis</w:t>
      </w:r>
      <w:r w:rsidRPr="00B81049">
        <w:rPr>
          <w:color w:val="auto"/>
          <w:sz w:val="22"/>
          <w:szCs w:val="22"/>
        </w:rPr>
        <w:t xml:space="preserve"> 22(4): 486-503.</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Rueda D (2005) Insider</w:t>
      </w:r>
      <w:r>
        <w:rPr>
          <w:color w:val="auto"/>
          <w:sz w:val="22"/>
          <w:szCs w:val="22"/>
        </w:rPr>
        <w:t>-</w:t>
      </w:r>
      <w:r w:rsidRPr="00B81049">
        <w:rPr>
          <w:color w:val="auto"/>
          <w:sz w:val="22"/>
          <w:szCs w:val="22"/>
        </w:rPr>
        <w:t xml:space="preserve">Outsider Politics in Industrialized Democracies: The Challenge to Social Democratic Parties. </w:t>
      </w:r>
      <w:r w:rsidRPr="00B81049">
        <w:rPr>
          <w:i/>
          <w:color w:val="auto"/>
          <w:sz w:val="22"/>
          <w:szCs w:val="22"/>
        </w:rPr>
        <w:t>American Political Science Review</w:t>
      </w:r>
      <w:r w:rsidRPr="00B81049">
        <w:rPr>
          <w:color w:val="auto"/>
          <w:sz w:val="22"/>
          <w:szCs w:val="22"/>
        </w:rPr>
        <w:t xml:space="preserve"> 99(1): 61-74.</w:t>
      </w:r>
      <w:r w:rsidRPr="00B81049">
        <w:rPr>
          <w:color w:val="auto"/>
          <w:sz w:val="22"/>
          <w:szCs w:val="22"/>
        </w:rPr>
        <w:tab/>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Rueda D (2007) </w:t>
      </w:r>
      <w:r w:rsidRPr="00B81049">
        <w:rPr>
          <w:i/>
          <w:color w:val="auto"/>
          <w:sz w:val="22"/>
          <w:szCs w:val="22"/>
        </w:rPr>
        <w:t>Social Democracy Inside Out. Partisanship and Labor Market Policy in Advanced Industrialized Democracies.</w:t>
      </w:r>
      <w:r w:rsidRPr="00B81049">
        <w:rPr>
          <w:color w:val="auto"/>
          <w:sz w:val="22"/>
          <w:szCs w:val="22"/>
          <w:u w:val="single"/>
        </w:rPr>
        <w:t xml:space="preserve"> </w:t>
      </w:r>
      <w:r w:rsidRPr="00B81049">
        <w:rPr>
          <w:color w:val="auto"/>
          <w:sz w:val="22"/>
          <w:szCs w:val="22"/>
        </w:rPr>
        <w:t>Oxford</w:t>
      </w:r>
      <w:r>
        <w:rPr>
          <w:color w:val="auto"/>
          <w:sz w:val="22"/>
          <w:szCs w:val="22"/>
        </w:rPr>
        <w:t>:</w:t>
      </w:r>
      <w:r w:rsidRPr="00B81049">
        <w:rPr>
          <w:color w:val="auto"/>
          <w:sz w:val="22"/>
          <w:szCs w:val="22"/>
        </w:rPr>
        <w:t xml:space="preserve"> Oxford University Press.</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Rueda D. and Pontusson J (2000) Wage Inequality and Varieties of Capitalism. </w:t>
      </w:r>
      <w:r w:rsidRPr="00B81049">
        <w:rPr>
          <w:i/>
          <w:color w:val="auto"/>
          <w:sz w:val="22"/>
          <w:szCs w:val="22"/>
        </w:rPr>
        <w:t>World Politics</w:t>
      </w:r>
      <w:r w:rsidRPr="00B81049">
        <w:rPr>
          <w:color w:val="auto"/>
          <w:sz w:val="22"/>
          <w:szCs w:val="22"/>
        </w:rPr>
        <w:t xml:space="preserve"> 52(3): 350-383.</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Schmidt V (2006). </w:t>
      </w:r>
      <w:r w:rsidRPr="00B81049">
        <w:rPr>
          <w:i/>
          <w:color w:val="auto"/>
          <w:sz w:val="22"/>
          <w:szCs w:val="22"/>
        </w:rPr>
        <w:t>Bringing the state back into the varieties of capitalism and discourse back into the explanation of change.</w:t>
      </w:r>
      <w:r w:rsidRPr="00B81049">
        <w:rPr>
          <w:color w:val="auto"/>
          <w:sz w:val="22"/>
          <w:szCs w:val="22"/>
        </w:rPr>
        <w:t xml:space="preserve"> </w:t>
      </w:r>
      <w:r>
        <w:rPr>
          <w:color w:val="auto"/>
          <w:sz w:val="22"/>
          <w:szCs w:val="22"/>
        </w:rPr>
        <w:t>Paper to</w:t>
      </w:r>
      <w:r w:rsidRPr="00B81049">
        <w:rPr>
          <w:color w:val="auto"/>
          <w:sz w:val="22"/>
          <w:szCs w:val="22"/>
        </w:rPr>
        <w:t xml:space="preserve"> the American Political Science Association, Philadelphia</w:t>
      </w:r>
      <w:r>
        <w:rPr>
          <w:color w:val="auto"/>
          <w:sz w:val="22"/>
          <w:szCs w:val="22"/>
        </w:rPr>
        <w:t>,</w:t>
      </w:r>
      <w:r w:rsidRPr="00B81049">
        <w:rPr>
          <w:color w:val="auto"/>
          <w:sz w:val="22"/>
          <w:szCs w:val="22"/>
        </w:rPr>
        <w:t xml:space="preserve"> September.</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Schneider C and Wagemann C (2012) </w:t>
      </w:r>
      <w:r w:rsidRPr="00B81049">
        <w:rPr>
          <w:i/>
          <w:color w:val="auto"/>
          <w:sz w:val="22"/>
          <w:szCs w:val="22"/>
        </w:rPr>
        <w:t>Set-Theoretic Methods for the Social Sciences. A Guide to Qualitative COmparative Analysis.</w:t>
      </w:r>
      <w:r w:rsidRPr="00B81049">
        <w:rPr>
          <w:color w:val="auto"/>
          <w:sz w:val="22"/>
          <w:szCs w:val="22"/>
        </w:rPr>
        <w:t xml:space="preserve"> Cambridge</w:t>
      </w:r>
      <w:r>
        <w:rPr>
          <w:color w:val="auto"/>
          <w:sz w:val="22"/>
          <w:szCs w:val="22"/>
        </w:rPr>
        <w:t>:</w:t>
      </w:r>
      <w:r w:rsidRPr="00B81049">
        <w:rPr>
          <w:color w:val="auto"/>
          <w:sz w:val="22"/>
          <w:szCs w:val="22"/>
        </w:rPr>
        <w:t xml:space="preserve"> Cambridge University Press.</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Schneider C Q and Rohlfing, I (2013) Combining QCA and Process Tracing in Set-Theoretic Multi-Method Research. </w:t>
      </w:r>
      <w:r w:rsidRPr="00B81049">
        <w:rPr>
          <w:i/>
          <w:color w:val="auto"/>
          <w:sz w:val="22"/>
          <w:szCs w:val="22"/>
        </w:rPr>
        <w:t>Sociological Methods &amp; Research</w:t>
      </w:r>
      <w:r w:rsidRPr="00B81049">
        <w:rPr>
          <w:color w:val="auto"/>
          <w:sz w:val="22"/>
          <w:szCs w:val="22"/>
        </w:rPr>
        <w:t xml:space="preserve"> 42(4): 559-597.</w:t>
      </w:r>
    </w:p>
    <w:p w:rsidR="002A4AC2" w:rsidRPr="00B81049" w:rsidRDefault="002A4AC2" w:rsidP="002A4AC2">
      <w:pPr>
        <w:pStyle w:val="EndNoteBibliography"/>
        <w:ind w:left="720" w:hanging="720"/>
        <w:jc w:val="left"/>
        <w:rPr>
          <w:color w:val="auto"/>
          <w:sz w:val="22"/>
          <w:szCs w:val="22"/>
        </w:rPr>
      </w:pPr>
      <w:r w:rsidRPr="00B81049">
        <w:rPr>
          <w:color w:val="auto"/>
          <w:sz w:val="22"/>
          <w:szCs w:val="22"/>
        </w:rPr>
        <w:t xml:space="preserve">Segal L M and Sullivan, D G (1997) The growth of temporary services work. </w:t>
      </w:r>
      <w:r w:rsidRPr="00B81049">
        <w:rPr>
          <w:i/>
          <w:color w:val="auto"/>
          <w:sz w:val="22"/>
          <w:szCs w:val="22"/>
        </w:rPr>
        <w:t>Journal of Economic Perspectives</w:t>
      </w:r>
      <w:r w:rsidRPr="00B81049">
        <w:rPr>
          <w:color w:val="auto"/>
          <w:sz w:val="22"/>
          <w:szCs w:val="22"/>
        </w:rPr>
        <w:t xml:space="preserve"> 11(2): 117-136.</w:t>
      </w:r>
    </w:p>
    <w:p w:rsidR="002A4AC2" w:rsidRPr="00B81049" w:rsidRDefault="002A4AC2" w:rsidP="002A4AC2">
      <w:pPr>
        <w:pStyle w:val="EndNoteBibliography"/>
        <w:ind w:left="720" w:hanging="720"/>
        <w:jc w:val="left"/>
        <w:rPr>
          <w:color w:val="auto"/>
          <w:sz w:val="22"/>
          <w:szCs w:val="22"/>
        </w:rPr>
      </w:pPr>
      <w:r w:rsidRPr="00B81049">
        <w:rPr>
          <w:color w:val="auto"/>
          <w:sz w:val="22"/>
          <w:szCs w:val="22"/>
          <w:lang w:val="en-GB"/>
        </w:rPr>
        <w:t>Simoni, M (2012) La precariet</w:t>
      </w:r>
      <w:r>
        <w:rPr>
          <w:color w:val="auto"/>
          <w:sz w:val="22"/>
          <w:szCs w:val="22"/>
          <w:lang w:val="en-GB"/>
        </w:rPr>
        <w:t>à</w:t>
      </w:r>
      <w:r w:rsidRPr="00B81049">
        <w:rPr>
          <w:color w:val="auto"/>
          <w:sz w:val="22"/>
          <w:szCs w:val="22"/>
          <w:lang w:val="en-GB"/>
        </w:rPr>
        <w:t xml:space="preserve"> su misura europea. </w:t>
      </w:r>
      <w:r w:rsidRPr="00C33322">
        <w:rPr>
          <w:rFonts w:eastAsia="Calibri"/>
          <w:color w:val="000000" w:themeColor="text1"/>
          <w:sz w:val="22"/>
          <w:szCs w:val="22"/>
        </w:rPr>
        <w:t>http://www.ilsole24ore.com/art/commenti-e-idee/2012-02-14/precarieta-misura-europea-064123.shtml?uuid=AaD4EVrE</w:t>
      </w:r>
      <w:r w:rsidRPr="00B81049">
        <w:rPr>
          <w:color w:val="auto"/>
          <w:sz w:val="22"/>
          <w:szCs w:val="22"/>
        </w:rPr>
        <w:t xml:space="preserve">. </w:t>
      </w:r>
    </w:p>
    <w:p w:rsidR="002A4AC2" w:rsidRDefault="002A4AC2" w:rsidP="002A4AC2">
      <w:pPr>
        <w:pStyle w:val="EndNoteBibliography"/>
        <w:ind w:left="709" w:hanging="709"/>
        <w:jc w:val="left"/>
        <w:rPr>
          <w:color w:val="auto"/>
          <w:sz w:val="22"/>
          <w:szCs w:val="22"/>
        </w:rPr>
      </w:pPr>
      <w:r w:rsidRPr="00B81049">
        <w:rPr>
          <w:color w:val="auto"/>
          <w:sz w:val="22"/>
          <w:szCs w:val="22"/>
        </w:rPr>
        <w:t xml:space="preserve">Thelen K (2014) </w:t>
      </w:r>
      <w:r w:rsidRPr="00B81049">
        <w:rPr>
          <w:i/>
          <w:color w:val="auto"/>
          <w:sz w:val="22"/>
          <w:szCs w:val="22"/>
        </w:rPr>
        <w:t>Varieties of Liberalization and the New Politics of Social Solidarity</w:t>
      </w:r>
      <w:r w:rsidRPr="00B81049">
        <w:rPr>
          <w:color w:val="auto"/>
          <w:sz w:val="22"/>
          <w:szCs w:val="22"/>
        </w:rPr>
        <w:t>. Cambridge</w:t>
      </w:r>
      <w:r>
        <w:rPr>
          <w:color w:val="auto"/>
          <w:sz w:val="22"/>
          <w:szCs w:val="22"/>
        </w:rPr>
        <w:t>:</w:t>
      </w:r>
      <w:r w:rsidRPr="00B81049">
        <w:rPr>
          <w:color w:val="auto"/>
          <w:sz w:val="22"/>
          <w:szCs w:val="22"/>
        </w:rPr>
        <w:t xml:space="preserve"> Cambridge University Press.</w:t>
      </w:r>
    </w:p>
    <w:p w:rsidR="002A4AC2" w:rsidRPr="00E25907" w:rsidRDefault="002A4AC2" w:rsidP="002A4AC2">
      <w:pPr>
        <w:ind w:left="709" w:hanging="709"/>
        <w:rPr>
          <w:rFonts w:eastAsiaTheme="minorHAnsi" w:cs="Times New Roman"/>
          <w:sz w:val="22"/>
          <w:szCs w:val="22"/>
          <w:lang w:val="it-IT" w:eastAsia="it-IT" w:bidi="ar-SA"/>
        </w:rPr>
      </w:pPr>
      <w:r w:rsidRPr="00B81049">
        <w:rPr>
          <w:rFonts w:cs="Times New Roman"/>
          <w:sz w:val="22"/>
          <w:szCs w:val="22"/>
        </w:rPr>
        <w:t xml:space="preserve">Visser J </w:t>
      </w:r>
      <w:r w:rsidRPr="00B81049">
        <w:rPr>
          <w:rFonts w:eastAsiaTheme="minorHAnsi" w:cs="Times New Roman"/>
          <w:sz w:val="22"/>
          <w:szCs w:val="22"/>
          <w:lang w:val="it-IT" w:eastAsia="it-IT" w:bidi="ar-SA"/>
        </w:rPr>
        <w:t>(2013) ICTWSS: Database on Institutional Characteristics of Trade Unions, Wage Setting, State Intervention and Social Pacts in 34 Countries between 1960 and 2007</w:t>
      </w:r>
      <w:r>
        <w:rPr>
          <w:rFonts w:eastAsiaTheme="minorHAnsi" w:cs="Times New Roman"/>
          <w:sz w:val="22"/>
          <w:szCs w:val="22"/>
          <w:lang w:val="it-IT" w:eastAsia="it-IT" w:bidi="ar-SA"/>
        </w:rPr>
        <w:t>.</w:t>
      </w:r>
      <w:r w:rsidRPr="00B81049">
        <w:rPr>
          <w:rFonts w:eastAsiaTheme="minorHAnsi" w:cs="Times New Roman"/>
          <w:sz w:val="22"/>
          <w:szCs w:val="22"/>
          <w:lang w:val="it-IT" w:eastAsia="it-IT" w:bidi="ar-SA"/>
        </w:rPr>
        <w:t xml:space="preserve"> </w:t>
      </w:r>
      <w:r w:rsidRPr="00E25907">
        <w:rPr>
          <w:rFonts w:eastAsiaTheme="minorHAnsi" w:cs="Times New Roman"/>
          <w:sz w:val="22"/>
          <w:szCs w:val="22"/>
          <w:lang w:val="it-IT" w:eastAsia="it-IT" w:bidi="ar-SA"/>
        </w:rPr>
        <w:t>http://www.uva-aias.net/208.</w:t>
      </w:r>
    </w:p>
    <w:p w:rsidR="002A4AC2" w:rsidRDefault="002A4AC2" w:rsidP="002A4AC2">
      <w:pPr>
        <w:pStyle w:val="EndNoteBibliography"/>
        <w:ind w:left="709" w:hanging="709"/>
        <w:jc w:val="left"/>
        <w:rPr>
          <w:color w:val="auto"/>
          <w:sz w:val="22"/>
          <w:szCs w:val="22"/>
        </w:rPr>
      </w:pPr>
      <w:r w:rsidRPr="00B81049">
        <w:rPr>
          <w:color w:val="auto"/>
          <w:sz w:val="22"/>
          <w:szCs w:val="22"/>
        </w:rPr>
        <w:t>Vlandas T (2013a) The Politics of Temporary Work Deregulation in Europe</w:t>
      </w:r>
      <w:r>
        <w:rPr>
          <w:color w:val="auto"/>
          <w:sz w:val="22"/>
          <w:szCs w:val="22"/>
        </w:rPr>
        <w:t>:</w:t>
      </w:r>
      <w:r w:rsidRPr="00B81049">
        <w:rPr>
          <w:color w:val="auto"/>
          <w:sz w:val="22"/>
          <w:szCs w:val="22"/>
        </w:rPr>
        <w:t xml:space="preserve"> Solving the French Puzzle. </w:t>
      </w:r>
      <w:r w:rsidRPr="00B81049">
        <w:rPr>
          <w:i/>
          <w:color w:val="auto"/>
          <w:sz w:val="22"/>
          <w:szCs w:val="22"/>
        </w:rPr>
        <w:t>Politics &amp; Society</w:t>
      </w:r>
      <w:r w:rsidRPr="00B81049">
        <w:rPr>
          <w:color w:val="auto"/>
          <w:sz w:val="22"/>
          <w:szCs w:val="22"/>
        </w:rPr>
        <w:t xml:space="preserve"> 41(3): 425-460.</w:t>
      </w:r>
    </w:p>
    <w:p w:rsidR="002A4AC2" w:rsidRDefault="002A4AC2" w:rsidP="002A4AC2">
      <w:pPr>
        <w:pStyle w:val="EndNoteBibliography"/>
        <w:ind w:left="709" w:hanging="709"/>
        <w:jc w:val="left"/>
        <w:rPr>
          <w:color w:val="auto"/>
          <w:sz w:val="22"/>
          <w:szCs w:val="22"/>
        </w:rPr>
      </w:pPr>
      <w:r w:rsidRPr="00B81049">
        <w:rPr>
          <w:color w:val="auto"/>
          <w:sz w:val="22"/>
          <w:szCs w:val="22"/>
        </w:rPr>
        <w:t xml:space="preserve">Vlandas T (2013b) The politics of in-work benefits: The case of the ‘active income of solidarity’ in France. </w:t>
      </w:r>
      <w:r w:rsidRPr="00B81049">
        <w:rPr>
          <w:i/>
          <w:color w:val="auto"/>
          <w:sz w:val="22"/>
          <w:szCs w:val="22"/>
        </w:rPr>
        <w:t>French Politics</w:t>
      </w:r>
      <w:r w:rsidRPr="00B81049">
        <w:rPr>
          <w:color w:val="auto"/>
          <w:sz w:val="22"/>
          <w:szCs w:val="22"/>
        </w:rPr>
        <w:t xml:space="preserve"> 11: 117-142.</w:t>
      </w:r>
    </w:p>
    <w:p w:rsidR="002A4AC2" w:rsidRDefault="002A4AC2" w:rsidP="002A4AC2">
      <w:pPr>
        <w:pStyle w:val="EndNoteBibliography"/>
        <w:jc w:val="left"/>
        <w:rPr>
          <w:color w:val="auto"/>
          <w:sz w:val="22"/>
          <w:szCs w:val="22"/>
        </w:rPr>
      </w:pPr>
    </w:p>
    <w:p w:rsidR="002A4AC2" w:rsidRDefault="002A4AC2" w:rsidP="002A4AC2">
      <w:pPr>
        <w:pStyle w:val="EndNoteBibliography"/>
        <w:jc w:val="left"/>
        <w:rPr>
          <w:color w:val="auto"/>
          <w:sz w:val="22"/>
          <w:szCs w:val="22"/>
        </w:rPr>
      </w:pPr>
    </w:p>
    <w:p w:rsidR="002A4AC2" w:rsidRDefault="002A4AC2" w:rsidP="002A4AC2">
      <w:pPr>
        <w:rPr>
          <w:rFonts w:ascii="Arial" w:eastAsia="Times New Roman" w:hAnsi="Arial" w:cs="Arial"/>
          <w:b/>
          <w:noProof/>
          <w:sz w:val="22"/>
          <w:szCs w:val="22"/>
          <w:lang w:eastAsia="en-GB"/>
        </w:rPr>
      </w:pPr>
      <w:r>
        <w:rPr>
          <w:rFonts w:ascii="Arial" w:eastAsia="Times New Roman" w:hAnsi="Arial" w:cs="Arial"/>
          <w:b/>
          <w:noProof/>
          <w:sz w:val="22"/>
          <w:szCs w:val="22"/>
          <w:lang w:eastAsia="en-GB"/>
        </w:rPr>
        <w:t>Author</w:t>
      </w:r>
      <w:r w:rsidRPr="00F1550B">
        <w:rPr>
          <w:rFonts w:ascii="Arial" w:eastAsia="Times New Roman" w:hAnsi="Arial" w:cs="Arial"/>
          <w:b/>
          <w:noProof/>
          <w:sz w:val="22"/>
          <w:szCs w:val="22"/>
          <w:lang w:eastAsia="en-GB"/>
        </w:rPr>
        <w:t xml:space="preserve"> bio</w:t>
      </w:r>
      <w:r>
        <w:rPr>
          <w:rFonts w:ascii="Arial" w:eastAsia="Times New Roman" w:hAnsi="Arial" w:cs="Arial"/>
          <w:b/>
          <w:noProof/>
          <w:sz w:val="22"/>
          <w:szCs w:val="22"/>
          <w:lang w:eastAsia="en-GB"/>
        </w:rPr>
        <w:t>graphie</w:t>
      </w:r>
      <w:r w:rsidRPr="00F1550B">
        <w:rPr>
          <w:rFonts w:ascii="Arial" w:eastAsia="Times New Roman" w:hAnsi="Arial" w:cs="Arial"/>
          <w:b/>
          <w:noProof/>
          <w:sz w:val="22"/>
          <w:szCs w:val="22"/>
          <w:lang w:eastAsia="en-GB"/>
        </w:rPr>
        <w:t>s</w:t>
      </w:r>
    </w:p>
    <w:p w:rsidR="002A4AC2" w:rsidRPr="00F1550B" w:rsidRDefault="002A4AC2" w:rsidP="002A4AC2">
      <w:pPr>
        <w:rPr>
          <w:rFonts w:ascii="Arial" w:eastAsia="Times New Roman" w:hAnsi="Arial" w:cs="Arial"/>
          <w:b/>
          <w:noProof/>
          <w:sz w:val="22"/>
          <w:szCs w:val="22"/>
          <w:lang w:eastAsia="en-GB"/>
        </w:rPr>
      </w:pPr>
      <w:r w:rsidRPr="00F1550B">
        <w:rPr>
          <w:rFonts w:ascii="Arial" w:eastAsia="Times New Roman" w:hAnsi="Arial" w:cs="Arial"/>
          <w:b/>
          <w:noProof/>
          <w:sz w:val="22"/>
          <w:szCs w:val="22"/>
          <w:lang w:eastAsia="en-GB"/>
        </w:rPr>
        <w:t xml:space="preserve"> </w:t>
      </w:r>
    </w:p>
    <w:p w:rsidR="002A4AC2" w:rsidRDefault="002A4AC2" w:rsidP="002A4AC2">
      <w:pPr>
        <w:rPr>
          <w:rFonts w:cs="Times New Roman"/>
          <w:sz w:val="22"/>
          <w:szCs w:val="22"/>
        </w:rPr>
      </w:pPr>
      <w:r w:rsidRPr="00F1550B">
        <w:rPr>
          <w:rFonts w:ascii="Arial" w:hAnsi="Arial" w:cs="Arial"/>
          <w:sz w:val="22"/>
          <w:szCs w:val="22"/>
        </w:rPr>
        <w:t>Chiara Benassi</w:t>
      </w:r>
      <w:r w:rsidRPr="00B81049">
        <w:rPr>
          <w:rFonts w:cs="Times New Roman"/>
          <w:sz w:val="22"/>
          <w:szCs w:val="22"/>
        </w:rPr>
        <w:t xml:space="preserve"> is a Lecturer in Human Resource Management in the School of Management</w:t>
      </w:r>
      <w:r>
        <w:rPr>
          <w:rFonts w:cs="Times New Roman"/>
          <w:sz w:val="22"/>
          <w:szCs w:val="22"/>
        </w:rPr>
        <w:t>,</w:t>
      </w:r>
      <w:r w:rsidRPr="00B81049">
        <w:rPr>
          <w:rFonts w:cs="Times New Roman"/>
          <w:sz w:val="22"/>
          <w:szCs w:val="22"/>
        </w:rPr>
        <w:t xml:space="preserve"> Royal Holloway</w:t>
      </w:r>
      <w:r>
        <w:rPr>
          <w:rFonts w:cs="Times New Roman"/>
          <w:sz w:val="22"/>
          <w:szCs w:val="22"/>
        </w:rPr>
        <w:t>,</w:t>
      </w:r>
      <w:r w:rsidRPr="00B81049">
        <w:rPr>
          <w:rFonts w:cs="Times New Roman"/>
          <w:sz w:val="22"/>
          <w:szCs w:val="22"/>
        </w:rPr>
        <w:t xml:space="preserve"> University</w:t>
      </w:r>
      <w:r>
        <w:rPr>
          <w:rFonts w:cs="Times New Roman"/>
          <w:sz w:val="22"/>
          <w:szCs w:val="22"/>
        </w:rPr>
        <w:t xml:space="preserve"> of London, UK</w:t>
      </w:r>
      <w:r w:rsidRPr="00B81049">
        <w:rPr>
          <w:rStyle w:val="xbe"/>
          <w:sz w:val="22"/>
          <w:szCs w:val="22"/>
        </w:rPr>
        <w:t>.</w:t>
      </w:r>
    </w:p>
    <w:p w:rsidR="002A4AC2" w:rsidRDefault="002A4AC2" w:rsidP="002A4AC2">
      <w:pPr>
        <w:rPr>
          <w:rFonts w:eastAsia="Times New Roman" w:cs="Times New Roman"/>
          <w:noProof/>
          <w:sz w:val="22"/>
          <w:szCs w:val="22"/>
          <w:lang w:eastAsia="en-GB"/>
        </w:rPr>
      </w:pPr>
      <w:r w:rsidRPr="00F1550B">
        <w:rPr>
          <w:rFonts w:ascii="Arial" w:eastAsia="Times New Roman" w:hAnsi="Arial" w:cs="Arial"/>
          <w:noProof/>
          <w:sz w:val="22"/>
          <w:szCs w:val="22"/>
          <w:lang w:eastAsia="en-GB"/>
        </w:rPr>
        <w:t>Tim Vlandas</w:t>
      </w:r>
      <w:r w:rsidRPr="00B81049">
        <w:rPr>
          <w:rFonts w:eastAsia="Times New Roman" w:cs="Times New Roman"/>
          <w:noProof/>
          <w:sz w:val="22"/>
          <w:szCs w:val="22"/>
          <w:lang w:eastAsia="en-GB"/>
        </w:rPr>
        <w:t xml:space="preserve"> is a Lecturer in Politics in the Department of Politics and International Relations at the University of Reading</w:t>
      </w:r>
      <w:r>
        <w:rPr>
          <w:rFonts w:eastAsia="Times New Roman" w:cs="Times New Roman"/>
          <w:noProof/>
          <w:sz w:val="22"/>
          <w:szCs w:val="22"/>
          <w:lang w:eastAsia="en-GB"/>
        </w:rPr>
        <w:t>, UK</w:t>
      </w:r>
      <w:r w:rsidRPr="00B81049">
        <w:rPr>
          <w:rFonts w:eastAsia="Times New Roman" w:cs="Times New Roman"/>
          <w:noProof/>
          <w:sz w:val="22"/>
          <w:szCs w:val="22"/>
          <w:lang w:eastAsia="en-GB"/>
        </w:rPr>
        <w:t xml:space="preserve">. </w:t>
      </w:r>
    </w:p>
    <w:p w:rsidR="009B36EE" w:rsidRPr="0086618E" w:rsidRDefault="009B36EE" w:rsidP="00143569">
      <w:pPr>
        <w:autoSpaceDE w:val="0"/>
        <w:autoSpaceDN w:val="0"/>
        <w:adjustRightInd w:val="0"/>
        <w:ind w:firstLine="425"/>
        <w:rPr>
          <w:rFonts w:cs="Times New Roman"/>
          <w:szCs w:val="22"/>
          <w:lang w:val="en-GB"/>
        </w:rPr>
      </w:pPr>
      <w:r w:rsidRPr="0086618E">
        <w:rPr>
          <w:rFonts w:cs="Times New Roman"/>
          <w:szCs w:val="22"/>
          <w:lang w:val="en-GB"/>
        </w:rPr>
        <w:br w:type="page"/>
      </w:r>
    </w:p>
    <w:p w:rsidR="009B36EE" w:rsidRPr="00161A1C" w:rsidRDefault="00161A1C" w:rsidP="00143569">
      <w:pPr>
        <w:rPr>
          <w:rFonts w:ascii="Arial" w:hAnsi="Arial" w:cs="Arial"/>
          <w:b/>
          <w:sz w:val="22"/>
          <w:szCs w:val="22"/>
          <w:lang w:val="en-GB"/>
        </w:rPr>
      </w:pPr>
      <w:r>
        <w:rPr>
          <w:rFonts w:ascii="Arial" w:hAnsi="Arial" w:cs="Arial"/>
          <w:b/>
          <w:sz w:val="22"/>
          <w:szCs w:val="22"/>
          <w:lang w:val="en-GB"/>
        </w:rPr>
        <w:t>Table 1.</w:t>
      </w:r>
      <w:r w:rsidR="009B36EE" w:rsidRPr="00161A1C">
        <w:rPr>
          <w:rFonts w:ascii="Arial" w:hAnsi="Arial" w:cs="Arial"/>
          <w:b/>
          <w:sz w:val="22"/>
          <w:szCs w:val="22"/>
          <w:lang w:val="en-GB"/>
        </w:rPr>
        <w:t xml:space="preserve"> Measuring inclusiveness</w:t>
      </w:r>
    </w:p>
    <w:p w:rsidR="009B36EE" w:rsidRPr="0086618E" w:rsidRDefault="009B36EE" w:rsidP="00143569">
      <w:pPr>
        <w:rPr>
          <w:rFonts w:cs="Times New Roman"/>
          <w:b/>
          <w:szCs w:val="22"/>
          <w:lang w:val="en-GB"/>
        </w:rPr>
      </w:pPr>
    </w:p>
    <w:tbl>
      <w:tblPr>
        <w:tblW w:w="9797" w:type="dxa"/>
        <w:tblInd w:w="54" w:type="dxa"/>
        <w:tblLayout w:type="fixed"/>
        <w:tblCellMar>
          <w:left w:w="70" w:type="dxa"/>
          <w:right w:w="70" w:type="dxa"/>
        </w:tblCellMar>
        <w:tblLook w:val="0000"/>
      </w:tblPr>
      <w:tblGrid>
        <w:gridCol w:w="867"/>
        <w:gridCol w:w="1559"/>
        <w:gridCol w:w="2693"/>
        <w:gridCol w:w="3261"/>
        <w:gridCol w:w="1417"/>
      </w:tblGrid>
      <w:tr w:rsidR="00597677" w:rsidRPr="0086618E">
        <w:trPr>
          <w:trHeight w:val="1039"/>
        </w:trPr>
        <w:tc>
          <w:tcPr>
            <w:tcW w:w="867" w:type="dxa"/>
            <w:shd w:val="clear" w:color="auto" w:fill="auto"/>
            <w:noWrap/>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Country</w:t>
            </w:r>
          </w:p>
        </w:tc>
        <w:tc>
          <w:tcPr>
            <w:tcW w:w="1559" w:type="dxa"/>
            <w:shd w:val="clear" w:color="auto" w:fill="auto"/>
            <w:vAlign w:val="center"/>
          </w:tcPr>
          <w:p w:rsidR="00597677" w:rsidRPr="00161A1C" w:rsidRDefault="00161A1C" w:rsidP="00161A1C">
            <w:pPr>
              <w:rPr>
                <w:rFonts w:cs="Times New Roman"/>
                <w:sz w:val="22"/>
                <w:szCs w:val="22"/>
                <w:lang w:val="en-GB" w:eastAsia="it-IT"/>
              </w:rPr>
            </w:pPr>
            <w:r>
              <w:rPr>
                <w:rFonts w:cs="Times New Roman"/>
                <w:sz w:val="22"/>
                <w:szCs w:val="22"/>
                <w:lang w:val="en-GB" w:eastAsia="it-IT"/>
              </w:rPr>
              <w:t>UD (temporary workers)</w:t>
            </w:r>
          </w:p>
        </w:tc>
        <w:tc>
          <w:tcPr>
            <w:tcW w:w="2693"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Equality dimension</w:t>
            </w:r>
          </w:p>
        </w:tc>
        <w:tc>
          <w:tcPr>
            <w:tcW w:w="3261"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Compensating dimension</w:t>
            </w:r>
            <w:r w:rsidRPr="00161A1C">
              <w:rPr>
                <w:rFonts w:cs="Times New Roman"/>
                <w:sz w:val="22"/>
                <w:szCs w:val="22"/>
                <w:vertAlign w:val="superscript"/>
                <w:lang w:val="en-GB" w:eastAsia="it-IT"/>
              </w:rPr>
              <w:t>a</w:t>
            </w:r>
          </w:p>
        </w:tc>
        <w:tc>
          <w:tcPr>
            <w:tcW w:w="1417" w:type="dxa"/>
            <w:shd w:val="clear" w:color="auto" w:fill="auto"/>
            <w:vAlign w:val="center"/>
          </w:tcPr>
          <w:p w:rsidR="00597677" w:rsidRPr="00161A1C" w:rsidRDefault="00161A1C" w:rsidP="00161A1C">
            <w:pPr>
              <w:rPr>
                <w:rFonts w:cs="Times New Roman"/>
                <w:sz w:val="22"/>
                <w:szCs w:val="22"/>
                <w:lang w:val="en-GB" w:eastAsia="it-IT"/>
              </w:rPr>
            </w:pPr>
            <w:r>
              <w:rPr>
                <w:rFonts w:cs="Times New Roman"/>
                <w:sz w:val="22"/>
                <w:szCs w:val="22"/>
                <w:lang w:val="en-GB" w:eastAsia="it-IT"/>
              </w:rPr>
              <w:t>I</w:t>
            </w:r>
            <w:r w:rsidRPr="00161A1C">
              <w:rPr>
                <w:rFonts w:cs="Times New Roman"/>
                <w:sz w:val="22"/>
                <w:szCs w:val="22"/>
                <w:lang w:val="en-GB" w:eastAsia="it-IT"/>
              </w:rPr>
              <w:t xml:space="preserve">nclusiveness </w:t>
            </w:r>
            <w:r>
              <w:rPr>
                <w:rFonts w:cs="Times New Roman"/>
                <w:sz w:val="22"/>
                <w:szCs w:val="22"/>
                <w:lang w:val="en-GB" w:eastAsia="it-IT"/>
              </w:rPr>
              <w:t>i</w:t>
            </w:r>
            <w:r w:rsidR="00597677" w:rsidRPr="00161A1C">
              <w:rPr>
                <w:rFonts w:cs="Times New Roman"/>
                <w:sz w:val="22"/>
                <w:szCs w:val="22"/>
                <w:lang w:val="en-GB" w:eastAsia="it-IT"/>
              </w:rPr>
              <w:t xml:space="preserve">ndex </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AT</w:t>
            </w:r>
          </w:p>
        </w:tc>
        <w:tc>
          <w:tcPr>
            <w:tcW w:w="1559" w:type="dxa"/>
            <w:shd w:val="clear" w:color="auto" w:fill="auto"/>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27.5 (0.6)</w:t>
            </w:r>
          </w:p>
        </w:tc>
        <w:tc>
          <w:tcPr>
            <w:tcW w:w="2693" w:type="dxa"/>
            <w:shd w:val="clear" w:color="auto" w:fill="auto"/>
            <w:vAlign w:val="center"/>
          </w:tcPr>
          <w:p w:rsidR="00597677" w:rsidRPr="00161A1C" w:rsidRDefault="000D1EA2" w:rsidP="000D1EA2">
            <w:pPr>
              <w:rPr>
                <w:rFonts w:cs="Times New Roman"/>
                <w:sz w:val="22"/>
                <w:szCs w:val="22"/>
                <w:lang w:val="en-GB"/>
              </w:rPr>
            </w:pPr>
            <w:r>
              <w:rPr>
                <w:rFonts w:cs="Times New Roman"/>
                <w:sz w:val="22"/>
                <w:szCs w:val="22"/>
                <w:lang w:val="en-GB"/>
              </w:rPr>
              <w:t>Law a</w:t>
            </w:r>
            <w:r w:rsidR="00597677" w:rsidRPr="00161A1C">
              <w:rPr>
                <w:rFonts w:cs="Times New Roman"/>
                <w:sz w:val="22"/>
                <w:szCs w:val="22"/>
                <w:lang w:val="en-GB"/>
              </w:rPr>
              <w:t xml:space="preserve">mended by </w:t>
            </w:r>
            <w:r w:rsidR="00161A1C">
              <w:rPr>
                <w:rFonts w:cs="Times New Roman"/>
                <w:sz w:val="22"/>
                <w:szCs w:val="22"/>
                <w:lang w:val="en-GB"/>
              </w:rPr>
              <w:t>CA</w:t>
            </w:r>
            <w:r w:rsidR="00597677" w:rsidRPr="00161A1C">
              <w:rPr>
                <w:rFonts w:cs="Times New Roman"/>
                <w:sz w:val="22"/>
                <w:szCs w:val="22"/>
                <w:lang w:val="en-GB"/>
              </w:rPr>
              <w:t xml:space="preserve"> but </w:t>
            </w:r>
            <w:r w:rsidR="00161A1C" w:rsidRPr="00161A1C">
              <w:rPr>
                <w:rFonts w:cs="Times New Roman"/>
                <w:sz w:val="22"/>
                <w:szCs w:val="22"/>
                <w:lang w:val="en-GB"/>
              </w:rPr>
              <w:t xml:space="preserve">favourability </w:t>
            </w:r>
            <w:r w:rsidR="00597677" w:rsidRPr="00161A1C">
              <w:rPr>
                <w:rFonts w:cs="Times New Roman"/>
                <w:sz w:val="22"/>
                <w:szCs w:val="22"/>
                <w:lang w:val="en-GB"/>
              </w:rPr>
              <w:t>principle (0.2)</w:t>
            </w:r>
          </w:p>
        </w:tc>
        <w:tc>
          <w:tcPr>
            <w:tcW w:w="3261" w:type="dxa"/>
            <w:shd w:val="clear" w:color="auto" w:fill="auto"/>
          </w:tcPr>
          <w:p w:rsidR="00597677" w:rsidRPr="00161A1C" w:rsidRDefault="004E3E94" w:rsidP="00161A1C">
            <w:pPr>
              <w:rPr>
                <w:rFonts w:cs="Times New Roman"/>
                <w:sz w:val="22"/>
                <w:szCs w:val="22"/>
                <w:lang w:val="en-GB"/>
              </w:rPr>
            </w:pPr>
            <w:r>
              <w:rPr>
                <w:rFonts w:cs="Times New Roman"/>
                <w:sz w:val="22"/>
                <w:szCs w:val="22"/>
                <w:lang w:val="en-GB"/>
              </w:rPr>
              <w:t>L</w:t>
            </w:r>
            <w:r w:rsidR="00161A1C" w:rsidRPr="00161A1C">
              <w:rPr>
                <w:rFonts w:cs="Times New Roman"/>
                <w:sz w:val="22"/>
                <w:szCs w:val="22"/>
                <w:lang w:val="en-GB"/>
              </w:rPr>
              <w:t xml:space="preserve">imited </w:t>
            </w:r>
            <w:r w:rsidR="00597677" w:rsidRPr="00161A1C">
              <w:rPr>
                <w:rFonts w:cs="Times New Roman"/>
                <w:sz w:val="22"/>
                <w:szCs w:val="22"/>
                <w:lang w:val="en-GB"/>
              </w:rPr>
              <w:t xml:space="preserve">indemnity by </w:t>
            </w:r>
            <w:r w:rsidR="00161A1C">
              <w:rPr>
                <w:rFonts w:cs="Times New Roman"/>
                <w:sz w:val="22"/>
                <w:szCs w:val="22"/>
                <w:lang w:val="en-GB"/>
              </w:rPr>
              <w:t>CA</w:t>
            </w:r>
            <w:r w:rsidR="00597677" w:rsidRPr="00161A1C">
              <w:rPr>
                <w:rFonts w:cs="Times New Roman"/>
                <w:sz w:val="22"/>
                <w:szCs w:val="22"/>
                <w:lang w:val="en-GB"/>
              </w:rPr>
              <w:t xml:space="preserve"> (0.4)</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0.40</w:t>
            </w:r>
          </w:p>
        </w:tc>
      </w:tr>
      <w:tr w:rsidR="00597677" w:rsidRPr="0086618E">
        <w:trPr>
          <w:trHeight w:val="537"/>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BE</w:t>
            </w:r>
          </w:p>
        </w:tc>
        <w:tc>
          <w:tcPr>
            <w:tcW w:w="1559"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39.3 (0.6)</w:t>
            </w:r>
          </w:p>
        </w:tc>
        <w:tc>
          <w:tcPr>
            <w:tcW w:w="2693" w:type="dxa"/>
            <w:shd w:val="clear" w:color="auto" w:fill="auto"/>
            <w:vAlign w:val="center"/>
          </w:tcPr>
          <w:p w:rsidR="00597677" w:rsidRPr="00161A1C" w:rsidRDefault="00161A1C" w:rsidP="00161A1C">
            <w:pPr>
              <w:rPr>
                <w:rFonts w:cs="Times New Roman"/>
                <w:sz w:val="22"/>
                <w:szCs w:val="22"/>
                <w:lang w:val="en-GB"/>
              </w:rPr>
            </w:pPr>
            <w:r>
              <w:rPr>
                <w:rFonts w:cs="Times New Roman"/>
                <w:sz w:val="22"/>
                <w:szCs w:val="22"/>
                <w:lang w:val="en-GB"/>
              </w:rPr>
              <w:t>Law and C</w:t>
            </w:r>
            <w:r w:rsidR="00597677" w:rsidRPr="00161A1C">
              <w:rPr>
                <w:rFonts w:cs="Times New Roman"/>
                <w:sz w:val="22"/>
                <w:szCs w:val="22"/>
                <w:lang w:val="en-GB"/>
              </w:rPr>
              <w:t>A (1)</w:t>
            </w:r>
          </w:p>
        </w:tc>
        <w:tc>
          <w:tcPr>
            <w:tcW w:w="3261" w:type="dxa"/>
            <w:shd w:val="clear" w:color="auto" w:fill="auto"/>
          </w:tcPr>
          <w:p w:rsidR="00597677" w:rsidRPr="00161A1C" w:rsidRDefault="004E3E94" w:rsidP="004E3E94">
            <w:pPr>
              <w:rPr>
                <w:rFonts w:cs="Times New Roman"/>
                <w:sz w:val="22"/>
                <w:szCs w:val="22"/>
                <w:lang w:val="en-GB"/>
              </w:rPr>
            </w:pPr>
            <w:r>
              <w:rPr>
                <w:rFonts w:cs="Times New Roman"/>
                <w:sz w:val="22"/>
                <w:szCs w:val="22"/>
                <w:lang w:val="en-GB"/>
              </w:rPr>
              <w:t>T</w:t>
            </w:r>
            <w:r w:rsidR="00597677" w:rsidRPr="00161A1C">
              <w:rPr>
                <w:rFonts w:cs="Times New Roman"/>
                <w:sz w:val="22"/>
                <w:szCs w:val="22"/>
                <w:lang w:val="en-GB"/>
              </w:rPr>
              <w:t xml:space="preserve">raining </w:t>
            </w:r>
            <w:r>
              <w:rPr>
                <w:rFonts w:cs="Times New Roman"/>
                <w:sz w:val="22"/>
                <w:szCs w:val="22"/>
                <w:lang w:val="en-GB"/>
              </w:rPr>
              <w:t>provision in</w:t>
            </w:r>
            <w:r w:rsidR="00597677" w:rsidRPr="00161A1C">
              <w:rPr>
                <w:rFonts w:cs="Times New Roman"/>
                <w:sz w:val="22"/>
                <w:szCs w:val="22"/>
                <w:lang w:val="en-GB"/>
              </w:rPr>
              <w:t xml:space="preserve"> CA (0.4)</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0.67</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DK</w:t>
            </w:r>
          </w:p>
        </w:tc>
        <w:tc>
          <w:tcPr>
            <w:tcW w:w="1559"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75.9 (1</w:t>
            </w:r>
            <w:r w:rsidR="0066491F">
              <w:rPr>
                <w:rFonts w:cs="Times New Roman"/>
                <w:sz w:val="22"/>
                <w:szCs w:val="22"/>
                <w:lang w:val="en-GB" w:eastAsia="it-IT"/>
              </w:rPr>
              <w:t>.0</w:t>
            </w:r>
            <w:r w:rsidRPr="00161A1C">
              <w:rPr>
                <w:rFonts w:cs="Times New Roman"/>
                <w:sz w:val="22"/>
                <w:szCs w:val="22"/>
                <w:lang w:val="en-GB" w:eastAsia="it-IT"/>
              </w:rPr>
              <w:t>)</w:t>
            </w:r>
          </w:p>
        </w:tc>
        <w:tc>
          <w:tcPr>
            <w:tcW w:w="2693" w:type="dxa"/>
            <w:shd w:val="clear" w:color="auto" w:fill="auto"/>
            <w:vAlign w:val="center"/>
          </w:tcPr>
          <w:p w:rsidR="00597677" w:rsidRPr="00161A1C" w:rsidRDefault="00597677" w:rsidP="00161A1C">
            <w:pPr>
              <w:rPr>
                <w:rFonts w:cs="Times New Roman"/>
                <w:sz w:val="22"/>
                <w:szCs w:val="22"/>
                <w:lang w:val="en-GB"/>
              </w:rPr>
            </w:pPr>
            <w:r w:rsidRPr="00161A1C">
              <w:rPr>
                <w:rFonts w:cs="Times New Roman"/>
                <w:sz w:val="22"/>
                <w:szCs w:val="22"/>
                <w:lang w:val="en-GB"/>
              </w:rPr>
              <w:t>CA</w:t>
            </w:r>
            <w:r w:rsidR="00161A1C">
              <w:rPr>
                <w:rFonts w:cs="Times New Roman"/>
                <w:sz w:val="22"/>
                <w:szCs w:val="22"/>
                <w:lang w:val="en-GB"/>
              </w:rPr>
              <w:t>,</w:t>
            </w:r>
            <w:r w:rsidRPr="00161A1C">
              <w:rPr>
                <w:rFonts w:cs="Times New Roman"/>
                <w:sz w:val="22"/>
                <w:szCs w:val="22"/>
                <w:lang w:val="en-GB"/>
              </w:rPr>
              <w:t xml:space="preserve"> but sectoral differences (0.8)</w:t>
            </w:r>
          </w:p>
        </w:tc>
        <w:tc>
          <w:tcPr>
            <w:tcW w:w="3261" w:type="dxa"/>
            <w:shd w:val="clear" w:color="auto" w:fill="auto"/>
          </w:tcPr>
          <w:p w:rsidR="00597677" w:rsidRPr="00161A1C" w:rsidRDefault="004E3E94" w:rsidP="00161A1C">
            <w:pPr>
              <w:rPr>
                <w:rFonts w:cs="Times New Roman"/>
                <w:sz w:val="22"/>
                <w:szCs w:val="22"/>
                <w:lang w:val="en-GB"/>
              </w:rPr>
            </w:pPr>
            <w:r>
              <w:rPr>
                <w:rFonts w:cs="Times New Roman"/>
                <w:sz w:val="22"/>
                <w:szCs w:val="22"/>
                <w:lang w:val="en-GB"/>
              </w:rPr>
              <w:t>T</w:t>
            </w:r>
            <w:r w:rsidRPr="00161A1C">
              <w:rPr>
                <w:rFonts w:cs="Times New Roman"/>
                <w:sz w:val="22"/>
                <w:szCs w:val="22"/>
                <w:lang w:val="en-GB"/>
              </w:rPr>
              <w:t xml:space="preserve">raining </w:t>
            </w:r>
            <w:r>
              <w:rPr>
                <w:rFonts w:cs="Times New Roman"/>
                <w:sz w:val="22"/>
                <w:szCs w:val="22"/>
                <w:lang w:val="en-GB"/>
              </w:rPr>
              <w:t>provision in</w:t>
            </w:r>
            <w:r w:rsidRPr="00161A1C">
              <w:rPr>
                <w:rFonts w:cs="Times New Roman"/>
                <w:sz w:val="22"/>
                <w:szCs w:val="22"/>
                <w:lang w:val="en-GB"/>
              </w:rPr>
              <w:t xml:space="preserve"> CA </w:t>
            </w:r>
            <w:r w:rsidR="00597677" w:rsidRPr="00161A1C">
              <w:rPr>
                <w:rFonts w:cs="Times New Roman"/>
                <w:sz w:val="22"/>
                <w:szCs w:val="22"/>
                <w:lang w:val="en-GB"/>
              </w:rPr>
              <w:t>(0.4)</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0.73</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FI</w:t>
            </w:r>
          </w:p>
        </w:tc>
        <w:tc>
          <w:tcPr>
            <w:tcW w:w="1559"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67.4 (0.8)</w:t>
            </w:r>
          </w:p>
        </w:tc>
        <w:tc>
          <w:tcPr>
            <w:tcW w:w="2693" w:type="dxa"/>
            <w:shd w:val="clear" w:color="auto" w:fill="auto"/>
            <w:vAlign w:val="center"/>
          </w:tcPr>
          <w:p w:rsidR="00597677" w:rsidRPr="00161A1C" w:rsidRDefault="00597677" w:rsidP="00161A1C">
            <w:pPr>
              <w:rPr>
                <w:rFonts w:cs="Times New Roman"/>
                <w:sz w:val="22"/>
                <w:szCs w:val="22"/>
                <w:lang w:val="en-GB"/>
              </w:rPr>
            </w:pPr>
            <w:r w:rsidRPr="00161A1C">
              <w:rPr>
                <w:rFonts w:cs="Times New Roman"/>
                <w:sz w:val="22"/>
                <w:szCs w:val="22"/>
                <w:lang w:val="en-GB"/>
              </w:rPr>
              <w:t>CA (1)</w:t>
            </w:r>
          </w:p>
        </w:tc>
        <w:tc>
          <w:tcPr>
            <w:tcW w:w="3261" w:type="dxa"/>
            <w:shd w:val="clear" w:color="auto" w:fill="auto"/>
          </w:tcPr>
          <w:p w:rsidR="00597677" w:rsidRPr="00161A1C" w:rsidRDefault="00597677" w:rsidP="00143569">
            <w:pPr>
              <w:rPr>
                <w:rFonts w:cs="Times New Roman"/>
                <w:sz w:val="22"/>
                <w:szCs w:val="22"/>
                <w:lang w:val="en-GB"/>
              </w:rPr>
            </w:pPr>
            <w:r w:rsidRPr="00161A1C">
              <w:rPr>
                <w:rFonts w:cs="Times New Roman"/>
                <w:sz w:val="22"/>
                <w:szCs w:val="22"/>
                <w:lang w:val="en-GB"/>
              </w:rPr>
              <w:t>(0)</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0.60</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FR</w:t>
            </w:r>
          </w:p>
        </w:tc>
        <w:tc>
          <w:tcPr>
            <w:tcW w:w="1559" w:type="dxa"/>
            <w:shd w:val="clear" w:color="auto" w:fill="auto"/>
            <w:vAlign w:val="center"/>
          </w:tcPr>
          <w:p w:rsidR="00597677" w:rsidRPr="00161A1C" w:rsidRDefault="00E73EE3" w:rsidP="00143569">
            <w:pPr>
              <w:rPr>
                <w:rFonts w:cs="Times New Roman"/>
                <w:sz w:val="22"/>
                <w:szCs w:val="22"/>
                <w:lang w:val="en-GB" w:eastAsia="it-IT"/>
              </w:rPr>
            </w:pPr>
            <w:r>
              <w:rPr>
                <w:rFonts w:cs="Times New Roman"/>
                <w:sz w:val="22"/>
                <w:szCs w:val="22"/>
                <w:lang w:val="en-GB" w:eastAsia="it-IT"/>
              </w:rPr>
              <w:t xml:space="preserve"> </w:t>
            </w:r>
            <w:r w:rsidR="00597677" w:rsidRPr="00161A1C">
              <w:rPr>
                <w:rFonts w:cs="Times New Roman"/>
                <w:sz w:val="22"/>
                <w:szCs w:val="22"/>
                <w:lang w:val="en-GB" w:eastAsia="it-IT"/>
              </w:rPr>
              <w:t>2.4 (0.2)</w:t>
            </w:r>
          </w:p>
        </w:tc>
        <w:tc>
          <w:tcPr>
            <w:tcW w:w="2693" w:type="dxa"/>
            <w:shd w:val="clear" w:color="auto" w:fill="auto"/>
            <w:vAlign w:val="center"/>
          </w:tcPr>
          <w:p w:rsidR="00597677" w:rsidRPr="00161A1C" w:rsidRDefault="00161A1C" w:rsidP="00161A1C">
            <w:pPr>
              <w:rPr>
                <w:rFonts w:cs="Times New Roman"/>
                <w:sz w:val="22"/>
                <w:szCs w:val="22"/>
                <w:lang w:val="en-GB"/>
              </w:rPr>
            </w:pPr>
            <w:r>
              <w:rPr>
                <w:rFonts w:cs="Times New Roman"/>
                <w:sz w:val="22"/>
                <w:szCs w:val="22"/>
                <w:lang w:val="en-GB"/>
              </w:rPr>
              <w:t>L</w:t>
            </w:r>
            <w:r w:rsidR="00597677" w:rsidRPr="00161A1C">
              <w:rPr>
                <w:rFonts w:cs="Times New Roman"/>
                <w:sz w:val="22"/>
                <w:szCs w:val="22"/>
                <w:lang w:val="en-GB"/>
              </w:rPr>
              <w:t>aw</w:t>
            </w:r>
            <w:r w:rsidR="00E73EE3">
              <w:rPr>
                <w:rFonts w:cs="Times New Roman"/>
                <w:sz w:val="22"/>
                <w:szCs w:val="22"/>
                <w:lang w:val="en-GB"/>
              </w:rPr>
              <w:t xml:space="preserve"> </w:t>
            </w:r>
            <w:r>
              <w:rPr>
                <w:rFonts w:cs="Times New Roman"/>
                <w:sz w:val="22"/>
                <w:szCs w:val="22"/>
                <w:lang w:val="en-GB"/>
              </w:rPr>
              <w:t>and</w:t>
            </w:r>
            <w:r w:rsidR="00597677" w:rsidRPr="00161A1C">
              <w:rPr>
                <w:rFonts w:cs="Times New Roman"/>
                <w:sz w:val="22"/>
                <w:szCs w:val="22"/>
                <w:lang w:val="en-GB"/>
              </w:rPr>
              <w:t xml:space="preserve"> CA (1)</w:t>
            </w:r>
          </w:p>
        </w:tc>
        <w:tc>
          <w:tcPr>
            <w:tcW w:w="3261" w:type="dxa"/>
            <w:shd w:val="clear" w:color="auto" w:fill="auto"/>
          </w:tcPr>
          <w:p w:rsidR="00597677" w:rsidRPr="00161A1C" w:rsidRDefault="00597677" w:rsidP="00143569">
            <w:pPr>
              <w:rPr>
                <w:rFonts w:cs="Times New Roman"/>
                <w:sz w:val="22"/>
                <w:szCs w:val="22"/>
                <w:lang w:val="en-GB"/>
              </w:rPr>
            </w:pPr>
            <w:r w:rsidRPr="00161A1C">
              <w:rPr>
                <w:rFonts w:cs="Times New Roman"/>
                <w:sz w:val="22"/>
                <w:szCs w:val="22"/>
                <w:lang w:val="en-GB"/>
              </w:rPr>
              <w:t xml:space="preserve">Flexibility bonus, </w:t>
            </w:r>
            <w:r w:rsidR="004E3E94">
              <w:rPr>
                <w:rFonts w:cs="Times New Roman"/>
                <w:sz w:val="22"/>
                <w:szCs w:val="22"/>
                <w:lang w:val="en-GB"/>
              </w:rPr>
              <w:t>t</w:t>
            </w:r>
            <w:r w:rsidR="004E3E94" w:rsidRPr="00161A1C">
              <w:rPr>
                <w:rFonts w:cs="Times New Roman"/>
                <w:sz w:val="22"/>
                <w:szCs w:val="22"/>
                <w:lang w:val="en-GB"/>
              </w:rPr>
              <w:t xml:space="preserve">raining </w:t>
            </w:r>
            <w:r w:rsidR="004E3E94">
              <w:rPr>
                <w:rFonts w:cs="Times New Roman"/>
                <w:sz w:val="22"/>
                <w:szCs w:val="22"/>
                <w:lang w:val="en-GB"/>
              </w:rPr>
              <w:t>provision in</w:t>
            </w:r>
            <w:r w:rsidR="004E3E94" w:rsidRPr="00161A1C">
              <w:rPr>
                <w:rFonts w:cs="Times New Roman"/>
                <w:sz w:val="22"/>
                <w:szCs w:val="22"/>
                <w:lang w:val="en-GB"/>
              </w:rPr>
              <w:t xml:space="preserve"> CA</w:t>
            </w:r>
            <w:r w:rsidRPr="00161A1C">
              <w:rPr>
                <w:rFonts w:cs="Times New Roman"/>
                <w:sz w:val="22"/>
                <w:szCs w:val="22"/>
                <w:lang w:val="en-GB"/>
              </w:rPr>
              <w:t xml:space="preserve"> (0.8)</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0.67</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DE</w:t>
            </w:r>
          </w:p>
        </w:tc>
        <w:tc>
          <w:tcPr>
            <w:tcW w:w="1559"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10.65 (0.4)</w:t>
            </w:r>
          </w:p>
        </w:tc>
        <w:tc>
          <w:tcPr>
            <w:tcW w:w="2693" w:type="dxa"/>
            <w:shd w:val="clear" w:color="auto" w:fill="auto"/>
            <w:vAlign w:val="center"/>
          </w:tcPr>
          <w:p w:rsidR="00597677" w:rsidRPr="00161A1C" w:rsidRDefault="000D1EA2" w:rsidP="000D1EA2">
            <w:pPr>
              <w:rPr>
                <w:rFonts w:cs="Times New Roman"/>
                <w:sz w:val="22"/>
                <w:szCs w:val="22"/>
                <w:lang w:val="en-GB"/>
              </w:rPr>
            </w:pPr>
            <w:r>
              <w:rPr>
                <w:rFonts w:cs="Times New Roman"/>
                <w:sz w:val="22"/>
                <w:szCs w:val="22"/>
                <w:lang w:val="en-GB"/>
              </w:rPr>
              <w:t>Law, weakened</w:t>
            </w:r>
            <w:r w:rsidR="00597677" w:rsidRPr="00161A1C">
              <w:rPr>
                <w:rFonts w:cs="Times New Roman"/>
                <w:sz w:val="22"/>
                <w:szCs w:val="22"/>
                <w:lang w:val="en-GB"/>
              </w:rPr>
              <w:t xml:space="preserve"> by CA (0.2)</w:t>
            </w:r>
          </w:p>
        </w:tc>
        <w:tc>
          <w:tcPr>
            <w:tcW w:w="3261" w:type="dxa"/>
            <w:shd w:val="clear" w:color="auto" w:fill="auto"/>
          </w:tcPr>
          <w:p w:rsidR="00597677" w:rsidRPr="00161A1C" w:rsidRDefault="00597677" w:rsidP="00143569">
            <w:pPr>
              <w:rPr>
                <w:rFonts w:cs="Times New Roman"/>
                <w:sz w:val="22"/>
                <w:szCs w:val="22"/>
                <w:lang w:val="en-GB"/>
              </w:rPr>
            </w:pPr>
            <w:r w:rsidRPr="00161A1C">
              <w:rPr>
                <w:rFonts w:cs="Times New Roman"/>
                <w:sz w:val="22"/>
                <w:szCs w:val="22"/>
                <w:lang w:val="en-GB"/>
              </w:rPr>
              <w:t>(0)</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0.20</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EL</w:t>
            </w:r>
          </w:p>
        </w:tc>
        <w:tc>
          <w:tcPr>
            <w:tcW w:w="1559" w:type="dxa"/>
            <w:shd w:val="clear" w:color="auto" w:fill="auto"/>
            <w:vAlign w:val="center"/>
          </w:tcPr>
          <w:p w:rsidR="00597677" w:rsidRPr="00161A1C" w:rsidRDefault="00E73EE3" w:rsidP="00143569">
            <w:pPr>
              <w:rPr>
                <w:rFonts w:cs="Times New Roman"/>
                <w:sz w:val="22"/>
                <w:szCs w:val="22"/>
                <w:lang w:val="en-GB" w:eastAsia="it-IT"/>
              </w:rPr>
            </w:pPr>
            <w:r>
              <w:rPr>
                <w:rFonts w:cs="Times New Roman"/>
                <w:sz w:val="22"/>
                <w:szCs w:val="22"/>
                <w:lang w:val="en-GB" w:eastAsia="it-IT"/>
              </w:rPr>
              <w:t xml:space="preserve"> </w:t>
            </w:r>
            <w:r w:rsidR="00597677" w:rsidRPr="00161A1C">
              <w:rPr>
                <w:rFonts w:cs="Times New Roman"/>
                <w:sz w:val="22"/>
                <w:szCs w:val="22"/>
                <w:lang w:val="en-GB" w:eastAsia="it-IT"/>
              </w:rPr>
              <w:t>9.5 (0.2)</w:t>
            </w:r>
          </w:p>
        </w:tc>
        <w:tc>
          <w:tcPr>
            <w:tcW w:w="2693" w:type="dxa"/>
            <w:shd w:val="clear" w:color="auto" w:fill="auto"/>
            <w:vAlign w:val="center"/>
          </w:tcPr>
          <w:p w:rsidR="00597677" w:rsidRPr="00161A1C" w:rsidRDefault="00161A1C" w:rsidP="00161A1C">
            <w:pPr>
              <w:rPr>
                <w:rFonts w:cs="Times New Roman"/>
                <w:sz w:val="22"/>
                <w:szCs w:val="22"/>
                <w:lang w:val="en-GB"/>
              </w:rPr>
            </w:pPr>
            <w:r>
              <w:rPr>
                <w:rFonts w:cs="Times New Roman"/>
                <w:sz w:val="22"/>
                <w:szCs w:val="22"/>
                <w:lang w:val="en-GB"/>
              </w:rPr>
              <w:t>L</w:t>
            </w:r>
            <w:r w:rsidR="00597677" w:rsidRPr="00161A1C">
              <w:rPr>
                <w:rFonts w:cs="Times New Roman"/>
                <w:sz w:val="22"/>
                <w:szCs w:val="22"/>
                <w:lang w:val="en-GB"/>
              </w:rPr>
              <w:t>aw (0.2)</w:t>
            </w:r>
          </w:p>
        </w:tc>
        <w:tc>
          <w:tcPr>
            <w:tcW w:w="3261" w:type="dxa"/>
            <w:shd w:val="clear" w:color="auto" w:fill="auto"/>
          </w:tcPr>
          <w:p w:rsidR="00597677" w:rsidRPr="00161A1C" w:rsidRDefault="00597677" w:rsidP="00143569">
            <w:pPr>
              <w:rPr>
                <w:rFonts w:cs="Times New Roman"/>
                <w:sz w:val="22"/>
                <w:szCs w:val="22"/>
                <w:lang w:val="en-GB"/>
              </w:rPr>
            </w:pPr>
            <w:r w:rsidRPr="00161A1C">
              <w:rPr>
                <w:rFonts w:cs="Times New Roman"/>
                <w:sz w:val="22"/>
                <w:szCs w:val="22"/>
                <w:lang w:val="en-GB"/>
              </w:rPr>
              <w:t>(0)</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0.13</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IE</w:t>
            </w:r>
          </w:p>
        </w:tc>
        <w:tc>
          <w:tcPr>
            <w:tcW w:w="1559"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37.4 (1)</w:t>
            </w:r>
          </w:p>
        </w:tc>
        <w:tc>
          <w:tcPr>
            <w:tcW w:w="2693"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No (0)</w:t>
            </w:r>
          </w:p>
        </w:tc>
        <w:tc>
          <w:tcPr>
            <w:tcW w:w="3261" w:type="dxa"/>
            <w:shd w:val="clear" w:color="auto" w:fill="auto"/>
          </w:tcPr>
          <w:p w:rsidR="00597677" w:rsidRPr="00161A1C" w:rsidRDefault="00597677" w:rsidP="00143569">
            <w:pPr>
              <w:rPr>
                <w:rFonts w:cs="Times New Roman"/>
                <w:sz w:val="22"/>
                <w:szCs w:val="22"/>
                <w:lang w:val="en-GB"/>
              </w:rPr>
            </w:pPr>
            <w:r w:rsidRPr="00161A1C">
              <w:rPr>
                <w:rFonts w:cs="Times New Roman"/>
                <w:sz w:val="22"/>
                <w:szCs w:val="22"/>
                <w:lang w:val="en-GB"/>
              </w:rPr>
              <w:t>(0)</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0.33</w:t>
            </w:r>
          </w:p>
        </w:tc>
      </w:tr>
      <w:tr w:rsidR="00597677" w:rsidRPr="0086618E">
        <w:trPr>
          <w:trHeight w:val="260"/>
        </w:trPr>
        <w:tc>
          <w:tcPr>
            <w:tcW w:w="867" w:type="dxa"/>
            <w:shd w:val="clear" w:color="auto" w:fill="auto"/>
            <w:noWrap/>
            <w:vAlign w:val="center"/>
          </w:tcPr>
          <w:p w:rsidR="00597677" w:rsidRPr="00161A1C" w:rsidRDefault="0066491F" w:rsidP="00143569">
            <w:pPr>
              <w:rPr>
                <w:rFonts w:cs="Times New Roman"/>
                <w:sz w:val="22"/>
                <w:szCs w:val="22"/>
                <w:lang w:val="en-GB" w:eastAsia="it-IT"/>
              </w:rPr>
            </w:pPr>
            <w:r>
              <w:rPr>
                <w:rFonts w:cs="Times New Roman"/>
                <w:sz w:val="22"/>
                <w:szCs w:val="22"/>
                <w:lang w:val="en-GB" w:eastAsia="it-IT"/>
              </w:rPr>
              <w:t>IT</w:t>
            </w:r>
          </w:p>
        </w:tc>
        <w:tc>
          <w:tcPr>
            <w:tcW w:w="1559"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10.2 (0.2)</w:t>
            </w:r>
          </w:p>
        </w:tc>
        <w:tc>
          <w:tcPr>
            <w:tcW w:w="2693" w:type="dxa"/>
            <w:shd w:val="clear" w:color="auto" w:fill="auto"/>
            <w:vAlign w:val="center"/>
          </w:tcPr>
          <w:p w:rsidR="00597677" w:rsidRPr="00161A1C" w:rsidRDefault="00161A1C" w:rsidP="00161A1C">
            <w:pPr>
              <w:rPr>
                <w:rFonts w:cs="Times New Roman"/>
                <w:sz w:val="22"/>
                <w:szCs w:val="22"/>
                <w:lang w:val="en-GB"/>
              </w:rPr>
            </w:pPr>
            <w:r>
              <w:rPr>
                <w:rFonts w:cs="Times New Roman"/>
                <w:sz w:val="22"/>
                <w:szCs w:val="22"/>
                <w:lang w:val="en-GB"/>
              </w:rPr>
              <w:t>L</w:t>
            </w:r>
            <w:r w:rsidR="00597677" w:rsidRPr="00161A1C">
              <w:rPr>
                <w:rFonts w:cs="Times New Roman"/>
                <w:sz w:val="22"/>
                <w:szCs w:val="22"/>
                <w:lang w:val="en-GB"/>
              </w:rPr>
              <w:t xml:space="preserve">aw </w:t>
            </w:r>
            <w:r>
              <w:rPr>
                <w:rFonts w:cs="Times New Roman"/>
                <w:sz w:val="22"/>
                <w:szCs w:val="22"/>
                <w:lang w:val="en-GB"/>
              </w:rPr>
              <w:t>and</w:t>
            </w:r>
            <w:r w:rsidR="00597677" w:rsidRPr="00161A1C">
              <w:rPr>
                <w:rFonts w:cs="Times New Roman"/>
                <w:sz w:val="22"/>
                <w:szCs w:val="22"/>
                <w:lang w:val="en-GB"/>
              </w:rPr>
              <w:t xml:space="preserve"> CA (1)</w:t>
            </w:r>
          </w:p>
        </w:tc>
        <w:tc>
          <w:tcPr>
            <w:tcW w:w="3261" w:type="dxa"/>
            <w:shd w:val="clear" w:color="auto" w:fill="auto"/>
          </w:tcPr>
          <w:p w:rsidR="00597677" w:rsidRPr="00161A1C" w:rsidRDefault="004E3E94" w:rsidP="004E3E94">
            <w:pPr>
              <w:rPr>
                <w:rFonts w:cs="Times New Roman"/>
                <w:sz w:val="22"/>
                <w:szCs w:val="22"/>
                <w:lang w:val="en-GB"/>
              </w:rPr>
            </w:pPr>
            <w:r>
              <w:rPr>
                <w:rFonts w:cs="Times New Roman"/>
                <w:sz w:val="22"/>
                <w:szCs w:val="22"/>
                <w:lang w:val="en-GB"/>
              </w:rPr>
              <w:t>T</w:t>
            </w:r>
            <w:r w:rsidRPr="00161A1C">
              <w:rPr>
                <w:rFonts w:cs="Times New Roman"/>
                <w:sz w:val="22"/>
                <w:szCs w:val="22"/>
                <w:lang w:val="en-GB"/>
              </w:rPr>
              <w:t xml:space="preserve">raining </w:t>
            </w:r>
            <w:r>
              <w:rPr>
                <w:rFonts w:cs="Times New Roman"/>
                <w:sz w:val="22"/>
                <w:szCs w:val="22"/>
                <w:lang w:val="en-GB"/>
              </w:rPr>
              <w:t xml:space="preserve">provision and </w:t>
            </w:r>
            <w:r w:rsidRPr="00161A1C">
              <w:rPr>
                <w:rFonts w:cs="Times New Roman"/>
                <w:sz w:val="22"/>
                <w:szCs w:val="22"/>
                <w:lang w:val="en-GB"/>
              </w:rPr>
              <w:t xml:space="preserve">indemnity </w:t>
            </w:r>
            <w:r>
              <w:rPr>
                <w:rFonts w:cs="Times New Roman"/>
                <w:sz w:val="22"/>
                <w:szCs w:val="22"/>
                <w:lang w:val="en-GB"/>
              </w:rPr>
              <w:t>in</w:t>
            </w:r>
            <w:r w:rsidRPr="00161A1C">
              <w:rPr>
                <w:rFonts w:cs="Times New Roman"/>
                <w:sz w:val="22"/>
                <w:szCs w:val="22"/>
                <w:lang w:val="en-GB"/>
              </w:rPr>
              <w:t xml:space="preserve"> CA</w:t>
            </w:r>
            <w:r w:rsidR="00597677" w:rsidRPr="00161A1C">
              <w:rPr>
                <w:rFonts w:cs="Times New Roman"/>
                <w:sz w:val="22"/>
                <w:szCs w:val="22"/>
                <w:lang w:val="en-GB"/>
              </w:rPr>
              <w:t xml:space="preserve"> (0.8)</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0.67</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NL</w:t>
            </w:r>
          </w:p>
        </w:tc>
        <w:tc>
          <w:tcPr>
            <w:tcW w:w="1559"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14.6 (0.6)</w:t>
            </w:r>
          </w:p>
        </w:tc>
        <w:tc>
          <w:tcPr>
            <w:tcW w:w="2693" w:type="dxa"/>
            <w:shd w:val="clear" w:color="auto" w:fill="auto"/>
            <w:vAlign w:val="center"/>
          </w:tcPr>
          <w:p w:rsidR="00597677" w:rsidRPr="00161A1C" w:rsidRDefault="00597677" w:rsidP="00161A1C">
            <w:pPr>
              <w:rPr>
                <w:rFonts w:cs="Times New Roman"/>
                <w:sz w:val="22"/>
                <w:szCs w:val="22"/>
                <w:lang w:val="en-GB"/>
              </w:rPr>
            </w:pPr>
            <w:r w:rsidRPr="00161A1C">
              <w:rPr>
                <w:rFonts w:cs="Times New Roman"/>
                <w:sz w:val="22"/>
                <w:szCs w:val="22"/>
                <w:lang w:val="en-GB"/>
              </w:rPr>
              <w:t>CA after 26 weeks (0.8)</w:t>
            </w:r>
          </w:p>
        </w:tc>
        <w:tc>
          <w:tcPr>
            <w:tcW w:w="3261" w:type="dxa"/>
            <w:shd w:val="clear" w:color="auto" w:fill="auto"/>
          </w:tcPr>
          <w:p w:rsidR="00597677" w:rsidRPr="00161A1C" w:rsidRDefault="004E3E94" w:rsidP="00161A1C">
            <w:pPr>
              <w:rPr>
                <w:rFonts w:cs="Times New Roman"/>
                <w:sz w:val="22"/>
                <w:szCs w:val="22"/>
                <w:lang w:val="en-GB"/>
              </w:rPr>
            </w:pPr>
            <w:r>
              <w:rPr>
                <w:rFonts w:cs="Times New Roman"/>
                <w:sz w:val="22"/>
                <w:szCs w:val="22"/>
                <w:lang w:val="en-GB"/>
              </w:rPr>
              <w:t>T</w:t>
            </w:r>
            <w:r w:rsidRPr="00161A1C">
              <w:rPr>
                <w:rFonts w:cs="Times New Roman"/>
                <w:sz w:val="22"/>
                <w:szCs w:val="22"/>
                <w:lang w:val="en-GB"/>
              </w:rPr>
              <w:t xml:space="preserve">raining </w:t>
            </w:r>
            <w:r>
              <w:rPr>
                <w:rFonts w:cs="Times New Roman"/>
                <w:sz w:val="22"/>
                <w:szCs w:val="22"/>
                <w:lang w:val="en-GB"/>
              </w:rPr>
              <w:t>provision in</w:t>
            </w:r>
            <w:r w:rsidRPr="00161A1C">
              <w:rPr>
                <w:rFonts w:cs="Times New Roman"/>
                <w:sz w:val="22"/>
                <w:szCs w:val="22"/>
                <w:lang w:val="en-GB"/>
              </w:rPr>
              <w:t xml:space="preserve"> CA </w:t>
            </w:r>
            <w:r w:rsidR="00597677" w:rsidRPr="00161A1C">
              <w:rPr>
                <w:rFonts w:cs="Times New Roman"/>
                <w:sz w:val="22"/>
                <w:szCs w:val="22"/>
                <w:lang w:val="en-GB"/>
              </w:rPr>
              <w:t>(0.4)</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0.60</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PT</w:t>
            </w:r>
          </w:p>
        </w:tc>
        <w:tc>
          <w:tcPr>
            <w:tcW w:w="1559" w:type="dxa"/>
            <w:shd w:val="clear" w:color="auto" w:fill="auto"/>
            <w:vAlign w:val="center"/>
          </w:tcPr>
          <w:p w:rsidR="00597677" w:rsidRPr="00161A1C" w:rsidRDefault="00E73EE3" w:rsidP="00143569">
            <w:pPr>
              <w:rPr>
                <w:rFonts w:cs="Times New Roman"/>
                <w:sz w:val="22"/>
                <w:szCs w:val="22"/>
                <w:lang w:val="en-GB" w:eastAsia="it-IT"/>
              </w:rPr>
            </w:pPr>
            <w:r>
              <w:rPr>
                <w:rFonts w:cs="Times New Roman"/>
                <w:sz w:val="22"/>
                <w:szCs w:val="22"/>
                <w:lang w:val="en-GB" w:eastAsia="it-IT"/>
              </w:rPr>
              <w:t xml:space="preserve"> </w:t>
            </w:r>
            <w:r w:rsidR="00597677" w:rsidRPr="00161A1C">
              <w:rPr>
                <w:rFonts w:cs="Times New Roman"/>
                <w:sz w:val="22"/>
                <w:szCs w:val="22"/>
                <w:lang w:val="en-GB" w:eastAsia="it-IT"/>
              </w:rPr>
              <w:t>2</w:t>
            </w:r>
            <w:r w:rsidR="0066491F">
              <w:rPr>
                <w:rFonts w:cs="Times New Roman"/>
                <w:sz w:val="22"/>
                <w:szCs w:val="22"/>
                <w:lang w:val="en-GB" w:eastAsia="it-IT"/>
              </w:rPr>
              <w:t>.0</w:t>
            </w:r>
            <w:r w:rsidR="00597677" w:rsidRPr="00161A1C">
              <w:rPr>
                <w:rFonts w:cs="Times New Roman"/>
                <w:sz w:val="22"/>
                <w:szCs w:val="22"/>
                <w:lang w:val="en-GB" w:eastAsia="it-IT"/>
              </w:rPr>
              <w:t xml:space="preserve"> (0)</w:t>
            </w:r>
          </w:p>
        </w:tc>
        <w:tc>
          <w:tcPr>
            <w:tcW w:w="2693" w:type="dxa"/>
            <w:shd w:val="clear" w:color="auto" w:fill="auto"/>
            <w:vAlign w:val="center"/>
          </w:tcPr>
          <w:p w:rsidR="00597677" w:rsidRPr="00161A1C" w:rsidRDefault="00161A1C" w:rsidP="00161A1C">
            <w:pPr>
              <w:rPr>
                <w:rFonts w:cs="Times New Roman"/>
                <w:sz w:val="22"/>
                <w:szCs w:val="22"/>
                <w:lang w:val="en-GB"/>
              </w:rPr>
            </w:pPr>
            <w:r>
              <w:rPr>
                <w:rFonts w:cs="Times New Roman"/>
                <w:sz w:val="22"/>
                <w:szCs w:val="22"/>
                <w:lang w:val="en-GB"/>
              </w:rPr>
              <w:t>L</w:t>
            </w:r>
            <w:r w:rsidR="00597677" w:rsidRPr="00161A1C">
              <w:rPr>
                <w:rFonts w:cs="Times New Roman"/>
                <w:sz w:val="22"/>
                <w:szCs w:val="22"/>
                <w:lang w:val="en-GB"/>
              </w:rPr>
              <w:t>aw (0.2)</w:t>
            </w:r>
          </w:p>
        </w:tc>
        <w:tc>
          <w:tcPr>
            <w:tcW w:w="3261" w:type="dxa"/>
            <w:shd w:val="clear" w:color="auto" w:fill="auto"/>
          </w:tcPr>
          <w:p w:rsidR="00597677" w:rsidRPr="00161A1C" w:rsidRDefault="00597677" w:rsidP="00143569">
            <w:pPr>
              <w:rPr>
                <w:rFonts w:cs="Times New Roman"/>
                <w:sz w:val="22"/>
                <w:szCs w:val="22"/>
                <w:lang w:val="en-GB"/>
              </w:rPr>
            </w:pPr>
            <w:r w:rsidRPr="00161A1C">
              <w:rPr>
                <w:rFonts w:cs="Times New Roman"/>
                <w:sz w:val="22"/>
                <w:szCs w:val="22"/>
                <w:lang w:val="en-GB"/>
              </w:rPr>
              <w:t>(0.2)</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0.13</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ES</w:t>
            </w:r>
          </w:p>
        </w:tc>
        <w:tc>
          <w:tcPr>
            <w:tcW w:w="1559" w:type="dxa"/>
            <w:shd w:val="clear" w:color="auto" w:fill="auto"/>
            <w:vAlign w:val="center"/>
          </w:tcPr>
          <w:p w:rsidR="00597677" w:rsidRPr="00161A1C" w:rsidRDefault="00E73EE3" w:rsidP="00143569">
            <w:pPr>
              <w:rPr>
                <w:rFonts w:cs="Times New Roman"/>
                <w:sz w:val="22"/>
                <w:szCs w:val="22"/>
                <w:lang w:val="en-GB" w:eastAsia="it-IT"/>
              </w:rPr>
            </w:pPr>
            <w:r>
              <w:rPr>
                <w:rFonts w:cs="Times New Roman"/>
                <w:sz w:val="22"/>
                <w:szCs w:val="22"/>
                <w:lang w:val="en-GB" w:eastAsia="it-IT"/>
              </w:rPr>
              <w:t xml:space="preserve"> </w:t>
            </w:r>
            <w:r w:rsidR="00597677" w:rsidRPr="00161A1C">
              <w:rPr>
                <w:rFonts w:cs="Times New Roman"/>
                <w:sz w:val="22"/>
                <w:szCs w:val="22"/>
                <w:lang w:val="en-GB" w:eastAsia="it-IT"/>
              </w:rPr>
              <w:t>5.4 (0.2)</w:t>
            </w:r>
          </w:p>
        </w:tc>
        <w:tc>
          <w:tcPr>
            <w:tcW w:w="2693" w:type="dxa"/>
            <w:shd w:val="clear" w:color="auto" w:fill="auto"/>
            <w:vAlign w:val="center"/>
          </w:tcPr>
          <w:p w:rsidR="00597677" w:rsidRPr="00161A1C" w:rsidRDefault="00161A1C" w:rsidP="00161A1C">
            <w:pPr>
              <w:rPr>
                <w:rFonts w:cs="Times New Roman"/>
                <w:sz w:val="22"/>
                <w:szCs w:val="22"/>
                <w:lang w:val="en-GB"/>
              </w:rPr>
            </w:pPr>
            <w:r>
              <w:rPr>
                <w:rFonts w:cs="Times New Roman"/>
                <w:sz w:val="22"/>
                <w:szCs w:val="22"/>
                <w:lang w:val="en-GB"/>
              </w:rPr>
              <w:t>Law and</w:t>
            </w:r>
            <w:r w:rsidR="00597677" w:rsidRPr="00161A1C">
              <w:rPr>
                <w:rFonts w:cs="Times New Roman"/>
                <w:sz w:val="22"/>
                <w:szCs w:val="22"/>
                <w:lang w:val="en-GB"/>
              </w:rPr>
              <w:t xml:space="preserve"> CA (1)</w:t>
            </w:r>
          </w:p>
        </w:tc>
        <w:tc>
          <w:tcPr>
            <w:tcW w:w="3261" w:type="dxa"/>
            <w:shd w:val="clear" w:color="auto" w:fill="auto"/>
          </w:tcPr>
          <w:p w:rsidR="00597677" w:rsidRPr="00161A1C" w:rsidRDefault="004E3E94" w:rsidP="00161A1C">
            <w:pPr>
              <w:rPr>
                <w:rFonts w:cs="Times New Roman"/>
                <w:sz w:val="22"/>
                <w:szCs w:val="22"/>
                <w:lang w:val="en-GB"/>
              </w:rPr>
            </w:pPr>
            <w:r>
              <w:rPr>
                <w:rFonts w:cs="Times New Roman"/>
                <w:sz w:val="22"/>
                <w:szCs w:val="22"/>
                <w:lang w:val="en-GB"/>
              </w:rPr>
              <w:t>T</w:t>
            </w:r>
            <w:r w:rsidRPr="00161A1C">
              <w:rPr>
                <w:rFonts w:cs="Times New Roman"/>
                <w:sz w:val="22"/>
                <w:szCs w:val="22"/>
                <w:lang w:val="en-GB"/>
              </w:rPr>
              <w:t xml:space="preserve">raining </w:t>
            </w:r>
            <w:r>
              <w:rPr>
                <w:rFonts w:cs="Times New Roman"/>
                <w:sz w:val="22"/>
                <w:szCs w:val="22"/>
                <w:lang w:val="en-GB"/>
              </w:rPr>
              <w:t>provision in</w:t>
            </w:r>
            <w:r w:rsidRPr="00161A1C">
              <w:rPr>
                <w:rFonts w:cs="Times New Roman"/>
                <w:sz w:val="22"/>
                <w:szCs w:val="22"/>
                <w:lang w:val="en-GB"/>
              </w:rPr>
              <w:t xml:space="preserve"> CA </w:t>
            </w:r>
            <w:r w:rsidR="00597677" w:rsidRPr="00161A1C">
              <w:rPr>
                <w:rFonts w:cs="Times New Roman"/>
                <w:sz w:val="22"/>
                <w:szCs w:val="22"/>
                <w:lang w:val="en-GB"/>
              </w:rPr>
              <w:t>(0.4)</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0.53</w:t>
            </w:r>
          </w:p>
        </w:tc>
      </w:tr>
      <w:tr w:rsidR="00597677" w:rsidRPr="0086618E">
        <w:trPr>
          <w:trHeight w:val="260"/>
        </w:trPr>
        <w:tc>
          <w:tcPr>
            <w:tcW w:w="867" w:type="dxa"/>
            <w:shd w:val="clear" w:color="auto" w:fill="auto"/>
            <w:noWrap/>
            <w:vAlign w:val="center"/>
          </w:tcPr>
          <w:p w:rsidR="00597677" w:rsidRPr="00161A1C" w:rsidRDefault="00161A1C" w:rsidP="00143569">
            <w:pPr>
              <w:rPr>
                <w:rFonts w:cs="Times New Roman"/>
                <w:sz w:val="22"/>
                <w:szCs w:val="22"/>
                <w:lang w:val="en-GB" w:eastAsia="it-IT"/>
              </w:rPr>
            </w:pPr>
            <w:r>
              <w:rPr>
                <w:rFonts w:cs="Times New Roman"/>
                <w:sz w:val="22"/>
                <w:szCs w:val="22"/>
                <w:lang w:val="en-GB" w:eastAsia="it-IT"/>
              </w:rPr>
              <w:t>SE</w:t>
            </w:r>
          </w:p>
        </w:tc>
        <w:tc>
          <w:tcPr>
            <w:tcW w:w="1559" w:type="dxa"/>
            <w:shd w:val="clear" w:color="auto" w:fill="auto"/>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59.8 (0.6)</w:t>
            </w:r>
          </w:p>
        </w:tc>
        <w:tc>
          <w:tcPr>
            <w:tcW w:w="2693" w:type="dxa"/>
            <w:shd w:val="clear" w:color="auto" w:fill="auto"/>
            <w:vAlign w:val="center"/>
          </w:tcPr>
          <w:p w:rsidR="00597677" w:rsidRPr="00161A1C" w:rsidRDefault="000D1EA2" w:rsidP="000D1EA2">
            <w:pPr>
              <w:rPr>
                <w:rFonts w:cs="Times New Roman"/>
                <w:sz w:val="22"/>
                <w:szCs w:val="22"/>
                <w:lang w:val="en-GB"/>
              </w:rPr>
            </w:pPr>
            <w:r>
              <w:rPr>
                <w:rFonts w:cs="Times New Roman"/>
                <w:sz w:val="22"/>
                <w:szCs w:val="22"/>
                <w:lang w:val="en-GB"/>
              </w:rPr>
              <w:t>CA</w:t>
            </w:r>
            <w:r w:rsidR="00597677" w:rsidRPr="00161A1C">
              <w:rPr>
                <w:rFonts w:cs="Times New Roman"/>
                <w:sz w:val="22"/>
                <w:szCs w:val="22"/>
                <w:lang w:val="en-GB"/>
              </w:rPr>
              <w:t xml:space="preserve"> but only for blue</w:t>
            </w:r>
            <w:r>
              <w:rPr>
                <w:rFonts w:cs="Times New Roman"/>
                <w:sz w:val="22"/>
                <w:szCs w:val="22"/>
                <w:lang w:val="en-GB"/>
              </w:rPr>
              <w:t>-</w:t>
            </w:r>
            <w:r w:rsidR="00597677" w:rsidRPr="00161A1C">
              <w:rPr>
                <w:rFonts w:cs="Times New Roman"/>
                <w:sz w:val="22"/>
                <w:szCs w:val="22"/>
                <w:lang w:val="en-GB"/>
              </w:rPr>
              <w:t>collar</w:t>
            </w:r>
            <w:r>
              <w:rPr>
                <w:rFonts w:cs="Times New Roman"/>
                <w:sz w:val="22"/>
                <w:szCs w:val="22"/>
                <w:lang w:val="en-GB"/>
              </w:rPr>
              <w:t xml:space="preserve"> workers</w:t>
            </w:r>
            <w:r w:rsidR="00597677" w:rsidRPr="00161A1C">
              <w:rPr>
                <w:rFonts w:cs="Times New Roman"/>
                <w:sz w:val="22"/>
                <w:szCs w:val="22"/>
                <w:lang w:val="en-GB"/>
              </w:rPr>
              <w:t xml:space="preserve"> (0.8)</w:t>
            </w:r>
          </w:p>
        </w:tc>
        <w:tc>
          <w:tcPr>
            <w:tcW w:w="3261" w:type="dxa"/>
            <w:shd w:val="clear" w:color="auto" w:fill="auto"/>
          </w:tcPr>
          <w:p w:rsidR="00597677" w:rsidRPr="00161A1C" w:rsidRDefault="004E3E94" w:rsidP="00161A1C">
            <w:pPr>
              <w:rPr>
                <w:rFonts w:cs="Times New Roman"/>
                <w:sz w:val="22"/>
                <w:szCs w:val="22"/>
                <w:lang w:val="en-GB"/>
              </w:rPr>
            </w:pPr>
            <w:r>
              <w:rPr>
                <w:rFonts w:cs="Times New Roman"/>
                <w:sz w:val="22"/>
                <w:szCs w:val="22"/>
                <w:lang w:val="en-GB"/>
              </w:rPr>
              <w:t>T</w:t>
            </w:r>
            <w:r w:rsidRPr="00161A1C">
              <w:rPr>
                <w:rFonts w:cs="Times New Roman"/>
                <w:sz w:val="22"/>
                <w:szCs w:val="22"/>
                <w:lang w:val="en-GB"/>
              </w:rPr>
              <w:t xml:space="preserve">raining </w:t>
            </w:r>
            <w:r>
              <w:rPr>
                <w:rFonts w:cs="Times New Roman"/>
                <w:sz w:val="22"/>
                <w:szCs w:val="22"/>
                <w:lang w:val="en-GB"/>
              </w:rPr>
              <w:t xml:space="preserve">provision and </w:t>
            </w:r>
            <w:r w:rsidRPr="00161A1C">
              <w:rPr>
                <w:rFonts w:cs="Times New Roman"/>
                <w:sz w:val="22"/>
                <w:szCs w:val="22"/>
                <w:lang w:val="en-GB"/>
              </w:rPr>
              <w:t xml:space="preserve">indemnity </w:t>
            </w:r>
            <w:r>
              <w:rPr>
                <w:rFonts w:cs="Times New Roman"/>
                <w:sz w:val="22"/>
                <w:szCs w:val="22"/>
                <w:lang w:val="en-GB"/>
              </w:rPr>
              <w:t>in</w:t>
            </w:r>
            <w:r w:rsidRPr="00161A1C">
              <w:rPr>
                <w:rFonts w:cs="Times New Roman"/>
                <w:sz w:val="22"/>
                <w:szCs w:val="22"/>
                <w:lang w:val="en-GB"/>
              </w:rPr>
              <w:t xml:space="preserve"> CA </w:t>
            </w:r>
            <w:r w:rsidR="00597677" w:rsidRPr="00161A1C">
              <w:rPr>
                <w:rFonts w:cs="Times New Roman"/>
                <w:sz w:val="22"/>
                <w:szCs w:val="22"/>
                <w:lang w:val="en-GB"/>
              </w:rPr>
              <w:t>(0.8)</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0.73</w:t>
            </w:r>
          </w:p>
        </w:tc>
      </w:tr>
      <w:tr w:rsidR="00597677" w:rsidRPr="0086618E">
        <w:trPr>
          <w:trHeight w:val="260"/>
        </w:trPr>
        <w:tc>
          <w:tcPr>
            <w:tcW w:w="867" w:type="dxa"/>
            <w:shd w:val="clear" w:color="auto" w:fill="auto"/>
            <w:noWrap/>
            <w:vAlign w:val="center"/>
          </w:tcPr>
          <w:p w:rsidR="00597677" w:rsidRPr="00161A1C" w:rsidRDefault="00597677" w:rsidP="00143569">
            <w:pPr>
              <w:rPr>
                <w:rFonts w:cs="Times New Roman"/>
                <w:sz w:val="22"/>
                <w:szCs w:val="22"/>
                <w:lang w:val="en-GB" w:eastAsia="it-IT"/>
              </w:rPr>
            </w:pPr>
            <w:r w:rsidRPr="00161A1C">
              <w:rPr>
                <w:rFonts w:cs="Times New Roman"/>
                <w:sz w:val="22"/>
                <w:szCs w:val="22"/>
                <w:lang w:val="en-GB" w:eastAsia="it-IT"/>
              </w:rPr>
              <w:t>UK</w:t>
            </w:r>
          </w:p>
        </w:tc>
        <w:tc>
          <w:tcPr>
            <w:tcW w:w="1559" w:type="dxa"/>
            <w:shd w:val="clear" w:color="auto" w:fill="auto"/>
            <w:vAlign w:val="center"/>
          </w:tcPr>
          <w:p w:rsidR="00597677" w:rsidRPr="00161A1C" w:rsidRDefault="00E73EE3" w:rsidP="00143569">
            <w:pPr>
              <w:rPr>
                <w:rFonts w:cs="Times New Roman"/>
                <w:sz w:val="22"/>
                <w:szCs w:val="22"/>
                <w:lang w:val="en-GB" w:eastAsia="it-IT"/>
              </w:rPr>
            </w:pPr>
            <w:r>
              <w:rPr>
                <w:rFonts w:cs="Times New Roman"/>
                <w:sz w:val="22"/>
                <w:szCs w:val="22"/>
                <w:lang w:val="en-GB" w:eastAsia="it-IT"/>
              </w:rPr>
              <w:t xml:space="preserve"> </w:t>
            </w:r>
            <w:r w:rsidR="00597677" w:rsidRPr="00161A1C">
              <w:rPr>
                <w:rFonts w:cs="Times New Roman"/>
                <w:sz w:val="22"/>
                <w:szCs w:val="22"/>
                <w:lang w:val="en-GB" w:eastAsia="it-IT"/>
              </w:rPr>
              <w:t>9.8 (0.2)</w:t>
            </w:r>
          </w:p>
        </w:tc>
        <w:tc>
          <w:tcPr>
            <w:tcW w:w="2693"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No (0)</w:t>
            </w:r>
          </w:p>
        </w:tc>
        <w:tc>
          <w:tcPr>
            <w:tcW w:w="3261" w:type="dxa"/>
            <w:shd w:val="clear" w:color="auto" w:fill="auto"/>
          </w:tcPr>
          <w:p w:rsidR="00597677" w:rsidRPr="00161A1C" w:rsidRDefault="00597677" w:rsidP="00143569">
            <w:pPr>
              <w:rPr>
                <w:rFonts w:cs="Times New Roman"/>
                <w:sz w:val="22"/>
                <w:szCs w:val="22"/>
                <w:lang w:val="en-GB"/>
              </w:rPr>
            </w:pPr>
            <w:r w:rsidRPr="00161A1C">
              <w:rPr>
                <w:rFonts w:cs="Times New Roman"/>
                <w:sz w:val="22"/>
                <w:szCs w:val="22"/>
                <w:lang w:val="en-GB"/>
              </w:rPr>
              <w:t>(0)</w:t>
            </w:r>
          </w:p>
        </w:tc>
        <w:tc>
          <w:tcPr>
            <w:tcW w:w="1417" w:type="dxa"/>
            <w:shd w:val="clear" w:color="auto" w:fill="auto"/>
            <w:vAlign w:val="center"/>
          </w:tcPr>
          <w:p w:rsidR="00597677" w:rsidRPr="00161A1C" w:rsidRDefault="00597677" w:rsidP="00143569">
            <w:pPr>
              <w:rPr>
                <w:rFonts w:cs="Times New Roman"/>
                <w:sz w:val="22"/>
                <w:szCs w:val="22"/>
                <w:lang w:val="en-GB"/>
              </w:rPr>
            </w:pPr>
            <w:r w:rsidRPr="00161A1C">
              <w:rPr>
                <w:rFonts w:cs="Times New Roman"/>
                <w:sz w:val="22"/>
                <w:szCs w:val="22"/>
                <w:lang w:val="en-GB"/>
              </w:rPr>
              <w:t>0.07</w:t>
            </w:r>
          </w:p>
        </w:tc>
      </w:tr>
    </w:tbl>
    <w:p w:rsidR="00161A1C" w:rsidRPr="00161A1C" w:rsidRDefault="00597677" w:rsidP="00161A1C">
      <w:pPr>
        <w:pStyle w:val="Testonormale"/>
        <w:rPr>
          <w:rFonts w:ascii="Times New Roman" w:hAnsi="Times New Roman"/>
          <w:szCs w:val="22"/>
          <w:lang w:val="en-GB" w:bidi="gu-IN"/>
        </w:rPr>
      </w:pPr>
      <w:r w:rsidRPr="00161A1C">
        <w:rPr>
          <w:rFonts w:ascii="Times New Roman" w:hAnsi="Times New Roman"/>
          <w:szCs w:val="22"/>
          <w:lang w:val="en-GB" w:bidi="gu-IN"/>
        </w:rPr>
        <w:t xml:space="preserve">Note: </w:t>
      </w:r>
    </w:p>
    <w:p w:rsidR="00143569" w:rsidRDefault="00597677" w:rsidP="00143569">
      <w:pPr>
        <w:rPr>
          <w:rFonts w:cs="Times New Roman"/>
          <w:sz w:val="22"/>
          <w:szCs w:val="22"/>
          <w:lang w:val="en-GB"/>
        </w:rPr>
      </w:pPr>
      <w:r w:rsidRPr="00161A1C">
        <w:rPr>
          <w:rFonts w:cs="Times New Roman"/>
          <w:sz w:val="22"/>
          <w:szCs w:val="22"/>
          <w:lang w:val="en-GB"/>
        </w:rPr>
        <w:t xml:space="preserve">Calibrated values used for the fsQCA analysis are shown in </w:t>
      </w:r>
      <w:r w:rsidR="00161A1C">
        <w:rPr>
          <w:rFonts w:cs="Times New Roman"/>
          <w:sz w:val="22"/>
          <w:szCs w:val="22"/>
          <w:lang w:val="en-GB"/>
        </w:rPr>
        <w:t>parentheses</w:t>
      </w:r>
    </w:p>
    <w:p w:rsidR="0066491F" w:rsidRDefault="0066491F" w:rsidP="00143569">
      <w:pPr>
        <w:rPr>
          <w:rFonts w:cs="Times New Roman"/>
          <w:sz w:val="22"/>
          <w:szCs w:val="22"/>
          <w:lang w:val="en-GB"/>
        </w:rPr>
      </w:pPr>
      <w:r>
        <w:rPr>
          <w:rFonts w:cs="Times New Roman"/>
          <w:sz w:val="22"/>
          <w:szCs w:val="22"/>
          <w:lang w:val="en-GB"/>
        </w:rPr>
        <w:t>UD = union density</w:t>
      </w:r>
    </w:p>
    <w:p w:rsidR="00161A1C" w:rsidRDefault="00161A1C" w:rsidP="00143569">
      <w:pPr>
        <w:rPr>
          <w:rFonts w:cs="Times New Roman"/>
          <w:sz w:val="22"/>
          <w:szCs w:val="22"/>
          <w:lang w:val="en-GB"/>
        </w:rPr>
      </w:pPr>
      <w:r>
        <w:rPr>
          <w:rFonts w:cs="Times New Roman"/>
          <w:sz w:val="22"/>
          <w:szCs w:val="22"/>
          <w:lang w:val="en-GB"/>
        </w:rPr>
        <w:t>CA = collective agreement</w:t>
      </w:r>
    </w:p>
    <w:p w:rsidR="0066491F" w:rsidRPr="0066491F" w:rsidRDefault="0066491F" w:rsidP="00143569">
      <w:pPr>
        <w:rPr>
          <w:rFonts w:cs="Times New Roman"/>
          <w:sz w:val="22"/>
          <w:szCs w:val="22"/>
          <w:vertAlign w:val="superscript"/>
          <w:lang w:val="en-GB"/>
        </w:rPr>
      </w:pPr>
      <w:r>
        <w:rPr>
          <w:rFonts w:cs="Times New Roman"/>
          <w:sz w:val="22"/>
          <w:szCs w:val="22"/>
          <w:vertAlign w:val="superscript"/>
          <w:lang w:val="en-GB"/>
        </w:rPr>
        <w:t>a</w:t>
      </w:r>
      <w:r w:rsidR="004E3E94">
        <w:rPr>
          <w:rFonts w:cs="Times New Roman"/>
          <w:sz w:val="22"/>
          <w:szCs w:val="22"/>
          <w:vertAlign w:val="superscript"/>
          <w:lang w:val="en-GB"/>
        </w:rPr>
        <w:t xml:space="preserve"> </w:t>
      </w:r>
      <w:r w:rsidR="004E3E94">
        <w:rPr>
          <w:rFonts w:cs="Times New Roman"/>
          <w:iCs/>
          <w:sz w:val="22"/>
          <w:szCs w:val="22"/>
          <w:lang w:val="en-GB" w:eastAsia="it-IT"/>
        </w:rPr>
        <w:t>F</w:t>
      </w:r>
      <w:r w:rsidR="004E3E94" w:rsidRPr="00B81049">
        <w:rPr>
          <w:rFonts w:cs="Times New Roman"/>
          <w:iCs/>
          <w:sz w:val="22"/>
          <w:szCs w:val="22"/>
          <w:lang w:val="en-GB" w:eastAsia="it-IT"/>
        </w:rPr>
        <w:t>lexibility bonus, supplementary training, indemnity for availability</w:t>
      </w:r>
    </w:p>
    <w:p w:rsidR="00143569" w:rsidRDefault="009B36EE" w:rsidP="00143569">
      <w:pPr>
        <w:rPr>
          <w:rFonts w:cs="Times New Roman"/>
          <w:szCs w:val="22"/>
          <w:lang w:val="en-GB"/>
        </w:rPr>
      </w:pPr>
      <w:r w:rsidRPr="0086618E">
        <w:rPr>
          <w:rFonts w:cs="Times New Roman"/>
          <w:szCs w:val="22"/>
          <w:lang w:val="en-GB"/>
        </w:rPr>
        <w:br w:type="page"/>
      </w:r>
    </w:p>
    <w:p w:rsidR="009B36EE" w:rsidRDefault="009B36EE" w:rsidP="00143569">
      <w:pPr>
        <w:autoSpaceDE w:val="0"/>
        <w:autoSpaceDN w:val="0"/>
        <w:adjustRightInd w:val="0"/>
        <w:rPr>
          <w:rFonts w:ascii="Arial" w:hAnsi="Arial" w:cs="Arial"/>
          <w:b/>
          <w:sz w:val="22"/>
          <w:szCs w:val="22"/>
          <w:lang w:val="en-GB"/>
        </w:rPr>
      </w:pPr>
      <w:r w:rsidRPr="00C47169">
        <w:rPr>
          <w:rFonts w:ascii="Arial" w:hAnsi="Arial" w:cs="Arial"/>
          <w:b/>
          <w:sz w:val="22"/>
          <w:szCs w:val="22"/>
          <w:lang w:val="en-GB"/>
        </w:rPr>
        <w:t>Table 2</w:t>
      </w:r>
      <w:r w:rsidR="00C47169">
        <w:rPr>
          <w:rFonts w:ascii="Arial" w:hAnsi="Arial" w:cs="Arial"/>
          <w:b/>
          <w:sz w:val="22"/>
          <w:szCs w:val="22"/>
          <w:lang w:val="en-GB"/>
        </w:rPr>
        <w:t>.</w:t>
      </w:r>
      <w:r w:rsidRPr="00C47169">
        <w:rPr>
          <w:rFonts w:ascii="Arial" w:hAnsi="Arial" w:cs="Arial"/>
          <w:b/>
          <w:sz w:val="22"/>
          <w:szCs w:val="22"/>
          <w:lang w:val="en-GB"/>
        </w:rPr>
        <w:t xml:space="preserve"> Necessary conditions for union inclusiveness</w:t>
      </w:r>
    </w:p>
    <w:p w:rsidR="00C47169" w:rsidRPr="00C47169" w:rsidRDefault="00C47169" w:rsidP="00143569">
      <w:pPr>
        <w:autoSpaceDE w:val="0"/>
        <w:autoSpaceDN w:val="0"/>
        <w:adjustRightInd w:val="0"/>
        <w:rPr>
          <w:rFonts w:ascii="Arial" w:hAnsi="Arial" w:cs="Arial"/>
          <w:b/>
          <w:sz w:val="22"/>
          <w:szCs w:val="22"/>
          <w:lang w:val="en-GB"/>
        </w:rPr>
      </w:pPr>
    </w:p>
    <w:tbl>
      <w:tblPr>
        <w:tblW w:w="0" w:type="auto"/>
        <w:tblLook w:val="04A0"/>
      </w:tblPr>
      <w:tblGrid>
        <w:gridCol w:w="3681"/>
        <w:gridCol w:w="2362"/>
        <w:gridCol w:w="2362"/>
      </w:tblGrid>
      <w:tr w:rsidR="009B36EE" w:rsidRPr="00C47169">
        <w:tc>
          <w:tcPr>
            <w:tcW w:w="3681" w:type="dxa"/>
            <w:shd w:val="clear" w:color="auto" w:fill="auto"/>
          </w:tcPr>
          <w:p w:rsidR="009B36EE" w:rsidRPr="00C47169" w:rsidRDefault="009B36EE" w:rsidP="00C47169">
            <w:pPr>
              <w:rPr>
                <w:rFonts w:eastAsia="Cambria" w:cs="Times New Roman"/>
                <w:b/>
                <w:sz w:val="22"/>
                <w:szCs w:val="22"/>
                <w:lang w:val="en-GB"/>
              </w:rPr>
            </w:pPr>
            <w:r w:rsidRPr="00C47169">
              <w:rPr>
                <w:rFonts w:eastAsia="Cambria" w:cs="Times New Roman"/>
                <w:b/>
                <w:sz w:val="22"/>
                <w:szCs w:val="22"/>
                <w:lang w:val="en-GB"/>
              </w:rPr>
              <w:t xml:space="preserve">Conditions tested </w:t>
            </w:r>
          </w:p>
        </w:tc>
        <w:tc>
          <w:tcPr>
            <w:tcW w:w="2362" w:type="dxa"/>
            <w:shd w:val="clear" w:color="auto" w:fill="auto"/>
          </w:tcPr>
          <w:p w:rsidR="009B36EE" w:rsidRPr="00C47169" w:rsidRDefault="009B36EE" w:rsidP="00143569">
            <w:pPr>
              <w:rPr>
                <w:rFonts w:eastAsia="Cambria" w:cs="Times New Roman"/>
                <w:b/>
                <w:sz w:val="22"/>
                <w:szCs w:val="22"/>
                <w:lang w:val="en-GB"/>
              </w:rPr>
            </w:pPr>
            <w:r w:rsidRPr="00C47169">
              <w:rPr>
                <w:rFonts w:eastAsia="Cambria" w:cs="Times New Roman"/>
                <w:b/>
                <w:sz w:val="22"/>
                <w:szCs w:val="22"/>
                <w:lang w:val="en-GB"/>
              </w:rPr>
              <w:t xml:space="preserve">Consistency </w:t>
            </w:r>
          </w:p>
        </w:tc>
        <w:tc>
          <w:tcPr>
            <w:tcW w:w="2362" w:type="dxa"/>
            <w:shd w:val="clear" w:color="auto" w:fill="auto"/>
          </w:tcPr>
          <w:p w:rsidR="009B36EE" w:rsidRPr="00C47169" w:rsidRDefault="009B36EE" w:rsidP="00143569">
            <w:pPr>
              <w:rPr>
                <w:rFonts w:eastAsia="Cambria" w:cs="Times New Roman"/>
                <w:b/>
                <w:sz w:val="22"/>
                <w:szCs w:val="22"/>
                <w:lang w:val="en-GB"/>
              </w:rPr>
            </w:pPr>
            <w:r w:rsidRPr="00C47169">
              <w:rPr>
                <w:rFonts w:eastAsia="Cambria" w:cs="Times New Roman"/>
                <w:b/>
                <w:sz w:val="22"/>
                <w:szCs w:val="22"/>
                <w:lang w:val="en-GB"/>
              </w:rPr>
              <w:t>Coverage</w:t>
            </w:r>
          </w:p>
        </w:tc>
      </w:tr>
      <w:tr w:rsidR="009B36EE" w:rsidRPr="00C47169">
        <w:tc>
          <w:tcPr>
            <w:tcW w:w="3681" w:type="dxa"/>
            <w:shd w:val="clear" w:color="auto" w:fill="auto"/>
          </w:tcPr>
          <w:p w:rsidR="009B36EE" w:rsidRPr="00C47169" w:rsidRDefault="009B36EE" w:rsidP="00C47169">
            <w:pPr>
              <w:rPr>
                <w:rFonts w:eastAsia="Cambria" w:cs="Times New Roman"/>
                <w:sz w:val="22"/>
                <w:szCs w:val="22"/>
                <w:lang w:val="en-GB"/>
              </w:rPr>
            </w:pPr>
            <w:r w:rsidRPr="00C47169">
              <w:rPr>
                <w:rFonts w:eastAsia="Cambria" w:cs="Times New Roman"/>
                <w:sz w:val="22"/>
                <w:szCs w:val="22"/>
                <w:lang w:val="en-GB"/>
              </w:rPr>
              <w:t>High density</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0.683153</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0.809524</w:t>
            </w:r>
          </w:p>
        </w:tc>
      </w:tr>
      <w:tr w:rsidR="009B36EE" w:rsidRPr="00C47169">
        <w:tc>
          <w:tcPr>
            <w:tcW w:w="3681"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Low EPL</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0.611540</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0.651840</w:t>
            </w:r>
          </w:p>
        </w:tc>
      </w:tr>
      <w:tr w:rsidR="009B36EE" w:rsidRPr="00C47169">
        <w:tc>
          <w:tcPr>
            <w:tcW w:w="3681"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High union fragmentation</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 xml:space="preserve">0.563112 </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0.895168</w:t>
            </w:r>
          </w:p>
        </w:tc>
      </w:tr>
      <w:tr w:rsidR="009B36EE" w:rsidRPr="00C47169">
        <w:tc>
          <w:tcPr>
            <w:tcW w:w="3681" w:type="dxa"/>
            <w:shd w:val="clear" w:color="auto" w:fill="auto"/>
          </w:tcPr>
          <w:p w:rsidR="009B36EE" w:rsidRPr="00C47169" w:rsidRDefault="009B36EE" w:rsidP="00143569">
            <w:pPr>
              <w:rPr>
                <w:rFonts w:eastAsia="Cambria" w:cs="Times New Roman"/>
                <w:b/>
                <w:sz w:val="22"/>
                <w:szCs w:val="22"/>
                <w:lang w:val="en-GB"/>
              </w:rPr>
            </w:pPr>
            <w:r w:rsidRPr="00C47169">
              <w:rPr>
                <w:rFonts w:eastAsia="Cambria" w:cs="Times New Roman"/>
                <w:b/>
                <w:sz w:val="22"/>
                <w:szCs w:val="22"/>
                <w:lang w:val="en-GB"/>
              </w:rPr>
              <w:t>High bargaining coverage</w:t>
            </w:r>
          </w:p>
        </w:tc>
        <w:tc>
          <w:tcPr>
            <w:tcW w:w="2362" w:type="dxa"/>
            <w:shd w:val="clear" w:color="auto" w:fill="auto"/>
          </w:tcPr>
          <w:p w:rsidR="009B36EE" w:rsidRPr="00C47169" w:rsidRDefault="009B36EE" w:rsidP="00143569">
            <w:pPr>
              <w:rPr>
                <w:rFonts w:eastAsia="Cambria" w:cs="Times New Roman"/>
                <w:b/>
                <w:sz w:val="22"/>
                <w:szCs w:val="22"/>
                <w:lang w:val="en-GB"/>
              </w:rPr>
            </w:pPr>
            <w:r w:rsidRPr="00C47169">
              <w:rPr>
                <w:rFonts w:eastAsia="Cambria" w:cs="Times New Roman"/>
                <w:b/>
                <w:sz w:val="22"/>
                <w:szCs w:val="22"/>
                <w:lang w:val="en-GB"/>
              </w:rPr>
              <w:t>0.973210</w:t>
            </w:r>
          </w:p>
        </w:tc>
        <w:tc>
          <w:tcPr>
            <w:tcW w:w="2362" w:type="dxa"/>
            <w:shd w:val="clear" w:color="auto" w:fill="auto"/>
          </w:tcPr>
          <w:p w:rsidR="009B36EE" w:rsidRPr="00C47169" w:rsidRDefault="009B36EE" w:rsidP="00143569">
            <w:pPr>
              <w:rPr>
                <w:rFonts w:eastAsia="Cambria" w:cs="Times New Roman"/>
                <w:b/>
                <w:sz w:val="22"/>
                <w:szCs w:val="22"/>
                <w:lang w:val="en-GB"/>
              </w:rPr>
            </w:pPr>
            <w:r w:rsidRPr="00C47169">
              <w:rPr>
                <w:rFonts w:eastAsia="Cambria" w:cs="Times New Roman"/>
                <w:b/>
                <w:sz w:val="22"/>
                <w:szCs w:val="22"/>
                <w:lang w:val="en-GB"/>
              </w:rPr>
              <w:t>0.673440</w:t>
            </w:r>
          </w:p>
        </w:tc>
      </w:tr>
      <w:tr w:rsidR="009B36EE" w:rsidRPr="00C47169">
        <w:tc>
          <w:tcPr>
            <w:tcW w:w="3681"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High temporary work</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0.654817</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0.699120</w:t>
            </w:r>
          </w:p>
        </w:tc>
      </w:tr>
      <w:tr w:rsidR="009B36EE" w:rsidRPr="00C47169">
        <w:tc>
          <w:tcPr>
            <w:tcW w:w="3681"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High union authority</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0.958784</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0.516944</w:t>
            </w:r>
          </w:p>
        </w:tc>
      </w:tr>
      <w:tr w:rsidR="009B36EE" w:rsidRPr="00C47169">
        <w:tc>
          <w:tcPr>
            <w:tcW w:w="3681"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High law (crisp)</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0.618753</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0.444815</w:t>
            </w:r>
          </w:p>
        </w:tc>
      </w:tr>
      <w:tr w:rsidR="009B36EE" w:rsidRPr="00C47169">
        <w:tc>
          <w:tcPr>
            <w:tcW w:w="3681"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High law (fuzzy)</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0.607934</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0.595960</w:t>
            </w:r>
          </w:p>
        </w:tc>
      </w:tr>
      <w:tr w:rsidR="009B36EE" w:rsidRPr="00C47169">
        <w:tc>
          <w:tcPr>
            <w:tcW w:w="3681" w:type="dxa"/>
            <w:shd w:val="clear" w:color="auto" w:fill="auto"/>
          </w:tcPr>
          <w:p w:rsidR="009B36EE" w:rsidRPr="00C47169" w:rsidRDefault="009B36EE" w:rsidP="00C47169">
            <w:pPr>
              <w:rPr>
                <w:rFonts w:eastAsia="Cambria" w:cs="Times New Roman"/>
                <w:sz w:val="22"/>
                <w:szCs w:val="22"/>
                <w:lang w:val="en-GB"/>
              </w:rPr>
            </w:pPr>
            <w:r w:rsidRPr="00C47169">
              <w:rPr>
                <w:rFonts w:eastAsia="Cambria" w:cs="Times New Roman"/>
                <w:sz w:val="22"/>
                <w:szCs w:val="22"/>
                <w:lang w:val="en-GB"/>
              </w:rPr>
              <w:t>Working</w:t>
            </w:r>
            <w:r w:rsidR="00C47169">
              <w:rPr>
                <w:rFonts w:eastAsia="Cambria" w:cs="Times New Roman"/>
                <w:sz w:val="22"/>
                <w:szCs w:val="22"/>
                <w:lang w:val="en-GB"/>
              </w:rPr>
              <w:t>-</w:t>
            </w:r>
            <w:r w:rsidRPr="00C47169">
              <w:rPr>
                <w:rFonts w:eastAsia="Cambria" w:cs="Times New Roman"/>
                <w:sz w:val="22"/>
                <w:szCs w:val="22"/>
                <w:lang w:val="en-GB"/>
              </w:rPr>
              <w:t>class ideology</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0.546110</w:t>
            </w:r>
          </w:p>
        </w:tc>
        <w:tc>
          <w:tcPr>
            <w:tcW w:w="2362" w:type="dxa"/>
            <w:shd w:val="clear" w:color="auto" w:fill="auto"/>
          </w:tcPr>
          <w:p w:rsidR="009B36EE" w:rsidRPr="00C47169" w:rsidRDefault="009B36EE" w:rsidP="00143569">
            <w:pPr>
              <w:rPr>
                <w:rFonts w:eastAsia="Cambria" w:cs="Times New Roman"/>
                <w:sz w:val="22"/>
                <w:szCs w:val="22"/>
                <w:lang w:val="en-GB"/>
              </w:rPr>
            </w:pPr>
            <w:r w:rsidRPr="00C47169">
              <w:rPr>
                <w:rFonts w:eastAsia="Cambria" w:cs="Times New Roman"/>
                <w:sz w:val="22"/>
                <w:szCs w:val="22"/>
                <w:lang w:val="en-GB"/>
              </w:rPr>
              <w:t>0.803030</w:t>
            </w:r>
          </w:p>
        </w:tc>
      </w:tr>
    </w:tbl>
    <w:p w:rsidR="00143569" w:rsidRPr="00C47169" w:rsidRDefault="00143569" w:rsidP="00143569">
      <w:pPr>
        <w:rPr>
          <w:rFonts w:cs="Times New Roman"/>
          <w:sz w:val="22"/>
          <w:szCs w:val="22"/>
          <w:lang w:val="en-GB"/>
        </w:rPr>
      </w:pPr>
    </w:p>
    <w:p w:rsidR="009B36EE" w:rsidRPr="0086618E" w:rsidRDefault="009B36EE" w:rsidP="00143569">
      <w:pPr>
        <w:rPr>
          <w:rFonts w:cs="Times New Roman"/>
          <w:szCs w:val="22"/>
          <w:lang w:val="en-GB"/>
        </w:rPr>
        <w:sectPr w:rsidR="009B36EE" w:rsidRPr="0086618E">
          <w:footerReference w:type="even" r:id="rId8"/>
          <w:footerReference w:type="default" r:id="rId9"/>
          <w:type w:val="continuous"/>
          <w:pgSz w:w="11900" w:h="16840"/>
          <w:pgMar w:top="1417" w:right="1134" w:bottom="1134" w:left="1134" w:header="708" w:footer="708" w:gutter="0"/>
          <w:cols w:space="708"/>
        </w:sectPr>
      </w:pPr>
    </w:p>
    <w:p w:rsidR="009B36EE" w:rsidRPr="00C47169" w:rsidRDefault="009B36EE" w:rsidP="00143569">
      <w:pPr>
        <w:rPr>
          <w:rFonts w:ascii="Arial" w:hAnsi="Arial" w:cs="Arial"/>
          <w:b/>
          <w:sz w:val="22"/>
          <w:szCs w:val="22"/>
          <w:lang w:val="en-GB"/>
        </w:rPr>
      </w:pPr>
      <w:r w:rsidRPr="00C47169">
        <w:rPr>
          <w:rFonts w:ascii="Arial" w:hAnsi="Arial" w:cs="Arial"/>
          <w:b/>
          <w:sz w:val="22"/>
          <w:szCs w:val="22"/>
          <w:lang w:val="en-GB"/>
        </w:rPr>
        <w:t>Table 3</w:t>
      </w:r>
      <w:r w:rsidR="00C47169">
        <w:rPr>
          <w:rFonts w:ascii="Arial" w:hAnsi="Arial" w:cs="Arial"/>
          <w:b/>
          <w:sz w:val="22"/>
          <w:szCs w:val="22"/>
          <w:lang w:val="en-GB"/>
        </w:rPr>
        <w:t>.</w:t>
      </w:r>
      <w:r w:rsidRPr="00C47169">
        <w:rPr>
          <w:rFonts w:ascii="Arial" w:hAnsi="Arial" w:cs="Arial"/>
          <w:b/>
          <w:sz w:val="22"/>
          <w:szCs w:val="22"/>
          <w:lang w:val="en-GB"/>
        </w:rPr>
        <w:t xml:space="preserve"> Sufficient paths</w:t>
      </w:r>
    </w:p>
    <w:p w:rsidR="00C47169" w:rsidRPr="00C47169" w:rsidRDefault="00C47169" w:rsidP="00143569">
      <w:pPr>
        <w:rPr>
          <w:rFonts w:ascii="Arial" w:hAnsi="Arial" w:cs="Arial"/>
          <w:sz w:val="22"/>
          <w:szCs w:val="22"/>
          <w:lang w:val="en-GB"/>
        </w:rPr>
      </w:pPr>
    </w:p>
    <w:tbl>
      <w:tblPr>
        <w:tblW w:w="13178" w:type="dxa"/>
        <w:tblInd w:w="-144" w:type="dxa"/>
        <w:tblLayout w:type="fixed"/>
        <w:tblLook w:val="04A0"/>
      </w:tblPr>
      <w:tblGrid>
        <w:gridCol w:w="819"/>
        <w:gridCol w:w="2694"/>
        <w:gridCol w:w="2268"/>
        <w:gridCol w:w="4394"/>
        <w:gridCol w:w="1303"/>
        <w:gridCol w:w="1700"/>
      </w:tblGrid>
      <w:tr w:rsidR="009B36EE" w:rsidRPr="00C47169">
        <w:trPr>
          <w:trHeight w:val="300"/>
          <w:tblHeader/>
        </w:trPr>
        <w:tc>
          <w:tcPr>
            <w:tcW w:w="819" w:type="dxa"/>
            <w:vAlign w:val="center"/>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Model</w:t>
            </w:r>
          </w:p>
        </w:tc>
        <w:tc>
          <w:tcPr>
            <w:tcW w:w="2694" w:type="dxa"/>
            <w:shd w:val="clear" w:color="auto" w:fill="auto"/>
            <w:noWrap/>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QCA</w:t>
            </w:r>
          </w:p>
        </w:tc>
        <w:tc>
          <w:tcPr>
            <w:tcW w:w="2268" w:type="dxa"/>
            <w:shd w:val="clear" w:color="auto" w:fill="auto"/>
            <w:vAlign w:val="center"/>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Overall solution</w:t>
            </w:r>
          </w:p>
        </w:tc>
        <w:tc>
          <w:tcPr>
            <w:tcW w:w="4394" w:type="dxa"/>
            <w:shd w:val="clear" w:color="auto" w:fill="auto"/>
            <w:vAlign w:val="center"/>
          </w:tcPr>
          <w:p w:rsidR="009B36EE" w:rsidRPr="00C47169" w:rsidRDefault="009B36EE" w:rsidP="00143569">
            <w:pPr>
              <w:ind w:right="-108"/>
              <w:rPr>
                <w:rFonts w:eastAsia="Times New Roman" w:cs="Times New Roman"/>
                <w:sz w:val="22"/>
                <w:szCs w:val="22"/>
                <w:lang w:eastAsia="en-GB" w:bidi="ar-SA"/>
              </w:rPr>
            </w:pPr>
            <w:r w:rsidRPr="00C47169">
              <w:rPr>
                <w:rFonts w:eastAsia="Times New Roman" w:cs="Times New Roman"/>
                <w:sz w:val="22"/>
                <w:szCs w:val="22"/>
                <w:lang w:eastAsia="en-GB" w:bidi="ar-SA"/>
              </w:rPr>
              <w:t>Paths</w:t>
            </w:r>
          </w:p>
        </w:tc>
        <w:tc>
          <w:tcPr>
            <w:tcW w:w="1303" w:type="dxa"/>
            <w:shd w:val="clear" w:color="auto" w:fill="auto"/>
            <w:vAlign w:val="center"/>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Consistency</w:t>
            </w:r>
          </w:p>
        </w:tc>
        <w:tc>
          <w:tcPr>
            <w:tcW w:w="1700" w:type="dxa"/>
            <w:shd w:val="clear" w:color="auto" w:fill="auto"/>
            <w:vAlign w:val="center"/>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Coverage</w:t>
            </w:r>
          </w:p>
        </w:tc>
      </w:tr>
      <w:tr w:rsidR="009B36EE" w:rsidRPr="00C47169">
        <w:trPr>
          <w:trHeight w:val="300"/>
        </w:trPr>
        <w:tc>
          <w:tcPr>
            <w:tcW w:w="819" w:type="dxa"/>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1</w:t>
            </w:r>
          </w:p>
        </w:tc>
        <w:tc>
          <w:tcPr>
            <w:tcW w:w="2694" w:type="dxa"/>
            <w:vMerge w:val="restart"/>
            <w:shd w:val="clear" w:color="auto" w:fill="auto"/>
            <w:noWrap/>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 xml:space="preserve">High bargaining coverage, </w:t>
            </w:r>
            <w:r w:rsidR="00C47169">
              <w:rPr>
                <w:rFonts w:eastAsia="Times New Roman" w:cs="Times New Roman"/>
                <w:sz w:val="22"/>
                <w:szCs w:val="22"/>
                <w:lang w:eastAsia="en-GB" w:bidi="ar-SA"/>
              </w:rPr>
              <w:t>h</w:t>
            </w:r>
            <w:r w:rsidRPr="00C47169">
              <w:rPr>
                <w:rFonts w:eastAsia="Times New Roman" w:cs="Times New Roman"/>
                <w:sz w:val="22"/>
                <w:szCs w:val="22"/>
                <w:lang w:eastAsia="en-GB" w:bidi="ar-SA"/>
              </w:rPr>
              <w:t xml:space="preserve">igh density, </w:t>
            </w:r>
            <w:r w:rsidR="00C47169">
              <w:rPr>
                <w:rFonts w:eastAsia="Times New Roman" w:cs="Times New Roman"/>
                <w:sz w:val="22"/>
                <w:szCs w:val="22"/>
                <w:lang w:eastAsia="en-GB" w:bidi="ar-SA"/>
              </w:rPr>
              <w:t>l</w:t>
            </w:r>
            <w:r w:rsidRPr="00C47169">
              <w:rPr>
                <w:rFonts w:eastAsia="Times New Roman" w:cs="Times New Roman"/>
                <w:sz w:val="22"/>
                <w:szCs w:val="22"/>
                <w:lang w:eastAsia="en-GB" w:bidi="ar-SA"/>
              </w:rPr>
              <w:t xml:space="preserve">ow EPL, </w:t>
            </w:r>
            <w:r w:rsidR="00C47169" w:rsidRPr="00C47169">
              <w:rPr>
                <w:rFonts w:eastAsia="Times New Roman" w:cs="Times New Roman"/>
                <w:sz w:val="22"/>
                <w:szCs w:val="22"/>
                <w:lang w:eastAsia="en-GB" w:bidi="ar-SA"/>
              </w:rPr>
              <w:t>working</w:t>
            </w:r>
            <w:r w:rsidR="00C47169">
              <w:rPr>
                <w:rFonts w:eastAsia="Times New Roman" w:cs="Times New Roman"/>
                <w:sz w:val="22"/>
                <w:szCs w:val="22"/>
                <w:lang w:eastAsia="en-GB" w:bidi="ar-SA"/>
              </w:rPr>
              <w:t>-</w:t>
            </w:r>
            <w:r w:rsidR="00C47169" w:rsidRPr="00C47169">
              <w:rPr>
                <w:rFonts w:eastAsia="Times New Roman" w:cs="Times New Roman"/>
                <w:sz w:val="22"/>
                <w:szCs w:val="22"/>
                <w:lang w:eastAsia="en-GB" w:bidi="ar-SA"/>
              </w:rPr>
              <w:t>class ideology</w:t>
            </w:r>
          </w:p>
        </w:tc>
        <w:tc>
          <w:tcPr>
            <w:tcW w:w="2268" w:type="dxa"/>
            <w:vMerge w:val="restart"/>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Consistency: 0.926316</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Coverage: 0.816074</w:t>
            </w:r>
          </w:p>
          <w:p w:rsidR="009B36EE" w:rsidRPr="00C47169" w:rsidRDefault="009B36EE" w:rsidP="00143569">
            <w:pPr>
              <w:rPr>
                <w:rFonts w:eastAsia="Times New Roman" w:cs="Times New Roman"/>
                <w:sz w:val="22"/>
                <w:szCs w:val="22"/>
                <w:lang w:eastAsia="en-GB" w:bidi="ar-SA"/>
              </w:rPr>
            </w:pPr>
          </w:p>
        </w:tc>
        <w:tc>
          <w:tcPr>
            <w:tcW w:w="4394" w:type="dxa"/>
            <w:shd w:val="clear" w:color="auto" w:fill="auto"/>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High bargaining coverage*</w:t>
            </w:r>
            <w:r w:rsidR="00C47169">
              <w:rPr>
                <w:rFonts w:eastAsia="Times New Roman" w:cs="Times New Roman"/>
                <w:sz w:val="22"/>
                <w:szCs w:val="22"/>
                <w:lang w:eastAsia="en-GB" w:bidi="ar-SA"/>
              </w:rPr>
              <w:t>h</w:t>
            </w:r>
            <w:r w:rsidRPr="00C47169">
              <w:rPr>
                <w:rFonts w:eastAsia="Times New Roman" w:cs="Times New Roman"/>
                <w:sz w:val="22"/>
                <w:szCs w:val="22"/>
                <w:lang w:eastAsia="en-GB" w:bidi="ar-SA"/>
              </w:rPr>
              <w:t>igh density*</w:t>
            </w:r>
            <w:r w:rsidR="00407362" w:rsidRPr="00C47169">
              <w:rPr>
                <w:rFonts w:eastAsia="Times New Roman" w:cs="Times New Roman"/>
                <w:sz w:val="22"/>
                <w:szCs w:val="22"/>
                <w:lang w:eastAsia="en-GB" w:bidi="ar-SA"/>
              </w:rPr>
              <w:t>not working</w:t>
            </w:r>
            <w:r w:rsidR="00407362">
              <w:rPr>
                <w:rFonts w:eastAsia="Times New Roman" w:cs="Times New Roman"/>
                <w:sz w:val="22"/>
                <w:szCs w:val="22"/>
                <w:lang w:eastAsia="en-GB" w:bidi="ar-SA"/>
              </w:rPr>
              <w:t>-</w:t>
            </w:r>
            <w:r w:rsidR="00407362" w:rsidRPr="00C47169">
              <w:rPr>
                <w:rFonts w:eastAsia="Times New Roman" w:cs="Times New Roman"/>
                <w:sz w:val="22"/>
                <w:szCs w:val="22"/>
                <w:lang w:eastAsia="en-GB" w:bidi="ar-SA"/>
              </w:rPr>
              <w:t>class ideology</w:t>
            </w:r>
            <w:r w:rsidR="00407362">
              <w:rPr>
                <w:rFonts w:eastAsia="Times New Roman" w:cs="Times New Roman"/>
                <w:sz w:val="22"/>
                <w:szCs w:val="22"/>
                <w:lang w:eastAsia="en-GB" w:bidi="ar-SA"/>
              </w:rPr>
              <w:t xml:space="preserve"> </w:t>
            </w:r>
            <w:r w:rsidRPr="00C47169">
              <w:rPr>
                <w:rFonts w:eastAsia="Times New Roman" w:cs="Times New Roman"/>
                <w:sz w:val="22"/>
                <w:szCs w:val="22"/>
                <w:lang w:eastAsia="en-GB" w:bidi="ar-SA"/>
              </w:rPr>
              <w:t>(</w:t>
            </w:r>
            <w:r w:rsidR="00407362">
              <w:rPr>
                <w:rFonts w:eastAsia="Times New Roman" w:cs="Times New Roman"/>
                <w:sz w:val="22"/>
                <w:szCs w:val="22"/>
                <w:lang w:eastAsia="en-GB" w:bidi="ar-SA"/>
              </w:rPr>
              <w:t>BE, DK, FI, SE</w:t>
            </w:r>
            <w:r w:rsidRPr="00C47169">
              <w:rPr>
                <w:rFonts w:eastAsia="Times New Roman" w:cs="Times New Roman"/>
                <w:sz w:val="22"/>
                <w:szCs w:val="22"/>
                <w:lang w:eastAsia="en-GB" w:bidi="ar-SA"/>
              </w:rPr>
              <w:t>)</w:t>
            </w:r>
          </w:p>
        </w:tc>
        <w:tc>
          <w:tcPr>
            <w:tcW w:w="1303"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 xml:space="preserve">0.988477 </w:t>
            </w:r>
          </w:p>
        </w:tc>
        <w:tc>
          <w:tcPr>
            <w:tcW w:w="1700"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Raw:</w:t>
            </w:r>
            <w:r w:rsidRPr="00C47169">
              <w:rPr>
                <w:rFonts w:cs="Times New Roman"/>
                <w:sz w:val="22"/>
                <w:szCs w:val="22"/>
              </w:rPr>
              <w:t xml:space="preserve"> 0.618753</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Unique:</w:t>
            </w:r>
            <w:r w:rsidRPr="00C47169">
              <w:rPr>
                <w:rFonts w:cs="Times New Roman"/>
                <w:sz w:val="22"/>
                <w:szCs w:val="22"/>
              </w:rPr>
              <w:t xml:space="preserve"> 0.442555</w:t>
            </w:r>
          </w:p>
        </w:tc>
      </w:tr>
      <w:tr w:rsidR="009B36EE" w:rsidRPr="00C47169">
        <w:trPr>
          <w:trHeight w:val="300"/>
        </w:trPr>
        <w:tc>
          <w:tcPr>
            <w:tcW w:w="819" w:type="dxa"/>
          </w:tcPr>
          <w:p w:rsidR="009B36EE" w:rsidRPr="00C47169" w:rsidRDefault="009B36EE" w:rsidP="00143569">
            <w:pPr>
              <w:rPr>
                <w:rFonts w:eastAsia="Times New Roman" w:cs="Times New Roman"/>
                <w:sz w:val="22"/>
                <w:szCs w:val="22"/>
                <w:lang w:eastAsia="en-GB" w:bidi="ar-SA"/>
              </w:rPr>
            </w:pPr>
          </w:p>
        </w:tc>
        <w:tc>
          <w:tcPr>
            <w:tcW w:w="2694" w:type="dxa"/>
            <w:vMerge/>
            <w:shd w:val="clear" w:color="auto" w:fill="auto"/>
            <w:noWrap/>
          </w:tcPr>
          <w:p w:rsidR="009B36EE" w:rsidRPr="00C47169" w:rsidRDefault="009B36EE" w:rsidP="00143569">
            <w:pPr>
              <w:rPr>
                <w:rFonts w:eastAsia="Times New Roman" w:cs="Times New Roman"/>
                <w:sz w:val="22"/>
                <w:szCs w:val="22"/>
                <w:lang w:eastAsia="en-GB" w:bidi="ar-SA"/>
              </w:rPr>
            </w:pPr>
          </w:p>
        </w:tc>
        <w:tc>
          <w:tcPr>
            <w:tcW w:w="2268" w:type="dxa"/>
            <w:vMerge/>
            <w:shd w:val="clear" w:color="auto" w:fill="auto"/>
          </w:tcPr>
          <w:p w:rsidR="009B36EE" w:rsidRPr="00C47169" w:rsidRDefault="009B36EE" w:rsidP="00143569">
            <w:pPr>
              <w:rPr>
                <w:rFonts w:eastAsia="Times New Roman" w:cs="Times New Roman"/>
                <w:sz w:val="22"/>
                <w:szCs w:val="22"/>
                <w:lang w:eastAsia="en-GB" w:bidi="ar-SA"/>
              </w:rPr>
            </w:pPr>
          </w:p>
        </w:tc>
        <w:tc>
          <w:tcPr>
            <w:tcW w:w="4394" w:type="dxa"/>
            <w:shd w:val="clear" w:color="auto" w:fill="auto"/>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High bargaining coverage*</w:t>
            </w:r>
            <w:r w:rsidR="00407362" w:rsidRPr="00C47169">
              <w:rPr>
                <w:rFonts w:eastAsia="Times New Roman" w:cs="Times New Roman"/>
                <w:sz w:val="22"/>
                <w:szCs w:val="22"/>
                <w:lang w:eastAsia="en-GB" w:bidi="ar-SA"/>
              </w:rPr>
              <w:t xml:space="preserve">not high density*not low </w:t>
            </w:r>
            <w:r w:rsidR="00407362">
              <w:rPr>
                <w:rFonts w:eastAsia="Times New Roman" w:cs="Times New Roman"/>
                <w:sz w:val="22"/>
                <w:szCs w:val="22"/>
                <w:lang w:eastAsia="en-GB" w:bidi="ar-SA"/>
              </w:rPr>
              <w:t>EPL</w:t>
            </w:r>
            <w:r w:rsidR="00407362" w:rsidRPr="00C47169">
              <w:rPr>
                <w:rFonts w:eastAsia="Times New Roman" w:cs="Times New Roman"/>
                <w:sz w:val="22"/>
                <w:szCs w:val="22"/>
                <w:lang w:eastAsia="en-GB" w:bidi="ar-SA"/>
              </w:rPr>
              <w:t>*working</w:t>
            </w:r>
            <w:r w:rsidR="00407362">
              <w:rPr>
                <w:rFonts w:eastAsia="Times New Roman" w:cs="Times New Roman"/>
                <w:sz w:val="22"/>
                <w:szCs w:val="22"/>
                <w:lang w:eastAsia="en-GB" w:bidi="ar-SA"/>
              </w:rPr>
              <w:t>-</w:t>
            </w:r>
            <w:r w:rsidR="00407362" w:rsidRPr="00C47169">
              <w:rPr>
                <w:rFonts w:eastAsia="Times New Roman" w:cs="Times New Roman"/>
                <w:sz w:val="22"/>
                <w:szCs w:val="22"/>
                <w:lang w:eastAsia="en-GB" w:bidi="ar-SA"/>
              </w:rPr>
              <w:t>class ideology</w:t>
            </w:r>
            <w:r w:rsidR="00407362">
              <w:rPr>
                <w:rFonts w:eastAsia="Times New Roman" w:cs="Times New Roman"/>
                <w:sz w:val="22"/>
                <w:szCs w:val="22"/>
                <w:lang w:eastAsia="en-GB" w:bidi="ar-SA"/>
              </w:rPr>
              <w:t xml:space="preserve"> </w:t>
            </w:r>
            <w:r w:rsidRPr="00C47169">
              <w:rPr>
                <w:rFonts w:eastAsia="Times New Roman" w:cs="Times New Roman"/>
                <w:sz w:val="22"/>
                <w:szCs w:val="22"/>
                <w:lang w:eastAsia="en-GB" w:bidi="ar-SA"/>
              </w:rPr>
              <w:t>(</w:t>
            </w:r>
            <w:r w:rsidR="00407362">
              <w:rPr>
                <w:rFonts w:eastAsia="Times New Roman" w:cs="Times New Roman"/>
                <w:sz w:val="22"/>
                <w:szCs w:val="22"/>
                <w:lang w:eastAsia="en-GB" w:bidi="ar-SA"/>
              </w:rPr>
              <w:t>ES, FR, IT</w:t>
            </w:r>
            <w:r w:rsidRPr="00C47169">
              <w:rPr>
                <w:rFonts w:eastAsia="Times New Roman" w:cs="Times New Roman"/>
                <w:sz w:val="22"/>
                <w:szCs w:val="22"/>
                <w:lang w:eastAsia="en-GB" w:bidi="ar-SA"/>
              </w:rPr>
              <w:t>)</w:t>
            </w:r>
          </w:p>
        </w:tc>
        <w:tc>
          <w:tcPr>
            <w:tcW w:w="1303"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0.866189</w:t>
            </w:r>
          </w:p>
        </w:tc>
        <w:tc>
          <w:tcPr>
            <w:tcW w:w="1700"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Raw:</w:t>
            </w:r>
            <w:r w:rsidRPr="00C47169">
              <w:rPr>
                <w:rFonts w:cs="Times New Roman"/>
                <w:sz w:val="22"/>
                <w:szCs w:val="22"/>
              </w:rPr>
              <w:t xml:space="preserve"> 0.373519</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Unique:</w:t>
            </w:r>
            <w:r w:rsidRPr="00C47169">
              <w:rPr>
                <w:rFonts w:cs="Times New Roman"/>
                <w:sz w:val="22"/>
                <w:szCs w:val="22"/>
              </w:rPr>
              <w:t xml:space="preserve"> 0.197321</w:t>
            </w:r>
          </w:p>
        </w:tc>
      </w:tr>
      <w:tr w:rsidR="009B36EE" w:rsidRPr="00C47169">
        <w:trPr>
          <w:trHeight w:val="300"/>
        </w:trPr>
        <w:tc>
          <w:tcPr>
            <w:tcW w:w="819" w:type="dxa"/>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2</w:t>
            </w:r>
          </w:p>
        </w:tc>
        <w:tc>
          <w:tcPr>
            <w:tcW w:w="2694" w:type="dxa"/>
            <w:vMerge w:val="restart"/>
            <w:shd w:val="clear" w:color="auto" w:fill="auto"/>
            <w:noWrap/>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 xml:space="preserve">High bargaining coverage, </w:t>
            </w:r>
            <w:r w:rsidR="00407362" w:rsidRPr="00C47169">
              <w:rPr>
                <w:rFonts w:eastAsia="Times New Roman" w:cs="Times New Roman"/>
                <w:sz w:val="22"/>
                <w:szCs w:val="22"/>
                <w:lang w:eastAsia="en-GB" w:bidi="ar-SA"/>
              </w:rPr>
              <w:t>high density, working class ideology, high law</w:t>
            </w:r>
            <w:r w:rsidRPr="00C47169">
              <w:rPr>
                <w:rFonts w:eastAsia="Times New Roman" w:cs="Times New Roman"/>
                <w:sz w:val="22"/>
                <w:szCs w:val="22"/>
                <w:lang w:eastAsia="en-GB" w:bidi="ar-SA"/>
              </w:rPr>
              <w:t xml:space="preserve"> </w:t>
            </w:r>
          </w:p>
        </w:tc>
        <w:tc>
          <w:tcPr>
            <w:tcW w:w="2268" w:type="dxa"/>
            <w:vMerge w:val="restart"/>
            <w:shd w:val="clear" w:color="auto" w:fill="auto"/>
          </w:tcPr>
          <w:p w:rsidR="009B36EE" w:rsidRPr="00C47169" w:rsidRDefault="009B36EE" w:rsidP="00143569">
            <w:pPr>
              <w:rPr>
                <w:rFonts w:cs="Times New Roman"/>
                <w:sz w:val="22"/>
                <w:szCs w:val="22"/>
              </w:rPr>
            </w:pPr>
            <w:r w:rsidRPr="00C47169">
              <w:rPr>
                <w:rFonts w:cs="Times New Roman"/>
                <w:sz w:val="22"/>
                <w:szCs w:val="22"/>
              </w:rPr>
              <w:t>Consistency: 0.926445</w:t>
            </w:r>
          </w:p>
          <w:p w:rsidR="009B36EE" w:rsidRPr="00C47169" w:rsidRDefault="009B36EE" w:rsidP="00143569">
            <w:pPr>
              <w:rPr>
                <w:rFonts w:cs="Times New Roman"/>
                <w:sz w:val="22"/>
                <w:szCs w:val="22"/>
              </w:rPr>
            </w:pPr>
            <w:r w:rsidRPr="00C47169">
              <w:rPr>
                <w:rFonts w:cs="Times New Roman"/>
                <w:sz w:val="22"/>
                <w:szCs w:val="22"/>
              </w:rPr>
              <w:t xml:space="preserve">Coverage: 0.817620 </w:t>
            </w:r>
          </w:p>
          <w:p w:rsidR="009B36EE" w:rsidRPr="00C47169" w:rsidRDefault="009B36EE" w:rsidP="00143569">
            <w:pPr>
              <w:rPr>
                <w:rFonts w:eastAsia="Times New Roman" w:cs="Times New Roman"/>
                <w:sz w:val="22"/>
                <w:szCs w:val="22"/>
                <w:lang w:eastAsia="en-GB" w:bidi="ar-SA"/>
              </w:rPr>
            </w:pPr>
          </w:p>
        </w:tc>
        <w:tc>
          <w:tcPr>
            <w:tcW w:w="4394" w:type="dxa"/>
            <w:shd w:val="clear" w:color="auto" w:fill="auto"/>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High bargaining coverage*</w:t>
            </w:r>
            <w:r w:rsidR="00407362" w:rsidRPr="00C47169">
              <w:rPr>
                <w:rFonts w:eastAsia="Times New Roman" w:cs="Times New Roman"/>
                <w:sz w:val="22"/>
                <w:szCs w:val="22"/>
                <w:lang w:eastAsia="en-GB" w:bidi="ar-SA"/>
              </w:rPr>
              <w:t>high density*not working class ideology</w:t>
            </w:r>
            <w:r w:rsidR="00407362" w:rsidRPr="00C47169">
              <w:rPr>
                <w:rFonts w:cs="Times New Roman"/>
                <w:sz w:val="22"/>
                <w:szCs w:val="22"/>
              </w:rPr>
              <w:t xml:space="preserve"> </w:t>
            </w:r>
            <w:r w:rsidRPr="00C47169">
              <w:rPr>
                <w:rFonts w:cs="Times New Roman"/>
                <w:sz w:val="22"/>
                <w:szCs w:val="22"/>
              </w:rPr>
              <w:t>(</w:t>
            </w:r>
            <w:r w:rsidR="00407362">
              <w:rPr>
                <w:rFonts w:eastAsia="Times New Roman" w:cs="Times New Roman"/>
                <w:sz w:val="22"/>
                <w:szCs w:val="22"/>
                <w:lang w:eastAsia="en-GB" w:bidi="ar-SA"/>
              </w:rPr>
              <w:t>BE, DK, FI, SE</w:t>
            </w:r>
            <w:r w:rsidRPr="00C47169">
              <w:rPr>
                <w:rFonts w:cs="Times New Roman"/>
                <w:sz w:val="22"/>
                <w:szCs w:val="22"/>
              </w:rPr>
              <w:t>)</w:t>
            </w:r>
          </w:p>
        </w:tc>
        <w:tc>
          <w:tcPr>
            <w:tcW w:w="1303"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cs="Times New Roman"/>
                <w:sz w:val="22"/>
                <w:szCs w:val="22"/>
              </w:rPr>
              <w:t>0.988477</w:t>
            </w:r>
          </w:p>
        </w:tc>
        <w:tc>
          <w:tcPr>
            <w:tcW w:w="1700"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Raw:</w:t>
            </w:r>
            <w:r w:rsidRPr="00C47169">
              <w:rPr>
                <w:rFonts w:cs="Times New Roman"/>
                <w:sz w:val="22"/>
                <w:szCs w:val="22"/>
              </w:rPr>
              <w:t xml:space="preserve"> 0.618753</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Unique:</w:t>
            </w:r>
            <w:r w:rsidRPr="00C47169">
              <w:rPr>
                <w:rFonts w:cs="Times New Roman"/>
                <w:sz w:val="22"/>
                <w:szCs w:val="22"/>
              </w:rPr>
              <w:t xml:space="preserve"> 0.467285</w:t>
            </w:r>
          </w:p>
        </w:tc>
      </w:tr>
      <w:tr w:rsidR="009B36EE" w:rsidRPr="00C47169">
        <w:trPr>
          <w:trHeight w:val="300"/>
        </w:trPr>
        <w:tc>
          <w:tcPr>
            <w:tcW w:w="819" w:type="dxa"/>
          </w:tcPr>
          <w:p w:rsidR="009B36EE" w:rsidRPr="00C47169" w:rsidRDefault="009B36EE" w:rsidP="00143569">
            <w:pPr>
              <w:rPr>
                <w:rFonts w:eastAsia="Times New Roman" w:cs="Times New Roman"/>
                <w:sz w:val="22"/>
                <w:szCs w:val="22"/>
                <w:lang w:eastAsia="en-GB" w:bidi="ar-SA"/>
              </w:rPr>
            </w:pPr>
          </w:p>
        </w:tc>
        <w:tc>
          <w:tcPr>
            <w:tcW w:w="2694" w:type="dxa"/>
            <w:vMerge/>
            <w:shd w:val="clear" w:color="auto" w:fill="auto"/>
            <w:noWrap/>
          </w:tcPr>
          <w:p w:rsidR="009B36EE" w:rsidRPr="00C47169" w:rsidRDefault="009B36EE" w:rsidP="00143569">
            <w:pPr>
              <w:rPr>
                <w:rFonts w:eastAsia="Times New Roman" w:cs="Times New Roman"/>
                <w:sz w:val="22"/>
                <w:szCs w:val="22"/>
                <w:lang w:eastAsia="en-GB" w:bidi="ar-SA"/>
              </w:rPr>
            </w:pPr>
          </w:p>
        </w:tc>
        <w:tc>
          <w:tcPr>
            <w:tcW w:w="2268" w:type="dxa"/>
            <w:vMerge/>
            <w:shd w:val="clear" w:color="auto" w:fill="auto"/>
          </w:tcPr>
          <w:p w:rsidR="009B36EE" w:rsidRPr="00C47169" w:rsidRDefault="009B36EE" w:rsidP="00143569">
            <w:pPr>
              <w:rPr>
                <w:rFonts w:eastAsia="Times New Roman" w:cs="Times New Roman"/>
                <w:sz w:val="22"/>
                <w:szCs w:val="22"/>
                <w:lang w:eastAsia="en-GB" w:bidi="ar-SA"/>
              </w:rPr>
            </w:pPr>
          </w:p>
        </w:tc>
        <w:tc>
          <w:tcPr>
            <w:tcW w:w="4394" w:type="dxa"/>
            <w:shd w:val="clear" w:color="auto" w:fill="auto"/>
          </w:tcPr>
          <w:p w:rsidR="009B36EE" w:rsidRPr="00C47169" w:rsidRDefault="009B36EE" w:rsidP="00407362">
            <w:pPr>
              <w:rPr>
                <w:rFonts w:cs="Times New Roman"/>
                <w:sz w:val="22"/>
                <w:szCs w:val="22"/>
              </w:rPr>
            </w:pPr>
            <w:r w:rsidRPr="00C47169">
              <w:rPr>
                <w:rFonts w:eastAsia="Times New Roman" w:cs="Times New Roman"/>
                <w:sz w:val="22"/>
                <w:szCs w:val="22"/>
                <w:lang w:eastAsia="en-GB" w:bidi="ar-SA"/>
              </w:rPr>
              <w:t>High bargaining coverage*</w:t>
            </w:r>
            <w:r w:rsidR="00407362" w:rsidRPr="00C47169">
              <w:rPr>
                <w:rFonts w:eastAsia="Times New Roman" w:cs="Times New Roman"/>
                <w:sz w:val="22"/>
                <w:szCs w:val="22"/>
                <w:lang w:eastAsia="en-GB" w:bidi="ar-SA"/>
              </w:rPr>
              <w:t>not high union density*working class ideology*high law</w:t>
            </w:r>
            <w:r w:rsidR="00407362">
              <w:rPr>
                <w:rFonts w:eastAsia="Times New Roman" w:cs="Times New Roman"/>
                <w:sz w:val="22"/>
                <w:szCs w:val="22"/>
                <w:lang w:eastAsia="en-GB" w:bidi="ar-SA"/>
              </w:rPr>
              <w:t xml:space="preserve"> </w:t>
            </w:r>
            <w:r w:rsidRPr="00C47169">
              <w:rPr>
                <w:rFonts w:cs="Times New Roman"/>
                <w:sz w:val="22"/>
                <w:szCs w:val="22"/>
              </w:rPr>
              <w:t>(</w:t>
            </w:r>
            <w:r w:rsidR="00407362">
              <w:rPr>
                <w:rFonts w:eastAsia="Times New Roman" w:cs="Times New Roman"/>
                <w:sz w:val="22"/>
                <w:szCs w:val="22"/>
                <w:lang w:eastAsia="en-GB" w:bidi="ar-SA"/>
              </w:rPr>
              <w:t>ES, FR, IT</w:t>
            </w:r>
            <w:r w:rsidRPr="00C47169">
              <w:rPr>
                <w:rFonts w:cs="Times New Roman"/>
                <w:sz w:val="22"/>
                <w:szCs w:val="22"/>
              </w:rPr>
              <w:t>)</w:t>
            </w:r>
          </w:p>
        </w:tc>
        <w:tc>
          <w:tcPr>
            <w:tcW w:w="1303"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cs="Times New Roman"/>
                <w:sz w:val="22"/>
                <w:szCs w:val="22"/>
              </w:rPr>
              <w:t>0.858586</w:t>
            </w:r>
          </w:p>
        </w:tc>
        <w:tc>
          <w:tcPr>
            <w:tcW w:w="1700"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Raw:</w:t>
            </w:r>
            <w:r w:rsidRPr="00C47169">
              <w:rPr>
                <w:rFonts w:cs="Times New Roman"/>
                <w:sz w:val="22"/>
                <w:szCs w:val="22"/>
              </w:rPr>
              <w:t>0.350335</w:t>
            </w:r>
            <w:r w:rsidR="00E73EE3">
              <w:rPr>
                <w:rFonts w:cs="Times New Roman"/>
                <w:sz w:val="22"/>
                <w:szCs w:val="22"/>
              </w:rPr>
              <w:t xml:space="preserve"> </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Unique:</w:t>
            </w:r>
            <w:r w:rsidRPr="00C47169">
              <w:rPr>
                <w:rFonts w:cs="Times New Roman"/>
                <w:sz w:val="22"/>
                <w:szCs w:val="22"/>
              </w:rPr>
              <w:t xml:space="preserve"> 0.198867</w:t>
            </w:r>
          </w:p>
        </w:tc>
      </w:tr>
      <w:tr w:rsidR="009B36EE" w:rsidRPr="00C47169">
        <w:trPr>
          <w:trHeight w:val="300"/>
        </w:trPr>
        <w:tc>
          <w:tcPr>
            <w:tcW w:w="819" w:type="dxa"/>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3</w:t>
            </w:r>
          </w:p>
        </w:tc>
        <w:tc>
          <w:tcPr>
            <w:tcW w:w="2694" w:type="dxa"/>
            <w:vMerge w:val="restart"/>
            <w:shd w:val="clear" w:color="auto" w:fill="auto"/>
            <w:noWrap/>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 xml:space="preserve">High bargaining coverage, </w:t>
            </w:r>
            <w:r w:rsidR="00407362" w:rsidRPr="00C47169">
              <w:rPr>
                <w:rFonts w:eastAsia="Times New Roman" w:cs="Times New Roman"/>
                <w:sz w:val="22"/>
                <w:szCs w:val="22"/>
                <w:lang w:eastAsia="en-GB" w:bidi="ar-SA"/>
              </w:rPr>
              <w:t xml:space="preserve">high union density, working class ideology, high union authority, low </w:t>
            </w:r>
            <w:r w:rsidRPr="00C47169">
              <w:rPr>
                <w:rFonts w:eastAsia="Times New Roman" w:cs="Times New Roman"/>
                <w:sz w:val="22"/>
                <w:szCs w:val="22"/>
                <w:lang w:eastAsia="en-GB" w:bidi="ar-SA"/>
              </w:rPr>
              <w:t>EPL</w:t>
            </w:r>
          </w:p>
        </w:tc>
        <w:tc>
          <w:tcPr>
            <w:tcW w:w="2268" w:type="dxa"/>
            <w:vMerge w:val="restart"/>
            <w:shd w:val="clear" w:color="auto" w:fill="auto"/>
          </w:tcPr>
          <w:p w:rsidR="009B36EE" w:rsidRPr="00C47169" w:rsidDel="007F7CAA"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Consistency: 0.923497</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Coverage: 0.783617</w:t>
            </w:r>
          </w:p>
          <w:p w:rsidR="009B36EE" w:rsidRPr="00C47169" w:rsidRDefault="009B36EE" w:rsidP="00143569">
            <w:pPr>
              <w:rPr>
                <w:rFonts w:eastAsia="Times New Roman" w:cs="Times New Roman"/>
                <w:sz w:val="22"/>
                <w:szCs w:val="22"/>
                <w:lang w:eastAsia="en-GB" w:bidi="ar-SA"/>
              </w:rPr>
            </w:pPr>
          </w:p>
        </w:tc>
        <w:tc>
          <w:tcPr>
            <w:tcW w:w="4394" w:type="dxa"/>
            <w:shd w:val="clear" w:color="auto" w:fill="auto"/>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High bargaining coverage*</w:t>
            </w:r>
            <w:r w:rsidR="00407362" w:rsidRPr="00C47169">
              <w:rPr>
                <w:rFonts w:eastAsia="Times New Roman" w:cs="Times New Roman"/>
                <w:sz w:val="22"/>
                <w:szCs w:val="22"/>
                <w:lang w:eastAsia="en-GB" w:bidi="ar-SA"/>
              </w:rPr>
              <w:t>high density*not working</w:t>
            </w:r>
            <w:r w:rsidR="00407362">
              <w:rPr>
                <w:rFonts w:eastAsia="Times New Roman" w:cs="Times New Roman"/>
                <w:sz w:val="22"/>
                <w:szCs w:val="22"/>
                <w:lang w:eastAsia="en-GB" w:bidi="ar-SA"/>
              </w:rPr>
              <w:t>-</w:t>
            </w:r>
            <w:r w:rsidR="00407362" w:rsidRPr="00C47169">
              <w:rPr>
                <w:rFonts w:eastAsia="Times New Roman" w:cs="Times New Roman"/>
                <w:sz w:val="22"/>
                <w:szCs w:val="22"/>
                <w:lang w:eastAsia="en-GB" w:bidi="ar-SA"/>
              </w:rPr>
              <w:t>class ideology*high union author</w:t>
            </w:r>
            <w:r w:rsidRPr="00C47169">
              <w:rPr>
                <w:rFonts w:eastAsia="Times New Roman" w:cs="Times New Roman"/>
                <w:sz w:val="22"/>
                <w:szCs w:val="22"/>
                <w:lang w:eastAsia="en-GB" w:bidi="ar-SA"/>
              </w:rPr>
              <w:t>ity (</w:t>
            </w:r>
            <w:r w:rsidR="00407362">
              <w:rPr>
                <w:rFonts w:eastAsia="Times New Roman" w:cs="Times New Roman"/>
                <w:sz w:val="22"/>
                <w:szCs w:val="22"/>
                <w:lang w:eastAsia="en-GB" w:bidi="ar-SA"/>
              </w:rPr>
              <w:t>BE, DK, FI, SE</w:t>
            </w:r>
            <w:r w:rsidRPr="00C47169">
              <w:rPr>
                <w:rFonts w:eastAsia="Times New Roman" w:cs="Times New Roman"/>
                <w:sz w:val="22"/>
                <w:szCs w:val="22"/>
                <w:lang w:eastAsia="en-GB" w:bidi="ar-SA"/>
              </w:rPr>
              <w:t>)</w:t>
            </w:r>
          </w:p>
        </w:tc>
        <w:tc>
          <w:tcPr>
            <w:tcW w:w="1303"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0.987847</w:t>
            </w:r>
          </w:p>
        </w:tc>
        <w:tc>
          <w:tcPr>
            <w:tcW w:w="1700"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Raw:</w:t>
            </w:r>
            <w:r w:rsidRPr="00C47169">
              <w:rPr>
                <w:rFonts w:cs="Times New Roman"/>
                <w:sz w:val="22"/>
                <w:szCs w:val="22"/>
              </w:rPr>
              <w:t xml:space="preserve"> 0.586296</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Unique:</w:t>
            </w:r>
            <w:r w:rsidRPr="00C47169">
              <w:rPr>
                <w:rFonts w:cs="Times New Roman"/>
                <w:sz w:val="22"/>
                <w:szCs w:val="22"/>
              </w:rPr>
              <w:t xml:space="preserve"> 0.411643</w:t>
            </w:r>
          </w:p>
        </w:tc>
      </w:tr>
      <w:tr w:rsidR="009B36EE" w:rsidRPr="00C47169">
        <w:trPr>
          <w:trHeight w:val="300"/>
        </w:trPr>
        <w:tc>
          <w:tcPr>
            <w:tcW w:w="819" w:type="dxa"/>
          </w:tcPr>
          <w:p w:rsidR="009B36EE" w:rsidRPr="00C47169" w:rsidRDefault="009B36EE" w:rsidP="00143569">
            <w:pPr>
              <w:rPr>
                <w:rFonts w:eastAsia="Times New Roman" w:cs="Times New Roman"/>
                <w:sz w:val="22"/>
                <w:szCs w:val="22"/>
                <w:lang w:eastAsia="en-GB" w:bidi="ar-SA"/>
              </w:rPr>
            </w:pPr>
          </w:p>
        </w:tc>
        <w:tc>
          <w:tcPr>
            <w:tcW w:w="2694" w:type="dxa"/>
            <w:vMerge/>
            <w:shd w:val="clear" w:color="auto" w:fill="auto"/>
            <w:noWrap/>
          </w:tcPr>
          <w:p w:rsidR="009B36EE" w:rsidRPr="00C47169" w:rsidRDefault="009B36EE" w:rsidP="00143569">
            <w:pPr>
              <w:rPr>
                <w:rFonts w:eastAsia="Times New Roman" w:cs="Times New Roman"/>
                <w:sz w:val="22"/>
                <w:szCs w:val="22"/>
                <w:lang w:eastAsia="en-GB" w:bidi="ar-SA"/>
              </w:rPr>
            </w:pPr>
          </w:p>
        </w:tc>
        <w:tc>
          <w:tcPr>
            <w:tcW w:w="2268" w:type="dxa"/>
            <w:vMerge/>
            <w:shd w:val="clear" w:color="auto" w:fill="auto"/>
          </w:tcPr>
          <w:p w:rsidR="009B36EE" w:rsidRPr="00C47169" w:rsidRDefault="009B36EE" w:rsidP="00143569">
            <w:pPr>
              <w:rPr>
                <w:rFonts w:eastAsia="Times New Roman" w:cs="Times New Roman"/>
                <w:sz w:val="22"/>
                <w:szCs w:val="22"/>
                <w:lang w:eastAsia="en-GB" w:bidi="ar-SA"/>
              </w:rPr>
            </w:pPr>
          </w:p>
        </w:tc>
        <w:tc>
          <w:tcPr>
            <w:tcW w:w="4394" w:type="dxa"/>
            <w:shd w:val="clear" w:color="auto" w:fill="auto"/>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High bargaining coverage*</w:t>
            </w:r>
            <w:r w:rsidR="00407362" w:rsidRPr="00C47169">
              <w:rPr>
                <w:rFonts w:eastAsia="Times New Roman" w:cs="Times New Roman"/>
                <w:sz w:val="22"/>
                <w:szCs w:val="22"/>
                <w:lang w:eastAsia="en-GB" w:bidi="ar-SA"/>
              </w:rPr>
              <w:t>not high density*working</w:t>
            </w:r>
            <w:r w:rsidR="00407362">
              <w:rPr>
                <w:rFonts w:eastAsia="Times New Roman" w:cs="Times New Roman"/>
                <w:sz w:val="22"/>
                <w:szCs w:val="22"/>
                <w:lang w:eastAsia="en-GB" w:bidi="ar-SA"/>
              </w:rPr>
              <w:t>-</w:t>
            </w:r>
            <w:r w:rsidR="00407362" w:rsidRPr="00C47169">
              <w:rPr>
                <w:rFonts w:eastAsia="Times New Roman" w:cs="Times New Roman"/>
                <w:sz w:val="22"/>
                <w:szCs w:val="22"/>
                <w:lang w:eastAsia="en-GB" w:bidi="ar-SA"/>
              </w:rPr>
              <w:t>class ideology*high union authority*not low</w:t>
            </w:r>
            <w:r w:rsidRPr="00C47169">
              <w:rPr>
                <w:rFonts w:eastAsia="Times New Roman" w:cs="Times New Roman"/>
                <w:sz w:val="22"/>
                <w:szCs w:val="22"/>
                <w:lang w:eastAsia="en-GB" w:bidi="ar-SA"/>
              </w:rPr>
              <w:t xml:space="preserve"> EPL (</w:t>
            </w:r>
            <w:r w:rsidR="00407362">
              <w:rPr>
                <w:rFonts w:eastAsia="Times New Roman" w:cs="Times New Roman"/>
                <w:sz w:val="22"/>
                <w:szCs w:val="22"/>
                <w:lang w:eastAsia="en-GB" w:bidi="ar-SA"/>
              </w:rPr>
              <w:t>ES, FR, IT</w:t>
            </w:r>
            <w:r w:rsidRPr="00C47169">
              <w:rPr>
                <w:rFonts w:eastAsia="Times New Roman" w:cs="Times New Roman"/>
                <w:sz w:val="22"/>
                <w:szCs w:val="22"/>
                <w:lang w:eastAsia="en-GB" w:bidi="ar-SA"/>
              </w:rPr>
              <w:t>)</w:t>
            </w:r>
          </w:p>
        </w:tc>
        <w:tc>
          <w:tcPr>
            <w:tcW w:w="1303"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0.865707</w:t>
            </w:r>
          </w:p>
        </w:tc>
        <w:tc>
          <w:tcPr>
            <w:tcW w:w="1700"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Raw:</w:t>
            </w:r>
            <w:r w:rsidRPr="00C47169">
              <w:rPr>
                <w:rFonts w:cs="Times New Roman"/>
                <w:sz w:val="22"/>
                <w:szCs w:val="22"/>
              </w:rPr>
              <w:t xml:space="preserve"> </w:t>
            </w:r>
            <w:r w:rsidRPr="00C47169">
              <w:rPr>
                <w:rFonts w:eastAsia="Times New Roman" w:cs="Times New Roman"/>
                <w:sz w:val="22"/>
                <w:szCs w:val="22"/>
                <w:lang w:eastAsia="en-GB" w:bidi="ar-SA"/>
              </w:rPr>
              <w:t>0.371973</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Unique:</w:t>
            </w:r>
            <w:r w:rsidRPr="00C47169">
              <w:rPr>
                <w:rFonts w:cs="Times New Roman"/>
                <w:sz w:val="22"/>
                <w:szCs w:val="22"/>
              </w:rPr>
              <w:t xml:space="preserve"> 0.197321</w:t>
            </w:r>
          </w:p>
        </w:tc>
      </w:tr>
      <w:tr w:rsidR="009B36EE" w:rsidRPr="00C47169">
        <w:trPr>
          <w:trHeight w:val="300"/>
        </w:trPr>
        <w:tc>
          <w:tcPr>
            <w:tcW w:w="819" w:type="dxa"/>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4</w:t>
            </w:r>
          </w:p>
        </w:tc>
        <w:tc>
          <w:tcPr>
            <w:tcW w:w="2694" w:type="dxa"/>
            <w:vMerge w:val="restart"/>
            <w:shd w:val="clear" w:color="auto" w:fill="auto"/>
            <w:noWrap/>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 xml:space="preserve">High bargaining coverage, </w:t>
            </w:r>
            <w:r w:rsidR="00407362" w:rsidRPr="00C47169">
              <w:rPr>
                <w:rFonts w:eastAsia="Times New Roman" w:cs="Times New Roman"/>
                <w:sz w:val="22"/>
                <w:szCs w:val="22"/>
                <w:lang w:eastAsia="en-GB" w:bidi="ar-SA"/>
              </w:rPr>
              <w:t>high union density, working class ideology, high union authority, high law</w:t>
            </w:r>
          </w:p>
        </w:tc>
        <w:tc>
          <w:tcPr>
            <w:tcW w:w="2268" w:type="dxa"/>
            <w:vMerge w:val="restart"/>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Consistency: 0.923636</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 xml:space="preserve">Coverage: 0.785162 </w:t>
            </w:r>
          </w:p>
          <w:p w:rsidR="009B36EE" w:rsidRPr="00C47169" w:rsidRDefault="009B36EE" w:rsidP="00143569">
            <w:pPr>
              <w:rPr>
                <w:rFonts w:eastAsia="Times New Roman" w:cs="Times New Roman"/>
                <w:sz w:val="22"/>
                <w:szCs w:val="22"/>
                <w:lang w:eastAsia="en-GB" w:bidi="ar-SA"/>
              </w:rPr>
            </w:pPr>
          </w:p>
        </w:tc>
        <w:tc>
          <w:tcPr>
            <w:tcW w:w="4394" w:type="dxa"/>
            <w:shd w:val="clear" w:color="auto" w:fill="auto"/>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High bargaining coverage*</w:t>
            </w:r>
            <w:r w:rsidR="00407362" w:rsidRPr="00C47169">
              <w:rPr>
                <w:rFonts w:eastAsia="Times New Roman" w:cs="Times New Roman"/>
                <w:sz w:val="22"/>
                <w:szCs w:val="22"/>
                <w:lang w:eastAsia="en-GB" w:bidi="ar-SA"/>
              </w:rPr>
              <w:t>high union density*not working</w:t>
            </w:r>
            <w:r w:rsidR="00407362">
              <w:rPr>
                <w:rFonts w:eastAsia="Times New Roman" w:cs="Times New Roman"/>
                <w:sz w:val="22"/>
                <w:szCs w:val="22"/>
                <w:lang w:eastAsia="en-GB" w:bidi="ar-SA"/>
              </w:rPr>
              <w:t>-</w:t>
            </w:r>
            <w:r w:rsidR="00407362" w:rsidRPr="00C47169">
              <w:rPr>
                <w:rFonts w:eastAsia="Times New Roman" w:cs="Times New Roman"/>
                <w:sz w:val="22"/>
                <w:szCs w:val="22"/>
                <w:lang w:eastAsia="en-GB" w:bidi="ar-SA"/>
              </w:rPr>
              <w:t xml:space="preserve">class ideology*high </w:t>
            </w:r>
            <w:r w:rsidRPr="00C47169">
              <w:rPr>
                <w:rFonts w:eastAsia="Times New Roman" w:cs="Times New Roman"/>
                <w:sz w:val="22"/>
                <w:szCs w:val="22"/>
                <w:lang w:eastAsia="en-GB" w:bidi="ar-SA"/>
              </w:rPr>
              <w:t>union authority</w:t>
            </w:r>
            <w:r w:rsidR="00E73EE3">
              <w:rPr>
                <w:rFonts w:eastAsia="Times New Roman" w:cs="Times New Roman"/>
                <w:sz w:val="22"/>
                <w:szCs w:val="22"/>
                <w:lang w:eastAsia="en-GB" w:bidi="ar-SA"/>
              </w:rPr>
              <w:t xml:space="preserve"> </w:t>
            </w:r>
            <w:r w:rsidRPr="00C47169">
              <w:rPr>
                <w:rFonts w:eastAsia="Times New Roman" w:cs="Times New Roman"/>
                <w:sz w:val="22"/>
                <w:szCs w:val="22"/>
                <w:lang w:eastAsia="en-GB" w:bidi="ar-SA"/>
              </w:rPr>
              <w:t>(</w:t>
            </w:r>
            <w:r w:rsidR="00407362">
              <w:rPr>
                <w:rFonts w:eastAsia="Times New Roman" w:cs="Times New Roman"/>
                <w:sz w:val="22"/>
                <w:szCs w:val="22"/>
                <w:lang w:eastAsia="en-GB" w:bidi="ar-SA"/>
              </w:rPr>
              <w:t>BE, DK, FI, SE</w:t>
            </w:r>
            <w:r w:rsidRPr="00C47169">
              <w:rPr>
                <w:rFonts w:eastAsia="Times New Roman" w:cs="Times New Roman"/>
                <w:sz w:val="22"/>
                <w:szCs w:val="22"/>
                <w:lang w:eastAsia="en-GB" w:bidi="ar-SA"/>
              </w:rPr>
              <w:t>)</w:t>
            </w:r>
          </w:p>
        </w:tc>
        <w:tc>
          <w:tcPr>
            <w:tcW w:w="1303"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0.987847</w:t>
            </w:r>
          </w:p>
        </w:tc>
        <w:tc>
          <w:tcPr>
            <w:tcW w:w="1700"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Raw:</w:t>
            </w:r>
            <w:r w:rsidR="00E73EE3">
              <w:rPr>
                <w:rFonts w:eastAsia="Times New Roman" w:cs="Times New Roman"/>
                <w:sz w:val="22"/>
                <w:szCs w:val="22"/>
                <w:lang w:eastAsia="en-GB" w:bidi="ar-SA"/>
              </w:rPr>
              <w:t xml:space="preserve"> </w:t>
            </w:r>
            <w:r w:rsidRPr="00C47169">
              <w:rPr>
                <w:rFonts w:eastAsia="Times New Roman" w:cs="Times New Roman"/>
                <w:sz w:val="22"/>
                <w:szCs w:val="22"/>
                <w:lang w:eastAsia="en-GB" w:bidi="ar-SA"/>
              </w:rPr>
              <w:t>0.586296</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Unique:</w:t>
            </w:r>
            <w:r w:rsidRPr="00C47169">
              <w:rPr>
                <w:rFonts w:cs="Times New Roman"/>
                <w:sz w:val="22"/>
                <w:szCs w:val="22"/>
              </w:rPr>
              <w:t xml:space="preserve"> 0.434827</w:t>
            </w:r>
          </w:p>
        </w:tc>
      </w:tr>
      <w:tr w:rsidR="009B36EE" w:rsidRPr="00C47169">
        <w:trPr>
          <w:trHeight w:val="300"/>
        </w:trPr>
        <w:tc>
          <w:tcPr>
            <w:tcW w:w="819" w:type="dxa"/>
          </w:tcPr>
          <w:p w:rsidR="009B36EE" w:rsidRPr="00C47169" w:rsidRDefault="009B36EE" w:rsidP="00143569">
            <w:pPr>
              <w:rPr>
                <w:rFonts w:eastAsia="Times New Roman" w:cs="Times New Roman"/>
                <w:sz w:val="22"/>
                <w:szCs w:val="22"/>
                <w:lang w:eastAsia="en-GB" w:bidi="ar-SA"/>
              </w:rPr>
            </w:pPr>
          </w:p>
        </w:tc>
        <w:tc>
          <w:tcPr>
            <w:tcW w:w="2694" w:type="dxa"/>
            <w:vMerge/>
            <w:shd w:val="clear" w:color="auto" w:fill="auto"/>
            <w:noWrap/>
          </w:tcPr>
          <w:p w:rsidR="009B36EE" w:rsidRPr="00C47169" w:rsidRDefault="009B36EE" w:rsidP="00143569">
            <w:pPr>
              <w:rPr>
                <w:rFonts w:eastAsia="Times New Roman" w:cs="Times New Roman"/>
                <w:sz w:val="22"/>
                <w:szCs w:val="22"/>
                <w:lang w:eastAsia="en-GB" w:bidi="ar-SA"/>
              </w:rPr>
            </w:pPr>
          </w:p>
        </w:tc>
        <w:tc>
          <w:tcPr>
            <w:tcW w:w="2268" w:type="dxa"/>
            <w:vMerge/>
            <w:shd w:val="clear" w:color="auto" w:fill="auto"/>
          </w:tcPr>
          <w:p w:rsidR="009B36EE" w:rsidRPr="00C47169" w:rsidRDefault="009B36EE" w:rsidP="00143569">
            <w:pPr>
              <w:rPr>
                <w:rFonts w:eastAsia="Times New Roman" w:cs="Times New Roman"/>
                <w:sz w:val="22"/>
                <w:szCs w:val="22"/>
                <w:lang w:eastAsia="en-GB" w:bidi="ar-SA"/>
              </w:rPr>
            </w:pPr>
          </w:p>
        </w:tc>
        <w:tc>
          <w:tcPr>
            <w:tcW w:w="4394" w:type="dxa"/>
            <w:shd w:val="clear" w:color="auto" w:fill="auto"/>
          </w:tcPr>
          <w:p w:rsidR="009B36EE" w:rsidRPr="00C47169" w:rsidRDefault="009B36EE" w:rsidP="00407362">
            <w:pPr>
              <w:rPr>
                <w:rFonts w:eastAsia="Times New Roman" w:cs="Times New Roman"/>
                <w:sz w:val="22"/>
                <w:szCs w:val="22"/>
                <w:lang w:eastAsia="en-GB" w:bidi="ar-SA"/>
              </w:rPr>
            </w:pPr>
            <w:r w:rsidRPr="00C47169">
              <w:rPr>
                <w:rFonts w:eastAsia="Times New Roman" w:cs="Times New Roman"/>
                <w:sz w:val="22"/>
                <w:szCs w:val="22"/>
                <w:lang w:eastAsia="en-GB" w:bidi="ar-SA"/>
              </w:rPr>
              <w:t>High bargaining coverage*</w:t>
            </w:r>
            <w:r w:rsidR="00407362" w:rsidRPr="00C47169">
              <w:rPr>
                <w:rFonts w:eastAsia="Times New Roman" w:cs="Times New Roman"/>
                <w:sz w:val="22"/>
                <w:szCs w:val="22"/>
                <w:lang w:eastAsia="en-GB" w:bidi="ar-SA"/>
              </w:rPr>
              <w:t xml:space="preserve">not high density*working class ideology*high </w:t>
            </w:r>
            <w:r w:rsidRPr="00C47169">
              <w:rPr>
                <w:rFonts w:eastAsia="Times New Roman" w:cs="Times New Roman"/>
                <w:sz w:val="22"/>
                <w:szCs w:val="22"/>
                <w:lang w:eastAsia="en-GB" w:bidi="ar-SA"/>
              </w:rPr>
              <w:t>union authority*</w:t>
            </w:r>
            <w:r w:rsidR="00407362" w:rsidRPr="00C47169">
              <w:rPr>
                <w:rFonts w:eastAsia="Times New Roman" w:cs="Times New Roman"/>
                <w:sz w:val="22"/>
                <w:szCs w:val="22"/>
                <w:lang w:eastAsia="en-GB" w:bidi="ar-SA"/>
              </w:rPr>
              <w:t xml:space="preserve">high law </w:t>
            </w:r>
            <w:r w:rsidRPr="00C47169">
              <w:rPr>
                <w:rFonts w:eastAsia="Times New Roman" w:cs="Times New Roman"/>
                <w:sz w:val="22"/>
                <w:szCs w:val="22"/>
                <w:lang w:eastAsia="en-GB" w:bidi="ar-SA"/>
              </w:rPr>
              <w:t>(</w:t>
            </w:r>
            <w:r w:rsidR="00407362">
              <w:rPr>
                <w:rFonts w:eastAsia="Times New Roman" w:cs="Times New Roman"/>
                <w:sz w:val="22"/>
                <w:szCs w:val="22"/>
                <w:lang w:eastAsia="en-GB" w:bidi="ar-SA"/>
              </w:rPr>
              <w:t>ES, FR, IT</w:t>
            </w:r>
            <w:r w:rsidRPr="00C47169">
              <w:rPr>
                <w:rFonts w:eastAsia="Times New Roman" w:cs="Times New Roman"/>
                <w:sz w:val="22"/>
                <w:szCs w:val="22"/>
                <w:lang w:eastAsia="en-GB" w:bidi="ar-SA"/>
              </w:rPr>
              <w:t>)</w:t>
            </w:r>
          </w:p>
        </w:tc>
        <w:tc>
          <w:tcPr>
            <w:tcW w:w="1303"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0.858586</w:t>
            </w:r>
          </w:p>
        </w:tc>
        <w:tc>
          <w:tcPr>
            <w:tcW w:w="1700" w:type="dxa"/>
            <w:shd w:val="clear" w:color="auto" w:fill="auto"/>
          </w:tcPr>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Raw:</w:t>
            </w:r>
            <w:r w:rsidR="00E73EE3">
              <w:rPr>
                <w:rFonts w:eastAsia="Times New Roman" w:cs="Times New Roman"/>
                <w:sz w:val="22"/>
                <w:szCs w:val="22"/>
                <w:lang w:eastAsia="en-GB" w:bidi="ar-SA"/>
              </w:rPr>
              <w:t xml:space="preserve"> </w:t>
            </w:r>
            <w:r w:rsidRPr="00C47169">
              <w:rPr>
                <w:rFonts w:eastAsia="Times New Roman" w:cs="Times New Roman"/>
                <w:sz w:val="22"/>
                <w:szCs w:val="22"/>
                <w:lang w:eastAsia="en-GB" w:bidi="ar-SA"/>
              </w:rPr>
              <w:t>0.350335</w:t>
            </w:r>
          </w:p>
          <w:p w:rsidR="009B36EE" w:rsidRPr="00C47169" w:rsidRDefault="009B36EE" w:rsidP="00143569">
            <w:pPr>
              <w:rPr>
                <w:rFonts w:eastAsia="Times New Roman" w:cs="Times New Roman"/>
                <w:sz w:val="22"/>
                <w:szCs w:val="22"/>
                <w:lang w:eastAsia="en-GB" w:bidi="ar-SA"/>
              </w:rPr>
            </w:pPr>
            <w:r w:rsidRPr="00C47169">
              <w:rPr>
                <w:rFonts w:eastAsia="Times New Roman" w:cs="Times New Roman"/>
                <w:sz w:val="22"/>
                <w:szCs w:val="22"/>
                <w:lang w:eastAsia="en-GB" w:bidi="ar-SA"/>
              </w:rPr>
              <w:t>Unique:</w:t>
            </w:r>
            <w:r w:rsidRPr="00C47169">
              <w:rPr>
                <w:rFonts w:cs="Times New Roman"/>
                <w:sz w:val="22"/>
                <w:szCs w:val="22"/>
              </w:rPr>
              <w:t xml:space="preserve"> </w:t>
            </w:r>
            <w:r w:rsidRPr="00C47169">
              <w:rPr>
                <w:rFonts w:eastAsia="Times New Roman" w:cs="Times New Roman"/>
                <w:sz w:val="22"/>
                <w:szCs w:val="22"/>
                <w:lang w:eastAsia="en-GB" w:bidi="ar-SA"/>
              </w:rPr>
              <w:t>0.198867</w:t>
            </w:r>
          </w:p>
        </w:tc>
      </w:tr>
    </w:tbl>
    <w:p w:rsidR="005F4FE4" w:rsidRPr="00C47169" w:rsidRDefault="009B36EE" w:rsidP="00C47169">
      <w:pPr>
        <w:pStyle w:val="Testonormale"/>
        <w:rPr>
          <w:rFonts w:ascii="Times New Roman" w:eastAsia="Times New Roman" w:hAnsi="Times New Roman"/>
          <w:szCs w:val="22"/>
          <w:lang w:val="en-GB" w:eastAsia="en-GB"/>
        </w:rPr>
      </w:pPr>
      <w:r w:rsidRPr="00C47169">
        <w:rPr>
          <w:rFonts w:ascii="Times New Roman" w:eastAsia="Times New Roman" w:hAnsi="Times New Roman"/>
          <w:szCs w:val="22"/>
          <w:lang w:val="en-GB" w:eastAsia="en-GB"/>
        </w:rPr>
        <w:t xml:space="preserve">Note: Other models were tried but performed less well (see Table A7 in the Appendix). </w:t>
      </w:r>
    </w:p>
    <w:sectPr w:rsidR="005F4FE4" w:rsidRPr="00C47169" w:rsidSect="005F4FE4">
      <w:pgSz w:w="12240" w:h="15840"/>
      <w:pgMar w:top="1440" w:right="1797" w:bottom="1440"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EE" w:rsidRPr="00C874B1" w:rsidRDefault="005F3EEE" w:rsidP="00C874B1">
      <w:pPr>
        <w:pStyle w:val="Pidipagina"/>
      </w:pPr>
    </w:p>
  </w:endnote>
  <w:endnote w:type="continuationSeparator" w:id="0">
    <w:p w:rsidR="005F3EEE" w:rsidRPr="00C874B1" w:rsidRDefault="005F3EEE" w:rsidP="00C874B1">
      <w:pPr>
        <w:pStyle w:val="Pidipagin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hruti">
    <w:charset w:val="00"/>
    <w:family w:val="swiss"/>
    <w:pitch w:val="variable"/>
    <w:sig w:usb0="0004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3020000020003"/>
    <w:charset w:val="00"/>
    <w:family w:val="auto"/>
    <w:pitch w:val="variable"/>
    <w:sig w:usb0="00000003" w:usb1="00000000" w:usb2="00000000" w:usb3="00000000" w:csb0="00000001" w:csb1="00000000"/>
  </w:font>
  <w:font w:name="WenQuanYi Micro Hei">
    <w:altName w:val="?l?r ??fc"/>
    <w:panose1 w:val="00000000000000000000"/>
    <w:charset w:val="80"/>
    <w:family w:val="auto"/>
    <w:notTrueType/>
    <w:pitch w:val="variable"/>
    <w:sig w:usb0="00000001" w:usb1="08070000" w:usb2="00000010" w:usb3="00000000" w:csb0="00020000" w:csb1="00000000"/>
  </w:font>
  <w:font w:name="Lohit Hindi">
    <w:altName w:val="?l?r ??fc"/>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E3" w:rsidRDefault="002249ED" w:rsidP="005F4FE4">
    <w:pPr>
      <w:pStyle w:val="Pidipagina"/>
      <w:framePr w:wrap="around" w:vAnchor="text" w:hAnchor="margin" w:xAlign="right" w:y="1"/>
      <w:rPr>
        <w:rStyle w:val="Numeropagina"/>
        <w:sz w:val="24"/>
        <w:szCs w:val="24"/>
      </w:rPr>
    </w:pPr>
    <w:r>
      <w:rPr>
        <w:rStyle w:val="Numeropagina"/>
      </w:rPr>
      <w:fldChar w:fldCharType="begin"/>
    </w:r>
    <w:r w:rsidR="00E73EE3">
      <w:rPr>
        <w:rStyle w:val="Numeropagina"/>
      </w:rPr>
      <w:instrText xml:space="preserve">PAGE  </w:instrText>
    </w:r>
    <w:r>
      <w:rPr>
        <w:rStyle w:val="Numeropagina"/>
      </w:rPr>
      <w:fldChar w:fldCharType="end"/>
    </w:r>
  </w:p>
  <w:p w:rsidR="00E73EE3" w:rsidRDefault="00E73EE3" w:rsidP="005F4FE4">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E3" w:rsidRDefault="002249ED" w:rsidP="005F4FE4">
    <w:pPr>
      <w:pStyle w:val="Pidipagina"/>
      <w:framePr w:wrap="around" w:vAnchor="text" w:hAnchor="margin" w:xAlign="right" w:y="1"/>
      <w:rPr>
        <w:rStyle w:val="Numeropagina"/>
        <w:sz w:val="24"/>
        <w:szCs w:val="24"/>
      </w:rPr>
    </w:pPr>
    <w:r>
      <w:rPr>
        <w:rStyle w:val="Numeropagina"/>
      </w:rPr>
      <w:fldChar w:fldCharType="begin"/>
    </w:r>
    <w:r w:rsidR="00E73EE3">
      <w:rPr>
        <w:rStyle w:val="Numeropagina"/>
      </w:rPr>
      <w:instrText xml:space="preserve">PAGE  </w:instrText>
    </w:r>
    <w:r>
      <w:rPr>
        <w:rStyle w:val="Numeropagina"/>
      </w:rPr>
      <w:fldChar w:fldCharType="separate"/>
    </w:r>
    <w:r w:rsidR="004D0CE0">
      <w:rPr>
        <w:rStyle w:val="Numeropagina"/>
        <w:noProof/>
      </w:rPr>
      <w:t>8</w:t>
    </w:r>
    <w:r>
      <w:rPr>
        <w:rStyle w:val="Numeropagina"/>
      </w:rPr>
      <w:fldChar w:fldCharType="end"/>
    </w:r>
  </w:p>
  <w:p w:rsidR="00E73EE3" w:rsidRPr="00913814" w:rsidRDefault="00E73EE3">
    <w:pPr>
      <w:pStyle w:val="Pidipagina"/>
      <w:rPr>
        <w:sz w:val="22"/>
        <w:szCs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EE" w:rsidRDefault="005F3EEE">
      <w:r>
        <w:separator/>
      </w:r>
    </w:p>
  </w:footnote>
  <w:footnote w:type="continuationSeparator" w:id="0">
    <w:p w:rsidR="005F3EEE" w:rsidRDefault="005F3EE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85pt;height:9.1pt" o:bullet="t">
        <v:imagedata r:id="rId1" o:title=""/>
      </v:shape>
    </w:pict>
  </w:numPicBullet>
  <w:abstractNum w:abstractNumId="0">
    <w:nsid w:val="027326C5"/>
    <w:multiLevelType w:val="hybridMultilevel"/>
    <w:tmpl w:val="7966A2AA"/>
    <w:lvl w:ilvl="0" w:tplc="CD389DA6">
      <w:numFmt w:val="bullet"/>
      <w:lvlText w:val="-"/>
      <w:lvlJc w:val="left"/>
      <w:pPr>
        <w:ind w:left="720" w:hanging="360"/>
      </w:pPr>
      <w:rPr>
        <w:rFonts w:ascii="Times New Roman" w:eastAsia="SimSun" w:hAnsi="Times New Roman" w:cs="Arial Narrow"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nsid w:val="082225E4"/>
    <w:multiLevelType w:val="hybridMultilevel"/>
    <w:tmpl w:val="D612F3AA"/>
    <w:lvl w:ilvl="0" w:tplc="9874162C">
      <w:start w:val="1"/>
      <w:numFmt w:val="lowerLetter"/>
      <w:lvlText w:val="%1)"/>
      <w:lvlJc w:val="left"/>
      <w:pPr>
        <w:ind w:left="785" w:hanging="360"/>
      </w:pPr>
      <w:rPr>
        <w:rFonts w:eastAsia="Calibri"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0860797B"/>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8B824E9"/>
    <w:multiLevelType w:val="hybridMultilevel"/>
    <w:tmpl w:val="88165228"/>
    <w:lvl w:ilvl="0" w:tplc="5F0850A2">
      <w:start w:val="1"/>
      <w:numFmt w:val="bullet"/>
      <w:lvlText w:val=""/>
      <w:lvlPicBulletId w:val="0"/>
      <w:lvlJc w:val="left"/>
      <w:pPr>
        <w:tabs>
          <w:tab w:val="num" w:pos="720"/>
        </w:tabs>
        <w:ind w:left="720" w:hanging="360"/>
      </w:pPr>
      <w:rPr>
        <w:rFonts w:ascii="Symbol" w:hAnsi="Symbol" w:hint="default"/>
      </w:rPr>
    </w:lvl>
    <w:lvl w:ilvl="1" w:tplc="B69CECDA" w:tentative="1">
      <w:start w:val="1"/>
      <w:numFmt w:val="bullet"/>
      <w:lvlText w:val=""/>
      <w:lvlJc w:val="left"/>
      <w:pPr>
        <w:tabs>
          <w:tab w:val="num" w:pos="1440"/>
        </w:tabs>
        <w:ind w:left="1440" w:hanging="360"/>
      </w:pPr>
      <w:rPr>
        <w:rFonts w:ascii="Symbol" w:hAnsi="Symbol" w:hint="default"/>
      </w:rPr>
    </w:lvl>
    <w:lvl w:ilvl="2" w:tplc="046C10D8" w:tentative="1">
      <w:start w:val="1"/>
      <w:numFmt w:val="bullet"/>
      <w:lvlText w:val=""/>
      <w:lvlJc w:val="left"/>
      <w:pPr>
        <w:tabs>
          <w:tab w:val="num" w:pos="2160"/>
        </w:tabs>
        <w:ind w:left="2160" w:hanging="360"/>
      </w:pPr>
      <w:rPr>
        <w:rFonts w:ascii="Symbol" w:hAnsi="Symbol" w:hint="default"/>
      </w:rPr>
    </w:lvl>
    <w:lvl w:ilvl="3" w:tplc="AF76C340" w:tentative="1">
      <w:start w:val="1"/>
      <w:numFmt w:val="bullet"/>
      <w:lvlText w:val=""/>
      <w:lvlJc w:val="left"/>
      <w:pPr>
        <w:tabs>
          <w:tab w:val="num" w:pos="2880"/>
        </w:tabs>
        <w:ind w:left="2880" w:hanging="360"/>
      </w:pPr>
      <w:rPr>
        <w:rFonts w:ascii="Symbol" w:hAnsi="Symbol" w:hint="default"/>
      </w:rPr>
    </w:lvl>
    <w:lvl w:ilvl="4" w:tplc="16E48DCA" w:tentative="1">
      <w:start w:val="1"/>
      <w:numFmt w:val="bullet"/>
      <w:lvlText w:val=""/>
      <w:lvlJc w:val="left"/>
      <w:pPr>
        <w:tabs>
          <w:tab w:val="num" w:pos="3600"/>
        </w:tabs>
        <w:ind w:left="3600" w:hanging="360"/>
      </w:pPr>
      <w:rPr>
        <w:rFonts w:ascii="Symbol" w:hAnsi="Symbol" w:hint="default"/>
      </w:rPr>
    </w:lvl>
    <w:lvl w:ilvl="5" w:tplc="008AF7F2" w:tentative="1">
      <w:start w:val="1"/>
      <w:numFmt w:val="bullet"/>
      <w:lvlText w:val=""/>
      <w:lvlJc w:val="left"/>
      <w:pPr>
        <w:tabs>
          <w:tab w:val="num" w:pos="4320"/>
        </w:tabs>
        <w:ind w:left="4320" w:hanging="360"/>
      </w:pPr>
      <w:rPr>
        <w:rFonts w:ascii="Symbol" w:hAnsi="Symbol" w:hint="default"/>
      </w:rPr>
    </w:lvl>
    <w:lvl w:ilvl="6" w:tplc="B024C728" w:tentative="1">
      <w:start w:val="1"/>
      <w:numFmt w:val="bullet"/>
      <w:lvlText w:val=""/>
      <w:lvlJc w:val="left"/>
      <w:pPr>
        <w:tabs>
          <w:tab w:val="num" w:pos="5040"/>
        </w:tabs>
        <w:ind w:left="5040" w:hanging="360"/>
      </w:pPr>
      <w:rPr>
        <w:rFonts w:ascii="Symbol" w:hAnsi="Symbol" w:hint="default"/>
      </w:rPr>
    </w:lvl>
    <w:lvl w:ilvl="7" w:tplc="E9CCBA94" w:tentative="1">
      <w:start w:val="1"/>
      <w:numFmt w:val="bullet"/>
      <w:lvlText w:val=""/>
      <w:lvlJc w:val="left"/>
      <w:pPr>
        <w:tabs>
          <w:tab w:val="num" w:pos="5760"/>
        </w:tabs>
        <w:ind w:left="5760" w:hanging="360"/>
      </w:pPr>
      <w:rPr>
        <w:rFonts w:ascii="Symbol" w:hAnsi="Symbol" w:hint="default"/>
      </w:rPr>
    </w:lvl>
    <w:lvl w:ilvl="8" w:tplc="51B29DB0" w:tentative="1">
      <w:start w:val="1"/>
      <w:numFmt w:val="bullet"/>
      <w:lvlText w:val=""/>
      <w:lvlJc w:val="left"/>
      <w:pPr>
        <w:tabs>
          <w:tab w:val="num" w:pos="6480"/>
        </w:tabs>
        <w:ind w:left="6480" w:hanging="360"/>
      </w:pPr>
      <w:rPr>
        <w:rFonts w:ascii="Symbol" w:hAnsi="Symbol" w:hint="default"/>
      </w:rPr>
    </w:lvl>
  </w:abstractNum>
  <w:abstractNum w:abstractNumId="4">
    <w:nsid w:val="0BD4658F"/>
    <w:multiLevelType w:val="hybridMultilevel"/>
    <w:tmpl w:val="EE6430D4"/>
    <w:lvl w:ilvl="0" w:tplc="50AC2A88">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623582"/>
    <w:multiLevelType w:val="hybridMultilevel"/>
    <w:tmpl w:val="E530F310"/>
    <w:lvl w:ilvl="0" w:tplc="2E700F66">
      <w:start w:val="1"/>
      <w:numFmt w:val="decimal"/>
      <w:lvlText w:val="Model %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5C347E"/>
    <w:multiLevelType w:val="multilevel"/>
    <w:tmpl w:val="2C98255C"/>
    <w:lvl w:ilvl="0">
      <w:start w:val="1"/>
      <w:numFmt w:val="upperRoman"/>
      <w:lvlText w:val="%1."/>
      <w:lvlJc w:val="left"/>
      <w:pPr>
        <w:tabs>
          <w:tab w:val="num" w:pos="360"/>
        </w:tabs>
        <w:ind w:left="0" w:firstLine="0"/>
      </w:pPr>
      <w:rPr>
        <w:rFonts w:hint="default"/>
      </w:rPr>
    </w:lvl>
    <w:lvl w:ilvl="1">
      <w:start w:val="1"/>
      <w:numFmt w:val="decimal"/>
      <w:lvlText w:val="I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BD61026"/>
    <w:multiLevelType w:val="hybridMultilevel"/>
    <w:tmpl w:val="67663FB6"/>
    <w:lvl w:ilvl="0" w:tplc="A168B8D6">
      <w:start w:val="20"/>
      <w:numFmt w:val="bullet"/>
      <w:lvlText w:val="-"/>
      <w:lvlJc w:val="left"/>
      <w:pPr>
        <w:tabs>
          <w:tab w:val="num" w:pos="720"/>
        </w:tabs>
        <w:ind w:left="720" w:hanging="360"/>
      </w:pPr>
      <w:rPr>
        <w:rFonts w:ascii="Times New Roman" w:eastAsia="Calibri" w:hAnsi="Times New Roman" w:cs="Times New Roman" w:hint="default"/>
      </w:rPr>
    </w:lvl>
    <w:lvl w:ilvl="1" w:tplc="08090003">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A40405"/>
    <w:multiLevelType w:val="multilevel"/>
    <w:tmpl w:val="4F200ABC"/>
    <w:lvl w:ilvl="0">
      <w:start w:val="1"/>
      <w:numFmt w:val="upperRoman"/>
      <w:lvlText w:val="%1."/>
      <w:lvlJc w:val="left"/>
      <w:pPr>
        <w:tabs>
          <w:tab w:val="num" w:pos="360"/>
        </w:tabs>
        <w:ind w:left="0" w:firstLine="0"/>
      </w:pPr>
      <w:rPr>
        <w:rFonts w:hint="default"/>
      </w:rPr>
    </w:lvl>
    <w:lvl w:ilvl="1">
      <w:start w:val="1"/>
      <w:numFmt w:val="decimal"/>
      <w:lvlText w:val="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0FD341F"/>
    <w:multiLevelType w:val="multilevel"/>
    <w:tmpl w:val="6136D3D4"/>
    <w:lvl w:ilvl="0">
      <w:start w:val="1"/>
      <w:numFmt w:val="upperRoman"/>
      <w:lvlText w:val="%1."/>
      <w:lvlJc w:val="left"/>
      <w:pPr>
        <w:tabs>
          <w:tab w:val="num" w:pos="360"/>
        </w:tabs>
        <w:ind w:left="0" w:firstLine="0"/>
      </w:pPr>
      <w:rPr>
        <w:rFonts w:hint="default"/>
      </w:rPr>
    </w:lvl>
    <w:lvl w:ilvl="1">
      <w:start w:val="1"/>
      <w:numFmt w:val="upperLetter"/>
      <w:lvlText w:val="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2C81635"/>
    <w:multiLevelType w:val="multilevel"/>
    <w:tmpl w:val="3BF8FDF8"/>
    <w:lvl w:ilvl="0">
      <w:start w:val="1"/>
      <w:numFmt w:val="upperRoman"/>
      <w:pStyle w:val="Titolo1"/>
      <w:lvlText w:val="%1."/>
      <w:lvlJc w:val="left"/>
      <w:pPr>
        <w:tabs>
          <w:tab w:val="num" w:pos="360"/>
        </w:tabs>
        <w:ind w:left="0" w:firstLine="0"/>
      </w:pPr>
      <w:rPr>
        <w:rFonts w:hint="default"/>
      </w:rPr>
    </w:lvl>
    <w:lvl w:ilvl="1">
      <w:start w:val="1"/>
      <w:numFmt w:val="decimal"/>
      <w:pStyle w:val="Titolo2"/>
      <w:lvlText w:val="II.%2."/>
      <w:lvlJc w:val="left"/>
      <w:pPr>
        <w:tabs>
          <w:tab w:val="num" w:pos="1080"/>
        </w:tabs>
        <w:ind w:left="720" w:firstLine="0"/>
      </w:pPr>
      <w:rPr>
        <w:rFonts w:hint="default"/>
      </w:rPr>
    </w:lvl>
    <w:lvl w:ilvl="2">
      <w:start w:val="1"/>
      <w:numFmt w:val="decimal"/>
      <w:pStyle w:val="Titolo3"/>
      <w:lvlText w:val="%3."/>
      <w:lvlJc w:val="left"/>
      <w:pPr>
        <w:tabs>
          <w:tab w:val="num" w:pos="1800"/>
        </w:tabs>
        <w:ind w:left="1440" w:firstLine="0"/>
      </w:pPr>
      <w:rPr>
        <w:rFonts w:hint="default"/>
      </w:rPr>
    </w:lvl>
    <w:lvl w:ilvl="3">
      <w:start w:val="1"/>
      <w:numFmt w:val="lowerLetter"/>
      <w:pStyle w:val="Titolo4"/>
      <w:lvlText w:val="%4)"/>
      <w:lvlJc w:val="left"/>
      <w:pPr>
        <w:tabs>
          <w:tab w:val="num" w:pos="2520"/>
        </w:tabs>
        <w:ind w:left="2160" w:firstLine="0"/>
      </w:pPr>
      <w:rPr>
        <w:rFonts w:hint="default"/>
      </w:rPr>
    </w:lvl>
    <w:lvl w:ilvl="4">
      <w:start w:val="1"/>
      <w:numFmt w:val="decimal"/>
      <w:pStyle w:val="Titolo5"/>
      <w:lvlText w:val="(%5)"/>
      <w:lvlJc w:val="left"/>
      <w:pPr>
        <w:tabs>
          <w:tab w:val="num" w:pos="3240"/>
        </w:tabs>
        <w:ind w:left="2880" w:firstLine="0"/>
      </w:pPr>
      <w:rPr>
        <w:rFonts w:hint="default"/>
      </w:rPr>
    </w:lvl>
    <w:lvl w:ilvl="5">
      <w:start w:val="1"/>
      <w:numFmt w:val="lowerLetter"/>
      <w:pStyle w:val="Titolo6"/>
      <w:lvlText w:val="(%6)"/>
      <w:lvlJc w:val="left"/>
      <w:pPr>
        <w:tabs>
          <w:tab w:val="num" w:pos="3960"/>
        </w:tabs>
        <w:ind w:left="3600" w:firstLine="0"/>
      </w:pPr>
      <w:rPr>
        <w:rFonts w:hint="default"/>
      </w:rPr>
    </w:lvl>
    <w:lvl w:ilvl="6">
      <w:start w:val="1"/>
      <w:numFmt w:val="lowerRoman"/>
      <w:pStyle w:val="Titolo7"/>
      <w:lvlText w:val="(%7)"/>
      <w:lvlJc w:val="left"/>
      <w:pPr>
        <w:tabs>
          <w:tab w:val="num" w:pos="4680"/>
        </w:tabs>
        <w:ind w:left="4320" w:firstLine="0"/>
      </w:pPr>
      <w:rPr>
        <w:rFonts w:hint="default"/>
      </w:rPr>
    </w:lvl>
    <w:lvl w:ilvl="7">
      <w:start w:val="1"/>
      <w:numFmt w:val="lowerLetter"/>
      <w:pStyle w:val="Titolo8"/>
      <w:lvlText w:val="(%8)"/>
      <w:lvlJc w:val="left"/>
      <w:pPr>
        <w:tabs>
          <w:tab w:val="num" w:pos="5400"/>
        </w:tabs>
        <w:ind w:left="5040" w:firstLine="0"/>
      </w:pPr>
      <w:rPr>
        <w:rFonts w:hint="default"/>
      </w:rPr>
    </w:lvl>
    <w:lvl w:ilvl="8">
      <w:start w:val="1"/>
      <w:numFmt w:val="lowerRoman"/>
      <w:pStyle w:val="Titolo9"/>
      <w:lvlText w:val="(%9)"/>
      <w:lvlJc w:val="left"/>
      <w:pPr>
        <w:tabs>
          <w:tab w:val="num" w:pos="6120"/>
        </w:tabs>
        <w:ind w:left="5760" w:firstLine="0"/>
      </w:pPr>
      <w:rPr>
        <w:rFonts w:hint="default"/>
      </w:rPr>
    </w:lvl>
  </w:abstractNum>
  <w:abstractNum w:abstractNumId="11">
    <w:nsid w:val="22EE39FB"/>
    <w:multiLevelType w:val="multilevel"/>
    <w:tmpl w:val="448AF854"/>
    <w:lvl w:ilvl="0">
      <w:start w:val="1"/>
      <w:numFmt w:val="upperRoman"/>
      <w:lvlText w:val="%1."/>
      <w:lvlJc w:val="left"/>
      <w:pPr>
        <w:tabs>
          <w:tab w:val="num" w:pos="360"/>
        </w:tabs>
        <w:ind w:left="0" w:firstLine="0"/>
      </w:pPr>
      <w:rPr>
        <w:rFonts w:hint="default"/>
      </w:rPr>
    </w:lvl>
    <w:lvl w:ilvl="1">
      <w:start w:val="1"/>
      <w:numFmt w:val="decimal"/>
      <w:lvlText w:val="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70A52D4"/>
    <w:multiLevelType w:val="multilevel"/>
    <w:tmpl w:val="8C5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F51F7"/>
    <w:multiLevelType w:val="hybridMultilevel"/>
    <w:tmpl w:val="00E0EECC"/>
    <w:lvl w:ilvl="0" w:tplc="39AE57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B65301"/>
    <w:multiLevelType w:val="hybridMultilevel"/>
    <w:tmpl w:val="833866DA"/>
    <w:lvl w:ilvl="0" w:tplc="1FB606C0">
      <w:start w:val="1"/>
      <w:numFmt w:val="decimal"/>
      <w:lvlText w:val="Condition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356A8E"/>
    <w:multiLevelType w:val="multilevel"/>
    <w:tmpl w:val="5416645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194C7F"/>
    <w:multiLevelType w:val="multilevel"/>
    <w:tmpl w:val="CCA6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C0351"/>
    <w:multiLevelType w:val="hybridMultilevel"/>
    <w:tmpl w:val="D8D632AE"/>
    <w:lvl w:ilvl="0" w:tplc="0410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A67C4F"/>
    <w:multiLevelType w:val="multilevel"/>
    <w:tmpl w:val="5002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CF5AE7"/>
    <w:multiLevelType w:val="hybridMultilevel"/>
    <w:tmpl w:val="F40CF23E"/>
    <w:lvl w:ilvl="0" w:tplc="26D2C9B0">
      <w:start w:val="8"/>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F734D2"/>
    <w:multiLevelType w:val="multilevel"/>
    <w:tmpl w:val="BD2A7BDA"/>
    <w:lvl w:ilvl="0">
      <w:start w:val="1"/>
      <w:numFmt w:val="upperRoman"/>
      <w:lvlText w:val="%1."/>
      <w:lvlJc w:val="left"/>
      <w:pPr>
        <w:tabs>
          <w:tab w:val="num" w:pos="360"/>
        </w:tabs>
        <w:ind w:left="0" w:firstLine="0"/>
      </w:pPr>
      <w:rPr>
        <w:rFonts w:hint="default"/>
      </w:rPr>
    </w:lvl>
    <w:lvl w:ilvl="1">
      <w:start w:val="1"/>
      <w:numFmt w:val="decimal"/>
      <w:lvlText w:val="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00B1A5B"/>
    <w:multiLevelType w:val="hybridMultilevel"/>
    <w:tmpl w:val="A67A30D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BAB6E5C"/>
    <w:multiLevelType w:val="hybridMultilevel"/>
    <w:tmpl w:val="55D65BAA"/>
    <w:lvl w:ilvl="0" w:tplc="08090017">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62C0083"/>
    <w:multiLevelType w:val="multilevel"/>
    <w:tmpl w:val="6A82666E"/>
    <w:lvl w:ilvl="0">
      <w:start w:val="1"/>
      <w:numFmt w:val="upperRoman"/>
      <w:lvlText w:val="%1."/>
      <w:lvlJc w:val="left"/>
      <w:pPr>
        <w:tabs>
          <w:tab w:val="num" w:pos="360"/>
        </w:tabs>
        <w:ind w:left="0" w:firstLine="0"/>
      </w:pPr>
      <w:rPr>
        <w:rFonts w:hint="default"/>
      </w:rPr>
    </w:lvl>
    <w:lvl w:ilvl="1">
      <w:start w:val="1"/>
      <w:numFmt w:val="decimal"/>
      <w:lvlText w:val="II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6A285511"/>
    <w:multiLevelType w:val="hybridMultilevel"/>
    <w:tmpl w:val="9768F6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0275ED8"/>
    <w:multiLevelType w:val="multilevel"/>
    <w:tmpl w:val="4F200ABC"/>
    <w:lvl w:ilvl="0">
      <w:start w:val="1"/>
      <w:numFmt w:val="upperRoman"/>
      <w:lvlText w:val="%1."/>
      <w:lvlJc w:val="left"/>
      <w:pPr>
        <w:tabs>
          <w:tab w:val="num" w:pos="360"/>
        </w:tabs>
        <w:ind w:left="0" w:firstLine="0"/>
      </w:pPr>
      <w:rPr>
        <w:rFonts w:hint="default"/>
      </w:rPr>
    </w:lvl>
    <w:lvl w:ilvl="1">
      <w:start w:val="1"/>
      <w:numFmt w:val="decimal"/>
      <w:lvlText w:val="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743618A0"/>
    <w:multiLevelType w:val="multilevel"/>
    <w:tmpl w:val="3F0E8DBE"/>
    <w:lvl w:ilvl="0">
      <w:start w:val="1"/>
      <w:numFmt w:val="upperRoman"/>
      <w:lvlText w:val="%1."/>
      <w:lvlJc w:val="left"/>
      <w:pPr>
        <w:tabs>
          <w:tab w:val="num" w:pos="360"/>
        </w:tabs>
        <w:ind w:left="0" w:firstLine="0"/>
      </w:pPr>
      <w:rPr>
        <w:rFonts w:hint="default"/>
      </w:rPr>
    </w:lvl>
    <w:lvl w:ilvl="1">
      <w:start w:val="1"/>
      <w:numFmt w:val="decimal"/>
      <w:lvlText w:val="II.%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785A601F"/>
    <w:multiLevelType w:val="hybridMultilevel"/>
    <w:tmpl w:val="A6E6613E"/>
    <w:lvl w:ilvl="0" w:tplc="7D76943E">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Narro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917344"/>
    <w:multiLevelType w:val="hybridMultilevel"/>
    <w:tmpl w:val="A0289076"/>
    <w:lvl w:ilvl="0" w:tplc="9D6CA300">
      <w:start w:val="2"/>
      <w:numFmt w:val="bullet"/>
      <w:lvlText w:val="-"/>
      <w:lvlJc w:val="left"/>
      <w:pPr>
        <w:ind w:left="785" w:hanging="360"/>
      </w:pPr>
      <w:rPr>
        <w:rFonts w:ascii="Times New Roman" w:eastAsia="Calibri" w:hAnsi="Times New Roman" w:cs="Times New Roman" w:hint="default"/>
      </w:rPr>
    </w:lvl>
    <w:lvl w:ilvl="1" w:tplc="08090003" w:tentative="1">
      <w:start w:val="1"/>
      <w:numFmt w:val="bullet"/>
      <w:lvlText w:val="o"/>
      <w:lvlJc w:val="left"/>
      <w:pPr>
        <w:ind w:left="1505" w:hanging="360"/>
      </w:pPr>
      <w:rPr>
        <w:rFonts w:ascii="Courier New" w:hAnsi="Courier New" w:cs="Arial Narro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Arial Narro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Arial Narrow" w:hint="default"/>
      </w:rPr>
    </w:lvl>
    <w:lvl w:ilvl="8" w:tplc="08090005" w:tentative="1">
      <w:start w:val="1"/>
      <w:numFmt w:val="bullet"/>
      <w:lvlText w:val=""/>
      <w:lvlJc w:val="left"/>
      <w:pPr>
        <w:ind w:left="6545" w:hanging="360"/>
      </w:pPr>
      <w:rPr>
        <w:rFonts w:ascii="Wingdings" w:hAnsi="Wingdings" w:hint="default"/>
      </w:rPr>
    </w:lvl>
  </w:abstractNum>
  <w:abstractNum w:abstractNumId="29">
    <w:nsid w:val="7D102F00"/>
    <w:multiLevelType w:val="hybridMultilevel"/>
    <w:tmpl w:val="D14280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0"/>
  </w:num>
  <w:num w:numId="3">
    <w:abstractNumId w:val="22"/>
  </w:num>
  <w:num w:numId="4">
    <w:abstractNumId w:val="13"/>
  </w:num>
  <w:num w:numId="5">
    <w:abstractNumId w:val="7"/>
  </w:num>
  <w:num w:numId="6">
    <w:abstractNumId w:val="24"/>
  </w:num>
  <w:num w:numId="7">
    <w:abstractNumId w:val="27"/>
  </w:num>
  <w:num w:numId="8">
    <w:abstractNumId w:val="1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19"/>
  </w:num>
  <w:num w:numId="14">
    <w:abstractNumId w:val="4"/>
  </w:num>
  <w:num w:numId="15">
    <w:abstractNumId w:val="3"/>
  </w:num>
  <w:num w:numId="16">
    <w:abstractNumId w:val="2"/>
  </w:num>
  <w:num w:numId="17">
    <w:abstractNumId w:val="9"/>
  </w:num>
  <w:num w:numId="18">
    <w:abstractNumId w:val="11"/>
  </w:num>
  <w:num w:numId="19">
    <w:abstractNumId w:val="15"/>
  </w:num>
  <w:num w:numId="20">
    <w:abstractNumId w:val="26"/>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num>
  <w:num w:numId="26">
    <w:abstractNumId w:val="8"/>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num>
  <w:num w:numId="31">
    <w:abstractNumId w:val="1"/>
  </w:num>
  <w:num w:numId="32">
    <w:abstractNumId w:val="29"/>
  </w:num>
  <w:num w:numId="33">
    <w:abstractNumId w:val="18"/>
  </w:num>
  <w:num w:numId="34">
    <w:abstractNumId w:val="12"/>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oNotTrackMov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9B36EE"/>
    <w:rsid w:val="0002428A"/>
    <w:rsid w:val="0003180B"/>
    <w:rsid w:val="00033EEE"/>
    <w:rsid w:val="000369AF"/>
    <w:rsid w:val="00037149"/>
    <w:rsid w:val="000909BC"/>
    <w:rsid w:val="000A1A91"/>
    <w:rsid w:val="000B09DF"/>
    <w:rsid w:val="000B121A"/>
    <w:rsid w:val="000B667D"/>
    <w:rsid w:val="000D0D41"/>
    <w:rsid w:val="000D1EA2"/>
    <w:rsid w:val="000E46CA"/>
    <w:rsid w:val="001000FA"/>
    <w:rsid w:val="00103FF3"/>
    <w:rsid w:val="00104FD5"/>
    <w:rsid w:val="00110E21"/>
    <w:rsid w:val="00112054"/>
    <w:rsid w:val="00116C5B"/>
    <w:rsid w:val="00143569"/>
    <w:rsid w:val="00151430"/>
    <w:rsid w:val="0015187E"/>
    <w:rsid w:val="00153831"/>
    <w:rsid w:val="00161A1C"/>
    <w:rsid w:val="00177F69"/>
    <w:rsid w:val="00184909"/>
    <w:rsid w:val="00195AE3"/>
    <w:rsid w:val="001A2185"/>
    <w:rsid w:val="001A6E18"/>
    <w:rsid w:val="001B049B"/>
    <w:rsid w:val="001C44B2"/>
    <w:rsid w:val="001D581E"/>
    <w:rsid w:val="001F4964"/>
    <w:rsid w:val="002249ED"/>
    <w:rsid w:val="00225EDB"/>
    <w:rsid w:val="00230014"/>
    <w:rsid w:val="002372E0"/>
    <w:rsid w:val="0024265F"/>
    <w:rsid w:val="00243FFA"/>
    <w:rsid w:val="002520AC"/>
    <w:rsid w:val="00276447"/>
    <w:rsid w:val="002773BC"/>
    <w:rsid w:val="002A0E36"/>
    <w:rsid w:val="002A4AC2"/>
    <w:rsid w:val="002A5BEE"/>
    <w:rsid w:val="002A678A"/>
    <w:rsid w:val="002D6A19"/>
    <w:rsid w:val="003254F7"/>
    <w:rsid w:val="00343983"/>
    <w:rsid w:val="003479BD"/>
    <w:rsid w:val="00367388"/>
    <w:rsid w:val="00394C20"/>
    <w:rsid w:val="003C4B62"/>
    <w:rsid w:val="003D3490"/>
    <w:rsid w:val="003E070C"/>
    <w:rsid w:val="003F3473"/>
    <w:rsid w:val="003F6ABA"/>
    <w:rsid w:val="003F7BB7"/>
    <w:rsid w:val="0040109C"/>
    <w:rsid w:val="00407362"/>
    <w:rsid w:val="0041676A"/>
    <w:rsid w:val="004237A9"/>
    <w:rsid w:val="00433300"/>
    <w:rsid w:val="004344A3"/>
    <w:rsid w:val="004403B5"/>
    <w:rsid w:val="00463B8A"/>
    <w:rsid w:val="004654A7"/>
    <w:rsid w:val="004A2A26"/>
    <w:rsid w:val="004A7C6D"/>
    <w:rsid w:val="004C2BD1"/>
    <w:rsid w:val="004C38A2"/>
    <w:rsid w:val="004D0CE0"/>
    <w:rsid w:val="004D7D8C"/>
    <w:rsid w:val="004E07F6"/>
    <w:rsid w:val="004E3E0F"/>
    <w:rsid w:val="004E3E94"/>
    <w:rsid w:val="004E573C"/>
    <w:rsid w:val="005115D3"/>
    <w:rsid w:val="0051181E"/>
    <w:rsid w:val="005528FE"/>
    <w:rsid w:val="00597677"/>
    <w:rsid w:val="005B049B"/>
    <w:rsid w:val="005B3BC0"/>
    <w:rsid w:val="005B5BD9"/>
    <w:rsid w:val="005B7C0F"/>
    <w:rsid w:val="005E481C"/>
    <w:rsid w:val="005F1ACB"/>
    <w:rsid w:val="005F3EEE"/>
    <w:rsid w:val="005F4FE4"/>
    <w:rsid w:val="005F5005"/>
    <w:rsid w:val="00610674"/>
    <w:rsid w:val="0061223E"/>
    <w:rsid w:val="00616CC8"/>
    <w:rsid w:val="006176AE"/>
    <w:rsid w:val="00643692"/>
    <w:rsid w:val="00644724"/>
    <w:rsid w:val="006526B6"/>
    <w:rsid w:val="0066491F"/>
    <w:rsid w:val="006802A7"/>
    <w:rsid w:val="006938BF"/>
    <w:rsid w:val="00695D4E"/>
    <w:rsid w:val="006D2F38"/>
    <w:rsid w:val="00715D2A"/>
    <w:rsid w:val="00735083"/>
    <w:rsid w:val="00757F81"/>
    <w:rsid w:val="00764B08"/>
    <w:rsid w:val="007815E3"/>
    <w:rsid w:val="007A1416"/>
    <w:rsid w:val="007A3F2D"/>
    <w:rsid w:val="007A6436"/>
    <w:rsid w:val="007B2430"/>
    <w:rsid w:val="007D4895"/>
    <w:rsid w:val="007D70C5"/>
    <w:rsid w:val="007F5047"/>
    <w:rsid w:val="007F60FE"/>
    <w:rsid w:val="008227D9"/>
    <w:rsid w:val="008352FF"/>
    <w:rsid w:val="008559F0"/>
    <w:rsid w:val="0086618E"/>
    <w:rsid w:val="00884DA6"/>
    <w:rsid w:val="00896897"/>
    <w:rsid w:val="008B6F74"/>
    <w:rsid w:val="008D2760"/>
    <w:rsid w:val="008D2B14"/>
    <w:rsid w:val="008D4F2A"/>
    <w:rsid w:val="008F693C"/>
    <w:rsid w:val="009149C3"/>
    <w:rsid w:val="0092570E"/>
    <w:rsid w:val="00927630"/>
    <w:rsid w:val="00934C52"/>
    <w:rsid w:val="009415E8"/>
    <w:rsid w:val="0096052E"/>
    <w:rsid w:val="0098372D"/>
    <w:rsid w:val="00983C0E"/>
    <w:rsid w:val="009A0EE3"/>
    <w:rsid w:val="009A7F01"/>
    <w:rsid w:val="009B364F"/>
    <w:rsid w:val="009B36EE"/>
    <w:rsid w:val="009B5154"/>
    <w:rsid w:val="009B6827"/>
    <w:rsid w:val="009B79A3"/>
    <w:rsid w:val="00A06B73"/>
    <w:rsid w:val="00A11E77"/>
    <w:rsid w:val="00A41B67"/>
    <w:rsid w:val="00A530F6"/>
    <w:rsid w:val="00A5792E"/>
    <w:rsid w:val="00A7161F"/>
    <w:rsid w:val="00A96B98"/>
    <w:rsid w:val="00AA7CFC"/>
    <w:rsid w:val="00AC51D5"/>
    <w:rsid w:val="00AE3D38"/>
    <w:rsid w:val="00AF7CEC"/>
    <w:rsid w:val="00B07A31"/>
    <w:rsid w:val="00B128FB"/>
    <w:rsid w:val="00B20019"/>
    <w:rsid w:val="00B25A53"/>
    <w:rsid w:val="00B55C3D"/>
    <w:rsid w:val="00B56E94"/>
    <w:rsid w:val="00B76D29"/>
    <w:rsid w:val="00B81049"/>
    <w:rsid w:val="00B8707A"/>
    <w:rsid w:val="00B90A47"/>
    <w:rsid w:val="00BA05DE"/>
    <w:rsid w:val="00BA43FC"/>
    <w:rsid w:val="00BB54D9"/>
    <w:rsid w:val="00BC3BCE"/>
    <w:rsid w:val="00C103B3"/>
    <w:rsid w:val="00C2219B"/>
    <w:rsid w:val="00C249EF"/>
    <w:rsid w:val="00C262EC"/>
    <w:rsid w:val="00C30D0E"/>
    <w:rsid w:val="00C33322"/>
    <w:rsid w:val="00C47169"/>
    <w:rsid w:val="00C639D5"/>
    <w:rsid w:val="00C66AB5"/>
    <w:rsid w:val="00C707B2"/>
    <w:rsid w:val="00C874B1"/>
    <w:rsid w:val="00CA3BBF"/>
    <w:rsid w:val="00CA45EA"/>
    <w:rsid w:val="00CC5E4C"/>
    <w:rsid w:val="00CD23BA"/>
    <w:rsid w:val="00CE1002"/>
    <w:rsid w:val="00CE65D0"/>
    <w:rsid w:val="00D10AB2"/>
    <w:rsid w:val="00D22FAD"/>
    <w:rsid w:val="00D25EA6"/>
    <w:rsid w:val="00D415CB"/>
    <w:rsid w:val="00D41FAC"/>
    <w:rsid w:val="00D76251"/>
    <w:rsid w:val="00D8462D"/>
    <w:rsid w:val="00DA06D6"/>
    <w:rsid w:val="00DE0B50"/>
    <w:rsid w:val="00E2200B"/>
    <w:rsid w:val="00E224BA"/>
    <w:rsid w:val="00E22E67"/>
    <w:rsid w:val="00E25907"/>
    <w:rsid w:val="00E2710B"/>
    <w:rsid w:val="00E32468"/>
    <w:rsid w:val="00E42A63"/>
    <w:rsid w:val="00E5586C"/>
    <w:rsid w:val="00E73EE3"/>
    <w:rsid w:val="00E9279E"/>
    <w:rsid w:val="00E94252"/>
    <w:rsid w:val="00EB3CC8"/>
    <w:rsid w:val="00EC3878"/>
    <w:rsid w:val="00F1550B"/>
    <w:rsid w:val="00F307EE"/>
    <w:rsid w:val="00F312D5"/>
    <w:rsid w:val="00F57A88"/>
    <w:rsid w:val="00F62CF0"/>
    <w:rsid w:val="00F64FC5"/>
    <w:rsid w:val="00F75155"/>
    <w:rsid w:val="00F953E9"/>
    <w:rsid w:val="00F96449"/>
    <w:rsid w:val="00FA1744"/>
    <w:rsid w:val="00FB50C2"/>
    <w:rsid w:val="00FB5C42"/>
    <w:rsid w:val="00FD6A48"/>
  </w:rsids>
  <m:mathPr>
    <m:mathFont m:val="Impact"/>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B36EE"/>
    <w:rPr>
      <w:rFonts w:ascii="Times New Roman" w:eastAsia="Calibri" w:hAnsi="Times New Roman" w:cs="Shruti"/>
      <w:lang w:val="en-US" w:eastAsia="zh-CN" w:bidi="gu-IN"/>
    </w:rPr>
  </w:style>
  <w:style w:type="paragraph" w:styleId="Titolo1">
    <w:name w:val="heading 1"/>
    <w:basedOn w:val="Normale"/>
    <w:next w:val="Normale"/>
    <w:link w:val="Titolo1Carattere"/>
    <w:qFormat/>
    <w:rsid w:val="009B36EE"/>
    <w:pPr>
      <w:keepNext/>
      <w:keepLines/>
      <w:numPr>
        <w:numId w:val="1"/>
      </w:numPr>
      <w:spacing w:before="480"/>
      <w:outlineLvl w:val="0"/>
    </w:pPr>
    <w:rPr>
      <w:rFonts w:ascii="Cambria" w:hAnsi="Cambria" w:cs="Times New Roman"/>
      <w:b/>
      <w:bCs/>
      <w:color w:val="365F91"/>
      <w:sz w:val="28"/>
      <w:szCs w:val="28"/>
    </w:rPr>
  </w:style>
  <w:style w:type="paragraph" w:styleId="Titolo2">
    <w:name w:val="heading 2"/>
    <w:basedOn w:val="Normale"/>
    <w:next w:val="Normale"/>
    <w:link w:val="Titolo2Carattere"/>
    <w:qFormat/>
    <w:rsid w:val="009B36EE"/>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Titolo3">
    <w:name w:val="heading 3"/>
    <w:basedOn w:val="Normale"/>
    <w:next w:val="Normale"/>
    <w:link w:val="Titolo3Carattere"/>
    <w:qFormat/>
    <w:rsid w:val="009B36EE"/>
    <w:pPr>
      <w:keepNext/>
      <w:keepLines/>
      <w:numPr>
        <w:ilvl w:val="2"/>
        <w:numId w:val="1"/>
      </w:numPr>
      <w:spacing w:before="200"/>
      <w:outlineLvl w:val="2"/>
    </w:pPr>
    <w:rPr>
      <w:rFonts w:ascii="Cambria" w:eastAsia="Times New Roman" w:hAnsi="Cambria" w:cs="Times New Roman"/>
      <w:b/>
      <w:bCs/>
      <w:color w:val="4F81BD"/>
      <w:sz w:val="20"/>
      <w:szCs w:val="20"/>
    </w:rPr>
  </w:style>
  <w:style w:type="paragraph" w:styleId="Titolo4">
    <w:name w:val="heading 4"/>
    <w:basedOn w:val="Normale"/>
    <w:next w:val="Normale"/>
    <w:link w:val="Titolo4Carattere"/>
    <w:qFormat/>
    <w:rsid w:val="009B36EE"/>
    <w:pPr>
      <w:keepNext/>
      <w:keepLines/>
      <w:numPr>
        <w:ilvl w:val="3"/>
        <w:numId w:val="1"/>
      </w:numPr>
      <w:spacing w:before="200"/>
      <w:outlineLvl w:val="3"/>
    </w:pPr>
    <w:rPr>
      <w:rFonts w:ascii="Cambria" w:eastAsia="Times New Roman" w:hAnsi="Cambria" w:cs="Times New Roman"/>
      <w:b/>
      <w:bCs/>
      <w:i/>
      <w:iCs/>
      <w:color w:val="4F81BD"/>
      <w:sz w:val="20"/>
      <w:szCs w:val="20"/>
    </w:rPr>
  </w:style>
  <w:style w:type="paragraph" w:styleId="Titolo5">
    <w:name w:val="heading 5"/>
    <w:basedOn w:val="Normale"/>
    <w:next w:val="Normale"/>
    <w:link w:val="Titolo5Carattere"/>
    <w:qFormat/>
    <w:rsid w:val="009B36EE"/>
    <w:pPr>
      <w:keepNext/>
      <w:keepLines/>
      <w:numPr>
        <w:ilvl w:val="4"/>
        <w:numId w:val="1"/>
      </w:numPr>
      <w:spacing w:before="200"/>
      <w:outlineLvl w:val="4"/>
    </w:pPr>
    <w:rPr>
      <w:rFonts w:ascii="Cambria" w:eastAsia="Times New Roman" w:hAnsi="Cambria" w:cs="Times New Roman"/>
      <w:color w:val="243F60"/>
      <w:sz w:val="20"/>
      <w:szCs w:val="20"/>
    </w:rPr>
  </w:style>
  <w:style w:type="paragraph" w:styleId="Titolo6">
    <w:name w:val="heading 6"/>
    <w:basedOn w:val="Normale"/>
    <w:next w:val="Normale"/>
    <w:link w:val="Titolo6Carattere"/>
    <w:qFormat/>
    <w:rsid w:val="009B36EE"/>
    <w:pPr>
      <w:keepNext/>
      <w:keepLines/>
      <w:numPr>
        <w:ilvl w:val="5"/>
        <w:numId w:val="1"/>
      </w:numPr>
      <w:spacing w:before="200"/>
      <w:outlineLvl w:val="5"/>
    </w:pPr>
    <w:rPr>
      <w:rFonts w:ascii="Cambria" w:eastAsia="Times New Roman" w:hAnsi="Cambria" w:cs="Times New Roman"/>
      <w:i/>
      <w:iCs/>
      <w:color w:val="243F60"/>
      <w:sz w:val="20"/>
      <w:szCs w:val="20"/>
    </w:rPr>
  </w:style>
  <w:style w:type="paragraph" w:styleId="Titolo7">
    <w:name w:val="heading 7"/>
    <w:basedOn w:val="Normale"/>
    <w:next w:val="Normale"/>
    <w:link w:val="Titolo7Carattere"/>
    <w:qFormat/>
    <w:rsid w:val="009B36EE"/>
    <w:pPr>
      <w:keepNext/>
      <w:keepLines/>
      <w:numPr>
        <w:ilvl w:val="6"/>
        <w:numId w:val="1"/>
      </w:numPr>
      <w:spacing w:before="200"/>
      <w:outlineLvl w:val="6"/>
    </w:pPr>
    <w:rPr>
      <w:rFonts w:ascii="Cambria" w:eastAsia="Times New Roman" w:hAnsi="Cambria" w:cs="Times New Roman"/>
      <w:i/>
      <w:iCs/>
      <w:color w:val="404040"/>
      <w:sz w:val="20"/>
      <w:szCs w:val="20"/>
    </w:rPr>
  </w:style>
  <w:style w:type="paragraph" w:styleId="Titolo8">
    <w:name w:val="heading 8"/>
    <w:basedOn w:val="Normale"/>
    <w:next w:val="Normale"/>
    <w:link w:val="Titolo8Carattere"/>
    <w:qFormat/>
    <w:rsid w:val="009B36EE"/>
    <w:pPr>
      <w:keepNext/>
      <w:keepLines/>
      <w:numPr>
        <w:ilvl w:val="7"/>
        <w:numId w:val="1"/>
      </w:numPr>
      <w:spacing w:before="200"/>
      <w:outlineLvl w:val="7"/>
    </w:pPr>
    <w:rPr>
      <w:rFonts w:ascii="Cambria" w:eastAsia="Times New Roman" w:hAnsi="Cambria" w:cs="Times New Roman"/>
      <w:color w:val="404040"/>
      <w:sz w:val="20"/>
      <w:szCs w:val="20"/>
    </w:rPr>
  </w:style>
  <w:style w:type="paragraph" w:styleId="Titolo9">
    <w:name w:val="heading 9"/>
    <w:basedOn w:val="Normale"/>
    <w:next w:val="Normale"/>
    <w:link w:val="Titolo9Carattere"/>
    <w:qFormat/>
    <w:rsid w:val="009B36EE"/>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1"/>
    <w:uiPriority w:val="99"/>
    <w:rsid w:val="009B36EE"/>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70F71"/>
    <w:rPr>
      <w:rFonts w:ascii="Lucida Grande" w:hAnsi="Lucida Grande"/>
      <w:sz w:val="18"/>
      <w:szCs w:val="18"/>
    </w:rPr>
  </w:style>
  <w:style w:type="character" w:customStyle="1" w:styleId="TestofumettoCarattere0">
    <w:name w:val="Testo fumetto Carattere"/>
    <w:basedOn w:val="Caratterepredefinitoparagrafo"/>
    <w:link w:val="Testofumetto"/>
    <w:uiPriority w:val="99"/>
    <w:semiHidden/>
    <w:rsid w:val="00370F71"/>
    <w:rPr>
      <w:rFonts w:ascii="Lucida Grande" w:hAnsi="Lucida Grande"/>
      <w:sz w:val="18"/>
      <w:szCs w:val="18"/>
    </w:rPr>
  </w:style>
  <w:style w:type="character" w:customStyle="1" w:styleId="TestofumettoCarattere2">
    <w:name w:val="Testo fumetto Carattere"/>
    <w:basedOn w:val="Caratterepredefinitoparagrafo"/>
    <w:uiPriority w:val="99"/>
    <w:semiHidden/>
    <w:rsid w:val="00370F71"/>
    <w:rPr>
      <w:rFonts w:ascii="Lucida Grande" w:hAnsi="Lucida Grande"/>
      <w:sz w:val="18"/>
      <w:szCs w:val="18"/>
    </w:rPr>
  </w:style>
  <w:style w:type="character" w:customStyle="1" w:styleId="TestofumettoCarattere3">
    <w:name w:val="Testo fumetto Carattere"/>
    <w:basedOn w:val="Caratterepredefinitoparagrafo"/>
    <w:uiPriority w:val="99"/>
    <w:semiHidden/>
    <w:rsid w:val="00370F71"/>
    <w:rPr>
      <w:rFonts w:ascii="Lucida Grande" w:hAnsi="Lucida Grande"/>
      <w:sz w:val="18"/>
      <w:szCs w:val="18"/>
    </w:rPr>
  </w:style>
  <w:style w:type="character" w:customStyle="1" w:styleId="TestofumettoCarattere4">
    <w:name w:val="Testo fumetto Carattere"/>
    <w:basedOn w:val="Caratterepredefinitoparagrafo"/>
    <w:uiPriority w:val="99"/>
    <w:semiHidden/>
    <w:rsid w:val="00370F71"/>
    <w:rPr>
      <w:rFonts w:ascii="Lucida Grande" w:hAnsi="Lucida Grande"/>
      <w:sz w:val="18"/>
      <w:szCs w:val="18"/>
    </w:rPr>
  </w:style>
  <w:style w:type="character" w:customStyle="1" w:styleId="TestofumettoCarattere5">
    <w:name w:val="Testo fumetto Carattere"/>
    <w:basedOn w:val="Caratterepredefinitoparagrafo"/>
    <w:uiPriority w:val="99"/>
    <w:semiHidden/>
    <w:rsid w:val="00932C6E"/>
    <w:rPr>
      <w:rFonts w:ascii="Lucida Grande" w:hAnsi="Lucida Grande"/>
      <w:sz w:val="18"/>
      <w:szCs w:val="18"/>
    </w:rPr>
  </w:style>
  <w:style w:type="character" w:customStyle="1" w:styleId="TestofumettoCarattere6">
    <w:name w:val="Testo fumetto Carattere"/>
    <w:basedOn w:val="Caratterepredefinitoparagrafo"/>
    <w:uiPriority w:val="99"/>
    <w:semiHidden/>
    <w:rsid w:val="00932C6E"/>
    <w:rPr>
      <w:rFonts w:ascii="Lucida Grande" w:hAnsi="Lucida Grande"/>
      <w:sz w:val="18"/>
      <w:szCs w:val="18"/>
    </w:rPr>
  </w:style>
  <w:style w:type="character" w:customStyle="1" w:styleId="Titolo1Carattere">
    <w:name w:val="Titolo 1 Carattere"/>
    <w:link w:val="Titolo1"/>
    <w:rsid w:val="009B36EE"/>
    <w:rPr>
      <w:rFonts w:ascii="Cambria" w:eastAsia="Calibri" w:hAnsi="Cambria" w:cs="Times New Roman"/>
      <w:b/>
      <w:bCs/>
      <w:color w:val="365F91"/>
      <w:sz w:val="28"/>
      <w:szCs w:val="28"/>
      <w:lang w:val="en-US" w:eastAsia="zh-CN" w:bidi="gu-IN"/>
    </w:rPr>
  </w:style>
  <w:style w:type="character" w:customStyle="1" w:styleId="Titolo2Carattere">
    <w:name w:val="Titolo 2 Carattere"/>
    <w:link w:val="Titolo2"/>
    <w:rsid w:val="009B36EE"/>
    <w:rPr>
      <w:rFonts w:ascii="Cambria" w:eastAsia="Times New Roman" w:hAnsi="Cambria" w:cs="Times New Roman"/>
      <w:b/>
      <w:bCs/>
      <w:color w:val="4F81BD"/>
      <w:sz w:val="26"/>
      <w:szCs w:val="26"/>
      <w:lang w:val="en-US" w:eastAsia="zh-CN" w:bidi="gu-IN"/>
    </w:rPr>
  </w:style>
  <w:style w:type="character" w:customStyle="1" w:styleId="Titolo3Carattere">
    <w:name w:val="Titolo 3 Carattere"/>
    <w:link w:val="Titolo3"/>
    <w:rsid w:val="009B36EE"/>
    <w:rPr>
      <w:rFonts w:ascii="Cambria" w:eastAsia="Times New Roman" w:hAnsi="Cambria" w:cs="Times New Roman"/>
      <w:b/>
      <w:bCs/>
      <w:color w:val="4F81BD"/>
      <w:sz w:val="20"/>
      <w:szCs w:val="20"/>
      <w:lang w:val="en-US" w:eastAsia="zh-CN" w:bidi="gu-IN"/>
    </w:rPr>
  </w:style>
  <w:style w:type="character" w:customStyle="1" w:styleId="Titolo4Carattere">
    <w:name w:val="Titolo 4 Carattere"/>
    <w:link w:val="Titolo4"/>
    <w:rsid w:val="009B36EE"/>
    <w:rPr>
      <w:rFonts w:ascii="Cambria" w:eastAsia="Times New Roman" w:hAnsi="Cambria" w:cs="Times New Roman"/>
      <w:b/>
      <w:bCs/>
      <w:i/>
      <w:iCs/>
      <w:color w:val="4F81BD"/>
      <w:sz w:val="20"/>
      <w:szCs w:val="20"/>
      <w:lang w:val="en-US" w:eastAsia="zh-CN" w:bidi="gu-IN"/>
    </w:rPr>
  </w:style>
  <w:style w:type="character" w:customStyle="1" w:styleId="Titolo5Carattere">
    <w:name w:val="Titolo 5 Carattere"/>
    <w:link w:val="Titolo5"/>
    <w:rsid w:val="009B36EE"/>
    <w:rPr>
      <w:rFonts w:ascii="Cambria" w:eastAsia="Times New Roman" w:hAnsi="Cambria" w:cs="Times New Roman"/>
      <w:color w:val="243F60"/>
      <w:sz w:val="20"/>
      <w:szCs w:val="20"/>
      <w:lang w:val="en-US" w:eastAsia="zh-CN" w:bidi="gu-IN"/>
    </w:rPr>
  </w:style>
  <w:style w:type="character" w:customStyle="1" w:styleId="Titolo6Carattere">
    <w:name w:val="Titolo 6 Carattere"/>
    <w:link w:val="Titolo6"/>
    <w:rsid w:val="009B36EE"/>
    <w:rPr>
      <w:rFonts w:ascii="Cambria" w:eastAsia="Times New Roman" w:hAnsi="Cambria" w:cs="Times New Roman"/>
      <w:i/>
      <w:iCs/>
      <w:color w:val="243F60"/>
      <w:sz w:val="20"/>
      <w:szCs w:val="20"/>
      <w:lang w:val="en-US" w:eastAsia="zh-CN" w:bidi="gu-IN"/>
    </w:rPr>
  </w:style>
  <w:style w:type="character" w:customStyle="1" w:styleId="Titolo7Carattere">
    <w:name w:val="Titolo 7 Carattere"/>
    <w:link w:val="Titolo7"/>
    <w:rsid w:val="009B36EE"/>
    <w:rPr>
      <w:rFonts w:ascii="Cambria" w:eastAsia="Times New Roman" w:hAnsi="Cambria" w:cs="Times New Roman"/>
      <w:i/>
      <w:iCs/>
      <w:color w:val="404040"/>
      <w:sz w:val="20"/>
      <w:szCs w:val="20"/>
      <w:lang w:val="en-US" w:eastAsia="zh-CN" w:bidi="gu-IN"/>
    </w:rPr>
  </w:style>
  <w:style w:type="character" w:customStyle="1" w:styleId="Titolo8Carattere">
    <w:name w:val="Titolo 8 Carattere"/>
    <w:link w:val="Titolo8"/>
    <w:rsid w:val="009B36EE"/>
    <w:rPr>
      <w:rFonts w:ascii="Cambria" w:eastAsia="Times New Roman" w:hAnsi="Cambria" w:cs="Times New Roman"/>
      <w:color w:val="404040"/>
      <w:sz w:val="20"/>
      <w:szCs w:val="20"/>
      <w:lang w:val="en-US" w:eastAsia="zh-CN" w:bidi="gu-IN"/>
    </w:rPr>
  </w:style>
  <w:style w:type="character" w:customStyle="1" w:styleId="Titolo9Carattere">
    <w:name w:val="Titolo 9 Carattere"/>
    <w:link w:val="Titolo9"/>
    <w:rsid w:val="009B36EE"/>
    <w:rPr>
      <w:rFonts w:ascii="Cambria" w:eastAsia="Times New Roman" w:hAnsi="Cambria" w:cs="Times New Roman"/>
      <w:i/>
      <w:iCs/>
      <w:color w:val="404040"/>
      <w:sz w:val="20"/>
      <w:szCs w:val="20"/>
      <w:lang w:val="en-US" w:eastAsia="zh-CN" w:bidi="gu-IN"/>
    </w:rPr>
  </w:style>
  <w:style w:type="character" w:customStyle="1" w:styleId="TestofumettoCarattere7">
    <w:name w:val="Testo fumetto Carattere"/>
    <w:basedOn w:val="Caratterepredefinitoparagrafo"/>
    <w:uiPriority w:val="99"/>
    <w:semiHidden/>
    <w:rsid w:val="009B36EE"/>
    <w:rPr>
      <w:rFonts w:ascii="Lucida Grande" w:hAnsi="Lucida Grande"/>
      <w:sz w:val="18"/>
      <w:szCs w:val="18"/>
    </w:rPr>
  </w:style>
  <w:style w:type="character" w:customStyle="1" w:styleId="TestofumettoCarattere1">
    <w:name w:val="Testo fumetto Carattere1"/>
    <w:link w:val="Testofumetto"/>
    <w:uiPriority w:val="99"/>
    <w:rsid w:val="009B36EE"/>
    <w:rPr>
      <w:rFonts w:ascii="Tahoma" w:eastAsia="Calibri" w:hAnsi="Tahoma" w:cs="Tahoma"/>
      <w:sz w:val="16"/>
      <w:szCs w:val="16"/>
      <w:lang w:val="en-US" w:eastAsia="zh-CN" w:bidi="gu-IN"/>
    </w:rPr>
  </w:style>
  <w:style w:type="paragraph" w:styleId="Titolo">
    <w:name w:val="Title"/>
    <w:basedOn w:val="Normale"/>
    <w:next w:val="Normale"/>
    <w:link w:val="TitoloCarattere"/>
    <w:qFormat/>
    <w:rsid w:val="009B36EE"/>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oloCarattere">
    <w:name w:val="Titolo Carattere"/>
    <w:link w:val="Titolo"/>
    <w:rsid w:val="009B36EE"/>
    <w:rPr>
      <w:rFonts w:ascii="Cambria" w:eastAsia="Times New Roman" w:hAnsi="Cambria" w:cs="Times New Roman"/>
      <w:color w:val="17365D"/>
      <w:spacing w:val="5"/>
      <w:kern w:val="28"/>
      <w:sz w:val="52"/>
      <w:szCs w:val="52"/>
      <w:lang w:val="en-US" w:eastAsia="zh-CN" w:bidi="gu-IN"/>
    </w:rPr>
  </w:style>
  <w:style w:type="character" w:styleId="Collegamentoipertestuale">
    <w:name w:val="Hyperlink"/>
    <w:uiPriority w:val="99"/>
    <w:rsid w:val="009B36EE"/>
    <w:rPr>
      <w:color w:val="0000FF"/>
      <w:u w:val="single"/>
    </w:rPr>
  </w:style>
  <w:style w:type="paragraph" w:styleId="Intestazione">
    <w:name w:val="header"/>
    <w:basedOn w:val="Normale"/>
    <w:link w:val="IntestazioneCarattere"/>
    <w:rsid w:val="009B36EE"/>
    <w:pPr>
      <w:tabs>
        <w:tab w:val="center" w:pos="4513"/>
        <w:tab w:val="right" w:pos="9026"/>
      </w:tabs>
    </w:pPr>
    <w:rPr>
      <w:sz w:val="20"/>
      <w:szCs w:val="20"/>
    </w:rPr>
  </w:style>
  <w:style w:type="character" w:customStyle="1" w:styleId="IntestazioneCarattere">
    <w:name w:val="Intestazione Carattere"/>
    <w:link w:val="Intestazione"/>
    <w:rsid w:val="009B36EE"/>
    <w:rPr>
      <w:rFonts w:ascii="Times New Roman" w:eastAsia="Calibri" w:hAnsi="Times New Roman" w:cs="Shruti"/>
      <w:sz w:val="20"/>
      <w:szCs w:val="20"/>
      <w:lang w:val="en-US" w:eastAsia="zh-CN" w:bidi="gu-IN"/>
    </w:rPr>
  </w:style>
  <w:style w:type="paragraph" w:styleId="Pidipagina">
    <w:name w:val="footer"/>
    <w:basedOn w:val="Normale"/>
    <w:link w:val="PidipaginaCarattere"/>
    <w:uiPriority w:val="99"/>
    <w:rsid w:val="009B36EE"/>
    <w:pPr>
      <w:tabs>
        <w:tab w:val="center" w:pos="4513"/>
        <w:tab w:val="right" w:pos="9026"/>
      </w:tabs>
    </w:pPr>
    <w:rPr>
      <w:sz w:val="20"/>
      <w:szCs w:val="20"/>
    </w:rPr>
  </w:style>
  <w:style w:type="character" w:customStyle="1" w:styleId="PidipaginaCarattere">
    <w:name w:val="Piè di pagina Carattere"/>
    <w:link w:val="Pidipagina"/>
    <w:uiPriority w:val="99"/>
    <w:rsid w:val="009B36EE"/>
    <w:rPr>
      <w:rFonts w:ascii="Times New Roman" w:eastAsia="Calibri" w:hAnsi="Times New Roman" w:cs="Shruti"/>
      <w:sz w:val="20"/>
      <w:szCs w:val="20"/>
      <w:lang w:val="en-US" w:eastAsia="zh-CN" w:bidi="gu-IN"/>
    </w:rPr>
  </w:style>
  <w:style w:type="paragraph" w:styleId="Testonotaapidipagina">
    <w:name w:val="footnote text"/>
    <w:basedOn w:val="Normale"/>
    <w:link w:val="TestonotaapidipaginaCarattere"/>
    <w:unhideWhenUsed/>
    <w:rsid w:val="009B36EE"/>
    <w:rPr>
      <w:rFonts w:eastAsia="Times New Roman"/>
      <w:sz w:val="20"/>
      <w:szCs w:val="20"/>
    </w:rPr>
  </w:style>
  <w:style w:type="character" w:customStyle="1" w:styleId="TestonotaapidipaginaCarattere">
    <w:name w:val="Testo nota a piè di pagina Carattere"/>
    <w:link w:val="Testonotaapidipagina"/>
    <w:rsid w:val="009B36EE"/>
    <w:rPr>
      <w:rFonts w:ascii="Times New Roman" w:eastAsia="Times New Roman" w:hAnsi="Times New Roman" w:cs="Shruti"/>
      <w:sz w:val="20"/>
      <w:szCs w:val="20"/>
      <w:lang w:val="en-US" w:eastAsia="zh-CN" w:bidi="gu-IN"/>
    </w:rPr>
  </w:style>
  <w:style w:type="character" w:styleId="Rimandonotaapidipagina">
    <w:name w:val="footnote reference"/>
    <w:unhideWhenUsed/>
    <w:rsid w:val="009B36EE"/>
    <w:rPr>
      <w:rFonts w:ascii="Times New Roman" w:hAnsi="Times New Roman" w:cs="Times New Roman" w:hint="default"/>
      <w:vertAlign w:val="superscript"/>
    </w:rPr>
  </w:style>
  <w:style w:type="paragraph" w:styleId="Testocommento">
    <w:name w:val="annotation text"/>
    <w:basedOn w:val="Normale"/>
    <w:link w:val="TestocommentoCarattere"/>
    <w:unhideWhenUsed/>
    <w:rsid w:val="009B36EE"/>
    <w:pPr>
      <w:widowControl w:val="0"/>
      <w:suppressAutoHyphens/>
    </w:pPr>
    <w:rPr>
      <w:rFonts w:eastAsia="WenQuanYi Micro Hei" w:cs="Lohit Hindi"/>
      <w:kern w:val="2"/>
      <w:sz w:val="20"/>
      <w:szCs w:val="20"/>
      <w:lang w:eastAsia="hi-IN" w:bidi="hi-IN"/>
    </w:rPr>
  </w:style>
  <w:style w:type="character" w:customStyle="1" w:styleId="TestocommentoCarattere">
    <w:name w:val="Testo commento Carattere"/>
    <w:link w:val="Testocommento"/>
    <w:rsid w:val="009B36EE"/>
    <w:rPr>
      <w:rFonts w:ascii="Times New Roman" w:eastAsia="WenQuanYi Micro Hei" w:hAnsi="Times New Roman" w:cs="Lohit Hindi"/>
      <w:kern w:val="2"/>
      <w:sz w:val="20"/>
      <w:szCs w:val="20"/>
      <w:lang w:val="en-US" w:eastAsia="hi-IN" w:bidi="hi-IN"/>
    </w:rPr>
  </w:style>
  <w:style w:type="character" w:styleId="Rimandocommento">
    <w:name w:val="annotation reference"/>
    <w:uiPriority w:val="99"/>
    <w:unhideWhenUsed/>
    <w:rsid w:val="009B36EE"/>
    <w:rPr>
      <w:sz w:val="18"/>
      <w:szCs w:val="18"/>
    </w:rPr>
  </w:style>
  <w:style w:type="paragraph" w:styleId="Didascalia">
    <w:name w:val="caption"/>
    <w:basedOn w:val="Normale"/>
    <w:next w:val="Normale"/>
    <w:qFormat/>
    <w:rsid w:val="009B36EE"/>
    <w:rPr>
      <w:b/>
      <w:bCs/>
      <w:sz w:val="20"/>
      <w:szCs w:val="20"/>
    </w:rPr>
  </w:style>
  <w:style w:type="paragraph" w:styleId="Sommario1">
    <w:name w:val="toc 1"/>
    <w:basedOn w:val="Normale"/>
    <w:next w:val="Normale"/>
    <w:autoRedefine/>
    <w:uiPriority w:val="39"/>
    <w:rsid w:val="009B36EE"/>
  </w:style>
  <w:style w:type="paragraph" w:styleId="Sommario2">
    <w:name w:val="toc 2"/>
    <w:basedOn w:val="Normale"/>
    <w:next w:val="Normale"/>
    <w:autoRedefine/>
    <w:uiPriority w:val="39"/>
    <w:rsid w:val="009B36EE"/>
    <w:pPr>
      <w:ind w:left="240"/>
    </w:pPr>
  </w:style>
  <w:style w:type="paragraph" w:styleId="Testonormale">
    <w:name w:val="Plain Text"/>
    <w:basedOn w:val="Normale"/>
    <w:link w:val="TestonormaleCarattere"/>
    <w:uiPriority w:val="99"/>
    <w:rsid w:val="009B36EE"/>
    <w:rPr>
      <w:rFonts w:ascii="Calibri" w:hAnsi="Calibri" w:cs="Times New Roman"/>
      <w:sz w:val="22"/>
      <w:szCs w:val="21"/>
      <w:lang w:bidi="ar-SA"/>
    </w:rPr>
  </w:style>
  <w:style w:type="character" w:customStyle="1" w:styleId="TestonormaleCarattere">
    <w:name w:val="Testo normale Carattere"/>
    <w:link w:val="Testonormale"/>
    <w:uiPriority w:val="99"/>
    <w:rsid w:val="009B36EE"/>
    <w:rPr>
      <w:rFonts w:ascii="Calibri" w:eastAsia="Calibri" w:hAnsi="Calibri" w:cs="Times New Roman"/>
      <w:sz w:val="22"/>
      <w:szCs w:val="21"/>
      <w:lang w:val="en-US" w:eastAsia="zh-CN"/>
    </w:rPr>
  </w:style>
  <w:style w:type="paragraph" w:customStyle="1" w:styleId="ListParagraph1">
    <w:name w:val="List Paragraph1"/>
    <w:basedOn w:val="Normale"/>
    <w:uiPriority w:val="34"/>
    <w:qFormat/>
    <w:rsid w:val="009B36EE"/>
    <w:pPr>
      <w:ind w:left="720"/>
    </w:pPr>
  </w:style>
  <w:style w:type="character" w:customStyle="1" w:styleId="SoggettocommentoCarattere">
    <w:name w:val="Soggetto commento Carattere"/>
    <w:link w:val="Soggettocommento"/>
    <w:uiPriority w:val="99"/>
    <w:rsid w:val="009B36EE"/>
    <w:rPr>
      <w:rFonts w:eastAsia="Calibri" w:cs="Shruti"/>
      <w:b/>
      <w:bCs/>
      <w:kern w:val="2"/>
      <w:lang w:val="en-US" w:eastAsia="zh-CN" w:bidi="gu-IN"/>
    </w:rPr>
  </w:style>
  <w:style w:type="paragraph" w:styleId="Soggettocommento">
    <w:name w:val="annotation subject"/>
    <w:basedOn w:val="Testocommento"/>
    <w:next w:val="Testocommento"/>
    <w:link w:val="SoggettocommentoCarattere"/>
    <w:uiPriority w:val="99"/>
    <w:unhideWhenUsed/>
    <w:rsid w:val="009B36EE"/>
    <w:pPr>
      <w:widowControl/>
      <w:suppressAutoHyphens w:val="0"/>
    </w:pPr>
    <w:rPr>
      <w:rFonts w:asciiTheme="minorHAnsi" w:eastAsia="Calibri" w:hAnsiTheme="minorHAnsi" w:cs="Shruti"/>
      <w:b/>
      <w:bCs/>
      <w:sz w:val="24"/>
      <w:szCs w:val="24"/>
      <w:lang w:eastAsia="zh-CN" w:bidi="gu-IN"/>
    </w:rPr>
  </w:style>
  <w:style w:type="character" w:customStyle="1" w:styleId="SoggettocommentoCarattere1">
    <w:name w:val="Soggetto commento Carattere1"/>
    <w:basedOn w:val="TestocommentoCarattere"/>
    <w:uiPriority w:val="99"/>
    <w:semiHidden/>
    <w:rsid w:val="009B36EE"/>
    <w:rPr>
      <w:rFonts w:ascii="Times New Roman" w:eastAsia="Calibri" w:hAnsi="Times New Roman" w:cs="Shruti"/>
      <w:b/>
      <w:bCs/>
      <w:kern w:val="2"/>
      <w:sz w:val="20"/>
      <w:szCs w:val="20"/>
      <w:lang w:val="en-US" w:eastAsia="zh-CN" w:bidi="gu-IN"/>
    </w:rPr>
  </w:style>
  <w:style w:type="character" w:customStyle="1" w:styleId="CommentSubjectChar1">
    <w:name w:val="Comment Subject Char1"/>
    <w:rsid w:val="009B36EE"/>
    <w:rPr>
      <w:rFonts w:eastAsia="WenQuanYi Micro Hei" w:cs="Lohit Hindi"/>
      <w:b/>
      <w:bCs/>
      <w:kern w:val="2"/>
      <w:lang w:eastAsia="hi-IN" w:bidi="hi-IN"/>
    </w:rPr>
  </w:style>
  <w:style w:type="paragraph" w:styleId="NormaleWeb">
    <w:name w:val="Normal (Web)"/>
    <w:basedOn w:val="Normale"/>
    <w:uiPriority w:val="99"/>
    <w:rsid w:val="009B36EE"/>
    <w:pPr>
      <w:spacing w:beforeLines="1" w:afterLines="1"/>
    </w:pPr>
    <w:rPr>
      <w:rFonts w:ascii="Times" w:eastAsia="Cambria" w:hAnsi="Times" w:cs="Times New Roman"/>
      <w:sz w:val="20"/>
      <w:szCs w:val="20"/>
      <w:lang w:eastAsia="it-IT" w:bidi="ar-SA"/>
    </w:rPr>
  </w:style>
  <w:style w:type="character" w:styleId="Numeropagina">
    <w:name w:val="page number"/>
    <w:rsid w:val="009B36EE"/>
  </w:style>
  <w:style w:type="table" w:styleId="Grigliatabella">
    <w:name w:val="Table Grid"/>
    <w:basedOn w:val="Tabellanormale"/>
    <w:rsid w:val="009B36EE"/>
    <w:rPr>
      <w:rFonts w:ascii="Cambria" w:eastAsia="Cambria"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9B36EE"/>
  </w:style>
  <w:style w:type="paragraph" w:customStyle="1" w:styleId="LightGrid-Accent31">
    <w:name w:val="Light Grid - Accent 31"/>
    <w:basedOn w:val="Normale"/>
    <w:uiPriority w:val="34"/>
    <w:qFormat/>
    <w:rsid w:val="009B36EE"/>
    <w:pPr>
      <w:ind w:left="720"/>
      <w:contextualSpacing/>
    </w:pPr>
  </w:style>
  <w:style w:type="paragraph" w:customStyle="1" w:styleId="EndNoteBibliographyTitle">
    <w:name w:val="EndNote Bibliography Title"/>
    <w:basedOn w:val="Normale"/>
    <w:link w:val="EndNoteBibliographyTitleChar"/>
    <w:rsid w:val="009B36EE"/>
    <w:pPr>
      <w:jc w:val="center"/>
    </w:pPr>
    <w:rPr>
      <w:rFonts w:eastAsia="Times New Roman" w:cs="Times New Roman"/>
      <w:noProof/>
      <w:color w:val="17365D"/>
      <w:spacing w:val="5"/>
      <w:kern w:val="28"/>
    </w:rPr>
  </w:style>
  <w:style w:type="character" w:customStyle="1" w:styleId="EndNoteBibliographyTitleChar">
    <w:name w:val="EndNote Bibliography Title Char"/>
    <w:link w:val="EndNoteBibliographyTitle"/>
    <w:rsid w:val="009B36EE"/>
    <w:rPr>
      <w:rFonts w:ascii="Times New Roman" w:eastAsia="Times New Roman" w:hAnsi="Times New Roman" w:cs="Times New Roman"/>
      <w:noProof/>
      <w:color w:val="17365D"/>
      <w:spacing w:val="5"/>
      <w:kern w:val="28"/>
      <w:lang w:val="en-US" w:eastAsia="zh-CN" w:bidi="gu-IN"/>
    </w:rPr>
  </w:style>
  <w:style w:type="paragraph" w:customStyle="1" w:styleId="EndNoteBibliography">
    <w:name w:val="EndNote Bibliography"/>
    <w:basedOn w:val="Normale"/>
    <w:link w:val="EndNoteBibliographyChar"/>
    <w:rsid w:val="009B36EE"/>
    <w:pPr>
      <w:jc w:val="both"/>
    </w:pPr>
    <w:rPr>
      <w:rFonts w:eastAsia="Times New Roman" w:cs="Times New Roman"/>
      <w:noProof/>
      <w:color w:val="17365D"/>
      <w:spacing w:val="5"/>
      <w:kern w:val="28"/>
    </w:rPr>
  </w:style>
  <w:style w:type="character" w:customStyle="1" w:styleId="EndNoteBibliographyChar">
    <w:name w:val="EndNote Bibliography Char"/>
    <w:link w:val="EndNoteBibliography"/>
    <w:rsid w:val="009B36EE"/>
    <w:rPr>
      <w:rFonts w:ascii="Times New Roman" w:eastAsia="Times New Roman" w:hAnsi="Times New Roman" w:cs="Times New Roman"/>
      <w:noProof/>
      <w:color w:val="17365D"/>
      <w:spacing w:val="5"/>
      <w:kern w:val="28"/>
      <w:lang w:val="en-US" w:eastAsia="zh-CN" w:bidi="gu-IN"/>
    </w:rPr>
  </w:style>
  <w:style w:type="character" w:styleId="Collegamentovisitato">
    <w:name w:val="FollowedHyperlink"/>
    <w:rsid w:val="009B36EE"/>
    <w:rPr>
      <w:color w:val="800080"/>
      <w:u w:val="single"/>
    </w:rPr>
  </w:style>
  <w:style w:type="paragraph" w:styleId="Revisione">
    <w:name w:val="Revision"/>
    <w:hidden/>
    <w:uiPriority w:val="71"/>
    <w:semiHidden/>
    <w:rsid w:val="009B36EE"/>
    <w:rPr>
      <w:rFonts w:ascii="Times New Roman" w:eastAsia="Calibri" w:hAnsi="Times New Roman" w:cs="Shruti"/>
      <w:lang w:val="en-US" w:eastAsia="zh-CN" w:bidi="gu-IN"/>
    </w:rPr>
  </w:style>
  <w:style w:type="paragraph" w:customStyle="1" w:styleId="Default">
    <w:name w:val="Default"/>
    <w:rsid w:val="009B36EE"/>
    <w:pPr>
      <w:autoSpaceDE w:val="0"/>
      <w:autoSpaceDN w:val="0"/>
      <w:adjustRightInd w:val="0"/>
    </w:pPr>
    <w:rPr>
      <w:rFonts w:ascii="Arial Narrow" w:eastAsia="Calibri" w:hAnsi="Arial Narrow" w:cs="Arial Narrow"/>
      <w:color w:val="000000"/>
      <w:lang w:val="de-DE" w:eastAsia="it-IT"/>
    </w:rPr>
  </w:style>
  <w:style w:type="character" w:customStyle="1" w:styleId="slug-vol">
    <w:name w:val="slug-vol"/>
    <w:basedOn w:val="Caratterepredefinitoparagrafo"/>
    <w:rsid w:val="009B36EE"/>
  </w:style>
  <w:style w:type="character" w:customStyle="1" w:styleId="slug-issue">
    <w:name w:val="slug-issue"/>
    <w:basedOn w:val="Caratterepredefinitoparagrafo"/>
    <w:rsid w:val="009B36EE"/>
  </w:style>
  <w:style w:type="character" w:customStyle="1" w:styleId="slug-pages">
    <w:name w:val="slug-pages"/>
    <w:basedOn w:val="Caratterepredefinitoparagrafo"/>
    <w:rsid w:val="009B36EE"/>
  </w:style>
  <w:style w:type="character" w:customStyle="1" w:styleId="cit-auth">
    <w:name w:val="cit-auth"/>
    <w:basedOn w:val="Caratterepredefinitoparagrafo"/>
    <w:rsid w:val="009B36EE"/>
  </w:style>
  <w:style w:type="character" w:customStyle="1" w:styleId="cit-name-surname">
    <w:name w:val="cit-name-surname"/>
    <w:basedOn w:val="Caratterepredefinitoparagrafo"/>
    <w:rsid w:val="009B36EE"/>
  </w:style>
  <w:style w:type="character" w:customStyle="1" w:styleId="cit-name-given-names">
    <w:name w:val="cit-name-given-names"/>
    <w:basedOn w:val="Caratterepredefinitoparagrafo"/>
    <w:rsid w:val="009B36EE"/>
  </w:style>
  <w:style w:type="character" w:styleId="CitazioneHTML">
    <w:name w:val="HTML Cite"/>
    <w:basedOn w:val="Caratterepredefinitoparagrafo"/>
    <w:uiPriority w:val="99"/>
    <w:semiHidden/>
    <w:unhideWhenUsed/>
    <w:rsid w:val="009B36EE"/>
    <w:rPr>
      <w:i/>
      <w:iCs/>
    </w:rPr>
  </w:style>
  <w:style w:type="character" w:customStyle="1" w:styleId="cit-source">
    <w:name w:val="cit-source"/>
    <w:basedOn w:val="Caratterepredefinitoparagrafo"/>
    <w:rsid w:val="009B36EE"/>
  </w:style>
  <w:style w:type="character" w:customStyle="1" w:styleId="cit-publ-loc">
    <w:name w:val="cit-publ-loc"/>
    <w:basedOn w:val="Caratterepredefinitoparagrafo"/>
    <w:rsid w:val="009B36EE"/>
  </w:style>
  <w:style w:type="character" w:customStyle="1" w:styleId="cit-publ-name">
    <w:name w:val="cit-publ-name"/>
    <w:basedOn w:val="Caratterepredefinitoparagrafo"/>
    <w:rsid w:val="009B36EE"/>
  </w:style>
  <w:style w:type="character" w:customStyle="1" w:styleId="cit-pub-date">
    <w:name w:val="cit-pub-date"/>
    <w:basedOn w:val="Caratterepredefinitoparagrafo"/>
    <w:rsid w:val="009B36EE"/>
  </w:style>
  <w:style w:type="character" w:customStyle="1" w:styleId="Date1">
    <w:name w:val="Date1"/>
    <w:basedOn w:val="Caratterepredefinitoparagrafo"/>
    <w:rsid w:val="009B36EE"/>
  </w:style>
  <w:style w:type="character" w:styleId="Enfasicorsivo">
    <w:name w:val="Emphasis"/>
    <w:basedOn w:val="Caratterepredefinitoparagrafo"/>
    <w:uiPriority w:val="20"/>
    <w:qFormat/>
    <w:rsid w:val="009B36EE"/>
    <w:rPr>
      <w:i/>
      <w:iCs/>
    </w:rPr>
  </w:style>
  <w:style w:type="character" w:customStyle="1" w:styleId="pages">
    <w:name w:val="pages"/>
    <w:basedOn w:val="Caratterepredefinitoparagrafo"/>
    <w:rsid w:val="009B36EE"/>
  </w:style>
  <w:style w:type="character" w:customStyle="1" w:styleId="table-label">
    <w:name w:val="table-label"/>
    <w:basedOn w:val="Caratterepredefinitoparagrafo"/>
    <w:rsid w:val="009B36EE"/>
  </w:style>
  <w:style w:type="character" w:customStyle="1" w:styleId="xref-bibr">
    <w:name w:val="xref-bibr"/>
    <w:basedOn w:val="Caratterepredefinitoparagrafo"/>
    <w:rsid w:val="009B36EE"/>
  </w:style>
  <w:style w:type="character" w:customStyle="1" w:styleId="name">
    <w:name w:val="name"/>
    <w:basedOn w:val="Caratterepredefinitoparagrafo"/>
    <w:rsid w:val="009B36EE"/>
  </w:style>
  <w:style w:type="paragraph" w:styleId="Paragrafoelenco">
    <w:name w:val="List Paragraph"/>
    <w:basedOn w:val="Normale"/>
    <w:rsid w:val="009B36EE"/>
    <w:pPr>
      <w:ind w:left="720"/>
      <w:contextualSpacing/>
    </w:pPr>
  </w:style>
  <w:style w:type="paragraph" w:styleId="Testonotadichiusura">
    <w:name w:val="endnote text"/>
    <w:basedOn w:val="Normale"/>
    <w:link w:val="TestonotadichiusuraCarattere"/>
    <w:uiPriority w:val="99"/>
    <w:semiHidden/>
    <w:unhideWhenUsed/>
    <w:rsid w:val="009415E8"/>
    <w:rPr>
      <w:sz w:val="20"/>
      <w:szCs w:val="20"/>
    </w:rPr>
  </w:style>
  <w:style w:type="character" w:customStyle="1" w:styleId="TestonotadichiusuraCarattere">
    <w:name w:val="Testo nota di chiusura Carattere"/>
    <w:basedOn w:val="Caratterepredefinitoparagrafo"/>
    <w:link w:val="Testonotadichiusura"/>
    <w:uiPriority w:val="99"/>
    <w:semiHidden/>
    <w:rsid w:val="009415E8"/>
    <w:rPr>
      <w:rFonts w:ascii="Times New Roman" w:eastAsia="Calibri" w:hAnsi="Times New Roman" w:cs="Shruti"/>
      <w:sz w:val="20"/>
      <w:szCs w:val="20"/>
      <w:lang w:val="en-US" w:eastAsia="zh-CN" w:bidi="gu-IN"/>
    </w:rPr>
  </w:style>
  <w:style w:type="character" w:styleId="Rimandonotadichiusura">
    <w:name w:val="endnote reference"/>
    <w:basedOn w:val="Caratterepredefinitoparagrafo"/>
    <w:uiPriority w:val="99"/>
    <w:semiHidden/>
    <w:unhideWhenUsed/>
    <w:rsid w:val="009415E8"/>
    <w:rPr>
      <w:vertAlign w:val="superscript"/>
    </w:rPr>
  </w:style>
  <w:style w:type="character" w:customStyle="1" w:styleId="st">
    <w:name w:val="st"/>
    <w:basedOn w:val="Caratterepredefinitoparagrafo"/>
    <w:rsid w:val="000B667D"/>
  </w:style>
  <w:style w:type="character" w:customStyle="1" w:styleId="xbe">
    <w:name w:val="_xbe"/>
    <w:basedOn w:val="Caratterepredefinitoparagrafo"/>
    <w:rsid w:val="00D41FAC"/>
  </w:style>
  <w:style w:type="character" w:customStyle="1" w:styleId="highlightselected">
    <w:name w:val="highlight selected"/>
    <w:basedOn w:val="Caratterepredefinitoparagrafo"/>
    <w:rsid w:val="0003180B"/>
  </w:style>
  <w:style w:type="character" w:customStyle="1" w:styleId="slug-metadata-note3">
    <w:name w:val="slug-metadata-note3"/>
    <w:basedOn w:val="Caratterepredefinitoparagrafo"/>
    <w:rsid w:val="002D6A19"/>
    <w:rPr>
      <w:vanish w:val="0"/>
      <w:webHidden w:val="0"/>
      <w:specVanish w:val="0"/>
    </w:rPr>
  </w:style>
  <w:style w:type="character" w:customStyle="1" w:styleId="slug-doi">
    <w:name w:val="slug-doi"/>
    <w:basedOn w:val="Caratterepredefinitoparagrafo"/>
    <w:rsid w:val="002D6A19"/>
  </w:style>
  <w:style w:type="paragraph" w:styleId="Corpodeltesto">
    <w:name w:val="Body Text"/>
    <w:basedOn w:val="Normale"/>
    <w:link w:val="CorpodeltestoCarattere"/>
    <w:unhideWhenUsed/>
    <w:rsid w:val="002A4AC2"/>
    <w:pPr>
      <w:autoSpaceDE w:val="0"/>
      <w:autoSpaceDN w:val="0"/>
      <w:adjustRightInd w:val="0"/>
    </w:pPr>
    <w:rPr>
      <w:rFonts w:ascii="Arial" w:hAnsi="Arial" w:cs="Arial"/>
      <w:b/>
      <w:sz w:val="28"/>
      <w:szCs w:val="28"/>
      <w:lang w:val="en-GB"/>
    </w:rPr>
  </w:style>
  <w:style w:type="character" w:customStyle="1" w:styleId="CorpodeltestoCarattere">
    <w:name w:val="Corpo del testo Carattere"/>
    <w:basedOn w:val="Caratterepredefinitoparagrafo"/>
    <w:link w:val="Corpodeltesto"/>
    <w:rsid w:val="002A4AC2"/>
    <w:rPr>
      <w:rFonts w:ascii="Arial" w:eastAsia="Calibri" w:hAnsi="Arial" w:cs="Arial"/>
      <w:b/>
      <w:sz w:val="28"/>
      <w:szCs w:val="28"/>
      <w:lang w:val="en-GB" w:eastAsia="zh-C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B36EE"/>
    <w:rPr>
      <w:rFonts w:ascii="Times New Roman" w:eastAsia="Calibri" w:hAnsi="Times New Roman" w:cs="Shruti"/>
      <w:lang w:val="en-US" w:eastAsia="zh-CN" w:bidi="gu-IN"/>
    </w:rPr>
  </w:style>
  <w:style w:type="paragraph" w:styleId="Heading1">
    <w:name w:val="heading 1"/>
    <w:basedOn w:val="Normal"/>
    <w:next w:val="Normal"/>
    <w:link w:val="Heading1Char"/>
    <w:qFormat/>
    <w:rsid w:val="009B36EE"/>
    <w:pPr>
      <w:keepNext/>
      <w:keepLines/>
      <w:numPr>
        <w:numId w:val="1"/>
      </w:numPr>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9B36EE"/>
    <w:pPr>
      <w:keepNext/>
      <w:keepLines/>
      <w:numPr>
        <w:ilvl w:val="1"/>
        <w:numId w:val="1"/>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9B36EE"/>
    <w:pPr>
      <w:keepNext/>
      <w:keepLines/>
      <w:numPr>
        <w:ilvl w:val="2"/>
        <w:numId w:val="1"/>
      </w:numPr>
      <w:spacing w:before="20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9B36EE"/>
    <w:pPr>
      <w:keepNext/>
      <w:keepLines/>
      <w:numPr>
        <w:ilvl w:val="3"/>
        <w:numId w:val="1"/>
      </w:numPr>
      <w:spacing w:before="20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qFormat/>
    <w:rsid w:val="009B36EE"/>
    <w:pPr>
      <w:keepNext/>
      <w:keepLines/>
      <w:numPr>
        <w:ilvl w:val="4"/>
        <w:numId w:val="1"/>
      </w:numPr>
      <w:spacing w:before="20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qFormat/>
    <w:rsid w:val="009B36EE"/>
    <w:pPr>
      <w:keepNext/>
      <w:keepLines/>
      <w:numPr>
        <w:ilvl w:val="5"/>
        <w:numId w:val="1"/>
      </w:numPr>
      <w:spacing w:before="20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B36EE"/>
    <w:pPr>
      <w:keepNext/>
      <w:keepLines/>
      <w:numPr>
        <w:ilvl w:val="6"/>
        <w:numId w:val="1"/>
      </w:numPr>
      <w:spacing w:before="20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qFormat/>
    <w:rsid w:val="009B36EE"/>
    <w:pPr>
      <w:keepNext/>
      <w:keepLines/>
      <w:numPr>
        <w:ilvl w:val="7"/>
        <w:numId w:val="1"/>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9B36EE"/>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B36EE"/>
    <w:rPr>
      <w:rFonts w:ascii="Tahoma" w:hAnsi="Tahoma" w:cs="Tahoma"/>
      <w:sz w:val="16"/>
      <w:szCs w:val="16"/>
    </w:rPr>
  </w:style>
  <w:style w:type="character" w:customStyle="1" w:styleId="TestofumettoCarattere">
    <w:name w:val="Testo fumetto Carattere"/>
    <w:basedOn w:val="DefaultParagraphFont"/>
    <w:uiPriority w:val="99"/>
    <w:semiHidden/>
    <w:rsid w:val="00370F71"/>
    <w:rPr>
      <w:rFonts w:ascii="Lucida Grande" w:hAnsi="Lucida Grande"/>
      <w:sz w:val="18"/>
      <w:szCs w:val="18"/>
    </w:rPr>
  </w:style>
  <w:style w:type="character" w:customStyle="1" w:styleId="TestofumettoCarattere0">
    <w:name w:val="Testo fumetto Carattere"/>
    <w:basedOn w:val="DefaultParagraphFont"/>
    <w:uiPriority w:val="99"/>
    <w:semiHidden/>
    <w:rsid w:val="00370F71"/>
    <w:rPr>
      <w:rFonts w:ascii="Lucida Grande" w:hAnsi="Lucida Grande"/>
      <w:sz w:val="18"/>
      <w:szCs w:val="18"/>
    </w:rPr>
  </w:style>
  <w:style w:type="character" w:customStyle="1" w:styleId="TestofumettoCarattere1">
    <w:name w:val="Testo fumetto Carattere"/>
    <w:basedOn w:val="DefaultParagraphFont"/>
    <w:uiPriority w:val="99"/>
    <w:semiHidden/>
    <w:rsid w:val="00370F71"/>
    <w:rPr>
      <w:rFonts w:ascii="Lucida Grande" w:hAnsi="Lucida Grande"/>
      <w:sz w:val="18"/>
      <w:szCs w:val="18"/>
    </w:rPr>
  </w:style>
  <w:style w:type="character" w:customStyle="1" w:styleId="TestofumettoCarattere2">
    <w:name w:val="Testo fumetto Carattere"/>
    <w:basedOn w:val="DefaultParagraphFont"/>
    <w:uiPriority w:val="99"/>
    <w:semiHidden/>
    <w:rsid w:val="00932C6E"/>
    <w:rPr>
      <w:rFonts w:ascii="Lucida Grande" w:hAnsi="Lucida Grande"/>
      <w:sz w:val="18"/>
      <w:szCs w:val="18"/>
    </w:rPr>
  </w:style>
  <w:style w:type="character" w:customStyle="1" w:styleId="TestofumettoCarattere3">
    <w:name w:val="Testo fumetto Carattere"/>
    <w:basedOn w:val="DefaultParagraphFont"/>
    <w:uiPriority w:val="99"/>
    <w:semiHidden/>
    <w:rsid w:val="00932C6E"/>
    <w:rPr>
      <w:rFonts w:ascii="Lucida Grande" w:hAnsi="Lucida Grande"/>
      <w:sz w:val="18"/>
      <w:szCs w:val="18"/>
    </w:rPr>
  </w:style>
  <w:style w:type="character" w:customStyle="1" w:styleId="Heading1Char">
    <w:name w:val="Heading 1 Char"/>
    <w:link w:val="Heading1"/>
    <w:rsid w:val="009B36EE"/>
    <w:rPr>
      <w:rFonts w:ascii="Cambria" w:eastAsia="Calibri" w:hAnsi="Cambria" w:cs="Times New Roman"/>
      <w:b/>
      <w:bCs/>
      <w:color w:val="365F91"/>
      <w:sz w:val="28"/>
      <w:szCs w:val="28"/>
      <w:lang w:val="en-US" w:eastAsia="zh-CN" w:bidi="gu-IN"/>
    </w:rPr>
  </w:style>
  <w:style w:type="character" w:customStyle="1" w:styleId="Heading2Char">
    <w:name w:val="Heading 2 Char"/>
    <w:link w:val="Heading2"/>
    <w:rsid w:val="009B36EE"/>
    <w:rPr>
      <w:rFonts w:ascii="Cambria" w:eastAsia="Times New Roman" w:hAnsi="Cambria" w:cs="Times New Roman"/>
      <w:b/>
      <w:bCs/>
      <w:color w:val="4F81BD"/>
      <w:sz w:val="26"/>
      <w:szCs w:val="26"/>
      <w:lang w:val="en-US" w:eastAsia="zh-CN" w:bidi="gu-IN"/>
    </w:rPr>
  </w:style>
  <w:style w:type="character" w:customStyle="1" w:styleId="Heading3Char">
    <w:name w:val="Heading 3 Char"/>
    <w:link w:val="Heading3"/>
    <w:rsid w:val="009B36EE"/>
    <w:rPr>
      <w:rFonts w:ascii="Cambria" w:eastAsia="Times New Roman" w:hAnsi="Cambria" w:cs="Times New Roman"/>
      <w:b/>
      <w:bCs/>
      <w:color w:val="4F81BD"/>
      <w:sz w:val="20"/>
      <w:szCs w:val="20"/>
      <w:lang w:val="en-US" w:eastAsia="zh-CN" w:bidi="gu-IN"/>
    </w:rPr>
  </w:style>
  <w:style w:type="character" w:customStyle="1" w:styleId="Heading4Char">
    <w:name w:val="Heading 4 Char"/>
    <w:link w:val="Heading4"/>
    <w:rsid w:val="009B36EE"/>
    <w:rPr>
      <w:rFonts w:ascii="Cambria" w:eastAsia="Times New Roman" w:hAnsi="Cambria" w:cs="Times New Roman"/>
      <w:b/>
      <w:bCs/>
      <w:i/>
      <w:iCs/>
      <w:color w:val="4F81BD"/>
      <w:sz w:val="20"/>
      <w:szCs w:val="20"/>
      <w:lang w:val="en-US" w:eastAsia="zh-CN" w:bidi="gu-IN"/>
    </w:rPr>
  </w:style>
  <w:style w:type="character" w:customStyle="1" w:styleId="Heading5Char">
    <w:name w:val="Heading 5 Char"/>
    <w:link w:val="Heading5"/>
    <w:rsid w:val="009B36EE"/>
    <w:rPr>
      <w:rFonts w:ascii="Cambria" w:eastAsia="Times New Roman" w:hAnsi="Cambria" w:cs="Times New Roman"/>
      <w:color w:val="243F60"/>
      <w:sz w:val="20"/>
      <w:szCs w:val="20"/>
      <w:lang w:val="en-US" w:eastAsia="zh-CN" w:bidi="gu-IN"/>
    </w:rPr>
  </w:style>
  <w:style w:type="character" w:customStyle="1" w:styleId="Heading6Char">
    <w:name w:val="Heading 6 Char"/>
    <w:link w:val="Heading6"/>
    <w:rsid w:val="009B36EE"/>
    <w:rPr>
      <w:rFonts w:ascii="Cambria" w:eastAsia="Times New Roman" w:hAnsi="Cambria" w:cs="Times New Roman"/>
      <w:i/>
      <w:iCs/>
      <w:color w:val="243F60"/>
      <w:sz w:val="20"/>
      <w:szCs w:val="20"/>
      <w:lang w:val="en-US" w:eastAsia="zh-CN" w:bidi="gu-IN"/>
    </w:rPr>
  </w:style>
  <w:style w:type="character" w:customStyle="1" w:styleId="Heading7Char">
    <w:name w:val="Heading 7 Char"/>
    <w:link w:val="Heading7"/>
    <w:rsid w:val="009B36EE"/>
    <w:rPr>
      <w:rFonts w:ascii="Cambria" w:eastAsia="Times New Roman" w:hAnsi="Cambria" w:cs="Times New Roman"/>
      <w:i/>
      <w:iCs/>
      <w:color w:val="404040"/>
      <w:sz w:val="20"/>
      <w:szCs w:val="20"/>
      <w:lang w:val="en-US" w:eastAsia="zh-CN" w:bidi="gu-IN"/>
    </w:rPr>
  </w:style>
  <w:style w:type="character" w:customStyle="1" w:styleId="Heading8Char">
    <w:name w:val="Heading 8 Char"/>
    <w:link w:val="Heading8"/>
    <w:rsid w:val="009B36EE"/>
    <w:rPr>
      <w:rFonts w:ascii="Cambria" w:eastAsia="Times New Roman" w:hAnsi="Cambria" w:cs="Times New Roman"/>
      <w:color w:val="404040"/>
      <w:sz w:val="20"/>
      <w:szCs w:val="20"/>
      <w:lang w:val="en-US" w:eastAsia="zh-CN" w:bidi="gu-IN"/>
    </w:rPr>
  </w:style>
  <w:style w:type="character" w:customStyle="1" w:styleId="Heading9Char">
    <w:name w:val="Heading 9 Char"/>
    <w:link w:val="Heading9"/>
    <w:rsid w:val="009B36EE"/>
    <w:rPr>
      <w:rFonts w:ascii="Cambria" w:eastAsia="Times New Roman" w:hAnsi="Cambria" w:cs="Times New Roman"/>
      <w:i/>
      <w:iCs/>
      <w:color w:val="404040"/>
      <w:sz w:val="20"/>
      <w:szCs w:val="20"/>
      <w:lang w:val="en-US" w:eastAsia="zh-CN" w:bidi="gu-IN"/>
    </w:rPr>
  </w:style>
  <w:style w:type="character" w:customStyle="1" w:styleId="TestofumettoCarattere4">
    <w:name w:val="Testo fumetto Carattere"/>
    <w:basedOn w:val="DefaultParagraphFont"/>
    <w:uiPriority w:val="99"/>
    <w:semiHidden/>
    <w:rsid w:val="009B36EE"/>
    <w:rPr>
      <w:rFonts w:ascii="Lucida Grande" w:hAnsi="Lucida Grande"/>
      <w:sz w:val="18"/>
      <w:szCs w:val="18"/>
    </w:rPr>
  </w:style>
  <w:style w:type="character" w:customStyle="1" w:styleId="BalloonTextChar">
    <w:name w:val="Balloon Text Char"/>
    <w:link w:val="BalloonText"/>
    <w:uiPriority w:val="99"/>
    <w:rsid w:val="009B36EE"/>
    <w:rPr>
      <w:rFonts w:ascii="Tahoma" w:eastAsia="Calibri" w:hAnsi="Tahoma" w:cs="Tahoma"/>
      <w:sz w:val="16"/>
      <w:szCs w:val="16"/>
      <w:lang w:val="en-US" w:eastAsia="zh-CN" w:bidi="gu-IN"/>
    </w:rPr>
  </w:style>
  <w:style w:type="paragraph" w:styleId="Title">
    <w:name w:val="Title"/>
    <w:basedOn w:val="Normal"/>
    <w:next w:val="Normal"/>
    <w:link w:val="TitleChar"/>
    <w:qFormat/>
    <w:rsid w:val="009B36EE"/>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9B36EE"/>
    <w:rPr>
      <w:rFonts w:ascii="Cambria" w:eastAsia="Times New Roman" w:hAnsi="Cambria" w:cs="Times New Roman"/>
      <w:color w:val="17365D"/>
      <w:spacing w:val="5"/>
      <w:kern w:val="28"/>
      <w:sz w:val="52"/>
      <w:szCs w:val="52"/>
      <w:lang w:val="en-US" w:eastAsia="zh-CN" w:bidi="gu-IN"/>
    </w:rPr>
  </w:style>
  <w:style w:type="character" w:styleId="Hyperlink">
    <w:name w:val="Hyperlink"/>
    <w:uiPriority w:val="99"/>
    <w:rsid w:val="009B36EE"/>
    <w:rPr>
      <w:color w:val="0000FF"/>
      <w:u w:val="single"/>
    </w:rPr>
  </w:style>
  <w:style w:type="paragraph" w:styleId="Header">
    <w:name w:val="header"/>
    <w:basedOn w:val="Normal"/>
    <w:link w:val="HeaderChar"/>
    <w:rsid w:val="009B36EE"/>
    <w:pPr>
      <w:tabs>
        <w:tab w:val="center" w:pos="4513"/>
        <w:tab w:val="right" w:pos="9026"/>
      </w:tabs>
    </w:pPr>
    <w:rPr>
      <w:sz w:val="20"/>
      <w:szCs w:val="20"/>
    </w:rPr>
  </w:style>
  <w:style w:type="character" w:customStyle="1" w:styleId="HeaderChar">
    <w:name w:val="Header Char"/>
    <w:link w:val="Header"/>
    <w:rsid w:val="009B36EE"/>
    <w:rPr>
      <w:rFonts w:ascii="Times New Roman" w:eastAsia="Calibri" w:hAnsi="Times New Roman" w:cs="Shruti"/>
      <w:sz w:val="20"/>
      <w:szCs w:val="20"/>
      <w:lang w:val="en-US" w:eastAsia="zh-CN" w:bidi="gu-IN"/>
    </w:rPr>
  </w:style>
  <w:style w:type="paragraph" w:styleId="Footer">
    <w:name w:val="footer"/>
    <w:basedOn w:val="Normal"/>
    <w:link w:val="FooterChar"/>
    <w:uiPriority w:val="99"/>
    <w:rsid w:val="009B36EE"/>
    <w:pPr>
      <w:tabs>
        <w:tab w:val="center" w:pos="4513"/>
        <w:tab w:val="right" w:pos="9026"/>
      </w:tabs>
    </w:pPr>
    <w:rPr>
      <w:sz w:val="20"/>
      <w:szCs w:val="20"/>
    </w:rPr>
  </w:style>
  <w:style w:type="character" w:customStyle="1" w:styleId="FooterChar">
    <w:name w:val="Footer Char"/>
    <w:link w:val="Footer"/>
    <w:uiPriority w:val="99"/>
    <w:rsid w:val="009B36EE"/>
    <w:rPr>
      <w:rFonts w:ascii="Times New Roman" w:eastAsia="Calibri" w:hAnsi="Times New Roman" w:cs="Shruti"/>
      <w:sz w:val="20"/>
      <w:szCs w:val="20"/>
      <w:lang w:val="en-US" w:eastAsia="zh-CN" w:bidi="gu-IN"/>
    </w:rPr>
  </w:style>
  <w:style w:type="paragraph" w:styleId="FootnoteText">
    <w:name w:val="footnote text"/>
    <w:basedOn w:val="Normal"/>
    <w:link w:val="FootnoteTextChar"/>
    <w:unhideWhenUsed/>
    <w:rsid w:val="009B36EE"/>
    <w:rPr>
      <w:rFonts w:eastAsia="Times New Roman"/>
      <w:sz w:val="20"/>
      <w:szCs w:val="20"/>
    </w:rPr>
  </w:style>
  <w:style w:type="character" w:customStyle="1" w:styleId="FootnoteTextChar">
    <w:name w:val="Footnote Text Char"/>
    <w:link w:val="FootnoteText"/>
    <w:rsid w:val="009B36EE"/>
    <w:rPr>
      <w:rFonts w:ascii="Times New Roman" w:eastAsia="Times New Roman" w:hAnsi="Times New Roman" w:cs="Shruti"/>
      <w:sz w:val="20"/>
      <w:szCs w:val="20"/>
      <w:lang w:val="en-US" w:eastAsia="zh-CN" w:bidi="gu-IN"/>
    </w:rPr>
  </w:style>
  <w:style w:type="character" w:styleId="FootnoteReference">
    <w:name w:val="footnote reference"/>
    <w:unhideWhenUsed/>
    <w:rsid w:val="009B36EE"/>
    <w:rPr>
      <w:rFonts w:ascii="Times New Roman" w:hAnsi="Times New Roman" w:cs="Times New Roman" w:hint="default"/>
      <w:vertAlign w:val="superscript"/>
    </w:rPr>
  </w:style>
  <w:style w:type="paragraph" w:styleId="CommentText">
    <w:name w:val="annotation text"/>
    <w:basedOn w:val="Normal"/>
    <w:link w:val="CommentTextChar"/>
    <w:unhideWhenUsed/>
    <w:rsid w:val="009B36EE"/>
    <w:pPr>
      <w:widowControl w:val="0"/>
      <w:suppressAutoHyphens/>
    </w:pPr>
    <w:rPr>
      <w:rFonts w:eastAsia="WenQuanYi Micro Hei" w:cs="Lohit Hindi"/>
      <w:kern w:val="2"/>
      <w:sz w:val="20"/>
      <w:szCs w:val="20"/>
      <w:lang w:eastAsia="hi-IN" w:bidi="hi-IN"/>
    </w:rPr>
  </w:style>
  <w:style w:type="character" w:customStyle="1" w:styleId="CommentTextChar">
    <w:name w:val="Comment Text Char"/>
    <w:link w:val="CommentText"/>
    <w:rsid w:val="009B36EE"/>
    <w:rPr>
      <w:rFonts w:ascii="Times New Roman" w:eastAsia="WenQuanYi Micro Hei" w:hAnsi="Times New Roman" w:cs="Lohit Hindi"/>
      <w:kern w:val="2"/>
      <w:sz w:val="20"/>
      <w:szCs w:val="20"/>
      <w:lang w:val="en-US" w:eastAsia="hi-IN" w:bidi="hi-IN"/>
    </w:rPr>
  </w:style>
  <w:style w:type="character" w:styleId="CommentReference">
    <w:name w:val="annotation reference"/>
    <w:uiPriority w:val="99"/>
    <w:unhideWhenUsed/>
    <w:rsid w:val="009B36EE"/>
    <w:rPr>
      <w:sz w:val="18"/>
      <w:szCs w:val="18"/>
    </w:rPr>
  </w:style>
  <w:style w:type="paragraph" w:styleId="Caption">
    <w:name w:val="caption"/>
    <w:basedOn w:val="Normal"/>
    <w:next w:val="Normal"/>
    <w:qFormat/>
    <w:rsid w:val="009B36EE"/>
    <w:rPr>
      <w:b/>
      <w:bCs/>
      <w:sz w:val="20"/>
      <w:szCs w:val="20"/>
    </w:rPr>
  </w:style>
  <w:style w:type="paragraph" w:styleId="TOC1">
    <w:name w:val="toc 1"/>
    <w:basedOn w:val="Normal"/>
    <w:next w:val="Normal"/>
    <w:autoRedefine/>
    <w:uiPriority w:val="39"/>
    <w:rsid w:val="009B36EE"/>
  </w:style>
  <w:style w:type="paragraph" w:styleId="TOC2">
    <w:name w:val="toc 2"/>
    <w:basedOn w:val="Normal"/>
    <w:next w:val="Normal"/>
    <w:autoRedefine/>
    <w:uiPriority w:val="39"/>
    <w:rsid w:val="009B36EE"/>
    <w:pPr>
      <w:ind w:left="240"/>
    </w:pPr>
  </w:style>
  <w:style w:type="paragraph" w:styleId="PlainText">
    <w:name w:val="Plain Text"/>
    <w:basedOn w:val="Normal"/>
    <w:link w:val="PlainTextChar"/>
    <w:uiPriority w:val="99"/>
    <w:rsid w:val="009B36EE"/>
    <w:rPr>
      <w:rFonts w:ascii="Calibri" w:hAnsi="Calibri" w:cs="Times New Roman"/>
      <w:sz w:val="22"/>
      <w:szCs w:val="21"/>
      <w:lang w:bidi="ar-SA"/>
    </w:rPr>
  </w:style>
  <w:style w:type="character" w:customStyle="1" w:styleId="PlainTextChar">
    <w:name w:val="Plain Text Char"/>
    <w:link w:val="PlainText"/>
    <w:uiPriority w:val="99"/>
    <w:rsid w:val="009B36EE"/>
    <w:rPr>
      <w:rFonts w:ascii="Calibri" w:eastAsia="Calibri" w:hAnsi="Calibri" w:cs="Times New Roman"/>
      <w:sz w:val="22"/>
      <w:szCs w:val="21"/>
      <w:lang w:val="en-US" w:eastAsia="zh-CN"/>
    </w:rPr>
  </w:style>
  <w:style w:type="paragraph" w:customStyle="1" w:styleId="ListParagraph1">
    <w:name w:val="List Paragraph1"/>
    <w:basedOn w:val="Normal"/>
    <w:uiPriority w:val="34"/>
    <w:qFormat/>
    <w:rsid w:val="009B36EE"/>
    <w:pPr>
      <w:ind w:left="720"/>
    </w:pPr>
  </w:style>
  <w:style w:type="character" w:customStyle="1" w:styleId="CommentSubjectChar">
    <w:name w:val="Comment Subject Char"/>
    <w:link w:val="CommentSubject"/>
    <w:uiPriority w:val="99"/>
    <w:rsid w:val="009B36EE"/>
    <w:rPr>
      <w:rFonts w:eastAsia="Calibri" w:cs="Shruti"/>
      <w:b/>
      <w:bCs/>
      <w:kern w:val="2"/>
      <w:lang w:val="en-US" w:eastAsia="zh-CN" w:bidi="gu-IN"/>
    </w:rPr>
  </w:style>
  <w:style w:type="paragraph" w:styleId="CommentSubject">
    <w:name w:val="annotation subject"/>
    <w:basedOn w:val="CommentText"/>
    <w:next w:val="CommentText"/>
    <w:link w:val="CommentSubjectChar"/>
    <w:uiPriority w:val="99"/>
    <w:unhideWhenUsed/>
    <w:rsid w:val="009B36EE"/>
    <w:pPr>
      <w:widowControl/>
      <w:suppressAutoHyphens w:val="0"/>
    </w:pPr>
    <w:rPr>
      <w:rFonts w:asciiTheme="minorHAnsi" w:eastAsia="Calibri" w:hAnsiTheme="minorHAnsi" w:cs="Shruti"/>
      <w:b/>
      <w:bCs/>
      <w:sz w:val="24"/>
      <w:szCs w:val="24"/>
      <w:lang w:eastAsia="zh-CN" w:bidi="gu-IN"/>
    </w:rPr>
  </w:style>
  <w:style w:type="character" w:customStyle="1" w:styleId="SoggettocommentoCarattere1">
    <w:name w:val="Soggetto commento Carattere1"/>
    <w:basedOn w:val="CommentTextChar"/>
    <w:uiPriority w:val="99"/>
    <w:semiHidden/>
    <w:rsid w:val="009B36EE"/>
    <w:rPr>
      <w:rFonts w:ascii="Times New Roman" w:eastAsia="Calibri" w:hAnsi="Times New Roman" w:cs="Shruti"/>
      <w:b/>
      <w:bCs/>
      <w:kern w:val="2"/>
      <w:sz w:val="20"/>
      <w:szCs w:val="20"/>
      <w:lang w:val="en-US" w:eastAsia="zh-CN" w:bidi="gu-IN"/>
    </w:rPr>
  </w:style>
  <w:style w:type="character" w:customStyle="1" w:styleId="CommentSubjectChar1">
    <w:name w:val="Comment Subject Char1"/>
    <w:rsid w:val="009B36EE"/>
    <w:rPr>
      <w:rFonts w:eastAsia="WenQuanYi Micro Hei" w:cs="Lohit Hindi"/>
      <w:b/>
      <w:bCs/>
      <w:kern w:val="2"/>
      <w:lang w:eastAsia="hi-IN" w:bidi="hi-IN"/>
    </w:rPr>
  </w:style>
  <w:style w:type="paragraph" w:styleId="NormalWeb">
    <w:name w:val="Normal (Web)"/>
    <w:basedOn w:val="Normal"/>
    <w:uiPriority w:val="99"/>
    <w:rsid w:val="009B36EE"/>
    <w:pPr>
      <w:spacing w:beforeLines="1" w:afterLines="1"/>
    </w:pPr>
    <w:rPr>
      <w:rFonts w:ascii="Times" w:eastAsia="Cambria" w:hAnsi="Times" w:cs="Times New Roman"/>
      <w:sz w:val="20"/>
      <w:szCs w:val="20"/>
      <w:lang w:eastAsia="it-IT" w:bidi="ar-SA"/>
    </w:rPr>
  </w:style>
  <w:style w:type="character" w:styleId="PageNumber">
    <w:name w:val="page number"/>
    <w:rsid w:val="009B36EE"/>
  </w:style>
  <w:style w:type="table" w:styleId="TableGrid">
    <w:name w:val="Table Grid"/>
    <w:basedOn w:val="TableNormal"/>
    <w:rsid w:val="009B36EE"/>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9B36EE"/>
  </w:style>
  <w:style w:type="paragraph" w:customStyle="1" w:styleId="LightGrid-Accent31">
    <w:name w:val="Light Grid - Accent 31"/>
    <w:basedOn w:val="Normal"/>
    <w:uiPriority w:val="34"/>
    <w:qFormat/>
    <w:rsid w:val="009B36EE"/>
    <w:pPr>
      <w:ind w:left="720"/>
      <w:contextualSpacing/>
    </w:pPr>
  </w:style>
  <w:style w:type="paragraph" w:customStyle="1" w:styleId="EndNoteBibliographyTitle">
    <w:name w:val="EndNote Bibliography Title"/>
    <w:basedOn w:val="Normal"/>
    <w:link w:val="EndNoteBibliographyTitleChar"/>
    <w:rsid w:val="009B36EE"/>
    <w:pPr>
      <w:jc w:val="center"/>
    </w:pPr>
    <w:rPr>
      <w:rFonts w:eastAsia="Times New Roman" w:cs="Times New Roman"/>
      <w:noProof/>
      <w:color w:val="17365D"/>
      <w:spacing w:val="5"/>
      <w:kern w:val="28"/>
    </w:rPr>
  </w:style>
  <w:style w:type="character" w:customStyle="1" w:styleId="EndNoteBibliographyTitleChar">
    <w:name w:val="EndNote Bibliography Title Char"/>
    <w:link w:val="EndNoteBibliographyTitle"/>
    <w:rsid w:val="009B36EE"/>
    <w:rPr>
      <w:rFonts w:ascii="Times New Roman" w:eastAsia="Times New Roman" w:hAnsi="Times New Roman" w:cs="Times New Roman"/>
      <w:noProof/>
      <w:color w:val="17365D"/>
      <w:spacing w:val="5"/>
      <w:kern w:val="28"/>
      <w:lang w:val="en-US" w:eastAsia="zh-CN" w:bidi="gu-IN"/>
    </w:rPr>
  </w:style>
  <w:style w:type="paragraph" w:customStyle="1" w:styleId="EndNoteBibliography">
    <w:name w:val="EndNote Bibliography"/>
    <w:basedOn w:val="Normal"/>
    <w:link w:val="EndNoteBibliographyChar"/>
    <w:rsid w:val="009B36EE"/>
    <w:pPr>
      <w:jc w:val="both"/>
    </w:pPr>
    <w:rPr>
      <w:rFonts w:eastAsia="Times New Roman" w:cs="Times New Roman"/>
      <w:noProof/>
      <w:color w:val="17365D"/>
      <w:spacing w:val="5"/>
      <w:kern w:val="28"/>
    </w:rPr>
  </w:style>
  <w:style w:type="character" w:customStyle="1" w:styleId="EndNoteBibliographyChar">
    <w:name w:val="EndNote Bibliography Char"/>
    <w:link w:val="EndNoteBibliography"/>
    <w:rsid w:val="009B36EE"/>
    <w:rPr>
      <w:rFonts w:ascii="Times New Roman" w:eastAsia="Times New Roman" w:hAnsi="Times New Roman" w:cs="Times New Roman"/>
      <w:noProof/>
      <w:color w:val="17365D"/>
      <w:spacing w:val="5"/>
      <w:kern w:val="28"/>
      <w:lang w:val="en-US" w:eastAsia="zh-CN" w:bidi="gu-IN"/>
    </w:rPr>
  </w:style>
  <w:style w:type="character" w:styleId="FollowedHyperlink">
    <w:name w:val="FollowedHyperlink"/>
    <w:rsid w:val="009B36EE"/>
    <w:rPr>
      <w:color w:val="800080"/>
      <w:u w:val="single"/>
    </w:rPr>
  </w:style>
  <w:style w:type="paragraph" w:styleId="Revision">
    <w:name w:val="Revision"/>
    <w:hidden/>
    <w:uiPriority w:val="71"/>
    <w:semiHidden/>
    <w:rsid w:val="009B36EE"/>
    <w:rPr>
      <w:rFonts w:ascii="Times New Roman" w:eastAsia="Calibri" w:hAnsi="Times New Roman" w:cs="Shruti"/>
      <w:lang w:val="en-US" w:eastAsia="zh-CN" w:bidi="gu-IN"/>
    </w:rPr>
  </w:style>
  <w:style w:type="paragraph" w:customStyle="1" w:styleId="Default">
    <w:name w:val="Default"/>
    <w:rsid w:val="009B36EE"/>
    <w:pPr>
      <w:autoSpaceDE w:val="0"/>
      <w:autoSpaceDN w:val="0"/>
      <w:adjustRightInd w:val="0"/>
    </w:pPr>
    <w:rPr>
      <w:rFonts w:ascii="Arial Narrow" w:eastAsia="Calibri" w:hAnsi="Arial Narrow" w:cs="Arial Narrow"/>
      <w:color w:val="000000"/>
      <w:lang w:val="de-DE" w:eastAsia="it-IT"/>
    </w:rPr>
  </w:style>
  <w:style w:type="character" w:customStyle="1" w:styleId="slug-vol">
    <w:name w:val="slug-vol"/>
    <w:basedOn w:val="DefaultParagraphFont"/>
    <w:rsid w:val="009B36EE"/>
  </w:style>
  <w:style w:type="character" w:customStyle="1" w:styleId="slug-issue">
    <w:name w:val="slug-issue"/>
    <w:basedOn w:val="DefaultParagraphFont"/>
    <w:rsid w:val="009B36EE"/>
  </w:style>
  <w:style w:type="character" w:customStyle="1" w:styleId="slug-pages">
    <w:name w:val="slug-pages"/>
    <w:basedOn w:val="DefaultParagraphFont"/>
    <w:rsid w:val="009B36EE"/>
  </w:style>
  <w:style w:type="character" w:customStyle="1" w:styleId="cit-auth">
    <w:name w:val="cit-auth"/>
    <w:basedOn w:val="DefaultParagraphFont"/>
    <w:rsid w:val="009B36EE"/>
  </w:style>
  <w:style w:type="character" w:customStyle="1" w:styleId="cit-name-surname">
    <w:name w:val="cit-name-surname"/>
    <w:basedOn w:val="DefaultParagraphFont"/>
    <w:rsid w:val="009B36EE"/>
  </w:style>
  <w:style w:type="character" w:customStyle="1" w:styleId="cit-name-given-names">
    <w:name w:val="cit-name-given-names"/>
    <w:basedOn w:val="DefaultParagraphFont"/>
    <w:rsid w:val="009B36EE"/>
  </w:style>
  <w:style w:type="character" w:styleId="HTMLCite">
    <w:name w:val="HTML Cite"/>
    <w:basedOn w:val="DefaultParagraphFont"/>
    <w:uiPriority w:val="99"/>
    <w:semiHidden/>
    <w:unhideWhenUsed/>
    <w:rsid w:val="009B36EE"/>
    <w:rPr>
      <w:i/>
      <w:iCs/>
    </w:rPr>
  </w:style>
  <w:style w:type="character" w:customStyle="1" w:styleId="cit-source">
    <w:name w:val="cit-source"/>
    <w:basedOn w:val="DefaultParagraphFont"/>
    <w:rsid w:val="009B36EE"/>
  </w:style>
  <w:style w:type="character" w:customStyle="1" w:styleId="cit-publ-loc">
    <w:name w:val="cit-publ-loc"/>
    <w:basedOn w:val="DefaultParagraphFont"/>
    <w:rsid w:val="009B36EE"/>
  </w:style>
  <w:style w:type="character" w:customStyle="1" w:styleId="cit-publ-name">
    <w:name w:val="cit-publ-name"/>
    <w:basedOn w:val="DefaultParagraphFont"/>
    <w:rsid w:val="009B36EE"/>
  </w:style>
  <w:style w:type="character" w:customStyle="1" w:styleId="cit-pub-date">
    <w:name w:val="cit-pub-date"/>
    <w:basedOn w:val="DefaultParagraphFont"/>
    <w:rsid w:val="009B36EE"/>
  </w:style>
  <w:style w:type="character" w:customStyle="1" w:styleId="Date1">
    <w:name w:val="Date1"/>
    <w:basedOn w:val="DefaultParagraphFont"/>
    <w:rsid w:val="009B36EE"/>
  </w:style>
  <w:style w:type="character" w:styleId="Emphasis">
    <w:name w:val="Emphasis"/>
    <w:basedOn w:val="DefaultParagraphFont"/>
    <w:uiPriority w:val="20"/>
    <w:qFormat/>
    <w:rsid w:val="009B36EE"/>
    <w:rPr>
      <w:i/>
      <w:iCs/>
    </w:rPr>
  </w:style>
  <w:style w:type="character" w:customStyle="1" w:styleId="pages">
    <w:name w:val="pages"/>
    <w:basedOn w:val="DefaultParagraphFont"/>
    <w:rsid w:val="009B36EE"/>
  </w:style>
  <w:style w:type="character" w:customStyle="1" w:styleId="table-label">
    <w:name w:val="table-label"/>
    <w:basedOn w:val="DefaultParagraphFont"/>
    <w:rsid w:val="009B36EE"/>
  </w:style>
  <w:style w:type="character" w:customStyle="1" w:styleId="xref-bibr">
    <w:name w:val="xref-bibr"/>
    <w:basedOn w:val="DefaultParagraphFont"/>
    <w:rsid w:val="009B36EE"/>
  </w:style>
  <w:style w:type="character" w:customStyle="1" w:styleId="name">
    <w:name w:val="name"/>
    <w:basedOn w:val="DefaultParagraphFont"/>
    <w:rsid w:val="009B36EE"/>
  </w:style>
  <w:style w:type="paragraph" w:styleId="ListParagraph">
    <w:name w:val="List Paragraph"/>
    <w:basedOn w:val="Normal"/>
    <w:rsid w:val="009B36EE"/>
    <w:pPr>
      <w:ind w:left="720"/>
      <w:contextualSpacing/>
    </w:pPr>
  </w:style>
  <w:style w:type="paragraph" w:styleId="EndnoteText">
    <w:name w:val="endnote text"/>
    <w:basedOn w:val="Normal"/>
    <w:link w:val="EndnoteTextChar"/>
    <w:uiPriority w:val="99"/>
    <w:semiHidden/>
    <w:unhideWhenUsed/>
    <w:rsid w:val="009415E8"/>
    <w:rPr>
      <w:sz w:val="20"/>
      <w:szCs w:val="20"/>
    </w:rPr>
  </w:style>
  <w:style w:type="character" w:customStyle="1" w:styleId="EndnoteTextChar">
    <w:name w:val="Endnote Text Char"/>
    <w:basedOn w:val="DefaultParagraphFont"/>
    <w:link w:val="EndnoteText"/>
    <w:uiPriority w:val="99"/>
    <w:semiHidden/>
    <w:rsid w:val="009415E8"/>
    <w:rPr>
      <w:rFonts w:ascii="Times New Roman" w:eastAsia="Calibri" w:hAnsi="Times New Roman" w:cs="Shruti"/>
      <w:sz w:val="20"/>
      <w:szCs w:val="20"/>
      <w:lang w:val="en-US" w:eastAsia="zh-CN" w:bidi="gu-IN"/>
    </w:rPr>
  </w:style>
  <w:style w:type="character" w:styleId="EndnoteReference">
    <w:name w:val="endnote reference"/>
    <w:basedOn w:val="DefaultParagraphFont"/>
    <w:uiPriority w:val="99"/>
    <w:semiHidden/>
    <w:unhideWhenUsed/>
    <w:rsid w:val="009415E8"/>
    <w:rPr>
      <w:vertAlign w:val="superscript"/>
    </w:rPr>
  </w:style>
  <w:style w:type="character" w:customStyle="1" w:styleId="st">
    <w:name w:val="st"/>
    <w:basedOn w:val="DefaultParagraphFont"/>
    <w:rsid w:val="000B667D"/>
  </w:style>
  <w:style w:type="character" w:customStyle="1" w:styleId="xbe">
    <w:name w:val="_xbe"/>
    <w:basedOn w:val="DefaultParagraphFont"/>
    <w:rsid w:val="00D41FAC"/>
  </w:style>
  <w:style w:type="character" w:customStyle="1" w:styleId="highlightselected">
    <w:name w:val="highlight selected"/>
    <w:basedOn w:val="DefaultParagraphFont"/>
    <w:rsid w:val="0003180B"/>
  </w:style>
  <w:style w:type="character" w:customStyle="1" w:styleId="slug-metadata-note3">
    <w:name w:val="slug-metadata-note3"/>
    <w:basedOn w:val="DefaultParagraphFont"/>
    <w:rsid w:val="002D6A19"/>
    <w:rPr>
      <w:vanish w:val="0"/>
      <w:webHidden w:val="0"/>
      <w:specVanish w:val="0"/>
    </w:rPr>
  </w:style>
  <w:style w:type="character" w:customStyle="1" w:styleId="slug-doi">
    <w:name w:val="slug-doi"/>
    <w:basedOn w:val="DefaultParagraphFont"/>
    <w:rsid w:val="002D6A19"/>
  </w:style>
  <w:style w:type="paragraph" w:styleId="BodyText">
    <w:name w:val="Body Text"/>
    <w:basedOn w:val="Normal"/>
    <w:link w:val="BodyTextChar"/>
    <w:unhideWhenUsed/>
    <w:rsid w:val="002A4AC2"/>
    <w:pPr>
      <w:autoSpaceDE w:val="0"/>
      <w:autoSpaceDN w:val="0"/>
      <w:adjustRightInd w:val="0"/>
    </w:pPr>
    <w:rPr>
      <w:rFonts w:ascii="Arial" w:hAnsi="Arial" w:cs="Arial"/>
      <w:b/>
      <w:sz w:val="28"/>
      <w:szCs w:val="28"/>
      <w:lang w:val="en-GB"/>
    </w:rPr>
  </w:style>
  <w:style w:type="character" w:customStyle="1" w:styleId="BodyTextChar">
    <w:name w:val="Body Text Char"/>
    <w:basedOn w:val="DefaultParagraphFont"/>
    <w:link w:val="BodyText"/>
    <w:rsid w:val="002A4AC2"/>
    <w:rPr>
      <w:rFonts w:ascii="Arial" w:eastAsia="Calibri" w:hAnsi="Arial" w:cs="Arial"/>
      <w:b/>
      <w:sz w:val="28"/>
      <w:szCs w:val="28"/>
      <w:lang w:val="en-GB" w:eastAsia="zh-CN" w:bidi="gu-IN"/>
    </w:rPr>
  </w:style>
</w:styles>
</file>

<file path=word/webSettings.xml><?xml version="1.0" encoding="utf-8"?>
<w:webSettings xmlns:r="http://schemas.openxmlformats.org/officeDocument/2006/relationships" xmlns:w="http://schemas.openxmlformats.org/wordprocessingml/2006/main">
  <w:divs>
    <w:div w:id="28646172">
      <w:bodyDiv w:val="1"/>
      <w:marLeft w:val="0"/>
      <w:marRight w:val="0"/>
      <w:marTop w:val="0"/>
      <w:marBottom w:val="0"/>
      <w:divBdr>
        <w:top w:val="none" w:sz="0" w:space="0" w:color="auto"/>
        <w:left w:val="none" w:sz="0" w:space="0" w:color="auto"/>
        <w:bottom w:val="none" w:sz="0" w:space="0" w:color="auto"/>
        <w:right w:val="none" w:sz="0" w:space="0" w:color="auto"/>
      </w:divBdr>
    </w:div>
    <w:div w:id="655450685">
      <w:bodyDiv w:val="1"/>
      <w:marLeft w:val="0"/>
      <w:marRight w:val="0"/>
      <w:marTop w:val="0"/>
      <w:marBottom w:val="0"/>
      <w:divBdr>
        <w:top w:val="none" w:sz="0" w:space="0" w:color="auto"/>
        <w:left w:val="none" w:sz="0" w:space="0" w:color="auto"/>
        <w:bottom w:val="none" w:sz="0" w:space="0" w:color="auto"/>
        <w:right w:val="none" w:sz="0" w:space="0" w:color="auto"/>
      </w:divBdr>
      <w:divsChild>
        <w:div w:id="1510564609">
          <w:marLeft w:val="0"/>
          <w:marRight w:val="0"/>
          <w:marTop w:val="0"/>
          <w:marBottom w:val="0"/>
          <w:divBdr>
            <w:top w:val="none" w:sz="0" w:space="0" w:color="auto"/>
            <w:left w:val="none" w:sz="0" w:space="0" w:color="auto"/>
            <w:bottom w:val="none" w:sz="0" w:space="0" w:color="auto"/>
            <w:right w:val="none" w:sz="0" w:space="0" w:color="auto"/>
          </w:divBdr>
        </w:div>
        <w:div w:id="1149906014">
          <w:marLeft w:val="0"/>
          <w:marRight w:val="0"/>
          <w:marTop w:val="0"/>
          <w:marBottom w:val="0"/>
          <w:divBdr>
            <w:top w:val="none" w:sz="0" w:space="0" w:color="auto"/>
            <w:left w:val="none" w:sz="0" w:space="0" w:color="auto"/>
            <w:bottom w:val="none" w:sz="0" w:space="0" w:color="auto"/>
            <w:right w:val="none" w:sz="0" w:space="0" w:color="auto"/>
          </w:divBdr>
        </w:div>
        <w:div w:id="839085025">
          <w:marLeft w:val="0"/>
          <w:marRight w:val="0"/>
          <w:marTop w:val="0"/>
          <w:marBottom w:val="0"/>
          <w:divBdr>
            <w:top w:val="none" w:sz="0" w:space="0" w:color="auto"/>
            <w:left w:val="none" w:sz="0" w:space="0" w:color="auto"/>
            <w:bottom w:val="none" w:sz="0" w:space="0" w:color="auto"/>
            <w:right w:val="none" w:sz="0" w:space="0" w:color="auto"/>
          </w:divBdr>
        </w:div>
        <w:div w:id="1307516901">
          <w:marLeft w:val="0"/>
          <w:marRight w:val="0"/>
          <w:marTop w:val="0"/>
          <w:marBottom w:val="0"/>
          <w:divBdr>
            <w:top w:val="none" w:sz="0" w:space="0" w:color="auto"/>
            <w:left w:val="none" w:sz="0" w:space="0" w:color="auto"/>
            <w:bottom w:val="none" w:sz="0" w:space="0" w:color="auto"/>
            <w:right w:val="none" w:sz="0" w:space="0" w:color="auto"/>
          </w:divBdr>
        </w:div>
      </w:divsChild>
    </w:div>
    <w:div w:id="1544636131">
      <w:bodyDiv w:val="1"/>
      <w:marLeft w:val="0"/>
      <w:marRight w:val="0"/>
      <w:marTop w:val="0"/>
      <w:marBottom w:val="0"/>
      <w:divBdr>
        <w:top w:val="none" w:sz="0" w:space="0" w:color="auto"/>
        <w:left w:val="none" w:sz="0" w:space="0" w:color="auto"/>
        <w:bottom w:val="none" w:sz="0" w:space="0" w:color="auto"/>
        <w:right w:val="none" w:sz="0" w:space="0" w:color="auto"/>
      </w:divBdr>
    </w:div>
    <w:div w:id="2110542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54E9-B63A-ED42-875A-4A1DF866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7528</Words>
  <Characters>45170</Characters>
  <Application>Microsoft Macintosh Word</Application>
  <DocSecurity>0</DocSecurity>
  <Lines>752</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cp:lastModifiedBy>Chiara</cp:lastModifiedBy>
  <cp:revision>3</cp:revision>
  <dcterms:created xsi:type="dcterms:W3CDTF">2015-05-04T16:49:00Z</dcterms:created>
  <dcterms:modified xsi:type="dcterms:W3CDTF">2015-05-04T16:51:00Z</dcterms:modified>
</cp:coreProperties>
</file>