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586C" w:rsidRDefault="009E56D8" w:rsidP="009A4AB7">
      <w:pPr>
        <w:jc w:val="center"/>
        <w:rPr>
          <w:rFonts w:ascii="Calibri" w:hAnsi="Calibri"/>
          <w:b/>
          <w:sz w:val="28"/>
        </w:rPr>
      </w:pPr>
      <w:r w:rsidRPr="0055634F">
        <w:rPr>
          <w:rFonts w:ascii="Calibri" w:hAnsi="Calibri"/>
          <w:b/>
          <w:sz w:val="28"/>
        </w:rPr>
        <w:t>The Sleep of Reason: Do Atheists Improve The Stock?</w:t>
      </w:r>
    </w:p>
    <w:p w:rsidR="00E7586C" w:rsidRDefault="00E7586C" w:rsidP="009A4AB7">
      <w:pPr>
        <w:jc w:val="center"/>
        <w:rPr>
          <w:rFonts w:ascii="Calibri" w:hAnsi="Calibri"/>
          <w:b/>
          <w:sz w:val="28"/>
        </w:rPr>
      </w:pPr>
    </w:p>
    <w:p w:rsidR="00891EDA" w:rsidRPr="00891EDA" w:rsidRDefault="00891EDA" w:rsidP="0089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HAnsi" w:hAnsi="Calibri" w:cs="Palatino"/>
          <w:b/>
          <w:color w:val="000000"/>
          <w:szCs w:val="13"/>
          <w:lang w:val="en-US"/>
        </w:rPr>
      </w:pPr>
      <w:r w:rsidRPr="00891EDA">
        <w:rPr>
          <w:rFonts w:ascii="Calibri" w:eastAsiaTheme="minorHAnsi" w:hAnsi="Calibri" w:cs="Palatino"/>
          <w:b/>
          <w:color w:val="000000"/>
          <w:szCs w:val="27"/>
          <w:lang w:val="en-US"/>
        </w:rPr>
        <w:t>Ryan McKay</w:t>
      </w:r>
      <w:r w:rsidRPr="00891EDA">
        <w:rPr>
          <w:rFonts w:ascii="Calibri" w:eastAsiaTheme="minorHAnsi" w:hAnsi="Calibri" w:cs="Palatino"/>
          <w:b/>
          <w:color w:val="000000"/>
          <w:szCs w:val="27"/>
          <w:vertAlign w:val="superscript"/>
          <w:lang w:val="en-US"/>
        </w:rPr>
        <w:t>1</w:t>
      </w:r>
      <w:r w:rsidRPr="00891EDA">
        <w:rPr>
          <w:rFonts w:ascii="Calibri" w:eastAsiaTheme="minorHAnsi" w:hAnsi="Calibri" w:cs="Palatino"/>
          <w:b/>
          <w:color w:val="000000"/>
          <w:szCs w:val="27"/>
          <w:lang w:val="en-US"/>
        </w:rPr>
        <w:t xml:space="preserve"> &amp; Daniel Dennett</w:t>
      </w:r>
      <w:r w:rsidRPr="00891EDA">
        <w:rPr>
          <w:rFonts w:ascii="Calibri" w:eastAsiaTheme="minorHAnsi" w:hAnsi="Calibri" w:cs="Palatino"/>
          <w:b/>
          <w:color w:val="000000"/>
          <w:szCs w:val="27"/>
          <w:vertAlign w:val="superscript"/>
          <w:lang w:val="en-US"/>
        </w:rPr>
        <w:t>2</w:t>
      </w:r>
    </w:p>
    <w:p w:rsidR="00891EDA" w:rsidRPr="00816C7A" w:rsidRDefault="00891EDA" w:rsidP="00891E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HAnsi" w:hAnsi="Calibri" w:cs="Palatino"/>
          <w:color w:val="000000"/>
          <w:sz w:val="13"/>
          <w:szCs w:val="13"/>
          <w:lang w:val="en-US"/>
        </w:rPr>
      </w:pPr>
    </w:p>
    <w:p w:rsidR="00891EDA" w:rsidRPr="00891EDA" w:rsidRDefault="00891EDA" w:rsidP="00891EDA">
      <w:pPr>
        <w:jc w:val="center"/>
        <w:rPr>
          <w:rFonts w:ascii="Calibri" w:eastAsiaTheme="minorHAnsi" w:hAnsi="Calibri" w:cs="Palatino"/>
          <w:color w:val="000000"/>
          <w:sz w:val="20"/>
          <w:lang w:val="en-US"/>
        </w:rPr>
      </w:pPr>
      <w:r w:rsidRPr="00891EDA">
        <w:rPr>
          <w:rFonts w:ascii="Calibri" w:eastAsiaTheme="minorHAnsi" w:hAnsi="Calibri" w:cs="Palatino"/>
          <w:color w:val="000000"/>
          <w:sz w:val="20"/>
          <w:vertAlign w:val="superscript"/>
          <w:lang w:val="en-US"/>
        </w:rPr>
        <w:t>1</w:t>
      </w:r>
      <w:r w:rsidRPr="00891EDA">
        <w:rPr>
          <w:rFonts w:ascii="Calibri" w:eastAsiaTheme="minorHAnsi" w:hAnsi="Calibri" w:cs="Book Antiqua"/>
          <w:color w:val="000000"/>
          <w:sz w:val="20"/>
          <w:lang w:val="en-US"/>
        </w:rPr>
        <w:t xml:space="preserve"> ARC Centre of Excellence in Cognition and its Disorders, </w:t>
      </w:r>
      <w:r w:rsidRPr="00891EDA">
        <w:rPr>
          <w:rFonts w:ascii="Calibri" w:eastAsiaTheme="minorHAnsi" w:hAnsi="Calibri" w:cs="Palatino"/>
          <w:color w:val="000000"/>
          <w:sz w:val="20"/>
          <w:lang w:val="en-US"/>
        </w:rPr>
        <w:t>Department of Psychology, Royal</w:t>
      </w:r>
      <w:r>
        <w:rPr>
          <w:rFonts w:ascii="Calibri" w:eastAsiaTheme="minorHAnsi" w:hAnsi="Calibri" w:cs="Palatino"/>
          <w:color w:val="000000"/>
          <w:sz w:val="20"/>
          <w:lang w:val="en-US"/>
        </w:rPr>
        <w:t xml:space="preserve"> Holloway, University of London</w:t>
      </w:r>
    </w:p>
    <w:p w:rsidR="00891EDA" w:rsidRPr="00816C7A" w:rsidRDefault="00891EDA" w:rsidP="00891EDA">
      <w:pPr>
        <w:jc w:val="center"/>
        <w:rPr>
          <w:rFonts w:ascii="Calibri" w:hAnsi="Calibri"/>
          <w:b/>
        </w:rPr>
      </w:pPr>
      <w:r w:rsidRPr="00891EDA">
        <w:rPr>
          <w:rFonts w:ascii="Calibri" w:eastAsiaTheme="minorHAnsi" w:hAnsi="Calibri" w:cs="Palatino"/>
          <w:color w:val="000000"/>
          <w:sz w:val="20"/>
          <w:vertAlign w:val="superscript"/>
          <w:lang w:val="en-US"/>
        </w:rPr>
        <w:t xml:space="preserve">2 </w:t>
      </w:r>
      <w:r w:rsidRPr="00891EDA">
        <w:rPr>
          <w:rFonts w:ascii="Calibri" w:hAnsi="Calibri"/>
          <w:sz w:val="20"/>
        </w:rPr>
        <w:t>The Center for Cognitive Studies, Tufts University</w:t>
      </w:r>
    </w:p>
    <w:p w:rsidR="00F66EA5" w:rsidRPr="00E7586C" w:rsidRDefault="001F4950" w:rsidP="00E7586C">
      <w:pPr>
        <w:jc w:val="center"/>
        <w:rPr>
          <w:rFonts w:ascii="Calibri" w:hAnsi="Calibri"/>
          <w:b/>
        </w:rPr>
      </w:pPr>
    </w:p>
    <w:p w:rsidR="008F15AA" w:rsidRPr="0055634F" w:rsidRDefault="009E56D8" w:rsidP="00B35BDB">
      <w:pPr>
        <w:jc w:val="both"/>
        <w:rPr>
          <w:rFonts w:ascii="Calibri" w:hAnsi="Calibri" w:cs="Helvetica"/>
          <w:color w:val="2A2729"/>
          <w:szCs w:val="14"/>
          <w:lang w:val="en-US" w:eastAsia="ja-JP"/>
        </w:rPr>
      </w:pPr>
      <w:r w:rsidRPr="0055634F">
        <w:rPr>
          <w:rFonts w:ascii="Calibri" w:hAnsi="Calibri" w:cs="Helvetica"/>
          <w:lang w:val="en-US" w:eastAsia="ja-JP"/>
        </w:rPr>
        <w:t xml:space="preserve">The question of why animals sleep is an important and still largely unresolved issue in evolutionary biology. A more fruitful approach might be to turn this question on its head: Why do animals have waking periods? After all, being awake consumes more energy than being asleep, and in some respects entails more risk </w:t>
      </w:r>
      <w:r w:rsidRPr="0055634F">
        <w:rPr>
          <w:rFonts w:ascii="Calibri" w:hAnsi="Calibri" w:cs="Helvetica"/>
          <w:color w:val="2A2729"/>
          <w:szCs w:val="14"/>
          <w:lang w:val="en-US" w:eastAsia="ja-JP"/>
        </w:rPr>
        <w:t xml:space="preserve">(Cirelli &amp; Tononi, 2008). In his stimulating Target Article, Johnson suggests a similar figure-ground inversion, inviting us to consider the biological origins of religion from a fresh point of view: Ask not what religion is “for”, but what </w:t>
      </w:r>
      <w:r w:rsidRPr="0055634F">
        <w:rPr>
          <w:rFonts w:ascii="Calibri" w:hAnsi="Calibri" w:cs="Helvetica"/>
          <w:i/>
          <w:color w:val="2A2729"/>
          <w:szCs w:val="14"/>
          <w:lang w:val="en-US" w:eastAsia="ja-JP"/>
        </w:rPr>
        <w:t>atheists</w:t>
      </w:r>
      <w:r w:rsidRPr="0055634F">
        <w:rPr>
          <w:rFonts w:ascii="Calibri" w:hAnsi="Calibri" w:cs="Helvetica"/>
          <w:color w:val="2A2729"/>
          <w:szCs w:val="14"/>
          <w:lang w:val="en-US" w:eastAsia="ja-JP"/>
        </w:rPr>
        <w:t xml:space="preserve"> are for.</w:t>
      </w:r>
    </w:p>
    <w:p w:rsidR="008F15AA" w:rsidRPr="0055634F" w:rsidRDefault="001F4950" w:rsidP="00B35BDB">
      <w:pPr>
        <w:jc w:val="both"/>
        <w:rPr>
          <w:rFonts w:ascii="Calibri" w:hAnsi="Calibri" w:cs="Helvetica"/>
          <w:color w:val="2A2729"/>
          <w:szCs w:val="14"/>
          <w:lang w:val="en-US" w:eastAsia="ja-JP"/>
        </w:rPr>
      </w:pPr>
    </w:p>
    <w:p w:rsidR="00946068" w:rsidRPr="0055634F" w:rsidRDefault="009E56D8" w:rsidP="00B35BDB">
      <w:pPr>
        <w:jc w:val="both"/>
        <w:rPr>
          <w:rFonts w:ascii="Calibri" w:hAnsi="Calibri" w:cs="Helvetica"/>
          <w:lang w:val="en-US" w:eastAsia="ja-JP"/>
        </w:rPr>
      </w:pPr>
      <w:r w:rsidRPr="0055634F">
        <w:rPr>
          <w:rFonts w:ascii="Calibri" w:hAnsi="Calibri" w:cs="Helvetica"/>
          <w:color w:val="2A2729"/>
          <w:szCs w:val="14"/>
          <w:lang w:val="en-US" w:eastAsia="ja-JP"/>
        </w:rPr>
        <w:t>We appreciate this switch of perspective, and agree that we should at least check that the inverse question isn’t the one we should all be focusing on. We applaud Johnson’s pioneering spirit – no</w:t>
      </w:r>
      <w:r w:rsidRPr="0055634F">
        <w:rPr>
          <w:rFonts w:ascii="Calibri" w:hAnsi="Calibri" w:cs="Helvetica"/>
          <w:lang w:val="en-US" w:eastAsia="ja-JP"/>
        </w:rPr>
        <w:t>w we have before us a family of ideas to take seriously if we can, and to say why not if we think we shouldn’t. Of course, it’s only to be expected that venturing in a pioneering spirit is fraught with peril, and our aim in this brief commentary is to try to help clear the path a little.</w:t>
      </w:r>
    </w:p>
    <w:p w:rsidR="00946068" w:rsidRPr="0055634F" w:rsidRDefault="001F4950" w:rsidP="00B35BDB">
      <w:pPr>
        <w:jc w:val="both"/>
        <w:rPr>
          <w:rFonts w:ascii="Calibri" w:hAnsi="Calibri" w:cs="Helvetica"/>
          <w:lang w:val="en-US" w:eastAsia="ja-JP"/>
        </w:rPr>
      </w:pPr>
    </w:p>
    <w:p w:rsidR="00025249" w:rsidRPr="0055634F" w:rsidRDefault="009E56D8" w:rsidP="00B35BDB">
      <w:pPr>
        <w:jc w:val="both"/>
        <w:rPr>
          <w:rFonts w:ascii="Calibri" w:hAnsi="Calibri" w:cs="Cambria"/>
          <w:color w:val="000000"/>
          <w:lang w:val="en-US" w:eastAsia="ja-JP"/>
        </w:rPr>
      </w:pPr>
      <w:r w:rsidRPr="0055634F">
        <w:rPr>
          <w:rFonts w:ascii="Calibri" w:hAnsi="Calibri" w:cs="Helvetica"/>
          <w:color w:val="2A2729"/>
          <w:szCs w:val="14"/>
          <w:lang w:val="en-US" w:eastAsia="ja-JP"/>
        </w:rPr>
        <w:t>Just as Cirelli and Tononi (2008) consider alternatives to the “null hypothesis” that sleep serves no essential function, Johnson considers alternatives to the null hypothesis that atheism simply represents one end of a continuum of belief (see McKay &amp; Dennett, 2009, for related hypotheses about disordered reading and Attention-Deficit Hyperactivity Disorder). He is reluctant, however, to champion any of these alternatives, and we think this reticence is telling. He suggests that many of the predictions he outlines “</w:t>
      </w:r>
      <w:r w:rsidRPr="0055634F">
        <w:rPr>
          <w:rFonts w:ascii="Calibri" w:hAnsi="Calibri" w:cs="Cambria"/>
          <w:color w:val="000000"/>
          <w:lang w:val="en-US" w:eastAsia="ja-JP"/>
        </w:rPr>
        <w:t xml:space="preserve">could be relatively easily explored using mathematical models, empirical studies, or laboratory experiments”, but we suspect that a serious effort to sharpen </w:t>
      </w:r>
      <w:r w:rsidR="00835EFA">
        <w:rPr>
          <w:rFonts w:ascii="Calibri" w:hAnsi="Calibri" w:cs="Cambria"/>
          <w:color w:val="000000"/>
          <w:lang w:val="en-US" w:eastAsia="ja-JP"/>
        </w:rPr>
        <w:t>m</w:t>
      </w:r>
      <w:r w:rsidRPr="0055634F">
        <w:rPr>
          <w:rFonts w:ascii="Calibri" w:hAnsi="Calibri" w:cs="Cambria"/>
          <w:color w:val="000000"/>
          <w:lang w:val="en-US" w:eastAsia="ja-JP"/>
        </w:rPr>
        <w:t>any of them would expose numerous problems of interpretation and equivocation.</w:t>
      </w:r>
    </w:p>
    <w:p w:rsidR="00025249" w:rsidRPr="0055634F" w:rsidRDefault="001F4950" w:rsidP="00B35BDB">
      <w:pPr>
        <w:jc w:val="both"/>
        <w:rPr>
          <w:rFonts w:ascii="Calibri" w:hAnsi="Calibri" w:cs="Cambria"/>
          <w:color w:val="000000"/>
          <w:lang w:val="en-US" w:eastAsia="ja-JP"/>
        </w:rPr>
      </w:pPr>
    </w:p>
    <w:p w:rsidR="00612C28" w:rsidRPr="00B674F4" w:rsidRDefault="003C3AD9" w:rsidP="00B35BDB">
      <w:pPr>
        <w:jc w:val="both"/>
        <w:rPr>
          <w:rFonts w:ascii="Calibri" w:hAnsi="Calibri" w:cs="Cambria"/>
          <w:color w:val="000000"/>
          <w:lang w:val="en-US" w:eastAsia="ja-JP"/>
        </w:rPr>
      </w:pPr>
      <w:r>
        <w:rPr>
          <w:rFonts w:ascii="Calibri" w:hAnsi="Calibri" w:cs="Cambria"/>
          <w:color w:val="000000"/>
          <w:lang w:val="en-US" w:eastAsia="ja-JP"/>
        </w:rPr>
        <w:t>Although Johnson favo</w:t>
      </w:r>
      <w:r w:rsidR="009E56D8" w:rsidRPr="0055634F">
        <w:rPr>
          <w:rFonts w:ascii="Calibri" w:hAnsi="Calibri" w:cs="Cambria"/>
          <w:color w:val="000000"/>
          <w:lang w:val="en-US" w:eastAsia="ja-JP"/>
        </w:rPr>
        <w:t>rs the null hypothesis of natural variation, the alternative hypothesis that he finds most compelling is his “Hypothesis 8”, that atheists foster solidarity among the religious and thereby increase the fitness of religious believers. Although we are amused by the irony in this suggestion (imagine how horrified Richard Dawkins and PZ Myers would be to discover that, all along, they had been doing God’s work!), we are unconvinced by the claim that this hypothesis has “copious contemporary evidence”. The evidence that Johnson cites seems to consist of little more than a quote by Jonathan Sacks, the United Kingdom’s chief rabbi.</w:t>
      </w:r>
      <w:r w:rsidR="00B674F4">
        <w:rPr>
          <w:rFonts w:ascii="Calibri" w:hAnsi="Calibri" w:cs="Cambria"/>
          <w:color w:val="000000"/>
          <w:lang w:val="en-US" w:eastAsia="ja-JP"/>
        </w:rPr>
        <w:t xml:space="preserve"> </w:t>
      </w:r>
      <w:r w:rsidR="009E56D8" w:rsidRPr="0055634F">
        <w:rPr>
          <w:rFonts w:ascii="Calibri" w:hAnsi="Calibri" w:cs="Helvetica"/>
          <w:lang w:val="en-US" w:eastAsia="ja-JP"/>
        </w:rPr>
        <w:t xml:space="preserve">One could with equal (that is to say, slender) justification surmise that the new atheists are bolstering </w:t>
      </w:r>
      <w:r w:rsidR="009E56D8" w:rsidRPr="00612C28">
        <w:rPr>
          <w:rFonts w:ascii="Calibri" w:hAnsi="Calibri" w:cs="Helvetica"/>
          <w:lang w:val="en-US" w:eastAsia="ja-JP"/>
        </w:rPr>
        <w:t>religious solidarity (and hence “doing God’s work”) by predating the weak and inferior believers from congregations around the world, leaving leaner, more robust flocks!</w:t>
      </w:r>
      <w:r w:rsidR="009E56D8" w:rsidRPr="00612C28">
        <w:rPr>
          <w:rFonts w:ascii="Calibri" w:hAnsi="Calibri" w:cs="Consolas"/>
          <w:lang w:val="en-US" w:eastAsia="ja-JP"/>
        </w:rPr>
        <w:t xml:space="preserve"> </w:t>
      </w:r>
      <w:r w:rsidR="00612C28" w:rsidRPr="00612C28">
        <w:rPr>
          <w:rFonts w:ascii="Calibri" w:hAnsi="Calibri" w:cs="Consolas"/>
          <w:lang w:val="en-US" w:eastAsia="ja-JP"/>
        </w:rPr>
        <w:t>In any case, w</w:t>
      </w:r>
      <w:r w:rsidR="009E56D8" w:rsidRPr="00612C28">
        <w:rPr>
          <w:rFonts w:ascii="Calibri" w:hAnsi="Calibri" w:cs="Consolas"/>
          <w:lang w:val="en-US" w:eastAsia="ja-JP"/>
        </w:rPr>
        <w:t>hile it is uncontroversial to</w:t>
      </w:r>
      <w:r w:rsidR="00B674F4">
        <w:rPr>
          <w:rFonts w:ascii="Calibri" w:hAnsi="Calibri" w:cs="Cambria"/>
          <w:color w:val="000000"/>
          <w:lang w:val="en-US" w:eastAsia="ja-JP"/>
        </w:rPr>
        <w:t xml:space="preserve"> </w:t>
      </w:r>
      <w:r w:rsidR="00612C28" w:rsidRPr="00612C28">
        <w:rPr>
          <w:rFonts w:ascii="Calibri" w:hAnsi="Calibri" w:cs="Consolas"/>
          <w:lang w:val="en-US" w:eastAsia="ja-JP"/>
        </w:rPr>
        <w:t>suggest</w:t>
      </w:r>
      <w:r w:rsidR="009E56D8" w:rsidRPr="00612C28">
        <w:rPr>
          <w:rFonts w:ascii="Calibri" w:hAnsi="Calibri" w:cs="Consolas"/>
          <w:lang w:val="en-US" w:eastAsia="ja-JP"/>
        </w:rPr>
        <w:t xml:space="preserve"> that atheists may have the </w:t>
      </w:r>
      <w:r w:rsidR="009E56D8" w:rsidRPr="00612C28">
        <w:rPr>
          <w:rFonts w:ascii="Calibri" w:hAnsi="Calibri" w:cs="Consolas"/>
          <w:i/>
          <w:lang w:val="en-US" w:eastAsia="ja-JP"/>
        </w:rPr>
        <w:t>effect</w:t>
      </w:r>
      <w:r w:rsidR="009E56D8" w:rsidRPr="00612C28">
        <w:rPr>
          <w:rFonts w:ascii="Calibri" w:hAnsi="Calibri" w:cs="Consolas"/>
          <w:lang w:val="en-US" w:eastAsia="ja-JP"/>
        </w:rPr>
        <w:t xml:space="preserve"> of bolstering religious communities, it is far from clear how any group selection</w:t>
      </w:r>
      <w:r w:rsidR="009E56D8" w:rsidRPr="00A137FA">
        <w:rPr>
          <w:rFonts w:ascii="Calibri" w:hAnsi="Calibri" w:cs="Consolas"/>
          <w:lang w:val="en-US" w:eastAsia="ja-JP"/>
        </w:rPr>
        <w:t xml:space="preserve"> phenomenon could secure that this is a </w:t>
      </w:r>
      <w:r w:rsidR="009E56D8" w:rsidRPr="00A137FA">
        <w:rPr>
          <w:rFonts w:ascii="Calibri" w:hAnsi="Calibri" w:cs="Consolas"/>
          <w:i/>
          <w:lang w:val="en-US" w:eastAsia="ja-JP"/>
        </w:rPr>
        <w:t>function</w:t>
      </w:r>
      <w:r w:rsidR="009E56D8" w:rsidRPr="00A137FA">
        <w:rPr>
          <w:rFonts w:ascii="Calibri" w:hAnsi="Calibri" w:cs="Consolas"/>
          <w:lang w:val="en-US" w:eastAsia="ja-JP"/>
        </w:rPr>
        <w:t xml:space="preserve"> of atheist activities, requiring differential replication of religious communities</w:t>
      </w:r>
      <w:r w:rsidR="00612C28">
        <w:rPr>
          <w:rFonts w:ascii="Calibri" w:hAnsi="Calibri" w:cs="Consolas"/>
          <w:lang w:val="en-US" w:eastAsia="ja-JP"/>
        </w:rPr>
        <w:t>.</w:t>
      </w:r>
    </w:p>
    <w:p w:rsidR="00A621CD" w:rsidRPr="0055634F" w:rsidRDefault="001F4950" w:rsidP="00B35BDB">
      <w:pPr>
        <w:jc w:val="both"/>
        <w:rPr>
          <w:rFonts w:ascii="Calibri" w:hAnsi="Calibri" w:cs="Helvetica"/>
          <w:lang w:val="en-US" w:eastAsia="ja-JP"/>
        </w:rPr>
      </w:pPr>
    </w:p>
    <w:p w:rsidR="00CD2C78" w:rsidRPr="0055634F" w:rsidRDefault="009E56D8" w:rsidP="00B35BDB">
      <w:pPr>
        <w:jc w:val="both"/>
        <w:rPr>
          <w:rFonts w:ascii="Calibri" w:hAnsi="Calibri" w:cs="Consolas"/>
          <w:lang w:val="en-US" w:eastAsia="ja-JP"/>
        </w:rPr>
      </w:pPr>
      <w:r w:rsidRPr="0055634F">
        <w:rPr>
          <w:rFonts w:ascii="Calibri" w:hAnsi="Calibri" w:cs="Helvetica"/>
          <w:lang w:val="en-US" w:eastAsia="ja-JP"/>
        </w:rPr>
        <w:t>For new atheists like Dennett, whose professed aim is not to extinguish religion but to provoke its metamorphosis into more benign forms,</w:t>
      </w:r>
      <w:r w:rsidRPr="0055634F">
        <w:rPr>
          <w:rStyle w:val="FootnoteReference"/>
          <w:rFonts w:ascii="Calibri" w:hAnsi="Calibri" w:cs="Helvetica"/>
          <w:lang w:val="en-US" w:eastAsia="ja-JP"/>
        </w:rPr>
        <w:footnoteReference w:id="2"/>
      </w:r>
      <w:r w:rsidRPr="0055634F">
        <w:rPr>
          <w:rFonts w:ascii="Calibri" w:hAnsi="Calibri" w:cs="Helvetica"/>
          <w:lang w:val="en-US" w:eastAsia="ja-JP"/>
        </w:rPr>
        <w:t xml:space="preserve"> it would be interesting and valuable to discover if the positive effects of new atheism are outweighed by the hardening of the attitudes of those who feel threatened (see Nyhan &amp; Reifler, 2010, for a similar effect in the political sphere). </w:t>
      </w:r>
      <w:r w:rsidRPr="0055634F">
        <w:rPr>
          <w:rFonts w:ascii="Calibri" w:hAnsi="Calibri" w:cs="Consolas"/>
          <w:lang w:val="en-US" w:eastAsia="ja-JP"/>
        </w:rPr>
        <w:t>Dennett and Lascola's (2010) confidential interviews with closeted non-believing preachers have turned up clergy who set out to read the works of the new atheists in order to better understand "the enemy" and ended up switching sides, largely on the strength of those forcefully written books (e.g., Harris, 2004; Dawkins, 2006; Dennett, 2006; Hitchens, 2007).</w:t>
      </w:r>
    </w:p>
    <w:p w:rsidR="00A621CD" w:rsidRPr="0055634F" w:rsidRDefault="001F4950" w:rsidP="00B35BDB">
      <w:pPr>
        <w:jc w:val="both"/>
        <w:rPr>
          <w:rFonts w:ascii="Calibri" w:hAnsi="Calibri" w:cs="Consolas"/>
          <w:lang w:val="en-US" w:eastAsia="ja-JP"/>
        </w:rPr>
      </w:pPr>
    </w:p>
    <w:p w:rsidR="00A621CD" w:rsidRPr="0055634F" w:rsidRDefault="009E56D8" w:rsidP="00B35BDB">
      <w:pPr>
        <w:jc w:val="both"/>
        <w:rPr>
          <w:rFonts w:ascii="Calibri" w:hAnsi="Calibri" w:cs="Consolas"/>
          <w:lang w:val="en-US" w:eastAsia="ja-JP"/>
        </w:rPr>
      </w:pPr>
      <w:r w:rsidRPr="0055634F">
        <w:rPr>
          <w:rFonts w:ascii="Calibri" w:hAnsi="Calibri" w:cs="Consolas"/>
          <w:lang w:val="en-US" w:eastAsia="ja-JP"/>
        </w:rPr>
        <w:t>The important question, which remains, to our knowledge, unaddressed, is whether such attrition of believers leaves the residual congregation more or less open to change, and more or less likely to thrive.  Time will tell, but time’s message will probably be equivocal: some congregations will go extinct in the wake of departures of apostates, and others will close ranks and thrive (or not); some will reform and some will resist reform. It seems unlikely that any clear selective signal will emerge from this, and certainly not over any short time span of, say, a century.</w:t>
      </w:r>
    </w:p>
    <w:p w:rsidR="009808D8" w:rsidRPr="0055634F" w:rsidRDefault="001F4950" w:rsidP="00B35BDB">
      <w:pPr>
        <w:jc w:val="both"/>
        <w:rPr>
          <w:rFonts w:ascii="Calibri" w:hAnsi="Calibri" w:cs="Consolas"/>
          <w:lang w:val="en-US" w:eastAsia="ja-JP"/>
        </w:rPr>
      </w:pPr>
    </w:p>
    <w:p w:rsidR="006365EB" w:rsidRPr="0055634F" w:rsidRDefault="009E56D8" w:rsidP="00B35BDB">
      <w:pPr>
        <w:jc w:val="both"/>
        <w:rPr>
          <w:rFonts w:ascii="Calibri" w:hAnsi="Calibri" w:cs="Consolas"/>
          <w:lang w:val="en-US" w:eastAsia="ja-JP"/>
        </w:rPr>
      </w:pPr>
      <w:r w:rsidRPr="0055634F">
        <w:rPr>
          <w:rFonts w:ascii="Calibri" w:hAnsi="Calibri" w:cs="Consolas"/>
          <w:lang w:val="en-US" w:eastAsia="ja-JP"/>
        </w:rPr>
        <w:t xml:space="preserve">On this last point, </w:t>
      </w:r>
      <w:r w:rsidRPr="0055634F">
        <w:rPr>
          <w:rFonts w:ascii="Calibri" w:hAnsi="Calibri" w:cs="Helvetica"/>
          <w:lang w:val="en-US" w:eastAsia="ja-JP"/>
        </w:rPr>
        <w:t>the distinction</w:t>
      </w:r>
      <w:r w:rsidRPr="0055634F">
        <w:rPr>
          <w:rFonts w:ascii="Calibri" w:hAnsi="Calibri" w:cs="Consolas"/>
          <w:lang w:val="en-US" w:eastAsia="ja-JP"/>
        </w:rPr>
        <w:t xml:space="preserve"> </w:t>
      </w:r>
      <w:r w:rsidRPr="0055634F">
        <w:rPr>
          <w:rFonts w:ascii="Calibri" w:hAnsi="Calibri" w:cs="Helvetica"/>
          <w:lang w:val="en-US" w:eastAsia="ja-JP"/>
        </w:rPr>
        <w:t>between genetic and cultural evolution needs to be more closely observed,</w:t>
      </w:r>
      <w:r w:rsidRPr="0055634F">
        <w:rPr>
          <w:rFonts w:ascii="Calibri" w:hAnsi="Calibri" w:cs="Consolas"/>
          <w:lang w:val="en-US" w:eastAsia="ja-JP"/>
        </w:rPr>
        <w:t xml:space="preserve"> a</w:t>
      </w:r>
      <w:r w:rsidRPr="0055634F">
        <w:rPr>
          <w:rFonts w:ascii="Calibri" w:hAnsi="Calibri" w:cs="Helvetica"/>
          <w:lang w:val="en-US" w:eastAsia="ja-JP"/>
        </w:rPr>
        <w:t>s it is only cultural evolution that can produce the sort of swift and visible</w:t>
      </w:r>
      <w:r w:rsidRPr="0055634F">
        <w:rPr>
          <w:rFonts w:ascii="Calibri" w:hAnsi="Calibri" w:cs="Consolas"/>
          <w:lang w:val="en-US" w:eastAsia="ja-JP"/>
        </w:rPr>
        <w:t xml:space="preserve"> </w:t>
      </w:r>
      <w:r w:rsidRPr="0055634F">
        <w:rPr>
          <w:rFonts w:ascii="Calibri" w:hAnsi="Calibri" w:cs="Helvetica"/>
          <w:lang w:val="en-US" w:eastAsia="ja-JP"/>
        </w:rPr>
        <w:t xml:space="preserve">effects involved in some of the scenarios Johnson outlines. </w:t>
      </w:r>
      <w:r w:rsidRPr="0055634F">
        <w:rPr>
          <w:rFonts w:ascii="Calibri" w:hAnsi="Calibri" w:cs="Consolas"/>
          <w:lang w:val="en-US" w:eastAsia="ja-JP"/>
        </w:rPr>
        <w:t xml:space="preserve">At times he seems to forget that </w:t>
      </w:r>
      <w:r w:rsidRPr="0055634F">
        <w:rPr>
          <w:rFonts w:ascii="Calibri" w:hAnsi="Calibri" w:cs="Helvetica"/>
          <w:lang w:val="en-US" w:eastAsia="ja-JP"/>
        </w:rPr>
        <w:t>it takes a persistent selection pressure over many generations to achieve a genetic effect. Moreover, genetic evolution entails variable numbers of surviving offspring, but the burden of demonstrating increases in reproductive fitness for atheists over the relevant time</w:t>
      </w:r>
      <w:r w:rsidR="00835EFA">
        <w:rPr>
          <w:rFonts w:ascii="Calibri" w:hAnsi="Calibri" w:cs="Helvetica"/>
          <w:lang w:val="en-US" w:eastAsia="ja-JP"/>
        </w:rPr>
        <w:t xml:space="preserve"> </w:t>
      </w:r>
      <w:r w:rsidRPr="0055634F">
        <w:rPr>
          <w:rFonts w:ascii="Calibri" w:hAnsi="Calibri" w:cs="Helvetica"/>
          <w:lang w:val="en-US" w:eastAsia="ja-JP"/>
        </w:rPr>
        <w:t xml:space="preserve">spans is onerous (and contemporary evidence suggests just the opposite; </w:t>
      </w:r>
      <w:r w:rsidR="009B4F13">
        <w:rPr>
          <w:rFonts w:ascii="Calibri" w:hAnsi="Calibri" w:cs="Helvetica"/>
          <w:lang w:val="en-US" w:eastAsia="ja-JP"/>
        </w:rPr>
        <w:t xml:space="preserve">see </w:t>
      </w:r>
      <w:r w:rsidRPr="0055634F">
        <w:rPr>
          <w:rFonts w:ascii="Calibri" w:hAnsi="Calibri" w:cs="Helvetica"/>
          <w:lang w:val="en-US" w:eastAsia="ja-JP"/>
        </w:rPr>
        <w:t>Frejka &amp; Westhoff, 2008; Zhang, 2008; Blume, 2009).</w:t>
      </w:r>
    </w:p>
    <w:p w:rsidR="00A41388" w:rsidRPr="0055634F" w:rsidRDefault="001F4950" w:rsidP="00B35BDB">
      <w:pPr>
        <w:jc w:val="both"/>
        <w:rPr>
          <w:rFonts w:ascii="Calibri" w:hAnsi="Calibri" w:cs="Consolas"/>
          <w:lang w:val="en-US" w:eastAsia="ja-JP"/>
        </w:rPr>
      </w:pPr>
    </w:p>
    <w:p w:rsidR="00894134" w:rsidRPr="0055634F" w:rsidRDefault="009E56D8" w:rsidP="00B35BDB">
      <w:pPr>
        <w:jc w:val="both"/>
        <w:rPr>
          <w:rFonts w:ascii="Calibri" w:hAnsi="Calibri" w:cs="Consolas"/>
          <w:lang w:val="en-US" w:eastAsia="ja-JP"/>
        </w:rPr>
      </w:pPr>
      <w:r w:rsidRPr="0055634F">
        <w:rPr>
          <w:rFonts w:ascii="Calibri" w:hAnsi="Calibri" w:cs="Consolas"/>
          <w:lang w:val="en-US" w:eastAsia="ja-JP"/>
        </w:rPr>
        <w:t>Perhaps the strangest hypothesis that Johnson considers is his “Hypothesis 1”, that there are no atheists (and never have been). Clearly much will rest on issues of definition with a suggestion like this, but on even the most minimal definitions of “belief” and “supernatural agency” it seems plain that there are individuals who do not believe in supernatural agents – individuals who would bet not just their lives but their afterlives on the proposition that such agents do not exist. Nevertheless, if relevant falsifiable predictions could be identified we might at least concede the empirical possibility that atheists do not exist (however unlikely we might think it). According to Johnson, however, the hypothesis that there are no atheists predicts “</w:t>
      </w:r>
      <w:r w:rsidRPr="0055634F">
        <w:rPr>
          <w:rFonts w:ascii="Calibri" w:hAnsi="Calibri" w:cs="Cambria"/>
          <w:color w:val="000000"/>
          <w:lang w:val="en-US" w:eastAsia="ja-JP"/>
        </w:rPr>
        <w:t>no fitness effects on atheists (because there are none)” and “no fitness effects on believers”. It’s not at all clear that these are testable – or even logically coherent – empirical predictions.</w:t>
      </w:r>
    </w:p>
    <w:p w:rsidR="00EE41C2" w:rsidRPr="0055634F" w:rsidRDefault="001F4950" w:rsidP="00B35BDB">
      <w:pPr>
        <w:jc w:val="both"/>
        <w:rPr>
          <w:rFonts w:ascii="Calibri" w:hAnsi="Calibri" w:cs="Cambria"/>
          <w:color w:val="000000"/>
          <w:lang w:val="en-US" w:eastAsia="ja-JP"/>
        </w:rPr>
      </w:pPr>
    </w:p>
    <w:p w:rsidR="009E6A23" w:rsidRPr="0055634F" w:rsidRDefault="009E56D8" w:rsidP="00B35BDB">
      <w:pPr>
        <w:jc w:val="both"/>
        <w:rPr>
          <w:rFonts w:ascii="Calibri" w:hAnsi="Calibri" w:cs="Cambria"/>
          <w:color w:val="000000"/>
          <w:lang w:val="en-US" w:eastAsia="ja-JP"/>
        </w:rPr>
      </w:pPr>
      <w:r w:rsidRPr="0055634F">
        <w:rPr>
          <w:rFonts w:ascii="Calibri" w:hAnsi="Calibri" w:cs="Cambria"/>
          <w:color w:val="000000"/>
          <w:lang w:val="en-US" w:eastAsia="ja-JP"/>
        </w:rPr>
        <w:t xml:space="preserve">In summary, although we find Johnson’s approach novel and thought provoking, we think the path he has sketched is much stonier than he acknowledges. </w:t>
      </w:r>
      <w:r w:rsidRPr="0055634F">
        <w:rPr>
          <w:rFonts w:ascii="Calibri" w:hAnsi="Calibri" w:cs="Consolas"/>
          <w:lang w:val="en-US" w:eastAsia="ja-JP"/>
        </w:rPr>
        <w:t>We know from personal experience (McKay &amp; Dennett, 2009) how difficult it is to transform a plausible hunch into a testable hypothesis, and we think more clarity – and more caution - is necessary here to delineate the various theoretical possibilities and the empirical predictions that follow from them.</w:t>
      </w:r>
    </w:p>
    <w:p w:rsidR="009E6A23" w:rsidRPr="0055634F" w:rsidRDefault="001F4950" w:rsidP="006365EB">
      <w:pPr>
        <w:rPr>
          <w:rFonts w:ascii="Calibri" w:hAnsi="Calibri" w:cs="Cambria"/>
          <w:color w:val="000000"/>
          <w:lang w:val="en-US" w:eastAsia="ja-JP"/>
        </w:rPr>
      </w:pPr>
    </w:p>
    <w:p w:rsidR="00434F1A" w:rsidRPr="0055634F" w:rsidRDefault="001F4950" w:rsidP="00BD60CD">
      <w:pPr>
        <w:rPr>
          <w:rFonts w:ascii="Calibri" w:hAnsi="Calibri" w:cs="Helvetica"/>
          <w:lang w:val="en-US" w:eastAsia="ja-JP"/>
        </w:rPr>
      </w:pPr>
    </w:p>
    <w:p w:rsidR="00434F1A" w:rsidRPr="0055634F" w:rsidRDefault="009E56D8" w:rsidP="00434F1A">
      <w:pPr>
        <w:jc w:val="center"/>
        <w:rPr>
          <w:rFonts w:ascii="Calibri" w:hAnsi="Calibri"/>
          <w:b/>
          <w:sz w:val="28"/>
        </w:rPr>
      </w:pPr>
      <w:r w:rsidRPr="0055634F">
        <w:rPr>
          <w:rFonts w:ascii="Calibri" w:hAnsi="Calibri"/>
          <w:b/>
          <w:sz w:val="28"/>
        </w:rPr>
        <w:t>References</w:t>
      </w:r>
    </w:p>
    <w:p w:rsidR="00434F1A" w:rsidRPr="0055634F" w:rsidRDefault="001F4950" w:rsidP="00BD60CD">
      <w:pPr>
        <w:rPr>
          <w:rFonts w:ascii="Calibri" w:hAnsi="Calibri" w:cs="Helvetica"/>
          <w:lang w:val="en-US" w:eastAsia="ja-JP"/>
        </w:rPr>
      </w:pPr>
    </w:p>
    <w:p w:rsidR="00CF1FC2" w:rsidRPr="0055634F" w:rsidRDefault="009E56D8" w:rsidP="00B35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Times"/>
          <w:color w:val="1B1718"/>
          <w:lang w:val="en-US" w:eastAsia="ja-JP"/>
        </w:rPr>
      </w:pPr>
      <w:r w:rsidRPr="0055634F">
        <w:rPr>
          <w:rFonts w:ascii="Calibri" w:hAnsi="Calibri" w:cs="Times"/>
          <w:color w:val="1B1718"/>
          <w:lang w:val="en-US" w:eastAsia="ja-JP"/>
        </w:rPr>
        <w:t xml:space="preserve">Blume, M. (2009). The reproductive benefits of religious affiliation. In </w:t>
      </w:r>
      <w:r w:rsidRPr="0055634F">
        <w:rPr>
          <w:rFonts w:ascii="Calibri" w:hAnsi="Calibri" w:cs="Helvetica"/>
          <w:i/>
          <w:color w:val="1B1718"/>
          <w:lang w:val="en-US" w:eastAsia="ja-JP"/>
        </w:rPr>
        <w:t xml:space="preserve">The Biological Evolution of Religious Mind and Behavior. </w:t>
      </w:r>
      <w:r w:rsidRPr="0055634F">
        <w:rPr>
          <w:rFonts w:ascii="Calibri" w:hAnsi="Calibri" w:cs="Times"/>
          <w:color w:val="1B1718"/>
          <w:lang w:val="en-US" w:eastAsia="ja-JP"/>
        </w:rPr>
        <w:t>E. Voland &amp; W. Schiefenhoevel (Eds.), pp. 117-126. Berlin: Springer.</w:t>
      </w:r>
    </w:p>
    <w:p w:rsidR="00CF1FC2" w:rsidRPr="0055634F" w:rsidRDefault="001F4950" w:rsidP="00B35BDB">
      <w:pPr>
        <w:jc w:val="both"/>
        <w:rPr>
          <w:rFonts w:ascii="Calibri" w:hAnsi="Calibri" w:cs="Times"/>
          <w:color w:val="1B1718"/>
          <w:lang w:val="en-US" w:eastAsia="ja-JP"/>
        </w:rPr>
      </w:pPr>
    </w:p>
    <w:p w:rsidR="00D83335" w:rsidRPr="0055634F" w:rsidRDefault="009E56D8" w:rsidP="00B35BDB">
      <w:pPr>
        <w:jc w:val="both"/>
        <w:rPr>
          <w:rFonts w:ascii="Calibri" w:hAnsi="Calibri" w:cs="Helvetica"/>
          <w:lang w:val="en-US" w:eastAsia="ja-JP"/>
        </w:rPr>
      </w:pPr>
      <w:r w:rsidRPr="0055634F">
        <w:rPr>
          <w:rFonts w:ascii="Calibri" w:hAnsi="Calibri" w:cs="Helvetica"/>
          <w:szCs w:val="14"/>
          <w:lang w:val="en-US" w:eastAsia="ja-JP"/>
        </w:rPr>
        <w:t xml:space="preserve">Cirelli, C. &amp; Tononi, G. (2008). Is sleep essential? </w:t>
      </w:r>
      <w:r w:rsidRPr="0055634F">
        <w:rPr>
          <w:rFonts w:ascii="Calibri" w:hAnsi="Calibri" w:cs="Helvetica"/>
          <w:i/>
          <w:szCs w:val="14"/>
          <w:lang w:val="en-US" w:eastAsia="ja-JP"/>
        </w:rPr>
        <w:t>PLoS Biology, 6</w:t>
      </w:r>
      <w:r w:rsidRPr="0055634F">
        <w:rPr>
          <w:rFonts w:ascii="Calibri" w:hAnsi="Calibri" w:cs="Helvetica"/>
          <w:szCs w:val="14"/>
          <w:lang w:val="en-US" w:eastAsia="ja-JP"/>
        </w:rPr>
        <w:t xml:space="preserve">(8): e216, </w:t>
      </w:r>
      <w:r w:rsidRPr="0055634F">
        <w:rPr>
          <w:rFonts w:ascii="Calibri" w:hAnsi="Calibri" w:cs="Helvetica"/>
          <w:lang w:val="en-US" w:eastAsia="ja-JP"/>
        </w:rPr>
        <w:t>1605-1611</w:t>
      </w:r>
      <w:r w:rsidRPr="0055634F">
        <w:rPr>
          <w:rFonts w:ascii="Calibri" w:hAnsi="Calibri" w:cs="Helvetica"/>
          <w:szCs w:val="14"/>
          <w:lang w:val="en-US" w:eastAsia="ja-JP"/>
        </w:rPr>
        <w:t>. doi: 10.1371/journal. pbio.0060216</w:t>
      </w:r>
      <w:r w:rsidRPr="0055634F">
        <w:rPr>
          <w:rFonts w:ascii="Calibri" w:hAnsi="Calibri" w:cs="Helvetica"/>
          <w:lang w:val="en-US" w:eastAsia="ja-JP"/>
        </w:rPr>
        <w:t>.</w:t>
      </w:r>
    </w:p>
    <w:p w:rsidR="00D83335" w:rsidRPr="0055634F" w:rsidRDefault="001F4950" w:rsidP="00B35BDB">
      <w:pPr>
        <w:jc w:val="both"/>
        <w:rPr>
          <w:rFonts w:ascii="Calibri" w:hAnsi="Calibri" w:cs="Helvetica"/>
          <w:lang w:val="en-US" w:eastAsia="ja-JP"/>
        </w:rPr>
      </w:pPr>
    </w:p>
    <w:p w:rsidR="00000C17" w:rsidRPr="0055634F" w:rsidRDefault="009E56D8" w:rsidP="00B35BDB">
      <w:pPr>
        <w:jc w:val="both"/>
        <w:rPr>
          <w:rFonts w:ascii="Calibri" w:hAnsi="Calibri" w:cs="Times"/>
          <w:color w:val="000000"/>
          <w:lang w:val="en-US" w:eastAsia="ja-JP"/>
        </w:rPr>
      </w:pPr>
      <w:r w:rsidRPr="0055634F">
        <w:rPr>
          <w:rFonts w:ascii="Calibri" w:hAnsi="Calibri" w:cs="Times"/>
          <w:color w:val="000000"/>
          <w:lang w:val="en-US" w:eastAsia="ja-JP"/>
        </w:rPr>
        <w:t xml:space="preserve">Dawkins, R. (2006). </w:t>
      </w:r>
      <w:r w:rsidRPr="0055634F">
        <w:rPr>
          <w:rFonts w:ascii="Calibri" w:hAnsi="Calibri" w:cs="Times"/>
          <w:i/>
          <w:color w:val="000000"/>
          <w:lang w:val="en-US" w:eastAsia="ja-JP"/>
        </w:rPr>
        <w:t>The God Delusion</w:t>
      </w:r>
      <w:r w:rsidRPr="0055634F">
        <w:rPr>
          <w:rFonts w:ascii="Calibri" w:hAnsi="Calibri" w:cs="Times"/>
          <w:color w:val="000000"/>
          <w:lang w:val="en-US" w:eastAsia="ja-JP"/>
        </w:rPr>
        <w:t>. London: Bantam Press.</w:t>
      </w:r>
    </w:p>
    <w:p w:rsidR="00000C17" w:rsidRPr="0055634F" w:rsidRDefault="001F4950" w:rsidP="00B35BDB">
      <w:pPr>
        <w:jc w:val="both"/>
        <w:rPr>
          <w:rFonts w:ascii="Calibri" w:hAnsi="Calibri" w:cs="Helvetica"/>
          <w:lang w:val="en-US" w:eastAsia="ja-JP"/>
        </w:rPr>
      </w:pPr>
    </w:p>
    <w:p w:rsidR="00641D1D" w:rsidRPr="0055634F" w:rsidRDefault="009E56D8" w:rsidP="00B35BDB">
      <w:pPr>
        <w:jc w:val="both"/>
        <w:rPr>
          <w:rFonts w:ascii="Calibri" w:hAnsi="Calibri" w:cs="Helvetica"/>
          <w:lang w:val="en-US" w:eastAsia="ja-JP"/>
        </w:rPr>
      </w:pPr>
      <w:r w:rsidRPr="0055634F">
        <w:rPr>
          <w:rFonts w:ascii="Calibri" w:hAnsi="Calibri" w:cs="Helvetica"/>
          <w:lang w:val="en-US" w:eastAsia="ja-JP"/>
        </w:rPr>
        <w:t xml:space="preserve">Dennett, D. C. (2006). </w:t>
      </w:r>
      <w:r w:rsidRPr="0055634F">
        <w:rPr>
          <w:rFonts w:ascii="Calibri" w:hAnsi="Calibri" w:cs="Helvetica"/>
          <w:i/>
          <w:lang w:val="en-US" w:eastAsia="ja-JP"/>
        </w:rPr>
        <w:t>Breaking the spell: Religion as a natural phenomenon</w:t>
      </w:r>
      <w:r w:rsidRPr="0055634F">
        <w:rPr>
          <w:rFonts w:ascii="Calibri" w:hAnsi="Calibri" w:cs="Helvetica"/>
          <w:lang w:val="en-US" w:eastAsia="ja-JP"/>
        </w:rPr>
        <w:t>. New York: Viking.</w:t>
      </w:r>
    </w:p>
    <w:p w:rsidR="00641D1D" w:rsidRPr="0055634F" w:rsidRDefault="001F4950" w:rsidP="00B35BDB">
      <w:pPr>
        <w:jc w:val="both"/>
        <w:rPr>
          <w:rFonts w:ascii="Calibri" w:hAnsi="Calibri" w:cs="Helvetica"/>
          <w:lang w:val="en-US" w:eastAsia="ja-JP"/>
        </w:rPr>
      </w:pPr>
    </w:p>
    <w:p w:rsidR="00372337" w:rsidRPr="0055634F" w:rsidRDefault="009E56D8" w:rsidP="00B35BDB">
      <w:pPr>
        <w:jc w:val="both"/>
        <w:rPr>
          <w:rFonts w:ascii="Calibri" w:hAnsi="Calibri"/>
          <w:szCs w:val="20"/>
          <w:lang w:val="en-US" w:eastAsia="ja-JP"/>
        </w:rPr>
      </w:pPr>
      <w:r w:rsidRPr="0055634F">
        <w:rPr>
          <w:rFonts w:ascii="Calibri" w:hAnsi="Calibri" w:cs="Helvetica"/>
          <w:lang w:val="en-US" w:eastAsia="ja-JP"/>
        </w:rPr>
        <w:t xml:space="preserve">Dennett, D. C. &amp; LaScola, L. (2010). Preachers who are not believers. </w:t>
      </w:r>
      <w:r w:rsidRPr="0055634F">
        <w:rPr>
          <w:rFonts w:ascii="Calibri" w:hAnsi="Calibri"/>
          <w:i/>
          <w:szCs w:val="27"/>
          <w:lang w:val="en-US" w:eastAsia="ja-JP"/>
        </w:rPr>
        <w:t>Evolutionary Psychology, 8</w:t>
      </w:r>
      <w:r w:rsidRPr="0055634F">
        <w:rPr>
          <w:rFonts w:ascii="Calibri" w:hAnsi="Calibri"/>
          <w:szCs w:val="27"/>
          <w:lang w:val="en-US" w:eastAsia="ja-JP"/>
        </w:rPr>
        <w:t xml:space="preserve">(1), </w:t>
      </w:r>
      <w:r w:rsidRPr="0055634F">
        <w:rPr>
          <w:rFonts w:ascii="Calibri" w:hAnsi="Calibri"/>
          <w:szCs w:val="20"/>
          <w:lang w:val="en-US" w:eastAsia="ja-JP"/>
        </w:rPr>
        <w:t>122-150.</w:t>
      </w:r>
    </w:p>
    <w:p w:rsidR="00372337" w:rsidRPr="0055634F" w:rsidRDefault="001F4950" w:rsidP="00B35BDB">
      <w:pPr>
        <w:jc w:val="both"/>
        <w:rPr>
          <w:rFonts w:ascii="Calibri" w:hAnsi="Calibri"/>
          <w:szCs w:val="20"/>
          <w:lang w:val="en-US" w:eastAsia="ja-JP"/>
        </w:rPr>
      </w:pPr>
    </w:p>
    <w:p w:rsidR="00CF1FC2" w:rsidRPr="0055634F" w:rsidRDefault="009E56D8" w:rsidP="00B35BDB">
      <w:pPr>
        <w:jc w:val="both"/>
        <w:rPr>
          <w:rFonts w:ascii="Calibri" w:hAnsi="Calibri" w:cs="Helvetica"/>
          <w:lang w:val="en-US" w:eastAsia="ja-JP"/>
        </w:rPr>
      </w:pPr>
      <w:r w:rsidRPr="0055634F">
        <w:rPr>
          <w:rFonts w:ascii="Calibri" w:hAnsi="Calibri" w:cs="Times"/>
          <w:color w:val="1B1718"/>
          <w:lang w:val="en-US" w:eastAsia="ja-JP"/>
        </w:rPr>
        <w:t xml:space="preserve">Frejka, T. &amp; Westhoff, C. F. (2008). Religion, religiousness and fertility in the US and Europe. </w:t>
      </w:r>
      <w:r w:rsidRPr="0055634F">
        <w:rPr>
          <w:rFonts w:ascii="Calibri" w:hAnsi="Calibri" w:cs="Helvetica"/>
          <w:i/>
          <w:color w:val="1B1718"/>
          <w:lang w:val="en-US" w:eastAsia="ja-JP"/>
        </w:rPr>
        <w:t xml:space="preserve">European Journal of Population, </w:t>
      </w:r>
      <w:r w:rsidRPr="0055634F">
        <w:rPr>
          <w:rFonts w:ascii="Calibri" w:hAnsi="Calibri" w:cs="Times"/>
          <w:i/>
          <w:color w:val="1B1718"/>
          <w:lang w:val="en-US" w:eastAsia="ja-JP"/>
        </w:rPr>
        <w:t>24</w:t>
      </w:r>
      <w:r w:rsidRPr="0055634F">
        <w:rPr>
          <w:rFonts w:ascii="Calibri" w:hAnsi="Calibri" w:cs="Times"/>
          <w:color w:val="1B1718"/>
          <w:lang w:val="en-US" w:eastAsia="ja-JP"/>
        </w:rPr>
        <w:t>, 5-31.</w:t>
      </w:r>
    </w:p>
    <w:p w:rsidR="00CF1FC2" w:rsidRPr="0055634F" w:rsidRDefault="001F4950" w:rsidP="00B35BDB">
      <w:pPr>
        <w:jc w:val="both"/>
        <w:rPr>
          <w:rFonts w:ascii="Calibri" w:hAnsi="Calibri" w:cs="Times"/>
          <w:color w:val="000000"/>
          <w:lang w:val="en-US" w:eastAsia="ja-JP"/>
        </w:rPr>
      </w:pPr>
    </w:p>
    <w:p w:rsidR="00000C17" w:rsidRPr="0055634F" w:rsidRDefault="009E56D8" w:rsidP="00B35BDB">
      <w:pPr>
        <w:jc w:val="both"/>
        <w:rPr>
          <w:rFonts w:ascii="Calibri" w:hAnsi="Calibri" w:cs="Consolas"/>
          <w:lang w:val="en-US" w:eastAsia="ja-JP"/>
        </w:rPr>
      </w:pPr>
      <w:r w:rsidRPr="0055634F">
        <w:rPr>
          <w:rFonts w:ascii="Calibri" w:hAnsi="Calibri" w:cs="Times"/>
          <w:color w:val="000000"/>
          <w:lang w:val="en-US" w:eastAsia="ja-JP"/>
        </w:rPr>
        <w:t xml:space="preserve">Harris, S. (2004). </w:t>
      </w:r>
      <w:r w:rsidRPr="0055634F">
        <w:rPr>
          <w:rFonts w:ascii="Calibri" w:hAnsi="Calibri" w:cs="Times"/>
          <w:i/>
          <w:color w:val="000000"/>
          <w:lang w:val="en-US" w:eastAsia="ja-JP"/>
        </w:rPr>
        <w:t>The End of Faith: Religion, Terror, and the Future of Reason</w:t>
      </w:r>
      <w:r w:rsidRPr="0055634F">
        <w:rPr>
          <w:rFonts w:ascii="Calibri" w:hAnsi="Calibri" w:cs="Times"/>
          <w:color w:val="000000"/>
          <w:lang w:val="en-US" w:eastAsia="ja-JP"/>
        </w:rPr>
        <w:t>. New York: W.W. Norton &amp; Co.</w:t>
      </w:r>
    </w:p>
    <w:p w:rsidR="00000C17" w:rsidRPr="0055634F" w:rsidRDefault="001F4950" w:rsidP="00B35BDB">
      <w:pPr>
        <w:jc w:val="both"/>
        <w:rPr>
          <w:rFonts w:ascii="Calibri" w:hAnsi="Calibri" w:cs="Times"/>
          <w:color w:val="000000"/>
          <w:lang w:val="en-US" w:eastAsia="ja-JP"/>
        </w:rPr>
      </w:pPr>
    </w:p>
    <w:p w:rsidR="00000C17" w:rsidRPr="0055634F" w:rsidRDefault="009E56D8" w:rsidP="00B35BDB">
      <w:pPr>
        <w:jc w:val="both"/>
        <w:rPr>
          <w:rFonts w:ascii="Calibri" w:hAnsi="Calibri" w:cs="Times"/>
          <w:color w:val="000000"/>
          <w:lang w:val="en-US" w:eastAsia="ja-JP"/>
        </w:rPr>
      </w:pPr>
      <w:r w:rsidRPr="0055634F">
        <w:rPr>
          <w:rFonts w:ascii="Calibri" w:hAnsi="Calibri" w:cs="Times"/>
          <w:color w:val="000000"/>
          <w:lang w:val="en-US" w:eastAsia="ja-JP"/>
        </w:rPr>
        <w:t xml:space="preserve">Hitchens, C. (2007). </w:t>
      </w:r>
      <w:r w:rsidRPr="0055634F">
        <w:rPr>
          <w:rFonts w:ascii="Calibri" w:hAnsi="Calibri" w:cs="Times"/>
          <w:i/>
          <w:color w:val="000000"/>
          <w:lang w:val="en-US" w:eastAsia="ja-JP"/>
        </w:rPr>
        <w:t>God Is Not Great: How Religion Poisons Everything</w:t>
      </w:r>
      <w:r w:rsidRPr="0055634F">
        <w:rPr>
          <w:rFonts w:ascii="Calibri" w:hAnsi="Calibri" w:cs="Times"/>
          <w:color w:val="000000"/>
          <w:lang w:val="en-US" w:eastAsia="ja-JP"/>
        </w:rPr>
        <w:t>. New York: Twelve Books.</w:t>
      </w:r>
    </w:p>
    <w:p w:rsidR="00000C17" w:rsidRPr="0055634F" w:rsidRDefault="001F4950" w:rsidP="00B35BDB">
      <w:pPr>
        <w:jc w:val="both"/>
        <w:rPr>
          <w:rFonts w:ascii="Calibri" w:hAnsi="Calibri"/>
          <w:szCs w:val="20"/>
          <w:lang w:val="en-US" w:eastAsia="ja-JP"/>
        </w:rPr>
      </w:pPr>
    </w:p>
    <w:p w:rsidR="005578B4" w:rsidRPr="0055634F" w:rsidRDefault="009E56D8" w:rsidP="00B35BDB">
      <w:pPr>
        <w:jc w:val="both"/>
        <w:rPr>
          <w:rFonts w:ascii="Calibri" w:hAnsi="Calibri"/>
        </w:rPr>
      </w:pPr>
      <w:r w:rsidRPr="0055634F">
        <w:rPr>
          <w:rFonts w:ascii="Calibri" w:hAnsi="Calibri"/>
        </w:rPr>
        <w:t xml:space="preserve">McKay, R. &amp; Dennett, D. (2009). The evolution of misbelief. </w:t>
      </w:r>
      <w:r w:rsidRPr="0055634F">
        <w:rPr>
          <w:rFonts w:ascii="Calibri" w:hAnsi="Calibri"/>
          <w:i/>
        </w:rPr>
        <w:t>Behavioral and Brain Sciences, 32</w:t>
      </w:r>
      <w:r w:rsidRPr="0055634F">
        <w:rPr>
          <w:rFonts w:ascii="Calibri" w:hAnsi="Calibri"/>
        </w:rPr>
        <w:t>(6), 493-551.</w:t>
      </w:r>
    </w:p>
    <w:p w:rsidR="005578B4" w:rsidRPr="0055634F" w:rsidRDefault="001F4950" w:rsidP="00B35BDB">
      <w:pPr>
        <w:jc w:val="both"/>
        <w:rPr>
          <w:rFonts w:ascii="Calibri" w:hAnsi="Calibri"/>
        </w:rPr>
      </w:pPr>
    </w:p>
    <w:p w:rsidR="005578B4" w:rsidRPr="0055634F" w:rsidRDefault="009E56D8" w:rsidP="00B35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color w:val="000000"/>
          <w:szCs w:val="15"/>
          <w:lang w:val="en-US" w:eastAsia="ja-JP"/>
        </w:rPr>
      </w:pPr>
      <w:r w:rsidRPr="0055634F">
        <w:rPr>
          <w:rFonts w:ascii="Calibri" w:hAnsi="Calibri" w:cs="Helvetica"/>
          <w:color w:val="000000"/>
          <w:szCs w:val="18"/>
          <w:lang w:val="en-US" w:eastAsia="ja-JP"/>
        </w:rPr>
        <w:t>Nyhan, B. &amp; Reifler, J. (2010).</w:t>
      </w:r>
      <w:r w:rsidRPr="0055634F">
        <w:rPr>
          <w:rFonts w:ascii="Calibri" w:hAnsi="Calibri" w:cs="Helvetica"/>
          <w:color w:val="000000"/>
          <w:szCs w:val="25"/>
          <w:lang w:val="en-US" w:eastAsia="ja-JP"/>
        </w:rPr>
        <w:t xml:space="preserve"> When corrections fail: The persistence of political misperceptions. </w:t>
      </w:r>
      <w:r w:rsidRPr="0055634F">
        <w:rPr>
          <w:rFonts w:ascii="Calibri" w:hAnsi="Calibri" w:cs="Helvetica"/>
          <w:i/>
          <w:color w:val="000000"/>
          <w:szCs w:val="15"/>
          <w:lang w:val="en-US" w:eastAsia="ja-JP"/>
        </w:rPr>
        <w:t>Political Behavior, 32</w:t>
      </w:r>
      <w:r w:rsidRPr="0055634F">
        <w:rPr>
          <w:rFonts w:ascii="Calibri" w:hAnsi="Calibri" w:cs="Helvetica"/>
          <w:color w:val="000000"/>
          <w:szCs w:val="15"/>
          <w:lang w:val="en-US" w:eastAsia="ja-JP"/>
        </w:rPr>
        <w:t>, 303–330. doi: 10.1007/s11109-010-9112-2.</w:t>
      </w:r>
    </w:p>
    <w:p w:rsidR="00641D1D" w:rsidRPr="0055634F" w:rsidRDefault="001F4950" w:rsidP="00B35BDB">
      <w:pPr>
        <w:jc w:val="both"/>
        <w:rPr>
          <w:rFonts w:ascii="Calibri" w:hAnsi="Calibri" w:cs="Helvetica"/>
          <w:lang w:val="en-US" w:eastAsia="ja-JP"/>
        </w:rPr>
      </w:pPr>
    </w:p>
    <w:p w:rsidR="00434F1A" w:rsidRPr="0055634F" w:rsidRDefault="009E56D8" w:rsidP="00B35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mbria"/>
          <w:lang w:val="en-US" w:eastAsia="ja-JP"/>
        </w:rPr>
      </w:pPr>
      <w:r w:rsidRPr="0055634F">
        <w:rPr>
          <w:rFonts w:ascii="Calibri" w:hAnsi="Calibri" w:cs="Cambria"/>
          <w:lang w:val="en-US" w:eastAsia="ja-JP"/>
        </w:rPr>
        <w:t>Wilson, D. S. (2009). Atheism as a stealth religion. http://scienceblogs.com/evolution/2009/10/atheism_as_a_stealth_religion.php.</w:t>
      </w:r>
    </w:p>
    <w:p w:rsidR="00CF1FC2" w:rsidRPr="0055634F" w:rsidRDefault="001F4950" w:rsidP="00B35BDB">
      <w:pPr>
        <w:jc w:val="both"/>
        <w:rPr>
          <w:rFonts w:ascii="Calibri" w:hAnsi="Calibri"/>
          <w:lang w:val="en-US" w:eastAsia="ja-JP"/>
        </w:rPr>
      </w:pPr>
    </w:p>
    <w:p w:rsidR="007531C6" w:rsidRPr="0055634F" w:rsidRDefault="009E56D8" w:rsidP="00B35BDB">
      <w:pPr>
        <w:jc w:val="both"/>
        <w:rPr>
          <w:rFonts w:ascii="Calibri" w:hAnsi="Calibri" w:cs="Helvetica"/>
          <w:lang w:val="en-US" w:eastAsia="ja-JP"/>
        </w:rPr>
      </w:pPr>
      <w:r w:rsidRPr="0055634F">
        <w:rPr>
          <w:rFonts w:ascii="Calibri" w:hAnsi="Calibri"/>
          <w:lang w:val="en-US" w:eastAsia="ja-JP"/>
        </w:rPr>
        <w:t xml:space="preserve">Zhang, L. (2008). Religious affiliation, religiosity, and male and female fertility. </w:t>
      </w:r>
      <w:r w:rsidRPr="0055634F">
        <w:rPr>
          <w:rFonts w:ascii="Calibri" w:hAnsi="Calibri"/>
          <w:i/>
          <w:iCs/>
          <w:lang w:val="en-US" w:eastAsia="ja-JP"/>
        </w:rPr>
        <w:t>Demographic Research, 18</w:t>
      </w:r>
      <w:r w:rsidRPr="0055634F">
        <w:rPr>
          <w:rFonts w:ascii="Calibri" w:hAnsi="Calibri"/>
          <w:lang w:val="en-US" w:eastAsia="ja-JP"/>
        </w:rPr>
        <w:t>, 233-262.</w:t>
      </w:r>
    </w:p>
    <w:sectPr w:rsidR="007531C6" w:rsidRPr="0055634F" w:rsidSect="00EE0697">
      <w:pgSz w:w="11900" w:h="16840"/>
      <w:pgMar w:top="1440" w:right="1800" w:bottom="1440" w:left="1800"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E56D8" w:rsidRDefault="009E56D8">
      <w:r>
        <w:separator/>
      </w:r>
    </w:p>
  </w:endnote>
  <w:endnote w:type="continuationSeparator" w:id="1">
    <w:p w:rsidR="009E56D8" w:rsidRDefault="009E5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E56D8" w:rsidRDefault="009E56D8">
      <w:r>
        <w:separator/>
      </w:r>
    </w:p>
  </w:footnote>
  <w:footnote w:type="continuationSeparator" w:id="1">
    <w:p w:rsidR="009E56D8" w:rsidRDefault="009E56D8">
      <w:r>
        <w:continuationSeparator/>
      </w:r>
    </w:p>
  </w:footnote>
  <w:footnote w:id="2">
    <w:p w:rsidR="00630FE7" w:rsidRDefault="009E56D8" w:rsidP="001F4950">
      <w:pPr>
        <w:pStyle w:val="FootnoteText"/>
        <w:jc w:val="both"/>
      </w:pPr>
      <w:r>
        <w:rPr>
          <w:rStyle w:val="FootnoteReference"/>
        </w:rPr>
        <w:footnoteRef/>
      </w:r>
      <w:r>
        <w:t xml:space="preserve"> </w:t>
      </w:r>
      <w:r w:rsidRPr="00933EA7">
        <w:rPr>
          <w:rFonts w:ascii="Calibri" w:hAnsi="Calibri" w:cs="Helvetica"/>
          <w:sz w:val="20"/>
          <w:lang w:val="en-US" w:eastAsia="ja-JP"/>
        </w:rPr>
        <w:t xml:space="preserve">Johnson quotes Wilson’s (2009) mischaracterization of Dennett’s (2006) </w:t>
      </w:r>
      <w:r w:rsidRPr="00933EA7">
        <w:rPr>
          <w:rFonts w:ascii="Calibri" w:hAnsi="Calibri" w:cs="Helvetica"/>
          <w:i/>
          <w:sz w:val="20"/>
          <w:lang w:val="en-US" w:eastAsia="ja-JP"/>
        </w:rPr>
        <w:t>Breaking the Spell</w:t>
      </w:r>
      <w:r w:rsidRPr="00933EA7">
        <w:rPr>
          <w:rFonts w:ascii="Calibri" w:hAnsi="Calibri" w:cs="Helvetica"/>
          <w:sz w:val="20"/>
          <w:lang w:val="en-US" w:eastAsia="ja-JP"/>
        </w:rPr>
        <w:t xml:space="preserve"> - the 'spell' in question is </w:t>
      </w:r>
      <w:r>
        <w:rPr>
          <w:rFonts w:ascii="Calibri" w:hAnsi="Calibri" w:cs="Helvetica"/>
          <w:sz w:val="20"/>
          <w:lang w:val="en-US" w:eastAsia="ja-JP"/>
        </w:rPr>
        <w:t>actually not religion itself but</w:t>
      </w:r>
      <w:r w:rsidRPr="00933EA7">
        <w:rPr>
          <w:rFonts w:ascii="Calibri" w:hAnsi="Calibri" w:cs="Helvetica"/>
          <w:sz w:val="20"/>
          <w:lang w:val="en-US" w:eastAsia="ja-JP"/>
        </w:rPr>
        <w:t xml:space="preserve"> the taboo against investigating religion as a natural phenomenon.</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6B7FC4"/>
    <w:multiLevelType w:val="hybridMultilevel"/>
    <w:tmpl w:val="B69ACBA4"/>
    <w:lvl w:ilvl="0" w:tplc="000F0409">
      <w:start w:val="1"/>
      <w:numFmt w:val="decimal"/>
      <w:lvlText w:val="%1."/>
      <w:lvlJc w:val="left"/>
      <w:pPr>
        <w:tabs>
          <w:tab w:val="num" w:pos="720"/>
        </w:tabs>
        <w:ind w:left="720" w:hanging="360"/>
      </w:pPr>
      <w:rPr>
        <w:rFont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useFELayout/>
  </w:compat>
  <w:rsids>
    <w:rsidRoot w:val="00655775"/>
    <w:rsid w:val="000608A3"/>
    <w:rsid w:val="00146004"/>
    <w:rsid w:val="0015050D"/>
    <w:rsid w:val="001F4950"/>
    <w:rsid w:val="002329D7"/>
    <w:rsid w:val="003C3AD9"/>
    <w:rsid w:val="00612C28"/>
    <w:rsid w:val="00655775"/>
    <w:rsid w:val="006842A1"/>
    <w:rsid w:val="00835EFA"/>
    <w:rsid w:val="00891EDA"/>
    <w:rsid w:val="00997F10"/>
    <w:rsid w:val="009B4F13"/>
    <w:rsid w:val="009E56D8"/>
    <w:rsid w:val="00B35BDB"/>
    <w:rsid w:val="00B674F4"/>
    <w:rsid w:val="00E7586C"/>
  </w:rsids>
  <m:mathPr>
    <m:mathFont m:val="Book Antiqu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5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E255D"/>
    <w:rPr>
      <w:rFonts w:ascii="Lucida Grande" w:hAnsi="Lucida Grande" w:cs="Lucida Grande"/>
      <w:sz w:val="18"/>
      <w:szCs w:val="18"/>
    </w:rPr>
  </w:style>
  <w:style w:type="character" w:customStyle="1" w:styleId="BalloonTextChar">
    <w:name w:val="Balloon Text Char"/>
    <w:link w:val="BalloonText"/>
    <w:uiPriority w:val="99"/>
    <w:semiHidden/>
    <w:rsid w:val="006E255D"/>
    <w:rPr>
      <w:rFonts w:ascii="Lucida Grande" w:hAnsi="Lucida Grande" w:cs="Lucida Grande"/>
      <w:sz w:val="18"/>
      <w:szCs w:val="18"/>
    </w:rPr>
  </w:style>
  <w:style w:type="character" w:styleId="CommentReference">
    <w:name w:val="annotation reference"/>
    <w:uiPriority w:val="99"/>
    <w:semiHidden/>
    <w:unhideWhenUsed/>
    <w:rsid w:val="0001651F"/>
    <w:rPr>
      <w:sz w:val="18"/>
      <w:szCs w:val="18"/>
    </w:rPr>
  </w:style>
  <w:style w:type="paragraph" w:styleId="CommentText">
    <w:name w:val="annotation text"/>
    <w:basedOn w:val="Normal"/>
    <w:link w:val="CommentTextChar"/>
    <w:uiPriority w:val="99"/>
    <w:semiHidden/>
    <w:unhideWhenUsed/>
    <w:rsid w:val="0001651F"/>
  </w:style>
  <w:style w:type="character" w:customStyle="1" w:styleId="CommentTextChar">
    <w:name w:val="Comment Text Char"/>
    <w:link w:val="CommentText"/>
    <w:uiPriority w:val="99"/>
    <w:semiHidden/>
    <w:rsid w:val="0001651F"/>
    <w:rPr>
      <w:sz w:val="24"/>
      <w:szCs w:val="24"/>
      <w:lang w:eastAsia="en-US"/>
    </w:rPr>
  </w:style>
  <w:style w:type="paragraph" w:styleId="CommentSubject">
    <w:name w:val="annotation subject"/>
    <w:basedOn w:val="CommentText"/>
    <w:next w:val="CommentText"/>
    <w:link w:val="CommentSubjectChar"/>
    <w:uiPriority w:val="99"/>
    <w:semiHidden/>
    <w:unhideWhenUsed/>
    <w:rsid w:val="0001651F"/>
    <w:rPr>
      <w:b/>
      <w:bCs/>
      <w:sz w:val="20"/>
      <w:szCs w:val="20"/>
    </w:rPr>
  </w:style>
  <w:style w:type="character" w:customStyle="1" w:styleId="CommentSubjectChar">
    <w:name w:val="Comment Subject Char"/>
    <w:link w:val="CommentSubject"/>
    <w:uiPriority w:val="99"/>
    <w:semiHidden/>
    <w:rsid w:val="0001651F"/>
    <w:rPr>
      <w:b/>
      <w:bCs/>
      <w:sz w:val="24"/>
      <w:szCs w:val="24"/>
      <w:lang w:eastAsia="en-US"/>
    </w:rPr>
  </w:style>
  <w:style w:type="paragraph" w:styleId="FootnoteText">
    <w:name w:val="footnote text"/>
    <w:basedOn w:val="Normal"/>
    <w:link w:val="FootnoteTextChar"/>
    <w:uiPriority w:val="99"/>
    <w:unhideWhenUsed/>
    <w:rsid w:val="00933EA7"/>
  </w:style>
  <w:style w:type="character" w:customStyle="1" w:styleId="FootnoteTextChar">
    <w:name w:val="Footnote Text Char"/>
    <w:link w:val="FootnoteText"/>
    <w:uiPriority w:val="99"/>
    <w:rsid w:val="00933EA7"/>
    <w:rPr>
      <w:sz w:val="24"/>
      <w:szCs w:val="24"/>
      <w:lang w:eastAsia="en-US"/>
    </w:rPr>
  </w:style>
  <w:style w:type="character" w:styleId="FootnoteReference">
    <w:name w:val="footnote reference"/>
    <w:uiPriority w:val="99"/>
    <w:semiHidden/>
    <w:unhideWhenUsed/>
    <w:rsid w:val="00933EA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yantmckay:Library:Mail%20Downloads:Johnson%20commentary%20Jan%2024th[1]dc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Johnson commentary Jan 24th[1]dcd.dot</Template>
  <TotalTime>24</TotalTime>
  <Pages>3</Pages>
  <Words>1187</Words>
  <Characters>6766</Characters>
  <Application>Microsoft Word 12.0.0</Application>
  <DocSecurity>0</DocSecurity>
  <Lines>56</Lines>
  <Paragraphs>13</Paragraphs>
  <ScaleCrop>false</ScaleCrop>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McKay</dc:creator>
  <cp:keywords/>
  <dc:description/>
  <cp:lastModifiedBy>Ryan McKay</cp:lastModifiedBy>
  <cp:revision>13</cp:revision>
  <cp:lastPrinted>2012-01-25T16:27:00Z</cp:lastPrinted>
  <dcterms:created xsi:type="dcterms:W3CDTF">2012-01-25T16:15:00Z</dcterms:created>
  <dcterms:modified xsi:type="dcterms:W3CDTF">2012-01-25T17:26:00Z</dcterms:modified>
</cp:coreProperties>
</file>