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FC" w:rsidRPr="000332FE" w:rsidRDefault="007476FC" w:rsidP="007476FC">
      <w:pPr>
        <w:rPr>
          <w:szCs w:val="24"/>
        </w:rPr>
      </w:pPr>
      <w:r w:rsidRPr="000332FE">
        <w:rPr>
          <w:b/>
          <w:szCs w:val="24"/>
        </w:rPr>
        <w:t xml:space="preserve">Dresden uprising (May 1849), </w:t>
      </w:r>
      <w:r w:rsidRPr="000332FE">
        <w:rPr>
          <w:szCs w:val="24"/>
        </w:rPr>
        <w:t xml:space="preserve">one of the final wave of revolts during the 1848-9 </w:t>
      </w:r>
      <w:r w:rsidRPr="000332FE">
        <w:rPr>
          <w:smallCaps/>
          <w:szCs w:val="24"/>
        </w:rPr>
        <w:t>revolution</w:t>
      </w:r>
      <w:r w:rsidRPr="000332FE">
        <w:rPr>
          <w:szCs w:val="24"/>
        </w:rPr>
        <w:t>s, parallel to uprisings in Baden and the Bavarian Palatinate, al</w:t>
      </w:r>
      <w:r w:rsidR="00F04C94" w:rsidRPr="000332FE">
        <w:rPr>
          <w:szCs w:val="24"/>
        </w:rPr>
        <w:t>l</w:t>
      </w:r>
      <w:r w:rsidRPr="000332FE">
        <w:rPr>
          <w:szCs w:val="24"/>
        </w:rPr>
        <w:t xml:space="preserve"> quelled by Prussian armed in</w:t>
      </w:r>
      <w:r w:rsidR="002C13AB" w:rsidRPr="000332FE">
        <w:rPr>
          <w:szCs w:val="24"/>
        </w:rPr>
        <w:t>tervention. Across Europe, the “springtime of peoples”</w:t>
      </w:r>
      <w:r w:rsidRPr="000332FE">
        <w:rPr>
          <w:szCs w:val="24"/>
        </w:rPr>
        <w:t xml:space="preserve"> had witnessed liberal, constitutional victories. Rhetorical liberty, however, proved just that: initial coalitions – revolutionary socialists such as Wagner and laissez-faire </w:t>
      </w:r>
      <w:proofErr w:type="spellStart"/>
      <w:r w:rsidRPr="000332FE">
        <w:rPr>
          <w:szCs w:val="24"/>
        </w:rPr>
        <w:t>Rhenish</w:t>
      </w:r>
      <w:proofErr w:type="spellEnd"/>
      <w:r w:rsidRPr="000332FE">
        <w:rPr>
          <w:szCs w:val="24"/>
        </w:rPr>
        <w:t xml:space="preserve"> </w:t>
      </w:r>
      <w:r w:rsidR="00E81140" w:rsidRPr="000332FE">
        <w:rPr>
          <w:szCs w:val="24"/>
        </w:rPr>
        <w:t>industrialists</w:t>
      </w:r>
      <w:r w:rsidRPr="000332FE">
        <w:rPr>
          <w:szCs w:val="24"/>
        </w:rPr>
        <w:t>; pan-</w:t>
      </w:r>
      <w:proofErr w:type="spellStart"/>
      <w:r w:rsidRPr="000332FE">
        <w:rPr>
          <w:szCs w:val="24"/>
        </w:rPr>
        <w:t>Slavists</w:t>
      </w:r>
      <w:proofErr w:type="spellEnd"/>
      <w:r w:rsidRPr="000332FE">
        <w:rPr>
          <w:szCs w:val="24"/>
        </w:rPr>
        <w:t xml:space="preserve"> such as </w:t>
      </w:r>
      <w:r w:rsidRPr="000332FE">
        <w:rPr>
          <w:smallCaps/>
          <w:szCs w:val="24"/>
        </w:rPr>
        <w:t>Bakunin</w:t>
      </w:r>
      <w:r w:rsidRPr="000332FE">
        <w:rPr>
          <w:szCs w:val="24"/>
        </w:rPr>
        <w:t xml:space="preserve"> and </w:t>
      </w:r>
      <w:proofErr w:type="spellStart"/>
      <w:r w:rsidRPr="000332FE">
        <w:rPr>
          <w:i/>
          <w:szCs w:val="24"/>
        </w:rPr>
        <w:t>völkisch</w:t>
      </w:r>
      <w:proofErr w:type="spellEnd"/>
      <w:r w:rsidRPr="000332FE">
        <w:rPr>
          <w:i/>
          <w:szCs w:val="24"/>
        </w:rPr>
        <w:t xml:space="preserve"> </w:t>
      </w:r>
      <w:r w:rsidRPr="000332FE">
        <w:rPr>
          <w:szCs w:val="24"/>
        </w:rPr>
        <w:t xml:space="preserve">German nationalists; monarchists and republicans, etc. – proved irreconcilable. Moreover, the old order proved stronger than </w:t>
      </w:r>
      <w:r w:rsidR="00A060C4" w:rsidRPr="000332FE">
        <w:rPr>
          <w:szCs w:val="24"/>
        </w:rPr>
        <w:t xml:space="preserve">either </w:t>
      </w:r>
      <w:r w:rsidRPr="000332FE">
        <w:rPr>
          <w:szCs w:val="24"/>
        </w:rPr>
        <w:t xml:space="preserve">it or </w:t>
      </w:r>
      <w:r w:rsidR="00A060C4" w:rsidRPr="000332FE">
        <w:rPr>
          <w:szCs w:val="24"/>
        </w:rPr>
        <w:t xml:space="preserve">its </w:t>
      </w:r>
      <w:r w:rsidRPr="000332FE">
        <w:rPr>
          <w:szCs w:val="24"/>
        </w:rPr>
        <w:t xml:space="preserve">opponents had believed – and </w:t>
      </w:r>
      <w:r w:rsidR="00A060C4" w:rsidRPr="000332FE">
        <w:rPr>
          <w:szCs w:val="24"/>
        </w:rPr>
        <w:t xml:space="preserve">for many bourgeois seemed </w:t>
      </w:r>
      <w:r w:rsidRPr="000332FE">
        <w:rPr>
          <w:szCs w:val="24"/>
        </w:rPr>
        <w:t xml:space="preserve">less threatening. Representatives to the Frankfurt </w:t>
      </w:r>
      <w:proofErr w:type="spellStart"/>
      <w:r w:rsidRPr="000332FE">
        <w:rPr>
          <w:i/>
          <w:szCs w:val="24"/>
        </w:rPr>
        <w:t>Vorparlament</w:t>
      </w:r>
      <w:proofErr w:type="spellEnd"/>
      <w:r w:rsidRPr="000332FE">
        <w:rPr>
          <w:szCs w:val="24"/>
        </w:rPr>
        <w:t xml:space="preserve"> moved towards national unity, promulgating a German constitution (March</w:t>
      </w:r>
      <w:r w:rsidR="00F04C94" w:rsidRPr="000332FE">
        <w:rPr>
          <w:szCs w:val="24"/>
        </w:rPr>
        <w:t xml:space="preserve"> 28</w:t>
      </w:r>
      <w:r w:rsidRPr="000332FE">
        <w:rPr>
          <w:szCs w:val="24"/>
        </w:rPr>
        <w:t>) and offering the imperial crown to Prussia’s Frederick Willia</w:t>
      </w:r>
      <w:r w:rsidR="002C13AB" w:rsidRPr="000332FE">
        <w:rPr>
          <w:szCs w:val="24"/>
        </w:rPr>
        <w:t>m IV. His refusal (</w:t>
      </w:r>
      <w:r w:rsidR="00F04C94" w:rsidRPr="000332FE">
        <w:rPr>
          <w:szCs w:val="24"/>
        </w:rPr>
        <w:t>April 3</w:t>
      </w:r>
      <w:r w:rsidR="002C13AB" w:rsidRPr="000332FE">
        <w:rPr>
          <w:szCs w:val="24"/>
        </w:rPr>
        <w:t>) to “pick up a crown from the gutter”</w:t>
      </w:r>
      <w:r w:rsidRPr="000332FE">
        <w:rPr>
          <w:szCs w:val="24"/>
        </w:rPr>
        <w:t xml:space="preserve"> threw </w:t>
      </w:r>
      <w:r w:rsidR="00A060C4" w:rsidRPr="000332FE">
        <w:rPr>
          <w:szCs w:val="24"/>
        </w:rPr>
        <w:t xml:space="preserve">them </w:t>
      </w:r>
      <w:r w:rsidRPr="000332FE">
        <w:rPr>
          <w:szCs w:val="24"/>
        </w:rPr>
        <w:t>into disarray</w:t>
      </w:r>
      <w:r w:rsidR="00C25C17" w:rsidRPr="000332FE">
        <w:rPr>
          <w:szCs w:val="24"/>
        </w:rPr>
        <w:t>.</w:t>
      </w:r>
      <w:r w:rsidRPr="000332FE">
        <w:rPr>
          <w:szCs w:val="24"/>
        </w:rPr>
        <w:t xml:space="preserve"> </w:t>
      </w:r>
      <w:r w:rsidR="00C25C17" w:rsidRPr="000332FE">
        <w:rPr>
          <w:szCs w:val="24"/>
        </w:rPr>
        <w:t>E</w:t>
      </w:r>
      <w:r w:rsidRPr="000332FE">
        <w:rPr>
          <w:szCs w:val="24"/>
        </w:rPr>
        <w:t>mboldened</w:t>
      </w:r>
      <w:r w:rsidR="00C25C17" w:rsidRPr="000332FE">
        <w:rPr>
          <w:szCs w:val="24"/>
        </w:rPr>
        <w:t>,</w:t>
      </w:r>
      <w:r w:rsidRPr="000332FE">
        <w:rPr>
          <w:szCs w:val="24"/>
        </w:rPr>
        <w:t xml:space="preserve"> Frederick Augustus II of Saxony reject</w:t>
      </w:r>
      <w:r w:rsidR="00F32E27">
        <w:rPr>
          <w:szCs w:val="24"/>
        </w:rPr>
        <w:t>ed</w:t>
      </w:r>
      <w:r w:rsidRPr="000332FE">
        <w:rPr>
          <w:szCs w:val="24"/>
        </w:rPr>
        <w:t xml:space="preserve"> the constitution </w:t>
      </w:r>
      <w:r w:rsidR="00F04C94" w:rsidRPr="000332FE">
        <w:rPr>
          <w:szCs w:val="24"/>
        </w:rPr>
        <w:t>and</w:t>
      </w:r>
      <w:r w:rsidRPr="000332FE">
        <w:rPr>
          <w:szCs w:val="24"/>
        </w:rPr>
        <w:t xml:space="preserve"> dissolve</w:t>
      </w:r>
      <w:r w:rsidR="00F32E27">
        <w:rPr>
          <w:szCs w:val="24"/>
        </w:rPr>
        <w:t>d</w:t>
      </w:r>
      <w:r w:rsidRPr="000332FE">
        <w:rPr>
          <w:szCs w:val="24"/>
        </w:rPr>
        <w:t xml:space="preserve"> the Saxon parliament (</w:t>
      </w:r>
      <w:r w:rsidR="002C13AB" w:rsidRPr="000332FE">
        <w:rPr>
          <w:szCs w:val="24"/>
        </w:rPr>
        <w:t>April</w:t>
      </w:r>
      <w:r w:rsidR="00F04C94" w:rsidRPr="000332FE">
        <w:rPr>
          <w:szCs w:val="24"/>
        </w:rPr>
        <w:t xml:space="preserve"> 30</w:t>
      </w:r>
      <w:r w:rsidRPr="000332FE">
        <w:rPr>
          <w:szCs w:val="24"/>
        </w:rPr>
        <w:t xml:space="preserve">), elected in January with a democratic majority. Unlike Prussia, Saxony had long </w:t>
      </w:r>
      <w:r w:rsidR="00E01BFC" w:rsidRPr="000332FE">
        <w:rPr>
          <w:szCs w:val="24"/>
        </w:rPr>
        <w:t xml:space="preserve">been a constitutional monarchy, and </w:t>
      </w:r>
      <w:r w:rsidRPr="000332FE">
        <w:rPr>
          <w:szCs w:val="24"/>
        </w:rPr>
        <w:t xml:space="preserve">a reform ministry </w:t>
      </w:r>
      <w:r w:rsidR="00FD4446" w:rsidRPr="000332FE">
        <w:rPr>
          <w:szCs w:val="24"/>
        </w:rPr>
        <w:t xml:space="preserve">had governed </w:t>
      </w:r>
      <w:r w:rsidRPr="000332FE">
        <w:rPr>
          <w:szCs w:val="24"/>
        </w:rPr>
        <w:t>from March 1848 to Fe</w:t>
      </w:r>
      <w:r w:rsidR="00E01BFC" w:rsidRPr="000332FE">
        <w:rPr>
          <w:szCs w:val="24"/>
        </w:rPr>
        <w:t xml:space="preserve">bruary 1849. </w:t>
      </w:r>
      <w:r w:rsidR="00C25C17" w:rsidRPr="000332FE">
        <w:rPr>
          <w:szCs w:val="24"/>
        </w:rPr>
        <w:t>But the</w:t>
      </w:r>
      <w:r w:rsidR="00FD4446" w:rsidRPr="000332FE">
        <w:rPr>
          <w:szCs w:val="24"/>
        </w:rPr>
        <w:t xml:space="preserve"> king</w:t>
      </w:r>
      <w:r w:rsidR="00C25C17" w:rsidRPr="000332FE">
        <w:rPr>
          <w:szCs w:val="24"/>
        </w:rPr>
        <w:t>’s</w:t>
      </w:r>
      <w:r w:rsidR="00FD4446" w:rsidRPr="000332FE">
        <w:rPr>
          <w:szCs w:val="24"/>
        </w:rPr>
        <w:t xml:space="preserve"> appoint</w:t>
      </w:r>
      <w:r w:rsidR="00C25C17" w:rsidRPr="000332FE">
        <w:rPr>
          <w:szCs w:val="24"/>
        </w:rPr>
        <w:t xml:space="preserve">ment of </w:t>
      </w:r>
      <w:r w:rsidRPr="000332FE">
        <w:rPr>
          <w:szCs w:val="24"/>
        </w:rPr>
        <w:t xml:space="preserve">a reactionary </w:t>
      </w:r>
      <w:r w:rsidR="004B1EEF" w:rsidRPr="000332FE">
        <w:rPr>
          <w:szCs w:val="24"/>
        </w:rPr>
        <w:t>movement,</w:t>
      </w:r>
      <w:r w:rsidR="00C25C17" w:rsidRPr="000332FE">
        <w:rPr>
          <w:szCs w:val="24"/>
        </w:rPr>
        <w:t xml:space="preserve"> headed by Friedrich von </w:t>
      </w:r>
      <w:proofErr w:type="spellStart"/>
      <w:r w:rsidR="00C25C17" w:rsidRPr="000332FE">
        <w:rPr>
          <w:szCs w:val="24"/>
        </w:rPr>
        <w:t>Beust</w:t>
      </w:r>
      <w:proofErr w:type="spellEnd"/>
      <w:r w:rsidR="00C25C17" w:rsidRPr="000332FE">
        <w:rPr>
          <w:szCs w:val="24"/>
        </w:rPr>
        <w:t>, and rejection of the constitution</w:t>
      </w:r>
      <w:r w:rsidR="007B49DF">
        <w:rPr>
          <w:szCs w:val="24"/>
        </w:rPr>
        <w:t>,</w:t>
      </w:r>
      <w:r w:rsidR="00C25C17" w:rsidRPr="000332FE">
        <w:rPr>
          <w:szCs w:val="24"/>
        </w:rPr>
        <w:t xml:space="preserve"> ultimately provoked democratic opponents into a hurried response</w:t>
      </w:r>
      <w:r w:rsidRPr="000332FE">
        <w:rPr>
          <w:szCs w:val="24"/>
        </w:rPr>
        <w:t>. On May</w:t>
      </w:r>
      <w:r w:rsidR="004B1EEF" w:rsidRPr="000332FE">
        <w:rPr>
          <w:szCs w:val="24"/>
        </w:rPr>
        <w:t xml:space="preserve"> 3</w:t>
      </w:r>
      <w:r w:rsidRPr="000332FE">
        <w:rPr>
          <w:szCs w:val="24"/>
        </w:rPr>
        <w:t xml:space="preserve">, the town council </w:t>
      </w:r>
      <w:r w:rsidR="000332FE" w:rsidRPr="000332FE">
        <w:rPr>
          <w:szCs w:val="24"/>
        </w:rPr>
        <w:t>organized</w:t>
      </w:r>
      <w:r w:rsidRPr="000332FE">
        <w:rPr>
          <w:szCs w:val="24"/>
        </w:rPr>
        <w:t xml:space="preserve"> the Communal Guard into a </w:t>
      </w:r>
      <w:r w:rsidR="000332FE" w:rsidRPr="000332FE">
        <w:rPr>
          <w:szCs w:val="24"/>
        </w:rPr>
        <w:t>defense</w:t>
      </w:r>
      <w:r w:rsidRPr="000332FE">
        <w:rPr>
          <w:szCs w:val="24"/>
        </w:rPr>
        <w:t xml:space="preserve"> committee. Loyalist troops opened fire. Early on </w:t>
      </w:r>
      <w:r w:rsidR="004B1EEF" w:rsidRPr="000332FE">
        <w:rPr>
          <w:szCs w:val="24"/>
        </w:rPr>
        <w:t xml:space="preserve">May </w:t>
      </w:r>
      <w:r w:rsidRPr="000332FE">
        <w:rPr>
          <w:szCs w:val="24"/>
        </w:rPr>
        <w:t xml:space="preserve">4, king and government escaped to </w:t>
      </w:r>
      <w:proofErr w:type="spellStart"/>
      <w:r w:rsidRPr="000332FE">
        <w:rPr>
          <w:szCs w:val="24"/>
        </w:rPr>
        <w:t>Königstein</w:t>
      </w:r>
      <w:proofErr w:type="spellEnd"/>
      <w:r w:rsidRPr="000332FE">
        <w:rPr>
          <w:szCs w:val="24"/>
        </w:rPr>
        <w:t>; townsmen formed a provisional government.</w:t>
      </w:r>
    </w:p>
    <w:p w:rsidR="007476FC" w:rsidRPr="000332FE" w:rsidRDefault="008374EA" w:rsidP="00ED7822">
      <w:pPr>
        <w:ind w:firstLine="720"/>
        <w:rPr>
          <w:szCs w:val="24"/>
        </w:rPr>
      </w:pPr>
      <w:r w:rsidRPr="008374EA">
        <w:rPr>
          <w:szCs w:val="24"/>
        </w:rPr>
        <w:t xml:space="preserve">Even at the time, the extent of Wagner’s involvement was obscured. Eduard </w:t>
      </w:r>
      <w:proofErr w:type="spellStart"/>
      <w:r w:rsidRPr="008374EA">
        <w:rPr>
          <w:smallCaps/>
          <w:szCs w:val="24"/>
        </w:rPr>
        <w:t>Devrient</w:t>
      </w:r>
      <w:proofErr w:type="spellEnd"/>
      <w:r w:rsidRPr="008374EA">
        <w:rPr>
          <w:szCs w:val="24"/>
        </w:rPr>
        <w:t xml:space="preserve"> reports </w:t>
      </w:r>
      <w:proofErr w:type="spellStart"/>
      <w:r w:rsidRPr="008374EA">
        <w:rPr>
          <w:smallCaps/>
          <w:szCs w:val="24"/>
        </w:rPr>
        <w:t>Minna</w:t>
      </w:r>
      <w:proofErr w:type="spellEnd"/>
      <w:r w:rsidRPr="008374EA">
        <w:rPr>
          <w:szCs w:val="24"/>
        </w:rPr>
        <w:t xml:space="preserve"> visiting him in desperation for advice concerning her husband, implicated yet not directly involved</w:t>
      </w:r>
      <w:r>
        <w:rPr>
          <w:szCs w:val="24"/>
        </w:rPr>
        <w:t xml:space="preserve"> (Diary entry for 17 May 1849)</w:t>
      </w:r>
      <w:r w:rsidRPr="008374EA">
        <w:rPr>
          <w:szCs w:val="24"/>
        </w:rPr>
        <w:t xml:space="preserve">. </w:t>
      </w:r>
      <w:proofErr w:type="spellStart"/>
      <w:r w:rsidRPr="008374EA">
        <w:rPr>
          <w:szCs w:val="24"/>
        </w:rPr>
        <w:t>Devrient</w:t>
      </w:r>
      <w:proofErr w:type="spellEnd"/>
      <w:r w:rsidRPr="008374EA">
        <w:rPr>
          <w:szCs w:val="24"/>
        </w:rPr>
        <w:t xml:space="preserve"> is clear that she has been deceived. Wagner would downplay his role further in </w:t>
      </w:r>
      <w:r w:rsidRPr="008374EA">
        <w:rPr>
          <w:i/>
          <w:szCs w:val="24"/>
        </w:rPr>
        <w:t xml:space="preserve">Mein </w:t>
      </w:r>
      <w:proofErr w:type="spellStart"/>
      <w:r w:rsidRPr="008374EA">
        <w:rPr>
          <w:i/>
          <w:szCs w:val="24"/>
        </w:rPr>
        <w:t>Leben</w:t>
      </w:r>
      <w:proofErr w:type="spellEnd"/>
      <w:r w:rsidRPr="008374EA">
        <w:rPr>
          <w:szCs w:val="24"/>
        </w:rPr>
        <w:t>, yet nevertheless admits considerable involvement.</w:t>
      </w:r>
      <w:r w:rsidR="007476FC" w:rsidRPr="000332FE">
        <w:rPr>
          <w:szCs w:val="24"/>
        </w:rPr>
        <w:t xml:space="preserve"> He had the printer of </w:t>
      </w:r>
      <w:proofErr w:type="spellStart"/>
      <w:r w:rsidR="007476FC" w:rsidRPr="000332FE">
        <w:rPr>
          <w:smallCaps/>
          <w:szCs w:val="24"/>
        </w:rPr>
        <w:t>Röckel</w:t>
      </w:r>
      <w:r w:rsidR="007476FC" w:rsidRPr="000332FE">
        <w:rPr>
          <w:szCs w:val="24"/>
        </w:rPr>
        <w:t>’s</w:t>
      </w:r>
      <w:proofErr w:type="spellEnd"/>
      <w:r w:rsidR="007476FC" w:rsidRPr="000332FE">
        <w:rPr>
          <w:szCs w:val="24"/>
        </w:rPr>
        <w:t xml:space="preserve"> </w:t>
      </w:r>
      <w:proofErr w:type="spellStart"/>
      <w:r w:rsidR="007476FC" w:rsidRPr="000332FE">
        <w:rPr>
          <w:i/>
          <w:szCs w:val="24"/>
        </w:rPr>
        <w:t>Volksblätter</w:t>
      </w:r>
      <w:proofErr w:type="spellEnd"/>
      <w:r w:rsidR="007476FC" w:rsidRPr="000332FE">
        <w:rPr>
          <w:szCs w:val="24"/>
        </w:rPr>
        <w:t xml:space="preserve"> pr</w:t>
      </w:r>
      <w:r w:rsidR="002C13AB" w:rsidRPr="000332FE">
        <w:rPr>
          <w:szCs w:val="24"/>
        </w:rPr>
        <w:t>int appeals to the Saxon army: “</w:t>
      </w:r>
      <w:r w:rsidR="007476FC" w:rsidRPr="000332FE">
        <w:rPr>
          <w:szCs w:val="24"/>
        </w:rPr>
        <w:t xml:space="preserve">Are </w:t>
      </w:r>
      <w:r w:rsidR="007476FC" w:rsidRPr="000332FE">
        <w:rPr>
          <w:szCs w:val="24"/>
        </w:rPr>
        <w:lastRenderedPageBreak/>
        <w:t>you with us against foreign troops?</w:t>
      </w:r>
      <w:r w:rsidR="002C13AB" w:rsidRPr="000332FE">
        <w:rPr>
          <w:szCs w:val="24"/>
        </w:rPr>
        <w:t>” (ML/E 394).</w:t>
      </w:r>
      <w:r w:rsidR="007476FC" w:rsidRPr="000332FE">
        <w:rPr>
          <w:szCs w:val="24"/>
        </w:rPr>
        <w:t xml:space="preserve"> Wagner probably ordered hand-grenades; he certainly served on the barricades and acted as look-out, observing street-fighting from the </w:t>
      </w:r>
      <w:proofErr w:type="spellStart"/>
      <w:r w:rsidR="007476FC" w:rsidRPr="000332FE">
        <w:rPr>
          <w:szCs w:val="24"/>
        </w:rPr>
        <w:t>Kreuzkirche</w:t>
      </w:r>
      <w:proofErr w:type="spellEnd"/>
      <w:r w:rsidR="007476FC" w:rsidRPr="000332FE">
        <w:rPr>
          <w:szCs w:val="24"/>
        </w:rPr>
        <w:t xml:space="preserve"> tower, whilst engaging in animated politico-philosophical discussion. Prussians entered the </w:t>
      </w:r>
      <w:proofErr w:type="spellStart"/>
      <w:r w:rsidR="007476FC" w:rsidRPr="000332FE">
        <w:rPr>
          <w:szCs w:val="24"/>
        </w:rPr>
        <w:t>Neustadt</w:t>
      </w:r>
      <w:proofErr w:type="spellEnd"/>
      <w:r w:rsidR="007476FC" w:rsidRPr="000332FE">
        <w:rPr>
          <w:szCs w:val="24"/>
        </w:rPr>
        <w:t xml:space="preserve"> on </w:t>
      </w:r>
      <w:r w:rsidR="002C13AB" w:rsidRPr="000332FE">
        <w:rPr>
          <w:szCs w:val="24"/>
        </w:rPr>
        <w:t xml:space="preserve">April </w:t>
      </w:r>
      <w:r w:rsidR="007476FC" w:rsidRPr="000332FE">
        <w:rPr>
          <w:szCs w:val="24"/>
        </w:rPr>
        <w:t>6</w:t>
      </w:r>
      <w:r w:rsidR="002C13AB" w:rsidRPr="000332FE">
        <w:rPr>
          <w:szCs w:val="24"/>
        </w:rPr>
        <w:t>. “</w:t>
      </w:r>
      <w:r w:rsidR="007476FC" w:rsidRPr="000332FE">
        <w:rPr>
          <w:szCs w:val="24"/>
        </w:rPr>
        <w:t>Immediately the troops, supported by several cannon, opened an attack on … the people’</w:t>
      </w:r>
      <w:r w:rsidR="001C4784" w:rsidRPr="000332FE">
        <w:rPr>
          <w:szCs w:val="24"/>
        </w:rPr>
        <w:t>s forces on the new marketplace</w:t>
      </w:r>
      <w:r w:rsidR="002C13AB" w:rsidRPr="000332FE">
        <w:rPr>
          <w:szCs w:val="24"/>
        </w:rPr>
        <w:t>” (ML/ 397).</w:t>
      </w:r>
      <w:r w:rsidR="007476FC" w:rsidRPr="000332FE">
        <w:rPr>
          <w:szCs w:val="24"/>
        </w:rPr>
        <w:t xml:space="preserve"> On </w:t>
      </w:r>
      <w:r w:rsidR="002C13AB" w:rsidRPr="000332FE">
        <w:rPr>
          <w:szCs w:val="24"/>
        </w:rPr>
        <w:t xml:space="preserve">April </w:t>
      </w:r>
      <w:r w:rsidR="007476FC" w:rsidRPr="000332FE">
        <w:rPr>
          <w:szCs w:val="24"/>
        </w:rPr>
        <w:t xml:space="preserve">7, </w:t>
      </w:r>
      <w:r w:rsidR="001C4784" w:rsidRPr="000332FE">
        <w:rPr>
          <w:szCs w:val="24"/>
        </w:rPr>
        <w:t xml:space="preserve">miners from the Erzgebirge singing the </w:t>
      </w:r>
      <w:r w:rsidR="001C4784" w:rsidRPr="000332FE">
        <w:rPr>
          <w:i/>
          <w:szCs w:val="24"/>
        </w:rPr>
        <w:t>Marseillaise</w:t>
      </w:r>
      <w:r w:rsidR="001C4784" w:rsidRPr="000332FE">
        <w:rPr>
          <w:szCs w:val="24"/>
        </w:rPr>
        <w:t xml:space="preserve"> arrived to reinforce the opposition</w:t>
      </w:r>
      <w:r w:rsidR="007476FC" w:rsidRPr="000332FE">
        <w:rPr>
          <w:szCs w:val="24"/>
        </w:rPr>
        <w:t xml:space="preserve">. However, Prussian and loyalist troops </w:t>
      </w:r>
      <w:r w:rsidR="001C4784" w:rsidRPr="000332FE">
        <w:rPr>
          <w:szCs w:val="24"/>
        </w:rPr>
        <w:t xml:space="preserve">outnumbered the rebels and </w:t>
      </w:r>
      <w:r w:rsidR="007476FC" w:rsidRPr="000332FE">
        <w:rPr>
          <w:szCs w:val="24"/>
        </w:rPr>
        <w:t xml:space="preserve">were gaining ground, </w:t>
      </w:r>
      <w:r w:rsidR="001C4784" w:rsidRPr="000332FE">
        <w:rPr>
          <w:szCs w:val="24"/>
        </w:rPr>
        <w:t xml:space="preserve">even </w:t>
      </w:r>
      <w:r w:rsidR="007476FC" w:rsidRPr="000332FE">
        <w:rPr>
          <w:szCs w:val="24"/>
        </w:rPr>
        <w:t>though barricades meant that every street</w:t>
      </w:r>
      <w:r w:rsidR="001C4784" w:rsidRPr="000332FE">
        <w:rPr>
          <w:szCs w:val="24"/>
        </w:rPr>
        <w:t xml:space="preserve"> was hard fought</w:t>
      </w:r>
      <w:r w:rsidR="007476FC" w:rsidRPr="000332FE">
        <w:rPr>
          <w:szCs w:val="24"/>
        </w:rPr>
        <w:t xml:space="preserve">. As the provisional government began an unsurprisingly abortive attempt to retreat to the Erzgebirge, to encourage revolt across Germany, </w:t>
      </w:r>
      <w:r w:rsidR="001C4784" w:rsidRPr="000332FE">
        <w:rPr>
          <w:szCs w:val="24"/>
        </w:rPr>
        <w:t>Dresden’s streets, including the</w:t>
      </w:r>
      <w:r w:rsidR="007476FC" w:rsidRPr="000332FE">
        <w:rPr>
          <w:szCs w:val="24"/>
        </w:rPr>
        <w:t xml:space="preserve"> opera house were ablaze. </w:t>
      </w:r>
      <w:r w:rsidR="001C4784" w:rsidRPr="000332FE">
        <w:rPr>
          <w:szCs w:val="24"/>
        </w:rPr>
        <w:t xml:space="preserve">In his Introduction to </w:t>
      </w:r>
      <w:r w:rsidR="007476FC" w:rsidRPr="000332FE">
        <w:rPr>
          <w:szCs w:val="24"/>
        </w:rPr>
        <w:t xml:space="preserve">Marx’s </w:t>
      </w:r>
      <w:r w:rsidR="007476FC" w:rsidRPr="000332FE">
        <w:rPr>
          <w:i/>
          <w:szCs w:val="24"/>
        </w:rPr>
        <w:t>The Class Struggles in France</w:t>
      </w:r>
      <w:r w:rsidR="007476FC" w:rsidRPr="000332FE">
        <w:rPr>
          <w:szCs w:val="24"/>
        </w:rPr>
        <w:t>, Engels would bracket Dresden’s barricade heroism with that of Paris and Vienna, yet also pointed to the inevitable</w:t>
      </w:r>
      <w:r w:rsidR="001C4784" w:rsidRPr="000332FE">
        <w:rPr>
          <w:szCs w:val="24"/>
        </w:rPr>
        <w:t>, once politics</w:t>
      </w:r>
      <w:r w:rsidR="007476FC" w:rsidRPr="000332FE">
        <w:rPr>
          <w:szCs w:val="24"/>
        </w:rPr>
        <w:t xml:space="preserve"> </w:t>
      </w:r>
      <w:r w:rsidR="001C4784" w:rsidRPr="000332FE">
        <w:rPr>
          <w:szCs w:val="24"/>
        </w:rPr>
        <w:t>gave way</w:t>
      </w:r>
      <w:r w:rsidR="007476FC" w:rsidRPr="000332FE">
        <w:rPr>
          <w:szCs w:val="24"/>
        </w:rPr>
        <w:t xml:space="preserve"> to the </w:t>
      </w:r>
      <w:r w:rsidR="002C13AB" w:rsidRPr="000332FE">
        <w:rPr>
          <w:szCs w:val="24"/>
        </w:rPr>
        <w:t>“purely military standpoint</w:t>
      </w:r>
      <w:r w:rsidR="007476FC" w:rsidRPr="000332FE">
        <w:rPr>
          <w:szCs w:val="24"/>
        </w:rPr>
        <w:t>.</w:t>
      </w:r>
      <w:r w:rsidR="002C13AB" w:rsidRPr="000332FE">
        <w:rPr>
          <w:szCs w:val="24"/>
        </w:rPr>
        <w:t>”</w:t>
      </w:r>
      <w:r w:rsidR="007476FC" w:rsidRPr="000332FE">
        <w:rPr>
          <w:szCs w:val="24"/>
        </w:rPr>
        <w:t xml:space="preserve"> </w:t>
      </w:r>
    </w:p>
    <w:p w:rsidR="007476FC" w:rsidRPr="000332FE" w:rsidRDefault="007476FC" w:rsidP="00ED7822">
      <w:pPr>
        <w:ind w:firstLine="720"/>
        <w:rPr>
          <w:szCs w:val="24"/>
        </w:rPr>
      </w:pPr>
      <w:r w:rsidRPr="000332FE">
        <w:rPr>
          <w:szCs w:val="24"/>
        </w:rPr>
        <w:t xml:space="preserve">Repression was brutal. Many leaders, participants, and </w:t>
      </w:r>
      <w:r w:rsidR="000332FE" w:rsidRPr="000332FE">
        <w:rPr>
          <w:szCs w:val="24"/>
        </w:rPr>
        <w:t>sympathizers</w:t>
      </w:r>
      <w:r w:rsidRPr="000332FE">
        <w:rPr>
          <w:szCs w:val="24"/>
        </w:rPr>
        <w:t xml:space="preserve"> w</w:t>
      </w:r>
      <w:r w:rsidR="006B0DD6" w:rsidRPr="000332FE">
        <w:rPr>
          <w:szCs w:val="24"/>
        </w:rPr>
        <w:t xml:space="preserve">ere killed or punished: Bakunin, </w:t>
      </w:r>
      <w:proofErr w:type="spellStart"/>
      <w:r w:rsidRPr="000332FE">
        <w:rPr>
          <w:szCs w:val="24"/>
        </w:rPr>
        <w:t>Röckel</w:t>
      </w:r>
      <w:proofErr w:type="spellEnd"/>
      <w:r w:rsidRPr="000332FE">
        <w:rPr>
          <w:szCs w:val="24"/>
        </w:rPr>
        <w:t xml:space="preserve">, </w:t>
      </w:r>
      <w:r w:rsidR="006B0DD6" w:rsidRPr="000332FE">
        <w:rPr>
          <w:szCs w:val="24"/>
        </w:rPr>
        <w:t>and</w:t>
      </w:r>
      <w:r w:rsidRPr="000332FE">
        <w:rPr>
          <w:szCs w:val="24"/>
        </w:rPr>
        <w:t xml:space="preserve"> even </w:t>
      </w:r>
      <w:proofErr w:type="spellStart"/>
      <w:r w:rsidRPr="000332FE">
        <w:rPr>
          <w:smallCaps/>
          <w:szCs w:val="24"/>
        </w:rPr>
        <w:t>Wilhelmine</w:t>
      </w:r>
      <w:proofErr w:type="spellEnd"/>
      <w:r w:rsidRPr="000332FE">
        <w:rPr>
          <w:smallCaps/>
          <w:szCs w:val="24"/>
        </w:rPr>
        <w:t xml:space="preserve"> </w:t>
      </w:r>
      <w:proofErr w:type="spellStart"/>
      <w:r w:rsidRPr="000332FE">
        <w:rPr>
          <w:smallCaps/>
          <w:szCs w:val="24"/>
        </w:rPr>
        <w:t>Schröder-Devrient</w:t>
      </w:r>
      <w:proofErr w:type="spellEnd"/>
      <w:r w:rsidR="006B0DD6" w:rsidRPr="000332FE">
        <w:rPr>
          <w:szCs w:val="24"/>
        </w:rPr>
        <w:t xml:space="preserve"> were</w:t>
      </w:r>
      <w:r w:rsidRPr="000332FE">
        <w:rPr>
          <w:szCs w:val="24"/>
        </w:rPr>
        <w:t xml:space="preserve"> arraigned. By chance, and with </w:t>
      </w:r>
      <w:r w:rsidRPr="000332FE">
        <w:rPr>
          <w:smallCaps/>
          <w:szCs w:val="24"/>
        </w:rPr>
        <w:t>Liszt</w:t>
      </w:r>
      <w:r w:rsidRPr="000332FE">
        <w:rPr>
          <w:szCs w:val="24"/>
        </w:rPr>
        <w:t xml:space="preserve">’s help, Wagner escaped into Swiss exile, </w:t>
      </w:r>
      <w:r w:rsidR="00510476" w:rsidRPr="000332FE">
        <w:rPr>
          <w:szCs w:val="24"/>
        </w:rPr>
        <w:t>intending</w:t>
      </w:r>
      <w:r w:rsidRPr="000332FE">
        <w:rPr>
          <w:szCs w:val="24"/>
        </w:rPr>
        <w:t xml:space="preserve"> in the </w:t>
      </w:r>
      <w:r w:rsidRPr="000332FE">
        <w:rPr>
          <w:i/>
          <w:smallCaps/>
          <w:szCs w:val="24"/>
        </w:rPr>
        <w:t>Ring</w:t>
      </w:r>
      <w:r w:rsidRPr="000332FE">
        <w:rPr>
          <w:szCs w:val="24"/>
        </w:rPr>
        <w:t xml:space="preserve">, as he explained, </w:t>
      </w:r>
      <w:r w:rsidR="006B0DD6" w:rsidRPr="000332FE">
        <w:rPr>
          <w:szCs w:val="24"/>
        </w:rPr>
        <w:t>to “</w:t>
      </w:r>
      <w:r w:rsidRPr="000332FE">
        <w:rPr>
          <w:szCs w:val="24"/>
        </w:rPr>
        <w:t xml:space="preserve">make clear to the men of the Revolution the </w:t>
      </w:r>
      <w:r w:rsidRPr="000332FE">
        <w:rPr>
          <w:i/>
          <w:szCs w:val="24"/>
        </w:rPr>
        <w:t xml:space="preserve">meaning </w:t>
      </w:r>
      <w:r w:rsidRPr="000332FE">
        <w:rPr>
          <w:szCs w:val="24"/>
        </w:rPr>
        <w:t>of that Rev</w:t>
      </w:r>
      <w:r w:rsidR="006B0DD6" w:rsidRPr="000332FE">
        <w:rPr>
          <w:szCs w:val="24"/>
        </w:rPr>
        <w:t>olution, in its noblest sense” (</w:t>
      </w:r>
      <w:r w:rsidR="007B49DF">
        <w:rPr>
          <w:szCs w:val="24"/>
        </w:rPr>
        <w:t>Wagner</w:t>
      </w:r>
      <w:r w:rsidR="006B0DD6" w:rsidRPr="000332FE">
        <w:t xml:space="preserve"> to </w:t>
      </w:r>
      <w:proofErr w:type="spellStart"/>
      <w:r w:rsidR="006B0DD6" w:rsidRPr="000332FE">
        <w:t>Uhlig</w:t>
      </w:r>
      <w:proofErr w:type="spellEnd"/>
      <w:r w:rsidR="006B0DD6" w:rsidRPr="000332FE">
        <w:t>, 12 Nov</w:t>
      </w:r>
      <w:r w:rsidR="00ED7822">
        <w:t>.</w:t>
      </w:r>
      <w:r w:rsidR="006B0DD6" w:rsidRPr="000332FE">
        <w:t xml:space="preserve"> 1851).</w:t>
      </w:r>
    </w:p>
    <w:p w:rsidR="007476FC" w:rsidRPr="000332FE" w:rsidRDefault="00510476" w:rsidP="00510476">
      <w:pPr>
        <w:jc w:val="right"/>
        <w:rPr>
          <w:szCs w:val="24"/>
        </w:rPr>
      </w:pPr>
      <w:r w:rsidRPr="000332FE">
        <w:rPr>
          <w:szCs w:val="24"/>
        </w:rPr>
        <w:t>MARK BERRY</w:t>
      </w:r>
    </w:p>
    <w:p w:rsidR="008374EA" w:rsidRPr="008374EA" w:rsidRDefault="008374EA" w:rsidP="008374EA">
      <w:pPr>
        <w:ind w:left="720" w:hanging="720"/>
        <w:rPr>
          <w:szCs w:val="24"/>
          <w:lang w:val="de-DE"/>
        </w:rPr>
      </w:pPr>
      <w:r w:rsidRPr="008374EA">
        <w:rPr>
          <w:szCs w:val="24"/>
          <w:lang w:val="de-DE"/>
        </w:rPr>
        <w:t>Eduard Devrient</w:t>
      </w:r>
      <w:r>
        <w:rPr>
          <w:szCs w:val="24"/>
          <w:lang w:val="de-DE"/>
        </w:rPr>
        <w:t xml:space="preserve">, </w:t>
      </w:r>
      <w:r w:rsidRPr="008374EA">
        <w:rPr>
          <w:i/>
          <w:szCs w:val="24"/>
          <w:lang w:val="de-DE"/>
        </w:rPr>
        <w:t>Aus seinen Tagebüchern</w:t>
      </w:r>
      <w:r w:rsidRPr="008374EA">
        <w:rPr>
          <w:szCs w:val="24"/>
          <w:lang w:val="de-DE"/>
        </w:rPr>
        <w:t xml:space="preserve">, </w:t>
      </w:r>
      <w:r>
        <w:rPr>
          <w:szCs w:val="24"/>
          <w:lang w:val="de-DE"/>
        </w:rPr>
        <w:t>ed</w:t>
      </w:r>
      <w:r w:rsidRPr="008374EA">
        <w:rPr>
          <w:szCs w:val="24"/>
          <w:lang w:val="de-DE"/>
        </w:rPr>
        <w:t>. Rolf Kabel (Weimar: Böhlau</w:t>
      </w:r>
      <w:bookmarkStart w:id="0" w:name="_GoBack"/>
      <w:bookmarkEnd w:id="0"/>
      <w:r w:rsidRPr="008374EA">
        <w:rPr>
          <w:szCs w:val="24"/>
          <w:lang w:val="de-DE"/>
        </w:rPr>
        <w:t>, 1964)</w:t>
      </w:r>
      <w:r>
        <w:rPr>
          <w:szCs w:val="24"/>
          <w:lang w:val="de-DE"/>
        </w:rPr>
        <w:t>.</w:t>
      </w:r>
    </w:p>
    <w:p w:rsidR="007476FC" w:rsidRPr="000332FE" w:rsidRDefault="00510476" w:rsidP="00510476">
      <w:pPr>
        <w:ind w:left="720" w:hanging="720"/>
        <w:rPr>
          <w:szCs w:val="24"/>
        </w:rPr>
      </w:pPr>
      <w:r w:rsidRPr="000332FE">
        <w:rPr>
          <w:szCs w:val="24"/>
        </w:rPr>
        <w:t>Frederick Engels, “</w:t>
      </w:r>
      <w:r w:rsidR="007476FC" w:rsidRPr="000332FE">
        <w:rPr>
          <w:szCs w:val="24"/>
        </w:rPr>
        <w:t>Revolution and</w:t>
      </w:r>
      <w:r w:rsidRPr="000332FE">
        <w:rPr>
          <w:szCs w:val="24"/>
        </w:rPr>
        <w:t xml:space="preserve"> Counter-Revolution in Germany,”</w:t>
      </w:r>
      <w:r w:rsidR="007476FC" w:rsidRPr="000332FE">
        <w:rPr>
          <w:szCs w:val="24"/>
        </w:rPr>
        <w:t xml:space="preserve"> in Karl Marx and Frederick Engels, </w:t>
      </w:r>
      <w:r w:rsidR="007476FC" w:rsidRPr="000332FE">
        <w:rPr>
          <w:i/>
          <w:szCs w:val="24"/>
        </w:rPr>
        <w:t>Selected Works</w:t>
      </w:r>
      <w:r w:rsidR="007476FC" w:rsidRPr="000332FE">
        <w:rPr>
          <w:szCs w:val="24"/>
        </w:rPr>
        <w:t>, 3 vols. (Progress: Moscow, 1970), 1</w:t>
      </w:r>
      <w:r w:rsidRPr="000332FE">
        <w:rPr>
          <w:szCs w:val="24"/>
        </w:rPr>
        <w:t>:</w:t>
      </w:r>
      <w:r w:rsidR="007476FC" w:rsidRPr="000332FE">
        <w:rPr>
          <w:szCs w:val="24"/>
        </w:rPr>
        <w:t xml:space="preserve"> 300-89</w:t>
      </w:r>
      <w:r w:rsidRPr="000332FE">
        <w:rPr>
          <w:szCs w:val="24"/>
        </w:rPr>
        <w:t>.</w:t>
      </w:r>
    </w:p>
    <w:p w:rsidR="007476FC" w:rsidRPr="000332FE" w:rsidRDefault="007476FC" w:rsidP="00510476">
      <w:pPr>
        <w:ind w:left="720" w:hanging="720"/>
        <w:rPr>
          <w:rFonts w:eastAsia="Times New Roman"/>
          <w:color w:val="333333"/>
          <w:szCs w:val="24"/>
          <w:lang w:eastAsia="en-GB"/>
        </w:rPr>
      </w:pPr>
      <w:r w:rsidRPr="000332FE">
        <w:rPr>
          <w:rFonts w:eastAsia="Times New Roman"/>
          <w:color w:val="333333"/>
          <w:szCs w:val="24"/>
          <w:lang w:eastAsia="en-GB"/>
        </w:rPr>
        <w:t xml:space="preserve">Jonathan </w:t>
      </w:r>
      <w:proofErr w:type="spellStart"/>
      <w:r w:rsidRPr="000332FE">
        <w:rPr>
          <w:rFonts w:eastAsia="Times New Roman"/>
          <w:color w:val="333333"/>
          <w:szCs w:val="24"/>
          <w:lang w:eastAsia="en-GB"/>
        </w:rPr>
        <w:t>Sperber</w:t>
      </w:r>
      <w:proofErr w:type="spellEnd"/>
      <w:r w:rsidRPr="000332FE">
        <w:rPr>
          <w:rFonts w:eastAsia="Times New Roman"/>
          <w:color w:val="333333"/>
          <w:szCs w:val="24"/>
          <w:lang w:eastAsia="en-GB"/>
        </w:rPr>
        <w:t xml:space="preserve">, </w:t>
      </w:r>
      <w:r w:rsidRPr="000332FE">
        <w:rPr>
          <w:rFonts w:eastAsia="Times New Roman"/>
          <w:i/>
          <w:color w:val="333333"/>
          <w:szCs w:val="24"/>
          <w:lang w:eastAsia="en-GB"/>
        </w:rPr>
        <w:t>The European Revolutions, 1848-1851</w:t>
      </w:r>
      <w:r w:rsidRPr="000332FE">
        <w:rPr>
          <w:rFonts w:eastAsia="Times New Roman"/>
          <w:color w:val="333333"/>
          <w:szCs w:val="24"/>
          <w:lang w:eastAsia="en-GB"/>
        </w:rPr>
        <w:t xml:space="preserve"> (Cambridge UP: Cambridge, 1994)</w:t>
      </w:r>
      <w:r w:rsidR="00510476" w:rsidRPr="000332FE">
        <w:rPr>
          <w:rFonts w:eastAsia="Times New Roman"/>
          <w:color w:val="333333"/>
          <w:szCs w:val="24"/>
          <w:lang w:eastAsia="en-GB"/>
        </w:rPr>
        <w:t>.</w:t>
      </w:r>
    </w:p>
    <w:p w:rsidR="006B196F" w:rsidRPr="000332FE" w:rsidRDefault="006B196F"/>
    <w:sectPr w:rsidR="006B196F" w:rsidRPr="000332FE" w:rsidSect="006B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30" w:rsidRDefault="00AE1730" w:rsidP="007476FC">
      <w:pPr>
        <w:spacing w:line="240" w:lineRule="auto"/>
      </w:pPr>
      <w:r>
        <w:separator/>
      </w:r>
    </w:p>
  </w:endnote>
  <w:endnote w:type="continuationSeparator" w:id="0">
    <w:p w:rsidR="00AE1730" w:rsidRDefault="00AE1730" w:rsidP="0074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30" w:rsidRDefault="00AE1730" w:rsidP="007476FC">
      <w:pPr>
        <w:spacing w:line="240" w:lineRule="auto"/>
      </w:pPr>
      <w:r>
        <w:separator/>
      </w:r>
    </w:p>
  </w:footnote>
  <w:footnote w:type="continuationSeparator" w:id="0">
    <w:p w:rsidR="00AE1730" w:rsidRDefault="00AE1730" w:rsidP="007476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6FC"/>
    <w:rsid w:val="0000274D"/>
    <w:rsid w:val="000332FE"/>
    <w:rsid w:val="001C4784"/>
    <w:rsid w:val="00210FC2"/>
    <w:rsid w:val="0026706C"/>
    <w:rsid w:val="002C13AB"/>
    <w:rsid w:val="002F30A4"/>
    <w:rsid w:val="003245A4"/>
    <w:rsid w:val="00354B41"/>
    <w:rsid w:val="00384ECC"/>
    <w:rsid w:val="004B1EEF"/>
    <w:rsid w:val="00510476"/>
    <w:rsid w:val="00655E71"/>
    <w:rsid w:val="006B0DD6"/>
    <w:rsid w:val="006B196F"/>
    <w:rsid w:val="007476FC"/>
    <w:rsid w:val="007B037D"/>
    <w:rsid w:val="007B49DF"/>
    <w:rsid w:val="008374EA"/>
    <w:rsid w:val="008B7710"/>
    <w:rsid w:val="008E55B7"/>
    <w:rsid w:val="00974651"/>
    <w:rsid w:val="009A52CC"/>
    <w:rsid w:val="00A060C4"/>
    <w:rsid w:val="00AA01D1"/>
    <w:rsid w:val="00AE1730"/>
    <w:rsid w:val="00B357F1"/>
    <w:rsid w:val="00C25C17"/>
    <w:rsid w:val="00C87048"/>
    <w:rsid w:val="00D4019E"/>
    <w:rsid w:val="00D764E2"/>
    <w:rsid w:val="00E01BFC"/>
    <w:rsid w:val="00E276B3"/>
    <w:rsid w:val="00E5332F"/>
    <w:rsid w:val="00E81140"/>
    <w:rsid w:val="00EC6636"/>
    <w:rsid w:val="00ED7822"/>
    <w:rsid w:val="00F04C94"/>
    <w:rsid w:val="00F32E27"/>
    <w:rsid w:val="00F56759"/>
    <w:rsid w:val="00F6539A"/>
    <w:rsid w:val="00FD1A76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4D"/>
    <w:pPr>
      <w:spacing w:after="0" w:line="48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04C94"/>
    <w:pPr>
      <w:keepNext/>
      <w:spacing w:line="240" w:lineRule="auto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52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theme="majorBidi"/>
      <w:sz w:val="28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6FC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76F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F04C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Vazsonyi</dc:creator>
  <cp:keywords/>
  <dc:description/>
  <cp:lastModifiedBy>Nicholas Vazsonyi</cp:lastModifiedBy>
  <cp:revision>21</cp:revision>
  <dcterms:created xsi:type="dcterms:W3CDTF">2011-01-04T15:40:00Z</dcterms:created>
  <dcterms:modified xsi:type="dcterms:W3CDTF">2011-05-13T13:40:00Z</dcterms:modified>
</cp:coreProperties>
</file>