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4D739" w14:textId="77777777" w:rsidR="00077DEE" w:rsidRPr="00482722" w:rsidRDefault="00077DEE" w:rsidP="00DA5EEC">
      <w:pPr>
        <w:spacing w:line="240" w:lineRule="auto"/>
        <w:rPr>
          <w:rFonts w:ascii="Arial" w:hAnsi="Arial" w:cs="Arial"/>
          <w:sz w:val="20"/>
          <w:szCs w:val="20"/>
          <w:lang w:val="en-US"/>
        </w:rPr>
      </w:pPr>
    </w:p>
    <w:p w14:paraId="0E691A19" w14:textId="0FEB9209" w:rsidR="006C28EB" w:rsidRPr="00482722" w:rsidRDefault="009F7888" w:rsidP="009F7888">
      <w:pPr>
        <w:pStyle w:val="CommentText"/>
        <w:rPr>
          <w:rStyle w:val="Strong"/>
          <w:rFonts w:ascii="Arial" w:hAnsi="Arial" w:cs="Arial"/>
          <w:b w:val="0"/>
          <w:bCs w:val="0"/>
          <w:sz w:val="24"/>
          <w:szCs w:val="24"/>
        </w:rPr>
      </w:pPr>
      <w:bookmarkStart w:id="0" w:name="_Hlk65085654"/>
      <w:r w:rsidRPr="00482722">
        <w:rPr>
          <w:rFonts w:ascii="Arial" w:hAnsi="Arial" w:cs="Arial"/>
          <w:b/>
          <w:bCs/>
          <w:sz w:val="24"/>
          <w:szCs w:val="24"/>
        </w:rPr>
        <w:t>The impact of service quality, trust and satisfaction on young citizen loyalty towards government e-services</w:t>
      </w:r>
      <w:r w:rsidRPr="00482722">
        <w:rPr>
          <w:rFonts w:ascii="Arial" w:hAnsi="Arial" w:cs="Arial"/>
          <w:sz w:val="24"/>
          <w:szCs w:val="24"/>
        </w:rPr>
        <w:t xml:space="preserve"> </w:t>
      </w:r>
      <w:bookmarkEnd w:id="0"/>
    </w:p>
    <w:p w14:paraId="7A97035E" w14:textId="77777777" w:rsidR="006C28EB" w:rsidRPr="00482722" w:rsidRDefault="006C28EB">
      <w:pPr>
        <w:spacing w:line="240" w:lineRule="auto"/>
        <w:jc w:val="both"/>
        <w:outlineLvl w:val="0"/>
        <w:rPr>
          <w:rStyle w:val="Strong"/>
          <w:rFonts w:ascii="Calibri" w:hAnsi="Calibri" w:cs="Calibri"/>
          <w:shd w:val="clear" w:color="auto" w:fill="FFFFFF"/>
        </w:rPr>
      </w:pPr>
    </w:p>
    <w:p w14:paraId="1F8A7933" w14:textId="17A7FF9E" w:rsidR="00C46CCD" w:rsidRPr="00482722" w:rsidRDefault="00C46CCD">
      <w:pPr>
        <w:spacing w:line="240" w:lineRule="auto"/>
        <w:jc w:val="both"/>
        <w:outlineLvl w:val="0"/>
        <w:rPr>
          <w:rFonts w:ascii="Arial" w:hAnsi="Arial" w:cs="Arial"/>
          <w:b/>
          <w:bCs/>
          <w:sz w:val="20"/>
          <w:szCs w:val="20"/>
        </w:rPr>
      </w:pPr>
      <w:r w:rsidRPr="00482722">
        <w:rPr>
          <w:rFonts w:ascii="Arial" w:hAnsi="Arial" w:cs="Arial"/>
          <w:b/>
          <w:bCs/>
          <w:sz w:val="20"/>
          <w:szCs w:val="20"/>
        </w:rPr>
        <w:t>Abstract</w:t>
      </w:r>
    </w:p>
    <w:p w14:paraId="1E586069" w14:textId="77777777" w:rsidR="00C46CCD" w:rsidRPr="00482722" w:rsidRDefault="00C46CCD" w:rsidP="007B79E6">
      <w:pPr>
        <w:pStyle w:val="Heading1"/>
        <w:numPr>
          <w:ilvl w:val="0"/>
          <w:numId w:val="0"/>
        </w:numPr>
        <w:spacing w:line="240" w:lineRule="auto"/>
        <w:ind w:left="360" w:hanging="360"/>
        <w:rPr>
          <w:rFonts w:ascii="Arial" w:hAnsi="Arial" w:cs="Arial"/>
          <w:sz w:val="20"/>
          <w:szCs w:val="20"/>
        </w:rPr>
      </w:pPr>
      <w:r w:rsidRPr="00482722">
        <w:rPr>
          <w:rFonts w:ascii="Arial" w:hAnsi="Arial" w:cs="Arial"/>
          <w:sz w:val="20"/>
          <w:szCs w:val="20"/>
        </w:rPr>
        <w:t>Purpose</w:t>
      </w:r>
    </w:p>
    <w:p w14:paraId="3F776F8A" w14:textId="73C62574" w:rsidR="00C46CCD" w:rsidRPr="00482722" w:rsidRDefault="0070729A">
      <w:pPr>
        <w:spacing w:line="240" w:lineRule="auto"/>
        <w:jc w:val="both"/>
        <w:rPr>
          <w:rFonts w:ascii="Arial" w:hAnsi="Arial" w:cs="Arial"/>
          <w:sz w:val="20"/>
          <w:szCs w:val="20"/>
        </w:rPr>
      </w:pPr>
      <w:r w:rsidRPr="00482722">
        <w:rPr>
          <w:rFonts w:ascii="Arial" w:hAnsi="Arial" w:cs="Arial"/>
          <w:sz w:val="20"/>
          <w:szCs w:val="20"/>
        </w:rPr>
        <w:t xml:space="preserve">This </w:t>
      </w:r>
      <w:r w:rsidR="00C46CCD" w:rsidRPr="00482722">
        <w:rPr>
          <w:rFonts w:ascii="Arial" w:hAnsi="Arial" w:cs="Arial"/>
          <w:sz w:val="20"/>
          <w:szCs w:val="20"/>
        </w:rPr>
        <w:t>study</w:t>
      </w:r>
      <w:r w:rsidRPr="00482722">
        <w:rPr>
          <w:rFonts w:ascii="Arial" w:hAnsi="Arial" w:cs="Arial"/>
          <w:sz w:val="20"/>
          <w:szCs w:val="20"/>
        </w:rPr>
        <w:t xml:space="preserve"> </w:t>
      </w:r>
      <w:r w:rsidR="00B77EB7" w:rsidRPr="00482722">
        <w:rPr>
          <w:rFonts w:ascii="Arial" w:hAnsi="Arial" w:cs="Arial"/>
          <w:sz w:val="20"/>
          <w:szCs w:val="20"/>
        </w:rPr>
        <w:t>examine</w:t>
      </w:r>
      <w:r w:rsidR="00D532CB" w:rsidRPr="00482722">
        <w:rPr>
          <w:rFonts w:ascii="Arial" w:hAnsi="Arial" w:cs="Arial"/>
          <w:sz w:val="20"/>
          <w:szCs w:val="20"/>
        </w:rPr>
        <w:t>s</w:t>
      </w:r>
      <w:r w:rsidR="00B77EB7" w:rsidRPr="00482722">
        <w:rPr>
          <w:rFonts w:ascii="Arial" w:hAnsi="Arial" w:cs="Arial"/>
          <w:sz w:val="20"/>
          <w:szCs w:val="20"/>
        </w:rPr>
        <w:t xml:space="preserve"> the effect of multidimensional constructs on citizen loyalty to </w:t>
      </w:r>
      <w:r w:rsidR="00025A57" w:rsidRPr="00482722">
        <w:rPr>
          <w:rFonts w:ascii="Arial" w:hAnsi="Arial" w:cs="Arial"/>
          <w:sz w:val="20"/>
          <w:szCs w:val="20"/>
        </w:rPr>
        <w:t xml:space="preserve">e-government </w:t>
      </w:r>
      <w:r w:rsidR="00B77EB7" w:rsidRPr="00482722">
        <w:rPr>
          <w:rFonts w:ascii="Arial" w:hAnsi="Arial" w:cs="Arial"/>
          <w:sz w:val="20"/>
          <w:szCs w:val="20"/>
        </w:rPr>
        <w:t>services. More specifically, it</w:t>
      </w:r>
      <w:r w:rsidR="00C46CCD" w:rsidRPr="00482722">
        <w:rPr>
          <w:rFonts w:ascii="Arial" w:hAnsi="Arial" w:cs="Arial"/>
          <w:sz w:val="20"/>
          <w:szCs w:val="20"/>
        </w:rPr>
        <w:t xml:space="preserve"> examine</w:t>
      </w:r>
      <w:r w:rsidR="00B77EB7" w:rsidRPr="00482722">
        <w:rPr>
          <w:rFonts w:ascii="Arial" w:hAnsi="Arial" w:cs="Arial"/>
          <w:sz w:val="20"/>
          <w:szCs w:val="20"/>
        </w:rPr>
        <w:t>s</w:t>
      </w:r>
      <w:r w:rsidR="00C46CCD" w:rsidRPr="00482722">
        <w:rPr>
          <w:rFonts w:ascii="Arial" w:hAnsi="Arial" w:cs="Arial"/>
          <w:sz w:val="20"/>
          <w:szCs w:val="20"/>
        </w:rPr>
        <w:t xml:space="preserve"> the effect</w:t>
      </w:r>
      <w:r w:rsidR="004549C9" w:rsidRPr="00482722">
        <w:rPr>
          <w:rFonts w:ascii="Arial" w:hAnsi="Arial" w:cs="Arial"/>
          <w:sz w:val="20"/>
          <w:szCs w:val="20"/>
        </w:rPr>
        <w:t>s</w:t>
      </w:r>
      <w:r w:rsidR="00C46CCD" w:rsidRPr="00482722">
        <w:rPr>
          <w:rFonts w:ascii="Arial" w:hAnsi="Arial" w:cs="Arial"/>
          <w:sz w:val="20"/>
          <w:szCs w:val="20"/>
        </w:rPr>
        <w:t xml:space="preserve"> of service quality, trust, </w:t>
      </w:r>
      <w:r w:rsidR="00025A57" w:rsidRPr="00482722">
        <w:rPr>
          <w:rFonts w:ascii="Arial" w:hAnsi="Arial" w:cs="Arial"/>
          <w:sz w:val="20"/>
          <w:szCs w:val="20"/>
        </w:rPr>
        <w:t xml:space="preserve">and </w:t>
      </w:r>
      <w:r w:rsidR="00C46CCD" w:rsidRPr="00482722">
        <w:rPr>
          <w:rFonts w:ascii="Arial" w:hAnsi="Arial" w:cs="Arial"/>
          <w:sz w:val="20"/>
          <w:szCs w:val="20"/>
        </w:rPr>
        <w:t xml:space="preserve">satisfaction on loyalty to </w:t>
      </w:r>
      <w:r w:rsidR="00025A57" w:rsidRPr="00482722">
        <w:rPr>
          <w:rFonts w:ascii="Arial" w:hAnsi="Arial" w:cs="Arial"/>
          <w:sz w:val="20"/>
          <w:szCs w:val="20"/>
        </w:rPr>
        <w:t>these</w:t>
      </w:r>
      <w:r w:rsidR="00C46CCD" w:rsidRPr="00482722">
        <w:rPr>
          <w:rFonts w:ascii="Arial" w:hAnsi="Arial" w:cs="Arial"/>
          <w:sz w:val="20"/>
          <w:szCs w:val="20"/>
        </w:rPr>
        <w:t xml:space="preserve"> services.</w:t>
      </w:r>
    </w:p>
    <w:p w14:paraId="63FEE157" w14:textId="77777777" w:rsidR="00C46CCD" w:rsidRPr="00482722" w:rsidRDefault="00C46CCD" w:rsidP="007B79E6">
      <w:pPr>
        <w:pStyle w:val="Heading1"/>
        <w:numPr>
          <w:ilvl w:val="0"/>
          <w:numId w:val="0"/>
        </w:numPr>
        <w:spacing w:line="240" w:lineRule="auto"/>
        <w:ind w:left="360" w:hanging="360"/>
        <w:rPr>
          <w:rFonts w:ascii="Arial" w:hAnsi="Arial" w:cs="Arial"/>
          <w:sz w:val="20"/>
          <w:szCs w:val="20"/>
        </w:rPr>
      </w:pPr>
      <w:r w:rsidRPr="00482722">
        <w:rPr>
          <w:rFonts w:ascii="Arial" w:hAnsi="Arial" w:cs="Arial"/>
          <w:sz w:val="20"/>
          <w:szCs w:val="20"/>
        </w:rPr>
        <w:t>Design/methodology/approach</w:t>
      </w:r>
    </w:p>
    <w:p w14:paraId="4417A923" w14:textId="07C81A5A" w:rsidR="00C46CCD" w:rsidRPr="00482722" w:rsidRDefault="00F845A1">
      <w:pPr>
        <w:spacing w:line="240" w:lineRule="auto"/>
        <w:jc w:val="both"/>
        <w:rPr>
          <w:rFonts w:ascii="Arial" w:hAnsi="Arial" w:cs="Arial"/>
          <w:sz w:val="20"/>
          <w:szCs w:val="20"/>
        </w:rPr>
      </w:pPr>
      <w:r w:rsidRPr="00482722">
        <w:rPr>
          <w:rFonts w:ascii="Arial" w:hAnsi="Arial" w:cs="Arial"/>
          <w:sz w:val="20"/>
          <w:szCs w:val="20"/>
        </w:rPr>
        <w:t>The d</w:t>
      </w:r>
      <w:r w:rsidR="00C46CCD" w:rsidRPr="00482722">
        <w:rPr>
          <w:rFonts w:ascii="Arial" w:hAnsi="Arial" w:cs="Arial"/>
          <w:sz w:val="20"/>
          <w:szCs w:val="20"/>
        </w:rPr>
        <w:t>ata</w:t>
      </w:r>
      <w:r w:rsidR="00B93F7B" w:rsidRPr="00482722">
        <w:rPr>
          <w:rFonts w:ascii="Arial" w:hAnsi="Arial" w:cs="Arial"/>
          <w:sz w:val="20"/>
          <w:szCs w:val="20"/>
        </w:rPr>
        <w:t xml:space="preserve"> w</w:t>
      </w:r>
      <w:r w:rsidR="00B77EB7" w:rsidRPr="00482722">
        <w:rPr>
          <w:rFonts w:ascii="Arial" w:hAnsi="Arial" w:cs="Arial"/>
          <w:sz w:val="20"/>
          <w:szCs w:val="20"/>
        </w:rPr>
        <w:t>ere</w:t>
      </w:r>
      <w:r w:rsidR="00B93F7B" w:rsidRPr="00482722">
        <w:rPr>
          <w:rFonts w:ascii="Arial" w:hAnsi="Arial" w:cs="Arial"/>
          <w:sz w:val="20"/>
          <w:szCs w:val="20"/>
        </w:rPr>
        <w:t xml:space="preserve"> collected</w:t>
      </w:r>
      <w:r w:rsidR="00C46CCD" w:rsidRPr="00482722">
        <w:rPr>
          <w:rFonts w:ascii="Arial" w:hAnsi="Arial" w:cs="Arial"/>
          <w:sz w:val="20"/>
          <w:szCs w:val="20"/>
        </w:rPr>
        <w:t xml:space="preserve"> </w:t>
      </w:r>
      <w:r w:rsidR="00B77EB7" w:rsidRPr="00482722">
        <w:rPr>
          <w:rFonts w:ascii="Arial" w:hAnsi="Arial" w:cs="Arial"/>
          <w:sz w:val="20"/>
          <w:szCs w:val="20"/>
        </w:rPr>
        <w:t>via a questionnaire</w:t>
      </w:r>
      <w:r w:rsidRPr="00482722">
        <w:rPr>
          <w:rFonts w:ascii="Arial" w:hAnsi="Arial" w:cs="Arial"/>
          <w:sz w:val="20"/>
          <w:szCs w:val="20"/>
        </w:rPr>
        <w:t xml:space="preserve"> that </w:t>
      </w:r>
      <w:r w:rsidR="00B77EB7" w:rsidRPr="00482722">
        <w:rPr>
          <w:rFonts w:ascii="Arial" w:hAnsi="Arial" w:cs="Arial"/>
          <w:sz w:val="20"/>
          <w:szCs w:val="20"/>
        </w:rPr>
        <w:t xml:space="preserve">was completed by </w:t>
      </w:r>
      <w:r w:rsidR="00C46CCD" w:rsidRPr="00482722">
        <w:rPr>
          <w:rFonts w:ascii="Arial" w:hAnsi="Arial" w:cs="Arial"/>
          <w:sz w:val="20"/>
          <w:szCs w:val="20"/>
        </w:rPr>
        <w:t>780 foundation</w:t>
      </w:r>
      <w:r w:rsidR="00025A57" w:rsidRPr="00482722">
        <w:rPr>
          <w:rFonts w:ascii="Arial" w:hAnsi="Arial" w:cs="Arial"/>
          <w:sz w:val="20"/>
          <w:szCs w:val="20"/>
        </w:rPr>
        <w:t>-</w:t>
      </w:r>
      <w:r w:rsidR="00C46CCD" w:rsidRPr="00482722">
        <w:rPr>
          <w:rFonts w:ascii="Arial" w:hAnsi="Arial" w:cs="Arial"/>
          <w:sz w:val="20"/>
          <w:szCs w:val="20"/>
        </w:rPr>
        <w:t xml:space="preserve">year </w:t>
      </w:r>
      <w:r w:rsidR="00025A57" w:rsidRPr="00482722">
        <w:rPr>
          <w:rFonts w:ascii="Arial" w:hAnsi="Arial" w:cs="Arial"/>
          <w:sz w:val="20"/>
          <w:szCs w:val="20"/>
        </w:rPr>
        <w:t>students in</w:t>
      </w:r>
      <w:r w:rsidR="00C46CCD" w:rsidRPr="00482722">
        <w:rPr>
          <w:rFonts w:ascii="Arial" w:hAnsi="Arial" w:cs="Arial"/>
          <w:sz w:val="20"/>
          <w:szCs w:val="20"/>
        </w:rPr>
        <w:t xml:space="preserve"> government universities in Saudi Arabia. </w:t>
      </w:r>
      <w:r w:rsidR="005202DC" w:rsidRPr="00482722">
        <w:rPr>
          <w:rFonts w:ascii="Arial" w:hAnsi="Arial" w:cs="Arial"/>
          <w:sz w:val="20"/>
          <w:szCs w:val="20"/>
        </w:rPr>
        <w:t>The s</w:t>
      </w:r>
      <w:r w:rsidR="00C46CCD" w:rsidRPr="00482722">
        <w:rPr>
          <w:rFonts w:ascii="Arial" w:hAnsi="Arial" w:cs="Arial"/>
          <w:sz w:val="20"/>
          <w:szCs w:val="20"/>
        </w:rPr>
        <w:t>tudents who participated in the study ha</w:t>
      </w:r>
      <w:r w:rsidR="005202DC" w:rsidRPr="00482722">
        <w:rPr>
          <w:rFonts w:ascii="Arial" w:hAnsi="Arial" w:cs="Arial"/>
          <w:sz w:val="20"/>
          <w:szCs w:val="20"/>
        </w:rPr>
        <w:t>d</w:t>
      </w:r>
      <w:r w:rsidR="00C46CCD" w:rsidRPr="00482722">
        <w:rPr>
          <w:rFonts w:ascii="Arial" w:hAnsi="Arial" w:cs="Arial"/>
          <w:sz w:val="20"/>
          <w:szCs w:val="20"/>
        </w:rPr>
        <w:t xml:space="preserve"> used </w:t>
      </w:r>
      <w:r w:rsidR="00B93F7B" w:rsidRPr="00482722">
        <w:rPr>
          <w:rFonts w:ascii="Arial" w:hAnsi="Arial" w:cs="Arial"/>
          <w:sz w:val="20"/>
          <w:szCs w:val="20"/>
        </w:rPr>
        <w:t>a unified</w:t>
      </w:r>
      <w:r w:rsidR="00C46CCD" w:rsidRPr="00482722">
        <w:rPr>
          <w:rFonts w:ascii="Arial" w:hAnsi="Arial" w:cs="Arial"/>
          <w:sz w:val="20"/>
          <w:szCs w:val="20"/>
        </w:rPr>
        <w:t xml:space="preserve"> system</w:t>
      </w:r>
      <w:r w:rsidR="00B93F7B" w:rsidRPr="00482722">
        <w:rPr>
          <w:rFonts w:ascii="Arial" w:hAnsi="Arial" w:cs="Arial"/>
          <w:sz w:val="20"/>
          <w:szCs w:val="20"/>
        </w:rPr>
        <w:t xml:space="preserve"> </w:t>
      </w:r>
      <w:r w:rsidR="008762F5" w:rsidRPr="00482722">
        <w:rPr>
          <w:rFonts w:ascii="Arial" w:hAnsi="Arial" w:cs="Arial"/>
          <w:sz w:val="20"/>
          <w:szCs w:val="20"/>
        </w:rPr>
        <w:t xml:space="preserve">provided </w:t>
      </w:r>
      <w:r w:rsidR="00B93F7B" w:rsidRPr="00482722">
        <w:rPr>
          <w:rFonts w:ascii="Arial" w:hAnsi="Arial" w:cs="Arial"/>
          <w:sz w:val="20"/>
          <w:szCs w:val="20"/>
        </w:rPr>
        <w:t xml:space="preserve">by the </w:t>
      </w:r>
      <w:r w:rsidR="00604370" w:rsidRPr="00482722">
        <w:rPr>
          <w:rFonts w:ascii="Arial" w:hAnsi="Arial" w:cs="Arial"/>
          <w:sz w:val="20"/>
          <w:szCs w:val="20"/>
        </w:rPr>
        <w:t>M</w:t>
      </w:r>
      <w:r w:rsidR="005C192D" w:rsidRPr="00482722">
        <w:rPr>
          <w:rFonts w:ascii="Arial" w:hAnsi="Arial" w:cs="Arial"/>
          <w:sz w:val="20"/>
          <w:szCs w:val="20"/>
        </w:rPr>
        <w:t xml:space="preserve">inistry of </w:t>
      </w:r>
      <w:r w:rsidR="00604370" w:rsidRPr="00482722">
        <w:rPr>
          <w:rFonts w:ascii="Arial" w:hAnsi="Arial" w:cs="Arial"/>
          <w:sz w:val="20"/>
          <w:szCs w:val="20"/>
        </w:rPr>
        <w:t>E</w:t>
      </w:r>
      <w:r w:rsidR="005C192D" w:rsidRPr="00482722">
        <w:rPr>
          <w:rFonts w:ascii="Arial" w:hAnsi="Arial" w:cs="Arial"/>
          <w:sz w:val="20"/>
          <w:szCs w:val="20"/>
        </w:rPr>
        <w:t xml:space="preserve">ducation </w:t>
      </w:r>
      <w:r w:rsidR="00B93F7B" w:rsidRPr="00482722">
        <w:rPr>
          <w:rFonts w:ascii="Arial" w:hAnsi="Arial" w:cs="Arial"/>
          <w:sz w:val="20"/>
          <w:szCs w:val="20"/>
        </w:rPr>
        <w:t>in Saudi Arabia</w:t>
      </w:r>
      <w:r w:rsidR="00C46CCD" w:rsidRPr="00482722">
        <w:rPr>
          <w:rFonts w:ascii="Arial" w:hAnsi="Arial" w:cs="Arial"/>
          <w:sz w:val="20"/>
          <w:szCs w:val="20"/>
        </w:rPr>
        <w:t xml:space="preserve"> for </w:t>
      </w:r>
      <w:r w:rsidR="00D532CB" w:rsidRPr="00482722">
        <w:rPr>
          <w:rFonts w:ascii="Arial" w:hAnsi="Arial" w:cs="Arial"/>
          <w:sz w:val="20"/>
          <w:szCs w:val="20"/>
        </w:rPr>
        <w:t xml:space="preserve">university </w:t>
      </w:r>
      <w:r w:rsidR="00734D9D" w:rsidRPr="00482722">
        <w:rPr>
          <w:rFonts w:ascii="Arial" w:hAnsi="Arial" w:cs="Arial"/>
          <w:sz w:val="20"/>
          <w:szCs w:val="20"/>
        </w:rPr>
        <w:t>admission</w:t>
      </w:r>
      <w:r w:rsidR="00C46CCD" w:rsidRPr="00482722">
        <w:rPr>
          <w:rFonts w:ascii="Arial" w:hAnsi="Arial" w:cs="Arial"/>
          <w:sz w:val="20"/>
          <w:szCs w:val="20"/>
        </w:rPr>
        <w:t xml:space="preserve">. </w:t>
      </w:r>
      <w:r w:rsidR="005202DC" w:rsidRPr="00482722">
        <w:rPr>
          <w:rFonts w:ascii="Arial" w:hAnsi="Arial" w:cs="Arial"/>
          <w:sz w:val="20"/>
          <w:szCs w:val="20"/>
        </w:rPr>
        <w:t>The d</w:t>
      </w:r>
      <w:r w:rsidR="00B93F7B" w:rsidRPr="00482722">
        <w:rPr>
          <w:rFonts w:ascii="Arial" w:hAnsi="Arial" w:cs="Arial"/>
          <w:sz w:val="20"/>
          <w:szCs w:val="20"/>
        </w:rPr>
        <w:t>ata were analysed using s</w:t>
      </w:r>
      <w:r w:rsidR="00C46CCD" w:rsidRPr="00482722">
        <w:rPr>
          <w:rFonts w:ascii="Arial" w:hAnsi="Arial" w:cs="Arial"/>
          <w:sz w:val="20"/>
          <w:szCs w:val="20"/>
        </w:rPr>
        <w:t xml:space="preserve">tructural equation </w:t>
      </w:r>
      <w:r w:rsidR="000A0BC0" w:rsidRPr="00482722">
        <w:rPr>
          <w:rFonts w:ascii="Arial" w:hAnsi="Arial" w:cs="Arial"/>
          <w:sz w:val="20"/>
          <w:szCs w:val="20"/>
        </w:rPr>
        <w:t>modelling</w:t>
      </w:r>
      <w:r w:rsidR="00B93F7B" w:rsidRPr="00482722">
        <w:rPr>
          <w:rFonts w:ascii="Arial" w:hAnsi="Arial" w:cs="Arial"/>
          <w:sz w:val="20"/>
          <w:szCs w:val="20"/>
        </w:rPr>
        <w:t>.</w:t>
      </w:r>
    </w:p>
    <w:p w14:paraId="5AC07815" w14:textId="77777777" w:rsidR="00C46CCD" w:rsidRPr="00482722" w:rsidRDefault="00C46CCD" w:rsidP="007B79E6">
      <w:pPr>
        <w:pStyle w:val="Heading1"/>
        <w:numPr>
          <w:ilvl w:val="0"/>
          <w:numId w:val="0"/>
        </w:numPr>
        <w:spacing w:line="240" w:lineRule="auto"/>
        <w:ind w:left="360" w:hanging="360"/>
        <w:rPr>
          <w:rFonts w:ascii="Arial" w:hAnsi="Arial" w:cs="Arial"/>
          <w:sz w:val="20"/>
          <w:szCs w:val="20"/>
        </w:rPr>
      </w:pPr>
      <w:r w:rsidRPr="00482722">
        <w:rPr>
          <w:rFonts w:ascii="Arial" w:hAnsi="Arial" w:cs="Arial"/>
          <w:sz w:val="20"/>
          <w:szCs w:val="20"/>
        </w:rPr>
        <w:t>Findings</w:t>
      </w:r>
    </w:p>
    <w:p w14:paraId="24CBABB3" w14:textId="5FDD42B4" w:rsidR="00C46CCD" w:rsidRPr="00482722" w:rsidRDefault="00C46CCD">
      <w:pPr>
        <w:spacing w:line="240" w:lineRule="auto"/>
        <w:jc w:val="both"/>
        <w:rPr>
          <w:rFonts w:ascii="Arial" w:hAnsi="Arial" w:cs="Arial"/>
          <w:sz w:val="20"/>
          <w:szCs w:val="20"/>
        </w:rPr>
      </w:pPr>
      <w:r w:rsidRPr="00482722">
        <w:rPr>
          <w:rFonts w:ascii="Arial" w:hAnsi="Arial" w:cs="Arial"/>
          <w:sz w:val="20"/>
          <w:szCs w:val="20"/>
        </w:rPr>
        <w:t xml:space="preserve">The key findings revealed </w:t>
      </w:r>
      <w:r w:rsidR="000A5566" w:rsidRPr="00482722">
        <w:rPr>
          <w:rFonts w:ascii="Arial" w:hAnsi="Arial" w:cs="Arial"/>
          <w:sz w:val="20"/>
          <w:szCs w:val="20"/>
        </w:rPr>
        <w:t>that</w:t>
      </w:r>
      <w:r w:rsidR="00E642AB" w:rsidRPr="00482722">
        <w:rPr>
          <w:rFonts w:ascii="Arial" w:hAnsi="Arial" w:cs="Arial"/>
          <w:sz w:val="20"/>
          <w:szCs w:val="20"/>
        </w:rPr>
        <w:t xml:space="preserve"> the factors</w:t>
      </w:r>
      <w:r w:rsidRPr="00482722">
        <w:rPr>
          <w:rFonts w:ascii="Arial" w:hAnsi="Arial" w:cs="Arial"/>
          <w:sz w:val="20"/>
          <w:szCs w:val="20"/>
        </w:rPr>
        <w:t xml:space="preserve"> service quality, trust in government, trust in e-government services, and citizen satisfaction </w:t>
      </w:r>
      <w:r w:rsidR="004C207F" w:rsidRPr="00482722">
        <w:rPr>
          <w:rFonts w:ascii="Arial" w:hAnsi="Arial" w:cs="Arial"/>
          <w:sz w:val="20"/>
          <w:szCs w:val="20"/>
        </w:rPr>
        <w:t xml:space="preserve">play a significant role </w:t>
      </w:r>
      <w:r w:rsidRPr="00482722">
        <w:rPr>
          <w:rFonts w:ascii="Arial" w:hAnsi="Arial" w:cs="Arial"/>
          <w:sz w:val="20"/>
          <w:szCs w:val="20"/>
        </w:rPr>
        <w:t xml:space="preserve">in </w:t>
      </w:r>
      <w:r w:rsidR="004C207F" w:rsidRPr="00482722">
        <w:rPr>
          <w:rFonts w:ascii="Arial" w:hAnsi="Arial" w:cs="Arial"/>
          <w:sz w:val="20"/>
          <w:szCs w:val="20"/>
        </w:rPr>
        <w:t>developing</w:t>
      </w:r>
      <w:r w:rsidRPr="00482722">
        <w:rPr>
          <w:rFonts w:ascii="Arial" w:hAnsi="Arial" w:cs="Arial"/>
          <w:sz w:val="20"/>
          <w:szCs w:val="20"/>
        </w:rPr>
        <w:t xml:space="preserve"> citizen loyalty to e-government services. Trust in government </w:t>
      </w:r>
      <w:r w:rsidR="00E642AB" w:rsidRPr="00482722">
        <w:rPr>
          <w:rFonts w:ascii="Arial" w:hAnsi="Arial" w:cs="Arial"/>
          <w:sz w:val="20"/>
          <w:szCs w:val="20"/>
        </w:rPr>
        <w:t xml:space="preserve">has the </w:t>
      </w:r>
      <w:r w:rsidRPr="00482722">
        <w:rPr>
          <w:rFonts w:ascii="Arial" w:hAnsi="Arial" w:cs="Arial"/>
          <w:sz w:val="20"/>
          <w:szCs w:val="20"/>
        </w:rPr>
        <w:t xml:space="preserve">strongest direct effect on citizen loyalty to e-government services, </w:t>
      </w:r>
      <w:r w:rsidR="00A82024" w:rsidRPr="00482722">
        <w:rPr>
          <w:rFonts w:ascii="Arial" w:hAnsi="Arial" w:cs="Arial"/>
          <w:sz w:val="20"/>
          <w:szCs w:val="20"/>
        </w:rPr>
        <w:t>and</w:t>
      </w:r>
      <w:r w:rsidR="004C207F" w:rsidRPr="00482722">
        <w:rPr>
          <w:rFonts w:ascii="Arial" w:hAnsi="Arial" w:cs="Arial"/>
          <w:sz w:val="20"/>
          <w:szCs w:val="20"/>
        </w:rPr>
        <w:t xml:space="preserve"> </w:t>
      </w:r>
      <w:r w:rsidRPr="00482722">
        <w:rPr>
          <w:rFonts w:ascii="Arial" w:hAnsi="Arial" w:cs="Arial"/>
          <w:sz w:val="20"/>
          <w:szCs w:val="20"/>
        </w:rPr>
        <w:t xml:space="preserve">service quality </w:t>
      </w:r>
      <w:r w:rsidR="004C207F" w:rsidRPr="00482722">
        <w:rPr>
          <w:rFonts w:ascii="Arial" w:hAnsi="Arial" w:cs="Arial"/>
          <w:sz w:val="20"/>
          <w:szCs w:val="20"/>
        </w:rPr>
        <w:t xml:space="preserve">has </w:t>
      </w:r>
      <w:r w:rsidRPr="00482722">
        <w:rPr>
          <w:rFonts w:ascii="Arial" w:hAnsi="Arial" w:cs="Arial"/>
          <w:sz w:val="20"/>
          <w:szCs w:val="20"/>
        </w:rPr>
        <w:t xml:space="preserve">the strongest total effect on citizen loyalty. In contrast, citizen satisfaction </w:t>
      </w:r>
      <w:r w:rsidR="00B77EB7" w:rsidRPr="00482722">
        <w:rPr>
          <w:rFonts w:ascii="Arial" w:hAnsi="Arial" w:cs="Arial"/>
          <w:sz w:val="20"/>
          <w:szCs w:val="20"/>
        </w:rPr>
        <w:t xml:space="preserve">has the least significant influence </w:t>
      </w:r>
      <w:r w:rsidR="00C816DA" w:rsidRPr="00482722">
        <w:rPr>
          <w:rFonts w:ascii="Arial" w:hAnsi="Arial" w:cs="Arial"/>
          <w:sz w:val="20"/>
          <w:szCs w:val="20"/>
        </w:rPr>
        <w:t>on citizen</w:t>
      </w:r>
      <w:r w:rsidRPr="00482722">
        <w:rPr>
          <w:rFonts w:ascii="Arial" w:hAnsi="Arial" w:cs="Arial"/>
          <w:sz w:val="20"/>
          <w:szCs w:val="20"/>
        </w:rPr>
        <w:t xml:space="preserve"> loyalty to e-government</w:t>
      </w:r>
      <w:r w:rsidR="000C481D" w:rsidRPr="00482722">
        <w:rPr>
          <w:rFonts w:ascii="Arial" w:hAnsi="Arial" w:cs="Arial"/>
          <w:sz w:val="20"/>
          <w:szCs w:val="20"/>
        </w:rPr>
        <w:t xml:space="preserve"> services</w:t>
      </w:r>
      <w:r w:rsidRPr="00482722">
        <w:rPr>
          <w:rFonts w:ascii="Arial" w:hAnsi="Arial" w:cs="Arial"/>
          <w:sz w:val="20"/>
          <w:szCs w:val="20"/>
        </w:rPr>
        <w:t>.</w:t>
      </w:r>
    </w:p>
    <w:p w14:paraId="224099E8" w14:textId="4654D4B9" w:rsidR="005C192D" w:rsidRPr="00482722" w:rsidRDefault="005C192D" w:rsidP="0097477D">
      <w:pPr>
        <w:pStyle w:val="Heading1"/>
        <w:numPr>
          <w:ilvl w:val="0"/>
          <w:numId w:val="0"/>
        </w:numPr>
        <w:spacing w:line="240" w:lineRule="auto"/>
        <w:ind w:left="360" w:hanging="360"/>
        <w:rPr>
          <w:rFonts w:ascii="Arial" w:hAnsi="Arial" w:cs="Arial"/>
          <w:sz w:val="20"/>
          <w:szCs w:val="20"/>
        </w:rPr>
      </w:pPr>
      <w:r w:rsidRPr="00482722">
        <w:rPr>
          <w:rFonts w:ascii="Arial" w:hAnsi="Arial" w:cs="Arial"/>
          <w:sz w:val="20"/>
          <w:szCs w:val="20"/>
        </w:rPr>
        <w:t>Originality</w:t>
      </w:r>
    </w:p>
    <w:p w14:paraId="1936B00A" w14:textId="5DF798CB" w:rsidR="005C192D" w:rsidRPr="00482722" w:rsidRDefault="005C192D">
      <w:pPr>
        <w:spacing w:line="240" w:lineRule="auto"/>
        <w:jc w:val="both"/>
        <w:rPr>
          <w:rFonts w:ascii="Arial" w:hAnsi="Arial" w:cs="Arial"/>
          <w:sz w:val="20"/>
          <w:szCs w:val="20"/>
        </w:rPr>
      </w:pPr>
      <w:r w:rsidRPr="00482722">
        <w:rPr>
          <w:rFonts w:ascii="Arial" w:hAnsi="Arial" w:cs="Arial"/>
          <w:sz w:val="20"/>
          <w:szCs w:val="20"/>
        </w:rPr>
        <w:t>Th</w:t>
      </w:r>
      <w:r w:rsidR="00846BB2" w:rsidRPr="00482722">
        <w:rPr>
          <w:rFonts w:ascii="Arial" w:hAnsi="Arial" w:cs="Arial"/>
          <w:sz w:val="20"/>
          <w:szCs w:val="20"/>
        </w:rPr>
        <w:t>is</w:t>
      </w:r>
      <w:r w:rsidRPr="00482722">
        <w:rPr>
          <w:rFonts w:ascii="Arial" w:hAnsi="Arial" w:cs="Arial"/>
          <w:sz w:val="20"/>
          <w:szCs w:val="20"/>
        </w:rPr>
        <w:t xml:space="preserve"> study proposes a new model </w:t>
      </w:r>
      <w:r w:rsidR="00846BB2" w:rsidRPr="00482722">
        <w:rPr>
          <w:rFonts w:ascii="Arial" w:hAnsi="Arial" w:cs="Arial"/>
          <w:sz w:val="20"/>
          <w:szCs w:val="20"/>
        </w:rPr>
        <w:t xml:space="preserve">for </w:t>
      </w:r>
      <w:r w:rsidRPr="00482722">
        <w:rPr>
          <w:rFonts w:ascii="Arial" w:hAnsi="Arial" w:cs="Arial"/>
          <w:sz w:val="20"/>
          <w:szCs w:val="20"/>
        </w:rPr>
        <w:t xml:space="preserve">citizen loyalty to e-government services </w:t>
      </w:r>
      <w:r w:rsidR="00B47842" w:rsidRPr="00482722">
        <w:rPr>
          <w:rFonts w:ascii="Arial" w:hAnsi="Arial" w:cs="Arial"/>
          <w:sz w:val="20"/>
          <w:szCs w:val="20"/>
        </w:rPr>
        <w:t xml:space="preserve">that </w:t>
      </w:r>
      <w:r w:rsidRPr="00482722">
        <w:rPr>
          <w:rFonts w:ascii="Arial" w:hAnsi="Arial" w:cs="Arial"/>
          <w:sz w:val="20"/>
          <w:szCs w:val="20"/>
        </w:rPr>
        <w:t xml:space="preserve">combines the service quality model and </w:t>
      </w:r>
      <w:r w:rsidR="0097477D" w:rsidRPr="00482722">
        <w:rPr>
          <w:rFonts w:ascii="Arial" w:hAnsi="Arial" w:cs="Arial"/>
          <w:sz w:val="20"/>
          <w:szCs w:val="20"/>
        </w:rPr>
        <w:t>trust theory</w:t>
      </w:r>
      <w:r w:rsidRPr="00482722">
        <w:rPr>
          <w:rFonts w:ascii="Arial" w:hAnsi="Arial" w:cs="Arial"/>
          <w:sz w:val="20"/>
          <w:szCs w:val="20"/>
        </w:rPr>
        <w:t xml:space="preserve">. In addition, this study is among the first to </w:t>
      </w:r>
      <w:r w:rsidR="005F6615" w:rsidRPr="00482722">
        <w:rPr>
          <w:rFonts w:ascii="Arial" w:hAnsi="Arial" w:cs="Arial"/>
          <w:sz w:val="20"/>
          <w:szCs w:val="20"/>
        </w:rPr>
        <w:t>categorise</w:t>
      </w:r>
      <w:r w:rsidRPr="00482722">
        <w:rPr>
          <w:rFonts w:ascii="Arial" w:hAnsi="Arial" w:cs="Arial"/>
          <w:sz w:val="20"/>
          <w:szCs w:val="20"/>
        </w:rPr>
        <w:t xml:space="preserve"> trust into three factors </w:t>
      </w:r>
      <w:r w:rsidR="004E4987" w:rsidRPr="00482722">
        <w:rPr>
          <w:rFonts w:ascii="Arial" w:hAnsi="Arial" w:cs="Arial"/>
          <w:sz w:val="20"/>
          <w:szCs w:val="20"/>
        </w:rPr>
        <w:t>–</w:t>
      </w:r>
      <w:r w:rsidRPr="00482722">
        <w:rPr>
          <w:rFonts w:ascii="Arial" w:hAnsi="Arial" w:cs="Arial"/>
          <w:sz w:val="20"/>
          <w:szCs w:val="20"/>
        </w:rPr>
        <w:t xml:space="preserve"> trust in government, trust in e-government</w:t>
      </w:r>
      <w:r w:rsidR="007F434C" w:rsidRPr="00482722">
        <w:rPr>
          <w:rFonts w:ascii="Arial" w:hAnsi="Arial" w:cs="Arial"/>
          <w:sz w:val="20"/>
          <w:szCs w:val="20"/>
        </w:rPr>
        <w:t>,</w:t>
      </w:r>
      <w:r w:rsidRPr="00482722">
        <w:rPr>
          <w:rFonts w:ascii="Arial" w:hAnsi="Arial" w:cs="Arial"/>
          <w:sz w:val="20"/>
          <w:szCs w:val="20"/>
        </w:rPr>
        <w:t xml:space="preserve"> and disposition to trust</w:t>
      </w:r>
      <w:r w:rsidR="004E4987" w:rsidRPr="00482722">
        <w:rPr>
          <w:rFonts w:ascii="Arial" w:hAnsi="Arial" w:cs="Arial"/>
          <w:sz w:val="20"/>
          <w:szCs w:val="20"/>
        </w:rPr>
        <w:t xml:space="preserve"> – and integrate them into a model</w:t>
      </w:r>
      <w:r w:rsidRPr="00482722">
        <w:rPr>
          <w:rFonts w:ascii="Arial" w:hAnsi="Arial" w:cs="Arial"/>
          <w:sz w:val="20"/>
          <w:szCs w:val="20"/>
        </w:rPr>
        <w:t>. Furthermore, the study reveals the role</w:t>
      </w:r>
      <w:r w:rsidR="004E4987" w:rsidRPr="00482722">
        <w:rPr>
          <w:rFonts w:ascii="Arial" w:hAnsi="Arial" w:cs="Arial"/>
          <w:sz w:val="20"/>
          <w:szCs w:val="20"/>
        </w:rPr>
        <w:t>s</w:t>
      </w:r>
      <w:r w:rsidRPr="00482722">
        <w:rPr>
          <w:rFonts w:ascii="Arial" w:hAnsi="Arial" w:cs="Arial"/>
          <w:sz w:val="20"/>
          <w:szCs w:val="20"/>
        </w:rPr>
        <w:t xml:space="preserve"> of satisfaction and </w:t>
      </w:r>
      <w:r w:rsidR="00DF2A28" w:rsidRPr="00482722">
        <w:rPr>
          <w:rFonts w:ascii="Arial" w:hAnsi="Arial" w:cs="Arial"/>
          <w:sz w:val="20"/>
          <w:szCs w:val="20"/>
        </w:rPr>
        <w:t>service quality in developing citizen loyalty. The findings of this study fill a gap in knowledge on citizen trust</w:t>
      </w:r>
      <w:r w:rsidR="00BC3084" w:rsidRPr="00482722">
        <w:rPr>
          <w:rFonts w:ascii="Arial" w:hAnsi="Arial" w:cs="Arial"/>
          <w:sz w:val="20"/>
          <w:szCs w:val="20"/>
        </w:rPr>
        <w:t xml:space="preserve"> in</w:t>
      </w:r>
      <w:r w:rsidR="00DF2A28" w:rsidRPr="00482722">
        <w:rPr>
          <w:rFonts w:ascii="Arial" w:hAnsi="Arial" w:cs="Arial"/>
          <w:sz w:val="20"/>
          <w:szCs w:val="20"/>
        </w:rPr>
        <w:t>, satisfaction</w:t>
      </w:r>
      <w:r w:rsidR="00BC3084" w:rsidRPr="00482722">
        <w:rPr>
          <w:rFonts w:ascii="Arial" w:hAnsi="Arial" w:cs="Arial"/>
          <w:sz w:val="20"/>
          <w:szCs w:val="20"/>
        </w:rPr>
        <w:t xml:space="preserve"> with</w:t>
      </w:r>
      <w:r w:rsidR="007F434C" w:rsidRPr="00482722">
        <w:rPr>
          <w:rFonts w:ascii="Arial" w:hAnsi="Arial" w:cs="Arial"/>
          <w:sz w:val="20"/>
          <w:szCs w:val="20"/>
        </w:rPr>
        <w:t xml:space="preserve"> and</w:t>
      </w:r>
      <w:r w:rsidR="00DF2A28" w:rsidRPr="00482722">
        <w:rPr>
          <w:rFonts w:ascii="Arial" w:hAnsi="Arial" w:cs="Arial"/>
          <w:sz w:val="20"/>
          <w:szCs w:val="20"/>
        </w:rPr>
        <w:t xml:space="preserve"> loyalty to e-government services.</w:t>
      </w:r>
    </w:p>
    <w:p w14:paraId="054813E3" w14:textId="77777777" w:rsidR="005C192D" w:rsidRPr="00482722" w:rsidRDefault="005C192D">
      <w:pPr>
        <w:spacing w:line="240" w:lineRule="auto"/>
        <w:jc w:val="both"/>
        <w:rPr>
          <w:rFonts w:ascii="Arial" w:hAnsi="Arial" w:cs="Arial"/>
          <w:b/>
          <w:bCs/>
          <w:sz w:val="20"/>
          <w:szCs w:val="20"/>
        </w:rPr>
      </w:pPr>
    </w:p>
    <w:p w14:paraId="2D7032A2" w14:textId="5033CA7B" w:rsidR="00C46CCD" w:rsidRPr="00482722" w:rsidRDefault="00C46CCD" w:rsidP="00E06510">
      <w:pPr>
        <w:spacing w:line="240" w:lineRule="auto"/>
        <w:jc w:val="both"/>
        <w:outlineLvl w:val="0"/>
        <w:rPr>
          <w:rFonts w:ascii="Arial" w:hAnsi="Arial" w:cs="Arial"/>
          <w:sz w:val="20"/>
          <w:szCs w:val="20"/>
        </w:rPr>
      </w:pPr>
      <w:r w:rsidRPr="00482722">
        <w:rPr>
          <w:rFonts w:ascii="Arial" w:hAnsi="Arial" w:cs="Arial"/>
          <w:b/>
          <w:bCs/>
          <w:sz w:val="20"/>
          <w:szCs w:val="20"/>
        </w:rPr>
        <w:t>Keywords</w:t>
      </w:r>
      <w:r w:rsidR="002C59AC" w:rsidRPr="00482722">
        <w:rPr>
          <w:rFonts w:ascii="Arial" w:hAnsi="Arial" w:cs="Arial"/>
          <w:sz w:val="20"/>
          <w:szCs w:val="20"/>
        </w:rPr>
        <w:t xml:space="preserve">: </w:t>
      </w:r>
      <w:r w:rsidRPr="00482722">
        <w:rPr>
          <w:rFonts w:ascii="Arial" w:hAnsi="Arial" w:cs="Arial"/>
          <w:sz w:val="20"/>
          <w:szCs w:val="20"/>
        </w:rPr>
        <w:t>Education</w:t>
      </w:r>
      <w:r w:rsidR="00CF3231" w:rsidRPr="00482722">
        <w:rPr>
          <w:rFonts w:ascii="Arial" w:hAnsi="Arial" w:cs="Arial"/>
          <w:sz w:val="20"/>
          <w:szCs w:val="20"/>
        </w:rPr>
        <w:t>,</w:t>
      </w:r>
      <w:r w:rsidRPr="00482722">
        <w:rPr>
          <w:rFonts w:ascii="Arial" w:hAnsi="Arial" w:cs="Arial"/>
          <w:sz w:val="20"/>
          <w:szCs w:val="20"/>
        </w:rPr>
        <w:t xml:space="preserve"> </w:t>
      </w:r>
      <w:r w:rsidR="00AE28E2" w:rsidRPr="00482722">
        <w:rPr>
          <w:rFonts w:ascii="Arial" w:hAnsi="Arial" w:cs="Arial"/>
          <w:sz w:val="20"/>
          <w:szCs w:val="20"/>
        </w:rPr>
        <w:t>L</w:t>
      </w:r>
      <w:r w:rsidR="009C2210" w:rsidRPr="00482722">
        <w:rPr>
          <w:rFonts w:ascii="Arial" w:hAnsi="Arial" w:cs="Arial"/>
          <w:sz w:val="20"/>
          <w:szCs w:val="20"/>
        </w:rPr>
        <w:t>oyalty</w:t>
      </w:r>
      <w:r w:rsidR="00CF3231" w:rsidRPr="00482722">
        <w:rPr>
          <w:rFonts w:ascii="Arial" w:hAnsi="Arial" w:cs="Arial"/>
          <w:sz w:val="20"/>
          <w:szCs w:val="20"/>
        </w:rPr>
        <w:t>,</w:t>
      </w:r>
      <w:r w:rsidR="009C2210" w:rsidRPr="00482722">
        <w:rPr>
          <w:rFonts w:ascii="Arial" w:hAnsi="Arial" w:cs="Arial"/>
          <w:sz w:val="20"/>
          <w:szCs w:val="20"/>
        </w:rPr>
        <w:t xml:space="preserve"> e-</w:t>
      </w:r>
      <w:r w:rsidR="00BC3084" w:rsidRPr="00482722">
        <w:rPr>
          <w:rFonts w:ascii="Arial" w:hAnsi="Arial" w:cs="Arial"/>
          <w:sz w:val="20"/>
          <w:szCs w:val="20"/>
        </w:rPr>
        <w:t>G</w:t>
      </w:r>
      <w:r w:rsidR="009C2210" w:rsidRPr="00482722">
        <w:rPr>
          <w:rFonts w:ascii="Arial" w:hAnsi="Arial" w:cs="Arial"/>
          <w:sz w:val="20"/>
          <w:szCs w:val="20"/>
        </w:rPr>
        <w:t>overnment</w:t>
      </w:r>
      <w:r w:rsidR="00CF3231" w:rsidRPr="00482722">
        <w:rPr>
          <w:rFonts w:ascii="Arial" w:hAnsi="Arial" w:cs="Arial"/>
          <w:sz w:val="20"/>
          <w:szCs w:val="20"/>
        </w:rPr>
        <w:t>,</w:t>
      </w:r>
      <w:r w:rsidR="009C2210" w:rsidRPr="00482722">
        <w:rPr>
          <w:rFonts w:ascii="Arial" w:hAnsi="Arial" w:cs="Arial"/>
          <w:sz w:val="20"/>
          <w:szCs w:val="20"/>
        </w:rPr>
        <w:t xml:space="preserve"> </w:t>
      </w:r>
      <w:r w:rsidR="00AE28E2" w:rsidRPr="00482722">
        <w:rPr>
          <w:rFonts w:ascii="Arial" w:hAnsi="Arial" w:cs="Arial"/>
          <w:sz w:val="20"/>
          <w:szCs w:val="20"/>
        </w:rPr>
        <w:t>S</w:t>
      </w:r>
      <w:r w:rsidR="009C2210" w:rsidRPr="00482722">
        <w:rPr>
          <w:rFonts w:ascii="Arial" w:hAnsi="Arial" w:cs="Arial"/>
          <w:sz w:val="20"/>
          <w:szCs w:val="20"/>
        </w:rPr>
        <w:t>atisfaction</w:t>
      </w:r>
      <w:r w:rsidR="00CF3231" w:rsidRPr="00482722">
        <w:rPr>
          <w:rFonts w:ascii="Arial" w:hAnsi="Arial" w:cs="Arial"/>
          <w:sz w:val="20"/>
          <w:szCs w:val="20"/>
        </w:rPr>
        <w:t>,</w:t>
      </w:r>
      <w:r w:rsidR="009C2210" w:rsidRPr="00482722">
        <w:rPr>
          <w:rFonts w:ascii="Arial" w:hAnsi="Arial" w:cs="Arial"/>
          <w:sz w:val="20"/>
          <w:szCs w:val="20"/>
        </w:rPr>
        <w:t xml:space="preserve"> </w:t>
      </w:r>
      <w:r w:rsidR="00AE28E2" w:rsidRPr="00482722">
        <w:rPr>
          <w:rFonts w:ascii="Arial" w:hAnsi="Arial" w:cs="Arial"/>
          <w:sz w:val="20"/>
          <w:szCs w:val="20"/>
        </w:rPr>
        <w:t>S</w:t>
      </w:r>
      <w:r w:rsidR="009C2210" w:rsidRPr="00482722">
        <w:rPr>
          <w:rFonts w:ascii="Arial" w:hAnsi="Arial" w:cs="Arial"/>
          <w:sz w:val="20"/>
          <w:szCs w:val="20"/>
        </w:rPr>
        <w:t>ervice quality</w:t>
      </w:r>
      <w:r w:rsidR="00CF3231" w:rsidRPr="00482722">
        <w:rPr>
          <w:rFonts w:ascii="Arial" w:hAnsi="Arial" w:cs="Arial"/>
          <w:sz w:val="20"/>
          <w:szCs w:val="20"/>
        </w:rPr>
        <w:t>,</w:t>
      </w:r>
      <w:r w:rsidR="009C2210" w:rsidRPr="00482722">
        <w:rPr>
          <w:rFonts w:ascii="Arial" w:hAnsi="Arial" w:cs="Arial"/>
          <w:sz w:val="20"/>
          <w:szCs w:val="20"/>
        </w:rPr>
        <w:t xml:space="preserve"> </w:t>
      </w:r>
      <w:r w:rsidR="00AE28E2" w:rsidRPr="00482722">
        <w:rPr>
          <w:rFonts w:ascii="Arial" w:hAnsi="Arial" w:cs="Arial"/>
          <w:sz w:val="20"/>
          <w:szCs w:val="20"/>
        </w:rPr>
        <w:t>T</w:t>
      </w:r>
      <w:r w:rsidR="009C2210" w:rsidRPr="00482722">
        <w:rPr>
          <w:rFonts w:ascii="Arial" w:hAnsi="Arial" w:cs="Arial"/>
          <w:sz w:val="20"/>
          <w:szCs w:val="20"/>
        </w:rPr>
        <w:t>rust</w:t>
      </w:r>
    </w:p>
    <w:p w14:paraId="29FF2225" w14:textId="77777777" w:rsidR="002C52E4" w:rsidRPr="00482722" w:rsidRDefault="002C52E4" w:rsidP="00DA5EEC">
      <w:pPr>
        <w:pStyle w:val="Heading1"/>
        <w:spacing w:line="240" w:lineRule="auto"/>
        <w:rPr>
          <w:rFonts w:ascii="Arial" w:hAnsi="Arial" w:cs="Arial"/>
          <w:b w:val="0"/>
          <w:sz w:val="20"/>
          <w:szCs w:val="20"/>
        </w:rPr>
      </w:pPr>
      <w:r w:rsidRPr="00482722">
        <w:rPr>
          <w:rFonts w:ascii="Arial" w:hAnsi="Arial" w:cs="Arial"/>
          <w:sz w:val="20"/>
          <w:szCs w:val="20"/>
        </w:rPr>
        <w:t>Introduction</w:t>
      </w:r>
    </w:p>
    <w:p w14:paraId="0108ADA3" w14:textId="2F145163" w:rsidR="00367D4B" w:rsidRPr="00482722" w:rsidRDefault="00C77829" w:rsidP="00DA5EEC">
      <w:pPr>
        <w:spacing w:line="240" w:lineRule="auto"/>
        <w:jc w:val="both"/>
        <w:rPr>
          <w:rFonts w:ascii="Arial" w:hAnsi="Arial" w:cs="Arial"/>
          <w:sz w:val="20"/>
          <w:szCs w:val="20"/>
        </w:rPr>
      </w:pPr>
      <w:r w:rsidRPr="00482722">
        <w:rPr>
          <w:rFonts w:ascii="Arial" w:hAnsi="Arial" w:cs="Arial"/>
          <w:sz w:val="20"/>
          <w:szCs w:val="20"/>
        </w:rPr>
        <w:t>R</w:t>
      </w:r>
      <w:r w:rsidR="00BB5035" w:rsidRPr="00482722">
        <w:rPr>
          <w:rFonts w:ascii="Arial" w:hAnsi="Arial" w:cs="Arial"/>
          <w:sz w:val="20"/>
          <w:szCs w:val="20"/>
        </w:rPr>
        <w:t>apid advances in information and communication</w:t>
      </w:r>
      <w:r w:rsidR="006F7B26" w:rsidRPr="00482722">
        <w:rPr>
          <w:rFonts w:ascii="Arial" w:hAnsi="Arial" w:cs="Arial"/>
          <w:sz w:val="20"/>
          <w:szCs w:val="20"/>
        </w:rPr>
        <w:t>s</w:t>
      </w:r>
      <w:r w:rsidR="00BB5035" w:rsidRPr="00482722">
        <w:rPr>
          <w:rFonts w:ascii="Arial" w:hAnsi="Arial" w:cs="Arial"/>
          <w:sz w:val="20"/>
          <w:szCs w:val="20"/>
        </w:rPr>
        <w:t xml:space="preserve"> technology (ICT)</w:t>
      </w:r>
      <w:r w:rsidR="001E7B69" w:rsidRPr="00482722">
        <w:rPr>
          <w:rFonts w:ascii="Arial" w:hAnsi="Arial" w:cs="Arial"/>
          <w:sz w:val="20"/>
          <w:szCs w:val="20"/>
        </w:rPr>
        <w:t xml:space="preserve"> have led</w:t>
      </w:r>
      <w:r w:rsidR="00127DD2" w:rsidRPr="00482722">
        <w:rPr>
          <w:rFonts w:ascii="Arial" w:hAnsi="Arial" w:cs="Arial"/>
          <w:sz w:val="20"/>
          <w:szCs w:val="20"/>
        </w:rPr>
        <w:t xml:space="preserve"> to</w:t>
      </w:r>
      <w:r w:rsidR="001E7B69" w:rsidRPr="00482722">
        <w:rPr>
          <w:rFonts w:ascii="Arial" w:hAnsi="Arial" w:cs="Arial"/>
          <w:sz w:val="20"/>
          <w:szCs w:val="20"/>
        </w:rPr>
        <w:t xml:space="preserve"> the</w:t>
      </w:r>
      <w:r w:rsidR="00BB5035" w:rsidRPr="00482722">
        <w:rPr>
          <w:rFonts w:ascii="Arial" w:hAnsi="Arial" w:cs="Arial"/>
          <w:sz w:val="20"/>
          <w:szCs w:val="20"/>
        </w:rPr>
        <w:t xml:space="preserve"> public sector </w:t>
      </w:r>
      <w:r w:rsidR="00127DD2" w:rsidRPr="00482722">
        <w:rPr>
          <w:rFonts w:ascii="Arial" w:hAnsi="Arial" w:cs="Arial"/>
          <w:sz w:val="20"/>
          <w:szCs w:val="20"/>
        </w:rPr>
        <w:t>com</w:t>
      </w:r>
      <w:r w:rsidR="00A267FC" w:rsidRPr="00482722">
        <w:rPr>
          <w:rFonts w:ascii="Arial" w:hAnsi="Arial" w:cs="Arial"/>
          <w:sz w:val="20"/>
          <w:szCs w:val="20"/>
        </w:rPr>
        <w:t>ing</w:t>
      </w:r>
      <w:r w:rsidR="00BB5035" w:rsidRPr="00482722">
        <w:rPr>
          <w:rFonts w:ascii="Arial" w:hAnsi="Arial" w:cs="Arial"/>
          <w:sz w:val="20"/>
          <w:szCs w:val="20"/>
        </w:rPr>
        <w:t xml:space="preserve"> under </w:t>
      </w:r>
      <w:r w:rsidR="001F7BE5" w:rsidRPr="00482722">
        <w:rPr>
          <w:rFonts w:ascii="Arial" w:hAnsi="Arial" w:cs="Arial"/>
          <w:sz w:val="20"/>
          <w:szCs w:val="20"/>
        </w:rPr>
        <w:t xml:space="preserve">increasing </w:t>
      </w:r>
      <w:r w:rsidR="00BB5035" w:rsidRPr="00482722">
        <w:rPr>
          <w:rFonts w:ascii="Arial" w:hAnsi="Arial" w:cs="Arial"/>
          <w:sz w:val="20"/>
          <w:szCs w:val="20"/>
        </w:rPr>
        <w:t xml:space="preserve">pressure to provide </w:t>
      </w:r>
      <w:r w:rsidR="00324266" w:rsidRPr="00482722">
        <w:rPr>
          <w:rFonts w:ascii="Arial" w:hAnsi="Arial" w:cs="Arial"/>
          <w:sz w:val="20"/>
          <w:szCs w:val="20"/>
        </w:rPr>
        <w:t xml:space="preserve">services that are more </w:t>
      </w:r>
      <w:r w:rsidR="00BB5035" w:rsidRPr="00482722">
        <w:rPr>
          <w:rFonts w:ascii="Arial" w:hAnsi="Arial" w:cs="Arial"/>
          <w:sz w:val="20"/>
          <w:szCs w:val="20"/>
        </w:rPr>
        <w:t>citizen-centric (</w:t>
      </w:r>
      <w:r w:rsidR="002F2AEE" w:rsidRPr="00482722">
        <w:rPr>
          <w:rFonts w:ascii="Arial" w:hAnsi="Arial" w:cs="Arial"/>
          <w:sz w:val="20"/>
          <w:szCs w:val="20"/>
        </w:rPr>
        <w:t xml:space="preserve">Alkraiji, 2020a; </w:t>
      </w:r>
      <w:r w:rsidR="00BB5035" w:rsidRPr="00482722">
        <w:rPr>
          <w:rFonts w:ascii="Arial" w:hAnsi="Arial" w:cs="Arial"/>
          <w:sz w:val="20"/>
          <w:szCs w:val="20"/>
        </w:rPr>
        <w:t xml:space="preserve">Zhao et al., 2019; da Silva et al., 2013). </w:t>
      </w:r>
      <w:r w:rsidR="00D532CB" w:rsidRPr="00482722">
        <w:rPr>
          <w:rFonts w:ascii="Arial" w:hAnsi="Arial" w:cs="Arial"/>
          <w:sz w:val="20"/>
          <w:szCs w:val="20"/>
        </w:rPr>
        <w:t>E-government refers to “</w:t>
      </w:r>
      <w:r w:rsidR="00D532CB" w:rsidRPr="00482722">
        <w:rPr>
          <w:rFonts w:ascii="Arial" w:hAnsi="Arial" w:cs="Arial"/>
          <w:iCs/>
          <w:sz w:val="20"/>
          <w:szCs w:val="20"/>
        </w:rPr>
        <w:t>the use of information technology to enable and improve the efficiency with which government services are provided to citizens, employees, business and agencies</w:t>
      </w:r>
      <w:r w:rsidR="00D532CB" w:rsidRPr="00482722">
        <w:rPr>
          <w:rFonts w:ascii="Arial" w:hAnsi="Arial" w:cs="Arial"/>
          <w:sz w:val="20"/>
          <w:szCs w:val="20"/>
        </w:rPr>
        <w:t>” (Carter and Bélanger, 2005, p. 5</w:t>
      </w:r>
      <w:r w:rsidR="007A2704" w:rsidRPr="00482722">
        <w:rPr>
          <w:rFonts w:ascii="Arial" w:hAnsi="Arial" w:cs="Arial"/>
          <w:sz w:val="20"/>
          <w:szCs w:val="20"/>
        </w:rPr>
        <w:t>). Electronic</w:t>
      </w:r>
      <w:r w:rsidR="00BB5035" w:rsidRPr="00482722">
        <w:rPr>
          <w:rFonts w:ascii="Arial" w:hAnsi="Arial" w:cs="Arial"/>
          <w:sz w:val="20"/>
          <w:szCs w:val="20"/>
        </w:rPr>
        <w:t xml:space="preserve"> government (e-government) has been recogni</w:t>
      </w:r>
      <w:r w:rsidR="001E7B69" w:rsidRPr="00482722">
        <w:rPr>
          <w:rFonts w:ascii="Arial" w:hAnsi="Arial" w:cs="Arial"/>
          <w:sz w:val="20"/>
          <w:szCs w:val="20"/>
        </w:rPr>
        <w:t>s</w:t>
      </w:r>
      <w:r w:rsidR="00BB5035" w:rsidRPr="00482722">
        <w:rPr>
          <w:rFonts w:ascii="Arial" w:hAnsi="Arial" w:cs="Arial"/>
          <w:sz w:val="20"/>
          <w:szCs w:val="20"/>
        </w:rPr>
        <w:t xml:space="preserve">ed </w:t>
      </w:r>
      <w:r w:rsidR="00770B28" w:rsidRPr="00482722">
        <w:rPr>
          <w:rFonts w:ascii="Arial" w:hAnsi="Arial" w:cs="Arial"/>
          <w:sz w:val="20"/>
          <w:szCs w:val="20"/>
        </w:rPr>
        <w:t xml:space="preserve">globally </w:t>
      </w:r>
      <w:r w:rsidR="00BB5035" w:rsidRPr="00482722">
        <w:rPr>
          <w:rFonts w:ascii="Arial" w:hAnsi="Arial" w:cs="Arial"/>
          <w:sz w:val="20"/>
          <w:szCs w:val="20"/>
        </w:rPr>
        <w:t>as a cornerstone of effective governance</w:t>
      </w:r>
      <w:r w:rsidR="00770B28" w:rsidRPr="00482722">
        <w:rPr>
          <w:rFonts w:ascii="Arial" w:hAnsi="Arial" w:cs="Arial"/>
          <w:sz w:val="20"/>
          <w:szCs w:val="20"/>
        </w:rPr>
        <w:t xml:space="preserve"> and</w:t>
      </w:r>
      <w:r w:rsidR="00BB5035" w:rsidRPr="00482722">
        <w:rPr>
          <w:rFonts w:ascii="Arial" w:hAnsi="Arial" w:cs="Arial"/>
          <w:sz w:val="20"/>
          <w:szCs w:val="20"/>
        </w:rPr>
        <w:t xml:space="preserve"> allows the decentrali</w:t>
      </w:r>
      <w:r w:rsidR="001E7B69" w:rsidRPr="00482722">
        <w:rPr>
          <w:rFonts w:ascii="Arial" w:hAnsi="Arial" w:cs="Arial"/>
          <w:sz w:val="20"/>
          <w:szCs w:val="20"/>
        </w:rPr>
        <w:t>s</w:t>
      </w:r>
      <w:r w:rsidR="00BB5035" w:rsidRPr="00482722">
        <w:rPr>
          <w:rFonts w:ascii="Arial" w:hAnsi="Arial" w:cs="Arial"/>
          <w:sz w:val="20"/>
          <w:szCs w:val="20"/>
        </w:rPr>
        <w:t>ation of integrated public services (</w:t>
      </w:r>
      <w:bookmarkStart w:id="1" w:name="_Hlk58195048"/>
      <w:r w:rsidR="00BB5035" w:rsidRPr="00482722">
        <w:rPr>
          <w:rFonts w:ascii="Arial" w:hAnsi="Arial" w:cs="Arial"/>
          <w:sz w:val="20"/>
          <w:szCs w:val="20"/>
        </w:rPr>
        <w:t>Janssen et al., 2018</w:t>
      </w:r>
      <w:bookmarkEnd w:id="1"/>
      <w:r w:rsidR="00BB5035" w:rsidRPr="00482722">
        <w:rPr>
          <w:rFonts w:ascii="Arial" w:hAnsi="Arial" w:cs="Arial"/>
          <w:sz w:val="20"/>
          <w:szCs w:val="20"/>
        </w:rPr>
        <w:t xml:space="preserve">). </w:t>
      </w:r>
    </w:p>
    <w:p w14:paraId="59C35F7D" w14:textId="5AF4B44F" w:rsidR="00AF7400" w:rsidRPr="00482722" w:rsidRDefault="00BB5035" w:rsidP="00DA5EEC">
      <w:pPr>
        <w:spacing w:line="240" w:lineRule="auto"/>
        <w:jc w:val="both"/>
        <w:rPr>
          <w:rFonts w:ascii="Arial" w:hAnsi="Arial" w:cs="Arial"/>
          <w:sz w:val="20"/>
          <w:szCs w:val="20"/>
        </w:rPr>
      </w:pPr>
      <w:r w:rsidRPr="00482722">
        <w:rPr>
          <w:rFonts w:ascii="Arial" w:hAnsi="Arial" w:cs="Arial"/>
          <w:sz w:val="20"/>
          <w:szCs w:val="20"/>
        </w:rPr>
        <w:t>Over the last two decades, the evaluation of e-government services</w:t>
      </w:r>
      <w:r w:rsidR="001E7B69" w:rsidRPr="00482722">
        <w:rPr>
          <w:rFonts w:ascii="Arial" w:hAnsi="Arial" w:cs="Arial"/>
          <w:sz w:val="20"/>
          <w:szCs w:val="20"/>
        </w:rPr>
        <w:t xml:space="preserve"> </w:t>
      </w:r>
      <w:r w:rsidR="00D532CB" w:rsidRPr="00482722">
        <w:rPr>
          <w:rFonts w:ascii="Arial" w:hAnsi="Arial" w:cs="Arial"/>
          <w:sz w:val="20"/>
          <w:szCs w:val="20"/>
        </w:rPr>
        <w:t xml:space="preserve">from the perspective of </w:t>
      </w:r>
      <w:r w:rsidRPr="00482722">
        <w:rPr>
          <w:rFonts w:ascii="Arial" w:hAnsi="Arial" w:cs="Arial"/>
          <w:sz w:val="20"/>
          <w:szCs w:val="20"/>
        </w:rPr>
        <w:t xml:space="preserve">citizen perception has become a major topic of interest </w:t>
      </w:r>
      <w:r w:rsidR="00424750" w:rsidRPr="00482722">
        <w:rPr>
          <w:rFonts w:ascii="Arial" w:hAnsi="Arial" w:cs="Arial"/>
          <w:sz w:val="20"/>
          <w:szCs w:val="20"/>
        </w:rPr>
        <w:t xml:space="preserve">for </w:t>
      </w:r>
      <w:r w:rsidRPr="00482722">
        <w:rPr>
          <w:rFonts w:ascii="Arial" w:hAnsi="Arial" w:cs="Arial"/>
          <w:sz w:val="20"/>
          <w:szCs w:val="20"/>
        </w:rPr>
        <w:t>academics a</w:t>
      </w:r>
      <w:r w:rsidR="001F0A04" w:rsidRPr="00482722">
        <w:rPr>
          <w:rFonts w:ascii="Arial" w:hAnsi="Arial" w:cs="Arial"/>
          <w:sz w:val="20"/>
          <w:szCs w:val="20"/>
        </w:rPr>
        <w:t>nd practitioners</w:t>
      </w:r>
      <w:r w:rsidR="001E7B69" w:rsidRPr="00482722">
        <w:rPr>
          <w:rFonts w:ascii="Arial" w:hAnsi="Arial" w:cs="Arial"/>
          <w:sz w:val="20"/>
          <w:szCs w:val="20"/>
        </w:rPr>
        <w:t>.</w:t>
      </w:r>
      <w:r w:rsidRPr="00482722">
        <w:rPr>
          <w:rFonts w:ascii="Arial" w:hAnsi="Arial" w:cs="Arial"/>
          <w:sz w:val="20"/>
          <w:szCs w:val="20"/>
        </w:rPr>
        <w:t xml:space="preserve"> </w:t>
      </w:r>
      <w:r w:rsidR="001E7B69" w:rsidRPr="00482722">
        <w:rPr>
          <w:rFonts w:ascii="Arial" w:hAnsi="Arial" w:cs="Arial"/>
          <w:sz w:val="20"/>
          <w:szCs w:val="20"/>
        </w:rPr>
        <w:t>I</w:t>
      </w:r>
      <w:r w:rsidRPr="00482722">
        <w:rPr>
          <w:rFonts w:ascii="Arial" w:hAnsi="Arial" w:cs="Arial"/>
          <w:sz w:val="20"/>
          <w:szCs w:val="20"/>
        </w:rPr>
        <w:t xml:space="preserve">ncreasing the number of citizens </w:t>
      </w:r>
      <w:r w:rsidR="001460E5" w:rsidRPr="00482722">
        <w:rPr>
          <w:rFonts w:ascii="Arial" w:hAnsi="Arial" w:cs="Arial"/>
          <w:sz w:val="20"/>
          <w:szCs w:val="20"/>
        </w:rPr>
        <w:t xml:space="preserve">who </w:t>
      </w:r>
      <w:r w:rsidRPr="00482722">
        <w:rPr>
          <w:rFonts w:ascii="Arial" w:hAnsi="Arial" w:cs="Arial"/>
          <w:sz w:val="20"/>
          <w:szCs w:val="20"/>
        </w:rPr>
        <w:t xml:space="preserve">use e-government services is key </w:t>
      </w:r>
      <w:r w:rsidR="001460E5" w:rsidRPr="00482722">
        <w:rPr>
          <w:rFonts w:ascii="Arial" w:hAnsi="Arial" w:cs="Arial"/>
          <w:sz w:val="20"/>
          <w:szCs w:val="20"/>
        </w:rPr>
        <w:t>to</w:t>
      </w:r>
      <w:r w:rsidRPr="00482722">
        <w:rPr>
          <w:rFonts w:ascii="Arial" w:hAnsi="Arial" w:cs="Arial"/>
          <w:sz w:val="20"/>
          <w:szCs w:val="20"/>
        </w:rPr>
        <w:t xml:space="preserve"> the success</w:t>
      </w:r>
      <w:r w:rsidR="00FA13AC" w:rsidRPr="00482722">
        <w:rPr>
          <w:rFonts w:ascii="Arial" w:hAnsi="Arial" w:cs="Arial"/>
          <w:sz w:val="20"/>
          <w:szCs w:val="20"/>
        </w:rPr>
        <w:t xml:space="preserve"> of those services</w:t>
      </w:r>
      <w:r w:rsidRPr="00482722">
        <w:rPr>
          <w:rFonts w:ascii="Arial" w:hAnsi="Arial" w:cs="Arial"/>
          <w:sz w:val="20"/>
          <w:szCs w:val="20"/>
        </w:rPr>
        <w:t xml:space="preserve"> (</w:t>
      </w:r>
      <w:r w:rsidR="001F0A04" w:rsidRPr="00482722">
        <w:rPr>
          <w:rFonts w:ascii="Arial" w:hAnsi="Arial" w:cs="Arial"/>
          <w:sz w:val="20"/>
          <w:szCs w:val="20"/>
        </w:rPr>
        <w:t xml:space="preserve">Kurfalı et al., 2017; </w:t>
      </w:r>
      <w:r w:rsidRPr="00482722">
        <w:rPr>
          <w:rFonts w:ascii="Arial" w:hAnsi="Arial" w:cs="Arial"/>
          <w:sz w:val="20"/>
          <w:szCs w:val="20"/>
        </w:rPr>
        <w:t>Rana et al., 2017</w:t>
      </w:r>
      <w:r w:rsidR="001F0A04" w:rsidRPr="00482722">
        <w:rPr>
          <w:rFonts w:ascii="Arial" w:hAnsi="Arial" w:cs="Arial"/>
          <w:sz w:val="20"/>
          <w:szCs w:val="20"/>
        </w:rPr>
        <w:t>; Irani et al., 2012)</w:t>
      </w:r>
      <w:r w:rsidR="00367D4B" w:rsidRPr="00482722">
        <w:rPr>
          <w:rFonts w:ascii="Arial" w:hAnsi="Arial" w:cs="Arial"/>
          <w:sz w:val="20"/>
          <w:szCs w:val="20"/>
        </w:rPr>
        <w:t>.</w:t>
      </w:r>
      <w:r w:rsidRPr="00482722">
        <w:rPr>
          <w:rFonts w:ascii="Arial" w:hAnsi="Arial" w:cs="Arial"/>
          <w:sz w:val="20"/>
          <w:szCs w:val="20"/>
        </w:rPr>
        <w:t xml:space="preserve"> </w:t>
      </w:r>
      <w:r w:rsidR="00367D4B" w:rsidRPr="00482722">
        <w:rPr>
          <w:rFonts w:ascii="Arial" w:hAnsi="Arial" w:cs="Arial"/>
          <w:sz w:val="20"/>
          <w:szCs w:val="20"/>
        </w:rPr>
        <w:t xml:space="preserve">However, </w:t>
      </w:r>
      <w:r w:rsidR="001E7B69" w:rsidRPr="00482722">
        <w:rPr>
          <w:rFonts w:ascii="Arial" w:hAnsi="Arial" w:cs="Arial"/>
          <w:sz w:val="20"/>
          <w:szCs w:val="20"/>
        </w:rPr>
        <w:t xml:space="preserve">existing </w:t>
      </w:r>
      <w:r w:rsidR="00780193" w:rsidRPr="00482722">
        <w:rPr>
          <w:rFonts w:ascii="Arial" w:hAnsi="Arial" w:cs="Arial"/>
          <w:sz w:val="20"/>
          <w:szCs w:val="20"/>
        </w:rPr>
        <w:t xml:space="preserve">studies </w:t>
      </w:r>
      <w:r w:rsidR="00DF48C8" w:rsidRPr="00482722">
        <w:rPr>
          <w:rFonts w:ascii="Arial" w:hAnsi="Arial" w:cs="Arial"/>
          <w:sz w:val="20"/>
          <w:szCs w:val="20"/>
        </w:rPr>
        <w:lastRenderedPageBreak/>
        <w:t xml:space="preserve">focus mainly on </w:t>
      </w:r>
      <w:r w:rsidRPr="00482722">
        <w:rPr>
          <w:rFonts w:ascii="Arial" w:hAnsi="Arial" w:cs="Arial"/>
          <w:sz w:val="20"/>
          <w:szCs w:val="20"/>
        </w:rPr>
        <w:t xml:space="preserve">satisfaction </w:t>
      </w:r>
      <w:r w:rsidR="00B77EB7" w:rsidRPr="00482722">
        <w:rPr>
          <w:rFonts w:ascii="Arial" w:hAnsi="Arial" w:cs="Arial"/>
          <w:sz w:val="20"/>
          <w:szCs w:val="20"/>
        </w:rPr>
        <w:t xml:space="preserve">as </w:t>
      </w:r>
      <w:r w:rsidRPr="00482722">
        <w:rPr>
          <w:rFonts w:ascii="Arial" w:hAnsi="Arial" w:cs="Arial"/>
          <w:sz w:val="20"/>
          <w:szCs w:val="20"/>
        </w:rPr>
        <w:t xml:space="preserve">a driver of citizen engagement </w:t>
      </w:r>
      <w:r w:rsidR="00FA13AC" w:rsidRPr="00482722">
        <w:rPr>
          <w:rFonts w:ascii="Arial" w:hAnsi="Arial" w:cs="Arial"/>
          <w:sz w:val="20"/>
          <w:szCs w:val="20"/>
        </w:rPr>
        <w:t xml:space="preserve">with </w:t>
      </w:r>
      <w:r w:rsidRPr="00482722">
        <w:rPr>
          <w:rFonts w:ascii="Arial" w:hAnsi="Arial" w:cs="Arial"/>
          <w:sz w:val="20"/>
          <w:szCs w:val="20"/>
        </w:rPr>
        <w:t xml:space="preserve">e-government services (e.g., </w:t>
      </w:r>
      <w:r w:rsidR="000052F4" w:rsidRPr="00482722">
        <w:rPr>
          <w:rFonts w:ascii="Arial" w:hAnsi="Arial" w:cs="Arial"/>
          <w:sz w:val="20"/>
          <w:szCs w:val="20"/>
        </w:rPr>
        <w:t>Alkraiji, 2020</w:t>
      </w:r>
      <w:r w:rsidR="002F2AEE" w:rsidRPr="00482722">
        <w:rPr>
          <w:rFonts w:ascii="Arial" w:hAnsi="Arial" w:cs="Arial"/>
          <w:sz w:val="20"/>
          <w:szCs w:val="20"/>
        </w:rPr>
        <w:t>a</w:t>
      </w:r>
      <w:r w:rsidR="000052F4" w:rsidRPr="00482722">
        <w:rPr>
          <w:rFonts w:ascii="Arial" w:hAnsi="Arial" w:cs="Arial"/>
          <w:sz w:val="20"/>
          <w:szCs w:val="20"/>
        </w:rPr>
        <w:t xml:space="preserve">; Alzahrani et al., 2018; </w:t>
      </w:r>
      <w:r w:rsidRPr="00482722">
        <w:rPr>
          <w:rFonts w:ascii="Arial" w:hAnsi="Arial" w:cs="Arial"/>
          <w:sz w:val="20"/>
          <w:szCs w:val="20"/>
        </w:rPr>
        <w:t>Rana et al., 2017; Weerakkody et al., 2016; Irani et al., 2012; Chan et al., 2010)</w:t>
      </w:r>
      <w:r w:rsidR="00DF48C8" w:rsidRPr="00482722">
        <w:rPr>
          <w:rFonts w:ascii="Arial" w:hAnsi="Arial" w:cs="Arial"/>
          <w:sz w:val="20"/>
          <w:szCs w:val="20"/>
        </w:rPr>
        <w:t xml:space="preserve">, </w:t>
      </w:r>
      <w:r w:rsidR="00816A47" w:rsidRPr="00482722">
        <w:rPr>
          <w:rFonts w:ascii="Arial" w:hAnsi="Arial" w:cs="Arial"/>
          <w:sz w:val="20"/>
          <w:szCs w:val="20"/>
        </w:rPr>
        <w:t xml:space="preserve">while neglecting the aspect of citizen loyalty to </w:t>
      </w:r>
      <w:r w:rsidR="00D120FB" w:rsidRPr="00482722">
        <w:rPr>
          <w:rFonts w:ascii="Arial" w:hAnsi="Arial" w:cs="Arial"/>
          <w:sz w:val="20"/>
          <w:szCs w:val="20"/>
        </w:rPr>
        <w:t>those services</w:t>
      </w:r>
      <w:r w:rsidR="00A61DDD" w:rsidRPr="00482722">
        <w:rPr>
          <w:rFonts w:ascii="Arial" w:hAnsi="Arial" w:cs="Arial"/>
          <w:sz w:val="20"/>
          <w:szCs w:val="20"/>
        </w:rPr>
        <w:t xml:space="preserve">. </w:t>
      </w:r>
      <w:r w:rsidR="001C2F37" w:rsidRPr="00482722">
        <w:rPr>
          <w:rFonts w:ascii="Arial" w:hAnsi="Arial" w:cs="Arial"/>
          <w:sz w:val="20"/>
          <w:szCs w:val="20"/>
        </w:rPr>
        <w:t>It is even more important to consider c</w:t>
      </w:r>
      <w:r w:rsidR="00713531" w:rsidRPr="00482722">
        <w:rPr>
          <w:rFonts w:ascii="Arial" w:hAnsi="Arial" w:cs="Arial"/>
          <w:sz w:val="20"/>
          <w:szCs w:val="20"/>
        </w:rPr>
        <w:t>itizen loyalty than satisfaction, g</w:t>
      </w:r>
      <w:r w:rsidR="00B13C27" w:rsidRPr="00482722">
        <w:rPr>
          <w:rFonts w:ascii="Arial" w:hAnsi="Arial" w:cs="Arial"/>
          <w:sz w:val="20"/>
          <w:szCs w:val="20"/>
        </w:rPr>
        <w:t>iven that</w:t>
      </w:r>
      <w:r w:rsidR="00F40F22" w:rsidRPr="00482722">
        <w:rPr>
          <w:rFonts w:ascii="Arial" w:hAnsi="Arial" w:cs="Arial"/>
          <w:sz w:val="20"/>
          <w:szCs w:val="20"/>
        </w:rPr>
        <w:t xml:space="preserve"> a</w:t>
      </w:r>
      <w:r w:rsidRPr="00482722">
        <w:rPr>
          <w:rFonts w:ascii="Arial" w:eastAsia="Times New Roman" w:hAnsi="Arial" w:cs="Arial"/>
          <w:sz w:val="20"/>
          <w:szCs w:val="20"/>
          <w:lang w:eastAsia="en-GB"/>
        </w:rPr>
        <w:t xml:space="preserve"> </w:t>
      </w:r>
      <w:r w:rsidRPr="00482722">
        <w:rPr>
          <w:rFonts w:ascii="Arial" w:hAnsi="Arial" w:cs="Arial"/>
          <w:sz w:val="20"/>
          <w:szCs w:val="20"/>
        </w:rPr>
        <w:t xml:space="preserve">temporary setback in consumer satisfaction with online services does not necessarily affect </w:t>
      </w:r>
      <w:r w:rsidR="00B13C27" w:rsidRPr="00482722">
        <w:rPr>
          <w:rFonts w:ascii="Arial" w:hAnsi="Arial" w:cs="Arial"/>
          <w:sz w:val="20"/>
          <w:szCs w:val="20"/>
        </w:rPr>
        <w:t>the</w:t>
      </w:r>
      <w:r w:rsidR="007A5EE8" w:rsidRPr="00482722">
        <w:rPr>
          <w:rFonts w:ascii="Arial" w:hAnsi="Arial" w:cs="Arial"/>
          <w:sz w:val="20"/>
          <w:szCs w:val="20"/>
        </w:rPr>
        <w:t xml:space="preserve"> </w:t>
      </w:r>
      <w:r w:rsidRPr="00482722">
        <w:rPr>
          <w:rFonts w:ascii="Arial" w:hAnsi="Arial" w:cs="Arial"/>
          <w:sz w:val="20"/>
          <w:szCs w:val="20"/>
        </w:rPr>
        <w:t xml:space="preserve">long-term relationship </w:t>
      </w:r>
      <w:r w:rsidR="000E3D7B" w:rsidRPr="00482722">
        <w:rPr>
          <w:rFonts w:ascii="Arial" w:hAnsi="Arial" w:cs="Arial"/>
          <w:sz w:val="20"/>
          <w:szCs w:val="20"/>
        </w:rPr>
        <w:t xml:space="preserve">between consumers and online services </w:t>
      </w:r>
      <w:r w:rsidRPr="00482722">
        <w:rPr>
          <w:rFonts w:ascii="Arial" w:hAnsi="Arial" w:cs="Arial"/>
          <w:sz w:val="20"/>
          <w:szCs w:val="20"/>
        </w:rPr>
        <w:t>(</w:t>
      </w:r>
      <w:r w:rsidR="000052F4" w:rsidRPr="00482722">
        <w:rPr>
          <w:rFonts w:ascii="Arial" w:hAnsi="Arial" w:cs="Arial"/>
          <w:sz w:val="20"/>
          <w:szCs w:val="20"/>
        </w:rPr>
        <w:t xml:space="preserve">Choi, 2015; Morgeson III, 2011; </w:t>
      </w:r>
      <w:r w:rsidRPr="00482722">
        <w:rPr>
          <w:rFonts w:ascii="Arial" w:hAnsi="Arial" w:cs="Arial"/>
          <w:sz w:val="20"/>
          <w:szCs w:val="20"/>
        </w:rPr>
        <w:t xml:space="preserve">Kassim </w:t>
      </w:r>
      <w:r w:rsidR="002D35B9" w:rsidRPr="00482722">
        <w:rPr>
          <w:rFonts w:ascii="Arial" w:hAnsi="Arial" w:cs="Arial"/>
          <w:sz w:val="20"/>
          <w:szCs w:val="20"/>
        </w:rPr>
        <w:t>and</w:t>
      </w:r>
      <w:r w:rsidRPr="00482722">
        <w:rPr>
          <w:rFonts w:ascii="Arial" w:hAnsi="Arial" w:cs="Arial"/>
          <w:sz w:val="20"/>
          <w:szCs w:val="20"/>
        </w:rPr>
        <w:t xml:space="preserve"> Ismail, 2009; Lin </w:t>
      </w:r>
      <w:r w:rsidR="002D35B9" w:rsidRPr="00482722">
        <w:rPr>
          <w:rFonts w:ascii="Arial" w:hAnsi="Arial" w:cs="Arial"/>
          <w:sz w:val="20"/>
          <w:szCs w:val="20"/>
        </w:rPr>
        <w:t>and</w:t>
      </w:r>
      <w:r w:rsidRPr="00482722">
        <w:rPr>
          <w:rFonts w:ascii="Arial" w:hAnsi="Arial" w:cs="Arial"/>
          <w:sz w:val="20"/>
          <w:szCs w:val="20"/>
        </w:rPr>
        <w:t xml:space="preserve"> Wang, 2006; </w:t>
      </w:r>
      <w:r w:rsidR="000052F4" w:rsidRPr="00482722">
        <w:rPr>
          <w:rFonts w:ascii="Arial" w:hAnsi="Arial" w:cs="Arial"/>
          <w:sz w:val="20"/>
          <w:szCs w:val="20"/>
        </w:rPr>
        <w:t xml:space="preserve">Davison et al. 2005; </w:t>
      </w:r>
      <w:r w:rsidRPr="00482722">
        <w:rPr>
          <w:rFonts w:ascii="Arial" w:hAnsi="Arial" w:cs="Arial"/>
          <w:sz w:val="20"/>
          <w:szCs w:val="20"/>
        </w:rPr>
        <w:t>Chiou, 2004)</w:t>
      </w:r>
      <w:r w:rsidR="00F40F22" w:rsidRPr="00482722">
        <w:rPr>
          <w:rFonts w:ascii="Arial" w:hAnsi="Arial" w:cs="Arial"/>
          <w:sz w:val="20"/>
          <w:szCs w:val="20"/>
        </w:rPr>
        <w:t>.</w:t>
      </w:r>
      <w:r w:rsidR="00EE3D23" w:rsidRPr="00482722">
        <w:rPr>
          <w:rFonts w:ascii="Arial" w:hAnsi="Arial" w:cs="Arial"/>
          <w:sz w:val="20"/>
          <w:szCs w:val="20"/>
        </w:rPr>
        <w:t xml:space="preserve"> </w:t>
      </w:r>
      <w:r w:rsidR="00927B96" w:rsidRPr="00482722">
        <w:rPr>
          <w:rFonts w:ascii="Arial" w:hAnsi="Arial" w:cs="Arial"/>
          <w:sz w:val="20"/>
          <w:szCs w:val="20"/>
        </w:rPr>
        <w:t xml:space="preserve">The importance of customer loyalty </w:t>
      </w:r>
      <w:r w:rsidR="00B21224" w:rsidRPr="00482722">
        <w:rPr>
          <w:rFonts w:ascii="Arial" w:hAnsi="Arial" w:cs="Arial"/>
          <w:sz w:val="20"/>
          <w:szCs w:val="20"/>
        </w:rPr>
        <w:t xml:space="preserve">has been </w:t>
      </w:r>
      <w:r w:rsidR="00927B96" w:rsidRPr="00482722">
        <w:rPr>
          <w:rFonts w:ascii="Arial" w:hAnsi="Arial" w:cs="Arial"/>
          <w:sz w:val="20"/>
          <w:szCs w:val="20"/>
        </w:rPr>
        <w:t>emphasi</w:t>
      </w:r>
      <w:r w:rsidR="00F40F22" w:rsidRPr="00482722">
        <w:rPr>
          <w:rFonts w:ascii="Arial" w:hAnsi="Arial" w:cs="Arial"/>
          <w:sz w:val="20"/>
          <w:szCs w:val="20"/>
        </w:rPr>
        <w:t>s</w:t>
      </w:r>
      <w:r w:rsidR="00927B96" w:rsidRPr="00482722">
        <w:rPr>
          <w:rFonts w:ascii="Arial" w:hAnsi="Arial" w:cs="Arial"/>
          <w:sz w:val="20"/>
          <w:szCs w:val="20"/>
        </w:rPr>
        <w:t xml:space="preserve">ed </w:t>
      </w:r>
      <w:r w:rsidR="0014567D" w:rsidRPr="00482722">
        <w:rPr>
          <w:rFonts w:ascii="Arial" w:hAnsi="Arial" w:cs="Arial"/>
          <w:sz w:val="20"/>
          <w:szCs w:val="20"/>
        </w:rPr>
        <w:t xml:space="preserve">strongly </w:t>
      </w:r>
      <w:r w:rsidR="00713531" w:rsidRPr="00482722">
        <w:rPr>
          <w:rFonts w:ascii="Arial" w:hAnsi="Arial" w:cs="Arial"/>
          <w:sz w:val="20"/>
          <w:szCs w:val="20"/>
        </w:rPr>
        <w:t xml:space="preserve">by </w:t>
      </w:r>
      <w:r w:rsidR="00927B96" w:rsidRPr="00482722">
        <w:rPr>
          <w:rFonts w:ascii="Arial" w:hAnsi="Arial" w:cs="Arial"/>
          <w:sz w:val="20"/>
          <w:szCs w:val="20"/>
        </w:rPr>
        <w:t>research on free competitive markets, such as e-commerce</w:t>
      </w:r>
      <w:r w:rsidR="00B21224" w:rsidRPr="00482722">
        <w:rPr>
          <w:rFonts w:ascii="Arial" w:hAnsi="Arial" w:cs="Arial"/>
          <w:sz w:val="20"/>
          <w:szCs w:val="20"/>
        </w:rPr>
        <w:t>,</w:t>
      </w:r>
      <w:r w:rsidR="00927B96" w:rsidRPr="00482722">
        <w:rPr>
          <w:rFonts w:ascii="Arial" w:hAnsi="Arial" w:cs="Arial"/>
          <w:sz w:val="20"/>
          <w:szCs w:val="20"/>
        </w:rPr>
        <w:t xml:space="preserve"> </w:t>
      </w:r>
      <w:r w:rsidR="00B21224" w:rsidRPr="00482722">
        <w:rPr>
          <w:rFonts w:ascii="Arial" w:hAnsi="Arial" w:cs="Arial"/>
          <w:sz w:val="20"/>
          <w:szCs w:val="20"/>
        </w:rPr>
        <w:t xml:space="preserve">as </w:t>
      </w:r>
      <w:r w:rsidR="00927B96" w:rsidRPr="00482722">
        <w:rPr>
          <w:rFonts w:ascii="Arial" w:hAnsi="Arial" w:cs="Arial"/>
          <w:sz w:val="20"/>
          <w:szCs w:val="20"/>
        </w:rPr>
        <w:t xml:space="preserve">a way </w:t>
      </w:r>
      <w:r w:rsidR="00C55FDF" w:rsidRPr="00482722">
        <w:rPr>
          <w:rFonts w:ascii="Arial" w:hAnsi="Arial" w:cs="Arial"/>
          <w:sz w:val="20"/>
          <w:szCs w:val="20"/>
        </w:rPr>
        <w:t>of increasing</w:t>
      </w:r>
      <w:r w:rsidR="00927B96" w:rsidRPr="00482722">
        <w:rPr>
          <w:rFonts w:ascii="Arial" w:hAnsi="Arial" w:cs="Arial"/>
          <w:sz w:val="20"/>
          <w:szCs w:val="20"/>
        </w:rPr>
        <w:t xml:space="preserve"> fidelity to merchant websites (e.g., </w:t>
      </w:r>
      <w:r w:rsidR="001E2206" w:rsidRPr="00482722">
        <w:rPr>
          <w:rFonts w:ascii="Arial" w:hAnsi="Arial" w:cs="Arial"/>
          <w:sz w:val="20"/>
          <w:szCs w:val="20"/>
        </w:rPr>
        <w:t xml:space="preserve">Kaur et al., 2020; </w:t>
      </w:r>
      <w:r w:rsidR="00927B96" w:rsidRPr="00482722">
        <w:rPr>
          <w:rFonts w:ascii="Arial" w:eastAsia="Times New Roman" w:hAnsi="Arial" w:cs="Arial"/>
          <w:sz w:val="20"/>
          <w:szCs w:val="20"/>
          <w:lang w:eastAsia="en-GB"/>
        </w:rPr>
        <w:t xml:space="preserve">Liao et al., 2020; Yang et al., 2017; </w:t>
      </w:r>
      <w:r w:rsidR="00927B96" w:rsidRPr="00482722">
        <w:rPr>
          <w:rFonts w:ascii="Arial" w:hAnsi="Arial" w:cs="Arial"/>
          <w:sz w:val="20"/>
          <w:szCs w:val="20"/>
        </w:rPr>
        <w:t xml:space="preserve">Bilgihan, 2016). </w:t>
      </w:r>
      <w:r w:rsidR="007E31C8" w:rsidRPr="00482722">
        <w:rPr>
          <w:rFonts w:ascii="Arial" w:hAnsi="Arial" w:cs="Arial"/>
          <w:sz w:val="20"/>
          <w:szCs w:val="20"/>
        </w:rPr>
        <w:t>S</w:t>
      </w:r>
      <w:r w:rsidR="005673B1" w:rsidRPr="00482722">
        <w:rPr>
          <w:rFonts w:ascii="Arial" w:hAnsi="Arial" w:cs="Arial"/>
          <w:sz w:val="20"/>
          <w:szCs w:val="20"/>
        </w:rPr>
        <w:t xml:space="preserve">atisfaction </w:t>
      </w:r>
      <w:r w:rsidR="00C55FDF" w:rsidRPr="00482722">
        <w:rPr>
          <w:rFonts w:ascii="Arial" w:hAnsi="Arial" w:cs="Arial"/>
          <w:sz w:val="20"/>
          <w:szCs w:val="20"/>
        </w:rPr>
        <w:t xml:space="preserve">can </w:t>
      </w:r>
      <w:r w:rsidR="005673B1" w:rsidRPr="00482722">
        <w:rPr>
          <w:rFonts w:ascii="Arial" w:hAnsi="Arial" w:cs="Arial"/>
          <w:sz w:val="20"/>
          <w:szCs w:val="20"/>
        </w:rPr>
        <w:t xml:space="preserve">measure customers’ current attitudes </w:t>
      </w:r>
      <w:r w:rsidR="00C55FDF" w:rsidRPr="00482722">
        <w:rPr>
          <w:rFonts w:ascii="Arial" w:hAnsi="Arial" w:cs="Arial"/>
          <w:sz w:val="20"/>
          <w:szCs w:val="20"/>
        </w:rPr>
        <w:t>to</w:t>
      </w:r>
      <w:r w:rsidR="005673B1" w:rsidRPr="00482722">
        <w:rPr>
          <w:rFonts w:ascii="Arial" w:hAnsi="Arial" w:cs="Arial"/>
          <w:sz w:val="20"/>
          <w:szCs w:val="20"/>
        </w:rPr>
        <w:t xml:space="preserve"> the quality of </w:t>
      </w:r>
      <w:r w:rsidR="00C55FDF" w:rsidRPr="00482722">
        <w:rPr>
          <w:rFonts w:ascii="Arial" w:hAnsi="Arial" w:cs="Arial"/>
          <w:sz w:val="20"/>
          <w:szCs w:val="20"/>
        </w:rPr>
        <w:t xml:space="preserve">a </w:t>
      </w:r>
      <w:r w:rsidR="005673B1" w:rsidRPr="00482722">
        <w:rPr>
          <w:rFonts w:ascii="Arial" w:hAnsi="Arial" w:cs="Arial"/>
          <w:sz w:val="20"/>
          <w:szCs w:val="20"/>
        </w:rPr>
        <w:t>service (</w:t>
      </w:r>
      <w:r w:rsidR="00C27964" w:rsidRPr="00482722">
        <w:rPr>
          <w:rFonts w:ascii="Arial" w:hAnsi="Arial" w:cs="Arial"/>
          <w:sz w:val="20"/>
          <w:szCs w:val="20"/>
        </w:rPr>
        <w:t>Irani et al., 2012; Brown et al., 2008; Bhattacherjee, 2001</w:t>
      </w:r>
      <w:r w:rsidR="00192D58" w:rsidRPr="00482722">
        <w:rPr>
          <w:rFonts w:ascii="Arial" w:hAnsi="Arial" w:cs="Arial"/>
          <w:sz w:val="20"/>
          <w:szCs w:val="20"/>
        </w:rPr>
        <w:t xml:space="preserve">), </w:t>
      </w:r>
      <w:r w:rsidR="007E31C8" w:rsidRPr="00482722">
        <w:rPr>
          <w:rFonts w:ascii="Arial" w:hAnsi="Arial" w:cs="Arial"/>
          <w:sz w:val="20"/>
          <w:szCs w:val="20"/>
        </w:rPr>
        <w:t xml:space="preserve">but </w:t>
      </w:r>
      <w:r w:rsidR="00192D58" w:rsidRPr="00482722">
        <w:rPr>
          <w:rFonts w:ascii="Arial" w:hAnsi="Arial" w:cs="Arial"/>
          <w:sz w:val="20"/>
          <w:szCs w:val="20"/>
        </w:rPr>
        <w:t>loyalty</w:t>
      </w:r>
      <w:r w:rsidR="005673B1" w:rsidRPr="00482722">
        <w:rPr>
          <w:rFonts w:ascii="Arial" w:hAnsi="Arial" w:cs="Arial"/>
          <w:sz w:val="20"/>
          <w:szCs w:val="20"/>
        </w:rPr>
        <w:t xml:space="preserve"> </w:t>
      </w:r>
      <w:r w:rsidR="001B14E1" w:rsidRPr="00482722">
        <w:rPr>
          <w:rFonts w:ascii="Arial" w:hAnsi="Arial" w:cs="Arial"/>
          <w:sz w:val="20"/>
          <w:szCs w:val="20"/>
        </w:rPr>
        <w:t xml:space="preserve">focuses on </w:t>
      </w:r>
      <w:r w:rsidR="002426DE" w:rsidRPr="00482722">
        <w:rPr>
          <w:rFonts w:ascii="Arial" w:hAnsi="Arial" w:cs="Arial"/>
          <w:sz w:val="20"/>
          <w:szCs w:val="20"/>
        </w:rPr>
        <w:t xml:space="preserve">how </w:t>
      </w:r>
      <w:r w:rsidR="001B14E1" w:rsidRPr="00482722">
        <w:rPr>
          <w:rFonts w:ascii="Arial" w:hAnsi="Arial" w:cs="Arial"/>
          <w:sz w:val="20"/>
          <w:szCs w:val="20"/>
        </w:rPr>
        <w:t>customers</w:t>
      </w:r>
      <w:r w:rsidR="002426DE" w:rsidRPr="00482722">
        <w:rPr>
          <w:rFonts w:ascii="Arial" w:hAnsi="Arial" w:cs="Arial"/>
          <w:sz w:val="20"/>
          <w:szCs w:val="20"/>
        </w:rPr>
        <w:t>’</w:t>
      </w:r>
      <w:r w:rsidR="001B14E1" w:rsidRPr="00482722">
        <w:rPr>
          <w:rFonts w:ascii="Arial" w:hAnsi="Arial" w:cs="Arial"/>
          <w:sz w:val="20"/>
          <w:szCs w:val="20"/>
        </w:rPr>
        <w:t xml:space="preserve"> attitude</w:t>
      </w:r>
      <w:r w:rsidR="002426DE" w:rsidRPr="00482722">
        <w:rPr>
          <w:rFonts w:ascii="Arial" w:hAnsi="Arial" w:cs="Arial"/>
          <w:sz w:val="20"/>
          <w:szCs w:val="20"/>
        </w:rPr>
        <w:t>s</w:t>
      </w:r>
      <w:r w:rsidR="001B14E1" w:rsidRPr="00482722">
        <w:rPr>
          <w:rFonts w:ascii="Arial" w:hAnsi="Arial" w:cs="Arial"/>
          <w:sz w:val="20"/>
          <w:szCs w:val="20"/>
        </w:rPr>
        <w:t xml:space="preserve"> lead to </w:t>
      </w:r>
      <w:r w:rsidR="002426DE" w:rsidRPr="00482722">
        <w:rPr>
          <w:rFonts w:ascii="Arial" w:hAnsi="Arial" w:cs="Arial"/>
          <w:sz w:val="20"/>
          <w:szCs w:val="20"/>
        </w:rPr>
        <w:t xml:space="preserve">a </w:t>
      </w:r>
      <w:r w:rsidR="001B14E1" w:rsidRPr="00482722">
        <w:rPr>
          <w:rFonts w:ascii="Arial" w:hAnsi="Arial" w:cs="Arial"/>
          <w:sz w:val="20"/>
          <w:szCs w:val="20"/>
        </w:rPr>
        <w:t>strong relationship with the brand (</w:t>
      </w:r>
      <w:r w:rsidR="001E2206" w:rsidRPr="00482722">
        <w:rPr>
          <w:rFonts w:ascii="Arial" w:hAnsi="Arial" w:cs="Arial"/>
          <w:sz w:val="20"/>
          <w:szCs w:val="20"/>
        </w:rPr>
        <w:t>Kumar et al., 2020; Liao et al., 2020</w:t>
      </w:r>
      <w:r w:rsidR="001B14E1" w:rsidRPr="00482722">
        <w:rPr>
          <w:rFonts w:ascii="Arial" w:hAnsi="Arial" w:cs="Arial"/>
          <w:sz w:val="20"/>
          <w:szCs w:val="20"/>
        </w:rPr>
        <w:t>).</w:t>
      </w:r>
    </w:p>
    <w:p w14:paraId="0269CBF0" w14:textId="4F9B258C" w:rsidR="007A29B1" w:rsidRPr="00482722" w:rsidRDefault="00E01B72" w:rsidP="00DA5EEC">
      <w:pPr>
        <w:spacing w:line="240" w:lineRule="auto"/>
        <w:jc w:val="both"/>
        <w:rPr>
          <w:rFonts w:ascii="Arial" w:hAnsi="Arial" w:cs="Arial"/>
          <w:sz w:val="20"/>
          <w:szCs w:val="20"/>
        </w:rPr>
      </w:pPr>
      <w:r w:rsidRPr="00482722">
        <w:rPr>
          <w:rFonts w:ascii="Arial" w:hAnsi="Arial" w:cs="Arial"/>
          <w:sz w:val="20"/>
          <w:szCs w:val="20"/>
        </w:rPr>
        <w:t xml:space="preserve">Although </w:t>
      </w:r>
      <w:r w:rsidR="00F77AA7" w:rsidRPr="00482722">
        <w:rPr>
          <w:rFonts w:ascii="Arial" w:hAnsi="Arial" w:cs="Arial"/>
          <w:sz w:val="20"/>
          <w:szCs w:val="20"/>
        </w:rPr>
        <w:t xml:space="preserve">there are </w:t>
      </w:r>
      <w:r w:rsidR="00676763" w:rsidRPr="00482722">
        <w:rPr>
          <w:rFonts w:ascii="Arial" w:hAnsi="Arial" w:cs="Arial"/>
          <w:sz w:val="20"/>
          <w:szCs w:val="20"/>
        </w:rPr>
        <w:t>some</w:t>
      </w:r>
      <w:r w:rsidR="00520222" w:rsidRPr="00482722">
        <w:rPr>
          <w:rFonts w:ascii="Arial" w:hAnsi="Arial" w:cs="Arial"/>
          <w:sz w:val="20"/>
          <w:szCs w:val="20"/>
        </w:rPr>
        <w:t xml:space="preserve"> studies o</w:t>
      </w:r>
      <w:r w:rsidR="00FF0423" w:rsidRPr="00482722">
        <w:rPr>
          <w:rFonts w:ascii="Arial" w:hAnsi="Arial" w:cs="Arial"/>
          <w:sz w:val="20"/>
          <w:szCs w:val="20"/>
        </w:rPr>
        <w:t xml:space="preserve">n loyalty </w:t>
      </w:r>
      <w:r w:rsidRPr="00482722">
        <w:rPr>
          <w:rFonts w:ascii="Arial" w:hAnsi="Arial" w:cs="Arial"/>
          <w:sz w:val="20"/>
          <w:szCs w:val="20"/>
        </w:rPr>
        <w:t>to</w:t>
      </w:r>
      <w:r w:rsidR="00520222" w:rsidRPr="00482722">
        <w:rPr>
          <w:rFonts w:ascii="Arial" w:hAnsi="Arial" w:cs="Arial"/>
          <w:sz w:val="20"/>
          <w:szCs w:val="20"/>
        </w:rPr>
        <w:t xml:space="preserve"> e-government </w:t>
      </w:r>
      <w:r w:rsidR="00427785" w:rsidRPr="00482722">
        <w:rPr>
          <w:rFonts w:ascii="Arial" w:hAnsi="Arial" w:cs="Arial"/>
          <w:sz w:val="20"/>
          <w:szCs w:val="20"/>
        </w:rPr>
        <w:t xml:space="preserve">(e.g., Chatfield and Alanazi, 2013, Morgeson III, 2011, </w:t>
      </w:r>
      <w:r w:rsidR="00427785" w:rsidRPr="00482722">
        <w:rPr>
          <w:rFonts w:ascii="Arial" w:eastAsia="Times New Roman" w:hAnsi="Arial" w:cs="Arial"/>
          <w:sz w:val="20"/>
          <w:szCs w:val="20"/>
          <w:lang w:eastAsia="en-GB"/>
        </w:rPr>
        <w:t xml:space="preserve">Connolly et al, 2010, </w:t>
      </w:r>
      <w:r w:rsidR="00427785" w:rsidRPr="00482722">
        <w:rPr>
          <w:rFonts w:ascii="Arial" w:hAnsi="Arial" w:cs="Arial"/>
          <w:sz w:val="20"/>
          <w:szCs w:val="20"/>
        </w:rPr>
        <w:t>Doong et al., 2010)</w:t>
      </w:r>
      <w:r w:rsidR="00F16996" w:rsidRPr="00482722">
        <w:rPr>
          <w:rFonts w:ascii="Arial" w:hAnsi="Arial" w:cs="Arial"/>
          <w:sz w:val="20"/>
          <w:szCs w:val="20"/>
        </w:rPr>
        <w:t xml:space="preserve">, </w:t>
      </w:r>
      <w:r w:rsidR="00B11772" w:rsidRPr="00482722">
        <w:rPr>
          <w:rFonts w:ascii="Arial" w:hAnsi="Arial" w:cs="Arial"/>
          <w:sz w:val="20"/>
          <w:szCs w:val="20"/>
        </w:rPr>
        <w:t>they have not integrated</w:t>
      </w:r>
      <w:r w:rsidR="002C4074" w:rsidRPr="00482722">
        <w:rPr>
          <w:rFonts w:ascii="Arial" w:hAnsi="Arial" w:cs="Arial"/>
          <w:sz w:val="20"/>
          <w:szCs w:val="20"/>
        </w:rPr>
        <w:t xml:space="preserve"> </w:t>
      </w:r>
      <w:r w:rsidR="00427785" w:rsidRPr="00482722">
        <w:rPr>
          <w:rFonts w:ascii="Arial" w:hAnsi="Arial" w:cs="Arial"/>
          <w:sz w:val="20"/>
          <w:szCs w:val="20"/>
        </w:rPr>
        <w:t>loyalty in</w:t>
      </w:r>
      <w:r w:rsidR="00B11772" w:rsidRPr="00482722">
        <w:rPr>
          <w:rFonts w:ascii="Arial" w:hAnsi="Arial" w:cs="Arial"/>
          <w:sz w:val="20"/>
          <w:szCs w:val="20"/>
        </w:rPr>
        <w:t>to</w:t>
      </w:r>
      <w:r w:rsidR="00427785" w:rsidRPr="00482722">
        <w:rPr>
          <w:rFonts w:ascii="Arial" w:hAnsi="Arial" w:cs="Arial"/>
          <w:sz w:val="20"/>
          <w:szCs w:val="20"/>
        </w:rPr>
        <w:t xml:space="preserve"> the models</w:t>
      </w:r>
      <w:r w:rsidR="00F77AA7" w:rsidRPr="00482722">
        <w:rPr>
          <w:rFonts w:ascii="Arial" w:hAnsi="Arial" w:cs="Arial"/>
          <w:sz w:val="20"/>
          <w:szCs w:val="20"/>
        </w:rPr>
        <w:t xml:space="preserve"> they have</w:t>
      </w:r>
      <w:r w:rsidR="002C4074" w:rsidRPr="00482722">
        <w:rPr>
          <w:rFonts w:ascii="Arial" w:hAnsi="Arial" w:cs="Arial"/>
          <w:sz w:val="20"/>
          <w:szCs w:val="20"/>
        </w:rPr>
        <w:t xml:space="preserve"> developed</w:t>
      </w:r>
      <w:r w:rsidR="008F7862" w:rsidRPr="00482722">
        <w:rPr>
          <w:rFonts w:ascii="Arial" w:hAnsi="Arial" w:cs="Arial"/>
          <w:sz w:val="20"/>
          <w:szCs w:val="20"/>
        </w:rPr>
        <w:t>.</w:t>
      </w:r>
      <w:r w:rsidR="00427785" w:rsidRPr="00482722">
        <w:rPr>
          <w:rFonts w:ascii="Arial" w:hAnsi="Arial" w:cs="Arial"/>
          <w:sz w:val="20"/>
          <w:szCs w:val="20"/>
        </w:rPr>
        <w:t xml:space="preserve"> </w:t>
      </w:r>
      <w:r w:rsidR="00F77AA7" w:rsidRPr="00482722">
        <w:rPr>
          <w:rFonts w:ascii="Arial" w:hAnsi="Arial" w:cs="Arial"/>
          <w:sz w:val="20"/>
          <w:szCs w:val="20"/>
        </w:rPr>
        <w:t>T</w:t>
      </w:r>
      <w:r w:rsidR="00C13891" w:rsidRPr="00482722">
        <w:rPr>
          <w:rFonts w:ascii="Arial" w:hAnsi="Arial" w:cs="Arial"/>
          <w:sz w:val="20"/>
          <w:szCs w:val="20"/>
        </w:rPr>
        <w:t>hey have included</w:t>
      </w:r>
      <w:r w:rsidR="00427785" w:rsidRPr="00482722">
        <w:rPr>
          <w:rFonts w:ascii="Arial" w:hAnsi="Arial" w:cs="Arial"/>
          <w:sz w:val="20"/>
          <w:szCs w:val="20"/>
        </w:rPr>
        <w:t xml:space="preserve"> </w:t>
      </w:r>
      <w:r w:rsidR="003C586E" w:rsidRPr="00482722">
        <w:rPr>
          <w:rFonts w:ascii="Arial" w:hAnsi="Arial" w:cs="Arial"/>
          <w:sz w:val="20"/>
          <w:szCs w:val="20"/>
        </w:rPr>
        <w:t>‘</w:t>
      </w:r>
      <w:r w:rsidR="00427785" w:rsidRPr="00482722">
        <w:rPr>
          <w:rFonts w:ascii="Arial" w:hAnsi="Arial" w:cs="Arial"/>
          <w:sz w:val="20"/>
          <w:szCs w:val="20"/>
        </w:rPr>
        <w:t>intention to use</w:t>
      </w:r>
      <w:r w:rsidR="003C586E" w:rsidRPr="00482722">
        <w:rPr>
          <w:rFonts w:ascii="Arial" w:hAnsi="Arial" w:cs="Arial"/>
          <w:sz w:val="20"/>
          <w:szCs w:val="20"/>
        </w:rPr>
        <w:t>’</w:t>
      </w:r>
      <w:r w:rsidR="00780193" w:rsidRPr="00482722">
        <w:rPr>
          <w:rFonts w:ascii="Arial" w:hAnsi="Arial" w:cs="Arial"/>
          <w:sz w:val="20"/>
          <w:szCs w:val="20"/>
        </w:rPr>
        <w:t xml:space="preserve"> as an independent </w:t>
      </w:r>
      <w:r w:rsidR="00427785" w:rsidRPr="00482722">
        <w:rPr>
          <w:rFonts w:ascii="Arial" w:hAnsi="Arial" w:cs="Arial"/>
          <w:sz w:val="20"/>
          <w:szCs w:val="20"/>
        </w:rPr>
        <w:t xml:space="preserve">measure </w:t>
      </w:r>
      <w:r w:rsidR="00D22201" w:rsidRPr="00482722">
        <w:rPr>
          <w:rFonts w:ascii="Arial" w:hAnsi="Arial" w:cs="Arial"/>
          <w:sz w:val="20"/>
          <w:szCs w:val="20"/>
        </w:rPr>
        <w:t>to signify loyalty</w:t>
      </w:r>
      <w:r w:rsidR="00427785" w:rsidRPr="00482722">
        <w:rPr>
          <w:rFonts w:ascii="Arial" w:hAnsi="Arial" w:cs="Arial"/>
          <w:sz w:val="20"/>
          <w:szCs w:val="20"/>
        </w:rPr>
        <w:t xml:space="preserve">, </w:t>
      </w:r>
      <w:r w:rsidR="008F7862" w:rsidRPr="00482722">
        <w:rPr>
          <w:rFonts w:ascii="Arial" w:hAnsi="Arial" w:cs="Arial"/>
          <w:sz w:val="20"/>
          <w:szCs w:val="20"/>
        </w:rPr>
        <w:t xml:space="preserve">but </w:t>
      </w:r>
      <w:r w:rsidR="00D22201" w:rsidRPr="00482722">
        <w:rPr>
          <w:rFonts w:ascii="Arial" w:hAnsi="Arial" w:cs="Arial"/>
          <w:sz w:val="20"/>
          <w:szCs w:val="20"/>
        </w:rPr>
        <w:t>the</w:t>
      </w:r>
      <w:r w:rsidR="008F7862" w:rsidRPr="00482722">
        <w:rPr>
          <w:rFonts w:ascii="Arial" w:hAnsi="Arial" w:cs="Arial"/>
          <w:sz w:val="20"/>
          <w:szCs w:val="20"/>
        </w:rPr>
        <w:t>se</w:t>
      </w:r>
      <w:r w:rsidR="00D22201" w:rsidRPr="00482722">
        <w:rPr>
          <w:rFonts w:ascii="Arial" w:hAnsi="Arial" w:cs="Arial"/>
          <w:sz w:val="20"/>
          <w:szCs w:val="20"/>
        </w:rPr>
        <w:t xml:space="preserve"> two measures are not surrogates for each other</w:t>
      </w:r>
      <w:r w:rsidR="00BA70FC" w:rsidRPr="00482722">
        <w:rPr>
          <w:rFonts w:ascii="Arial" w:hAnsi="Arial" w:cs="Arial"/>
          <w:sz w:val="20"/>
          <w:szCs w:val="20"/>
        </w:rPr>
        <w:t xml:space="preserve">. Loyalty is not limited to </w:t>
      </w:r>
      <w:r w:rsidR="003A324E" w:rsidRPr="00482722">
        <w:rPr>
          <w:rFonts w:ascii="Arial" w:hAnsi="Arial" w:cs="Arial"/>
          <w:sz w:val="20"/>
          <w:szCs w:val="20"/>
        </w:rPr>
        <w:t>the ‘</w:t>
      </w:r>
      <w:r w:rsidR="00BA70FC" w:rsidRPr="00482722">
        <w:rPr>
          <w:rFonts w:ascii="Arial" w:hAnsi="Arial" w:cs="Arial"/>
          <w:sz w:val="20"/>
          <w:szCs w:val="20"/>
        </w:rPr>
        <w:t>intention to use</w:t>
      </w:r>
      <w:r w:rsidR="003A324E" w:rsidRPr="00482722">
        <w:rPr>
          <w:rFonts w:ascii="Arial" w:hAnsi="Arial" w:cs="Arial"/>
          <w:sz w:val="20"/>
          <w:szCs w:val="20"/>
        </w:rPr>
        <w:t>’</w:t>
      </w:r>
      <w:r w:rsidR="00BA70FC" w:rsidRPr="00482722">
        <w:rPr>
          <w:rFonts w:ascii="Arial" w:hAnsi="Arial" w:cs="Arial"/>
          <w:sz w:val="20"/>
          <w:szCs w:val="20"/>
        </w:rPr>
        <w:t xml:space="preserve"> online services, but also includes a strong attitude of commitment</w:t>
      </w:r>
      <w:r w:rsidR="00FC2B77" w:rsidRPr="00482722">
        <w:rPr>
          <w:rFonts w:ascii="Arial" w:hAnsi="Arial" w:cs="Arial"/>
          <w:sz w:val="20"/>
          <w:szCs w:val="20"/>
        </w:rPr>
        <w:t>, which</w:t>
      </w:r>
      <w:r w:rsidR="00BA70FC" w:rsidRPr="00482722">
        <w:rPr>
          <w:rFonts w:ascii="Arial" w:hAnsi="Arial" w:cs="Arial"/>
          <w:sz w:val="20"/>
          <w:szCs w:val="20"/>
        </w:rPr>
        <w:t xml:space="preserve"> </w:t>
      </w:r>
      <w:r w:rsidR="00927B96" w:rsidRPr="00482722">
        <w:rPr>
          <w:rFonts w:ascii="Arial" w:hAnsi="Arial" w:cs="Arial"/>
          <w:sz w:val="20"/>
          <w:szCs w:val="20"/>
        </w:rPr>
        <w:t>shapes the long-term relationship between providers and consumers</w:t>
      </w:r>
      <w:r w:rsidR="000052F4" w:rsidRPr="00482722">
        <w:rPr>
          <w:rFonts w:ascii="Arial" w:hAnsi="Arial" w:cs="Arial"/>
          <w:sz w:val="20"/>
          <w:szCs w:val="20"/>
        </w:rPr>
        <w:t xml:space="preserve"> </w:t>
      </w:r>
      <w:r w:rsidR="00C374DB" w:rsidRPr="00482722">
        <w:rPr>
          <w:rFonts w:ascii="Arial" w:hAnsi="Arial" w:cs="Arial"/>
          <w:sz w:val="20"/>
          <w:szCs w:val="20"/>
        </w:rPr>
        <w:t xml:space="preserve">of online services </w:t>
      </w:r>
      <w:r w:rsidR="000052F4" w:rsidRPr="00482722">
        <w:rPr>
          <w:rFonts w:ascii="Arial" w:hAnsi="Arial" w:cs="Arial"/>
          <w:sz w:val="20"/>
          <w:szCs w:val="20"/>
        </w:rPr>
        <w:t>(</w:t>
      </w:r>
      <w:bookmarkStart w:id="2" w:name="_Hlk58192386"/>
      <w:r w:rsidR="000052F4" w:rsidRPr="00482722">
        <w:rPr>
          <w:rFonts w:ascii="Arial" w:eastAsia="Times New Roman" w:hAnsi="Arial" w:cs="Arial"/>
          <w:sz w:val="20"/>
          <w:szCs w:val="20"/>
          <w:lang w:eastAsia="en-GB"/>
        </w:rPr>
        <w:t xml:space="preserve">Kaur et al., 2020; </w:t>
      </w:r>
      <w:r w:rsidR="000052F4" w:rsidRPr="00482722">
        <w:rPr>
          <w:rFonts w:ascii="Arial" w:hAnsi="Arial" w:cs="Arial"/>
          <w:sz w:val="20"/>
          <w:szCs w:val="20"/>
        </w:rPr>
        <w:t>Zheng et al., 2017</w:t>
      </w:r>
      <w:bookmarkEnd w:id="2"/>
      <w:r w:rsidR="000052F4" w:rsidRPr="00482722">
        <w:rPr>
          <w:rFonts w:ascii="Arial" w:hAnsi="Arial" w:cs="Arial"/>
          <w:sz w:val="20"/>
          <w:szCs w:val="20"/>
        </w:rPr>
        <w:t>)</w:t>
      </w:r>
      <w:r w:rsidR="00927B96" w:rsidRPr="00482722">
        <w:rPr>
          <w:rFonts w:ascii="Arial" w:hAnsi="Arial" w:cs="Arial"/>
          <w:sz w:val="20"/>
          <w:szCs w:val="20"/>
        </w:rPr>
        <w:t>.</w:t>
      </w:r>
      <w:r w:rsidR="00307CD7" w:rsidRPr="00482722">
        <w:rPr>
          <w:rFonts w:ascii="Arial" w:hAnsi="Arial" w:cs="Arial"/>
          <w:sz w:val="20"/>
          <w:szCs w:val="20"/>
        </w:rPr>
        <w:t xml:space="preserve"> Hence, it is important to address the gap in the literature </w:t>
      </w:r>
      <w:r w:rsidR="00C374DB" w:rsidRPr="00482722">
        <w:rPr>
          <w:rFonts w:ascii="Arial" w:hAnsi="Arial" w:cs="Arial"/>
          <w:sz w:val="20"/>
          <w:szCs w:val="20"/>
        </w:rPr>
        <w:t>on</w:t>
      </w:r>
      <w:r w:rsidR="00307CD7" w:rsidRPr="00482722">
        <w:rPr>
          <w:rFonts w:ascii="Arial" w:hAnsi="Arial" w:cs="Arial"/>
          <w:sz w:val="20"/>
          <w:szCs w:val="20"/>
        </w:rPr>
        <w:t xml:space="preserve"> the factors that can affect citizen loyalty </w:t>
      </w:r>
      <w:r w:rsidR="00FC2B77" w:rsidRPr="00482722">
        <w:rPr>
          <w:rFonts w:ascii="Arial" w:hAnsi="Arial" w:cs="Arial"/>
          <w:sz w:val="20"/>
          <w:szCs w:val="20"/>
        </w:rPr>
        <w:t>in the context of</w:t>
      </w:r>
      <w:r w:rsidR="00307CD7" w:rsidRPr="00482722">
        <w:rPr>
          <w:rFonts w:ascii="Arial" w:hAnsi="Arial" w:cs="Arial"/>
          <w:sz w:val="20"/>
          <w:szCs w:val="20"/>
        </w:rPr>
        <w:t xml:space="preserve"> e-government services.</w:t>
      </w:r>
      <w:r w:rsidR="007A29B1" w:rsidRPr="00482722">
        <w:rPr>
          <w:rFonts w:ascii="Arial" w:hAnsi="Arial" w:cs="Arial"/>
          <w:sz w:val="20"/>
          <w:szCs w:val="20"/>
        </w:rPr>
        <w:t xml:space="preserve"> Among these factors, citizen trust has been highlighted </w:t>
      </w:r>
      <w:r w:rsidR="00FC2B77" w:rsidRPr="00482722">
        <w:rPr>
          <w:rFonts w:ascii="Arial" w:hAnsi="Arial" w:cs="Arial"/>
          <w:sz w:val="20"/>
          <w:szCs w:val="20"/>
        </w:rPr>
        <w:t xml:space="preserve">by </w:t>
      </w:r>
      <w:r w:rsidR="007A29B1" w:rsidRPr="00482722">
        <w:rPr>
          <w:rFonts w:ascii="Arial" w:hAnsi="Arial" w:cs="Arial"/>
          <w:sz w:val="20"/>
          <w:szCs w:val="20"/>
        </w:rPr>
        <w:t>many existing studies on the use of e-government services (</w:t>
      </w:r>
      <w:r w:rsidR="007A2704" w:rsidRPr="00482722">
        <w:rPr>
          <w:rFonts w:ascii="Arial" w:hAnsi="Arial" w:cs="Arial"/>
          <w:sz w:val="20"/>
          <w:szCs w:val="20"/>
        </w:rPr>
        <w:t>e.g.,</w:t>
      </w:r>
      <w:r w:rsidR="007A29B1" w:rsidRPr="00482722">
        <w:rPr>
          <w:rFonts w:ascii="Arial" w:hAnsi="Arial" w:cs="Arial"/>
          <w:sz w:val="20"/>
          <w:szCs w:val="20"/>
        </w:rPr>
        <w:t xml:space="preserve"> </w:t>
      </w:r>
      <w:r w:rsidR="00671BFF" w:rsidRPr="00482722">
        <w:rPr>
          <w:rFonts w:ascii="Arial" w:hAnsi="Arial" w:cs="Arial"/>
          <w:sz w:val="20"/>
          <w:szCs w:val="20"/>
        </w:rPr>
        <w:t>Alkraiji, 2020a; Kumar et al., 2020; Alzahrani et al., 2018; Santa et al., 2019</w:t>
      </w:r>
      <w:r w:rsidR="007A29B1" w:rsidRPr="00482722">
        <w:rPr>
          <w:rFonts w:ascii="Arial" w:hAnsi="Arial" w:cs="Arial"/>
          <w:sz w:val="20"/>
          <w:szCs w:val="20"/>
        </w:rPr>
        <w:t xml:space="preserve">). However, despite the focus on trust, there is a lack of understanding of </w:t>
      </w:r>
      <w:r w:rsidR="00676763" w:rsidRPr="00482722">
        <w:rPr>
          <w:rFonts w:ascii="Arial" w:hAnsi="Arial" w:cs="Arial"/>
          <w:sz w:val="20"/>
          <w:szCs w:val="20"/>
        </w:rPr>
        <w:t xml:space="preserve">what </w:t>
      </w:r>
      <w:r w:rsidR="007A29B1" w:rsidRPr="00482722">
        <w:rPr>
          <w:rFonts w:ascii="Arial" w:hAnsi="Arial" w:cs="Arial"/>
          <w:sz w:val="20"/>
          <w:szCs w:val="20"/>
        </w:rPr>
        <w:t xml:space="preserve">this factor entails in the </w:t>
      </w:r>
      <w:r w:rsidR="00DB3CA7" w:rsidRPr="00482722">
        <w:rPr>
          <w:rFonts w:ascii="Arial" w:hAnsi="Arial" w:cs="Arial"/>
          <w:sz w:val="20"/>
          <w:szCs w:val="20"/>
        </w:rPr>
        <w:t>context of</w:t>
      </w:r>
      <w:r w:rsidR="00C374DB" w:rsidRPr="00482722">
        <w:rPr>
          <w:rFonts w:ascii="Arial" w:hAnsi="Arial" w:cs="Arial"/>
          <w:sz w:val="20"/>
          <w:szCs w:val="20"/>
        </w:rPr>
        <w:t xml:space="preserve"> </w:t>
      </w:r>
      <w:r w:rsidR="004F60C5" w:rsidRPr="00482722">
        <w:rPr>
          <w:rFonts w:ascii="Arial" w:hAnsi="Arial" w:cs="Arial"/>
          <w:sz w:val="20"/>
          <w:szCs w:val="20"/>
        </w:rPr>
        <w:t>satisfaction with and loyalty to</w:t>
      </w:r>
      <w:r w:rsidR="007A29B1" w:rsidRPr="00482722">
        <w:rPr>
          <w:rFonts w:ascii="Arial" w:hAnsi="Arial" w:cs="Arial"/>
          <w:sz w:val="20"/>
          <w:szCs w:val="20"/>
        </w:rPr>
        <w:t xml:space="preserve"> e-government services</w:t>
      </w:r>
      <w:r w:rsidR="004F60C5" w:rsidRPr="00482722">
        <w:rPr>
          <w:rFonts w:ascii="Arial" w:hAnsi="Arial" w:cs="Arial"/>
          <w:sz w:val="20"/>
          <w:szCs w:val="20"/>
        </w:rPr>
        <w:t>; in particular,</w:t>
      </w:r>
      <w:r w:rsidR="00671BFF" w:rsidRPr="00482722">
        <w:rPr>
          <w:rFonts w:ascii="Arial" w:hAnsi="Arial" w:cs="Arial"/>
          <w:sz w:val="20"/>
          <w:szCs w:val="20"/>
        </w:rPr>
        <w:t xml:space="preserve"> </w:t>
      </w:r>
      <w:r w:rsidR="004F60C5" w:rsidRPr="00482722">
        <w:rPr>
          <w:rFonts w:ascii="Arial" w:hAnsi="Arial" w:cs="Arial"/>
          <w:sz w:val="20"/>
          <w:szCs w:val="20"/>
        </w:rPr>
        <w:t xml:space="preserve">the </w:t>
      </w:r>
      <w:r w:rsidR="00391287" w:rsidRPr="00482722">
        <w:rPr>
          <w:rFonts w:ascii="Arial" w:hAnsi="Arial" w:cs="Arial"/>
          <w:sz w:val="20"/>
          <w:szCs w:val="20"/>
        </w:rPr>
        <w:t xml:space="preserve">fact </w:t>
      </w:r>
      <w:r w:rsidR="00671BFF" w:rsidRPr="00482722">
        <w:rPr>
          <w:rFonts w:ascii="Arial" w:hAnsi="Arial" w:cs="Arial"/>
          <w:sz w:val="20"/>
          <w:szCs w:val="20"/>
        </w:rPr>
        <w:t xml:space="preserve">that </w:t>
      </w:r>
      <w:r w:rsidR="005E5068" w:rsidRPr="00482722">
        <w:rPr>
          <w:rFonts w:ascii="Arial" w:hAnsi="Arial" w:cs="Arial"/>
          <w:sz w:val="20"/>
          <w:szCs w:val="20"/>
        </w:rPr>
        <w:t xml:space="preserve">trust </w:t>
      </w:r>
      <w:r w:rsidR="00671BFF" w:rsidRPr="00482722">
        <w:rPr>
          <w:rFonts w:ascii="Arial" w:hAnsi="Arial" w:cs="Arial"/>
          <w:sz w:val="20"/>
          <w:szCs w:val="20"/>
        </w:rPr>
        <w:t>is multidimensional</w:t>
      </w:r>
      <w:r w:rsidR="007A29B1" w:rsidRPr="00482722">
        <w:rPr>
          <w:rFonts w:ascii="Arial" w:hAnsi="Arial" w:cs="Arial"/>
          <w:sz w:val="20"/>
          <w:szCs w:val="20"/>
        </w:rPr>
        <w:t xml:space="preserve"> </w:t>
      </w:r>
      <w:r w:rsidR="00676763" w:rsidRPr="00482722">
        <w:rPr>
          <w:rFonts w:ascii="Arial" w:hAnsi="Arial" w:cs="Arial"/>
          <w:sz w:val="20"/>
          <w:szCs w:val="20"/>
        </w:rPr>
        <w:t xml:space="preserve">in nature </w:t>
      </w:r>
      <w:r w:rsidR="007A29B1" w:rsidRPr="00482722">
        <w:rPr>
          <w:rFonts w:ascii="Arial" w:hAnsi="Arial" w:cs="Arial"/>
          <w:sz w:val="20"/>
          <w:szCs w:val="20"/>
        </w:rPr>
        <w:t>(</w:t>
      </w:r>
      <w:r w:rsidR="00671BFF" w:rsidRPr="00482722">
        <w:rPr>
          <w:rFonts w:ascii="Arial" w:hAnsi="Arial" w:cs="Arial"/>
          <w:sz w:val="20"/>
          <w:szCs w:val="20"/>
        </w:rPr>
        <w:t>Lu et al., 2019</w:t>
      </w:r>
      <w:r w:rsidR="007A29B1" w:rsidRPr="00482722">
        <w:rPr>
          <w:rFonts w:ascii="Arial" w:hAnsi="Arial" w:cs="Arial"/>
          <w:sz w:val="20"/>
          <w:szCs w:val="20"/>
        </w:rPr>
        <w:t>).</w:t>
      </w:r>
    </w:p>
    <w:p w14:paraId="0D5E8CCE" w14:textId="77777777" w:rsidR="006C28EB" w:rsidRPr="00482722" w:rsidRDefault="006C28EB" w:rsidP="006C28EB">
      <w:pPr>
        <w:spacing w:line="240" w:lineRule="auto"/>
        <w:jc w:val="both"/>
        <w:rPr>
          <w:rFonts w:ascii="Arial" w:hAnsi="Arial" w:cs="Arial"/>
          <w:sz w:val="20"/>
          <w:szCs w:val="20"/>
        </w:rPr>
      </w:pPr>
      <w:r w:rsidRPr="00482722">
        <w:rPr>
          <w:rFonts w:ascii="Arial" w:hAnsi="Arial" w:cs="Arial"/>
          <w:sz w:val="20"/>
          <w:szCs w:val="20"/>
        </w:rPr>
        <w:t>Previous studies on the adoption of e-commerce (e.g., Cyr, 2008; Flavián et al., 2006; Lin and Wang, 2006; Chiou, 2004) suggested that consumer loyalty can be seen as the product of service quality, trust, and satisfaction. Given the importance of citizen loyalty for the success of e-government services, this study aims to examine the effects of multidimensional constructs on citizen loyalty to these services. Specifically, we focus on the role of service quality, citizen trust and satisfaction in shaping young citizens loyalty towards governments e-services. In doing so, a new model that combines the service quality model (Parasuraman et al.,1994) and trust theory (Zucker, 1986) has been developed to integrate factors that are related to citizen loyalty to e-government services. This study focuses on the Unified Electronic Admission System (UEAS), which is used by young students to enrol at government universities and the technical college in Riyadh (the capital of Saudi Arabia).</w:t>
      </w:r>
    </w:p>
    <w:p w14:paraId="512513BB" w14:textId="735A1A04" w:rsidR="00151E8A" w:rsidRPr="00482722" w:rsidRDefault="00151E8A" w:rsidP="00313A65">
      <w:pPr>
        <w:spacing w:line="240" w:lineRule="auto"/>
        <w:jc w:val="both"/>
        <w:rPr>
          <w:rFonts w:ascii="Arial" w:hAnsi="Arial" w:cs="Arial"/>
          <w:sz w:val="20"/>
          <w:szCs w:val="20"/>
        </w:rPr>
      </w:pPr>
      <w:r w:rsidRPr="00482722">
        <w:rPr>
          <w:rFonts w:ascii="Arial" w:hAnsi="Arial" w:cs="Arial"/>
          <w:sz w:val="20"/>
          <w:szCs w:val="20"/>
        </w:rPr>
        <w:t xml:space="preserve">This study offers a number of theoretical contributions and has </w:t>
      </w:r>
      <w:r w:rsidR="00315BDB" w:rsidRPr="00482722">
        <w:rPr>
          <w:rFonts w:ascii="Arial" w:hAnsi="Arial" w:cs="Arial"/>
          <w:sz w:val="20"/>
          <w:szCs w:val="20"/>
        </w:rPr>
        <w:t xml:space="preserve">some </w:t>
      </w:r>
      <w:r w:rsidRPr="00482722">
        <w:rPr>
          <w:rFonts w:ascii="Arial" w:hAnsi="Arial" w:cs="Arial"/>
          <w:sz w:val="20"/>
          <w:szCs w:val="20"/>
        </w:rPr>
        <w:t>practical implications.</w:t>
      </w:r>
      <w:r w:rsidR="00315BDB" w:rsidRPr="00482722">
        <w:rPr>
          <w:rFonts w:ascii="Arial" w:hAnsi="Arial" w:cs="Arial"/>
          <w:sz w:val="20"/>
          <w:szCs w:val="20"/>
        </w:rPr>
        <w:t xml:space="preserve"> </w:t>
      </w:r>
      <w:r w:rsidR="001B37A7" w:rsidRPr="00482722">
        <w:rPr>
          <w:rFonts w:ascii="Arial" w:hAnsi="Arial" w:cs="Arial"/>
          <w:sz w:val="20"/>
          <w:szCs w:val="20"/>
        </w:rPr>
        <w:t>With regard to</w:t>
      </w:r>
      <w:r w:rsidRPr="00482722">
        <w:rPr>
          <w:rFonts w:ascii="Arial" w:hAnsi="Arial" w:cs="Arial"/>
          <w:sz w:val="20"/>
          <w:szCs w:val="20"/>
        </w:rPr>
        <w:t xml:space="preserve"> the theoretical contributions, </w:t>
      </w:r>
      <w:r w:rsidR="004B3F95" w:rsidRPr="00482722">
        <w:rPr>
          <w:rFonts w:ascii="Arial" w:hAnsi="Arial" w:cs="Arial"/>
          <w:sz w:val="20"/>
          <w:szCs w:val="20"/>
        </w:rPr>
        <w:t xml:space="preserve">the study fills a gap in the existing literature in terms of studying citizen loyalty to e-government services and </w:t>
      </w:r>
      <w:r w:rsidR="005F6615" w:rsidRPr="00482722">
        <w:rPr>
          <w:rFonts w:ascii="Arial" w:hAnsi="Arial" w:cs="Arial"/>
          <w:sz w:val="20"/>
          <w:szCs w:val="20"/>
        </w:rPr>
        <w:t>categorising</w:t>
      </w:r>
      <w:r w:rsidR="004B3F95" w:rsidRPr="00482722">
        <w:rPr>
          <w:rFonts w:ascii="Arial" w:hAnsi="Arial" w:cs="Arial"/>
          <w:sz w:val="20"/>
          <w:szCs w:val="20"/>
        </w:rPr>
        <w:t xml:space="preserve"> trust into</w:t>
      </w:r>
      <w:r w:rsidR="00C123FA" w:rsidRPr="00482722">
        <w:rPr>
          <w:rFonts w:ascii="Arial" w:hAnsi="Arial" w:cs="Arial"/>
          <w:sz w:val="20"/>
          <w:szCs w:val="20"/>
        </w:rPr>
        <w:t xml:space="preserve"> three facets:</w:t>
      </w:r>
      <w:r w:rsidR="004B3F95" w:rsidRPr="00482722">
        <w:rPr>
          <w:rFonts w:ascii="Arial" w:hAnsi="Arial" w:cs="Arial"/>
          <w:sz w:val="20"/>
          <w:szCs w:val="20"/>
        </w:rPr>
        <w:t xml:space="preserve"> trust in e-government, trust in government</w:t>
      </w:r>
      <w:r w:rsidR="007F434C" w:rsidRPr="00482722">
        <w:rPr>
          <w:rFonts w:ascii="Arial" w:hAnsi="Arial" w:cs="Arial"/>
          <w:sz w:val="20"/>
          <w:szCs w:val="20"/>
        </w:rPr>
        <w:t>, and</w:t>
      </w:r>
      <w:r w:rsidR="004B3F95" w:rsidRPr="00482722">
        <w:rPr>
          <w:rFonts w:ascii="Arial" w:hAnsi="Arial" w:cs="Arial"/>
          <w:sz w:val="20"/>
          <w:szCs w:val="20"/>
        </w:rPr>
        <w:t xml:space="preserve"> disposition to trust. T</w:t>
      </w:r>
      <w:r w:rsidRPr="00482722">
        <w:rPr>
          <w:rFonts w:ascii="Arial" w:hAnsi="Arial" w:cs="Arial"/>
          <w:sz w:val="20"/>
          <w:szCs w:val="20"/>
        </w:rPr>
        <w:t xml:space="preserve">he study </w:t>
      </w:r>
      <w:r w:rsidR="004B3F95" w:rsidRPr="00482722">
        <w:rPr>
          <w:rFonts w:ascii="Arial" w:hAnsi="Arial" w:cs="Arial"/>
          <w:sz w:val="20"/>
          <w:szCs w:val="20"/>
        </w:rPr>
        <w:t xml:space="preserve">proposes a new theoretical model </w:t>
      </w:r>
      <w:r w:rsidR="00C123FA" w:rsidRPr="00482722">
        <w:rPr>
          <w:rFonts w:ascii="Arial" w:hAnsi="Arial" w:cs="Arial"/>
          <w:sz w:val="20"/>
          <w:szCs w:val="20"/>
        </w:rPr>
        <w:t xml:space="preserve">that integrates </w:t>
      </w:r>
      <w:r w:rsidR="004B3F95" w:rsidRPr="00482722">
        <w:rPr>
          <w:rFonts w:ascii="Arial" w:hAnsi="Arial" w:cs="Arial"/>
          <w:sz w:val="20"/>
          <w:szCs w:val="20"/>
        </w:rPr>
        <w:t xml:space="preserve">the service quality model </w:t>
      </w:r>
      <w:r w:rsidR="00201544" w:rsidRPr="00482722">
        <w:rPr>
          <w:rFonts w:ascii="Arial" w:hAnsi="Arial" w:cs="Arial"/>
          <w:sz w:val="20"/>
          <w:szCs w:val="20"/>
        </w:rPr>
        <w:t xml:space="preserve">(Parasuraman et al.,1994) </w:t>
      </w:r>
      <w:r w:rsidR="004B3F95" w:rsidRPr="00482722">
        <w:rPr>
          <w:rFonts w:ascii="Arial" w:hAnsi="Arial" w:cs="Arial"/>
          <w:sz w:val="20"/>
          <w:szCs w:val="20"/>
        </w:rPr>
        <w:t>and trust theory</w:t>
      </w:r>
      <w:r w:rsidR="00201544" w:rsidRPr="00482722">
        <w:rPr>
          <w:rFonts w:ascii="Arial" w:hAnsi="Arial" w:cs="Arial"/>
          <w:sz w:val="20"/>
          <w:szCs w:val="20"/>
        </w:rPr>
        <w:t xml:space="preserve"> (Zucker, 1986)</w:t>
      </w:r>
      <w:r w:rsidR="004B3F95" w:rsidRPr="00482722">
        <w:rPr>
          <w:rFonts w:ascii="Arial" w:hAnsi="Arial" w:cs="Arial"/>
          <w:sz w:val="20"/>
          <w:szCs w:val="20"/>
        </w:rPr>
        <w:t>. The model examin</w:t>
      </w:r>
      <w:r w:rsidR="00201544" w:rsidRPr="00482722">
        <w:rPr>
          <w:rFonts w:ascii="Arial" w:hAnsi="Arial" w:cs="Arial"/>
          <w:sz w:val="20"/>
          <w:szCs w:val="20"/>
        </w:rPr>
        <w:t>es</w:t>
      </w:r>
      <w:r w:rsidR="004B3F95" w:rsidRPr="00482722">
        <w:rPr>
          <w:rFonts w:ascii="Arial" w:hAnsi="Arial" w:cs="Arial"/>
          <w:sz w:val="20"/>
          <w:szCs w:val="20"/>
        </w:rPr>
        <w:t xml:space="preserve"> the effects of service quality, citizen trust in government</w:t>
      </w:r>
      <w:r w:rsidR="00C36FEC" w:rsidRPr="00482722">
        <w:rPr>
          <w:rFonts w:ascii="Arial" w:hAnsi="Arial" w:cs="Arial"/>
          <w:sz w:val="20"/>
          <w:szCs w:val="20"/>
        </w:rPr>
        <w:t>, citizen trust in</w:t>
      </w:r>
      <w:r w:rsidR="004B3F95" w:rsidRPr="00482722">
        <w:rPr>
          <w:rFonts w:ascii="Arial" w:hAnsi="Arial" w:cs="Arial"/>
          <w:sz w:val="20"/>
          <w:szCs w:val="20"/>
        </w:rPr>
        <w:t xml:space="preserve"> e-government, and citizen satisfaction on citizen loyalty to e-government services. This study advance</w:t>
      </w:r>
      <w:r w:rsidR="003C1879" w:rsidRPr="00482722">
        <w:rPr>
          <w:rFonts w:ascii="Arial" w:hAnsi="Arial" w:cs="Arial"/>
          <w:sz w:val="20"/>
          <w:szCs w:val="20"/>
        </w:rPr>
        <w:t>s</w:t>
      </w:r>
      <w:r w:rsidR="004B3F95" w:rsidRPr="00482722">
        <w:rPr>
          <w:rFonts w:ascii="Arial" w:hAnsi="Arial" w:cs="Arial"/>
          <w:sz w:val="20"/>
          <w:szCs w:val="20"/>
        </w:rPr>
        <w:t xml:space="preserve"> a theory of e-government adoption in a promising and crucial field</w:t>
      </w:r>
      <w:r w:rsidR="00011ED2" w:rsidRPr="00482722">
        <w:rPr>
          <w:rFonts w:ascii="Arial" w:hAnsi="Arial" w:cs="Arial"/>
          <w:sz w:val="20"/>
          <w:szCs w:val="20"/>
        </w:rPr>
        <w:t>:</w:t>
      </w:r>
      <w:r w:rsidR="004B3F95" w:rsidRPr="00482722">
        <w:rPr>
          <w:rFonts w:ascii="Arial" w:hAnsi="Arial" w:cs="Arial"/>
          <w:sz w:val="20"/>
          <w:szCs w:val="20"/>
        </w:rPr>
        <w:t xml:space="preserve"> government services in the education sector</w:t>
      </w:r>
      <w:r w:rsidR="00011ED2" w:rsidRPr="00482722">
        <w:rPr>
          <w:rFonts w:ascii="Arial" w:hAnsi="Arial" w:cs="Arial"/>
          <w:sz w:val="20"/>
          <w:szCs w:val="20"/>
        </w:rPr>
        <w:t>,</w:t>
      </w:r>
      <w:r w:rsidR="004B3F95" w:rsidRPr="00482722">
        <w:rPr>
          <w:rFonts w:ascii="Arial" w:hAnsi="Arial" w:cs="Arial"/>
          <w:sz w:val="20"/>
          <w:szCs w:val="20"/>
        </w:rPr>
        <w:t xml:space="preserve"> in which there is a paucity of studies. E-government services that target citizens are set to be extended beyond general </w:t>
      </w:r>
      <w:r w:rsidR="005E5068" w:rsidRPr="00482722">
        <w:rPr>
          <w:rFonts w:ascii="Arial" w:hAnsi="Arial" w:cs="Arial"/>
          <w:sz w:val="20"/>
          <w:szCs w:val="20"/>
        </w:rPr>
        <w:t xml:space="preserve">spheres </w:t>
      </w:r>
      <w:r w:rsidR="004B3F95" w:rsidRPr="00482722">
        <w:rPr>
          <w:rFonts w:ascii="Arial" w:hAnsi="Arial" w:cs="Arial"/>
          <w:sz w:val="20"/>
          <w:szCs w:val="20"/>
        </w:rPr>
        <w:t xml:space="preserve">(e.g., municipal affairs, finance, transportation, taxation, and civil services) to include the crucial fields of education, health, and welfare. </w:t>
      </w:r>
      <w:r w:rsidR="008F1906" w:rsidRPr="00482722">
        <w:rPr>
          <w:rFonts w:ascii="Arial" w:hAnsi="Arial" w:cs="Arial"/>
          <w:sz w:val="20"/>
          <w:szCs w:val="20"/>
        </w:rPr>
        <w:t xml:space="preserve">With regard to </w:t>
      </w:r>
      <w:r w:rsidR="004B3F95" w:rsidRPr="00482722">
        <w:rPr>
          <w:rFonts w:ascii="Arial" w:hAnsi="Arial" w:cs="Arial"/>
          <w:sz w:val="20"/>
          <w:szCs w:val="20"/>
        </w:rPr>
        <w:t>the practical contribution</w:t>
      </w:r>
      <w:r w:rsidR="008F1906" w:rsidRPr="00482722">
        <w:rPr>
          <w:rFonts w:ascii="Arial" w:hAnsi="Arial" w:cs="Arial"/>
          <w:sz w:val="20"/>
          <w:szCs w:val="20"/>
        </w:rPr>
        <w:t>s of this study</w:t>
      </w:r>
      <w:r w:rsidR="004B3F95" w:rsidRPr="00482722">
        <w:rPr>
          <w:rFonts w:ascii="Arial" w:hAnsi="Arial" w:cs="Arial"/>
          <w:sz w:val="20"/>
          <w:szCs w:val="20"/>
        </w:rPr>
        <w:t xml:space="preserve">, </w:t>
      </w:r>
      <w:r w:rsidR="008F1906" w:rsidRPr="00482722">
        <w:rPr>
          <w:rFonts w:ascii="Arial" w:hAnsi="Arial" w:cs="Arial"/>
          <w:sz w:val="20"/>
          <w:szCs w:val="20"/>
        </w:rPr>
        <w:t>it</w:t>
      </w:r>
      <w:r w:rsidR="004B3F95" w:rsidRPr="00482722">
        <w:rPr>
          <w:rFonts w:ascii="Arial" w:hAnsi="Arial" w:cs="Arial"/>
          <w:sz w:val="20"/>
          <w:szCs w:val="20"/>
        </w:rPr>
        <w:t xml:space="preserve"> provides </w:t>
      </w:r>
      <w:r w:rsidR="00D22330" w:rsidRPr="00482722">
        <w:rPr>
          <w:rFonts w:ascii="Arial" w:hAnsi="Arial" w:cs="Arial"/>
          <w:sz w:val="20"/>
          <w:szCs w:val="20"/>
        </w:rPr>
        <w:t xml:space="preserve">insights for </w:t>
      </w:r>
      <w:r w:rsidR="004B3F95" w:rsidRPr="00482722">
        <w:rPr>
          <w:rFonts w:ascii="Arial" w:hAnsi="Arial" w:cs="Arial"/>
          <w:sz w:val="20"/>
          <w:szCs w:val="20"/>
        </w:rPr>
        <w:t xml:space="preserve">e-government practitioners </w:t>
      </w:r>
      <w:r w:rsidR="00011ED2" w:rsidRPr="00482722">
        <w:rPr>
          <w:rFonts w:ascii="Arial" w:hAnsi="Arial" w:cs="Arial"/>
          <w:sz w:val="20"/>
          <w:szCs w:val="20"/>
        </w:rPr>
        <w:t>who wish to increase</w:t>
      </w:r>
      <w:r w:rsidR="004B3F95" w:rsidRPr="00482722">
        <w:rPr>
          <w:rFonts w:ascii="Arial" w:hAnsi="Arial" w:cs="Arial"/>
          <w:sz w:val="20"/>
          <w:szCs w:val="20"/>
        </w:rPr>
        <w:t xml:space="preserve"> citizen loyalty, which is viewed as an important catalyst for the adoption of online services (Chatfield </w:t>
      </w:r>
      <w:r w:rsidR="002D35B9" w:rsidRPr="00482722">
        <w:rPr>
          <w:rFonts w:ascii="Arial" w:hAnsi="Arial" w:cs="Arial"/>
          <w:sz w:val="20"/>
          <w:szCs w:val="20"/>
        </w:rPr>
        <w:t>and</w:t>
      </w:r>
      <w:r w:rsidR="004B3F95" w:rsidRPr="00482722">
        <w:rPr>
          <w:rFonts w:ascii="Arial" w:hAnsi="Arial" w:cs="Arial"/>
          <w:sz w:val="20"/>
          <w:szCs w:val="20"/>
        </w:rPr>
        <w:t xml:space="preserve"> Alanazi, 2013; </w:t>
      </w:r>
      <w:r w:rsidR="004B3F95" w:rsidRPr="00482722">
        <w:rPr>
          <w:rFonts w:ascii="Arial" w:hAnsi="Arial" w:cs="Arial"/>
          <w:sz w:val="20"/>
          <w:szCs w:val="20"/>
          <w:shd w:val="clear" w:color="auto" w:fill="FFFFFF"/>
        </w:rPr>
        <w:t>Cyr, 2008; Flavián et al., 2006</w:t>
      </w:r>
      <w:r w:rsidR="004B3F95" w:rsidRPr="00482722">
        <w:rPr>
          <w:rFonts w:ascii="Arial" w:hAnsi="Arial" w:cs="Arial"/>
          <w:sz w:val="20"/>
          <w:szCs w:val="20"/>
        </w:rPr>
        <w:t>).</w:t>
      </w:r>
    </w:p>
    <w:p w14:paraId="400157CB" w14:textId="7A04A55C" w:rsidR="0034029F" w:rsidRPr="00482722" w:rsidRDefault="00BB5035" w:rsidP="00DA5EEC">
      <w:pPr>
        <w:spacing w:line="240" w:lineRule="auto"/>
        <w:jc w:val="both"/>
        <w:rPr>
          <w:rFonts w:ascii="Arial" w:hAnsi="Arial" w:cs="Arial"/>
          <w:sz w:val="20"/>
          <w:szCs w:val="20"/>
        </w:rPr>
      </w:pPr>
      <w:r w:rsidRPr="00482722">
        <w:rPr>
          <w:rFonts w:ascii="Arial" w:hAnsi="Arial" w:cs="Arial"/>
          <w:sz w:val="20"/>
          <w:szCs w:val="20"/>
        </w:rPr>
        <w:t xml:space="preserve">This paper is </w:t>
      </w:r>
      <w:r w:rsidR="00CE7B9A" w:rsidRPr="00482722">
        <w:rPr>
          <w:rFonts w:ascii="Arial" w:hAnsi="Arial" w:cs="Arial"/>
          <w:sz w:val="20"/>
          <w:szCs w:val="20"/>
        </w:rPr>
        <w:t xml:space="preserve">organised </w:t>
      </w:r>
      <w:r w:rsidRPr="00482722">
        <w:rPr>
          <w:rFonts w:ascii="Arial" w:hAnsi="Arial" w:cs="Arial"/>
          <w:sz w:val="20"/>
          <w:szCs w:val="20"/>
        </w:rPr>
        <w:t xml:space="preserve">as follows. </w:t>
      </w:r>
      <w:r w:rsidR="00171723" w:rsidRPr="00482722">
        <w:rPr>
          <w:rFonts w:ascii="Arial" w:hAnsi="Arial" w:cs="Arial"/>
          <w:sz w:val="20"/>
          <w:szCs w:val="20"/>
        </w:rPr>
        <w:t>The next section</w:t>
      </w:r>
      <w:r w:rsidRPr="00482722">
        <w:rPr>
          <w:rFonts w:ascii="Arial" w:hAnsi="Arial" w:cs="Arial"/>
          <w:sz w:val="20"/>
          <w:szCs w:val="20"/>
        </w:rPr>
        <w:t xml:space="preserve"> presents </w:t>
      </w:r>
      <w:r w:rsidR="0060118B" w:rsidRPr="00482722">
        <w:rPr>
          <w:rFonts w:ascii="Arial" w:hAnsi="Arial" w:cs="Arial"/>
          <w:sz w:val="20"/>
          <w:szCs w:val="20"/>
        </w:rPr>
        <w:t>the</w:t>
      </w:r>
      <w:r w:rsidRPr="00482722">
        <w:rPr>
          <w:rFonts w:ascii="Arial" w:hAnsi="Arial" w:cs="Arial"/>
          <w:sz w:val="20"/>
          <w:szCs w:val="20"/>
        </w:rPr>
        <w:t xml:space="preserve"> theoretical background on user loyalty, satisfaction, trust, and </w:t>
      </w:r>
      <w:r w:rsidR="0060118B" w:rsidRPr="00482722">
        <w:rPr>
          <w:rFonts w:ascii="Arial" w:hAnsi="Arial" w:cs="Arial"/>
          <w:sz w:val="20"/>
          <w:szCs w:val="20"/>
        </w:rPr>
        <w:t xml:space="preserve">service </w:t>
      </w:r>
      <w:r w:rsidRPr="00482722">
        <w:rPr>
          <w:rFonts w:ascii="Arial" w:hAnsi="Arial" w:cs="Arial"/>
          <w:sz w:val="20"/>
          <w:szCs w:val="20"/>
        </w:rPr>
        <w:t xml:space="preserve">quality. </w:t>
      </w:r>
      <w:r w:rsidR="00171723" w:rsidRPr="00482722">
        <w:rPr>
          <w:rFonts w:ascii="Arial" w:hAnsi="Arial" w:cs="Arial"/>
          <w:sz w:val="20"/>
          <w:szCs w:val="20"/>
        </w:rPr>
        <w:t>Section 3</w:t>
      </w:r>
      <w:r w:rsidRPr="00482722">
        <w:rPr>
          <w:rFonts w:ascii="Arial" w:hAnsi="Arial" w:cs="Arial"/>
          <w:sz w:val="20"/>
          <w:szCs w:val="20"/>
        </w:rPr>
        <w:t xml:space="preserve"> provides an overview of the study’s proposed research model and </w:t>
      </w:r>
      <w:r w:rsidR="006A20F1" w:rsidRPr="00482722">
        <w:rPr>
          <w:rFonts w:ascii="Arial" w:hAnsi="Arial" w:cs="Arial"/>
          <w:sz w:val="20"/>
          <w:szCs w:val="20"/>
        </w:rPr>
        <w:t>justifies</w:t>
      </w:r>
      <w:r w:rsidRPr="00482722">
        <w:rPr>
          <w:rFonts w:ascii="Arial" w:hAnsi="Arial" w:cs="Arial"/>
          <w:sz w:val="20"/>
          <w:szCs w:val="20"/>
        </w:rPr>
        <w:t xml:space="preserve"> the proposed hypotheses. </w:t>
      </w:r>
      <w:r w:rsidR="004654DD" w:rsidRPr="00482722">
        <w:rPr>
          <w:rFonts w:ascii="Arial" w:hAnsi="Arial" w:cs="Arial"/>
          <w:sz w:val="20"/>
          <w:szCs w:val="20"/>
        </w:rPr>
        <w:t>T</w:t>
      </w:r>
      <w:r w:rsidRPr="00482722">
        <w:rPr>
          <w:rFonts w:ascii="Arial" w:hAnsi="Arial" w:cs="Arial"/>
          <w:sz w:val="20"/>
          <w:szCs w:val="20"/>
        </w:rPr>
        <w:t>he research method</w:t>
      </w:r>
      <w:r w:rsidR="004654DD" w:rsidRPr="00482722">
        <w:rPr>
          <w:rFonts w:ascii="Arial" w:hAnsi="Arial" w:cs="Arial"/>
          <w:sz w:val="20"/>
          <w:szCs w:val="20"/>
        </w:rPr>
        <w:t xml:space="preserve"> is described</w:t>
      </w:r>
      <w:r w:rsidRPr="00482722">
        <w:rPr>
          <w:rFonts w:ascii="Arial" w:hAnsi="Arial" w:cs="Arial"/>
          <w:sz w:val="20"/>
          <w:szCs w:val="20"/>
        </w:rPr>
        <w:t xml:space="preserve"> in detail</w:t>
      </w:r>
      <w:r w:rsidR="004654DD" w:rsidRPr="00482722">
        <w:rPr>
          <w:rFonts w:ascii="Arial" w:hAnsi="Arial" w:cs="Arial"/>
          <w:sz w:val="20"/>
          <w:szCs w:val="20"/>
        </w:rPr>
        <w:t xml:space="preserve"> in Section 4</w:t>
      </w:r>
      <w:r w:rsidRPr="00482722">
        <w:rPr>
          <w:rFonts w:ascii="Arial" w:hAnsi="Arial" w:cs="Arial"/>
          <w:sz w:val="20"/>
          <w:szCs w:val="20"/>
        </w:rPr>
        <w:t xml:space="preserve">. </w:t>
      </w:r>
      <w:r w:rsidR="004654DD" w:rsidRPr="00482722">
        <w:rPr>
          <w:rFonts w:ascii="Arial" w:hAnsi="Arial" w:cs="Arial"/>
          <w:sz w:val="20"/>
          <w:szCs w:val="20"/>
        </w:rPr>
        <w:t>The</w:t>
      </w:r>
      <w:r w:rsidRPr="00482722">
        <w:rPr>
          <w:rFonts w:ascii="Arial" w:hAnsi="Arial" w:cs="Arial"/>
          <w:sz w:val="20"/>
          <w:szCs w:val="20"/>
        </w:rPr>
        <w:t xml:space="preserve"> results </w:t>
      </w:r>
      <w:r w:rsidR="004654DD" w:rsidRPr="00482722">
        <w:rPr>
          <w:rFonts w:ascii="Arial" w:hAnsi="Arial" w:cs="Arial"/>
          <w:sz w:val="20"/>
          <w:szCs w:val="20"/>
        </w:rPr>
        <w:t>are presented in Section 5,</w:t>
      </w:r>
      <w:r w:rsidR="00752877" w:rsidRPr="00482722">
        <w:rPr>
          <w:rFonts w:ascii="Arial" w:hAnsi="Arial" w:cs="Arial"/>
          <w:sz w:val="20"/>
          <w:szCs w:val="20"/>
        </w:rPr>
        <w:t xml:space="preserve"> and this is</w:t>
      </w:r>
      <w:r w:rsidR="004654DD" w:rsidRPr="00482722">
        <w:rPr>
          <w:rFonts w:ascii="Arial" w:hAnsi="Arial" w:cs="Arial"/>
          <w:sz w:val="20"/>
          <w:szCs w:val="20"/>
        </w:rPr>
        <w:t xml:space="preserve"> followed by </w:t>
      </w:r>
      <w:r w:rsidR="004654DD" w:rsidRPr="00482722">
        <w:rPr>
          <w:rFonts w:ascii="Arial" w:hAnsi="Arial" w:cs="Arial"/>
          <w:sz w:val="20"/>
          <w:szCs w:val="20"/>
        </w:rPr>
        <w:lastRenderedPageBreak/>
        <w:t>a</w:t>
      </w:r>
      <w:r w:rsidRPr="00482722">
        <w:rPr>
          <w:rFonts w:ascii="Arial" w:hAnsi="Arial" w:cs="Arial"/>
          <w:sz w:val="20"/>
          <w:szCs w:val="20"/>
        </w:rPr>
        <w:t xml:space="preserve"> discuss</w:t>
      </w:r>
      <w:r w:rsidR="004654DD" w:rsidRPr="00482722">
        <w:rPr>
          <w:rFonts w:ascii="Arial" w:hAnsi="Arial" w:cs="Arial"/>
          <w:sz w:val="20"/>
          <w:szCs w:val="20"/>
        </w:rPr>
        <w:t>ion of the study’s</w:t>
      </w:r>
      <w:r w:rsidRPr="00482722">
        <w:rPr>
          <w:rFonts w:ascii="Arial" w:hAnsi="Arial" w:cs="Arial"/>
          <w:sz w:val="20"/>
          <w:szCs w:val="20"/>
        </w:rPr>
        <w:t xml:space="preserve"> theoretical and managerial implications,</w:t>
      </w:r>
      <w:r w:rsidR="004654DD" w:rsidRPr="00482722">
        <w:rPr>
          <w:rFonts w:ascii="Arial" w:hAnsi="Arial" w:cs="Arial"/>
          <w:sz w:val="20"/>
          <w:szCs w:val="20"/>
        </w:rPr>
        <w:t xml:space="preserve"> its</w:t>
      </w:r>
      <w:r w:rsidRPr="00482722">
        <w:rPr>
          <w:rFonts w:ascii="Arial" w:hAnsi="Arial" w:cs="Arial"/>
          <w:sz w:val="20"/>
          <w:szCs w:val="20"/>
        </w:rPr>
        <w:t xml:space="preserve"> limitations, and avenues </w:t>
      </w:r>
      <w:r w:rsidR="00356009" w:rsidRPr="00482722">
        <w:rPr>
          <w:rFonts w:ascii="Arial" w:hAnsi="Arial" w:cs="Arial"/>
          <w:sz w:val="20"/>
          <w:szCs w:val="20"/>
        </w:rPr>
        <w:t xml:space="preserve">for future </w:t>
      </w:r>
      <w:r w:rsidRPr="00482722">
        <w:rPr>
          <w:rFonts w:ascii="Arial" w:hAnsi="Arial" w:cs="Arial"/>
          <w:sz w:val="20"/>
          <w:szCs w:val="20"/>
        </w:rPr>
        <w:t xml:space="preserve">research. Finally, </w:t>
      </w:r>
      <w:r w:rsidR="00CE7B9A" w:rsidRPr="00482722">
        <w:rPr>
          <w:rFonts w:ascii="Arial" w:hAnsi="Arial" w:cs="Arial"/>
          <w:sz w:val="20"/>
          <w:szCs w:val="20"/>
        </w:rPr>
        <w:t>the conclusions are provided.</w:t>
      </w:r>
    </w:p>
    <w:p w14:paraId="2EF92DF5" w14:textId="1F48AA84" w:rsidR="002C52E4" w:rsidRPr="00482722" w:rsidRDefault="002C52E4" w:rsidP="00DA5EEC">
      <w:pPr>
        <w:pStyle w:val="Heading1"/>
        <w:spacing w:line="240" w:lineRule="auto"/>
        <w:rPr>
          <w:rFonts w:ascii="Arial" w:hAnsi="Arial" w:cs="Arial"/>
          <w:sz w:val="20"/>
          <w:szCs w:val="20"/>
        </w:rPr>
      </w:pPr>
      <w:r w:rsidRPr="00482722">
        <w:rPr>
          <w:rFonts w:ascii="Arial" w:hAnsi="Arial" w:cs="Arial"/>
          <w:sz w:val="20"/>
          <w:szCs w:val="20"/>
        </w:rPr>
        <w:t xml:space="preserve">Theoretical </w:t>
      </w:r>
      <w:r w:rsidR="00604370" w:rsidRPr="00482722">
        <w:rPr>
          <w:rFonts w:ascii="Arial" w:hAnsi="Arial" w:cs="Arial"/>
          <w:sz w:val="20"/>
          <w:szCs w:val="20"/>
        </w:rPr>
        <w:t>b</w:t>
      </w:r>
      <w:r w:rsidRPr="00482722">
        <w:rPr>
          <w:rFonts w:ascii="Arial" w:hAnsi="Arial" w:cs="Arial"/>
          <w:sz w:val="20"/>
          <w:szCs w:val="20"/>
        </w:rPr>
        <w:t>ackground</w:t>
      </w:r>
    </w:p>
    <w:p w14:paraId="721E0AD1" w14:textId="57F44601" w:rsidR="00975A4F" w:rsidRPr="00482722" w:rsidRDefault="00975A4F" w:rsidP="00460900">
      <w:pPr>
        <w:pStyle w:val="Heading2"/>
        <w:rPr>
          <w:b/>
        </w:rPr>
      </w:pPr>
      <w:r w:rsidRPr="00482722">
        <w:t>The concept of citizen loyalty</w:t>
      </w:r>
      <w:r w:rsidR="00066A3C" w:rsidRPr="00482722">
        <w:t xml:space="preserve"> to e-government services</w:t>
      </w:r>
    </w:p>
    <w:p w14:paraId="29A7555B" w14:textId="4B3F776D" w:rsidR="00B52E16" w:rsidRPr="00482722" w:rsidRDefault="00B52E16" w:rsidP="00066A3C">
      <w:pPr>
        <w:spacing w:line="240" w:lineRule="auto"/>
        <w:jc w:val="both"/>
        <w:rPr>
          <w:rFonts w:ascii="Arial" w:hAnsi="Arial" w:cs="Arial"/>
          <w:sz w:val="20"/>
          <w:szCs w:val="20"/>
        </w:rPr>
      </w:pPr>
      <w:r w:rsidRPr="00482722">
        <w:rPr>
          <w:rFonts w:ascii="Arial" w:hAnsi="Arial" w:cs="Arial"/>
          <w:sz w:val="20"/>
          <w:szCs w:val="20"/>
        </w:rPr>
        <w:t xml:space="preserve">Doong et al. (2010) described loyalty to e-government services as the degree to which citizens are willing to continue using them. Similarly, Chatfield and Alanazi (2013) and </w:t>
      </w:r>
      <w:r w:rsidRPr="00482722">
        <w:rPr>
          <w:rFonts w:ascii="Arial" w:eastAsia="Times New Roman" w:hAnsi="Arial" w:cs="Arial"/>
          <w:sz w:val="20"/>
          <w:szCs w:val="20"/>
          <w:lang w:eastAsia="en-GB"/>
        </w:rPr>
        <w:t>Connolly et al</w:t>
      </w:r>
      <w:r w:rsidR="003F3E5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(2010) </w:t>
      </w:r>
      <w:r w:rsidRPr="00482722">
        <w:rPr>
          <w:rFonts w:ascii="Arial" w:hAnsi="Arial" w:cs="Arial"/>
          <w:sz w:val="20"/>
          <w:szCs w:val="20"/>
        </w:rPr>
        <w:t xml:space="preserve">adopted </w:t>
      </w:r>
      <w:r w:rsidR="00056ECB" w:rsidRPr="00482722">
        <w:rPr>
          <w:rFonts w:ascii="Arial" w:hAnsi="Arial" w:cs="Arial"/>
          <w:sz w:val="20"/>
          <w:szCs w:val="20"/>
        </w:rPr>
        <w:t>‘</w:t>
      </w:r>
      <w:r w:rsidRPr="00482722">
        <w:rPr>
          <w:rFonts w:ascii="Arial" w:hAnsi="Arial" w:cs="Arial"/>
          <w:sz w:val="20"/>
          <w:szCs w:val="20"/>
        </w:rPr>
        <w:t>intention to use</w:t>
      </w:r>
      <w:r w:rsidR="00056ECB" w:rsidRPr="00482722">
        <w:rPr>
          <w:rFonts w:ascii="Arial" w:hAnsi="Arial" w:cs="Arial"/>
          <w:sz w:val="20"/>
          <w:szCs w:val="20"/>
        </w:rPr>
        <w:t>’</w:t>
      </w:r>
      <w:r w:rsidRPr="00482722">
        <w:rPr>
          <w:rFonts w:ascii="Arial" w:hAnsi="Arial" w:cs="Arial"/>
          <w:sz w:val="20"/>
          <w:szCs w:val="20"/>
        </w:rPr>
        <w:t xml:space="preserve"> to examine various antecedents </w:t>
      </w:r>
      <w:r w:rsidR="000C253A" w:rsidRPr="00482722">
        <w:rPr>
          <w:rFonts w:ascii="Arial" w:hAnsi="Arial" w:cs="Arial"/>
          <w:sz w:val="20"/>
          <w:szCs w:val="20"/>
        </w:rPr>
        <w:t>of</w:t>
      </w:r>
      <w:r w:rsidRPr="00482722">
        <w:rPr>
          <w:rFonts w:ascii="Arial" w:hAnsi="Arial" w:cs="Arial"/>
          <w:sz w:val="20"/>
          <w:szCs w:val="20"/>
        </w:rPr>
        <w:t xml:space="preserve"> citizen loyalty to e-government services</w:t>
      </w:r>
      <w:r w:rsidR="00090901" w:rsidRPr="00482722">
        <w:rPr>
          <w:rFonts w:ascii="Arial" w:hAnsi="Arial" w:cs="Arial"/>
          <w:sz w:val="20"/>
          <w:szCs w:val="20"/>
        </w:rPr>
        <w:t>.</w:t>
      </w:r>
      <w:r w:rsidRPr="00482722">
        <w:rPr>
          <w:rFonts w:ascii="Arial" w:hAnsi="Arial" w:cs="Arial"/>
          <w:sz w:val="20"/>
          <w:szCs w:val="20"/>
        </w:rPr>
        <w:t xml:space="preserve"> </w:t>
      </w:r>
      <w:r w:rsidR="00090901" w:rsidRPr="00482722">
        <w:rPr>
          <w:rFonts w:ascii="Arial" w:hAnsi="Arial" w:cs="Arial"/>
          <w:sz w:val="20"/>
          <w:szCs w:val="20"/>
        </w:rPr>
        <w:t>A</w:t>
      </w:r>
      <w:r w:rsidRPr="00482722">
        <w:rPr>
          <w:rFonts w:ascii="Arial" w:hAnsi="Arial" w:cs="Arial"/>
          <w:sz w:val="20"/>
          <w:szCs w:val="20"/>
        </w:rPr>
        <w:t xml:space="preserve">lthough both </w:t>
      </w:r>
      <w:r w:rsidR="00F76F37" w:rsidRPr="00482722">
        <w:rPr>
          <w:rFonts w:ascii="Arial" w:hAnsi="Arial" w:cs="Arial"/>
          <w:sz w:val="20"/>
          <w:szCs w:val="20"/>
        </w:rPr>
        <w:t>‘</w:t>
      </w:r>
      <w:r w:rsidRPr="00482722">
        <w:rPr>
          <w:rFonts w:ascii="Arial" w:hAnsi="Arial" w:cs="Arial"/>
          <w:sz w:val="20"/>
          <w:szCs w:val="20"/>
        </w:rPr>
        <w:t>intention to use</w:t>
      </w:r>
      <w:r w:rsidR="00F76F37" w:rsidRPr="00482722">
        <w:rPr>
          <w:rFonts w:ascii="Arial" w:hAnsi="Arial" w:cs="Arial"/>
          <w:sz w:val="20"/>
          <w:szCs w:val="20"/>
        </w:rPr>
        <w:t>’</w:t>
      </w:r>
      <w:r w:rsidRPr="00482722">
        <w:rPr>
          <w:rFonts w:ascii="Arial" w:hAnsi="Arial" w:cs="Arial"/>
          <w:sz w:val="20"/>
          <w:szCs w:val="20"/>
        </w:rPr>
        <w:t xml:space="preserve"> and </w:t>
      </w:r>
      <w:r w:rsidR="00F76F37" w:rsidRPr="00482722">
        <w:rPr>
          <w:rFonts w:ascii="Arial" w:hAnsi="Arial" w:cs="Arial"/>
          <w:sz w:val="20"/>
          <w:szCs w:val="20"/>
        </w:rPr>
        <w:t>‘</w:t>
      </w:r>
      <w:r w:rsidRPr="00482722">
        <w:rPr>
          <w:rFonts w:ascii="Arial" w:hAnsi="Arial" w:cs="Arial"/>
          <w:sz w:val="20"/>
          <w:szCs w:val="20"/>
        </w:rPr>
        <w:t>retention</w:t>
      </w:r>
      <w:r w:rsidR="00F76F37" w:rsidRPr="00482722">
        <w:rPr>
          <w:rFonts w:ascii="Arial" w:hAnsi="Arial" w:cs="Arial"/>
          <w:sz w:val="20"/>
          <w:szCs w:val="20"/>
        </w:rPr>
        <w:t>’</w:t>
      </w:r>
      <w:r w:rsidRPr="00482722">
        <w:rPr>
          <w:rFonts w:ascii="Arial" w:hAnsi="Arial" w:cs="Arial"/>
          <w:sz w:val="20"/>
          <w:szCs w:val="20"/>
        </w:rPr>
        <w:t xml:space="preserve"> are consequences of citizen loyalty (Bilgihan, 2016; </w:t>
      </w:r>
      <w:r w:rsidRPr="00482722">
        <w:rPr>
          <w:rFonts w:ascii="Arial" w:eastAsia="Times New Roman" w:hAnsi="Arial" w:cs="Arial"/>
          <w:sz w:val="20"/>
          <w:szCs w:val="20"/>
          <w:lang w:eastAsia="en-GB"/>
        </w:rPr>
        <w:t xml:space="preserve">Choi, 2015; </w:t>
      </w:r>
      <w:r w:rsidRPr="00482722">
        <w:rPr>
          <w:rFonts w:ascii="Arial" w:hAnsi="Arial" w:cs="Arial"/>
          <w:sz w:val="20"/>
          <w:szCs w:val="20"/>
        </w:rPr>
        <w:t>Davison et al., 2005), they are not substitutes for loyalt</w:t>
      </w:r>
      <w:r w:rsidR="00201544" w:rsidRPr="00482722">
        <w:rPr>
          <w:rFonts w:ascii="Arial" w:hAnsi="Arial" w:cs="Arial"/>
          <w:sz w:val="20"/>
          <w:szCs w:val="20"/>
        </w:rPr>
        <w:t xml:space="preserve">y. Hence, how loyalty is developed among citizens is an important area </w:t>
      </w:r>
      <w:r w:rsidR="0087421A" w:rsidRPr="00482722">
        <w:rPr>
          <w:rFonts w:ascii="Arial" w:hAnsi="Arial" w:cs="Arial"/>
          <w:sz w:val="20"/>
          <w:szCs w:val="20"/>
        </w:rPr>
        <w:t>of study</w:t>
      </w:r>
      <w:r w:rsidR="00DB3CA7" w:rsidRPr="00482722">
        <w:rPr>
          <w:rFonts w:ascii="Arial" w:hAnsi="Arial" w:cs="Arial"/>
          <w:sz w:val="20"/>
          <w:szCs w:val="20"/>
        </w:rPr>
        <w:t>.</w:t>
      </w:r>
      <w:r w:rsidRPr="00482722">
        <w:rPr>
          <w:rFonts w:ascii="Arial" w:hAnsi="Arial" w:cs="Arial"/>
          <w:sz w:val="20"/>
          <w:szCs w:val="20"/>
        </w:rPr>
        <w:t xml:space="preserve"> </w:t>
      </w:r>
      <w:r w:rsidR="0087421A" w:rsidRPr="00482722">
        <w:rPr>
          <w:rFonts w:ascii="Arial" w:hAnsi="Arial" w:cs="Arial"/>
          <w:sz w:val="20"/>
          <w:szCs w:val="20"/>
        </w:rPr>
        <w:t>I</w:t>
      </w:r>
      <w:r w:rsidRPr="00482722">
        <w:rPr>
          <w:rFonts w:ascii="Arial" w:hAnsi="Arial" w:cs="Arial"/>
          <w:sz w:val="20"/>
          <w:szCs w:val="20"/>
        </w:rPr>
        <w:t>n the context of this research, we define citizen loyalty to e-government services as favourable attitudes to e-government</w:t>
      </w:r>
      <w:r w:rsidR="00282316" w:rsidRPr="00482722">
        <w:rPr>
          <w:rFonts w:ascii="Arial" w:hAnsi="Arial" w:cs="Arial"/>
          <w:sz w:val="20"/>
          <w:szCs w:val="20"/>
        </w:rPr>
        <w:t xml:space="preserve"> </w:t>
      </w:r>
      <w:r w:rsidR="00990FD9" w:rsidRPr="00482722">
        <w:rPr>
          <w:rFonts w:ascii="Arial" w:hAnsi="Arial" w:cs="Arial"/>
          <w:sz w:val="20"/>
          <w:szCs w:val="20"/>
        </w:rPr>
        <w:t>that</w:t>
      </w:r>
      <w:r w:rsidRPr="00482722">
        <w:rPr>
          <w:rFonts w:ascii="Arial" w:hAnsi="Arial" w:cs="Arial"/>
          <w:sz w:val="20"/>
          <w:szCs w:val="20"/>
        </w:rPr>
        <w:t xml:space="preserve"> result in a sense of commitment to and dependency on the services provided, a willingness to recommend them to other consumers, and a positive engagement with the government agencies</w:t>
      </w:r>
      <w:r w:rsidR="00282316" w:rsidRPr="00482722">
        <w:rPr>
          <w:rFonts w:ascii="Arial" w:hAnsi="Arial" w:cs="Arial"/>
          <w:sz w:val="20"/>
          <w:szCs w:val="20"/>
        </w:rPr>
        <w:t xml:space="preserve"> that provide them</w:t>
      </w:r>
      <w:r w:rsidRPr="00482722">
        <w:rPr>
          <w:rFonts w:ascii="Arial" w:hAnsi="Arial" w:cs="Arial"/>
          <w:sz w:val="20"/>
          <w:szCs w:val="20"/>
        </w:rPr>
        <w:t>.</w:t>
      </w:r>
    </w:p>
    <w:p w14:paraId="3FCF641C" w14:textId="4C9EF942" w:rsidR="00066A3C" w:rsidRPr="00482722" w:rsidRDefault="00163F3C" w:rsidP="00066A3C">
      <w:pPr>
        <w:spacing w:line="240" w:lineRule="auto"/>
        <w:jc w:val="both"/>
        <w:rPr>
          <w:rFonts w:ascii="Arial" w:hAnsi="Arial" w:cs="Arial"/>
          <w:sz w:val="20"/>
          <w:szCs w:val="20"/>
        </w:rPr>
      </w:pPr>
      <w:r w:rsidRPr="00482722">
        <w:rPr>
          <w:rFonts w:ascii="Arial" w:hAnsi="Arial" w:cs="Arial"/>
          <w:sz w:val="20"/>
          <w:szCs w:val="20"/>
        </w:rPr>
        <w:t xml:space="preserve">In research on information systems (IS), </w:t>
      </w:r>
      <w:r w:rsidR="00066A3C" w:rsidRPr="00482722">
        <w:rPr>
          <w:rFonts w:ascii="Arial" w:hAnsi="Arial" w:cs="Arial"/>
          <w:sz w:val="20"/>
          <w:szCs w:val="20"/>
        </w:rPr>
        <w:t xml:space="preserve">Choi (2015) stressed </w:t>
      </w:r>
      <w:r w:rsidRPr="00482722">
        <w:rPr>
          <w:rFonts w:ascii="Arial" w:hAnsi="Arial" w:cs="Arial"/>
          <w:sz w:val="20"/>
          <w:szCs w:val="20"/>
        </w:rPr>
        <w:t>that</w:t>
      </w:r>
      <w:r w:rsidR="00066A3C" w:rsidRPr="00482722">
        <w:rPr>
          <w:rFonts w:ascii="Arial" w:hAnsi="Arial" w:cs="Arial"/>
          <w:sz w:val="20"/>
          <w:szCs w:val="20"/>
        </w:rPr>
        <w:t xml:space="preserve"> loyalty </w:t>
      </w:r>
      <w:r w:rsidRPr="00482722">
        <w:rPr>
          <w:rFonts w:ascii="Arial" w:hAnsi="Arial" w:cs="Arial"/>
          <w:sz w:val="20"/>
          <w:szCs w:val="20"/>
        </w:rPr>
        <w:t xml:space="preserve">plays a key </w:t>
      </w:r>
      <w:r w:rsidR="007A2704" w:rsidRPr="00482722">
        <w:rPr>
          <w:rFonts w:ascii="Arial" w:hAnsi="Arial" w:cs="Arial"/>
          <w:sz w:val="20"/>
          <w:szCs w:val="20"/>
        </w:rPr>
        <w:t>role in</w:t>
      </w:r>
      <w:r w:rsidR="005E5068" w:rsidRPr="00482722">
        <w:rPr>
          <w:rFonts w:ascii="Arial" w:hAnsi="Arial" w:cs="Arial"/>
          <w:sz w:val="20"/>
          <w:szCs w:val="20"/>
        </w:rPr>
        <w:t xml:space="preserve"> this context </w:t>
      </w:r>
      <w:r w:rsidR="00066A3C" w:rsidRPr="00482722">
        <w:rPr>
          <w:rFonts w:ascii="Arial" w:hAnsi="Arial" w:cs="Arial"/>
          <w:sz w:val="20"/>
          <w:szCs w:val="20"/>
        </w:rPr>
        <w:t>due to rapid advances in ICT</w:t>
      </w:r>
      <w:r w:rsidR="00CD7C6F" w:rsidRPr="00482722">
        <w:rPr>
          <w:rFonts w:ascii="Arial" w:hAnsi="Arial" w:cs="Arial"/>
          <w:sz w:val="20"/>
          <w:szCs w:val="20"/>
        </w:rPr>
        <w:t>, which means</w:t>
      </w:r>
      <w:r w:rsidR="00066A3C" w:rsidRPr="00482722">
        <w:rPr>
          <w:rFonts w:ascii="Arial" w:hAnsi="Arial" w:cs="Arial"/>
          <w:sz w:val="20"/>
          <w:szCs w:val="20"/>
        </w:rPr>
        <w:t xml:space="preserve"> that e-government services face the challenge of nurturing loyal users </w:t>
      </w:r>
      <w:r w:rsidRPr="00482722">
        <w:rPr>
          <w:rFonts w:ascii="Arial" w:hAnsi="Arial" w:cs="Arial"/>
          <w:sz w:val="20"/>
          <w:szCs w:val="20"/>
        </w:rPr>
        <w:t xml:space="preserve">in addition to </w:t>
      </w:r>
      <w:r w:rsidR="00066A3C" w:rsidRPr="00482722">
        <w:rPr>
          <w:rFonts w:ascii="Arial" w:hAnsi="Arial" w:cs="Arial"/>
          <w:sz w:val="20"/>
          <w:szCs w:val="20"/>
        </w:rPr>
        <w:t>satisfying</w:t>
      </w:r>
      <w:r w:rsidRPr="00482722">
        <w:rPr>
          <w:rFonts w:ascii="Arial" w:hAnsi="Arial" w:cs="Arial"/>
          <w:sz w:val="20"/>
          <w:szCs w:val="20"/>
        </w:rPr>
        <w:t xml:space="preserve"> those</w:t>
      </w:r>
      <w:r w:rsidR="00066A3C" w:rsidRPr="00482722">
        <w:rPr>
          <w:rFonts w:ascii="Arial" w:hAnsi="Arial" w:cs="Arial"/>
          <w:sz w:val="20"/>
          <w:szCs w:val="20"/>
        </w:rPr>
        <w:t xml:space="preserve"> users. In addition, </w:t>
      </w:r>
      <w:r w:rsidR="00157A87" w:rsidRPr="00482722">
        <w:rPr>
          <w:rFonts w:ascii="Arial" w:hAnsi="Arial" w:cs="Arial"/>
          <w:sz w:val="20"/>
          <w:szCs w:val="20"/>
        </w:rPr>
        <w:t xml:space="preserve">previous </w:t>
      </w:r>
      <w:r w:rsidR="00066A3C" w:rsidRPr="00482722">
        <w:rPr>
          <w:rFonts w:ascii="Arial" w:hAnsi="Arial" w:cs="Arial"/>
          <w:sz w:val="20"/>
          <w:szCs w:val="20"/>
        </w:rPr>
        <w:t>research o</w:t>
      </w:r>
      <w:r w:rsidR="00787B2D" w:rsidRPr="00482722">
        <w:rPr>
          <w:rFonts w:ascii="Arial" w:hAnsi="Arial" w:cs="Arial"/>
          <w:sz w:val="20"/>
          <w:szCs w:val="20"/>
        </w:rPr>
        <w:t xml:space="preserve">n </w:t>
      </w:r>
      <w:r w:rsidR="00994146" w:rsidRPr="00482722">
        <w:rPr>
          <w:rFonts w:ascii="Arial" w:hAnsi="Arial" w:cs="Arial"/>
          <w:sz w:val="20"/>
          <w:szCs w:val="20"/>
        </w:rPr>
        <w:t xml:space="preserve">the adoption of e-government services </w:t>
      </w:r>
      <w:r w:rsidR="00066A3C" w:rsidRPr="00482722">
        <w:rPr>
          <w:rFonts w:ascii="Arial" w:hAnsi="Arial" w:cs="Arial"/>
          <w:sz w:val="20"/>
          <w:szCs w:val="20"/>
        </w:rPr>
        <w:t xml:space="preserve">(e.g., Li </w:t>
      </w:r>
      <w:r w:rsidR="002D35B9" w:rsidRPr="00482722">
        <w:rPr>
          <w:rFonts w:ascii="Arial" w:hAnsi="Arial" w:cs="Arial"/>
          <w:sz w:val="20"/>
          <w:szCs w:val="20"/>
        </w:rPr>
        <w:t>and</w:t>
      </w:r>
      <w:r w:rsidR="00066A3C" w:rsidRPr="00482722">
        <w:rPr>
          <w:rFonts w:ascii="Arial" w:hAnsi="Arial" w:cs="Arial"/>
          <w:sz w:val="20"/>
          <w:szCs w:val="20"/>
        </w:rPr>
        <w:t xml:space="preserve"> Shang, 2020; Chatfield </w:t>
      </w:r>
      <w:r w:rsidR="002D35B9" w:rsidRPr="00482722">
        <w:rPr>
          <w:rFonts w:ascii="Arial" w:hAnsi="Arial" w:cs="Arial"/>
          <w:sz w:val="20"/>
          <w:szCs w:val="20"/>
        </w:rPr>
        <w:t>and</w:t>
      </w:r>
      <w:r w:rsidR="00066A3C" w:rsidRPr="00482722">
        <w:rPr>
          <w:rFonts w:ascii="Arial" w:hAnsi="Arial" w:cs="Arial"/>
          <w:sz w:val="20"/>
          <w:szCs w:val="20"/>
        </w:rPr>
        <w:t xml:space="preserve"> Alanazi, 2013; Morgeson III, 2011; Doong et al., 2010) stressed </w:t>
      </w:r>
      <w:r w:rsidR="00647392" w:rsidRPr="00482722">
        <w:rPr>
          <w:rFonts w:ascii="Arial" w:hAnsi="Arial" w:cs="Arial"/>
          <w:sz w:val="20"/>
          <w:szCs w:val="20"/>
        </w:rPr>
        <w:t>that</w:t>
      </w:r>
      <w:r w:rsidR="00066A3C" w:rsidRPr="00482722">
        <w:rPr>
          <w:rFonts w:ascii="Arial" w:hAnsi="Arial" w:cs="Arial"/>
          <w:sz w:val="20"/>
          <w:szCs w:val="20"/>
        </w:rPr>
        <w:t xml:space="preserve"> loyalty </w:t>
      </w:r>
      <w:r w:rsidR="00647392" w:rsidRPr="00482722">
        <w:rPr>
          <w:rFonts w:ascii="Arial" w:hAnsi="Arial" w:cs="Arial"/>
          <w:sz w:val="20"/>
          <w:szCs w:val="20"/>
        </w:rPr>
        <w:t xml:space="preserve">is </w:t>
      </w:r>
      <w:r w:rsidR="00066A3C" w:rsidRPr="00482722">
        <w:rPr>
          <w:rFonts w:ascii="Arial" w:hAnsi="Arial" w:cs="Arial"/>
          <w:sz w:val="20"/>
          <w:szCs w:val="20"/>
        </w:rPr>
        <w:t xml:space="preserve">an influential construct </w:t>
      </w:r>
      <w:r w:rsidR="00647392" w:rsidRPr="00482722">
        <w:rPr>
          <w:rFonts w:ascii="Arial" w:hAnsi="Arial" w:cs="Arial"/>
          <w:sz w:val="20"/>
          <w:szCs w:val="20"/>
        </w:rPr>
        <w:t>that can</w:t>
      </w:r>
      <w:r w:rsidR="00066A3C" w:rsidRPr="00482722">
        <w:rPr>
          <w:rFonts w:ascii="Arial" w:hAnsi="Arial" w:cs="Arial"/>
          <w:sz w:val="20"/>
          <w:szCs w:val="20"/>
        </w:rPr>
        <w:t xml:space="preserve"> explain</w:t>
      </w:r>
      <w:r w:rsidR="00994146" w:rsidRPr="00482722">
        <w:t xml:space="preserve"> </w:t>
      </w:r>
      <w:r w:rsidR="00994146" w:rsidRPr="00482722">
        <w:rPr>
          <w:rFonts w:ascii="Arial" w:hAnsi="Arial" w:cs="Arial"/>
          <w:sz w:val="20"/>
          <w:szCs w:val="20"/>
        </w:rPr>
        <w:t>the overall experience of citizens who use e-government services for long periods</w:t>
      </w:r>
      <w:r w:rsidR="00066A3C" w:rsidRPr="00482722">
        <w:rPr>
          <w:rFonts w:ascii="Arial" w:hAnsi="Arial" w:cs="Arial"/>
          <w:sz w:val="20"/>
          <w:szCs w:val="20"/>
        </w:rPr>
        <w:t>. Research on the concept of e-loyalty is rooted in the field of marketing</w:t>
      </w:r>
      <w:r w:rsidR="00D0702E" w:rsidRPr="00482722">
        <w:rPr>
          <w:rFonts w:ascii="Arial" w:hAnsi="Arial" w:cs="Arial"/>
          <w:sz w:val="20"/>
          <w:szCs w:val="20"/>
        </w:rPr>
        <w:t>,</w:t>
      </w:r>
      <w:r w:rsidR="00066A3C" w:rsidRPr="00482722">
        <w:rPr>
          <w:rFonts w:ascii="Arial" w:hAnsi="Arial" w:cs="Arial"/>
          <w:sz w:val="20"/>
          <w:szCs w:val="20"/>
        </w:rPr>
        <w:t xml:space="preserve"> and</w:t>
      </w:r>
      <w:r w:rsidR="00787B2D" w:rsidRPr="00482722">
        <w:rPr>
          <w:rFonts w:ascii="Arial" w:hAnsi="Arial" w:cs="Arial"/>
          <w:sz w:val="20"/>
          <w:szCs w:val="20"/>
        </w:rPr>
        <w:t xml:space="preserve"> it</w:t>
      </w:r>
      <w:r w:rsidR="00066A3C" w:rsidRPr="00482722">
        <w:rPr>
          <w:rFonts w:ascii="Arial" w:hAnsi="Arial" w:cs="Arial"/>
          <w:sz w:val="20"/>
          <w:szCs w:val="20"/>
        </w:rPr>
        <w:t xml:space="preserve"> focuses on understanding </w:t>
      </w:r>
      <w:r w:rsidR="00D0702E" w:rsidRPr="00482722">
        <w:rPr>
          <w:rFonts w:ascii="Arial" w:hAnsi="Arial" w:cs="Arial"/>
          <w:sz w:val="20"/>
          <w:szCs w:val="20"/>
        </w:rPr>
        <w:t xml:space="preserve">the </w:t>
      </w:r>
      <w:r w:rsidR="00066A3C" w:rsidRPr="00482722">
        <w:rPr>
          <w:rFonts w:ascii="Arial" w:hAnsi="Arial" w:cs="Arial"/>
          <w:sz w:val="20"/>
          <w:szCs w:val="20"/>
        </w:rPr>
        <w:t xml:space="preserve">repeat purchase behaviours of customers (Bilgihan, 2016; </w:t>
      </w:r>
      <w:r w:rsidR="00066A3C" w:rsidRPr="00482722">
        <w:rPr>
          <w:rFonts w:ascii="Arial" w:eastAsia="Times New Roman" w:hAnsi="Arial" w:cs="Arial"/>
          <w:sz w:val="20"/>
          <w:szCs w:val="20"/>
          <w:lang w:eastAsia="en-GB"/>
        </w:rPr>
        <w:t xml:space="preserve">Choi, 2015; Pearson et al., 2012; </w:t>
      </w:r>
      <w:r w:rsidR="00066A3C" w:rsidRPr="00482722">
        <w:rPr>
          <w:rFonts w:ascii="Arial" w:hAnsi="Arial" w:cs="Arial"/>
          <w:sz w:val="20"/>
          <w:szCs w:val="20"/>
        </w:rPr>
        <w:t xml:space="preserve">Cyr, 2008; Reichheld </w:t>
      </w:r>
      <w:r w:rsidR="002D35B9" w:rsidRPr="00482722">
        <w:rPr>
          <w:rFonts w:ascii="Arial" w:hAnsi="Arial" w:cs="Arial"/>
          <w:sz w:val="20"/>
          <w:szCs w:val="20"/>
        </w:rPr>
        <w:t>and</w:t>
      </w:r>
      <w:r w:rsidR="00066A3C" w:rsidRPr="00482722">
        <w:rPr>
          <w:rFonts w:ascii="Arial" w:hAnsi="Arial" w:cs="Arial"/>
          <w:sz w:val="20"/>
          <w:szCs w:val="20"/>
        </w:rPr>
        <w:t xml:space="preserve"> Schefter, 2000). Increasing customer retention rates can dramatically increase </w:t>
      </w:r>
      <w:r w:rsidR="00D0702E" w:rsidRPr="00482722">
        <w:rPr>
          <w:rFonts w:ascii="Arial" w:hAnsi="Arial" w:cs="Arial"/>
          <w:sz w:val="20"/>
          <w:szCs w:val="20"/>
        </w:rPr>
        <w:t xml:space="preserve">company </w:t>
      </w:r>
      <w:r w:rsidR="00066A3C" w:rsidRPr="00482722">
        <w:rPr>
          <w:rFonts w:ascii="Arial" w:hAnsi="Arial" w:cs="Arial"/>
          <w:sz w:val="20"/>
          <w:szCs w:val="20"/>
        </w:rPr>
        <w:t>profits</w:t>
      </w:r>
      <w:r w:rsidR="00D0702E" w:rsidRPr="00482722">
        <w:rPr>
          <w:rFonts w:ascii="Arial" w:hAnsi="Arial" w:cs="Arial"/>
          <w:sz w:val="20"/>
          <w:szCs w:val="20"/>
        </w:rPr>
        <w:t xml:space="preserve"> over the long term</w:t>
      </w:r>
      <w:r w:rsidR="00066A3C" w:rsidRPr="00482722">
        <w:rPr>
          <w:rFonts w:ascii="Arial" w:hAnsi="Arial" w:cs="Arial"/>
          <w:sz w:val="20"/>
          <w:szCs w:val="20"/>
        </w:rPr>
        <w:t xml:space="preserve"> (Reichheld, 1994). </w:t>
      </w:r>
      <w:r w:rsidR="00D0702E" w:rsidRPr="00482722">
        <w:rPr>
          <w:rFonts w:ascii="Arial" w:hAnsi="Arial" w:cs="Arial"/>
          <w:sz w:val="20"/>
          <w:szCs w:val="20"/>
        </w:rPr>
        <w:t>Given</w:t>
      </w:r>
      <w:r w:rsidR="00787B2D" w:rsidRPr="00482722">
        <w:rPr>
          <w:rFonts w:ascii="Arial" w:hAnsi="Arial" w:cs="Arial"/>
          <w:sz w:val="20"/>
          <w:szCs w:val="20"/>
        </w:rPr>
        <w:t xml:space="preserve"> the</w:t>
      </w:r>
      <w:r w:rsidR="00066A3C" w:rsidRPr="00482722">
        <w:rPr>
          <w:rFonts w:ascii="Arial" w:hAnsi="Arial" w:cs="Arial"/>
          <w:sz w:val="20"/>
          <w:szCs w:val="20"/>
        </w:rPr>
        <w:t xml:space="preserve"> growing importance</w:t>
      </w:r>
      <w:r w:rsidR="00787B2D" w:rsidRPr="00482722">
        <w:rPr>
          <w:rFonts w:ascii="Arial" w:hAnsi="Arial" w:cs="Arial"/>
          <w:sz w:val="20"/>
          <w:szCs w:val="20"/>
        </w:rPr>
        <w:t xml:space="preserve"> of loyalty</w:t>
      </w:r>
      <w:r w:rsidR="00066A3C" w:rsidRPr="00482722">
        <w:rPr>
          <w:rFonts w:ascii="Arial" w:hAnsi="Arial" w:cs="Arial"/>
          <w:sz w:val="20"/>
          <w:szCs w:val="20"/>
        </w:rPr>
        <w:t xml:space="preserve">, a number of scholars </w:t>
      </w:r>
      <w:r w:rsidR="00787B2D" w:rsidRPr="00482722">
        <w:rPr>
          <w:rFonts w:ascii="Arial" w:hAnsi="Arial" w:cs="Arial"/>
          <w:sz w:val="20"/>
          <w:szCs w:val="20"/>
        </w:rPr>
        <w:t xml:space="preserve">in the area </w:t>
      </w:r>
      <w:r w:rsidR="006F13DA" w:rsidRPr="00482722">
        <w:rPr>
          <w:rFonts w:ascii="Arial" w:hAnsi="Arial" w:cs="Arial"/>
          <w:sz w:val="20"/>
          <w:szCs w:val="20"/>
        </w:rPr>
        <w:t>of e</w:t>
      </w:r>
      <w:r w:rsidR="00066A3C" w:rsidRPr="00482722">
        <w:rPr>
          <w:rFonts w:ascii="Arial" w:hAnsi="Arial" w:cs="Arial"/>
          <w:sz w:val="20"/>
          <w:szCs w:val="20"/>
        </w:rPr>
        <w:t>-commerce have attempted to adapt</w:t>
      </w:r>
      <w:r w:rsidR="00787B2D" w:rsidRPr="00482722">
        <w:rPr>
          <w:rFonts w:ascii="Arial" w:hAnsi="Arial" w:cs="Arial"/>
          <w:sz w:val="20"/>
          <w:szCs w:val="20"/>
        </w:rPr>
        <w:t xml:space="preserve"> the</w:t>
      </w:r>
      <w:r w:rsidR="00066A3C" w:rsidRPr="00482722">
        <w:rPr>
          <w:rFonts w:ascii="Arial" w:hAnsi="Arial" w:cs="Arial"/>
          <w:sz w:val="20"/>
          <w:szCs w:val="20"/>
        </w:rPr>
        <w:t xml:space="preserve"> loyalty </w:t>
      </w:r>
      <w:r w:rsidR="007C5A7C" w:rsidRPr="00482722">
        <w:rPr>
          <w:rFonts w:ascii="Arial" w:hAnsi="Arial" w:cs="Arial"/>
          <w:sz w:val="20"/>
          <w:szCs w:val="20"/>
        </w:rPr>
        <w:t>perspective</w:t>
      </w:r>
      <w:r w:rsidR="00BC4860" w:rsidRPr="00482722">
        <w:rPr>
          <w:rFonts w:ascii="Arial" w:hAnsi="Arial" w:cs="Arial"/>
          <w:sz w:val="20"/>
          <w:szCs w:val="20"/>
        </w:rPr>
        <w:t xml:space="preserve"> </w:t>
      </w:r>
      <w:r w:rsidR="00066A3C" w:rsidRPr="00482722">
        <w:rPr>
          <w:rFonts w:ascii="Arial" w:hAnsi="Arial" w:cs="Arial"/>
          <w:sz w:val="20"/>
          <w:szCs w:val="20"/>
        </w:rPr>
        <w:t xml:space="preserve">to find ways of improving fidelity to merchants’ websites, thereby increasing consumer retention rates </w:t>
      </w:r>
      <w:r w:rsidR="003946B7" w:rsidRPr="00482722">
        <w:rPr>
          <w:rFonts w:ascii="Arial" w:hAnsi="Arial" w:cs="Arial"/>
          <w:sz w:val="20"/>
          <w:szCs w:val="20"/>
        </w:rPr>
        <w:t xml:space="preserve">for </w:t>
      </w:r>
      <w:r w:rsidR="00066A3C" w:rsidRPr="00482722">
        <w:rPr>
          <w:rFonts w:ascii="Arial" w:hAnsi="Arial" w:cs="Arial"/>
          <w:sz w:val="20"/>
          <w:szCs w:val="20"/>
        </w:rPr>
        <w:t xml:space="preserve">services and </w:t>
      </w:r>
      <w:r w:rsidR="00F232B9" w:rsidRPr="00482722">
        <w:rPr>
          <w:rFonts w:ascii="Arial" w:hAnsi="Arial" w:cs="Arial"/>
          <w:sz w:val="20"/>
          <w:szCs w:val="20"/>
        </w:rPr>
        <w:t xml:space="preserve">encouraging </w:t>
      </w:r>
      <w:r w:rsidR="00066A3C" w:rsidRPr="00482722">
        <w:rPr>
          <w:rFonts w:ascii="Arial" w:hAnsi="Arial" w:cs="Arial"/>
          <w:sz w:val="20"/>
          <w:szCs w:val="20"/>
        </w:rPr>
        <w:t>repeat purchas</w:t>
      </w:r>
      <w:r w:rsidR="00F232B9" w:rsidRPr="00482722">
        <w:rPr>
          <w:rFonts w:ascii="Arial" w:hAnsi="Arial" w:cs="Arial"/>
          <w:sz w:val="20"/>
          <w:szCs w:val="20"/>
        </w:rPr>
        <w:t>es</w:t>
      </w:r>
      <w:r w:rsidR="00066A3C" w:rsidRPr="00482722">
        <w:rPr>
          <w:rFonts w:ascii="Arial" w:hAnsi="Arial" w:cs="Arial"/>
          <w:sz w:val="20"/>
          <w:szCs w:val="20"/>
        </w:rPr>
        <w:t xml:space="preserve"> (e.g., Kaur et al., 2020; Kumar et al., 2020; Liao et al., 2020; Zheng et al.</w:t>
      </w:r>
      <w:r w:rsidR="006F13DA" w:rsidRPr="00482722">
        <w:rPr>
          <w:rFonts w:ascii="Arial" w:hAnsi="Arial" w:cs="Arial"/>
          <w:sz w:val="20"/>
          <w:szCs w:val="20"/>
        </w:rPr>
        <w:t>, 2017</w:t>
      </w:r>
      <w:r w:rsidR="00066A3C" w:rsidRPr="00482722">
        <w:rPr>
          <w:rFonts w:ascii="Arial" w:hAnsi="Arial" w:cs="Arial"/>
          <w:sz w:val="20"/>
          <w:szCs w:val="20"/>
        </w:rPr>
        <w:t>; Bilgihan, 2016; Choi, 2015).</w:t>
      </w:r>
    </w:p>
    <w:p w14:paraId="4B9BDA28" w14:textId="5F3EB614" w:rsidR="00066A3C" w:rsidRPr="00482722" w:rsidRDefault="00066A3C" w:rsidP="000E3D7B">
      <w:pPr>
        <w:spacing w:line="240" w:lineRule="auto"/>
        <w:jc w:val="both"/>
        <w:rPr>
          <w:rFonts w:ascii="Arial" w:hAnsi="Arial" w:cs="Arial"/>
          <w:sz w:val="20"/>
          <w:szCs w:val="20"/>
        </w:rPr>
      </w:pPr>
      <w:r w:rsidRPr="00482722">
        <w:rPr>
          <w:rFonts w:ascii="Arial" w:hAnsi="Arial" w:cs="Arial"/>
          <w:sz w:val="20"/>
          <w:szCs w:val="20"/>
        </w:rPr>
        <w:t>Governments operate as monopolies</w:t>
      </w:r>
      <w:r w:rsidR="00F232B9" w:rsidRPr="00482722">
        <w:rPr>
          <w:rFonts w:ascii="Arial" w:hAnsi="Arial" w:cs="Arial"/>
          <w:sz w:val="20"/>
          <w:szCs w:val="20"/>
        </w:rPr>
        <w:t>;</w:t>
      </w:r>
      <w:r w:rsidRPr="00482722">
        <w:rPr>
          <w:rFonts w:ascii="Arial" w:hAnsi="Arial" w:cs="Arial"/>
          <w:sz w:val="20"/>
          <w:szCs w:val="20"/>
        </w:rPr>
        <w:t xml:space="preserve"> as such, they may not see the need to </w:t>
      </w:r>
      <w:r w:rsidR="00787B2D" w:rsidRPr="00482722">
        <w:rPr>
          <w:rFonts w:ascii="Arial" w:hAnsi="Arial" w:cs="Arial"/>
          <w:sz w:val="20"/>
          <w:szCs w:val="20"/>
        </w:rPr>
        <w:t>invest in</w:t>
      </w:r>
      <w:r w:rsidRPr="00482722">
        <w:rPr>
          <w:rFonts w:ascii="Arial" w:hAnsi="Arial" w:cs="Arial"/>
          <w:sz w:val="20"/>
          <w:szCs w:val="20"/>
        </w:rPr>
        <w:t xml:space="preserve"> compet</w:t>
      </w:r>
      <w:r w:rsidR="00787B2D" w:rsidRPr="00482722">
        <w:rPr>
          <w:rFonts w:ascii="Arial" w:hAnsi="Arial" w:cs="Arial"/>
          <w:sz w:val="20"/>
          <w:szCs w:val="20"/>
        </w:rPr>
        <w:t>ing</w:t>
      </w:r>
      <w:r w:rsidRPr="00482722">
        <w:rPr>
          <w:rFonts w:ascii="Arial" w:hAnsi="Arial" w:cs="Arial"/>
          <w:sz w:val="20"/>
          <w:szCs w:val="20"/>
        </w:rPr>
        <w:t xml:space="preserve"> with other providers, </w:t>
      </w:r>
      <w:r w:rsidR="00AA4E22" w:rsidRPr="00482722">
        <w:rPr>
          <w:rFonts w:ascii="Arial" w:hAnsi="Arial" w:cs="Arial"/>
          <w:sz w:val="20"/>
          <w:szCs w:val="20"/>
        </w:rPr>
        <w:t xml:space="preserve">as </w:t>
      </w:r>
      <w:r w:rsidRPr="00482722">
        <w:rPr>
          <w:rFonts w:ascii="Arial" w:hAnsi="Arial" w:cs="Arial"/>
          <w:sz w:val="20"/>
          <w:szCs w:val="20"/>
        </w:rPr>
        <w:t xml:space="preserve">is often the case in the field of e-commerce. Hence, establishing citizen loyalty to government services may not be viewed as desirable (Connolly et al. 2010; Davison et al., 2005). Nevertheless, the concept of e-loyalty is not limited to firms </w:t>
      </w:r>
      <w:r w:rsidR="00CB1F76" w:rsidRPr="00482722">
        <w:rPr>
          <w:rFonts w:ascii="Arial" w:hAnsi="Arial" w:cs="Arial"/>
          <w:sz w:val="20"/>
          <w:szCs w:val="20"/>
        </w:rPr>
        <w:t xml:space="preserve">that </w:t>
      </w:r>
      <w:r w:rsidR="00862A7D" w:rsidRPr="00482722">
        <w:rPr>
          <w:rFonts w:ascii="Arial" w:hAnsi="Arial" w:cs="Arial"/>
          <w:sz w:val="20"/>
          <w:szCs w:val="20"/>
        </w:rPr>
        <w:t>want to encourage</w:t>
      </w:r>
      <w:r w:rsidR="00CB1F76" w:rsidRPr="00482722">
        <w:rPr>
          <w:rFonts w:ascii="Arial" w:hAnsi="Arial" w:cs="Arial"/>
          <w:sz w:val="20"/>
          <w:szCs w:val="20"/>
        </w:rPr>
        <w:t xml:space="preserve"> </w:t>
      </w:r>
      <w:r w:rsidRPr="00482722">
        <w:rPr>
          <w:rFonts w:ascii="Arial" w:hAnsi="Arial" w:cs="Arial"/>
          <w:sz w:val="20"/>
          <w:szCs w:val="20"/>
        </w:rPr>
        <w:t>repeat purchasing behaviours in order to gain competitive advantage and growth</w:t>
      </w:r>
      <w:r w:rsidR="00862A7D" w:rsidRPr="00482722">
        <w:rPr>
          <w:rFonts w:ascii="Arial" w:hAnsi="Arial" w:cs="Arial"/>
          <w:sz w:val="20"/>
          <w:szCs w:val="20"/>
        </w:rPr>
        <w:t>:</w:t>
      </w:r>
      <w:r w:rsidR="00787B2D" w:rsidRPr="00482722">
        <w:rPr>
          <w:rFonts w:ascii="Arial" w:hAnsi="Arial" w:cs="Arial"/>
          <w:sz w:val="20"/>
          <w:szCs w:val="20"/>
        </w:rPr>
        <w:t xml:space="preserve"> it</w:t>
      </w:r>
      <w:r w:rsidRPr="00482722">
        <w:rPr>
          <w:rFonts w:ascii="Arial" w:hAnsi="Arial" w:cs="Arial"/>
          <w:sz w:val="20"/>
          <w:szCs w:val="20"/>
        </w:rPr>
        <w:t xml:space="preserve"> also focuses on understanding the </w:t>
      </w:r>
      <w:r w:rsidR="00994146" w:rsidRPr="00482722">
        <w:rPr>
          <w:rFonts w:ascii="Arial" w:hAnsi="Arial" w:cs="Arial"/>
          <w:sz w:val="20"/>
          <w:szCs w:val="20"/>
        </w:rPr>
        <w:t>behaviour of online service customers over time</w:t>
      </w:r>
      <w:r w:rsidRPr="00482722">
        <w:rPr>
          <w:rFonts w:ascii="Arial" w:hAnsi="Arial" w:cs="Arial"/>
          <w:sz w:val="20"/>
          <w:szCs w:val="20"/>
        </w:rPr>
        <w:t xml:space="preserve"> as an integrative concept in building</w:t>
      </w:r>
      <w:r w:rsidR="004F1B7E" w:rsidRPr="00482722">
        <w:rPr>
          <w:rFonts w:ascii="Arial" w:hAnsi="Arial" w:cs="Arial"/>
          <w:sz w:val="20"/>
          <w:szCs w:val="20"/>
        </w:rPr>
        <w:t xml:space="preserve"> the</w:t>
      </w:r>
      <w:r w:rsidRPr="00482722">
        <w:rPr>
          <w:rFonts w:ascii="Arial" w:hAnsi="Arial" w:cs="Arial"/>
          <w:sz w:val="20"/>
          <w:szCs w:val="20"/>
        </w:rPr>
        <w:t xml:space="preserve"> brand and reputation</w:t>
      </w:r>
      <w:r w:rsidR="004F1B7E" w:rsidRPr="00482722">
        <w:rPr>
          <w:rFonts w:ascii="Arial" w:hAnsi="Arial" w:cs="Arial"/>
          <w:sz w:val="20"/>
          <w:szCs w:val="20"/>
        </w:rPr>
        <w:t xml:space="preserve"> of services</w:t>
      </w:r>
      <w:r w:rsidRPr="00482722">
        <w:rPr>
          <w:rFonts w:ascii="Arial" w:hAnsi="Arial" w:cs="Arial"/>
          <w:sz w:val="20"/>
          <w:szCs w:val="20"/>
        </w:rPr>
        <w:t xml:space="preserve"> (</w:t>
      </w:r>
      <w:r w:rsidRPr="00482722">
        <w:rPr>
          <w:rFonts w:ascii="Arial" w:eastAsia="Times New Roman" w:hAnsi="Arial" w:cs="Arial"/>
          <w:sz w:val="20"/>
          <w:szCs w:val="20"/>
          <w:lang w:eastAsia="en-GB"/>
        </w:rPr>
        <w:t xml:space="preserve">Kaur et al., 2020; Zheng et al., 2015; </w:t>
      </w:r>
      <w:r w:rsidRPr="00482722">
        <w:rPr>
          <w:rFonts w:ascii="Arial" w:hAnsi="Arial" w:cs="Arial"/>
          <w:sz w:val="20"/>
          <w:szCs w:val="20"/>
        </w:rPr>
        <w:t xml:space="preserve">Chatfield </w:t>
      </w:r>
      <w:r w:rsidR="002D35B9" w:rsidRPr="00482722">
        <w:rPr>
          <w:rFonts w:ascii="Arial" w:hAnsi="Arial" w:cs="Arial"/>
          <w:sz w:val="20"/>
          <w:szCs w:val="20"/>
        </w:rPr>
        <w:t>and</w:t>
      </w:r>
      <w:r w:rsidRPr="00482722">
        <w:rPr>
          <w:rFonts w:ascii="Arial" w:hAnsi="Arial" w:cs="Arial"/>
          <w:sz w:val="20"/>
          <w:szCs w:val="20"/>
        </w:rPr>
        <w:t xml:space="preserve"> Alanazi, 2013; Cyr, 2008; Anderson </w:t>
      </w:r>
      <w:r w:rsidR="002D35B9" w:rsidRPr="00482722">
        <w:rPr>
          <w:rFonts w:ascii="Arial" w:hAnsi="Arial" w:cs="Arial"/>
          <w:sz w:val="20"/>
          <w:szCs w:val="20"/>
        </w:rPr>
        <w:t>and</w:t>
      </w:r>
      <w:r w:rsidRPr="00482722">
        <w:rPr>
          <w:rFonts w:ascii="Arial" w:hAnsi="Arial" w:cs="Arial"/>
          <w:sz w:val="20"/>
          <w:szCs w:val="20"/>
        </w:rPr>
        <w:t xml:space="preserve"> Srinivasan, 2003). Therefore, loyalty to e-government services can be characterised </w:t>
      </w:r>
      <w:r w:rsidR="00171615" w:rsidRPr="00482722">
        <w:rPr>
          <w:rFonts w:ascii="Arial" w:hAnsi="Arial" w:cs="Arial"/>
          <w:sz w:val="20"/>
          <w:szCs w:val="20"/>
        </w:rPr>
        <w:t xml:space="preserve">through </w:t>
      </w:r>
      <w:r w:rsidRPr="00482722">
        <w:rPr>
          <w:rFonts w:ascii="Arial" w:hAnsi="Arial" w:cs="Arial"/>
          <w:sz w:val="20"/>
          <w:szCs w:val="20"/>
        </w:rPr>
        <w:t>different forms of citizen commitment and retention</w:t>
      </w:r>
      <w:r w:rsidR="000E3D7B" w:rsidRPr="00482722">
        <w:rPr>
          <w:rFonts w:ascii="Arial" w:hAnsi="Arial" w:cs="Arial"/>
          <w:sz w:val="20"/>
          <w:szCs w:val="20"/>
        </w:rPr>
        <w:t xml:space="preserve">: (1) </w:t>
      </w:r>
      <w:r w:rsidR="008E595F" w:rsidRPr="00482722">
        <w:rPr>
          <w:rFonts w:ascii="Arial" w:hAnsi="Arial" w:cs="Arial"/>
          <w:sz w:val="20"/>
          <w:szCs w:val="20"/>
        </w:rPr>
        <w:t xml:space="preserve">favouring </w:t>
      </w:r>
      <w:r w:rsidR="00171615" w:rsidRPr="00482722">
        <w:rPr>
          <w:rFonts w:ascii="Arial" w:hAnsi="Arial" w:cs="Arial"/>
          <w:sz w:val="20"/>
          <w:szCs w:val="20"/>
        </w:rPr>
        <w:t>online</w:t>
      </w:r>
      <w:r w:rsidR="005E77B5" w:rsidRPr="00482722">
        <w:rPr>
          <w:rFonts w:ascii="Arial" w:hAnsi="Arial" w:cs="Arial"/>
          <w:sz w:val="20"/>
          <w:szCs w:val="20"/>
        </w:rPr>
        <w:t xml:space="preserve"> </w:t>
      </w:r>
      <w:r w:rsidRPr="00482722">
        <w:rPr>
          <w:rFonts w:ascii="Arial" w:hAnsi="Arial" w:cs="Arial"/>
          <w:sz w:val="20"/>
          <w:szCs w:val="20"/>
        </w:rPr>
        <w:t xml:space="preserve">use over other, more traditional </w:t>
      </w:r>
      <w:r w:rsidR="008E595F" w:rsidRPr="00482722">
        <w:rPr>
          <w:rFonts w:ascii="Arial" w:hAnsi="Arial" w:cs="Arial"/>
          <w:sz w:val="20"/>
          <w:szCs w:val="20"/>
        </w:rPr>
        <w:t xml:space="preserve">means </w:t>
      </w:r>
      <w:r w:rsidRPr="00482722">
        <w:rPr>
          <w:rFonts w:ascii="Arial" w:hAnsi="Arial" w:cs="Arial"/>
          <w:sz w:val="20"/>
          <w:szCs w:val="20"/>
        </w:rPr>
        <w:t>(e.g., in person or over the telephone) of government service delivery (Connolly et al. 2010; Davison et al., 2005)</w:t>
      </w:r>
      <w:r w:rsidR="000E3D7B" w:rsidRPr="00482722">
        <w:rPr>
          <w:rFonts w:ascii="Arial" w:hAnsi="Arial" w:cs="Arial"/>
          <w:sz w:val="20"/>
          <w:szCs w:val="20"/>
        </w:rPr>
        <w:t xml:space="preserve">; and (2) </w:t>
      </w:r>
      <w:r w:rsidRPr="00482722">
        <w:rPr>
          <w:rFonts w:ascii="Arial" w:hAnsi="Arial" w:cs="Arial"/>
          <w:sz w:val="20"/>
          <w:szCs w:val="20"/>
        </w:rPr>
        <w:t>becoming more interactive</w:t>
      </w:r>
      <w:r w:rsidR="003665B7" w:rsidRPr="00482722">
        <w:rPr>
          <w:rFonts w:ascii="Arial" w:hAnsi="Arial" w:cs="Arial"/>
          <w:sz w:val="20"/>
          <w:szCs w:val="20"/>
        </w:rPr>
        <w:t>,</w:t>
      </w:r>
      <w:r w:rsidRPr="00482722">
        <w:rPr>
          <w:rFonts w:ascii="Arial" w:hAnsi="Arial" w:cs="Arial"/>
          <w:sz w:val="20"/>
          <w:szCs w:val="20"/>
        </w:rPr>
        <w:t xml:space="preserve"> with positive beliefs and </w:t>
      </w:r>
      <w:r w:rsidR="003665B7" w:rsidRPr="00482722">
        <w:rPr>
          <w:rFonts w:ascii="Arial" w:hAnsi="Arial" w:cs="Arial"/>
          <w:sz w:val="20"/>
          <w:szCs w:val="20"/>
        </w:rPr>
        <w:t xml:space="preserve">emotions, </w:t>
      </w:r>
      <w:r w:rsidRPr="00482722">
        <w:rPr>
          <w:rFonts w:ascii="Arial" w:hAnsi="Arial" w:cs="Arial"/>
          <w:sz w:val="20"/>
          <w:szCs w:val="20"/>
        </w:rPr>
        <w:t>in relation to e-government initiatives and guidelines</w:t>
      </w:r>
      <w:r w:rsidR="003665B7" w:rsidRPr="00482722">
        <w:rPr>
          <w:rFonts w:ascii="Arial" w:hAnsi="Arial" w:cs="Arial"/>
          <w:sz w:val="20"/>
          <w:szCs w:val="20"/>
        </w:rPr>
        <w:t>;</w:t>
      </w:r>
      <w:r w:rsidR="005E77B5" w:rsidRPr="00482722">
        <w:rPr>
          <w:rFonts w:ascii="Arial" w:hAnsi="Arial" w:cs="Arial"/>
          <w:sz w:val="20"/>
          <w:szCs w:val="20"/>
        </w:rPr>
        <w:t xml:space="preserve"> </w:t>
      </w:r>
      <w:r w:rsidRPr="00482722">
        <w:rPr>
          <w:rFonts w:ascii="Arial" w:hAnsi="Arial" w:cs="Arial"/>
          <w:sz w:val="20"/>
          <w:szCs w:val="20"/>
        </w:rPr>
        <w:t xml:space="preserve">for example, recommending </w:t>
      </w:r>
      <w:r w:rsidR="005E77B5" w:rsidRPr="00482722">
        <w:rPr>
          <w:rFonts w:ascii="Arial" w:hAnsi="Arial" w:cs="Arial"/>
          <w:sz w:val="20"/>
          <w:szCs w:val="20"/>
        </w:rPr>
        <w:t>these services</w:t>
      </w:r>
      <w:r w:rsidRPr="00482722">
        <w:rPr>
          <w:rFonts w:ascii="Arial" w:hAnsi="Arial" w:cs="Arial"/>
          <w:sz w:val="20"/>
          <w:szCs w:val="20"/>
        </w:rPr>
        <w:t xml:space="preserve"> to others, participating in national </w:t>
      </w:r>
      <w:r w:rsidR="00C32DC7" w:rsidRPr="00482722">
        <w:rPr>
          <w:rFonts w:ascii="Arial" w:hAnsi="Arial" w:cs="Arial"/>
          <w:sz w:val="20"/>
          <w:szCs w:val="20"/>
        </w:rPr>
        <w:t xml:space="preserve">evaluation </w:t>
      </w:r>
      <w:r w:rsidRPr="00482722">
        <w:rPr>
          <w:rFonts w:ascii="Arial" w:hAnsi="Arial" w:cs="Arial"/>
          <w:sz w:val="20"/>
          <w:szCs w:val="20"/>
        </w:rPr>
        <w:t>survey</w:t>
      </w:r>
      <w:r w:rsidR="00C32DC7" w:rsidRPr="00482722">
        <w:rPr>
          <w:rFonts w:ascii="Arial" w:hAnsi="Arial" w:cs="Arial"/>
          <w:sz w:val="20"/>
          <w:szCs w:val="20"/>
        </w:rPr>
        <w:t>s</w:t>
      </w:r>
      <w:r w:rsidRPr="00482722">
        <w:rPr>
          <w:rFonts w:ascii="Arial" w:hAnsi="Arial" w:cs="Arial"/>
          <w:sz w:val="20"/>
          <w:szCs w:val="20"/>
        </w:rPr>
        <w:t>, and providing government agencies with comments and suggestions (Alzahrani et al., 2018).</w:t>
      </w:r>
    </w:p>
    <w:p w14:paraId="350D1144" w14:textId="7060E876" w:rsidR="00066A3C" w:rsidRPr="00482722" w:rsidRDefault="00066A3C" w:rsidP="00066A3C">
      <w:pPr>
        <w:spacing w:line="240" w:lineRule="auto"/>
        <w:jc w:val="both"/>
        <w:rPr>
          <w:rFonts w:ascii="Arial" w:hAnsi="Arial" w:cs="Arial"/>
          <w:sz w:val="20"/>
          <w:szCs w:val="20"/>
        </w:rPr>
      </w:pPr>
      <w:r w:rsidRPr="00482722">
        <w:rPr>
          <w:rFonts w:ascii="Arial" w:hAnsi="Arial" w:cs="Arial"/>
          <w:sz w:val="20"/>
          <w:szCs w:val="20"/>
        </w:rPr>
        <w:t>Further</w:t>
      </w:r>
      <w:r w:rsidR="00787B2D" w:rsidRPr="00482722">
        <w:rPr>
          <w:rFonts w:ascii="Arial" w:hAnsi="Arial" w:cs="Arial"/>
          <w:sz w:val="20"/>
          <w:szCs w:val="20"/>
        </w:rPr>
        <w:t>more</w:t>
      </w:r>
      <w:r w:rsidRPr="00482722">
        <w:rPr>
          <w:rFonts w:ascii="Arial" w:hAnsi="Arial" w:cs="Arial"/>
          <w:sz w:val="20"/>
          <w:szCs w:val="20"/>
        </w:rPr>
        <w:t>, the concept of competitive advantage is</w:t>
      </w:r>
      <w:r w:rsidR="00787B2D" w:rsidRPr="00482722">
        <w:rPr>
          <w:rFonts w:ascii="Arial" w:hAnsi="Arial" w:cs="Arial"/>
          <w:sz w:val="20"/>
          <w:szCs w:val="20"/>
        </w:rPr>
        <w:t xml:space="preserve"> </w:t>
      </w:r>
      <w:r w:rsidRPr="00482722">
        <w:rPr>
          <w:rFonts w:ascii="Arial" w:hAnsi="Arial" w:cs="Arial"/>
          <w:sz w:val="20"/>
          <w:szCs w:val="20"/>
        </w:rPr>
        <w:t xml:space="preserve">not </w:t>
      </w:r>
      <w:r w:rsidR="00B7141F" w:rsidRPr="00482722">
        <w:rPr>
          <w:rFonts w:ascii="Arial" w:hAnsi="Arial" w:cs="Arial"/>
          <w:sz w:val="20"/>
          <w:szCs w:val="20"/>
        </w:rPr>
        <w:t xml:space="preserve">entirely </w:t>
      </w:r>
      <w:r w:rsidRPr="00482722">
        <w:rPr>
          <w:rFonts w:ascii="Arial" w:hAnsi="Arial" w:cs="Arial"/>
          <w:sz w:val="20"/>
          <w:szCs w:val="20"/>
        </w:rPr>
        <w:t>absent from government agenda</w:t>
      </w:r>
      <w:r w:rsidR="00787B2D" w:rsidRPr="00482722">
        <w:rPr>
          <w:rFonts w:ascii="Arial" w:hAnsi="Arial" w:cs="Arial"/>
          <w:sz w:val="20"/>
          <w:szCs w:val="20"/>
        </w:rPr>
        <w:t>s</w:t>
      </w:r>
      <w:r w:rsidRPr="00482722">
        <w:rPr>
          <w:rFonts w:ascii="Arial" w:hAnsi="Arial" w:cs="Arial"/>
          <w:sz w:val="20"/>
          <w:szCs w:val="20"/>
        </w:rPr>
        <w:t xml:space="preserve">, </w:t>
      </w:r>
      <w:r w:rsidR="00B7141F" w:rsidRPr="00482722">
        <w:rPr>
          <w:rFonts w:ascii="Arial" w:hAnsi="Arial" w:cs="Arial"/>
          <w:sz w:val="20"/>
          <w:szCs w:val="20"/>
        </w:rPr>
        <w:t xml:space="preserve">because </w:t>
      </w:r>
      <w:r w:rsidRPr="00482722">
        <w:rPr>
          <w:rFonts w:ascii="Arial" w:hAnsi="Arial" w:cs="Arial"/>
          <w:sz w:val="20"/>
          <w:szCs w:val="20"/>
        </w:rPr>
        <w:t xml:space="preserve">government agencies </w:t>
      </w:r>
      <w:r w:rsidR="004E77B4" w:rsidRPr="00482722">
        <w:rPr>
          <w:rFonts w:ascii="Arial" w:hAnsi="Arial" w:cs="Arial"/>
          <w:sz w:val="20"/>
          <w:szCs w:val="20"/>
        </w:rPr>
        <w:t xml:space="preserve">are competing </w:t>
      </w:r>
      <w:r w:rsidRPr="00482722">
        <w:rPr>
          <w:rFonts w:ascii="Arial" w:hAnsi="Arial" w:cs="Arial"/>
          <w:sz w:val="20"/>
          <w:szCs w:val="20"/>
        </w:rPr>
        <w:t xml:space="preserve">with each other for excellence by providing </w:t>
      </w:r>
      <w:r w:rsidR="00994146" w:rsidRPr="00482722">
        <w:rPr>
          <w:rFonts w:ascii="Arial" w:hAnsi="Arial" w:cs="Arial"/>
          <w:sz w:val="20"/>
          <w:szCs w:val="20"/>
        </w:rPr>
        <w:t>a larger number of citizen-centric services</w:t>
      </w:r>
      <w:r w:rsidRPr="00482722">
        <w:rPr>
          <w:rFonts w:ascii="Arial" w:hAnsi="Arial" w:cs="Arial"/>
          <w:sz w:val="20"/>
          <w:szCs w:val="20"/>
        </w:rPr>
        <w:t>;</w:t>
      </w:r>
      <w:r w:rsidR="008E7598" w:rsidRPr="00482722">
        <w:rPr>
          <w:rFonts w:ascii="Arial" w:hAnsi="Arial" w:cs="Arial"/>
          <w:sz w:val="20"/>
          <w:szCs w:val="20"/>
        </w:rPr>
        <w:t xml:space="preserve"> therefore,</w:t>
      </w:r>
      <w:r w:rsidRPr="00482722">
        <w:rPr>
          <w:rFonts w:ascii="Arial" w:hAnsi="Arial" w:cs="Arial"/>
          <w:sz w:val="20"/>
          <w:szCs w:val="20"/>
        </w:rPr>
        <w:t xml:space="preserve"> citizen loyalty can be a key indicator of whether the services provided have achieved their goals (</w:t>
      </w:r>
      <w:r w:rsidRPr="00482722">
        <w:rPr>
          <w:rFonts w:ascii="Arial" w:eastAsia="Times New Roman" w:hAnsi="Arial" w:cs="Arial"/>
          <w:sz w:val="20"/>
          <w:szCs w:val="20"/>
          <w:lang w:eastAsia="en-GB"/>
        </w:rPr>
        <w:t>Şentürk, 2014</w:t>
      </w:r>
      <w:r w:rsidRPr="00482722">
        <w:rPr>
          <w:rFonts w:ascii="Arial" w:hAnsi="Arial" w:cs="Arial"/>
          <w:sz w:val="20"/>
          <w:szCs w:val="20"/>
        </w:rPr>
        <w:t xml:space="preserve">). At a </w:t>
      </w:r>
      <w:r w:rsidR="00693311" w:rsidRPr="00482722">
        <w:rPr>
          <w:rFonts w:ascii="Arial" w:hAnsi="Arial" w:cs="Arial"/>
          <w:sz w:val="20"/>
          <w:szCs w:val="20"/>
        </w:rPr>
        <w:t xml:space="preserve">global </w:t>
      </w:r>
      <w:r w:rsidRPr="00482722">
        <w:rPr>
          <w:rFonts w:ascii="Arial" w:hAnsi="Arial" w:cs="Arial"/>
          <w:sz w:val="20"/>
          <w:szCs w:val="20"/>
        </w:rPr>
        <w:t>level, governments also compete with each other in promoting</w:t>
      </w:r>
      <w:r w:rsidR="00017A33" w:rsidRPr="00482722">
        <w:rPr>
          <w:rFonts w:ascii="Arial" w:hAnsi="Arial" w:cs="Arial"/>
          <w:sz w:val="20"/>
          <w:szCs w:val="20"/>
        </w:rPr>
        <w:t xml:space="preserve"> their</w:t>
      </w:r>
      <w:r w:rsidRPr="00482722">
        <w:rPr>
          <w:rFonts w:ascii="Arial" w:hAnsi="Arial" w:cs="Arial"/>
          <w:sz w:val="20"/>
          <w:szCs w:val="20"/>
        </w:rPr>
        <w:t xml:space="preserve"> e-government services and obtaining higher rankings in the international indices </w:t>
      </w:r>
      <w:r w:rsidR="00017A33" w:rsidRPr="00482722">
        <w:rPr>
          <w:rFonts w:ascii="Arial" w:hAnsi="Arial" w:cs="Arial"/>
          <w:sz w:val="20"/>
          <w:szCs w:val="20"/>
        </w:rPr>
        <w:t xml:space="preserve">for </w:t>
      </w:r>
      <w:r w:rsidRPr="00482722">
        <w:rPr>
          <w:rFonts w:ascii="Arial" w:hAnsi="Arial" w:cs="Arial"/>
          <w:sz w:val="20"/>
          <w:szCs w:val="20"/>
        </w:rPr>
        <w:t xml:space="preserve">e-government development (Davison et al., 2005). Hence, the full interaction of citizens with the e-government services </w:t>
      </w:r>
      <w:r w:rsidR="00017A33" w:rsidRPr="00482722">
        <w:rPr>
          <w:rFonts w:ascii="Arial" w:hAnsi="Arial" w:cs="Arial"/>
          <w:sz w:val="20"/>
          <w:szCs w:val="20"/>
        </w:rPr>
        <w:t>on offer</w:t>
      </w:r>
      <w:r w:rsidR="00056A44" w:rsidRPr="00482722">
        <w:rPr>
          <w:rFonts w:ascii="Arial" w:hAnsi="Arial" w:cs="Arial"/>
          <w:sz w:val="20"/>
          <w:szCs w:val="20"/>
        </w:rPr>
        <w:t>,</w:t>
      </w:r>
      <w:r w:rsidRPr="00482722">
        <w:rPr>
          <w:rFonts w:ascii="Arial" w:hAnsi="Arial" w:cs="Arial"/>
          <w:sz w:val="20"/>
          <w:szCs w:val="20"/>
        </w:rPr>
        <w:t xml:space="preserve"> </w:t>
      </w:r>
      <w:r w:rsidR="00511173" w:rsidRPr="00482722">
        <w:rPr>
          <w:rFonts w:ascii="Arial" w:hAnsi="Arial" w:cs="Arial"/>
          <w:sz w:val="20"/>
          <w:szCs w:val="20"/>
        </w:rPr>
        <w:t xml:space="preserve">including </w:t>
      </w:r>
      <w:r w:rsidRPr="00482722">
        <w:rPr>
          <w:rFonts w:ascii="Arial" w:hAnsi="Arial" w:cs="Arial"/>
          <w:sz w:val="20"/>
          <w:szCs w:val="20"/>
        </w:rPr>
        <w:t xml:space="preserve">support </w:t>
      </w:r>
      <w:r w:rsidR="00017A33" w:rsidRPr="00482722">
        <w:rPr>
          <w:rFonts w:ascii="Arial" w:hAnsi="Arial" w:cs="Arial"/>
          <w:sz w:val="20"/>
          <w:szCs w:val="20"/>
        </w:rPr>
        <w:t>in the form of</w:t>
      </w:r>
      <w:r w:rsidR="00CA7F82" w:rsidRPr="00482722">
        <w:rPr>
          <w:rFonts w:ascii="Arial" w:hAnsi="Arial" w:cs="Arial"/>
          <w:sz w:val="20"/>
          <w:szCs w:val="20"/>
        </w:rPr>
        <w:t xml:space="preserve"> </w:t>
      </w:r>
      <w:r w:rsidR="00511173" w:rsidRPr="00482722">
        <w:rPr>
          <w:rFonts w:ascii="Arial" w:hAnsi="Arial" w:cs="Arial"/>
          <w:sz w:val="20"/>
          <w:szCs w:val="20"/>
        </w:rPr>
        <w:t>providing</w:t>
      </w:r>
      <w:r w:rsidR="00657DA5" w:rsidRPr="00482722">
        <w:rPr>
          <w:rFonts w:ascii="Arial" w:hAnsi="Arial" w:cs="Arial"/>
          <w:sz w:val="20"/>
          <w:szCs w:val="20"/>
        </w:rPr>
        <w:t xml:space="preserve"> </w:t>
      </w:r>
      <w:r w:rsidR="00994146" w:rsidRPr="00482722">
        <w:rPr>
          <w:rFonts w:ascii="Arial" w:hAnsi="Arial" w:cs="Arial"/>
          <w:sz w:val="20"/>
          <w:szCs w:val="20"/>
        </w:rPr>
        <w:t>helpful</w:t>
      </w:r>
      <w:r w:rsidRPr="00482722">
        <w:rPr>
          <w:rFonts w:ascii="Arial" w:hAnsi="Arial" w:cs="Arial"/>
          <w:sz w:val="20"/>
          <w:szCs w:val="20"/>
        </w:rPr>
        <w:t xml:space="preserve"> and continuous </w:t>
      </w:r>
      <w:r w:rsidR="00994146" w:rsidRPr="00482722">
        <w:rPr>
          <w:rFonts w:ascii="Arial" w:hAnsi="Arial" w:cs="Arial"/>
          <w:sz w:val="20"/>
          <w:szCs w:val="20"/>
        </w:rPr>
        <w:t xml:space="preserve">feedback </w:t>
      </w:r>
      <w:r w:rsidRPr="00482722">
        <w:rPr>
          <w:rFonts w:ascii="Arial" w:hAnsi="Arial" w:cs="Arial"/>
          <w:sz w:val="20"/>
          <w:szCs w:val="20"/>
        </w:rPr>
        <w:t>and recommendations</w:t>
      </w:r>
      <w:r w:rsidR="00056A44" w:rsidRPr="00482722">
        <w:rPr>
          <w:rFonts w:ascii="Arial" w:hAnsi="Arial" w:cs="Arial"/>
          <w:sz w:val="20"/>
          <w:szCs w:val="20"/>
        </w:rPr>
        <w:t>,</w:t>
      </w:r>
      <w:r w:rsidR="00787B2D" w:rsidRPr="00482722">
        <w:rPr>
          <w:rFonts w:ascii="Arial" w:hAnsi="Arial" w:cs="Arial"/>
          <w:sz w:val="20"/>
          <w:szCs w:val="20"/>
        </w:rPr>
        <w:t xml:space="preserve"> is one of the </w:t>
      </w:r>
      <w:r w:rsidR="004B2B94" w:rsidRPr="00482722">
        <w:rPr>
          <w:rFonts w:ascii="Arial" w:hAnsi="Arial" w:cs="Arial"/>
          <w:sz w:val="20"/>
          <w:szCs w:val="20"/>
        </w:rPr>
        <w:t>key</w:t>
      </w:r>
      <w:r w:rsidR="00787B2D" w:rsidRPr="00482722">
        <w:rPr>
          <w:rFonts w:ascii="Arial" w:hAnsi="Arial" w:cs="Arial"/>
          <w:sz w:val="20"/>
          <w:szCs w:val="20"/>
        </w:rPr>
        <w:t xml:space="preserve"> </w:t>
      </w:r>
      <w:r w:rsidR="0097193D" w:rsidRPr="00482722">
        <w:rPr>
          <w:rFonts w:ascii="Arial" w:hAnsi="Arial" w:cs="Arial"/>
          <w:sz w:val="20"/>
          <w:szCs w:val="20"/>
        </w:rPr>
        <w:t>re</w:t>
      </w:r>
      <w:r w:rsidR="00787B2D" w:rsidRPr="00482722">
        <w:rPr>
          <w:rFonts w:ascii="Arial" w:hAnsi="Arial" w:cs="Arial"/>
          <w:sz w:val="20"/>
          <w:szCs w:val="20"/>
        </w:rPr>
        <w:t xml:space="preserve">sources </w:t>
      </w:r>
      <w:r w:rsidR="0097193D" w:rsidRPr="00482722">
        <w:rPr>
          <w:rFonts w:ascii="Arial" w:hAnsi="Arial" w:cs="Arial"/>
          <w:sz w:val="20"/>
          <w:szCs w:val="20"/>
        </w:rPr>
        <w:t>for</w:t>
      </w:r>
      <w:r w:rsidR="004B2B94" w:rsidRPr="00482722">
        <w:rPr>
          <w:rFonts w:ascii="Arial" w:hAnsi="Arial" w:cs="Arial"/>
          <w:sz w:val="20"/>
          <w:szCs w:val="20"/>
        </w:rPr>
        <w:t xml:space="preserve"> </w:t>
      </w:r>
      <w:r w:rsidR="00787B2D" w:rsidRPr="00482722">
        <w:rPr>
          <w:rFonts w:ascii="Arial" w:hAnsi="Arial" w:cs="Arial"/>
          <w:sz w:val="20"/>
          <w:szCs w:val="20"/>
        </w:rPr>
        <w:t xml:space="preserve">developing e-government services in a professional manner that raises the reputation of </w:t>
      </w:r>
      <w:r w:rsidR="00883627" w:rsidRPr="00482722">
        <w:rPr>
          <w:rFonts w:ascii="Arial" w:hAnsi="Arial" w:cs="Arial"/>
          <w:sz w:val="20"/>
          <w:szCs w:val="20"/>
        </w:rPr>
        <w:t xml:space="preserve">a </w:t>
      </w:r>
      <w:r w:rsidR="00787B2D" w:rsidRPr="00482722">
        <w:rPr>
          <w:rFonts w:ascii="Arial" w:hAnsi="Arial" w:cs="Arial"/>
          <w:sz w:val="20"/>
          <w:szCs w:val="20"/>
        </w:rPr>
        <w:t>government agency</w:t>
      </w:r>
      <w:r w:rsidR="00657DA5" w:rsidRPr="00482722">
        <w:rPr>
          <w:rFonts w:ascii="Arial" w:hAnsi="Arial" w:cs="Arial"/>
          <w:sz w:val="20"/>
          <w:szCs w:val="20"/>
        </w:rPr>
        <w:t>;</w:t>
      </w:r>
      <w:r w:rsidRPr="00482722">
        <w:rPr>
          <w:rFonts w:ascii="Arial" w:hAnsi="Arial" w:cs="Arial"/>
          <w:sz w:val="20"/>
          <w:szCs w:val="20"/>
        </w:rPr>
        <w:t xml:space="preserve"> this </w:t>
      </w:r>
      <w:r w:rsidR="00787B2D" w:rsidRPr="00482722">
        <w:rPr>
          <w:rFonts w:ascii="Arial" w:hAnsi="Arial" w:cs="Arial"/>
          <w:sz w:val="20"/>
          <w:szCs w:val="20"/>
        </w:rPr>
        <w:t>cannot be achieved</w:t>
      </w:r>
      <w:r w:rsidRPr="00482722">
        <w:rPr>
          <w:rFonts w:ascii="Arial" w:hAnsi="Arial" w:cs="Arial"/>
          <w:sz w:val="20"/>
          <w:szCs w:val="20"/>
        </w:rPr>
        <w:t xml:space="preserve"> if the level of e-loyalty to th</w:t>
      </w:r>
      <w:r w:rsidR="00336006" w:rsidRPr="00482722">
        <w:rPr>
          <w:rFonts w:ascii="Arial" w:hAnsi="Arial" w:cs="Arial"/>
          <w:sz w:val="20"/>
          <w:szCs w:val="20"/>
        </w:rPr>
        <w:t>e</w:t>
      </w:r>
      <w:r w:rsidRPr="00482722">
        <w:rPr>
          <w:rFonts w:ascii="Arial" w:hAnsi="Arial" w:cs="Arial"/>
          <w:sz w:val="20"/>
          <w:szCs w:val="20"/>
        </w:rPr>
        <w:t xml:space="preserve"> agency is low.</w:t>
      </w:r>
    </w:p>
    <w:p w14:paraId="515C2449" w14:textId="5A089722" w:rsidR="00066A3C" w:rsidRPr="00482722" w:rsidRDefault="00336006" w:rsidP="00066A3C">
      <w:pPr>
        <w:spacing w:line="240" w:lineRule="auto"/>
        <w:jc w:val="both"/>
        <w:rPr>
          <w:rFonts w:ascii="Arial" w:hAnsi="Arial" w:cs="Arial"/>
          <w:sz w:val="20"/>
          <w:szCs w:val="20"/>
        </w:rPr>
      </w:pPr>
      <w:r w:rsidRPr="00482722">
        <w:rPr>
          <w:rFonts w:ascii="Arial" w:hAnsi="Arial" w:cs="Arial"/>
          <w:sz w:val="20"/>
          <w:szCs w:val="20"/>
        </w:rPr>
        <w:lastRenderedPageBreak/>
        <w:t xml:space="preserve">In </w:t>
      </w:r>
      <w:r w:rsidR="00066A3C" w:rsidRPr="00482722">
        <w:rPr>
          <w:rFonts w:ascii="Arial" w:hAnsi="Arial" w:cs="Arial"/>
          <w:sz w:val="20"/>
          <w:szCs w:val="20"/>
        </w:rPr>
        <w:t xml:space="preserve">the context of e-government, despite the importance of e-loyalty in explaining citizen retention </w:t>
      </w:r>
      <w:r w:rsidR="000C1659" w:rsidRPr="00482722">
        <w:rPr>
          <w:rFonts w:ascii="Arial" w:hAnsi="Arial" w:cs="Arial"/>
          <w:sz w:val="20"/>
          <w:szCs w:val="20"/>
        </w:rPr>
        <w:t>with regard</w:t>
      </w:r>
      <w:r w:rsidR="00066A3C" w:rsidRPr="00482722">
        <w:rPr>
          <w:rFonts w:ascii="Arial" w:hAnsi="Arial" w:cs="Arial"/>
          <w:sz w:val="20"/>
          <w:szCs w:val="20"/>
        </w:rPr>
        <w:t xml:space="preserve"> to the services provided and to government agencies, </w:t>
      </w:r>
      <w:r w:rsidR="00825F52" w:rsidRPr="00482722">
        <w:rPr>
          <w:rFonts w:ascii="Arial" w:hAnsi="Arial" w:cs="Arial"/>
          <w:sz w:val="20"/>
          <w:szCs w:val="20"/>
        </w:rPr>
        <w:t xml:space="preserve">only a </w:t>
      </w:r>
      <w:r w:rsidR="00066A3C" w:rsidRPr="00482722">
        <w:rPr>
          <w:rFonts w:ascii="Arial" w:hAnsi="Arial" w:cs="Arial"/>
          <w:sz w:val="20"/>
          <w:szCs w:val="20"/>
        </w:rPr>
        <w:t xml:space="preserve">few studies have investigated the role </w:t>
      </w:r>
      <w:r w:rsidR="00C32B34" w:rsidRPr="00482722">
        <w:rPr>
          <w:rFonts w:ascii="Arial" w:hAnsi="Arial" w:cs="Arial"/>
          <w:sz w:val="20"/>
          <w:szCs w:val="20"/>
        </w:rPr>
        <w:t>of</w:t>
      </w:r>
      <w:r w:rsidR="00066A3C" w:rsidRPr="00482722">
        <w:rPr>
          <w:rFonts w:ascii="Arial" w:hAnsi="Arial" w:cs="Arial"/>
          <w:sz w:val="20"/>
          <w:szCs w:val="20"/>
        </w:rPr>
        <w:t xml:space="preserve"> citizen loyalty in explaining service retention behaviours. In this regard, Morgeson III (2011) </w:t>
      </w:r>
      <w:r w:rsidR="00994146" w:rsidRPr="00482722">
        <w:rPr>
          <w:rFonts w:ascii="Arial" w:hAnsi="Arial" w:cs="Arial"/>
          <w:sz w:val="20"/>
          <w:szCs w:val="20"/>
        </w:rPr>
        <w:t xml:space="preserve">investigated the role of a set of website qualities </w:t>
      </w:r>
      <w:r w:rsidR="00066A3C" w:rsidRPr="00482722">
        <w:rPr>
          <w:rFonts w:ascii="Arial" w:hAnsi="Arial" w:cs="Arial"/>
          <w:sz w:val="20"/>
          <w:szCs w:val="20"/>
        </w:rPr>
        <w:t xml:space="preserve">in determining user satisfaction and loyalty across the e-government and e-commerce domains in the </w:t>
      </w:r>
      <w:r w:rsidR="00C32B34" w:rsidRPr="00482722">
        <w:rPr>
          <w:rFonts w:ascii="Arial" w:hAnsi="Arial" w:cs="Arial"/>
          <w:sz w:val="20"/>
          <w:szCs w:val="20"/>
        </w:rPr>
        <w:t>United States (</w:t>
      </w:r>
      <w:r w:rsidR="00066A3C" w:rsidRPr="00482722">
        <w:rPr>
          <w:rFonts w:ascii="Arial" w:hAnsi="Arial" w:cs="Arial"/>
          <w:sz w:val="20"/>
          <w:szCs w:val="20"/>
        </w:rPr>
        <w:t>US</w:t>
      </w:r>
      <w:r w:rsidR="00C32B34" w:rsidRPr="00482722">
        <w:rPr>
          <w:rFonts w:ascii="Arial" w:hAnsi="Arial" w:cs="Arial"/>
          <w:sz w:val="20"/>
          <w:szCs w:val="20"/>
        </w:rPr>
        <w:t>)</w:t>
      </w:r>
      <w:r w:rsidR="00066A3C" w:rsidRPr="00482722">
        <w:rPr>
          <w:rFonts w:ascii="Arial" w:hAnsi="Arial" w:cs="Arial"/>
          <w:sz w:val="20"/>
          <w:szCs w:val="20"/>
        </w:rPr>
        <w:t xml:space="preserve">. Their study revealed </w:t>
      </w:r>
      <w:r w:rsidR="00C6000D" w:rsidRPr="00482722">
        <w:rPr>
          <w:rFonts w:ascii="Arial" w:hAnsi="Arial" w:cs="Arial"/>
          <w:sz w:val="20"/>
          <w:szCs w:val="20"/>
        </w:rPr>
        <w:t xml:space="preserve">that the </w:t>
      </w:r>
      <w:r w:rsidR="00066A3C" w:rsidRPr="00482722">
        <w:rPr>
          <w:rFonts w:ascii="Arial" w:hAnsi="Arial" w:cs="Arial"/>
          <w:sz w:val="20"/>
          <w:szCs w:val="20"/>
        </w:rPr>
        <w:t xml:space="preserve">website qualities </w:t>
      </w:r>
      <w:r w:rsidR="00C6000D" w:rsidRPr="00482722">
        <w:rPr>
          <w:rFonts w:ascii="Arial" w:hAnsi="Arial" w:cs="Arial"/>
          <w:sz w:val="20"/>
          <w:szCs w:val="20"/>
        </w:rPr>
        <w:t xml:space="preserve">had similar effects </w:t>
      </w:r>
      <w:r w:rsidR="00066A3C" w:rsidRPr="00482722">
        <w:rPr>
          <w:rFonts w:ascii="Arial" w:hAnsi="Arial" w:cs="Arial"/>
          <w:sz w:val="20"/>
          <w:szCs w:val="20"/>
        </w:rPr>
        <w:t xml:space="preserve">on the relationship between satisfaction and loyalty </w:t>
      </w:r>
      <w:r w:rsidR="00C6796D" w:rsidRPr="00482722">
        <w:rPr>
          <w:rFonts w:ascii="Arial" w:hAnsi="Arial" w:cs="Arial"/>
          <w:sz w:val="20"/>
          <w:szCs w:val="20"/>
        </w:rPr>
        <w:t xml:space="preserve">with </w:t>
      </w:r>
      <w:r w:rsidR="00066A3C" w:rsidRPr="00482722">
        <w:rPr>
          <w:rFonts w:ascii="Arial" w:hAnsi="Arial" w:cs="Arial"/>
          <w:sz w:val="20"/>
          <w:szCs w:val="20"/>
        </w:rPr>
        <w:t xml:space="preserve">regard to user experiences </w:t>
      </w:r>
      <w:r w:rsidR="00C6796D" w:rsidRPr="00482722">
        <w:rPr>
          <w:rFonts w:ascii="Arial" w:hAnsi="Arial" w:cs="Arial"/>
          <w:sz w:val="20"/>
          <w:szCs w:val="20"/>
        </w:rPr>
        <w:t xml:space="preserve">of </w:t>
      </w:r>
      <w:r w:rsidR="00066A3C" w:rsidRPr="00482722">
        <w:rPr>
          <w:rFonts w:ascii="Arial" w:hAnsi="Arial" w:cs="Arial"/>
          <w:sz w:val="20"/>
          <w:szCs w:val="20"/>
        </w:rPr>
        <w:t>e-commerce and e-government websites</w:t>
      </w:r>
      <w:r w:rsidR="008B5D1C" w:rsidRPr="00482722">
        <w:rPr>
          <w:rFonts w:ascii="Arial" w:hAnsi="Arial" w:cs="Arial"/>
          <w:sz w:val="20"/>
          <w:szCs w:val="20"/>
        </w:rPr>
        <w:t xml:space="preserve">. It also </w:t>
      </w:r>
      <w:r w:rsidR="00066A3C" w:rsidRPr="00482722">
        <w:rPr>
          <w:rFonts w:ascii="Arial" w:hAnsi="Arial" w:cs="Arial"/>
          <w:sz w:val="20"/>
          <w:szCs w:val="20"/>
        </w:rPr>
        <w:t>reveal</w:t>
      </w:r>
      <w:r w:rsidR="008B5D1C" w:rsidRPr="00482722">
        <w:rPr>
          <w:rFonts w:ascii="Arial" w:hAnsi="Arial" w:cs="Arial"/>
          <w:sz w:val="20"/>
          <w:szCs w:val="20"/>
        </w:rPr>
        <w:t>ed</w:t>
      </w:r>
      <w:r w:rsidR="00066A3C" w:rsidRPr="00482722">
        <w:rPr>
          <w:rFonts w:ascii="Arial" w:hAnsi="Arial" w:cs="Arial"/>
          <w:sz w:val="20"/>
          <w:szCs w:val="20"/>
        </w:rPr>
        <w:t xml:space="preserve"> that such qualities had a stronger effect on user satisfaction in the e-government domain</w:t>
      </w:r>
      <w:r w:rsidR="00C6000D" w:rsidRPr="00482722">
        <w:rPr>
          <w:rFonts w:ascii="Arial" w:hAnsi="Arial" w:cs="Arial"/>
          <w:sz w:val="20"/>
          <w:szCs w:val="20"/>
        </w:rPr>
        <w:t xml:space="preserve"> than in</w:t>
      </w:r>
      <w:r w:rsidR="00066A3C" w:rsidRPr="00482722">
        <w:rPr>
          <w:rFonts w:ascii="Arial" w:hAnsi="Arial" w:cs="Arial"/>
          <w:sz w:val="20"/>
          <w:szCs w:val="20"/>
        </w:rPr>
        <w:t xml:space="preserve"> the e-commerce </w:t>
      </w:r>
      <w:r w:rsidR="00C32B34" w:rsidRPr="00482722">
        <w:rPr>
          <w:rFonts w:ascii="Arial" w:hAnsi="Arial" w:cs="Arial"/>
          <w:sz w:val="20"/>
          <w:szCs w:val="20"/>
        </w:rPr>
        <w:t>domain</w:t>
      </w:r>
      <w:r w:rsidR="00066A3C" w:rsidRPr="00482722">
        <w:rPr>
          <w:rFonts w:ascii="Arial" w:hAnsi="Arial" w:cs="Arial"/>
          <w:sz w:val="20"/>
          <w:szCs w:val="20"/>
        </w:rPr>
        <w:t xml:space="preserve">. However, Morgeson III (2011) did not directly adopt loyalty in the model; intention to use </w:t>
      </w:r>
      <w:r w:rsidR="00C32B34" w:rsidRPr="00482722">
        <w:rPr>
          <w:rFonts w:ascii="Arial" w:hAnsi="Arial" w:cs="Arial"/>
          <w:sz w:val="20"/>
          <w:szCs w:val="20"/>
        </w:rPr>
        <w:t xml:space="preserve">was </w:t>
      </w:r>
      <w:r w:rsidR="00D66D18" w:rsidRPr="00482722">
        <w:rPr>
          <w:rFonts w:ascii="Arial" w:hAnsi="Arial" w:cs="Arial"/>
          <w:sz w:val="20"/>
          <w:szCs w:val="20"/>
        </w:rPr>
        <w:t xml:space="preserve">included </w:t>
      </w:r>
      <w:r w:rsidR="00066A3C" w:rsidRPr="00482722">
        <w:rPr>
          <w:rFonts w:ascii="Arial" w:hAnsi="Arial" w:cs="Arial"/>
          <w:sz w:val="20"/>
          <w:szCs w:val="20"/>
        </w:rPr>
        <w:t>as an alternative measure.</w:t>
      </w:r>
    </w:p>
    <w:p w14:paraId="60EAA5FF" w14:textId="5B247712" w:rsidR="00FF058B" w:rsidRPr="00482722" w:rsidRDefault="00FF058B" w:rsidP="00066A3C">
      <w:pPr>
        <w:spacing w:line="240" w:lineRule="auto"/>
        <w:jc w:val="both"/>
        <w:rPr>
          <w:rFonts w:ascii="Arial" w:hAnsi="Arial" w:cs="Arial"/>
          <w:sz w:val="20"/>
          <w:szCs w:val="20"/>
        </w:rPr>
      </w:pPr>
      <w:r w:rsidRPr="00482722">
        <w:rPr>
          <w:rFonts w:ascii="Arial" w:hAnsi="Arial" w:cs="Arial"/>
          <w:sz w:val="20"/>
          <w:szCs w:val="20"/>
        </w:rPr>
        <w:t>Cyr (2008) examined the relationship between website quality, trust, satisfaction, and loyalty</w:t>
      </w:r>
      <w:r w:rsidR="00496953" w:rsidRPr="00482722">
        <w:rPr>
          <w:rFonts w:ascii="Arial" w:hAnsi="Arial" w:cs="Arial"/>
          <w:sz w:val="20"/>
          <w:szCs w:val="20"/>
        </w:rPr>
        <w:t>, and</w:t>
      </w:r>
      <w:r w:rsidRPr="00482722">
        <w:rPr>
          <w:rFonts w:ascii="Arial" w:hAnsi="Arial" w:cs="Arial"/>
          <w:sz w:val="20"/>
          <w:szCs w:val="20"/>
        </w:rPr>
        <w:t xml:space="preserve"> suggested that, across cultures, design quality should be a central consideration in websites </w:t>
      </w:r>
      <w:r w:rsidR="00543B72" w:rsidRPr="00482722">
        <w:rPr>
          <w:rFonts w:ascii="Arial" w:hAnsi="Arial" w:cs="Arial"/>
          <w:sz w:val="20"/>
          <w:szCs w:val="20"/>
        </w:rPr>
        <w:t>for the purpose of</w:t>
      </w:r>
      <w:r w:rsidRPr="00482722">
        <w:rPr>
          <w:rFonts w:ascii="Arial" w:hAnsi="Arial" w:cs="Arial"/>
          <w:sz w:val="20"/>
          <w:szCs w:val="20"/>
        </w:rPr>
        <w:t xml:space="preserve"> increas</w:t>
      </w:r>
      <w:r w:rsidR="00543B72" w:rsidRPr="00482722">
        <w:rPr>
          <w:rFonts w:ascii="Arial" w:hAnsi="Arial" w:cs="Arial"/>
          <w:sz w:val="20"/>
          <w:szCs w:val="20"/>
        </w:rPr>
        <w:t>ing</w:t>
      </w:r>
      <w:r w:rsidRPr="00482722">
        <w:rPr>
          <w:rFonts w:ascii="Arial" w:hAnsi="Arial" w:cs="Arial"/>
          <w:sz w:val="20"/>
          <w:szCs w:val="20"/>
        </w:rPr>
        <w:t xml:space="preserve"> trust, satisfaction, and</w:t>
      </w:r>
      <w:r w:rsidR="00F44A6D" w:rsidRPr="00482722">
        <w:rPr>
          <w:rFonts w:ascii="Arial" w:hAnsi="Arial" w:cs="Arial"/>
          <w:sz w:val="20"/>
          <w:szCs w:val="20"/>
        </w:rPr>
        <w:t>,</w:t>
      </w:r>
      <w:r w:rsidRPr="00482722">
        <w:rPr>
          <w:rFonts w:ascii="Arial" w:hAnsi="Arial" w:cs="Arial"/>
          <w:sz w:val="20"/>
          <w:szCs w:val="20"/>
        </w:rPr>
        <w:t xml:space="preserve"> ultimately, customer loyalty. Choi (2015) compared the role</w:t>
      </w:r>
      <w:r w:rsidR="00543B72" w:rsidRPr="00482722">
        <w:rPr>
          <w:rFonts w:ascii="Arial" w:hAnsi="Arial" w:cs="Arial"/>
          <w:sz w:val="20"/>
          <w:szCs w:val="20"/>
        </w:rPr>
        <w:t>s</w:t>
      </w:r>
      <w:r w:rsidRPr="00482722">
        <w:rPr>
          <w:rFonts w:ascii="Arial" w:hAnsi="Arial" w:cs="Arial"/>
          <w:sz w:val="20"/>
          <w:szCs w:val="20"/>
        </w:rPr>
        <w:t xml:space="preserve"> </w:t>
      </w:r>
      <w:r w:rsidR="00C32B34" w:rsidRPr="00482722">
        <w:rPr>
          <w:rFonts w:ascii="Arial" w:hAnsi="Arial" w:cs="Arial"/>
          <w:sz w:val="20"/>
          <w:szCs w:val="20"/>
        </w:rPr>
        <w:t xml:space="preserve">of </w:t>
      </w:r>
      <w:r w:rsidRPr="00482722">
        <w:rPr>
          <w:rFonts w:ascii="Arial" w:hAnsi="Arial" w:cs="Arial"/>
          <w:sz w:val="20"/>
          <w:szCs w:val="20"/>
        </w:rPr>
        <w:t xml:space="preserve">satisfaction and loyalty in </w:t>
      </w:r>
      <w:r w:rsidR="00234B29" w:rsidRPr="00482722">
        <w:rPr>
          <w:rFonts w:ascii="Arial" w:hAnsi="Arial" w:cs="Arial"/>
          <w:sz w:val="20"/>
          <w:szCs w:val="20"/>
        </w:rPr>
        <w:t xml:space="preserve">consumer </w:t>
      </w:r>
      <w:r w:rsidRPr="00482722">
        <w:rPr>
          <w:rFonts w:ascii="Arial" w:hAnsi="Arial" w:cs="Arial"/>
          <w:sz w:val="20"/>
          <w:szCs w:val="20"/>
        </w:rPr>
        <w:t>choice</w:t>
      </w:r>
      <w:r w:rsidR="00543B72" w:rsidRPr="00482722">
        <w:rPr>
          <w:rFonts w:ascii="Arial" w:hAnsi="Arial" w:cs="Arial"/>
          <w:sz w:val="20"/>
          <w:szCs w:val="20"/>
        </w:rPr>
        <w:t>s</w:t>
      </w:r>
      <w:r w:rsidRPr="00482722">
        <w:rPr>
          <w:rFonts w:ascii="Arial" w:hAnsi="Arial" w:cs="Arial"/>
          <w:sz w:val="20"/>
          <w:szCs w:val="20"/>
        </w:rPr>
        <w:t xml:space="preserve"> of web browsers</w:t>
      </w:r>
      <w:r w:rsidR="00C32B34" w:rsidRPr="00482722">
        <w:rPr>
          <w:rFonts w:ascii="Arial" w:hAnsi="Arial" w:cs="Arial"/>
          <w:sz w:val="20"/>
          <w:szCs w:val="20"/>
        </w:rPr>
        <w:t>. The author</w:t>
      </w:r>
      <w:r w:rsidRPr="00482722">
        <w:rPr>
          <w:rFonts w:ascii="Arial" w:hAnsi="Arial" w:cs="Arial"/>
          <w:sz w:val="20"/>
          <w:szCs w:val="20"/>
        </w:rPr>
        <w:t xml:space="preserve"> found that loyalty has a stronger power than satisfaction in explaining user retention behaviours, while </w:t>
      </w:r>
      <w:r w:rsidR="00234B29" w:rsidRPr="00482722">
        <w:rPr>
          <w:rFonts w:ascii="Arial" w:hAnsi="Arial" w:cs="Arial"/>
          <w:sz w:val="20"/>
          <w:szCs w:val="20"/>
        </w:rPr>
        <w:t>suggesting</w:t>
      </w:r>
      <w:r w:rsidRPr="00482722">
        <w:rPr>
          <w:rFonts w:ascii="Arial" w:hAnsi="Arial" w:cs="Arial"/>
          <w:sz w:val="20"/>
          <w:szCs w:val="20"/>
        </w:rPr>
        <w:t xml:space="preserve"> that </w:t>
      </w:r>
      <w:r w:rsidR="00234B29" w:rsidRPr="00482722">
        <w:rPr>
          <w:rFonts w:ascii="Arial" w:hAnsi="Arial" w:cs="Arial"/>
          <w:sz w:val="20"/>
          <w:szCs w:val="20"/>
        </w:rPr>
        <w:t>compan</w:t>
      </w:r>
      <w:r w:rsidR="00543B72" w:rsidRPr="00482722">
        <w:rPr>
          <w:rFonts w:ascii="Arial" w:hAnsi="Arial" w:cs="Arial"/>
          <w:sz w:val="20"/>
          <w:szCs w:val="20"/>
        </w:rPr>
        <w:t>ies</w:t>
      </w:r>
      <w:r w:rsidR="00234B29" w:rsidRPr="00482722">
        <w:rPr>
          <w:rFonts w:ascii="Arial" w:hAnsi="Arial" w:cs="Arial"/>
          <w:sz w:val="20"/>
          <w:szCs w:val="20"/>
        </w:rPr>
        <w:t xml:space="preserve"> </w:t>
      </w:r>
      <w:r w:rsidRPr="00482722">
        <w:rPr>
          <w:rFonts w:ascii="Arial" w:hAnsi="Arial" w:cs="Arial"/>
          <w:sz w:val="20"/>
          <w:szCs w:val="20"/>
        </w:rPr>
        <w:t>should pay careful attention to maintaining a loyal user base. Zheng et al. (2017) found that e-loyalty mediates the relationship between trust and repeat purchase behaviour.</w:t>
      </w:r>
    </w:p>
    <w:p w14:paraId="726C0618" w14:textId="4816C020" w:rsidR="00304E2E" w:rsidRPr="00482722" w:rsidRDefault="00FA19A2" w:rsidP="00460900">
      <w:pPr>
        <w:pStyle w:val="Heading2"/>
        <w:rPr>
          <w:b/>
        </w:rPr>
      </w:pPr>
      <w:r w:rsidRPr="00482722">
        <w:t>E-</w:t>
      </w:r>
      <w:r w:rsidR="004764DB" w:rsidRPr="00482722">
        <w:t>government</w:t>
      </w:r>
      <w:r w:rsidRPr="00482722">
        <w:t xml:space="preserve"> s</w:t>
      </w:r>
      <w:r w:rsidR="00304E2E" w:rsidRPr="00482722">
        <w:t xml:space="preserve">ervice </w:t>
      </w:r>
      <w:r w:rsidR="007A2BD2" w:rsidRPr="00482722">
        <w:t>q</w:t>
      </w:r>
      <w:r w:rsidR="00304E2E" w:rsidRPr="00482722">
        <w:t>uality</w:t>
      </w:r>
    </w:p>
    <w:p w14:paraId="3532B53D" w14:textId="5E3E7BD8" w:rsidR="00304E2E" w:rsidRPr="00482722" w:rsidRDefault="00304E2E" w:rsidP="00A0195A">
      <w:pPr>
        <w:spacing w:line="240" w:lineRule="auto"/>
        <w:jc w:val="both"/>
        <w:rPr>
          <w:rFonts w:ascii="Arial" w:hAnsi="Arial" w:cs="Arial"/>
          <w:sz w:val="20"/>
          <w:szCs w:val="20"/>
        </w:rPr>
      </w:pPr>
      <w:r w:rsidRPr="00482722">
        <w:rPr>
          <w:rFonts w:ascii="Arial" w:hAnsi="Arial" w:cs="Arial"/>
          <w:sz w:val="20"/>
          <w:szCs w:val="20"/>
        </w:rPr>
        <w:t>Service quality refers to the consumer perception that results from “a comparison of consumer expectation with actual service performance” (Parasuraman et al., 1985. p.</w:t>
      </w:r>
      <w:r w:rsidR="00BC188A" w:rsidRPr="00482722">
        <w:rPr>
          <w:rFonts w:ascii="Arial" w:hAnsi="Arial" w:cs="Arial"/>
          <w:sz w:val="20"/>
          <w:szCs w:val="20"/>
        </w:rPr>
        <w:t xml:space="preserve"> </w:t>
      </w:r>
      <w:r w:rsidRPr="00482722">
        <w:rPr>
          <w:rFonts w:ascii="Arial" w:hAnsi="Arial" w:cs="Arial"/>
          <w:sz w:val="20"/>
          <w:szCs w:val="20"/>
        </w:rPr>
        <w:t xml:space="preserve">42). </w:t>
      </w:r>
      <w:r w:rsidR="00A0195A" w:rsidRPr="00482722">
        <w:rPr>
          <w:rFonts w:ascii="Arial" w:hAnsi="Arial" w:cs="Arial"/>
          <w:sz w:val="20"/>
          <w:szCs w:val="20"/>
        </w:rPr>
        <w:t xml:space="preserve">Lewis </w:t>
      </w:r>
      <w:r w:rsidR="002D35B9" w:rsidRPr="00482722">
        <w:rPr>
          <w:rFonts w:ascii="Arial" w:hAnsi="Arial" w:cs="Arial"/>
          <w:sz w:val="20"/>
          <w:szCs w:val="20"/>
        </w:rPr>
        <w:t>and</w:t>
      </w:r>
      <w:r w:rsidR="00A0195A" w:rsidRPr="00482722">
        <w:rPr>
          <w:rFonts w:ascii="Arial" w:hAnsi="Arial" w:cs="Arial"/>
          <w:sz w:val="20"/>
          <w:szCs w:val="20"/>
        </w:rPr>
        <w:t xml:space="preserve"> Booms (1983) </w:t>
      </w:r>
      <w:r w:rsidR="00C32B34" w:rsidRPr="00482722">
        <w:rPr>
          <w:rFonts w:ascii="Arial" w:hAnsi="Arial" w:cs="Arial"/>
          <w:sz w:val="20"/>
          <w:szCs w:val="20"/>
        </w:rPr>
        <w:t xml:space="preserve">refer to </w:t>
      </w:r>
      <w:r w:rsidR="00A0195A" w:rsidRPr="00482722">
        <w:rPr>
          <w:rFonts w:ascii="Arial" w:hAnsi="Arial" w:cs="Arial"/>
          <w:sz w:val="20"/>
          <w:szCs w:val="20"/>
        </w:rPr>
        <w:t xml:space="preserve">service quality </w:t>
      </w:r>
      <w:r w:rsidR="00C32B34" w:rsidRPr="00482722">
        <w:rPr>
          <w:rFonts w:ascii="Arial" w:hAnsi="Arial" w:cs="Arial"/>
          <w:sz w:val="20"/>
          <w:szCs w:val="20"/>
        </w:rPr>
        <w:t>as</w:t>
      </w:r>
      <w:r w:rsidR="00A0195A" w:rsidRPr="00482722">
        <w:rPr>
          <w:rFonts w:ascii="Arial" w:hAnsi="Arial" w:cs="Arial"/>
          <w:sz w:val="20"/>
          <w:szCs w:val="20"/>
        </w:rPr>
        <w:t xml:space="preserve"> a measure of how </w:t>
      </w:r>
      <w:r w:rsidR="0049277A" w:rsidRPr="00482722">
        <w:rPr>
          <w:rFonts w:ascii="Arial" w:hAnsi="Arial" w:cs="Arial"/>
          <w:sz w:val="20"/>
          <w:szCs w:val="20"/>
        </w:rPr>
        <w:t xml:space="preserve">closely </w:t>
      </w:r>
      <w:r w:rsidR="00A0195A" w:rsidRPr="00482722">
        <w:rPr>
          <w:rFonts w:ascii="Arial" w:hAnsi="Arial" w:cs="Arial"/>
          <w:sz w:val="20"/>
          <w:szCs w:val="20"/>
        </w:rPr>
        <w:t xml:space="preserve">the service level </w:t>
      </w:r>
      <w:r w:rsidR="00D77C09" w:rsidRPr="00482722">
        <w:rPr>
          <w:rFonts w:ascii="Arial" w:hAnsi="Arial" w:cs="Arial"/>
          <w:sz w:val="20"/>
          <w:szCs w:val="20"/>
        </w:rPr>
        <w:t xml:space="preserve">that is </w:t>
      </w:r>
      <w:r w:rsidR="00A0195A" w:rsidRPr="00482722">
        <w:rPr>
          <w:rFonts w:ascii="Arial" w:hAnsi="Arial" w:cs="Arial"/>
          <w:sz w:val="20"/>
          <w:szCs w:val="20"/>
        </w:rPr>
        <w:t xml:space="preserve">provided matches customers’ expectations. Parasuraman </w:t>
      </w:r>
      <w:r w:rsidR="00A0195A" w:rsidRPr="00482722">
        <w:rPr>
          <w:rFonts w:ascii="Arial" w:hAnsi="Arial" w:cs="Arial"/>
          <w:iCs/>
          <w:sz w:val="20"/>
          <w:szCs w:val="20"/>
        </w:rPr>
        <w:t>et al.</w:t>
      </w:r>
      <w:r w:rsidR="00A0195A" w:rsidRPr="00482722">
        <w:rPr>
          <w:rFonts w:ascii="Arial" w:hAnsi="Arial" w:cs="Arial"/>
          <w:sz w:val="20"/>
          <w:szCs w:val="20"/>
        </w:rPr>
        <w:t xml:space="preserve"> (1988) proposed a theoretical definition of service quality, which </w:t>
      </w:r>
      <w:r w:rsidR="00FE583F" w:rsidRPr="00482722">
        <w:rPr>
          <w:rFonts w:ascii="Arial" w:hAnsi="Arial" w:cs="Arial"/>
          <w:sz w:val="20"/>
          <w:szCs w:val="20"/>
        </w:rPr>
        <w:t>became broadly</w:t>
      </w:r>
      <w:r w:rsidR="00A0195A" w:rsidRPr="00482722">
        <w:rPr>
          <w:rFonts w:ascii="Arial" w:hAnsi="Arial" w:cs="Arial"/>
          <w:sz w:val="20"/>
          <w:szCs w:val="20"/>
        </w:rPr>
        <w:t xml:space="preserve"> </w:t>
      </w:r>
      <w:r w:rsidR="0007724B" w:rsidRPr="00482722">
        <w:rPr>
          <w:rFonts w:ascii="Arial" w:hAnsi="Arial" w:cs="Arial"/>
          <w:sz w:val="20"/>
          <w:szCs w:val="20"/>
        </w:rPr>
        <w:t xml:space="preserve">used </w:t>
      </w:r>
      <w:r w:rsidR="00A0195A" w:rsidRPr="00482722">
        <w:rPr>
          <w:rFonts w:ascii="Arial" w:hAnsi="Arial" w:cs="Arial"/>
          <w:sz w:val="20"/>
          <w:szCs w:val="20"/>
        </w:rPr>
        <w:t xml:space="preserve">as a means </w:t>
      </w:r>
      <w:r w:rsidR="0007724B" w:rsidRPr="00482722">
        <w:rPr>
          <w:rFonts w:ascii="Arial" w:hAnsi="Arial" w:cs="Arial"/>
          <w:sz w:val="20"/>
          <w:szCs w:val="20"/>
        </w:rPr>
        <w:t>to compare</w:t>
      </w:r>
      <w:r w:rsidR="00A0195A" w:rsidRPr="00482722">
        <w:rPr>
          <w:rFonts w:ascii="Arial" w:hAnsi="Arial" w:cs="Arial"/>
          <w:sz w:val="20"/>
          <w:szCs w:val="20"/>
        </w:rPr>
        <w:t xml:space="preserve"> the excellence of customer service experiences. Berry et al.</w:t>
      </w:r>
      <w:r w:rsidR="00A0195A" w:rsidRPr="00482722">
        <w:rPr>
          <w:rFonts w:ascii="Arial" w:hAnsi="Arial" w:cs="Arial"/>
          <w:i/>
          <w:iCs/>
          <w:sz w:val="20"/>
          <w:szCs w:val="20"/>
        </w:rPr>
        <w:t xml:space="preserve"> </w:t>
      </w:r>
      <w:r w:rsidR="00A0195A" w:rsidRPr="00482722">
        <w:rPr>
          <w:rFonts w:ascii="Arial" w:hAnsi="Arial" w:cs="Arial"/>
          <w:sz w:val="20"/>
          <w:szCs w:val="20"/>
        </w:rPr>
        <w:t>(1988) defined service quality as the ability to be compatible and compliant with customer expectations. Thus, service quality reflects</w:t>
      </w:r>
      <w:r w:rsidR="0010295B" w:rsidRPr="00482722">
        <w:rPr>
          <w:rFonts w:ascii="Arial" w:hAnsi="Arial" w:cs="Arial"/>
          <w:sz w:val="20"/>
          <w:szCs w:val="20"/>
        </w:rPr>
        <w:t xml:space="preserve"> the opinions of</w:t>
      </w:r>
      <w:r w:rsidR="00A0195A" w:rsidRPr="00482722">
        <w:rPr>
          <w:rFonts w:ascii="Arial" w:hAnsi="Arial" w:cs="Arial"/>
          <w:sz w:val="20"/>
          <w:szCs w:val="20"/>
        </w:rPr>
        <w:t xml:space="preserve"> consumer</w:t>
      </w:r>
      <w:r w:rsidR="0010295B" w:rsidRPr="00482722">
        <w:rPr>
          <w:rFonts w:ascii="Arial" w:hAnsi="Arial" w:cs="Arial"/>
          <w:sz w:val="20"/>
          <w:szCs w:val="20"/>
        </w:rPr>
        <w:t>s</w:t>
      </w:r>
      <w:r w:rsidR="00A0195A" w:rsidRPr="00482722">
        <w:rPr>
          <w:rFonts w:ascii="Arial" w:hAnsi="Arial" w:cs="Arial"/>
          <w:sz w:val="20"/>
          <w:szCs w:val="20"/>
        </w:rPr>
        <w:t xml:space="preserve"> </w:t>
      </w:r>
      <w:r w:rsidR="0010295B" w:rsidRPr="00482722">
        <w:rPr>
          <w:rFonts w:ascii="Arial" w:hAnsi="Arial" w:cs="Arial"/>
          <w:sz w:val="20"/>
          <w:szCs w:val="20"/>
        </w:rPr>
        <w:t>rather than</w:t>
      </w:r>
      <w:r w:rsidR="00A0195A" w:rsidRPr="00482722">
        <w:rPr>
          <w:rFonts w:ascii="Arial" w:hAnsi="Arial" w:cs="Arial"/>
          <w:sz w:val="20"/>
          <w:szCs w:val="20"/>
        </w:rPr>
        <w:t xml:space="preserve"> purely the</w:t>
      </w:r>
      <w:r w:rsidR="00A9196B" w:rsidRPr="00482722">
        <w:rPr>
          <w:rFonts w:ascii="Arial" w:hAnsi="Arial" w:cs="Arial"/>
          <w:sz w:val="20"/>
          <w:szCs w:val="20"/>
        </w:rPr>
        <w:t xml:space="preserve"> views</w:t>
      </w:r>
      <w:r w:rsidR="00A0195A" w:rsidRPr="00482722">
        <w:rPr>
          <w:rFonts w:ascii="Arial" w:hAnsi="Arial" w:cs="Arial"/>
          <w:sz w:val="20"/>
          <w:szCs w:val="20"/>
        </w:rPr>
        <w:t xml:space="preserve"> of </w:t>
      </w:r>
      <w:r w:rsidR="00C42AD4" w:rsidRPr="00482722">
        <w:rPr>
          <w:rFonts w:ascii="Arial" w:hAnsi="Arial" w:cs="Arial"/>
          <w:sz w:val="20"/>
          <w:szCs w:val="20"/>
        </w:rPr>
        <w:t xml:space="preserve">a </w:t>
      </w:r>
      <w:r w:rsidR="00A0195A" w:rsidRPr="00482722">
        <w:rPr>
          <w:rFonts w:ascii="Arial" w:hAnsi="Arial" w:cs="Arial"/>
          <w:sz w:val="20"/>
          <w:szCs w:val="20"/>
        </w:rPr>
        <w:t xml:space="preserve">company’s managerial team. Lewis and Booms (1983) suggested that service quality </w:t>
      </w:r>
      <w:r w:rsidR="00870B31" w:rsidRPr="00482722">
        <w:rPr>
          <w:rFonts w:ascii="Arial" w:hAnsi="Arial" w:cs="Arial"/>
          <w:sz w:val="20"/>
          <w:szCs w:val="20"/>
        </w:rPr>
        <w:t xml:space="preserve">means </w:t>
      </w:r>
      <w:r w:rsidR="00A0195A" w:rsidRPr="00482722">
        <w:rPr>
          <w:rFonts w:ascii="Arial" w:hAnsi="Arial" w:cs="Arial"/>
          <w:sz w:val="20"/>
          <w:szCs w:val="20"/>
        </w:rPr>
        <w:t>matching customers</w:t>
      </w:r>
      <w:r w:rsidR="00A9196B" w:rsidRPr="00482722">
        <w:rPr>
          <w:rFonts w:ascii="Arial" w:hAnsi="Arial" w:cs="Arial"/>
          <w:sz w:val="20"/>
          <w:szCs w:val="20"/>
        </w:rPr>
        <w:t>’</w:t>
      </w:r>
      <w:r w:rsidR="00A0195A" w:rsidRPr="00482722">
        <w:rPr>
          <w:rFonts w:ascii="Arial" w:hAnsi="Arial" w:cs="Arial"/>
          <w:sz w:val="20"/>
          <w:szCs w:val="20"/>
        </w:rPr>
        <w:t xml:space="preserve"> expectations and assessing the level of service that </w:t>
      </w:r>
      <w:r w:rsidR="00870B31" w:rsidRPr="00482722">
        <w:rPr>
          <w:rFonts w:ascii="Arial" w:hAnsi="Arial" w:cs="Arial"/>
          <w:sz w:val="20"/>
          <w:szCs w:val="20"/>
        </w:rPr>
        <w:t xml:space="preserve">consumers </w:t>
      </w:r>
      <w:r w:rsidR="00A0195A" w:rsidRPr="00482722">
        <w:rPr>
          <w:rFonts w:ascii="Arial" w:hAnsi="Arial" w:cs="Arial"/>
          <w:sz w:val="20"/>
          <w:szCs w:val="20"/>
        </w:rPr>
        <w:t xml:space="preserve">receive. There is a general consensus that the consumer is at the heart of service quality. </w:t>
      </w:r>
      <w:r w:rsidR="00490126" w:rsidRPr="00482722">
        <w:rPr>
          <w:rFonts w:ascii="Arial" w:hAnsi="Arial" w:cs="Arial"/>
          <w:sz w:val="20"/>
          <w:szCs w:val="20"/>
        </w:rPr>
        <w:t>However, e</w:t>
      </w:r>
      <w:r w:rsidR="00A0195A" w:rsidRPr="00482722">
        <w:rPr>
          <w:rFonts w:ascii="Arial" w:hAnsi="Arial" w:cs="Arial"/>
          <w:sz w:val="20"/>
          <w:szCs w:val="20"/>
        </w:rPr>
        <w:t xml:space="preserve">ven though </w:t>
      </w:r>
      <w:r w:rsidR="0046096C" w:rsidRPr="00482722">
        <w:rPr>
          <w:rFonts w:ascii="Arial" w:hAnsi="Arial" w:cs="Arial"/>
          <w:sz w:val="20"/>
          <w:szCs w:val="20"/>
        </w:rPr>
        <w:t xml:space="preserve">scholars have explored </w:t>
      </w:r>
      <w:r w:rsidR="00A0195A" w:rsidRPr="00482722">
        <w:rPr>
          <w:rFonts w:ascii="Arial" w:hAnsi="Arial" w:cs="Arial"/>
          <w:sz w:val="20"/>
          <w:szCs w:val="20"/>
        </w:rPr>
        <w:t xml:space="preserve">the concept of service quality </w:t>
      </w:r>
      <w:r w:rsidR="00490126" w:rsidRPr="00482722">
        <w:rPr>
          <w:rFonts w:ascii="Arial" w:hAnsi="Arial" w:cs="Arial"/>
          <w:sz w:val="20"/>
          <w:szCs w:val="20"/>
        </w:rPr>
        <w:t>multiple</w:t>
      </w:r>
      <w:r w:rsidR="00A0195A" w:rsidRPr="00482722">
        <w:rPr>
          <w:rFonts w:ascii="Arial" w:hAnsi="Arial" w:cs="Arial"/>
          <w:sz w:val="20"/>
          <w:szCs w:val="20"/>
        </w:rPr>
        <w:t xml:space="preserve"> times, the ultimate definition of </w:t>
      </w:r>
      <w:r w:rsidR="0046096C" w:rsidRPr="00482722">
        <w:rPr>
          <w:rFonts w:ascii="Arial" w:hAnsi="Arial" w:cs="Arial"/>
          <w:sz w:val="20"/>
          <w:szCs w:val="20"/>
        </w:rPr>
        <w:t xml:space="preserve">a </w:t>
      </w:r>
      <w:r w:rsidR="00A0195A" w:rsidRPr="00482722">
        <w:rPr>
          <w:rFonts w:ascii="Arial" w:hAnsi="Arial" w:cs="Arial"/>
          <w:sz w:val="20"/>
          <w:szCs w:val="20"/>
        </w:rPr>
        <w:t>quality service has not been established</w:t>
      </w:r>
      <w:r w:rsidR="000E3B51" w:rsidRPr="00482722">
        <w:rPr>
          <w:rFonts w:ascii="Arial" w:hAnsi="Arial" w:cs="Arial"/>
          <w:sz w:val="20"/>
          <w:szCs w:val="20"/>
        </w:rPr>
        <w:t xml:space="preserve"> (</w:t>
      </w:r>
      <w:r w:rsidR="000D53A3" w:rsidRPr="00482722">
        <w:rPr>
          <w:rFonts w:ascii="Arial" w:eastAsia="Times New Roman" w:hAnsi="Arial" w:cs="Arial"/>
          <w:sz w:val="20"/>
          <w:szCs w:val="20"/>
          <w:lang w:eastAsia="en-GB"/>
        </w:rPr>
        <w:t>Raza et al., 2020;</w:t>
      </w:r>
      <w:r w:rsidR="000D53A3" w:rsidRPr="00482722">
        <w:rPr>
          <w:rFonts w:ascii="Arial" w:hAnsi="Arial" w:cs="Arial"/>
          <w:sz w:val="20"/>
          <w:szCs w:val="20"/>
        </w:rPr>
        <w:t xml:space="preserve"> </w:t>
      </w:r>
      <w:r w:rsidR="000E3B51" w:rsidRPr="00482722">
        <w:rPr>
          <w:rFonts w:ascii="Arial" w:hAnsi="Arial" w:cs="Arial"/>
          <w:sz w:val="20"/>
          <w:szCs w:val="20"/>
        </w:rPr>
        <w:t>Orgeron and Goodman, 2011)</w:t>
      </w:r>
      <w:r w:rsidR="00A0195A" w:rsidRPr="00482722">
        <w:rPr>
          <w:rFonts w:ascii="Arial" w:hAnsi="Arial" w:cs="Arial"/>
          <w:sz w:val="20"/>
          <w:szCs w:val="20"/>
        </w:rPr>
        <w:t>.</w:t>
      </w:r>
    </w:p>
    <w:p w14:paraId="74BC39D8" w14:textId="3F72D828" w:rsidR="00304E2E" w:rsidRPr="00482722" w:rsidRDefault="0062130E" w:rsidP="00DA5EEC">
      <w:pPr>
        <w:spacing w:line="240" w:lineRule="auto"/>
        <w:jc w:val="both"/>
        <w:rPr>
          <w:rFonts w:ascii="Arial" w:hAnsi="Arial" w:cs="Arial"/>
          <w:sz w:val="20"/>
          <w:szCs w:val="20"/>
        </w:rPr>
      </w:pPr>
      <w:r w:rsidRPr="00482722">
        <w:rPr>
          <w:rFonts w:ascii="Arial" w:hAnsi="Arial" w:cs="Arial"/>
          <w:sz w:val="20"/>
          <w:szCs w:val="20"/>
        </w:rPr>
        <w:t>T</w:t>
      </w:r>
      <w:r w:rsidR="00304E2E" w:rsidRPr="00482722">
        <w:rPr>
          <w:rFonts w:ascii="Arial" w:hAnsi="Arial" w:cs="Arial"/>
          <w:sz w:val="20"/>
          <w:szCs w:val="20"/>
        </w:rPr>
        <w:t>here is no empirical evidence to suggest that citizens’ views o</w:t>
      </w:r>
      <w:r w:rsidR="0063686B" w:rsidRPr="00482722">
        <w:rPr>
          <w:rFonts w:ascii="Arial" w:hAnsi="Arial" w:cs="Arial"/>
          <w:sz w:val="20"/>
          <w:szCs w:val="20"/>
        </w:rPr>
        <w:t>n</w:t>
      </w:r>
      <w:r w:rsidR="00304E2E" w:rsidRPr="00482722">
        <w:rPr>
          <w:rFonts w:ascii="Arial" w:hAnsi="Arial" w:cs="Arial"/>
          <w:sz w:val="20"/>
          <w:szCs w:val="20"/>
        </w:rPr>
        <w:t xml:space="preserve"> the quality of government services differ from</w:t>
      </w:r>
      <w:r w:rsidR="0063686B" w:rsidRPr="00482722">
        <w:rPr>
          <w:rFonts w:ascii="Arial" w:hAnsi="Arial" w:cs="Arial"/>
          <w:sz w:val="20"/>
          <w:szCs w:val="20"/>
        </w:rPr>
        <w:t xml:space="preserve"> their views on the quality of</w:t>
      </w:r>
      <w:r w:rsidR="00304E2E" w:rsidRPr="00482722">
        <w:rPr>
          <w:rFonts w:ascii="Arial" w:hAnsi="Arial" w:cs="Arial"/>
          <w:sz w:val="20"/>
          <w:szCs w:val="20"/>
        </w:rPr>
        <w:t xml:space="preserve"> commercially</w:t>
      </w:r>
      <w:r w:rsidR="00E9569C" w:rsidRPr="00482722">
        <w:rPr>
          <w:rFonts w:ascii="Arial" w:hAnsi="Arial" w:cs="Arial"/>
          <w:sz w:val="20"/>
          <w:szCs w:val="20"/>
        </w:rPr>
        <w:t xml:space="preserve"> provided </w:t>
      </w:r>
      <w:r w:rsidR="00304E2E" w:rsidRPr="00482722">
        <w:rPr>
          <w:rFonts w:ascii="Arial" w:hAnsi="Arial" w:cs="Arial"/>
          <w:sz w:val="20"/>
          <w:szCs w:val="20"/>
        </w:rPr>
        <w:t>services (</w:t>
      </w:r>
      <w:r w:rsidR="000D53A3" w:rsidRPr="00482722">
        <w:rPr>
          <w:rFonts w:ascii="Arial" w:hAnsi="Arial" w:cs="Arial"/>
          <w:sz w:val="20"/>
          <w:szCs w:val="20"/>
        </w:rPr>
        <w:t xml:space="preserve">Morgeson III, 2011; </w:t>
      </w:r>
      <w:r w:rsidR="00304E2E" w:rsidRPr="00482722">
        <w:rPr>
          <w:rFonts w:ascii="Arial" w:hAnsi="Arial" w:cs="Arial"/>
          <w:sz w:val="20"/>
          <w:szCs w:val="20"/>
        </w:rPr>
        <w:t>Connolly, 2007; Gefen, 2002</w:t>
      </w:r>
      <w:r w:rsidR="000D53A3" w:rsidRPr="00482722">
        <w:rPr>
          <w:rFonts w:ascii="Arial" w:hAnsi="Arial" w:cs="Arial"/>
          <w:sz w:val="20"/>
          <w:szCs w:val="20"/>
        </w:rPr>
        <w:t>). Therefore,</w:t>
      </w:r>
      <w:r w:rsidR="00304E2E" w:rsidRPr="00482722">
        <w:rPr>
          <w:rFonts w:ascii="Arial" w:hAnsi="Arial" w:cs="Arial"/>
          <w:sz w:val="20"/>
          <w:szCs w:val="20"/>
        </w:rPr>
        <w:t xml:space="preserve"> it is essential that the government sector understand</w:t>
      </w:r>
      <w:r w:rsidR="0063686B" w:rsidRPr="00482722">
        <w:rPr>
          <w:rFonts w:ascii="Arial" w:hAnsi="Arial" w:cs="Arial"/>
          <w:sz w:val="20"/>
          <w:szCs w:val="20"/>
        </w:rPr>
        <w:t>s</w:t>
      </w:r>
      <w:r w:rsidR="00304E2E" w:rsidRPr="00482722">
        <w:rPr>
          <w:rFonts w:ascii="Arial" w:hAnsi="Arial" w:cs="Arial"/>
          <w:sz w:val="20"/>
          <w:szCs w:val="20"/>
        </w:rPr>
        <w:t xml:space="preserve"> the dimensions of service excellence. In this context, one of the most widely</w:t>
      </w:r>
      <w:r w:rsidR="0063686B" w:rsidRPr="00482722">
        <w:rPr>
          <w:rFonts w:ascii="Arial" w:hAnsi="Arial" w:cs="Arial"/>
          <w:sz w:val="20"/>
          <w:szCs w:val="20"/>
        </w:rPr>
        <w:t xml:space="preserve"> </w:t>
      </w:r>
      <w:r w:rsidR="00304E2E" w:rsidRPr="00482722">
        <w:rPr>
          <w:rFonts w:ascii="Arial" w:hAnsi="Arial" w:cs="Arial"/>
          <w:sz w:val="20"/>
          <w:szCs w:val="20"/>
        </w:rPr>
        <w:t>used measurement scales is the SERVQUAL instrument (</w:t>
      </w:r>
      <w:r w:rsidR="00A30B91" w:rsidRPr="00482722">
        <w:rPr>
          <w:rFonts w:ascii="Arial" w:eastAsia="Times New Roman" w:hAnsi="Arial" w:cs="Arial"/>
          <w:sz w:val="20"/>
          <w:szCs w:val="20"/>
          <w:lang w:eastAsia="en-GB"/>
        </w:rPr>
        <w:t xml:space="preserve">Raza et al., 2020; Yadav </w:t>
      </w:r>
      <w:r w:rsidR="002D35B9" w:rsidRPr="00482722">
        <w:rPr>
          <w:rFonts w:ascii="Arial" w:eastAsia="Times New Roman" w:hAnsi="Arial" w:cs="Arial"/>
          <w:sz w:val="20"/>
          <w:szCs w:val="20"/>
          <w:lang w:eastAsia="en-GB"/>
        </w:rPr>
        <w:t>and</w:t>
      </w:r>
      <w:r w:rsidR="00A30B91" w:rsidRPr="00482722">
        <w:rPr>
          <w:rFonts w:ascii="Arial" w:eastAsia="Times New Roman" w:hAnsi="Arial" w:cs="Arial"/>
          <w:sz w:val="20"/>
          <w:szCs w:val="20"/>
          <w:lang w:eastAsia="en-GB"/>
        </w:rPr>
        <w:t xml:space="preserve"> Rai 2019; </w:t>
      </w:r>
      <w:r w:rsidR="00304E2E" w:rsidRPr="00482722">
        <w:rPr>
          <w:rFonts w:ascii="Arial" w:hAnsi="Arial" w:cs="Arial"/>
          <w:sz w:val="20"/>
          <w:szCs w:val="20"/>
        </w:rPr>
        <w:t xml:space="preserve">Orgeron </w:t>
      </w:r>
      <w:r w:rsidR="002D35B9" w:rsidRPr="00482722">
        <w:rPr>
          <w:rFonts w:ascii="Arial" w:hAnsi="Arial" w:cs="Arial"/>
          <w:sz w:val="20"/>
          <w:szCs w:val="20"/>
        </w:rPr>
        <w:t>and</w:t>
      </w:r>
      <w:r w:rsidR="00304E2E" w:rsidRPr="00482722">
        <w:rPr>
          <w:rFonts w:ascii="Arial" w:hAnsi="Arial" w:cs="Arial"/>
          <w:sz w:val="20"/>
          <w:szCs w:val="20"/>
        </w:rPr>
        <w:t xml:space="preserve"> Goodman, 2011)</w:t>
      </w:r>
      <w:r w:rsidR="00463141" w:rsidRPr="00482722">
        <w:rPr>
          <w:rFonts w:ascii="Arial" w:hAnsi="Arial" w:cs="Arial"/>
          <w:sz w:val="20"/>
          <w:szCs w:val="20"/>
        </w:rPr>
        <w:t>, which</w:t>
      </w:r>
      <w:r w:rsidR="00304E2E" w:rsidRPr="00482722">
        <w:rPr>
          <w:rFonts w:ascii="Arial" w:hAnsi="Arial" w:cs="Arial"/>
          <w:sz w:val="20"/>
          <w:szCs w:val="20"/>
        </w:rPr>
        <w:t xml:space="preserve"> was developed by Parasuraman et al. (1985, 1988). </w:t>
      </w:r>
      <w:r w:rsidR="00754834" w:rsidRPr="00482722">
        <w:rPr>
          <w:rFonts w:ascii="Arial" w:hAnsi="Arial" w:cs="Arial"/>
          <w:sz w:val="20"/>
          <w:szCs w:val="20"/>
        </w:rPr>
        <w:t xml:space="preserve">The </w:t>
      </w:r>
      <w:r w:rsidR="00304E2E" w:rsidRPr="00482722">
        <w:rPr>
          <w:rFonts w:ascii="Arial" w:hAnsi="Arial" w:cs="Arial"/>
          <w:sz w:val="20"/>
          <w:szCs w:val="20"/>
        </w:rPr>
        <w:t xml:space="preserve">SERVQUAL instrument is rooted in the field of marketing </w:t>
      </w:r>
      <w:r w:rsidR="00463141" w:rsidRPr="00482722">
        <w:rPr>
          <w:rFonts w:ascii="Arial" w:hAnsi="Arial" w:cs="Arial"/>
          <w:sz w:val="20"/>
          <w:szCs w:val="20"/>
        </w:rPr>
        <w:t xml:space="preserve">and is used </w:t>
      </w:r>
      <w:r w:rsidR="00304E2E" w:rsidRPr="00482722">
        <w:rPr>
          <w:rFonts w:ascii="Arial" w:hAnsi="Arial" w:cs="Arial"/>
          <w:sz w:val="20"/>
          <w:szCs w:val="20"/>
        </w:rPr>
        <w:t>to measure the</w:t>
      </w:r>
      <w:r w:rsidR="000B6B85" w:rsidRPr="00482722">
        <w:rPr>
          <w:rFonts w:ascii="Arial" w:hAnsi="Arial" w:cs="Arial"/>
          <w:sz w:val="20"/>
          <w:szCs w:val="20"/>
        </w:rPr>
        <w:t xml:space="preserve"> </w:t>
      </w:r>
      <w:r w:rsidR="00304E2E" w:rsidRPr="00482722">
        <w:rPr>
          <w:rFonts w:ascii="Arial" w:hAnsi="Arial" w:cs="Arial"/>
          <w:sz w:val="20"/>
          <w:szCs w:val="20"/>
        </w:rPr>
        <w:t>gap between expected</w:t>
      </w:r>
      <w:r w:rsidR="00ED283D" w:rsidRPr="00482722">
        <w:rPr>
          <w:rFonts w:ascii="Arial" w:hAnsi="Arial" w:cs="Arial"/>
          <w:sz w:val="20"/>
          <w:szCs w:val="20"/>
        </w:rPr>
        <w:t xml:space="preserve"> service</w:t>
      </w:r>
      <w:r w:rsidR="00304E2E" w:rsidRPr="00482722">
        <w:rPr>
          <w:rFonts w:ascii="Arial" w:hAnsi="Arial" w:cs="Arial"/>
          <w:sz w:val="20"/>
          <w:szCs w:val="20"/>
        </w:rPr>
        <w:t xml:space="preserve"> and perceived actual service in order to assess the average across the dimensions of </w:t>
      </w:r>
      <w:r w:rsidR="00ED283D" w:rsidRPr="00482722">
        <w:rPr>
          <w:rFonts w:ascii="Arial" w:hAnsi="Arial" w:cs="Arial"/>
          <w:sz w:val="20"/>
          <w:szCs w:val="20"/>
        </w:rPr>
        <w:t xml:space="preserve">the </w:t>
      </w:r>
      <w:r w:rsidR="00304E2E" w:rsidRPr="00482722">
        <w:rPr>
          <w:rFonts w:ascii="Arial" w:hAnsi="Arial" w:cs="Arial"/>
          <w:sz w:val="20"/>
          <w:szCs w:val="20"/>
        </w:rPr>
        <w:t xml:space="preserve">scale </w:t>
      </w:r>
      <w:r w:rsidR="00374C8B" w:rsidRPr="00482722">
        <w:rPr>
          <w:rFonts w:ascii="Arial" w:hAnsi="Arial" w:cs="Arial"/>
          <w:sz w:val="20"/>
          <w:szCs w:val="20"/>
        </w:rPr>
        <w:t>and</w:t>
      </w:r>
      <w:r w:rsidR="00E84ADD" w:rsidRPr="00482722">
        <w:rPr>
          <w:rFonts w:ascii="Arial" w:hAnsi="Arial" w:cs="Arial"/>
          <w:sz w:val="20"/>
          <w:szCs w:val="20"/>
        </w:rPr>
        <w:t xml:space="preserve"> arrive at an</w:t>
      </w:r>
      <w:r w:rsidR="00304E2E" w:rsidRPr="00482722">
        <w:rPr>
          <w:rFonts w:ascii="Arial" w:hAnsi="Arial" w:cs="Arial"/>
          <w:sz w:val="20"/>
          <w:szCs w:val="20"/>
        </w:rPr>
        <w:t xml:space="preserve"> overall score </w:t>
      </w:r>
      <w:r w:rsidR="00E84ADD" w:rsidRPr="00482722">
        <w:rPr>
          <w:rFonts w:ascii="Arial" w:hAnsi="Arial" w:cs="Arial"/>
          <w:sz w:val="20"/>
          <w:szCs w:val="20"/>
        </w:rPr>
        <w:t xml:space="preserve">for </w:t>
      </w:r>
      <w:r w:rsidR="00304E2E" w:rsidRPr="00482722">
        <w:rPr>
          <w:rFonts w:ascii="Arial" w:hAnsi="Arial" w:cs="Arial"/>
          <w:sz w:val="20"/>
          <w:szCs w:val="20"/>
        </w:rPr>
        <w:t xml:space="preserve">service quality (Pitt et al., 1995). </w:t>
      </w:r>
      <w:r w:rsidR="0041287D" w:rsidRPr="00482722">
        <w:rPr>
          <w:rFonts w:ascii="Arial" w:hAnsi="Arial" w:cs="Arial"/>
          <w:sz w:val="20"/>
          <w:szCs w:val="20"/>
        </w:rPr>
        <w:t xml:space="preserve">Parasuraman et al. (1994) integrated service quality </w:t>
      </w:r>
      <w:r w:rsidR="00E84ADD" w:rsidRPr="00482722">
        <w:rPr>
          <w:rFonts w:ascii="Arial" w:hAnsi="Arial" w:cs="Arial"/>
          <w:sz w:val="20"/>
          <w:szCs w:val="20"/>
        </w:rPr>
        <w:t>into</w:t>
      </w:r>
      <w:r w:rsidR="0041287D" w:rsidRPr="00482722">
        <w:rPr>
          <w:rFonts w:ascii="Arial" w:hAnsi="Arial" w:cs="Arial"/>
          <w:sz w:val="20"/>
          <w:szCs w:val="20"/>
        </w:rPr>
        <w:t xml:space="preserve"> the service quality model</w:t>
      </w:r>
      <w:r w:rsidR="00E84ADD" w:rsidRPr="00482722">
        <w:rPr>
          <w:rFonts w:ascii="Arial" w:hAnsi="Arial" w:cs="Arial"/>
          <w:sz w:val="20"/>
          <w:szCs w:val="20"/>
        </w:rPr>
        <w:t>,</w:t>
      </w:r>
      <w:r w:rsidR="004372AB" w:rsidRPr="00482722">
        <w:rPr>
          <w:rFonts w:ascii="Arial" w:hAnsi="Arial" w:cs="Arial"/>
          <w:sz w:val="20"/>
          <w:szCs w:val="20"/>
        </w:rPr>
        <w:t xml:space="preserve"> which has been used extensively in existing research (Ameen et al., 2020a).</w:t>
      </w:r>
    </w:p>
    <w:p w14:paraId="7403F865" w14:textId="0C77BE6F" w:rsidR="00304E2E" w:rsidRPr="00482722" w:rsidRDefault="00754834" w:rsidP="006F0100">
      <w:pPr>
        <w:spacing w:line="240" w:lineRule="auto"/>
        <w:jc w:val="both"/>
        <w:rPr>
          <w:rFonts w:ascii="Arial" w:hAnsi="Arial" w:cs="Arial"/>
          <w:sz w:val="20"/>
          <w:szCs w:val="20"/>
        </w:rPr>
      </w:pPr>
      <w:r w:rsidRPr="00482722">
        <w:rPr>
          <w:rFonts w:ascii="Arial" w:hAnsi="Arial" w:cs="Arial"/>
          <w:sz w:val="20"/>
          <w:szCs w:val="20"/>
        </w:rPr>
        <w:t xml:space="preserve">The </w:t>
      </w:r>
      <w:r w:rsidR="00304E2E" w:rsidRPr="00482722">
        <w:rPr>
          <w:rFonts w:ascii="Arial" w:hAnsi="Arial" w:cs="Arial"/>
          <w:sz w:val="20"/>
          <w:szCs w:val="20"/>
        </w:rPr>
        <w:t xml:space="preserve">SERVQUAL instrument consists of five basic dimensions </w:t>
      </w:r>
      <w:r w:rsidR="00994146" w:rsidRPr="00482722">
        <w:rPr>
          <w:rFonts w:ascii="Arial" w:hAnsi="Arial" w:cs="Arial"/>
          <w:sz w:val="20"/>
          <w:szCs w:val="20"/>
        </w:rPr>
        <w:t>of consumer perceptions</w:t>
      </w:r>
      <w:r w:rsidR="00304E2E" w:rsidRPr="00482722">
        <w:rPr>
          <w:rFonts w:ascii="Arial" w:hAnsi="Arial" w:cs="Arial"/>
          <w:sz w:val="20"/>
          <w:szCs w:val="20"/>
        </w:rPr>
        <w:t xml:space="preserve"> along pivotal areas of </w:t>
      </w:r>
      <w:r w:rsidR="00BF1BC1" w:rsidRPr="00482722">
        <w:rPr>
          <w:rFonts w:ascii="Arial" w:hAnsi="Arial" w:cs="Arial"/>
          <w:sz w:val="20"/>
          <w:szCs w:val="20"/>
        </w:rPr>
        <w:t xml:space="preserve">performance in </w:t>
      </w:r>
      <w:r w:rsidR="00304E2E" w:rsidRPr="00482722">
        <w:rPr>
          <w:rFonts w:ascii="Arial" w:hAnsi="Arial" w:cs="Arial"/>
          <w:sz w:val="20"/>
          <w:szCs w:val="20"/>
        </w:rPr>
        <w:t>service content and delivery (</w:t>
      </w:r>
      <w:r w:rsidR="00A30B91" w:rsidRPr="00482722">
        <w:rPr>
          <w:rFonts w:ascii="Arial" w:eastAsia="Times New Roman" w:hAnsi="Arial" w:cs="Arial"/>
          <w:sz w:val="20"/>
          <w:szCs w:val="20"/>
          <w:lang w:eastAsia="en-GB"/>
        </w:rPr>
        <w:t xml:space="preserve">Yadav </w:t>
      </w:r>
      <w:r w:rsidR="002D35B9" w:rsidRPr="00482722">
        <w:rPr>
          <w:rFonts w:ascii="Arial" w:eastAsia="Times New Roman" w:hAnsi="Arial" w:cs="Arial"/>
          <w:sz w:val="20"/>
          <w:szCs w:val="20"/>
          <w:lang w:eastAsia="en-GB"/>
        </w:rPr>
        <w:t>and</w:t>
      </w:r>
      <w:r w:rsidR="00A30B91" w:rsidRPr="00482722">
        <w:rPr>
          <w:rFonts w:ascii="Arial" w:eastAsia="Times New Roman" w:hAnsi="Arial" w:cs="Arial"/>
          <w:sz w:val="20"/>
          <w:szCs w:val="20"/>
          <w:lang w:eastAsia="en-GB"/>
        </w:rPr>
        <w:t xml:space="preserve"> Rai 2019</w:t>
      </w:r>
      <w:r w:rsidR="00A30B91" w:rsidRPr="00482722">
        <w:rPr>
          <w:rFonts w:ascii="Arial" w:hAnsi="Arial" w:cs="Arial"/>
          <w:sz w:val="20"/>
          <w:szCs w:val="20"/>
        </w:rPr>
        <w:t xml:space="preserve">; </w:t>
      </w:r>
      <w:r w:rsidR="00304E2E" w:rsidRPr="00482722">
        <w:rPr>
          <w:rFonts w:ascii="Arial" w:hAnsi="Arial" w:cs="Arial"/>
          <w:sz w:val="20"/>
          <w:szCs w:val="20"/>
        </w:rPr>
        <w:t xml:space="preserve">Orgeron </w:t>
      </w:r>
      <w:r w:rsidR="002D35B9" w:rsidRPr="00482722">
        <w:rPr>
          <w:rFonts w:ascii="Arial" w:hAnsi="Arial" w:cs="Arial"/>
          <w:sz w:val="20"/>
          <w:szCs w:val="20"/>
        </w:rPr>
        <w:t>and</w:t>
      </w:r>
      <w:r w:rsidR="00304E2E" w:rsidRPr="00482722">
        <w:rPr>
          <w:rFonts w:ascii="Arial" w:hAnsi="Arial" w:cs="Arial"/>
          <w:sz w:val="20"/>
          <w:szCs w:val="20"/>
        </w:rPr>
        <w:t xml:space="preserve"> Goodman, 2011). Empirical evidence attests that SERVQUAL is a noteworthy benchmark of service quality in the </w:t>
      </w:r>
      <w:r w:rsidR="00D50CBA" w:rsidRPr="00482722">
        <w:rPr>
          <w:rFonts w:ascii="Arial" w:hAnsi="Arial" w:cs="Arial"/>
          <w:sz w:val="20"/>
          <w:szCs w:val="20"/>
        </w:rPr>
        <w:t xml:space="preserve">realm of </w:t>
      </w:r>
      <w:r w:rsidR="00304E2E" w:rsidRPr="00482722">
        <w:rPr>
          <w:rFonts w:ascii="Arial" w:hAnsi="Arial" w:cs="Arial"/>
          <w:sz w:val="20"/>
          <w:szCs w:val="20"/>
        </w:rPr>
        <w:t>online services (</w:t>
      </w:r>
      <w:r w:rsidR="00A30B91" w:rsidRPr="00482722">
        <w:rPr>
          <w:rFonts w:ascii="Arial" w:eastAsia="Times New Roman" w:hAnsi="Arial" w:cs="Arial"/>
          <w:sz w:val="20"/>
          <w:szCs w:val="20"/>
          <w:lang w:eastAsia="en-GB"/>
        </w:rPr>
        <w:t>Raza et al., 2020</w:t>
      </w:r>
      <w:r w:rsidR="00A30B91" w:rsidRPr="00482722">
        <w:rPr>
          <w:rFonts w:ascii="Arial" w:hAnsi="Arial" w:cs="Arial"/>
          <w:sz w:val="20"/>
          <w:szCs w:val="20"/>
        </w:rPr>
        <w:t xml:space="preserve">; </w:t>
      </w:r>
      <w:r w:rsidR="00A30B91" w:rsidRPr="00482722">
        <w:rPr>
          <w:rFonts w:ascii="Arial" w:eastAsia="Times New Roman" w:hAnsi="Arial" w:cs="Arial"/>
          <w:sz w:val="20"/>
          <w:szCs w:val="20"/>
          <w:lang w:eastAsia="en-GB"/>
        </w:rPr>
        <w:t xml:space="preserve">Yadav </w:t>
      </w:r>
      <w:r w:rsidR="002D35B9" w:rsidRPr="00482722">
        <w:rPr>
          <w:rFonts w:ascii="Arial" w:eastAsia="Times New Roman" w:hAnsi="Arial" w:cs="Arial"/>
          <w:sz w:val="20"/>
          <w:szCs w:val="20"/>
          <w:lang w:eastAsia="en-GB"/>
        </w:rPr>
        <w:t>and</w:t>
      </w:r>
      <w:r w:rsidR="00A30B91" w:rsidRPr="00482722">
        <w:rPr>
          <w:rFonts w:ascii="Arial" w:eastAsia="Times New Roman" w:hAnsi="Arial" w:cs="Arial"/>
          <w:sz w:val="20"/>
          <w:szCs w:val="20"/>
          <w:lang w:eastAsia="en-GB"/>
        </w:rPr>
        <w:t xml:space="preserve"> Rai 2019; </w:t>
      </w:r>
      <w:r w:rsidR="00304E2E" w:rsidRPr="00482722">
        <w:rPr>
          <w:rFonts w:ascii="Arial" w:eastAsia="Times New Roman" w:hAnsi="Arial" w:cs="Arial"/>
          <w:sz w:val="20"/>
          <w:szCs w:val="20"/>
          <w:lang w:eastAsia="en-GB"/>
        </w:rPr>
        <w:t xml:space="preserve">Pearson et al., 2012; </w:t>
      </w:r>
      <w:r w:rsidR="00304E2E" w:rsidRPr="00482722">
        <w:rPr>
          <w:rFonts w:ascii="Arial" w:hAnsi="Arial" w:cs="Arial"/>
          <w:sz w:val="20"/>
          <w:szCs w:val="20"/>
        </w:rPr>
        <w:t xml:space="preserve">Orgeron </w:t>
      </w:r>
      <w:r w:rsidR="002D35B9" w:rsidRPr="00482722">
        <w:rPr>
          <w:rFonts w:ascii="Arial" w:hAnsi="Arial" w:cs="Arial"/>
          <w:sz w:val="20"/>
          <w:szCs w:val="20"/>
        </w:rPr>
        <w:t>and</w:t>
      </w:r>
      <w:r w:rsidR="00304E2E" w:rsidRPr="00482722">
        <w:rPr>
          <w:rFonts w:ascii="Arial" w:hAnsi="Arial" w:cs="Arial"/>
          <w:sz w:val="20"/>
          <w:szCs w:val="20"/>
        </w:rPr>
        <w:t xml:space="preserve"> Goodman, 2011; Connolly et al. 2010; Udo et al. 2010; Kassim, </w:t>
      </w:r>
      <w:r w:rsidR="002D35B9" w:rsidRPr="00482722">
        <w:rPr>
          <w:rFonts w:ascii="Arial" w:hAnsi="Arial" w:cs="Arial"/>
          <w:sz w:val="20"/>
          <w:szCs w:val="20"/>
        </w:rPr>
        <w:t>and</w:t>
      </w:r>
      <w:r w:rsidR="00304E2E" w:rsidRPr="00482722">
        <w:rPr>
          <w:rFonts w:ascii="Arial" w:hAnsi="Arial" w:cs="Arial"/>
          <w:sz w:val="20"/>
          <w:szCs w:val="20"/>
        </w:rPr>
        <w:t xml:space="preserve"> Abdullah, 2008; Gefen, 2002; Pitt et al., 1995). Table </w:t>
      </w:r>
      <w:r w:rsidR="008F59BD" w:rsidRPr="00482722">
        <w:rPr>
          <w:rFonts w:ascii="Arial" w:hAnsi="Arial" w:cs="Arial"/>
          <w:sz w:val="20"/>
          <w:szCs w:val="20"/>
        </w:rPr>
        <w:t>I</w:t>
      </w:r>
      <w:r w:rsidR="00304E2E" w:rsidRPr="00482722">
        <w:rPr>
          <w:rFonts w:ascii="Arial" w:hAnsi="Arial" w:cs="Arial"/>
          <w:sz w:val="20"/>
          <w:szCs w:val="20"/>
        </w:rPr>
        <w:t xml:space="preserve"> presents the dimensions and the</w:t>
      </w:r>
      <w:r w:rsidR="00D50CBA" w:rsidRPr="00482722">
        <w:rPr>
          <w:rFonts w:ascii="Arial" w:hAnsi="Arial" w:cs="Arial"/>
          <w:sz w:val="20"/>
          <w:szCs w:val="20"/>
        </w:rPr>
        <w:t>ir</w:t>
      </w:r>
      <w:r w:rsidR="00304E2E" w:rsidRPr="00482722">
        <w:rPr>
          <w:rFonts w:ascii="Arial" w:hAnsi="Arial" w:cs="Arial"/>
          <w:sz w:val="20"/>
          <w:szCs w:val="20"/>
        </w:rPr>
        <w:t xml:space="preserve"> definition</w:t>
      </w:r>
      <w:r w:rsidR="00304264" w:rsidRPr="00482722">
        <w:rPr>
          <w:rFonts w:ascii="Arial" w:hAnsi="Arial" w:cs="Arial"/>
          <w:sz w:val="20"/>
          <w:szCs w:val="20"/>
        </w:rPr>
        <w:t>s</w:t>
      </w:r>
      <w:r w:rsidR="00BE2FE6" w:rsidRPr="00482722">
        <w:rPr>
          <w:rFonts w:ascii="Arial" w:hAnsi="Arial" w:cs="Arial"/>
          <w:sz w:val="20"/>
          <w:szCs w:val="20"/>
        </w:rPr>
        <w:t>, which have been</w:t>
      </w:r>
      <w:r w:rsidR="00304E2E" w:rsidRPr="00482722">
        <w:rPr>
          <w:rFonts w:ascii="Arial" w:hAnsi="Arial" w:cs="Arial"/>
          <w:sz w:val="20"/>
          <w:szCs w:val="20"/>
        </w:rPr>
        <w:t xml:space="preserve"> adapted </w:t>
      </w:r>
      <w:r w:rsidR="006F0100" w:rsidRPr="00482722">
        <w:rPr>
          <w:rFonts w:ascii="Arial" w:hAnsi="Arial" w:cs="Arial"/>
          <w:sz w:val="20"/>
          <w:szCs w:val="20"/>
        </w:rPr>
        <w:t xml:space="preserve">from Gefen (2002) and Pitt et al. (1995) </w:t>
      </w:r>
      <w:r w:rsidR="00304E2E" w:rsidRPr="00482722">
        <w:rPr>
          <w:rFonts w:ascii="Arial" w:hAnsi="Arial" w:cs="Arial"/>
          <w:sz w:val="20"/>
          <w:szCs w:val="20"/>
        </w:rPr>
        <w:t>to</w:t>
      </w:r>
      <w:r w:rsidR="006F0100" w:rsidRPr="00482722">
        <w:rPr>
          <w:rFonts w:ascii="Arial" w:hAnsi="Arial" w:cs="Arial"/>
          <w:sz w:val="20"/>
          <w:szCs w:val="20"/>
        </w:rPr>
        <w:t xml:space="preserve"> fit </w:t>
      </w:r>
      <w:r w:rsidR="00304E2E" w:rsidRPr="00482722">
        <w:rPr>
          <w:rFonts w:ascii="Arial" w:hAnsi="Arial" w:cs="Arial"/>
          <w:sz w:val="20"/>
          <w:szCs w:val="20"/>
        </w:rPr>
        <w:t>the e-government context.</w:t>
      </w:r>
    </w:p>
    <w:p w14:paraId="575D2E4E" w14:textId="06214EE1" w:rsidR="00304E2E" w:rsidRPr="00482722" w:rsidRDefault="00304E2E"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8F59BD" w:rsidRPr="00482722">
        <w:rPr>
          <w:rFonts w:ascii="Arial" w:hAnsi="Arial" w:cs="Arial"/>
          <w:b/>
          <w:bCs/>
          <w:sz w:val="20"/>
          <w:szCs w:val="20"/>
        </w:rPr>
        <w:t>I</w:t>
      </w:r>
      <w:r w:rsidR="005F7791" w:rsidRPr="00482722">
        <w:rPr>
          <w:rFonts w:ascii="Arial" w:hAnsi="Arial" w:cs="Arial"/>
          <w:b/>
          <w:bCs/>
          <w:sz w:val="20"/>
          <w:szCs w:val="20"/>
        </w:rPr>
        <w:t>.</w:t>
      </w:r>
      <w:r w:rsidRPr="00482722">
        <w:rPr>
          <w:rFonts w:ascii="Arial" w:hAnsi="Arial" w:cs="Arial"/>
          <w:sz w:val="20"/>
          <w:szCs w:val="20"/>
        </w:rPr>
        <w:t xml:space="preserve"> </w:t>
      </w:r>
      <w:r w:rsidR="00847B6B" w:rsidRPr="00482722">
        <w:rPr>
          <w:rFonts w:ascii="Arial" w:hAnsi="Arial" w:cs="Arial"/>
          <w:sz w:val="20"/>
          <w:szCs w:val="20"/>
        </w:rPr>
        <w:t xml:space="preserve">Five dimensions of </w:t>
      </w:r>
      <w:r w:rsidRPr="00482722">
        <w:rPr>
          <w:rFonts w:ascii="Arial" w:hAnsi="Arial" w:cs="Arial"/>
          <w:sz w:val="20"/>
          <w:szCs w:val="20"/>
        </w:rPr>
        <w:t xml:space="preserve">SERVQUAL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6560"/>
      </w:tblGrid>
      <w:tr w:rsidR="00482722" w:rsidRPr="00482722" w14:paraId="6BF311E5" w14:textId="77777777" w:rsidTr="00060774">
        <w:tc>
          <w:tcPr>
            <w:tcW w:w="1736" w:type="dxa"/>
            <w:tcBorders>
              <w:top w:val="single" w:sz="4" w:space="0" w:color="auto"/>
              <w:bottom w:val="single" w:sz="4" w:space="0" w:color="auto"/>
            </w:tcBorders>
          </w:tcPr>
          <w:p w14:paraId="2CC64AAB"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 xml:space="preserve">Dimension </w:t>
            </w:r>
          </w:p>
        </w:tc>
        <w:tc>
          <w:tcPr>
            <w:tcW w:w="6560" w:type="dxa"/>
            <w:tcBorders>
              <w:top w:val="single" w:sz="4" w:space="0" w:color="auto"/>
              <w:bottom w:val="single" w:sz="4" w:space="0" w:color="auto"/>
            </w:tcBorders>
          </w:tcPr>
          <w:p w14:paraId="4E2B3DEA"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Definition</w:t>
            </w:r>
          </w:p>
        </w:tc>
      </w:tr>
      <w:tr w:rsidR="00482722" w:rsidRPr="00482722" w14:paraId="0B890192" w14:textId="77777777" w:rsidTr="006D31B5">
        <w:trPr>
          <w:trHeight w:val="575"/>
        </w:trPr>
        <w:tc>
          <w:tcPr>
            <w:tcW w:w="1736" w:type="dxa"/>
            <w:tcBorders>
              <w:top w:val="single" w:sz="4" w:space="0" w:color="auto"/>
              <w:bottom w:val="nil"/>
            </w:tcBorders>
          </w:tcPr>
          <w:p w14:paraId="670280DD"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lastRenderedPageBreak/>
              <w:t>Tangibles</w:t>
            </w:r>
          </w:p>
        </w:tc>
        <w:tc>
          <w:tcPr>
            <w:tcW w:w="6560" w:type="dxa"/>
            <w:tcBorders>
              <w:top w:val="single" w:sz="4" w:space="0" w:color="auto"/>
              <w:bottom w:val="nil"/>
            </w:tcBorders>
          </w:tcPr>
          <w:p w14:paraId="66169618" w14:textId="7853A3DB" w:rsidR="00304E2E" w:rsidRPr="00482722" w:rsidRDefault="00304264" w:rsidP="006D31B5">
            <w:pPr>
              <w:pStyle w:val="yiv9788245124msoplaintext"/>
              <w:spacing w:before="0" w:beforeAutospacing="0" w:after="0" w:afterAutospacing="0"/>
              <w:rPr>
                <w:rFonts w:ascii="Arial" w:hAnsi="Arial" w:cs="Arial"/>
                <w:sz w:val="20"/>
                <w:szCs w:val="20"/>
                <w:lang w:val="en-GB"/>
              </w:rPr>
            </w:pPr>
            <w:r w:rsidRPr="00482722">
              <w:rPr>
                <w:rFonts w:ascii="Arial" w:hAnsi="Arial" w:cs="Arial"/>
                <w:sz w:val="20"/>
                <w:szCs w:val="20"/>
                <w:lang w:val="en-GB"/>
              </w:rPr>
              <w:t>T</w:t>
            </w:r>
            <w:r w:rsidR="00304E2E" w:rsidRPr="00482722">
              <w:rPr>
                <w:rFonts w:ascii="Arial" w:hAnsi="Arial" w:cs="Arial"/>
                <w:sz w:val="20"/>
                <w:szCs w:val="20"/>
                <w:lang w:val="en-GB"/>
              </w:rPr>
              <w:t>he functional appeal and physical appearance of e-government services.</w:t>
            </w:r>
          </w:p>
        </w:tc>
      </w:tr>
      <w:tr w:rsidR="00482722" w:rsidRPr="00482722" w14:paraId="7251C46B" w14:textId="77777777" w:rsidTr="006D31B5">
        <w:tc>
          <w:tcPr>
            <w:tcW w:w="1736" w:type="dxa"/>
            <w:tcBorders>
              <w:top w:val="nil"/>
              <w:bottom w:val="nil"/>
            </w:tcBorders>
          </w:tcPr>
          <w:p w14:paraId="220DF244"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Reliability</w:t>
            </w:r>
          </w:p>
        </w:tc>
        <w:tc>
          <w:tcPr>
            <w:tcW w:w="6560" w:type="dxa"/>
            <w:tcBorders>
              <w:top w:val="nil"/>
              <w:bottom w:val="nil"/>
            </w:tcBorders>
          </w:tcPr>
          <w:p w14:paraId="0C13E556" w14:textId="1C05478A" w:rsidR="00304E2E" w:rsidRPr="00482722" w:rsidRDefault="008203AB" w:rsidP="006D31B5">
            <w:pPr>
              <w:pStyle w:val="yiv9788245124msoplaintext"/>
              <w:spacing w:before="0" w:beforeAutospacing="0" w:after="0" w:afterAutospacing="0"/>
              <w:rPr>
                <w:rFonts w:ascii="Arial" w:hAnsi="Arial" w:cs="Arial"/>
                <w:sz w:val="20"/>
                <w:szCs w:val="20"/>
                <w:lang w:val="en-GB"/>
              </w:rPr>
            </w:pPr>
            <w:r w:rsidRPr="00482722">
              <w:rPr>
                <w:rFonts w:ascii="Arial" w:hAnsi="Arial" w:cs="Arial"/>
                <w:sz w:val="20"/>
                <w:szCs w:val="20"/>
                <w:lang w:val="en-GB"/>
              </w:rPr>
              <w:t>T</w:t>
            </w:r>
            <w:r w:rsidR="00304E2E" w:rsidRPr="00482722">
              <w:rPr>
                <w:rFonts w:ascii="Arial" w:hAnsi="Arial" w:cs="Arial"/>
                <w:sz w:val="20"/>
                <w:szCs w:val="20"/>
                <w:lang w:val="en-GB"/>
              </w:rPr>
              <w:t>he ability of the e-government portal to perform services dependably and accurately.</w:t>
            </w:r>
          </w:p>
        </w:tc>
      </w:tr>
      <w:tr w:rsidR="00482722" w:rsidRPr="00482722" w14:paraId="215DD904" w14:textId="77777777" w:rsidTr="006D31B5">
        <w:tc>
          <w:tcPr>
            <w:tcW w:w="1736" w:type="dxa"/>
            <w:tcBorders>
              <w:top w:val="nil"/>
            </w:tcBorders>
          </w:tcPr>
          <w:p w14:paraId="45E93535"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Responsiveness</w:t>
            </w:r>
          </w:p>
        </w:tc>
        <w:tc>
          <w:tcPr>
            <w:tcW w:w="6560" w:type="dxa"/>
            <w:tcBorders>
              <w:top w:val="nil"/>
            </w:tcBorders>
          </w:tcPr>
          <w:p w14:paraId="1EAB014E" w14:textId="11964291" w:rsidR="00304E2E" w:rsidRPr="00482722" w:rsidRDefault="008203AB" w:rsidP="006D31B5">
            <w:pPr>
              <w:pStyle w:val="yiv9788245124msoplaintext"/>
              <w:spacing w:before="0" w:beforeAutospacing="0" w:after="0" w:afterAutospacing="0"/>
              <w:rPr>
                <w:rFonts w:ascii="Arial" w:hAnsi="Arial" w:cs="Arial"/>
                <w:sz w:val="20"/>
                <w:szCs w:val="20"/>
                <w:lang w:val="en-GB"/>
              </w:rPr>
            </w:pPr>
            <w:r w:rsidRPr="00482722">
              <w:rPr>
                <w:rFonts w:ascii="Arial" w:hAnsi="Arial" w:cs="Arial"/>
                <w:sz w:val="20"/>
                <w:szCs w:val="20"/>
                <w:lang w:val="en-GB"/>
              </w:rPr>
              <w:t>T</w:t>
            </w:r>
            <w:r w:rsidR="00304E2E" w:rsidRPr="00482722">
              <w:rPr>
                <w:rFonts w:ascii="Arial" w:hAnsi="Arial" w:cs="Arial"/>
                <w:sz w:val="20"/>
                <w:szCs w:val="20"/>
                <w:lang w:val="en-GB"/>
              </w:rPr>
              <w:t xml:space="preserve">he ability of the e-government portal to provide citizens with a helpful and prompt service. </w:t>
            </w:r>
          </w:p>
        </w:tc>
      </w:tr>
      <w:tr w:rsidR="00482722" w:rsidRPr="00482722" w14:paraId="105DB129" w14:textId="77777777" w:rsidTr="00060774">
        <w:tc>
          <w:tcPr>
            <w:tcW w:w="1736" w:type="dxa"/>
          </w:tcPr>
          <w:p w14:paraId="285B3377"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Assurance</w:t>
            </w:r>
          </w:p>
        </w:tc>
        <w:tc>
          <w:tcPr>
            <w:tcW w:w="6560" w:type="dxa"/>
          </w:tcPr>
          <w:p w14:paraId="4DD21ADF" w14:textId="0EA7F153" w:rsidR="00304E2E" w:rsidRPr="00482722" w:rsidRDefault="00133F9F" w:rsidP="006D31B5">
            <w:pPr>
              <w:pStyle w:val="yiv9788245124msoplaintext"/>
              <w:spacing w:before="0" w:beforeAutospacing="0" w:after="0" w:afterAutospacing="0"/>
              <w:rPr>
                <w:rFonts w:ascii="Arial" w:hAnsi="Arial" w:cs="Arial"/>
                <w:sz w:val="20"/>
                <w:szCs w:val="20"/>
                <w:lang w:val="en-GB"/>
              </w:rPr>
            </w:pPr>
            <w:r w:rsidRPr="00482722">
              <w:rPr>
                <w:rFonts w:ascii="Arial" w:hAnsi="Arial" w:cs="Arial"/>
                <w:sz w:val="20"/>
                <w:szCs w:val="20"/>
                <w:lang w:val="en-GB"/>
              </w:rPr>
              <w:t>T</w:t>
            </w:r>
            <w:r w:rsidR="00304E2E" w:rsidRPr="00482722">
              <w:rPr>
                <w:rFonts w:ascii="Arial" w:hAnsi="Arial" w:cs="Arial"/>
                <w:sz w:val="20"/>
                <w:szCs w:val="20"/>
                <w:lang w:val="en-GB"/>
              </w:rPr>
              <w:t>he ability of the e-government portal to inspire trust and confidence in citizens while performing the services; it also refers to the knowledge and courtesy of its team staff.</w:t>
            </w:r>
          </w:p>
        </w:tc>
      </w:tr>
      <w:tr w:rsidR="00304E2E" w:rsidRPr="00482722" w14:paraId="51E24E86" w14:textId="77777777" w:rsidTr="00060774">
        <w:tc>
          <w:tcPr>
            <w:tcW w:w="1736" w:type="dxa"/>
          </w:tcPr>
          <w:p w14:paraId="756224B1" w14:textId="77777777" w:rsidR="00304E2E" w:rsidRPr="00482722" w:rsidRDefault="00304E2E" w:rsidP="00DA5EEC">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Empathy</w:t>
            </w:r>
          </w:p>
        </w:tc>
        <w:tc>
          <w:tcPr>
            <w:tcW w:w="6560" w:type="dxa"/>
          </w:tcPr>
          <w:p w14:paraId="5126A059" w14:textId="5BE1C60E" w:rsidR="00304E2E" w:rsidRPr="00482722" w:rsidRDefault="007E424E" w:rsidP="006D31B5">
            <w:pPr>
              <w:pStyle w:val="yiv9788245124msoplaintext"/>
              <w:spacing w:before="0" w:beforeAutospacing="0" w:after="0" w:afterAutospacing="0"/>
              <w:rPr>
                <w:rFonts w:ascii="Arial" w:hAnsi="Arial" w:cs="Arial"/>
                <w:sz w:val="20"/>
                <w:szCs w:val="20"/>
                <w:lang w:val="en-GB"/>
              </w:rPr>
            </w:pPr>
            <w:r w:rsidRPr="00482722">
              <w:rPr>
                <w:rFonts w:ascii="Arial" w:hAnsi="Arial" w:cs="Arial"/>
                <w:sz w:val="20"/>
                <w:szCs w:val="20"/>
                <w:lang w:val="en-GB"/>
              </w:rPr>
              <w:t>T</w:t>
            </w:r>
            <w:r w:rsidR="00304E2E" w:rsidRPr="00482722">
              <w:rPr>
                <w:rFonts w:ascii="Arial" w:hAnsi="Arial" w:cs="Arial"/>
                <w:sz w:val="20"/>
                <w:szCs w:val="20"/>
                <w:lang w:val="en-GB"/>
              </w:rPr>
              <w:t>he ability of the e-government portal to provide services that satisfy the personal needs of citizens.</w:t>
            </w:r>
          </w:p>
        </w:tc>
      </w:tr>
    </w:tbl>
    <w:p w14:paraId="71D5ABD2" w14:textId="77777777" w:rsidR="0062130E" w:rsidRPr="00482722" w:rsidRDefault="0062130E" w:rsidP="0062130E">
      <w:pPr>
        <w:spacing w:line="240" w:lineRule="auto"/>
        <w:jc w:val="both"/>
        <w:rPr>
          <w:rFonts w:ascii="Arial" w:hAnsi="Arial" w:cs="Arial"/>
          <w:bCs/>
          <w:sz w:val="20"/>
          <w:szCs w:val="20"/>
        </w:rPr>
      </w:pPr>
    </w:p>
    <w:p w14:paraId="5083D199" w14:textId="670BD07D" w:rsidR="00060774" w:rsidRPr="00482722" w:rsidRDefault="00AB7C86" w:rsidP="00A21291">
      <w:pPr>
        <w:spacing w:line="240" w:lineRule="auto"/>
        <w:jc w:val="both"/>
        <w:rPr>
          <w:rFonts w:ascii="Arial" w:hAnsi="Arial" w:cs="Arial"/>
          <w:sz w:val="20"/>
          <w:szCs w:val="20"/>
        </w:rPr>
      </w:pPr>
      <w:r w:rsidRPr="00482722">
        <w:rPr>
          <w:rFonts w:ascii="Arial" w:hAnsi="Arial" w:cs="Arial"/>
          <w:sz w:val="20"/>
          <w:szCs w:val="20"/>
        </w:rPr>
        <w:t xml:space="preserve">In </w:t>
      </w:r>
      <w:r w:rsidR="00FA19A2" w:rsidRPr="00482722">
        <w:rPr>
          <w:rFonts w:ascii="Arial" w:hAnsi="Arial" w:cs="Arial"/>
          <w:sz w:val="20"/>
          <w:szCs w:val="20"/>
        </w:rPr>
        <w:t>the context of this research</w:t>
      </w:r>
      <w:r w:rsidR="00754834" w:rsidRPr="00482722">
        <w:rPr>
          <w:rFonts w:ascii="Arial" w:hAnsi="Arial" w:cs="Arial"/>
          <w:sz w:val="20"/>
          <w:szCs w:val="20"/>
        </w:rPr>
        <w:t>,</w:t>
      </w:r>
      <w:r w:rsidR="00FA19A2" w:rsidRPr="00482722">
        <w:rPr>
          <w:rFonts w:ascii="Arial" w:hAnsi="Arial" w:cs="Arial"/>
          <w:sz w:val="20"/>
          <w:szCs w:val="20"/>
        </w:rPr>
        <w:t xml:space="preserve"> we </w:t>
      </w:r>
      <w:r w:rsidR="00D607B1" w:rsidRPr="00482722">
        <w:rPr>
          <w:rFonts w:ascii="Arial" w:hAnsi="Arial" w:cs="Arial"/>
          <w:sz w:val="20"/>
          <w:szCs w:val="20"/>
        </w:rPr>
        <w:t>follow the definition provided by Connolly (2007)</w:t>
      </w:r>
      <w:r w:rsidR="00C5743A" w:rsidRPr="00482722">
        <w:rPr>
          <w:rFonts w:ascii="Arial" w:hAnsi="Arial" w:cs="Arial"/>
          <w:sz w:val="20"/>
          <w:szCs w:val="20"/>
        </w:rPr>
        <w:t xml:space="preserve"> and refer</w:t>
      </w:r>
      <w:r w:rsidR="00FA19A2" w:rsidRPr="00482722">
        <w:rPr>
          <w:rFonts w:ascii="Arial" w:hAnsi="Arial" w:cs="Arial"/>
          <w:sz w:val="20"/>
          <w:szCs w:val="20"/>
        </w:rPr>
        <w:t xml:space="preserve"> to e-government service quality as the extent to which an e-government service is delivered to citizens in a way they expect in order to accomplish their transaction.</w:t>
      </w:r>
      <w:r w:rsidR="0062130E" w:rsidRPr="00482722">
        <w:rPr>
          <w:rFonts w:ascii="Arial" w:hAnsi="Arial" w:cs="Arial"/>
          <w:sz w:val="20"/>
          <w:szCs w:val="20"/>
        </w:rPr>
        <w:t xml:space="preserve"> Li and Shang (2020) described service quality as the extent to which e-government services are provided in a way that satisf</w:t>
      </w:r>
      <w:r w:rsidR="00E24CEA" w:rsidRPr="00482722">
        <w:rPr>
          <w:rFonts w:ascii="Arial" w:hAnsi="Arial" w:cs="Arial"/>
          <w:sz w:val="20"/>
          <w:szCs w:val="20"/>
        </w:rPr>
        <w:t>ies</w:t>
      </w:r>
      <w:r w:rsidR="0062130E" w:rsidRPr="00482722">
        <w:rPr>
          <w:rFonts w:ascii="Arial" w:hAnsi="Arial" w:cs="Arial"/>
          <w:sz w:val="20"/>
          <w:szCs w:val="20"/>
        </w:rPr>
        <w:t xml:space="preserve"> citizens</w:t>
      </w:r>
      <w:r w:rsidR="00E24CEA" w:rsidRPr="00482722">
        <w:rPr>
          <w:rFonts w:ascii="Arial" w:hAnsi="Arial" w:cs="Arial"/>
          <w:sz w:val="20"/>
          <w:szCs w:val="20"/>
        </w:rPr>
        <w:t>’</w:t>
      </w:r>
      <w:r w:rsidR="0062130E" w:rsidRPr="00482722">
        <w:rPr>
          <w:rFonts w:ascii="Arial" w:hAnsi="Arial" w:cs="Arial"/>
          <w:sz w:val="20"/>
          <w:szCs w:val="20"/>
        </w:rPr>
        <w:t xml:space="preserve"> needs. </w:t>
      </w:r>
      <w:r w:rsidR="00754834" w:rsidRPr="00482722">
        <w:rPr>
          <w:rFonts w:ascii="Arial" w:hAnsi="Arial" w:cs="Arial"/>
          <w:sz w:val="20"/>
          <w:szCs w:val="20"/>
        </w:rPr>
        <w:t>Some</w:t>
      </w:r>
      <w:r w:rsidR="0062130E" w:rsidRPr="00482722">
        <w:rPr>
          <w:rFonts w:ascii="Arial" w:hAnsi="Arial" w:cs="Arial"/>
          <w:sz w:val="20"/>
          <w:szCs w:val="20"/>
        </w:rPr>
        <w:t xml:space="preserve"> studies o</w:t>
      </w:r>
      <w:r w:rsidR="00754834" w:rsidRPr="00482722">
        <w:rPr>
          <w:rFonts w:ascii="Arial" w:hAnsi="Arial" w:cs="Arial"/>
          <w:sz w:val="20"/>
          <w:szCs w:val="20"/>
        </w:rPr>
        <w:t>n</w:t>
      </w:r>
      <w:r w:rsidR="003B52F4" w:rsidRPr="00482722">
        <w:rPr>
          <w:rFonts w:ascii="Arial" w:hAnsi="Arial" w:cs="Arial"/>
          <w:sz w:val="20"/>
          <w:szCs w:val="20"/>
        </w:rPr>
        <w:t xml:space="preserve"> </w:t>
      </w:r>
      <w:r w:rsidR="0062130E" w:rsidRPr="00482722">
        <w:rPr>
          <w:rFonts w:ascii="Arial" w:hAnsi="Arial" w:cs="Arial"/>
          <w:sz w:val="20"/>
          <w:szCs w:val="20"/>
        </w:rPr>
        <w:t xml:space="preserve">e-government adoption have employed service quality in their models as an antecedent </w:t>
      </w:r>
      <w:r w:rsidR="000C253A" w:rsidRPr="00482722">
        <w:rPr>
          <w:rFonts w:ascii="Arial" w:hAnsi="Arial" w:cs="Arial"/>
          <w:sz w:val="20"/>
          <w:szCs w:val="20"/>
        </w:rPr>
        <w:t>of</w:t>
      </w:r>
      <w:r w:rsidR="0062130E" w:rsidRPr="00482722">
        <w:rPr>
          <w:rFonts w:ascii="Arial" w:hAnsi="Arial" w:cs="Arial"/>
          <w:sz w:val="20"/>
          <w:szCs w:val="20"/>
        </w:rPr>
        <w:t xml:space="preserve"> citizen trust (e.g., Alkraiji, 2020a; Kumar et al., 2020; Alzahrani et al., 2018) and satisfaction (e.g.</w:t>
      </w:r>
      <w:r w:rsidR="00FF2911" w:rsidRPr="00482722">
        <w:rPr>
          <w:rFonts w:ascii="Arial" w:hAnsi="Arial" w:cs="Arial"/>
          <w:sz w:val="20"/>
          <w:szCs w:val="20"/>
        </w:rPr>
        <w:t>,</w:t>
      </w:r>
      <w:r w:rsidR="0062130E" w:rsidRPr="00482722">
        <w:rPr>
          <w:rFonts w:ascii="Arial" w:hAnsi="Arial" w:cs="Arial"/>
          <w:sz w:val="20"/>
          <w:szCs w:val="20"/>
        </w:rPr>
        <w:t xml:space="preserve"> Alkraiji, 2020b; Kumar et al., 2020; Li </w:t>
      </w:r>
      <w:r w:rsidR="002D35B9" w:rsidRPr="00482722">
        <w:rPr>
          <w:rFonts w:ascii="Arial" w:hAnsi="Arial" w:cs="Arial"/>
          <w:sz w:val="20"/>
          <w:szCs w:val="20"/>
        </w:rPr>
        <w:t>and</w:t>
      </w:r>
      <w:r w:rsidR="0062130E" w:rsidRPr="00482722">
        <w:rPr>
          <w:rFonts w:ascii="Arial" w:hAnsi="Arial" w:cs="Arial"/>
          <w:sz w:val="20"/>
          <w:szCs w:val="20"/>
        </w:rPr>
        <w:t xml:space="preserve"> Shang, 2020)</w:t>
      </w:r>
      <w:r w:rsidR="00F5660C" w:rsidRPr="00482722">
        <w:rPr>
          <w:rFonts w:ascii="Arial" w:hAnsi="Arial" w:cs="Arial"/>
          <w:sz w:val="20"/>
          <w:szCs w:val="20"/>
        </w:rPr>
        <w:t>;</w:t>
      </w:r>
      <w:r w:rsidR="0062130E" w:rsidRPr="00482722">
        <w:rPr>
          <w:rFonts w:ascii="Arial" w:hAnsi="Arial" w:cs="Arial"/>
          <w:sz w:val="20"/>
          <w:szCs w:val="20"/>
        </w:rPr>
        <w:t xml:space="preserve"> </w:t>
      </w:r>
      <w:r w:rsidR="00574110" w:rsidRPr="00482722">
        <w:rPr>
          <w:rFonts w:ascii="Arial" w:hAnsi="Arial" w:cs="Arial"/>
          <w:sz w:val="20"/>
          <w:szCs w:val="20"/>
        </w:rPr>
        <w:t xml:space="preserve">in the commercial field, </w:t>
      </w:r>
      <w:r w:rsidR="0062130E" w:rsidRPr="00482722">
        <w:rPr>
          <w:rFonts w:ascii="Arial" w:hAnsi="Arial" w:cs="Arial"/>
          <w:sz w:val="20"/>
          <w:szCs w:val="20"/>
        </w:rPr>
        <w:t xml:space="preserve">service quality has been seen </w:t>
      </w:r>
      <w:r w:rsidR="00574110" w:rsidRPr="00482722">
        <w:rPr>
          <w:rFonts w:ascii="Arial" w:hAnsi="Arial" w:cs="Arial"/>
          <w:sz w:val="20"/>
          <w:szCs w:val="20"/>
        </w:rPr>
        <w:t>as</w:t>
      </w:r>
      <w:r w:rsidR="0062130E" w:rsidRPr="00482722">
        <w:rPr>
          <w:rFonts w:ascii="Arial" w:hAnsi="Arial" w:cs="Arial"/>
          <w:sz w:val="20"/>
          <w:szCs w:val="20"/>
        </w:rPr>
        <w:t xml:space="preserve"> a key antecedent </w:t>
      </w:r>
      <w:r w:rsidR="000C253A" w:rsidRPr="00482722">
        <w:rPr>
          <w:rFonts w:ascii="Arial" w:hAnsi="Arial" w:cs="Arial"/>
          <w:sz w:val="20"/>
          <w:szCs w:val="20"/>
        </w:rPr>
        <w:t>of</w:t>
      </w:r>
      <w:r w:rsidR="0062130E" w:rsidRPr="00482722">
        <w:rPr>
          <w:rFonts w:ascii="Arial" w:hAnsi="Arial" w:cs="Arial"/>
          <w:sz w:val="20"/>
          <w:szCs w:val="20"/>
        </w:rPr>
        <w:t xml:space="preserve"> customer loyalty (e.g., Raza et al., 2020; Gao </w:t>
      </w:r>
      <w:r w:rsidR="002D35B9" w:rsidRPr="00482722">
        <w:rPr>
          <w:rFonts w:ascii="Arial" w:hAnsi="Arial" w:cs="Arial"/>
          <w:sz w:val="20"/>
          <w:szCs w:val="20"/>
        </w:rPr>
        <w:t>and</w:t>
      </w:r>
      <w:r w:rsidR="0062130E" w:rsidRPr="00482722">
        <w:rPr>
          <w:rFonts w:ascii="Arial" w:hAnsi="Arial" w:cs="Arial"/>
          <w:sz w:val="20"/>
          <w:szCs w:val="20"/>
        </w:rPr>
        <w:t xml:space="preserve"> Li, 2019; Yadav </w:t>
      </w:r>
      <w:r w:rsidR="002D35B9" w:rsidRPr="00482722">
        <w:rPr>
          <w:rFonts w:ascii="Arial" w:hAnsi="Arial" w:cs="Arial"/>
          <w:sz w:val="20"/>
          <w:szCs w:val="20"/>
        </w:rPr>
        <w:t>and</w:t>
      </w:r>
      <w:r w:rsidR="0062130E" w:rsidRPr="00482722">
        <w:rPr>
          <w:rFonts w:ascii="Arial" w:hAnsi="Arial" w:cs="Arial"/>
          <w:sz w:val="20"/>
          <w:szCs w:val="20"/>
        </w:rPr>
        <w:t xml:space="preserve"> Rai 2019).</w:t>
      </w:r>
    </w:p>
    <w:p w14:paraId="0360B07D" w14:textId="4B4A2FBD" w:rsidR="00304E2E" w:rsidRPr="00482722" w:rsidRDefault="007A0D74" w:rsidP="00460900">
      <w:pPr>
        <w:pStyle w:val="Heading2"/>
        <w:rPr>
          <w:b/>
          <w:rtl/>
        </w:rPr>
      </w:pPr>
      <w:bookmarkStart w:id="3" w:name="_Hlk58181373"/>
      <w:r w:rsidRPr="00482722">
        <w:t>T</w:t>
      </w:r>
      <w:r w:rsidR="0041287D" w:rsidRPr="00482722">
        <w:t>he concept of t</w:t>
      </w:r>
      <w:r w:rsidR="00304E2E" w:rsidRPr="00482722">
        <w:t>rust</w:t>
      </w:r>
    </w:p>
    <w:p w14:paraId="7C8F9F02" w14:textId="2CD2CD4E" w:rsidR="00CA0D2E" w:rsidRPr="00482722" w:rsidRDefault="00CA0D2E" w:rsidP="00CA0D2E">
      <w:pPr>
        <w:spacing w:line="240" w:lineRule="auto"/>
        <w:jc w:val="both"/>
        <w:rPr>
          <w:rFonts w:ascii="Arial" w:hAnsi="Arial" w:cs="Arial"/>
          <w:sz w:val="20"/>
          <w:szCs w:val="20"/>
        </w:rPr>
      </w:pPr>
      <w:bookmarkStart w:id="4" w:name="_Hlk58181342"/>
      <w:bookmarkEnd w:id="3"/>
      <w:r w:rsidRPr="00482722">
        <w:rPr>
          <w:rFonts w:ascii="Arial" w:hAnsi="Arial" w:cs="Arial"/>
          <w:sz w:val="20"/>
          <w:szCs w:val="20"/>
        </w:rPr>
        <w:t>Trust has been defined as an attitude of confident expectation that one’s vulnerabilities in a risky situation will not be exploited (Corritore et al., 2003). It is an important human behaviour that determines the quality of human relationships, especially under conditions of uncertainty and risk (</w:t>
      </w:r>
      <w:r w:rsidRPr="00482722">
        <w:rPr>
          <w:rFonts w:ascii="Arial" w:eastAsia="Times New Roman" w:hAnsi="Arial" w:cs="Arial"/>
          <w:sz w:val="20"/>
          <w:szCs w:val="20"/>
          <w:lang w:eastAsia="en-GB"/>
        </w:rPr>
        <w:t xml:space="preserve">Lara-Rubio et al., 2020; Cao et al. 2018; </w:t>
      </w:r>
      <w:r w:rsidRPr="00482722">
        <w:rPr>
          <w:rFonts w:ascii="Arial" w:hAnsi="Arial" w:cs="Arial"/>
          <w:sz w:val="20"/>
          <w:szCs w:val="20"/>
        </w:rPr>
        <w:t>Ameen et al., 2020a; Maitlo et al., 2019; Ameen et al., 2020b</w:t>
      </w:r>
      <w:r w:rsidR="009E2CAC">
        <w:rPr>
          <w:rFonts w:ascii="Arial" w:hAnsi="Arial" w:cs="Arial"/>
          <w:sz w:val="20"/>
          <w:szCs w:val="20"/>
        </w:rPr>
        <w:t>; Ameen et al., 2021</w:t>
      </w:r>
      <w:r w:rsidRPr="00482722">
        <w:rPr>
          <w:rFonts w:ascii="Arial" w:hAnsi="Arial" w:cs="Arial"/>
          <w:sz w:val="20"/>
          <w:szCs w:val="20"/>
        </w:rPr>
        <w:t xml:space="preserve">). Trust has gained considerable importance in the marketing literature due to its direct impact on building a solid and profitable relationship between service provider and consumer, </w:t>
      </w:r>
      <w:r w:rsidR="003C7C7B" w:rsidRPr="00482722">
        <w:rPr>
          <w:rFonts w:ascii="Arial" w:hAnsi="Arial" w:cs="Arial"/>
          <w:sz w:val="20"/>
          <w:szCs w:val="20"/>
        </w:rPr>
        <w:t xml:space="preserve">especially </w:t>
      </w:r>
      <w:r w:rsidRPr="00482722">
        <w:rPr>
          <w:rFonts w:ascii="Arial" w:hAnsi="Arial" w:cs="Arial"/>
          <w:sz w:val="20"/>
          <w:szCs w:val="20"/>
        </w:rPr>
        <w:t xml:space="preserve">in the online environment, where the absence of face-to-face relationships has exacerbated uncertainty and risk (Kumar et al., 2020; Al-Hujran et al., 2015). </w:t>
      </w:r>
      <w:r w:rsidR="001027E8" w:rsidRPr="00482722">
        <w:rPr>
          <w:rFonts w:ascii="Arial" w:hAnsi="Arial" w:cs="Arial"/>
          <w:sz w:val="20"/>
          <w:szCs w:val="20"/>
        </w:rPr>
        <w:t>D</w:t>
      </w:r>
      <w:r w:rsidRPr="00482722">
        <w:rPr>
          <w:rFonts w:ascii="Arial" w:hAnsi="Arial" w:cs="Arial"/>
          <w:sz w:val="20"/>
          <w:szCs w:val="20"/>
        </w:rPr>
        <w:t>ifferent definitions of trust</w:t>
      </w:r>
      <w:r w:rsidR="001027E8" w:rsidRPr="00482722">
        <w:rPr>
          <w:rFonts w:ascii="Arial" w:hAnsi="Arial" w:cs="Arial"/>
          <w:sz w:val="20"/>
          <w:szCs w:val="20"/>
        </w:rPr>
        <w:t xml:space="preserve"> in the context of online services</w:t>
      </w:r>
      <w:r w:rsidRPr="00482722">
        <w:rPr>
          <w:rFonts w:ascii="Arial" w:hAnsi="Arial" w:cs="Arial"/>
          <w:sz w:val="20"/>
          <w:szCs w:val="20"/>
        </w:rPr>
        <w:t xml:space="preserve"> have been reported in the literature</w:t>
      </w:r>
      <w:r w:rsidR="001027E8" w:rsidRPr="00482722">
        <w:rPr>
          <w:rFonts w:ascii="Arial" w:hAnsi="Arial" w:cs="Arial"/>
          <w:sz w:val="20"/>
          <w:szCs w:val="20"/>
        </w:rPr>
        <w:t>,</w:t>
      </w:r>
      <w:r w:rsidRPr="00482722">
        <w:rPr>
          <w:rFonts w:ascii="Arial" w:hAnsi="Arial" w:cs="Arial"/>
          <w:sz w:val="20"/>
          <w:szCs w:val="20"/>
        </w:rPr>
        <w:t xml:space="preserve"> as trust is a multifaceted and complex construct </w:t>
      </w:r>
      <w:r w:rsidR="00EA3BFD" w:rsidRPr="00482722">
        <w:rPr>
          <w:rFonts w:ascii="Arial" w:hAnsi="Arial" w:cs="Arial"/>
          <w:sz w:val="20"/>
          <w:szCs w:val="20"/>
        </w:rPr>
        <w:t xml:space="preserve">that spans </w:t>
      </w:r>
      <w:r w:rsidRPr="00482722">
        <w:rPr>
          <w:rFonts w:ascii="Arial" w:hAnsi="Arial" w:cs="Arial"/>
          <w:sz w:val="20"/>
          <w:szCs w:val="20"/>
        </w:rPr>
        <w:t>a wide variety of disciplines (</w:t>
      </w:r>
      <w:bookmarkStart w:id="5" w:name="_Hlk58194998"/>
      <w:r w:rsidRPr="00482722">
        <w:rPr>
          <w:rFonts w:ascii="Arial" w:hAnsi="Arial" w:cs="Arial"/>
          <w:sz w:val="20"/>
          <w:szCs w:val="20"/>
        </w:rPr>
        <w:t>Verkijika &amp; De Wet, 2018; Bélanger &amp; Carter, 2008; Welch et al., 2004</w:t>
      </w:r>
      <w:bookmarkEnd w:id="5"/>
      <w:r w:rsidRPr="00482722">
        <w:rPr>
          <w:rFonts w:ascii="Arial" w:hAnsi="Arial" w:cs="Arial"/>
          <w:sz w:val="20"/>
          <w:szCs w:val="20"/>
        </w:rPr>
        <w:t>). A large number of studies have cited Rotter’s definition</w:t>
      </w:r>
      <w:r w:rsidR="00EA3BFD" w:rsidRPr="00482722">
        <w:rPr>
          <w:rFonts w:ascii="Arial" w:hAnsi="Arial" w:cs="Arial"/>
          <w:sz w:val="20"/>
          <w:szCs w:val="20"/>
        </w:rPr>
        <w:t>, which</w:t>
      </w:r>
      <w:r w:rsidRPr="00482722">
        <w:rPr>
          <w:rFonts w:ascii="Arial" w:hAnsi="Arial" w:cs="Arial"/>
          <w:sz w:val="20"/>
          <w:szCs w:val="20"/>
        </w:rPr>
        <w:t xml:space="preserve"> is rooted in social learning theory. Rotter (1971) defined trust as a party’s expectation that the promise </w:t>
      </w:r>
      <w:r w:rsidR="00EA3BFD" w:rsidRPr="00482722">
        <w:rPr>
          <w:rFonts w:ascii="Arial" w:hAnsi="Arial" w:cs="Arial"/>
          <w:sz w:val="20"/>
          <w:szCs w:val="20"/>
        </w:rPr>
        <w:t xml:space="preserve">made by </w:t>
      </w:r>
      <w:r w:rsidRPr="00482722">
        <w:rPr>
          <w:rFonts w:ascii="Arial" w:hAnsi="Arial" w:cs="Arial"/>
          <w:sz w:val="20"/>
          <w:szCs w:val="20"/>
        </w:rPr>
        <w:t xml:space="preserve">the other party can be relied on. </w:t>
      </w:r>
      <w:r w:rsidR="00754834" w:rsidRPr="00482722">
        <w:rPr>
          <w:rFonts w:ascii="Arial" w:hAnsi="Arial" w:cs="Arial"/>
          <w:sz w:val="20"/>
          <w:szCs w:val="20"/>
        </w:rPr>
        <w:t>The author</w:t>
      </w:r>
      <w:r w:rsidRPr="00482722">
        <w:rPr>
          <w:rFonts w:ascii="Arial" w:hAnsi="Arial" w:cs="Arial"/>
          <w:sz w:val="20"/>
          <w:szCs w:val="20"/>
        </w:rPr>
        <w:t xml:space="preserve"> suggested that the trustor could develop different </w:t>
      </w:r>
      <w:r w:rsidR="00994146" w:rsidRPr="00482722">
        <w:rPr>
          <w:rFonts w:ascii="Arial" w:hAnsi="Arial" w:cs="Arial"/>
          <w:sz w:val="20"/>
          <w:szCs w:val="20"/>
        </w:rPr>
        <w:t>expectations</w:t>
      </w:r>
      <w:r w:rsidRPr="00482722">
        <w:rPr>
          <w:rFonts w:ascii="Arial" w:hAnsi="Arial" w:cs="Arial"/>
          <w:sz w:val="20"/>
          <w:szCs w:val="20"/>
        </w:rPr>
        <w:t xml:space="preserve"> based on </w:t>
      </w:r>
      <w:r w:rsidR="00331F50" w:rsidRPr="00482722">
        <w:rPr>
          <w:rFonts w:ascii="Arial" w:hAnsi="Arial" w:cs="Arial"/>
          <w:sz w:val="20"/>
          <w:szCs w:val="20"/>
        </w:rPr>
        <w:t>the positive or negative experiences of the promised reinforcements of the trustee</w:t>
      </w:r>
      <w:r w:rsidRPr="00482722">
        <w:rPr>
          <w:rFonts w:ascii="Arial" w:hAnsi="Arial" w:cs="Arial"/>
          <w:sz w:val="20"/>
          <w:szCs w:val="20"/>
        </w:rPr>
        <w:t>.</w:t>
      </w:r>
    </w:p>
    <w:p w14:paraId="2CD410C1" w14:textId="5EFA8917" w:rsidR="00CA0D2E" w:rsidRPr="00482722" w:rsidRDefault="00CA0D2E" w:rsidP="00CA0D2E">
      <w:pPr>
        <w:spacing w:line="240" w:lineRule="auto"/>
        <w:jc w:val="both"/>
        <w:rPr>
          <w:rFonts w:ascii="Arial" w:hAnsi="Arial" w:cs="Arial"/>
          <w:sz w:val="20"/>
          <w:szCs w:val="20"/>
        </w:rPr>
      </w:pPr>
      <w:r w:rsidRPr="00482722">
        <w:rPr>
          <w:rFonts w:ascii="Arial" w:hAnsi="Arial" w:cs="Arial"/>
          <w:sz w:val="20"/>
          <w:szCs w:val="20"/>
        </w:rPr>
        <w:t xml:space="preserve">In addition, research on trust in e-commerce is somewhat rooted in the two basic modes developed by Zucker (1986) as antecedents </w:t>
      </w:r>
      <w:r w:rsidR="000C253A" w:rsidRPr="00482722">
        <w:rPr>
          <w:rFonts w:ascii="Arial" w:hAnsi="Arial" w:cs="Arial"/>
          <w:sz w:val="20"/>
          <w:szCs w:val="20"/>
        </w:rPr>
        <w:t>of</w:t>
      </w:r>
      <w:r w:rsidRPr="00482722">
        <w:rPr>
          <w:rFonts w:ascii="Arial" w:hAnsi="Arial" w:cs="Arial"/>
          <w:sz w:val="20"/>
          <w:szCs w:val="20"/>
        </w:rPr>
        <w:t xml:space="preserve"> trust in </w:t>
      </w:r>
      <w:r w:rsidR="00ED082B" w:rsidRPr="00482722">
        <w:rPr>
          <w:rFonts w:ascii="Arial" w:hAnsi="Arial" w:cs="Arial"/>
          <w:sz w:val="20"/>
          <w:szCs w:val="20"/>
        </w:rPr>
        <w:t xml:space="preserve">a </w:t>
      </w:r>
      <w:r w:rsidRPr="00482722">
        <w:rPr>
          <w:rFonts w:ascii="Arial" w:hAnsi="Arial" w:cs="Arial"/>
          <w:sz w:val="20"/>
          <w:szCs w:val="20"/>
        </w:rPr>
        <w:t xml:space="preserve">business relationship. These antecedents are </w:t>
      </w:r>
      <w:r w:rsidR="00ED082B" w:rsidRPr="00482722">
        <w:rPr>
          <w:rFonts w:ascii="Arial" w:hAnsi="Arial" w:cs="Arial"/>
          <w:sz w:val="20"/>
          <w:szCs w:val="20"/>
        </w:rPr>
        <w:t>‘</w:t>
      </w:r>
      <w:r w:rsidRPr="00482722">
        <w:rPr>
          <w:rFonts w:ascii="Arial" w:hAnsi="Arial" w:cs="Arial"/>
          <w:sz w:val="20"/>
          <w:szCs w:val="20"/>
        </w:rPr>
        <w:t>institution-based trust</w:t>
      </w:r>
      <w:r w:rsidR="00ED082B" w:rsidRPr="00482722">
        <w:rPr>
          <w:rFonts w:ascii="Arial" w:hAnsi="Arial" w:cs="Arial"/>
          <w:sz w:val="20"/>
          <w:szCs w:val="20"/>
        </w:rPr>
        <w:t>’</w:t>
      </w:r>
      <w:r w:rsidRPr="00482722">
        <w:rPr>
          <w:rFonts w:ascii="Arial" w:hAnsi="Arial" w:cs="Arial"/>
          <w:sz w:val="20"/>
          <w:szCs w:val="20"/>
        </w:rPr>
        <w:t xml:space="preserve"> and </w:t>
      </w:r>
      <w:bookmarkStart w:id="6" w:name="_Hlk58962609"/>
      <w:r w:rsidR="00ED082B" w:rsidRPr="00482722">
        <w:rPr>
          <w:rFonts w:ascii="Arial" w:hAnsi="Arial" w:cs="Arial"/>
          <w:sz w:val="20"/>
          <w:szCs w:val="20"/>
        </w:rPr>
        <w:t>‘</w:t>
      </w:r>
      <w:r w:rsidRPr="00482722">
        <w:rPr>
          <w:rFonts w:ascii="Arial" w:hAnsi="Arial" w:cs="Arial"/>
          <w:sz w:val="20"/>
          <w:szCs w:val="20"/>
        </w:rPr>
        <w:t>process-based trust</w:t>
      </w:r>
      <w:r w:rsidR="00ED082B" w:rsidRPr="00482722">
        <w:rPr>
          <w:rFonts w:ascii="Arial" w:hAnsi="Arial" w:cs="Arial"/>
          <w:sz w:val="20"/>
          <w:szCs w:val="20"/>
        </w:rPr>
        <w:t>’</w:t>
      </w:r>
      <w:r w:rsidRPr="00482722">
        <w:rPr>
          <w:rFonts w:ascii="Arial" w:hAnsi="Arial" w:cs="Arial"/>
          <w:sz w:val="20"/>
          <w:szCs w:val="20"/>
        </w:rPr>
        <w:t xml:space="preserve"> </w:t>
      </w:r>
      <w:bookmarkEnd w:id="6"/>
      <w:r w:rsidRPr="00482722">
        <w:rPr>
          <w:rFonts w:ascii="Arial" w:hAnsi="Arial" w:cs="Arial"/>
          <w:sz w:val="20"/>
          <w:szCs w:val="20"/>
        </w:rPr>
        <w:t xml:space="preserve">(Kumar et al., 2020; Bélanger and Carter, 2008; Gefen et al., 2003; McKnight et al., 2002; Warkentin et al., 2002). </w:t>
      </w:r>
      <w:bookmarkStart w:id="7" w:name="_Hlk58962576"/>
      <w:r w:rsidRPr="00482722">
        <w:rPr>
          <w:rFonts w:ascii="Arial" w:hAnsi="Arial" w:cs="Arial"/>
          <w:sz w:val="20"/>
          <w:szCs w:val="20"/>
        </w:rPr>
        <w:t xml:space="preserve">Institution-based trust </w:t>
      </w:r>
      <w:bookmarkEnd w:id="7"/>
      <w:r w:rsidRPr="00482722">
        <w:rPr>
          <w:rFonts w:ascii="Arial" w:hAnsi="Arial" w:cs="Arial"/>
          <w:sz w:val="20"/>
          <w:szCs w:val="20"/>
        </w:rPr>
        <w:t xml:space="preserve">refers to the consumer’s sense that </w:t>
      </w:r>
      <w:r w:rsidR="00153B6F" w:rsidRPr="00482722">
        <w:rPr>
          <w:rFonts w:ascii="Arial" w:hAnsi="Arial" w:cs="Arial"/>
          <w:sz w:val="20"/>
          <w:szCs w:val="20"/>
        </w:rPr>
        <w:t xml:space="preserve">a </w:t>
      </w:r>
      <w:r w:rsidRPr="00482722">
        <w:rPr>
          <w:rFonts w:ascii="Arial" w:hAnsi="Arial" w:cs="Arial"/>
          <w:sz w:val="20"/>
          <w:szCs w:val="20"/>
        </w:rPr>
        <w:t xml:space="preserve">merchant’s website </w:t>
      </w:r>
      <w:r w:rsidR="00536934" w:rsidRPr="00482722">
        <w:rPr>
          <w:rFonts w:ascii="Arial" w:hAnsi="Arial" w:cs="Arial"/>
          <w:sz w:val="20"/>
          <w:szCs w:val="20"/>
        </w:rPr>
        <w:t xml:space="preserve">provides </w:t>
      </w:r>
      <w:r w:rsidRPr="00482722">
        <w:rPr>
          <w:rFonts w:ascii="Arial" w:hAnsi="Arial" w:cs="Arial"/>
          <w:sz w:val="20"/>
          <w:szCs w:val="20"/>
        </w:rPr>
        <w:t>sufficient structural assurances (i.e., safeguards, guarantees, regulations, promises, legal recourse, or other procedures) that any transaction will be a success as usual. In this case, the customer</w:t>
      </w:r>
      <w:r w:rsidR="009C28A0" w:rsidRPr="00482722">
        <w:rPr>
          <w:rFonts w:ascii="Arial" w:hAnsi="Arial" w:cs="Arial"/>
          <w:sz w:val="20"/>
          <w:szCs w:val="20"/>
        </w:rPr>
        <w:t>’s</w:t>
      </w:r>
      <w:r w:rsidRPr="00482722">
        <w:rPr>
          <w:rFonts w:ascii="Arial" w:hAnsi="Arial" w:cs="Arial"/>
          <w:sz w:val="20"/>
          <w:szCs w:val="20"/>
        </w:rPr>
        <w:t xml:space="preserve"> trust of </w:t>
      </w:r>
      <w:r w:rsidR="00536934" w:rsidRPr="00482722">
        <w:rPr>
          <w:rFonts w:ascii="Arial" w:hAnsi="Arial" w:cs="Arial"/>
          <w:sz w:val="20"/>
          <w:szCs w:val="20"/>
        </w:rPr>
        <w:t xml:space="preserve">an </w:t>
      </w:r>
      <w:r w:rsidRPr="00482722">
        <w:rPr>
          <w:rFonts w:ascii="Arial" w:hAnsi="Arial" w:cs="Arial"/>
          <w:sz w:val="20"/>
          <w:szCs w:val="20"/>
        </w:rPr>
        <w:t xml:space="preserve">online service draws on the merchant’s website to provide </w:t>
      </w:r>
      <w:r w:rsidR="009E2EEC" w:rsidRPr="00482722">
        <w:rPr>
          <w:rFonts w:ascii="Arial" w:hAnsi="Arial" w:cs="Arial"/>
          <w:sz w:val="20"/>
          <w:szCs w:val="20"/>
        </w:rPr>
        <w:t xml:space="preserve">an </w:t>
      </w:r>
      <w:r w:rsidRPr="00482722">
        <w:rPr>
          <w:rFonts w:ascii="Arial" w:hAnsi="Arial" w:cs="Arial"/>
          <w:sz w:val="20"/>
          <w:szCs w:val="20"/>
        </w:rPr>
        <w:t>alternative guarantee for service exchanges. Process-based trust refers to the</w:t>
      </w:r>
      <w:r w:rsidR="009E2EEC" w:rsidRPr="00482722">
        <w:rPr>
          <w:rFonts w:ascii="Arial" w:hAnsi="Arial" w:cs="Arial"/>
          <w:sz w:val="20"/>
          <w:szCs w:val="20"/>
        </w:rPr>
        <w:t xml:space="preserve"> customer’s</w:t>
      </w:r>
      <w:r w:rsidRPr="00482722">
        <w:rPr>
          <w:rFonts w:ascii="Arial" w:hAnsi="Arial" w:cs="Arial"/>
          <w:sz w:val="20"/>
          <w:szCs w:val="20"/>
        </w:rPr>
        <w:t xml:space="preserve"> prior experience </w:t>
      </w:r>
      <w:r w:rsidR="009E2EEC" w:rsidRPr="00482722">
        <w:rPr>
          <w:rFonts w:ascii="Arial" w:hAnsi="Arial" w:cs="Arial"/>
          <w:sz w:val="20"/>
          <w:szCs w:val="20"/>
        </w:rPr>
        <w:t>of</w:t>
      </w:r>
      <w:r w:rsidRPr="00482722">
        <w:rPr>
          <w:rFonts w:ascii="Arial" w:hAnsi="Arial" w:cs="Arial"/>
          <w:sz w:val="20"/>
          <w:szCs w:val="20"/>
        </w:rPr>
        <w:t xml:space="preserve"> the merchant, </w:t>
      </w:r>
      <w:r w:rsidR="00C11CA1" w:rsidRPr="00482722">
        <w:rPr>
          <w:rFonts w:ascii="Arial" w:hAnsi="Arial" w:cs="Arial"/>
          <w:sz w:val="20"/>
          <w:szCs w:val="20"/>
        </w:rPr>
        <w:t xml:space="preserve">and it </w:t>
      </w:r>
      <w:r w:rsidRPr="00482722">
        <w:rPr>
          <w:rFonts w:ascii="Arial" w:hAnsi="Arial" w:cs="Arial"/>
          <w:sz w:val="20"/>
          <w:szCs w:val="20"/>
        </w:rPr>
        <w:t>is developed through</w:t>
      </w:r>
      <w:r w:rsidR="00C11CA1" w:rsidRPr="00482722">
        <w:rPr>
          <w:rFonts w:ascii="Arial" w:hAnsi="Arial" w:cs="Arial"/>
          <w:sz w:val="20"/>
          <w:szCs w:val="20"/>
        </w:rPr>
        <w:t xml:space="preserve"> the</w:t>
      </w:r>
      <w:r w:rsidRPr="00482722">
        <w:rPr>
          <w:rFonts w:ascii="Arial" w:hAnsi="Arial" w:cs="Arial"/>
          <w:sz w:val="20"/>
          <w:szCs w:val="20"/>
        </w:rPr>
        <w:t xml:space="preserve"> iterative interaction</w:t>
      </w:r>
      <w:r w:rsidR="0032377B" w:rsidRPr="00482722">
        <w:rPr>
          <w:rFonts w:ascii="Arial" w:hAnsi="Arial" w:cs="Arial"/>
          <w:sz w:val="20"/>
          <w:szCs w:val="20"/>
        </w:rPr>
        <w:t xml:space="preserve"> with</w:t>
      </w:r>
      <w:r w:rsidRPr="00482722">
        <w:rPr>
          <w:rFonts w:ascii="Arial" w:hAnsi="Arial" w:cs="Arial"/>
          <w:sz w:val="20"/>
          <w:szCs w:val="20"/>
        </w:rPr>
        <w:t xml:space="preserve"> and exchange of services. Therefore, </w:t>
      </w:r>
      <w:r w:rsidR="000E61AF" w:rsidRPr="00482722">
        <w:rPr>
          <w:rFonts w:ascii="Arial" w:hAnsi="Arial" w:cs="Arial"/>
          <w:sz w:val="20"/>
          <w:szCs w:val="20"/>
        </w:rPr>
        <w:t xml:space="preserve">to improve trust and reduce customer uncertainty about online services over </w:t>
      </w:r>
      <w:r w:rsidR="007A2704" w:rsidRPr="00482722">
        <w:rPr>
          <w:rFonts w:ascii="Arial" w:hAnsi="Arial" w:cs="Arial"/>
          <w:sz w:val="20"/>
          <w:szCs w:val="20"/>
        </w:rPr>
        <w:t>time, merchants</w:t>
      </w:r>
      <w:r w:rsidRPr="00482722">
        <w:rPr>
          <w:rFonts w:ascii="Arial" w:hAnsi="Arial" w:cs="Arial"/>
          <w:sz w:val="20"/>
          <w:szCs w:val="20"/>
        </w:rPr>
        <w:t xml:space="preserve"> should convince customers that the same rigorous controls </w:t>
      </w:r>
      <w:r w:rsidR="00A76923" w:rsidRPr="00482722">
        <w:rPr>
          <w:rFonts w:ascii="Arial" w:hAnsi="Arial" w:cs="Arial"/>
          <w:sz w:val="20"/>
          <w:szCs w:val="20"/>
        </w:rPr>
        <w:t xml:space="preserve">that are </w:t>
      </w:r>
      <w:r w:rsidRPr="00482722">
        <w:rPr>
          <w:rFonts w:ascii="Arial" w:hAnsi="Arial" w:cs="Arial"/>
          <w:sz w:val="20"/>
          <w:szCs w:val="20"/>
        </w:rPr>
        <w:t xml:space="preserve">applied to traditional transactions </w:t>
      </w:r>
      <w:r w:rsidR="000E61AF" w:rsidRPr="00482722">
        <w:rPr>
          <w:rFonts w:ascii="Arial" w:hAnsi="Arial" w:cs="Arial"/>
          <w:sz w:val="20"/>
          <w:szCs w:val="20"/>
        </w:rPr>
        <w:t>will</w:t>
      </w:r>
      <w:r w:rsidR="00A76923" w:rsidRPr="00482722">
        <w:rPr>
          <w:rFonts w:ascii="Arial" w:hAnsi="Arial" w:cs="Arial"/>
          <w:sz w:val="20"/>
          <w:szCs w:val="20"/>
        </w:rPr>
        <w:t xml:space="preserve"> also</w:t>
      </w:r>
      <w:r w:rsidR="000E61AF" w:rsidRPr="00482722">
        <w:rPr>
          <w:rFonts w:ascii="Arial" w:hAnsi="Arial" w:cs="Arial"/>
          <w:sz w:val="20"/>
          <w:szCs w:val="20"/>
        </w:rPr>
        <w:t xml:space="preserve"> </w:t>
      </w:r>
      <w:r w:rsidR="00A76923" w:rsidRPr="00482722">
        <w:rPr>
          <w:rFonts w:ascii="Arial" w:hAnsi="Arial" w:cs="Arial"/>
          <w:sz w:val="20"/>
          <w:szCs w:val="20"/>
        </w:rPr>
        <w:t xml:space="preserve">be applied </w:t>
      </w:r>
      <w:r w:rsidRPr="00482722">
        <w:rPr>
          <w:rFonts w:ascii="Arial" w:hAnsi="Arial" w:cs="Arial"/>
          <w:sz w:val="20"/>
          <w:szCs w:val="20"/>
        </w:rPr>
        <w:t>in the online environment.</w:t>
      </w:r>
    </w:p>
    <w:p w14:paraId="5E938DDC" w14:textId="02DD93EC" w:rsidR="00CA0D2E" w:rsidRPr="00482722" w:rsidRDefault="00A87580" w:rsidP="00CA0D2E">
      <w:pPr>
        <w:spacing w:line="240" w:lineRule="auto"/>
        <w:jc w:val="both"/>
        <w:rPr>
          <w:rFonts w:ascii="Arial" w:hAnsi="Arial" w:cs="Arial"/>
          <w:sz w:val="20"/>
          <w:szCs w:val="20"/>
        </w:rPr>
      </w:pPr>
      <w:r w:rsidRPr="00482722">
        <w:rPr>
          <w:rFonts w:ascii="Arial" w:hAnsi="Arial" w:cs="Arial"/>
          <w:sz w:val="20"/>
          <w:szCs w:val="20"/>
        </w:rPr>
        <w:t>A</w:t>
      </w:r>
      <w:r w:rsidR="00CA0D2E" w:rsidRPr="00482722">
        <w:rPr>
          <w:rFonts w:ascii="Arial" w:hAnsi="Arial" w:cs="Arial"/>
          <w:sz w:val="20"/>
          <w:szCs w:val="20"/>
        </w:rPr>
        <w:t xml:space="preserve">lthough trust-related behaviours are largely influenced by </w:t>
      </w:r>
      <w:r w:rsidR="00330392" w:rsidRPr="00482722">
        <w:rPr>
          <w:rFonts w:ascii="Arial" w:hAnsi="Arial" w:cs="Arial"/>
          <w:sz w:val="20"/>
          <w:szCs w:val="20"/>
        </w:rPr>
        <w:t xml:space="preserve">the </w:t>
      </w:r>
      <w:r w:rsidR="00CA0D2E" w:rsidRPr="00482722">
        <w:rPr>
          <w:rFonts w:ascii="Arial" w:hAnsi="Arial" w:cs="Arial"/>
          <w:sz w:val="20"/>
          <w:szCs w:val="20"/>
        </w:rPr>
        <w:t xml:space="preserve">risk associated with both trust in </w:t>
      </w:r>
      <w:r w:rsidR="00234063" w:rsidRPr="00482722">
        <w:rPr>
          <w:rFonts w:ascii="Arial" w:hAnsi="Arial" w:cs="Arial"/>
          <w:sz w:val="20"/>
          <w:szCs w:val="20"/>
        </w:rPr>
        <w:t xml:space="preserve">the </w:t>
      </w:r>
      <w:r w:rsidR="00CA0D2E" w:rsidRPr="00482722">
        <w:rPr>
          <w:rFonts w:ascii="Arial" w:hAnsi="Arial" w:cs="Arial"/>
          <w:sz w:val="20"/>
          <w:szCs w:val="20"/>
        </w:rPr>
        <w:t xml:space="preserve">merchant and trust in the enabling technologies (i.e., </w:t>
      </w:r>
      <w:r w:rsidR="00234063" w:rsidRPr="00482722">
        <w:rPr>
          <w:rFonts w:ascii="Arial" w:hAnsi="Arial" w:cs="Arial"/>
          <w:sz w:val="20"/>
          <w:szCs w:val="20"/>
        </w:rPr>
        <w:t xml:space="preserve">the </w:t>
      </w:r>
      <w:r w:rsidR="00CA0D2E" w:rsidRPr="00482722">
        <w:rPr>
          <w:rFonts w:ascii="Arial" w:hAnsi="Arial" w:cs="Arial"/>
          <w:sz w:val="20"/>
          <w:szCs w:val="20"/>
        </w:rPr>
        <w:t>merchant</w:t>
      </w:r>
      <w:r w:rsidR="00234063" w:rsidRPr="00482722">
        <w:rPr>
          <w:rFonts w:ascii="Arial" w:hAnsi="Arial" w:cs="Arial"/>
          <w:sz w:val="20"/>
          <w:szCs w:val="20"/>
        </w:rPr>
        <w:t>’</w:t>
      </w:r>
      <w:r w:rsidRPr="00482722">
        <w:rPr>
          <w:rFonts w:ascii="Arial" w:hAnsi="Arial" w:cs="Arial"/>
          <w:sz w:val="20"/>
          <w:szCs w:val="20"/>
        </w:rPr>
        <w:t>s</w:t>
      </w:r>
      <w:r w:rsidR="00CA0D2E" w:rsidRPr="00482722">
        <w:rPr>
          <w:rFonts w:ascii="Arial" w:hAnsi="Arial" w:cs="Arial"/>
          <w:sz w:val="20"/>
          <w:szCs w:val="20"/>
        </w:rPr>
        <w:t xml:space="preserve"> website), trust is sometimes a result of </w:t>
      </w:r>
      <w:r w:rsidR="00234063" w:rsidRPr="00482722">
        <w:rPr>
          <w:rFonts w:ascii="Arial" w:hAnsi="Arial" w:cs="Arial"/>
          <w:sz w:val="20"/>
          <w:szCs w:val="20"/>
        </w:rPr>
        <w:t>the</w:t>
      </w:r>
      <w:r w:rsidR="00CA0D2E" w:rsidRPr="00482722">
        <w:rPr>
          <w:rFonts w:ascii="Arial" w:hAnsi="Arial" w:cs="Arial"/>
          <w:sz w:val="20"/>
          <w:szCs w:val="20"/>
        </w:rPr>
        <w:t xml:space="preserve"> psychological disposition of the trustor</w:t>
      </w:r>
      <w:r w:rsidRPr="00482722">
        <w:rPr>
          <w:rFonts w:ascii="Arial" w:hAnsi="Arial" w:cs="Arial"/>
          <w:sz w:val="20"/>
          <w:szCs w:val="20"/>
        </w:rPr>
        <w:t>. T</w:t>
      </w:r>
      <w:r w:rsidR="00CA0D2E" w:rsidRPr="00482722">
        <w:rPr>
          <w:rFonts w:ascii="Arial" w:hAnsi="Arial" w:cs="Arial"/>
          <w:sz w:val="20"/>
          <w:szCs w:val="20"/>
        </w:rPr>
        <w:t xml:space="preserve">his is beyond the immediate control of any trustee (Bélanger and Carter, 2008; Warkentin et al., 2002; Rotter, 1971). </w:t>
      </w:r>
      <w:r w:rsidRPr="00482722">
        <w:rPr>
          <w:rFonts w:ascii="Arial" w:hAnsi="Arial" w:cs="Arial"/>
          <w:sz w:val="20"/>
          <w:szCs w:val="20"/>
        </w:rPr>
        <w:t xml:space="preserve">Previous </w:t>
      </w:r>
      <w:r w:rsidR="005C3761" w:rsidRPr="00482722">
        <w:rPr>
          <w:rFonts w:ascii="Arial" w:hAnsi="Arial" w:cs="Arial"/>
          <w:sz w:val="20"/>
          <w:szCs w:val="20"/>
        </w:rPr>
        <w:t>studies</w:t>
      </w:r>
      <w:r w:rsidR="00DB003D" w:rsidRPr="00482722">
        <w:rPr>
          <w:rFonts w:ascii="Arial" w:hAnsi="Arial" w:cs="Arial"/>
          <w:sz w:val="20"/>
          <w:szCs w:val="20"/>
        </w:rPr>
        <w:t xml:space="preserve"> have</w:t>
      </w:r>
      <w:r w:rsidR="005C3761" w:rsidRPr="00482722">
        <w:rPr>
          <w:rFonts w:ascii="Arial" w:hAnsi="Arial" w:cs="Arial"/>
          <w:sz w:val="20"/>
          <w:szCs w:val="20"/>
        </w:rPr>
        <w:t xml:space="preserve"> found</w:t>
      </w:r>
      <w:r w:rsidR="00CA0D2E" w:rsidRPr="00482722">
        <w:rPr>
          <w:rFonts w:ascii="Arial" w:hAnsi="Arial" w:cs="Arial"/>
          <w:sz w:val="20"/>
          <w:szCs w:val="20"/>
        </w:rPr>
        <w:t xml:space="preserve"> </w:t>
      </w:r>
      <w:r w:rsidR="00DB003D" w:rsidRPr="00482722">
        <w:rPr>
          <w:rFonts w:ascii="Arial" w:hAnsi="Arial" w:cs="Arial"/>
          <w:sz w:val="20"/>
          <w:szCs w:val="20"/>
        </w:rPr>
        <w:t xml:space="preserve">that </w:t>
      </w:r>
      <w:r w:rsidR="00CA0D2E" w:rsidRPr="00482722">
        <w:rPr>
          <w:rFonts w:ascii="Arial" w:hAnsi="Arial" w:cs="Arial"/>
          <w:sz w:val="20"/>
          <w:szCs w:val="20"/>
        </w:rPr>
        <w:t xml:space="preserve">the psychological disposition of the trustor </w:t>
      </w:r>
      <w:r w:rsidR="00DB003D" w:rsidRPr="00482722">
        <w:rPr>
          <w:rFonts w:ascii="Arial" w:hAnsi="Arial" w:cs="Arial"/>
          <w:sz w:val="20"/>
          <w:szCs w:val="20"/>
        </w:rPr>
        <w:t>has</w:t>
      </w:r>
      <w:r w:rsidR="00CA0D2E" w:rsidRPr="00482722">
        <w:rPr>
          <w:rFonts w:ascii="Arial" w:hAnsi="Arial" w:cs="Arial"/>
          <w:sz w:val="20"/>
          <w:szCs w:val="20"/>
        </w:rPr>
        <w:t xml:space="preserve"> a direct impact </w:t>
      </w:r>
      <w:r w:rsidR="00CA0D2E" w:rsidRPr="00482722">
        <w:rPr>
          <w:rFonts w:ascii="Arial" w:hAnsi="Arial" w:cs="Arial"/>
          <w:sz w:val="20"/>
          <w:szCs w:val="20"/>
        </w:rPr>
        <w:lastRenderedPageBreak/>
        <w:t>on the use of online services, as is often attributed as the essential substrate of trust in the psychologically</w:t>
      </w:r>
      <w:r w:rsidRPr="00482722">
        <w:rPr>
          <w:rFonts w:ascii="Arial" w:hAnsi="Arial" w:cs="Arial"/>
          <w:sz w:val="20"/>
          <w:szCs w:val="20"/>
        </w:rPr>
        <w:t xml:space="preserve"> (e.g., Janssen et al., 2018; Bélanger and Carter, 2008; McKnight et al., 2002; Warkentin et al. 2002)</w:t>
      </w:r>
      <w:r w:rsidR="00CA0D2E" w:rsidRPr="00482722">
        <w:rPr>
          <w:rFonts w:ascii="Arial" w:hAnsi="Arial" w:cs="Arial"/>
          <w:sz w:val="20"/>
          <w:szCs w:val="20"/>
        </w:rPr>
        <w:t xml:space="preserve">. A disposition to trust refers to an individual’s general propensity to trust others (Janssen et al., 2018; Bélanger and Carter, 2008; McKnight et al., 2002; Warkentin et al., 2002). These perennial propensities vary </w:t>
      </w:r>
      <w:r w:rsidR="00A3159A" w:rsidRPr="00482722">
        <w:rPr>
          <w:rFonts w:ascii="Arial" w:hAnsi="Arial" w:cs="Arial"/>
          <w:sz w:val="20"/>
          <w:szCs w:val="20"/>
        </w:rPr>
        <w:t xml:space="preserve">widely </w:t>
      </w:r>
      <w:r w:rsidR="00CA0D2E" w:rsidRPr="00482722">
        <w:rPr>
          <w:rFonts w:ascii="Arial" w:hAnsi="Arial" w:cs="Arial"/>
          <w:sz w:val="20"/>
          <w:szCs w:val="20"/>
        </w:rPr>
        <w:t>from one person to another</w:t>
      </w:r>
      <w:r w:rsidR="005E5EAB" w:rsidRPr="00482722">
        <w:rPr>
          <w:rFonts w:ascii="Arial" w:hAnsi="Arial" w:cs="Arial"/>
          <w:sz w:val="20"/>
          <w:szCs w:val="20"/>
        </w:rPr>
        <w:t>,</w:t>
      </w:r>
      <w:r w:rsidR="00CA0D2E" w:rsidRPr="00482722">
        <w:rPr>
          <w:rFonts w:ascii="Arial" w:hAnsi="Arial" w:cs="Arial"/>
          <w:sz w:val="20"/>
          <w:szCs w:val="20"/>
        </w:rPr>
        <w:t xml:space="preserve"> and </w:t>
      </w:r>
      <w:r w:rsidR="005E5EAB" w:rsidRPr="00482722">
        <w:rPr>
          <w:rFonts w:ascii="Arial" w:hAnsi="Arial" w:cs="Arial"/>
          <w:sz w:val="20"/>
          <w:szCs w:val="20"/>
        </w:rPr>
        <w:t xml:space="preserve">they </w:t>
      </w:r>
      <w:r w:rsidR="00CA0D2E" w:rsidRPr="00482722">
        <w:rPr>
          <w:rFonts w:ascii="Arial" w:hAnsi="Arial" w:cs="Arial"/>
          <w:sz w:val="20"/>
          <w:szCs w:val="20"/>
        </w:rPr>
        <w:t>can be attributed to lifelong social tendencies and experiences that play a role in developing a general propensity to trust others (Bélanger and Carter, 2008; Warkentin et al., 2002).</w:t>
      </w:r>
    </w:p>
    <w:p w14:paraId="5DB61147" w14:textId="41483873" w:rsidR="00CA0D2E" w:rsidRPr="00482722" w:rsidRDefault="00CA0D2E" w:rsidP="00CA0D2E">
      <w:pPr>
        <w:spacing w:line="240" w:lineRule="auto"/>
        <w:jc w:val="both"/>
        <w:rPr>
          <w:rFonts w:ascii="Arial" w:hAnsi="Arial" w:cs="Arial"/>
          <w:sz w:val="20"/>
          <w:szCs w:val="20"/>
        </w:rPr>
      </w:pPr>
      <w:bookmarkStart w:id="8" w:name="_Hlk58962526"/>
      <w:r w:rsidRPr="00482722">
        <w:rPr>
          <w:rFonts w:ascii="Arial" w:hAnsi="Arial" w:cs="Arial"/>
          <w:sz w:val="20"/>
          <w:szCs w:val="20"/>
        </w:rPr>
        <w:t xml:space="preserve">Accordingly, </w:t>
      </w:r>
      <w:r w:rsidR="001B67E6" w:rsidRPr="00482722">
        <w:rPr>
          <w:rFonts w:ascii="Arial" w:hAnsi="Arial" w:cs="Arial"/>
          <w:sz w:val="20"/>
          <w:szCs w:val="20"/>
        </w:rPr>
        <w:t xml:space="preserve">the ability to build </w:t>
      </w:r>
      <w:r w:rsidRPr="00482722">
        <w:rPr>
          <w:rFonts w:ascii="Arial" w:hAnsi="Arial" w:cs="Arial"/>
          <w:sz w:val="20"/>
          <w:szCs w:val="20"/>
        </w:rPr>
        <w:t>positive feelings of confidence among consumers in e-commerce is influenced by three basic constructs: (1) the consumer’s psychological disposition to trust</w:t>
      </w:r>
      <w:r w:rsidR="004B15A5" w:rsidRPr="00482722">
        <w:rPr>
          <w:rFonts w:ascii="Arial" w:hAnsi="Arial" w:cs="Arial"/>
          <w:sz w:val="20"/>
          <w:szCs w:val="20"/>
        </w:rPr>
        <w:t>;</w:t>
      </w:r>
      <w:r w:rsidRPr="00482722">
        <w:rPr>
          <w:rFonts w:ascii="Arial" w:hAnsi="Arial" w:cs="Arial"/>
          <w:sz w:val="20"/>
          <w:szCs w:val="20"/>
        </w:rPr>
        <w:t xml:space="preserve"> (2) the consumer’s trust in the enabling technologies </w:t>
      </w:r>
      <w:r w:rsidR="003E1F0E" w:rsidRPr="00482722">
        <w:rPr>
          <w:rFonts w:ascii="Arial" w:hAnsi="Arial" w:cs="Arial"/>
          <w:sz w:val="20"/>
          <w:szCs w:val="20"/>
        </w:rPr>
        <w:t xml:space="preserve">used for </w:t>
      </w:r>
      <w:r w:rsidRPr="00482722">
        <w:rPr>
          <w:rFonts w:ascii="Arial" w:hAnsi="Arial" w:cs="Arial"/>
          <w:sz w:val="20"/>
          <w:szCs w:val="20"/>
        </w:rPr>
        <w:t>the merchant’s website</w:t>
      </w:r>
      <w:r w:rsidR="004B15A5" w:rsidRPr="00482722">
        <w:rPr>
          <w:rFonts w:ascii="Arial" w:hAnsi="Arial" w:cs="Arial"/>
          <w:sz w:val="20"/>
          <w:szCs w:val="20"/>
        </w:rPr>
        <w:t>;</w:t>
      </w:r>
      <w:r w:rsidRPr="00482722">
        <w:rPr>
          <w:rFonts w:ascii="Arial" w:hAnsi="Arial" w:cs="Arial"/>
          <w:sz w:val="20"/>
          <w:szCs w:val="20"/>
        </w:rPr>
        <w:t xml:space="preserve"> and (3) the consumer’s trust in the merchant in general. </w:t>
      </w:r>
      <w:bookmarkEnd w:id="8"/>
      <w:r w:rsidRPr="00482722">
        <w:rPr>
          <w:rFonts w:ascii="Arial" w:hAnsi="Arial" w:cs="Arial"/>
          <w:sz w:val="20"/>
          <w:szCs w:val="20"/>
        </w:rPr>
        <w:t>The</w:t>
      </w:r>
      <w:r w:rsidR="00A87580" w:rsidRPr="00482722">
        <w:rPr>
          <w:rFonts w:ascii="Arial" w:hAnsi="Arial" w:cs="Arial"/>
          <w:sz w:val="20"/>
          <w:szCs w:val="20"/>
        </w:rPr>
        <w:t>se</w:t>
      </w:r>
      <w:r w:rsidRPr="00482722">
        <w:rPr>
          <w:rFonts w:ascii="Arial" w:hAnsi="Arial" w:cs="Arial"/>
          <w:sz w:val="20"/>
          <w:szCs w:val="20"/>
        </w:rPr>
        <w:t xml:space="preserve"> three factors have been widely adapted and applied in the literature o</w:t>
      </w:r>
      <w:r w:rsidR="005D61E1" w:rsidRPr="00482722">
        <w:rPr>
          <w:rFonts w:ascii="Arial" w:hAnsi="Arial" w:cs="Arial"/>
          <w:sz w:val="20"/>
          <w:szCs w:val="20"/>
        </w:rPr>
        <w:t>n</w:t>
      </w:r>
      <w:r w:rsidRPr="00482722">
        <w:rPr>
          <w:rFonts w:ascii="Arial" w:hAnsi="Arial" w:cs="Arial"/>
          <w:sz w:val="20"/>
          <w:szCs w:val="20"/>
        </w:rPr>
        <w:t xml:space="preserve"> e-government services</w:t>
      </w:r>
      <w:r w:rsidR="005D61E1" w:rsidRPr="00482722">
        <w:rPr>
          <w:rFonts w:ascii="Arial" w:hAnsi="Arial" w:cs="Arial"/>
          <w:sz w:val="20"/>
          <w:szCs w:val="20"/>
        </w:rPr>
        <w:t>,</w:t>
      </w:r>
      <w:r w:rsidRPr="00482722">
        <w:rPr>
          <w:rFonts w:ascii="Arial" w:hAnsi="Arial" w:cs="Arial"/>
          <w:sz w:val="20"/>
          <w:szCs w:val="20"/>
        </w:rPr>
        <w:t xml:space="preserve"> as they constitute the foundation </w:t>
      </w:r>
      <w:r w:rsidR="00CC7D41" w:rsidRPr="00482722">
        <w:rPr>
          <w:rFonts w:ascii="Arial" w:hAnsi="Arial" w:cs="Arial"/>
          <w:sz w:val="20"/>
          <w:szCs w:val="20"/>
        </w:rPr>
        <w:t xml:space="preserve">for </w:t>
      </w:r>
      <w:r w:rsidRPr="00482722">
        <w:rPr>
          <w:rFonts w:ascii="Arial" w:hAnsi="Arial" w:cs="Arial"/>
          <w:sz w:val="20"/>
          <w:szCs w:val="20"/>
        </w:rPr>
        <w:t>investigat</w:t>
      </w:r>
      <w:r w:rsidR="00CC7D41" w:rsidRPr="00482722">
        <w:rPr>
          <w:rFonts w:ascii="Arial" w:hAnsi="Arial" w:cs="Arial"/>
          <w:sz w:val="20"/>
          <w:szCs w:val="20"/>
        </w:rPr>
        <w:t>ing</w:t>
      </w:r>
      <w:r w:rsidRPr="00482722">
        <w:rPr>
          <w:rFonts w:ascii="Arial" w:hAnsi="Arial" w:cs="Arial"/>
          <w:sz w:val="20"/>
          <w:szCs w:val="20"/>
        </w:rPr>
        <w:t xml:space="preserve"> the formation of citizens’ perceptions </w:t>
      </w:r>
      <w:r w:rsidR="00CC7D41" w:rsidRPr="00482722">
        <w:rPr>
          <w:rFonts w:ascii="Arial" w:hAnsi="Arial" w:cs="Arial"/>
          <w:sz w:val="20"/>
          <w:szCs w:val="20"/>
        </w:rPr>
        <w:t>on adopting</w:t>
      </w:r>
      <w:r w:rsidRPr="00482722">
        <w:rPr>
          <w:rFonts w:ascii="Arial" w:hAnsi="Arial" w:cs="Arial"/>
          <w:sz w:val="20"/>
          <w:szCs w:val="20"/>
        </w:rPr>
        <w:t xml:space="preserve"> e-government services</w:t>
      </w:r>
      <w:r w:rsidR="00E15F68" w:rsidRPr="00482722">
        <w:rPr>
          <w:rFonts w:ascii="Arial" w:hAnsi="Arial" w:cs="Arial"/>
          <w:sz w:val="20"/>
          <w:szCs w:val="20"/>
        </w:rPr>
        <w:t>.</w:t>
      </w:r>
      <w:r w:rsidR="00065970" w:rsidRPr="00482722">
        <w:rPr>
          <w:rFonts w:ascii="Arial" w:hAnsi="Arial" w:cs="Arial"/>
          <w:sz w:val="20"/>
          <w:szCs w:val="20"/>
        </w:rPr>
        <w:t xml:space="preserve"> Studies have focused on the disposition to trust </w:t>
      </w:r>
      <w:r w:rsidRPr="00482722">
        <w:rPr>
          <w:rFonts w:ascii="Arial" w:hAnsi="Arial" w:cs="Arial"/>
          <w:sz w:val="20"/>
          <w:szCs w:val="20"/>
        </w:rPr>
        <w:t xml:space="preserve"> (e.g., </w:t>
      </w:r>
      <w:bookmarkStart w:id="9" w:name="_Hlk58189846"/>
      <w:r w:rsidRPr="00482722">
        <w:rPr>
          <w:rFonts w:ascii="Arial" w:hAnsi="Arial" w:cs="Arial"/>
          <w:sz w:val="20"/>
          <w:szCs w:val="20"/>
        </w:rPr>
        <w:t>Alzahrani et al., 2018;</w:t>
      </w:r>
      <w:r w:rsidR="00C15104" w:rsidRPr="00482722">
        <w:rPr>
          <w:rFonts w:ascii="Arial" w:hAnsi="Arial" w:cs="Arial"/>
          <w:sz w:val="20"/>
          <w:szCs w:val="20"/>
        </w:rPr>
        <w:t xml:space="preserve"> Janssen et al., 2018; </w:t>
      </w:r>
      <w:r w:rsidRPr="00482722">
        <w:rPr>
          <w:rFonts w:ascii="Arial" w:hAnsi="Arial" w:cs="Arial"/>
          <w:sz w:val="20"/>
          <w:szCs w:val="20"/>
        </w:rPr>
        <w:t>Beldad et al., 2012</w:t>
      </w:r>
      <w:bookmarkEnd w:id="9"/>
      <w:r w:rsidRPr="00482722">
        <w:rPr>
          <w:rFonts w:ascii="Arial" w:hAnsi="Arial" w:cs="Arial"/>
          <w:sz w:val="20"/>
          <w:szCs w:val="20"/>
        </w:rPr>
        <w:t>; Srivastava and Teo, 2009; Bélanger and Carter, 2008),</w:t>
      </w:r>
      <w:r w:rsidR="00A50F1E" w:rsidRPr="00482722">
        <w:rPr>
          <w:rFonts w:ascii="Arial" w:hAnsi="Arial" w:cs="Arial"/>
          <w:sz w:val="20"/>
          <w:szCs w:val="20"/>
        </w:rPr>
        <w:t xml:space="preserve"> </w:t>
      </w:r>
      <w:r w:rsidRPr="00482722">
        <w:rPr>
          <w:rFonts w:ascii="Arial" w:hAnsi="Arial" w:cs="Arial"/>
          <w:sz w:val="20"/>
          <w:szCs w:val="20"/>
        </w:rPr>
        <w:t xml:space="preserve">trust in government (e.g., </w:t>
      </w:r>
      <w:bookmarkStart w:id="10" w:name="_Hlk58192048"/>
      <w:r w:rsidRPr="00482722">
        <w:rPr>
          <w:rFonts w:ascii="Arial" w:hAnsi="Arial" w:cs="Arial"/>
          <w:sz w:val="20"/>
          <w:szCs w:val="20"/>
        </w:rPr>
        <w:t>Alzahrani et al., 2018; Janssen et al., 2018; Sá et al., 2016; Fakhoury and Aubert, 2015; Abu-Shanab, 2014</w:t>
      </w:r>
      <w:bookmarkEnd w:id="10"/>
      <w:r w:rsidRPr="00482722">
        <w:rPr>
          <w:rFonts w:ascii="Arial" w:hAnsi="Arial" w:cs="Arial"/>
          <w:sz w:val="20"/>
          <w:szCs w:val="20"/>
        </w:rPr>
        <w:t xml:space="preserve">; Beldad et al., 2012; Morgeson III et al., 2010; Srivastava and Teo, 2009; Bélanger and Carter; 2008 ), and trust in e-government (e.g., Kumar et al., 2020; </w:t>
      </w:r>
      <w:r w:rsidRPr="00482722">
        <w:rPr>
          <w:rFonts w:ascii="Arial" w:hAnsi="Arial" w:cs="Arial"/>
          <w:sz w:val="20"/>
          <w:szCs w:val="20"/>
          <w:shd w:val="clear" w:color="auto" w:fill="FFFFFF"/>
        </w:rPr>
        <w:t>Santa et al., 2019</w:t>
      </w:r>
      <w:r w:rsidRPr="00482722">
        <w:rPr>
          <w:rFonts w:ascii="Arial" w:hAnsi="Arial" w:cs="Arial"/>
          <w:sz w:val="20"/>
          <w:szCs w:val="20"/>
        </w:rPr>
        <w:t>; Alzahrani et al., 2018; Sá et al., 2016).</w:t>
      </w:r>
      <w:r w:rsidR="00A87580" w:rsidRPr="00482722">
        <w:rPr>
          <w:rFonts w:ascii="Arial" w:hAnsi="Arial" w:cs="Arial"/>
          <w:sz w:val="20"/>
          <w:szCs w:val="20"/>
        </w:rPr>
        <w:t xml:space="preserve"> </w:t>
      </w:r>
      <w:r w:rsidR="00A50F1E" w:rsidRPr="00482722">
        <w:rPr>
          <w:rFonts w:ascii="Arial" w:hAnsi="Arial" w:cs="Arial"/>
          <w:sz w:val="20"/>
          <w:szCs w:val="20"/>
        </w:rPr>
        <w:t xml:space="preserve">In </w:t>
      </w:r>
      <w:r w:rsidR="00A87580" w:rsidRPr="00482722">
        <w:rPr>
          <w:rFonts w:ascii="Arial" w:hAnsi="Arial" w:cs="Arial"/>
          <w:sz w:val="20"/>
          <w:szCs w:val="20"/>
        </w:rPr>
        <w:t xml:space="preserve">the context of this research, we define disposition to trust as the general tendency of citizens to be willing to depend on e-government across a broad spectrum of government services and technologies. Trust in government refers to the aggregation of citizens’ belief in the government’s ability to act faithfully in </w:t>
      </w:r>
      <w:r w:rsidR="008F415A" w:rsidRPr="00482722">
        <w:rPr>
          <w:rFonts w:ascii="Arial" w:hAnsi="Arial" w:cs="Arial"/>
          <w:sz w:val="20"/>
          <w:szCs w:val="20"/>
        </w:rPr>
        <w:t>their</w:t>
      </w:r>
      <w:r w:rsidR="00A87580" w:rsidRPr="00482722">
        <w:rPr>
          <w:rFonts w:ascii="Arial" w:hAnsi="Arial" w:cs="Arial"/>
          <w:sz w:val="20"/>
          <w:szCs w:val="20"/>
        </w:rPr>
        <w:t xml:space="preserve"> interests, while trust in e-government refers to the aggregation of citizens’ belief in the </w:t>
      </w:r>
      <w:r w:rsidR="00F75C0C" w:rsidRPr="00482722">
        <w:rPr>
          <w:rFonts w:ascii="Arial" w:hAnsi="Arial" w:cs="Arial"/>
          <w:sz w:val="20"/>
          <w:szCs w:val="20"/>
        </w:rPr>
        <w:t xml:space="preserve">ability of </w:t>
      </w:r>
      <w:r w:rsidR="00A87580" w:rsidRPr="00482722">
        <w:rPr>
          <w:rFonts w:ascii="Arial" w:hAnsi="Arial" w:cs="Arial"/>
          <w:sz w:val="20"/>
          <w:szCs w:val="20"/>
        </w:rPr>
        <w:t xml:space="preserve">e-government to </w:t>
      </w:r>
      <w:r w:rsidR="00C9606F" w:rsidRPr="00482722">
        <w:rPr>
          <w:rFonts w:ascii="Arial" w:hAnsi="Arial" w:cs="Arial"/>
          <w:sz w:val="20"/>
          <w:szCs w:val="20"/>
        </w:rPr>
        <w:t xml:space="preserve">consistently </w:t>
      </w:r>
      <w:r w:rsidR="00A87580" w:rsidRPr="00482722">
        <w:rPr>
          <w:rFonts w:ascii="Arial" w:hAnsi="Arial" w:cs="Arial"/>
          <w:sz w:val="20"/>
          <w:szCs w:val="20"/>
        </w:rPr>
        <w:t xml:space="preserve">operate </w:t>
      </w:r>
      <w:r w:rsidR="004B30C0" w:rsidRPr="00482722">
        <w:rPr>
          <w:rFonts w:ascii="Arial" w:hAnsi="Arial" w:cs="Arial"/>
          <w:sz w:val="20"/>
          <w:szCs w:val="20"/>
        </w:rPr>
        <w:t xml:space="preserve">in a proper </w:t>
      </w:r>
      <w:r w:rsidR="00A87580" w:rsidRPr="00482722">
        <w:rPr>
          <w:rFonts w:ascii="Arial" w:hAnsi="Arial" w:cs="Arial"/>
          <w:sz w:val="20"/>
          <w:szCs w:val="20"/>
        </w:rPr>
        <w:t>and safe</w:t>
      </w:r>
      <w:r w:rsidR="004B30C0" w:rsidRPr="00482722">
        <w:rPr>
          <w:rFonts w:ascii="Arial" w:hAnsi="Arial" w:cs="Arial"/>
          <w:sz w:val="20"/>
          <w:szCs w:val="20"/>
        </w:rPr>
        <w:t xml:space="preserve"> wa</w:t>
      </w:r>
      <w:r w:rsidR="00A87580" w:rsidRPr="00482722">
        <w:rPr>
          <w:rFonts w:ascii="Arial" w:hAnsi="Arial" w:cs="Arial"/>
          <w:sz w:val="20"/>
          <w:szCs w:val="20"/>
        </w:rPr>
        <w:t>y.</w:t>
      </w:r>
    </w:p>
    <w:bookmarkEnd w:id="4"/>
    <w:p w14:paraId="0700E504" w14:textId="51E4215F" w:rsidR="00304E2E" w:rsidRPr="00482722" w:rsidRDefault="001D43E7" w:rsidP="00460900">
      <w:pPr>
        <w:pStyle w:val="Heading2"/>
        <w:rPr>
          <w:b/>
        </w:rPr>
      </w:pPr>
      <w:r w:rsidRPr="00482722">
        <w:t>Citizen s</w:t>
      </w:r>
      <w:r w:rsidR="00304E2E" w:rsidRPr="00482722">
        <w:t>atisfaction</w:t>
      </w:r>
    </w:p>
    <w:p w14:paraId="485E8113" w14:textId="2E4ABD83" w:rsidR="00304E2E" w:rsidRPr="00482722" w:rsidRDefault="002B5AC0" w:rsidP="002B5AC0">
      <w:pPr>
        <w:spacing w:line="240" w:lineRule="auto"/>
        <w:jc w:val="both"/>
        <w:rPr>
          <w:rFonts w:ascii="Arial" w:hAnsi="Arial" w:cs="Arial"/>
          <w:sz w:val="20"/>
          <w:szCs w:val="20"/>
        </w:rPr>
      </w:pPr>
      <w:r w:rsidRPr="00482722">
        <w:rPr>
          <w:rFonts w:ascii="Arial" w:hAnsi="Arial" w:cs="Arial"/>
          <w:sz w:val="20"/>
          <w:szCs w:val="20"/>
        </w:rPr>
        <w:t xml:space="preserve">Citizen satisfaction </w:t>
      </w:r>
      <w:r w:rsidR="004A3484" w:rsidRPr="00482722">
        <w:rPr>
          <w:rFonts w:ascii="Arial" w:hAnsi="Arial" w:cs="Arial"/>
          <w:sz w:val="20"/>
          <w:szCs w:val="20"/>
        </w:rPr>
        <w:t xml:space="preserve">with </w:t>
      </w:r>
      <w:r w:rsidRPr="00482722">
        <w:rPr>
          <w:rFonts w:ascii="Arial" w:hAnsi="Arial" w:cs="Arial"/>
          <w:sz w:val="20"/>
          <w:szCs w:val="20"/>
        </w:rPr>
        <w:t>e-government</w:t>
      </w:r>
      <w:r w:rsidR="00A87580" w:rsidRPr="00482722">
        <w:rPr>
          <w:rFonts w:ascii="Arial" w:hAnsi="Arial" w:cs="Arial"/>
          <w:sz w:val="20"/>
          <w:szCs w:val="20"/>
        </w:rPr>
        <w:t xml:space="preserve"> services</w:t>
      </w:r>
      <w:r w:rsidRPr="00482722">
        <w:rPr>
          <w:rFonts w:ascii="Arial" w:hAnsi="Arial" w:cs="Arial"/>
          <w:sz w:val="20"/>
          <w:szCs w:val="20"/>
        </w:rPr>
        <w:t xml:space="preserve"> can be defined as an ex-post evaluation of user experience of </w:t>
      </w:r>
      <w:r w:rsidR="004D0EAF" w:rsidRPr="00482722">
        <w:rPr>
          <w:rFonts w:ascii="Arial" w:hAnsi="Arial" w:cs="Arial"/>
          <w:sz w:val="20"/>
          <w:szCs w:val="20"/>
        </w:rPr>
        <w:t xml:space="preserve">the </w:t>
      </w:r>
      <w:r w:rsidRPr="00482722">
        <w:rPr>
          <w:rFonts w:ascii="Arial" w:hAnsi="Arial" w:cs="Arial"/>
          <w:sz w:val="20"/>
          <w:szCs w:val="20"/>
        </w:rPr>
        <w:t xml:space="preserve">quality of </w:t>
      </w:r>
      <w:r w:rsidR="004B30C0" w:rsidRPr="00482722">
        <w:rPr>
          <w:rFonts w:ascii="Arial" w:hAnsi="Arial" w:cs="Arial"/>
          <w:sz w:val="20"/>
          <w:szCs w:val="20"/>
        </w:rPr>
        <w:t xml:space="preserve">a </w:t>
      </w:r>
      <w:r w:rsidR="004D0EAF" w:rsidRPr="00482722">
        <w:rPr>
          <w:rFonts w:ascii="Arial" w:hAnsi="Arial" w:cs="Arial"/>
          <w:sz w:val="20"/>
          <w:szCs w:val="20"/>
        </w:rPr>
        <w:t>service</w:t>
      </w:r>
      <w:r w:rsidRPr="00482722">
        <w:rPr>
          <w:rFonts w:ascii="Arial" w:hAnsi="Arial" w:cs="Arial"/>
          <w:sz w:val="20"/>
          <w:szCs w:val="20"/>
        </w:rPr>
        <w:t xml:space="preserve">, </w:t>
      </w:r>
      <w:r w:rsidR="0000212F" w:rsidRPr="00482722">
        <w:rPr>
          <w:rFonts w:ascii="Arial" w:hAnsi="Arial" w:cs="Arial"/>
          <w:sz w:val="20"/>
          <w:szCs w:val="20"/>
        </w:rPr>
        <w:t xml:space="preserve">which can be positive, indifferent or negative </w:t>
      </w:r>
      <w:r w:rsidRPr="00482722">
        <w:rPr>
          <w:rFonts w:ascii="Arial" w:hAnsi="Arial" w:cs="Arial"/>
          <w:sz w:val="20"/>
          <w:szCs w:val="20"/>
        </w:rPr>
        <w:t>(Kumar et al., 2020).</w:t>
      </w:r>
      <w:r w:rsidR="00A80D4A" w:rsidRPr="00482722">
        <w:rPr>
          <w:rFonts w:ascii="Arial" w:hAnsi="Arial" w:cs="Arial"/>
          <w:sz w:val="20"/>
          <w:szCs w:val="20"/>
        </w:rPr>
        <w:t xml:space="preserve"> </w:t>
      </w:r>
      <w:r w:rsidR="00304E2E" w:rsidRPr="00482722">
        <w:rPr>
          <w:rFonts w:ascii="Arial" w:hAnsi="Arial" w:cs="Arial"/>
          <w:sz w:val="20"/>
          <w:szCs w:val="20"/>
        </w:rPr>
        <w:t>Prior research on user satisfaction in the context of e-government has highlighted that e-government initiatives cannot succeed if relationship-based satisfaction between citizens and e-government services is low (</w:t>
      </w:r>
      <w:r w:rsidR="009C4CEE" w:rsidRPr="00482722">
        <w:rPr>
          <w:rFonts w:ascii="Arial" w:hAnsi="Arial" w:cs="Arial"/>
          <w:sz w:val="20"/>
          <w:szCs w:val="20"/>
        </w:rPr>
        <w:t xml:space="preserve">Alkraiji, 2020b; Li </w:t>
      </w:r>
      <w:r w:rsidR="002D35B9" w:rsidRPr="00482722">
        <w:rPr>
          <w:rFonts w:ascii="Arial" w:hAnsi="Arial" w:cs="Arial"/>
          <w:sz w:val="20"/>
          <w:szCs w:val="20"/>
        </w:rPr>
        <w:t>and</w:t>
      </w:r>
      <w:r w:rsidR="009C4CEE" w:rsidRPr="00482722">
        <w:rPr>
          <w:rFonts w:ascii="Arial" w:hAnsi="Arial" w:cs="Arial"/>
          <w:sz w:val="20"/>
          <w:szCs w:val="20"/>
        </w:rPr>
        <w:t xml:space="preserve"> Shang, 2020; </w:t>
      </w:r>
      <w:r w:rsidR="00304E2E" w:rsidRPr="00482722">
        <w:rPr>
          <w:rFonts w:ascii="Arial" w:hAnsi="Arial" w:cs="Arial"/>
          <w:sz w:val="20"/>
          <w:szCs w:val="20"/>
        </w:rPr>
        <w:t>Weerakkody et al., 2016). Therefore, understanding the relationship between e-government services and satisfaction from</w:t>
      </w:r>
      <w:r w:rsidR="008F415A" w:rsidRPr="00482722">
        <w:rPr>
          <w:rFonts w:ascii="Arial" w:hAnsi="Arial" w:cs="Arial"/>
          <w:sz w:val="20"/>
          <w:szCs w:val="20"/>
        </w:rPr>
        <w:t xml:space="preserve"> the perspective of</w:t>
      </w:r>
      <w:r w:rsidR="00304E2E" w:rsidRPr="00482722">
        <w:rPr>
          <w:rFonts w:ascii="Arial" w:hAnsi="Arial" w:cs="Arial"/>
          <w:sz w:val="20"/>
          <w:szCs w:val="20"/>
        </w:rPr>
        <w:t xml:space="preserve"> citizens is essential </w:t>
      </w:r>
      <w:r w:rsidR="004324C1" w:rsidRPr="00482722">
        <w:rPr>
          <w:rFonts w:ascii="Arial" w:hAnsi="Arial" w:cs="Arial"/>
          <w:sz w:val="20"/>
          <w:szCs w:val="20"/>
        </w:rPr>
        <w:t xml:space="preserve">for </w:t>
      </w:r>
      <w:r w:rsidR="00304E2E" w:rsidRPr="00482722">
        <w:rPr>
          <w:rFonts w:ascii="Arial" w:hAnsi="Arial" w:cs="Arial"/>
          <w:sz w:val="20"/>
          <w:szCs w:val="20"/>
        </w:rPr>
        <w:t>improv</w:t>
      </w:r>
      <w:r w:rsidR="004324C1" w:rsidRPr="00482722">
        <w:rPr>
          <w:rFonts w:ascii="Arial" w:hAnsi="Arial" w:cs="Arial"/>
          <w:sz w:val="20"/>
          <w:szCs w:val="20"/>
        </w:rPr>
        <w:t>ing</w:t>
      </w:r>
      <w:r w:rsidR="00304E2E" w:rsidRPr="00482722">
        <w:rPr>
          <w:rFonts w:ascii="Arial" w:hAnsi="Arial" w:cs="Arial"/>
          <w:sz w:val="20"/>
          <w:szCs w:val="20"/>
        </w:rPr>
        <w:t xml:space="preserve"> the quality of the services</w:t>
      </w:r>
      <w:r w:rsidR="00365746" w:rsidRPr="00482722">
        <w:rPr>
          <w:rFonts w:ascii="Arial" w:hAnsi="Arial" w:cs="Arial"/>
          <w:sz w:val="20"/>
          <w:szCs w:val="20"/>
        </w:rPr>
        <w:t xml:space="preserve"> provided</w:t>
      </w:r>
      <w:r w:rsidR="00304E2E" w:rsidRPr="00482722">
        <w:rPr>
          <w:rFonts w:ascii="Arial" w:hAnsi="Arial" w:cs="Arial"/>
          <w:sz w:val="20"/>
          <w:szCs w:val="20"/>
        </w:rPr>
        <w:t xml:space="preserve"> and</w:t>
      </w:r>
      <w:r w:rsidR="009F4CB5" w:rsidRPr="00482722">
        <w:rPr>
          <w:rFonts w:ascii="Arial" w:hAnsi="Arial" w:cs="Arial"/>
          <w:sz w:val="20"/>
          <w:szCs w:val="20"/>
        </w:rPr>
        <w:t xml:space="preserve"> for</w:t>
      </w:r>
      <w:r w:rsidR="00304E2E" w:rsidRPr="00482722">
        <w:rPr>
          <w:rFonts w:ascii="Arial" w:hAnsi="Arial" w:cs="Arial"/>
          <w:sz w:val="20"/>
          <w:szCs w:val="20"/>
        </w:rPr>
        <w:t xml:space="preserve"> increas</w:t>
      </w:r>
      <w:r w:rsidR="004324C1" w:rsidRPr="00482722">
        <w:rPr>
          <w:rFonts w:ascii="Arial" w:hAnsi="Arial" w:cs="Arial"/>
          <w:sz w:val="20"/>
          <w:szCs w:val="20"/>
        </w:rPr>
        <w:t>ing</w:t>
      </w:r>
      <w:r w:rsidR="00304E2E" w:rsidRPr="00482722">
        <w:rPr>
          <w:rFonts w:ascii="Arial" w:hAnsi="Arial" w:cs="Arial"/>
          <w:sz w:val="20"/>
          <w:szCs w:val="20"/>
        </w:rPr>
        <w:t xml:space="preserve"> citizen engagement </w:t>
      </w:r>
      <w:r w:rsidR="00365746" w:rsidRPr="00482722">
        <w:rPr>
          <w:rFonts w:ascii="Arial" w:hAnsi="Arial" w:cs="Arial"/>
          <w:sz w:val="20"/>
          <w:szCs w:val="20"/>
        </w:rPr>
        <w:t>with</w:t>
      </w:r>
      <w:r w:rsidR="009F4CB5" w:rsidRPr="00482722">
        <w:rPr>
          <w:rFonts w:ascii="Arial" w:hAnsi="Arial" w:cs="Arial"/>
          <w:sz w:val="20"/>
          <w:szCs w:val="20"/>
        </w:rPr>
        <w:t>,</w:t>
      </w:r>
      <w:r w:rsidR="00365746" w:rsidRPr="00482722">
        <w:rPr>
          <w:rFonts w:ascii="Arial" w:hAnsi="Arial" w:cs="Arial"/>
          <w:sz w:val="20"/>
          <w:szCs w:val="20"/>
        </w:rPr>
        <w:t xml:space="preserve"> </w:t>
      </w:r>
      <w:r w:rsidR="00304E2E" w:rsidRPr="00482722">
        <w:rPr>
          <w:rFonts w:ascii="Arial" w:hAnsi="Arial" w:cs="Arial"/>
          <w:sz w:val="20"/>
          <w:szCs w:val="20"/>
        </w:rPr>
        <w:t>and participation in</w:t>
      </w:r>
      <w:r w:rsidR="009F4CB5" w:rsidRPr="00482722">
        <w:rPr>
          <w:rFonts w:ascii="Arial" w:hAnsi="Arial" w:cs="Arial"/>
          <w:sz w:val="20"/>
          <w:szCs w:val="20"/>
        </w:rPr>
        <w:t>,</w:t>
      </w:r>
      <w:r w:rsidR="00304E2E" w:rsidRPr="00482722">
        <w:rPr>
          <w:rFonts w:ascii="Arial" w:hAnsi="Arial" w:cs="Arial"/>
          <w:sz w:val="20"/>
          <w:szCs w:val="20"/>
        </w:rPr>
        <w:t xml:space="preserve"> </w:t>
      </w:r>
      <w:r w:rsidR="00365746" w:rsidRPr="00482722">
        <w:rPr>
          <w:rFonts w:ascii="Arial" w:hAnsi="Arial" w:cs="Arial"/>
          <w:sz w:val="20"/>
          <w:szCs w:val="20"/>
        </w:rPr>
        <w:t>those</w:t>
      </w:r>
      <w:r w:rsidR="00304E2E" w:rsidRPr="00482722">
        <w:rPr>
          <w:rFonts w:ascii="Arial" w:hAnsi="Arial" w:cs="Arial"/>
          <w:sz w:val="20"/>
          <w:szCs w:val="20"/>
        </w:rPr>
        <w:t xml:space="preserve"> services (Alkraiji 2020</w:t>
      </w:r>
      <w:r w:rsidR="009C4CEE" w:rsidRPr="00482722">
        <w:rPr>
          <w:rFonts w:ascii="Arial" w:hAnsi="Arial" w:cs="Arial"/>
          <w:sz w:val="20"/>
          <w:szCs w:val="20"/>
        </w:rPr>
        <w:t>a</w:t>
      </w:r>
      <w:r w:rsidR="00304E2E" w:rsidRPr="00482722">
        <w:rPr>
          <w:rFonts w:ascii="Arial" w:hAnsi="Arial" w:cs="Arial"/>
          <w:sz w:val="20"/>
          <w:szCs w:val="20"/>
        </w:rPr>
        <w:t>; Janssen et al., 2018).</w:t>
      </w:r>
    </w:p>
    <w:p w14:paraId="6C8A9FB3" w14:textId="7D82605C" w:rsidR="00304E2E" w:rsidRPr="00482722" w:rsidRDefault="00304E2E" w:rsidP="00DA5EEC">
      <w:pPr>
        <w:spacing w:line="240" w:lineRule="auto"/>
        <w:jc w:val="both"/>
        <w:rPr>
          <w:rFonts w:ascii="Arial" w:hAnsi="Arial" w:cs="Arial"/>
          <w:sz w:val="20"/>
          <w:szCs w:val="20"/>
        </w:rPr>
      </w:pPr>
      <w:r w:rsidRPr="00482722">
        <w:rPr>
          <w:rFonts w:ascii="Arial" w:hAnsi="Arial" w:cs="Arial"/>
          <w:sz w:val="20"/>
          <w:szCs w:val="20"/>
        </w:rPr>
        <w:t xml:space="preserve">In IS research, user satisfaction </w:t>
      </w:r>
      <w:r w:rsidR="00A87580" w:rsidRPr="00482722">
        <w:rPr>
          <w:rFonts w:ascii="Arial" w:hAnsi="Arial" w:cs="Arial"/>
          <w:sz w:val="20"/>
          <w:szCs w:val="20"/>
        </w:rPr>
        <w:t xml:space="preserve">has been identified as </w:t>
      </w:r>
      <w:r w:rsidRPr="00482722">
        <w:rPr>
          <w:rFonts w:ascii="Arial" w:hAnsi="Arial" w:cs="Arial"/>
          <w:sz w:val="20"/>
          <w:szCs w:val="20"/>
        </w:rPr>
        <w:t>one of the most important indicators</w:t>
      </w:r>
      <w:r w:rsidR="00533A55" w:rsidRPr="00482722">
        <w:rPr>
          <w:rFonts w:ascii="Arial" w:hAnsi="Arial" w:cs="Arial"/>
          <w:sz w:val="20"/>
          <w:szCs w:val="20"/>
        </w:rPr>
        <w:t xml:space="preserve"> used</w:t>
      </w:r>
      <w:r w:rsidRPr="00482722">
        <w:rPr>
          <w:rFonts w:ascii="Arial" w:hAnsi="Arial" w:cs="Arial"/>
          <w:sz w:val="20"/>
          <w:szCs w:val="20"/>
        </w:rPr>
        <w:t xml:space="preserve"> </w:t>
      </w:r>
      <w:r w:rsidR="00380C58" w:rsidRPr="00482722">
        <w:rPr>
          <w:rFonts w:ascii="Arial" w:hAnsi="Arial" w:cs="Arial"/>
          <w:sz w:val="20"/>
          <w:szCs w:val="20"/>
        </w:rPr>
        <w:t xml:space="preserve">for </w:t>
      </w:r>
      <w:r w:rsidRPr="00482722">
        <w:rPr>
          <w:rFonts w:ascii="Arial" w:hAnsi="Arial" w:cs="Arial"/>
          <w:sz w:val="20"/>
          <w:szCs w:val="20"/>
        </w:rPr>
        <w:t>measur</w:t>
      </w:r>
      <w:r w:rsidR="00380C58" w:rsidRPr="00482722">
        <w:rPr>
          <w:rFonts w:ascii="Arial" w:hAnsi="Arial" w:cs="Arial"/>
          <w:sz w:val="20"/>
          <w:szCs w:val="20"/>
        </w:rPr>
        <w:t>ing</w:t>
      </w:r>
      <w:r w:rsidRPr="00482722">
        <w:rPr>
          <w:rFonts w:ascii="Arial" w:hAnsi="Arial" w:cs="Arial"/>
          <w:sz w:val="20"/>
          <w:szCs w:val="20"/>
        </w:rPr>
        <w:t xml:space="preserve"> the success of IT (Irani et al., 2012; Lin </w:t>
      </w:r>
      <w:r w:rsidR="002D35B9" w:rsidRPr="00482722">
        <w:rPr>
          <w:rFonts w:ascii="Arial" w:hAnsi="Arial" w:cs="Arial"/>
          <w:sz w:val="20"/>
          <w:szCs w:val="20"/>
        </w:rPr>
        <w:t>and</w:t>
      </w:r>
      <w:r w:rsidRPr="00482722">
        <w:rPr>
          <w:rFonts w:ascii="Arial" w:hAnsi="Arial" w:cs="Arial"/>
          <w:sz w:val="20"/>
          <w:szCs w:val="20"/>
        </w:rPr>
        <w:t xml:space="preserve"> Wang, 2006; Wixom </w:t>
      </w:r>
      <w:r w:rsidR="002D35B9" w:rsidRPr="00482722">
        <w:rPr>
          <w:rFonts w:ascii="Arial" w:hAnsi="Arial" w:cs="Arial"/>
          <w:sz w:val="20"/>
          <w:szCs w:val="20"/>
        </w:rPr>
        <w:t>and</w:t>
      </w:r>
      <w:r w:rsidRPr="00482722">
        <w:rPr>
          <w:rFonts w:ascii="Arial" w:hAnsi="Arial" w:cs="Arial"/>
          <w:sz w:val="20"/>
          <w:szCs w:val="20"/>
        </w:rPr>
        <w:t xml:space="preserve"> Todd, 2005; DeLone </w:t>
      </w:r>
      <w:r w:rsidR="002D35B9" w:rsidRPr="00482722">
        <w:rPr>
          <w:rFonts w:ascii="Arial" w:hAnsi="Arial" w:cs="Arial"/>
          <w:sz w:val="20"/>
          <w:szCs w:val="20"/>
        </w:rPr>
        <w:t>and</w:t>
      </w:r>
      <w:r w:rsidRPr="00482722">
        <w:rPr>
          <w:rFonts w:ascii="Arial" w:hAnsi="Arial" w:cs="Arial"/>
          <w:sz w:val="20"/>
          <w:szCs w:val="20"/>
        </w:rPr>
        <w:t xml:space="preserve"> McLean, 2003). In the context of e-government</w:t>
      </w:r>
      <w:r w:rsidR="002875F9" w:rsidRPr="00482722">
        <w:rPr>
          <w:rFonts w:ascii="Arial" w:hAnsi="Arial" w:cs="Arial"/>
          <w:sz w:val="20"/>
          <w:szCs w:val="20"/>
        </w:rPr>
        <w:t xml:space="preserve"> service use</w:t>
      </w:r>
      <w:r w:rsidRPr="00482722">
        <w:rPr>
          <w:rFonts w:ascii="Arial" w:hAnsi="Arial" w:cs="Arial"/>
          <w:sz w:val="20"/>
          <w:szCs w:val="20"/>
        </w:rPr>
        <w:t xml:space="preserve">, Bhattacherjee (2001) </w:t>
      </w:r>
      <w:r w:rsidR="00A87580" w:rsidRPr="00482722">
        <w:rPr>
          <w:rFonts w:ascii="Arial" w:hAnsi="Arial" w:cs="Arial"/>
          <w:sz w:val="20"/>
          <w:szCs w:val="20"/>
        </w:rPr>
        <w:t xml:space="preserve">explained that </w:t>
      </w:r>
      <w:r w:rsidRPr="00482722">
        <w:rPr>
          <w:rFonts w:ascii="Arial" w:hAnsi="Arial" w:cs="Arial"/>
          <w:sz w:val="20"/>
          <w:szCs w:val="20"/>
        </w:rPr>
        <w:t xml:space="preserve">satisfaction </w:t>
      </w:r>
      <w:r w:rsidR="00A87580" w:rsidRPr="00482722">
        <w:rPr>
          <w:rFonts w:ascii="Arial" w:hAnsi="Arial" w:cs="Arial"/>
          <w:sz w:val="20"/>
          <w:szCs w:val="20"/>
        </w:rPr>
        <w:t>i</w:t>
      </w:r>
      <w:r w:rsidRPr="00482722">
        <w:rPr>
          <w:rFonts w:ascii="Arial" w:hAnsi="Arial" w:cs="Arial"/>
          <w:sz w:val="20"/>
          <w:szCs w:val="20"/>
        </w:rPr>
        <w:t xml:space="preserve">s a measure of a citizen’s psychology resulting from a cognitive appraisal of </w:t>
      </w:r>
      <w:r w:rsidR="00943EA0" w:rsidRPr="00482722">
        <w:rPr>
          <w:rFonts w:ascii="Arial" w:hAnsi="Arial" w:cs="Arial"/>
          <w:sz w:val="20"/>
          <w:szCs w:val="20"/>
        </w:rPr>
        <w:t xml:space="preserve">their </w:t>
      </w:r>
      <w:r w:rsidRPr="00482722">
        <w:rPr>
          <w:rFonts w:ascii="Arial" w:hAnsi="Arial" w:cs="Arial"/>
          <w:sz w:val="20"/>
          <w:szCs w:val="20"/>
        </w:rPr>
        <w:t xml:space="preserve">prior feelings </w:t>
      </w:r>
      <w:r w:rsidR="00943EA0" w:rsidRPr="00482722">
        <w:rPr>
          <w:rFonts w:ascii="Arial" w:hAnsi="Arial" w:cs="Arial"/>
          <w:sz w:val="20"/>
          <w:szCs w:val="20"/>
        </w:rPr>
        <w:t xml:space="preserve">about </w:t>
      </w:r>
      <w:r w:rsidRPr="00482722">
        <w:rPr>
          <w:rFonts w:ascii="Arial" w:hAnsi="Arial" w:cs="Arial"/>
          <w:sz w:val="20"/>
          <w:szCs w:val="20"/>
        </w:rPr>
        <w:t>and experience</w:t>
      </w:r>
      <w:r w:rsidR="00943EA0" w:rsidRPr="00482722">
        <w:rPr>
          <w:rFonts w:ascii="Arial" w:hAnsi="Arial" w:cs="Arial"/>
          <w:sz w:val="20"/>
          <w:szCs w:val="20"/>
        </w:rPr>
        <w:t>s</w:t>
      </w:r>
      <w:r w:rsidRPr="00482722">
        <w:rPr>
          <w:rFonts w:ascii="Arial" w:hAnsi="Arial" w:cs="Arial"/>
          <w:sz w:val="20"/>
          <w:szCs w:val="20"/>
        </w:rPr>
        <w:t xml:space="preserve"> with an e-government website. </w:t>
      </w:r>
      <w:r w:rsidR="00D2570F" w:rsidRPr="00482722">
        <w:rPr>
          <w:rFonts w:ascii="Arial" w:hAnsi="Arial" w:cs="Arial"/>
          <w:sz w:val="20"/>
          <w:szCs w:val="20"/>
        </w:rPr>
        <w:t xml:space="preserve">Brown et al. (2008) defined citizen satisfaction as </w:t>
      </w:r>
      <w:r w:rsidR="005809C1" w:rsidRPr="00482722">
        <w:rPr>
          <w:rFonts w:ascii="Arial" w:hAnsi="Arial" w:cs="Arial"/>
          <w:sz w:val="20"/>
          <w:szCs w:val="20"/>
        </w:rPr>
        <w:t xml:space="preserve">the </w:t>
      </w:r>
      <w:r w:rsidR="00D2570F" w:rsidRPr="00482722">
        <w:rPr>
          <w:rFonts w:ascii="Arial" w:hAnsi="Arial" w:cs="Arial"/>
          <w:sz w:val="20"/>
          <w:szCs w:val="20"/>
        </w:rPr>
        <w:t>feelings associated with the quality of the e-government services</w:t>
      </w:r>
      <w:r w:rsidR="00D57FE8" w:rsidRPr="00482722">
        <w:rPr>
          <w:rFonts w:ascii="Arial" w:hAnsi="Arial" w:cs="Arial"/>
          <w:sz w:val="20"/>
          <w:szCs w:val="20"/>
        </w:rPr>
        <w:t xml:space="preserve"> provided</w:t>
      </w:r>
      <w:r w:rsidR="00D2570F" w:rsidRPr="00482722">
        <w:rPr>
          <w:rFonts w:ascii="Arial" w:hAnsi="Arial" w:cs="Arial"/>
          <w:sz w:val="20"/>
          <w:szCs w:val="20"/>
        </w:rPr>
        <w:t xml:space="preserve">. </w:t>
      </w:r>
      <w:r w:rsidRPr="00482722">
        <w:rPr>
          <w:rFonts w:ascii="Arial" w:hAnsi="Arial" w:cs="Arial"/>
          <w:sz w:val="20"/>
          <w:szCs w:val="20"/>
        </w:rPr>
        <w:t xml:space="preserve">Irani et al. (2012) referred to user satisfaction with e-government as a consequence of </w:t>
      </w:r>
      <w:r w:rsidR="00D57FE8" w:rsidRPr="00482722">
        <w:rPr>
          <w:rFonts w:ascii="Arial" w:hAnsi="Arial" w:cs="Arial"/>
          <w:sz w:val="20"/>
          <w:szCs w:val="20"/>
        </w:rPr>
        <w:t>assessing</w:t>
      </w:r>
      <w:r w:rsidRPr="00482722">
        <w:rPr>
          <w:rFonts w:ascii="Arial" w:hAnsi="Arial" w:cs="Arial"/>
          <w:sz w:val="20"/>
          <w:szCs w:val="20"/>
        </w:rPr>
        <w:t xml:space="preserve"> the process quality and outcome quality of e-government services</w:t>
      </w:r>
      <w:r w:rsidR="00347DBB" w:rsidRPr="00482722">
        <w:rPr>
          <w:rFonts w:ascii="Arial" w:hAnsi="Arial" w:cs="Arial"/>
          <w:sz w:val="20"/>
          <w:szCs w:val="20"/>
        </w:rPr>
        <w:t>,</w:t>
      </w:r>
      <w:r w:rsidRPr="00482722">
        <w:rPr>
          <w:rFonts w:ascii="Arial" w:hAnsi="Arial" w:cs="Arial"/>
          <w:sz w:val="20"/>
          <w:szCs w:val="20"/>
        </w:rPr>
        <w:t xml:space="preserve"> where the assessment is based on the</w:t>
      </w:r>
      <w:r w:rsidR="00C76884" w:rsidRPr="00482722">
        <w:rPr>
          <w:rFonts w:ascii="Arial" w:hAnsi="Arial" w:cs="Arial"/>
          <w:sz w:val="20"/>
          <w:szCs w:val="20"/>
        </w:rPr>
        <w:t xml:space="preserve"> user’s</w:t>
      </w:r>
      <w:r w:rsidRPr="00482722">
        <w:rPr>
          <w:rFonts w:ascii="Arial" w:hAnsi="Arial" w:cs="Arial"/>
          <w:sz w:val="20"/>
          <w:szCs w:val="20"/>
        </w:rPr>
        <w:t xml:space="preserve"> intellectual and emotional beliefs. </w:t>
      </w:r>
      <w:r w:rsidR="00E37CF9" w:rsidRPr="00482722">
        <w:rPr>
          <w:rFonts w:ascii="Arial" w:hAnsi="Arial" w:cs="Arial"/>
          <w:sz w:val="20"/>
          <w:szCs w:val="20"/>
        </w:rPr>
        <w:t xml:space="preserve">In </w:t>
      </w:r>
      <w:r w:rsidR="00CA5451" w:rsidRPr="00482722">
        <w:rPr>
          <w:rFonts w:ascii="Arial" w:hAnsi="Arial" w:cs="Arial"/>
          <w:sz w:val="20"/>
          <w:szCs w:val="20"/>
        </w:rPr>
        <w:t>the context of this research, we define citizen satisfaction as citizens’ feelings</w:t>
      </w:r>
      <w:r w:rsidR="00E37CF9" w:rsidRPr="00482722">
        <w:rPr>
          <w:rFonts w:ascii="Arial" w:hAnsi="Arial" w:cs="Arial"/>
          <w:sz w:val="20"/>
          <w:szCs w:val="20"/>
        </w:rPr>
        <w:t xml:space="preserve"> about</w:t>
      </w:r>
      <w:r w:rsidR="00CA5451" w:rsidRPr="00482722">
        <w:rPr>
          <w:rFonts w:ascii="Arial" w:hAnsi="Arial" w:cs="Arial"/>
          <w:sz w:val="20"/>
          <w:szCs w:val="20"/>
        </w:rPr>
        <w:t xml:space="preserve"> and experience</w:t>
      </w:r>
      <w:r w:rsidR="00A15D8A" w:rsidRPr="00482722">
        <w:rPr>
          <w:rFonts w:ascii="Arial" w:hAnsi="Arial" w:cs="Arial"/>
          <w:sz w:val="20"/>
          <w:szCs w:val="20"/>
        </w:rPr>
        <w:t>s</w:t>
      </w:r>
      <w:r w:rsidR="00CA5451" w:rsidRPr="00482722">
        <w:rPr>
          <w:rFonts w:ascii="Arial" w:hAnsi="Arial" w:cs="Arial"/>
          <w:sz w:val="20"/>
          <w:szCs w:val="20"/>
        </w:rPr>
        <w:t xml:space="preserve"> with e-government services.</w:t>
      </w:r>
    </w:p>
    <w:p w14:paraId="7E53DDAC" w14:textId="5102BCA5" w:rsidR="00304E2E" w:rsidRPr="00482722" w:rsidRDefault="00B21C62" w:rsidP="00DA5EEC">
      <w:pPr>
        <w:spacing w:line="240" w:lineRule="auto"/>
        <w:jc w:val="both"/>
        <w:rPr>
          <w:rFonts w:ascii="Arial" w:hAnsi="Arial" w:cs="Arial"/>
          <w:sz w:val="20"/>
          <w:szCs w:val="20"/>
        </w:rPr>
      </w:pPr>
      <w:r w:rsidRPr="00482722">
        <w:rPr>
          <w:rFonts w:ascii="Arial" w:hAnsi="Arial" w:cs="Arial"/>
          <w:sz w:val="20"/>
          <w:szCs w:val="20"/>
        </w:rPr>
        <w:t>R</w:t>
      </w:r>
      <w:r w:rsidR="00304E2E" w:rsidRPr="00482722">
        <w:rPr>
          <w:rFonts w:ascii="Arial" w:hAnsi="Arial" w:cs="Arial"/>
          <w:sz w:val="20"/>
          <w:szCs w:val="20"/>
        </w:rPr>
        <w:t xml:space="preserve">esearch on </w:t>
      </w:r>
      <w:r w:rsidRPr="00482722">
        <w:rPr>
          <w:rFonts w:ascii="Arial" w:hAnsi="Arial" w:cs="Arial"/>
          <w:sz w:val="20"/>
          <w:szCs w:val="20"/>
        </w:rPr>
        <w:t>the adoption of</w:t>
      </w:r>
      <w:r w:rsidR="00304E2E" w:rsidRPr="00482722">
        <w:rPr>
          <w:rFonts w:ascii="Arial" w:hAnsi="Arial" w:cs="Arial"/>
          <w:sz w:val="20"/>
          <w:szCs w:val="20"/>
        </w:rPr>
        <w:t xml:space="preserve"> technology </w:t>
      </w:r>
      <w:r w:rsidRPr="00482722">
        <w:rPr>
          <w:rFonts w:ascii="Arial" w:hAnsi="Arial" w:cs="Arial"/>
          <w:sz w:val="20"/>
          <w:szCs w:val="20"/>
        </w:rPr>
        <w:t xml:space="preserve">at the individual level </w:t>
      </w:r>
      <w:r w:rsidR="00304E2E" w:rsidRPr="00482722">
        <w:rPr>
          <w:rFonts w:ascii="Arial" w:hAnsi="Arial" w:cs="Arial"/>
          <w:sz w:val="20"/>
          <w:szCs w:val="20"/>
        </w:rPr>
        <w:t xml:space="preserve">has measured satisfaction as an overall, single-item construct (Brown et al., 2008) </w:t>
      </w:r>
      <w:r w:rsidRPr="00482722">
        <w:rPr>
          <w:rFonts w:ascii="Arial" w:hAnsi="Arial" w:cs="Arial"/>
          <w:sz w:val="20"/>
          <w:szCs w:val="20"/>
        </w:rPr>
        <w:t>and as</w:t>
      </w:r>
      <w:r w:rsidR="00304E2E" w:rsidRPr="00482722">
        <w:rPr>
          <w:rFonts w:ascii="Arial" w:hAnsi="Arial" w:cs="Arial"/>
          <w:sz w:val="20"/>
          <w:szCs w:val="20"/>
        </w:rPr>
        <w:t xml:space="preserve"> a multidimensional construct </w:t>
      </w:r>
      <w:r w:rsidR="00763B5A" w:rsidRPr="00482722">
        <w:rPr>
          <w:rFonts w:ascii="Arial" w:hAnsi="Arial" w:cs="Arial"/>
          <w:sz w:val="20"/>
          <w:szCs w:val="20"/>
        </w:rPr>
        <w:t xml:space="preserve">that incorporates </w:t>
      </w:r>
      <w:r w:rsidR="00304E2E" w:rsidRPr="00482722">
        <w:rPr>
          <w:rFonts w:ascii="Arial" w:hAnsi="Arial" w:cs="Arial"/>
          <w:sz w:val="20"/>
          <w:szCs w:val="20"/>
        </w:rPr>
        <w:t>different effects of belief</w:t>
      </w:r>
      <w:r w:rsidR="00763B5A" w:rsidRPr="00482722">
        <w:rPr>
          <w:rFonts w:ascii="Arial" w:hAnsi="Arial" w:cs="Arial"/>
          <w:sz w:val="20"/>
          <w:szCs w:val="20"/>
        </w:rPr>
        <w:t xml:space="preserve"> and</w:t>
      </w:r>
      <w:r w:rsidR="00304E2E" w:rsidRPr="00482722">
        <w:rPr>
          <w:rFonts w:ascii="Arial" w:hAnsi="Arial" w:cs="Arial"/>
          <w:sz w:val="20"/>
          <w:szCs w:val="20"/>
        </w:rPr>
        <w:t xml:space="preserve"> combin</w:t>
      </w:r>
      <w:r w:rsidR="00763B5A" w:rsidRPr="00482722">
        <w:rPr>
          <w:rFonts w:ascii="Arial" w:hAnsi="Arial" w:cs="Arial"/>
          <w:sz w:val="20"/>
          <w:szCs w:val="20"/>
        </w:rPr>
        <w:t>es</w:t>
      </w:r>
      <w:r w:rsidR="00304E2E" w:rsidRPr="00482722">
        <w:rPr>
          <w:rFonts w:ascii="Arial" w:hAnsi="Arial" w:cs="Arial"/>
          <w:sz w:val="20"/>
          <w:szCs w:val="20"/>
        </w:rPr>
        <w:t xml:space="preserve"> various technical, attitudinal</w:t>
      </w:r>
      <w:r w:rsidR="00763B5A" w:rsidRPr="00482722">
        <w:rPr>
          <w:rFonts w:ascii="Arial" w:hAnsi="Arial" w:cs="Arial"/>
          <w:sz w:val="20"/>
          <w:szCs w:val="20"/>
        </w:rPr>
        <w:t>,</w:t>
      </w:r>
      <w:r w:rsidR="00304E2E" w:rsidRPr="00482722">
        <w:rPr>
          <w:rFonts w:ascii="Arial" w:hAnsi="Arial" w:cs="Arial"/>
          <w:sz w:val="20"/>
          <w:szCs w:val="20"/>
        </w:rPr>
        <w:t xml:space="preserve"> and behavioural factors (</w:t>
      </w:r>
      <w:r w:rsidR="00D2570F" w:rsidRPr="00482722">
        <w:rPr>
          <w:rFonts w:ascii="Arial" w:hAnsi="Arial" w:cs="Arial"/>
          <w:sz w:val="20"/>
          <w:szCs w:val="20"/>
        </w:rPr>
        <w:t xml:space="preserve">Alkraiji, 2020a; </w:t>
      </w:r>
      <w:r w:rsidR="00304E2E" w:rsidRPr="00482722">
        <w:rPr>
          <w:rFonts w:ascii="Arial" w:hAnsi="Arial" w:cs="Arial"/>
          <w:sz w:val="20"/>
          <w:szCs w:val="20"/>
        </w:rPr>
        <w:t xml:space="preserve">Alzahrani et al., 2018; Alawneh et al., 2013). However, there is still no consensus among previous related studies regarding instruments for measuring user satisfaction </w:t>
      </w:r>
      <w:r w:rsidR="00F424B3" w:rsidRPr="00482722">
        <w:rPr>
          <w:rFonts w:ascii="Arial" w:hAnsi="Arial" w:cs="Arial"/>
          <w:sz w:val="20"/>
          <w:szCs w:val="20"/>
        </w:rPr>
        <w:t xml:space="preserve">with e-government services specifically </w:t>
      </w:r>
      <w:r w:rsidR="00304E2E" w:rsidRPr="00482722">
        <w:rPr>
          <w:rFonts w:ascii="Arial" w:hAnsi="Arial" w:cs="Arial"/>
          <w:sz w:val="20"/>
          <w:szCs w:val="20"/>
        </w:rPr>
        <w:t xml:space="preserve">(Alawneh et al., 2013; Irani et al., 2012). Thus, </w:t>
      </w:r>
      <w:r w:rsidR="00A87580" w:rsidRPr="00482722">
        <w:rPr>
          <w:rFonts w:ascii="Arial" w:hAnsi="Arial" w:cs="Arial"/>
          <w:sz w:val="20"/>
          <w:szCs w:val="20"/>
        </w:rPr>
        <w:t>in this research, we</w:t>
      </w:r>
      <w:r w:rsidR="00304E2E" w:rsidRPr="00482722">
        <w:rPr>
          <w:rFonts w:ascii="Arial" w:hAnsi="Arial" w:cs="Arial"/>
          <w:sz w:val="20"/>
          <w:szCs w:val="20"/>
        </w:rPr>
        <w:t xml:space="preserve"> examine the direct relationship between service quality and trust on citizen satisfaction</w:t>
      </w:r>
      <w:r w:rsidR="00655F36" w:rsidRPr="00482722">
        <w:rPr>
          <w:rFonts w:ascii="Arial" w:hAnsi="Arial" w:cs="Arial"/>
          <w:sz w:val="20"/>
          <w:szCs w:val="20"/>
        </w:rPr>
        <w:t>,</w:t>
      </w:r>
      <w:r w:rsidR="00304E2E" w:rsidRPr="00482722">
        <w:rPr>
          <w:rFonts w:ascii="Arial" w:hAnsi="Arial" w:cs="Arial"/>
          <w:sz w:val="20"/>
          <w:szCs w:val="20"/>
        </w:rPr>
        <w:t xml:space="preserve"> and the effect of satisfaction on citizen loyalty to e-government services</w:t>
      </w:r>
      <w:r w:rsidR="002642FC" w:rsidRPr="00482722">
        <w:rPr>
          <w:rFonts w:ascii="Arial" w:hAnsi="Arial" w:cs="Arial"/>
          <w:sz w:val="20"/>
          <w:szCs w:val="20"/>
        </w:rPr>
        <w:t>.</w:t>
      </w:r>
      <w:r w:rsidR="00304E2E" w:rsidRPr="00482722">
        <w:rPr>
          <w:rFonts w:ascii="Arial" w:hAnsi="Arial" w:cs="Arial"/>
          <w:sz w:val="20"/>
          <w:szCs w:val="20"/>
        </w:rPr>
        <w:t xml:space="preserve"> </w:t>
      </w:r>
      <w:r w:rsidR="009E0B38" w:rsidRPr="00482722">
        <w:rPr>
          <w:rFonts w:ascii="Arial" w:hAnsi="Arial" w:cs="Arial"/>
          <w:sz w:val="20"/>
          <w:szCs w:val="20"/>
        </w:rPr>
        <w:t>Previous</w:t>
      </w:r>
      <w:r w:rsidR="00304E2E" w:rsidRPr="00482722">
        <w:rPr>
          <w:rFonts w:ascii="Arial" w:hAnsi="Arial" w:cs="Arial"/>
          <w:sz w:val="20"/>
          <w:szCs w:val="20"/>
        </w:rPr>
        <w:t xml:space="preserve"> research (e.g., Waheed et al., 2020; Liang et al. 2019; Reichheld </w:t>
      </w:r>
      <w:r w:rsidR="002D35B9" w:rsidRPr="00482722">
        <w:rPr>
          <w:rFonts w:ascii="Arial" w:hAnsi="Arial" w:cs="Arial"/>
          <w:sz w:val="20"/>
          <w:szCs w:val="20"/>
        </w:rPr>
        <w:t>and</w:t>
      </w:r>
      <w:r w:rsidR="00304E2E" w:rsidRPr="00482722">
        <w:rPr>
          <w:rFonts w:ascii="Arial" w:hAnsi="Arial" w:cs="Arial"/>
          <w:sz w:val="20"/>
          <w:szCs w:val="20"/>
        </w:rPr>
        <w:t xml:space="preserve"> Schefter, 2000) suggested that consumer loyalty could represent a good surrogate measure </w:t>
      </w:r>
      <w:r w:rsidR="00B84FE5" w:rsidRPr="00482722">
        <w:rPr>
          <w:rFonts w:ascii="Arial" w:hAnsi="Arial" w:cs="Arial"/>
          <w:sz w:val="20"/>
          <w:szCs w:val="20"/>
        </w:rPr>
        <w:t xml:space="preserve">for </w:t>
      </w:r>
      <w:r w:rsidR="00304E2E" w:rsidRPr="00482722">
        <w:rPr>
          <w:rFonts w:ascii="Arial" w:hAnsi="Arial" w:cs="Arial"/>
          <w:sz w:val="20"/>
          <w:szCs w:val="20"/>
        </w:rPr>
        <w:t xml:space="preserve">consumer satisfaction in the e-commerce setting. In addition, </w:t>
      </w:r>
      <w:r w:rsidR="008F5F84" w:rsidRPr="00482722">
        <w:rPr>
          <w:rFonts w:ascii="Arial" w:hAnsi="Arial" w:cs="Arial"/>
          <w:sz w:val="20"/>
          <w:szCs w:val="20"/>
        </w:rPr>
        <w:t>in IS research</w:t>
      </w:r>
      <w:r w:rsidR="008F415A" w:rsidRPr="00482722">
        <w:rPr>
          <w:rFonts w:ascii="Arial" w:hAnsi="Arial" w:cs="Arial"/>
          <w:sz w:val="20"/>
          <w:szCs w:val="20"/>
        </w:rPr>
        <w:t>,</w:t>
      </w:r>
      <w:r w:rsidR="004E7A8D" w:rsidRPr="00482722">
        <w:rPr>
          <w:rFonts w:ascii="Arial" w:hAnsi="Arial" w:cs="Arial"/>
          <w:sz w:val="20"/>
          <w:szCs w:val="20"/>
        </w:rPr>
        <w:t xml:space="preserve"> </w:t>
      </w:r>
      <w:r w:rsidR="00304E2E" w:rsidRPr="00482722">
        <w:rPr>
          <w:rFonts w:ascii="Arial" w:hAnsi="Arial" w:cs="Arial"/>
          <w:sz w:val="20"/>
          <w:szCs w:val="20"/>
        </w:rPr>
        <w:t xml:space="preserve">overall </w:t>
      </w:r>
      <w:r w:rsidR="002D6614" w:rsidRPr="00482722">
        <w:rPr>
          <w:rFonts w:ascii="Arial" w:hAnsi="Arial" w:cs="Arial"/>
          <w:sz w:val="20"/>
          <w:szCs w:val="20"/>
        </w:rPr>
        <w:t xml:space="preserve">consumer </w:t>
      </w:r>
      <w:r w:rsidR="00304E2E" w:rsidRPr="00482722">
        <w:rPr>
          <w:rFonts w:ascii="Arial" w:hAnsi="Arial" w:cs="Arial"/>
          <w:sz w:val="20"/>
          <w:szCs w:val="20"/>
        </w:rPr>
        <w:t>satisfaction is often determined by the quality</w:t>
      </w:r>
      <w:r w:rsidR="004E7A8D" w:rsidRPr="00482722">
        <w:rPr>
          <w:rFonts w:ascii="Arial" w:hAnsi="Arial" w:cs="Arial"/>
          <w:sz w:val="20"/>
          <w:szCs w:val="20"/>
        </w:rPr>
        <w:t xml:space="preserve"> of </w:t>
      </w:r>
      <w:r w:rsidR="00387DCA" w:rsidRPr="00482722">
        <w:rPr>
          <w:rFonts w:ascii="Arial" w:hAnsi="Arial" w:cs="Arial"/>
          <w:sz w:val="20"/>
          <w:szCs w:val="20"/>
        </w:rPr>
        <w:t>an</w:t>
      </w:r>
      <w:r w:rsidR="004E7A8D" w:rsidRPr="00482722">
        <w:rPr>
          <w:rFonts w:ascii="Arial" w:hAnsi="Arial" w:cs="Arial"/>
          <w:sz w:val="20"/>
          <w:szCs w:val="20"/>
        </w:rPr>
        <w:t xml:space="preserve"> online service</w:t>
      </w:r>
      <w:r w:rsidR="00304E2E" w:rsidRPr="00482722">
        <w:rPr>
          <w:rFonts w:ascii="Arial" w:hAnsi="Arial" w:cs="Arial"/>
          <w:sz w:val="20"/>
          <w:szCs w:val="20"/>
        </w:rPr>
        <w:t xml:space="preserve"> (e.g., </w:t>
      </w:r>
      <w:r w:rsidR="00304E2E" w:rsidRPr="00482722">
        <w:rPr>
          <w:rFonts w:ascii="Arial" w:eastAsia="Times New Roman" w:hAnsi="Arial" w:cs="Arial"/>
          <w:sz w:val="20"/>
          <w:szCs w:val="20"/>
          <w:lang w:eastAsia="en-GB"/>
        </w:rPr>
        <w:t xml:space="preserve">Gao </w:t>
      </w:r>
      <w:r w:rsidR="002D35B9" w:rsidRPr="00482722">
        <w:rPr>
          <w:rFonts w:ascii="Arial" w:eastAsia="Times New Roman" w:hAnsi="Arial" w:cs="Arial"/>
          <w:sz w:val="20"/>
          <w:szCs w:val="20"/>
          <w:lang w:eastAsia="en-GB"/>
        </w:rPr>
        <w:t>and</w:t>
      </w:r>
      <w:r w:rsidR="00304E2E" w:rsidRPr="00482722">
        <w:rPr>
          <w:rFonts w:ascii="Arial" w:eastAsia="Times New Roman" w:hAnsi="Arial" w:cs="Arial"/>
          <w:sz w:val="20"/>
          <w:szCs w:val="20"/>
          <w:lang w:eastAsia="en-GB"/>
        </w:rPr>
        <w:t xml:space="preserve"> Li, 2019; </w:t>
      </w:r>
      <w:r w:rsidR="00304E2E" w:rsidRPr="00482722">
        <w:rPr>
          <w:rFonts w:ascii="Arial" w:hAnsi="Arial" w:cs="Arial"/>
          <w:sz w:val="20"/>
          <w:szCs w:val="20"/>
        </w:rPr>
        <w:t xml:space="preserve">Alzahrani et al., 2018) and trust </w:t>
      </w:r>
      <w:r w:rsidR="004E7A8D" w:rsidRPr="00482722">
        <w:rPr>
          <w:rFonts w:ascii="Arial" w:hAnsi="Arial" w:cs="Arial"/>
          <w:sz w:val="20"/>
          <w:szCs w:val="20"/>
        </w:rPr>
        <w:t xml:space="preserve">in the </w:t>
      </w:r>
      <w:r w:rsidR="00304E2E" w:rsidRPr="00482722">
        <w:rPr>
          <w:rFonts w:ascii="Arial" w:hAnsi="Arial" w:cs="Arial"/>
          <w:sz w:val="20"/>
          <w:szCs w:val="20"/>
        </w:rPr>
        <w:t xml:space="preserve">online service (e.g., </w:t>
      </w:r>
      <w:r w:rsidR="00304E2E" w:rsidRPr="00482722">
        <w:rPr>
          <w:rFonts w:ascii="Arial" w:eastAsia="Times New Roman" w:hAnsi="Arial" w:cs="Arial"/>
          <w:sz w:val="20"/>
          <w:szCs w:val="20"/>
          <w:lang w:eastAsia="en-GB"/>
        </w:rPr>
        <w:t>Lara-Rubio et al., 2020; Cao et al. 2018</w:t>
      </w:r>
      <w:r w:rsidR="00304E2E" w:rsidRPr="00482722">
        <w:rPr>
          <w:rFonts w:ascii="Arial" w:hAnsi="Arial" w:cs="Arial"/>
          <w:sz w:val="20"/>
          <w:szCs w:val="20"/>
        </w:rPr>
        <w:t>).</w:t>
      </w:r>
    </w:p>
    <w:p w14:paraId="3BA60D29" w14:textId="36C64068" w:rsidR="007B7824" w:rsidRPr="00482722" w:rsidRDefault="007B7824" w:rsidP="00DA5EEC">
      <w:pPr>
        <w:pStyle w:val="Heading1"/>
        <w:spacing w:line="240" w:lineRule="auto"/>
        <w:rPr>
          <w:rFonts w:ascii="Arial" w:hAnsi="Arial" w:cs="Arial"/>
          <w:sz w:val="20"/>
          <w:szCs w:val="20"/>
        </w:rPr>
      </w:pPr>
      <w:r w:rsidRPr="00482722">
        <w:rPr>
          <w:rFonts w:ascii="Arial" w:hAnsi="Arial" w:cs="Arial"/>
          <w:sz w:val="20"/>
          <w:szCs w:val="20"/>
        </w:rPr>
        <w:t xml:space="preserve">Research </w:t>
      </w:r>
      <w:r w:rsidR="004372AB" w:rsidRPr="00482722">
        <w:rPr>
          <w:rFonts w:ascii="Arial" w:hAnsi="Arial" w:cs="Arial"/>
          <w:sz w:val="20"/>
          <w:szCs w:val="20"/>
        </w:rPr>
        <w:t>m</w:t>
      </w:r>
      <w:r w:rsidRPr="00482722">
        <w:rPr>
          <w:rFonts w:ascii="Arial" w:hAnsi="Arial" w:cs="Arial"/>
          <w:sz w:val="20"/>
          <w:szCs w:val="20"/>
        </w:rPr>
        <w:t xml:space="preserve">odel and </w:t>
      </w:r>
      <w:r w:rsidR="004372AB" w:rsidRPr="00482722">
        <w:rPr>
          <w:rFonts w:ascii="Arial" w:hAnsi="Arial" w:cs="Arial"/>
          <w:sz w:val="20"/>
          <w:szCs w:val="20"/>
        </w:rPr>
        <w:t>h</w:t>
      </w:r>
      <w:r w:rsidRPr="00482722">
        <w:rPr>
          <w:rFonts w:ascii="Arial" w:hAnsi="Arial" w:cs="Arial"/>
          <w:sz w:val="20"/>
          <w:szCs w:val="20"/>
        </w:rPr>
        <w:t>ypothes</w:t>
      </w:r>
      <w:r w:rsidR="004372AB" w:rsidRPr="00482722">
        <w:rPr>
          <w:rFonts w:ascii="Arial" w:hAnsi="Arial" w:cs="Arial"/>
          <w:sz w:val="20"/>
          <w:szCs w:val="20"/>
        </w:rPr>
        <w:t>i</w:t>
      </w:r>
      <w:r w:rsidRPr="00482722">
        <w:rPr>
          <w:rFonts w:ascii="Arial" w:hAnsi="Arial" w:cs="Arial"/>
          <w:sz w:val="20"/>
          <w:szCs w:val="20"/>
        </w:rPr>
        <w:t>s</w:t>
      </w:r>
      <w:r w:rsidR="004372AB" w:rsidRPr="00482722">
        <w:rPr>
          <w:rFonts w:ascii="Arial" w:hAnsi="Arial" w:cs="Arial"/>
          <w:sz w:val="20"/>
          <w:szCs w:val="20"/>
        </w:rPr>
        <w:t xml:space="preserve"> development</w:t>
      </w:r>
    </w:p>
    <w:p w14:paraId="2D89FEEB" w14:textId="0842A907" w:rsidR="0066461C" w:rsidRPr="00482722" w:rsidRDefault="00465A9F" w:rsidP="0066461C">
      <w:pPr>
        <w:pStyle w:val="yiv9788245124msoplaintext"/>
        <w:spacing w:before="0" w:beforeAutospacing="0" w:after="240" w:afterAutospacing="0"/>
        <w:jc w:val="both"/>
        <w:rPr>
          <w:rFonts w:ascii="Arial" w:hAnsi="Arial" w:cs="Arial"/>
          <w:sz w:val="20"/>
          <w:szCs w:val="20"/>
          <w:lang w:val="en-GB"/>
        </w:rPr>
      </w:pPr>
      <w:r w:rsidRPr="00482722">
        <w:rPr>
          <w:rFonts w:ascii="Arial" w:hAnsi="Arial" w:cs="Arial"/>
          <w:sz w:val="20"/>
          <w:szCs w:val="20"/>
          <w:lang w:val="en-GB"/>
        </w:rPr>
        <w:t xml:space="preserve">Drawing on the service quality </w:t>
      </w:r>
      <w:bookmarkStart w:id="11" w:name="_Hlk58263778"/>
      <w:r w:rsidRPr="00482722">
        <w:rPr>
          <w:rFonts w:ascii="Arial" w:hAnsi="Arial" w:cs="Arial"/>
          <w:sz w:val="20"/>
          <w:szCs w:val="20"/>
          <w:lang w:val="en-GB"/>
        </w:rPr>
        <w:t>model</w:t>
      </w:r>
      <w:r w:rsidR="00620340" w:rsidRPr="00482722">
        <w:rPr>
          <w:rFonts w:ascii="Arial" w:hAnsi="Arial" w:cs="Arial"/>
          <w:sz w:val="20"/>
          <w:szCs w:val="20"/>
          <w:lang w:val="en-GB"/>
        </w:rPr>
        <w:t xml:space="preserve"> (Parasuraman et al.,1994)</w:t>
      </w:r>
      <w:r w:rsidRPr="00482722">
        <w:rPr>
          <w:rFonts w:ascii="Arial" w:hAnsi="Arial" w:cs="Arial"/>
          <w:sz w:val="20"/>
          <w:szCs w:val="20"/>
          <w:lang w:val="en-GB"/>
        </w:rPr>
        <w:t xml:space="preserve"> and </w:t>
      </w:r>
      <w:r w:rsidR="00496546" w:rsidRPr="00482722">
        <w:rPr>
          <w:rFonts w:ascii="Arial" w:hAnsi="Arial" w:cs="Arial"/>
          <w:sz w:val="20"/>
          <w:szCs w:val="20"/>
          <w:lang w:val="en-GB"/>
        </w:rPr>
        <w:t>trust</w:t>
      </w:r>
      <w:r w:rsidR="00A00DF1" w:rsidRPr="00482722">
        <w:rPr>
          <w:rFonts w:ascii="Arial" w:hAnsi="Arial" w:cs="Arial"/>
          <w:sz w:val="20"/>
          <w:szCs w:val="20"/>
          <w:lang w:val="en-GB"/>
        </w:rPr>
        <w:t xml:space="preserve"> </w:t>
      </w:r>
      <w:r w:rsidR="001F3F07" w:rsidRPr="00482722">
        <w:rPr>
          <w:rFonts w:ascii="Arial" w:hAnsi="Arial" w:cs="Arial"/>
          <w:sz w:val="20"/>
          <w:szCs w:val="20"/>
          <w:lang w:val="en-GB"/>
        </w:rPr>
        <w:t xml:space="preserve">theory </w:t>
      </w:r>
      <w:r w:rsidR="00620340" w:rsidRPr="00482722">
        <w:rPr>
          <w:rFonts w:ascii="Arial" w:hAnsi="Arial" w:cs="Arial"/>
          <w:sz w:val="20"/>
          <w:szCs w:val="20"/>
          <w:lang w:val="en-GB"/>
        </w:rPr>
        <w:t>(</w:t>
      </w:r>
      <w:bookmarkStart w:id="12" w:name="_Hlk58758066"/>
      <w:r w:rsidR="001F3F07" w:rsidRPr="00482722">
        <w:rPr>
          <w:rFonts w:ascii="Arial" w:hAnsi="Arial" w:cs="Arial"/>
          <w:sz w:val="20"/>
          <w:szCs w:val="20"/>
          <w:lang w:val="en-GB"/>
        </w:rPr>
        <w:t>Zucker, 1986</w:t>
      </w:r>
      <w:bookmarkEnd w:id="12"/>
      <w:r w:rsidR="001F3F07" w:rsidRPr="00482722">
        <w:rPr>
          <w:rFonts w:ascii="Arial" w:hAnsi="Arial" w:cs="Arial"/>
          <w:sz w:val="20"/>
          <w:szCs w:val="20"/>
          <w:lang w:val="en-GB"/>
        </w:rPr>
        <w:t>)</w:t>
      </w:r>
      <w:r w:rsidR="00B1087F" w:rsidRPr="00482722">
        <w:rPr>
          <w:rFonts w:ascii="Arial" w:hAnsi="Arial" w:cs="Arial"/>
          <w:sz w:val="20"/>
          <w:szCs w:val="20"/>
          <w:lang w:val="en-GB"/>
        </w:rPr>
        <w:t xml:space="preserve">, </w:t>
      </w:r>
      <w:bookmarkEnd w:id="11"/>
      <w:r w:rsidRPr="00482722">
        <w:rPr>
          <w:rFonts w:ascii="Arial" w:hAnsi="Arial" w:cs="Arial"/>
          <w:sz w:val="20"/>
          <w:szCs w:val="20"/>
          <w:lang w:val="en-GB"/>
        </w:rPr>
        <w:t xml:space="preserve">this research proposes a new model </w:t>
      </w:r>
      <w:r w:rsidR="009A147F" w:rsidRPr="00482722">
        <w:rPr>
          <w:rFonts w:ascii="Arial" w:hAnsi="Arial" w:cs="Arial"/>
          <w:sz w:val="20"/>
          <w:szCs w:val="20"/>
          <w:lang w:val="en-GB"/>
        </w:rPr>
        <w:t>that</w:t>
      </w:r>
      <w:r w:rsidR="00C34A47" w:rsidRPr="00482722">
        <w:rPr>
          <w:rFonts w:ascii="Arial" w:hAnsi="Arial" w:cs="Arial"/>
          <w:sz w:val="20"/>
          <w:szCs w:val="20"/>
          <w:lang w:val="en-GB"/>
        </w:rPr>
        <w:t xml:space="preserve"> integrates </w:t>
      </w:r>
      <w:r w:rsidRPr="00482722">
        <w:rPr>
          <w:rFonts w:ascii="Arial" w:hAnsi="Arial" w:cs="Arial"/>
          <w:sz w:val="20"/>
          <w:szCs w:val="20"/>
          <w:lang w:val="en-GB"/>
        </w:rPr>
        <w:t xml:space="preserve">different factors that can </w:t>
      </w:r>
      <w:r w:rsidR="002875F9" w:rsidRPr="00482722">
        <w:rPr>
          <w:rFonts w:ascii="Arial" w:hAnsi="Arial" w:cs="Arial"/>
          <w:sz w:val="20"/>
          <w:szCs w:val="20"/>
          <w:lang w:val="en-GB"/>
        </w:rPr>
        <w:t xml:space="preserve">affect </w:t>
      </w:r>
      <w:r w:rsidR="0000212F" w:rsidRPr="00482722">
        <w:rPr>
          <w:rFonts w:ascii="Arial" w:hAnsi="Arial" w:cs="Arial"/>
          <w:sz w:val="20"/>
          <w:szCs w:val="20"/>
          <w:lang w:val="en-GB"/>
        </w:rPr>
        <w:t xml:space="preserve">citizen </w:t>
      </w:r>
      <w:r w:rsidRPr="00482722">
        <w:rPr>
          <w:rFonts w:ascii="Arial" w:hAnsi="Arial" w:cs="Arial"/>
          <w:sz w:val="20"/>
          <w:szCs w:val="20"/>
          <w:lang w:val="en-GB"/>
        </w:rPr>
        <w:t xml:space="preserve">loyalty to e-government services. </w:t>
      </w:r>
      <w:r w:rsidR="004372AB" w:rsidRPr="00482722">
        <w:rPr>
          <w:rFonts w:ascii="Arial" w:hAnsi="Arial" w:cs="Arial"/>
          <w:sz w:val="20"/>
          <w:szCs w:val="20"/>
          <w:lang w:val="en-GB"/>
        </w:rPr>
        <w:t>The model developed in this research aims</w:t>
      </w:r>
      <w:r w:rsidR="00D87901" w:rsidRPr="00482722">
        <w:rPr>
          <w:rFonts w:ascii="Arial" w:hAnsi="Arial" w:cs="Arial"/>
          <w:sz w:val="20"/>
          <w:szCs w:val="20"/>
          <w:lang w:val="en-GB"/>
        </w:rPr>
        <w:t xml:space="preserve"> to derive an understanding of the development of the conceptual relationships between service quality, trust</w:t>
      </w:r>
      <w:r w:rsidR="00CA6AD1" w:rsidRPr="00482722">
        <w:rPr>
          <w:rFonts w:ascii="Arial" w:hAnsi="Arial" w:cs="Arial"/>
          <w:sz w:val="20"/>
          <w:szCs w:val="20"/>
          <w:lang w:val="en-GB"/>
        </w:rPr>
        <w:t>,</w:t>
      </w:r>
      <w:r w:rsidR="00D87901" w:rsidRPr="00482722">
        <w:rPr>
          <w:rFonts w:ascii="Arial" w:hAnsi="Arial" w:cs="Arial"/>
          <w:sz w:val="20"/>
          <w:szCs w:val="20"/>
          <w:lang w:val="en-GB"/>
        </w:rPr>
        <w:t xml:space="preserve"> and satisfaction, and the incidence of these constructs on citizen loyalty to</w:t>
      </w:r>
      <w:r w:rsidR="00937610" w:rsidRPr="00482722">
        <w:rPr>
          <w:rFonts w:ascii="Arial" w:hAnsi="Arial" w:cs="Arial"/>
          <w:sz w:val="20"/>
          <w:szCs w:val="20"/>
          <w:lang w:val="en-GB"/>
        </w:rPr>
        <w:t xml:space="preserve"> </w:t>
      </w:r>
      <w:r w:rsidR="00D87901" w:rsidRPr="00482722">
        <w:rPr>
          <w:rFonts w:ascii="Arial" w:hAnsi="Arial" w:cs="Arial"/>
          <w:sz w:val="20"/>
          <w:szCs w:val="20"/>
          <w:lang w:val="en-GB"/>
        </w:rPr>
        <w:t xml:space="preserve">e-government services, as shown in Figure 1. </w:t>
      </w:r>
      <w:r w:rsidR="002875F9" w:rsidRPr="00482722">
        <w:rPr>
          <w:rFonts w:ascii="Arial" w:hAnsi="Arial" w:cs="Arial"/>
          <w:sz w:val="20"/>
          <w:szCs w:val="20"/>
          <w:lang w:val="en-GB"/>
        </w:rPr>
        <w:t>T</w:t>
      </w:r>
      <w:r w:rsidR="00D87901" w:rsidRPr="00482722">
        <w:rPr>
          <w:rFonts w:ascii="Arial" w:hAnsi="Arial" w:cs="Arial"/>
          <w:sz w:val="20"/>
          <w:szCs w:val="20"/>
          <w:lang w:val="en-GB"/>
        </w:rPr>
        <w:t xml:space="preserve">his section begins by capturing the </w:t>
      </w:r>
      <w:r w:rsidR="007C069A" w:rsidRPr="00482722">
        <w:rPr>
          <w:rFonts w:ascii="Arial" w:hAnsi="Arial" w:cs="Arial"/>
          <w:sz w:val="20"/>
          <w:szCs w:val="20"/>
          <w:lang w:val="en-GB"/>
        </w:rPr>
        <w:t>antecedents</w:t>
      </w:r>
      <w:r w:rsidR="002875F9" w:rsidRPr="00482722">
        <w:rPr>
          <w:rFonts w:ascii="Arial" w:hAnsi="Arial" w:cs="Arial"/>
          <w:sz w:val="20"/>
          <w:szCs w:val="20"/>
          <w:lang w:val="en-GB"/>
        </w:rPr>
        <w:t xml:space="preserve"> of</w:t>
      </w:r>
      <w:r w:rsidR="007C069A" w:rsidRPr="00482722">
        <w:rPr>
          <w:rFonts w:ascii="Arial" w:hAnsi="Arial" w:cs="Arial"/>
          <w:sz w:val="20"/>
          <w:szCs w:val="20"/>
          <w:lang w:val="en-GB"/>
        </w:rPr>
        <w:t xml:space="preserve"> </w:t>
      </w:r>
      <w:r w:rsidR="00D87901" w:rsidRPr="00482722">
        <w:rPr>
          <w:rFonts w:ascii="Arial" w:hAnsi="Arial" w:cs="Arial"/>
          <w:sz w:val="20"/>
          <w:szCs w:val="20"/>
          <w:lang w:val="en-GB"/>
        </w:rPr>
        <w:t xml:space="preserve">citizen trust in e-government </w:t>
      </w:r>
      <w:r w:rsidR="000C286E" w:rsidRPr="00482722">
        <w:rPr>
          <w:rFonts w:ascii="Arial" w:hAnsi="Arial" w:cs="Arial"/>
          <w:sz w:val="20"/>
          <w:szCs w:val="20"/>
          <w:lang w:val="en-GB"/>
        </w:rPr>
        <w:t>services,</w:t>
      </w:r>
      <w:r w:rsidR="00D87901" w:rsidRPr="00482722">
        <w:rPr>
          <w:rFonts w:ascii="Arial" w:hAnsi="Arial" w:cs="Arial"/>
          <w:sz w:val="20"/>
          <w:szCs w:val="20"/>
          <w:lang w:val="en-GB"/>
        </w:rPr>
        <w:t xml:space="preserve"> including trust in </w:t>
      </w:r>
      <w:r w:rsidR="00CD1FA0" w:rsidRPr="00482722">
        <w:rPr>
          <w:rFonts w:ascii="Arial" w:hAnsi="Arial" w:cs="Arial"/>
          <w:sz w:val="20"/>
          <w:szCs w:val="20"/>
          <w:lang w:val="en-GB"/>
        </w:rPr>
        <w:t>government and</w:t>
      </w:r>
      <w:r w:rsidR="00D87901" w:rsidRPr="00482722">
        <w:rPr>
          <w:rFonts w:ascii="Arial" w:hAnsi="Arial" w:cs="Arial"/>
          <w:sz w:val="20"/>
          <w:szCs w:val="20"/>
          <w:lang w:val="en-GB"/>
        </w:rPr>
        <w:t xml:space="preserve"> disposition to trust, in conjunction with </w:t>
      </w:r>
      <w:r w:rsidR="00FF1ADF" w:rsidRPr="00482722">
        <w:rPr>
          <w:rFonts w:ascii="Arial" w:hAnsi="Arial" w:cs="Arial"/>
          <w:sz w:val="20"/>
          <w:szCs w:val="20"/>
          <w:lang w:val="en-GB"/>
        </w:rPr>
        <w:t>service quality</w:t>
      </w:r>
      <w:r w:rsidR="00D87901" w:rsidRPr="00482722">
        <w:rPr>
          <w:rFonts w:ascii="Arial" w:hAnsi="Arial" w:cs="Arial"/>
          <w:sz w:val="20"/>
          <w:szCs w:val="20"/>
          <w:lang w:val="en-GB"/>
        </w:rPr>
        <w:t xml:space="preserve">. Then, </w:t>
      </w:r>
      <w:r w:rsidR="00023FDC" w:rsidRPr="00482722">
        <w:rPr>
          <w:rFonts w:ascii="Arial" w:hAnsi="Arial" w:cs="Arial"/>
          <w:sz w:val="20"/>
          <w:szCs w:val="20"/>
          <w:lang w:val="en-GB"/>
        </w:rPr>
        <w:t>Then, the direct relationships are developed between service quality, trust in government, and trust in e-government services, and citizen satisfaction</w:t>
      </w:r>
      <w:r w:rsidR="00D87901" w:rsidRPr="00482722">
        <w:rPr>
          <w:rFonts w:ascii="Arial" w:hAnsi="Arial" w:cs="Arial"/>
          <w:sz w:val="20"/>
          <w:szCs w:val="20"/>
          <w:lang w:val="en-GB"/>
        </w:rPr>
        <w:t xml:space="preserve">. </w:t>
      </w:r>
      <w:r w:rsidR="00023FDC" w:rsidRPr="00482722">
        <w:rPr>
          <w:rFonts w:ascii="Arial" w:hAnsi="Arial" w:cs="Arial"/>
          <w:sz w:val="20"/>
          <w:szCs w:val="20"/>
          <w:lang w:val="en-GB"/>
        </w:rPr>
        <w:t>Finally, direct relationships are hypothesised between the variables of service quality, trust in government, and trust in e-government services, and citizen satisfaction, with citizen loyalty as an independent factor.</w:t>
      </w:r>
    </w:p>
    <w:p w14:paraId="3DA46E5A" w14:textId="41FEC477" w:rsidR="0000212F" w:rsidRPr="00482722" w:rsidRDefault="00023FDC" w:rsidP="00DA5EEC">
      <w:pPr>
        <w:pStyle w:val="yiv9788245124msoplaintext"/>
        <w:spacing w:before="0" w:beforeAutospacing="0" w:after="240" w:afterAutospacing="0"/>
        <w:rPr>
          <w:rFonts w:ascii="Arial" w:hAnsi="Arial" w:cs="Arial"/>
          <w:noProof/>
          <w:sz w:val="20"/>
          <w:szCs w:val="20"/>
          <w:lang w:val="en-GB" w:eastAsia="en-GB"/>
        </w:rPr>
      </w:pPr>
      <w:r w:rsidRPr="00482722">
        <w:rPr>
          <w:rFonts w:ascii="Arial" w:hAnsi="Arial" w:cs="Arial"/>
          <w:noProof/>
          <w:sz w:val="20"/>
          <w:szCs w:val="20"/>
          <w:lang w:val="en-GB" w:eastAsia="en-GB"/>
        </w:rPr>
        <w:drawing>
          <wp:inline distT="0" distB="0" distL="0" distR="0" wp14:anchorId="4FD58338" wp14:editId="47A85F70">
            <wp:extent cx="5848350" cy="353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0" cy="3533775"/>
                    </a:xfrm>
                    <a:prstGeom prst="rect">
                      <a:avLst/>
                    </a:prstGeom>
                    <a:noFill/>
                  </pic:spPr>
                </pic:pic>
              </a:graphicData>
            </a:graphic>
          </wp:inline>
        </w:drawing>
      </w:r>
    </w:p>
    <w:p w14:paraId="200B8807" w14:textId="2036759C" w:rsidR="00945F3A" w:rsidRPr="00482722" w:rsidRDefault="00D87901" w:rsidP="00DA5EEC">
      <w:pPr>
        <w:pStyle w:val="yiv9788245124msoplaintext"/>
        <w:spacing w:before="0" w:beforeAutospacing="0" w:after="240" w:afterAutospacing="0"/>
        <w:rPr>
          <w:rFonts w:ascii="Arial" w:hAnsi="Arial" w:cs="Arial"/>
          <w:sz w:val="20"/>
          <w:szCs w:val="20"/>
          <w:lang w:val="en-GB"/>
        </w:rPr>
      </w:pPr>
      <w:r w:rsidRPr="00482722">
        <w:rPr>
          <w:rFonts w:ascii="Arial" w:hAnsi="Arial" w:cs="Arial"/>
          <w:b/>
          <w:bCs/>
          <w:sz w:val="20"/>
          <w:szCs w:val="20"/>
          <w:lang w:val="en-GB"/>
        </w:rPr>
        <w:t>Figure 1</w:t>
      </w:r>
      <w:r w:rsidRPr="00482722">
        <w:rPr>
          <w:rFonts w:ascii="Arial" w:hAnsi="Arial" w:cs="Arial"/>
          <w:sz w:val="20"/>
          <w:szCs w:val="20"/>
          <w:lang w:val="en-GB"/>
        </w:rPr>
        <w:t xml:space="preserve">. </w:t>
      </w:r>
      <w:r w:rsidR="00792397" w:rsidRPr="00482722">
        <w:rPr>
          <w:rFonts w:ascii="Arial" w:hAnsi="Arial" w:cs="Arial"/>
          <w:sz w:val="20"/>
          <w:szCs w:val="20"/>
          <w:lang w:val="en-GB"/>
        </w:rPr>
        <w:t>C</w:t>
      </w:r>
      <w:r w:rsidR="002A058F" w:rsidRPr="00482722">
        <w:rPr>
          <w:rFonts w:ascii="Arial" w:hAnsi="Arial" w:cs="Arial"/>
          <w:sz w:val="20"/>
          <w:szCs w:val="20"/>
          <w:lang w:val="en-GB"/>
        </w:rPr>
        <w:t>onceptual</w:t>
      </w:r>
      <w:r w:rsidR="00792397" w:rsidRPr="00482722">
        <w:rPr>
          <w:rFonts w:ascii="Arial" w:hAnsi="Arial" w:cs="Arial"/>
          <w:sz w:val="20"/>
          <w:szCs w:val="20"/>
          <w:lang w:val="en-GB"/>
        </w:rPr>
        <w:t xml:space="preserve"> research</w:t>
      </w:r>
      <w:r w:rsidR="002A058F" w:rsidRPr="00482722">
        <w:rPr>
          <w:rFonts w:ascii="Arial" w:hAnsi="Arial" w:cs="Arial"/>
          <w:sz w:val="20"/>
          <w:szCs w:val="20"/>
          <w:lang w:val="en-GB"/>
        </w:rPr>
        <w:t xml:space="preserve"> </w:t>
      </w:r>
      <w:r w:rsidR="00B20EB5" w:rsidRPr="00482722">
        <w:rPr>
          <w:rFonts w:ascii="Arial" w:hAnsi="Arial" w:cs="Arial"/>
          <w:sz w:val="20"/>
          <w:szCs w:val="20"/>
          <w:lang w:val="en-GB"/>
        </w:rPr>
        <w:t>m</w:t>
      </w:r>
      <w:r w:rsidRPr="00482722">
        <w:rPr>
          <w:rFonts w:ascii="Arial" w:hAnsi="Arial" w:cs="Arial"/>
          <w:sz w:val="20"/>
          <w:szCs w:val="20"/>
          <w:lang w:val="en-GB"/>
        </w:rPr>
        <w:t>odel</w:t>
      </w:r>
    </w:p>
    <w:p w14:paraId="16748DE4" w14:textId="77777777" w:rsidR="004C67FA" w:rsidRPr="00482722" w:rsidRDefault="004C67FA" w:rsidP="00DA5EEC">
      <w:pPr>
        <w:spacing w:line="240" w:lineRule="auto"/>
        <w:rPr>
          <w:rFonts w:ascii="Arial" w:hAnsi="Arial" w:cs="Arial"/>
          <w:sz w:val="20"/>
          <w:szCs w:val="20"/>
        </w:rPr>
      </w:pPr>
    </w:p>
    <w:p w14:paraId="21383481" w14:textId="644AAA93" w:rsidR="00963712" w:rsidRPr="00482722" w:rsidRDefault="00173171" w:rsidP="00460900">
      <w:pPr>
        <w:pStyle w:val="Heading2"/>
        <w:rPr>
          <w:b/>
        </w:rPr>
      </w:pPr>
      <w:r w:rsidRPr="00482722">
        <w:t xml:space="preserve">Antecedents </w:t>
      </w:r>
      <w:r w:rsidR="000C253A" w:rsidRPr="00482722">
        <w:t>of</w:t>
      </w:r>
      <w:r w:rsidRPr="00482722">
        <w:t xml:space="preserve"> </w:t>
      </w:r>
      <w:r w:rsidR="007A0D74" w:rsidRPr="00482722">
        <w:t>t</w:t>
      </w:r>
      <w:r w:rsidR="00963712" w:rsidRPr="00482722">
        <w:t>rust</w:t>
      </w:r>
    </w:p>
    <w:p w14:paraId="17F885B1" w14:textId="4068FF91" w:rsidR="002F0737" w:rsidRPr="00482722" w:rsidRDefault="00A55144" w:rsidP="00355EA1">
      <w:pPr>
        <w:spacing w:line="240" w:lineRule="auto"/>
        <w:jc w:val="both"/>
        <w:rPr>
          <w:rFonts w:ascii="Arial" w:hAnsi="Arial" w:cs="Arial"/>
          <w:sz w:val="20"/>
          <w:szCs w:val="20"/>
        </w:rPr>
      </w:pPr>
      <w:r w:rsidRPr="00482722">
        <w:rPr>
          <w:rFonts w:ascii="Arial" w:hAnsi="Arial" w:cs="Arial"/>
          <w:sz w:val="20"/>
          <w:szCs w:val="20"/>
        </w:rPr>
        <w:t>Previous studies explored</w:t>
      </w:r>
      <w:r w:rsidR="00173171" w:rsidRPr="00482722">
        <w:rPr>
          <w:rFonts w:ascii="Arial" w:hAnsi="Arial" w:cs="Arial"/>
          <w:sz w:val="20"/>
          <w:szCs w:val="20"/>
        </w:rPr>
        <w:t xml:space="preserve"> different</w:t>
      </w:r>
      <w:r w:rsidR="000F3EF9" w:rsidRPr="00482722">
        <w:rPr>
          <w:rFonts w:ascii="Arial" w:hAnsi="Arial" w:cs="Arial"/>
          <w:sz w:val="20"/>
          <w:szCs w:val="20"/>
        </w:rPr>
        <w:t xml:space="preserve"> factors </w:t>
      </w:r>
      <w:r w:rsidR="00370DC1" w:rsidRPr="00482722">
        <w:rPr>
          <w:rFonts w:ascii="Arial" w:hAnsi="Arial" w:cs="Arial"/>
          <w:sz w:val="20"/>
          <w:szCs w:val="20"/>
        </w:rPr>
        <w:t xml:space="preserve">that influence </w:t>
      </w:r>
      <w:r w:rsidR="00173171" w:rsidRPr="00482722">
        <w:rPr>
          <w:rFonts w:ascii="Arial" w:hAnsi="Arial" w:cs="Arial"/>
          <w:sz w:val="20"/>
          <w:szCs w:val="20"/>
        </w:rPr>
        <w:t xml:space="preserve">citizens’ beliefs and perceptions </w:t>
      </w:r>
      <w:r w:rsidR="002B5100" w:rsidRPr="00482722">
        <w:rPr>
          <w:rFonts w:ascii="Arial" w:hAnsi="Arial" w:cs="Arial"/>
          <w:sz w:val="20"/>
          <w:szCs w:val="20"/>
        </w:rPr>
        <w:t>of</w:t>
      </w:r>
      <w:r w:rsidR="00173171" w:rsidRPr="00482722">
        <w:rPr>
          <w:rFonts w:ascii="Arial" w:hAnsi="Arial" w:cs="Arial"/>
          <w:sz w:val="20"/>
          <w:szCs w:val="20"/>
        </w:rPr>
        <w:t xml:space="preserve"> trust in e-government.</w:t>
      </w:r>
      <w:r w:rsidR="0081628A" w:rsidRPr="00482722">
        <w:rPr>
          <w:rFonts w:ascii="Arial" w:hAnsi="Arial" w:cs="Arial"/>
          <w:sz w:val="20"/>
          <w:szCs w:val="20"/>
        </w:rPr>
        <w:t xml:space="preserve"> </w:t>
      </w:r>
      <w:r w:rsidR="00173171" w:rsidRPr="00482722">
        <w:rPr>
          <w:rFonts w:ascii="Arial" w:hAnsi="Arial" w:cs="Arial"/>
          <w:sz w:val="20"/>
          <w:szCs w:val="20"/>
        </w:rPr>
        <w:t xml:space="preserve">For example, </w:t>
      </w:r>
      <w:r w:rsidR="00937F3B" w:rsidRPr="00482722">
        <w:rPr>
          <w:rFonts w:ascii="Arial" w:hAnsi="Arial" w:cs="Arial"/>
          <w:sz w:val="20"/>
          <w:szCs w:val="20"/>
        </w:rPr>
        <w:t>Abu-Shanab (2014) examined trust</w:t>
      </w:r>
      <w:r w:rsidR="00EA5133" w:rsidRPr="00482722">
        <w:rPr>
          <w:rFonts w:ascii="Arial" w:hAnsi="Arial" w:cs="Arial"/>
          <w:sz w:val="20"/>
          <w:szCs w:val="20"/>
        </w:rPr>
        <w:t>-related</w:t>
      </w:r>
      <w:r w:rsidR="00937F3B" w:rsidRPr="00482722">
        <w:rPr>
          <w:rFonts w:ascii="Arial" w:hAnsi="Arial" w:cs="Arial"/>
          <w:sz w:val="20"/>
          <w:szCs w:val="20"/>
        </w:rPr>
        <w:t xml:space="preserve"> antecedents </w:t>
      </w:r>
      <w:r w:rsidR="00EA5133" w:rsidRPr="00482722">
        <w:rPr>
          <w:rFonts w:ascii="Arial" w:hAnsi="Arial" w:cs="Arial"/>
          <w:sz w:val="20"/>
          <w:szCs w:val="20"/>
        </w:rPr>
        <w:t xml:space="preserve">that can </w:t>
      </w:r>
      <w:r w:rsidR="00937F3B" w:rsidRPr="00482722">
        <w:rPr>
          <w:rFonts w:ascii="Arial" w:hAnsi="Arial" w:cs="Arial"/>
          <w:sz w:val="20"/>
          <w:szCs w:val="20"/>
        </w:rPr>
        <w:t>influenc</w:t>
      </w:r>
      <w:r w:rsidR="00EA5133" w:rsidRPr="00482722">
        <w:rPr>
          <w:rFonts w:ascii="Arial" w:hAnsi="Arial" w:cs="Arial"/>
          <w:sz w:val="20"/>
          <w:szCs w:val="20"/>
        </w:rPr>
        <w:t>e</w:t>
      </w:r>
      <w:r w:rsidR="00937F3B" w:rsidRPr="00482722">
        <w:rPr>
          <w:rFonts w:ascii="Arial" w:hAnsi="Arial" w:cs="Arial"/>
          <w:sz w:val="20"/>
          <w:szCs w:val="20"/>
        </w:rPr>
        <w:t xml:space="preserve"> citizens’ perceptions of </w:t>
      </w:r>
      <w:r w:rsidR="00663659" w:rsidRPr="00482722">
        <w:rPr>
          <w:rFonts w:ascii="Arial" w:hAnsi="Arial" w:cs="Arial"/>
          <w:sz w:val="20"/>
          <w:szCs w:val="20"/>
        </w:rPr>
        <w:t>using</w:t>
      </w:r>
      <w:r w:rsidR="00937F3B" w:rsidRPr="00482722">
        <w:rPr>
          <w:rFonts w:ascii="Arial" w:hAnsi="Arial" w:cs="Arial"/>
          <w:sz w:val="20"/>
          <w:szCs w:val="20"/>
        </w:rPr>
        <w:t xml:space="preserve"> e-government services and found that trust in the government, trust in enabling technology, and privacy and security concerns exerted a significant influence in this regard. </w:t>
      </w:r>
      <w:r w:rsidR="00173171" w:rsidRPr="00482722">
        <w:rPr>
          <w:rFonts w:ascii="Arial" w:hAnsi="Arial" w:cs="Arial"/>
          <w:sz w:val="20"/>
          <w:szCs w:val="20"/>
        </w:rPr>
        <w:t xml:space="preserve">Janssen et al. (2018) conducted a meta-research project to impose order and direction on the complexity of the relationships among the variables of citizen trust in e-government services. </w:t>
      </w:r>
      <w:r w:rsidR="002A7ED2" w:rsidRPr="00482722">
        <w:rPr>
          <w:rFonts w:ascii="Arial" w:hAnsi="Arial" w:cs="Arial"/>
          <w:sz w:val="20"/>
          <w:szCs w:val="20"/>
        </w:rPr>
        <w:t>The authors</w:t>
      </w:r>
      <w:r w:rsidR="00173171" w:rsidRPr="00482722">
        <w:rPr>
          <w:rFonts w:ascii="Arial" w:hAnsi="Arial" w:cs="Arial"/>
          <w:sz w:val="20"/>
          <w:szCs w:val="20"/>
        </w:rPr>
        <w:t xml:space="preserve"> found that certain variables, such as trust in</w:t>
      </w:r>
      <w:r w:rsidR="00F84F9D" w:rsidRPr="00482722">
        <w:rPr>
          <w:rFonts w:ascii="Arial" w:hAnsi="Arial" w:cs="Arial"/>
          <w:sz w:val="20"/>
          <w:szCs w:val="20"/>
        </w:rPr>
        <w:t xml:space="preserve"> </w:t>
      </w:r>
      <w:r w:rsidR="00173171" w:rsidRPr="00482722">
        <w:rPr>
          <w:rFonts w:ascii="Arial" w:hAnsi="Arial" w:cs="Arial"/>
          <w:sz w:val="20"/>
          <w:szCs w:val="20"/>
        </w:rPr>
        <w:t>government, trust in</w:t>
      </w:r>
      <w:r w:rsidR="00A31DE6" w:rsidRPr="00482722">
        <w:rPr>
          <w:rFonts w:ascii="Arial" w:hAnsi="Arial" w:cs="Arial"/>
          <w:sz w:val="20"/>
          <w:szCs w:val="20"/>
        </w:rPr>
        <w:t xml:space="preserve"> enabling </w:t>
      </w:r>
      <w:r w:rsidR="00173171" w:rsidRPr="00482722">
        <w:rPr>
          <w:rFonts w:ascii="Arial" w:hAnsi="Arial" w:cs="Arial"/>
          <w:sz w:val="20"/>
          <w:szCs w:val="20"/>
        </w:rPr>
        <w:t>technology, disposition to trust,</w:t>
      </w:r>
      <w:r w:rsidR="00497565" w:rsidRPr="00482722">
        <w:rPr>
          <w:rFonts w:ascii="Arial" w:hAnsi="Arial" w:cs="Arial"/>
          <w:sz w:val="20"/>
          <w:szCs w:val="20"/>
        </w:rPr>
        <w:t xml:space="preserve"> user familiarity with technology, </w:t>
      </w:r>
      <w:r w:rsidR="0054302E" w:rsidRPr="00482722">
        <w:rPr>
          <w:rFonts w:ascii="Arial" w:hAnsi="Arial" w:cs="Arial"/>
          <w:sz w:val="20"/>
          <w:szCs w:val="20"/>
        </w:rPr>
        <w:t xml:space="preserve">service quality, </w:t>
      </w:r>
      <w:r w:rsidR="00A31DE6" w:rsidRPr="00482722">
        <w:rPr>
          <w:rFonts w:ascii="Arial" w:hAnsi="Arial" w:cs="Arial"/>
          <w:sz w:val="20"/>
          <w:szCs w:val="20"/>
        </w:rPr>
        <w:t>privacy</w:t>
      </w:r>
      <w:r w:rsidR="00D2304A" w:rsidRPr="00482722">
        <w:rPr>
          <w:rFonts w:ascii="Arial" w:hAnsi="Arial" w:cs="Arial"/>
          <w:sz w:val="20"/>
          <w:szCs w:val="20"/>
        </w:rPr>
        <w:t>,</w:t>
      </w:r>
      <w:r w:rsidR="00A31DE6" w:rsidRPr="00482722">
        <w:rPr>
          <w:rFonts w:ascii="Arial" w:hAnsi="Arial" w:cs="Arial"/>
          <w:sz w:val="20"/>
          <w:szCs w:val="20"/>
        </w:rPr>
        <w:t xml:space="preserve"> and security risks </w:t>
      </w:r>
      <w:r w:rsidR="00173171" w:rsidRPr="00482722">
        <w:rPr>
          <w:rFonts w:ascii="Arial" w:hAnsi="Arial" w:cs="Arial"/>
          <w:sz w:val="20"/>
          <w:szCs w:val="20"/>
        </w:rPr>
        <w:t xml:space="preserve">were the most </w:t>
      </w:r>
      <w:r w:rsidR="00EA5133" w:rsidRPr="00482722">
        <w:rPr>
          <w:rFonts w:ascii="Arial" w:hAnsi="Arial" w:cs="Arial"/>
          <w:sz w:val="20"/>
          <w:szCs w:val="20"/>
        </w:rPr>
        <w:t xml:space="preserve">significant factors </w:t>
      </w:r>
      <w:r w:rsidR="00173171" w:rsidRPr="00482722">
        <w:rPr>
          <w:rFonts w:ascii="Arial" w:hAnsi="Arial" w:cs="Arial"/>
          <w:sz w:val="20"/>
          <w:szCs w:val="20"/>
        </w:rPr>
        <w:t>influencing trust in e-government.</w:t>
      </w:r>
    </w:p>
    <w:p w14:paraId="1B5263F1" w14:textId="4144B263" w:rsidR="008450C5" w:rsidRPr="00482722" w:rsidRDefault="00D957E8" w:rsidP="00F242C5">
      <w:pPr>
        <w:spacing w:line="240" w:lineRule="auto"/>
        <w:jc w:val="both"/>
        <w:rPr>
          <w:rFonts w:ascii="Arial" w:hAnsi="Arial" w:cs="Arial"/>
          <w:sz w:val="20"/>
          <w:szCs w:val="20"/>
        </w:rPr>
      </w:pPr>
      <w:r w:rsidRPr="00482722">
        <w:rPr>
          <w:rFonts w:ascii="Arial" w:hAnsi="Arial" w:cs="Arial"/>
          <w:sz w:val="20"/>
          <w:szCs w:val="20"/>
        </w:rPr>
        <w:t xml:space="preserve">In </w:t>
      </w:r>
      <w:r w:rsidR="003A15E1" w:rsidRPr="00482722">
        <w:rPr>
          <w:rFonts w:ascii="Arial" w:hAnsi="Arial" w:cs="Arial"/>
          <w:sz w:val="20"/>
          <w:szCs w:val="20"/>
        </w:rPr>
        <w:t>the context of this research</w:t>
      </w:r>
      <w:r w:rsidR="00497565" w:rsidRPr="00482722">
        <w:rPr>
          <w:rFonts w:ascii="Arial" w:hAnsi="Arial" w:cs="Arial"/>
          <w:sz w:val="20"/>
          <w:szCs w:val="20"/>
        </w:rPr>
        <w:t xml:space="preserve">, </w:t>
      </w:r>
      <w:r w:rsidR="00937F3B" w:rsidRPr="00482722">
        <w:rPr>
          <w:rFonts w:ascii="Arial" w:hAnsi="Arial" w:cs="Arial"/>
          <w:sz w:val="20"/>
          <w:szCs w:val="20"/>
        </w:rPr>
        <w:t xml:space="preserve">we focus on the relationships between </w:t>
      </w:r>
      <w:r w:rsidR="00B91C56" w:rsidRPr="00482722">
        <w:rPr>
          <w:rFonts w:ascii="Arial" w:hAnsi="Arial" w:cs="Arial"/>
          <w:sz w:val="20"/>
          <w:szCs w:val="20"/>
        </w:rPr>
        <w:t>disposition to trust</w:t>
      </w:r>
      <w:r w:rsidR="00937F3B" w:rsidRPr="00482722">
        <w:rPr>
          <w:rFonts w:ascii="Arial" w:hAnsi="Arial" w:cs="Arial"/>
          <w:sz w:val="20"/>
          <w:szCs w:val="20"/>
        </w:rPr>
        <w:t xml:space="preserve">, </w:t>
      </w:r>
      <w:r w:rsidR="00560FBF" w:rsidRPr="00482722">
        <w:rPr>
          <w:rFonts w:ascii="Arial" w:hAnsi="Arial" w:cs="Arial"/>
          <w:sz w:val="20"/>
          <w:szCs w:val="20"/>
        </w:rPr>
        <w:t>service quality</w:t>
      </w:r>
      <w:r w:rsidR="00937F3B" w:rsidRPr="00482722">
        <w:rPr>
          <w:rFonts w:ascii="Arial" w:hAnsi="Arial" w:cs="Arial"/>
          <w:sz w:val="20"/>
          <w:szCs w:val="20"/>
        </w:rPr>
        <w:t xml:space="preserve">, </w:t>
      </w:r>
      <w:r w:rsidR="00B91C56" w:rsidRPr="00482722">
        <w:rPr>
          <w:rFonts w:ascii="Arial" w:hAnsi="Arial" w:cs="Arial"/>
          <w:sz w:val="20"/>
          <w:szCs w:val="20"/>
        </w:rPr>
        <w:t>trust in government</w:t>
      </w:r>
      <w:r w:rsidR="00937F3B" w:rsidRPr="00482722">
        <w:rPr>
          <w:rFonts w:ascii="Arial" w:hAnsi="Arial" w:cs="Arial"/>
          <w:sz w:val="20"/>
          <w:szCs w:val="20"/>
        </w:rPr>
        <w:t xml:space="preserve">, and </w:t>
      </w:r>
      <w:r w:rsidR="00B91C56" w:rsidRPr="00482722">
        <w:rPr>
          <w:rFonts w:ascii="Arial" w:hAnsi="Arial" w:cs="Arial"/>
          <w:sz w:val="20"/>
          <w:szCs w:val="20"/>
        </w:rPr>
        <w:t>trust in e-government</w:t>
      </w:r>
      <w:r w:rsidR="0061565C" w:rsidRPr="00482722">
        <w:rPr>
          <w:rFonts w:ascii="Arial" w:hAnsi="Arial" w:cs="Arial"/>
          <w:sz w:val="20"/>
          <w:szCs w:val="20"/>
        </w:rPr>
        <w:t>;</w:t>
      </w:r>
      <w:r w:rsidR="00937F3B" w:rsidRPr="00482722">
        <w:rPr>
          <w:rFonts w:ascii="Arial" w:hAnsi="Arial" w:cs="Arial"/>
          <w:sz w:val="20"/>
          <w:szCs w:val="20"/>
        </w:rPr>
        <w:t xml:space="preserve"> </w:t>
      </w:r>
      <w:r w:rsidR="0061565C" w:rsidRPr="00482722">
        <w:rPr>
          <w:rFonts w:ascii="Arial" w:hAnsi="Arial" w:cs="Arial"/>
          <w:sz w:val="20"/>
          <w:szCs w:val="20"/>
        </w:rPr>
        <w:t xml:space="preserve">we </w:t>
      </w:r>
      <w:r w:rsidR="00937F3B" w:rsidRPr="00482722">
        <w:rPr>
          <w:rFonts w:ascii="Arial" w:hAnsi="Arial" w:cs="Arial"/>
          <w:sz w:val="20"/>
          <w:szCs w:val="20"/>
        </w:rPr>
        <w:t>exclud</w:t>
      </w:r>
      <w:r w:rsidR="0061565C" w:rsidRPr="00482722">
        <w:rPr>
          <w:rFonts w:ascii="Arial" w:hAnsi="Arial" w:cs="Arial"/>
          <w:sz w:val="20"/>
          <w:szCs w:val="20"/>
        </w:rPr>
        <w:t>e</w:t>
      </w:r>
      <w:r w:rsidR="00937F3B" w:rsidRPr="00482722">
        <w:rPr>
          <w:rFonts w:ascii="Arial" w:hAnsi="Arial" w:cs="Arial"/>
          <w:sz w:val="20"/>
          <w:szCs w:val="20"/>
        </w:rPr>
        <w:t xml:space="preserve"> </w:t>
      </w:r>
      <w:r w:rsidR="00D83D5C" w:rsidRPr="00482722">
        <w:rPr>
          <w:rFonts w:ascii="Arial" w:hAnsi="Arial" w:cs="Arial"/>
          <w:sz w:val="20"/>
          <w:szCs w:val="20"/>
        </w:rPr>
        <w:t xml:space="preserve">the </w:t>
      </w:r>
      <w:r w:rsidR="00937F3B" w:rsidRPr="00482722">
        <w:rPr>
          <w:rFonts w:ascii="Arial" w:hAnsi="Arial" w:cs="Arial"/>
          <w:sz w:val="20"/>
          <w:szCs w:val="20"/>
        </w:rPr>
        <w:t xml:space="preserve">factors </w:t>
      </w:r>
      <w:bookmarkStart w:id="13" w:name="_Hlk58961090"/>
      <w:r w:rsidR="00937F3B" w:rsidRPr="00482722">
        <w:rPr>
          <w:rFonts w:ascii="Arial" w:hAnsi="Arial" w:cs="Arial"/>
          <w:sz w:val="20"/>
          <w:szCs w:val="20"/>
        </w:rPr>
        <w:t>trust in enabling technology</w:t>
      </w:r>
      <w:r w:rsidR="002F6CCC" w:rsidRPr="00482722">
        <w:rPr>
          <w:rFonts w:ascii="Arial" w:hAnsi="Arial" w:cs="Arial"/>
          <w:sz w:val="20"/>
          <w:szCs w:val="20"/>
        </w:rPr>
        <w:t xml:space="preserve">, </w:t>
      </w:r>
      <w:r w:rsidR="00F46745" w:rsidRPr="00482722">
        <w:rPr>
          <w:rFonts w:ascii="Arial" w:hAnsi="Arial" w:cs="Arial"/>
          <w:sz w:val="20"/>
          <w:szCs w:val="20"/>
        </w:rPr>
        <w:t>privacy</w:t>
      </w:r>
      <w:r w:rsidR="002F6CCC" w:rsidRPr="00482722">
        <w:rPr>
          <w:rFonts w:ascii="Arial" w:hAnsi="Arial" w:cs="Arial"/>
          <w:sz w:val="20"/>
          <w:szCs w:val="20"/>
        </w:rPr>
        <w:t xml:space="preserve">, </w:t>
      </w:r>
      <w:r w:rsidR="00F46745" w:rsidRPr="00482722">
        <w:rPr>
          <w:rFonts w:ascii="Arial" w:hAnsi="Arial" w:cs="Arial"/>
          <w:sz w:val="20"/>
          <w:szCs w:val="20"/>
        </w:rPr>
        <w:t>security risks</w:t>
      </w:r>
      <w:r w:rsidR="002F6CCC" w:rsidRPr="00482722">
        <w:rPr>
          <w:rFonts w:ascii="Arial" w:hAnsi="Arial" w:cs="Arial"/>
          <w:sz w:val="20"/>
          <w:szCs w:val="20"/>
        </w:rPr>
        <w:t>, and users’ familiarity with technology</w:t>
      </w:r>
      <w:r w:rsidR="002A049E" w:rsidRPr="00482722">
        <w:rPr>
          <w:rFonts w:ascii="Arial" w:hAnsi="Arial" w:cs="Arial"/>
          <w:sz w:val="20"/>
          <w:szCs w:val="20"/>
        </w:rPr>
        <w:t>. There are</w:t>
      </w:r>
      <w:r w:rsidR="00F46745" w:rsidRPr="00482722">
        <w:rPr>
          <w:rFonts w:ascii="Arial" w:hAnsi="Arial" w:cs="Arial"/>
          <w:sz w:val="20"/>
          <w:szCs w:val="20"/>
        </w:rPr>
        <w:t xml:space="preserve"> </w:t>
      </w:r>
      <w:r w:rsidR="00C66D4E" w:rsidRPr="00482722">
        <w:rPr>
          <w:rFonts w:ascii="Arial" w:hAnsi="Arial" w:cs="Arial"/>
          <w:sz w:val="20"/>
          <w:szCs w:val="20"/>
        </w:rPr>
        <w:t xml:space="preserve">three </w:t>
      </w:r>
      <w:r w:rsidR="00F46745" w:rsidRPr="00482722">
        <w:rPr>
          <w:rFonts w:ascii="Arial" w:hAnsi="Arial" w:cs="Arial"/>
          <w:sz w:val="20"/>
          <w:szCs w:val="20"/>
        </w:rPr>
        <w:t>reasons</w:t>
      </w:r>
      <w:bookmarkEnd w:id="13"/>
      <w:r w:rsidR="002A049E" w:rsidRPr="00482722">
        <w:rPr>
          <w:rFonts w:ascii="Arial" w:hAnsi="Arial" w:cs="Arial"/>
          <w:sz w:val="20"/>
          <w:szCs w:val="20"/>
        </w:rPr>
        <w:t xml:space="preserve"> for this choice</w:t>
      </w:r>
      <w:r w:rsidR="00F46745" w:rsidRPr="00482722">
        <w:rPr>
          <w:rFonts w:ascii="Arial" w:hAnsi="Arial" w:cs="Arial"/>
          <w:sz w:val="20"/>
          <w:szCs w:val="20"/>
        </w:rPr>
        <w:t xml:space="preserve">. </w:t>
      </w:r>
      <w:r w:rsidR="00FF5B65" w:rsidRPr="00482722">
        <w:rPr>
          <w:rFonts w:ascii="Arial" w:hAnsi="Arial" w:cs="Arial"/>
          <w:sz w:val="20"/>
          <w:szCs w:val="20"/>
        </w:rPr>
        <w:t xml:space="preserve">First, </w:t>
      </w:r>
      <w:r w:rsidR="00F46745" w:rsidRPr="00482722">
        <w:rPr>
          <w:rFonts w:ascii="Arial" w:hAnsi="Arial" w:cs="Arial"/>
          <w:sz w:val="20"/>
          <w:szCs w:val="20"/>
        </w:rPr>
        <w:t xml:space="preserve">Bélanger and Carter (2008) found that trust in government, but not trust in </w:t>
      </w:r>
      <w:r w:rsidR="008450C5" w:rsidRPr="00482722">
        <w:rPr>
          <w:rFonts w:ascii="Arial" w:hAnsi="Arial" w:cs="Arial"/>
          <w:sz w:val="20"/>
          <w:szCs w:val="20"/>
        </w:rPr>
        <w:t>enabling technology</w:t>
      </w:r>
      <w:r w:rsidR="00F46745" w:rsidRPr="00482722">
        <w:rPr>
          <w:rFonts w:ascii="Arial" w:hAnsi="Arial" w:cs="Arial"/>
          <w:sz w:val="20"/>
          <w:szCs w:val="20"/>
        </w:rPr>
        <w:t xml:space="preserve">, had a significant negative influence on the perceived risk of using e-government services. Similarly, Teo et al. (2008) found that trust in </w:t>
      </w:r>
      <w:r w:rsidR="00F242C5" w:rsidRPr="00482722">
        <w:rPr>
          <w:rFonts w:ascii="Arial" w:hAnsi="Arial" w:cs="Arial"/>
          <w:sz w:val="20"/>
          <w:szCs w:val="20"/>
        </w:rPr>
        <w:t>government is</w:t>
      </w:r>
      <w:r w:rsidR="00F46745" w:rsidRPr="00482722">
        <w:rPr>
          <w:rFonts w:ascii="Arial" w:hAnsi="Arial" w:cs="Arial"/>
          <w:sz w:val="20"/>
          <w:szCs w:val="20"/>
        </w:rPr>
        <w:t xml:space="preserve"> positively related to trust in e</w:t>
      </w:r>
      <w:r w:rsidR="00F46745" w:rsidRPr="00482722">
        <w:rPr>
          <w:rFonts w:ascii="Cambria Math" w:hAnsi="Cambria Math" w:cs="Cambria Math"/>
          <w:sz w:val="20"/>
          <w:szCs w:val="20"/>
        </w:rPr>
        <w:t>‑</w:t>
      </w:r>
      <w:r w:rsidR="00F46745" w:rsidRPr="00482722">
        <w:rPr>
          <w:rFonts w:ascii="Arial" w:hAnsi="Arial" w:cs="Arial"/>
          <w:sz w:val="20"/>
          <w:szCs w:val="20"/>
        </w:rPr>
        <w:t>government.</w:t>
      </w:r>
      <w:r w:rsidR="00EA5133" w:rsidRPr="00482722">
        <w:rPr>
          <w:rFonts w:ascii="Arial" w:hAnsi="Arial" w:cs="Arial"/>
          <w:sz w:val="20"/>
          <w:szCs w:val="20"/>
        </w:rPr>
        <w:t xml:space="preserve"> However, trust in enabling technology did not have </w:t>
      </w:r>
      <w:r w:rsidR="00F242C5" w:rsidRPr="00482722">
        <w:rPr>
          <w:rFonts w:ascii="Arial" w:hAnsi="Arial" w:cs="Arial"/>
          <w:sz w:val="20"/>
          <w:szCs w:val="20"/>
        </w:rPr>
        <w:t>a</w:t>
      </w:r>
      <w:r w:rsidR="00EA5133" w:rsidRPr="00482722">
        <w:rPr>
          <w:rFonts w:ascii="Arial" w:hAnsi="Arial" w:cs="Arial"/>
          <w:sz w:val="20"/>
          <w:szCs w:val="20"/>
        </w:rPr>
        <w:t xml:space="preserve"> significant effect.</w:t>
      </w:r>
      <w:r w:rsidR="003A15E1" w:rsidRPr="00482722">
        <w:rPr>
          <w:rFonts w:ascii="Arial" w:hAnsi="Arial" w:cs="Arial"/>
          <w:sz w:val="20"/>
          <w:szCs w:val="20"/>
        </w:rPr>
        <w:t xml:space="preserve"> T</w:t>
      </w:r>
      <w:r w:rsidR="008450C5" w:rsidRPr="00482722">
        <w:rPr>
          <w:rFonts w:ascii="Arial" w:hAnsi="Arial" w:cs="Arial"/>
          <w:sz w:val="20"/>
          <w:szCs w:val="20"/>
        </w:rPr>
        <w:t xml:space="preserve">he </w:t>
      </w:r>
      <w:r w:rsidR="00EA5133" w:rsidRPr="00482722">
        <w:rPr>
          <w:rFonts w:ascii="Arial" w:hAnsi="Arial" w:cs="Arial"/>
          <w:sz w:val="20"/>
          <w:szCs w:val="20"/>
        </w:rPr>
        <w:t xml:space="preserve">influence </w:t>
      </w:r>
      <w:r w:rsidR="008450C5" w:rsidRPr="00482722">
        <w:rPr>
          <w:rFonts w:ascii="Arial" w:hAnsi="Arial" w:cs="Arial"/>
          <w:sz w:val="20"/>
          <w:szCs w:val="20"/>
        </w:rPr>
        <w:t>of trust in enabling technology</w:t>
      </w:r>
      <w:r w:rsidR="003A15E1" w:rsidRPr="00482722">
        <w:rPr>
          <w:rFonts w:ascii="Arial" w:hAnsi="Arial" w:cs="Arial"/>
          <w:sz w:val="20"/>
          <w:szCs w:val="20"/>
        </w:rPr>
        <w:t xml:space="preserve"> </w:t>
      </w:r>
      <w:r w:rsidR="008450C5" w:rsidRPr="00482722">
        <w:rPr>
          <w:rFonts w:ascii="Arial" w:hAnsi="Arial" w:cs="Arial"/>
          <w:sz w:val="20"/>
          <w:szCs w:val="20"/>
        </w:rPr>
        <w:t xml:space="preserve">on trust </w:t>
      </w:r>
      <w:r w:rsidR="00CB577E" w:rsidRPr="00482722">
        <w:rPr>
          <w:rFonts w:ascii="Arial" w:hAnsi="Arial" w:cs="Arial"/>
          <w:sz w:val="20"/>
          <w:szCs w:val="20"/>
        </w:rPr>
        <w:t xml:space="preserve">in </w:t>
      </w:r>
      <w:r w:rsidR="008450C5" w:rsidRPr="00482722">
        <w:rPr>
          <w:rFonts w:ascii="Arial" w:hAnsi="Arial" w:cs="Arial"/>
          <w:sz w:val="20"/>
          <w:szCs w:val="20"/>
        </w:rPr>
        <w:t xml:space="preserve">e-government is likely to </w:t>
      </w:r>
      <w:r w:rsidR="00CB577E" w:rsidRPr="00482722">
        <w:rPr>
          <w:rFonts w:ascii="Arial" w:hAnsi="Arial" w:cs="Arial"/>
          <w:sz w:val="20"/>
          <w:szCs w:val="20"/>
        </w:rPr>
        <w:t xml:space="preserve">have been </w:t>
      </w:r>
      <w:r w:rsidR="008450C5" w:rsidRPr="00482722">
        <w:rPr>
          <w:rFonts w:ascii="Arial" w:hAnsi="Arial" w:cs="Arial"/>
          <w:sz w:val="20"/>
          <w:szCs w:val="20"/>
        </w:rPr>
        <w:t>minimised in recent years</w:t>
      </w:r>
      <w:r w:rsidR="00CB577E" w:rsidRPr="00482722">
        <w:rPr>
          <w:rFonts w:ascii="Arial" w:hAnsi="Arial" w:cs="Arial"/>
          <w:sz w:val="20"/>
          <w:szCs w:val="20"/>
        </w:rPr>
        <w:t>,</w:t>
      </w:r>
      <w:r w:rsidR="008450C5" w:rsidRPr="00482722">
        <w:rPr>
          <w:rFonts w:ascii="Arial" w:hAnsi="Arial" w:cs="Arial"/>
          <w:sz w:val="20"/>
          <w:szCs w:val="20"/>
        </w:rPr>
        <w:t xml:space="preserve"> due to the </w:t>
      </w:r>
      <w:r w:rsidR="0000212F" w:rsidRPr="00482722">
        <w:rPr>
          <w:rFonts w:ascii="Arial" w:hAnsi="Arial" w:cs="Arial"/>
          <w:sz w:val="20"/>
          <w:szCs w:val="20"/>
        </w:rPr>
        <w:t xml:space="preserve">rapid </w:t>
      </w:r>
      <w:r w:rsidR="008450C5" w:rsidRPr="00482722">
        <w:rPr>
          <w:rFonts w:ascii="Arial" w:hAnsi="Arial" w:cs="Arial"/>
          <w:sz w:val="20"/>
          <w:szCs w:val="20"/>
        </w:rPr>
        <w:t>development in ICT (</w:t>
      </w:r>
      <w:r w:rsidR="000F3EF9" w:rsidRPr="00482722">
        <w:rPr>
          <w:rFonts w:ascii="Arial" w:hAnsi="Arial" w:cs="Arial"/>
          <w:sz w:val="20"/>
          <w:szCs w:val="20"/>
        </w:rPr>
        <w:t>Alkraiji, 2020a; Zhao et al., 2019</w:t>
      </w:r>
      <w:r w:rsidR="008450C5" w:rsidRPr="00482722">
        <w:rPr>
          <w:rFonts w:ascii="Arial" w:hAnsi="Arial" w:cs="Arial"/>
          <w:sz w:val="20"/>
          <w:szCs w:val="20"/>
        </w:rPr>
        <w:t xml:space="preserve">) and the high dependence of people on online services </w:t>
      </w:r>
      <w:r w:rsidR="003A15E1" w:rsidRPr="00482722">
        <w:rPr>
          <w:rFonts w:ascii="Arial" w:hAnsi="Arial" w:cs="Arial"/>
          <w:sz w:val="20"/>
          <w:szCs w:val="20"/>
        </w:rPr>
        <w:t xml:space="preserve">worldwide </w:t>
      </w:r>
      <w:r w:rsidR="008450C5" w:rsidRPr="00482722">
        <w:rPr>
          <w:rFonts w:ascii="Arial" w:hAnsi="Arial" w:cs="Arial"/>
          <w:sz w:val="20"/>
          <w:szCs w:val="20"/>
        </w:rPr>
        <w:t>(</w:t>
      </w:r>
      <w:bookmarkStart w:id="14" w:name="_Hlk58101139"/>
      <w:r w:rsidR="000F3EF9" w:rsidRPr="00482722">
        <w:rPr>
          <w:rFonts w:ascii="Arial" w:hAnsi="Arial" w:cs="Arial"/>
          <w:sz w:val="20"/>
          <w:szCs w:val="20"/>
        </w:rPr>
        <w:t>Kumar et al., 2020</w:t>
      </w:r>
      <w:bookmarkEnd w:id="14"/>
      <w:r w:rsidR="008450C5" w:rsidRPr="00482722">
        <w:rPr>
          <w:rFonts w:ascii="Arial" w:hAnsi="Arial" w:cs="Arial"/>
          <w:sz w:val="20"/>
          <w:szCs w:val="20"/>
        </w:rPr>
        <w:t>).</w:t>
      </w:r>
    </w:p>
    <w:p w14:paraId="110D3EEE" w14:textId="7D163545" w:rsidR="002F6CCC" w:rsidRPr="00482722" w:rsidRDefault="00FF5B65" w:rsidP="00DA5EEC">
      <w:pPr>
        <w:spacing w:line="240" w:lineRule="auto"/>
        <w:jc w:val="both"/>
        <w:rPr>
          <w:rFonts w:ascii="Arial" w:hAnsi="Arial" w:cs="Arial"/>
          <w:sz w:val="20"/>
          <w:szCs w:val="20"/>
        </w:rPr>
      </w:pPr>
      <w:r w:rsidRPr="00482722">
        <w:rPr>
          <w:rFonts w:ascii="Arial" w:hAnsi="Arial" w:cs="Arial"/>
          <w:sz w:val="20"/>
          <w:szCs w:val="20"/>
        </w:rPr>
        <w:t xml:space="preserve">Second, </w:t>
      </w:r>
      <w:r w:rsidR="00497565" w:rsidRPr="00482722">
        <w:rPr>
          <w:rFonts w:ascii="Arial" w:hAnsi="Arial" w:cs="Arial"/>
          <w:sz w:val="20"/>
          <w:szCs w:val="20"/>
        </w:rPr>
        <w:t xml:space="preserve">Srivastava and Teo (2009) stated that the willingness of citizens to expose vulnerabilities while dealing with e-government services </w:t>
      </w:r>
      <w:r w:rsidR="00EA5133" w:rsidRPr="00482722">
        <w:rPr>
          <w:rFonts w:ascii="Arial" w:hAnsi="Arial" w:cs="Arial"/>
          <w:sz w:val="20"/>
          <w:szCs w:val="20"/>
        </w:rPr>
        <w:t>i</w:t>
      </w:r>
      <w:r w:rsidR="00497565" w:rsidRPr="00482722">
        <w:rPr>
          <w:rFonts w:ascii="Arial" w:hAnsi="Arial" w:cs="Arial"/>
          <w:sz w:val="20"/>
          <w:szCs w:val="20"/>
        </w:rPr>
        <w:t>s</w:t>
      </w:r>
      <w:r w:rsidR="00832827" w:rsidRPr="00482722">
        <w:rPr>
          <w:rFonts w:ascii="Arial" w:hAnsi="Arial" w:cs="Arial"/>
          <w:sz w:val="20"/>
          <w:szCs w:val="20"/>
        </w:rPr>
        <w:t xml:space="preserve"> significantly </w:t>
      </w:r>
      <w:r w:rsidR="00497565" w:rsidRPr="00482722">
        <w:rPr>
          <w:rFonts w:ascii="Arial" w:hAnsi="Arial" w:cs="Arial"/>
          <w:sz w:val="20"/>
          <w:szCs w:val="20"/>
        </w:rPr>
        <w:t>influenced by their belief in the performance and ability of the government</w:t>
      </w:r>
      <w:r w:rsidR="002F6CCC" w:rsidRPr="00482722">
        <w:rPr>
          <w:rFonts w:ascii="Arial" w:hAnsi="Arial" w:cs="Arial"/>
          <w:sz w:val="20"/>
          <w:szCs w:val="20"/>
        </w:rPr>
        <w:t xml:space="preserve">, but not </w:t>
      </w:r>
      <w:r w:rsidR="0073070B" w:rsidRPr="00482722">
        <w:rPr>
          <w:rFonts w:ascii="Arial" w:hAnsi="Arial" w:cs="Arial"/>
          <w:sz w:val="20"/>
          <w:szCs w:val="20"/>
        </w:rPr>
        <w:t xml:space="preserve">by their </w:t>
      </w:r>
      <w:r w:rsidR="002F6CCC" w:rsidRPr="00482722">
        <w:rPr>
          <w:rFonts w:ascii="Arial" w:hAnsi="Arial" w:cs="Arial"/>
          <w:sz w:val="20"/>
          <w:szCs w:val="20"/>
        </w:rPr>
        <w:t>security concerns</w:t>
      </w:r>
      <w:r w:rsidR="00497565" w:rsidRPr="00482722">
        <w:rPr>
          <w:rFonts w:ascii="Arial" w:hAnsi="Arial" w:cs="Arial"/>
          <w:sz w:val="20"/>
          <w:szCs w:val="20"/>
        </w:rPr>
        <w:t xml:space="preserve">. </w:t>
      </w:r>
      <w:r w:rsidR="00145051" w:rsidRPr="00482722">
        <w:rPr>
          <w:rFonts w:ascii="Arial" w:hAnsi="Arial" w:cs="Arial"/>
          <w:sz w:val="20"/>
          <w:szCs w:val="20"/>
        </w:rPr>
        <w:t>Alzahrani et al. (2018) confirmed that risk factors associated with privacy and security issues had the lowest impact on the use of e-government services in Saudi Arabia.</w:t>
      </w:r>
      <w:r w:rsidR="002F6CCC" w:rsidRPr="00482722">
        <w:rPr>
          <w:rFonts w:ascii="Arial" w:hAnsi="Arial" w:cs="Arial"/>
          <w:sz w:val="20"/>
          <w:szCs w:val="20"/>
        </w:rPr>
        <w:t xml:space="preserve"> </w:t>
      </w:r>
      <w:r w:rsidR="00145051" w:rsidRPr="00482722">
        <w:rPr>
          <w:rFonts w:ascii="Arial" w:hAnsi="Arial" w:cs="Arial"/>
          <w:sz w:val="20"/>
          <w:szCs w:val="20"/>
        </w:rPr>
        <w:t xml:space="preserve">Indeed, in the context of e-government, </w:t>
      </w:r>
      <w:r w:rsidR="0073070B" w:rsidRPr="00482722">
        <w:rPr>
          <w:rFonts w:ascii="Arial" w:hAnsi="Arial" w:cs="Arial"/>
          <w:sz w:val="20"/>
          <w:szCs w:val="20"/>
        </w:rPr>
        <w:t xml:space="preserve">it is thought to be unlikely that </w:t>
      </w:r>
      <w:r w:rsidR="00145051" w:rsidRPr="00482722">
        <w:rPr>
          <w:rFonts w:ascii="Arial" w:hAnsi="Arial" w:cs="Arial"/>
          <w:sz w:val="20"/>
          <w:szCs w:val="20"/>
        </w:rPr>
        <w:t xml:space="preserve">citizens are concerned </w:t>
      </w:r>
      <w:r w:rsidR="0073070B" w:rsidRPr="00482722">
        <w:rPr>
          <w:rFonts w:ascii="Arial" w:hAnsi="Arial" w:cs="Arial"/>
          <w:sz w:val="20"/>
          <w:szCs w:val="20"/>
        </w:rPr>
        <w:t xml:space="preserve">about </w:t>
      </w:r>
      <w:r w:rsidR="00145051" w:rsidRPr="00482722">
        <w:rPr>
          <w:rFonts w:ascii="Arial" w:hAnsi="Arial" w:cs="Arial"/>
          <w:sz w:val="20"/>
          <w:szCs w:val="20"/>
        </w:rPr>
        <w:t>the privacy of their personal information</w:t>
      </w:r>
      <w:r w:rsidR="0073070B" w:rsidRPr="00482722">
        <w:rPr>
          <w:rFonts w:ascii="Arial" w:hAnsi="Arial" w:cs="Arial"/>
          <w:sz w:val="20"/>
          <w:szCs w:val="20"/>
        </w:rPr>
        <w:t>,</w:t>
      </w:r>
      <w:r w:rsidR="00145051" w:rsidRPr="00482722">
        <w:rPr>
          <w:rFonts w:ascii="Arial" w:hAnsi="Arial" w:cs="Arial"/>
          <w:sz w:val="20"/>
          <w:szCs w:val="20"/>
        </w:rPr>
        <w:t xml:space="preserve"> </w:t>
      </w:r>
      <w:r w:rsidR="0073070B" w:rsidRPr="00482722">
        <w:rPr>
          <w:rFonts w:ascii="Arial" w:hAnsi="Arial" w:cs="Arial"/>
          <w:sz w:val="20"/>
          <w:szCs w:val="20"/>
        </w:rPr>
        <w:t xml:space="preserve">given that </w:t>
      </w:r>
      <w:r w:rsidR="00145051" w:rsidRPr="00482722">
        <w:rPr>
          <w:rFonts w:ascii="Arial" w:hAnsi="Arial" w:cs="Arial"/>
          <w:sz w:val="20"/>
          <w:szCs w:val="20"/>
        </w:rPr>
        <w:t>the government already</w:t>
      </w:r>
      <w:r w:rsidR="0000212F" w:rsidRPr="00482722">
        <w:rPr>
          <w:rFonts w:ascii="Arial" w:hAnsi="Arial" w:cs="Arial"/>
          <w:sz w:val="20"/>
          <w:szCs w:val="20"/>
        </w:rPr>
        <w:t xml:space="preserve"> has access to</w:t>
      </w:r>
      <w:r w:rsidR="00145051" w:rsidRPr="00482722">
        <w:rPr>
          <w:rFonts w:ascii="Arial" w:hAnsi="Arial" w:cs="Arial"/>
          <w:sz w:val="20"/>
          <w:szCs w:val="20"/>
        </w:rPr>
        <w:t xml:space="preserve"> </w:t>
      </w:r>
      <w:r w:rsidR="0073070B" w:rsidRPr="00482722">
        <w:rPr>
          <w:rFonts w:ascii="Arial" w:hAnsi="Arial" w:cs="Arial"/>
          <w:sz w:val="20"/>
          <w:szCs w:val="20"/>
        </w:rPr>
        <w:t xml:space="preserve">information about its </w:t>
      </w:r>
      <w:r w:rsidR="00145051" w:rsidRPr="00482722">
        <w:rPr>
          <w:rFonts w:ascii="Arial" w:hAnsi="Arial" w:cs="Arial"/>
          <w:sz w:val="20"/>
          <w:szCs w:val="20"/>
        </w:rPr>
        <w:t>citizens.</w:t>
      </w:r>
    </w:p>
    <w:p w14:paraId="4FB51018" w14:textId="1B9DCA64" w:rsidR="00B939B0" w:rsidRPr="00482722" w:rsidRDefault="00FF5B65" w:rsidP="00FF225F">
      <w:pPr>
        <w:spacing w:line="240" w:lineRule="auto"/>
        <w:jc w:val="both"/>
        <w:rPr>
          <w:rFonts w:ascii="Arial" w:hAnsi="Arial" w:cs="Arial"/>
          <w:sz w:val="20"/>
          <w:szCs w:val="20"/>
        </w:rPr>
      </w:pPr>
      <w:r w:rsidRPr="00482722">
        <w:rPr>
          <w:rFonts w:ascii="Arial" w:hAnsi="Arial" w:cs="Arial"/>
          <w:sz w:val="20"/>
          <w:szCs w:val="20"/>
        </w:rPr>
        <w:t xml:space="preserve">Third, </w:t>
      </w:r>
      <w:r w:rsidR="00FF225F" w:rsidRPr="00482722">
        <w:rPr>
          <w:rFonts w:ascii="Arial" w:hAnsi="Arial" w:cs="Arial"/>
          <w:sz w:val="20"/>
          <w:szCs w:val="20"/>
        </w:rPr>
        <w:t>previous</w:t>
      </w:r>
      <w:r w:rsidR="00EA5133" w:rsidRPr="00482722">
        <w:rPr>
          <w:rFonts w:ascii="Arial" w:hAnsi="Arial" w:cs="Arial"/>
          <w:sz w:val="20"/>
          <w:szCs w:val="20"/>
        </w:rPr>
        <w:t xml:space="preserve"> </w:t>
      </w:r>
      <w:r w:rsidR="004E1AB7" w:rsidRPr="00482722">
        <w:rPr>
          <w:rFonts w:ascii="Arial" w:hAnsi="Arial" w:cs="Arial"/>
          <w:sz w:val="20"/>
          <w:szCs w:val="20"/>
        </w:rPr>
        <w:t>studies o</w:t>
      </w:r>
      <w:r w:rsidR="00EA5133" w:rsidRPr="00482722">
        <w:rPr>
          <w:rFonts w:ascii="Arial" w:hAnsi="Arial" w:cs="Arial"/>
          <w:sz w:val="20"/>
          <w:szCs w:val="20"/>
        </w:rPr>
        <w:t>n</w:t>
      </w:r>
      <w:r w:rsidR="004E1AB7" w:rsidRPr="00482722">
        <w:rPr>
          <w:rFonts w:ascii="Arial" w:hAnsi="Arial" w:cs="Arial"/>
          <w:sz w:val="20"/>
          <w:szCs w:val="20"/>
        </w:rPr>
        <w:t xml:space="preserve"> </w:t>
      </w:r>
      <w:r w:rsidR="0073070B" w:rsidRPr="00482722">
        <w:rPr>
          <w:rFonts w:ascii="Arial" w:hAnsi="Arial" w:cs="Arial"/>
          <w:sz w:val="20"/>
          <w:szCs w:val="20"/>
        </w:rPr>
        <w:t xml:space="preserve">the adoption of </w:t>
      </w:r>
      <w:r w:rsidR="004E1AB7" w:rsidRPr="00482722">
        <w:rPr>
          <w:rFonts w:ascii="Arial" w:hAnsi="Arial" w:cs="Arial"/>
          <w:sz w:val="20"/>
          <w:szCs w:val="20"/>
        </w:rPr>
        <w:t xml:space="preserve">e-government emphasised that familiarity and experience </w:t>
      </w:r>
      <w:r w:rsidR="005D40E4" w:rsidRPr="00482722">
        <w:rPr>
          <w:rFonts w:ascii="Arial" w:hAnsi="Arial" w:cs="Arial"/>
          <w:sz w:val="20"/>
          <w:szCs w:val="20"/>
        </w:rPr>
        <w:t xml:space="preserve">with </w:t>
      </w:r>
      <w:r w:rsidR="004E1AB7" w:rsidRPr="00482722">
        <w:rPr>
          <w:rFonts w:ascii="Arial" w:hAnsi="Arial" w:cs="Arial"/>
          <w:sz w:val="20"/>
          <w:szCs w:val="20"/>
        </w:rPr>
        <w:t xml:space="preserve">technology </w:t>
      </w:r>
      <w:r w:rsidR="005D40E4" w:rsidRPr="00482722">
        <w:rPr>
          <w:rFonts w:ascii="Arial" w:hAnsi="Arial" w:cs="Arial"/>
          <w:sz w:val="20"/>
          <w:szCs w:val="20"/>
        </w:rPr>
        <w:t xml:space="preserve">have </w:t>
      </w:r>
      <w:r w:rsidR="004E1AB7" w:rsidRPr="00482722">
        <w:rPr>
          <w:rFonts w:ascii="Arial" w:hAnsi="Arial" w:cs="Arial"/>
          <w:sz w:val="20"/>
          <w:szCs w:val="20"/>
        </w:rPr>
        <w:t>failed to predict trust in e-government (e.g., Abu-Shanab, 2014; Teo et al., 2008</w:t>
      </w:r>
      <w:r w:rsidR="003D54FF" w:rsidRPr="00482722">
        <w:rPr>
          <w:rFonts w:ascii="Arial" w:hAnsi="Arial" w:cs="Arial"/>
          <w:sz w:val="20"/>
          <w:szCs w:val="20"/>
        </w:rPr>
        <w:t>).</w:t>
      </w:r>
      <w:r w:rsidR="00BF5266" w:rsidRPr="00482722">
        <w:rPr>
          <w:rFonts w:ascii="Arial" w:hAnsi="Arial" w:cs="Arial"/>
          <w:sz w:val="20"/>
          <w:szCs w:val="20"/>
        </w:rPr>
        <w:t xml:space="preserve"> </w:t>
      </w:r>
      <w:r w:rsidR="00FF225F" w:rsidRPr="00482722">
        <w:rPr>
          <w:rFonts w:ascii="Arial" w:hAnsi="Arial" w:cs="Arial"/>
          <w:sz w:val="20"/>
          <w:szCs w:val="20"/>
        </w:rPr>
        <w:t>Th</w:t>
      </w:r>
      <w:r w:rsidR="00C91C5A" w:rsidRPr="00482722">
        <w:rPr>
          <w:rFonts w:ascii="Arial" w:hAnsi="Arial" w:cs="Arial"/>
          <w:sz w:val="20"/>
          <w:szCs w:val="20"/>
        </w:rPr>
        <w:t>at</w:t>
      </w:r>
      <w:r w:rsidR="00FF225F" w:rsidRPr="00482722">
        <w:rPr>
          <w:rFonts w:ascii="Arial" w:hAnsi="Arial" w:cs="Arial"/>
          <w:sz w:val="20"/>
          <w:szCs w:val="20"/>
        </w:rPr>
        <w:t xml:space="preserve"> is because th</w:t>
      </w:r>
      <w:r w:rsidR="005D40E4" w:rsidRPr="00482722">
        <w:rPr>
          <w:rFonts w:ascii="Arial" w:hAnsi="Arial" w:cs="Arial"/>
          <w:sz w:val="20"/>
          <w:szCs w:val="20"/>
        </w:rPr>
        <w:t>is</w:t>
      </w:r>
      <w:r w:rsidR="00FF225F" w:rsidRPr="00482722">
        <w:rPr>
          <w:rFonts w:ascii="Arial" w:hAnsi="Arial" w:cs="Arial"/>
          <w:sz w:val="20"/>
          <w:szCs w:val="20"/>
        </w:rPr>
        <w:t xml:space="preserve"> t</w:t>
      </w:r>
      <w:r w:rsidR="00BF5266" w:rsidRPr="00482722">
        <w:rPr>
          <w:rFonts w:ascii="Arial" w:hAnsi="Arial" w:cs="Arial"/>
          <w:sz w:val="20"/>
          <w:szCs w:val="20"/>
        </w:rPr>
        <w:t>echnology has become an essential part of modern life (</w:t>
      </w:r>
      <w:r w:rsidR="008607D6" w:rsidRPr="00482722">
        <w:rPr>
          <w:rFonts w:ascii="Arial" w:hAnsi="Arial" w:cs="Arial"/>
          <w:sz w:val="20"/>
          <w:szCs w:val="20"/>
        </w:rPr>
        <w:t>Kumar et al., 2020</w:t>
      </w:r>
      <w:r w:rsidR="00BF5266" w:rsidRPr="00482722">
        <w:rPr>
          <w:rFonts w:ascii="Arial" w:hAnsi="Arial" w:cs="Arial"/>
          <w:sz w:val="20"/>
          <w:szCs w:val="20"/>
        </w:rPr>
        <w:t>)</w:t>
      </w:r>
      <w:r w:rsidR="005D40E4" w:rsidRPr="00482722">
        <w:rPr>
          <w:rFonts w:ascii="Arial" w:hAnsi="Arial" w:cs="Arial"/>
          <w:sz w:val="20"/>
          <w:szCs w:val="20"/>
        </w:rPr>
        <w:t>;</w:t>
      </w:r>
      <w:r w:rsidR="00BF5266" w:rsidRPr="00482722">
        <w:rPr>
          <w:rFonts w:ascii="Arial" w:hAnsi="Arial" w:cs="Arial"/>
          <w:sz w:val="20"/>
          <w:szCs w:val="20"/>
        </w:rPr>
        <w:t xml:space="preserve"> people </w:t>
      </w:r>
      <w:r w:rsidR="00C91C5A" w:rsidRPr="00482722">
        <w:rPr>
          <w:rFonts w:ascii="Arial" w:hAnsi="Arial" w:cs="Arial"/>
          <w:sz w:val="20"/>
          <w:szCs w:val="20"/>
        </w:rPr>
        <w:t>have become</w:t>
      </w:r>
      <w:r w:rsidR="00BF5266" w:rsidRPr="00482722">
        <w:rPr>
          <w:rFonts w:ascii="Arial" w:hAnsi="Arial" w:cs="Arial"/>
          <w:sz w:val="20"/>
          <w:szCs w:val="20"/>
        </w:rPr>
        <w:t xml:space="preserve"> more aware of the technology</w:t>
      </w:r>
      <w:r w:rsidR="005D40E4" w:rsidRPr="00482722">
        <w:rPr>
          <w:rFonts w:ascii="Arial" w:hAnsi="Arial" w:cs="Arial"/>
          <w:sz w:val="20"/>
          <w:szCs w:val="20"/>
        </w:rPr>
        <w:t>, so</w:t>
      </w:r>
      <w:r w:rsidR="00B77291" w:rsidRPr="00482722">
        <w:rPr>
          <w:rFonts w:ascii="Arial" w:hAnsi="Arial" w:cs="Arial"/>
          <w:sz w:val="20"/>
          <w:szCs w:val="20"/>
        </w:rPr>
        <w:t xml:space="preserve"> in general</w:t>
      </w:r>
      <w:r w:rsidR="00FF225F" w:rsidRPr="00482722">
        <w:rPr>
          <w:rFonts w:ascii="Arial" w:hAnsi="Arial" w:cs="Arial"/>
          <w:sz w:val="20"/>
          <w:szCs w:val="20"/>
        </w:rPr>
        <w:t xml:space="preserve"> they do</w:t>
      </w:r>
      <w:r w:rsidR="009D07AD" w:rsidRPr="00482722">
        <w:rPr>
          <w:rFonts w:ascii="Arial" w:hAnsi="Arial" w:cs="Arial"/>
          <w:sz w:val="20"/>
          <w:szCs w:val="20"/>
        </w:rPr>
        <w:t xml:space="preserve"> not</w:t>
      </w:r>
      <w:r w:rsidR="00FF225F" w:rsidRPr="00482722">
        <w:rPr>
          <w:rFonts w:ascii="Arial" w:hAnsi="Arial" w:cs="Arial"/>
          <w:sz w:val="20"/>
          <w:szCs w:val="20"/>
        </w:rPr>
        <w:t xml:space="preserve"> have </w:t>
      </w:r>
      <w:r w:rsidR="00EC197F" w:rsidRPr="00482722">
        <w:rPr>
          <w:rFonts w:ascii="Arial" w:hAnsi="Arial" w:cs="Arial"/>
          <w:sz w:val="20"/>
          <w:szCs w:val="20"/>
        </w:rPr>
        <w:t xml:space="preserve">as much </w:t>
      </w:r>
      <w:r w:rsidR="00FF225F" w:rsidRPr="00482722">
        <w:rPr>
          <w:rFonts w:ascii="Arial" w:hAnsi="Arial" w:cs="Arial"/>
          <w:sz w:val="20"/>
          <w:szCs w:val="20"/>
        </w:rPr>
        <w:t xml:space="preserve">difficulty </w:t>
      </w:r>
      <w:r w:rsidR="00B77291" w:rsidRPr="00482722">
        <w:rPr>
          <w:rFonts w:ascii="Arial" w:hAnsi="Arial" w:cs="Arial"/>
          <w:sz w:val="20"/>
          <w:szCs w:val="20"/>
        </w:rPr>
        <w:t>using</w:t>
      </w:r>
      <w:r w:rsidR="00FF225F" w:rsidRPr="00482722">
        <w:rPr>
          <w:rFonts w:ascii="Arial" w:hAnsi="Arial" w:cs="Arial"/>
          <w:sz w:val="20"/>
          <w:szCs w:val="20"/>
        </w:rPr>
        <w:t xml:space="preserve"> </w:t>
      </w:r>
      <w:r w:rsidR="00B77291" w:rsidRPr="00482722">
        <w:rPr>
          <w:rFonts w:ascii="Arial" w:hAnsi="Arial" w:cs="Arial"/>
          <w:sz w:val="20"/>
          <w:szCs w:val="20"/>
        </w:rPr>
        <w:t>it</w:t>
      </w:r>
      <w:r w:rsidR="00FF225F" w:rsidRPr="00482722">
        <w:rPr>
          <w:rFonts w:ascii="Arial" w:hAnsi="Arial" w:cs="Arial"/>
          <w:sz w:val="20"/>
          <w:szCs w:val="20"/>
        </w:rPr>
        <w:t xml:space="preserve"> </w:t>
      </w:r>
      <w:r w:rsidR="00BF5266" w:rsidRPr="00482722">
        <w:rPr>
          <w:rFonts w:ascii="Arial" w:hAnsi="Arial" w:cs="Arial"/>
          <w:sz w:val="20"/>
          <w:szCs w:val="20"/>
        </w:rPr>
        <w:t>(</w:t>
      </w:r>
      <w:r w:rsidR="00091D86" w:rsidRPr="00482722">
        <w:rPr>
          <w:rFonts w:ascii="Arial" w:hAnsi="Arial" w:cs="Arial"/>
          <w:sz w:val="20"/>
          <w:szCs w:val="20"/>
        </w:rPr>
        <w:t xml:space="preserve">Li </w:t>
      </w:r>
      <w:r w:rsidR="002D35B9" w:rsidRPr="00482722">
        <w:rPr>
          <w:rFonts w:ascii="Arial" w:hAnsi="Arial" w:cs="Arial"/>
          <w:sz w:val="20"/>
          <w:szCs w:val="20"/>
        </w:rPr>
        <w:t>and</w:t>
      </w:r>
      <w:r w:rsidR="00091D86" w:rsidRPr="00482722">
        <w:rPr>
          <w:rFonts w:ascii="Arial" w:hAnsi="Arial" w:cs="Arial"/>
          <w:sz w:val="20"/>
          <w:szCs w:val="20"/>
        </w:rPr>
        <w:t xml:space="preserve"> Shang, 2020</w:t>
      </w:r>
      <w:r w:rsidR="00BF5266" w:rsidRPr="00482722">
        <w:rPr>
          <w:rFonts w:ascii="Arial" w:hAnsi="Arial" w:cs="Arial"/>
          <w:sz w:val="20"/>
          <w:szCs w:val="20"/>
        </w:rPr>
        <w:t>)</w:t>
      </w:r>
      <w:r w:rsidR="00B77291" w:rsidRPr="00482722">
        <w:rPr>
          <w:rFonts w:ascii="Arial" w:hAnsi="Arial" w:cs="Arial"/>
          <w:sz w:val="20"/>
          <w:szCs w:val="20"/>
        </w:rPr>
        <w:t xml:space="preserve">. </w:t>
      </w:r>
      <w:r w:rsidR="00FF225F" w:rsidRPr="00482722">
        <w:rPr>
          <w:rFonts w:ascii="Arial" w:hAnsi="Arial" w:cs="Arial"/>
          <w:sz w:val="20"/>
          <w:szCs w:val="20"/>
        </w:rPr>
        <w:t xml:space="preserve">In addition, </w:t>
      </w:r>
      <w:r w:rsidR="00BF5266" w:rsidRPr="00482722">
        <w:rPr>
          <w:rFonts w:ascii="Arial" w:hAnsi="Arial" w:cs="Arial"/>
          <w:sz w:val="20"/>
          <w:szCs w:val="20"/>
        </w:rPr>
        <w:t>e-government services are becoming easier</w:t>
      </w:r>
      <w:r w:rsidR="00B77291" w:rsidRPr="00482722">
        <w:rPr>
          <w:rFonts w:ascii="Arial" w:hAnsi="Arial" w:cs="Arial"/>
          <w:sz w:val="20"/>
          <w:szCs w:val="20"/>
        </w:rPr>
        <w:t xml:space="preserve"> </w:t>
      </w:r>
      <w:r w:rsidR="00BF5266" w:rsidRPr="00482722">
        <w:rPr>
          <w:rFonts w:ascii="Arial" w:hAnsi="Arial" w:cs="Arial"/>
          <w:sz w:val="20"/>
          <w:szCs w:val="20"/>
        </w:rPr>
        <w:t>to</w:t>
      </w:r>
      <w:r w:rsidR="00B77291" w:rsidRPr="00482722">
        <w:rPr>
          <w:rFonts w:ascii="Arial" w:hAnsi="Arial" w:cs="Arial"/>
          <w:sz w:val="20"/>
          <w:szCs w:val="20"/>
        </w:rPr>
        <w:t xml:space="preserve"> </w:t>
      </w:r>
      <w:r w:rsidR="00BF5266" w:rsidRPr="00482722">
        <w:rPr>
          <w:rFonts w:ascii="Arial" w:hAnsi="Arial" w:cs="Arial"/>
          <w:sz w:val="20"/>
          <w:szCs w:val="20"/>
        </w:rPr>
        <w:t>use, sometimes requiring only a few clicks to accomplish</w:t>
      </w:r>
      <w:r w:rsidR="00B77291" w:rsidRPr="00482722">
        <w:rPr>
          <w:rFonts w:ascii="Arial" w:hAnsi="Arial" w:cs="Arial"/>
          <w:sz w:val="20"/>
          <w:szCs w:val="20"/>
        </w:rPr>
        <w:t xml:space="preserve"> a task;</w:t>
      </w:r>
      <w:r w:rsidR="00F1096D" w:rsidRPr="00482722">
        <w:rPr>
          <w:rFonts w:ascii="Arial" w:hAnsi="Arial" w:cs="Arial"/>
          <w:sz w:val="20"/>
          <w:szCs w:val="20"/>
        </w:rPr>
        <w:t xml:space="preserve"> therefore</w:t>
      </w:r>
      <w:r w:rsidR="00B77291" w:rsidRPr="00482722">
        <w:rPr>
          <w:rFonts w:ascii="Arial" w:hAnsi="Arial" w:cs="Arial"/>
          <w:sz w:val="20"/>
          <w:szCs w:val="20"/>
        </w:rPr>
        <w:t>,</w:t>
      </w:r>
      <w:r w:rsidR="00F1096D" w:rsidRPr="00482722">
        <w:rPr>
          <w:rFonts w:ascii="Arial" w:hAnsi="Arial" w:cs="Arial"/>
          <w:sz w:val="20"/>
          <w:szCs w:val="20"/>
        </w:rPr>
        <w:t xml:space="preserve"> the effect of user familiarity with technology on the use of e-government services </w:t>
      </w:r>
      <w:r w:rsidR="002A7425" w:rsidRPr="00482722">
        <w:rPr>
          <w:rFonts w:ascii="Arial" w:hAnsi="Arial" w:cs="Arial"/>
          <w:sz w:val="20"/>
          <w:szCs w:val="20"/>
        </w:rPr>
        <w:t xml:space="preserve">has been </w:t>
      </w:r>
      <w:r w:rsidR="00F1096D" w:rsidRPr="00482722">
        <w:rPr>
          <w:rFonts w:ascii="Arial" w:hAnsi="Arial" w:cs="Arial"/>
          <w:sz w:val="20"/>
          <w:szCs w:val="20"/>
        </w:rPr>
        <w:t xml:space="preserve">diminished </w:t>
      </w:r>
      <w:r w:rsidR="00BF5266" w:rsidRPr="00482722">
        <w:rPr>
          <w:rFonts w:ascii="Arial" w:hAnsi="Arial" w:cs="Arial"/>
          <w:sz w:val="20"/>
          <w:szCs w:val="20"/>
        </w:rPr>
        <w:t xml:space="preserve">(Alkraiji, 2020b). </w:t>
      </w:r>
      <w:r w:rsidR="00F1096D" w:rsidRPr="00482722">
        <w:rPr>
          <w:rFonts w:ascii="Arial" w:hAnsi="Arial" w:cs="Arial"/>
          <w:sz w:val="20"/>
          <w:szCs w:val="20"/>
        </w:rPr>
        <w:t xml:space="preserve">Further, the </w:t>
      </w:r>
      <w:r w:rsidR="00145051" w:rsidRPr="00482722">
        <w:rPr>
          <w:rFonts w:ascii="Arial" w:hAnsi="Arial" w:cs="Arial"/>
          <w:sz w:val="20"/>
          <w:szCs w:val="20"/>
        </w:rPr>
        <w:t xml:space="preserve">social sample of participants in this research </w:t>
      </w:r>
      <w:r w:rsidR="00085A32" w:rsidRPr="00482722">
        <w:rPr>
          <w:rFonts w:ascii="Arial" w:hAnsi="Arial" w:cs="Arial"/>
          <w:sz w:val="20"/>
          <w:szCs w:val="20"/>
        </w:rPr>
        <w:t>contains</w:t>
      </w:r>
      <w:r w:rsidR="002A7425" w:rsidRPr="00482722">
        <w:rPr>
          <w:rFonts w:ascii="Arial" w:hAnsi="Arial" w:cs="Arial"/>
          <w:sz w:val="20"/>
          <w:szCs w:val="20"/>
        </w:rPr>
        <w:t xml:space="preserve"> </w:t>
      </w:r>
      <w:r w:rsidR="00145051" w:rsidRPr="00482722">
        <w:rPr>
          <w:rFonts w:ascii="Arial" w:hAnsi="Arial" w:cs="Arial"/>
          <w:sz w:val="20"/>
          <w:szCs w:val="20"/>
        </w:rPr>
        <w:t>high</w:t>
      </w:r>
      <w:r w:rsidR="002A7425" w:rsidRPr="00482722">
        <w:rPr>
          <w:rFonts w:ascii="Arial" w:hAnsi="Arial" w:cs="Arial"/>
          <w:sz w:val="20"/>
          <w:szCs w:val="20"/>
        </w:rPr>
        <w:t>-</w:t>
      </w:r>
      <w:r w:rsidR="00145051" w:rsidRPr="00482722">
        <w:rPr>
          <w:rFonts w:ascii="Arial" w:hAnsi="Arial" w:cs="Arial"/>
          <w:sz w:val="20"/>
          <w:szCs w:val="20"/>
        </w:rPr>
        <w:t>school graduates</w:t>
      </w:r>
      <w:r w:rsidR="0078103D" w:rsidRPr="00482722">
        <w:rPr>
          <w:rFonts w:ascii="Arial" w:hAnsi="Arial" w:cs="Arial"/>
          <w:sz w:val="20"/>
          <w:szCs w:val="20"/>
        </w:rPr>
        <w:t>,</w:t>
      </w:r>
      <w:r w:rsidR="00145051" w:rsidRPr="00482722">
        <w:rPr>
          <w:rFonts w:ascii="Arial" w:hAnsi="Arial" w:cs="Arial"/>
          <w:sz w:val="20"/>
          <w:szCs w:val="20"/>
        </w:rPr>
        <w:t xml:space="preserve"> who are </w:t>
      </w:r>
      <w:r w:rsidR="0078103D" w:rsidRPr="00482722">
        <w:rPr>
          <w:rFonts w:ascii="Arial" w:hAnsi="Arial" w:cs="Arial"/>
          <w:sz w:val="20"/>
          <w:szCs w:val="20"/>
        </w:rPr>
        <w:t xml:space="preserve">generally </w:t>
      </w:r>
      <w:r w:rsidR="00145051" w:rsidRPr="00482722">
        <w:rPr>
          <w:rFonts w:ascii="Arial" w:hAnsi="Arial" w:cs="Arial"/>
          <w:sz w:val="20"/>
          <w:szCs w:val="20"/>
        </w:rPr>
        <w:t>expected to be tech-savvy</w:t>
      </w:r>
      <w:r w:rsidR="008607D6" w:rsidRPr="00482722">
        <w:rPr>
          <w:rFonts w:ascii="Arial" w:hAnsi="Arial" w:cs="Arial"/>
          <w:sz w:val="20"/>
          <w:szCs w:val="20"/>
        </w:rPr>
        <w:t xml:space="preserve"> and have advanced technology skills</w:t>
      </w:r>
      <w:r w:rsidR="00192FA1" w:rsidRPr="00482722">
        <w:rPr>
          <w:rFonts w:ascii="Arial" w:hAnsi="Arial" w:cs="Arial"/>
          <w:sz w:val="20"/>
          <w:szCs w:val="20"/>
        </w:rPr>
        <w:t xml:space="preserve"> (Chan et al., 2010)</w:t>
      </w:r>
      <w:r w:rsidR="0078103D" w:rsidRPr="00482722">
        <w:rPr>
          <w:rFonts w:ascii="Arial" w:hAnsi="Arial" w:cs="Arial"/>
          <w:sz w:val="20"/>
          <w:szCs w:val="20"/>
        </w:rPr>
        <w:t>;</w:t>
      </w:r>
      <w:r w:rsidR="008607D6" w:rsidRPr="00482722">
        <w:rPr>
          <w:rFonts w:ascii="Arial" w:hAnsi="Arial" w:cs="Arial"/>
          <w:sz w:val="20"/>
          <w:szCs w:val="20"/>
        </w:rPr>
        <w:t xml:space="preserve"> t</w:t>
      </w:r>
      <w:r w:rsidR="00832827" w:rsidRPr="00482722">
        <w:rPr>
          <w:rFonts w:ascii="Arial" w:hAnsi="Arial" w:cs="Arial"/>
          <w:sz w:val="20"/>
          <w:szCs w:val="20"/>
        </w:rPr>
        <w:t>hus</w:t>
      </w:r>
      <w:r w:rsidR="00145051" w:rsidRPr="00482722">
        <w:rPr>
          <w:rFonts w:ascii="Arial" w:hAnsi="Arial" w:cs="Arial"/>
          <w:sz w:val="20"/>
          <w:szCs w:val="20"/>
        </w:rPr>
        <w:t xml:space="preserve">, </w:t>
      </w:r>
      <w:r w:rsidR="008607D6" w:rsidRPr="00482722">
        <w:rPr>
          <w:rFonts w:ascii="Arial" w:hAnsi="Arial" w:cs="Arial"/>
          <w:sz w:val="20"/>
          <w:szCs w:val="20"/>
        </w:rPr>
        <w:t>issues related to user familiarity with technology</w:t>
      </w:r>
      <w:r w:rsidR="0078103D" w:rsidRPr="00482722">
        <w:rPr>
          <w:rFonts w:ascii="Arial" w:hAnsi="Arial" w:cs="Arial"/>
          <w:sz w:val="20"/>
          <w:szCs w:val="20"/>
        </w:rPr>
        <w:t xml:space="preserve"> are excluded</w:t>
      </w:r>
      <w:r w:rsidR="008607D6" w:rsidRPr="00482722">
        <w:rPr>
          <w:rFonts w:ascii="Arial" w:hAnsi="Arial" w:cs="Arial"/>
          <w:sz w:val="20"/>
          <w:szCs w:val="20"/>
        </w:rPr>
        <w:t xml:space="preserve">. </w:t>
      </w:r>
      <w:r w:rsidR="003D54FF" w:rsidRPr="00482722">
        <w:rPr>
          <w:rFonts w:ascii="Arial" w:hAnsi="Arial" w:cs="Arial"/>
          <w:sz w:val="20"/>
          <w:szCs w:val="20"/>
        </w:rPr>
        <w:t>D</w:t>
      </w:r>
      <w:r w:rsidR="000F3EF9" w:rsidRPr="00482722">
        <w:rPr>
          <w:rFonts w:ascii="Arial" w:hAnsi="Arial" w:cs="Arial"/>
          <w:sz w:val="20"/>
          <w:szCs w:val="20"/>
        </w:rPr>
        <w:t xml:space="preserve">ue to the different levels of variance in relation to factors </w:t>
      </w:r>
      <w:r w:rsidR="0078103D" w:rsidRPr="00482722">
        <w:rPr>
          <w:rFonts w:ascii="Arial" w:hAnsi="Arial" w:cs="Arial"/>
          <w:sz w:val="20"/>
          <w:szCs w:val="20"/>
        </w:rPr>
        <w:t xml:space="preserve">that influence </w:t>
      </w:r>
      <w:r w:rsidR="000F3EF9" w:rsidRPr="00482722">
        <w:rPr>
          <w:rFonts w:ascii="Arial" w:hAnsi="Arial" w:cs="Arial"/>
          <w:sz w:val="20"/>
          <w:szCs w:val="20"/>
        </w:rPr>
        <w:t xml:space="preserve">citizen trust in e-government services (Janssen et al., 2018), </w:t>
      </w:r>
      <w:r w:rsidR="00145051" w:rsidRPr="00482722">
        <w:rPr>
          <w:rFonts w:ascii="Arial" w:hAnsi="Arial" w:cs="Arial"/>
          <w:sz w:val="20"/>
          <w:szCs w:val="20"/>
        </w:rPr>
        <w:t>this research focuses on examining the</w:t>
      </w:r>
      <w:r w:rsidR="00832827" w:rsidRPr="00482722">
        <w:rPr>
          <w:rFonts w:ascii="Arial" w:hAnsi="Arial" w:cs="Arial"/>
          <w:sz w:val="20"/>
          <w:szCs w:val="20"/>
        </w:rPr>
        <w:t xml:space="preserve"> direct relationships between </w:t>
      </w:r>
      <w:r w:rsidR="00D47C42" w:rsidRPr="00482722">
        <w:rPr>
          <w:rFonts w:ascii="Arial" w:hAnsi="Arial" w:cs="Arial"/>
          <w:sz w:val="20"/>
          <w:szCs w:val="20"/>
        </w:rPr>
        <w:t>the core foundation factors and trust in e-government</w:t>
      </w:r>
      <w:r w:rsidR="003D54FF" w:rsidRPr="00482722">
        <w:rPr>
          <w:rFonts w:ascii="Arial" w:hAnsi="Arial" w:cs="Arial"/>
          <w:sz w:val="20"/>
          <w:szCs w:val="20"/>
        </w:rPr>
        <w:t>.</w:t>
      </w:r>
      <w:r w:rsidR="00D47C42" w:rsidRPr="00482722">
        <w:rPr>
          <w:rFonts w:ascii="Arial" w:hAnsi="Arial" w:cs="Arial"/>
          <w:sz w:val="20"/>
          <w:szCs w:val="20"/>
        </w:rPr>
        <w:t xml:space="preserve"> </w:t>
      </w:r>
      <w:r w:rsidR="003D54FF" w:rsidRPr="00482722">
        <w:rPr>
          <w:rFonts w:ascii="Arial" w:hAnsi="Arial" w:cs="Arial"/>
          <w:sz w:val="20"/>
          <w:szCs w:val="20"/>
        </w:rPr>
        <w:t>T</w:t>
      </w:r>
      <w:r w:rsidR="00D47C42" w:rsidRPr="00482722">
        <w:rPr>
          <w:rFonts w:ascii="Arial" w:hAnsi="Arial" w:cs="Arial"/>
          <w:sz w:val="20"/>
          <w:szCs w:val="20"/>
        </w:rPr>
        <w:t>hese</w:t>
      </w:r>
      <w:r w:rsidR="003D54FF" w:rsidRPr="00482722">
        <w:rPr>
          <w:rFonts w:ascii="Arial" w:hAnsi="Arial" w:cs="Arial"/>
          <w:sz w:val="20"/>
          <w:szCs w:val="20"/>
        </w:rPr>
        <w:t xml:space="preserve"> factors</w:t>
      </w:r>
      <w:r w:rsidR="00D47C42" w:rsidRPr="00482722">
        <w:rPr>
          <w:rFonts w:ascii="Arial" w:hAnsi="Arial" w:cs="Arial"/>
          <w:sz w:val="20"/>
          <w:szCs w:val="20"/>
        </w:rPr>
        <w:t xml:space="preserve"> include </w:t>
      </w:r>
      <w:r w:rsidR="00832827" w:rsidRPr="00482722">
        <w:rPr>
          <w:rFonts w:ascii="Arial" w:hAnsi="Arial" w:cs="Arial"/>
          <w:sz w:val="20"/>
          <w:szCs w:val="20"/>
        </w:rPr>
        <w:t>disposition to trust</w:t>
      </w:r>
      <w:r w:rsidR="00D47C42" w:rsidRPr="00482722">
        <w:rPr>
          <w:rFonts w:ascii="Arial" w:hAnsi="Arial" w:cs="Arial"/>
          <w:sz w:val="20"/>
          <w:szCs w:val="20"/>
        </w:rPr>
        <w:t xml:space="preserve"> and </w:t>
      </w:r>
      <w:r w:rsidR="00145051" w:rsidRPr="00482722">
        <w:rPr>
          <w:rFonts w:ascii="Arial" w:hAnsi="Arial" w:cs="Arial"/>
          <w:sz w:val="20"/>
          <w:szCs w:val="20"/>
        </w:rPr>
        <w:t xml:space="preserve">trust in </w:t>
      </w:r>
      <w:r w:rsidR="00832827" w:rsidRPr="00482722">
        <w:rPr>
          <w:rFonts w:ascii="Arial" w:hAnsi="Arial" w:cs="Arial"/>
          <w:sz w:val="20"/>
          <w:szCs w:val="20"/>
        </w:rPr>
        <w:t xml:space="preserve">government, </w:t>
      </w:r>
      <w:r w:rsidR="00546900" w:rsidRPr="00482722">
        <w:rPr>
          <w:rFonts w:ascii="Arial" w:hAnsi="Arial" w:cs="Arial"/>
          <w:sz w:val="20"/>
          <w:szCs w:val="20"/>
        </w:rPr>
        <w:t xml:space="preserve">because </w:t>
      </w:r>
      <w:r w:rsidR="00D47C42" w:rsidRPr="00482722">
        <w:rPr>
          <w:rFonts w:ascii="Arial" w:hAnsi="Arial" w:cs="Arial"/>
          <w:sz w:val="20"/>
          <w:szCs w:val="20"/>
        </w:rPr>
        <w:t>these</w:t>
      </w:r>
      <w:r w:rsidR="0078103D" w:rsidRPr="00482722">
        <w:rPr>
          <w:rFonts w:ascii="Arial" w:hAnsi="Arial" w:cs="Arial"/>
          <w:sz w:val="20"/>
          <w:szCs w:val="20"/>
        </w:rPr>
        <w:t xml:space="preserve"> are</w:t>
      </w:r>
      <w:r w:rsidR="00D47C42" w:rsidRPr="00482722">
        <w:rPr>
          <w:rFonts w:ascii="Arial" w:hAnsi="Arial" w:cs="Arial"/>
          <w:sz w:val="20"/>
          <w:szCs w:val="20"/>
        </w:rPr>
        <w:t xml:space="preserve"> the </w:t>
      </w:r>
      <w:r w:rsidR="0000212F" w:rsidRPr="00482722">
        <w:rPr>
          <w:rFonts w:ascii="Arial" w:hAnsi="Arial" w:cs="Arial"/>
          <w:sz w:val="20"/>
          <w:szCs w:val="20"/>
        </w:rPr>
        <w:t xml:space="preserve">cornerstones of building trust </w:t>
      </w:r>
      <w:r w:rsidR="00145051" w:rsidRPr="00482722">
        <w:rPr>
          <w:rFonts w:ascii="Arial" w:hAnsi="Arial" w:cs="Arial"/>
          <w:sz w:val="20"/>
          <w:szCs w:val="20"/>
        </w:rPr>
        <w:t>among the parties</w:t>
      </w:r>
      <w:r w:rsidR="008607D6" w:rsidRPr="00482722">
        <w:rPr>
          <w:rFonts w:ascii="Arial" w:hAnsi="Arial" w:cs="Arial"/>
          <w:sz w:val="20"/>
          <w:szCs w:val="20"/>
        </w:rPr>
        <w:t xml:space="preserve"> of e-government services</w:t>
      </w:r>
      <w:r w:rsidR="002F0737" w:rsidRPr="00482722">
        <w:rPr>
          <w:rFonts w:ascii="Arial" w:hAnsi="Arial" w:cs="Arial"/>
          <w:sz w:val="20"/>
          <w:szCs w:val="20"/>
        </w:rPr>
        <w:t xml:space="preserve"> </w:t>
      </w:r>
      <w:r w:rsidR="00145051" w:rsidRPr="00482722">
        <w:rPr>
          <w:rFonts w:ascii="Arial" w:hAnsi="Arial" w:cs="Arial"/>
          <w:sz w:val="20"/>
          <w:szCs w:val="20"/>
        </w:rPr>
        <w:t>(</w:t>
      </w:r>
      <w:r w:rsidR="00192FA1" w:rsidRPr="00482722">
        <w:rPr>
          <w:rFonts w:ascii="Arial" w:hAnsi="Arial" w:cs="Arial"/>
          <w:sz w:val="20"/>
          <w:szCs w:val="20"/>
        </w:rPr>
        <w:t xml:space="preserve">Bélanger </w:t>
      </w:r>
      <w:r w:rsidR="002D35B9" w:rsidRPr="00482722">
        <w:rPr>
          <w:rFonts w:ascii="Arial" w:hAnsi="Arial" w:cs="Arial"/>
          <w:sz w:val="20"/>
          <w:szCs w:val="20"/>
        </w:rPr>
        <w:t>and</w:t>
      </w:r>
      <w:r w:rsidR="00192FA1" w:rsidRPr="00482722">
        <w:rPr>
          <w:rFonts w:ascii="Arial" w:hAnsi="Arial" w:cs="Arial"/>
          <w:sz w:val="20"/>
          <w:szCs w:val="20"/>
        </w:rPr>
        <w:t xml:space="preserve"> Carter, 2008; </w:t>
      </w:r>
      <w:r w:rsidR="00145051" w:rsidRPr="00482722">
        <w:rPr>
          <w:rFonts w:ascii="Arial" w:hAnsi="Arial" w:cs="Arial"/>
          <w:sz w:val="20"/>
          <w:szCs w:val="20"/>
        </w:rPr>
        <w:t xml:space="preserve">Pavlou, 2003). </w:t>
      </w:r>
      <w:r w:rsidR="00CE435C" w:rsidRPr="00482722">
        <w:rPr>
          <w:rFonts w:ascii="Arial" w:hAnsi="Arial" w:cs="Arial"/>
          <w:sz w:val="20"/>
          <w:szCs w:val="20"/>
        </w:rPr>
        <w:t>T</w:t>
      </w:r>
      <w:r w:rsidR="00B939B0" w:rsidRPr="00482722">
        <w:rPr>
          <w:rFonts w:ascii="Arial" w:hAnsi="Arial" w:cs="Arial"/>
          <w:sz w:val="20"/>
          <w:szCs w:val="20"/>
        </w:rPr>
        <w:t>rust-building strategies may differ from</w:t>
      </w:r>
      <w:r w:rsidR="00CE435C" w:rsidRPr="00482722">
        <w:rPr>
          <w:rFonts w:ascii="Arial" w:hAnsi="Arial" w:cs="Arial"/>
          <w:sz w:val="20"/>
          <w:szCs w:val="20"/>
        </w:rPr>
        <w:t xml:space="preserve"> one</w:t>
      </w:r>
      <w:r w:rsidR="00B939B0" w:rsidRPr="00482722">
        <w:rPr>
          <w:rFonts w:ascii="Arial" w:hAnsi="Arial" w:cs="Arial"/>
          <w:sz w:val="20"/>
          <w:szCs w:val="20"/>
        </w:rPr>
        <w:t xml:space="preserve"> person to </w:t>
      </w:r>
      <w:r w:rsidR="003D54FF" w:rsidRPr="00482722">
        <w:rPr>
          <w:rFonts w:ascii="Arial" w:hAnsi="Arial" w:cs="Arial"/>
          <w:sz w:val="20"/>
          <w:szCs w:val="20"/>
        </w:rPr>
        <w:t xml:space="preserve">another </w:t>
      </w:r>
      <w:r w:rsidR="00B939B0" w:rsidRPr="00482722">
        <w:rPr>
          <w:rFonts w:ascii="Arial" w:hAnsi="Arial" w:cs="Arial"/>
          <w:sz w:val="20"/>
          <w:szCs w:val="20"/>
        </w:rPr>
        <w:t xml:space="preserve">depending on the level of trusting beliefs </w:t>
      </w:r>
      <w:r w:rsidR="00CE435C" w:rsidRPr="00482722">
        <w:rPr>
          <w:rFonts w:ascii="Arial" w:hAnsi="Arial" w:cs="Arial"/>
          <w:sz w:val="20"/>
          <w:szCs w:val="20"/>
        </w:rPr>
        <w:t xml:space="preserve">that </w:t>
      </w:r>
      <w:r w:rsidR="0099373C" w:rsidRPr="00482722">
        <w:rPr>
          <w:rFonts w:ascii="Arial" w:hAnsi="Arial" w:cs="Arial"/>
          <w:sz w:val="20"/>
          <w:szCs w:val="20"/>
        </w:rPr>
        <w:t>each</w:t>
      </w:r>
      <w:r w:rsidR="00CE435C" w:rsidRPr="00482722">
        <w:rPr>
          <w:rFonts w:ascii="Arial" w:hAnsi="Arial" w:cs="Arial"/>
          <w:sz w:val="20"/>
          <w:szCs w:val="20"/>
        </w:rPr>
        <w:t xml:space="preserve"> </w:t>
      </w:r>
      <w:r w:rsidR="00B939B0" w:rsidRPr="00482722">
        <w:rPr>
          <w:rFonts w:ascii="Arial" w:hAnsi="Arial" w:cs="Arial"/>
          <w:sz w:val="20"/>
          <w:szCs w:val="20"/>
        </w:rPr>
        <w:t>consumer</w:t>
      </w:r>
      <w:r w:rsidR="003F305F" w:rsidRPr="00482722">
        <w:rPr>
          <w:rFonts w:ascii="Arial" w:hAnsi="Arial" w:cs="Arial"/>
          <w:sz w:val="20"/>
          <w:szCs w:val="20"/>
        </w:rPr>
        <w:t xml:space="preserve"> ha</w:t>
      </w:r>
      <w:r w:rsidR="0099373C" w:rsidRPr="00482722">
        <w:rPr>
          <w:rFonts w:ascii="Arial" w:hAnsi="Arial" w:cs="Arial"/>
          <w:sz w:val="20"/>
          <w:szCs w:val="20"/>
        </w:rPr>
        <w:t>s</w:t>
      </w:r>
      <w:r w:rsidR="00B939B0" w:rsidRPr="00482722">
        <w:rPr>
          <w:rFonts w:ascii="Arial" w:hAnsi="Arial" w:cs="Arial"/>
          <w:sz w:val="20"/>
          <w:szCs w:val="20"/>
        </w:rPr>
        <w:t xml:space="preserve"> (Bélanger and Carter, 2008)</w:t>
      </w:r>
      <w:r w:rsidR="00CE435C" w:rsidRPr="00482722">
        <w:rPr>
          <w:rFonts w:ascii="Arial" w:hAnsi="Arial" w:cs="Arial"/>
          <w:sz w:val="20"/>
          <w:szCs w:val="20"/>
        </w:rPr>
        <w:t>. Indeed,</w:t>
      </w:r>
      <w:r w:rsidR="00B939B0" w:rsidRPr="00482722">
        <w:rPr>
          <w:rFonts w:ascii="Arial" w:hAnsi="Arial" w:cs="Arial"/>
          <w:sz w:val="20"/>
          <w:szCs w:val="20"/>
        </w:rPr>
        <w:t xml:space="preserve"> </w:t>
      </w:r>
      <w:r w:rsidR="00CE435C" w:rsidRPr="00482722">
        <w:rPr>
          <w:rFonts w:ascii="Arial" w:hAnsi="Arial" w:cs="Arial"/>
          <w:sz w:val="20"/>
          <w:szCs w:val="20"/>
        </w:rPr>
        <w:t>p</w:t>
      </w:r>
      <w:r w:rsidR="003F305F" w:rsidRPr="00482722">
        <w:rPr>
          <w:rFonts w:ascii="Arial" w:hAnsi="Arial" w:cs="Arial"/>
          <w:sz w:val="20"/>
          <w:szCs w:val="20"/>
        </w:rPr>
        <w:t xml:space="preserve">revious research found that the </w:t>
      </w:r>
      <w:r w:rsidR="00CE435C" w:rsidRPr="00482722">
        <w:rPr>
          <w:rFonts w:ascii="Arial" w:hAnsi="Arial" w:cs="Arial"/>
          <w:sz w:val="20"/>
          <w:szCs w:val="20"/>
        </w:rPr>
        <w:t xml:space="preserve">stronger a citizen’s </w:t>
      </w:r>
      <w:r w:rsidR="003F305F" w:rsidRPr="00482722">
        <w:rPr>
          <w:rFonts w:ascii="Arial" w:hAnsi="Arial" w:cs="Arial"/>
          <w:sz w:val="20"/>
          <w:szCs w:val="20"/>
        </w:rPr>
        <w:t xml:space="preserve">disposition to trust, the more trust </w:t>
      </w:r>
      <w:r w:rsidR="0099373C" w:rsidRPr="00482722">
        <w:rPr>
          <w:rFonts w:ascii="Arial" w:hAnsi="Arial" w:cs="Arial"/>
          <w:sz w:val="20"/>
          <w:szCs w:val="20"/>
        </w:rPr>
        <w:t xml:space="preserve">that person </w:t>
      </w:r>
      <w:r w:rsidR="00157754" w:rsidRPr="00482722">
        <w:rPr>
          <w:rFonts w:ascii="Arial" w:hAnsi="Arial" w:cs="Arial"/>
          <w:sz w:val="20"/>
          <w:szCs w:val="20"/>
        </w:rPr>
        <w:t xml:space="preserve">will </w:t>
      </w:r>
      <w:r w:rsidR="003F305F" w:rsidRPr="00482722">
        <w:rPr>
          <w:rFonts w:ascii="Arial" w:hAnsi="Arial" w:cs="Arial"/>
          <w:sz w:val="20"/>
          <w:szCs w:val="20"/>
        </w:rPr>
        <w:t>have in government agencies and e-government services (e.g., Alzahrani et al., 2018; Janssen et al., 2018; Beldad et al., 2012). Hence, we propose the</w:t>
      </w:r>
      <w:r w:rsidR="00B939B0" w:rsidRPr="00482722">
        <w:rPr>
          <w:rFonts w:ascii="Arial" w:hAnsi="Arial" w:cs="Arial"/>
          <w:sz w:val="20"/>
          <w:szCs w:val="20"/>
        </w:rPr>
        <w:t xml:space="preserve"> following hypothe</w:t>
      </w:r>
      <w:r w:rsidR="003F305F" w:rsidRPr="00482722">
        <w:rPr>
          <w:rFonts w:ascii="Arial" w:hAnsi="Arial" w:cs="Arial"/>
          <w:sz w:val="20"/>
          <w:szCs w:val="20"/>
        </w:rPr>
        <w:t>ses:</w:t>
      </w:r>
    </w:p>
    <w:p w14:paraId="255630D3" w14:textId="0F6A115C" w:rsidR="00832827" w:rsidRPr="00482722" w:rsidRDefault="00832827" w:rsidP="00DA5EEC">
      <w:pPr>
        <w:spacing w:line="240" w:lineRule="auto"/>
        <w:jc w:val="both"/>
        <w:rPr>
          <w:rFonts w:ascii="Arial" w:hAnsi="Arial" w:cs="Arial"/>
          <w:sz w:val="20"/>
          <w:szCs w:val="20"/>
        </w:rPr>
      </w:pPr>
      <w:r w:rsidRPr="00482722">
        <w:rPr>
          <w:rFonts w:ascii="Arial" w:hAnsi="Arial" w:cs="Arial"/>
          <w:bCs/>
          <w:i/>
          <w:iCs/>
          <w:sz w:val="20"/>
          <w:szCs w:val="20"/>
        </w:rPr>
        <w:t>H1</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D</w:t>
      </w:r>
      <w:r w:rsidR="00B91C56" w:rsidRPr="00482722">
        <w:rPr>
          <w:rFonts w:ascii="Arial" w:hAnsi="Arial" w:cs="Arial"/>
          <w:sz w:val="20"/>
          <w:szCs w:val="20"/>
        </w:rPr>
        <w:t>isposition to trust</w:t>
      </w:r>
      <w:r w:rsidRPr="00482722">
        <w:rPr>
          <w:rFonts w:ascii="Arial" w:hAnsi="Arial" w:cs="Arial"/>
          <w:sz w:val="20"/>
          <w:szCs w:val="20"/>
        </w:rPr>
        <w:t xml:space="preserve"> has a direct and positive influence on citizen </w:t>
      </w:r>
      <w:r w:rsidR="00B91C56" w:rsidRPr="00482722">
        <w:rPr>
          <w:rFonts w:ascii="Arial" w:hAnsi="Arial" w:cs="Arial"/>
          <w:sz w:val="20"/>
          <w:szCs w:val="20"/>
        </w:rPr>
        <w:t>trust in government</w:t>
      </w:r>
      <w:r w:rsidRPr="00482722">
        <w:rPr>
          <w:rFonts w:ascii="Arial" w:hAnsi="Arial" w:cs="Arial"/>
          <w:sz w:val="20"/>
          <w:szCs w:val="20"/>
        </w:rPr>
        <w:t>.</w:t>
      </w:r>
    </w:p>
    <w:p w14:paraId="769BE1E5" w14:textId="73289E48" w:rsidR="00173171" w:rsidRPr="00482722" w:rsidRDefault="00145051" w:rsidP="00DA5EEC">
      <w:pPr>
        <w:spacing w:line="240" w:lineRule="auto"/>
        <w:jc w:val="both"/>
        <w:rPr>
          <w:rFonts w:ascii="Arial" w:hAnsi="Arial" w:cs="Arial"/>
          <w:sz w:val="20"/>
          <w:szCs w:val="20"/>
        </w:rPr>
      </w:pPr>
      <w:r w:rsidRPr="00482722">
        <w:rPr>
          <w:rFonts w:ascii="Arial" w:hAnsi="Arial" w:cs="Arial"/>
          <w:bCs/>
          <w:i/>
          <w:iCs/>
          <w:sz w:val="20"/>
          <w:szCs w:val="20"/>
        </w:rPr>
        <w:t>H2</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D</w:t>
      </w:r>
      <w:r w:rsidR="00B91C56" w:rsidRPr="00482722">
        <w:rPr>
          <w:rFonts w:ascii="Arial" w:hAnsi="Arial" w:cs="Arial"/>
          <w:sz w:val="20"/>
          <w:szCs w:val="20"/>
        </w:rPr>
        <w:t>isposition to trust</w:t>
      </w:r>
      <w:r w:rsidRPr="00482722">
        <w:rPr>
          <w:rFonts w:ascii="Arial" w:hAnsi="Arial" w:cs="Arial"/>
          <w:sz w:val="20"/>
          <w:szCs w:val="20"/>
        </w:rPr>
        <w:t xml:space="preserve"> has a direct and positive influence on citizen </w:t>
      </w:r>
      <w:r w:rsidR="00B91C56" w:rsidRPr="00482722">
        <w:rPr>
          <w:rFonts w:ascii="Arial" w:hAnsi="Arial" w:cs="Arial"/>
          <w:sz w:val="20"/>
          <w:szCs w:val="20"/>
        </w:rPr>
        <w:t>trust in e-government</w:t>
      </w:r>
      <w:r w:rsidRPr="00482722">
        <w:rPr>
          <w:rFonts w:ascii="Arial" w:hAnsi="Arial" w:cs="Arial"/>
          <w:sz w:val="20"/>
          <w:szCs w:val="20"/>
        </w:rPr>
        <w:t xml:space="preserve"> services.</w:t>
      </w:r>
    </w:p>
    <w:p w14:paraId="5C3DF277" w14:textId="43A64742" w:rsidR="00E06163" w:rsidRPr="00482722" w:rsidRDefault="00E06163" w:rsidP="00E82E40">
      <w:pPr>
        <w:spacing w:line="240" w:lineRule="auto"/>
        <w:jc w:val="both"/>
        <w:rPr>
          <w:rFonts w:ascii="Arial" w:hAnsi="Arial" w:cs="Arial"/>
          <w:sz w:val="20"/>
          <w:szCs w:val="20"/>
        </w:rPr>
      </w:pPr>
      <w:bookmarkStart w:id="15" w:name="_Hlk58191222"/>
      <w:r w:rsidRPr="00482722">
        <w:rPr>
          <w:rFonts w:ascii="Arial" w:hAnsi="Arial" w:cs="Arial"/>
          <w:sz w:val="20"/>
          <w:szCs w:val="20"/>
        </w:rPr>
        <w:t xml:space="preserve">In addition, </w:t>
      </w:r>
      <w:r w:rsidR="003F305F" w:rsidRPr="00482722">
        <w:rPr>
          <w:rFonts w:ascii="Arial" w:hAnsi="Arial" w:cs="Arial"/>
          <w:sz w:val="20"/>
          <w:szCs w:val="20"/>
        </w:rPr>
        <w:t xml:space="preserve">developing </w:t>
      </w:r>
      <w:r w:rsidRPr="00482722">
        <w:rPr>
          <w:rFonts w:ascii="Arial" w:hAnsi="Arial" w:cs="Arial"/>
          <w:sz w:val="20"/>
          <w:szCs w:val="20"/>
        </w:rPr>
        <w:t xml:space="preserve">citizen trust in e-government services requires </w:t>
      </w:r>
      <w:r w:rsidR="0099373C" w:rsidRPr="00482722">
        <w:rPr>
          <w:rFonts w:ascii="Arial" w:hAnsi="Arial" w:cs="Arial"/>
          <w:sz w:val="20"/>
          <w:szCs w:val="20"/>
        </w:rPr>
        <w:t>citizens</w:t>
      </w:r>
      <w:r w:rsidR="00157754" w:rsidRPr="00482722">
        <w:rPr>
          <w:rFonts w:ascii="Arial" w:hAnsi="Arial" w:cs="Arial"/>
          <w:sz w:val="20"/>
          <w:szCs w:val="20"/>
        </w:rPr>
        <w:t xml:space="preserve"> to have </w:t>
      </w:r>
      <w:r w:rsidRPr="00482722">
        <w:rPr>
          <w:rFonts w:ascii="Arial" w:hAnsi="Arial" w:cs="Arial"/>
          <w:sz w:val="20"/>
          <w:szCs w:val="20"/>
        </w:rPr>
        <w:t>trust in the government organi</w:t>
      </w:r>
      <w:r w:rsidR="003F305F" w:rsidRPr="00482722">
        <w:rPr>
          <w:rFonts w:ascii="Arial" w:hAnsi="Arial" w:cs="Arial"/>
          <w:sz w:val="20"/>
          <w:szCs w:val="20"/>
        </w:rPr>
        <w:t>s</w:t>
      </w:r>
      <w:r w:rsidRPr="00482722">
        <w:rPr>
          <w:rFonts w:ascii="Arial" w:hAnsi="Arial" w:cs="Arial"/>
          <w:sz w:val="20"/>
          <w:szCs w:val="20"/>
        </w:rPr>
        <w:t xml:space="preserve">ation that </w:t>
      </w:r>
      <w:r w:rsidR="00157754" w:rsidRPr="00482722">
        <w:rPr>
          <w:rFonts w:ascii="Arial" w:hAnsi="Arial" w:cs="Arial"/>
          <w:sz w:val="20"/>
          <w:szCs w:val="20"/>
        </w:rPr>
        <w:t xml:space="preserve">is providing </w:t>
      </w:r>
      <w:r w:rsidRPr="00482722">
        <w:rPr>
          <w:rFonts w:ascii="Arial" w:hAnsi="Arial" w:cs="Arial"/>
          <w:sz w:val="20"/>
          <w:szCs w:val="20"/>
        </w:rPr>
        <w:t xml:space="preserve">these electronic services (Alzahrani et al., 2018; Janssen et al., 2018; Sá et al., 2016; Fakhoury and Aubert, 2015; Abu-Shanab, 2014). In the context of e-commerce research, consumer perceptions of a </w:t>
      </w:r>
      <w:r w:rsidR="00157754" w:rsidRPr="00482722">
        <w:rPr>
          <w:rFonts w:ascii="Arial" w:hAnsi="Arial" w:cs="Arial"/>
          <w:sz w:val="20"/>
          <w:szCs w:val="20"/>
        </w:rPr>
        <w:t xml:space="preserve">company’s </w:t>
      </w:r>
      <w:r w:rsidRPr="00482722">
        <w:rPr>
          <w:rFonts w:ascii="Arial" w:hAnsi="Arial" w:cs="Arial"/>
          <w:sz w:val="20"/>
          <w:szCs w:val="20"/>
        </w:rPr>
        <w:t xml:space="preserve">reputation, which is measured by the extent of </w:t>
      </w:r>
      <w:r w:rsidR="00157754" w:rsidRPr="00482722">
        <w:rPr>
          <w:rFonts w:ascii="Arial" w:hAnsi="Arial" w:cs="Arial"/>
          <w:sz w:val="20"/>
          <w:szCs w:val="20"/>
        </w:rPr>
        <w:t xml:space="preserve">the company’s </w:t>
      </w:r>
      <w:r w:rsidRPr="00482722">
        <w:rPr>
          <w:rFonts w:ascii="Arial" w:hAnsi="Arial" w:cs="Arial"/>
          <w:sz w:val="20"/>
          <w:szCs w:val="20"/>
        </w:rPr>
        <w:t xml:space="preserve">sincerity and credibility </w:t>
      </w:r>
      <w:r w:rsidR="00157754" w:rsidRPr="00482722">
        <w:rPr>
          <w:rFonts w:ascii="Arial" w:hAnsi="Arial" w:cs="Arial"/>
          <w:sz w:val="20"/>
          <w:szCs w:val="20"/>
        </w:rPr>
        <w:t xml:space="preserve">in </w:t>
      </w:r>
      <w:r w:rsidR="0099373C" w:rsidRPr="00482722">
        <w:rPr>
          <w:rFonts w:ascii="Arial" w:hAnsi="Arial" w:cs="Arial"/>
          <w:sz w:val="20"/>
          <w:szCs w:val="20"/>
        </w:rPr>
        <w:t xml:space="preserve">its </w:t>
      </w:r>
      <w:r w:rsidR="00157754" w:rsidRPr="00482722">
        <w:rPr>
          <w:rFonts w:ascii="Arial" w:hAnsi="Arial" w:cs="Arial"/>
          <w:sz w:val="20"/>
          <w:szCs w:val="20"/>
        </w:rPr>
        <w:t>dealings with</w:t>
      </w:r>
      <w:r w:rsidRPr="00482722">
        <w:rPr>
          <w:rFonts w:ascii="Arial" w:hAnsi="Arial" w:cs="Arial"/>
          <w:sz w:val="20"/>
          <w:szCs w:val="20"/>
        </w:rPr>
        <w:t xml:space="preserve"> customers, </w:t>
      </w:r>
      <w:r w:rsidR="00157754" w:rsidRPr="00482722">
        <w:rPr>
          <w:rFonts w:ascii="Arial" w:hAnsi="Arial" w:cs="Arial"/>
          <w:sz w:val="20"/>
          <w:szCs w:val="20"/>
        </w:rPr>
        <w:t xml:space="preserve">are </w:t>
      </w:r>
      <w:r w:rsidRPr="00482722">
        <w:rPr>
          <w:rFonts w:ascii="Arial" w:hAnsi="Arial" w:cs="Arial"/>
          <w:sz w:val="20"/>
          <w:szCs w:val="20"/>
        </w:rPr>
        <w:t xml:space="preserve">considered </w:t>
      </w:r>
      <w:r w:rsidR="0099373C" w:rsidRPr="00482722">
        <w:rPr>
          <w:rFonts w:ascii="Arial" w:hAnsi="Arial" w:cs="Arial"/>
          <w:sz w:val="20"/>
          <w:szCs w:val="20"/>
        </w:rPr>
        <w:t xml:space="preserve">to be </w:t>
      </w:r>
      <w:r w:rsidRPr="00482722">
        <w:rPr>
          <w:rFonts w:ascii="Arial" w:hAnsi="Arial" w:cs="Arial"/>
          <w:sz w:val="20"/>
          <w:szCs w:val="20"/>
        </w:rPr>
        <w:t>a milestone in users</w:t>
      </w:r>
      <w:r w:rsidR="00665336" w:rsidRPr="00482722">
        <w:rPr>
          <w:rFonts w:ascii="Arial" w:hAnsi="Arial" w:cs="Arial"/>
          <w:sz w:val="20"/>
          <w:szCs w:val="20"/>
        </w:rPr>
        <w:t>’</w:t>
      </w:r>
      <w:r w:rsidRPr="00482722">
        <w:rPr>
          <w:rFonts w:ascii="Arial" w:hAnsi="Arial" w:cs="Arial"/>
          <w:sz w:val="20"/>
          <w:szCs w:val="20"/>
        </w:rPr>
        <w:t xml:space="preserve"> trust </w:t>
      </w:r>
      <w:r w:rsidR="0039087A" w:rsidRPr="00482722">
        <w:rPr>
          <w:rFonts w:ascii="Arial" w:hAnsi="Arial" w:cs="Arial"/>
          <w:sz w:val="20"/>
          <w:szCs w:val="20"/>
        </w:rPr>
        <w:t xml:space="preserve">in </w:t>
      </w:r>
      <w:r w:rsidRPr="00482722">
        <w:rPr>
          <w:rFonts w:ascii="Arial" w:hAnsi="Arial" w:cs="Arial"/>
          <w:sz w:val="20"/>
          <w:szCs w:val="20"/>
        </w:rPr>
        <w:t xml:space="preserve">the </w:t>
      </w:r>
      <w:r w:rsidR="00665336" w:rsidRPr="00482722">
        <w:rPr>
          <w:rFonts w:ascii="Arial" w:hAnsi="Arial" w:cs="Arial"/>
          <w:sz w:val="20"/>
          <w:szCs w:val="20"/>
        </w:rPr>
        <w:t>company</w:t>
      </w:r>
      <w:r w:rsidRPr="00482722">
        <w:rPr>
          <w:rFonts w:ascii="Arial" w:hAnsi="Arial" w:cs="Arial"/>
          <w:sz w:val="20"/>
          <w:szCs w:val="20"/>
        </w:rPr>
        <w:t>’s website services (Kaur et al., 2020; Zheng et al., 2017). In public administration research, trust in government is often seen to be related to the effectiveness of</w:t>
      </w:r>
      <w:r w:rsidR="00665336" w:rsidRPr="00482722">
        <w:rPr>
          <w:rFonts w:ascii="Arial" w:hAnsi="Arial" w:cs="Arial"/>
          <w:sz w:val="20"/>
          <w:szCs w:val="20"/>
        </w:rPr>
        <w:t xml:space="preserve"> a</w:t>
      </w:r>
      <w:r w:rsidRPr="00482722">
        <w:rPr>
          <w:rFonts w:ascii="Arial" w:hAnsi="Arial" w:cs="Arial"/>
          <w:sz w:val="20"/>
          <w:szCs w:val="20"/>
        </w:rPr>
        <w:t xml:space="preserve"> government organi</w:t>
      </w:r>
      <w:r w:rsidR="00370B91" w:rsidRPr="00482722">
        <w:rPr>
          <w:rFonts w:ascii="Arial" w:hAnsi="Arial" w:cs="Arial"/>
          <w:sz w:val="20"/>
          <w:szCs w:val="20"/>
        </w:rPr>
        <w:t>s</w:t>
      </w:r>
      <w:r w:rsidRPr="00482722">
        <w:rPr>
          <w:rFonts w:ascii="Arial" w:hAnsi="Arial" w:cs="Arial"/>
          <w:sz w:val="20"/>
          <w:szCs w:val="20"/>
        </w:rPr>
        <w:t xml:space="preserve">ation, </w:t>
      </w:r>
      <w:r w:rsidR="00665336" w:rsidRPr="00482722">
        <w:rPr>
          <w:rFonts w:ascii="Arial" w:hAnsi="Arial" w:cs="Arial"/>
          <w:sz w:val="20"/>
          <w:szCs w:val="20"/>
        </w:rPr>
        <w:t>so the</w:t>
      </w:r>
      <w:r w:rsidRPr="00482722">
        <w:rPr>
          <w:rFonts w:ascii="Arial" w:hAnsi="Arial" w:cs="Arial"/>
          <w:sz w:val="20"/>
          <w:szCs w:val="20"/>
        </w:rPr>
        <w:t xml:space="preserve"> positive engagement of citizens with government </w:t>
      </w:r>
      <w:r w:rsidR="0000212F" w:rsidRPr="00482722">
        <w:rPr>
          <w:rFonts w:ascii="Arial" w:hAnsi="Arial" w:cs="Arial"/>
          <w:sz w:val="20"/>
          <w:szCs w:val="20"/>
        </w:rPr>
        <w:t>actions</w:t>
      </w:r>
      <w:r w:rsidRPr="00482722">
        <w:rPr>
          <w:rFonts w:ascii="Arial" w:hAnsi="Arial" w:cs="Arial"/>
          <w:sz w:val="20"/>
          <w:szCs w:val="20"/>
        </w:rPr>
        <w:t xml:space="preserve">, policies, and procedures depends </w:t>
      </w:r>
      <w:r w:rsidR="004D0577" w:rsidRPr="00482722">
        <w:rPr>
          <w:rFonts w:ascii="Arial" w:hAnsi="Arial" w:cs="Arial"/>
          <w:sz w:val="20"/>
          <w:szCs w:val="20"/>
        </w:rPr>
        <w:t xml:space="preserve">on </w:t>
      </w:r>
      <w:r w:rsidR="0088529F" w:rsidRPr="00482722">
        <w:rPr>
          <w:rFonts w:ascii="Arial" w:hAnsi="Arial" w:cs="Arial"/>
          <w:sz w:val="20"/>
          <w:szCs w:val="20"/>
        </w:rPr>
        <w:t>the extent to which</w:t>
      </w:r>
      <w:r w:rsidRPr="00482722">
        <w:rPr>
          <w:rFonts w:ascii="Arial" w:hAnsi="Arial" w:cs="Arial"/>
          <w:sz w:val="20"/>
          <w:szCs w:val="20"/>
        </w:rPr>
        <w:t xml:space="preserve"> citizens believe in the government</w:t>
      </w:r>
      <w:r w:rsidR="0088529F" w:rsidRPr="00482722">
        <w:rPr>
          <w:rFonts w:ascii="Arial" w:hAnsi="Arial" w:cs="Arial"/>
          <w:sz w:val="20"/>
          <w:szCs w:val="20"/>
        </w:rPr>
        <w:t>’s</w:t>
      </w:r>
      <w:r w:rsidRPr="00482722">
        <w:rPr>
          <w:rFonts w:ascii="Arial" w:hAnsi="Arial" w:cs="Arial"/>
          <w:sz w:val="20"/>
          <w:szCs w:val="20"/>
        </w:rPr>
        <w:t xml:space="preserve"> work (Janssen et al., 2018; Welch et al., 2004). </w:t>
      </w:r>
      <w:r w:rsidR="00C078AB" w:rsidRPr="00482722">
        <w:rPr>
          <w:rFonts w:ascii="Arial" w:hAnsi="Arial" w:cs="Arial"/>
          <w:sz w:val="20"/>
          <w:szCs w:val="20"/>
        </w:rPr>
        <w:t>On the other hand, a</w:t>
      </w:r>
      <w:r w:rsidRPr="00482722">
        <w:rPr>
          <w:rFonts w:ascii="Arial" w:hAnsi="Arial" w:cs="Arial"/>
          <w:sz w:val="20"/>
          <w:szCs w:val="20"/>
        </w:rPr>
        <w:t>n untrusted government would be suspicious of citizens in its actions, pronouncements, and policies (Horsburgh et al., 2011; Bélanger and Carter, 2008</w:t>
      </w:r>
      <w:r w:rsidR="00F53576" w:rsidRPr="00482722">
        <w:rPr>
          <w:rFonts w:ascii="Arial" w:hAnsi="Arial" w:cs="Arial"/>
          <w:sz w:val="20"/>
          <w:szCs w:val="20"/>
        </w:rPr>
        <w:t>). In</w:t>
      </w:r>
      <w:r w:rsidR="00254475" w:rsidRPr="00482722">
        <w:rPr>
          <w:rFonts w:ascii="Arial" w:hAnsi="Arial" w:cs="Arial"/>
          <w:sz w:val="20"/>
          <w:szCs w:val="20"/>
        </w:rPr>
        <w:t xml:space="preserve"> addition, t</w:t>
      </w:r>
      <w:r w:rsidRPr="00482722">
        <w:rPr>
          <w:rFonts w:ascii="Arial" w:hAnsi="Arial" w:cs="Arial"/>
          <w:sz w:val="20"/>
          <w:szCs w:val="20"/>
        </w:rPr>
        <w:t xml:space="preserve">rust in government has implications </w:t>
      </w:r>
      <w:r w:rsidR="0088529F" w:rsidRPr="00482722">
        <w:rPr>
          <w:rFonts w:ascii="Arial" w:hAnsi="Arial" w:cs="Arial"/>
          <w:sz w:val="20"/>
          <w:szCs w:val="20"/>
        </w:rPr>
        <w:t xml:space="preserve">for </w:t>
      </w:r>
      <w:r w:rsidRPr="00482722">
        <w:rPr>
          <w:rFonts w:ascii="Arial" w:hAnsi="Arial" w:cs="Arial"/>
          <w:sz w:val="20"/>
          <w:szCs w:val="20"/>
        </w:rPr>
        <w:t>confidence in e-government</w:t>
      </w:r>
      <w:r w:rsidR="00254475" w:rsidRPr="00482722">
        <w:rPr>
          <w:rFonts w:ascii="Arial" w:hAnsi="Arial" w:cs="Arial"/>
          <w:sz w:val="20"/>
          <w:szCs w:val="20"/>
        </w:rPr>
        <w:t>. Hence,</w:t>
      </w:r>
      <w:r w:rsidRPr="00482722">
        <w:rPr>
          <w:rFonts w:ascii="Arial" w:hAnsi="Arial" w:cs="Arial"/>
          <w:sz w:val="20"/>
          <w:szCs w:val="20"/>
        </w:rPr>
        <w:t xml:space="preserve"> when citizens are convinced that the</w:t>
      </w:r>
      <w:r w:rsidR="00254475" w:rsidRPr="00482722">
        <w:rPr>
          <w:rFonts w:ascii="Arial" w:hAnsi="Arial" w:cs="Arial"/>
          <w:sz w:val="20"/>
          <w:szCs w:val="20"/>
        </w:rPr>
        <w:t>ir</w:t>
      </w:r>
      <w:r w:rsidRPr="00482722">
        <w:rPr>
          <w:rFonts w:ascii="Arial" w:hAnsi="Arial" w:cs="Arial"/>
          <w:sz w:val="20"/>
          <w:szCs w:val="20"/>
        </w:rPr>
        <w:t xml:space="preserve"> government </w:t>
      </w:r>
      <w:r w:rsidR="00254475" w:rsidRPr="00482722">
        <w:rPr>
          <w:rFonts w:ascii="Arial" w:hAnsi="Arial" w:cs="Arial"/>
          <w:sz w:val="20"/>
          <w:szCs w:val="20"/>
        </w:rPr>
        <w:t xml:space="preserve">is </w:t>
      </w:r>
      <w:r w:rsidRPr="00482722">
        <w:rPr>
          <w:rFonts w:ascii="Arial" w:hAnsi="Arial" w:cs="Arial"/>
          <w:sz w:val="20"/>
          <w:szCs w:val="20"/>
        </w:rPr>
        <w:t>develop</w:t>
      </w:r>
      <w:r w:rsidR="00254475" w:rsidRPr="00482722">
        <w:rPr>
          <w:rFonts w:ascii="Arial" w:hAnsi="Arial" w:cs="Arial"/>
          <w:sz w:val="20"/>
          <w:szCs w:val="20"/>
        </w:rPr>
        <w:t>ing</w:t>
      </w:r>
      <w:r w:rsidRPr="00482722">
        <w:rPr>
          <w:rFonts w:ascii="Arial" w:hAnsi="Arial" w:cs="Arial"/>
          <w:sz w:val="20"/>
          <w:szCs w:val="20"/>
        </w:rPr>
        <w:t xml:space="preserve"> </w:t>
      </w:r>
      <w:r w:rsidR="00254475" w:rsidRPr="00482722">
        <w:rPr>
          <w:rFonts w:ascii="Arial" w:hAnsi="Arial" w:cs="Arial"/>
          <w:sz w:val="20"/>
          <w:szCs w:val="20"/>
        </w:rPr>
        <w:t>its online</w:t>
      </w:r>
      <w:r w:rsidRPr="00482722">
        <w:rPr>
          <w:rFonts w:ascii="Arial" w:hAnsi="Arial" w:cs="Arial"/>
          <w:sz w:val="20"/>
          <w:szCs w:val="20"/>
        </w:rPr>
        <w:t xml:space="preserve"> services to enhance the effectiveness</w:t>
      </w:r>
      <w:r w:rsidR="0088529F" w:rsidRPr="00482722">
        <w:rPr>
          <w:rFonts w:ascii="Arial" w:hAnsi="Arial" w:cs="Arial"/>
          <w:sz w:val="20"/>
          <w:szCs w:val="20"/>
        </w:rPr>
        <w:t>, transparency, and fairness</w:t>
      </w:r>
      <w:r w:rsidRPr="00482722">
        <w:rPr>
          <w:rFonts w:ascii="Arial" w:hAnsi="Arial" w:cs="Arial"/>
          <w:sz w:val="20"/>
          <w:szCs w:val="20"/>
        </w:rPr>
        <w:t xml:space="preserve"> of public services, </w:t>
      </w:r>
      <w:r w:rsidR="00F53576" w:rsidRPr="00482722">
        <w:rPr>
          <w:rFonts w:ascii="Arial" w:hAnsi="Arial" w:cs="Arial"/>
          <w:sz w:val="20"/>
          <w:szCs w:val="20"/>
        </w:rPr>
        <w:t>they are</w:t>
      </w:r>
      <w:r w:rsidR="00254475" w:rsidRPr="00482722">
        <w:rPr>
          <w:rFonts w:ascii="Arial" w:hAnsi="Arial" w:cs="Arial"/>
          <w:sz w:val="20"/>
          <w:szCs w:val="20"/>
        </w:rPr>
        <w:t xml:space="preserve"> likely to be more confident</w:t>
      </w:r>
      <w:r w:rsidRPr="00482722">
        <w:rPr>
          <w:rFonts w:ascii="Arial" w:hAnsi="Arial" w:cs="Arial"/>
          <w:sz w:val="20"/>
          <w:szCs w:val="20"/>
        </w:rPr>
        <w:t xml:space="preserve"> that the government has sufficient safeguards </w:t>
      </w:r>
      <w:r w:rsidR="007602B9" w:rsidRPr="00482722">
        <w:rPr>
          <w:rFonts w:ascii="Arial" w:hAnsi="Arial" w:cs="Arial"/>
          <w:sz w:val="20"/>
          <w:szCs w:val="20"/>
        </w:rPr>
        <w:t xml:space="preserve">in place </w:t>
      </w:r>
      <w:r w:rsidRPr="00482722">
        <w:rPr>
          <w:rFonts w:ascii="Arial" w:hAnsi="Arial" w:cs="Arial"/>
          <w:sz w:val="20"/>
          <w:szCs w:val="20"/>
        </w:rPr>
        <w:t xml:space="preserve">to </w:t>
      </w:r>
      <w:r w:rsidR="007602B9" w:rsidRPr="00482722">
        <w:rPr>
          <w:rFonts w:ascii="Arial" w:hAnsi="Arial" w:cs="Arial"/>
          <w:sz w:val="20"/>
          <w:szCs w:val="20"/>
        </w:rPr>
        <w:t xml:space="preserve">provide reassurance about </w:t>
      </w:r>
      <w:r w:rsidRPr="00482722">
        <w:rPr>
          <w:rFonts w:ascii="Arial" w:hAnsi="Arial" w:cs="Arial"/>
          <w:sz w:val="20"/>
          <w:szCs w:val="20"/>
        </w:rPr>
        <w:t>online</w:t>
      </w:r>
      <w:r w:rsidR="007602B9" w:rsidRPr="00482722">
        <w:rPr>
          <w:rFonts w:ascii="Arial" w:hAnsi="Arial" w:cs="Arial"/>
          <w:sz w:val="20"/>
          <w:szCs w:val="20"/>
        </w:rPr>
        <w:t xml:space="preserve"> service</w:t>
      </w:r>
      <w:r w:rsidRPr="00482722">
        <w:rPr>
          <w:rFonts w:ascii="Arial" w:hAnsi="Arial" w:cs="Arial"/>
          <w:sz w:val="20"/>
          <w:szCs w:val="20"/>
        </w:rPr>
        <w:t xml:space="preserve"> transactions (Pérez-Morote et al., 2020; Bélanger and Carter, 2008). </w:t>
      </w:r>
      <w:r w:rsidR="00254475" w:rsidRPr="00482722">
        <w:rPr>
          <w:rFonts w:ascii="Arial" w:hAnsi="Arial" w:cs="Arial"/>
          <w:sz w:val="20"/>
          <w:szCs w:val="20"/>
        </w:rPr>
        <w:t>Hence, w</w:t>
      </w:r>
      <w:r w:rsidRPr="00482722">
        <w:rPr>
          <w:rFonts w:ascii="Arial" w:hAnsi="Arial" w:cs="Arial"/>
          <w:sz w:val="20"/>
          <w:szCs w:val="20"/>
        </w:rPr>
        <w:t xml:space="preserve">e </w:t>
      </w:r>
      <w:r w:rsidR="00E82E40" w:rsidRPr="00482722">
        <w:rPr>
          <w:rFonts w:ascii="Arial" w:hAnsi="Arial" w:cs="Arial"/>
          <w:sz w:val="20"/>
          <w:szCs w:val="20"/>
        </w:rPr>
        <w:t>hypothesi</w:t>
      </w:r>
      <w:r w:rsidR="00254475" w:rsidRPr="00482722">
        <w:rPr>
          <w:rFonts w:ascii="Arial" w:hAnsi="Arial" w:cs="Arial"/>
          <w:sz w:val="20"/>
          <w:szCs w:val="20"/>
        </w:rPr>
        <w:t>s</w:t>
      </w:r>
      <w:r w:rsidR="00E82E40" w:rsidRPr="00482722">
        <w:rPr>
          <w:rFonts w:ascii="Arial" w:hAnsi="Arial" w:cs="Arial"/>
          <w:sz w:val="20"/>
          <w:szCs w:val="20"/>
        </w:rPr>
        <w:t>e</w:t>
      </w:r>
      <w:r w:rsidR="00E82E40" w:rsidRPr="00482722" w:rsidDel="00E82E40">
        <w:rPr>
          <w:rFonts w:ascii="Arial" w:hAnsi="Arial" w:cs="Arial"/>
          <w:sz w:val="20"/>
          <w:szCs w:val="20"/>
        </w:rPr>
        <w:t xml:space="preserve"> </w:t>
      </w:r>
      <w:r w:rsidRPr="00482722">
        <w:rPr>
          <w:rFonts w:ascii="Arial" w:hAnsi="Arial" w:cs="Arial"/>
          <w:sz w:val="20"/>
          <w:szCs w:val="20"/>
        </w:rPr>
        <w:t xml:space="preserve">that trust in government organisations </w:t>
      </w:r>
      <w:r w:rsidR="00763D97" w:rsidRPr="00482722">
        <w:rPr>
          <w:rFonts w:ascii="Arial" w:hAnsi="Arial" w:cs="Arial"/>
          <w:sz w:val="20"/>
          <w:szCs w:val="20"/>
        </w:rPr>
        <w:t xml:space="preserve">will </w:t>
      </w:r>
      <w:r w:rsidRPr="00482722">
        <w:rPr>
          <w:rFonts w:ascii="Arial" w:hAnsi="Arial" w:cs="Arial"/>
          <w:sz w:val="20"/>
          <w:szCs w:val="20"/>
        </w:rPr>
        <w:t>enhance citizens</w:t>
      </w:r>
      <w:r w:rsidR="00763D97" w:rsidRPr="00482722">
        <w:rPr>
          <w:rFonts w:ascii="Arial" w:hAnsi="Arial" w:cs="Arial"/>
          <w:sz w:val="20"/>
          <w:szCs w:val="20"/>
        </w:rPr>
        <w:t>’</w:t>
      </w:r>
      <w:r w:rsidRPr="00482722">
        <w:rPr>
          <w:rFonts w:ascii="Arial" w:hAnsi="Arial" w:cs="Arial"/>
          <w:sz w:val="20"/>
          <w:szCs w:val="20"/>
        </w:rPr>
        <w:t xml:space="preserve"> compl</w:t>
      </w:r>
      <w:r w:rsidR="00254475" w:rsidRPr="00482722">
        <w:rPr>
          <w:rFonts w:ascii="Arial" w:hAnsi="Arial" w:cs="Arial"/>
          <w:sz w:val="20"/>
          <w:szCs w:val="20"/>
        </w:rPr>
        <w:t>iance</w:t>
      </w:r>
      <w:r w:rsidR="00763D97" w:rsidRPr="00482722">
        <w:rPr>
          <w:rFonts w:ascii="Arial" w:hAnsi="Arial" w:cs="Arial"/>
          <w:sz w:val="20"/>
          <w:szCs w:val="20"/>
        </w:rPr>
        <w:t xml:space="preserve"> with</w:t>
      </w:r>
      <w:r w:rsidRPr="00482722">
        <w:rPr>
          <w:rFonts w:ascii="Arial" w:hAnsi="Arial" w:cs="Arial"/>
          <w:sz w:val="20"/>
          <w:szCs w:val="20"/>
        </w:rPr>
        <w:t xml:space="preserve"> and trust in the</w:t>
      </w:r>
      <w:r w:rsidR="00F54485" w:rsidRPr="00482722">
        <w:rPr>
          <w:rFonts w:ascii="Arial" w:hAnsi="Arial" w:cs="Arial"/>
          <w:sz w:val="20"/>
          <w:szCs w:val="20"/>
        </w:rPr>
        <w:t xml:space="preserve"> organisation’s</w:t>
      </w:r>
      <w:r w:rsidRPr="00482722">
        <w:rPr>
          <w:rFonts w:ascii="Arial" w:hAnsi="Arial" w:cs="Arial"/>
          <w:sz w:val="20"/>
          <w:szCs w:val="20"/>
        </w:rPr>
        <w:t xml:space="preserve"> electronic services</w:t>
      </w:r>
      <w:r w:rsidR="00F54485" w:rsidRPr="00482722">
        <w:rPr>
          <w:rFonts w:ascii="Arial" w:hAnsi="Arial" w:cs="Arial"/>
          <w:sz w:val="20"/>
          <w:szCs w:val="20"/>
        </w:rPr>
        <w:t>.</w:t>
      </w:r>
      <w:r w:rsidR="00254475" w:rsidRPr="00482722">
        <w:rPr>
          <w:rFonts w:ascii="Arial" w:hAnsi="Arial" w:cs="Arial"/>
          <w:sz w:val="20"/>
          <w:szCs w:val="20"/>
        </w:rPr>
        <w:t xml:space="preserve"> </w:t>
      </w:r>
      <w:r w:rsidR="00F54485" w:rsidRPr="00482722">
        <w:rPr>
          <w:rFonts w:ascii="Arial" w:hAnsi="Arial" w:cs="Arial"/>
          <w:sz w:val="20"/>
          <w:szCs w:val="20"/>
        </w:rPr>
        <w:t>A</w:t>
      </w:r>
      <w:r w:rsidR="00254475" w:rsidRPr="00482722">
        <w:rPr>
          <w:rFonts w:ascii="Arial" w:hAnsi="Arial" w:cs="Arial"/>
          <w:sz w:val="20"/>
          <w:szCs w:val="20"/>
        </w:rPr>
        <w:t>ccordingly:</w:t>
      </w:r>
    </w:p>
    <w:bookmarkEnd w:id="15"/>
    <w:p w14:paraId="553606D3" w14:textId="5D25FF17" w:rsidR="00832827" w:rsidRPr="00482722" w:rsidRDefault="00832827" w:rsidP="00DA5EEC">
      <w:pPr>
        <w:spacing w:line="240" w:lineRule="auto"/>
        <w:jc w:val="both"/>
        <w:rPr>
          <w:rFonts w:ascii="Arial" w:hAnsi="Arial" w:cs="Arial"/>
          <w:sz w:val="20"/>
          <w:szCs w:val="20"/>
        </w:rPr>
      </w:pPr>
      <w:r w:rsidRPr="00482722">
        <w:rPr>
          <w:rFonts w:ascii="Arial" w:hAnsi="Arial" w:cs="Arial"/>
          <w:bCs/>
          <w:i/>
          <w:iCs/>
          <w:sz w:val="20"/>
          <w:szCs w:val="20"/>
        </w:rPr>
        <w:t>H</w:t>
      </w:r>
      <w:r w:rsidR="00122904" w:rsidRPr="00482722">
        <w:rPr>
          <w:rFonts w:ascii="Arial" w:hAnsi="Arial" w:cs="Arial"/>
          <w:bCs/>
          <w:i/>
          <w:iCs/>
          <w:sz w:val="20"/>
          <w:szCs w:val="20"/>
        </w:rPr>
        <w:t>3</w:t>
      </w:r>
      <w:r w:rsidR="00432168" w:rsidRPr="00482722">
        <w:rPr>
          <w:rFonts w:ascii="Arial" w:hAnsi="Arial" w:cs="Arial"/>
          <w:bCs/>
          <w:sz w:val="20"/>
          <w:szCs w:val="20"/>
        </w:rPr>
        <w:t>.</w:t>
      </w:r>
      <w:r w:rsidRPr="00482722">
        <w:rPr>
          <w:rFonts w:ascii="Arial" w:hAnsi="Arial" w:cs="Arial"/>
          <w:bCs/>
          <w:sz w:val="20"/>
          <w:szCs w:val="20"/>
        </w:rPr>
        <w:t xml:space="preserve"> </w:t>
      </w:r>
      <w:r w:rsidR="00432168" w:rsidRPr="00482722">
        <w:rPr>
          <w:rFonts w:ascii="Arial" w:hAnsi="Arial" w:cs="Arial"/>
          <w:sz w:val="20"/>
          <w:szCs w:val="20"/>
        </w:rPr>
        <w:t>T</w:t>
      </w:r>
      <w:r w:rsidR="00B91C56" w:rsidRPr="00482722">
        <w:rPr>
          <w:rFonts w:ascii="Arial" w:hAnsi="Arial" w:cs="Arial"/>
          <w:sz w:val="20"/>
          <w:szCs w:val="20"/>
        </w:rPr>
        <w:t>rust in government</w:t>
      </w:r>
      <w:r w:rsidRPr="00482722">
        <w:rPr>
          <w:rFonts w:ascii="Arial" w:hAnsi="Arial" w:cs="Arial"/>
          <w:sz w:val="20"/>
          <w:szCs w:val="20"/>
        </w:rPr>
        <w:t xml:space="preserve"> has a direct and positive influence on citizen </w:t>
      </w:r>
      <w:r w:rsidR="00B91C56" w:rsidRPr="00482722">
        <w:rPr>
          <w:rFonts w:ascii="Arial" w:hAnsi="Arial" w:cs="Arial"/>
          <w:sz w:val="20"/>
          <w:szCs w:val="20"/>
        </w:rPr>
        <w:t>trust in e-government</w:t>
      </w:r>
      <w:r w:rsidRPr="00482722">
        <w:rPr>
          <w:rFonts w:ascii="Arial" w:hAnsi="Arial" w:cs="Arial"/>
          <w:sz w:val="20"/>
          <w:szCs w:val="20"/>
        </w:rPr>
        <w:t xml:space="preserve"> services.</w:t>
      </w:r>
    </w:p>
    <w:p w14:paraId="14B0B794" w14:textId="046A30AD" w:rsidR="00173171" w:rsidRPr="00482722" w:rsidRDefault="00254475" w:rsidP="00B80667">
      <w:pPr>
        <w:spacing w:line="240" w:lineRule="auto"/>
        <w:jc w:val="both"/>
        <w:rPr>
          <w:rFonts w:ascii="Arial" w:hAnsi="Arial" w:cs="Arial"/>
          <w:sz w:val="20"/>
          <w:szCs w:val="20"/>
        </w:rPr>
      </w:pPr>
      <w:r w:rsidRPr="00482722">
        <w:rPr>
          <w:rFonts w:ascii="Arial" w:hAnsi="Arial" w:cs="Arial"/>
          <w:sz w:val="20"/>
          <w:szCs w:val="20"/>
        </w:rPr>
        <w:t xml:space="preserve">In addition, </w:t>
      </w:r>
      <w:r w:rsidR="00FB3859" w:rsidRPr="00482722">
        <w:rPr>
          <w:rFonts w:ascii="Arial" w:hAnsi="Arial" w:cs="Arial"/>
          <w:sz w:val="20"/>
          <w:szCs w:val="20"/>
        </w:rPr>
        <w:t xml:space="preserve">in e-government research, </w:t>
      </w:r>
      <w:r w:rsidR="00173171" w:rsidRPr="00482722">
        <w:rPr>
          <w:rFonts w:ascii="Arial" w:hAnsi="Arial" w:cs="Arial"/>
          <w:sz w:val="20"/>
          <w:szCs w:val="20"/>
        </w:rPr>
        <w:t xml:space="preserve">service quality </w:t>
      </w:r>
      <w:r w:rsidRPr="00482722">
        <w:rPr>
          <w:rFonts w:ascii="Arial" w:hAnsi="Arial" w:cs="Arial"/>
          <w:sz w:val="20"/>
          <w:szCs w:val="20"/>
        </w:rPr>
        <w:t>is</w:t>
      </w:r>
      <w:r w:rsidR="00102ABC" w:rsidRPr="00482722">
        <w:rPr>
          <w:rFonts w:ascii="Arial" w:hAnsi="Arial" w:cs="Arial"/>
          <w:sz w:val="20"/>
          <w:szCs w:val="20"/>
        </w:rPr>
        <w:t xml:space="preserve"> an essential antecedent of trust </w:t>
      </w:r>
      <w:r w:rsidR="005D0E0E" w:rsidRPr="00482722">
        <w:rPr>
          <w:rFonts w:ascii="Arial" w:hAnsi="Arial" w:cs="Arial"/>
          <w:sz w:val="20"/>
          <w:szCs w:val="20"/>
        </w:rPr>
        <w:t xml:space="preserve">(Li </w:t>
      </w:r>
      <w:r w:rsidR="002D35B9" w:rsidRPr="00482722">
        <w:rPr>
          <w:rFonts w:ascii="Arial" w:hAnsi="Arial" w:cs="Arial"/>
          <w:sz w:val="20"/>
          <w:szCs w:val="20"/>
        </w:rPr>
        <w:t>and</w:t>
      </w:r>
      <w:r w:rsidR="005D0E0E" w:rsidRPr="00482722">
        <w:rPr>
          <w:rFonts w:ascii="Arial" w:hAnsi="Arial" w:cs="Arial"/>
          <w:sz w:val="20"/>
          <w:szCs w:val="20"/>
        </w:rPr>
        <w:t xml:space="preserve"> Shang, 2020)</w:t>
      </w:r>
      <w:r w:rsidR="00102ABC" w:rsidRPr="00482722">
        <w:rPr>
          <w:rFonts w:ascii="Arial" w:hAnsi="Arial" w:cs="Arial"/>
          <w:sz w:val="20"/>
          <w:szCs w:val="20"/>
        </w:rPr>
        <w:t xml:space="preserve">. </w:t>
      </w:r>
      <w:r w:rsidR="00B80667" w:rsidRPr="00482722">
        <w:rPr>
          <w:rFonts w:ascii="Arial" w:hAnsi="Arial" w:cs="Arial"/>
          <w:sz w:val="20"/>
          <w:szCs w:val="20"/>
        </w:rPr>
        <w:t>T</w:t>
      </w:r>
      <w:r w:rsidR="001C4D4F" w:rsidRPr="00482722">
        <w:rPr>
          <w:rFonts w:ascii="Arial" w:hAnsi="Arial" w:cs="Arial"/>
          <w:sz w:val="20"/>
          <w:szCs w:val="20"/>
        </w:rPr>
        <w:t xml:space="preserve">he </w:t>
      </w:r>
      <w:r w:rsidR="006744AF" w:rsidRPr="00482722">
        <w:rPr>
          <w:rFonts w:ascii="Arial" w:hAnsi="Arial" w:cs="Arial"/>
          <w:sz w:val="20"/>
          <w:szCs w:val="20"/>
        </w:rPr>
        <w:t xml:space="preserve">mediating effects of trust on the </w:t>
      </w:r>
      <w:r w:rsidR="001C4D4F" w:rsidRPr="00482722">
        <w:rPr>
          <w:rFonts w:ascii="Arial" w:hAnsi="Arial" w:cs="Arial"/>
          <w:sz w:val="20"/>
          <w:szCs w:val="20"/>
        </w:rPr>
        <w:t>relationship between service quality and loyalty</w:t>
      </w:r>
      <w:r w:rsidRPr="00482722">
        <w:rPr>
          <w:rFonts w:ascii="Arial" w:hAnsi="Arial" w:cs="Arial"/>
          <w:sz w:val="20"/>
          <w:szCs w:val="20"/>
        </w:rPr>
        <w:t xml:space="preserve"> </w:t>
      </w:r>
      <w:r w:rsidR="001C4D4F" w:rsidRPr="00482722">
        <w:rPr>
          <w:rFonts w:ascii="Arial" w:hAnsi="Arial" w:cs="Arial"/>
          <w:sz w:val="20"/>
          <w:szCs w:val="20"/>
        </w:rPr>
        <w:t xml:space="preserve">has </w:t>
      </w:r>
      <w:r w:rsidR="00FB3859" w:rsidRPr="00482722">
        <w:rPr>
          <w:rFonts w:ascii="Arial" w:hAnsi="Arial" w:cs="Arial"/>
          <w:sz w:val="20"/>
          <w:szCs w:val="20"/>
        </w:rPr>
        <w:t xml:space="preserve">also </w:t>
      </w:r>
      <w:r w:rsidR="001C4D4F" w:rsidRPr="00482722">
        <w:rPr>
          <w:rFonts w:ascii="Arial" w:hAnsi="Arial" w:cs="Arial"/>
          <w:sz w:val="20"/>
          <w:szCs w:val="20"/>
        </w:rPr>
        <w:t xml:space="preserve">been confirmed </w:t>
      </w:r>
      <w:r w:rsidR="006744AF" w:rsidRPr="00482722">
        <w:rPr>
          <w:rFonts w:ascii="Arial" w:hAnsi="Arial" w:cs="Arial"/>
          <w:sz w:val="20"/>
          <w:szCs w:val="20"/>
        </w:rPr>
        <w:t xml:space="preserve">in the existing </w:t>
      </w:r>
      <w:r w:rsidR="001C4D4F" w:rsidRPr="00482722">
        <w:rPr>
          <w:rFonts w:ascii="Arial" w:hAnsi="Arial" w:cs="Arial"/>
          <w:sz w:val="20"/>
          <w:szCs w:val="20"/>
        </w:rPr>
        <w:t>e-commerce literature (e.g.,</w:t>
      </w:r>
      <w:r w:rsidR="005D0E0E" w:rsidRPr="00482722">
        <w:rPr>
          <w:rFonts w:ascii="Arial" w:hAnsi="Arial" w:cs="Arial"/>
          <w:sz w:val="20"/>
          <w:szCs w:val="20"/>
        </w:rPr>
        <w:t xml:space="preserve"> Pearson et al., 2012; Cyr, 2008</w:t>
      </w:r>
      <w:r w:rsidR="001C4D4F" w:rsidRPr="00482722">
        <w:rPr>
          <w:rFonts w:ascii="Arial" w:hAnsi="Arial" w:cs="Arial"/>
          <w:sz w:val="20"/>
          <w:szCs w:val="20"/>
        </w:rPr>
        <w:t>)</w:t>
      </w:r>
      <w:r w:rsidR="005D0E0E" w:rsidRPr="00482722">
        <w:rPr>
          <w:rFonts w:ascii="Arial" w:hAnsi="Arial" w:cs="Arial"/>
          <w:sz w:val="20"/>
          <w:szCs w:val="20"/>
        </w:rPr>
        <w:t xml:space="preserve">. </w:t>
      </w:r>
      <w:r w:rsidR="00D11702" w:rsidRPr="00482722">
        <w:rPr>
          <w:rFonts w:ascii="Arial" w:hAnsi="Arial" w:cs="Arial"/>
          <w:sz w:val="20"/>
          <w:szCs w:val="20"/>
        </w:rPr>
        <w:t>H</w:t>
      </w:r>
      <w:r w:rsidR="00173171" w:rsidRPr="00482722">
        <w:rPr>
          <w:rFonts w:ascii="Arial" w:hAnsi="Arial" w:cs="Arial"/>
          <w:sz w:val="20"/>
          <w:szCs w:val="20"/>
        </w:rPr>
        <w:t>igh</w:t>
      </w:r>
      <w:r w:rsidR="00F54485" w:rsidRPr="00482722">
        <w:rPr>
          <w:rFonts w:ascii="Arial" w:hAnsi="Arial" w:cs="Arial"/>
          <w:sz w:val="20"/>
          <w:szCs w:val="20"/>
        </w:rPr>
        <w:t>-</w:t>
      </w:r>
      <w:r w:rsidR="00173171" w:rsidRPr="00482722">
        <w:rPr>
          <w:rFonts w:ascii="Arial" w:hAnsi="Arial" w:cs="Arial"/>
          <w:sz w:val="20"/>
          <w:szCs w:val="20"/>
        </w:rPr>
        <w:t>quality e-government services that</w:t>
      </w:r>
      <w:r w:rsidR="00F54485" w:rsidRPr="00482722">
        <w:rPr>
          <w:rFonts w:ascii="Arial" w:hAnsi="Arial" w:cs="Arial"/>
          <w:sz w:val="20"/>
          <w:szCs w:val="20"/>
        </w:rPr>
        <w:t xml:space="preserve"> consistently</w:t>
      </w:r>
      <w:r w:rsidR="00173171" w:rsidRPr="00482722">
        <w:rPr>
          <w:rFonts w:ascii="Arial" w:hAnsi="Arial" w:cs="Arial"/>
          <w:sz w:val="20"/>
          <w:szCs w:val="20"/>
        </w:rPr>
        <w:t xml:space="preserve"> </w:t>
      </w:r>
      <w:r w:rsidR="00F54485" w:rsidRPr="00482722">
        <w:rPr>
          <w:rFonts w:ascii="Arial" w:hAnsi="Arial" w:cs="Arial"/>
          <w:sz w:val="20"/>
          <w:szCs w:val="20"/>
        </w:rPr>
        <w:t>match</w:t>
      </w:r>
      <w:r w:rsidR="00173171" w:rsidRPr="00482722">
        <w:rPr>
          <w:rFonts w:ascii="Arial" w:hAnsi="Arial" w:cs="Arial"/>
          <w:sz w:val="20"/>
          <w:szCs w:val="20"/>
        </w:rPr>
        <w:t xml:space="preserve"> citizens’ expectations </w:t>
      </w:r>
      <w:r w:rsidR="00F54485" w:rsidRPr="00482722">
        <w:rPr>
          <w:rFonts w:ascii="Arial" w:hAnsi="Arial" w:cs="Arial"/>
          <w:sz w:val="20"/>
          <w:szCs w:val="20"/>
        </w:rPr>
        <w:t>are</w:t>
      </w:r>
      <w:r w:rsidR="00D11702" w:rsidRPr="00482722">
        <w:rPr>
          <w:rFonts w:ascii="Arial" w:hAnsi="Arial" w:cs="Arial"/>
          <w:sz w:val="20"/>
          <w:szCs w:val="20"/>
        </w:rPr>
        <w:t xml:space="preserve"> seen to</w:t>
      </w:r>
      <w:r w:rsidR="00173171" w:rsidRPr="00482722">
        <w:rPr>
          <w:rFonts w:ascii="Arial" w:hAnsi="Arial" w:cs="Arial"/>
          <w:sz w:val="20"/>
          <w:szCs w:val="20"/>
        </w:rPr>
        <w:t xml:space="preserve"> foster trust among citizens with regard</w:t>
      </w:r>
      <w:r w:rsidR="00832827" w:rsidRPr="00482722">
        <w:rPr>
          <w:rFonts w:ascii="Arial" w:hAnsi="Arial" w:cs="Arial"/>
          <w:sz w:val="20"/>
          <w:szCs w:val="20"/>
        </w:rPr>
        <w:t xml:space="preserve"> </w:t>
      </w:r>
      <w:r w:rsidR="006744AF" w:rsidRPr="00482722">
        <w:rPr>
          <w:rFonts w:ascii="Arial" w:hAnsi="Arial" w:cs="Arial"/>
          <w:sz w:val="20"/>
          <w:szCs w:val="20"/>
        </w:rPr>
        <w:t>to</w:t>
      </w:r>
      <w:r w:rsidR="00971000" w:rsidRPr="00482722">
        <w:rPr>
          <w:rFonts w:ascii="Arial" w:hAnsi="Arial" w:cs="Arial"/>
          <w:sz w:val="20"/>
          <w:szCs w:val="20"/>
        </w:rPr>
        <w:t xml:space="preserve"> their</w:t>
      </w:r>
      <w:r w:rsidR="006744AF" w:rsidRPr="00482722">
        <w:rPr>
          <w:rFonts w:ascii="Arial" w:hAnsi="Arial" w:cs="Arial"/>
          <w:sz w:val="20"/>
          <w:szCs w:val="20"/>
        </w:rPr>
        <w:t xml:space="preserve"> </w:t>
      </w:r>
      <w:r w:rsidR="00832827" w:rsidRPr="00482722">
        <w:rPr>
          <w:rFonts w:ascii="Arial" w:hAnsi="Arial" w:cs="Arial"/>
          <w:sz w:val="20"/>
          <w:szCs w:val="20"/>
        </w:rPr>
        <w:t>government (</w:t>
      </w:r>
      <w:r w:rsidR="00C05D09" w:rsidRPr="00482722">
        <w:rPr>
          <w:rFonts w:ascii="Arial" w:hAnsi="Arial" w:cs="Arial"/>
          <w:sz w:val="20"/>
          <w:szCs w:val="20"/>
        </w:rPr>
        <w:t xml:space="preserve">Fakhoury </w:t>
      </w:r>
      <w:r w:rsidR="002D35B9" w:rsidRPr="00482722">
        <w:rPr>
          <w:rFonts w:ascii="Arial" w:hAnsi="Arial" w:cs="Arial"/>
          <w:sz w:val="20"/>
          <w:szCs w:val="20"/>
        </w:rPr>
        <w:t>and</w:t>
      </w:r>
      <w:r w:rsidR="00C05D09" w:rsidRPr="00482722">
        <w:rPr>
          <w:rFonts w:ascii="Arial" w:hAnsi="Arial" w:cs="Arial"/>
          <w:sz w:val="20"/>
          <w:szCs w:val="20"/>
        </w:rPr>
        <w:t xml:space="preserve"> Aubert; 2015; Beldad et al., 2012; </w:t>
      </w:r>
      <w:bookmarkStart w:id="16" w:name="_Hlk58180844"/>
      <w:r w:rsidR="002D174F" w:rsidRPr="00482722">
        <w:rPr>
          <w:rFonts w:ascii="Arial" w:hAnsi="Arial" w:cs="Arial"/>
          <w:sz w:val="20"/>
          <w:szCs w:val="20"/>
        </w:rPr>
        <w:t>Welch et al., 2004</w:t>
      </w:r>
      <w:bookmarkEnd w:id="16"/>
      <w:r w:rsidR="00832827" w:rsidRPr="00482722">
        <w:rPr>
          <w:rFonts w:ascii="Arial" w:hAnsi="Arial" w:cs="Arial"/>
          <w:sz w:val="20"/>
          <w:szCs w:val="20"/>
        </w:rPr>
        <w:t xml:space="preserve">) and </w:t>
      </w:r>
      <w:r w:rsidR="00173171" w:rsidRPr="00482722">
        <w:rPr>
          <w:rFonts w:ascii="Arial" w:hAnsi="Arial" w:cs="Arial"/>
          <w:sz w:val="20"/>
          <w:szCs w:val="20"/>
        </w:rPr>
        <w:t xml:space="preserve">to e-government </w:t>
      </w:r>
      <w:r w:rsidR="00832827" w:rsidRPr="00482722">
        <w:rPr>
          <w:rFonts w:ascii="Arial" w:hAnsi="Arial" w:cs="Arial"/>
          <w:sz w:val="20"/>
          <w:szCs w:val="20"/>
        </w:rPr>
        <w:t xml:space="preserve">services </w:t>
      </w:r>
      <w:r w:rsidR="00173171" w:rsidRPr="00482722">
        <w:rPr>
          <w:rFonts w:ascii="Arial" w:hAnsi="Arial" w:cs="Arial"/>
          <w:sz w:val="20"/>
          <w:szCs w:val="20"/>
        </w:rPr>
        <w:t>(</w:t>
      </w:r>
      <w:r w:rsidR="00145051" w:rsidRPr="00482722">
        <w:rPr>
          <w:rFonts w:ascii="Arial" w:hAnsi="Arial" w:cs="Arial"/>
          <w:sz w:val="20"/>
          <w:szCs w:val="20"/>
        </w:rPr>
        <w:t xml:space="preserve">Alzahrani et al., 2018; </w:t>
      </w:r>
      <w:r w:rsidR="001D6379" w:rsidRPr="00482722">
        <w:rPr>
          <w:rFonts w:ascii="Arial" w:hAnsi="Arial" w:cs="Arial"/>
          <w:sz w:val="20"/>
          <w:szCs w:val="20"/>
        </w:rPr>
        <w:t>Morgeson</w:t>
      </w:r>
      <w:r w:rsidR="00D23DD8" w:rsidRPr="00482722">
        <w:rPr>
          <w:rFonts w:ascii="Arial" w:hAnsi="Arial" w:cs="Arial"/>
          <w:sz w:val="20"/>
          <w:szCs w:val="20"/>
        </w:rPr>
        <w:t xml:space="preserve"> III</w:t>
      </w:r>
      <w:r w:rsidR="001D6379" w:rsidRPr="00482722">
        <w:rPr>
          <w:rFonts w:ascii="Arial" w:hAnsi="Arial" w:cs="Arial"/>
          <w:sz w:val="20"/>
          <w:szCs w:val="20"/>
        </w:rPr>
        <w:t xml:space="preserve"> et al., 2010; </w:t>
      </w:r>
      <w:r w:rsidR="00173171" w:rsidRPr="00482722">
        <w:rPr>
          <w:rFonts w:ascii="Arial" w:hAnsi="Arial" w:cs="Arial"/>
          <w:sz w:val="20"/>
          <w:szCs w:val="20"/>
        </w:rPr>
        <w:t>Gefen, 2002).</w:t>
      </w:r>
      <w:r w:rsidR="003D6D14" w:rsidRPr="00482722">
        <w:rPr>
          <w:rFonts w:ascii="Arial" w:hAnsi="Arial" w:cs="Arial"/>
          <w:sz w:val="20"/>
          <w:szCs w:val="20"/>
        </w:rPr>
        <w:t xml:space="preserve"> </w:t>
      </w:r>
      <w:r w:rsidR="00173171" w:rsidRPr="00482722">
        <w:rPr>
          <w:rFonts w:ascii="Arial" w:hAnsi="Arial" w:cs="Arial"/>
          <w:sz w:val="20"/>
          <w:szCs w:val="20"/>
        </w:rPr>
        <w:t>Thus, the following hypothes</w:t>
      </w:r>
      <w:r w:rsidR="006744AF" w:rsidRPr="00482722">
        <w:rPr>
          <w:rFonts w:ascii="Arial" w:hAnsi="Arial" w:cs="Arial"/>
          <w:sz w:val="20"/>
          <w:szCs w:val="20"/>
        </w:rPr>
        <w:t>es</w:t>
      </w:r>
      <w:r w:rsidR="00173171" w:rsidRPr="00482722">
        <w:rPr>
          <w:rFonts w:ascii="Arial" w:hAnsi="Arial" w:cs="Arial"/>
          <w:sz w:val="20"/>
          <w:szCs w:val="20"/>
        </w:rPr>
        <w:t xml:space="preserve"> </w:t>
      </w:r>
      <w:r w:rsidR="006744AF" w:rsidRPr="00482722">
        <w:rPr>
          <w:rFonts w:ascii="Arial" w:hAnsi="Arial" w:cs="Arial"/>
          <w:sz w:val="20"/>
          <w:szCs w:val="20"/>
        </w:rPr>
        <w:t>are</w:t>
      </w:r>
      <w:r w:rsidR="00173171" w:rsidRPr="00482722">
        <w:rPr>
          <w:rFonts w:ascii="Arial" w:hAnsi="Arial" w:cs="Arial"/>
          <w:sz w:val="20"/>
          <w:szCs w:val="20"/>
        </w:rPr>
        <w:t xml:space="preserve"> proposed:</w:t>
      </w:r>
    </w:p>
    <w:p w14:paraId="5A7F63F5" w14:textId="78D9FEF0" w:rsidR="002D174F" w:rsidRPr="00482722" w:rsidRDefault="002D174F" w:rsidP="00DA5EEC">
      <w:pPr>
        <w:spacing w:line="240" w:lineRule="auto"/>
        <w:jc w:val="both"/>
        <w:rPr>
          <w:rFonts w:ascii="Arial" w:hAnsi="Arial" w:cs="Arial"/>
          <w:sz w:val="20"/>
          <w:szCs w:val="20"/>
        </w:rPr>
      </w:pPr>
      <w:r w:rsidRPr="00482722">
        <w:rPr>
          <w:rFonts w:ascii="Arial" w:hAnsi="Arial" w:cs="Arial"/>
          <w:bCs/>
          <w:i/>
          <w:iCs/>
          <w:sz w:val="20"/>
          <w:szCs w:val="20"/>
        </w:rPr>
        <w:t>H</w:t>
      </w:r>
      <w:r w:rsidR="00122904" w:rsidRPr="00482722">
        <w:rPr>
          <w:rFonts w:ascii="Arial" w:hAnsi="Arial" w:cs="Arial"/>
          <w:bCs/>
          <w:i/>
          <w:iCs/>
          <w:sz w:val="20"/>
          <w:szCs w:val="20"/>
        </w:rPr>
        <w:t>4</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S</w:t>
      </w:r>
      <w:r w:rsidR="006E4F7B" w:rsidRPr="00482722">
        <w:rPr>
          <w:rFonts w:ascii="Arial" w:hAnsi="Arial" w:cs="Arial"/>
          <w:sz w:val="20"/>
          <w:szCs w:val="20"/>
        </w:rPr>
        <w:t xml:space="preserve">ervice quality </w:t>
      </w:r>
      <w:r w:rsidRPr="00482722">
        <w:rPr>
          <w:rFonts w:ascii="Arial" w:hAnsi="Arial" w:cs="Arial"/>
          <w:sz w:val="20"/>
          <w:szCs w:val="20"/>
        </w:rPr>
        <w:t xml:space="preserve">has a direct and positive influence </w:t>
      </w:r>
      <w:r w:rsidR="00122904" w:rsidRPr="00482722">
        <w:rPr>
          <w:rFonts w:ascii="Arial" w:hAnsi="Arial" w:cs="Arial"/>
          <w:sz w:val="20"/>
          <w:szCs w:val="20"/>
        </w:rPr>
        <w:t xml:space="preserve">on citizen </w:t>
      </w:r>
      <w:r w:rsidR="00B91C56" w:rsidRPr="00482722">
        <w:rPr>
          <w:rFonts w:ascii="Arial" w:hAnsi="Arial" w:cs="Arial"/>
          <w:sz w:val="20"/>
          <w:szCs w:val="20"/>
        </w:rPr>
        <w:t>trust in government</w:t>
      </w:r>
      <w:r w:rsidR="00122904" w:rsidRPr="00482722">
        <w:rPr>
          <w:rFonts w:ascii="Arial" w:hAnsi="Arial" w:cs="Arial"/>
          <w:sz w:val="20"/>
          <w:szCs w:val="20"/>
        </w:rPr>
        <w:t>.</w:t>
      </w:r>
    </w:p>
    <w:p w14:paraId="642A9ADF" w14:textId="5E162FD4" w:rsidR="00122904" w:rsidRPr="00482722" w:rsidRDefault="00173171" w:rsidP="00DA5EEC">
      <w:pPr>
        <w:spacing w:line="240" w:lineRule="auto"/>
        <w:jc w:val="both"/>
        <w:rPr>
          <w:rFonts w:ascii="Arial" w:hAnsi="Arial" w:cs="Arial"/>
          <w:sz w:val="20"/>
          <w:szCs w:val="20"/>
        </w:rPr>
      </w:pPr>
      <w:r w:rsidRPr="00482722">
        <w:rPr>
          <w:rFonts w:ascii="Arial" w:hAnsi="Arial" w:cs="Arial"/>
          <w:bCs/>
          <w:i/>
          <w:iCs/>
          <w:sz w:val="20"/>
          <w:szCs w:val="20"/>
        </w:rPr>
        <w:t>H</w:t>
      </w:r>
      <w:r w:rsidR="00122904" w:rsidRPr="00482722">
        <w:rPr>
          <w:rFonts w:ascii="Arial" w:hAnsi="Arial" w:cs="Arial"/>
          <w:bCs/>
          <w:i/>
          <w:iCs/>
          <w:sz w:val="20"/>
          <w:szCs w:val="20"/>
        </w:rPr>
        <w:t>5</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S</w:t>
      </w:r>
      <w:r w:rsidR="006E4F7B" w:rsidRPr="00482722">
        <w:rPr>
          <w:rFonts w:ascii="Arial" w:hAnsi="Arial" w:cs="Arial"/>
          <w:sz w:val="20"/>
          <w:szCs w:val="20"/>
        </w:rPr>
        <w:t xml:space="preserve">ervice </w:t>
      </w:r>
      <w:r w:rsidR="00E877B7" w:rsidRPr="00482722">
        <w:rPr>
          <w:rFonts w:ascii="Arial" w:hAnsi="Arial" w:cs="Arial"/>
          <w:sz w:val="20"/>
          <w:szCs w:val="20"/>
        </w:rPr>
        <w:t>quality has</w:t>
      </w:r>
      <w:r w:rsidRPr="00482722">
        <w:rPr>
          <w:rFonts w:ascii="Arial" w:hAnsi="Arial" w:cs="Arial"/>
          <w:sz w:val="20"/>
          <w:szCs w:val="20"/>
        </w:rPr>
        <w:t xml:space="preserve"> a direct and positive influence on citizen </w:t>
      </w:r>
      <w:r w:rsidR="00B91C56" w:rsidRPr="00482722">
        <w:rPr>
          <w:rFonts w:ascii="Arial" w:hAnsi="Arial" w:cs="Arial"/>
          <w:sz w:val="20"/>
          <w:szCs w:val="20"/>
        </w:rPr>
        <w:t>trust in e-government</w:t>
      </w:r>
      <w:r w:rsidR="00B30C80" w:rsidRPr="00482722">
        <w:rPr>
          <w:rFonts w:ascii="Arial" w:hAnsi="Arial" w:cs="Arial"/>
          <w:sz w:val="20"/>
          <w:szCs w:val="20"/>
        </w:rPr>
        <w:t xml:space="preserve"> services</w:t>
      </w:r>
      <w:r w:rsidRPr="00482722">
        <w:rPr>
          <w:rFonts w:ascii="Arial" w:hAnsi="Arial" w:cs="Arial"/>
          <w:sz w:val="20"/>
          <w:szCs w:val="20"/>
        </w:rPr>
        <w:t>.</w:t>
      </w:r>
    </w:p>
    <w:p w14:paraId="5D88BDB2" w14:textId="1AFB1097" w:rsidR="00654BE9" w:rsidRPr="00482722" w:rsidRDefault="00B14548" w:rsidP="00460900">
      <w:pPr>
        <w:pStyle w:val="Heading2"/>
        <w:rPr>
          <w:b/>
        </w:rPr>
      </w:pPr>
      <w:r w:rsidRPr="00482722">
        <w:t>Antecedent</w:t>
      </w:r>
      <w:r w:rsidR="00C60A0B" w:rsidRPr="00482722">
        <w:t>s</w:t>
      </w:r>
      <w:r w:rsidRPr="00482722">
        <w:t xml:space="preserve"> </w:t>
      </w:r>
      <w:r w:rsidR="000C253A" w:rsidRPr="00482722">
        <w:t>of</w:t>
      </w:r>
      <w:r w:rsidRPr="00482722">
        <w:t xml:space="preserve"> </w:t>
      </w:r>
      <w:r w:rsidR="007A0D74" w:rsidRPr="00482722">
        <w:t>s</w:t>
      </w:r>
      <w:r w:rsidR="00042214" w:rsidRPr="00482722">
        <w:t>atisfaction</w:t>
      </w:r>
    </w:p>
    <w:p w14:paraId="61E23652" w14:textId="15B78DF4" w:rsidR="00494F7D" w:rsidRPr="00482722" w:rsidRDefault="00432168" w:rsidP="00DA5EEC">
      <w:pPr>
        <w:spacing w:line="240" w:lineRule="auto"/>
        <w:jc w:val="both"/>
        <w:rPr>
          <w:rFonts w:ascii="Arial" w:hAnsi="Arial" w:cs="Arial"/>
          <w:sz w:val="20"/>
          <w:szCs w:val="20"/>
        </w:rPr>
      </w:pPr>
      <w:r w:rsidRPr="00482722">
        <w:rPr>
          <w:rFonts w:ascii="Arial" w:hAnsi="Arial" w:cs="Arial"/>
          <w:sz w:val="20"/>
          <w:szCs w:val="20"/>
        </w:rPr>
        <w:t>This research hypothesises</w:t>
      </w:r>
      <w:r w:rsidR="00192FA1" w:rsidRPr="00482722">
        <w:rPr>
          <w:rFonts w:ascii="Arial" w:hAnsi="Arial" w:cs="Arial"/>
          <w:sz w:val="20"/>
          <w:szCs w:val="20"/>
        </w:rPr>
        <w:t xml:space="preserve"> the direct relationship</w:t>
      </w:r>
      <w:r w:rsidRPr="00482722">
        <w:rPr>
          <w:rFonts w:ascii="Arial" w:hAnsi="Arial" w:cs="Arial"/>
          <w:sz w:val="20"/>
          <w:szCs w:val="20"/>
        </w:rPr>
        <w:t>s</w:t>
      </w:r>
      <w:r w:rsidR="00192FA1" w:rsidRPr="00482722">
        <w:rPr>
          <w:rFonts w:ascii="Arial" w:hAnsi="Arial" w:cs="Arial"/>
          <w:sz w:val="20"/>
          <w:szCs w:val="20"/>
        </w:rPr>
        <w:t xml:space="preserve"> between </w:t>
      </w:r>
      <w:r w:rsidR="00560FBF" w:rsidRPr="00482722">
        <w:rPr>
          <w:rFonts w:ascii="Arial" w:hAnsi="Arial" w:cs="Arial"/>
          <w:sz w:val="20"/>
          <w:szCs w:val="20"/>
        </w:rPr>
        <w:t>service quality</w:t>
      </w:r>
      <w:r w:rsidR="00192FA1" w:rsidRPr="00482722">
        <w:rPr>
          <w:rFonts w:ascii="Arial" w:hAnsi="Arial" w:cs="Arial"/>
          <w:sz w:val="20"/>
          <w:szCs w:val="20"/>
        </w:rPr>
        <w:t xml:space="preserve">, </w:t>
      </w:r>
      <w:r w:rsidR="00B91C56" w:rsidRPr="00482722">
        <w:rPr>
          <w:rFonts w:ascii="Arial" w:hAnsi="Arial" w:cs="Arial"/>
          <w:sz w:val="20"/>
          <w:szCs w:val="20"/>
        </w:rPr>
        <w:t>trust in government</w:t>
      </w:r>
      <w:r w:rsidR="00192FA1" w:rsidRPr="00482722">
        <w:rPr>
          <w:rFonts w:ascii="Arial" w:hAnsi="Arial" w:cs="Arial"/>
          <w:sz w:val="20"/>
          <w:szCs w:val="20"/>
        </w:rPr>
        <w:t xml:space="preserve">, </w:t>
      </w:r>
      <w:r w:rsidR="00B91C56" w:rsidRPr="00482722">
        <w:rPr>
          <w:rFonts w:ascii="Arial" w:hAnsi="Arial" w:cs="Arial"/>
          <w:sz w:val="20"/>
          <w:szCs w:val="20"/>
        </w:rPr>
        <w:t>trust in e-government</w:t>
      </w:r>
      <w:r w:rsidR="00192FA1" w:rsidRPr="00482722">
        <w:rPr>
          <w:rFonts w:ascii="Arial" w:hAnsi="Arial" w:cs="Arial"/>
          <w:sz w:val="20"/>
          <w:szCs w:val="20"/>
        </w:rPr>
        <w:t xml:space="preserve">, and </w:t>
      </w:r>
      <w:r w:rsidR="00B91C56" w:rsidRPr="00482722">
        <w:rPr>
          <w:rFonts w:ascii="Arial" w:hAnsi="Arial" w:cs="Arial"/>
          <w:sz w:val="20"/>
          <w:szCs w:val="20"/>
        </w:rPr>
        <w:t xml:space="preserve">citizen </w:t>
      </w:r>
      <w:r w:rsidR="00B80667" w:rsidRPr="00482722">
        <w:rPr>
          <w:rFonts w:ascii="Arial" w:hAnsi="Arial" w:cs="Arial"/>
          <w:sz w:val="20"/>
          <w:szCs w:val="20"/>
        </w:rPr>
        <w:t>satisfaction. While</w:t>
      </w:r>
      <w:r w:rsidR="008D0A35" w:rsidRPr="00482722">
        <w:rPr>
          <w:rFonts w:ascii="Arial" w:hAnsi="Arial" w:cs="Arial"/>
          <w:sz w:val="20"/>
          <w:szCs w:val="20"/>
        </w:rPr>
        <w:t xml:space="preserve"> </w:t>
      </w:r>
      <w:r w:rsidR="00C03FE8" w:rsidRPr="00482722">
        <w:rPr>
          <w:rFonts w:ascii="Arial" w:hAnsi="Arial" w:cs="Arial"/>
          <w:sz w:val="20"/>
          <w:szCs w:val="20"/>
        </w:rPr>
        <w:t xml:space="preserve">a solid service quality index and function quality deployment </w:t>
      </w:r>
      <w:r w:rsidR="00620481" w:rsidRPr="00482722">
        <w:rPr>
          <w:rFonts w:ascii="Arial" w:hAnsi="Arial" w:cs="Arial"/>
          <w:sz w:val="20"/>
          <w:szCs w:val="20"/>
        </w:rPr>
        <w:t xml:space="preserve">are </w:t>
      </w:r>
      <w:r w:rsidR="00C03FE8" w:rsidRPr="00482722">
        <w:rPr>
          <w:rFonts w:ascii="Arial" w:hAnsi="Arial" w:cs="Arial"/>
          <w:sz w:val="20"/>
          <w:szCs w:val="20"/>
        </w:rPr>
        <w:t xml:space="preserve">likely to increase </w:t>
      </w:r>
      <w:r w:rsidR="0048662E" w:rsidRPr="00482722">
        <w:rPr>
          <w:rFonts w:ascii="Arial" w:hAnsi="Arial" w:cs="Arial"/>
          <w:sz w:val="20"/>
          <w:szCs w:val="20"/>
        </w:rPr>
        <w:t xml:space="preserve">consumers’ </w:t>
      </w:r>
      <w:r w:rsidR="00C03FE8" w:rsidRPr="00482722">
        <w:rPr>
          <w:rFonts w:ascii="Arial" w:hAnsi="Arial" w:cs="Arial"/>
          <w:sz w:val="20"/>
          <w:szCs w:val="20"/>
        </w:rPr>
        <w:t xml:space="preserve">psychological satisfaction </w:t>
      </w:r>
      <w:r w:rsidR="0048662E" w:rsidRPr="00482722">
        <w:rPr>
          <w:rFonts w:ascii="Arial" w:hAnsi="Arial" w:cs="Arial"/>
          <w:sz w:val="20"/>
          <w:szCs w:val="20"/>
        </w:rPr>
        <w:t xml:space="preserve">with </w:t>
      </w:r>
      <w:r w:rsidR="00C03FE8" w:rsidRPr="00482722">
        <w:rPr>
          <w:rFonts w:ascii="Arial" w:hAnsi="Arial" w:cs="Arial"/>
          <w:sz w:val="20"/>
          <w:szCs w:val="20"/>
        </w:rPr>
        <w:t>e-government services (Morgeson</w:t>
      </w:r>
      <w:r w:rsidR="00D23DD8" w:rsidRPr="00482722">
        <w:rPr>
          <w:rFonts w:ascii="Arial" w:hAnsi="Arial" w:cs="Arial"/>
          <w:sz w:val="20"/>
          <w:szCs w:val="20"/>
        </w:rPr>
        <w:t xml:space="preserve"> III</w:t>
      </w:r>
      <w:r w:rsidR="00C03FE8" w:rsidRPr="00482722">
        <w:rPr>
          <w:rFonts w:ascii="Arial" w:hAnsi="Arial" w:cs="Arial"/>
          <w:sz w:val="20"/>
          <w:szCs w:val="20"/>
        </w:rPr>
        <w:t xml:space="preserve"> et al., 2010), dissatisfaction among consumers </w:t>
      </w:r>
      <w:r w:rsidR="00F95A7A" w:rsidRPr="00482722">
        <w:rPr>
          <w:rFonts w:ascii="Arial" w:hAnsi="Arial" w:cs="Arial"/>
          <w:sz w:val="20"/>
          <w:szCs w:val="20"/>
        </w:rPr>
        <w:t xml:space="preserve">who use </w:t>
      </w:r>
      <w:r w:rsidR="00C03FE8" w:rsidRPr="00482722">
        <w:rPr>
          <w:rFonts w:ascii="Arial" w:hAnsi="Arial" w:cs="Arial"/>
          <w:sz w:val="20"/>
          <w:szCs w:val="20"/>
        </w:rPr>
        <w:t xml:space="preserve">e-government services </w:t>
      </w:r>
      <w:r w:rsidR="0048662E" w:rsidRPr="00482722">
        <w:rPr>
          <w:rFonts w:ascii="Arial" w:hAnsi="Arial" w:cs="Arial"/>
          <w:sz w:val="20"/>
          <w:szCs w:val="20"/>
        </w:rPr>
        <w:t xml:space="preserve">may </w:t>
      </w:r>
      <w:r w:rsidR="00C03FE8" w:rsidRPr="00482722">
        <w:rPr>
          <w:rFonts w:ascii="Arial" w:hAnsi="Arial" w:cs="Arial"/>
          <w:sz w:val="20"/>
          <w:szCs w:val="20"/>
        </w:rPr>
        <w:t xml:space="preserve">occur </w:t>
      </w:r>
      <w:r w:rsidR="004C437C" w:rsidRPr="00482722">
        <w:rPr>
          <w:rFonts w:ascii="Arial" w:hAnsi="Arial" w:cs="Arial"/>
          <w:sz w:val="20"/>
          <w:szCs w:val="20"/>
        </w:rPr>
        <w:t>i</w:t>
      </w:r>
      <w:r w:rsidR="00C03FE8" w:rsidRPr="00482722">
        <w:rPr>
          <w:rFonts w:ascii="Arial" w:hAnsi="Arial" w:cs="Arial"/>
          <w:sz w:val="20"/>
          <w:szCs w:val="20"/>
        </w:rPr>
        <w:t xml:space="preserve">f the quality of </w:t>
      </w:r>
      <w:r w:rsidR="00F95A7A" w:rsidRPr="00482722">
        <w:rPr>
          <w:rFonts w:ascii="Arial" w:hAnsi="Arial" w:cs="Arial"/>
          <w:sz w:val="20"/>
          <w:szCs w:val="20"/>
        </w:rPr>
        <w:t xml:space="preserve">those </w:t>
      </w:r>
      <w:r w:rsidR="00C03FE8" w:rsidRPr="00482722">
        <w:rPr>
          <w:rFonts w:ascii="Arial" w:hAnsi="Arial" w:cs="Arial"/>
          <w:sz w:val="20"/>
          <w:szCs w:val="20"/>
        </w:rPr>
        <w:t>services</w:t>
      </w:r>
      <w:r w:rsidR="004C437C" w:rsidRPr="00482722">
        <w:rPr>
          <w:rFonts w:ascii="Arial" w:hAnsi="Arial" w:cs="Arial"/>
          <w:sz w:val="20"/>
          <w:szCs w:val="20"/>
        </w:rPr>
        <w:t xml:space="preserve"> is low</w:t>
      </w:r>
      <w:r w:rsidR="00C03FE8" w:rsidRPr="00482722">
        <w:rPr>
          <w:rFonts w:ascii="Arial" w:hAnsi="Arial" w:cs="Arial"/>
          <w:sz w:val="20"/>
          <w:szCs w:val="20"/>
        </w:rPr>
        <w:t xml:space="preserve"> (Alawneh et al., 2013). </w:t>
      </w:r>
      <w:r w:rsidR="004C437C" w:rsidRPr="00482722">
        <w:rPr>
          <w:rFonts w:ascii="Arial" w:hAnsi="Arial" w:cs="Arial"/>
          <w:sz w:val="20"/>
          <w:szCs w:val="20"/>
        </w:rPr>
        <w:t xml:space="preserve">Previous </w:t>
      </w:r>
      <w:r w:rsidR="00B80667" w:rsidRPr="00482722">
        <w:rPr>
          <w:rFonts w:ascii="Arial" w:hAnsi="Arial" w:cs="Arial"/>
          <w:sz w:val="20"/>
          <w:szCs w:val="20"/>
        </w:rPr>
        <w:t>studies indicated</w:t>
      </w:r>
      <w:r w:rsidR="00C03FE8" w:rsidRPr="00482722">
        <w:rPr>
          <w:rFonts w:ascii="Arial" w:hAnsi="Arial" w:cs="Arial"/>
          <w:sz w:val="20"/>
          <w:szCs w:val="20"/>
        </w:rPr>
        <w:t xml:space="preserve"> that a strong relationship exists between service quality </w:t>
      </w:r>
      <w:r w:rsidR="00945F3A" w:rsidRPr="00482722">
        <w:rPr>
          <w:rFonts w:ascii="Arial" w:hAnsi="Arial" w:cs="Arial"/>
          <w:sz w:val="20"/>
          <w:szCs w:val="20"/>
        </w:rPr>
        <w:t>and satisfaction</w:t>
      </w:r>
      <w:r w:rsidR="00C03FE8" w:rsidRPr="00482722">
        <w:rPr>
          <w:rFonts w:ascii="Arial" w:hAnsi="Arial" w:cs="Arial"/>
          <w:sz w:val="20"/>
          <w:szCs w:val="20"/>
        </w:rPr>
        <w:t xml:space="preserve"> in </w:t>
      </w:r>
      <w:r w:rsidR="00E55EB4" w:rsidRPr="00482722">
        <w:rPr>
          <w:rFonts w:ascii="Arial" w:hAnsi="Arial" w:cs="Arial"/>
          <w:sz w:val="20"/>
          <w:szCs w:val="20"/>
        </w:rPr>
        <w:t xml:space="preserve">the context of </w:t>
      </w:r>
      <w:r w:rsidR="00C03FE8" w:rsidRPr="00482722">
        <w:rPr>
          <w:rFonts w:ascii="Arial" w:hAnsi="Arial" w:cs="Arial"/>
          <w:sz w:val="20"/>
          <w:szCs w:val="20"/>
        </w:rPr>
        <w:t>e-government</w:t>
      </w:r>
      <w:r w:rsidR="001166BC" w:rsidRPr="00482722">
        <w:rPr>
          <w:rFonts w:ascii="Arial" w:hAnsi="Arial" w:cs="Arial"/>
          <w:sz w:val="20"/>
          <w:szCs w:val="20"/>
        </w:rPr>
        <w:t xml:space="preserve"> (e.g., Kumar et al., 2020; Dwivedi et al., 2016; Sá et al., 2016; Irani et al., 2012; Welch et al., 2004; Warkentin et al., 2002)</w:t>
      </w:r>
      <w:r w:rsidR="00C03FE8" w:rsidRPr="00482722">
        <w:rPr>
          <w:rFonts w:ascii="Arial" w:hAnsi="Arial" w:cs="Arial"/>
          <w:sz w:val="20"/>
          <w:szCs w:val="20"/>
        </w:rPr>
        <w:t xml:space="preserve">. </w:t>
      </w:r>
      <w:r w:rsidR="00344448" w:rsidRPr="00482722">
        <w:rPr>
          <w:rFonts w:ascii="Arial" w:hAnsi="Arial" w:cs="Arial"/>
          <w:sz w:val="20"/>
          <w:szCs w:val="20"/>
        </w:rPr>
        <w:t>Indeed, high service quality increase</w:t>
      </w:r>
      <w:r w:rsidR="00E55EB4" w:rsidRPr="00482722">
        <w:rPr>
          <w:rFonts w:ascii="Arial" w:hAnsi="Arial" w:cs="Arial"/>
          <w:sz w:val="20"/>
          <w:szCs w:val="20"/>
        </w:rPr>
        <w:t>s</w:t>
      </w:r>
      <w:r w:rsidR="00B07FFB" w:rsidRPr="00482722">
        <w:rPr>
          <w:rFonts w:ascii="Arial" w:hAnsi="Arial" w:cs="Arial"/>
          <w:sz w:val="20"/>
          <w:szCs w:val="20"/>
        </w:rPr>
        <w:t xml:space="preserve"> the performance of</w:t>
      </w:r>
      <w:r w:rsidR="00344448" w:rsidRPr="00482722">
        <w:rPr>
          <w:rFonts w:ascii="Arial" w:hAnsi="Arial" w:cs="Arial"/>
          <w:sz w:val="20"/>
          <w:szCs w:val="20"/>
        </w:rPr>
        <w:t xml:space="preserve"> e-government, which</w:t>
      </w:r>
      <w:r w:rsidR="001166BC" w:rsidRPr="00482722">
        <w:rPr>
          <w:rFonts w:ascii="Arial" w:hAnsi="Arial" w:cs="Arial"/>
          <w:sz w:val="20"/>
          <w:szCs w:val="20"/>
        </w:rPr>
        <w:t xml:space="preserve">, </w:t>
      </w:r>
      <w:r w:rsidR="00344448" w:rsidRPr="00482722">
        <w:rPr>
          <w:rFonts w:ascii="Arial" w:hAnsi="Arial" w:cs="Arial"/>
          <w:sz w:val="20"/>
          <w:szCs w:val="20"/>
        </w:rPr>
        <w:t>in turn</w:t>
      </w:r>
      <w:r w:rsidR="001166BC" w:rsidRPr="00482722">
        <w:rPr>
          <w:rFonts w:ascii="Arial" w:hAnsi="Arial" w:cs="Arial"/>
          <w:sz w:val="20"/>
          <w:szCs w:val="20"/>
        </w:rPr>
        <w:t>,</w:t>
      </w:r>
      <w:r w:rsidR="00344448" w:rsidRPr="00482722">
        <w:rPr>
          <w:rFonts w:ascii="Arial" w:hAnsi="Arial" w:cs="Arial"/>
          <w:sz w:val="20"/>
          <w:szCs w:val="20"/>
        </w:rPr>
        <w:t xml:space="preserve"> shape</w:t>
      </w:r>
      <w:r w:rsidR="001166BC" w:rsidRPr="00482722">
        <w:rPr>
          <w:rFonts w:ascii="Arial" w:hAnsi="Arial" w:cs="Arial"/>
          <w:sz w:val="20"/>
          <w:szCs w:val="20"/>
        </w:rPr>
        <w:t>s</w:t>
      </w:r>
      <w:r w:rsidR="00344448" w:rsidRPr="00482722">
        <w:rPr>
          <w:rFonts w:ascii="Arial" w:hAnsi="Arial" w:cs="Arial"/>
          <w:sz w:val="20"/>
          <w:szCs w:val="20"/>
        </w:rPr>
        <w:t xml:space="preserve"> citizens’ </w:t>
      </w:r>
      <w:r w:rsidR="00D82DB0" w:rsidRPr="00482722">
        <w:rPr>
          <w:rFonts w:ascii="Arial" w:hAnsi="Arial" w:cs="Arial"/>
          <w:sz w:val="20"/>
          <w:szCs w:val="20"/>
        </w:rPr>
        <w:t xml:space="preserve">overall </w:t>
      </w:r>
      <w:r w:rsidR="00344448" w:rsidRPr="00482722">
        <w:rPr>
          <w:rFonts w:ascii="Arial" w:hAnsi="Arial" w:cs="Arial"/>
          <w:sz w:val="20"/>
          <w:szCs w:val="20"/>
        </w:rPr>
        <w:t>confidence</w:t>
      </w:r>
      <w:r w:rsidR="00D82DB0" w:rsidRPr="00482722">
        <w:rPr>
          <w:rFonts w:ascii="Arial" w:hAnsi="Arial" w:cs="Arial"/>
          <w:sz w:val="20"/>
          <w:szCs w:val="20"/>
        </w:rPr>
        <w:t xml:space="preserve"> in</w:t>
      </w:r>
      <w:r w:rsidR="00344448" w:rsidRPr="00482722">
        <w:rPr>
          <w:rFonts w:ascii="Arial" w:hAnsi="Arial" w:cs="Arial"/>
          <w:sz w:val="20"/>
          <w:szCs w:val="20"/>
        </w:rPr>
        <w:t xml:space="preserve"> and satisfaction </w:t>
      </w:r>
      <w:r w:rsidR="00D82DB0" w:rsidRPr="00482722">
        <w:rPr>
          <w:rFonts w:ascii="Arial" w:hAnsi="Arial" w:cs="Arial"/>
          <w:sz w:val="20"/>
          <w:szCs w:val="20"/>
        </w:rPr>
        <w:t xml:space="preserve">with </w:t>
      </w:r>
      <w:r w:rsidR="00344448" w:rsidRPr="00482722">
        <w:rPr>
          <w:rFonts w:ascii="Arial" w:hAnsi="Arial" w:cs="Arial"/>
          <w:sz w:val="20"/>
          <w:szCs w:val="20"/>
        </w:rPr>
        <w:t>e-government services (</w:t>
      </w:r>
      <w:r w:rsidR="00AF70DE" w:rsidRPr="00482722">
        <w:rPr>
          <w:rFonts w:ascii="Arial" w:hAnsi="Arial" w:cs="Arial"/>
          <w:sz w:val="20"/>
          <w:szCs w:val="20"/>
        </w:rPr>
        <w:t xml:space="preserve">Kumar et al., 2020; </w:t>
      </w:r>
      <w:r w:rsidR="00344448" w:rsidRPr="00482722">
        <w:rPr>
          <w:rFonts w:ascii="Arial" w:hAnsi="Arial" w:cs="Arial"/>
          <w:sz w:val="20"/>
          <w:szCs w:val="20"/>
        </w:rPr>
        <w:t>Alzahrani et al., 2018</w:t>
      </w:r>
      <w:r w:rsidR="00A657AE" w:rsidRPr="00482722">
        <w:rPr>
          <w:rFonts w:ascii="Arial" w:hAnsi="Arial" w:cs="Arial"/>
          <w:sz w:val="20"/>
          <w:szCs w:val="20"/>
        </w:rPr>
        <w:t xml:space="preserve">; </w:t>
      </w:r>
      <w:r w:rsidR="008D5400" w:rsidRPr="00482722">
        <w:rPr>
          <w:rFonts w:ascii="Arial" w:hAnsi="Arial" w:cs="Arial"/>
          <w:sz w:val="20"/>
          <w:szCs w:val="20"/>
        </w:rPr>
        <w:t xml:space="preserve">Sá et al., 2016; </w:t>
      </w:r>
      <w:r w:rsidR="00A657AE" w:rsidRPr="00482722">
        <w:rPr>
          <w:rFonts w:ascii="Arial" w:hAnsi="Arial" w:cs="Arial"/>
          <w:sz w:val="20"/>
          <w:szCs w:val="20"/>
        </w:rPr>
        <w:t>Morgeson III et al., 2010</w:t>
      </w:r>
      <w:r w:rsidR="00344448" w:rsidRPr="00482722">
        <w:rPr>
          <w:rFonts w:ascii="Arial" w:hAnsi="Arial" w:cs="Arial"/>
          <w:sz w:val="20"/>
          <w:szCs w:val="20"/>
        </w:rPr>
        <w:t xml:space="preserve">). </w:t>
      </w:r>
      <w:r w:rsidR="00494F7D" w:rsidRPr="00482722">
        <w:rPr>
          <w:rFonts w:ascii="Arial" w:hAnsi="Arial" w:cs="Arial"/>
          <w:sz w:val="20"/>
          <w:szCs w:val="20"/>
        </w:rPr>
        <w:t>Therefore, the following hypothesis is proposed:</w:t>
      </w:r>
    </w:p>
    <w:p w14:paraId="3E4ACDC4" w14:textId="2C59033A" w:rsidR="00494F7D" w:rsidRPr="00482722" w:rsidRDefault="00494F7D" w:rsidP="00DA5EEC">
      <w:pPr>
        <w:spacing w:line="240" w:lineRule="auto"/>
        <w:jc w:val="both"/>
        <w:rPr>
          <w:rFonts w:ascii="Arial" w:hAnsi="Arial" w:cs="Arial"/>
          <w:sz w:val="20"/>
          <w:szCs w:val="20"/>
        </w:rPr>
      </w:pPr>
      <w:r w:rsidRPr="00482722">
        <w:rPr>
          <w:rFonts w:ascii="Arial" w:hAnsi="Arial" w:cs="Arial"/>
          <w:bCs/>
          <w:i/>
          <w:iCs/>
          <w:sz w:val="20"/>
          <w:szCs w:val="20"/>
        </w:rPr>
        <w:t>H</w:t>
      </w:r>
      <w:r w:rsidR="00F35C94" w:rsidRPr="00482722">
        <w:rPr>
          <w:rFonts w:ascii="Arial" w:hAnsi="Arial" w:cs="Arial"/>
          <w:bCs/>
          <w:i/>
          <w:iCs/>
          <w:sz w:val="20"/>
          <w:szCs w:val="20"/>
        </w:rPr>
        <w:t>6</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S</w:t>
      </w:r>
      <w:r w:rsidR="006E4F7B" w:rsidRPr="00482722">
        <w:rPr>
          <w:rFonts w:ascii="Arial" w:hAnsi="Arial" w:cs="Arial"/>
          <w:sz w:val="20"/>
          <w:szCs w:val="20"/>
        </w:rPr>
        <w:t>ervice quality</w:t>
      </w:r>
      <w:r w:rsidRPr="00482722">
        <w:rPr>
          <w:rFonts w:ascii="Arial" w:hAnsi="Arial" w:cs="Arial"/>
          <w:sz w:val="20"/>
          <w:szCs w:val="20"/>
        </w:rPr>
        <w:t xml:space="preserve"> has a direct and positive influence on </w:t>
      </w:r>
      <w:r w:rsidR="00B91C56" w:rsidRPr="00482722">
        <w:rPr>
          <w:rFonts w:ascii="Arial" w:hAnsi="Arial" w:cs="Arial"/>
          <w:sz w:val="20"/>
          <w:szCs w:val="20"/>
        </w:rPr>
        <w:t>citizen satisfaction</w:t>
      </w:r>
      <w:r w:rsidRPr="00482722">
        <w:rPr>
          <w:rFonts w:ascii="Arial" w:hAnsi="Arial" w:cs="Arial"/>
          <w:sz w:val="20"/>
          <w:szCs w:val="20"/>
        </w:rPr>
        <w:t xml:space="preserve"> </w:t>
      </w:r>
      <w:r w:rsidR="00D82DB0" w:rsidRPr="00482722">
        <w:rPr>
          <w:rFonts w:ascii="Arial" w:hAnsi="Arial" w:cs="Arial"/>
          <w:sz w:val="20"/>
          <w:szCs w:val="20"/>
        </w:rPr>
        <w:t xml:space="preserve">with </w:t>
      </w:r>
      <w:r w:rsidR="00312513" w:rsidRPr="00482722">
        <w:rPr>
          <w:rFonts w:ascii="Arial" w:hAnsi="Arial" w:cs="Arial"/>
          <w:sz w:val="20"/>
          <w:szCs w:val="20"/>
        </w:rPr>
        <w:t>e</w:t>
      </w:r>
      <w:r w:rsidRPr="00482722">
        <w:rPr>
          <w:rFonts w:ascii="Arial" w:hAnsi="Arial" w:cs="Arial"/>
          <w:sz w:val="20"/>
          <w:szCs w:val="20"/>
        </w:rPr>
        <w:t>-government services.</w:t>
      </w:r>
    </w:p>
    <w:p w14:paraId="14F139BE" w14:textId="5E9E3CDE" w:rsidR="00865BA0" w:rsidRPr="00482722" w:rsidRDefault="00B80667" w:rsidP="00DA5EEC">
      <w:pPr>
        <w:spacing w:line="240" w:lineRule="auto"/>
        <w:jc w:val="both"/>
        <w:rPr>
          <w:rFonts w:ascii="Arial" w:hAnsi="Arial" w:cs="Arial"/>
          <w:sz w:val="20"/>
          <w:szCs w:val="20"/>
        </w:rPr>
      </w:pPr>
      <w:r w:rsidRPr="00482722">
        <w:rPr>
          <w:rFonts w:ascii="Arial" w:hAnsi="Arial" w:cs="Arial"/>
          <w:sz w:val="20"/>
          <w:szCs w:val="20"/>
        </w:rPr>
        <w:t>In addition</w:t>
      </w:r>
      <w:r w:rsidR="00FC660A" w:rsidRPr="00482722">
        <w:rPr>
          <w:rFonts w:ascii="Arial" w:hAnsi="Arial" w:cs="Arial"/>
          <w:sz w:val="20"/>
          <w:szCs w:val="20"/>
        </w:rPr>
        <w:t xml:space="preserve">, </w:t>
      </w:r>
      <w:r w:rsidR="008A5FD0" w:rsidRPr="00482722">
        <w:rPr>
          <w:rFonts w:ascii="Arial" w:hAnsi="Arial" w:cs="Arial"/>
          <w:sz w:val="20"/>
          <w:szCs w:val="20"/>
        </w:rPr>
        <w:t>previous</w:t>
      </w:r>
      <w:r w:rsidR="00566C4A" w:rsidRPr="00482722">
        <w:rPr>
          <w:rFonts w:ascii="Arial" w:hAnsi="Arial" w:cs="Arial"/>
          <w:sz w:val="20"/>
          <w:szCs w:val="20"/>
        </w:rPr>
        <w:t xml:space="preserve"> research indicated</w:t>
      </w:r>
      <w:r w:rsidR="00371BF2" w:rsidRPr="00482722">
        <w:rPr>
          <w:rFonts w:ascii="Arial" w:hAnsi="Arial" w:cs="Arial"/>
          <w:sz w:val="20"/>
          <w:szCs w:val="20"/>
        </w:rPr>
        <w:t xml:space="preserve"> </w:t>
      </w:r>
      <w:r w:rsidR="0091276A" w:rsidRPr="00482722">
        <w:rPr>
          <w:rFonts w:ascii="Arial" w:hAnsi="Arial" w:cs="Arial"/>
          <w:sz w:val="20"/>
          <w:szCs w:val="20"/>
        </w:rPr>
        <w:t xml:space="preserve">that it is </w:t>
      </w:r>
      <w:r w:rsidR="00371BF2" w:rsidRPr="00482722">
        <w:rPr>
          <w:rFonts w:ascii="Arial" w:hAnsi="Arial" w:cs="Arial"/>
          <w:sz w:val="20"/>
          <w:szCs w:val="20"/>
        </w:rPr>
        <w:t>importan</w:t>
      </w:r>
      <w:r w:rsidR="0091276A" w:rsidRPr="00482722">
        <w:rPr>
          <w:rFonts w:ascii="Arial" w:hAnsi="Arial" w:cs="Arial"/>
          <w:sz w:val="20"/>
          <w:szCs w:val="20"/>
        </w:rPr>
        <w:t>t to</w:t>
      </w:r>
      <w:r w:rsidR="00371BF2" w:rsidRPr="00482722">
        <w:rPr>
          <w:rFonts w:ascii="Arial" w:hAnsi="Arial" w:cs="Arial"/>
          <w:sz w:val="20"/>
          <w:szCs w:val="20"/>
        </w:rPr>
        <w:t xml:space="preserve"> address the </w:t>
      </w:r>
      <w:r w:rsidR="0091276A" w:rsidRPr="00482722">
        <w:rPr>
          <w:rFonts w:ascii="Arial" w:hAnsi="Arial" w:cs="Arial"/>
          <w:sz w:val="20"/>
          <w:szCs w:val="20"/>
        </w:rPr>
        <w:t xml:space="preserve">influence </w:t>
      </w:r>
      <w:r w:rsidR="00371BF2" w:rsidRPr="00482722">
        <w:rPr>
          <w:rFonts w:ascii="Arial" w:hAnsi="Arial" w:cs="Arial"/>
          <w:sz w:val="20"/>
          <w:szCs w:val="20"/>
        </w:rPr>
        <w:t xml:space="preserve">of trust in government </w:t>
      </w:r>
      <w:r w:rsidR="0091276A" w:rsidRPr="00482722">
        <w:rPr>
          <w:rFonts w:ascii="Arial" w:hAnsi="Arial" w:cs="Arial"/>
          <w:sz w:val="20"/>
          <w:szCs w:val="20"/>
        </w:rPr>
        <w:t>on</w:t>
      </w:r>
      <w:r w:rsidR="00566C4A" w:rsidRPr="00482722">
        <w:rPr>
          <w:rFonts w:ascii="Arial" w:hAnsi="Arial" w:cs="Arial"/>
          <w:sz w:val="20"/>
          <w:szCs w:val="20"/>
        </w:rPr>
        <w:t xml:space="preserve"> citizen satisfaction </w:t>
      </w:r>
      <w:r w:rsidR="0091276A" w:rsidRPr="00482722">
        <w:rPr>
          <w:rFonts w:ascii="Arial" w:hAnsi="Arial" w:cs="Arial"/>
          <w:sz w:val="20"/>
          <w:szCs w:val="20"/>
        </w:rPr>
        <w:t xml:space="preserve">with </w:t>
      </w:r>
      <w:r w:rsidR="00566C4A" w:rsidRPr="00482722">
        <w:rPr>
          <w:rFonts w:ascii="Arial" w:hAnsi="Arial" w:cs="Arial"/>
          <w:sz w:val="20"/>
          <w:szCs w:val="20"/>
        </w:rPr>
        <w:t>e-government services (</w:t>
      </w:r>
      <w:r w:rsidR="00F35C94" w:rsidRPr="00482722">
        <w:rPr>
          <w:rFonts w:ascii="Arial" w:hAnsi="Arial" w:cs="Arial"/>
          <w:sz w:val="20"/>
          <w:szCs w:val="20"/>
        </w:rPr>
        <w:t xml:space="preserve">Janssen et al., 2018; Irani et al., 2012; Bélanger </w:t>
      </w:r>
      <w:r w:rsidR="002D35B9" w:rsidRPr="00482722">
        <w:rPr>
          <w:rFonts w:ascii="Arial" w:hAnsi="Arial" w:cs="Arial"/>
          <w:sz w:val="20"/>
          <w:szCs w:val="20"/>
        </w:rPr>
        <w:t>and</w:t>
      </w:r>
      <w:r w:rsidR="00F35C94" w:rsidRPr="00482722">
        <w:rPr>
          <w:rFonts w:ascii="Arial" w:hAnsi="Arial" w:cs="Arial"/>
          <w:sz w:val="20"/>
          <w:szCs w:val="20"/>
        </w:rPr>
        <w:t xml:space="preserve"> Carter, 2008; </w:t>
      </w:r>
      <w:r w:rsidR="00732332" w:rsidRPr="00482722">
        <w:rPr>
          <w:rFonts w:ascii="Arial" w:hAnsi="Arial" w:cs="Arial"/>
          <w:sz w:val="20"/>
          <w:szCs w:val="20"/>
        </w:rPr>
        <w:t xml:space="preserve">Carter </w:t>
      </w:r>
      <w:r w:rsidR="002D35B9" w:rsidRPr="00482722">
        <w:rPr>
          <w:rFonts w:ascii="Arial" w:hAnsi="Arial" w:cs="Arial"/>
          <w:sz w:val="20"/>
          <w:szCs w:val="20"/>
        </w:rPr>
        <w:t>and</w:t>
      </w:r>
      <w:r w:rsidR="00732332" w:rsidRPr="00482722">
        <w:rPr>
          <w:rFonts w:ascii="Arial" w:hAnsi="Arial" w:cs="Arial"/>
          <w:sz w:val="20"/>
          <w:szCs w:val="20"/>
        </w:rPr>
        <w:t xml:space="preserve"> Bélanger, 2005</w:t>
      </w:r>
      <w:r w:rsidR="00732332" w:rsidRPr="00482722">
        <w:rPr>
          <w:rFonts w:ascii="Arial" w:eastAsia="Times New Roman" w:hAnsi="Arial" w:cs="Arial"/>
          <w:sz w:val="20"/>
          <w:szCs w:val="20"/>
          <w:lang w:eastAsia="en-GB"/>
        </w:rPr>
        <w:t>; Gefen et al., 2005</w:t>
      </w:r>
      <w:r w:rsidR="00566C4A" w:rsidRPr="00482722">
        <w:rPr>
          <w:rFonts w:ascii="Arial" w:hAnsi="Arial" w:cs="Arial"/>
          <w:sz w:val="20"/>
          <w:szCs w:val="20"/>
        </w:rPr>
        <w:t xml:space="preserve">). For example, </w:t>
      </w:r>
      <w:r w:rsidR="008A5FD0" w:rsidRPr="00482722">
        <w:rPr>
          <w:rFonts w:ascii="Arial" w:hAnsi="Arial" w:cs="Arial"/>
          <w:sz w:val="20"/>
          <w:szCs w:val="20"/>
        </w:rPr>
        <w:t xml:space="preserve">Carter and Bélanger (2005) found </w:t>
      </w:r>
      <w:r w:rsidR="00D92D64" w:rsidRPr="00482722">
        <w:rPr>
          <w:rFonts w:ascii="Arial" w:hAnsi="Arial" w:cs="Arial"/>
          <w:sz w:val="20"/>
          <w:szCs w:val="20"/>
        </w:rPr>
        <w:t xml:space="preserve">that there is a positive </w:t>
      </w:r>
      <w:r w:rsidR="00F35C94" w:rsidRPr="00482722">
        <w:rPr>
          <w:rFonts w:ascii="Arial" w:hAnsi="Arial" w:cs="Arial"/>
          <w:sz w:val="20"/>
          <w:szCs w:val="20"/>
        </w:rPr>
        <w:t>relationship</w:t>
      </w:r>
      <w:r w:rsidR="00D92D64" w:rsidRPr="00482722">
        <w:rPr>
          <w:rFonts w:ascii="Arial" w:hAnsi="Arial" w:cs="Arial"/>
          <w:sz w:val="20"/>
          <w:szCs w:val="20"/>
        </w:rPr>
        <w:t xml:space="preserve"> between </w:t>
      </w:r>
      <w:r w:rsidR="008A5FD0" w:rsidRPr="00482722">
        <w:rPr>
          <w:rFonts w:ascii="Arial" w:hAnsi="Arial" w:cs="Arial"/>
          <w:sz w:val="20"/>
          <w:szCs w:val="20"/>
        </w:rPr>
        <w:t>citizens</w:t>
      </w:r>
      <w:r w:rsidR="00EA19CB" w:rsidRPr="00482722">
        <w:rPr>
          <w:rFonts w:ascii="Arial" w:hAnsi="Arial" w:cs="Arial"/>
          <w:sz w:val="20"/>
          <w:szCs w:val="20"/>
        </w:rPr>
        <w:t>’</w:t>
      </w:r>
      <w:r w:rsidR="008A5FD0" w:rsidRPr="00482722">
        <w:rPr>
          <w:rFonts w:ascii="Arial" w:hAnsi="Arial" w:cs="Arial"/>
          <w:sz w:val="20"/>
          <w:szCs w:val="20"/>
        </w:rPr>
        <w:t xml:space="preserve"> </w:t>
      </w:r>
      <w:r w:rsidR="00D92D64" w:rsidRPr="00482722">
        <w:rPr>
          <w:rFonts w:ascii="Arial" w:hAnsi="Arial" w:cs="Arial"/>
          <w:sz w:val="20"/>
          <w:szCs w:val="20"/>
        </w:rPr>
        <w:t>belie</w:t>
      </w:r>
      <w:r w:rsidR="00EA19CB" w:rsidRPr="00482722">
        <w:rPr>
          <w:rFonts w:ascii="Arial" w:hAnsi="Arial" w:cs="Arial"/>
          <w:sz w:val="20"/>
          <w:szCs w:val="20"/>
        </w:rPr>
        <w:t>f that</w:t>
      </w:r>
      <w:r w:rsidR="00D92D64" w:rsidRPr="00482722">
        <w:rPr>
          <w:rFonts w:ascii="Arial" w:hAnsi="Arial" w:cs="Arial"/>
          <w:sz w:val="20"/>
          <w:szCs w:val="20"/>
        </w:rPr>
        <w:t xml:space="preserve"> </w:t>
      </w:r>
      <w:r w:rsidR="008A5FD0" w:rsidRPr="00482722">
        <w:rPr>
          <w:rFonts w:ascii="Arial" w:hAnsi="Arial" w:cs="Arial"/>
          <w:sz w:val="20"/>
          <w:szCs w:val="20"/>
        </w:rPr>
        <w:t xml:space="preserve">the </w:t>
      </w:r>
      <w:r w:rsidR="00D92D64" w:rsidRPr="00482722">
        <w:rPr>
          <w:rFonts w:ascii="Arial" w:hAnsi="Arial" w:cs="Arial"/>
          <w:sz w:val="20"/>
          <w:szCs w:val="20"/>
        </w:rPr>
        <w:t xml:space="preserve">government is </w:t>
      </w:r>
      <w:r w:rsidR="008A5FD0" w:rsidRPr="00482722">
        <w:rPr>
          <w:rFonts w:ascii="Arial" w:hAnsi="Arial" w:cs="Arial"/>
          <w:sz w:val="20"/>
          <w:szCs w:val="20"/>
        </w:rPr>
        <w:t xml:space="preserve">trustworthy </w:t>
      </w:r>
      <w:r w:rsidR="00D92D64" w:rsidRPr="00482722">
        <w:rPr>
          <w:rFonts w:ascii="Arial" w:hAnsi="Arial" w:cs="Arial"/>
          <w:sz w:val="20"/>
          <w:szCs w:val="20"/>
        </w:rPr>
        <w:t xml:space="preserve">and </w:t>
      </w:r>
      <w:r w:rsidR="00EA19CB" w:rsidRPr="00482722">
        <w:rPr>
          <w:rFonts w:ascii="Arial" w:hAnsi="Arial" w:cs="Arial"/>
          <w:sz w:val="20"/>
          <w:szCs w:val="20"/>
        </w:rPr>
        <w:t xml:space="preserve">their </w:t>
      </w:r>
      <w:r w:rsidR="00D92D64" w:rsidRPr="00482722">
        <w:rPr>
          <w:rFonts w:ascii="Arial" w:hAnsi="Arial" w:cs="Arial"/>
          <w:sz w:val="20"/>
          <w:szCs w:val="20"/>
        </w:rPr>
        <w:t>satisfaction</w:t>
      </w:r>
      <w:r w:rsidR="008D5400" w:rsidRPr="00482722">
        <w:rPr>
          <w:rFonts w:ascii="Arial" w:hAnsi="Arial" w:cs="Arial"/>
          <w:sz w:val="20"/>
          <w:szCs w:val="20"/>
        </w:rPr>
        <w:t xml:space="preserve"> </w:t>
      </w:r>
      <w:r w:rsidR="0091276A" w:rsidRPr="00482722">
        <w:rPr>
          <w:rFonts w:ascii="Arial" w:hAnsi="Arial" w:cs="Arial"/>
          <w:sz w:val="20"/>
          <w:szCs w:val="20"/>
        </w:rPr>
        <w:t xml:space="preserve">with </w:t>
      </w:r>
      <w:r w:rsidR="008D5400" w:rsidRPr="00482722">
        <w:rPr>
          <w:rFonts w:ascii="Arial" w:hAnsi="Arial" w:cs="Arial"/>
          <w:sz w:val="20"/>
          <w:szCs w:val="20"/>
        </w:rPr>
        <w:t xml:space="preserve">e-government services. </w:t>
      </w:r>
      <w:r w:rsidR="0091276A" w:rsidRPr="00482722">
        <w:rPr>
          <w:rFonts w:ascii="Arial" w:hAnsi="Arial" w:cs="Arial"/>
          <w:sz w:val="20"/>
          <w:szCs w:val="20"/>
        </w:rPr>
        <w:t xml:space="preserve">Further, </w:t>
      </w:r>
      <w:r w:rsidR="0048349F" w:rsidRPr="00482722">
        <w:rPr>
          <w:rFonts w:ascii="Arial" w:hAnsi="Arial" w:cs="Arial"/>
          <w:sz w:val="20"/>
          <w:szCs w:val="20"/>
        </w:rPr>
        <w:t>de Jong et al. (2019) explain</w:t>
      </w:r>
      <w:r w:rsidR="006170B3" w:rsidRPr="00482722">
        <w:rPr>
          <w:rFonts w:ascii="Arial" w:hAnsi="Arial" w:cs="Arial"/>
          <w:sz w:val="20"/>
          <w:szCs w:val="20"/>
        </w:rPr>
        <w:t>ed</w:t>
      </w:r>
      <w:r w:rsidR="0048349F" w:rsidRPr="00482722">
        <w:rPr>
          <w:rFonts w:ascii="Arial" w:hAnsi="Arial" w:cs="Arial"/>
          <w:sz w:val="20"/>
          <w:szCs w:val="20"/>
        </w:rPr>
        <w:t xml:space="preserve"> that trust in government and perceived responsiveness are positively related to e-participation. </w:t>
      </w:r>
      <w:r w:rsidR="008D5400" w:rsidRPr="00482722">
        <w:rPr>
          <w:rFonts w:ascii="Arial" w:hAnsi="Arial" w:cs="Arial"/>
          <w:sz w:val="20"/>
          <w:szCs w:val="20"/>
        </w:rPr>
        <w:t>Citizens</w:t>
      </w:r>
      <w:r w:rsidR="00DB1853" w:rsidRPr="00482722">
        <w:rPr>
          <w:rFonts w:ascii="Arial" w:hAnsi="Arial" w:cs="Arial"/>
          <w:sz w:val="20"/>
          <w:szCs w:val="20"/>
        </w:rPr>
        <w:t xml:space="preserve"> should </w:t>
      </w:r>
      <w:r w:rsidR="0000212F" w:rsidRPr="00482722">
        <w:rPr>
          <w:rFonts w:ascii="Arial" w:hAnsi="Arial" w:cs="Arial"/>
          <w:sz w:val="20"/>
          <w:szCs w:val="20"/>
        </w:rPr>
        <w:t xml:space="preserve">be able to </w:t>
      </w:r>
      <w:r w:rsidR="00DB1853" w:rsidRPr="00482722">
        <w:rPr>
          <w:rFonts w:ascii="Arial" w:hAnsi="Arial" w:cs="Arial"/>
          <w:sz w:val="20"/>
          <w:szCs w:val="20"/>
        </w:rPr>
        <w:t xml:space="preserve">trust that government organisations possess the intelligence and technical resources </w:t>
      </w:r>
      <w:r w:rsidR="0091276A" w:rsidRPr="00482722">
        <w:rPr>
          <w:rFonts w:ascii="Arial" w:hAnsi="Arial" w:cs="Arial"/>
          <w:sz w:val="20"/>
          <w:szCs w:val="20"/>
        </w:rPr>
        <w:t xml:space="preserve">that are </w:t>
      </w:r>
      <w:r w:rsidR="00DB1853" w:rsidRPr="00482722">
        <w:rPr>
          <w:rFonts w:ascii="Arial" w:hAnsi="Arial" w:cs="Arial"/>
          <w:sz w:val="20"/>
          <w:szCs w:val="20"/>
        </w:rPr>
        <w:t xml:space="preserve">essential </w:t>
      </w:r>
      <w:r w:rsidR="0091276A" w:rsidRPr="00482722">
        <w:rPr>
          <w:rFonts w:ascii="Arial" w:hAnsi="Arial" w:cs="Arial"/>
          <w:sz w:val="20"/>
          <w:szCs w:val="20"/>
        </w:rPr>
        <w:t xml:space="preserve">for </w:t>
      </w:r>
      <w:r w:rsidR="00DB1853" w:rsidRPr="00482722">
        <w:rPr>
          <w:rFonts w:ascii="Arial" w:hAnsi="Arial" w:cs="Arial"/>
          <w:sz w:val="20"/>
          <w:szCs w:val="20"/>
        </w:rPr>
        <w:t>implement</w:t>
      </w:r>
      <w:r w:rsidR="0091276A" w:rsidRPr="00482722">
        <w:rPr>
          <w:rFonts w:ascii="Arial" w:hAnsi="Arial" w:cs="Arial"/>
          <w:sz w:val="20"/>
          <w:szCs w:val="20"/>
        </w:rPr>
        <w:t>ing</w:t>
      </w:r>
      <w:r w:rsidR="00DB1853" w:rsidRPr="00482722">
        <w:rPr>
          <w:rFonts w:ascii="Arial" w:hAnsi="Arial" w:cs="Arial"/>
          <w:sz w:val="20"/>
          <w:szCs w:val="20"/>
        </w:rPr>
        <w:t xml:space="preserve"> and secur</w:t>
      </w:r>
      <w:r w:rsidR="0091276A" w:rsidRPr="00482722">
        <w:rPr>
          <w:rFonts w:ascii="Arial" w:hAnsi="Arial" w:cs="Arial"/>
          <w:sz w:val="20"/>
          <w:szCs w:val="20"/>
        </w:rPr>
        <w:t>ing</w:t>
      </w:r>
      <w:r w:rsidR="00DB1853" w:rsidRPr="00482722">
        <w:rPr>
          <w:rFonts w:ascii="Arial" w:hAnsi="Arial" w:cs="Arial"/>
          <w:sz w:val="20"/>
          <w:szCs w:val="20"/>
        </w:rPr>
        <w:t xml:space="preserve"> these systems</w:t>
      </w:r>
      <w:r w:rsidR="008D5400" w:rsidRPr="00482722">
        <w:rPr>
          <w:rFonts w:ascii="Arial" w:hAnsi="Arial" w:cs="Arial"/>
          <w:sz w:val="20"/>
          <w:szCs w:val="20"/>
        </w:rPr>
        <w:t xml:space="preserve"> (</w:t>
      </w:r>
      <w:r w:rsidR="00AF70DE" w:rsidRPr="00482722">
        <w:rPr>
          <w:rFonts w:ascii="Arial" w:hAnsi="Arial" w:cs="Arial"/>
          <w:sz w:val="20"/>
          <w:szCs w:val="20"/>
        </w:rPr>
        <w:t xml:space="preserve">Kumar et al., 2020; Alzahrani et al., 2018; </w:t>
      </w:r>
      <w:r w:rsidR="008D5400" w:rsidRPr="00482722">
        <w:rPr>
          <w:rFonts w:ascii="Arial" w:hAnsi="Arial" w:cs="Arial"/>
          <w:sz w:val="20"/>
          <w:szCs w:val="20"/>
        </w:rPr>
        <w:t>Janssen et al., 2018; Sá et al., 2016)</w:t>
      </w:r>
      <w:r w:rsidR="00DB1853" w:rsidRPr="00482722">
        <w:rPr>
          <w:rFonts w:ascii="Arial" w:hAnsi="Arial" w:cs="Arial"/>
          <w:sz w:val="20"/>
          <w:szCs w:val="20"/>
        </w:rPr>
        <w:t xml:space="preserve">. </w:t>
      </w:r>
      <w:r w:rsidR="00EA19CB" w:rsidRPr="00482722">
        <w:rPr>
          <w:rFonts w:ascii="Arial" w:hAnsi="Arial" w:cs="Arial"/>
          <w:sz w:val="20"/>
          <w:szCs w:val="20"/>
        </w:rPr>
        <w:t>T</w:t>
      </w:r>
      <w:r w:rsidR="00DB1853" w:rsidRPr="00482722">
        <w:rPr>
          <w:rFonts w:ascii="Arial" w:hAnsi="Arial" w:cs="Arial"/>
          <w:sz w:val="20"/>
          <w:szCs w:val="20"/>
        </w:rPr>
        <w:t xml:space="preserve">his supports the direct link between citizen trust in government and </w:t>
      </w:r>
      <w:r w:rsidR="00730E0C" w:rsidRPr="00482722">
        <w:rPr>
          <w:rFonts w:ascii="Arial" w:hAnsi="Arial" w:cs="Arial"/>
          <w:sz w:val="20"/>
          <w:szCs w:val="20"/>
        </w:rPr>
        <w:t xml:space="preserve">citizen </w:t>
      </w:r>
      <w:r w:rsidR="00DB1853" w:rsidRPr="00482722">
        <w:rPr>
          <w:rFonts w:ascii="Arial" w:hAnsi="Arial" w:cs="Arial"/>
          <w:sz w:val="20"/>
          <w:szCs w:val="20"/>
        </w:rPr>
        <w:t xml:space="preserve">satisfaction </w:t>
      </w:r>
      <w:r w:rsidR="007D36DD" w:rsidRPr="00482722">
        <w:rPr>
          <w:rFonts w:ascii="Arial" w:hAnsi="Arial" w:cs="Arial"/>
          <w:sz w:val="20"/>
          <w:szCs w:val="20"/>
        </w:rPr>
        <w:t xml:space="preserve">with </w:t>
      </w:r>
      <w:r w:rsidR="00DB1853" w:rsidRPr="00482722">
        <w:rPr>
          <w:rFonts w:ascii="Arial" w:hAnsi="Arial" w:cs="Arial"/>
          <w:sz w:val="20"/>
          <w:szCs w:val="20"/>
        </w:rPr>
        <w:t>e-government</w:t>
      </w:r>
      <w:r w:rsidR="00865BA0" w:rsidRPr="00482722">
        <w:rPr>
          <w:rFonts w:ascii="Arial" w:hAnsi="Arial" w:cs="Arial"/>
          <w:sz w:val="20"/>
          <w:szCs w:val="20"/>
        </w:rPr>
        <w:t xml:space="preserve"> services</w:t>
      </w:r>
      <w:r w:rsidR="00EA19CB" w:rsidRPr="00482722">
        <w:rPr>
          <w:rFonts w:ascii="Arial" w:hAnsi="Arial" w:cs="Arial"/>
          <w:sz w:val="20"/>
          <w:szCs w:val="20"/>
        </w:rPr>
        <w:t>. Thus, we propose the following hypothesis:</w:t>
      </w:r>
    </w:p>
    <w:p w14:paraId="5E381D4E" w14:textId="34F182AB" w:rsidR="00AF70DE" w:rsidRPr="00482722" w:rsidRDefault="00AF70DE" w:rsidP="00DA5EEC">
      <w:pPr>
        <w:spacing w:line="240" w:lineRule="auto"/>
        <w:jc w:val="both"/>
        <w:rPr>
          <w:rFonts w:ascii="Arial" w:hAnsi="Arial" w:cs="Arial"/>
          <w:sz w:val="20"/>
          <w:szCs w:val="20"/>
        </w:rPr>
      </w:pPr>
      <w:r w:rsidRPr="00482722">
        <w:rPr>
          <w:rFonts w:ascii="Arial" w:hAnsi="Arial" w:cs="Arial"/>
          <w:bCs/>
          <w:i/>
          <w:iCs/>
          <w:sz w:val="20"/>
          <w:szCs w:val="20"/>
        </w:rPr>
        <w:t>H7</w:t>
      </w:r>
      <w:r w:rsidR="00432168" w:rsidRPr="00482722">
        <w:rPr>
          <w:rFonts w:ascii="Arial" w:hAnsi="Arial" w:cs="Arial"/>
          <w:bCs/>
          <w:sz w:val="20"/>
          <w:szCs w:val="20"/>
        </w:rPr>
        <w:t>.</w:t>
      </w:r>
      <w:r w:rsidRPr="00482722">
        <w:rPr>
          <w:rFonts w:ascii="Arial" w:hAnsi="Arial" w:cs="Arial"/>
          <w:sz w:val="20"/>
          <w:szCs w:val="20"/>
        </w:rPr>
        <w:t xml:space="preserve"> T</w:t>
      </w:r>
      <w:r w:rsidR="00EB412B" w:rsidRPr="00482722">
        <w:rPr>
          <w:rFonts w:ascii="Arial" w:hAnsi="Arial" w:cs="Arial"/>
          <w:sz w:val="20"/>
          <w:szCs w:val="20"/>
        </w:rPr>
        <w:t xml:space="preserve">rust in </w:t>
      </w:r>
      <w:r w:rsidR="00E06163" w:rsidRPr="00482722">
        <w:rPr>
          <w:rFonts w:ascii="Arial" w:hAnsi="Arial" w:cs="Arial"/>
          <w:sz w:val="20"/>
          <w:szCs w:val="20"/>
        </w:rPr>
        <w:t>government has</w:t>
      </w:r>
      <w:r w:rsidRPr="00482722">
        <w:rPr>
          <w:rFonts w:ascii="Arial" w:hAnsi="Arial" w:cs="Arial"/>
          <w:sz w:val="20"/>
          <w:szCs w:val="20"/>
        </w:rPr>
        <w:t xml:space="preserve"> a direct and positive influence on </w:t>
      </w:r>
      <w:r w:rsidR="00EB412B" w:rsidRPr="00482722">
        <w:rPr>
          <w:rFonts w:ascii="Arial" w:hAnsi="Arial" w:cs="Arial"/>
          <w:sz w:val="20"/>
          <w:szCs w:val="20"/>
        </w:rPr>
        <w:t>citizen satisfaction</w:t>
      </w:r>
      <w:r w:rsidRPr="00482722">
        <w:rPr>
          <w:rFonts w:ascii="Arial" w:hAnsi="Arial" w:cs="Arial"/>
          <w:sz w:val="20"/>
          <w:szCs w:val="20"/>
        </w:rPr>
        <w:t xml:space="preserve"> </w:t>
      </w:r>
      <w:r w:rsidR="0091276A" w:rsidRPr="00482722">
        <w:rPr>
          <w:rFonts w:ascii="Arial" w:hAnsi="Arial" w:cs="Arial"/>
          <w:sz w:val="20"/>
          <w:szCs w:val="20"/>
        </w:rPr>
        <w:t xml:space="preserve">with </w:t>
      </w:r>
      <w:r w:rsidRPr="00482722">
        <w:rPr>
          <w:rFonts w:ascii="Arial" w:hAnsi="Arial" w:cs="Arial"/>
          <w:sz w:val="20"/>
          <w:szCs w:val="20"/>
        </w:rPr>
        <w:t>e-government services.</w:t>
      </w:r>
    </w:p>
    <w:p w14:paraId="56C4BA35" w14:textId="22ECC5A9" w:rsidR="00494F7D" w:rsidRPr="00482722" w:rsidRDefault="00B80667" w:rsidP="00DA5EEC">
      <w:pPr>
        <w:spacing w:line="240" w:lineRule="auto"/>
        <w:jc w:val="both"/>
        <w:rPr>
          <w:rFonts w:ascii="Arial" w:hAnsi="Arial" w:cs="Arial"/>
          <w:sz w:val="20"/>
          <w:szCs w:val="20"/>
        </w:rPr>
      </w:pPr>
      <w:r w:rsidRPr="00482722">
        <w:rPr>
          <w:rFonts w:ascii="Arial" w:hAnsi="Arial" w:cs="Arial"/>
          <w:sz w:val="20"/>
          <w:szCs w:val="20"/>
        </w:rPr>
        <w:t>Further</w:t>
      </w:r>
      <w:r w:rsidR="00F35C94" w:rsidRPr="00482722">
        <w:rPr>
          <w:rFonts w:ascii="Arial" w:hAnsi="Arial" w:cs="Arial"/>
          <w:sz w:val="20"/>
          <w:szCs w:val="20"/>
        </w:rPr>
        <w:t xml:space="preserve">, </w:t>
      </w:r>
      <w:r w:rsidR="0081628A" w:rsidRPr="00482722">
        <w:rPr>
          <w:rFonts w:ascii="Arial" w:hAnsi="Arial" w:cs="Arial"/>
          <w:sz w:val="20"/>
          <w:szCs w:val="20"/>
        </w:rPr>
        <w:t xml:space="preserve">citizen trust in e-government </w:t>
      </w:r>
      <w:r w:rsidR="0072648C" w:rsidRPr="00482722">
        <w:rPr>
          <w:rFonts w:ascii="Arial" w:hAnsi="Arial" w:cs="Arial"/>
          <w:sz w:val="20"/>
          <w:szCs w:val="20"/>
        </w:rPr>
        <w:t xml:space="preserve">services </w:t>
      </w:r>
      <w:r w:rsidR="0081628A" w:rsidRPr="00482722">
        <w:rPr>
          <w:rFonts w:ascii="Arial" w:hAnsi="Arial" w:cs="Arial"/>
          <w:sz w:val="20"/>
          <w:szCs w:val="20"/>
        </w:rPr>
        <w:t>to operate</w:t>
      </w:r>
      <w:r w:rsidR="0072648C" w:rsidRPr="00482722">
        <w:rPr>
          <w:rFonts w:ascii="Arial" w:hAnsi="Arial" w:cs="Arial"/>
          <w:sz w:val="20"/>
          <w:szCs w:val="20"/>
        </w:rPr>
        <w:t xml:space="preserve"> </w:t>
      </w:r>
      <w:r w:rsidR="0091276A" w:rsidRPr="00482722">
        <w:rPr>
          <w:rFonts w:ascii="Arial" w:hAnsi="Arial" w:cs="Arial"/>
          <w:sz w:val="20"/>
          <w:szCs w:val="20"/>
        </w:rPr>
        <w:t xml:space="preserve">consistently </w:t>
      </w:r>
      <w:r w:rsidR="0072648C" w:rsidRPr="00482722">
        <w:rPr>
          <w:rFonts w:ascii="Arial" w:hAnsi="Arial" w:cs="Arial"/>
          <w:sz w:val="20"/>
          <w:szCs w:val="20"/>
        </w:rPr>
        <w:t>is important for the success of these services</w:t>
      </w:r>
      <w:r w:rsidR="0081628A" w:rsidRPr="00482722">
        <w:rPr>
          <w:rFonts w:ascii="Arial" w:hAnsi="Arial" w:cs="Arial"/>
          <w:sz w:val="20"/>
          <w:szCs w:val="20"/>
        </w:rPr>
        <w:t xml:space="preserve"> (Teo et al., 2008). </w:t>
      </w:r>
      <w:r w:rsidR="0072648C" w:rsidRPr="00482722">
        <w:rPr>
          <w:rFonts w:ascii="Arial" w:hAnsi="Arial" w:cs="Arial"/>
          <w:sz w:val="20"/>
          <w:szCs w:val="20"/>
        </w:rPr>
        <w:t>Previous</w:t>
      </w:r>
      <w:r w:rsidR="00FC660A" w:rsidRPr="00482722">
        <w:rPr>
          <w:rFonts w:ascii="Arial" w:hAnsi="Arial" w:cs="Arial"/>
          <w:sz w:val="20"/>
          <w:szCs w:val="20"/>
        </w:rPr>
        <w:t xml:space="preserve"> studies </w:t>
      </w:r>
      <w:r w:rsidR="00494F7D" w:rsidRPr="00482722">
        <w:rPr>
          <w:rFonts w:ascii="Arial" w:hAnsi="Arial" w:cs="Arial"/>
          <w:sz w:val="20"/>
          <w:szCs w:val="20"/>
        </w:rPr>
        <w:t>(</w:t>
      </w:r>
      <w:r w:rsidR="00FC660A" w:rsidRPr="00482722">
        <w:rPr>
          <w:rFonts w:ascii="Arial" w:hAnsi="Arial" w:cs="Arial"/>
          <w:sz w:val="20"/>
          <w:szCs w:val="20"/>
        </w:rPr>
        <w:t xml:space="preserve">e.g., </w:t>
      </w:r>
      <w:r w:rsidR="00494F7D" w:rsidRPr="00482722">
        <w:rPr>
          <w:rFonts w:ascii="Arial" w:hAnsi="Arial" w:cs="Arial"/>
          <w:sz w:val="20"/>
          <w:szCs w:val="20"/>
          <w:shd w:val="clear" w:color="auto" w:fill="FFFFFF"/>
        </w:rPr>
        <w:t>Santa et al., 201</w:t>
      </w:r>
      <w:r w:rsidR="00806497" w:rsidRPr="00482722">
        <w:rPr>
          <w:rFonts w:ascii="Arial" w:hAnsi="Arial" w:cs="Arial"/>
          <w:sz w:val="20"/>
          <w:szCs w:val="20"/>
          <w:shd w:val="clear" w:color="auto" w:fill="FFFFFF"/>
        </w:rPr>
        <w:t>9</w:t>
      </w:r>
      <w:r w:rsidR="00494F7D" w:rsidRPr="00482722">
        <w:rPr>
          <w:rFonts w:ascii="Arial" w:hAnsi="Arial" w:cs="Arial"/>
          <w:sz w:val="20"/>
          <w:szCs w:val="20"/>
          <w:shd w:val="clear" w:color="auto" w:fill="FFFFFF"/>
        </w:rPr>
        <w:t xml:space="preserve">; </w:t>
      </w:r>
      <w:r w:rsidR="00494F7D" w:rsidRPr="00482722">
        <w:rPr>
          <w:rFonts w:ascii="Arial" w:hAnsi="Arial" w:cs="Arial"/>
          <w:sz w:val="20"/>
          <w:szCs w:val="20"/>
        </w:rPr>
        <w:t xml:space="preserve">Sá et al., 2016; Lee </w:t>
      </w:r>
      <w:r w:rsidR="002D35B9" w:rsidRPr="00482722">
        <w:rPr>
          <w:rFonts w:ascii="Arial" w:hAnsi="Arial" w:cs="Arial"/>
          <w:sz w:val="20"/>
          <w:szCs w:val="20"/>
        </w:rPr>
        <w:t>and</w:t>
      </w:r>
      <w:r w:rsidR="00494F7D" w:rsidRPr="00482722">
        <w:rPr>
          <w:rFonts w:ascii="Arial" w:hAnsi="Arial" w:cs="Arial"/>
          <w:sz w:val="20"/>
          <w:szCs w:val="20"/>
        </w:rPr>
        <w:t xml:space="preserve"> Kim, 2014; </w:t>
      </w:r>
      <w:r w:rsidR="00494F7D" w:rsidRPr="00482722">
        <w:rPr>
          <w:rFonts w:ascii="Arial" w:hAnsi="Arial" w:cs="Arial"/>
          <w:sz w:val="20"/>
          <w:szCs w:val="20"/>
          <w:shd w:val="clear" w:color="auto" w:fill="FFFFFF"/>
        </w:rPr>
        <w:t xml:space="preserve">Chan et al., 2010; </w:t>
      </w:r>
      <w:r w:rsidR="00935E4B" w:rsidRPr="00482722">
        <w:rPr>
          <w:rFonts w:ascii="Arial" w:hAnsi="Arial" w:cs="Arial"/>
          <w:sz w:val="20"/>
          <w:szCs w:val="20"/>
        </w:rPr>
        <w:t>Teo et al., 200</w:t>
      </w:r>
      <w:r w:rsidR="00AB7FFA" w:rsidRPr="00482722">
        <w:rPr>
          <w:rFonts w:ascii="Arial" w:hAnsi="Arial" w:cs="Arial"/>
          <w:sz w:val="20"/>
          <w:szCs w:val="20"/>
        </w:rPr>
        <w:t>8</w:t>
      </w:r>
      <w:r w:rsidR="00FC660A" w:rsidRPr="00482722">
        <w:rPr>
          <w:rFonts w:ascii="Arial" w:hAnsi="Arial" w:cs="Arial"/>
          <w:sz w:val="20"/>
          <w:szCs w:val="20"/>
        </w:rPr>
        <w:t xml:space="preserve">) found </w:t>
      </w:r>
      <w:r w:rsidR="0072648C" w:rsidRPr="00482722">
        <w:rPr>
          <w:rFonts w:ascii="Arial" w:hAnsi="Arial" w:cs="Arial"/>
          <w:sz w:val="20"/>
          <w:szCs w:val="20"/>
        </w:rPr>
        <w:t xml:space="preserve">that </w:t>
      </w:r>
      <w:r w:rsidR="00FC660A" w:rsidRPr="00482722">
        <w:rPr>
          <w:rFonts w:ascii="Arial" w:hAnsi="Arial" w:cs="Arial"/>
          <w:sz w:val="20"/>
          <w:szCs w:val="20"/>
        </w:rPr>
        <w:t>prior trust in e-</w:t>
      </w:r>
      <w:r w:rsidRPr="00482722">
        <w:rPr>
          <w:rFonts w:ascii="Arial" w:hAnsi="Arial" w:cs="Arial"/>
          <w:sz w:val="20"/>
          <w:szCs w:val="20"/>
        </w:rPr>
        <w:t>government can</w:t>
      </w:r>
      <w:r w:rsidR="00FC660A" w:rsidRPr="00482722">
        <w:rPr>
          <w:rFonts w:ascii="Arial" w:hAnsi="Arial" w:cs="Arial"/>
          <w:sz w:val="20"/>
          <w:szCs w:val="20"/>
        </w:rPr>
        <w:t xml:space="preserve"> lead to greater satisfaction and interaction with </w:t>
      </w:r>
      <w:r w:rsidR="001E0788" w:rsidRPr="00482722">
        <w:rPr>
          <w:rFonts w:ascii="Arial" w:hAnsi="Arial" w:cs="Arial"/>
          <w:sz w:val="20"/>
          <w:szCs w:val="20"/>
        </w:rPr>
        <w:t xml:space="preserve">newly </w:t>
      </w:r>
      <w:r w:rsidR="00FC660A" w:rsidRPr="00482722">
        <w:rPr>
          <w:rFonts w:ascii="Arial" w:hAnsi="Arial" w:cs="Arial"/>
          <w:sz w:val="20"/>
          <w:szCs w:val="20"/>
        </w:rPr>
        <w:t xml:space="preserve">introduced services. </w:t>
      </w:r>
      <w:r w:rsidR="00494F7D" w:rsidRPr="00482722">
        <w:rPr>
          <w:rFonts w:ascii="Arial" w:hAnsi="Arial" w:cs="Arial"/>
          <w:sz w:val="20"/>
          <w:szCs w:val="20"/>
        </w:rPr>
        <w:t xml:space="preserve">For example, Abu-Shanab (2014) found that </w:t>
      </w:r>
      <w:r w:rsidR="000D4236" w:rsidRPr="00482722">
        <w:rPr>
          <w:rFonts w:ascii="Arial" w:hAnsi="Arial" w:cs="Arial"/>
          <w:sz w:val="20"/>
          <w:szCs w:val="20"/>
        </w:rPr>
        <w:t xml:space="preserve">less </w:t>
      </w:r>
      <w:r w:rsidR="00494F7D" w:rsidRPr="00482722">
        <w:rPr>
          <w:rFonts w:ascii="Arial" w:hAnsi="Arial" w:cs="Arial"/>
          <w:sz w:val="20"/>
          <w:szCs w:val="20"/>
        </w:rPr>
        <w:t>trust in e-government services lead</w:t>
      </w:r>
      <w:r w:rsidR="000D4236" w:rsidRPr="00482722">
        <w:rPr>
          <w:rFonts w:ascii="Arial" w:hAnsi="Arial" w:cs="Arial"/>
          <w:sz w:val="20"/>
          <w:szCs w:val="20"/>
        </w:rPr>
        <w:t>s</w:t>
      </w:r>
      <w:r w:rsidR="00494F7D" w:rsidRPr="00482722">
        <w:rPr>
          <w:rFonts w:ascii="Arial" w:hAnsi="Arial" w:cs="Arial"/>
          <w:sz w:val="20"/>
          <w:szCs w:val="20"/>
        </w:rPr>
        <w:t xml:space="preserve"> to </w:t>
      </w:r>
      <w:r w:rsidR="000D4236" w:rsidRPr="00482722">
        <w:rPr>
          <w:rFonts w:ascii="Arial" w:hAnsi="Arial" w:cs="Arial"/>
          <w:sz w:val="20"/>
          <w:szCs w:val="20"/>
        </w:rPr>
        <w:t xml:space="preserve">less </w:t>
      </w:r>
      <w:r w:rsidR="00494F7D" w:rsidRPr="00482722">
        <w:rPr>
          <w:rFonts w:ascii="Arial" w:hAnsi="Arial" w:cs="Arial"/>
          <w:sz w:val="20"/>
          <w:szCs w:val="20"/>
        </w:rPr>
        <w:t>interaction with e-government portals and less satisfaction with e-government services</w:t>
      </w:r>
      <w:r w:rsidR="00843412" w:rsidRPr="00482722">
        <w:rPr>
          <w:rFonts w:ascii="Arial" w:hAnsi="Arial" w:cs="Arial"/>
          <w:sz w:val="20"/>
          <w:szCs w:val="20"/>
        </w:rPr>
        <w:t>, whereas</w:t>
      </w:r>
      <w:r w:rsidR="00494F7D" w:rsidRPr="00482722">
        <w:rPr>
          <w:rFonts w:ascii="Arial" w:hAnsi="Arial" w:cs="Arial"/>
          <w:sz w:val="20"/>
          <w:szCs w:val="20"/>
        </w:rPr>
        <w:t xml:space="preserve"> Teo et al. (200</w:t>
      </w:r>
      <w:r w:rsidR="00AB7FFA" w:rsidRPr="00482722">
        <w:rPr>
          <w:rFonts w:ascii="Arial" w:hAnsi="Arial" w:cs="Arial"/>
          <w:sz w:val="20"/>
          <w:szCs w:val="20"/>
        </w:rPr>
        <w:t>8</w:t>
      </w:r>
      <w:r w:rsidR="00494F7D" w:rsidRPr="00482722">
        <w:rPr>
          <w:rFonts w:ascii="Arial" w:hAnsi="Arial" w:cs="Arial"/>
          <w:sz w:val="20"/>
          <w:szCs w:val="20"/>
        </w:rPr>
        <w:t xml:space="preserve">) showed a positive relationship between trust in e-government and citizen satisfaction </w:t>
      </w:r>
      <w:r w:rsidR="004C04DF" w:rsidRPr="00482722">
        <w:rPr>
          <w:rFonts w:ascii="Arial" w:hAnsi="Arial" w:cs="Arial"/>
          <w:sz w:val="20"/>
          <w:szCs w:val="20"/>
        </w:rPr>
        <w:t>with it. Therefore, this study hypothesi</w:t>
      </w:r>
      <w:r w:rsidR="00AE4BA3" w:rsidRPr="00482722">
        <w:rPr>
          <w:rFonts w:ascii="Arial" w:hAnsi="Arial" w:cs="Arial"/>
          <w:sz w:val="20"/>
          <w:szCs w:val="20"/>
        </w:rPr>
        <w:t>s</w:t>
      </w:r>
      <w:r w:rsidR="004C04DF" w:rsidRPr="00482722">
        <w:rPr>
          <w:rFonts w:ascii="Arial" w:hAnsi="Arial" w:cs="Arial"/>
          <w:sz w:val="20"/>
          <w:szCs w:val="20"/>
        </w:rPr>
        <w:t>e</w:t>
      </w:r>
      <w:r w:rsidR="00D2304A" w:rsidRPr="00482722">
        <w:rPr>
          <w:rFonts w:ascii="Arial" w:hAnsi="Arial" w:cs="Arial"/>
          <w:sz w:val="20"/>
          <w:szCs w:val="20"/>
        </w:rPr>
        <w:t>s</w:t>
      </w:r>
      <w:r w:rsidR="00494F7D" w:rsidRPr="00482722">
        <w:rPr>
          <w:rFonts w:ascii="Arial" w:hAnsi="Arial" w:cs="Arial"/>
          <w:sz w:val="20"/>
          <w:szCs w:val="20"/>
        </w:rPr>
        <w:t>:</w:t>
      </w:r>
    </w:p>
    <w:p w14:paraId="2EE68C98" w14:textId="34552F11" w:rsidR="00F35C94" w:rsidRPr="00482722" w:rsidRDefault="00494F7D" w:rsidP="00DA5EEC">
      <w:pPr>
        <w:spacing w:line="240" w:lineRule="auto"/>
        <w:jc w:val="both"/>
        <w:rPr>
          <w:rFonts w:ascii="Arial" w:hAnsi="Arial" w:cs="Arial"/>
          <w:sz w:val="20"/>
          <w:szCs w:val="20"/>
        </w:rPr>
      </w:pPr>
      <w:r w:rsidRPr="00482722">
        <w:rPr>
          <w:rFonts w:ascii="Arial" w:hAnsi="Arial" w:cs="Arial"/>
          <w:bCs/>
          <w:i/>
          <w:iCs/>
          <w:sz w:val="20"/>
          <w:szCs w:val="20"/>
        </w:rPr>
        <w:t>H</w:t>
      </w:r>
      <w:r w:rsidR="00F35C94" w:rsidRPr="00482722">
        <w:rPr>
          <w:rFonts w:ascii="Arial" w:hAnsi="Arial" w:cs="Arial"/>
          <w:bCs/>
          <w:i/>
          <w:iCs/>
          <w:sz w:val="20"/>
          <w:szCs w:val="20"/>
        </w:rPr>
        <w:t>8</w:t>
      </w:r>
      <w:r w:rsidR="00432168" w:rsidRPr="00482722">
        <w:rPr>
          <w:rFonts w:ascii="Arial" w:hAnsi="Arial" w:cs="Arial"/>
          <w:bCs/>
          <w:sz w:val="20"/>
          <w:szCs w:val="20"/>
        </w:rPr>
        <w:t>.</w:t>
      </w:r>
      <w:r w:rsidRPr="00482722">
        <w:rPr>
          <w:rFonts w:ascii="Arial" w:hAnsi="Arial" w:cs="Arial"/>
          <w:sz w:val="20"/>
          <w:szCs w:val="20"/>
        </w:rPr>
        <w:t xml:space="preserve"> </w:t>
      </w:r>
      <w:r w:rsidR="005460AF" w:rsidRPr="00482722">
        <w:rPr>
          <w:rFonts w:ascii="Arial" w:hAnsi="Arial" w:cs="Arial"/>
          <w:sz w:val="20"/>
          <w:szCs w:val="20"/>
        </w:rPr>
        <w:t xml:space="preserve">Trust in e-government </w:t>
      </w:r>
      <w:r w:rsidR="00E06163" w:rsidRPr="00482722">
        <w:rPr>
          <w:rFonts w:ascii="Arial" w:hAnsi="Arial" w:cs="Arial"/>
          <w:sz w:val="20"/>
          <w:szCs w:val="20"/>
        </w:rPr>
        <w:t>services has</w:t>
      </w:r>
      <w:r w:rsidRPr="00482722">
        <w:rPr>
          <w:rFonts w:ascii="Arial" w:hAnsi="Arial" w:cs="Arial"/>
          <w:sz w:val="20"/>
          <w:szCs w:val="20"/>
        </w:rPr>
        <w:t xml:space="preserve"> a direct and positive influence on </w:t>
      </w:r>
      <w:r w:rsidR="005460AF" w:rsidRPr="00482722">
        <w:rPr>
          <w:rFonts w:ascii="Arial" w:hAnsi="Arial" w:cs="Arial"/>
          <w:sz w:val="20"/>
          <w:szCs w:val="20"/>
        </w:rPr>
        <w:t xml:space="preserve">citizen </w:t>
      </w:r>
      <w:r w:rsidR="00E06163" w:rsidRPr="00482722">
        <w:rPr>
          <w:rFonts w:ascii="Arial" w:hAnsi="Arial" w:cs="Arial"/>
          <w:sz w:val="20"/>
          <w:szCs w:val="20"/>
        </w:rPr>
        <w:t xml:space="preserve">satisfaction </w:t>
      </w:r>
      <w:r w:rsidR="000D4236" w:rsidRPr="00482722">
        <w:rPr>
          <w:rFonts w:ascii="Arial" w:hAnsi="Arial" w:cs="Arial"/>
          <w:sz w:val="20"/>
          <w:szCs w:val="20"/>
        </w:rPr>
        <w:t xml:space="preserve">with </w:t>
      </w:r>
      <w:r w:rsidR="00DB1853" w:rsidRPr="00482722">
        <w:rPr>
          <w:rFonts w:ascii="Arial" w:hAnsi="Arial" w:cs="Arial"/>
          <w:sz w:val="20"/>
          <w:szCs w:val="20"/>
        </w:rPr>
        <w:t>e</w:t>
      </w:r>
      <w:r w:rsidRPr="00482722">
        <w:rPr>
          <w:rFonts w:ascii="Arial" w:hAnsi="Arial" w:cs="Arial"/>
          <w:sz w:val="20"/>
          <w:szCs w:val="20"/>
        </w:rPr>
        <w:t>-government services.</w:t>
      </w:r>
    </w:p>
    <w:p w14:paraId="3BE7C9E6" w14:textId="42FB7CD6" w:rsidR="00961B49" w:rsidRPr="00482722" w:rsidRDefault="00B14548" w:rsidP="00460900">
      <w:pPr>
        <w:pStyle w:val="Heading2"/>
        <w:rPr>
          <w:b/>
        </w:rPr>
      </w:pPr>
      <w:r w:rsidRPr="00482722">
        <w:t>Antecedent</w:t>
      </w:r>
      <w:r w:rsidR="00C60A0B" w:rsidRPr="00482722">
        <w:t>s</w:t>
      </w:r>
      <w:r w:rsidRPr="00482722">
        <w:t xml:space="preserve"> </w:t>
      </w:r>
      <w:r w:rsidR="000C253A" w:rsidRPr="00482722">
        <w:t>of</w:t>
      </w:r>
      <w:r w:rsidRPr="00482722">
        <w:t xml:space="preserve"> </w:t>
      </w:r>
      <w:r w:rsidR="007A0D74" w:rsidRPr="00482722">
        <w:t>l</w:t>
      </w:r>
      <w:r w:rsidR="00042214" w:rsidRPr="00482722">
        <w:t>oyalty</w:t>
      </w:r>
    </w:p>
    <w:p w14:paraId="3834B4C2" w14:textId="409A0F57" w:rsidR="00634D94" w:rsidRPr="00482722" w:rsidRDefault="00634D94" w:rsidP="00016D7E">
      <w:pPr>
        <w:spacing w:line="240" w:lineRule="auto"/>
        <w:jc w:val="both"/>
        <w:rPr>
          <w:rFonts w:ascii="Arial" w:hAnsi="Arial" w:cs="Arial"/>
          <w:sz w:val="20"/>
          <w:szCs w:val="20"/>
        </w:rPr>
      </w:pPr>
      <w:r w:rsidRPr="00482722">
        <w:rPr>
          <w:rFonts w:ascii="Arial" w:hAnsi="Arial" w:cs="Arial"/>
          <w:sz w:val="20"/>
          <w:szCs w:val="20"/>
        </w:rPr>
        <w:t>This research hypothesi</w:t>
      </w:r>
      <w:r w:rsidR="002B0DEA" w:rsidRPr="00482722">
        <w:rPr>
          <w:rFonts w:ascii="Arial" w:hAnsi="Arial" w:cs="Arial"/>
          <w:sz w:val="20"/>
          <w:szCs w:val="20"/>
        </w:rPr>
        <w:t>s</w:t>
      </w:r>
      <w:r w:rsidRPr="00482722">
        <w:rPr>
          <w:rFonts w:ascii="Arial" w:hAnsi="Arial" w:cs="Arial"/>
          <w:sz w:val="20"/>
          <w:szCs w:val="20"/>
        </w:rPr>
        <w:t xml:space="preserve">es that </w:t>
      </w:r>
      <w:r w:rsidR="006E4F7B" w:rsidRPr="00482722">
        <w:rPr>
          <w:rFonts w:ascii="Arial" w:hAnsi="Arial" w:cs="Arial"/>
          <w:sz w:val="20"/>
          <w:szCs w:val="20"/>
        </w:rPr>
        <w:t>service quality</w:t>
      </w:r>
      <w:r w:rsidRPr="00482722">
        <w:rPr>
          <w:rFonts w:ascii="Arial" w:hAnsi="Arial" w:cs="Arial"/>
          <w:sz w:val="20"/>
          <w:szCs w:val="20"/>
        </w:rPr>
        <w:t xml:space="preserve">, </w:t>
      </w:r>
      <w:r w:rsidR="00B91C56" w:rsidRPr="00482722">
        <w:rPr>
          <w:rFonts w:ascii="Arial" w:hAnsi="Arial" w:cs="Arial"/>
          <w:sz w:val="20"/>
          <w:szCs w:val="20"/>
        </w:rPr>
        <w:t>trust in government</w:t>
      </w:r>
      <w:r w:rsidR="0094105E" w:rsidRPr="00482722">
        <w:rPr>
          <w:rFonts w:ascii="Arial" w:hAnsi="Arial" w:cs="Arial"/>
          <w:sz w:val="20"/>
          <w:szCs w:val="20"/>
        </w:rPr>
        <w:t xml:space="preserve">, </w:t>
      </w:r>
      <w:r w:rsidR="00B91C56" w:rsidRPr="00482722">
        <w:rPr>
          <w:rFonts w:ascii="Arial" w:hAnsi="Arial" w:cs="Arial"/>
          <w:sz w:val="20"/>
          <w:szCs w:val="20"/>
        </w:rPr>
        <w:t>trust in e-government</w:t>
      </w:r>
      <w:r w:rsidRPr="00482722">
        <w:rPr>
          <w:rFonts w:ascii="Arial" w:hAnsi="Arial" w:cs="Arial"/>
          <w:sz w:val="20"/>
          <w:szCs w:val="20"/>
        </w:rPr>
        <w:t xml:space="preserve">, and </w:t>
      </w:r>
      <w:r w:rsidR="00B91C56" w:rsidRPr="00482722">
        <w:rPr>
          <w:rFonts w:ascii="Arial" w:hAnsi="Arial" w:cs="Arial"/>
          <w:sz w:val="20"/>
          <w:szCs w:val="20"/>
        </w:rPr>
        <w:t>citizen satisfaction</w:t>
      </w:r>
      <w:r w:rsidRPr="00482722">
        <w:rPr>
          <w:rFonts w:ascii="Arial" w:hAnsi="Arial" w:cs="Arial"/>
          <w:sz w:val="20"/>
          <w:szCs w:val="20"/>
        </w:rPr>
        <w:t xml:space="preserve"> have direct effects on </w:t>
      </w:r>
      <w:r w:rsidR="00016D7E" w:rsidRPr="00482722">
        <w:rPr>
          <w:rFonts w:ascii="Arial" w:hAnsi="Arial" w:cs="Arial"/>
          <w:sz w:val="20"/>
          <w:szCs w:val="20"/>
        </w:rPr>
        <w:t>citizen loyalty</w:t>
      </w:r>
      <w:r w:rsidRPr="00482722">
        <w:rPr>
          <w:rFonts w:ascii="Arial" w:hAnsi="Arial" w:cs="Arial"/>
          <w:sz w:val="20"/>
          <w:szCs w:val="20"/>
        </w:rPr>
        <w:t xml:space="preserve">. The </w:t>
      </w:r>
      <w:r w:rsidR="00027E94" w:rsidRPr="00482722">
        <w:rPr>
          <w:rFonts w:ascii="Arial" w:hAnsi="Arial" w:cs="Arial"/>
          <w:sz w:val="20"/>
          <w:szCs w:val="20"/>
        </w:rPr>
        <w:t>role of</w:t>
      </w:r>
      <w:r w:rsidRPr="00482722">
        <w:rPr>
          <w:rFonts w:ascii="Arial" w:hAnsi="Arial" w:cs="Arial"/>
          <w:sz w:val="20"/>
          <w:szCs w:val="20"/>
        </w:rPr>
        <w:t xml:space="preserve"> </w:t>
      </w:r>
      <w:r w:rsidR="006E4F7B" w:rsidRPr="00482722">
        <w:rPr>
          <w:rFonts w:ascii="Arial" w:hAnsi="Arial" w:cs="Arial"/>
          <w:sz w:val="20"/>
          <w:szCs w:val="20"/>
        </w:rPr>
        <w:t>service quality</w:t>
      </w:r>
      <w:r w:rsidRPr="00482722">
        <w:rPr>
          <w:rFonts w:ascii="Arial" w:hAnsi="Arial" w:cs="Arial"/>
          <w:sz w:val="20"/>
          <w:szCs w:val="20"/>
        </w:rPr>
        <w:t xml:space="preserve"> in the transformation of public services </w:t>
      </w:r>
      <w:r w:rsidR="00BB3E1B" w:rsidRPr="00482722">
        <w:rPr>
          <w:rFonts w:ascii="Arial" w:hAnsi="Arial" w:cs="Arial"/>
          <w:sz w:val="20"/>
          <w:szCs w:val="20"/>
        </w:rPr>
        <w:t xml:space="preserve">has </w:t>
      </w:r>
      <w:r w:rsidRPr="00482722">
        <w:rPr>
          <w:rFonts w:ascii="Arial" w:hAnsi="Arial" w:cs="Arial"/>
          <w:sz w:val="20"/>
          <w:szCs w:val="20"/>
        </w:rPr>
        <w:t xml:space="preserve">increasingly </w:t>
      </w:r>
      <w:r w:rsidR="00BB3E1B" w:rsidRPr="00482722">
        <w:rPr>
          <w:rFonts w:ascii="Arial" w:hAnsi="Arial" w:cs="Arial"/>
          <w:sz w:val="20"/>
          <w:szCs w:val="20"/>
        </w:rPr>
        <w:t xml:space="preserve">been </w:t>
      </w:r>
      <w:r w:rsidRPr="00482722">
        <w:rPr>
          <w:rFonts w:ascii="Arial" w:hAnsi="Arial" w:cs="Arial"/>
          <w:sz w:val="20"/>
          <w:szCs w:val="20"/>
        </w:rPr>
        <w:t>recogni</w:t>
      </w:r>
      <w:r w:rsidR="00027E94" w:rsidRPr="00482722">
        <w:rPr>
          <w:rFonts w:ascii="Arial" w:hAnsi="Arial" w:cs="Arial"/>
          <w:sz w:val="20"/>
          <w:szCs w:val="20"/>
        </w:rPr>
        <w:t>s</w:t>
      </w:r>
      <w:r w:rsidRPr="00482722">
        <w:rPr>
          <w:rFonts w:ascii="Arial" w:hAnsi="Arial" w:cs="Arial"/>
          <w:sz w:val="20"/>
          <w:szCs w:val="20"/>
        </w:rPr>
        <w:t xml:space="preserve">ed in e-government research (Alzahrani et al., 2018; Chatfield </w:t>
      </w:r>
      <w:r w:rsidR="002D35B9" w:rsidRPr="00482722">
        <w:rPr>
          <w:rFonts w:ascii="Arial" w:hAnsi="Arial" w:cs="Arial"/>
          <w:sz w:val="20"/>
          <w:szCs w:val="20"/>
        </w:rPr>
        <w:t>and</w:t>
      </w:r>
      <w:r w:rsidRPr="00482722">
        <w:rPr>
          <w:rFonts w:ascii="Arial" w:hAnsi="Arial" w:cs="Arial"/>
          <w:sz w:val="20"/>
          <w:szCs w:val="20"/>
        </w:rPr>
        <w:t xml:space="preserve"> Alanazi; 2013), </w:t>
      </w:r>
      <w:r w:rsidR="003B1DEE" w:rsidRPr="00482722">
        <w:rPr>
          <w:rFonts w:ascii="Arial" w:hAnsi="Arial" w:cs="Arial"/>
          <w:sz w:val="20"/>
          <w:szCs w:val="20"/>
        </w:rPr>
        <w:t xml:space="preserve">because </w:t>
      </w:r>
      <w:r w:rsidRPr="00482722">
        <w:rPr>
          <w:rFonts w:ascii="Arial" w:hAnsi="Arial" w:cs="Arial"/>
          <w:sz w:val="20"/>
          <w:szCs w:val="20"/>
        </w:rPr>
        <w:t xml:space="preserve">citizens </w:t>
      </w:r>
      <w:r w:rsidR="00027E94" w:rsidRPr="00482722">
        <w:rPr>
          <w:rFonts w:ascii="Arial" w:hAnsi="Arial" w:cs="Arial"/>
          <w:sz w:val="20"/>
          <w:szCs w:val="20"/>
        </w:rPr>
        <w:t xml:space="preserve">often </w:t>
      </w:r>
      <w:r w:rsidRPr="00482722">
        <w:rPr>
          <w:rFonts w:ascii="Arial" w:hAnsi="Arial" w:cs="Arial"/>
          <w:sz w:val="20"/>
          <w:szCs w:val="20"/>
        </w:rPr>
        <w:t xml:space="preserve">have a high propensity to expand their use of e-government services over time (Zhao et al., 2019; da Silva et al., 2013; Bélanger </w:t>
      </w:r>
      <w:r w:rsidR="002D35B9" w:rsidRPr="00482722">
        <w:rPr>
          <w:rFonts w:ascii="Arial" w:hAnsi="Arial" w:cs="Arial"/>
          <w:sz w:val="20"/>
          <w:szCs w:val="20"/>
        </w:rPr>
        <w:t>and</w:t>
      </w:r>
      <w:r w:rsidRPr="00482722">
        <w:rPr>
          <w:rFonts w:ascii="Arial" w:hAnsi="Arial" w:cs="Arial"/>
          <w:sz w:val="20"/>
          <w:szCs w:val="20"/>
        </w:rPr>
        <w:t xml:space="preserve"> Carter, 2008). In general, customer loyalty is built up through superior service quality (</w:t>
      </w:r>
      <w:r w:rsidR="00450914" w:rsidRPr="00482722">
        <w:rPr>
          <w:rFonts w:ascii="Arial" w:hAnsi="Arial" w:cs="Arial"/>
          <w:sz w:val="20"/>
          <w:szCs w:val="20"/>
        </w:rPr>
        <w:t xml:space="preserve">Li </w:t>
      </w:r>
      <w:r w:rsidR="002D35B9" w:rsidRPr="00482722">
        <w:rPr>
          <w:rFonts w:ascii="Arial" w:hAnsi="Arial" w:cs="Arial"/>
          <w:sz w:val="20"/>
          <w:szCs w:val="20"/>
        </w:rPr>
        <w:t>and</w:t>
      </w:r>
      <w:r w:rsidR="00450914" w:rsidRPr="00482722">
        <w:rPr>
          <w:rFonts w:ascii="Arial" w:hAnsi="Arial" w:cs="Arial"/>
          <w:sz w:val="20"/>
          <w:szCs w:val="20"/>
        </w:rPr>
        <w:t xml:space="preserve"> Shang, 2020</w:t>
      </w:r>
      <w:r w:rsidR="00450914" w:rsidRPr="00482722">
        <w:rPr>
          <w:rFonts w:ascii="Arial" w:eastAsia="Times New Roman" w:hAnsi="Arial" w:cs="Arial"/>
          <w:sz w:val="20"/>
          <w:szCs w:val="20"/>
          <w:lang w:eastAsia="en-GB"/>
        </w:rPr>
        <w:t xml:space="preserve">; </w:t>
      </w:r>
      <w:r w:rsidR="00E64AA4" w:rsidRPr="00482722">
        <w:rPr>
          <w:rFonts w:ascii="Arial" w:eastAsia="Times New Roman" w:hAnsi="Arial" w:cs="Arial"/>
          <w:sz w:val="20"/>
          <w:szCs w:val="20"/>
          <w:lang w:eastAsia="en-GB"/>
        </w:rPr>
        <w:t xml:space="preserve">Pearson et al., 2012; </w:t>
      </w:r>
      <w:r w:rsidRPr="00482722">
        <w:rPr>
          <w:rFonts w:ascii="Arial" w:hAnsi="Arial" w:cs="Arial"/>
          <w:sz w:val="20"/>
          <w:szCs w:val="20"/>
        </w:rPr>
        <w:t>Cyr, 2008). In the context of online environment</w:t>
      </w:r>
      <w:r w:rsidR="00027E94" w:rsidRPr="00482722">
        <w:rPr>
          <w:rFonts w:ascii="Arial" w:hAnsi="Arial" w:cs="Arial"/>
          <w:sz w:val="20"/>
          <w:szCs w:val="20"/>
        </w:rPr>
        <w:t>s</w:t>
      </w:r>
      <w:r w:rsidRPr="00482722">
        <w:rPr>
          <w:rFonts w:ascii="Arial" w:hAnsi="Arial" w:cs="Arial"/>
          <w:sz w:val="20"/>
          <w:szCs w:val="20"/>
        </w:rPr>
        <w:t xml:space="preserve">, </w:t>
      </w:r>
      <w:r w:rsidR="009919A9" w:rsidRPr="00482722">
        <w:rPr>
          <w:rFonts w:ascii="Arial" w:hAnsi="Arial" w:cs="Arial"/>
          <w:sz w:val="20"/>
          <w:szCs w:val="20"/>
        </w:rPr>
        <w:t>ensuring</w:t>
      </w:r>
      <w:r w:rsidR="00C66D4E" w:rsidRPr="00482722">
        <w:rPr>
          <w:rFonts w:ascii="Arial" w:hAnsi="Arial" w:cs="Arial"/>
          <w:sz w:val="20"/>
          <w:szCs w:val="20"/>
        </w:rPr>
        <w:t xml:space="preserve"> website quality </w:t>
      </w:r>
      <w:r w:rsidR="009919A9" w:rsidRPr="00482722">
        <w:rPr>
          <w:rFonts w:ascii="Arial" w:hAnsi="Arial" w:cs="Arial"/>
          <w:sz w:val="20"/>
          <w:szCs w:val="20"/>
        </w:rPr>
        <w:t xml:space="preserve">is important for </w:t>
      </w:r>
      <w:r w:rsidR="00C66D4E" w:rsidRPr="00482722">
        <w:rPr>
          <w:rFonts w:ascii="Arial" w:hAnsi="Arial" w:cs="Arial"/>
          <w:sz w:val="20"/>
          <w:szCs w:val="20"/>
        </w:rPr>
        <w:t>increas</w:t>
      </w:r>
      <w:r w:rsidR="009919A9" w:rsidRPr="00482722">
        <w:rPr>
          <w:rFonts w:ascii="Arial" w:hAnsi="Arial" w:cs="Arial"/>
          <w:sz w:val="20"/>
          <w:szCs w:val="20"/>
        </w:rPr>
        <w:t>ing</w:t>
      </w:r>
      <w:r w:rsidR="00C66D4E" w:rsidRPr="00482722">
        <w:rPr>
          <w:rFonts w:ascii="Arial" w:hAnsi="Arial" w:cs="Arial"/>
          <w:sz w:val="20"/>
          <w:szCs w:val="20"/>
        </w:rPr>
        <w:t xml:space="preserve"> </w:t>
      </w:r>
      <w:r w:rsidRPr="00482722">
        <w:rPr>
          <w:rFonts w:ascii="Arial" w:hAnsi="Arial" w:cs="Arial"/>
          <w:sz w:val="20"/>
          <w:szCs w:val="20"/>
        </w:rPr>
        <w:t>consumer</w:t>
      </w:r>
      <w:r w:rsidR="00027E94" w:rsidRPr="00482722">
        <w:rPr>
          <w:rFonts w:ascii="Arial" w:hAnsi="Arial" w:cs="Arial"/>
          <w:sz w:val="20"/>
          <w:szCs w:val="20"/>
        </w:rPr>
        <w:t>s’</w:t>
      </w:r>
      <w:r w:rsidRPr="00482722">
        <w:rPr>
          <w:rFonts w:ascii="Arial" w:hAnsi="Arial" w:cs="Arial"/>
          <w:sz w:val="20"/>
          <w:szCs w:val="20"/>
        </w:rPr>
        <w:t xml:space="preserve"> willingness to return and do more business or recommend a service provider to others</w:t>
      </w:r>
      <w:r w:rsidR="00C66D4E" w:rsidRPr="00482722">
        <w:rPr>
          <w:rFonts w:ascii="Arial" w:hAnsi="Arial" w:cs="Arial"/>
          <w:sz w:val="20"/>
          <w:szCs w:val="20"/>
        </w:rPr>
        <w:t xml:space="preserve">. This is the case </w:t>
      </w:r>
      <w:r w:rsidRPr="00482722">
        <w:rPr>
          <w:rFonts w:ascii="Arial" w:hAnsi="Arial" w:cs="Arial"/>
          <w:sz w:val="20"/>
          <w:szCs w:val="20"/>
        </w:rPr>
        <w:t xml:space="preserve">in any relationship established between </w:t>
      </w:r>
      <w:r w:rsidR="00107169" w:rsidRPr="00482722">
        <w:rPr>
          <w:rFonts w:ascii="Arial" w:hAnsi="Arial" w:cs="Arial"/>
          <w:sz w:val="20"/>
          <w:szCs w:val="20"/>
        </w:rPr>
        <w:t xml:space="preserve">a </w:t>
      </w:r>
      <w:r w:rsidRPr="00482722">
        <w:rPr>
          <w:rFonts w:ascii="Arial" w:hAnsi="Arial" w:cs="Arial"/>
          <w:sz w:val="20"/>
          <w:szCs w:val="20"/>
        </w:rPr>
        <w:t>client and</w:t>
      </w:r>
      <w:r w:rsidR="00107169" w:rsidRPr="00482722">
        <w:rPr>
          <w:rFonts w:ascii="Arial" w:hAnsi="Arial" w:cs="Arial"/>
          <w:sz w:val="20"/>
          <w:szCs w:val="20"/>
        </w:rPr>
        <w:t xml:space="preserve"> a</w:t>
      </w:r>
      <w:r w:rsidRPr="00482722">
        <w:rPr>
          <w:rFonts w:ascii="Arial" w:hAnsi="Arial" w:cs="Arial"/>
          <w:sz w:val="20"/>
          <w:szCs w:val="20"/>
        </w:rPr>
        <w:t xml:space="preserve"> traditional service provider (</w:t>
      </w:r>
      <w:r w:rsidRPr="00482722">
        <w:rPr>
          <w:rFonts w:ascii="Arial" w:eastAsia="Times New Roman" w:hAnsi="Arial" w:cs="Arial"/>
          <w:sz w:val="20"/>
          <w:szCs w:val="20"/>
          <w:lang w:eastAsia="en-GB"/>
        </w:rPr>
        <w:t xml:space="preserve">Gao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Li, 2019; </w:t>
      </w:r>
      <w:r w:rsidRPr="00482722">
        <w:rPr>
          <w:rFonts w:ascii="Arial" w:hAnsi="Arial" w:cs="Arial"/>
          <w:sz w:val="20"/>
          <w:szCs w:val="20"/>
        </w:rPr>
        <w:t xml:space="preserve">Sá, et al., 2016). </w:t>
      </w:r>
      <w:r w:rsidR="00027E94" w:rsidRPr="00482722">
        <w:rPr>
          <w:rFonts w:ascii="Arial" w:hAnsi="Arial" w:cs="Arial"/>
          <w:sz w:val="20"/>
          <w:szCs w:val="20"/>
        </w:rPr>
        <w:t>P</w:t>
      </w:r>
      <w:r w:rsidRPr="00482722">
        <w:rPr>
          <w:rFonts w:ascii="Arial" w:hAnsi="Arial" w:cs="Arial"/>
          <w:sz w:val="20"/>
          <w:szCs w:val="20"/>
        </w:rPr>
        <w:t xml:space="preserve">erceived service quality </w:t>
      </w:r>
      <w:r w:rsidR="00107169" w:rsidRPr="00482722">
        <w:rPr>
          <w:rFonts w:ascii="Arial" w:hAnsi="Arial" w:cs="Arial"/>
          <w:sz w:val="20"/>
          <w:szCs w:val="20"/>
        </w:rPr>
        <w:t xml:space="preserve">has been shown </w:t>
      </w:r>
      <w:r w:rsidRPr="00482722">
        <w:rPr>
          <w:rFonts w:ascii="Arial" w:hAnsi="Arial" w:cs="Arial"/>
          <w:sz w:val="20"/>
          <w:szCs w:val="20"/>
        </w:rPr>
        <w:t>to have a significant effect on consumer loyalty (</w:t>
      </w:r>
      <w:r w:rsidR="00450914" w:rsidRPr="00482722">
        <w:rPr>
          <w:rFonts w:ascii="Arial" w:eastAsia="Times New Roman" w:hAnsi="Arial" w:cs="Arial"/>
          <w:sz w:val="20"/>
          <w:szCs w:val="20"/>
          <w:lang w:eastAsia="en-GB"/>
        </w:rPr>
        <w:t xml:space="preserve">Yadav </w:t>
      </w:r>
      <w:r w:rsidR="002D35B9" w:rsidRPr="00482722">
        <w:rPr>
          <w:rFonts w:ascii="Arial" w:eastAsia="Times New Roman" w:hAnsi="Arial" w:cs="Arial"/>
          <w:sz w:val="20"/>
          <w:szCs w:val="20"/>
          <w:lang w:eastAsia="en-GB"/>
        </w:rPr>
        <w:t>and</w:t>
      </w:r>
      <w:r w:rsidR="00450914" w:rsidRPr="00482722">
        <w:rPr>
          <w:rFonts w:ascii="Arial" w:eastAsia="Times New Roman" w:hAnsi="Arial" w:cs="Arial"/>
          <w:sz w:val="20"/>
          <w:szCs w:val="20"/>
          <w:lang w:eastAsia="en-GB"/>
        </w:rPr>
        <w:t xml:space="preserve"> Rai 2019; </w:t>
      </w:r>
      <w:r w:rsidRPr="00482722">
        <w:rPr>
          <w:rFonts w:ascii="Arial" w:hAnsi="Arial" w:cs="Arial"/>
          <w:sz w:val="20"/>
          <w:szCs w:val="20"/>
        </w:rPr>
        <w:t xml:space="preserve">Gefen, 2002). In e-government research, the direct effect of </w:t>
      </w:r>
      <w:r w:rsidR="006E4F7B" w:rsidRPr="00482722">
        <w:rPr>
          <w:rFonts w:ascii="Arial" w:hAnsi="Arial" w:cs="Arial"/>
          <w:sz w:val="20"/>
          <w:szCs w:val="20"/>
        </w:rPr>
        <w:t>service quality</w:t>
      </w:r>
      <w:r w:rsidRPr="00482722">
        <w:rPr>
          <w:rFonts w:ascii="Arial" w:hAnsi="Arial" w:cs="Arial"/>
          <w:sz w:val="20"/>
          <w:szCs w:val="20"/>
        </w:rPr>
        <w:t xml:space="preserve"> on </w:t>
      </w:r>
      <w:r w:rsidR="00016D7E" w:rsidRPr="00482722">
        <w:rPr>
          <w:rFonts w:ascii="Arial" w:hAnsi="Arial" w:cs="Arial"/>
          <w:sz w:val="20"/>
          <w:szCs w:val="20"/>
        </w:rPr>
        <w:t>citizen loyalty</w:t>
      </w:r>
      <w:r w:rsidRPr="00482722">
        <w:rPr>
          <w:rFonts w:ascii="Arial" w:hAnsi="Arial" w:cs="Arial"/>
          <w:sz w:val="20"/>
          <w:szCs w:val="20"/>
        </w:rPr>
        <w:t xml:space="preserve"> </w:t>
      </w:r>
      <w:r w:rsidR="006330CD" w:rsidRPr="00482722">
        <w:rPr>
          <w:rFonts w:ascii="Arial" w:hAnsi="Arial" w:cs="Arial"/>
          <w:sz w:val="20"/>
          <w:szCs w:val="20"/>
        </w:rPr>
        <w:t xml:space="preserve">has </w:t>
      </w:r>
      <w:r w:rsidRPr="00482722">
        <w:rPr>
          <w:rFonts w:ascii="Arial" w:hAnsi="Arial" w:cs="Arial"/>
          <w:sz w:val="20"/>
          <w:szCs w:val="20"/>
        </w:rPr>
        <w:t xml:space="preserve">also </w:t>
      </w:r>
      <w:r w:rsidR="006330CD" w:rsidRPr="00482722">
        <w:rPr>
          <w:rFonts w:ascii="Arial" w:hAnsi="Arial" w:cs="Arial"/>
          <w:sz w:val="20"/>
          <w:szCs w:val="20"/>
        </w:rPr>
        <w:t xml:space="preserve">been </w:t>
      </w:r>
      <w:r w:rsidRPr="00482722">
        <w:rPr>
          <w:rFonts w:ascii="Arial" w:hAnsi="Arial" w:cs="Arial"/>
          <w:sz w:val="20"/>
          <w:szCs w:val="20"/>
        </w:rPr>
        <w:t>supported (</w:t>
      </w:r>
      <w:r w:rsidR="0069163C" w:rsidRPr="00482722">
        <w:rPr>
          <w:rFonts w:ascii="Arial" w:hAnsi="Arial" w:cs="Arial"/>
          <w:sz w:val="20"/>
          <w:szCs w:val="20"/>
        </w:rPr>
        <w:t xml:space="preserve">Li </w:t>
      </w:r>
      <w:r w:rsidR="002D35B9" w:rsidRPr="00482722">
        <w:rPr>
          <w:rFonts w:ascii="Arial" w:hAnsi="Arial" w:cs="Arial"/>
          <w:sz w:val="20"/>
          <w:szCs w:val="20"/>
        </w:rPr>
        <w:t>and</w:t>
      </w:r>
      <w:r w:rsidR="0069163C" w:rsidRPr="00482722">
        <w:rPr>
          <w:rFonts w:ascii="Arial" w:hAnsi="Arial" w:cs="Arial"/>
          <w:sz w:val="20"/>
          <w:szCs w:val="20"/>
        </w:rPr>
        <w:t xml:space="preserve"> Shang, 2020</w:t>
      </w:r>
      <w:r w:rsidR="0069163C" w:rsidRPr="00482722">
        <w:rPr>
          <w:rFonts w:ascii="Arial" w:eastAsia="Times New Roman" w:hAnsi="Arial" w:cs="Arial"/>
          <w:sz w:val="20"/>
          <w:szCs w:val="20"/>
          <w:lang w:eastAsia="en-GB"/>
        </w:rPr>
        <w:t xml:space="preserve">; </w:t>
      </w:r>
      <w:r w:rsidRPr="00482722">
        <w:rPr>
          <w:rFonts w:ascii="Arial" w:hAnsi="Arial" w:cs="Arial"/>
          <w:sz w:val="20"/>
          <w:szCs w:val="20"/>
        </w:rPr>
        <w:t xml:space="preserve">Chatfield </w:t>
      </w:r>
      <w:r w:rsidR="002D35B9" w:rsidRPr="00482722">
        <w:rPr>
          <w:rFonts w:ascii="Arial" w:hAnsi="Arial" w:cs="Arial"/>
          <w:sz w:val="20"/>
          <w:szCs w:val="20"/>
        </w:rPr>
        <w:t>and</w:t>
      </w:r>
      <w:r w:rsidRPr="00482722">
        <w:rPr>
          <w:rFonts w:ascii="Arial" w:hAnsi="Arial" w:cs="Arial"/>
          <w:sz w:val="20"/>
          <w:szCs w:val="20"/>
        </w:rPr>
        <w:t xml:space="preserve"> Alanazi; 2013; </w:t>
      </w:r>
      <w:r w:rsidRPr="00482722">
        <w:rPr>
          <w:rFonts w:ascii="Arial" w:eastAsia="Times New Roman" w:hAnsi="Arial" w:cs="Arial"/>
          <w:sz w:val="20"/>
          <w:szCs w:val="20"/>
          <w:lang w:eastAsia="en-GB"/>
        </w:rPr>
        <w:t>Connolly et al., 2010</w:t>
      </w:r>
      <w:r w:rsidRPr="00482722">
        <w:rPr>
          <w:rFonts w:ascii="Arial" w:hAnsi="Arial" w:cs="Arial"/>
          <w:sz w:val="20"/>
          <w:szCs w:val="20"/>
        </w:rPr>
        <w:t>). Thus,</w:t>
      </w:r>
      <w:r w:rsidR="00B9656F" w:rsidRPr="00482722">
        <w:rPr>
          <w:rFonts w:ascii="Arial" w:hAnsi="Arial" w:cs="Arial"/>
          <w:sz w:val="20"/>
          <w:szCs w:val="20"/>
        </w:rPr>
        <w:t xml:space="preserve"> in</w:t>
      </w:r>
      <w:r w:rsidRPr="00482722">
        <w:rPr>
          <w:rFonts w:ascii="Arial" w:hAnsi="Arial" w:cs="Arial"/>
          <w:sz w:val="20"/>
          <w:szCs w:val="20"/>
        </w:rPr>
        <w:t xml:space="preserve"> this study</w:t>
      </w:r>
      <w:r w:rsidR="00B9656F" w:rsidRPr="00482722">
        <w:rPr>
          <w:rFonts w:ascii="Arial" w:hAnsi="Arial" w:cs="Arial"/>
          <w:sz w:val="20"/>
          <w:szCs w:val="20"/>
        </w:rPr>
        <w:t>, we</w:t>
      </w:r>
      <w:r w:rsidRPr="00482722">
        <w:rPr>
          <w:rFonts w:ascii="Arial" w:hAnsi="Arial" w:cs="Arial"/>
          <w:sz w:val="20"/>
          <w:szCs w:val="20"/>
        </w:rPr>
        <w:t xml:space="preserve"> argue that high service quality should arguably increase citizen loyalty to e-government services. </w:t>
      </w:r>
      <w:r w:rsidR="00B9656F" w:rsidRPr="00482722">
        <w:rPr>
          <w:rFonts w:ascii="Arial" w:hAnsi="Arial" w:cs="Arial"/>
          <w:sz w:val="20"/>
          <w:szCs w:val="20"/>
        </w:rPr>
        <w:t>Thus, we hypothesise:</w:t>
      </w:r>
    </w:p>
    <w:p w14:paraId="59074DC4" w14:textId="1E6B25A7" w:rsidR="00634D94" w:rsidRPr="00482722" w:rsidRDefault="00634D94" w:rsidP="00DA5EEC">
      <w:pPr>
        <w:spacing w:line="240" w:lineRule="auto"/>
        <w:jc w:val="both"/>
        <w:rPr>
          <w:rFonts w:ascii="Arial" w:hAnsi="Arial" w:cs="Arial"/>
          <w:sz w:val="20"/>
          <w:szCs w:val="20"/>
        </w:rPr>
      </w:pPr>
      <w:r w:rsidRPr="00482722">
        <w:rPr>
          <w:rFonts w:ascii="Arial" w:hAnsi="Arial" w:cs="Arial"/>
          <w:bCs/>
          <w:i/>
          <w:iCs/>
          <w:sz w:val="20"/>
          <w:szCs w:val="20"/>
        </w:rPr>
        <w:t>H9</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S</w:t>
      </w:r>
      <w:r w:rsidR="006E4F7B" w:rsidRPr="00482722">
        <w:rPr>
          <w:rFonts w:ascii="Arial" w:hAnsi="Arial" w:cs="Arial"/>
          <w:sz w:val="20"/>
          <w:szCs w:val="20"/>
        </w:rPr>
        <w:t>ervice quality</w:t>
      </w:r>
      <w:r w:rsidRPr="00482722">
        <w:rPr>
          <w:rFonts w:ascii="Arial" w:hAnsi="Arial" w:cs="Arial"/>
          <w:sz w:val="20"/>
          <w:szCs w:val="20"/>
        </w:rPr>
        <w:t xml:space="preserve"> has a direct and positive influence on </w:t>
      </w:r>
      <w:r w:rsidR="00016D7E" w:rsidRPr="00482722">
        <w:rPr>
          <w:rFonts w:ascii="Arial" w:hAnsi="Arial" w:cs="Arial"/>
          <w:sz w:val="20"/>
          <w:szCs w:val="20"/>
        </w:rPr>
        <w:t>citizen loyalty</w:t>
      </w:r>
      <w:r w:rsidRPr="00482722">
        <w:rPr>
          <w:rFonts w:ascii="Arial" w:hAnsi="Arial" w:cs="Arial"/>
          <w:sz w:val="20"/>
          <w:szCs w:val="20"/>
        </w:rPr>
        <w:t xml:space="preserve"> to e-government services.</w:t>
      </w:r>
    </w:p>
    <w:p w14:paraId="32FFFEEA" w14:textId="6EF392D7" w:rsidR="0069163C" w:rsidRPr="00482722" w:rsidRDefault="00634D94" w:rsidP="00DA5EEC">
      <w:pPr>
        <w:spacing w:line="240" w:lineRule="auto"/>
        <w:jc w:val="both"/>
        <w:rPr>
          <w:rFonts w:ascii="Arial" w:hAnsi="Arial" w:cs="Arial"/>
          <w:sz w:val="20"/>
          <w:szCs w:val="20"/>
        </w:rPr>
      </w:pPr>
      <w:r w:rsidRPr="00482722">
        <w:rPr>
          <w:rFonts w:ascii="Arial" w:hAnsi="Arial" w:cs="Arial"/>
          <w:sz w:val="20"/>
          <w:szCs w:val="20"/>
        </w:rPr>
        <w:t xml:space="preserve">In addition, </w:t>
      </w:r>
      <w:r w:rsidR="0069163C" w:rsidRPr="00482722">
        <w:rPr>
          <w:rFonts w:ascii="Arial" w:hAnsi="Arial" w:cs="Arial"/>
          <w:sz w:val="20"/>
          <w:szCs w:val="20"/>
        </w:rPr>
        <w:t>citizen</w:t>
      </w:r>
      <w:r w:rsidR="005460AF" w:rsidRPr="00482722">
        <w:rPr>
          <w:rFonts w:ascii="Arial" w:hAnsi="Arial" w:cs="Arial"/>
          <w:sz w:val="20"/>
          <w:szCs w:val="20"/>
        </w:rPr>
        <w:t xml:space="preserve"> trust </w:t>
      </w:r>
      <w:r w:rsidR="006330CD" w:rsidRPr="00482722">
        <w:rPr>
          <w:rFonts w:ascii="Arial" w:hAnsi="Arial" w:cs="Arial"/>
          <w:sz w:val="20"/>
          <w:szCs w:val="20"/>
        </w:rPr>
        <w:t xml:space="preserve">of </w:t>
      </w:r>
      <w:r w:rsidRPr="00482722">
        <w:rPr>
          <w:rFonts w:ascii="Arial" w:hAnsi="Arial" w:cs="Arial"/>
          <w:sz w:val="20"/>
          <w:szCs w:val="20"/>
        </w:rPr>
        <w:t xml:space="preserve">government </w:t>
      </w:r>
      <w:r w:rsidR="0069163C" w:rsidRPr="00482722">
        <w:rPr>
          <w:rFonts w:ascii="Arial" w:hAnsi="Arial" w:cs="Arial"/>
          <w:sz w:val="20"/>
          <w:szCs w:val="20"/>
        </w:rPr>
        <w:t xml:space="preserve">agencies </w:t>
      </w:r>
      <w:r w:rsidRPr="00482722">
        <w:rPr>
          <w:rFonts w:ascii="Arial" w:hAnsi="Arial" w:cs="Arial"/>
          <w:sz w:val="20"/>
          <w:szCs w:val="20"/>
        </w:rPr>
        <w:t xml:space="preserve">plays a central role in </w:t>
      </w:r>
      <w:r w:rsidR="006330CD" w:rsidRPr="00482722">
        <w:rPr>
          <w:rFonts w:ascii="Arial" w:hAnsi="Arial" w:cs="Arial"/>
          <w:sz w:val="20"/>
          <w:szCs w:val="20"/>
        </w:rPr>
        <w:t>forming</w:t>
      </w:r>
      <w:r w:rsidRPr="00482722">
        <w:rPr>
          <w:rFonts w:ascii="Arial" w:hAnsi="Arial" w:cs="Arial"/>
          <w:sz w:val="20"/>
          <w:szCs w:val="20"/>
        </w:rPr>
        <w:t xml:space="preserve"> citizen loyalty to </w:t>
      </w:r>
      <w:r w:rsidR="0069163C" w:rsidRPr="00482722">
        <w:rPr>
          <w:rFonts w:ascii="Arial" w:hAnsi="Arial" w:cs="Arial"/>
          <w:sz w:val="20"/>
          <w:szCs w:val="20"/>
        </w:rPr>
        <w:t xml:space="preserve">e-government </w:t>
      </w:r>
      <w:r w:rsidRPr="00482722">
        <w:rPr>
          <w:rFonts w:ascii="Arial" w:hAnsi="Arial" w:cs="Arial"/>
          <w:sz w:val="20"/>
          <w:szCs w:val="20"/>
        </w:rPr>
        <w:t xml:space="preserve">services. </w:t>
      </w:r>
      <w:r w:rsidR="00357CFC" w:rsidRPr="00482722">
        <w:rPr>
          <w:rFonts w:ascii="Arial" w:hAnsi="Arial" w:cs="Arial"/>
          <w:sz w:val="20"/>
          <w:szCs w:val="20"/>
        </w:rPr>
        <w:t xml:space="preserve">Citizen trust in government </w:t>
      </w:r>
      <w:r w:rsidR="006330CD" w:rsidRPr="00482722">
        <w:rPr>
          <w:rFonts w:ascii="Arial" w:hAnsi="Arial" w:cs="Arial"/>
          <w:sz w:val="20"/>
          <w:szCs w:val="20"/>
        </w:rPr>
        <w:t>develops</w:t>
      </w:r>
      <w:r w:rsidR="00357CFC" w:rsidRPr="00482722">
        <w:rPr>
          <w:rFonts w:ascii="Arial" w:hAnsi="Arial" w:cs="Arial"/>
          <w:sz w:val="20"/>
          <w:szCs w:val="20"/>
        </w:rPr>
        <w:t xml:space="preserve"> over time according to the social context or the</w:t>
      </w:r>
      <w:r w:rsidR="00CD4250" w:rsidRPr="00482722">
        <w:rPr>
          <w:rFonts w:ascii="Arial" w:hAnsi="Arial" w:cs="Arial"/>
          <w:sz w:val="20"/>
          <w:szCs w:val="20"/>
        </w:rPr>
        <w:t>ir</w:t>
      </w:r>
      <w:r w:rsidR="00357CFC" w:rsidRPr="00482722">
        <w:rPr>
          <w:rFonts w:ascii="Arial" w:hAnsi="Arial" w:cs="Arial"/>
          <w:sz w:val="20"/>
          <w:szCs w:val="20"/>
        </w:rPr>
        <w:t xml:space="preserve"> interaction with government agencies</w:t>
      </w:r>
      <w:r w:rsidR="00CD4250" w:rsidRPr="00482722">
        <w:rPr>
          <w:rFonts w:ascii="Arial" w:hAnsi="Arial" w:cs="Arial"/>
          <w:sz w:val="20"/>
          <w:szCs w:val="20"/>
        </w:rPr>
        <w:t>’</w:t>
      </w:r>
      <w:r w:rsidR="00357CFC" w:rsidRPr="00482722">
        <w:rPr>
          <w:rFonts w:ascii="Arial" w:hAnsi="Arial" w:cs="Arial"/>
          <w:sz w:val="20"/>
          <w:szCs w:val="20"/>
        </w:rPr>
        <w:t xml:space="preserve"> </w:t>
      </w:r>
      <w:r w:rsidR="0000212F" w:rsidRPr="00482722">
        <w:rPr>
          <w:rFonts w:ascii="Arial" w:hAnsi="Arial" w:cs="Arial"/>
          <w:sz w:val="20"/>
          <w:szCs w:val="20"/>
        </w:rPr>
        <w:t xml:space="preserve">programmes </w:t>
      </w:r>
      <w:r w:rsidR="00357CFC" w:rsidRPr="00482722">
        <w:rPr>
          <w:rFonts w:ascii="Arial" w:hAnsi="Arial" w:cs="Arial"/>
          <w:sz w:val="20"/>
          <w:szCs w:val="20"/>
        </w:rPr>
        <w:t xml:space="preserve">and services (Welch et al., 2004). </w:t>
      </w:r>
      <w:r w:rsidR="009A4B87" w:rsidRPr="00482722">
        <w:rPr>
          <w:rFonts w:ascii="Arial" w:hAnsi="Arial" w:cs="Arial"/>
          <w:sz w:val="20"/>
          <w:szCs w:val="20"/>
        </w:rPr>
        <w:t xml:space="preserve">Thus, the </w:t>
      </w:r>
      <w:r w:rsidR="00CD4250" w:rsidRPr="00482722">
        <w:rPr>
          <w:rFonts w:ascii="Arial" w:hAnsi="Arial" w:cs="Arial"/>
          <w:sz w:val="20"/>
          <w:szCs w:val="20"/>
        </w:rPr>
        <w:t>stronger</w:t>
      </w:r>
      <w:r w:rsidR="009A4B87" w:rsidRPr="00482722">
        <w:rPr>
          <w:rFonts w:ascii="Arial" w:hAnsi="Arial" w:cs="Arial"/>
          <w:sz w:val="20"/>
          <w:szCs w:val="20"/>
        </w:rPr>
        <w:t xml:space="preserve"> </w:t>
      </w:r>
      <w:r w:rsidR="003A7793" w:rsidRPr="00482722">
        <w:rPr>
          <w:rFonts w:ascii="Arial" w:hAnsi="Arial" w:cs="Arial"/>
          <w:sz w:val="20"/>
          <w:szCs w:val="20"/>
        </w:rPr>
        <w:t xml:space="preserve">a </w:t>
      </w:r>
      <w:r w:rsidR="009A4B87" w:rsidRPr="00482722">
        <w:rPr>
          <w:rFonts w:ascii="Arial" w:hAnsi="Arial" w:cs="Arial"/>
          <w:sz w:val="20"/>
          <w:szCs w:val="20"/>
        </w:rPr>
        <w:t>citizen</w:t>
      </w:r>
      <w:r w:rsidR="003A7793" w:rsidRPr="00482722">
        <w:rPr>
          <w:rFonts w:ascii="Arial" w:hAnsi="Arial" w:cs="Arial"/>
          <w:sz w:val="20"/>
          <w:szCs w:val="20"/>
        </w:rPr>
        <w:t>’</w:t>
      </w:r>
      <w:r w:rsidR="00C01302" w:rsidRPr="00482722">
        <w:rPr>
          <w:rFonts w:ascii="Arial" w:hAnsi="Arial" w:cs="Arial"/>
          <w:sz w:val="20"/>
          <w:szCs w:val="20"/>
        </w:rPr>
        <w:t xml:space="preserve">s </w:t>
      </w:r>
      <w:r w:rsidR="009A4B87" w:rsidRPr="00482722">
        <w:rPr>
          <w:rFonts w:ascii="Arial" w:hAnsi="Arial" w:cs="Arial"/>
          <w:sz w:val="20"/>
          <w:szCs w:val="20"/>
        </w:rPr>
        <w:t xml:space="preserve">belief that government agencies will act </w:t>
      </w:r>
      <w:r w:rsidR="00CD4250" w:rsidRPr="00482722">
        <w:rPr>
          <w:rFonts w:ascii="Arial" w:hAnsi="Arial" w:cs="Arial"/>
          <w:sz w:val="20"/>
          <w:szCs w:val="20"/>
        </w:rPr>
        <w:t>i</w:t>
      </w:r>
      <w:r w:rsidR="009A4B87" w:rsidRPr="00482722">
        <w:rPr>
          <w:rFonts w:ascii="Arial" w:hAnsi="Arial" w:cs="Arial"/>
          <w:sz w:val="20"/>
          <w:szCs w:val="20"/>
        </w:rPr>
        <w:t>n the</w:t>
      </w:r>
      <w:r w:rsidR="00CD4250" w:rsidRPr="00482722">
        <w:rPr>
          <w:rFonts w:ascii="Arial" w:hAnsi="Arial" w:cs="Arial"/>
          <w:sz w:val="20"/>
          <w:szCs w:val="20"/>
        </w:rPr>
        <w:t>ir</w:t>
      </w:r>
      <w:r w:rsidR="009A4B87" w:rsidRPr="00482722">
        <w:rPr>
          <w:rFonts w:ascii="Arial" w:hAnsi="Arial" w:cs="Arial"/>
          <w:sz w:val="20"/>
          <w:szCs w:val="20"/>
        </w:rPr>
        <w:t xml:space="preserve"> best interest</w:t>
      </w:r>
      <w:r w:rsidR="00CD4250" w:rsidRPr="00482722">
        <w:rPr>
          <w:rFonts w:ascii="Arial" w:hAnsi="Arial" w:cs="Arial"/>
          <w:sz w:val="20"/>
          <w:szCs w:val="20"/>
        </w:rPr>
        <w:t>s,</w:t>
      </w:r>
      <w:r w:rsidR="009A4B87" w:rsidRPr="00482722">
        <w:rPr>
          <w:rFonts w:ascii="Arial" w:hAnsi="Arial" w:cs="Arial"/>
          <w:sz w:val="20"/>
          <w:szCs w:val="20"/>
        </w:rPr>
        <w:t xml:space="preserve"> in a transparent and fair manner </w:t>
      </w:r>
      <w:r w:rsidR="00CD4250" w:rsidRPr="00482722">
        <w:rPr>
          <w:rFonts w:ascii="Arial" w:hAnsi="Arial" w:cs="Arial"/>
          <w:sz w:val="20"/>
          <w:szCs w:val="20"/>
        </w:rPr>
        <w:t xml:space="preserve">and </w:t>
      </w:r>
      <w:r w:rsidR="009A4B87" w:rsidRPr="00482722">
        <w:rPr>
          <w:rFonts w:ascii="Arial" w:hAnsi="Arial" w:cs="Arial"/>
          <w:sz w:val="20"/>
          <w:szCs w:val="20"/>
        </w:rPr>
        <w:t xml:space="preserve">according to professional and ethical standards, the greater </w:t>
      </w:r>
      <w:r w:rsidR="003A7793" w:rsidRPr="00482722">
        <w:rPr>
          <w:rFonts w:ascii="Arial" w:hAnsi="Arial" w:cs="Arial"/>
          <w:sz w:val="20"/>
          <w:szCs w:val="20"/>
        </w:rPr>
        <w:t>their</w:t>
      </w:r>
      <w:r w:rsidR="009A4B87" w:rsidRPr="00482722">
        <w:rPr>
          <w:rFonts w:ascii="Arial" w:hAnsi="Arial" w:cs="Arial"/>
          <w:sz w:val="20"/>
          <w:szCs w:val="20"/>
        </w:rPr>
        <w:t xml:space="preserve"> confidence in government</w:t>
      </w:r>
      <w:r w:rsidR="00D83615" w:rsidRPr="00482722">
        <w:rPr>
          <w:rFonts w:ascii="Arial" w:hAnsi="Arial" w:cs="Arial"/>
          <w:sz w:val="20"/>
          <w:szCs w:val="20"/>
        </w:rPr>
        <w:t xml:space="preserve"> services</w:t>
      </w:r>
      <w:r w:rsidR="00356B9C" w:rsidRPr="00482722">
        <w:rPr>
          <w:rFonts w:ascii="Arial" w:hAnsi="Arial" w:cs="Arial"/>
          <w:sz w:val="20"/>
          <w:szCs w:val="20"/>
        </w:rPr>
        <w:t xml:space="preserve"> (</w:t>
      </w:r>
      <w:r w:rsidR="00811F80" w:rsidRPr="00482722">
        <w:rPr>
          <w:rFonts w:ascii="Arial" w:hAnsi="Arial" w:cs="Arial"/>
          <w:sz w:val="20"/>
          <w:szCs w:val="20"/>
        </w:rPr>
        <w:t xml:space="preserve">Alkraiji, 2020a, Janssen et al., 2018; Bélanger </w:t>
      </w:r>
      <w:r w:rsidR="002D35B9" w:rsidRPr="00482722">
        <w:rPr>
          <w:rFonts w:ascii="Arial" w:hAnsi="Arial" w:cs="Arial"/>
          <w:sz w:val="20"/>
          <w:szCs w:val="20"/>
        </w:rPr>
        <w:t>and</w:t>
      </w:r>
      <w:r w:rsidR="00811F80" w:rsidRPr="00482722">
        <w:rPr>
          <w:rFonts w:ascii="Arial" w:hAnsi="Arial" w:cs="Arial"/>
          <w:sz w:val="20"/>
          <w:szCs w:val="20"/>
        </w:rPr>
        <w:t xml:space="preserve"> Carter, 2008</w:t>
      </w:r>
      <w:r w:rsidR="00356B9C" w:rsidRPr="00482722">
        <w:rPr>
          <w:rFonts w:ascii="Arial" w:hAnsi="Arial" w:cs="Arial"/>
          <w:sz w:val="20"/>
          <w:szCs w:val="20"/>
        </w:rPr>
        <w:t>)</w:t>
      </w:r>
      <w:r w:rsidR="009A4B87" w:rsidRPr="00482722">
        <w:rPr>
          <w:rFonts w:ascii="Arial" w:hAnsi="Arial" w:cs="Arial"/>
          <w:sz w:val="20"/>
          <w:szCs w:val="20"/>
        </w:rPr>
        <w:t xml:space="preserve">. </w:t>
      </w:r>
      <w:r w:rsidR="00712F4E" w:rsidRPr="00482722">
        <w:rPr>
          <w:rFonts w:ascii="Arial" w:hAnsi="Arial" w:cs="Arial"/>
          <w:sz w:val="20"/>
          <w:szCs w:val="20"/>
        </w:rPr>
        <w:t xml:space="preserve">Thanks </w:t>
      </w:r>
      <w:r w:rsidR="005460AF" w:rsidRPr="00482722">
        <w:rPr>
          <w:rFonts w:ascii="Arial" w:hAnsi="Arial" w:cs="Arial"/>
          <w:sz w:val="20"/>
          <w:szCs w:val="20"/>
        </w:rPr>
        <w:t>to</w:t>
      </w:r>
      <w:r w:rsidR="00356B9C" w:rsidRPr="00482722">
        <w:rPr>
          <w:rFonts w:ascii="Arial" w:hAnsi="Arial" w:cs="Arial"/>
          <w:sz w:val="20"/>
          <w:szCs w:val="20"/>
        </w:rPr>
        <w:t xml:space="preserve"> rapid advance</w:t>
      </w:r>
      <w:r w:rsidR="0082735A" w:rsidRPr="00482722">
        <w:rPr>
          <w:rFonts w:ascii="Arial" w:hAnsi="Arial" w:cs="Arial"/>
          <w:sz w:val="20"/>
          <w:szCs w:val="20"/>
        </w:rPr>
        <w:t>s</w:t>
      </w:r>
      <w:r w:rsidR="00356B9C" w:rsidRPr="00482722">
        <w:rPr>
          <w:rFonts w:ascii="Arial" w:hAnsi="Arial" w:cs="Arial"/>
          <w:sz w:val="20"/>
          <w:szCs w:val="20"/>
        </w:rPr>
        <w:t xml:space="preserve"> </w:t>
      </w:r>
      <w:r w:rsidR="00D83615" w:rsidRPr="00482722">
        <w:rPr>
          <w:rFonts w:ascii="Arial" w:hAnsi="Arial" w:cs="Arial"/>
          <w:sz w:val="20"/>
          <w:szCs w:val="20"/>
        </w:rPr>
        <w:t xml:space="preserve">in </w:t>
      </w:r>
      <w:r w:rsidR="00356B9C" w:rsidRPr="00482722">
        <w:rPr>
          <w:rFonts w:ascii="Arial" w:hAnsi="Arial" w:cs="Arial"/>
          <w:sz w:val="20"/>
          <w:szCs w:val="20"/>
        </w:rPr>
        <w:t>ICT, governments have the opportunit</w:t>
      </w:r>
      <w:r w:rsidR="0082735A" w:rsidRPr="00482722">
        <w:rPr>
          <w:rFonts w:ascii="Arial" w:hAnsi="Arial" w:cs="Arial"/>
          <w:sz w:val="20"/>
          <w:szCs w:val="20"/>
        </w:rPr>
        <w:t>y</w:t>
      </w:r>
      <w:r w:rsidR="00356B9C" w:rsidRPr="00482722">
        <w:rPr>
          <w:rFonts w:ascii="Arial" w:hAnsi="Arial" w:cs="Arial"/>
          <w:sz w:val="20"/>
          <w:szCs w:val="20"/>
        </w:rPr>
        <w:t xml:space="preserve"> to </w:t>
      </w:r>
      <w:r w:rsidR="00712F4E" w:rsidRPr="00482722">
        <w:rPr>
          <w:rFonts w:ascii="Arial" w:hAnsi="Arial" w:cs="Arial"/>
          <w:sz w:val="20"/>
          <w:szCs w:val="20"/>
        </w:rPr>
        <w:t xml:space="preserve">build </w:t>
      </w:r>
      <w:r w:rsidR="003A7793" w:rsidRPr="00482722">
        <w:rPr>
          <w:rFonts w:ascii="Arial" w:hAnsi="Arial" w:cs="Arial"/>
          <w:sz w:val="20"/>
          <w:szCs w:val="20"/>
        </w:rPr>
        <w:t xml:space="preserve">the </w:t>
      </w:r>
      <w:r w:rsidR="00356B9C" w:rsidRPr="00482722">
        <w:rPr>
          <w:rFonts w:ascii="Arial" w:hAnsi="Arial" w:cs="Arial"/>
          <w:sz w:val="20"/>
          <w:szCs w:val="20"/>
        </w:rPr>
        <w:t xml:space="preserve">confidence </w:t>
      </w:r>
      <w:r w:rsidR="003A7793" w:rsidRPr="00482722">
        <w:rPr>
          <w:rFonts w:ascii="Arial" w:hAnsi="Arial" w:cs="Arial"/>
          <w:sz w:val="20"/>
          <w:szCs w:val="20"/>
        </w:rPr>
        <w:t xml:space="preserve">of their citizens </w:t>
      </w:r>
      <w:r w:rsidR="00356B9C" w:rsidRPr="00482722">
        <w:rPr>
          <w:rFonts w:ascii="Arial" w:hAnsi="Arial" w:cs="Arial"/>
          <w:sz w:val="20"/>
          <w:szCs w:val="20"/>
        </w:rPr>
        <w:t>by increasing the effectiveness of e-government</w:t>
      </w:r>
      <w:r w:rsidR="00C033C5" w:rsidRPr="00482722">
        <w:rPr>
          <w:rFonts w:ascii="Arial" w:hAnsi="Arial" w:cs="Arial"/>
          <w:sz w:val="20"/>
          <w:szCs w:val="20"/>
        </w:rPr>
        <w:t xml:space="preserve">; </w:t>
      </w:r>
      <w:r w:rsidR="009334CB" w:rsidRPr="00482722">
        <w:rPr>
          <w:rFonts w:ascii="Arial" w:hAnsi="Arial" w:cs="Arial"/>
          <w:sz w:val="20"/>
          <w:szCs w:val="20"/>
        </w:rPr>
        <w:t>they</w:t>
      </w:r>
      <w:r w:rsidR="00356B9C" w:rsidRPr="00482722">
        <w:rPr>
          <w:rFonts w:ascii="Arial" w:hAnsi="Arial" w:cs="Arial"/>
          <w:sz w:val="20"/>
          <w:szCs w:val="20"/>
        </w:rPr>
        <w:t xml:space="preserve"> should develop and provide</w:t>
      </w:r>
      <w:r w:rsidR="009334CB" w:rsidRPr="00482722">
        <w:rPr>
          <w:rFonts w:ascii="Arial" w:hAnsi="Arial" w:cs="Arial"/>
          <w:sz w:val="20"/>
          <w:szCs w:val="20"/>
        </w:rPr>
        <w:t xml:space="preserve"> e-government services</w:t>
      </w:r>
      <w:r w:rsidR="00356B9C" w:rsidRPr="00482722">
        <w:rPr>
          <w:rFonts w:ascii="Arial" w:hAnsi="Arial" w:cs="Arial"/>
          <w:sz w:val="20"/>
          <w:szCs w:val="20"/>
        </w:rPr>
        <w:t xml:space="preserve"> </w:t>
      </w:r>
      <w:r w:rsidR="00AF0A58" w:rsidRPr="00482722">
        <w:rPr>
          <w:rFonts w:ascii="Arial" w:hAnsi="Arial" w:cs="Arial"/>
          <w:sz w:val="20"/>
          <w:szCs w:val="20"/>
        </w:rPr>
        <w:t>in line with</w:t>
      </w:r>
      <w:r w:rsidR="00356B9C" w:rsidRPr="00482722">
        <w:rPr>
          <w:rFonts w:ascii="Arial" w:hAnsi="Arial" w:cs="Arial"/>
          <w:sz w:val="20"/>
          <w:szCs w:val="20"/>
        </w:rPr>
        <w:t xml:space="preserve"> the concept of citizen-centric services in order to </w:t>
      </w:r>
      <w:r w:rsidR="009334CB" w:rsidRPr="00482722">
        <w:rPr>
          <w:rFonts w:ascii="Arial" w:hAnsi="Arial" w:cs="Arial"/>
          <w:sz w:val="20"/>
          <w:szCs w:val="20"/>
        </w:rPr>
        <w:t xml:space="preserve">add </w:t>
      </w:r>
      <w:r w:rsidR="00356B9C" w:rsidRPr="00482722">
        <w:rPr>
          <w:rFonts w:ascii="Arial" w:hAnsi="Arial" w:cs="Arial"/>
          <w:sz w:val="20"/>
          <w:szCs w:val="20"/>
        </w:rPr>
        <w:t xml:space="preserve">value for citizens and </w:t>
      </w:r>
      <w:r w:rsidR="00C01302" w:rsidRPr="00482722">
        <w:rPr>
          <w:rFonts w:ascii="Arial" w:hAnsi="Arial" w:cs="Arial"/>
          <w:sz w:val="20"/>
          <w:szCs w:val="20"/>
        </w:rPr>
        <w:t>increas</w:t>
      </w:r>
      <w:r w:rsidR="005803FF" w:rsidRPr="00482722">
        <w:rPr>
          <w:rFonts w:ascii="Arial" w:hAnsi="Arial" w:cs="Arial"/>
          <w:sz w:val="20"/>
          <w:szCs w:val="20"/>
        </w:rPr>
        <w:t>e</w:t>
      </w:r>
      <w:r w:rsidR="00C01302" w:rsidRPr="00482722">
        <w:rPr>
          <w:rFonts w:ascii="Arial" w:hAnsi="Arial" w:cs="Arial"/>
          <w:sz w:val="20"/>
          <w:szCs w:val="20"/>
        </w:rPr>
        <w:t xml:space="preserve"> </w:t>
      </w:r>
      <w:r w:rsidR="00356B9C" w:rsidRPr="00482722">
        <w:rPr>
          <w:rFonts w:ascii="Arial" w:hAnsi="Arial" w:cs="Arial"/>
          <w:sz w:val="20"/>
          <w:szCs w:val="20"/>
        </w:rPr>
        <w:t>their</w:t>
      </w:r>
      <w:r w:rsidR="00C01302" w:rsidRPr="00482722">
        <w:rPr>
          <w:rFonts w:ascii="Arial" w:hAnsi="Arial" w:cs="Arial"/>
          <w:sz w:val="20"/>
          <w:szCs w:val="20"/>
        </w:rPr>
        <w:t xml:space="preserve"> trust</w:t>
      </w:r>
      <w:r w:rsidR="005803FF" w:rsidRPr="00482722">
        <w:rPr>
          <w:rFonts w:ascii="Arial" w:hAnsi="Arial" w:cs="Arial"/>
          <w:sz w:val="20"/>
          <w:szCs w:val="20"/>
        </w:rPr>
        <w:t xml:space="preserve"> in and</w:t>
      </w:r>
      <w:r w:rsidR="00C01302" w:rsidRPr="00482722">
        <w:rPr>
          <w:rFonts w:ascii="Arial" w:hAnsi="Arial" w:cs="Arial"/>
          <w:sz w:val="20"/>
          <w:szCs w:val="20"/>
        </w:rPr>
        <w:t xml:space="preserve"> commitment </w:t>
      </w:r>
      <w:r w:rsidR="005803FF" w:rsidRPr="00482722">
        <w:rPr>
          <w:rFonts w:ascii="Arial" w:hAnsi="Arial" w:cs="Arial"/>
          <w:sz w:val="20"/>
          <w:szCs w:val="20"/>
        </w:rPr>
        <w:t xml:space="preserve">to </w:t>
      </w:r>
      <w:r w:rsidR="009334CB" w:rsidRPr="00482722">
        <w:rPr>
          <w:rFonts w:ascii="Arial" w:hAnsi="Arial" w:cs="Arial"/>
          <w:sz w:val="20"/>
          <w:szCs w:val="20"/>
        </w:rPr>
        <w:t>these</w:t>
      </w:r>
      <w:r w:rsidR="00356B9C" w:rsidRPr="00482722">
        <w:rPr>
          <w:rFonts w:ascii="Arial" w:hAnsi="Arial" w:cs="Arial"/>
          <w:sz w:val="20"/>
          <w:szCs w:val="20"/>
        </w:rPr>
        <w:t xml:space="preserve"> </w:t>
      </w:r>
      <w:r w:rsidR="005803FF" w:rsidRPr="00482722">
        <w:rPr>
          <w:rFonts w:ascii="Arial" w:hAnsi="Arial" w:cs="Arial"/>
          <w:sz w:val="20"/>
          <w:szCs w:val="20"/>
        </w:rPr>
        <w:t xml:space="preserve">services </w:t>
      </w:r>
      <w:r w:rsidR="00356B9C" w:rsidRPr="00482722">
        <w:rPr>
          <w:rFonts w:ascii="Arial" w:hAnsi="Arial" w:cs="Arial"/>
          <w:sz w:val="20"/>
          <w:szCs w:val="20"/>
        </w:rPr>
        <w:t>(</w:t>
      </w:r>
      <w:r w:rsidR="00C01302" w:rsidRPr="00482722">
        <w:rPr>
          <w:rFonts w:ascii="Arial" w:hAnsi="Arial" w:cs="Arial"/>
          <w:sz w:val="20"/>
          <w:szCs w:val="20"/>
        </w:rPr>
        <w:t xml:space="preserve">Li </w:t>
      </w:r>
      <w:r w:rsidR="002D35B9" w:rsidRPr="00482722">
        <w:rPr>
          <w:rFonts w:ascii="Arial" w:hAnsi="Arial" w:cs="Arial"/>
          <w:sz w:val="20"/>
          <w:szCs w:val="20"/>
        </w:rPr>
        <w:t>and</w:t>
      </w:r>
      <w:r w:rsidR="00C01302" w:rsidRPr="00482722">
        <w:rPr>
          <w:rFonts w:ascii="Arial" w:hAnsi="Arial" w:cs="Arial"/>
          <w:sz w:val="20"/>
          <w:szCs w:val="20"/>
        </w:rPr>
        <w:t xml:space="preserve"> Shang, 2020; Alzahrani et al., 2018; </w:t>
      </w:r>
      <w:r w:rsidR="00356B9C" w:rsidRPr="00482722">
        <w:rPr>
          <w:rFonts w:ascii="Arial" w:hAnsi="Arial" w:cs="Arial"/>
          <w:sz w:val="20"/>
          <w:szCs w:val="20"/>
        </w:rPr>
        <w:t>Irani et al., 2012)</w:t>
      </w:r>
      <w:r w:rsidR="00C01302" w:rsidRPr="00482722">
        <w:rPr>
          <w:rFonts w:ascii="Arial" w:hAnsi="Arial" w:cs="Arial"/>
          <w:sz w:val="20"/>
          <w:szCs w:val="20"/>
        </w:rPr>
        <w:t>.</w:t>
      </w:r>
      <w:r w:rsidR="00811F80" w:rsidRPr="00482722">
        <w:rPr>
          <w:rFonts w:ascii="Arial" w:hAnsi="Arial" w:cs="Arial"/>
          <w:sz w:val="20"/>
          <w:szCs w:val="20"/>
        </w:rPr>
        <w:t xml:space="preserve"> In the context of this research, if students</w:t>
      </w:r>
      <w:r w:rsidR="00867CFD" w:rsidRPr="00482722">
        <w:rPr>
          <w:rFonts w:ascii="Arial" w:hAnsi="Arial" w:cs="Arial"/>
          <w:sz w:val="20"/>
          <w:szCs w:val="20"/>
        </w:rPr>
        <w:t xml:space="preserve"> in Saudi Arabia</w:t>
      </w:r>
      <w:r w:rsidR="00811F80" w:rsidRPr="00482722">
        <w:rPr>
          <w:rFonts w:ascii="Arial" w:hAnsi="Arial" w:cs="Arial"/>
          <w:sz w:val="20"/>
          <w:szCs w:val="20"/>
        </w:rPr>
        <w:t xml:space="preserve"> believe that the Ministry of Education </w:t>
      </w:r>
      <w:r w:rsidR="00B91CA9" w:rsidRPr="00482722">
        <w:rPr>
          <w:rFonts w:ascii="Arial" w:hAnsi="Arial" w:cs="Arial"/>
          <w:sz w:val="20"/>
          <w:szCs w:val="20"/>
        </w:rPr>
        <w:t xml:space="preserve">will faithfully </w:t>
      </w:r>
      <w:r w:rsidR="00811F80" w:rsidRPr="00482722">
        <w:rPr>
          <w:rFonts w:ascii="Arial" w:hAnsi="Arial" w:cs="Arial"/>
          <w:sz w:val="20"/>
          <w:szCs w:val="20"/>
        </w:rPr>
        <w:t xml:space="preserve">carry out the admission process </w:t>
      </w:r>
      <w:r w:rsidR="00252E00" w:rsidRPr="00482722">
        <w:rPr>
          <w:rFonts w:ascii="Arial" w:hAnsi="Arial" w:cs="Arial"/>
          <w:sz w:val="20"/>
          <w:szCs w:val="20"/>
        </w:rPr>
        <w:t>on behalf of</w:t>
      </w:r>
      <w:r w:rsidR="0077308A" w:rsidRPr="00482722">
        <w:rPr>
          <w:rFonts w:ascii="Arial" w:hAnsi="Arial" w:cs="Arial"/>
          <w:sz w:val="20"/>
          <w:szCs w:val="20"/>
        </w:rPr>
        <w:t xml:space="preserve"> </w:t>
      </w:r>
      <w:r w:rsidR="00811F80" w:rsidRPr="00482722">
        <w:rPr>
          <w:rFonts w:ascii="Arial" w:hAnsi="Arial" w:cs="Arial"/>
          <w:sz w:val="20"/>
          <w:szCs w:val="20"/>
        </w:rPr>
        <w:t>government</w:t>
      </w:r>
      <w:r w:rsidR="00301709" w:rsidRPr="00482722">
        <w:rPr>
          <w:rFonts w:ascii="Arial" w:hAnsi="Arial" w:cs="Arial"/>
          <w:sz w:val="20"/>
          <w:szCs w:val="20"/>
        </w:rPr>
        <w:t>-run</w:t>
      </w:r>
      <w:r w:rsidR="00811F80" w:rsidRPr="00482722">
        <w:rPr>
          <w:rFonts w:ascii="Arial" w:hAnsi="Arial" w:cs="Arial"/>
          <w:sz w:val="20"/>
          <w:szCs w:val="20"/>
        </w:rPr>
        <w:t xml:space="preserve"> universities, </w:t>
      </w:r>
      <w:r w:rsidR="00301709" w:rsidRPr="00482722">
        <w:rPr>
          <w:rFonts w:ascii="Arial" w:hAnsi="Arial" w:cs="Arial"/>
          <w:sz w:val="20"/>
          <w:szCs w:val="20"/>
        </w:rPr>
        <w:t xml:space="preserve">those students </w:t>
      </w:r>
      <w:r w:rsidR="00811F80" w:rsidRPr="00482722">
        <w:rPr>
          <w:rFonts w:ascii="Arial" w:hAnsi="Arial" w:cs="Arial"/>
          <w:sz w:val="20"/>
          <w:szCs w:val="20"/>
        </w:rPr>
        <w:t xml:space="preserve">will </w:t>
      </w:r>
      <w:r w:rsidR="00F21E50" w:rsidRPr="00482722">
        <w:rPr>
          <w:rFonts w:ascii="Arial" w:hAnsi="Arial" w:cs="Arial"/>
          <w:sz w:val="20"/>
          <w:szCs w:val="20"/>
        </w:rPr>
        <w:t>not only become convinced of the effectiveness, reliability</w:t>
      </w:r>
      <w:r w:rsidR="00496953" w:rsidRPr="00482722">
        <w:rPr>
          <w:rFonts w:ascii="Arial" w:hAnsi="Arial" w:cs="Arial"/>
          <w:sz w:val="20"/>
          <w:szCs w:val="20"/>
        </w:rPr>
        <w:t>, and</w:t>
      </w:r>
      <w:r w:rsidR="00F21E50" w:rsidRPr="00482722">
        <w:rPr>
          <w:rFonts w:ascii="Arial" w:hAnsi="Arial" w:cs="Arial"/>
          <w:sz w:val="20"/>
          <w:szCs w:val="20"/>
        </w:rPr>
        <w:t xml:space="preserve"> outputs of the admission system but </w:t>
      </w:r>
      <w:r w:rsidR="00301709" w:rsidRPr="00482722">
        <w:rPr>
          <w:rFonts w:ascii="Arial" w:hAnsi="Arial" w:cs="Arial"/>
          <w:sz w:val="20"/>
          <w:szCs w:val="20"/>
        </w:rPr>
        <w:t xml:space="preserve">also, and </w:t>
      </w:r>
      <w:r w:rsidR="00F21E50" w:rsidRPr="00482722">
        <w:rPr>
          <w:rFonts w:ascii="Arial" w:hAnsi="Arial" w:cs="Arial"/>
          <w:sz w:val="20"/>
          <w:szCs w:val="20"/>
        </w:rPr>
        <w:t>more importantly</w:t>
      </w:r>
      <w:r w:rsidR="00301709" w:rsidRPr="00482722">
        <w:rPr>
          <w:rFonts w:ascii="Arial" w:hAnsi="Arial" w:cs="Arial"/>
          <w:sz w:val="20"/>
          <w:szCs w:val="20"/>
        </w:rPr>
        <w:t>,</w:t>
      </w:r>
      <w:r w:rsidR="00F21E50" w:rsidRPr="00482722">
        <w:rPr>
          <w:rFonts w:ascii="Arial" w:hAnsi="Arial" w:cs="Arial"/>
          <w:sz w:val="20"/>
          <w:szCs w:val="20"/>
        </w:rPr>
        <w:t xml:space="preserve"> they </w:t>
      </w:r>
      <w:r w:rsidR="00D42826" w:rsidRPr="00482722">
        <w:rPr>
          <w:rFonts w:ascii="Arial" w:hAnsi="Arial" w:cs="Arial"/>
          <w:sz w:val="20"/>
          <w:szCs w:val="20"/>
        </w:rPr>
        <w:t>will</w:t>
      </w:r>
      <w:r w:rsidR="00F21E50" w:rsidRPr="00482722">
        <w:rPr>
          <w:rFonts w:ascii="Arial" w:hAnsi="Arial" w:cs="Arial"/>
          <w:sz w:val="20"/>
          <w:szCs w:val="20"/>
        </w:rPr>
        <w:t xml:space="preserve"> be more engaged </w:t>
      </w:r>
      <w:r w:rsidR="00140E7C" w:rsidRPr="00482722">
        <w:rPr>
          <w:rFonts w:ascii="Arial" w:hAnsi="Arial" w:cs="Arial"/>
          <w:sz w:val="20"/>
          <w:szCs w:val="20"/>
        </w:rPr>
        <w:t xml:space="preserve">with </w:t>
      </w:r>
      <w:r w:rsidR="00F21E50" w:rsidRPr="00482722">
        <w:rPr>
          <w:rFonts w:ascii="Arial" w:hAnsi="Arial" w:cs="Arial"/>
          <w:sz w:val="20"/>
          <w:szCs w:val="20"/>
        </w:rPr>
        <w:t>and committed to the e-government services</w:t>
      </w:r>
      <w:r w:rsidR="004D3D0C" w:rsidRPr="00482722">
        <w:rPr>
          <w:rFonts w:ascii="Arial" w:hAnsi="Arial" w:cs="Arial"/>
          <w:sz w:val="20"/>
          <w:szCs w:val="20"/>
        </w:rPr>
        <w:t xml:space="preserve"> provided by the Ministry of Education</w:t>
      </w:r>
      <w:r w:rsidR="00F21E50" w:rsidRPr="00482722">
        <w:rPr>
          <w:rFonts w:ascii="Arial" w:hAnsi="Arial" w:cs="Arial"/>
          <w:sz w:val="20"/>
          <w:szCs w:val="20"/>
        </w:rPr>
        <w:t xml:space="preserve">. </w:t>
      </w:r>
      <w:r w:rsidR="0069163C" w:rsidRPr="00482722">
        <w:rPr>
          <w:rFonts w:ascii="Arial" w:hAnsi="Arial" w:cs="Arial"/>
          <w:sz w:val="20"/>
          <w:szCs w:val="20"/>
        </w:rPr>
        <w:t xml:space="preserve">Therefore, it can be argued that citizen trust in the government constitute the basis of citizen loyalty to </w:t>
      </w:r>
      <w:r w:rsidR="00F21E50" w:rsidRPr="00482722">
        <w:rPr>
          <w:rFonts w:ascii="Arial" w:hAnsi="Arial" w:cs="Arial"/>
          <w:sz w:val="20"/>
          <w:szCs w:val="20"/>
        </w:rPr>
        <w:t>e-government services</w:t>
      </w:r>
      <w:r w:rsidR="0069163C" w:rsidRPr="00482722">
        <w:rPr>
          <w:rFonts w:ascii="Arial" w:hAnsi="Arial" w:cs="Arial"/>
          <w:sz w:val="20"/>
          <w:szCs w:val="20"/>
        </w:rPr>
        <w:t>.</w:t>
      </w:r>
      <w:r w:rsidR="00F21E50" w:rsidRPr="00482722">
        <w:rPr>
          <w:rFonts w:ascii="Arial" w:hAnsi="Arial" w:cs="Arial"/>
          <w:sz w:val="20"/>
          <w:szCs w:val="20"/>
        </w:rPr>
        <w:t xml:space="preserve"> </w:t>
      </w:r>
      <w:r w:rsidR="0082735A" w:rsidRPr="00482722">
        <w:rPr>
          <w:rFonts w:ascii="Arial" w:hAnsi="Arial" w:cs="Arial"/>
          <w:sz w:val="20"/>
          <w:szCs w:val="20"/>
        </w:rPr>
        <w:t>Thus, the following hypothesis is proposed:</w:t>
      </w:r>
    </w:p>
    <w:p w14:paraId="6670F35D" w14:textId="01824A70" w:rsidR="0069163C" w:rsidRPr="00482722" w:rsidRDefault="0069163C" w:rsidP="00DA5EEC">
      <w:pPr>
        <w:spacing w:line="240" w:lineRule="auto"/>
        <w:jc w:val="both"/>
        <w:rPr>
          <w:rFonts w:ascii="Arial" w:hAnsi="Arial" w:cs="Arial"/>
          <w:sz w:val="20"/>
          <w:szCs w:val="20"/>
        </w:rPr>
      </w:pPr>
      <w:r w:rsidRPr="00482722">
        <w:rPr>
          <w:rFonts w:ascii="Arial" w:hAnsi="Arial" w:cs="Arial"/>
          <w:bCs/>
          <w:i/>
          <w:iCs/>
          <w:sz w:val="20"/>
          <w:szCs w:val="20"/>
        </w:rPr>
        <w:t>H10</w:t>
      </w:r>
      <w:r w:rsidR="00432168" w:rsidRPr="00482722">
        <w:rPr>
          <w:rFonts w:ascii="Arial" w:hAnsi="Arial" w:cs="Arial"/>
          <w:bCs/>
          <w:i/>
          <w:iCs/>
          <w:sz w:val="20"/>
          <w:szCs w:val="20"/>
        </w:rPr>
        <w:t>.</w:t>
      </w:r>
      <w:r w:rsidRPr="00482722">
        <w:rPr>
          <w:rFonts w:ascii="Arial" w:hAnsi="Arial" w:cs="Arial"/>
          <w:sz w:val="20"/>
          <w:szCs w:val="20"/>
        </w:rPr>
        <w:t xml:space="preserve"> </w:t>
      </w:r>
      <w:r w:rsidR="00432168" w:rsidRPr="00482722">
        <w:rPr>
          <w:rFonts w:ascii="Arial" w:hAnsi="Arial" w:cs="Arial"/>
          <w:sz w:val="20"/>
          <w:szCs w:val="20"/>
        </w:rPr>
        <w:t>T</w:t>
      </w:r>
      <w:r w:rsidR="00B91C56" w:rsidRPr="00482722">
        <w:rPr>
          <w:rFonts w:ascii="Arial" w:hAnsi="Arial" w:cs="Arial"/>
          <w:sz w:val="20"/>
          <w:szCs w:val="20"/>
        </w:rPr>
        <w:t>rust in government</w:t>
      </w:r>
      <w:r w:rsidRPr="00482722">
        <w:rPr>
          <w:rFonts w:ascii="Arial" w:hAnsi="Arial" w:cs="Arial"/>
          <w:sz w:val="20"/>
          <w:szCs w:val="20"/>
        </w:rPr>
        <w:t xml:space="preserve"> has a direct and positive influence on </w:t>
      </w:r>
      <w:r w:rsidR="00016D7E" w:rsidRPr="00482722">
        <w:rPr>
          <w:rFonts w:ascii="Arial" w:hAnsi="Arial" w:cs="Arial"/>
          <w:sz w:val="20"/>
          <w:szCs w:val="20"/>
        </w:rPr>
        <w:t>citizen loyalty</w:t>
      </w:r>
      <w:r w:rsidRPr="00482722">
        <w:rPr>
          <w:rFonts w:ascii="Arial" w:hAnsi="Arial" w:cs="Arial"/>
          <w:sz w:val="20"/>
          <w:szCs w:val="20"/>
        </w:rPr>
        <w:t xml:space="preserve"> to e-government services.</w:t>
      </w:r>
    </w:p>
    <w:p w14:paraId="083F4980" w14:textId="3D16D440" w:rsidR="00634D94" w:rsidRPr="00482722" w:rsidRDefault="0069163C" w:rsidP="00DA5EEC">
      <w:pPr>
        <w:spacing w:line="240" w:lineRule="auto"/>
        <w:jc w:val="both"/>
        <w:rPr>
          <w:rFonts w:ascii="Arial" w:hAnsi="Arial" w:cs="Arial"/>
          <w:sz w:val="20"/>
          <w:szCs w:val="20"/>
        </w:rPr>
      </w:pPr>
      <w:r w:rsidRPr="00482722">
        <w:rPr>
          <w:rFonts w:ascii="Arial" w:hAnsi="Arial" w:cs="Arial"/>
          <w:sz w:val="20"/>
          <w:szCs w:val="20"/>
        </w:rPr>
        <w:t xml:space="preserve">In terms of the link between trust in e-government and citizen loyalty, </w:t>
      </w:r>
      <w:r w:rsidR="00634D94" w:rsidRPr="00482722">
        <w:rPr>
          <w:rFonts w:ascii="Arial" w:hAnsi="Arial" w:cs="Arial"/>
          <w:sz w:val="20"/>
          <w:szCs w:val="20"/>
        </w:rPr>
        <w:t xml:space="preserve">research </w:t>
      </w:r>
      <w:r w:rsidRPr="00482722">
        <w:rPr>
          <w:rFonts w:ascii="Arial" w:hAnsi="Arial" w:cs="Arial"/>
          <w:sz w:val="20"/>
          <w:szCs w:val="20"/>
        </w:rPr>
        <w:t>o</w:t>
      </w:r>
      <w:r w:rsidR="00E16750" w:rsidRPr="00482722">
        <w:rPr>
          <w:rFonts w:ascii="Arial" w:hAnsi="Arial" w:cs="Arial"/>
          <w:sz w:val="20"/>
          <w:szCs w:val="20"/>
        </w:rPr>
        <w:t>n</w:t>
      </w:r>
      <w:r w:rsidRPr="00482722">
        <w:rPr>
          <w:rFonts w:ascii="Arial" w:hAnsi="Arial" w:cs="Arial"/>
          <w:sz w:val="20"/>
          <w:szCs w:val="20"/>
        </w:rPr>
        <w:t xml:space="preserve"> e-commerce </w:t>
      </w:r>
      <w:r w:rsidR="00140E7C" w:rsidRPr="00482722">
        <w:rPr>
          <w:rFonts w:ascii="Arial" w:hAnsi="Arial" w:cs="Arial"/>
          <w:sz w:val="20"/>
          <w:szCs w:val="20"/>
        </w:rPr>
        <w:t xml:space="preserve">has shown </w:t>
      </w:r>
      <w:r w:rsidR="00634D94" w:rsidRPr="00482722">
        <w:rPr>
          <w:rFonts w:ascii="Arial" w:hAnsi="Arial" w:cs="Arial"/>
          <w:sz w:val="20"/>
          <w:szCs w:val="20"/>
        </w:rPr>
        <w:t xml:space="preserve">that trust beliefs directly influence trust intentions to consider </w:t>
      </w:r>
      <w:r w:rsidR="001E16E2" w:rsidRPr="00482722">
        <w:rPr>
          <w:rFonts w:ascii="Arial" w:hAnsi="Arial" w:cs="Arial"/>
          <w:sz w:val="20"/>
          <w:szCs w:val="20"/>
        </w:rPr>
        <w:t xml:space="preserve">repeating </w:t>
      </w:r>
      <w:r w:rsidR="00634D94" w:rsidRPr="00482722">
        <w:rPr>
          <w:rFonts w:ascii="Arial" w:hAnsi="Arial" w:cs="Arial"/>
          <w:sz w:val="20"/>
          <w:szCs w:val="20"/>
        </w:rPr>
        <w:t xml:space="preserve">the use of </w:t>
      </w:r>
      <w:r w:rsidR="001E16E2" w:rsidRPr="00482722">
        <w:rPr>
          <w:rFonts w:ascii="Arial" w:hAnsi="Arial" w:cs="Arial"/>
          <w:sz w:val="20"/>
          <w:szCs w:val="20"/>
        </w:rPr>
        <w:t xml:space="preserve">a </w:t>
      </w:r>
      <w:r w:rsidRPr="00482722">
        <w:rPr>
          <w:rFonts w:ascii="Arial" w:hAnsi="Arial" w:cs="Arial"/>
          <w:sz w:val="20"/>
          <w:szCs w:val="20"/>
        </w:rPr>
        <w:t>merchant</w:t>
      </w:r>
      <w:r w:rsidR="001E16E2" w:rsidRPr="00482722">
        <w:rPr>
          <w:rFonts w:ascii="Arial" w:hAnsi="Arial" w:cs="Arial"/>
          <w:sz w:val="20"/>
          <w:szCs w:val="20"/>
        </w:rPr>
        <w:t>’</w:t>
      </w:r>
      <w:r w:rsidRPr="00482722">
        <w:rPr>
          <w:rFonts w:ascii="Arial" w:hAnsi="Arial" w:cs="Arial"/>
          <w:sz w:val="20"/>
          <w:szCs w:val="20"/>
        </w:rPr>
        <w:t>s</w:t>
      </w:r>
      <w:r w:rsidR="00634D94" w:rsidRPr="00482722">
        <w:rPr>
          <w:rFonts w:ascii="Arial" w:hAnsi="Arial" w:cs="Arial"/>
          <w:sz w:val="20"/>
          <w:szCs w:val="20"/>
        </w:rPr>
        <w:t xml:space="preserve"> website services and recommend</w:t>
      </w:r>
      <w:r w:rsidR="001E16E2" w:rsidRPr="00482722">
        <w:rPr>
          <w:rFonts w:ascii="Arial" w:hAnsi="Arial" w:cs="Arial"/>
          <w:sz w:val="20"/>
          <w:szCs w:val="20"/>
        </w:rPr>
        <w:t>ing</w:t>
      </w:r>
      <w:r w:rsidR="00634D94" w:rsidRPr="00482722">
        <w:rPr>
          <w:rFonts w:ascii="Arial" w:hAnsi="Arial" w:cs="Arial"/>
          <w:sz w:val="20"/>
          <w:szCs w:val="20"/>
        </w:rPr>
        <w:t xml:space="preserve"> them to other consumers (Zheng et al., 2017; Bilgihan, 2016; Kassim </w:t>
      </w:r>
      <w:r w:rsidR="002D35B9" w:rsidRPr="00482722">
        <w:rPr>
          <w:rFonts w:ascii="Arial" w:hAnsi="Arial" w:cs="Arial"/>
          <w:sz w:val="20"/>
          <w:szCs w:val="20"/>
        </w:rPr>
        <w:t>and</w:t>
      </w:r>
      <w:r w:rsidR="00634D94" w:rsidRPr="00482722">
        <w:rPr>
          <w:rFonts w:ascii="Arial" w:hAnsi="Arial" w:cs="Arial"/>
          <w:sz w:val="20"/>
          <w:szCs w:val="20"/>
        </w:rPr>
        <w:t xml:space="preserve"> Ismail, 2009; Cyr, 2008; Flavián et al., 2006; Lin </w:t>
      </w:r>
      <w:r w:rsidR="002D35B9" w:rsidRPr="00482722">
        <w:rPr>
          <w:rFonts w:ascii="Arial" w:hAnsi="Arial" w:cs="Arial"/>
          <w:sz w:val="20"/>
          <w:szCs w:val="20"/>
        </w:rPr>
        <w:t>and</w:t>
      </w:r>
      <w:r w:rsidR="00634D94" w:rsidRPr="00482722">
        <w:rPr>
          <w:rFonts w:ascii="Arial" w:hAnsi="Arial" w:cs="Arial"/>
          <w:sz w:val="20"/>
          <w:szCs w:val="20"/>
        </w:rPr>
        <w:t xml:space="preserve"> Wang, 2006; Gefen, 2002; McKnight et al., 2002). The degree of citizen trust </w:t>
      </w:r>
      <w:r w:rsidRPr="00482722">
        <w:rPr>
          <w:rFonts w:ascii="Arial" w:hAnsi="Arial" w:cs="Arial"/>
          <w:sz w:val="20"/>
          <w:szCs w:val="20"/>
        </w:rPr>
        <w:t xml:space="preserve">in </w:t>
      </w:r>
      <w:r w:rsidR="00634D94" w:rsidRPr="00482722">
        <w:rPr>
          <w:rFonts w:ascii="Arial" w:hAnsi="Arial" w:cs="Arial"/>
          <w:sz w:val="20"/>
          <w:szCs w:val="20"/>
        </w:rPr>
        <w:t xml:space="preserve">e-government plays a central role in developing </w:t>
      </w:r>
      <w:r w:rsidR="0000212F" w:rsidRPr="00482722">
        <w:rPr>
          <w:rFonts w:ascii="Arial" w:hAnsi="Arial" w:cs="Arial"/>
          <w:sz w:val="20"/>
          <w:szCs w:val="20"/>
        </w:rPr>
        <w:t xml:space="preserve">‘long-term relationships in e-service provision </w:t>
      </w:r>
      <w:r w:rsidR="00634D94" w:rsidRPr="00482722">
        <w:rPr>
          <w:rFonts w:ascii="Arial" w:hAnsi="Arial" w:cs="Arial"/>
          <w:sz w:val="20"/>
          <w:szCs w:val="20"/>
        </w:rPr>
        <w:t>(</w:t>
      </w:r>
      <w:r w:rsidR="00634D94" w:rsidRPr="00482722">
        <w:rPr>
          <w:rFonts w:ascii="Arial" w:eastAsia="Times New Roman" w:hAnsi="Arial" w:cs="Arial"/>
          <w:sz w:val="20"/>
          <w:szCs w:val="20"/>
        </w:rPr>
        <w:t xml:space="preserve">Tegethoff et al., 2019). </w:t>
      </w:r>
      <w:r w:rsidR="005460AF" w:rsidRPr="00482722">
        <w:rPr>
          <w:rFonts w:ascii="Arial" w:hAnsi="Arial" w:cs="Arial"/>
          <w:sz w:val="20"/>
          <w:szCs w:val="20"/>
        </w:rPr>
        <w:t>Hence, the following hypothesis is proposed:</w:t>
      </w:r>
    </w:p>
    <w:p w14:paraId="58B16E49" w14:textId="79210037" w:rsidR="00634D94" w:rsidRPr="00482722" w:rsidRDefault="00634D94" w:rsidP="00DA5EEC">
      <w:pPr>
        <w:spacing w:line="240" w:lineRule="auto"/>
        <w:jc w:val="both"/>
        <w:rPr>
          <w:rFonts w:ascii="Arial" w:hAnsi="Arial" w:cs="Arial"/>
          <w:sz w:val="20"/>
          <w:szCs w:val="20"/>
        </w:rPr>
      </w:pPr>
      <w:r w:rsidRPr="00482722">
        <w:rPr>
          <w:rFonts w:ascii="Arial" w:hAnsi="Arial" w:cs="Arial"/>
          <w:bCs/>
          <w:i/>
          <w:iCs/>
          <w:sz w:val="20"/>
          <w:szCs w:val="20"/>
        </w:rPr>
        <w:t>H11</w:t>
      </w:r>
      <w:r w:rsidR="00432168" w:rsidRPr="00482722">
        <w:rPr>
          <w:rFonts w:ascii="Arial" w:hAnsi="Arial" w:cs="Arial"/>
          <w:bCs/>
          <w:i/>
          <w:iCs/>
          <w:sz w:val="20"/>
          <w:szCs w:val="20"/>
        </w:rPr>
        <w:t>.</w:t>
      </w:r>
      <w:r w:rsidRPr="00482722">
        <w:rPr>
          <w:rFonts w:ascii="Arial" w:hAnsi="Arial" w:cs="Arial"/>
          <w:bCs/>
          <w:sz w:val="20"/>
          <w:szCs w:val="20"/>
        </w:rPr>
        <w:t xml:space="preserve"> </w:t>
      </w:r>
      <w:r w:rsidR="00432168" w:rsidRPr="00482722">
        <w:rPr>
          <w:rFonts w:ascii="Arial" w:hAnsi="Arial" w:cs="Arial"/>
          <w:sz w:val="20"/>
          <w:szCs w:val="20"/>
        </w:rPr>
        <w:t>T</w:t>
      </w:r>
      <w:r w:rsidR="00B91C56" w:rsidRPr="00482722">
        <w:rPr>
          <w:rFonts w:ascii="Arial" w:hAnsi="Arial" w:cs="Arial"/>
          <w:sz w:val="20"/>
          <w:szCs w:val="20"/>
        </w:rPr>
        <w:t>rust in e-government</w:t>
      </w:r>
      <w:r w:rsidRPr="00482722">
        <w:rPr>
          <w:rFonts w:ascii="Arial" w:hAnsi="Arial" w:cs="Arial"/>
          <w:sz w:val="20"/>
          <w:szCs w:val="20"/>
        </w:rPr>
        <w:t xml:space="preserve"> has a direct and positive influence on </w:t>
      </w:r>
      <w:r w:rsidR="00016D7E" w:rsidRPr="00482722">
        <w:rPr>
          <w:rFonts w:ascii="Arial" w:hAnsi="Arial" w:cs="Arial"/>
          <w:sz w:val="20"/>
          <w:szCs w:val="20"/>
        </w:rPr>
        <w:t>citizen loyalty</w:t>
      </w:r>
      <w:r w:rsidRPr="00482722">
        <w:rPr>
          <w:rFonts w:ascii="Arial" w:hAnsi="Arial" w:cs="Arial"/>
          <w:sz w:val="20"/>
          <w:szCs w:val="20"/>
        </w:rPr>
        <w:t xml:space="preserve"> to e-government services.</w:t>
      </w:r>
    </w:p>
    <w:p w14:paraId="29E0DD6F" w14:textId="6084238F" w:rsidR="00634D94" w:rsidRPr="00482722" w:rsidRDefault="00634D94" w:rsidP="00DA5EEC">
      <w:pPr>
        <w:spacing w:line="240" w:lineRule="auto"/>
        <w:jc w:val="both"/>
        <w:rPr>
          <w:rFonts w:ascii="Arial" w:hAnsi="Arial" w:cs="Arial"/>
          <w:sz w:val="20"/>
          <w:szCs w:val="20"/>
        </w:rPr>
      </w:pPr>
      <w:r w:rsidRPr="00482722">
        <w:rPr>
          <w:rFonts w:ascii="Arial" w:hAnsi="Arial" w:cs="Arial"/>
          <w:sz w:val="20"/>
          <w:szCs w:val="20"/>
        </w:rPr>
        <w:t xml:space="preserve">Satisfaction is also considered </w:t>
      </w:r>
      <w:r w:rsidR="00CA519C" w:rsidRPr="00482722">
        <w:rPr>
          <w:rFonts w:ascii="Arial" w:hAnsi="Arial" w:cs="Arial"/>
          <w:sz w:val="20"/>
          <w:szCs w:val="20"/>
        </w:rPr>
        <w:t xml:space="preserve">to be </w:t>
      </w:r>
      <w:r w:rsidRPr="00482722">
        <w:rPr>
          <w:rFonts w:ascii="Arial" w:hAnsi="Arial" w:cs="Arial"/>
          <w:sz w:val="20"/>
          <w:szCs w:val="20"/>
        </w:rPr>
        <w:t>a key driver of long-term relationships between e-government services and citizens (Weerakkody et al., 2016; Irani et al., 2012)</w:t>
      </w:r>
      <w:r w:rsidR="00CA519C" w:rsidRPr="00482722">
        <w:rPr>
          <w:rFonts w:ascii="Arial" w:hAnsi="Arial" w:cs="Arial"/>
          <w:sz w:val="20"/>
          <w:szCs w:val="20"/>
        </w:rPr>
        <w:t>. It</w:t>
      </w:r>
      <w:r w:rsidRPr="00482722">
        <w:rPr>
          <w:rFonts w:ascii="Arial" w:hAnsi="Arial" w:cs="Arial"/>
          <w:sz w:val="20"/>
          <w:szCs w:val="20"/>
        </w:rPr>
        <w:t xml:space="preserve"> represents a useful indicator of citizen loyalty and of the future growth of e-government services (Chatfield </w:t>
      </w:r>
      <w:r w:rsidR="002D35B9" w:rsidRPr="00482722">
        <w:rPr>
          <w:rFonts w:ascii="Arial" w:hAnsi="Arial" w:cs="Arial"/>
          <w:sz w:val="20"/>
          <w:szCs w:val="20"/>
        </w:rPr>
        <w:t>and</w:t>
      </w:r>
      <w:r w:rsidRPr="00482722">
        <w:rPr>
          <w:rFonts w:ascii="Arial" w:hAnsi="Arial" w:cs="Arial"/>
          <w:sz w:val="20"/>
          <w:szCs w:val="20"/>
        </w:rPr>
        <w:t xml:space="preserve"> Alanazi, 2013; Morgeson III, 2011). DeLone and McLean (</w:t>
      </w:r>
      <w:r w:rsidR="00431F9C" w:rsidRPr="00482722">
        <w:rPr>
          <w:rFonts w:ascii="Arial" w:hAnsi="Arial" w:cs="Arial"/>
          <w:sz w:val="20"/>
          <w:szCs w:val="20"/>
        </w:rPr>
        <w:t>2003</w:t>
      </w:r>
      <w:r w:rsidRPr="00482722">
        <w:rPr>
          <w:rFonts w:ascii="Arial" w:hAnsi="Arial" w:cs="Arial"/>
          <w:sz w:val="20"/>
          <w:szCs w:val="20"/>
        </w:rPr>
        <w:t xml:space="preserve">) indicated that there is an interdependent relationship between user satisfaction and increased use of a system. </w:t>
      </w:r>
      <w:r w:rsidR="00594CFA" w:rsidRPr="00482722">
        <w:rPr>
          <w:rFonts w:ascii="Arial" w:hAnsi="Arial" w:cs="Arial"/>
          <w:sz w:val="20"/>
          <w:szCs w:val="20"/>
        </w:rPr>
        <w:t xml:space="preserve">Other scholars </w:t>
      </w:r>
      <w:r w:rsidR="00CA519C" w:rsidRPr="00482722">
        <w:rPr>
          <w:rFonts w:ascii="Arial" w:hAnsi="Arial" w:cs="Arial"/>
          <w:sz w:val="20"/>
          <w:szCs w:val="20"/>
        </w:rPr>
        <w:t xml:space="preserve">have </w:t>
      </w:r>
      <w:r w:rsidRPr="00482722">
        <w:rPr>
          <w:rFonts w:ascii="Arial" w:hAnsi="Arial" w:cs="Arial"/>
          <w:sz w:val="20"/>
          <w:szCs w:val="20"/>
        </w:rPr>
        <w:t>claimed that</w:t>
      </w:r>
      <w:r w:rsidR="00CA519C" w:rsidRPr="00482722">
        <w:rPr>
          <w:rFonts w:ascii="Arial" w:hAnsi="Arial" w:cs="Arial"/>
          <w:sz w:val="20"/>
          <w:szCs w:val="20"/>
        </w:rPr>
        <w:t xml:space="preserve"> historically,</w:t>
      </w:r>
      <w:r w:rsidRPr="00482722">
        <w:rPr>
          <w:rFonts w:ascii="Arial" w:hAnsi="Arial" w:cs="Arial"/>
          <w:sz w:val="20"/>
          <w:szCs w:val="20"/>
        </w:rPr>
        <w:t xml:space="preserve"> satisfaction has been </w:t>
      </w:r>
      <w:r w:rsidR="00CA519C" w:rsidRPr="00482722">
        <w:rPr>
          <w:rFonts w:ascii="Arial" w:hAnsi="Arial" w:cs="Arial"/>
          <w:sz w:val="20"/>
          <w:szCs w:val="20"/>
        </w:rPr>
        <w:t xml:space="preserve">used </w:t>
      </w:r>
      <w:r w:rsidRPr="00482722">
        <w:rPr>
          <w:rFonts w:ascii="Arial" w:hAnsi="Arial" w:cs="Arial"/>
          <w:sz w:val="20"/>
          <w:szCs w:val="20"/>
        </w:rPr>
        <w:t xml:space="preserve">globally as the </w:t>
      </w:r>
      <w:r w:rsidR="00E03FE2" w:rsidRPr="00482722">
        <w:rPr>
          <w:rFonts w:ascii="Arial" w:hAnsi="Arial" w:cs="Arial"/>
          <w:sz w:val="20"/>
          <w:szCs w:val="20"/>
        </w:rPr>
        <w:t xml:space="preserve">primary </w:t>
      </w:r>
      <w:r w:rsidRPr="00482722">
        <w:rPr>
          <w:rFonts w:ascii="Arial" w:hAnsi="Arial" w:cs="Arial"/>
          <w:sz w:val="20"/>
          <w:szCs w:val="20"/>
        </w:rPr>
        <w:t>indicator of customer loyalty to a firm</w:t>
      </w:r>
      <w:r w:rsidR="001C0CEF" w:rsidRPr="00482722">
        <w:rPr>
          <w:rFonts w:ascii="Arial" w:hAnsi="Arial" w:cs="Arial"/>
          <w:sz w:val="20"/>
          <w:szCs w:val="20"/>
        </w:rPr>
        <w:t xml:space="preserve"> (e.g., Waheed et al., 2020; </w:t>
      </w:r>
      <w:r w:rsidR="001C0CEF" w:rsidRPr="00482722">
        <w:rPr>
          <w:rFonts w:ascii="Arial" w:eastAsia="Times New Roman" w:hAnsi="Arial" w:cs="Arial"/>
          <w:sz w:val="20"/>
          <w:szCs w:val="20"/>
          <w:lang w:eastAsia="en-GB"/>
        </w:rPr>
        <w:t xml:space="preserve">Yadav and Rai 2019; </w:t>
      </w:r>
      <w:r w:rsidR="001C0CEF" w:rsidRPr="00482722">
        <w:rPr>
          <w:rFonts w:ascii="Arial" w:hAnsi="Arial" w:cs="Arial"/>
          <w:sz w:val="20"/>
          <w:szCs w:val="20"/>
        </w:rPr>
        <w:t>Chiou, 2004)</w:t>
      </w:r>
      <w:r w:rsidRPr="00482722">
        <w:rPr>
          <w:rFonts w:ascii="Arial" w:hAnsi="Arial" w:cs="Arial"/>
          <w:sz w:val="20"/>
          <w:szCs w:val="20"/>
        </w:rPr>
        <w:t xml:space="preserve">. </w:t>
      </w:r>
      <w:r w:rsidR="00EB3944" w:rsidRPr="00482722">
        <w:rPr>
          <w:rFonts w:ascii="Arial" w:hAnsi="Arial" w:cs="Arial"/>
          <w:sz w:val="20"/>
          <w:szCs w:val="20"/>
        </w:rPr>
        <w:t>R</w:t>
      </w:r>
      <w:r w:rsidRPr="00482722">
        <w:rPr>
          <w:rFonts w:ascii="Arial" w:hAnsi="Arial" w:cs="Arial"/>
          <w:sz w:val="20"/>
          <w:szCs w:val="20"/>
        </w:rPr>
        <w:t xml:space="preserve">esearch on e-loyalty </w:t>
      </w:r>
      <w:r w:rsidR="00EB3944" w:rsidRPr="00482722">
        <w:rPr>
          <w:rFonts w:ascii="Arial" w:hAnsi="Arial" w:cs="Arial"/>
          <w:sz w:val="20"/>
          <w:szCs w:val="20"/>
        </w:rPr>
        <w:t xml:space="preserve">has shown </w:t>
      </w:r>
      <w:r w:rsidRPr="00482722">
        <w:rPr>
          <w:rFonts w:ascii="Arial" w:hAnsi="Arial" w:cs="Arial"/>
          <w:sz w:val="20"/>
          <w:szCs w:val="20"/>
        </w:rPr>
        <w:t>that satisfaction affects variables that are indicators of consumer loyalty to</w:t>
      </w:r>
      <w:r w:rsidR="00EB3944" w:rsidRPr="00482722">
        <w:rPr>
          <w:rFonts w:ascii="Arial" w:hAnsi="Arial" w:cs="Arial"/>
          <w:sz w:val="20"/>
          <w:szCs w:val="20"/>
        </w:rPr>
        <w:t>,</w:t>
      </w:r>
      <w:r w:rsidRPr="00482722">
        <w:rPr>
          <w:rFonts w:ascii="Arial" w:hAnsi="Arial" w:cs="Arial"/>
          <w:sz w:val="20"/>
          <w:szCs w:val="20"/>
        </w:rPr>
        <w:t xml:space="preserve"> or orientation toward</w:t>
      </w:r>
      <w:r w:rsidR="00EB3944" w:rsidRPr="00482722">
        <w:rPr>
          <w:rFonts w:ascii="Arial" w:hAnsi="Arial" w:cs="Arial"/>
          <w:sz w:val="20"/>
          <w:szCs w:val="20"/>
        </w:rPr>
        <w:t>s</w:t>
      </w:r>
      <w:r w:rsidRPr="00482722">
        <w:rPr>
          <w:rFonts w:ascii="Arial" w:hAnsi="Arial" w:cs="Arial"/>
          <w:sz w:val="20"/>
          <w:szCs w:val="20"/>
        </w:rPr>
        <w:t xml:space="preserve"> a long-term relationship with</w:t>
      </w:r>
      <w:r w:rsidR="00243B96" w:rsidRPr="00482722">
        <w:rPr>
          <w:rFonts w:ascii="Arial" w:hAnsi="Arial" w:cs="Arial"/>
          <w:sz w:val="20"/>
          <w:szCs w:val="20"/>
        </w:rPr>
        <w:t>,</w:t>
      </w:r>
      <w:r w:rsidRPr="00482722">
        <w:rPr>
          <w:rFonts w:ascii="Arial" w:hAnsi="Arial" w:cs="Arial"/>
          <w:sz w:val="20"/>
          <w:szCs w:val="20"/>
        </w:rPr>
        <w:t xml:space="preserve"> a service provider (</w:t>
      </w:r>
      <w:r w:rsidR="00EA20A0" w:rsidRPr="00482722">
        <w:rPr>
          <w:rFonts w:ascii="Arial" w:hAnsi="Arial" w:cs="Arial"/>
          <w:sz w:val="20"/>
          <w:szCs w:val="20"/>
        </w:rPr>
        <w:t xml:space="preserve">Liang et al. 2019; </w:t>
      </w:r>
      <w:r w:rsidRPr="00482722">
        <w:rPr>
          <w:rFonts w:ascii="Arial" w:hAnsi="Arial" w:cs="Arial"/>
          <w:sz w:val="20"/>
          <w:szCs w:val="20"/>
        </w:rPr>
        <w:t xml:space="preserve">Lam et al., 2004). </w:t>
      </w:r>
      <w:r w:rsidR="001C0CEF" w:rsidRPr="00482722">
        <w:rPr>
          <w:rFonts w:ascii="Arial" w:hAnsi="Arial" w:cs="Arial"/>
          <w:sz w:val="20"/>
          <w:szCs w:val="20"/>
        </w:rPr>
        <w:t xml:space="preserve">Previous research </w:t>
      </w:r>
      <w:r w:rsidR="00EB3944" w:rsidRPr="00482722">
        <w:rPr>
          <w:rFonts w:ascii="Arial" w:hAnsi="Arial" w:cs="Arial"/>
          <w:sz w:val="20"/>
          <w:szCs w:val="20"/>
        </w:rPr>
        <w:t xml:space="preserve">has </w:t>
      </w:r>
      <w:r w:rsidRPr="00482722">
        <w:rPr>
          <w:rFonts w:ascii="Arial" w:hAnsi="Arial" w:cs="Arial"/>
          <w:sz w:val="20"/>
          <w:szCs w:val="20"/>
          <w:shd w:val="clear" w:color="auto" w:fill="FFFFFF"/>
        </w:rPr>
        <w:t>confirmed that s</w:t>
      </w:r>
      <w:r w:rsidRPr="00482722">
        <w:rPr>
          <w:rFonts w:ascii="Arial" w:hAnsi="Arial" w:cs="Arial"/>
          <w:sz w:val="20"/>
          <w:szCs w:val="20"/>
        </w:rPr>
        <w:t>atisfaction is not only a primary driver of the use of e-government services but also the key to sustain</w:t>
      </w:r>
      <w:r w:rsidR="00364866" w:rsidRPr="00482722">
        <w:rPr>
          <w:rFonts w:ascii="Arial" w:hAnsi="Arial" w:cs="Arial"/>
          <w:sz w:val="20"/>
          <w:szCs w:val="20"/>
        </w:rPr>
        <w:t>ing</w:t>
      </w:r>
      <w:r w:rsidRPr="00482722">
        <w:rPr>
          <w:rFonts w:ascii="Arial" w:hAnsi="Arial" w:cs="Arial"/>
          <w:sz w:val="20"/>
          <w:szCs w:val="20"/>
        </w:rPr>
        <w:t xml:space="preserve"> a loyal base for a long-term relationship with citizens</w:t>
      </w:r>
      <w:r w:rsidR="001C0CEF" w:rsidRPr="00482722">
        <w:rPr>
          <w:rFonts w:ascii="Arial" w:hAnsi="Arial" w:cs="Arial"/>
          <w:sz w:val="20"/>
          <w:szCs w:val="20"/>
        </w:rPr>
        <w:t xml:space="preserve"> (e.g., Li and Shang, 2020</w:t>
      </w:r>
      <w:r w:rsidR="001C0CEF" w:rsidRPr="00482722">
        <w:rPr>
          <w:rFonts w:ascii="Arial" w:eastAsia="Times New Roman" w:hAnsi="Arial" w:cs="Arial"/>
          <w:sz w:val="20"/>
          <w:szCs w:val="20"/>
          <w:lang w:eastAsia="en-GB"/>
        </w:rPr>
        <w:t xml:space="preserve">; </w:t>
      </w:r>
      <w:r w:rsidR="001C0CEF" w:rsidRPr="00482722">
        <w:rPr>
          <w:rFonts w:ascii="Arial" w:hAnsi="Arial" w:cs="Arial"/>
          <w:sz w:val="20"/>
          <w:szCs w:val="20"/>
          <w:shd w:val="clear" w:color="auto" w:fill="FFFFFF"/>
        </w:rPr>
        <w:t>Alawneh et al., 2013)</w:t>
      </w:r>
      <w:r w:rsidRPr="00482722">
        <w:rPr>
          <w:rFonts w:ascii="Arial" w:hAnsi="Arial" w:cs="Arial"/>
          <w:sz w:val="20"/>
          <w:szCs w:val="20"/>
          <w:shd w:val="clear" w:color="auto" w:fill="FFFFFF"/>
        </w:rPr>
        <w:t xml:space="preserve">. </w:t>
      </w:r>
      <w:r w:rsidR="001C0CEF" w:rsidRPr="00482722">
        <w:rPr>
          <w:rFonts w:ascii="Arial" w:hAnsi="Arial" w:cs="Arial"/>
          <w:sz w:val="20"/>
          <w:szCs w:val="20"/>
          <w:shd w:val="clear" w:color="auto" w:fill="FFFFFF"/>
        </w:rPr>
        <w:t>Hence, the following hypothesis is proposed:</w:t>
      </w:r>
    </w:p>
    <w:p w14:paraId="329BA8EB" w14:textId="3D10D785" w:rsidR="00634D94" w:rsidRPr="00482722" w:rsidRDefault="00634D94" w:rsidP="00DA5EEC">
      <w:pPr>
        <w:spacing w:line="240" w:lineRule="auto"/>
        <w:jc w:val="both"/>
        <w:rPr>
          <w:rFonts w:ascii="Arial" w:hAnsi="Arial" w:cs="Arial"/>
          <w:sz w:val="20"/>
          <w:szCs w:val="20"/>
        </w:rPr>
      </w:pPr>
      <w:r w:rsidRPr="00482722">
        <w:rPr>
          <w:rFonts w:ascii="Arial" w:hAnsi="Arial" w:cs="Arial"/>
          <w:bCs/>
          <w:i/>
          <w:iCs/>
          <w:sz w:val="20"/>
          <w:szCs w:val="20"/>
        </w:rPr>
        <w:t>H12</w:t>
      </w:r>
      <w:r w:rsidR="00432168" w:rsidRPr="00482722">
        <w:rPr>
          <w:rFonts w:ascii="Arial" w:hAnsi="Arial" w:cs="Arial"/>
          <w:bCs/>
          <w:sz w:val="20"/>
          <w:szCs w:val="20"/>
        </w:rPr>
        <w:t>.</w:t>
      </w:r>
      <w:r w:rsidRPr="00482722">
        <w:rPr>
          <w:rFonts w:ascii="Arial" w:hAnsi="Arial" w:cs="Arial"/>
          <w:sz w:val="20"/>
          <w:szCs w:val="20"/>
        </w:rPr>
        <w:t xml:space="preserve"> </w:t>
      </w:r>
      <w:r w:rsidR="00432168" w:rsidRPr="00482722">
        <w:rPr>
          <w:rFonts w:ascii="Arial" w:hAnsi="Arial" w:cs="Arial"/>
          <w:sz w:val="20"/>
          <w:szCs w:val="20"/>
        </w:rPr>
        <w:t>C</w:t>
      </w:r>
      <w:r w:rsidR="00B91C56" w:rsidRPr="00482722">
        <w:rPr>
          <w:rFonts w:ascii="Arial" w:hAnsi="Arial" w:cs="Arial"/>
          <w:sz w:val="20"/>
          <w:szCs w:val="20"/>
        </w:rPr>
        <w:t>itizen satisfaction</w:t>
      </w:r>
      <w:r w:rsidRPr="00482722">
        <w:rPr>
          <w:rFonts w:ascii="Arial" w:hAnsi="Arial" w:cs="Arial"/>
          <w:sz w:val="20"/>
          <w:szCs w:val="20"/>
        </w:rPr>
        <w:t xml:space="preserve"> has a direct and positive influence on </w:t>
      </w:r>
      <w:r w:rsidR="00016D7E" w:rsidRPr="00482722">
        <w:rPr>
          <w:rFonts w:ascii="Arial" w:hAnsi="Arial" w:cs="Arial"/>
          <w:sz w:val="20"/>
          <w:szCs w:val="20"/>
        </w:rPr>
        <w:t>citizen loyalty</w:t>
      </w:r>
      <w:r w:rsidRPr="00482722">
        <w:rPr>
          <w:rFonts w:ascii="Arial" w:hAnsi="Arial" w:cs="Arial"/>
          <w:sz w:val="20"/>
          <w:szCs w:val="20"/>
        </w:rPr>
        <w:t xml:space="preserve"> to e-government services.</w:t>
      </w:r>
    </w:p>
    <w:p w14:paraId="29FD3CB4" w14:textId="4A28E9AD" w:rsidR="008D0A35" w:rsidRPr="00482722" w:rsidRDefault="00E724CA" w:rsidP="00DA5EEC">
      <w:pPr>
        <w:pStyle w:val="Heading1"/>
        <w:spacing w:line="240" w:lineRule="auto"/>
        <w:ind w:left="432" w:hanging="432"/>
        <w:rPr>
          <w:rFonts w:ascii="Arial" w:hAnsi="Arial" w:cs="Arial"/>
          <w:sz w:val="20"/>
          <w:szCs w:val="20"/>
        </w:rPr>
      </w:pPr>
      <w:r w:rsidRPr="00482722">
        <w:rPr>
          <w:rFonts w:ascii="Arial" w:hAnsi="Arial" w:cs="Arial"/>
          <w:sz w:val="20"/>
          <w:szCs w:val="20"/>
        </w:rPr>
        <w:t>M</w:t>
      </w:r>
      <w:r w:rsidR="001B1163" w:rsidRPr="00482722">
        <w:rPr>
          <w:rFonts w:ascii="Arial" w:hAnsi="Arial" w:cs="Arial"/>
          <w:sz w:val="20"/>
          <w:szCs w:val="20"/>
        </w:rPr>
        <w:t>ethods</w:t>
      </w:r>
    </w:p>
    <w:p w14:paraId="51B46CE3" w14:textId="73B4B925" w:rsidR="007B3E71" w:rsidRPr="00482722" w:rsidRDefault="001C0AEA" w:rsidP="006D31B5">
      <w:pPr>
        <w:pStyle w:val="Heading2"/>
      </w:pPr>
      <w:r w:rsidRPr="00482722">
        <w:t>Research context</w:t>
      </w:r>
    </w:p>
    <w:p w14:paraId="1A732D12" w14:textId="0A81A458" w:rsidR="00BB3459" w:rsidRPr="00482722" w:rsidRDefault="006274AE" w:rsidP="00F53576">
      <w:pPr>
        <w:spacing w:line="240" w:lineRule="auto"/>
        <w:jc w:val="both"/>
        <w:rPr>
          <w:rFonts w:ascii="Arial" w:hAnsi="Arial" w:cs="Arial"/>
          <w:sz w:val="20"/>
          <w:szCs w:val="20"/>
        </w:rPr>
      </w:pPr>
      <w:r w:rsidRPr="00482722">
        <w:rPr>
          <w:rFonts w:ascii="Arial" w:hAnsi="Arial" w:cs="Arial"/>
          <w:sz w:val="20"/>
          <w:szCs w:val="20"/>
        </w:rPr>
        <w:t>The government of</w:t>
      </w:r>
      <w:r w:rsidR="00BB3459" w:rsidRPr="00482722">
        <w:rPr>
          <w:rFonts w:ascii="Arial" w:hAnsi="Arial" w:cs="Arial"/>
          <w:sz w:val="20"/>
          <w:szCs w:val="20"/>
        </w:rPr>
        <w:t xml:space="preserve"> Saudi Arabia is directing resources </w:t>
      </w:r>
      <w:r w:rsidR="00364866" w:rsidRPr="00482722">
        <w:rPr>
          <w:rFonts w:ascii="Arial" w:hAnsi="Arial" w:cs="Arial"/>
          <w:sz w:val="20"/>
          <w:szCs w:val="20"/>
        </w:rPr>
        <w:t xml:space="preserve">at </w:t>
      </w:r>
      <w:r w:rsidR="00BB3459" w:rsidRPr="00482722">
        <w:rPr>
          <w:rFonts w:ascii="Arial" w:hAnsi="Arial" w:cs="Arial"/>
          <w:sz w:val="20"/>
          <w:szCs w:val="20"/>
        </w:rPr>
        <w:t>e-government schemes</w:t>
      </w:r>
      <w:r w:rsidRPr="00482722">
        <w:rPr>
          <w:rFonts w:ascii="Arial" w:hAnsi="Arial" w:cs="Arial"/>
          <w:sz w:val="20"/>
          <w:szCs w:val="20"/>
        </w:rPr>
        <w:t xml:space="preserve"> </w:t>
      </w:r>
      <w:r w:rsidR="00C81201" w:rsidRPr="00482722">
        <w:rPr>
          <w:rFonts w:ascii="Arial" w:hAnsi="Arial" w:cs="Arial"/>
          <w:sz w:val="20"/>
          <w:szCs w:val="20"/>
        </w:rPr>
        <w:t xml:space="preserve">in line with </w:t>
      </w:r>
      <w:r w:rsidRPr="00482722">
        <w:rPr>
          <w:rFonts w:ascii="Arial" w:hAnsi="Arial" w:cs="Arial"/>
          <w:sz w:val="20"/>
          <w:szCs w:val="20"/>
        </w:rPr>
        <w:t>one of the strategic goals of its Vision 2030 initiative,</w:t>
      </w:r>
      <w:r w:rsidR="00BB3459" w:rsidRPr="00482722" w:rsidDel="001673D9">
        <w:rPr>
          <w:rFonts w:ascii="Arial" w:hAnsi="Arial" w:cs="Arial"/>
          <w:sz w:val="20"/>
          <w:szCs w:val="20"/>
        </w:rPr>
        <w:t xml:space="preserve"> </w:t>
      </w:r>
      <w:r w:rsidRPr="00482722">
        <w:rPr>
          <w:rFonts w:ascii="Arial" w:hAnsi="Arial" w:cs="Arial"/>
          <w:sz w:val="20"/>
          <w:szCs w:val="20"/>
        </w:rPr>
        <w:t>with the</w:t>
      </w:r>
      <w:r w:rsidR="00BB3459" w:rsidRPr="00482722">
        <w:rPr>
          <w:rFonts w:ascii="Arial" w:hAnsi="Arial" w:cs="Arial"/>
          <w:sz w:val="20"/>
          <w:szCs w:val="20"/>
        </w:rPr>
        <w:t xml:space="preserve"> aim of transiti</w:t>
      </w:r>
      <w:r w:rsidRPr="00482722">
        <w:rPr>
          <w:rFonts w:ascii="Arial" w:hAnsi="Arial" w:cs="Arial"/>
          <w:sz w:val="20"/>
          <w:szCs w:val="20"/>
        </w:rPr>
        <w:t>ng</w:t>
      </w:r>
      <w:r w:rsidR="00BB3459" w:rsidRPr="00482722">
        <w:rPr>
          <w:rFonts w:ascii="Arial" w:hAnsi="Arial" w:cs="Arial"/>
          <w:sz w:val="20"/>
          <w:szCs w:val="20"/>
        </w:rPr>
        <w:t xml:space="preserve"> </w:t>
      </w:r>
      <w:r w:rsidR="00F53576" w:rsidRPr="00482722">
        <w:rPr>
          <w:rFonts w:ascii="Arial" w:hAnsi="Arial" w:cs="Arial"/>
          <w:sz w:val="20"/>
          <w:szCs w:val="20"/>
        </w:rPr>
        <w:t>its services</w:t>
      </w:r>
      <w:r w:rsidR="00BB3459" w:rsidRPr="00482722">
        <w:rPr>
          <w:rFonts w:ascii="Arial" w:hAnsi="Arial" w:cs="Arial"/>
          <w:sz w:val="20"/>
          <w:szCs w:val="20"/>
        </w:rPr>
        <w:t xml:space="preserve"> to the electronic domain (Santa et al., 2019). Furthermore, Saudi Arabia ha</w:t>
      </w:r>
      <w:r w:rsidR="0000212F" w:rsidRPr="00482722">
        <w:rPr>
          <w:rFonts w:ascii="Arial" w:hAnsi="Arial" w:cs="Arial"/>
          <w:sz w:val="20"/>
          <w:szCs w:val="20"/>
        </w:rPr>
        <w:t>d</w:t>
      </w:r>
      <w:r w:rsidR="00BB3459" w:rsidRPr="00482722">
        <w:rPr>
          <w:rFonts w:ascii="Arial" w:hAnsi="Arial" w:cs="Arial"/>
          <w:sz w:val="20"/>
          <w:szCs w:val="20"/>
        </w:rPr>
        <w:t xml:space="preserve"> set its sights on achieving the ranking of 25th in the UN’s e-Government Development Index for the year 2020 (Albrahim et al., 2018). In 2020, the Saudi government </w:t>
      </w:r>
      <w:r w:rsidR="002E766C" w:rsidRPr="00482722">
        <w:rPr>
          <w:rFonts w:ascii="Arial" w:hAnsi="Arial" w:cs="Arial"/>
          <w:sz w:val="20"/>
          <w:szCs w:val="20"/>
        </w:rPr>
        <w:t xml:space="preserve">also </w:t>
      </w:r>
      <w:r w:rsidR="00F53576" w:rsidRPr="00482722">
        <w:rPr>
          <w:rFonts w:ascii="Arial" w:hAnsi="Arial" w:cs="Arial"/>
          <w:sz w:val="20"/>
          <w:szCs w:val="20"/>
        </w:rPr>
        <w:t xml:space="preserve">introduced </w:t>
      </w:r>
      <w:r w:rsidR="00BB3459" w:rsidRPr="00482722">
        <w:rPr>
          <w:rFonts w:ascii="Arial" w:hAnsi="Arial" w:cs="Arial"/>
          <w:sz w:val="20"/>
          <w:szCs w:val="20"/>
        </w:rPr>
        <w:t xml:space="preserve">a unified e-government services portal that </w:t>
      </w:r>
      <w:r w:rsidRPr="00482722">
        <w:rPr>
          <w:rFonts w:ascii="Arial" w:hAnsi="Arial" w:cs="Arial"/>
          <w:sz w:val="20"/>
          <w:szCs w:val="20"/>
        </w:rPr>
        <w:t>can be</w:t>
      </w:r>
      <w:r w:rsidR="00BB3459" w:rsidRPr="00482722">
        <w:rPr>
          <w:rFonts w:ascii="Arial" w:hAnsi="Arial" w:cs="Arial"/>
          <w:sz w:val="20"/>
          <w:szCs w:val="20"/>
        </w:rPr>
        <w:t xml:space="preserve"> easily accessed by citizens and residents alike</w:t>
      </w:r>
      <w:r w:rsidR="00FE6BBE" w:rsidRPr="00482722">
        <w:rPr>
          <w:rFonts w:ascii="Arial" w:hAnsi="Arial" w:cs="Arial"/>
          <w:sz w:val="20"/>
          <w:szCs w:val="20"/>
        </w:rPr>
        <w:t xml:space="preserve"> for</w:t>
      </w:r>
      <w:r w:rsidR="00BB3459" w:rsidRPr="00482722">
        <w:rPr>
          <w:rFonts w:ascii="Arial" w:hAnsi="Arial" w:cs="Arial"/>
          <w:sz w:val="20"/>
          <w:szCs w:val="20"/>
        </w:rPr>
        <w:t xml:space="preserve"> services in the promising and central</w:t>
      </w:r>
      <w:r w:rsidR="00BB3459" w:rsidRPr="00482722" w:rsidDel="00D959EB">
        <w:rPr>
          <w:rFonts w:ascii="Arial" w:hAnsi="Arial" w:cs="Arial"/>
          <w:sz w:val="20"/>
          <w:szCs w:val="20"/>
        </w:rPr>
        <w:t xml:space="preserve"> </w:t>
      </w:r>
      <w:r w:rsidR="00BB3459" w:rsidRPr="00482722">
        <w:rPr>
          <w:rFonts w:ascii="Arial" w:hAnsi="Arial" w:cs="Arial"/>
          <w:sz w:val="20"/>
          <w:szCs w:val="20"/>
        </w:rPr>
        <w:t>fields of</w:t>
      </w:r>
      <w:r w:rsidR="00FE6BBE" w:rsidRPr="00482722">
        <w:rPr>
          <w:rFonts w:ascii="Arial" w:hAnsi="Arial" w:cs="Arial"/>
          <w:sz w:val="20"/>
          <w:szCs w:val="20"/>
        </w:rPr>
        <w:t xml:space="preserve"> </w:t>
      </w:r>
      <w:r w:rsidR="00BB3459" w:rsidRPr="00482722">
        <w:rPr>
          <w:rFonts w:ascii="Arial" w:hAnsi="Arial" w:cs="Arial"/>
          <w:sz w:val="20"/>
          <w:szCs w:val="20"/>
        </w:rPr>
        <w:t>education, health, justice</w:t>
      </w:r>
      <w:r w:rsidR="00FE6BBE" w:rsidRPr="00482722">
        <w:rPr>
          <w:rFonts w:ascii="Arial" w:hAnsi="Arial" w:cs="Arial"/>
          <w:sz w:val="20"/>
          <w:szCs w:val="20"/>
        </w:rPr>
        <w:t>,</w:t>
      </w:r>
      <w:r w:rsidR="00BB3459" w:rsidRPr="00482722">
        <w:rPr>
          <w:rFonts w:ascii="Arial" w:hAnsi="Arial" w:cs="Arial"/>
          <w:sz w:val="20"/>
          <w:szCs w:val="20"/>
        </w:rPr>
        <w:t xml:space="preserve"> and law</w:t>
      </w:r>
      <w:r w:rsidR="00FE6BBE" w:rsidRPr="00482722">
        <w:rPr>
          <w:rFonts w:ascii="Arial" w:hAnsi="Arial" w:cs="Arial"/>
          <w:sz w:val="20"/>
          <w:szCs w:val="20"/>
        </w:rPr>
        <w:t>, among others</w:t>
      </w:r>
      <w:r w:rsidR="00BB3459" w:rsidRPr="00482722">
        <w:rPr>
          <w:rFonts w:ascii="Arial" w:hAnsi="Arial" w:cs="Arial"/>
          <w:sz w:val="20"/>
          <w:szCs w:val="20"/>
        </w:rPr>
        <w:t xml:space="preserve"> (Basahel </w:t>
      </w:r>
      <w:r w:rsidR="002D35B9" w:rsidRPr="00482722">
        <w:rPr>
          <w:rFonts w:ascii="Arial" w:hAnsi="Arial" w:cs="Arial"/>
          <w:sz w:val="20"/>
          <w:szCs w:val="20"/>
        </w:rPr>
        <w:t>and</w:t>
      </w:r>
      <w:r w:rsidR="00BB3459" w:rsidRPr="00482722">
        <w:rPr>
          <w:rFonts w:ascii="Arial" w:hAnsi="Arial" w:cs="Arial"/>
          <w:sz w:val="20"/>
          <w:szCs w:val="20"/>
        </w:rPr>
        <w:t xml:space="preserve"> Yamin, 2017).</w:t>
      </w:r>
    </w:p>
    <w:p w14:paraId="4F94D3EC" w14:textId="5A6E83B4" w:rsidR="00BB3459" w:rsidRPr="00482722" w:rsidRDefault="00BB3459" w:rsidP="006A7403">
      <w:pPr>
        <w:spacing w:line="240" w:lineRule="auto"/>
        <w:jc w:val="both"/>
        <w:rPr>
          <w:rFonts w:ascii="Arial" w:hAnsi="Arial" w:cs="Arial"/>
          <w:sz w:val="20"/>
          <w:szCs w:val="20"/>
        </w:rPr>
      </w:pPr>
      <w:r w:rsidRPr="00482722">
        <w:rPr>
          <w:rFonts w:ascii="Arial" w:hAnsi="Arial" w:cs="Arial"/>
          <w:sz w:val="20"/>
          <w:szCs w:val="20"/>
        </w:rPr>
        <w:t>The shift of education services to the e-government domain is the top priority of the Saudi government</w:t>
      </w:r>
      <w:r w:rsidR="006274AE" w:rsidRPr="00482722">
        <w:rPr>
          <w:rFonts w:ascii="Arial" w:hAnsi="Arial" w:cs="Arial"/>
          <w:sz w:val="20"/>
          <w:szCs w:val="20"/>
        </w:rPr>
        <w:t>. This is because the</w:t>
      </w:r>
      <w:r w:rsidRPr="00482722">
        <w:rPr>
          <w:rFonts w:ascii="Arial" w:hAnsi="Arial" w:cs="Arial"/>
          <w:sz w:val="20"/>
          <w:szCs w:val="20"/>
        </w:rPr>
        <w:t xml:space="preserve"> country has </w:t>
      </w:r>
      <w:r w:rsidR="006274AE" w:rsidRPr="00482722">
        <w:rPr>
          <w:rFonts w:ascii="Arial" w:hAnsi="Arial" w:cs="Arial"/>
          <w:sz w:val="20"/>
          <w:szCs w:val="20"/>
        </w:rPr>
        <w:t>an annual</w:t>
      </w:r>
      <w:r w:rsidRPr="00482722">
        <w:rPr>
          <w:rFonts w:ascii="Arial" w:hAnsi="Arial" w:cs="Arial"/>
          <w:sz w:val="20"/>
          <w:szCs w:val="20"/>
        </w:rPr>
        <w:t xml:space="preserve"> population growth of 2.5</w:t>
      </w:r>
      <w:r w:rsidR="002834CA" w:rsidRPr="00482722">
        <w:rPr>
          <w:rFonts w:ascii="Arial" w:hAnsi="Arial" w:cs="Arial"/>
          <w:sz w:val="20"/>
          <w:szCs w:val="20"/>
        </w:rPr>
        <w:t xml:space="preserve"> per cent </w:t>
      </w:r>
      <w:r w:rsidR="00483FEA" w:rsidRPr="00482722">
        <w:rPr>
          <w:rFonts w:ascii="Arial" w:hAnsi="Arial" w:cs="Arial"/>
          <w:sz w:val="20"/>
          <w:szCs w:val="20"/>
        </w:rPr>
        <w:t>(</w:t>
      </w:r>
      <w:r w:rsidRPr="00482722">
        <w:rPr>
          <w:rFonts w:ascii="Arial" w:hAnsi="Arial" w:cs="Arial"/>
          <w:sz w:val="20"/>
          <w:szCs w:val="20"/>
        </w:rPr>
        <w:t>among the highest worldwide</w:t>
      </w:r>
      <w:r w:rsidR="00483FEA" w:rsidRPr="00482722">
        <w:rPr>
          <w:rFonts w:ascii="Arial" w:hAnsi="Arial" w:cs="Arial"/>
          <w:sz w:val="20"/>
          <w:szCs w:val="20"/>
        </w:rPr>
        <w:t>),</w:t>
      </w:r>
      <w:r w:rsidRPr="00482722">
        <w:rPr>
          <w:rFonts w:ascii="Arial" w:hAnsi="Arial" w:cs="Arial"/>
          <w:sz w:val="20"/>
          <w:szCs w:val="20"/>
        </w:rPr>
        <w:t xml:space="preserve"> it is home to almost </w:t>
      </w:r>
      <w:r w:rsidR="006A7403" w:rsidRPr="00482722">
        <w:rPr>
          <w:rFonts w:ascii="Arial" w:hAnsi="Arial" w:cs="Arial"/>
          <w:sz w:val="20"/>
          <w:szCs w:val="20"/>
        </w:rPr>
        <w:t>20</w:t>
      </w:r>
      <w:r w:rsidRPr="00482722">
        <w:rPr>
          <w:rFonts w:ascii="Arial" w:hAnsi="Arial" w:cs="Arial"/>
          <w:sz w:val="20"/>
          <w:szCs w:val="20"/>
        </w:rPr>
        <w:t xml:space="preserve"> million</w:t>
      </w:r>
      <w:r w:rsidR="006274AE" w:rsidRPr="00482722">
        <w:rPr>
          <w:rFonts w:ascii="Arial" w:hAnsi="Arial" w:cs="Arial"/>
          <w:sz w:val="20"/>
          <w:szCs w:val="20"/>
        </w:rPr>
        <w:t xml:space="preserve"> people</w:t>
      </w:r>
      <w:r w:rsidR="00483FEA" w:rsidRPr="00482722">
        <w:rPr>
          <w:rFonts w:ascii="Arial" w:hAnsi="Arial" w:cs="Arial"/>
          <w:sz w:val="20"/>
          <w:szCs w:val="20"/>
        </w:rPr>
        <w:t>,</w:t>
      </w:r>
      <w:r w:rsidR="006274AE" w:rsidRPr="00482722">
        <w:rPr>
          <w:rFonts w:ascii="Arial" w:hAnsi="Arial" w:cs="Arial"/>
          <w:sz w:val="20"/>
          <w:szCs w:val="20"/>
        </w:rPr>
        <w:t xml:space="preserve"> and</w:t>
      </w:r>
      <w:r w:rsidR="006A7403" w:rsidRPr="00482722">
        <w:rPr>
          <w:rFonts w:ascii="Arial" w:hAnsi="Arial" w:cs="Arial"/>
          <w:sz w:val="20"/>
          <w:szCs w:val="20"/>
        </w:rPr>
        <w:t xml:space="preserve"> </w:t>
      </w:r>
      <w:r w:rsidRPr="00482722">
        <w:rPr>
          <w:rFonts w:ascii="Arial" w:hAnsi="Arial" w:cs="Arial"/>
          <w:sz w:val="20"/>
          <w:szCs w:val="20"/>
        </w:rPr>
        <w:t>70</w:t>
      </w:r>
      <w:r w:rsidR="002834CA" w:rsidRPr="00482722">
        <w:rPr>
          <w:rFonts w:ascii="Arial" w:hAnsi="Arial" w:cs="Arial"/>
          <w:sz w:val="20"/>
          <w:szCs w:val="20"/>
        </w:rPr>
        <w:t xml:space="preserve"> per cent</w:t>
      </w:r>
      <w:r w:rsidRPr="00482722">
        <w:rPr>
          <w:rFonts w:ascii="Arial" w:hAnsi="Arial" w:cs="Arial"/>
          <w:sz w:val="20"/>
          <w:szCs w:val="20"/>
        </w:rPr>
        <w:t xml:space="preserve"> of the population</w:t>
      </w:r>
      <w:r w:rsidR="006274AE" w:rsidRPr="00482722">
        <w:rPr>
          <w:rFonts w:ascii="Arial" w:hAnsi="Arial" w:cs="Arial"/>
          <w:sz w:val="20"/>
          <w:szCs w:val="20"/>
        </w:rPr>
        <w:t xml:space="preserve"> is</w:t>
      </w:r>
      <w:r w:rsidRPr="00482722">
        <w:rPr>
          <w:rFonts w:ascii="Arial" w:hAnsi="Arial" w:cs="Arial"/>
          <w:sz w:val="20"/>
          <w:szCs w:val="20"/>
        </w:rPr>
        <w:t xml:space="preserve"> under </w:t>
      </w:r>
      <w:r w:rsidR="006274AE" w:rsidRPr="00482722">
        <w:rPr>
          <w:rFonts w:ascii="Arial" w:hAnsi="Arial" w:cs="Arial"/>
          <w:sz w:val="20"/>
          <w:szCs w:val="20"/>
        </w:rPr>
        <w:t xml:space="preserve">the age of </w:t>
      </w:r>
      <w:r w:rsidRPr="00482722">
        <w:rPr>
          <w:rFonts w:ascii="Arial" w:hAnsi="Arial" w:cs="Arial"/>
          <w:sz w:val="20"/>
          <w:szCs w:val="20"/>
        </w:rPr>
        <w:t>30 (</w:t>
      </w:r>
      <w:r w:rsidRPr="00482722">
        <w:rPr>
          <w:rFonts w:ascii="Arial" w:eastAsia="Times New Roman" w:hAnsi="Arial" w:cs="Arial"/>
          <w:sz w:val="20"/>
          <w:szCs w:val="20"/>
          <w:lang w:eastAsia="en-GB"/>
        </w:rPr>
        <w:t>The General Authority for Statistics, 2018</w:t>
      </w:r>
      <w:r w:rsidRPr="00482722">
        <w:rPr>
          <w:rFonts w:ascii="Arial" w:hAnsi="Arial" w:cs="Arial"/>
          <w:sz w:val="20"/>
          <w:szCs w:val="20"/>
        </w:rPr>
        <w:t>)</w:t>
      </w:r>
      <w:r w:rsidR="006274AE" w:rsidRPr="00482722">
        <w:rPr>
          <w:rFonts w:ascii="Arial" w:hAnsi="Arial" w:cs="Arial"/>
          <w:sz w:val="20"/>
          <w:szCs w:val="20"/>
        </w:rPr>
        <w:t xml:space="preserve">. Hence, </w:t>
      </w:r>
      <w:r w:rsidR="004D4A84" w:rsidRPr="00482722">
        <w:rPr>
          <w:rFonts w:ascii="Arial" w:hAnsi="Arial" w:cs="Arial"/>
          <w:sz w:val="20"/>
          <w:szCs w:val="20"/>
        </w:rPr>
        <w:t>there will continue to be a high demand</w:t>
      </w:r>
      <w:r w:rsidRPr="00482722">
        <w:rPr>
          <w:rFonts w:ascii="Arial" w:hAnsi="Arial" w:cs="Arial"/>
          <w:sz w:val="20"/>
          <w:szCs w:val="20"/>
        </w:rPr>
        <w:t xml:space="preserve"> for education services</w:t>
      </w:r>
      <w:r w:rsidR="006274AE" w:rsidRPr="00482722">
        <w:rPr>
          <w:rFonts w:ascii="Arial" w:hAnsi="Arial" w:cs="Arial"/>
          <w:sz w:val="20"/>
          <w:szCs w:val="20"/>
        </w:rPr>
        <w:t xml:space="preserve"> in the country.</w:t>
      </w:r>
    </w:p>
    <w:p w14:paraId="1B92E10C" w14:textId="33D4F442" w:rsidR="00BB3459" w:rsidRPr="00482722" w:rsidRDefault="00BB3459" w:rsidP="00DA5EEC">
      <w:pPr>
        <w:spacing w:line="240" w:lineRule="auto"/>
        <w:jc w:val="both"/>
        <w:rPr>
          <w:rFonts w:ascii="Arial" w:hAnsi="Arial" w:cs="Arial"/>
          <w:sz w:val="20"/>
          <w:szCs w:val="20"/>
        </w:rPr>
      </w:pPr>
      <w:r w:rsidRPr="00482722">
        <w:rPr>
          <w:rFonts w:ascii="Arial" w:hAnsi="Arial" w:cs="Arial"/>
          <w:sz w:val="20"/>
          <w:szCs w:val="20"/>
        </w:rPr>
        <w:t xml:space="preserve">The UEAS was </w:t>
      </w:r>
      <w:r w:rsidR="002A5C40" w:rsidRPr="00482722">
        <w:rPr>
          <w:rFonts w:ascii="Arial" w:hAnsi="Arial" w:cs="Arial"/>
          <w:sz w:val="20"/>
          <w:szCs w:val="20"/>
        </w:rPr>
        <w:t>initiated</w:t>
      </w:r>
      <w:r w:rsidRPr="00482722">
        <w:rPr>
          <w:rFonts w:ascii="Arial" w:hAnsi="Arial" w:cs="Arial"/>
          <w:sz w:val="20"/>
          <w:szCs w:val="20"/>
        </w:rPr>
        <w:t xml:space="preserve"> as a joint effort by the Ministry of Education, the government universities</w:t>
      </w:r>
      <w:r w:rsidR="004862B1" w:rsidRPr="00482722">
        <w:rPr>
          <w:rFonts w:ascii="Arial" w:hAnsi="Arial" w:cs="Arial"/>
          <w:sz w:val="20"/>
          <w:szCs w:val="20"/>
        </w:rPr>
        <w:t>,</w:t>
      </w:r>
      <w:r w:rsidRPr="00482722">
        <w:rPr>
          <w:rFonts w:ascii="Arial" w:hAnsi="Arial" w:cs="Arial"/>
          <w:sz w:val="20"/>
          <w:szCs w:val="20"/>
        </w:rPr>
        <w:t xml:space="preserve"> the </w:t>
      </w:r>
      <w:r w:rsidR="004862B1" w:rsidRPr="00482722">
        <w:rPr>
          <w:rFonts w:ascii="Arial" w:hAnsi="Arial" w:cs="Arial"/>
          <w:sz w:val="20"/>
          <w:szCs w:val="20"/>
        </w:rPr>
        <w:t>t</w:t>
      </w:r>
      <w:r w:rsidRPr="00482722">
        <w:rPr>
          <w:rFonts w:ascii="Arial" w:hAnsi="Arial" w:cs="Arial"/>
          <w:sz w:val="20"/>
          <w:szCs w:val="20"/>
        </w:rPr>
        <w:t xml:space="preserve">echnical </w:t>
      </w:r>
      <w:r w:rsidR="004862B1" w:rsidRPr="00482722">
        <w:rPr>
          <w:rFonts w:ascii="Arial" w:hAnsi="Arial" w:cs="Arial"/>
          <w:sz w:val="20"/>
          <w:szCs w:val="20"/>
        </w:rPr>
        <w:t>c</w:t>
      </w:r>
      <w:r w:rsidRPr="00482722">
        <w:rPr>
          <w:rFonts w:ascii="Arial" w:hAnsi="Arial" w:cs="Arial"/>
          <w:sz w:val="20"/>
          <w:szCs w:val="20"/>
        </w:rPr>
        <w:t xml:space="preserve">ollege in Riyadh, the National </w:t>
      </w:r>
      <w:r w:rsidR="00CD1FA0" w:rsidRPr="00482722">
        <w:rPr>
          <w:rFonts w:ascii="Arial" w:hAnsi="Arial" w:cs="Arial"/>
          <w:sz w:val="20"/>
          <w:szCs w:val="20"/>
        </w:rPr>
        <w:t>Centre</w:t>
      </w:r>
      <w:r w:rsidRPr="00482722">
        <w:rPr>
          <w:rFonts w:ascii="Arial" w:hAnsi="Arial" w:cs="Arial"/>
          <w:sz w:val="20"/>
          <w:szCs w:val="20"/>
        </w:rPr>
        <w:t xml:space="preserve"> for Assessment, and Yesser (the </w:t>
      </w:r>
      <w:r w:rsidR="004D4A84" w:rsidRPr="00482722">
        <w:rPr>
          <w:rFonts w:ascii="Arial" w:hAnsi="Arial" w:cs="Arial"/>
          <w:sz w:val="20"/>
          <w:szCs w:val="20"/>
        </w:rPr>
        <w:t>national</w:t>
      </w:r>
      <w:r w:rsidRPr="00482722">
        <w:rPr>
          <w:rFonts w:ascii="Arial" w:hAnsi="Arial" w:cs="Arial"/>
          <w:sz w:val="20"/>
          <w:szCs w:val="20"/>
        </w:rPr>
        <w:t xml:space="preserve"> e-</w:t>
      </w:r>
      <w:r w:rsidR="00D10C0B" w:rsidRPr="00482722">
        <w:rPr>
          <w:rFonts w:ascii="Arial" w:hAnsi="Arial" w:cs="Arial"/>
          <w:sz w:val="20"/>
          <w:szCs w:val="20"/>
        </w:rPr>
        <w:t>g</w:t>
      </w:r>
      <w:r w:rsidRPr="00482722">
        <w:rPr>
          <w:rFonts w:ascii="Arial" w:hAnsi="Arial" w:cs="Arial"/>
          <w:sz w:val="20"/>
          <w:szCs w:val="20"/>
        </w:rPr>
        <w:t xml:space="preserve">overnment </w:t>
      </w:r>
      <w:r w:rsidR="00D10C0B" w:rsidRPr="00482722">
        <w:rPr>
          <w:rFonts w:ascii="Arial" w:hAnsi="Arial" w:cs="Arial"/>
          <w:sz w:val="20"/>
          <w:szCs w:val="20"/>
        </w:rPr>
        <w:t>p</w:t>
      </w:r>
      <w:r w:rsidRPr="00482722">
        <w:rPr>
          <w:rFonts w:ascii="Arial" w:hAnsi="Arial" w:cs="Arial"/>
          <w:sz w:val="20"/>
          <w:szCs w:val="20"/>
        </w:rPr>
        <w:t>rogram</w:t>
      </w:r>
      <w:r w:rsidR="00D10C0B" w:rsidRPr="00482722">
        <w:rPr>
          <w:rFonts w:ascii="Arial" w:hAnsi="Arial" w:cs="Arial"/>
          <w:sz w:val="20"/>
          <w:szCs w:val="20"/>
        </w:rPr>
        <w:t>me</w:t>
      </w:r>
      <w:r w:rsidRPr="00482722">
        <w:rPr>
          <w:rFonts w:ascii="Arial" w:hAnsi="Arial" w:cs="Arial"/>
          <w:sz w:val="20"/>
          <w:szCs w:val="20"/>
        </w:rPr>
        <w:t xml:space="preserve">). Its aim is to establish an innovative method </w:t>
      </w:r>
      <w:r w:rsidR="00A75458" w:rsidRPr="00482722">
        <w:rPr>
          <w:rFonts w:ascii="Arial" w:hAnsi="Arial" w:cs="Arial"/>
          <w:sz w:val="20"/>
          <w:szCs w:val="20"/>
        </w:rPr>
        <w:t xml:space="preserve">that </w:t>
      </w:r>
      <w:r w:rsidRPr="00482722">
        <w:rPr>
          <w:rFonts w:ascii="Arial" w:hAnsi="Arial" w:cs="Arial"/>
          <w:sz w:val="20"/>
          <w:szCs w:val="20"/>
        </w:rPr>
        <w:t>normali</w:t>
      </w:r>
      <w:r w:rsidR="006274AE" w:rsidRPr="00482722">
        <w:rPr>
          <w:rFonts w:ascii="Arial" w:hAnsi="Arial" w:cs="Arial"/>
          <w:sz w:val="20"/>
          <w:szCs w:val="20"/>
        </w:rPr>
        <w:t>s</w:t>
      </w:r>
      <w:r w:rsidRPr="00482722">
        <w:rPr>
          <w:rFonts w:ascii="Arial" w:hAnsi="Arial" w:cs="Arial"/>
          <w:sz w:val="20"/>
          <w:szCs w:val="20"/>
        </w:rPr>
        <w:t>e</w:t>
      </w:r>
      <w:r w:rsidR="00A75458" w:rsidRPr="00482722">
        <w:rPr>
          <w:rFonts w:ascii="Arial" w:hAnsi="Arial" w:cs="Arial"/>
          <w:sz w:val="20"/>
          <w:szCs w:val="20"/>
        </w:rPr>
        <w:t>s</w:t>
      </w:r>
      <w:r w:rsidRPr="00482722" w:rsidDel="00166C5C">
        <w:rPr>
          <w:rFonts w:ascii="Arial" w:hAnsi="Arial" w:cs="Arial"/>
          <w:sz w:val="20"/>
          <w:szCs w:val="20"/>
        </w:rPr>
        <w:t xml:space="preserve"> </w:t>
      </w:r>
      <w:r w:rsidRPr="00482722">
        <w:rPr>
          <w:rFonts w:ascii="Arial" w:hAnsi="Arial" w:cs="Arial"/>
          <w:sz w:val="20"/>
          <w:szCs w:val="20"/>
        </w:rPr>
        <w:t>and simplif</w:t>
      </w:r>
      <w:r w:rsidR="00A75458" w:rsidRPr="00482722">
        <w:rPr>
          <w:rFonts w:ascii="Arial" w:hAnsi="Arial" w:cs="Arial"/>
          <w:sz w:val="20"/>
          <w:szCs w:val="20"/>
        </w:rPr>
        <w:t>ies</w:t>
      </w:r>
      <w:r w:rsidRPr="00482722" w:rsidDel="00166C5C">
        <w:rPr>
          <w:rFonts w:ascii="Arial" w:hAnsi="Arial" w:cs="Arial"/>
          <w:sz w:val="20"/>
          <w:szCs w:val="20"/>
        </w:rPr>
        <w:t xml:space="preserve"> </w:t>
      </w:r>
      <w:r w:rsidRPr="00482722">
        <w:rPr>
          <w:rFonts w:ascii="Arial" w:hAnsi="Arial" w:cs="Arial"/>
          <w:sz w:val="20"/>
          <w:szCs w:val="20"/>
        </w:rPr>
        <w:t>academic admission procedures and efficiently distribute</w:t>
      </w:r>
      <w:r w:rsidR="00A75458" w:rsidRPr="00482722">
        <w:rPr>
          <w:rFonts w:ascii="Arial" w:hAnsi="Arial" w:cs="Arial"/>
          <w:sz w:val="20"/>
          <w:szCs w:val="20"/>
        </w:rPr>
        <w:t>s</w:t>
      </w:r>
      <w:r w:rsidRPr="00482722">
        <w:rPr>
          <w:rFonts w:ascii="Arial" w:hAnsi="Arial" w:cs="Arial"/>
          <w:sz w:val="20"/>
          <w:szCs w:val="20"/>
        </w:rPr>
        <w:t xml:space="preserve"> the university places</w:t>
      </w:r>
      <w:r w:rsidR="00D5214C" w:rsidRPr="00482722">
        <w:rPr>
          <w:rFonts w:ascii="Arial" w:hAnsi="Arial" w:cs="Arial"/>
          <w:sz w:val="20"/>
          <w:szCs w:val="20"/>
        </w:rPr>
        <w:t xml:space="preserve"> that are available</w:t>
      </w:r>
      <w:r w:rsidR="006274AE" w:rsidRPr="00482722">
        <w:rPr>
          <w:rFonts w:ascii="Arial" w:hAnsi="Arial" w:cs="Arial"/>
          <w:sz w:val="20"/>
          <w:szCs w:val="20"/>
        </w:rPr>
        <w:t>,</w:t>
      </w:r>
      <w:r w:rsidRPr="00482722">
        <w:rPr>
          <w:rFonts w:ascii="Arial" w:hAnsi="Arial" w:cs="Arial"/>
          <w:sz w:val="20"/>
          <w:szCs w:val="20"/>
        </w:rPr>
        <w:t xml:space="preserve"> while providing equal and fair opportunities to all students. After a period of continuous development through various means</w:t>
      </w:r>
      <w:r w:rsidR="00D10C0B" w:rsidRPr="00482722">
        <w:rPr>
          <w:rFonts w:ascii="Arial" w:hAnsi="Arial" w:cs="Arial"/>
          <w:sz w:val="20"/>
          <w:szCs w:val="20"/>
        </w:rPr>
        <w:t xml:space="preserve"> – </w:t>
      </w:r>
      <w:r w:rsidRPr="00482722">
        <w:rPr>
          <w:rFonts w:ascii="Arial" w:hAnsi="Arial" w:cs="Arial"/>
          <w:sz w:val="20"/>
          <w:szCs w:val="20"/>
        </w:rPr>
        <w:t>such as</w:t>
      </w:r>
      <w:r w:rsidR="008C7BF5" w:rsidRPr="00482722">
        <w:rPr>
          <w:rFonts w:ascii="Arial" w:hAnsi="Arial" w:cs="Arial"/>
          <w:sz w:val="20"/>
          <w:szCs w:val="20"/>
        </w:rPr>
        <w:t xml:space="preserve"> taking</w:t>
      </w:r>
      <w:r w:rsidRPr="00482722">
        <w:rPr>
          <w:rFonts w:ascii="Arial" w:hAnsi="Arial" w:cs="Arial"/>
          <w:sz w:val="20"/>
          <w:szCs w:val="20"/>
        </w:rPr>
        <w:t xml:space="preserve"> suggestions from universities, students, and parents</w:t>
      </w:r>
      <w:r w:rsidR="00CE7B26" w:rsidRPr="00482722">
        <w:rPr>
          <w:rFonts w:ascii="Arial" w:hAnsi="Arial" w:cs="Arial"/>
          <w:sz w:val="20"/>
          <w:szCs w:val="20"/>
        </w:rPr>
        <w:t xml:space="preserve"> – </w:t>
      </w:r>
      <w:r w:rsidRPr="00482722">
        <w:rPr>
          <w:rFonts w:ascii="Arial" w:hAnsi="Arial" w:cs="Arial"/>
          <w:sz w:val="20"/>
          <w:szCs w:val="20"/>
        </w:rPr>
        <w:t xml:space="preserve">the UEAS </w:t>
      </w:r>
      <w:r w:rsidR="004D4A84" w:rsidRPr="00482722">
        <w:rPr>
          <w:rFonts w:ascii="Arial" w:hAnsi="Arial" w:cs="Arial"/>
          <w:sz w:val="20"/>
          <w:szCs w:val="20"/>
        </w:rPr>
        <w:t>is expected to be</w:t>
      </w:r>
      <w:r w:rsidRPr="00482722">
        <w:rPr>
          <w:rFonts w:ascii="Arial" w:hAnsi="Arial" w:cs="Arial"/>
          <w:sz w:val="20"/>
          <w:szCs w:val="20"/>
        </w:rPr>
        <w:t xml:space="preserve"> extended to all government universities across Saudi Arabia. Therefore, it represents a research context </w:t>
      </w:r>
      <w:r w:rsidR="008C7BF5" w:rsidRPr="00482722">
        <w:rPr>
          <w:rFonts w:ascii="Arial" w:hAnsi="Arial" w:cs="Arial"/>
          <w:sz w:val="20"/>
          <w:szCs w:val="20"/>
        </w:rPr>
        <w:t xml:space="preserve">that is </w:t>
      </w:r>
      <w:r w:rsidRPr="00482722">
        <w:rPr>
          <w:rFonts w:ascii="Arial" w:hAnsi="Arial" w:cs="Arial"/>
          <w:sz w:val="20"/>
          <w:szCs w:val="20"/>
        </w:rPr>
        <w:t xml:space="preserve">suited to </w:t>
      </w:r>
      <w:r w:rsidR="008C7BF5" w:rsidRPr="00482722">
        <w:rPr>
          <w:rFonts w:ascii="Arial" w:hAnsi="Arial" w:cs="Arial"/>
          <w:sz w:val="20"/>
          <w:szCs w:val="20"/>
        </w:rPr>
        <w:t>investigating</w:t>
      </w:r>
      <w:r w:rsidRPr="00482722">
        <w:rPr>
          <w:rFonts w:ascii="Arial" w:hAnsi="Arial" w:cs="Arial"/>
          <w:sz w:val="20"/>
          <w:szCs w:val="20"/>
        </w:rPr>
        <w:t xml:space="preserve"> citizen loyalty to e-government services.</w:t>
      </w:r>
    </w:p>
    <w:p w14:paraId="730E99C2" w14:textId="71DDEEB2" w:rsidR="008D0A35" w:rsidRPr="00482722" w:rsidRDefault="008D0A35" w:rsidP="006D31B5">
      <w:pPr>
        <w:pStyle w:val="Heading2"/>
      </w:pPr>
      <w:r w:rsidRPr="00482722">
        <w:t xml:space="preserve">Measurement </w:t>
      </w:r>
      <w:r w:rsidR="00BF7F6C" w:rsidRPr="00482722">
        <w:t>i</w:t>
      </w:r>
      <w:r w:rsidRPr="00482722">
        <w:t>tems</w:t>
      </w:r>
    </w:p>
    <w:p w14:paraId="122D958D" w14:textId="7569F660" w:rsidR="00BC7E58" w:rsidRPr="00482722" w:rsidRDefault="00BC7E58" w:rsidP="006A7403">
      <w:pPr>
        <w:spacing w:line="240" w:lineRule="auto"/>
        <w:jc w:val="both"/>
        <w:rPr>
          <w:rFonts w:ascii="Arial" w:hAnsi="Arial" w:cs="Arial"/>
          <w:sz w:val="20"/>
          <w:szCs w:val="20"/>
        </w:rPr>
      </w:pPr>
      <w:r w:rsidRPr="00482722">
        <w:rPr>
          <w:rFonts w:ascii="Arial" w:hAnsi="Arial" w:cs="Arial"/>
          <w:sz w:val="20"/>
          <w:szCs w:val="20"/>
        </w:rPr>
        <w:t xml:space="preserve">The </w:t>
      </w:r>
      <w:r w:rsidR="00BF7F6C" w:rsidRPr="00482722">
        <w:rPr>
          <w:rFonts w:ascii="Arial" w:hAnsi="Arial" w:cs="Arial"/>
          <w:sz w:val="20"/>
          <w:szCs w:val="20"/>
        </w:rPr>
        <w:t xml:space="preserve">measurement items </w:t>
      </w:r>
      <w:r w:rsidRPr="00482722">
        <w:rPr>
          <w:rFonts w:ascii="Arial" w:hAnsi="Arial" w:cs="Arial"/>
          <w:sz w:val="20"/>
          <w:szCs w:val="20"/>
        </w:rPr>
        <w:t xml:space="preserve">and their original sources </w:t>
      </w:r>
      <w:r w:rsidR="006A7403" w:rsidRPr="00482722">
        <w:rPr>
          <w:rFonts w:ascii="Arial" w:hAnsi="Arial" w:cs="Arial"/>
          <w:sz w:val="20"/>
          <w:szCs w:val="20"/>
        </w:rPr>
        <w:t>are shown</w:t>
      </w:r>
      <w:r w:rsidRPr="00482722">
        <w:rPr>
          <w:rFonts w:ascii="Arial" w:hAnsi="Arial" w:cs="Arial"/>
          <w:sz w:val="20"/>
          <w:szCs w:val="20"/>
        </w:rPr>
        <w:t xml:space="preserve"> in Appendix A. </w:t>
      </w:r>
      <w:r w:rsidR="006A7403" w:rsidRPr="00482722">
        <w:rPr>
          <w:rFonts w:ascii="Arial" w:hAnsi="Arial" w:cs="Arial"/>
          <w:sz w:val="20"/>
          <w:szCs w:val="20"/>
        </w:rPr>
        <w:t xml:space="preserve">The </w:t>
      </w:r>
      <w:r w:rsidR="004B14D4" w:rsidRPr="00482722">
        <w:rPr>
          <w:rFonts w:ascii="Arial" w:hAnsi="Arial" w:cs="Arial"/>
          <w:sz w:val="20"/>
          <w:szCs w:val="20"/>
        </w:rPr>
        <w:t xml:space="preserve">measurement items </w:t>
      </w:r>
      <w:r w:rsidRPr="00482722">
        <w:rPr>
          <w:rFonts w:ascii="Arial" w:hAnsi="Arial" w:cs="Arial"/>
          <w:sz w:val="20"/>
          <w:szCs w:val="20"/>
        </w:rPr>
        <w:t xml:space="preserve">were operationalised using </w:t>
      </w:r>
      <w:r w:rsidR="002C4A29" w:rsidRPr="00482722">
        <w:rPr>
          <w:rFonts w:ascii="Arial" w:hAnsi="Arial" w:cs="Arial"/>
          <w:sz w:val="20"/>
          <w:szCs w:val="20"/>
        </w:rPr>
        <w:t xml:space="preserve">a </w:t>
      </w:r>
      <w:r w:rsidRPr="00482722">
        <w:rPr>
          <w:rFonts w:ascii="Arial" w:hAnsi="Arial" w:cs="Arial"/>
          <w:sz w:val="20"/>
          <w:szCs w:val="20"/>
        </w:rPr>
        <w:t>five-point Likert scale rang</w:t>
      </w:r>
      <w:r w:rsidR="002C4A29" w:rsidRPr="00482722">
        <w:rPr>
          <w:rFonts w:ascii="Arial" w:hAnsi="Arial" w:cs="Arial"/>
          <w:sz w:val="20"/>
          <w:szCs w:val="20"/>
        </w:rPr>
        <w:t>ing</w:t>
      </w:r>
      <w:r w:rsidRPr="00482722">
        <w:rPr>
          <w:rFonts w:ascii="Arial" w:hAnsi="Arial" w:cs="Arial"/>
          <w:sz w:val="20"/>
          <w:szCs w:val="20"/>
        </w:rPr>
        <w:t xml:space="preserve"> from strongly disagree (1) to strongly agree (5). </w:t>
      </w:r>
      <w:r w:rsidR="001E5F34" w:rsidRPr="00482722">
        <w:rPr>
          <w:rFonts w:ascii="Arial" w:hAnsi="Arial" w:cs="Arial"/>
          <w:sz w:val="20"/>
          <w:szCs w:val="20"/>
        </w:rPr>
        <w:t>T</w:t>
      </w:r>
      <w:r w:rsidR="00F315DB" w:rsidRPr="00482722">
        <w:rPr>
          <w:rFonts w:ascii="Arial" w:hAnsi="Arial" w:cs="Arial"/>
          <w:sz w:val="20"/>
          <w:szCs w:val="20"/>
        </w:rPr>
        <w:t>o ensure content validity, t</w:t>
      </w:r>
      <w:r w:rsidR="001E5F34" w:rsidRPr="00482722">
        <w:rPr>
          <w:rFonts w:ascii="Arial" w:hAnsi="Arial" w:cs="Arial"/>
          <w:sz w:val="20"/>
          <w:szCs w:val="20"/>
        </w:rPr>
        <w:t xml:space="preserve">he instrument measures in this study </w:t>
      </w:r>
      <w:r w:rsidR="00BD7072" w:rsidRPr="00482722">
        <w:rPr>
          <w:rFonts w:ascii="Arial" w:hAnsi="Arial" w:cs="Arial"/>
          <w:sz w:val="20"/>
          <w:szCs w:val="20"/>
        </w:rPr>
        <w:t>were</w:t>
      </w:r>
      <w:r w:rsidR="001E5F34" w:rsidRPr="00482722">
        <w:rPr>
          <w:rFonts w:ascii="Arial" w:hAnsi="Arial" w:cs="Arial"/>
          <w:sz w:val="20"/>
          <w:szCs w:val="20"/>
        </w:rPr>
        <w:t xml:space="preserve"> designed primarily on</w:t>
      </w:r>
      <w:r w:rsidR="00F315DB" w:rsidRPr="00482722">
        <w:rPr>
          <w:rFonts w:ascii="Arial" w:hAnsi="Arial" w:cs="Arial"/>
          <w:sz w:val="20"/>
          <w:szCs w:val="20"/>
        </w:rPr>
        <w:t xml:space="preserve"> the basis of</w:t>
      </w:r>
      <w:r w:rsidR="001E5F34" w:rsidRPr="00482722">
        <w:rPr>
          <w:rFonts w:ascii="Arial" w:hAnsi="Arial" w:cs="Arial"/>
          <w:sz w:val="20"/>
          <w:szCs w:val="20"/>
        </w:rPr>
        <w:t xml:space="preserve"> </w:t>
      </w:r>
      <w:r w:rsidR="005B6278" w:rsidRPr="00482722">
        <w:rPr>
          <w:rFonts w:ascii="Arial" w:hAnsi="Arial" w:cs="Arial"/>
          <w:sz w:val="20"/>
          <w:szCs w:val="20"/>
        </w:rPr>
        <w:t>previously validated scales</w:t>
      </w:r>
      <w:r w:rsidR="00ED6E5C" w:rsidRPr="00482722">
        <w:rPr>
          <w:rFonts w:ascii="Arial" w:hAnsi="Arial" w:cs="Arial"/>
          <w:sz w:val="20"/>
          <w:szCs w:val="20"/>
        </w:rPr>
        <w:t xml:space="preserve"> (Wang </w:t>
      </w:r>
      <w:r w:rsidR="002D35B9" w:rsidRPr="00482722">
        <w:rPr>
          <w:rFonts w:ascii="Arial" w:hAnsi="Arial" w:cs="Arial"/>
          <w:sz w:val="20"/>
          <w:szCs w:val="20"/>
        </w:rPr>
        <w:t>and</w:t>
      </w:r>
      <w:r w:rsidR="00ED6E5C" w:rsidRPr="00482722">
        <w:rPr>
          <w:rFonts w:ascii="Arial" w:hAnsi="Arial" w:cs="Arial"/>
          <w:sz w:val="20"/>
          <w:szCs w:val="20"/>
        </w:rPr>
        <w:t xml:space="preserve"> Liao, 2008). </w:t>
      </w:r>
      <w:r w:rsidR="001E5F34" w:rsidRPr="00482722">
        <w:rPr>
          <w:rFonts w:ascii="Arial" w:hAnsi="Arial" w:cs="Arial"/>
          <w:sz w:val="20"/>
          <w:szCs w:val="20"/>
        </w:rPr>
        <w:t>However, some modification</w:t>
      </w:r>
      <w:r w:rsidR="00BD7072" w:rsidRPr="00482722">
        <w:rPr>
          <w:rFonts w:ascii="Arial" w:hAnsi="Arial" w:cs="Arial"/>
          <w:sz w:val="20"/>
          <w:szCs w:val="20"/>
        </w:rPr>
        <w:t>s</w:t>
      </w:r>
      <w:r w:rsidR="002C4A29" w:rsidRPr="00482722">
        <w:rPr>
          <w:rFonts w:ascii="Arial" w:hAnsi="Arial" w:cs="Arial"/>
          <w:sz w:val="20"/>
          <w:szCs w:val="20"/>
        </w:rPr>
        <w:t xml:space="preserve"> were made</w:t>
      </w:r>
      <w:r w:rsidR="001E5F34" w:rsidRPr="00482722">
        <w:rPr>
          <w:rFonts w:ascii="Arial" w:hAnsi="Arial" w:cs="Arial"/>
          <w:sz w:val="20"/>
          <w:szCs w:val="20"/>
        </w:rPr>
        <w:t xml:space="preserve"> </w:t>
      </w:r>
      <w:r w:rsidR="002C4A29" w:rsidRPr="00482722">
        <w:rPr>
          <w:rFonts w:ascii="Arial" w:hAnsi="Arial" w:cs="Arial"/>
          <w:sz w:val="20"/>
          <w:szCs w:val="20"/>
        </w:rPr>
        <w:t>to</w:t>
      </w:r>
      <w:r w:rsidR="001E5F34" w:rsidRPr="00482722">
        <w:rPr>
          <w:rFonts w:ascii="Arial" w:hAnsi="Arial" w:cs="Arial"/>
          <w:sz w:val="20"/>
          <w:szCs w:val="20"/>
        </w:rPr>
        <w:t xml:space="preserve"> some</w:t>
      </w:r>
      <w:r w:rsidR="000E5249" w:rsidRPr="00482722">
        <w:rPr>
          <w:rFonts w:ascii="Arial" w:hAnsi="Arial" w:cs="Arial"/>
          <w:sz w:val="20"/>
          <w:szCs w:val="20"/>
        </w:rPr>
        <w:t xml:space="preserve"> of the</w:t>
      </w:r>
      <w:r w:rsidR="001E5F34" w:rsidRPr="00482722">
        <w:rPr>
          <w:rFonts w:ascii="Arial" w:hAnsi="Arial" w:cs="Arial"/>
          <w:sz w:val="20"/>
          <w:szCs w:val="20"/>
        </w:rPr>
        <w:t xml:space="preserve"> scales to better fit the research setting </w:t>
      </w:r>
      <w:r w:rsidR="00ED6E5C" w:rsidRPr="00482722">
        <w:rPr>
          <w:rFonts w:ascii="Arial" w:hAnsi="Arial" w:cs="Arial"/>
          <w:sz w:val="20"/>
          <w:szCs w:val="20"/>
        </w:rPr>
        <w:t>of</w:t>
      </w:r>
      <w:r w:rsidR="000E5249" w:rsidRPr="00482722">
        <w:rPr>
          <w:rFonts w:ascii="Arial" w:hAnsi="Arial" w:cs="Arial"/>
          <w:sz w:val="20"/>
          <w:szCs w:val="20"/>
        </w:rPr>
        <w:t xml:space="preserve"> the</w:t>
      </w:r>
      <w:r w:rsidR="00ED6E5C" w:rsidRPr="00482722">
        <w:rPr>
          <w:rFonts w:ascii="Arial" w:hAnsi="Arial" w:cs="Arial"/>
          <w:sz w:val="20"/>
          <w:szCs w:val="20"/>
        </w:rPr>
        <w:t xml:space="preserve"> UEAS</w:t>
      </w:r>
      <w:r w:rsidR="001E5F34" w:rsidRPr="00482722">
        <w:rPr>
          <w:rFonts w:ascii="Arial" w:hAnsi="Arial" w:cs="Arial"/>
          <w:sz w:val="20"/>
          <w:szCs w:val="20"/>
        </w:rPr>
        <w:t>.</w:t>
      </w:r>
    </w:p>
    <w:p w14:paraId="12BD70D3" w14:textId="5A0F72E8" w:rsidR="00ED6E5C" w:rsidRPr="00482722" w:rsidRDefault="002C4A29" w:rsidP="00DA5EEC">
      <w:pPr>
        <w:spacing w:line="240" w:lineRule="auto"/>
        <w:jc w:val="both"/>
        <w:rPr>
          <w:rFonts w:ascii="Arial" w:hAnsi="Arial" w:cs="Arial"/>
          <w:sz w:val="20"/>
          <w:szCs w:val="20"/>
        </w:rPr>
      </w:pPr>
      <w:r w:rsidRPr="00482722">
        <w:rPr>
          <w:rFonts w:ascii="Arial" w:hAnsi="Arial" w:cs="Arial"/>
          <w:sz w:val="20"/>
          <w:szCs w:val="20"/>
        </w:rPr>
        <w:t>The items for d</w:t>
      </w:r>
      <w:r w:rsidR="00B91C56" w:rsidRPr="00482722">
        <w:rPr>
          <w:rFonts w:ascii="Arial" w:hAnsi="Arial" w:cs="Arial"/>
          <w:sz w:val="20"/>
          <w:szCs w:val="20"/>
        </w:rPr>
        <w:t>isposition to trust</w:t>
      </w:r>
      <w:r w:rsidR="00EE312B" w:rsidRPr="00482722">
        <w:rPr>
          <w:rFonts w:ascii="Arial" w:hAnsi="Arial" w:cs="Arial"/>
          <w:sz w:val="20"/>
          <w:szCs w:val="20"/>
        </w:rPr>
        <w:t xml:space="preserve">, </w:t>
      </w:r>
      <w:r w:rsidR="00B91C56" w:rsidRPr="00482722">
        <w:rPr>
          <w:rFonts w:ascii="Arial" w:hAnsi="Arial" w:cs="Arial"/>
          <w:sz w:val="20"/>
          <w:szCs w:val="20"/>
        </w:rPr>
        <w:t>trust in government</w:t>
      </w:r>
      <w:r w:rsidR="000E5249" w:rsidRPr="00482722">
        <w:rPr>
          <w:rFonts w:ascii="Arial" w:hAnsi="Arial" w:cs="Arial"/>
          <w:sz w:val="20"/>
          <w:szCs w:val="20"/>
        </w:rPr>
        <w:t>,</w:t>
      </w:r>
      <w:r w:rsidR="00EE312B" w:rsidRPr="00482722">
        <w:rPr>
          <w:rFonts w:ascii="Arial" w:hAnsi="Arial" w:cs="Arial"/>
          <w:sz w:val="20"/>
          <w:szCs w:val="20"/>
        </w:rPr>
        <w:t xml:space="preserve"> and </w:t>
      </w:r>
      <w:r w:rsidR="00B91C56" w:rsidRPr="00482722">
        <w:rPr>
          <w:rFonts w:ascii="Arial" w:hAnsi="Arial" w:cs="Arial"/>
          <w:sz w:val="20"/>
          <w:szCs w:val="20"/>
        </w:rPr>
        <w:t>trust in e-</w:t>
      </w:r>
      <w:r w:rsidR="006A7403" w:rsidRPr="00482722">
        <w:rPr>
          <w:rFonts w:ascii="Arial" w:hAnsi="Arial" w:cs="Arial"/>
          <w:sz w:val="20"/>
          <w:szCs w:val="20"/>
        </w:rPr>
        <w:t>government were</w:t>
      </w:r>
      <w:r w:rsidR="00F00EF6" w:rsidRPr="00482722">
        <w:rPr>
          <w:rFonts w:ascii="Arial" w:hAnsi="Arial" w:cs="Arial"/>
          <w:sz w:val="20"/>
          <w:szCs w:val="20"/>
        </w:rPr>
        <w:t xml:space="preserve"> </w:t>
      </w:r>
      <w:r w:rsidR="00795C41" w:rsidRPr="00482722">
        <w:rPr>
          <w:rFonts w:ascii="Arial" w:hAnsi="Arial" w:cs="Arial"/>
          <w:sz w:val="20"/>
          <w:szCs w:val="20"/>
        </w:rPr>
        <w:t>adopted</w:t>
      </w:r>
      <w:r w:rsidR="00F00EF6" w:rsidRPr="00482722">
        <w:rPr>
          <w:rFonts w:ascii="Arial" w:hAnsi="Arial" w:cs="Arial"/>
          <w:sz w:val="20"/>
          <w:szCs w:val="20"/>
        </w:rPr>
        <w:t xml:space="preserve"> from Bélanger and Carter (2008). </w:t>
      </w:r>
      <w:r w:rsidR="008D0A35" w:rsidRPr="00482722">
        <w:rPr>
          <w:rFonts w:ascii="Arial" w:hAnsi="Arial" w:cs="Arial"/>
          <w:sz w:val="20"/>
          <w:szCs w:val="20"/>
        </w:rPr>
        <w:t xml:space="preserve">In the context of </w:t>
      </w:r>
      <w:r w:rsidR="006E4F7B" w:rsidRPr="00482722">
        <w:rPr>
          <w:rFonts w:ascii="Arial" w:hAnsi="Arial" w:cs="Arial"/>
          <w:sz w:val="20"/>
          <w:szCs w:val="20"/>
        </w:rPr>
        <w:t>service quality</w:t>
      </w:r>
      <w:r w:rsidR="008D0A35" w:rsidRPr="00482722">
        <w:rPr>
          <w:rFonts w:ascii="Arial" w:hAnsi="Arial" w:cs="Arial"/>
          <w:sz w:val="20"/>
          <w:szCs w:val="20"/>
        </w:rPr>
        <w:t xml:space="preserve">, </w:t>
      </w:r>
      <w:r w:rsidR="000E5249" w:rsidRPr="00482722">
        <w:rPr>
          <w:rFonts w:ascii="Arial" w:hAnsi="Arial" w:cs="Arial"/>
          <w:sz w:val="20"/>
          <w:szCs w:val="20"/>
        </w:rPr>
        <w:t xml:space="preserve">the </w:t>
      </w:r>
      <w:r w:rsidR="00EB3739" w:rsidRPr="00482722">
        <w:rPr>
          <w:rFonts w:ascii="Arial" w:hAnsi="Arial" w:cs="Arial"/>
          <w:sz w:val="20"/>
          <w:szCs w:val="20"/>
        </w:rPr>
        <w:t xml:space="preserve">SERVQUAL instrument was </w:t>
      </w:r>
      <w:r w:rsidR="000E5249" w:rsidRPr="00482722">
        <w:rPr>
          <w:rFonts w:ascii="Arial" w:hAnsi="Arial" w:cs="Arial"/>
          <w:sz w:val="20"/>
          <w:szCs w:val="20"/>
        </w:rPr>
        <w:t xml:space="preserve">used </w:t>
      </w:r>
      <w:r w:rsidR="00EB3739" w:rsidRPr="00482722">
        <w:rPr>
          <w:rFonts w:ascii="Arial" w:hAnsi="Arial" w:cs="Arial"/>
          <w:sz w:val="20"/>
          <w:szCs w:val="20"/>
        </w:rPr>
        <w:t xml:space="preserve">to assess citizens’ perceptions </w:t>
      </w:r>
      <w:r w:rsidR="000E5249" w:rsidRPr="00482722">
        <w:rPr>
          <w:rFonts w:ascii="Arial" w:hAnsi="Arial" w:cs="Arial"/>
          <w:sz w:val="20"/>
          <w:szCs w:val="20"/>
        </w:rPr>
        <w:t>with regard to</w:t>
      </w:r>
      <w:r w:rsidR="00EB3739" w:rsidRPr="00482722">
        <w:rPr>
          <w:rFonts w:ascii="Arial" w:hAnsi="Arial" w:cs="Arial"/>
          <w:sz w:val="20"/>
          <w:szCs w:val="20"/>
        </w:rPr>
        <w:t xml:space="preserve"> the five basic attributes: tangibles</w:t>
      </w:r>
      <w:r w:rsidR="00010B1A" w:rsidRPr="00482722">
        <w:rPr>
          <w:rFonts w:ascii="Arial" w:hAnsi="Arial" w:cs="Arial"/>
          <w:sz w:val="20"/>
          <w:szCs w:val="20"/>
        </w:rPr>
        <w:t xml:space="preserve"> (SQT)</w:t>
      </w:r>
      <w:r w:rsidR="00EB3739" w:rsidRPr="00482722">
        <w:rPr>
          <w:rFonts w:ascii="Arial" w:hAnsi="Arial" w:cs="Arial"/>
          <w:sz w:val="20"/>
          <w:szCs w:val="20"/>
        </w:rPr>
        <w:t>, reliability</w:t>
      </w:r>
      <w:r w:rsidR="00010B1A" w:rsidRPr="00482722">
        <w:rPr>
          <w:rFonts w:ascii="Arial" w:hAnsi="Arial" w:cs="Arial"/>
          <w:sz w:val="20"/>
          <w:szCs w:val="20"/>
        </w:rPr>
        <w:t xml:space="preserve"> (SQR)</w:t>
      </w:r>
      <w:r w:rsidR="00EB3739" w:rsidRPr="00482722">
        <w:rPr>
          <w:rFonts w:ascii="Arial" w:hAnsi="Arial" w:cs="Arial"/>
          <w:sz w:val="20"/>
          <w:szCs w:val="20"/>
        </w:rPr>
        <w:t>, responsiveness</w:t>
      </w:r>
      <w:r w:rsidR="00010B1A" w:rsidRPr="00482722">
        <w:rPr>
          <w:rFonts w:ascii="Arial" w:hAnsi="Arial" w:cs="Arial"/>
          <w:sz w:val="20"/>
          <w:szCs w:val="20"/>
        </w:rPr>
        <w:t xml:space="preserve"> (SQR)</w:t>
      </w:r>
      <w:r w:rsidR="00EB3739" w:rsidRPr="00482722">
        <w:rPr>
          <w:rFonts w:ascii="Arial" w:hAnsi="Arial" w:cs="Arial"/>
          <w:sz w:val="20"/>
          <w:szCs w:val="20"/>
        </w:rPr>
        <w:t>, empathy</w:t>
      </w:r>
      <w:r w:rsidR="00010B1A" w:rsidRPr="00482722">
        <w:rPr>
          <w:rFonts w:ascii="Arial" w:hAnsi="Arial" w:cs="Arial"/>
          <w:sz w:val="20"/>
          <w:szCs w:val="20"/>
        </w:rPr>
        <w:t xml:space="preserve"> (SQE), </w:t>
      </w:r>
      <w:r w:rsidR="00EB3739" w:rsidRPr="00482722">
        <w:rPr>
          <w:rFonts w:ascii="Arial" w:hAnsi="Arial" w:cs="Arial"/>
          <w:sz w:val="20"/>
          <w:szCs w:val="20"/>
        </w:rPr>
        <w:t>and assurance</w:t>
      </w:r>
      <w:r w:rsidR="00010B1A" w:rsidRPr="00482722">
        <w:rPr>
          <w:rFonts w:ascii="Arial" w:hAnsi="Arial" w:cs="Arial"/>
          <w:sz w:val="20"/>
          <w:szCs w:val="20"/>
        </w:rPr>
        <w:t xml:space="preserve"> (SQA). The measurement </w:t>
      </w:r>
      <w:r w:rsidR="00C73250" w:rsidRPr="00482722">
        <w:rPr>
          <w:rFonts w:ascii="Arial" w:hAnsi="Arial" w:cs="Arial"/>
          <w:sz w:val="20"/>
          <w:szCs w:val="20"/>
        </w:rPr>
        <w:t>items</w:t>
      </w:r>
      <w:r w:rsidR="00010B1A" w:rsidRPr="00482722">
        <w:rPr>
          <w:rFonts w:ascii="Arial" w:hAnsi="Arial" w:cs="Arial"/>
          <w:sz w:val="20"/>
          <w:szCs w:val="20"/>
        </w:rPr>
        <w:t xml:space="preserve"> </w:t>
      </w:r>
      <w:r w:rsidR="00456080" w:rsidRPr="00482722">
        <w:rPr>
          <w:rFonts w:ascii="Arial" w:hAnsi="Arial" w:cs="Arial"/>
          <w:sz w:val="20"/>
          <w:szCs w:val="20"/>
        </w:rPr>
        <w:t xml:space="preserve">for </w:t>
      </w:r>
      <w:r w:rsidR="00010B1A" w:rsidRPr="00482722">
        <w:rPr>
          <w:rFonts w:ascii="Arial" w:hAnsi="Arial" w:cs="Arial"/>
          <w:sz w:val="20"/>
          <w:szCs w:val="20"/>
        </w:rPr>
        <w:t xml:space="preserve">the five basic attributes </w:t>
      </w:r>
      <w:r w:rsidR="00456080" w:rsidRPr="00482722">
        <w:rPr>
          <w:rFonts w:ascii="Arial" w:hAnsi="Arial" w:cs="Arial"/>
          <w:sz w:val="20"/>
          <w:szCs w:val="20"/>
        </w:rPr>
        <w:t xml:space="preserve">were </w:t>
      </w:r>
      <w:r w:rsidR="00445638" w:rsidRPr="00482722">
        <w:rPr>
          <w:rFonts w:ascii="Arial" w:hAnsi="Arial" w:cs="Arial"/>
          <w:sz w:val="20"/>
          <w:szCs w:val="20"/>
        </w:rPr>
        <w:t>adapted</w:t>
      </w:r>
      <w:r w:rsidR="00010B1A" w:rsidRPr="00482722">
        <w:rPr>
          <w:rFonts w:ascii="Arial" w:hAnsi="Arial" w:cs="Arial"/>
          <w:sz w:val="20"/>
          <w:szCs w:val="20"/>
        </w:rPr>
        <w:t xml:space="preserve"> from Gefen (2002) and Pitt et al. (1995).</w:t>
      </w:r>
      <w:r w:rsidR="00C73250" w:rsidRPr="00482722">
        <w:rPr>
          <w:rFonts w:ascii="Arial" w:hAnsi="Arial" w:cs="Arial"/>
          <w:sz w:val="20"/>
          <w:szCs w:val="20"/>
        </w:rPr>
        <w:t xml:space="preserve"> The remaining constructs were</w:t>
      </w:r>
      <w:r w:rsidRPr="00482722">
        <w:rPr>
          <w:rFonts w:ascii="Arial" w:hAnsi="Arial" w:cs="Arial"/>
          <w:sz w:val="20"/>
          <w:szCs w:val="20"/>
        </w:rPr>
        <w:t xml:space="preserve"> </w:t>
      </w:r>
      <w:r w:rsidR="00C73250" w:rsidRPr="00482722">
        <w:rPr>
          <w:rFonts w:ascii="Arial" w:hAnsi="Arial" w:cs="Arial"/>
          <w:sz w:val="20"/>
          <w:szCs w:val="20"/>
        </w:rPr>
        <w:t>adapted from relevant research</w:t>
      </w:r>
      <w:r w:rsidR="004377C8" w:rsidRPr="00482722">
        <w:rPr>
          <w:rFonts w:ascii="Arial" w:hAnsi="Arial" w:cs="Arial"/>
          <w:sz w:val="20"/>
          <w:szCs w:val="20"/>
        </w:rPr>
        <w:t xml:space="preserve"> and included</w:t>
      </w:r>
      <w:r w:rsidR="00C73250" w:rsidRPr="00482722">
        <w:rPr>
          <w:rFonts w:ascii="Arial" w:hAnsi="Arial" w:cs="Arial"/>
          <w:sz w:val="20"/>
          <w:szCs w:val="20"/>
        </w:rPr>
        <w:t xml:space="preserve"> </w:t>
      </w:r>
      <w:r w:rsidR="00B91C56" w:rsidRPr="00482722">
        <w:rPr>
          <w:rFonts w:ascii="Arial" w:hAnsi="Arial" w:cs="Arial"/>
          <w:sz w:val="20"/>
          <w:szCs w:val="20"/>
        </w:rPr>
        <w:t>citizen satisfaction</w:t>
      </w:r>
      <w:r w:rsidR="00C73250" w:rsidRPr="00482722">
        <w:rPr>
          <w:rFonts w:ascii="Arial" w:hAnsi="Arial" w:cs="Arial"/>
          <w:sz w:val="20"/>
          <w:szCs w:val="20"/>
        </w:rPr>
        <w:t xml:space="preserve"> (Chan et al., </w:t>
      </w:r>
      <w:r w:rsidR="00445638" w:rsidRPr="00482722">
        <w:rPr>
          <w:rFonts w:ascii="Arial" w:hAnsi="Arial" w:cs="Arial"/>
          <w:sz w:val="20"/>
          <w:szCs w:val="20"/>
        </w:rPr>
        <w:t>2010</w:t>
      </w:r>
      <w:r w:rsidR="00C73250" w:rsidRPr="00482722">
        <w:rPr>
          <w:rFonts w:ascii="Arial" w:hAnsi="Arial" w:cs="Arial"/>
          <w:sz w:val="20"/>
          <w:szCs w:val="20"/>
        </w:rPr>
        <w:t xml:space="preserve">; </w:t>
      </w:r>
      <w:r w:rsidR="00445638" w:rsidRPr="00482722">
        <w:rPr>
          <w:rFonts w:ascii="Arial" w:hAnsi="Arial" w:cs="Arial"/>
          <w:sz w:val="20"/>
          <w:szCs w:val="20"/>
        </w:rPr>
        <w:t>Brown et al.</w:t>
      </w:r>
      <w:r w:rsidR="00C73250" w:rsidRPr="00482722">
        <w:rPr>
          <w:rFonts w:ascii="Arial" w:hAnsi="Arial" w:cs="Arial"/>
          <w:sz w:val="20"/>
          <w:szCs w:val="20"/>
        </w:rPr>
        <w:t xml:space="preserve">, </w:t>
      </w:r>
      <w:r w:rsidR="00445638" w:rsidRPr="00482722">
        <w:rPr>
          <w:rFonts w:ascii="Arial" w:hAnsi="Arial" w:cs="Arial"/>
          <w:sz w:val="20"/>
          <w:szCs w:val="20"/>
        </w:rPr>
        <w:t>2008</w:t>
      </w:r>
      <w:r w:rsidR="00C73250" w:rsidRPr="00482722">
        <w:rPr>
          <w:rFonts w:ascii="Arial" w:hAnsi="Arial" w:cs="Arial"/>
          <w:sz w:val="20"/>
          <w:szCs w:val="20"/>
        </w:rPr>
        <w:t xml:space="preserve">; </w:t>
      </w:r>
      <w:r w:rsidR="00445638" w:rsidRPr="00482722">
        <w:rPr>
          <w:rFonts w:ascii="Arial" w:hAnsi="Arial" w:cs="Arial"/>
          <w:sz w:val="20"/>
          <w:szCs w:val="20"/>
        </w:rPr>
        <w:t>Davis</w:t>
      </w:r>
      <w:r w:rsidR="00C73250" w:rsidRPr="00482722">
        <w:rPr>
          <w:rFonts w:ascii="Arial" w:hAnsi="Arial" w:cs="Arial"/>
          <w:sz w:val="20"/>
          <w:szCs w:val="20"/>
        </w:rPr>
        <w:t xml:space="preserve">, </w:t>
      </w:r>
      <w:r w:rsidR="00445638" w:rsidRPr="00482722">
        <w:rPr>
          <w:rFonts w:ascii="Arial" w:hAnsi="Arial" w:cs="Arial"/>
          <w:sz w:val="20"/>
          <w:szCs w:val="20"/>
        </w:rPr>
        <w:t>1993)</w:t>
      </w:r>
      <w:r w:rsidR="00C73250" w:rsidRPr="00482722">
        <w:rPr>
          <w:rFonts w:ascii="Arial" w:hAnsi="Arial" w:cs="Arial"/>
          <w:sz w:val="20"/>
          <w:szCs w:val="20"/>
        </w:rPr>
        <w:t xml:space="preserve"> and </w:t>
      </w:r>
      <w:r w:rsidR="00016D7E" w:rsidRPr="00482722">
        <w:rPr>
          <w:rFonts w:ascii="Arial" w:hAnsi="Arial" w:cs="Arial"/>
          <w:sz w:val="20"/>
          <w:szCs w:val="20"/>
        </w:rPr>
        <w:t>citizen loyalty</w:t>
      </w:r>
      <w:r w:rsidR="00C73250" w:rsidRPr="00482722">
        <w:rPr>
          <w:rFonts w:ascii="Arial" w:hAnsi="Arial" w:cs="Arial"/>
          <w:sz w:val="20"/>
          <w:szCs w:val="20"/>
        </w:rPr>
        <w:t xml:space="preserve"> (Lin </w:t>
      </w:r>
      <w:r w:rsidR="002D35B9" w:rsidRPr="00482722">
        <w:rPr>
          <w:rFonts w:ascii="Arial" w:hAnsi="Arial" w:cs="Arial"/>
          <w:sz w:val="20"/>
          <w:szCs w:val="20"/>
        </w:rPr>
        <w:t>and</w:t>
      </w:r>
      <w:r w:rsidR="00C73250" w:rsidRPr="00482722">
        <w:rPr>
          <w:rFonts w:ascii="Arial" w:hAnsi="Arial" w:cs="Arial"/>
          <w:sz w:val="20"/>
          <w:szCs w:val="20"/>
        </w:rPr>
        <w:t xml:space="preserve"> Wang, 2006; Chiou, 2004; Gefen, 2002).</w:t>
      </w:r>
    </w:p>
    <w:p w14:paraId="089E0AD3" w14:textId="76873BB4" w:rsidR="00E34B7A" w:rsidRPr="00482722" w:rsidRDefault="008D0A35" w:rsidP="00DA5EEC">
      <w:pPr>
        <w:spacing w:line="240" w:lineRule="auto"/>
        <w:jc w:val="both"/>
        <w:rPr>
          <w:rFonts w:ascii="Arial" w:hAnsi="Arial" w:cs="Arial"/>
          <w:sz w:val="20"/>
          <w:szCs w:val="20"/>
        </w:rPr>
      </w:pPr>
      <w:r w:rsidRPr="00482722">
        <w:rPr>
          <w:rFonts w:ascii="Arial" w:hAnsi="Arial" w:cs="Arial"/>
          <w:sz w:val="20"/>
          <w:szCs w:val="20"/>
        </w:rPr>
        <w:t>In addition to the focal constructs, this research measured students’ demographic characteristics</w:t>
      </w:r>
      <w:r w:rsidR="00BD7072" w:rsidRPr="00482722">
        <w:rPr>
          <w:rFonts w:ascii="Arial" w:hAnsi="Arial" w:cs="Arial"/>
          <w:sz w:val="20"/>
          <w:szCs w:val="20"/>
        </w:rPr>
        <w:t>,</w:t>
      </w:r>
      <w:r w:rsidRPr="00482722">
        <w:rPr>
          <w:rFonts w:ascii="Arial" w:hAnsi="Arial" w:cs="Arial"/>
          <w:sz w:val="20"/>
          <w:szCs w:val="20"/>
        </w:rPr>
        <w:t xml:space="preserve"> including gender, final </w:t>
      </w:r>
      <w:r w:rsidR="00F83824" w:rsidRPr="00482722">
        <w:rPr>
          <w:rFonts w:ascii="Arial" w:hAnsi="Arial" w:cs="Arial"/>
          <w:sz w:val="20"/>
          <w:szCs w:val="20"/>
        </w:rPr>
        <w:t>GPA</w:t>
      </w:r>
      <w:r w:rsidR="00B34E17" w:rsidRPr="00482722">
        <w:rPr>
          <w:rFonts w:ascii="Arial" w:hAnsi="Arial" w:cs="Arial"/>
          <w:sz w:val="20"/>
          <w:szCs w:val="20"/>
        </w:rPr>
        <w:t xml:space="preserve"> recorded on their high</w:t>
      </w:r>
      <w:r w:rsidR="004377C8" w:rsidRPr="00482722">
        <w:rPr>
          <w:rFonts w:ascii="Arial" w:hAnsi="Arial" w:cs="Arial"/>
          <w:sz w:val="20"/>
          <w:szCs w:val="20"/>
        </w:rPr>
        <w:t>-</w:t>
      </w:r>
      <w:r w:rsidR="00B34E17" w:rsidRPr="00482722">
        <w:rPr>
          <w:rFonts w:ascii="Arial" w:hAnsi="Arial" w:cs="Arial"/>
          <w:sz w:val="20"/>
          <w:szCs w:val="20"/>
        </w:rPr>
        <w:t>school diploma</w:t>
      </w:r>
      <w:r w:rsidR="00016FEA" w:rsidRPr="00482722">
        <w:rPr>
          <w:rFonts w:ascii="Arial" w:hAnsi="Arial" w:cs="Arial"/>
          <w:sz w:val="20"/>
          <w:szCs w:val="20"/>
        </w:rPr>
        <w:t>,</w:t>
      </w:r>
      <w:r w:rsidRPr="00482722">
        <w:rPr>
          <w:rFonts w:ascii="Arial" w:hAnsi="Arial" w:cs="Arial"/>
          <w:sz w:val="20"/>
          <w:szCs w:val="20"/>
        </w:rPr>
        <w:t xml:space="preserve"> </w:t>
      </w:r>
      <w:r w:rsidR="006A7403" w:rsidRPr="00482722">
        <w:rPr>
          <w:rFonts w:ascii="Arial" w:hAnsi="Arial" w:cs="Arial"/>
          <w:sz w:val="20"/>
          <w:szCs w:val="20"/>
        </w:rPr>
        <w:t>and university</w:t>
      </w:r>
      <w:r w:rsidRPr="00482722">
        <w:rPr>
          <w:rFonts w:ascii="Arial" w:hAnsi="Arial" w:cs="Arial"/>
          <w:sz w:val="20"/>
          <w:szCs w:val="20"/>
        </w:rPr>
        <w:t xml:space="preserve">. </w:t>
      </w:r>
      <w:r w:rsidR="00E34B7A" w:rsidRPr="00482722">
        <w:rPr>
          <w:rFonts w:ascii="Arial" w:hAnsi="Arial" w:cs="Arial"/>
          <w:sz w:val="20"/>
          <w:szCs w:val="20"/>
        </w:rPr>
        <w:t>T</w:t>
      </w:r>
      <w:r w:rsidRPr="00482722">
        <w:rPr>
          <w:rFonts w:ascii="Arial" w:hAnsi="Arial" w:cs="Arial"/>
          <w:sz w:val="20"/>
          <w:szCs w:val="20"/>
        </w:rPr>
        <w:t xml:space="preserve">he instrument was translated from English </w:t>
      </w:r>
      <w:r w:rsidR="00016FEA" w:rsidRPr="00482722">
        <w:rPr>
          <w:rFonts w:ascii="Arial" w:hAnsi="Arial" w:cs="Arial"/>
          <w:sz w:val="20"/>
          <w:szCs w:val="20"/>
        </w:rPr>
        <w:t>in</w:t>
      </w:r>
      <w:r w:rsidRPr="00482722">
        <w:rPr>
          <w:rFonts w:ascii="Arial" w:hAnsi="Arial" w:cs="Arial"/>
          <w:sz w:val="20"/>
          <w:szCs w:val="20"/>
        </w:rPr>
        <w:t>to Arabic</w:t>
      </w:r>
      <w:r w:rsidR="00016FEA" w:rsidRPr="00482722">
        <w:rPr>
          <w:rFonts w:ascii="Arial" w:hAnsi="Arial" w:cs="Arial"/>
          <w:sz w:val="20"/>
          <w:szCs w:val="20"/>
        </w:rPr>
        <w:t>, which</w:t>
      </w:r>
      <w:r w:rsidR="002C4A29" w:rsidRPr="00482722">
        <w:rPr>
          <w:rFonts w:ascii="Arial" w:hAnsi="Arial" w:cs="Arial"/>
          <w:sz w:val="20"/>
          <w:szCs w:val="20"/>
        </w:rPr>
        <w:t xml:space="preserve"> is</w:t>
      </w:r>
      <w:r w:rsidRPr="00482722">
        <w:rPr>
          <w:rFonts w:ascii="Arial" w:hAnsi="Arial" w:cs="Arial"/>
          <w:sz w:val="20"/>
          <w:szCs w:val="20"/>
        </w:rPr>
        <w:t xml:space="preserve"> the main language in Saudi Arabia. </w:t>
      </w:r>
      <w:r w:rsidR="00016FEA" w:rsidRPr="00482722">
        <w:rPr>
          <w:rFonts w:ascii="Arial" w:hAnsi="Arial" w:cs="Arial"/>
          <w:sz w:val="20"/>
          <w:szCs w:val="20"/>
        </w:rPr>
        <w:t>T</w:t>
      </w:r>
      <w:r w:rsidR="00C01AA4" w:rsidRPr="00482722">
        <w:rPr>
          <w:rFonts w:ascii="Arial" w:hAnsi="Arial" w:cs="Arial"/>
          <w:sz w:val="20"/>
          <w:szCs w:val="20"/>
        </w:rPr>
        <w:t>o approve and confirm the equivalence in meaning, t</w:t>
      </w:r>
      <w:r w:rsidRPr="00482722">
        <w:rPr>
          <w:rFonts w:ascii="Arial" w:hAnsi="Arial" w:cs="Arial"/>
          <w:sz w:val="20"/>
          <w:szCs w:val="20"/>
        </w:rPr>
        <w:t xml:space="preserve">he English and Arabic </w:t>
      </w:r>
      <w:r w:rsidR="002C4A29" w:rsidRPr="00482722">
        <w:rPr>
          <w:rFonts w:ascii="Arial" w:hAnsi="Arial" w:cs="Arial"/>
          <w:sz w:val="20"/>
          <w:szCs w:val="20"/>
        </w:rPr>
        <w:t xml:space="preserve">versions </w:t>
      </w:r>
      <w:r w:rsidRPr="00482722">
        <w:rPr>
          <w:rFonts w:ascii="Arial" w:hAnsi="Arial" w:cs="Arial"/>
          <w:sz w:val="20"/>
          <w:szCs w:val="20"/>
        </w:rPr>
        <w:t xml:space="preserve">were </w:t>
      </w:r>
      <w:r w:rsidR="00016FEA" w:rsidRPr="00482722">
        <w:rPr>
          <w:rFonts w:ascii="Arial" w:hAnsi="Arial" w:cs="Arial"/>
          <w:sz w:val="20"/>
          <w:szCs w:val="20"/>
        </w:rPr>
        <w:t xml:space="preserve">both </w:t>
      </w:r>
      <w:r w:rsidRPr="00482722">
        <w:rPr>
          <w:rFonts w:ascii="Arial" w:hAnsi="Arial" w:cs="Arial"/>
          <w:sz w:val="20"/>
          <w:szCs w:val="20"/>
        </w:rPr>
        <w:t xml:space="preserve">reviewed by two academics in the </w:t>
      </w:r>
      <w:r w:rsidR="00016FEA" w:rsidRPr="00482722">
        <w:rPr>
          <w:rFonts w:ascii="Arial" w:hAnsi="Arial" w:cs="Arial"/>
          <w:sz w:val="20"/>
          <w:szCs w:val="20"/>
        </w:rPr>
        <w:t xml:space="preserve">field </w:t>
      </w:r>
      <w:r w:rsidRPr="00482722">
        <w:rPr>
          <w:rFonts w:ascii="Arial" w:hAnsi="Arial" w:cs="Arial"/>
          <w:sz w:val="20"/>
          <w:szCs w:val="20"/>
        </w:rPr>
        <w:t>of translation and linguistics in Saudi Arabia (Brislin, 1970).</w:t>
      </w:r>
    </w:p>
    <w:p w14:paraId="74FD9119" w14:textId="3D0A4FB8" w:rsidR="008D0A35" w:rsidRPr="00482722" w:rsidRDefault="009A1EF4" w:rsidP="006D31B5">
      <w:pPr>
        <w:pStyle w:val="Heading2"/>
      </w:pPr>
      <w:r w:rsidRPr="00482722">
        <w:t xml:space="preserve">Participants and </w:t>
      </w:r>
      <w:r w:rsidR="007A0D74" w:rsidRPr="00482722">
        <w:t>p</w:t>
      </w:r>
      <w:r w:rsidRPr="00482722">
        <w:t>rocedure</w:t>
      </w:r>
    </w:p>
    <w:p w14:paraId="3EB465C4" w14:textId="0FB304C4" w:rsidR="00D347E6" w:rsidRPr="00482722" w:rsidRDefault="00D347E6" w:rsidP="00DA5EEC">
      <w:pPr>
        <w:spacing w:line="240" w:lineRule="auto"/>
        <w:jc w:val="both"/>
        <w:rPr>
          <w:rFonts w:ascii="Arial" w:hAnsi="Arial" w:cs="Arial"/>
          <w:sz w:val="20"/>
          <w:szCs w:val="20"/>
        </w:rPr>
      </w:pPr>
      <w:r w:rsidRPr="00482722">
        <w:rPr>
          <w:rFonts w:ascii="Arial" w:hAnsi="Arial" w:cs="Arial"/>
          <w:sz w:val="20"/>
          <w:szCs w:val="20"/>
        </w:rPr>
        <w:t>The sampling frame was the students who</w:t>
      </w:r>
      <w:r w:rsidR="00C01AA4" w:rsidRPr="00482722">
        <w:rPr>
          <w:rFonts w:ascii="Arial" w:hAnsi="Arial" w:cs="Arial"/>
          <w:sz w:val="20"/>
          <w:szCs w:val="20"/>
        </w:rPr>
        <w:t xml:space="preserve"> had</w:t>
      </w:r>
      <w:r w:rsidRPr="00482722">
        <w:rPr>
          <w:rFonts w:ascii="Arial" w:hAnsi="Arial" w:cs="Arial"/>
          <w:sz w:val="20"/>
          <w:szCs w:val="20"/>
        </w:rPr>
        <w:t xml:space="preserve"> </w:t>
      </w:r>
      <w:r w:rsidR="00216226" w:rsidRPr="00482722">
        <w:rPr>
          <w:rFonts w:ascii="Arial" w:hAnsi="Arial" w:cs="Arial"/>
          <w:sz w:val="20"/>
          <w:szCs w:val="20"/>
        </w:rPr>
        <w:t>applied for academic admission through</w:t>
      </w:r>
      <w:r w:rsidR="00C01AA4" w:rsidRPr="00482722">
        <w:rPr>
          <w:rFonts w:ascii="Arial" w:hAnsi="Arial" w:cs="Arial"/>
          <w:sz w:val="20"/>
          <w:szCs w:val="20"/>
        </w:rPr>
        <w:t xml:space="preserve"> the</w:t>
      </w:r>
      <w:r w:rsidR="00216226" w:rsidRPr="00482722">
        <w:rPr>
          <w:rFonts w:ascii="Arial" w:hAnsi="Arial" w:cs="Arial"/>
          <w:sz w:val="20"/>
          <w:szCs w:val="20"/>
        </w:rPr>
        <w:t xml:space="preserve"> </w:t>
      </w:r>
      <w:r w:rsidRPr="00482722">
        <w:rPr>
          <w:rFonts w:ascii="Arial" w:hAnsi="Arial" w:cs="Arial"/>
          <w:sz w:val="20"/>
          <w:szCs w:val="20"/>
        </w:rPr>
        <w:t>UEAS</w:t>
      </w:r>
      <w:r w:rsidR="00216226" w:rsidRPr="00482722">
        <w:rPr>
          <w:rFonts w:ascii="Arial" w:hAnsi="Arial" w:cs="Arial"/>
          <w:sz w:val="20"/>
          <w:szCs w:val="20"/>
        </w:rPr>
        <w:t>.</w:t>
      </w:r>
      <w:r w:rsidR="00BD7072" w:rsidRPr="00482722">
        <w:rPr>
          <w:rFonts w:ascii="Arial" w:hAnsi="Arial" w:cs="Arial"/>
          <w:sz w:val="20"/>
          <w:szCs w:val="20"/>
        </w:rPr>
        <w:t xml:space="preserve"> These students were </w:t>
      </w:r>
      <w:r w:rsidR="00C01AA4" w:rsidRPr="00482722">
        <w:rPr>
          <w:rFonts w:ascii="Arial" w:hAnsi="Arial" w:cs="Arial"/>
          <w:sz w:val="20"/>
          <w:szCs w:val="20"/>
        </w:rPr>
        <w:t xml:space="preserve">sampled </w:t>
      </w:r>
      <w:r w:rsidR="00BD7072" w:rsidRPr="00482722">
        <w:rPr>
          <w:rFonts w:ascii="Arial" w:hAnsi="Arial" w:cs="Arial"/>
          <w:sz w:val="20"/>
          <w:szCs w:val="20"/>
        </w:rPr>
        <w:t xml:space="preserve">from the foundation year in government universities and </w:t>
      </w:r>
      <w:r w:rsidR="000D78AC" w:rsidRPr="00482722">
        <w:rPr>
          <w:rFonts w:ascii="Arial" w:hAnsi="Arial" w:cs="Arial"/>
          <w:sz w:val="20"/>
          <w:szCs w:val="20"/>
        </w:rPr>
        <w:t xml:space="preserve">the </w:t>
      </w:r>
      <w:r w:rsidR="00C01AA4" w:rsidRPr="00482722">
        <w:rPr>
          <w:rFonts w:ascii="Arial" w:hAnsi="Arial" w:cs="Arial"/>
          <w:sz w:val="20"/>
          <w:szCs w:val="20"/>
        </w:rPr>
        <w:t>t</w:t>
      </w:r>
      <w:r w:rsidR="000D78AC" w:rsidRPr="00482722">
        <w:rPr>
          <w:rFonts w:ascii="Arial" w:hAnsi="Arial" w:cs="Arial"/>
          <w:sz w:val="20"/>
          <w:szCs w:val="20"/>
        </w:rPr>
        <w:t xml:space="preserve">echnical </w:t>
      </w:r>
      <w:r w:rsidR="00C01AA4" w:rsidRPr="00482722">
        <w:rPr>
          <w:rFonts w:ascii="Arial" w:hAnsi="Arial" w:cs="Arial"/>
          <w:sz w:val="20"/>
          <w:szCs w:val="20"/>
        </w:rPr>
        <w:t>c</w:t>
      </w:r>
      <w:r w:rsidR="000D78AC" w:rsidRPr="00482722">
        <w:rPr>
          <w:rFonts w:ascii="Arial" w:hAnsi="Arial" w:cs="Arial"/>
          <w:sz w:val="20"/>
          <w:szCs w:val="20"/>
        </w:rPr>
        <w:t xml:space="preserve">ollege in Riyadh, </w:t>
      </w:r>
      <w:r w:rsidR="00C01AA4" w:rsidRPr="00482722">
        <w:rPr>
          <w:rFonts w:ascii="Arial" w:hAnsi="Arial" w:cs="Arial"/>
          <w:sz w:val="20"/>
          <w:szCs w:val="20"/>
        </w:rPr>
        <w:t xml:space="preserve">as they </w:t>
      </w:r>
      <w:r w:rsidR="006A7403" w:rsidRPr="00482722">
        <w:rPr>
          <w:rFonts w:ascii="Arial" w:hAnsi="Arial" w:cs="Arial"/>
          <w:sz w:val="20"/>
          <w:szCs w:val="20"/>
        </w:rPr>
        <w:t>had recently</w:t>
      </w:r>
      <w:r w:rsidR="000D78AC" w:rsidRPr="00482722">
        <w:rPr>
          <w:rFonts w:ascii="Arial" w:hAnsi="Arial" w:cs="Arial"/>
          <w:sz w:val="20"/>
          <w:szCs w:val="20"/>
        </w:rPr>
        <w:t xml:space="preserve"> used the UEAS system for admission purposes. </w:t>
      </w:r>
      <w:r w:rsidR="00887365" w:rsidRPr="00482722">
        <w:rPr>
          <w:rFonts w:ascii="Arial" w:hAnsi="Arial" w:cs="Arial"/>
          <w:sz w:val="20"/>
          <w:szCs w:val="20"/>
        </w:rPr>
        <w:t>T</w:t>
      </w:r>
      <w:r w:rsidRPr="00482722">
        <w:rPr>
          <w:rFonts w:ascii="Arial" w:hAnsi="Arial" w:cs="Arial"/>
          <w:sz w:val="20"/>
          <w:szCs w:val="20"/>
        </w:rPr>
        <w:t>he research office</w:t>
      </w:r>
      <w:r w:rsidR="005521D8" w:rsidRPr="00482722">
        <w:rPr>
          <w:rFonts w:ascii="Arial" w:hAnsi="Arial" w:cs="Arial"/>
          <w:sz w:val="20"/>
          <w:szCs w:val="20"/>
        </w:rPr>
        <w:t>s</w:t>
      </w:r>
      <w:r w:rsidRPr="00482722">
        <w:rPr>
          <w:rFonts w:ascii="Arial" w:hAnsi="Arial" w:cs="Arial"/>
          <w:sz w:val="20"/>
          <w:szCs w:val="20"/>
        </w:rPr>
        <w:t xml:space="preserve"> of the government universities and the </w:t>
      </w:r>
      <w:r w:rsidR="00412478" w:rsidRPr="00482722">
        <w:rPr>
          <w:rFonts w:ascii="Arial" w:hAnsi="Arial" w:cs="Arial"/>
          <w:sz w:val="20"/>
          <w:szCs w:val="20"/>
        </w:rPr>
        <w:t>t</w:t>
      </w:r>
      <w:r w:rsidRPr="00482722">
        <w:rPr>
          <w:rFonts w:ascii="Arial" w:hAnsi="Arial" w:cs="Arial"/>
          <w:sz w:val="20"/>
          <w:szCs w:val="20"/>
        </w:rPr>
        <w:t xml:space="preserve">echnical </w:t>
      </w:r>
      <w:r w:rsidR="00412478" w:rsidRPr="00482722">
        <w:rPr>
          <w:rFonts w:ascii="Arial" w:hAnsi="Arial" w:cs="Arial"/>
          <w:sz w:val="20"/>
          <w:szCs w:val="20"/>
        </w:rPr>
        <w:t>c</w:t>
      </w:r>
      <w:r w:rsidRPr="00482722">
        <w:rPr>
          <w:rFonts w:ascii="Arial" w:hAnsi="Arial" w:cs="Arial"/>
          <w:sz w:val="20"/>
          <w:szCs w:val="20"/>
        </w:rPr>
        <w:t xml:space="preserve">ollege in Riyadh </w:t>
      </w:r>
      <w:r w:rsidR="00412478" w:rsidRPr="00482722">
        <w:rPr>
          <w:rFonts w:ascii="Arial" w:hAnsi="Arial" w:cs="Arial"/>
          <w:sz w:val="20"/>
          <w:szCs w:val="20"/>
        </w:rPr>
        <w:t>were</w:t>
      </w:r>
      <w:r w:rsidRPr="00482722">
        <w:rPr>
          <w:rFonts w:ascii="Arial" w:hAnsi="Arial" w:cs="Arial"/>
          <w:sz w:val="20"/>
          <w:szCs w:val="20"/>
        </w:rPr>
        <w:t xml:space="preserve"> contacted for approval to distribute the questionnaires among the students in the foundation year. Only two </w:t>
      </w:r>
      <w:r w:rsidR="005521D8" w:rsidRPr="00482722">
        <w:rPr>
          <w:rFonts w:ascii="Arial" w:hAnsi="Arial" w:cs="Arial"/>
          <w:sz w:val="20"/>
          <w:szCs w:val="20"/>
        </w:rPr>
        <w:t xml:space="preserve">of the </w:t>
      </w:r>
      <w:r w:rsidRPr="00482722">
        <w:rPr>
          <w:rFonts w:ascii="Arial" w:hAnsi="Arial" w:cs="Arial"/>
          <w:sz w:val="20"/>
          <w:szCs w:val="20"/>
        </w:rPr>
        <w:t>universities</w:t>
      </w:r>
      <w:r w:rsidR="005521D8" w:rsidRPr="00482722">
        <w:rPr>
          <w:rFonts w:ascii="Arial" w:hAnsi="Arial" w:cs="Arial"/>
          <w:sz w:val="20"/>
          <w:szCs w:val="20"/>
        </w:rPr>
        <w:t xml:space="preserve"> –</w:t>
      </w:r>
      <w:r w:rsidRPr="00482722">
        <w:rPr>
          <w:rFonts w:ascii="Arial" w:hAnsi="Arial" w:cs="Arial"/>
          <w:sz w:val="20"/>
          <w:szCs w:val="20"/>
        </w:rPr>
        <w:t xml:space="preserve"> </w:t>
      </w:r>
      <w:r w:rsidR="003D359A" w:rsidRPr="00482722">
        <w:rPr>
          <w:rFonts w:ascii="Arial" w:hAnsi="Arial" w:cs="Arial"/>
          <w:sz w:val="20"/>
          <w:szCs w:val="20"/>
        </w:rPr>
        <w:t>King Saud Ibn Abdulaziz University for Health Science (KSAU-HS)</w:t>
      </w:r>
      <w:r w:rsidR="005521D8" w:rsidRPr="00482722">
        <w:rPr>
          <w:rFonts w:ascii="Arial" w:hAnsi="Arial" w:cs="Arial"/>
          <w:sz w:val="20"/>
          <w:szCs w:val="20"/>
        </w:rPr>
        <w:t xml:space="preserve"> and</w:t>
      </w:r>
      <w:r w:rsidR="003D359A" w:rsidRPr="00482722">
        <w:rPr>
          <w:rFonts w:ascii="Arial" w:hAnsi="Arial" w:cs="Arial"/>
          <w:sz w:val="20"/>
          <w:szCs w:val="20"/>
        </w:rPr>
        <w:t xml:space="preserve"> Princess Nourah bint Abdulrahman University (PNU)</w:t>
      </w:r>
      <w:r w:rsidR="005521D8" w:rsidRPr="00482722">
        <w:rPr>
          <w:rFonts w:ascii="Arial" w:hAnsi="Arial" w:cs="Arial"/>
          <w:sz w:val="20"/>
          <w:szCs w:val="20"/>
        </w:rPr>
        <w:t xml:space="preserve"> –</w:t>
      </w:r>
      <w:r w:rsidR="003D359A" w:rsidRPr="00482722">
        <w:rPr>
          <w:rFonts w:ascii="Arial" w:hAnsi="Arial" w:cs="Arial"/>
          <w:sz w:val="20"/>
          <w:szCs w:val="20"/>
        </w:rPr>
        <w:t xml:space="preserve"> </w:t>
      </w:r>
      <w:r w:rsidR="00B34E17" w:rsidRPr="00482722">
        <w:rPr>
          <w:rFonts w:ascii="Arial" w:hAnsi="Arial" w:cs="Arial"/>
          <w:sz w:val="20"/>
          <w:szCs w:val="20"/>
        </w:rPr>
        <w:t xml:space="preserve">alongside </w:t>
      </w:r>
      <w:r w:rsidR="003D359A" w:rsidRPr="00482722">
        <w:rPr>
          <w:rFonts w:ascii="Arial" w:hAnsi="Arial" w:cs="Arial"/>
          <w:sz w:val="20"/>
          <w:szCs w:val="20"/>
        </w:rPr>
        <w:t>t</w:t>
      </w:r>
      <w:r w:rsidRPr="00482722">
        <w:rPr>
          <w:rFonts w:ascii="Arial" w:hAnsi="Arial" w:cs="Arial"/>
          <w:sz w:val="20"/>
          <w:szCs w:val="20"/>
        </w:rPr>
        <w:t xml:space="preserve">he </w:t>
      </w:r>
      <w:r w:rsidR="005521D8" w:rsidRPr="00482722">
        <w:rPr>
          <w:rFonts w:ascii="Arial" w:hAnsi="Arial" w:cs="Arial"/>
          <w:sz w:val="20"/>
          <w:szCs w:val="20"/>
        </w:rPr>
        <w:t>t</w:t>
      </w:r>
      <w:r w:rsidRPr="00482722">
        <w:rPr>
          <w:rFonts w:ascii="Arial" w:hAnsi="Arial" w:cs="Arial"/>
          <w:sz w:val="20"/>
          <w:szCs w:val="20"/>
        </w:rPr>
        <w:t xml:space="preserve">echnical </w:t>
      </w:r>
      <w:r w:rsidR="005521D8" w:rsidRPr="00482722">
        <w:rPr>
          <w:rFonts w:ascii="Arial" w:hAnsi="Arial" w:cs="Arial"/>
          <w:sz w:val="20"/>
          <w:szCs w:val="20"/>
        </w:rPr>
        <w:t>c</w:t>
      </w:r>
      <w:r w:rsidRPr="00482722">
        <w:rPr>
          <w:rFonts w:ascii="Arial" w:hAnsi="Arial" w:cs="Arial"/>
          <w:sz w:val="20"/>
          <w:szCs w:val="20"/>
        </w:rPr>
        <w:t xml:space="preserve">ollege gave their consent for the data collection. </w:t>
      </w:r>
      <w:r w:rsidR="005521D8" w:rsidRPr="00482722">
        <w:rPr>
          <w:rFonts w:ascii="Arial" w:hAnsi="Arial" w:cs="Arial"/>
          <w:sz w:val="20"/>
          <w:szCs w:val="20"/>
        </w:rPr>
        <w:t>Following</w:t>
      </w:r>
      <w:r w:rsidRPr="00482722">
        <w:rPr>
          <w:rFonts w:ascii="Arial" w:hAnsi="Arial" w:cs="Arial"/>
          <w:sz w:val="20"/>
          <w:szCs w:val="20"/>
        </w:rPr>
        <w:t xml:space="preserve"> a recommendation </w:t>
      </w:r>
      <w:r w:rsidR="005521D8" w:rsidRPr="00482722">
        <w:rPr>
          <w:rFonts w:ascii="Arial" w:hAnsi="Arial" w:cs="Arial"/>
          <w:sz w:val="20"/>
          <w:szCs w:val="20"/>
        </w:rPr>
        <w:t xml:space="preserve">made by </w:t>
      </w:r>
      <w:r w:rsidRPr="00482722">
        <w:rPr>
          <w:rFonts w:ascii="Arial" w:hAnsi="Arial" w:cs="Arial"/>
          <w:sz w:val="20"/>
          <w:szCs w:val="20"/>
        </w:rPr>
        <w:t xml:space="preserve">the research offices of the case universities, a paper-based questionnaire was </w:t>
      </w:r>
      <w:r w:rsidR="005521D8" w:rsidRPr="00482722">
        <w:rPr>
          <w:rFonts w:ascii="Arial" w:hAnsi="Arial" w:cs="Arial"/>
          <w:sz w:val="20"/>
          <w:szCs w:val="20"/>
        </w:rPr>
        <w:t xml:space="preserve">used </w:t>
      </w:r>
      <w:r w:rsidRPr="00482722">
        <w:rPr>
          <w:rFonts w:ascii="Arial" w:hAnsi="Arial" w:cs="Arial"/>
          <w:sz w:val="20"/>
          <w:szCs w:val="20"/>
        </w:rPr>
        <w:t>instead of an online survey</w:t>
      </w:r>
      <w:r w:rsidR="005521D8" w:rsidRPr="00482722">
        <w:rPr>
          <w:rFonts w:ascii="Arial" w:hAnsi="Arial" w:cs="Arial"/>
          <w:sz w:val="20"/>
          <w:szCs w:val="20"/>
        </w:rPr>
        <w:t>,</w:t>
      </w:r>
      <w:r w:rsidRPr="00482722">
        <w:rPr>
          <w:rFonts w:ascii="Arial" w:hAnsi="Arial" w:cs="Arial"/>
          <w:sz w:val="20"/>
          <w:szCs w:val="20"/>
        </w:rPr>
        <w:t xml:space="preserve"> </w:t>
      </w:r>
      <w:r w:rsidR="005521D8" w:rsidRPr="00482722">
        <w:rPr>
          <w:rFonts w:ascii="Arial" w:hAnsi="Arial" w:cs="Arial"/>
          <w:sz w:val="20"/>
          <w:szCs w:val="20"/>
        </w:rPr>
        <w:t>because this was</w:t>
      </w:r>
      <w:r w:rsidR="004E6F34" w:rsidRPr="00482722">
        <w:rPr>
          <w:rFonts w:ascii="Arial" w:hAnsi="Arial" w:cs="Arial"/>
          <w:sz w:val="20"/>
          <w:szCs w:val="20"/>
        </w:rPr>
        <w:t xml:space="preserve"> considered </w:t>
      </w:r>
      <w:r w:rsidR="005147F5" w:rsidRPr="00482722">
        <w:rPr>
          <w:rFonts w:ascii="Arial" w:hAnsi="Arial" w:cs="Arial"/>
          <w:sz w:val="20"/>
          <w:szCs w:val="20"/>
        </w:rPr>
        <w:t xml:space="preserve">to be </w:t>
      </w:r>
      <w:r w:rsidRPr="00482722">
        <w:rPr>
          <w:rFonts w:ascii="Arial" w:hAnsi="Arial" w:cs="Arial"/>
          <w:sz w:val="20"/>
          <w:szCs w:val="20"/>
        </w:rPr>
        <w:t>a more reliable approach in the context of universities in Saudi Arabia.</w:t>
      </w:r>
    </w:p>
    <w:p w14:paraId="29B0E972" w14:textId="2DFCD8EE" w:rsidR="00D347E6" w:rsidRPr="00482722" w:rsidRDefault="00D347E6" w:rsidP="00DA5EEC">
      <w:pPr>
        <w:spacing w:line="240" w:lineRule="auto"/>
        <w:jc w:val="both"/>
        <w:rPr>
          <w:rFonts w:ascii="Arial" w:hAnsi="Arial" w:cs="Arial"/>
          <w:sz w:val="20"/>
          <w:szCs w:val="20"/>
        </w:rPr>
      </w:pPr>
      <w:r w:rsidRPr="00482722">
        <w:rPr>
          <w:rFonts w:ascii="Arial" w:hAnsi="Arial" w:cs="Arial"/>
          <w:sz w:val="20"/>
          <w:szCs w:val="20"/>
        </w:rPr>
        <w:t>Furthermore, the research offices of the case universities followed a systematic sampling technique to distribute the self-administered questionnaires to the students. On behalf of the researcher</w:t>
      </w:r>
      <w:r w:rsidR="004E6F34" w:rsidRPr="00482722">
        <w:rPr>
          <w:rFonts w:ascii="Arial" w:hAnsi="Arial" w:cs="Arial"/>
          <w:sz w:val="20"/>
          <w:szCs w:val="20"/>
        </w:rPr>
        <w:t>s</w:t>
      </w:r>
      <w:r w:rsidRPr="00482722">
        <w:rPr>
          <w:rFonts w:ascii="Arial" w:hAnsi="Arial" w:cs="Arial"/>
          <w:sz w:val="20"/>
          <w:szCs w:val="20"/>
        </w:rPr>
        <w:t xml:space="preserve">, the research offices distributed the questionnaires during the last 15 minutes of lectures </w:t>
      </w:r>
      <w:r w:rsidR="00397CBF" w:rsidRPr="00482722">
        <w:rPr>
          <w:rFonts w:ascii="Arial" w:hAnsi="Arial" w:cs="Arial"/>
          <w:sz w:val="20"/>
          <w:szCs w:val="20"/>
        </w:rPr>
        <w:t xml:space="preserve">that </w:t>
      </w:r>
      <w:r w:rsidRPr="00482722">
        <w:rPr>
          <w:rFonts w:ascii="Arial" w:hAnsi="Arial" w:cs="Arial"/>
          <w:sz w:val="20"/>
          <w:szCs w:val="20"/>
        </w:rPr>
        <w:t>were</w:t>
      </w:r>
      <w:r w:rsidR="00397CBF" w:rsidRPr="00482722">
        <w:rPr>
          <w:rFonts w:ascii="Arial" w:hAnsi="Arial" w:cs="Arial"/>
          <w:sz w:val="20"/>
          <w:szCs w:val="20"/>
        </w:rPr>
        <w:t xml:space="preserve"> considered</w:t>
      </w:r>
      <w:r w:rsidRPr="00482722">
        <w:rPr>
          <w:rFonts w:ascii="Arial" w:hAnsi="Arial" w:cs="Arial"/>
          <w:sz w:val="20"/>
          <w:szCs w:val="20"/>
        </w:rPr>
        <w:t xml:space="preserve"> less problematic than others</w:t>
      </w:r>
      <w:r w:rsidR="00B34E17" w:rsidRPr="00482722">
        <w:rPr>
          <w:rFonts w:ascii="Arial" w:hAnsi="Arial" w:cs="Arial"/>
          <w:sz w:val="20"/>
          <w:szCs w:val="20"/>
        </w:rPr>
        <w:t xml:space="preserve"> (</w:t>
      </w:r>
      <w:r w:rsidR="00FD37DE" w:rsidRPr="00482722">
        <w:rPr>
          <w:rFonts w:ascii="Arial" w:hAnsi="Arial" w:cs="Arial"/>
          <w:sz w:val="20"/>
          <w:szCs w:val="20"/>
        </w:rPr>
        <w:t>i.e., Arabic Editing and Introduction to Comput</w:t>
      </w:r>
      <w:r w:rsidR="00397CBF" w:rsidRPr="00482722">
        <w:rPr>
          <w:rFonts w:ascii="Arial" w:hAnsi="Arial" w:cs="Arial"/>
          <w:sz w:val="20"/>
          <w:szCs w:val="20"/>
        </w:rPr>
        <w:t>ing</w:t>
      </w:r>
      <w:r w:rsidR="00FD37DE" w:rsidRPr="00482722">
        <w:rPr>
          <w:rFonts w:ascii="Arial" w:hAnsi="Arial" w:cs="Arial"/>
          <w:sz w:val="20"/>
          <w:szCs w:val="20"/>
        </w:rPr>
        <w:t xml:space="preserve"> but not Math</w:t>
      </w:r>
      <w:r w:rsidR="00496953" w:rsidRPr="00482722">
        <w:rPr>
          <w:rFonts w:ascii="Arial" w:hAnsi="Arial" w:cs="Arial"/>
          <w:sz w:val="20"/>
          <w:szCs w:val="20"/>
        </w:rPr>
        <w:t>s</w:t>
      </w:r>
      <w:r w:rsidR="00FD37DE" w:rsidRPr="00482722">
        <w:rPr>
          <w:rFonts w:ascii="Arial" w:hAnsi="Arial" w:cs="Arial"/>
          <w:sz w:val="20"/>
          <w:szCs w:val="20"/>
        </w:rPr>
        <w:t>, Physics, or Biology</w:t>
      </w:r>
      <w:r w:rsidR="00B34E17" w:rsidRPr="00482722">
        <w:rPr>
          <w:rFonts w:ascii="Arial" w:hAnsi="Arial" w:cs="Arial"/>
          <w:sz w:val="20"/>
          <w:szCs w:val="20"/>
        </w:rPr>
        <w:t>)</w:t>
      </w:r>
      <w:r w:rsidR="003D359A" w:rsidRPr="00482722">
        <w:rPr>
          <w:rFonts w:ascii="Arial" w:hAnsi="Arial" w:cs="Arial"/>
          <w:sz w:val="20"/>
          <w:szCs w:val="20"/>
        </w:rPr>
        <w:t>. T</w:t>
      </w:r>
      <w:r w:rsidRPr="00482722">
        <w:rPr>
          <w:rFonts w:ascii="Arial" w:hAnsi="Arial" w:cs="Arial"/>
          <w:sz w:val="20"/>
          <w:szCs w:val="20"/>
        </w:rPr>
        <w:t xml:space="preserve">his technique </w:t>
      </w:r>
      <w:r w:rsidR="002C4A29" w:rsidRPr="00482722">
        <w:rPr>
          <w:rFonts w:ascii="Arial" w:hAnsi="Arial" w:cs="Arial"/>
          <w:sz w:val="20"/>
          <w:szCs w:val="20"/>
        </w:rPr>
        <w:t xml:space="preserve">helped to </w:t>
      </w:r>
      <w:r w:rsidRPr="00482722">
        <w:rPr>
          <w:rFonts w:ascii="Arial" w:hAnsi="Arial" w:cs="Arial"/>
          <w:sz w:val="20"/>
          <w:szCs w:val="20"/>
        </w:rPr>
        <w:t xml:space="preserve">ensure that each student had an equal chance of being selected from the population, thereby producing a representative </w:t>
      </w:r>
      <w:r w:rsidR="004D4A84" w:rsidRPr="00482722">
        <w:rPr>
          <w:rFonts w:ascii="Arial" w:hAnsi="Arial" w:cs="Arial"/>
          <w:sz w:val="20"/>
          <w:szCs w:val="20"/>
        </w:rPr>
        <w:t xml:space="preserve">educational establishment </w:t>
      </w:r>
      <w:r w:rsidR="0031720D" w:rsidRPr="00482722">
        <w:rPr>
          <w:rFonts w:ascii="Arial" w:hAnsi="Arial" w:cs="Arial"/>
          <w:sz w:val="20"/>
          <w:szCs w:val="20"/>
        </w:rPr>
        <w:t>s</w:t>
      </w:r>
      <w:r w:rsidRPr="00482722">
        <w:rPr>
          <w:rFonts w:ascii="Arial" w:hAnsi="Arial" w:cs="Arial"/>
          <w:sz w:val="20"/>
          <w:szCs w:val="20"/>
        </w:rPr>
        <w:t>ample. The data collection process was carried out during the first semester of 2018</w:t>
      </w:r>
      <w:r w:rsidR="00AA7D8A" w:rsidRPr="00482722">
        <w:rPr>
          <w:rFonts w:ascii="Arial" w:hAnsi="Arial" w:cs="Arial"/>
          <w:sz w:val="20"/>
          <w:szCs w:val="20"/>
        </w:rPr>
        <w:t>,</w:t>
      </w:r>
      <w:r w:rsidRPr="00482722">
        <w:rPr>
          <w:rFonts w:ascii="Arial" w:hAnsi="Arial" w:cs="Arial"/>
          <w:sz w:val="20"/>
          <w:szCs w:val="20"/>
        </w:rPr>
        <w:t xml:space="preserve"> starting in October and ending in late November. </w:t>
      </w:r>
      <w:r w:rsidR="00E45A3A" w:rsidRPr="00482722">
        <w:rPr>
          <w:rFonts w:ascii="Arial" w:hAnsi="Arial" w:cs="Arial"/>
          <w:sz w:val="20"/>
          <w:szCs w:val="20"/>
        </w:rPr>
        <w:t xml:space="preserve">During this period, </w:t>
      </w:r>
      <w:r w:rsidRPr="00482722">
        <w:rPr>
          <w:rFonts w:ascii="Arial" w:hAnsi="Arial" w:cs="Arial"/>
          <w:sz w:val="20"/>
          <w:szCs w:val="20"/>
        </w:rPr>
        <w:t xml:space="preserve">1,050 questionnaires were equally distributed and, of the </w:t>
      </w:r>
      <w:r w:rsidR="00FD37DE" w:rsidRPr="00482722">
        <w:rPr>
          <w:rFonts w:ascii="Arial" w:hAnsi="Arial" w:cs="Arial"/>
          <w:sz w:val="20"/>
          <w:szCs w:val="20"/>
        </w:rPr>
        <w:t xml:space="preserve">832 </w:t>
      </w:r>
      <w:r w:rsidRPr="00482722">
        <w:rPr>
          <w:rFonts w:ascii="Arial" w:hAnsi="Arial" w:cs="Arial"/>
          <w:sz w:val="20"/>
          <w:szCs w:val="20"/>
        </w:rPr>
        <w:t xml:space="preserve">surveys collected, </w:t>
      </w:r>
      <w:r w:rsidR="00FD37DE" w:rsidRPr="00482722">
        <w:rPr>
          <w:rFonts w:ascii="Arial" w:hAnsi="Arial" w:cs="Arial"/>
          <w:sz w:val="20"/>
          <w:szCs w:val="20"/>
        </w:rPr>
        <w:t xml:space="preserve">780 </w:t>
      </w:r>
      <w:r w:rsidRPr="00482722">
        <w:rPr>
          <w:rFonts w:ascii="Arial" w:hAnsi="Arial" w:cs="Arial"/>
          <w:sz w:val="20"/>
          <w:szCs w:val="20"/>
        </w:rPr>
        <w:t>were completed in full</w:t>
      </w:r>
      <w:r w:rsidR="00AA7D8A" w:rsidRPr="00482722">
        <w:rPr>
          <w:rFonts w:ascii="Arial" w:hAnsi="Arial" w:cs="Arial"/>
          <w:sz w:val="20"/>
          <w:szCs w:val="20"/>
        </w:rPr>
        <w:t>. This number</w:t>
      </w:r>
      <w:r w:rsidR="00935E4B" w:rsidRPr="00482722">
        <w:rPr>
          <w:rFonts w:ascii="Arial" w:hAnsi="Arial" w:cs="Arial"/>
          <w:sz w:val="20"/>
          <w:szCs w:val="20"/>
        </w:rPr>
        <w:t xml:space="preserve"> represent</w:t>
      </w:r>
      <w:r w:rsidR="00AA7D8A" w:rsidRPr="00482722">
        <w:rPr>
          <w:rFonts w:ascii="Arial" w:hAnsi="Arial" w:cs="Arial"/>
          <w:sz w:val="20"/>
          <w:szCs w:val="20"/>
        </w:rPr>
        <w:t>s</w:t>
      </w:r>
      <w:r w:rsidR="00935E4B" w:rsidRPr="00482722">
        <w:rPr>
          <w:rFonts w:ascii="Arial" w:hAnsi="Arial" w:cs="Arial"/>
          <w:sz w:val="20"/>
          <w:szCs w:val="20"/>
        </w:rPr>
        <w:t xml:space="preserve"> </w:t>
      </w:r>
      <w:r w:rsidR="00FD37DE" w:rsidRPr="00482722">
        <w:rPr>
          <w:rFonts w:ascii="Arial" w:hAnsi="Arial" w:cs="Arial"/>
          <w:sz w:val="20"/>
          <w:szCs w:val="20"/>
        </w:rPr>
        <w:t>74.3</w:t>
      </w:r>
      <w:r w:rsidR="002834CA" w:rsidRPr="00482722">
        <w:rPr>
          <w:rFonts w:ascii="Arial" w:hAnsi="Arial" w:cs="Arial"/>
          <w:sz w:val="20"/>
          <w:szCs w:val="20"/>
        </w:rPr>
        <w:t xml:space="preserve"> per cent</w:t>
      </w:r>
      <w:r w:rsidR="00AA7D8A" w:rsidRPr="00482722">
        <w:rPr>
          <w:rFonts w:ascii="Arial" w:hAnsi="Arial" w:cs="Arial"/>
          <w:sz w:val="20"/>
          <w:szCs w:val="20"/>
        </w:rPr>
        <w:t xml:space="preserve"> of</w:t>
      </w:r>
      <w:r w:rsidR="00935E4B" w:rsidRPr="00482722">
        <w:rPr>
          <w:rFonts w:ascii="Arial" w:hAnsi="Arial" w:cs="Arial"/>
          <w:sz w:val="20"/>
          <w:szCs w:val="20"/>
        </w:rPr>
        <w:t xml:space="preserve"> </w:t>
      </w:r>
      <w:r w:rsidR="00E00054" w:rsidRPr="00482722">
        <w:rPr>
          <w:rFonts w:ascii="Arial" w:hAnsi="Arial" w:cs="Arial"/>
          <w:sz w:val="20"/>
          <w:szCs w:val="20"/>
        </w:rPr>
        <w:t xml:space="preserve">all </w:t>
      </w:r>
      <w:r w:rsidR="00935E4B" w:rsidRPr="00482722">
        <w:rPr>
          <w:rFonts w:ascii="Arial" w:hAnsi="Arial" w:cs="Arial"/>
          <w:sz w:val="20"/>
          <w:szCs w:val="20"/>
        </w:rPr>
        <w:t>the questionnaires</w:t>
      </w:r>
      <w:r w:rsidR="00E00054" w:rsidRPr="00482722">
        <w:rPr>
          <w:rFonts w:ascii="Arial" w:hAnsi="Arial" w:cs="Arial"/>
          <w:sz w:val="20"/>
          <w:szCs w:val="20"/>
        </w:rPr>
        <w:t xml:space="preserve"> that were distributed</w:t>
      </w:r>
      <w:r w:rsidR="00935E4B" w:rsidRPr="00482722">
        <w:rPr>
          <w:rFonts w:ascii="Arial" w:hAnsi="Arial" w:cs="Arial"/>
          <w:sz w:val="20"/>
          <w:szCs w:val="20"/>
        </w:rPr>
        <w:t xml:space="preserve">. </w:t>
      </w:r>
      <w:r w:rsidRPr="00482722">
        <w:rPr>
          <w:rFonts w:ascii="Arial" w:hAnsi="Arial" w:cs="Arial"/>
          <w:sz w:val="20"/>
          <w:szCs w:val="20"/>
        </w:rPr>
        <w:t xml:space="preserve">Table </w:t>
      </w:r>
      <w:r w:rsidR="008F59BD" w:rsidRPr="00482722">
        <w:rPr>
          <w:rFonts w:ascii="Arial" w:hAnsi="Arial" w:cs="Arial"/>
          <w:sz w:val="20"/>
          <w:szCs w:val="20"/>
        </w:rPr>
        <w:t>II</w:t>
      </w:r>
      <w:r w:rsidRPr="00482722">
        <w:rPr>
          <w:rFonts w:ascii="Arial" w:hAnsi="Arial" w:cs="Arial"/>
          <w:sz w:val="20"/>
          <w:szCs w:val="20"/>
        </w:rPr>
        <w:t xml:space="preserve"> lists the statistics </w:t>
      </w:r>
      <w:r w:rsidR="00853A44" w:rsidRPr="00482722">
        <w:rPr>
          <w:rFonts w:ascii="Arial" w:hAnsi="Arial" w:cs="Arial"/>
          <w:sz w:val="20"/>
          <w:szCs w:val="20"/>
        </w:rPr>
        <w:t xml:space="preserve">for </w:t>
      </w:r>
      <w:r w:rsidRPr="00482722">
        <w:rPr>
          <w:rFonts w:ascii="Arial" w:hAnsi="Arial" w:cs="Arial"/>
          <w:sz w:val="20"/>
          <w:szCs w:val="20"/>
        </w:rPr>
        <w:t>the survey response rates</w:t>
      </w:r>
      <w:r w:rsidR="00AA7D8A" w:rsidRPr="00482722">
        <w:rPr>
          <w:rFonts w:ascii="Arial" w:hAnsi="Arial" w:cs="Arial"/>
          <w:sz w:val="20"/>
          <w:szCs w:val="20"/>
        </w:rPr>
        <w:t>, grouped by</w:t>
      </w:r>
      <w:r w:rsidRPr="00482722">
        <w:rPr>
          <w:rFonts w:ascii="Arial" w:hAnsi="Arial" w:cs="Arial"/>
          <w:sz w:val="20"/>
          <w:szCs w:val="20"/>
        </w:rPr>
        <w:t xml:space="preserve"> universit</w:t>
      </w:r>
      <w:r w:rsidR="00853A44" w:rsidRPr="00482722">
        <w:rPr>
          <w:rFonts w:ascii="Arial" w:hAnsi="Arial" w:cs="Arial"/>
          <w:sz w:val="20"/>
          <w:szCs w:val="20"/>
        </w:rPr>
        <w:t>y</w:t>
      </w:r>
      <w:r w:rsidRPr="00482722">
        <w:rPr>
          <w:rFonts w:ascii="Arial" w:hAnsi="Arial" w:cs="Arial"/>
          <w:sz w:val="20"/>
          <w:szCs w:val="20"/>
        </w:rPr>
        <w:t xml:space="preserve">. </w:t>
      </w:r>
      <w:r w:rsidR="000D78AC" w:rsidRPr="00482722">
        <w:rPr>
          <w:rFonts w:ascii="Arial" w:hAnsi="Arial" w:cs="Arial"/>
          <w:sz w:val="20"/>
          <w:szCs w:val="20"/>
        </w:rPr>
        <w:t xml:space="preserve">Table </w:t>
      </w:r>
      <w:r w:rsidR="008F59BD" w:rsidRPr="00482722">
        <w:rPr>
          <w:rFonts w:ascii="Arial" w:hAnsi="Arial" w:cs="Arial"/>
          <w:sz w:val="20"/>
          <w:szCs w:val="20"/>
        </w:rPr>
        <w:t>I</w:t>
      </w:r>
      <w:r w:rsidR="009C0EA6" w:rsidRPr="00482722">
        <w:rPr>
          <w:rFonts w:ascii="Arial" w:hAnsi="Arial" w:cs="Arial"/>
          <w:sz w:val="20"/>
          <w:szCs w:val="20"/>
        </w:rPr>
        <w:t>II</w:t>
      </w:r>
      <w:r w:rsidR="000D78AC" w:rsidRPr="00482722">
        <w:rPr>
          <w:rFonts w:ascii="Arial" w:hAnsi="Arial" w:cs="Arial"/>
          <w:sz w:val="20"/>
          <w:szCs w:val="20"/>
        </w:rPr>
        <w:t xml:space="preserve"> shows a profile of the respondents’ characteristics, which are </w:t>
      </w:r>
      <w:r w:rsidR="00A219D1" w:rsidRPr="00482722">
        <w:rPr>
          <w:rFonts w:ascii="Arial" w:hAnsi="Arial" w:cs="Arial"/>
          <w:sz w:val="20"/>
          <w:szCs w:val="20"/>
        </w:rPr>
        <w:t xml:space="preserve">organised </w:t>
      </w:r>
      <w:r w:rsidR="000D78AC" w:rsidRPr="00482722">
        <w:rPr>
          <w:rFonts w:ascii="Arial" w:hAnsi="Arial" w:cs="Arial"/>
          <w:sz w:val="20"/>
          <w:szCs w:val="20"/>
        </w:rPr>
        <w:t>in three categories: gender, final GPA result</w:t>
      </w:r>
      <w:r w:rsidR="00852A7F" w:rsidRPr="00482722">
        <w:rPr>
          <w:rFonts w:ascii="Arial" w:hAnsi="Arial" w:cs="Arial"/>
          <w:sz w:val="20"/>
          <w:szCs w:val="20"/>
        </w:rPr>
        <w:t>,</w:t>
      </w:r>
      <w:r w:rsidR="000D78AC" w:rsidRPr="00482722">
        <w:rPr>
          <w:rFonts w:ascii="Arial" w:hAnsi="Arial" w:cs="Arial"/>
          <w:sz w:val="20"/>
          <w:szCs w:val="20"/>
        </w:rPr>
        <w:t xml:space="preserve"> and </w:t>
      </w:r>
      <w:r w:rsidR="004D4A84" w:rsidRPr="00482722">
        <w:rPr>
          <w:rFonts w:ascii="Arial" w:hAnsi="Arial" w:cs="Arial"/>
          <w:sz w:val="20"/>
          <w:szCs w:val="20"/>
        </w:rPr>
        <w:t>educational establishment</w:t>
      </w:r>
      <w:r w:rsidR="000D78AC" w:rsidRPr="00482722">
        <w:rPr>
          <w:rFonts w:ascii="Arial" w:hAnsi="Arial" w:cs="Arial"/>
          <w:sz w:val="20"/>
          <w:szCs w:val="20"/>
        </w:rPr>
        <w:t>.</w:t>
      </w:r>
    </w:p>
    <w:p w14:paraId="7457F92F" w14:textId="77777777" w:rsidR="00B24D68" w:rsidRPr="00482722" w:rsidRDefault="00B24D68" w:rsidP="00DA5EEC">
      <w:pPr>
        <w:spacing w:line="240" w:lineRule="auto"/>
        <w:jc w:val="both"/>
        <w:rPr>
          <w:rFonts w:ascii="Arial" w:hAnsi="Arial" w:cs="Arial"/>
          <w:sz w:val="20"/>
          <w:szCs w:val="20"/>
        </w:rPr>
      </w:pPr>
    </w:p>
    <w:p w14:paraId="02F87AB5" w14:textId="19EC1567" w:rsidR="008D0A35" w:rsidRPr="00482722" w:rsidRDefault="008D0A35"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8F59BD" w:rsidRPr="00482722">
        <w:rPr>
          <w:rFonts w:ascii="Arial" w:hAnsi="Arial" w:cs="Arial"/>
          <w:b/>
          <w:bCs/>
          <w:sz w:val="20"/>
          <w:szCs w:val="20"/>
        </w:rPr>
        <w:t>II</w:t>
      </w:r>
      <w:r w:rsidR="005F7791" w:rsidRPr="00482722">
        <w:rPr>
          <w:rFonts w:ascii="Arial" w:hAnsi="Arial" w:cs="Arial"/>
          <w:b/>
          <w:bCs/>
          <w:sz w:val="20"/>
          <w:szCs w:val="20"/>
        </w:rPr>
        <w:t>.</w:t>
      </w:r>
      <w:r w:rsidRPr="00482722">
        <w:rPr>
          <w:rFonts w:ascii="Arial" w:hAnsi="Arial" w:cs="Arial"/>
          <w:sz w:val="20"/>
          <w:szCs w:val="20"/>
        </w:rPr>
        <w:t xml:space="preserve"> Survey response rates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7"/>
        <w:gridCol w:w="1418"/>
        <w:gridCol w:w="1275"/>
        <w:gridCol w:w="1276"/>
        <w:gridCol w:w="1350"/>
      </w:tblGrid>
      <w:tr w:rsidR="00482722" w:rsidRPr="00482722" w14:paraId="42366C0B" w14:textId="77777777" w:rsidTr="006D31B5">
        <w:tc>
          <w:tcPr>
            <w:tcW w:w="2977" w:type="dxa"/>
            <w:tcBorders>
              <w:bottom w:val="single" w:sz="4" w:space="0" w:color="auto"/>
            </w:tcBorders>
          </w:tcPr>
          <w:p w14:paraId="11881F63" w14:textId="77777777" w:rsidR="008D0A35" w:rsidRPr="00482722" w:rsidRDefault="008D0A35" w:rsidP="00390D25">
            <w:pPr>
              <w:pStyle w:val="yiv9788245124msoplaintext"/>
              <w:spacing w:before="0" w:beforeAutospacing="0" w:after="0" w:afterAutospacing="0"/>
              <w:jc w:val="both"/>
              <w:rPr>
                <w:rFonts w:ascii="Arial" w:hAnsi="Arial" w:cs="Arial"/>
                <w:sz w:val="20"/>
                <w:szCs w:val="20"/>
                <w:lang w:val="en-GB"/>
              </w:rPr>
            </w:pPr>
            <w:r w:rsidRPr="00482722">
              <w:rPr>
                <w:rFonts w:ascii="Arial" w:hAnsi="Arial" w:cs="Arial"/>
                <w:sz w:val="20"/>
                <w:szCs w:val="20"/>
                <w:lang w:val="en-GB"/>
              </w:rPr>
              <w:t xml:space="preserve">University </w:t>
            </w:r>
          </w:p>
        </w:tc>
        <w:tc>
          <w:tcPr>
            <w:tcW w:w="1418" w:type="dxa"/>
            <w:tcBorders>
              <w:bottom w:val="single" w:sz="4" w:space="0" w:color="auto"/>
            </w:tcBorders>
          </w:tcPr>
          <w:p w14:paraId="2E28E432" w14:textId="77777777" w:rsidR="008D0A35" w:rsidRPr="00482722" w:rsidRDefault="008D0A35" w:rsidP="006D31B5">
            <w:pPr>
              <w:pStyle w:val="yiv9788245124msoplaintext"/>
              <w:spacing w:before="0" w:beforeAutospacing="0" w:after="0" w:afterAutospacing="0"/>
              <w:jc w:val="right"/>
              <w:rPr>
                <w:rFonts w:ascii="Arial" w:hAnsi="Arial" w:cs="Arial"/>
                <w:sz w:val="20"/>
                <w:szCs w:val="20"/>
                <w:lang w:val="en-GB"/>
              </w:rPr>
            </w:pPr>
            <w:r w:rsidRPr="00482722">
              <w:rPr>
                <w:rFonts w:ascii="Arial" w:hAnsi="Arial" w:cs="Arial"/>
                <w:sz w:val="20"/>
                <w:szCs w:val="20"/>
                <w:lang w:val="en-GB"/>
              </w:rPr>
              <w:t xml:space="preserve">Distributed </w:t>
            </w:r>
          </w:p>
        </w:tc>
        <w:tc>
          <w:tcPr>
            <w:tcW w:w="1275" w:type="dxa"/>
            <w:tcBorders>
              <w:bottom w:val="single" w:sz="4" w:space="0" w:color="auto"/>
            </w:tcBorders>
          </w:tcPr>
          <w:p w14:paraId="71C72ABA" w14:textId="77777777" w:rsidR="008D0A35" w:rsidRPr="00482722" w:rsidRDefault="008D0A35" w:rsidP="006D31B5">
            <w:pPr>
              <w:pStyle w:val="yiv9788245124msoplaintext"/>
              <w:spacing w:before="0" w:beforeAutospacing="0" w:after="0" w:afterAutospacing="0"/>
              <w:jc w:val="right"/>
              <w:rPr>
                <w:rFonts w:ascii="Arial" w:hAnsi="Arial" w:cs="Arial"/>
                <w:sz w:val="20"/>
                <w:szCs w:val="20"/>
                <w:lang w:val="en-GB"/>
              </w:rPr>
            </w:pPr>
            <w:r w:rsidRPr="00482722">
              <w:rPr>
                <w:rFonts w:ascii="Arial" w:hAnsi="Arial" w:cs="Arial"/>
                <w:sz w:val="20"/>
                <w:szCs w:val="20"/>
                <w:lang w:val="en-GB"/>
              </w:rPr>
              <w:t xml:space="preserve">Received </w:t>
            </w:r>
          </w:p>
        </w:tc>
        <w:tc>
          <w:tcPr>
            <w:tcW w:w="1276" w:type="dxa"/>
            <w:tcBorders>
              <w:bottom w:val="single" w:sz="4" w:space="0" w:color="auto"/>
            </w:tcBorders>
          </w:tcPr>
          <w:p w14:paraId="00BF163D" w14:textId="77777777" w:rsidR="008D0A35" w:rsidRPr="00482722" w:rsidRDefault="008D0A35" w:rsidP="006D31B5">
            <w:pPr>
              <w:pStyle w:val="yiv9788245124msoplaintext"/>
              <w:spacing w:before="0" w:beforeAutospacing="0" w:after="0" w:afterAutospacing="0"/>
              <w:jc w:val="right"/>
              <w:rPr>
                <w:rFonts w:ascii="Arial" w:hAnsi="Arial" w:cs="Arial"/>
                <w:sz w:val="20"/>
                <w:szCs w:val="20"/>
                <w:lang w:val="en-GB"/>
              </w:rPr>
            </w:pPr>
            <w:r w:rsidRPr="00482722">
              <w:rPr>
                <w:rFonts w:ascii="Arial" w:hAnsi="Arial" w:cs="Arial"/>
                <w:sz w:val="20"/>
                <w:szCs w:val="20"/>
                <w:lang w:val="en-GB"/>
              </w:rPr>
              <w:t xml:space="preserve">Excluded </w:t>
            </w:r>
          </w:p>
        </w:tc>
        <w:tc>
          <w:tcPr>
            <w:tcW w:w="1350" w:type="dxa"/>
            <w:tcBorders>
              <w:bottom w:val="single" w:sz="4" w:space="0" w:color="auto"/>
            </w:tcBorders>
          </w:tcPr>
          <w:p w14:paraId="3DC4CE98" w14:textId="77777777" w:rsidR="008D0A35" w:rsidRPr="00482722" w:rsidRDefault="008D0A35" w:rsidP="006D31B5">
            <w:pPr>
              <w:pStyle w:val="yiv9788245124msoplaintext"/>
              <w:spacing w:before="0" w:beforeAutospacing="0" w:after="0" w:afterAutospacing="0"/>
              <w:jc w:val="right"/>
              <w:rPr>
                <w:rFonts w:ascii="Arial" w:hAnsi="Arial" w:cs="Arial"/>
                <w:sz w:val="20"/>
                <w:szCs w:val="20"/>
                <w:lang w:val="en-GB"/>
              </w:rPr>
            </w:pPr>
            <w:r w:rsidRPr="00482722">
              <w:rPr>
                <w:rFonts w:ascii="Arial" w:hAnsi="Arial" w:cs="Arial"/>
                <w:sz w:val="20"/>
                <w:szCs w:val="20"/>
                <w:lang w:val="en-GB"/>
              </w:rPr>
              <w:t xml:space="preserve">Included </w:t>
            </w:r>
          </w:p>
        </w:tc>
      </w:tr>
      <w:tr w:rsidR="00482722" w:rsidRPr="00482722" w14:paraId="4ADF7EB1" w14:textId="77777777" w:rsidTr="006D31B5">
        <w:tc>
          <w:tcPr>
            <w:tcW w:w="2977" w:type="dxa"/>
            <w:tcBorders>
              <w:top w:val="single" w:sz="4" w:space="0" w:color="auto"/>
              <w:bottom w:val="nil"/>
            </w:tcBorders>
          </w:tcPr>
          <w:p w14:paraId="3CDBCA99" w14:textId="77777777" w:rsidR="008D0A35" w:rsidRPr="00482722" w:rsidRDefault="008D0A35" w:rsidP="00DA5EEC">
            <w:pPr>
              <w:jc w:val="both"/>
              <w:rPr>
                <w:rFonts w:ascii="Arial" w:hAnsi="Arial" w:cs="Arial"/>
                <w:sz w:val="20"/>
                <w:szCs w:val="20"/>
              </w:rPr>
            </w:pPr>
            <w:r w:rsidRPr="00482722">
              <w:rPr>
                <w:rFonts w:ascii="Arial" w:hAnsi="Arial" w:cs="Arial"/>
                <w:sz w:val="20"/>
                <w:szCs w:val="20"/>
              </w:rPr>
              <w:t>PNU</w:t>
            </w:r>
          </w:p>
        </w:tc>
        <w:tc>
          <w:tcPr>
            <w:tcW w:w="1418" w:type="dxa"/>
            <w:tcBorders>
              <w:top w:val="single" w:sz="4" w:space="0" w:color="auto"/>
              <w:bottom w:val="nil"/>
            </w:tcBorders>
          </w:tcPr>
          <w:p w14:paraId="56F818F0"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350</w:t>
            </w:r>
          </w:p>
        </w:tc>
        <w:tc>
          <w:tcPr>
            <w:tcW w:w="1275" w:type="dxa"/>
            <w:tcBorders>
              <w:top w:val="single" w:sz="4" w:space="0" w:color="auto"/>
              <w:bottom w:val="nil"/>
            </w:tcBorders>
          </w:tcPr>
          <w:p w14:paraId="06E1825D"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277</w:t>
            </w:r>
          </w:p>
        </w:tc>
        <w:tc>
          <w:tcPr>
            <w:tcW w:w="1276" w:type="dxa"/>
            <w:tcBorders>
              <w:top w:val="single" w:sz="4" w:space="0" w:color="auto"/>
              <w:bottom w:val="nil"/>
            </w:tcBorders>
          </w:tcPr>
          <w:p w14:paraId="1452CEBA"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11</w:t>
            </w:r>
          </w:p>
        </w:tc>
        <w:tc>
          <w:tcPr>
            <w:tcW w:w="1350" w:type="dxa"/>
            <w:tcBorders>
              <w:top w:val="single" w:sz="4" w:space="0" w:color="auto"/>
              <w:bottom w:val="nil"/>
            </w:tcBorders>
          </w:tcPr>
          <w:p w14:paraId="47D17E1A"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266</w:t>
            </w:r>
          </w:p>
        </w:tc>
      </w:tr>
      <w:tr w:rsidR="00482722" w:rsidRPr="00482722" w14:paraId="37099EFC" w14:textId="77777777" w:rsidTr="006D31B5">
        <w:tc>
          <w:tcPr>
            <w:tcW w:w="2977" w:type="dxa"/>
            <w:tcBorders>
              <w:top w:val="nil"/>
              <w:bottom w:val="nil"/>
            </w:tcBorders>
          </w:tcPr>
          <w:p w14:paraId="7B0C1E92" w14:textId="77777777" w:rsidR="008D0A35" w:rsidRPr="00482722" w:rsidRDefault="008D0A35" w:rsidP="00DA5EEC">
            <w:pPr>
              <w:jc w:val="both"/>
              <w:rPr>
                <w:rFonts w:ascii="Arial" w:hAnsi="Arial" w:cs="Arial"/>
                <w:sz w:val="20"/>
                <w:szCs w:val="20"/>
              </w:rPr>
            </w:pPr>
            <w:r w:rsidRPr="00482722">
              <w:rPr>
                <w:rFonts w:ascii="Arial" w:hAnsi="Arial" w:cs="Arial"/>
                <w:sz w:val="20"/>
                <w:szCs w:val="20"/>
              </w:rPr>
              <w:t>Technical College</w:t>
            </w:r>
          </w:p>
        </w:tc>
        <w:tc>
          <w:tcPr>
            <w:tcW w:w="1418" w:type="dxa"/>
            <w:tcBorders>
              <w:top w:val="nil"/>
              <w:bottom w:val="nil"/>
            </w:tcBorders>
          </w:tcPr>
          <w:p w14:paraId="1AFDB1D1"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350</w:t>
            </w:r>
          </w:p>
        </w:tc>
        <w:tc>
          <w:tcPr>
            <w:tcW w:w="1275" w:type="dxa"/>
            <w:tcBorders>
              <w:top w:val="nil"/>
              <w:bottom w:val="nil"/>
            </w:tcBorders>
          </w:tcPr>
          <w:p w14:paraId="119B4C43"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301</w:t>
            </w:r>
          </w:p>
        </w:tc>
        <w:tc>
          <w:tcPr>
            <w:tcW w:w="1276" w:type="dxa"/>
            <w:tcBorders>
              <w:top w:val="nil"/>
              <w:bottom w:val="nil"/>
            </w:tcBorders>
          </w:tcPr>
          <w:p w14:paraId="0DC955B3"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27</w:t>
            </w:r>
          </w:p>
        </w:tc>
        <w:tc>
          <w:tcPr>
            <w:tcW w:w="1350" w:type="dxa"/>
            <w:tcBorders>
              <w:top w:val="nil"/>
              <w:bottom w:val="nil"/>
            </w:tcBorders>
          </w:tcPr>
          <w:p w14:paraId="7FE95FB5"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274</w:t>
            </w:r>
          </w:p>
        </w:tc>
      </w:tr>
      <w:tr w:rsidR="00482722" w:rsidRPr="00482722" w14:paraId="5AF4BFCC" w14:textId="77777777" w:rsidTr="006D31B5">
        <w:tc>
          <w:tcPr>
            <w:tcW w:w="2977" w:type="dxa"/>
            <w:tcBorders>
              <w:top w:val="nil"/>
              <w:bottom w:val="nil"/>
            </w:tcBorders>
          </w:tcPr>
          <w:p w14:paraId="072509AF" w14:textId="77777777" w:rsidR="008D0A35" w:rsidRPr="00482722" w:rsidRDefault="008D0A35" w:rsidP="00DA5EEC">
            <w:pPr>
              <w:jc w:val="both"/>
              <w:rPr>
                <w:rFonts w:ascii="Arial" w:hAnsi="Arial" w:cs="Arial"/>
                <w:sz w:val="20"/>
                <w:szCs w:val="20"/>
              </w:rPr>
            </w:pPr>
            <w:r w:rsidRPr="00482722">
              <w:rPr>
                <w:rFonts w:ascii="Arial" w:hAnsi="Arial" w:cs="Arial"/>
                <w:sz w:val="20"/>
                <w:szCs w:val="20"/>
              </w:rPr>
              <w:t>KSAU-HS</w:t>
            </w:r>
          </w:p>
        </w:tc>
        <w:tc>
          <w:tcPr>
            <w:tcW w:w="1418" w:type="dxa"/>
            <w:tcBorders>
              <w:top w:val="nil"/>
              <w:bottom w:val="nil"/>
            </w:tcBorders>
          </w:tcPr>
          <w:p w14:paraId="32F133C6"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350</w:t>
            </w:r>
          </w:p>
        </w:tc>
        <w:tc>
          <w:tcPr>
            <w:tcW w:w="1275" w:type="dxa"/>
            <w:tcBorders>
              <w:top w:val="nil"/>
              <w:bottom w:val="nil"/>
            </w:tcBorders>
          </w:tcPr>
          <w:p w14:paraId="6A5C0B6B"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254</w:t>
            </w:r>
          </w:p>
        </w:tc>
        <w:tc>
          <w:tcPr>
            <w:tcW w:w="1276" w:type="dxa"/>
            <w:tcBorders>
              <w:top w:val="nil"/>
              <w:bottom w:val="nil"/>
            </w:tcBorders>
          </w:tcPr>
          <w:p w14:paraId="682EF590"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14</w:t>
            </w:r>
          </w:p>
        </w:tc>
        <w:tc>
          <w:tcPr>
            <w:tcW w:w="1350" w:type="dxa"/>
            <w:tcBorders>
              <w:top w:val="nil"/>
              <w:bottom w:val="nil"/>
            </w:tcBorders>
          </w:tcPr>
          <w:p w14:paraId="6C8F9284"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240</w:t>
            </w:r>
          </w:p>
        </w:tc>
      </w:tr>
      <w:tr w:rsidR="008D0A35" w:rsidRPr="00482722" w14:paraId="53CD4E87" w14:textId="77777777" w:rsidTr="006D31B5">
        <w:tc>
          <w:tcPr>
            <w:tcW w:w="2977" w:type="dxa"/>
            <w:tcBorders>
              <w:top w:val="nil"/>
            </w:tcBorders>
          </w:tcPr>
          <w:p w14:paraId="7A6EDA09" w14:textId="77777777" w:rsidR="008D0A35" w:rsidRPr="00482722" w:rsidRDefault="008D0A35" w:rsidP="00DA5EEC">
            <w:pPr>
              <w:jc w:val="both"/>
              <w:rPr>
                <w:rFonts w:ascii="Arial" w:hAnsi="Arial" w:cs="Arial"/>
                <w:sz w:val="20"/>
                <w:szCs w:val="20"/>
              </w:rPr>
            </w:pPr>
            <w:r w:rsidRPr="00482722">
              <w:rPr>
                <w:rFonts w:ascii="Arial" w:hAnsi="Arial" w:cs="Arial"/>
                <w:sz w:val="20"/>
                <w:szCs w:val="20"/>
              </w:rPr>
              <w:t xml:space="preserve">Total </w:t>
            </w:r>
          </w:p>
        </w:tc>
        <w:tc>
          <w:tcPr>
            <w:tcW w:w="1418" w:type="dxa"/>
            <w:tcBorders>
              <w:top w:val="nil"/>
            </w:tcBorders>
          </w:tcPr>
          <w:p w14:paraId="09AF7ED0" w14:textId="77777777" w:rsidR="008D0A35" w:rsidRPr="00482722" w:rsidRDefault="008D0A35" w:rsidP="006D31B5">
            <w:pPr>
              <w:jc w:val="right"/>
              <w:rPr>
                <w:rFonts w:ascii="Arial" w:hAnsi="Arial" w:cs="Arial"/>
                <w:sz w:val="20"/>
                <w:szCs w:val="20"/>
              </w:rPr>
            </w:pPr>
            <w:r w:rsidRPr="00482722">
              <w:rPr>
                <w:rFonts w:ascii="Arial" w:hAnsi="Arial" w:cs="Arial"/>
                <w:sz w:val="20"/>
                <w:szCs w:val="20"/>
              </w:rPr>
              <w:t>1,050</w:t>
            </w:r>
          </w:p>
        </w:tc>
        <w:tc>
          <w:tcPr>
            <w:tcW w:w="1275" w:type="dxa"/>
            <w:tcBorders>
              <w:top w:val="nil"/>
            </w:tcBorders>
          </w:tcPr>
          <w:p w14:paraId="2CA0A8A3"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832</w:t>
            </w:r>
          </w:p>
        </w:tc>
        <w:tc>
          <w:tcPr>
            <w:tcW w:w="1276" w:type="dxa"/>
            <w:tcBorders>
              <w:top w:val="nil"/>
            </w:tcBorders>
          </w:tcPr>
          <w:p w14:paraId="2A723C19"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52</w:t>
            </w:r>
          </w:p>
        </w:tc>
        <w:tc>
          <w:tcPr>
            <w:tcW w:w="1350" w:type="dxa"/>
            <w:tcBorders>
              <w:top w:val="nil"/>
            </w:tcBorders>
          </w:tcPr>
          <w:p w14:paraId="7B785E79" w14:textId="77777777" w:rsidR="008D0A35" w:rsidRPr="00482722" w:rsidRDefault="00F83824" w:rsidP="006D31B5">
            <w:pPr>
              <w:jc w:val="right"/>
              <w:rPr>
                <w:rFonts w:ascii="Arial" w:hAnsi="Arial" w:cs="Arial"/>
                <w:sz w:val="20"/>
                <w:szCs w:val="20"/>
              </w:rPr>
            </w:pPr>
            <w:r w:rsidRPr="00482722">
              <w:rPr>
                <w:rFonts w:ascii="Arial" w:hAnsi="Arial" w:cs="Arial"/>
                <w:sz w:val="20"/>
                <w:szCs w:val="20"/>
              </w:rPr>
              <w:t>780</w:t>
            </w:r>
          </w:p>
        </w:tc>
      </w:tr>
    </w:tbl>
    <w:p w14:paraId="2B09F98E" w14:textId="77777777" w:rsidR="00B24D68" w:rsidRPr="00482722" w:rsidRDefault="00B24D68" w:rsidP="00DA5EEC">
      <w:pPr>
        <w:spacing w:line="240" w:lineRule="auto"/>
        <w:jc w:val="both"/>
        <w:rPr>
          <w:rFonts w:ascii="Arial" w:hAnsi="Arial" w:cs="Arial"/>
          <w:sz w:val="20"/>
          <w:szCs w:val="20"/>
        </w:rPr>
      </w:pPr>
    </w:p>
    <w:p w14:paraId="619D3E59" w14:textId="756D3609" w:rsidR="000D78AC" w:rsidRPr="00482722" w:rsidRDefault="000D78AC"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8F59BD" w:rsidRPr="00482722">
        <w:rPr>
          <w:rFonts w:ascii="Arial" w:hAnsi="Arial" w:cs="Arial"/>
          <w:b/>
          <w:bCs/>
          <w:sz w:val="20"/>
          <w:szCs w:val="20"/>
        </w:rPr>
        <w:t>I</w:t>
      </w:r>
      <w:r w:rsidR="009C0EA6" w:rsidRPr="00482722">
        <w:rPr>
          <w:rFonts w:ascii="Arial" w:hAnsi="Arial" w:cs="Arial"/>
          <w:b/>
          <w:bCs/>
          <w:sz w:val="20"/>
          <w:szCs w:val="20"/>
        </w:rPr>
        <w:t>II</w:t>
      </w:r>
      <w:r w:rsidR="005F7791" w:rsidRPr="00482722">
        <w:rPr>
          <w:rFonts w:ascii="Arial" w:hAnsi="Arial" w:cs="Arial"/>
          <w:b/>
          <w:bCs/>
          <w:sz w:val="20"/>
          <w:szCs w:val="20"/>
        </w:rPr>
        <w:t>.</w:t>
      </w:r>
      <w:r w:rsidRPr="00482722">
        <w:rPr>
          <w:rFonts w:ascii="Arial" w:hAnsi="Arial" w:cs="Arial"/>
          <w:sz w:val="20"/>
          <w:szCs w:val="20"/>
        </w:rPr>
        <w:t xml:space="preserve"> Demographic profile of all respondents</w:t>
      </w:r>
    </w:p>
    <w:tbl>
      <w:tblPr>
        <w:tblStyle w:val="LightList-Accent5"/>
        <w:tblW w:w="47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46"/>
        <w:gridCol w:w="1228"/>
        <w:gridCol w:w="1547"/>
      </w:tblGrid>
      <w:tr w:rsidR="00482722" w:rsidRPr="00482722" w14:paraId="2F3595D7" w14:textId="77777777" w:rsidTr="006D3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Borders>
              <w:top w:val="single" w:sz="4" w:space="0" w:color="auto"/>
              <w:bottom w:val="single" w:sz="4" w:space="0" w:color="auto"/>
            </w:tcBorders>
            <w:shd w:val="clear" w:color="auto" w:fill="auto"/>
          </w:tcPr>
          <w:p w14:paraId="67DFF673" w14:textId="566A4AF7" w:rsidR="0056298E" w:rsidRPr="00482722" w:rsidRDefault="0056298E" w:rsidP="00AB2499">
            <w:pPr>
              <w:rPr>
                <w:rFonts w:ascii="Arial" w:hAnsi="Arial" w:cs="Arial"/>
                <w:b w:val="0"/>
                <w:bCs w:val="0"/>
                <w:color w:val="auto"/>
                <w:sz w:val="20"/>
                <w:szCs w:val="20"/>
              </w:rPr>
            </w:pPr>
            <w:r w:rsidRPr="00482722">
              <w:rPr>
                <w:rFonts w:ascii="Arial" w:hAnsi="Arial" w:cs="Arial"/>
                <w:color w:val="auto"/>
                <w:sz w:val="20"/>
                <w:szCs w:val="20"/>
              </w:rPr>
              <w:t>Category</w:t>
            </w:r>
          </w:p>
        </w:tc>
        <w:tc>
          <w:tcPr>
            <w:tcW w:w="1228" w:type="dxa"/>
            <w:tcBorders>
              <w:top w:val="single" w:sz="4" w:space="0" w:color="auto"/>
              <w:bottom w:val="single" w:sz="4" w:space="0" w:color="auto"/>
            </w:tcBorders>
            <w:shd w:val="clear" w:color="auto" w:fill="auto"/>
          </w:tcPr>
          <w:p w14:paraId="15FE792A" w14:textId="1DEC39B8" w:rsidR="0056298E" w:rsidRPr="00482722" w:rsidRDefault="0056298E" w:rsidP="0046090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82722">
              <w:rPr>
                <w:rFonts w:ascii="Arial" w:hAnsi="Arial" w:cs="Arial"/>
                <w:color w:val="auto"/>
                <w:sz w:val="20"/>
                <w:szCs w:val="20"/>
              </w:rPr>
              <w:t>Frequency</w:t>
            </w:r>
          </w:p>
        </w:tc>
        <w:tc>
          <w:tcPr>
            <w:tcW w:w="1547" w:type="dxa"/>
            <w:tcBorders>
              <w:top w:val="single" w:sz="4" w:space="0" w:color="auto"/>
              <w:bottom w:val="single" w:sz="4" w:space="0" w:color="auto"/>
            </w:tcBorders>
            <w:shd w:val="clear" w:color="auto" w:fill="auto"/>
          </w:tcPr>
          <w:p w14:paraId="5E7AFC80" w14:textId="0A6F0E34" w:rsidR="0056298E" w:rsidRPr="00482722" w:rsidRDefault="0056298E" w:rsidP="00460900">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82722">
              <w:rPr>
                <w:rFonts w:ascii="Arial" w:hAnsi="Arial" w:cs="Arial"/>
                <w:color w:val="auto"/>
                <w:sz w:val="20"/>
                <w:szCs w:val="20"/>
              </w:rPr>
              <w:t>%</w:t>
            </w:r>
          </w:p>
        </w:tc>
      </w:tr>
      <w:tr w:rsidR="00482722" w:rsidRPr="00482722" w14:paraId="4D8F6F67"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shd w:val="clear" w:color="auto" w:fill="auto"/>
          </w:tcPr>
          <w:p w14:paraId="41B4C758" w14:textId="77777777" w:rsidR="006036C8" w:rsidRPr="00482722" w:rsidRDefault="006036C8" w:rsidP="00AB2499">
            <w:pPr>
              <w:rPr>
                <w:rFonts w:ascii="Arial" w:hAnsi="Arial" w:cs="Arial"/>
                <w:b w:val="0"/>
                <w:i/>
                <w:iCs/>
                <w:sz w:val="20"/>
                <w:szCs w:val="20"/>
              </w:rPr>
            </w:pPr>
          </w:p>
        </w:tc>
        <w:tc>
          <w:tcPr>
            <w:tcW w:w="0" w:type="dxa"/>
            <w:tcBorders>
              <w:top w:val="single" w:sz="4" w:space="0" w:color="auto"/>
            </w:tcBorders>
            <w:shd w:val="clear" w:color="auto" w:fill="auto"/>
          </w:tcPr>
          <w:p w14:paraId="4F50599A" w14:textId="77777777" w:rsidR="006036C8" w:rsidRPr="00482722" w:rsidRDefault="006036C8" w:rsidP="00042EE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top w:val="single" w:sz="4" w:space="0" w:color="auto"/>
            </w:tcBorders>
            <w:shd w:val="clear" w:color="auto" w:fill="auto"/>
          </w:tcPr>
          <w:p w14:paraId="588A5298" w14:textId="77777777" w:rsidR="006036C8" w:rsidRPr="00482722" w:rsidRDefault="006036C8" w:rsidP="00042EE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2722" w:rsidRPr="00482722" w14:paraId="7C50ECCF"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59C49F80" w14:textId="7892D67D" w:rsidR="0056298E" w:rsidRPr="00482722" w:rsidRDefault="0056298E" w:rsidP="00AB2499">
            <w:pPr>
              <w:rPr>
                <w:rFonts w:ascii="Arial" w:hAnsi="Arial" w:cs="Arial"/>
                <w:b w:val="0"/>
                <w:bCs w:val="0"/>
                <w:sz w:val="20"/>
                <w:szCs w:val="20"/>
              </w:rPr>
            </w:pPr>
            <w:r w:rsidRPr="00482722">
              <w:rPr>
                <w:rFonts w:ascii="Arial" w:hAnsi="Arial" w:cs="Arial"/>
                <w:b w:val="0"/>
                <w:bCs w:val="0"/>
                <w:i/>
                <w:iCs/>
                <w:sz w:val="20"/>
                <w:szCs w:val="20"/>
                <w:lang w:val="en-GB"/>
              </w:rPr>
              <w:t>Gender</w:t>
            </w:r>
          </w:p>
        </w:tc>
        <w:tc>
          <w:tcPr>
            <w:tcW w:w="1228" w:type="dxa"/>
            <w:shd w:val="clear" w:color="auto" w:fill="auto"/>
          </w:tcPr>
          <w:p w14:paraId="6727D7ED" w14:textId="77777777" w:rsidR="0056298E" w:rsidRPr="00482722" w:rsidRDefault="0056298E" w:rsidP="00042EE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47" w:type="dxa"/>
            <w:shd w:val="clear" w:color="auto" w:fill="auto"/>
          </w:tcPr>
          <w:p w14:paraId="7E93848C" w14:textId="77777777" w:rsidR="0056298E" w:rsidRPr="00482722" w:rsidRDefault="0056298E" w:rsidP="00042EE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2722" w:rsidRPr="00482722" w14:paraId="3C616C9F"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7315A8C8" w14:textId="77777777" w:rsidR="0056298E" w:rsidRPr="00482722" w:rsidRDefault="0056298E" w:rsidP="006D31B5">
            <w:pPr>
              <w:rPr>
                <w:rFonts w:ascii="Arial" w:hAnsi="Arial" w:cs="Arial"/>
                <w:b w:val="0"/>
                <w:bCs w:val="0"/>
                <w:sz w:val="20"/>
                <w:szCs w:val="20"/>
                <w:lang w:val="en-GB"/>
              </w:rPr>
            </w:pPr>
            <w:r w:rsidRPr="00482722">
              <w:rPr>
                <w:rFonts w:ascii="Arial" w:hAnsi="Arial" w:cs="Arial"/>
                <w:sz w:val="20"/>
                <w:szCs w:val="20"/>
              </w:rPr>
              <w:t>Male</w:t>
            </w:r>
          </w:p>
        </w:tc>
        <w:tc>
          <w:tcPr>
            <w:tcW w:w="1228" w:type="dxa"/>
            <w:shd w:val="clear" w:color="auto" w:fill="auto"/>
          </w:tcPr>
          <w:p w14:paraId="20F8F7F2" w14:textId="77777777" w:rsidR="0056298E" w:rsidRPr="00482722" w:rsidRDefault="0056298E" w:rsidP="006D31B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420</w:t>
            </w:r>
          </w:p>
        </w:tc>
        <w:tc>
          <w:tcPr>
            <w:tcW w:w="1547" w:type="dxa"/>
            <w:shd w:val="clear" w:color="auto" w:fill="auto"/>
          </w:tcPr>
          <w:p w14:paraId="0A4CB8FD" w14:textId="79BF0063" w:rsidR="0056298E" w:rsidRPr="00482722" w:rsidRDefault="0056298E" w:rsidP="006D31B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53.8</w:t>
            </w:r>
          </w:p>
        </w:tc>
      </w:tr>
      <w:tr w:rsidR="00482722" w:rsidRPr="00482722" w14:paraId="2D0F8DD1"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4FB26965" w14:textId="77777777" w:rsidR="0056298E" w:rsidRPr="00482722" w:rsidRDefault="0056298E" w:rsidP="006D31B5">
            <w:pPr>
              <w:rPr>
                <w:rFonts w:ascii="Arial" w:hAnsi="Arial" w:cs="Arial"/>
                <w:b w:val="0"/>
                <w:bCs w:val="0"/>
                <w:sz w:val="20"/>
                <w:szCs w:val="20"/>
                <w:lang w:val="en-GB"/>
              </w:rPr>
            </w:pPr>
            <w:r w:rsidRPr="00482722">
              <w:rPr>
                <w:rFonts w:ascii="Arial" w:hAnsi="Arial" w:cs="Arial"/>
                <w:sz w:val="20"/>
                <w:szCs w:val="20"/>
              </w:rPr>
              <w:t>Female</w:t>
            </w:r>
          </w:p>
        </w:tc>
        <w:tc>
          <w:tcPr>
            <w:tcW w:w="1228" w:type="dxa"/>
            <w:shd w:val="clear" w:color="auto" w:fill="auto"/>
          </w:tcPr>
          <w:p w14:paraId="0A8236D1" w14:textId="77777777" w:rsidR="0056298E" w:rsidRPr="00482722" w:rsidRDefault="0056298E" w:rsidP="006D31B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360</w:t>
            </w:r>
          </w:p>
        </w:tc>
        <w:tc>
          <w:tcPr>
            <w:tcW w:w="1547" w:type="dxa"/>
            <w:shd w:val="clear" w:color="auto" w:fill="auto"/>
          </w:tcPr>
          <w:p w14:paraId="407D96D0" w14:textId="2F7EBF64" w:rsidR="0056298E" w:rsidRPr="00482722" w:rsidRDefault="0056298E" w:rsidP="006D31B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46.2</w:t>
            </w:r>
          </w:p>
        </w:tc>
      </w:tr>
      <w:tr w:rsidR="00482722" w:rsidRPr="00482722" w14:paraId="3FC0935B"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181A428D" w14:textId="77777777" w:rsidR="0056298E" w:rsidRPr="00482722" w:rsidRDefault="0056298E" w:rsidP="006D31B5">
            <w:pPr>
              <w:autoSpaceDE w:val="0"/>
              <w:autoSpaceDN w:val="0"/>
              <w:adjustRightInd w:val="0"/>
              <w:ind w:right="60"/>
              <w:rPr>
                <w:rFonts w:ascii="Arial" w:hAnsi="Arial" w:cs="Arial"/>
                <w:b w:val="0"/>
                <w:bCs w:val="0"/>
                <w:sz w:val="20"/>
                <w:szCs w:val="20"/>
                <w:lang w:val="en-GB"/>
              </w:rPr>
            </w:pPr>
            <w:r w:rsidRPr="00482722">
              <w:rPr>
                <w:rFonts w:ascii="Arial" w:hAnsi="Arial" w:cs="Arial"/>
                <w:sz w:val="20"/>
                <w:szCs w:val="20"/>
              </w:rPr>
              <w:t>Total</w:t>
            </w:r>
          </w:p>
        </w:tc>
        <w:tc>
          <w:tcPr>
            <w:tcW w:w="1228" w:type="dxa"/>
            <w:shd w:val="clear" w:color="auto" w:fill="auto"/>
          </w:tcPr>
          <w:p w14:paraId="4277D0CC"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780</w:t>
            </w:r>
          </w:p>
        </w:tc>
        <w:tc>
          <w:tcPr>
            <w:tcW w:w="1547" w:type="dxa"/>
            <w:shd w:val="clear" w:color="auto" w:fill="auto"/>
          </w:tcPr>
          <w:p w14:paraId="0991F715" w14:textId="2C8128AF"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100</w:t>
            </w:r>
          </w:p>
        </w:tc>
      </w:tr>
      <w:tr w:rsidR="00482722" w:rsidRPr="00482722" w14:paraId="79E62ECB" w14:textId="77777777" w:rsidTr="006D31B5">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6C969B0" w14:textId="77777777" w:rsidR="006036C8" w:rsidRPr="00482722" w:rsidRDefault="006036C8" w:rsidP="00AB2499">
            <w:pPr>
              <w:autoSpaceDE w:val="0"/>
              <w:autoSpaceDN w:val="0"/>
              <w:adjustRightInd w:val="0"/>
              <w:ind w:left="60" w:right="60"/>
              <w:rPr>
                <w:rFonts w:ascii="Arial" w:hAnsi="Arial" w:cs="Arial"/>
                <w:i/>
                <w:iCs/>
                <w:sz w:val="20"/>
                <w:szCs w:val="20"/>
              </w:rPr>
            </w:pPr>
          </w:p>
        </w:tc>
        <w:tc>
          <w:tcPr>
            <w:tcW w:w="0" w:type="dxa"/>
            <w:shd w:val="clear" w:color="auto" w:fill="auto"/>
          </w:tcPr>
          <w:p w14:paraId="57E884B0" w14:textId="77777777" w:rsidR="006036C8" w:rsidRPr="00482722" w:rsidRDefault="006036C8" w:rsidP="0027064A">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shd w:val="clear" w:color="auto" w:fill="auto"/>
          </w:tcPr>
          <w:p w14:paraId="0E374887" w14:textId="77777777" w:rsidR="006036C8" w:rsidRPr="00482722" w:rsidRDefault="006036C8" w:rsidP="00460900">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2722" w:rsidRPr="00482722" w14:paraId="5F26D14C"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3B50ECBD" w14:textId="0445C4D5" w:rsidR="0056298E" w:rsidRPr="00482722" w:rsidRDefault="0056298E" w:rsidP="00AB2499">
            <w:pPr>
              <w:autoSpaceDE w:val="0"/>
              <w:autoSpaceDN w:val="0"/>
              <w:adjustRightInd w:val="0"/>
              <w:ind w:left="60" w:right="60"/>
              <w:rPr>
                <w:rFonts w:ascii="Arial" w:hAnsi="Arial" w:cs="Arial"/>
                <w:b w:val="0"/>
                <w:bCs w:val="0"/>
                <w:i/>
                <w:iCs/>
                <w:sz w:val="20"/>
                <w:szCs w:val="20"/>
              </w:rPr>
            </w:pPr>
            <w:r w:rsidRPr="00482722">
              <w:rPr>
                <w:rFonts w:ascii="Arial" w:hAnsi="Arial" w:cs="Arial"/>
                <w:b w:val="0"/>
                <w:bCs w:val="0"/>
                <w:i/>
                <w:iCs/>
                <w:sz w:val="20"/>
                <w:szCs w:val="20"/>
                <w:lang w:val="en-GB"/>
              </w:rPr>
              <w:t>Final GPA result</w:t>
            </w:r>
          </w:p>
        </w:tc>
        <w:tc>
          <w:tcPr>
            <w:tcW w:w="1228" w:type="dxa"/>
            <w:shd w:val="clear" w:color="auto" w:fill="auto"/>
          </w:tcPr>
          <w:p w14:paraId="2A96D29F" w14:textId="77777777" w:rsidR="0056298E" w:rsidRPr="00482722" w:rsidRDefault="0056298E" w:rsidP="0027064A">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47" w:type="dxa"/>
            <w:shd w:val="clear" w:color="auto" w:fill="auto"/>
          </w:tcPr>
          <w:p w14:paraId="771AEDEF" w14:textId="77777777" w:rsidR="0056298E" w:rsidRPr="00482722" w:rsidRDefault="0056298E" w:rsidP="00460900">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2722" w:rsidRPr="00482722" w14:paraId="00C448F1"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49C5A22B"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70%</w:t>
            </w:r>
          </w:p>
        </w:tc>
        <w:tc>
          <w:tcPr>
            <w:tcW w:w="1228" w:type="dxa"/>
            <w:shd w:val="clear" w:color="auto" w:fill="auto"/>
          </w:tcPr>
          <w:p w14:paraId="3DEB161A"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15</w:t>
            </w:r>
          </w:p>
        </w:tc>
        <w:tc>
          <w:tcPr>
            <w:tcW w:w="1547" w:type="dxa"/>
            <w:shd w:val="clear" w:color="auto" w:fill="auto"/>
          </w:tcPr>
          <w:p w14:paraId="7EBBAC0C" w14:textId="720294BE"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1.9</w:t>
            </w:r>
          </w:p>
        </w:tc>
      </w:tr>
      <w:tr w:rsidR="00482722" w:rsidRPr="00482722" w14:paraId="1C940E48"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7453E763"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75 – 70%</w:t>
            </w:r>
          </w:p>
        </w:tc>
        <w:tc>
          <w:tcPr>
            <w:tcW w:w="1228" w:type="dxa"/>
            <w:shd w:val="clear" w:color="auto" w:fill="auto"/>
          </w:tcPr>
          <w:p w14:paraId="51E0C2EC"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29</w:t>
            </w:r>
          </w:p>
        </w:tc>
        <w:tc>
          <w:tcPr>
            <w:tcW w:w="1547" w:type="dxa"/>
            <w:shd w:val="clear" w:color="auto" w:fill="auto"/>
          </w:tcPr>
          <w:p w14:paraId="36A2BF5C" w14:textId="68112EB0"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3.7</w:t>
            </w:r>
          </w:p>
        </w:tc>
      </w:tr>
      <w:tr w:rsidR="00482722" w:rsidRPr="00482722" w14:paraId="0E46EC06"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211830C8"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80 – 75%</w:t>
            </w:r>
          </w:p>
        </w:tc>
        <w:tc>
          <w:tcPr>
            <w:tcW w:w="1228" w:type="dxa"/>
            <w:shd w:val="clear" w:color="auto" w:fill="auto"/>
          </w:tcPr>
          <w:p w14:paraId="3814389B"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61</w:t>
            </w:r>
          </w:p>
        </w:tc>
        <w:tc>
          <w:tcPr>
            <w:tcW w:w="1547" w:type="dxa"/>
            <w:shd w:val="clear" w:color="auto" w:fill="auto"/>
          </w:tcPr>
          <w:p w14:paraId="7ACC64E0" w14:textId="763904E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7.8</w:t>
            </w:r>
          </w:p>
        </w:tc>
      </w:tr>
      <w:tr w:rsidR="00482722" w:rsidRPr="00482722" w14:paraId="1D2A8058"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1C13848C"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85 – 80%</w:t>
            </w:r>
          </w:p>
        </w:tc>
        <w:tc>
          <w:tcPr>
            <w:tcW w:w="1228" w:type="dxa"/>
            <w:shd w:val="clear" w:color="auto" w:fill="auto"/>
          </w:tcPr>
          <w:p w14:paraId="33D0B2D2"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107</w:t>
            </w:r>
          </w:p>
        </w:tc>
        <w:tc>
          <w:tcPr>
            <w:tcW w:w="1547" w:type="dxa"/>
            <w:shd w:val="clear" w:color="auto" w:fill="auto"/>
          </w:tcPr>
          <w:p w14:paraId="6868F276" w14:textId="047E1280"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13.7</w:t>
            </w:r>
          </w:p>
        </w:tc>
      </w:tr>
      <w:tr w:rsidR="00482722" w:rsidRPr="00482722" w14:paraId="72111BD6"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16F28617"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90 – 85%</w:t>
            </w:r>
          </w:p>
        </w:tc>
        <w:tc>
          <w:tcPr>
            <w:tcW w:w="1228" w:type="dxa"/>
            <w:shd w:val="clear" w:color="auto" w:fill="auto"/>
          </w:tcPr>
          <w:p w14:paraId="710EE60A"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182</w:t>
            </w:r>
          </w:p>
        </w:tc>
        <w:tc>
          <w:tcPr>
            <w:tcW w:w="1547" w:type="dxa"/>
            <w:shd w:val="clear" w:color="auto" w:fill="auto"/>
          </w:tcPr>
          <w:p w14:paraId="639BFBA0" w14:textId="73986049"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23.3</w:t>
            </w:r>
          </w:p>
        </w:tc>
      </w:tr>
      <w:tr w:rsidR="00482722" w:rsidRPr="00482722" w14:paraId="1B628885"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00FA8FA9"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&lt; 95 – 90%</w:t>
            </w:r>
          </w:p>
        </w:tc>
        <w:tc>
          <w:tcPr>
            <w:tcW w:w="1228" w:type="dxa"/>
            <w:shd w:val="clear" w:color="auto" w:fill="auto"/>
          </w:tcPr>
          <w:p w14:paraId="2766057C"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194</w:t>
            </w:r>
          </w:p>
        </w:tc>
        <w:tc>
          <w:tcPr>
            <w:tcW w:w="1547" w:type="dxa"/>
            <w:shd w:val="clear" w:color="auto" w:fill="auto"/>
          </w:tcPr>
          <w:p w14:paraId="0FED3DA4" w14:textId="37B2BBAB"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24.9</w:t>
            </w:r>
          </w:p>
        </w:tc>
      </w:tr>
      <w:tr w:rsidR="00482722" w:rsidRPr="00482722" w14:paraId="0FB84EE2"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0818EB2C"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 95%</w:t>
            </w:r>
          </w:p>
        </w:tc>
        <w:tc>
          <w:tcPr>
            <w:tcW w:w="1228" w:type="dxa"/>
            <w:shd w:val="clear" w:color="auto" w:fill="auto"/>
          </w:tcPr>
          <w:p w14:paraId="3F02A614"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192</w:t>
            </w:r>
          </w:p>
        </w:tc>
        <w:tc>
          <w:tcPr>
            <w:tcW w:w="1547" w:type="dxa"/>
            <w:shd w:val="clear" w:color="auto" w:fill="auto"/>
          </w:tcPr>
          <w:p w14:paraId="63AA1A1A" w14:textId="5ED65F5E"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24.6</w:t>
            </w:r>
          </w:p>
        </w:tc>
      </w:tr>
      <w:tr w:rsidR="00482722" w:rsidRPr="00482722" w14:paraId="6D7A84A2"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02F28702"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Total</w:t>
            </w:r>
          </w:p>
        </w:tc>
        <w:tc>
          <w:tcPr>
            <w:tcW w:w="1228" w:type="dxa"/>
            <w:shd w:val="clear" w:color="auto" w:fill="auto"/>
          </w:tcPr>
          <w:p w14:paraId="2D31FA1F"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780</w:t>
            </w:r>
          </w:p>
        </w:tc>
        <w:tc>
          <w:tcPr>
            <w:tcW w:w="1547" w:type="dxa"/>
            <w:shd w:val="clear" w:color="auto" w:fill="auto"/>
          </w:tcPr>
          <w:p w14:paraId="7155390C" w14:textId="6115879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100</w:t>
            </w:r>
          </w:p>
        </w:tc>
      </w:tr>
      <w:tr w:rsidR="00482722" w:rsidRPr="00482722" w14:paraId="692CDC1A" w14:textId="77777777" w:rsidTr="006D31B5">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3799B9F" w14:textId="77777777" w:rsidR="006036C8" w:rsidRPr="00482722" w:rsidRDefault="006036C8" w:rsidP="00AB2499">
            <w:pPr>
              <w:autoSpaceDE w:val="0"/>
              <w:autoSpaceDN w:val="0"/>
              <w:adjustRightInd w:val="0"/>
              <w:ind w:left="60" w:right="60"/>
              <w:rPr>
                <w:rFonts w:ascii="Arial" w:hAnsi="Arial" w:cs="Arial"/>
                <w:i/>
                <w:iCs/>
                <w:sz w:val="20"/>
                <w:szCs w:val="20"/>
              </w:rPr>
            </w:pPr>
          </w:p>
        </w:tc>
        <w:tc>
          <w:tcPr>
            <w:tcW w:w="0" w:type="dxa"/>
            <w:shd w:val="clear" w:color="auto" w:fill="auto"/>
          </w:tcPr>
          <w:p w14:paraId="6B53C84C" w14:textId="77777777" w:rsidR="006036C8" w:rsidRPr="00482722" w:rsidRDefault="006036C8" w:rsidP="0027064A">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dxa"/>
            <w:shd w:val="clear" w:color="auto" w:fill="auto"/>
          </w:tcPr>
          <w:p w14:paraId="08380BE4" w14:textId="77777777" w:rsidR="006036C8" w:rsidRPr="00482722" w:rsidRDefault="006036C8" w:rsidP="00460900">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2722" w:rsidRPr="00482722" w14:paraId="4DE8C1BE"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5E14E29B" w14:textId="0835B373" w:rsidR="0056298E" w:rsidRPr="00482722" w:rsidRDefault="0056298E" w:rsidP="00AB2499">
            <w:pPr>
              <w:autoSpaceDE w:val="0"/>
              <w:autoSpaceDN w:val="0"/>
              <w:adjustRightInd w:val="0"/>
              <w:ind w:left="60" w:right="60"/>
              <w:rPr>
                <w:rFonts w:ascii="Arial" w:hAnsi="Arial" w:cs="Arial"/>
                <w:b w:val="0"/>
                <w:bCs w:val="0"/>
                <w:sz w:val="20"/>
                <w:szCs w:val="20"/>
              </w:rPr>
            </w:pPr>
            <w:r w:rsidRPr="00482722">
              <w:rPr>
                <w:rFonts w:ascii="Arial" w:hAnsi="Arial" w:cs="Arial"/>
                <w:b w:val="0"/>
                <w:bCs w:val="0"/>
                <w:i/>
                <w:iCs/>
                <w:sz w:val="20"/>
                <w:szCs w:val="20"/>
                <w:lang w:val="en-GB"/>
              </w:rPr>
              <w:t>University</w:t>
            </w:r>
          </w:p>
        </w:tc>
        <w:tc>
          <w:tcPr>
            <w:tcW w:w="1228" w:type="dxa"/>
            <w:shd w:val="clear" w:color="auto" w:fill="auto"/>
          </w:tcPr>
          <w:p w14:paraId="6246344A" w14:textId="77777777" w:rsidR="0056298E" w:rsidRPr="00482722" w:rsidRDefault="0056298E" w:rsidP="0027064A">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47" w:type="dxa"/>
            <w:shd w:val="clear" w:color="auto" w:fill="auto"/>
          </w:tcPr>
          <w:p w14:paraId="3A50EEDF" w14:textId="77777777" w:rsidR="0056298E" w:rsidRPr="00482722" w:rsidRDefault="0056298E" w:rsidP="00460900">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82722" w:rsidRPr="00482722" w14:paraId="6A78AEAF"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60628C87"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KSAU-HS</w:t>
            </w:r>
          </w:p>
        </w:tc>
        <w:tc>
          <w:tcPr>
            <w:tcW w:w="1228" w:type="dxa"/>
            <w:shd w:val="clear" w:color="auto" w:fill="auto"/>
          </w:tcPr>
          <w:p w14:paraId="3FB5FB99"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240</w:t>
            </w:r>
          </w:p>
        </w:tc>
        <w:tc>
          <w:tcPr>
            <w:tcW w:w="1547" w:type="dxa"/>
            <w:shd w:val="clear" w:color="auto" w:fill="auto"/>
          </w:tcPr>
          <w:p w14:paraId="4381ED48" w14:textId="11FFA205"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30.8</w:t>
            </w:r>
          </w:p>
        </w:tc>
      </w:tr>
      <w:tr w:rsidR="00482722" w:rsidRPr="00482722" w14:paraId="49F445F3"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48E132F9" w14:textId="16F75E74"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PNU</w:t>
            </w:r>
          </w:p>
        </w:tc>
        <w:tc>
          <w:tcPr>
            <w:tcW w:w="1228" w:type="dxa"/>
            <w:shd w:val="clear" w:color="auto" w:fill="auto"/>
          </w:tcPr>
          <w:p w14:paraId="026D4DDB"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266</w:t>
            </w:r>
          </w:p>
        </w:tc>
        <w:tc>
          <w:tcPr>
            <w:tcW w:w="1547" w:type="dxa"/>
            <w:shd w:val="clear" w:color="auto" w:fill="auto"/>
          </w:tcPr>
          <w:p w14:paraId="36508467" w14:textId="2AEF4A4E"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34.1</w:t>
            </w:r>
          </w:p>
        </w:tc>
      </w:tr>
      <w:tr w:rsidR="00482722" w:rsidRPr="00482722" w14:paraId="5789BA89" w14:textId="77777777" w:rsidTr="006D31B5">
        <w:tc>
          <w:tcPr>
            <w:cnfStyle w:val="001000000000" w:firstRow="0" w:lastRow="0" w:firstColumn="1" w:lastColumn="0" w:oddVBand="0" w:evenVBand="0" w:oddHBand="0" w:evenHBand="0" w:firstRowFirstColumn="0" w:firstRowLastColumn="0" w:lastRowFirstColumn="0" w:lastRowLastColumn="0"/>
            <w:tcW w:w="1946" w:type="dxa"/>
            <w:shd w:val="clear" w:color="auto" w:fill="auto"/>
          </w:tcPr>
          <w:p w14:paraId="316AD34F" w14:textId="390254B9"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Technical college</w:t>
            </w:r>
          </w:p>
        </w:tc>
        <w:tc>
          <w:tcPr>
            <w:tcW w:w="1228" w:type="dxa"/>
            <w:shd w:val="clear" w:color="auto" w:fill="auto"/>
          </w:tcPr>
          <w:p w14:paraId="6A3951D7" w14:textId="77777777"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274</w:t>
            </w:r>
          </w:p>
        </w:tc>
        <w:tc>
          <w:tcPr>
            <w:tcW w:w="1547" w:type="dxa"/>
            <w:shd w:val="clear" w:color="auto" w:fill="auto"/>
          </w:tcPr>
          <w:p w14:paraId="3405A4A2" w14:textId="29791480" w:rsidR="0056298E" w:rsidRPr="00482722" w:rsidRDefault="0056298E" w:rsidP="006D31B5">
            <w:pPr>
              <w:autoSpaceDE w:val="0"/>
              <w:autoSpaceDN w:val="0"/>
              <w:adjustRightInd w:val="0"/>
              <w:ind w:left="6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35.1</w:t>
            </w:r>
          </w:p>
        </w:tc>
      </w:tr>
      <w:tr w:rsidR="00482722" w:rsidRPr="00482722" w14:paraId="59009B92" w14:textId="77777777" w:rsidTr="006D31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dxa"/>
            <w:tcBorders>
              <w:bottom w:val="single" w:sz="4" w:space="0" w:color="auto"/>
            </w:tcBorders>
            <w:shd w:val="clear" w:color="auto" w:fill="auto"/>
          </w:tcPr>
          <w:p w14:paraId="19DD5C52" w14:textId="77777777" w:rsidR="0056298E" w:rsidRPr="00482722" w:rsidRDefault="0056298E" w:rsidP="006D31B5">
            <w:pPr>
              <w:autoSpaceDE w:val="0"/>
              <w:autoSpaceDN w:val="0"/>
              <w:adjustRightInd w:val="0"/>
              <w:ind w:left="60" w:right="60"/>
              <w:rPr>
                <w:rFonts w:ascii="Arial" w:hAnsi="Arial" w:cs="Arial"/>
                <w:b w:val="0"/>
                <w:bCs w:val="0"/>
                <w:sz w:val="20"/>
                <w:szCs w:val="20"/>
                <w:lang w:val="en-GB"/>
              </w:rPr>
            </w:pPr>
            <w:r w:rsidRPr="00482722">
              <w:rPr>
                <w:rFonts w:ascii="Arial" w:hAnsi="Arial" w:cs="Arial"/>
                <w:sz w:val="20"/>
                <w:szCs w:val="20"/>
              </w:rPr>
              <w:t>Total</w:t>
            </w:r>
          </w:p>
        </w:tc>
        <w:tc>
          <w:tcPr>
            <w:tcW w:w="1228" w:type="dxa"/>
            <w:tcBorders>
              <w:bottom w:val="single" w:sz="4" w:space="0" w:color="auto"/>
            </w:tcBorders>
            <w:shd w:val="clear" w:color="auto" w:fill="auto"/>
          </w:tcPr>
          <w:p w14:paraId="5C2B7ADF" w14:textId="77777777"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780</w:t>
            </w:r>
          </w:p>
        </w:tc>
        <w:tc>
          <w:tcPr>
            <w:tcW w:w="1547" w:type="dxa"/>
            <w:tcBorders>
              <w:bottom w:val="single" w:sz="4" w:space="0" w:color="auto"/>
            </w:tcBorders>
            <w:shd w:val="clear" w:color="auto" w:fill="auto"/>
          </w:tcPr>
          <w:p w14:paraId="0B15A8FD" w14:textId="25143D6E" w:rsidR="0056298E" w:rsidRPr="00482722" w:rsidRDefault="0056298E" w:rsidP="006D31B5">
            <w:pPr>
              <w:autoSpaceDE w:val="0"/>
              <w:autoSpaceDN w:val="0"/>
              <w:adjustRightInd w:val="0"/>
              <w:ind w:left="6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82722">
              <w:rPr>
                <w:rFonts w:ascii="Arial" w:hAnsi="Arial" w:cs="Arial"/>
                <w:sz w:val="20"/>
                <w:szCs w:val="20"/>
                <w:lang w:val="en-GB"/>
              </w:rPr>
              <w:t>100</w:t>
            </w:r>
          </w:p>
        </w:tc>
      </w:tr>
    </w:tbl>
    <w:p w14:paraId="323AF5E2" w14:textId="14857104" w:rsidR="00283F7B" w:rsidRPr="00482722" w:rsidRDefault="00283F7B" w:rsidP="00DA5EEC">
      <w:pPr>
        <w:pStyle w:val="Heading1"/>
        <w:spacing w:line="240" w:lineRule="auto"/>
        <w:rPr>
          <w:rFonts w:ascii="Arial" w:hAnsi="Arial" w:cs="Arial"/>
          <w:sz w:val="20"/>
          <w:szCs w:val="20"/>
        </w:rPr>
      </w:pPr>
      <w:r w:rsidRPr="00482722">
        <w:rPr>
          <w:rFonts w:ascii="Arial" w:hAnsi="Arial" w:cs="Arial"/>
          <w:sz w:val="20"/>
          <w:szCs w:val="20"/>
        </w:rPr>
        <w:t>Results</w:t>
      </w:r>
    </w:p>
    <w:p w14:paraId="352A63CA" w14:textId="64CBE013" w:rsidR="00B5795A" w:rsidRPr="00482722" w:rsidRDefault="001E5A4E" w:rsidP="00DA5EEC">
      <w:pPr>
        <w:spacing w:line="240" w:lineRule="auto"/>
        <w:jc w:val="both"/>
        <w:rPr>
          <w:rFonts w:ascii="Arial" w:hAnsi="Arial" w:cs="Arial"/>
          <w:sz w:val="20"/>
          <w:szCs w:val="20"/>
        </w:rPr>
      </w:pPr>
      <w:r w:rsidRPr="00482722">
        <w:rPr>
          <w:rFonts w:ascii="Arial" w:hAnsi="Arial" w:cs="Arial"/>
          <w:sz w:val="20"/>
          <w:szCs w:val="20"/>
        </w:rPr>
        <w:t xml:space="preserve">This section </w:t>
      </w:r>
      <w:r w:rsidR="00E7495D" w:rsidRPr="00482722">
        <w:rPr>
          <w:rFonts w:ascii="Arial" w:hAnsi="Arial" w:cs="Arial"/>
          <w:sz w:val="20"/>
          <w:szCs w:val="20"/>
        </w:rPr>
        <w:t>presents</w:t>
      </w:r>
      <w:r w:rsidR="00A219D1" w:rsidRPr="00482722">
        <w:rPr>
          <w:rFonts w:ascii="Arial" w:hAnsi="Arial" w:cs="Arial"/>
          <w:sz w:val="20"/>
          <w:szCs w:val="20"/>
        </w:rPr>
        <w:t xml:space="preserve"> </w:t>
      </w:r>
      <w:r w:rsidR="00AC2804" w:rsidRPr="00482722">
        <w:rPr>
          <w:rFonts w:ascii="Arial" w:hAnsi="Arial" w:cs="Arial"/>
          <w:sz w:val="20"/>
          <w:szCs w:val="20"/>
        </w:rPr>
        <w:t xml:space="preserve">the </w:t>
      </w:r>
      <w:r w:rsidR="00B5795A" w:rsidRPr="00482722">
        <w:rPr>
          <w:rFonts w:ascii="Arial" w:hAnsi="Arial" w:cs="Arial"/>
          <w:sz w:val="20"/>
          <w:szCs w:val="20"/>
        </w:rPr>
        <w:t>descriptive</w:t>
      </w:r>
      <w:r w:rsidR="00E7495D" w:rsidRPr="00482722">
        <w:rPr>
          <w:rFonts w:ascii="Arial" w:hAnsi="Arial" w:cs="Arial"/>
          <w:sz w:val="20"/>
          <w:szCs w:val="20"/>
        </w:rPr>
        <w:t xml:space="preserve"> </w:t>
      </w:r>
      <w:r w:rsidR="00B5795A" w:rsidRPr="00482722">
        <w:rPr>
          <w:rFonts w:ascii="Arial" w:hAnsi="Arial" w:cs="Arial"/>
          <w:sz w:val="20"/>
          <w:szCs w:val="20"/>
        </w:rPr>
        <w:t>statistics</w:t>
      </w:r>
      <w:r w:rsidR="00AC2804" w:rsidRPr="00482722">
        <w:rPr>
          <w:rFonts w:ascii="Arial" w:hAnsi="Arial" w:cs="Arial"/>
          <w:sz w:val="20"/>
          <w:szCs w:val="20"/>
        </w:rPr>
        <w:t xml:space="preserve"> and results for</w:t>
      </w:r>
      <w:r w:rsidR="00B5795A" w:rsidRPr="00482722">
        <w:rPr>
          <w:rFonts w:ascii="Arial" w:hAnsi="Arial" w:cs="Arial"/>
          <w:sz w:val="20"/>
          <w:szCs w:val="20"/>
        </w:rPr>
        <w:t xml:space="preserve"> </w:t>
      </w:r>
      <w:r w:rsidR="00AC2804" w:rsidRPr="00482722">
        <w:rPr>
          <w:rFonts w:ascii="Arial" w:hAnsi="Arial" w:cs="Arial"/>
          <w:sz w:val="20"/>
          <w:szCs w:val="20"/>
        </w:rPr>
        <w:t xml:space="preserve">the </w:t>
      </w:r>
      <w:r w:rsidR="00B5795A" w:rsidRPr="00482722">
        <w:rPr>
          <w:rFonts w:ascii="Arial" w:hAnsi="Arial" w:cs="Arial"/>
          <w:sz w:val="20"/>
          <w:szCs w:val="20"/>
        </w:rPr>
        <w:t xml:space="preserve">measurement model </w:t>
      </w:r>
      <w:r w:rsidR="00E7495D" w:rsidRPr="00482722">
        <w:rPr>
          <w:rFonts w:ascii="Arial" w:hAnsi="Arial" w:cs="Arial"/>
          <w:sz w:val="20"/>
          <w:szCs w:val="20"/>
        </w:rPr>
        <w:t xml:space="preserve">and </w:t>
      </w:r>
      <w:r w:rsidR="00AC2804" w:rsidRPr="00482722">
        <w:rPr>
          <w:rFonts w:ascii="Arial" w:hAnsi="Arial" w:cs="Arial"/>
          <w:sz w:val="20"/>
          <w:szCs w:val="20"/>
        </w:rPr>
        <w:t xml:space="preserve">the </w:t>
      </w:r>
      <w:r w:rsidR="00E7495D" w:rsidRPr="00482722">
        <w:rPr>
          <w:rFonts w:ascii="Arial" w:hAnsi="Arial" w:cs="Arial"/>
          <w:sz w:val="20"/>
          <w:szCs w:val="20"/>
        </w:rPr>
        <w:t>structural model</w:t>
      </w:r>
      <w:r w:rsidR="00B5795A" w:rsidRPr="00482722">
        <w:rPr>
          <w:rFonts w:ascii="Arial" w:hAnsi="Arial" w:cs="Arial"/>
          <w:sz w:val="20"/>
          <w:szCs w:val="20"/>
        </w:rPr>
        <w:t xml:space="preserve">. </w:t>
      </w:r>
      <w:r w:rsidR="00AC2804" w:rsidRPr="00482722">
        <w:rPr>
          <w:rFonts w:ascii="Arial" w:hAnsi="Arial" w:cs="Arial"/>
          <w:sz w:val="20"/>
          <w:szCs w:val="20"/>
        </w:rPr>
        <w:t>The d</w:t>
      </w:r>
      <w:r w:rsidR="00B5795A" w:rsidRPr="00482722">
        <w:rPr>
          <w:rFonts w:ascii="Arial" w:hAnsi="Arial" w:cs="Arial"/>
          <w:sz w:val="20"/>
          <w:szCs w:val="20"/>
        </w:rPr>
        <w:t>escriptive statistics include</w:t>
      </w:r>
      <w:r w:rsidR="00AC2804" w:rsidRPr="00482722">
        <w:rPr>
          <w:rFonts w:ascii="Arial" w:hAnsi="Arial" w:cs="Arial"/>
          <w:sz w:val="20"/>
          <w:szCs w:val="20"/>
        </w:rPr>
        <w:t xml:space="preserve"> the</w:t>
      </w:r>
      <w:r w:rsidR="00B5795A" w:rsidRPr="00482722">
        <w:rPr>
          <w:rFonts w:ascii="Arial" w:hAnsi="Arial" w:cs="Arial"/>
          <w:sz w:val="20"/>
          <w:szCs w:val="20"/>
        </w:rPr>
        <w:t xml:space="preserve"> mean</w:t>
      </w:r>
      <w:r w:rsidR="007A6A98" w:rsidRPr="00482722">
        <w:rPr>
          <w:rFonts w:ascii="Arial" w:hAnsi="Arial" w:cs="Arial"/>
          <w:sz w:val="20"/>
          <w:szCs w:val="20"/>
        </w:rPr>
        <w:t xml:space="preserve"> and the</w:t>
      </w:r>
      <w:r w:rsidR="00B5795A" w:rsidRPr="00482722">
        <w:rPr>
          <w:rFonts w:ascii="Arial" w:hAnsi="Arial" w:cs="Arial"/>
          <w:sz w:val="20"/>
          <w:szCs w:val="20"/>
        </w:rPr>
        <w:t xml:space="preserve"> standard deviation</w:t>
      </w:r>
      <w:r w:rsidR="00AC2804" w:rsidRPr="00482722">
        <w:rPr>
          <w:rFonts w:ascii="Arial" w:hAnsi="Arial" w:cs="Arial"/>
          <w:sz w:val="20"/>
          <w:szCs w:val="20"/>
        </w:rPr>
        <w:t xml:space="preserve"> (SD)</w:t>
      </w:r>
      <w:r w:rsidR="00B5795A" w:rsidRPr="00482722">
        <w:rPr>
          <w:rFonts w:ascii="Arial" w:hAnsi="Arial" w:cs="Arial"/>
          <w:sz w:val="20"/>
          <w:szCs w:val="20"/>
        </w:rPr>
        <w:t xml:space="preserve">. </w:t>
      </w:r>
      <w:r w:rsidR="007A6A98" w:rsidRPr="00482722">
        <w:rPr>
          <w:rFonts w:ascii="Arial" w:hAnsi="Arial" w:cs="Arial"/>
          <w:sz w:val="20"/>
          <w:szCs w:val="20"/>
        </w:rPr>
        <w:t>The assessment of the m</w:t>
      </w:r>
      <w:r w:rsidR="00B5795A" w:rsidRPr="00482722">
        <w:rPr>
          <w:rFonts w:ascii="Arial" w:hAnsi="Arial" w:cs="Arial"/>
          <w:sz w:val="20"/>
          <w:szCs w:val="20"/>
        </w:rPr>
        <w:t xml:space="preserve">easurement model </w:t>
      </w:r>
      <w:r w:rsidR="007A6A98" w:rsidRPr="00482722">
        <w:rPr>
          <w:rFonts w:ascii="Arial" w:hAnsi="Arial" w:cs="Arial"/>
          <w:sz w:val="20"/>
          <w:szCs w:val="20"/>
        </w:rPr>
        <w:t>includes</w:t>
      </w:r>
      <w:r w:rsidR="00B5795A" w:rsidRPr="00482722">
        <w:rPr>
          <w:rFonts w:ascii="Arial" w:hAnsi="Arial" w:cs="Arial"/>
          <w:sz w:val="20"/>
          <w:szCs w:val="20"/>
        </w:rPr>
        <w:t xml:space="preserve"> </w:t>
      </w:r>
      <w:r w:rsidR="007A6A98" w:rsidRPr="00482722">
        <w:rPr>
          <w:rFonts w:ascii="Arial" w:hAnsi="Arial" w:cs="Arial"/>
          <w:sz w:val="20"/>
          <w:szCs w:val="20"/>
        </w:rPr>
        <w:t>examining the Cronbach</w:t>
      </w:r>
      <w:r w:rsidR="00AC2804" w:rsidRPr="00482722">
        <w:rPr>
          <w:rFonts w:ascii="Arial" w:hAnsi="Arial" w:cs="Arial"/>
          <w:sz w:val="20"/>
          <w:szCs w:val="20"/>
        </w:rPr>
        <w:t>’</w:t>
      </w:r>
      <w:r w:rsidR="007A6A98" w:rsidRPr="00482722">
        <w:rPr>
          <w:rFonts w:ascii="Arial" w:hAnsi="Arial" w:cs="Arial"/>
          <w:sz w:val="20"/>
          <w:szCs w:val="20"/>
        </w:rPr>
        <w:t xml:space="preserve">s </w:t>
      </w:r>
      <w:r w:rsidR="00AC2804" w:rsidRPr="00482722">
        <w:rPr>
          <w:rFonts w:ascii="Arial" w:hAnsi="Arial" w:cs="Arial"/>
          <w:sz w:val="20"/>
          <w:szCs w:val="20"/>
        </w:rPr>
        <w:t>a</w:t>
      </w:r>
      <w:r w:rsidR="007A6A98" w:rsidRPr="00482722">
        <w:rPr>
          <w:rFonts w:ascii="Arial" w:hAnsi="Arial" w:cs="Arial"/>
          <w:sz w:val="20"/>
          <w:szCs w:val="20"/>
        </w:rPr>
        <w:t>lpha coefficient to test the reliability of the model,</w:t>
      </w:r>
      <w:r w:rsidR="00B5795A" w:rsidRPr="00482722">
        <w:rPr>
          <w:rFonts w:ascii="Arial" w:hAnsi="Arial" w:cs="Arial"/>
          <w:sz w:val="20"/>
          <w:szCs w:val="20"/>
        </w:rPr>
        <w:t xml:space="preserve"> </w:t>
      </w:r>
      <w:r w:rsidR="008A1508" w:rsidRPr="00482722">
        <w:rPr>
          <w:rFonts w:ascii="Arial" w:hAnsi="Arial" w:cs="Arial"/>
          <w:sz w:val="20"/>
          <w:szCs w:val="20"/>
        </w:rPr>
        <w:t xml:space="preserve">the </w:t>
      </w:r>
      <w:r w:rsidR="00B5795A" w:rsidRPr="00482722">
        <w:rPr>
          <w:rFonts w:ascii="Arial" w:hAnsi="Arial" w:cs="Arial"/>
          <w:sz w:val="20"/>
          <w:szCs w:val="20"/>
        </w:rPr>
        <w:t>discriminant</w:t>
      </w:r>
      <w:r w:rsidR="00852A7F" w:rsidRPr="00482722">
        <w:rPr>
          <w:rFonts w:ascii="Arial" w:hAnsi="Arial" w:cs="Arial"/>
          <w:sz w:val="20"/>
          <w:szCs w:val="20"/>
        </w:rPr>
        <w:t xml:space="preserve"> validity</w:t>
      </w:r>
      <w:r w:rsidR="00647294" w:rsidRPr="00482722">
        <w:rPr>
          <w:rFonts w:ascii="Arial" w:hAnsi="Arial" w:cs="Arial"/>
          <w:sz w:val="20"/>
          <w:szCs w:val="20"/>
        </w:rPr>
        <w:t>,</w:t>
      </w:r>
      <w:r w:rsidR="00B5795A" w:rsidRPr="00482722">
        <w:rPr>
          <w:rFonts w:ascii="Arial" w:hAnsi="Arial" w:cs="Arial"/>
          <w:sz w:val="20"/>
          <w:szCs w:val="20"/>
        </w:rPr>
        <w:t xml:space="preserve"> and </w:t>
      </w:r>
      <w:r w:rsidR="008A1508" w:rsidRPr="00482722">
        <w:rPr>
          <w:rFonts w:ascii="Arial" w:hAnsi="Arial" w:cs="Arial"/>
          <w:sz w:val="20"/>
          <w:szCs w:val="20"/>
        </w:rPr>
        <w:t xml:space="preserve">the </w:t>
      </w:r>
      <w:r w:rsidR="00B5795A" w:rsidRPr="00482722">
        <w:rPr>
          <w:rFonts w:ascii="Arial" w:hAnsi="Arial" w:cs="Arial"/>
          <w:sz w:val="20"/>
          <w:szCs w:val="20"/>
        </w:rPr>
        <w:t xml:space="preserve">convergent validity, </w:t>
      </w:r>
      <w:r w:rsidR="008A1508" w:rsidRPr="00482722">
        <w:rPr>
          <w:rFonts w:ascii="Arial" w:hAnsi="Arial" w:cs="Arial"/>
          <w:sz w:val="20"/>
          <w:szCs w:val="20"/>
        </w:rPr>
        <w:t xml:space="preserve">and </w:t>
      </w:r>
      <w:r w:rsidR="00B5795A" w:rsidRPr="00482722">
        <w:rPr>
          <w:rFonts w:ascii="Arial" w:hAnsi="Arial" w:cs="Arial"/>
          <w:sz w:val="20"/>
          <w:szCs w:val="20"/>
        </w:rPr>
        <w:t>the</w:t>
      </w:r>
      <w:r w:rsidR="007A6A98" w:rsidRPr="00482722">
        <w:rPr>
          <w:rFonts w:ascii="Arial" w:hAnsi="Arial" w:cs="Arial"/>
          <w:sz w:val="20"/>
          <w:szCs w:val="20"/>
        </w:rPr>
        <w:t xml:space="preserve"> assessment of the</w:t>
      </w:r>
      <w:r w:rsidR="00B5795A" w:rsidRPr="00482722">
        <w:rPr>
          <w:rFonts w:ascii="Arial" w:hAnsi="Arial" w:cs="Arial"/>
          <w:sz w:val="20"/>
          <w:szCs w:val="20"/>
        </w:rPr>
        <w:t xml:space="preserve"> structural model </w:t>
      </w:r>
      <w:r w:rsidR="007A6A98" w:rsidRPr="00482722">
        <w:rPr>
          <w:rFonts w:ascii="Arial" w:hAnsi="Arial" w:cs="Arial"/>
          <w:sz w:val="20"/>
          <w:szCs w:val="20"/>
        </w:rPr>
        <w:t xml:space="preserve">is based on </w:t>
      </w:r>
      <w:r w:rsidR="00B5795A" w:rsidRPr="00482722">
        <w:rPr>
          <w:rFonts w:ascii="Arial" w:hAnsi="Arial" w:cs="Arial"/>
          <w:sz w:val="20"/>
          <w:szCs w:val="20"/>
        </w:rPr>
        <w:t>hypothesis testing</w:t>
      </w:r>
      <w:r w:rsidR="007A6A98" w:rsidRPr="00482722">
        <w:rPr>
          <w:rFonts w:ascii="Arial" w:hAnsi="Arial" w:cs="Arial"/>
          <w:sz w:val="20"/>
          <w:szCs w:val="20"/>
        </w:rPr>
        <w:t xml:space="preserve"> </w:t>
      </w:r>
      <w:r w:rsidR="00B5795A" w:rsidRPr="00482722">
        <w:rPr>
          <w:rFonts w:ascii="Arial" w:hAnsi="Arial" w:cs="Arial"/>
          <w:sz w:val="20"/>
          <w:szCs w:val="20"/>
        </w:rPr>
        <w:t>and the goodness</w:t>
      </w:r>
      <w:r w:rsidR="0087642E" w:rsidRPr="00482722">
        <w:rPr>
          <w:rFonts w:ascii="Arial" w:hAnsi="Arial" w:cs="Arial"/>
          <w:sz w:val="20"/>
          <w:szCs w:val="20"/>
        </w:rPr>
        <w:t>-</w:t>
      </w:r>
      <w:r w:rsidR="00B5795A" w:rsidRPr="00482722">
        <w:rPr>
          <w:rFonts w:ascii="Arial" w:hAnsi="Arial" w:cs="Arial"/>
          <w:sz w:val="20"/>
          <w:szCs w:val="20"/>
        </w:rPr>
        <w:t>of</w:t>
      </w:r>
      <w:r w:rsidR="0087642E" w:rsidRPr="00482722">
        <w:rPr>
          <w:rFonts w:ascii="Arial" w:hAnsi="Arial" w:cs="Arial"/>
          <w:sz w:val="20"/>
          <w:szCs w:val="20"/>
        </w:rPr>
        <w:t>-</w:t>
      </w:r>
      <w:r w:rsidR="00B5795A" w:rsidRPr="00482722">
        <w:rPr>
          <w:rFonts w:ascii="Arial" w:hAnsi="Arial" w:cs="Arial"/>
          <w:sz w:val="20"/>
          <w:szCs w:val="20"/>
        </w:rPr>
        <w:t>fit indices.</w:t>
      </w:r>
    </w:p>
    <w:p w14:paraId="6FD00A94" w14:textId="7C6030DC" w:rsidR="00283F7B" w:rsidRPr="00482722" w:rsidRDefault="00283F7B" w:rsidP="006D31B5">
      <w:pPr>
        <w:pStyle w:val="Heading2"/>
      </w:pPr>
      <w:r w:rsidRPr="00482722">
        <w:t xml:space="preserve">Descriptive </w:t>
      </w:r>
      <w:r w:rsidR="007A0D74" w:rsidRPr="00482722">
        <w:t>s</w:t>
      </w:r>
      <w:r w:rsidRPr="00482722">
        <w:t>tatistics</w:t>
      </w:r>
    </w:p>
    <w:p w14:paraId="15804B6E" w14:textId="725679DC" w:rsidR="00283F7B" w:rsidRPr="00482722" w:rsidRDefault="00283F7B" w:rsidP="00B91C56">
      <w:pPr>
        <w:spacing w:line="240" w:lineRule="auto"/>
        <w:jc w:val="both"/>
        <w:rPr>
          <w:rFonts w:ascii="Arial" w:hAnsi="Arial" w:cs="Arial"/>
          <w:sz w:val="20"/>
          <w:szCs w:val="20"/>
        </w:rPr>
      </w:pPr>
      <w:r w:rsidRPr="00482722">
        <w:rPr>
          <w:rFonts w:ascii="Arial" w:hAnsi="Arial" w:cs="Arial"/>
          <w:sz w:val="20"/>
          <w:szCs w:val="20"/>
        </w:rPr>
        <w:t xml:space="preserve">Table </w:t>
      </w:r>
      <w:r w:rsidR="009C0EA6" w:rsidRPr="00482722">
        <w:rPr>
          <w:rFonts w:ascii="Arial" w:hAnsi="Arial" w:cs="Arial"/>
          <w:sz w:val="20"/>
          <w:szCs w:val="20"/>
        </w:rPr>
        <w:t>I</w:t>
      </w:r>
      <w:r w:rsidR="00F75BB7" w:rsidRPr="00482722">
        <w:rPr>
          <w:rFonts w:ascii="Arial" w:hAnsi="Arial" w:cs="Arial"/>
          <w:sz w:val="20"/>
          <w:szCs w:val="20"/>
        </w:rPr>
        <w:t>V</w:t>
      </w:r>
      <w:r w:rsidRPr="00482722">
        <w:rPr>
          <w:rFonts w:ascii="Arial" w:hAnsi="Arial" w:cs="Arial"/>
          <w:sz w:val="20"/>
          <w:szCs w:val="20"/>
        </w:rPr>
        <w:t xml:space="preserve"> provides </w:t>
      </w:r>
      <w:r w:rsidR="00D566A3" w:rsidRPr="00482722">
        <w:rPr>
          <w:rFonts w:ascii="Arial" w:hAnsi="Arial" w:cs="Arial"/>
          <w:sz w:val="20"/>
          <w:szCs w:val="20"/>
        </w:rPr>
        <w:t>the mean</w:t>
      </w:r>
      <w:r w:rsidRPr="00482722">
        <w:rPr>
          <w:rFonts w:ascii="Arial" w:hAnsi="Arial" w:cs="Arial"/>
          <w:sz w:val="20"/>
          <w:szCs w:val="20"/>
        </w:rPr>
        <w:t xml:space="preserve">, </w:t>
      </w:r>
      <w:r w:rsidR="008A1508" w:rsidRPr="00482722">
        <w:rPr>
          <w:rFonts w:ascii="Arial" w:hAnsi="Arial" w:cs="Arial"/>
          <w:sz w:val="20"/>
          <w:szCs w:val="20"/>
        </w:rPr>
        <w:t>SD</w:t>
      </w:r>
      <w:r w:rsidRPr="00482722">
        <w:rPr>
          <w:rFonts w:ascii="Arial" w:hAnsi="Arial" w:cs="Arial"/>
          <w:sz w:val="20"/>
          <w:szCs w:val="20"/>
        </w:rPr>
        <w:t xml:space="preserve">, and </w:t>
      </w:r>
      <w:r w:rsidR="007A6A98" w:rsidRPr="00482722">
        <w:rPr>
          <w:rFonts w:ascii="Arial" w:hAnsi="Arial" w:cs="Arial"/>
          <w:sz w:val="20"/>
          <w:szCs w:val="20"/>
        </w:rPr>
        <w:t>Cronbach’s</w:t>
      </w:r>
      <w:r w:rsidRPr="00482722">
        <w:rPr>
          <w:rFonts w:ascii="Arial" w:hAnsi="Arial" w:cs="Arial"/>
          <w:sz w:val="20"/>
          <w:szCs w:val="20"/>
        </w:rPr>
        <w:t xml:space="preserve"> </w:t>
      </w:r>
      <w:r w:rsidR="00AC2804" w:rsidRPr="00482722">
        <w:rPr>
          <w:rFonts w:ascii="Arial" w:hAnsi="Arial" w:cs="Arial"/>
          <w:sz w:val="20"/>
          <w:szCs w:val="20"/>
        </w:rPr>
        <w:t>a</w:t>
      </w:r>
      <w:r w:rsidRPr="00482722">
        <w:rPr>
          <w:rFonts w:ascii="Arial" w:hAnsi="Arial" w:cs="Arial"/>
          <w:sz w:val="20"/>
          <w:szCs w:val="20"/>
        </w:rPr>
        <w:t xml:space="preserve">lpha </w:t>
      </w:r>
      <w:r w:rsidR="004A4F71" w:rsidRPr="00482722">
        <w:rPr>
          <w:rFonts w:ascii="Arial" w:hAnsi="Arial" w:cs="Arial"/>
          <w:sz w:val="20"/>
          <w:szCs w:val="20"/>
        </w:rPr>
        <w:t xml:space="preserve">statistics </w:t>
      </w:r>
      <w:r w:rsidRPr="00482722">
        <w:rPr>
          <w:rFonts w:ascii="Arial" w:hAnsi="Arial" w:cs="Arial"/>
          <w:sz w:val="20"/>
          <w:szCs w:val="20"/>
        </w:rPr>
        <w:t xml:space="preserve">for all the constructs considered in the proposed research model. </w:t>
      </w:r>
      <w:r w:rsidR="004A4F71" w:rsidRPr="00482722">
        <w:rPr>
          <w:rFonts w:ascii="Arial" w:hAnsi="Arial" w:cs="Arial"/>
          <w:sz w:val="20"/>
          <w:szCs w:val="20"/>
        </w:rPr>
        <w:t>For m</w:t>
      </w:r>
      <w:r w:rsidRPr="00482722">
        <w:rPr>
          <w:rFonts w:ascii="Arial" w:hAnsi="Arial" w:cs="Arial"/>
          <w:sz w:val="20"/>
          <w:szCs w:val="20"/>
        </w:rPr>
        <w:t>ost of the constructs</w:t>
      </w:r>
      <w:r w:rsidR="004A4F71" w:rsidRPr="00482722">
        <w:rPr>
          <w:rFonts w:ascii="Arial" w:hAnsi="Arial" w:cs="Arial"/>
          <w:sz w:val="20"/>
          <w:szCs w:val="20"/>
        </w:rPr>
        <w:t>, the</w:t>
      </w:r>
      <w:r w:rsidRPr="00482722">
        <w:rPr>
          <w:rFonts w:ascii="Arial" w:hAnsi="Arial" w:cs="Arial"/>
          <w:sz w:val="20"/>
          <w:szCs w:val="20"/>
        </w:rPr>
        <w:t xml:space="preserve"> mean values were greater than </w:t>
      </w:r>
      <w:r w:rsidR="004A4F71" w:rsidRPr="00482722">
        <w:rPr>
          <w:rFonts w:ascii="Arial" w:hAnsi="Arial" w:cs="Arial"/>
          <w:sz w:val="20"/>
          <w:szCs w:val="20"/>
        </w:rPr>
        <w:t>3</w:t>
      </w:r>
      <w:r w:rsidR="00AA7D8A" w:rsidRPr="00482722">
        <w:rPr>
          <w:rFonts w:ascii="Arial" w:hAnsi="Arial" w:cs="Arial"/>
          <w:sz w:val="20"/>
          <w:szCs w:val="20"/>
        </w:rPr>
        <w:t>,</w:t>
      </w:r>
      <w:r w:rsidRPr="00482722">
        <w:rPr>
          <w:rFonts w:ascii="Arial" w:hAnsi="Arial" w:cs="Arial"/>
          <w:sz w:val="20"/>
          <w:szCs w:val="20"/>
        </w:rPr>
        <w:t xml:space="preserve"> which means that the students’ responses were, by and large, in </w:t>
      </w:r>
      <w:r w:rsidR="00A87E82" w:rsidRPr="00482722">
        <w:rPr>
          <w:rFonts w:ascii="Arial" w:hAnsi="Arial" w:cs="Arial"/>
          <w:sz w:val="20"/>
          <w:szCs w:val="20"/>
        </w:rPr>
        <w:t>favour</w:t>
      </w:r>
      <w:r w:rsidRPr="00482722">
        <w:rPr>
          <w:rFonts w:ascii="Arial" w:hAnsi="Arial" w:cs="Arial"/>
          <w:sz w:val="20"/>
          <w:szCs w:val="20"/>
        </w:rPr>
        <w:t xml:space="preserve"> of </w:t>
      </w:r>
      <w:r w:rsidR="00383357" w:rsidRPr="00482722">
        <w:rPr>
          <w:rFonts w:ascii="Arial" w:hAnsi="Arial" w:cs="Arial"/>
          <w:sz w:val="20"/>
          <w:szCs w:val="20"/>
        </w:rPr>
        <w:t xml:space="preserve">using </w:t>
      </w:r>
      <w:r w:rsidRPr="00482722">
        <w:rPr>
          <w:rFonts w:ascii="Arial" w:hAnsi="Arial" w:cs="Arial"/>
          <w:sz w:val="20"/>
          <w:szCs w:val="20"/>
        </w:rPr>
        <w:t>the UEAS for academic admission</w:t>
      </w:r>
      <w:r w:rsidR="00A63ACE" w:rsidRPr="00482722">
        <w:rPr>
          <w:rFonts w:ascii="Arial" w:hAnsi="Arial" w:cs="Arial"/>
          <w:sz w:val="20"/>
          <w:szCs w:val="20"/>
        </w:rPr>
        <w:t>s</w:t>
      </w:r>
      <w:r w:rsidRPr="00482722">
        <w:rPr>
          <w:rFonts w:ascii="Arial" w:hAnsi="Arial" w:cs="Arial"/>
          <w:sz w:val="20"/>
          <w:szCs w:val="20"/>
        </w:rPr>
        <w:t xml:space="preserve">. However, the mean value </w:t>
      </w:r>
      <w:r w:rsidR="009669F8" w:rsidRPr="00482722">
        <w:rPr>
          <w:rFonts w:ascii="Arial" w:hAnsi="Arial" w:cs="Arial"/>
          <w:sz w:val="20"/>
          <w:szCs w:val="20"/>
        </w:rPr>
        <w:t xml:space="preserve">for </w:t>
      </w:r>
      <w:r w:rsidR="00B91C56" w:rsidRPr="00482722">
        <w:rPr>
          <w:rFonts w:ascii="Arial" w:hAnsi="Arial" w:cs="Arial"/>
          <w:sz w:val="20"/>
          <w:szCs w:val="20"/>
        </w:rPr>
        <w:t>disposition to trust</w:t>
      </w:r>
      <w:r w:rsidRPr="00482722">
        <w:rPr>
          <w:rFonts w:ascii="Arial" w:hAnsi="Arial" w:cs="Arial"/>
          <w:sz w:val="20"/>
          <w:szCs w:val="20"/>
        </w:rPr>
        <w:t xml:space="preserve"> was just below </w:t>
      </w:r>
      <w:r w:rsidR="009669F8" w:rsidRPr="00482722">
        <w:rPr>
          <w:rFonts w:ascii="Arial" w:hAnsi="Arial" w:cs="Arial"/>
          <w:sz w:val="20"/>
          <w:szCs w:val="20"/>
        </w:rPr>
        <w:t xml:space="preserve">3 </w:t>
      </w:r>
      <w:r w:rsidRPr="00482722">
        <w:rPr>
          <w:rFonts w:ascii="Arial" w:hAnsi="Arial" w:cs="Arial"/>
          <w:sz w:val="20"/>
          <w:szCs w:val="20"/>
        </w:rPr>
        <w:t xml:space="preserve">(i.e., 2.998). In addition, </w:t>
      </w:r>
      <w:r w:rsidR="009669F8" w:rsidRPr="00482722">
        <w:rPr>
          <w:rFonts w:ascii="Arial" w:hAnsi="Arial" w:cs="Arial"/>
          <w:sz w:val="20"/>
          <w:szCs w:val="20"/>
        </w:rPr>
        <w:t xml:space="preserve">the </w:t>
      </w:r>
      <w:r w:rsidRPr="00482722">
        <w:rPr>
          <w:rFonts w:ascii="Arial" w:hAnsi="Arial" w:cs="Arial"/>
          <w:sz w:val="20"/>
          <w:szCs w:val="20"/>
        </w:rPr>
        <w:t xml:space="preserve">SD values were less than </w:t>
      </w:r>
      <w:r w:rsidR="009669F8" w:rsidRPr="00482722">
        <w:rPr>
          <w:rFonts w:ascii="Arial" w:hAnsi="Arial" w:cs="Arial"/>
          <w:sz w:val="20"/>
          <w:szCs w:val="20"/>
        </w:rPr>
        <w:t xml:space="preserve">1 </w:t>
      </w:r>
      <w:r w:rsidRPr="00482722">
        <w:rPr>
          <w:rFonts w:ascii="Arial" w:hAnsi="Arial" w:cs="Arial"/>
          <w:sz w:val="20"/>
          <w:szCs w:val="20"/>
        </w:rPr>
        <w:t xml:space="preserve">for </w:t>
      </w:r>
      <w:r w:rsidR="00916210" w:rsidRPr="00482722">
        <w:rPr>
          <w:rFonts w:ascii="Arial" w:hAnsi="Arial" w:cs="Arial"/>
          <w:sz w:val="20"/>
          <w:szCs w:val="20"/>
        </w:rPr>
        <w:t xml:space="preserve">almost </w:t>
      </w:r>
      <w:r w:rsidRPr="00482722">
        <w:rPr>
          <w:rFonts w:ascii="Arial" w:hAnsi="Arial" w:cs="Arial"/>
          <w:sz w:val="20"/>
          <w:szCs w:val="20"/>
        </w:rPr>
        <w:t>all</w:t>
      </w:r>
      <w:r w:rsidR="00916210" w:rsidRPr="00482722">
        <w:rPr>
          <w:rFonts w:ascii="Arial" w:hAnsi="Arial" w:cs="Arial"/>
          <w:sz w:val="20"/>
          <w:szCs w:val="20"/>
        </w:rPr>
        <w:t xml:space="preserve"> of </w:t>
      </w:r>
      <w:r w:rsidRPr="00482722">
        <w:rPr>
          <w:rFonts w:ascii="Arial" w:hAnsi="Arial" w:cs="Arial"/>
          <w:sz w:val="20"/>
          <w:szCs w:val="20"/>
        </w:rPr>
        <w:t>the constructs</w:t>
      </w:r>
      <w:r w:rsidR="00AA7D8A" w:rsidRPr="00482722">
        <w:rPr>
          <w:rFonts w:ascii="Arial" w:hAnsi="Arial" w:cs="Arial"/>
          <w:sz w:val="20"/>
          <w:szCs w:val="20"/>
        </w:rPr>
        <w:t>,</w:t>
      </w:r>
      <w:r w:rsidRPr="00482722">
        <w:rPr>
          <w:rFonts w:ascii="Arial" w:hAnsi="Arial" w:cs="Arial"/>
          <w:sz w:val="20"/>
          <w:szCs w:val="20"/>
        </w:rPr>
        <w:t xml:space="preserve"> which indicated that the students’ responses did not fluctuate much across the mean values</w:t>
      </w:r>
      <w:r w:rsidR="00A54B7E" w:rsidRPr="00482722">
        <w:rPr>
          <w:rFonts w:ascii="Arial" w:hAnsi="Arial" w:cs="Arial"/>
          <w:sz w:val="20"/>
          <w:szCs w:val="20"/>
        </w:rPr>
        <w:t>.</w:t>
      </w:r>
      <w:r w:rsidRPr="00482722">
        <w:rPr>
          <w:rFonts w:ascii="Arial" w:hAnsi="Arial" w:cs="Arial"/>
          <w:sz w:val="20"/>
          <w:szCs w:val="20"/>
        </w:rPr>
        <w:t xml:space="preserve"> </w:t>
      </w:r>
      <w:r w:rsidR="00A54B7E" w:rsidRPr="00482722">
        <w:rPr>
          <w:rFonts w:ascii="Arial" w:hAnsi="Arial" w:cs="Arial"/>
          <w:sz w:val="20"/>
          <w:szCs w:val="20"/>
        </w:rPr>
        <w:t>The</w:t>
      </w:r>
      <w:r w:rsidRPr="00482722">
        <w:rPr>
          <w:rFonts w:ascii="Arial" w:hAnsi="Arial" w:cs="Arial"/>
          <w:sz w:val="20"/>
          <w:szCs w:val="20"/>
        </w:rPr>
        <w:t xml:space="preserve"> relatively large value </w:t>
      </w:r>
      <w:r w:rsidR="00A54B7E" w:rsidRPr="00482722">
        <w:rPr>
          <w:rFonts w:ascii="Arial" w:hAnsi="Arial" w:cs="Arial"/>
          <w:sz w:val="20"/>
          <w:szCs w:val="20"/>
        </w:rPr>
        <w:t xml:space="preserve">for </w:t>
      </w:r>
      <w:r w:rsidRPr="00482722">
        <w:rPr>
          <w:rFonts w:ascii="Arial" w:hAnsi="Arial" w:cs="Arial"/>
          <w:sz w:val="20"/>
          <w:szCs w:val="20"/>
        </w:rPr>
        <w:t>SD (i.e., 1.058) for trust in government indicated that</w:t>
      </w:r>
      <w:r w:rsidR="00A54B7E" w:rsidRPr="00482722">
        <w:rPr>
          <w:rFonts w:ascii="Arial" w:hAnsi="Arial" w:cs="Arial"/>
          <w:sz w:val="20"/>
          <w:szCs w:val="20"/>
        </w:rPr>
        <w:t xml:space="preserve"> the</w:t>
      </w:r>
      <w:r w:rsidRPr="00482722">
        <w:rPr>
          <w:rFonts w:ascii="Arial" w:hAnsi="Arial" w:cs="Arial"/>
          <w:sz w:val="20"/>
          <w:szCs w:val="20"/>
        </w:rPr>
        <w:t xml:space="preserve"> users’ responses were found to have fluctuated more across the mean values when they responded to the items for this construct</w:t>
      </w:r>
      <w:r w:rsidR="006868D0" w:rsidRPr="00482722">
        <w:rPr>
          <w:rFonts w:ascii="Arial" w:hAnsi="Arial" w:cs="Arial"/>
          <w:sz w:val="20"/>
          <w:szCs w:val="20"/>
        </w:rPr>
        <w:t>.</w:t>
      </w:r>
    </w:p>
    <w:p w14:paraId="6A8053B3" w14:textId="437A7D97" w:rsidR="00B24D68" w:rsidRPr="00482722" w:rsidRDefault="00B24D68" w:rsidP="00DA5EEC">
      <w:pPr>
        <w:spacing w:line="240" w:lineRule="auto"/>
        <w:jc w:val="both"/>
        <w:rPr>
          <w:rFonts w:ascii="Arial" w:hAnsi="Arial" w:cs="Arial"/>
          <w:sz w:val="20"/>
          <w:szCs w:val="20"/>
        </w:rPr>
      </w:pPr>
    </w:p>
    <w:p w14:paraId="4D338B56" w14:textId="3113DEDB" w:rsidR="00283F7B" w:rsidRPr="00482722" w:rsidRDefault="00283F7B"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9C0EA6" w:rsidRPr="00482722">
        <w:rPr>
          <w:rFonts w:ascii="Arial" w:hAnsi="Arial" w:cs="Arial"/>
          <w:b/>
          <w:bCs/>
          <w:sz w:val="20"/>
          <w:szCs w:val="20"/>
        </w:rPr>
        <w:t>I</w:t>
      </w:r>
      <w:r w:rsidR="00F75BB7" w:rsidRPr="00482722">
        <w:rPr>
          <w:rFonts w:ascii="Arial" w:hAnsi="Arial" w:cs="Arial"/>
          <w:b/>
          <w:bCs/>
          <w:sz w:val="20"/>
          <w:szCs w:val="20"/>
        </w:rPr>
        <w:t>V</w:t>
      </w:r>
      <w:r w:rsidR="00167284" w:rsidRPr="00482722">
        <w:rPr>
          <w:rFonts w:ascii="Arial" w:hAnsi="Arial" w:cs="Arial"/>
          <w:b/>
          <w:bCs/>
          <w:sz w:val="20"/>
          <w:szCs w:val="20"/>
        </w:rPr>
        <w:t>.</w:t>
      </w:r>
      <w:r w:rsidRPr="00482722">
        <w:rPr>
          <w:rFonts w:ascii="Arial" w:hAnsi="Arial" w:cs="Arial"/>
          <w:sz w:val="20"/>
          <w:szCs w:val="20"/>
        </w:rPr>
        <w:t xml:space="preserve"> Descriptive statistics</w:t>
      </w:r>
    </w:p>
    <w:tbl>
      <w:tblPr>
        <w:tblStyle w:val="LightList-Accent5"/>
        <w:tblW w:w="8505" w:type="dxa"/>
        <w:jc w:val="center"/>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2442"/>
        <w:gridCol w:w="1633"/>
        <w:gridCol w:w="1633"/>
        <w:gridCol w:w="2797"/>
      </w:tblGrid>
      <w:tr w:rsidR="00482722" w:rsidRPr="00482722" w14:paraId="2C348319" w14:textId="77777777" w:rsidTr="006D31B5">
        <w:trPr>
          <w:trHeight w:val="227"/>
          <w:jc w:val="center"/>
        </w:trPr>
        <w:tc>
          <w:tcPr>
            <w:tcW w:w="0" w:type="dxa"/>
            <w:tcBorders>
              <w:top w:val="single" w:sz="4" w:space="0" w:color="auto"/>
              <w:bottom w:val="single" w:sz="4" w:space="0" w:color="auto"/>
            </w:tcBorders>
            <w:shd w:val="clear" w:color="auto" w:fill="auto"/>
            <w:vAlign w:val="center"/>
          </w:tcPr>
          <w:p w14:paraId="4D7547B2" w14:textId="625937EC"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Construct</w:t>
            </w:r>
          </w:p>
        </w:tc>
        <w:tc>
          <w:tcPr>
            <w:tcW w:w="0" w:type="dxa"/>
            <w:tcBorders>
              <w:top w:val="single" w:sz="4" w:space="0" w:color="auto"/>
              <w:bottom w:val="single" w:sz="4" w:space="0" w:color="auto"/>
            </w:tcBorders>
            <w:shd w:val="clear" w:color="auto" w:fill="auto"/>
            <w:vAlign w:val="center"/>
          </w:tcPr>
          <w:p w14:paraId="274C4F42" w14:textId="77777777" w:rsidR="00283F7B" w:rsidRPr="00482722" w:rsidRDefault="00283F7B" w:rsidP="00460900">
            <w:pPr>
              <w:jc w:val="center"/>
              <w:rPr>
                <w:rFonts w:ascii="Arial" w:hAnsi="Arial" w:cs="Arial"/>
                <w:b/>
                <w:bCs/>
                <w:sz w:val="20"/>
                <w:szCs w:val="20"/>
                <w:lang w:val="en-GB"/>
              </w:rPr>
            </w:pPr>
            <w:r w:rsidRPr="00482722">
              <w:rPr>
                <w:rFonts w:ascii="Arial" w:hAnsi="Arial" w:cs="Arial"/>
                <w:sz w:val="20"/>
                <w:szCs w:val="20"/>
                <w:lang w:val="en-GB"/>
              </w:rPr>
              <w:t>Mean</w:t>
            </w:r>
          </w:p>
        </w:tc>
        <w:tc>
          <w:tcPr>
            <w:tcW w:w="0" w:type="dxa"/>
            <w:tcBorders>
              <w:top w:val="single" w:sz="4" w:space="0" w:color="auto"/>
              <w:bottom w:val="single" w:sz="4" w:space="0" w:color="auto"/>
            </w:tcBorders>
            <w:shd w:val="clear" w:color="auto" w:fill="auto"/>
            <w:vAlign w:val="center"/>
          </w:tcPr>
          <w:p w14:paraId="3589576A" w14:textId="77777777" w:rsidR="00283F7B" w:rsidRPr="00482722" w:rsidRDefault="00283F7B" w:rsidP="001362DA">
            <w:pPr>
              <w:jc w:val="center"/>
              <w:rPr>
                <w:rFonts w:ascii="Arial" w:hAnsi="Arial" w:cs="Arial"/>
                <w:b/>
                <w:bCs/>
                <w:sz w:val="20"/>
                <w:szCs w:val="20"/>
                <w:lang w:val="en-GB"/>
              </w:rPr>
            </w:pPr>
            <w:r w:rsidRPr="00482722">
              <w:rPr>
                <w:rFonts w:ascii="Arial" w:hAnsi="Arial" w:cs="Arial"/>
                <w:sz w:val="20"/>
                <w:szCs w:val="20"/>
                <w:lang w:val="en-GB"/>
              </w:rPr>
              <w:t>SD</w:t>
            </w:r>
          </w:p>
        </w:tc>
        <w:tc>
          <w:tcPr>
            <w:tcW w:w="0" w:type="dxa"/>
            <w:tcBorders>
              <w:top w:val="single" w:sz="4" w:space="0" w:color="auto"/>
              <w:bottom w:val="single" w:sz="4" w:space="0" w:color="auto"/>
            </w:tcBorders>
            <w:shd w:val="clear" w:color="auto" w:fill="auto"/>
            <w:vAlign w:val="center"/>
          </w:tcPr>
          <w:p w14:paraId="10B9350A" w14:textId="13C333B3" w:rsidR="00283F7B" w:rsidRPr="00482722" w:rsidRDefault="00283F7B" w:rsidP="00F845A1">
            <w:pPr>
              <w:jc w:val="center"/>
              <w:rPr>
                <w:rFonts w:ascii="Arial" w:hAnsi="Arial" w:cs="Arial"/>
                <w:b/>
                <w:bCs/>
                <w:sz w:val="20"/>
                <w:szCs w:val="20"/>
                <w:lang w:val="en-GB"/>
              </w:rPr>
            </w:pPr>
            <w:r w:rsidRPr="00482722">
              <w:rPr>
                <w:rFonts w:ascii="Arial" w:hAnsi="Arial" w:cs="Arial"/>
                <w:sz w:val="20"/>
                <w:szCs w:val="20"/>
                <w:lang w:val="en-GB"/>
              </w:rPr>
              <w:t>Cronbach’s</w:t>
            </w:r>
            <w:r w:rsidR="00390D25" w:rsidRPr="00482722">
              <w:rPr>
                <w:rFonts w:ascii="Arial" w:hAnsi="Arial" w:cs="Arial"/>
                <w:b/>
                <w:bCs/>
                <w:sz w:val="20"/>
                <w:szCs w:val="20"/>
                <w:lang w:val="en-GB"/>
              </w:rPr>
              <w:t xml:space="preserve"> </w:t>
            </w:r>
            <w:r w:rsidR="00F75BB7" w:rsidRPr="00482722">
              <w:rPr>
                <w:rFonts w:ascii="Arial" w:hAnsi="Arial" w:cs="Arial"/>
                <w:sz w:val="20"/>
                <w:szCs w:val="20"/>
                <w:lang w:val="en-GB"/>
              </w:rPr>
              <w:t>a</w:t>
            </w:r>
            <w:r w:rsidR="00390D25" w:rsidRPr="00482722">
              <w:rPr>
                <w:rFonts w:ascii="Arial" w:hAnsi="Arial" w:cs="Arial"/>
                <w:sz w:val="20"/>
                <w:szCs w:val="20"/>
                <w:lang w:val="en-GB"/>
              </w:rPr>
              <w:t>lpha</w:t>
            </w:r>
          </w:p>
        </w:tc>
      </w:tr>
      <w:tr w:rsidR="00482722" w:rsidRPr="00482722" w14:paraId="5462B21B" w14:textId="77777777" w:rsidTr="006D31B5">
        <w:trPr>
          <w:trHeight w:val="142"/>
          <w:jc w:val="center"/>
        </w:trPr>
        <w:tc>
          <w:tcPr>
            <w:tcW w:w="0" w:type="dxa"/>
            <w:tcBorders>
              <w:top w:val="single" w:sz="4" w:space="0" w:color="auto"/>
            </w:tcBorders>
            <w:shd w:val="clear" w:color="auto" w:fill="auto"/>
            <w:vAlign w:val="center"/>
          </w:tcPr>
          <w:p w14:paraId="75960DFA"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TG</w:t>
            </w:r>
          </w:p>
        </w:tc>
        <w:tc>
          <w:tcPr>
            <w:tcW w:w="0" w:type="dxa"/>
            <w:tcBorders>
              <w:top w:val="single" w:sz="4" w:space="0" w:color="auto"/>
            </w:tcBorders>
            <w:shd w:val="clear" w:color="auto" w:fill="auto"/>
            <w:vAlign w:val="center"/>
          </w:tcPr>
          <w:p w14:paraId="18A31CFE"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3.405</w:t>
            </w:r>
          </w:p>
        </w:tc>
        <w:tc>
          <w:tcPr>
            <w:tcW w:w="0" w:type="dxa"/>
            <w:tcBorders>
              <w:top w:val="single" w:sz="4" w:space="0" w:color="auto"/>
            </w:tcBorders>
            <w:shd w:val="clear" w:color="auto" w:fill="auto"/>
            <w:vAlign w:val="center"/>
          </w:tcPr>
          <w:p w14:paraId="449C08C6"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1.058</w:t>
            </w:r>
          </w:p>
        </w:tc>
        <w:tc>
          <w:tcPr>
            <w:tcW w:w="0" w:type="dxa"/>
            <w:tcBorders>
              <w:top w:val="single" w:sz="4" w:space="0" w:color="auto"/>
            </w:tcBorders>
            <w:shd w:val="clear" w:color="auto" w:fill="auto"/>
            <w:vAlign w:val="center"/>
          </w:tcPr>
          <w:p w14:paraId="31097F3A"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0.921</w:t>
            </w:r>
          </w:p>
        </w:tc>
      </w:tr>
      <w:tr w:rsidR="00482722" w:rsidRPr="00482722" w14:paraId="282AB479" w14:textId="77777777" w:rsidTr="006D31B5">
        <w:trPr>
          <w:trHeight w:val="142"/>
          <w:jc w:val="center"/>
        </w:trPr>
        <w:tc>
          <w:tcPr>
            <w:tcW w:w="0" w:type="dxa"/>
            <w:shd w:val="clear" w:color="auto" w:fill="auto"/>
            <w:vAlign w:val="center"/>
          </w:tcPr>
          <w:p w14:paraId="69578E12"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DT</w:t>
            </w:r>
          </w:p>
        </w:tc>
        <w:tc>
          <w:tcPr>
            <w:tcW w:w="0" w:type="dxa"/>
            <w:shd w:val="clear" w:color="auto" w:fill="auto"/>
            <w:vAlign w:val="center"/>
          </w:tcPr>
          <w:p w14:paraId="5EF247B1"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2.988</w:t>
            </w:r>
          </w:p>
        </w:tc>
        <w:tc>
          <w:tcPr>
            <w:tcW w:w="0" w:type="dxa"/>
            <w:shd w:val="clear" w:color="auto" w:fill="auto"/>
            <w:vAlign w:val="center"/>
          </w:tcPr>
          <w:p w14:paraId="0FB53482"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0.960</w:t>
            </w:r>
          </w:p>
        </w:tc>
        <w:tc>
          <w:tcPr>
            <w:tcW w:w="0" w:type="dxa"/>
            <w:shd w:val="clear" w:color="auto" w:fill="auto"/>
            <w:vAlign w:val="center"/>
          </w:tcPr>
          <w:p w14:paraId="35AC2596"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0.836</w:t>
            </w:r>
          </w:p>
        </w:tc>
      </w:tr>
      <w:tr w:rsidR="00482722" w:rsidRPr="00482722" w14:paraId="08C442C0" w14:textId="77777777" w:rsidTr="006D31B5">
        <w:trPr>
          <w:trHeight w:val="142"/>
          <w:jc w:val="center"/>
        </w:trPr>
        <w:tc>
          <w:tcPr>
            <w:tcW w:w="0" w:type="dxa"/>
            <w:shd w:val="clear" w:color="auto" w:fill="auto"/>
            <w:vAlign w:val="center"/>
          </w:tcPr>
          <w:p w14:paraId="095A5CA7"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SQ</w:t>
            </w:r>
          </w:p>
        </w:tc>
        <w:tc>
          <w:tcPr>
            <w:tcW w:w="0" w:type="dxa"/>
            <w:shd w:val="clear" w:color="auto" w:fill="auto"/>
            <w:vAlign w:val="center"/>
          </w:tcPr>
          <w:p w14:paraId="6AA12C36"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3.539</w:t>
            </w:r>
          </w:p>
        </w:tc>
        <w:tc>
          <w:tcPr>
            <w:tcW w:w="0" w:type="dxa"/>
            <w:shd w:val="clear" w:color="auto" w:fill="auto"/>
            <w:vAlign w:val="center"/>
          </w:tcPr>
          <w:p w14:paraId="442A00A3"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0.693</w:t>
            </w:r>
          </w:p>
        </w:tc>
        <w:tc>
          <w:tcPr>
            <w:tcW w:w="0" w:type="dxa"/>
            <w:shd w:val="clear" w:color="auto" w:fill="auto"/>
            <w:vAlign w:val="center"/>
          </w:tcPr>
          <w:p w14:paraId="1A675212"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0.878</w:t>
            </w:r>
          </w:p>
        </w:tc>
      </w:tr>
      <w:tr w:rsidR="00482722" w:rsidRPr="00482722" w14:paraId="571B1935" w14:textId="77777777" w:rsidTr="006D31B5">
        <w:trPr>
          <w:trHeight w:val="142"/>
          <w:jc w:val="center"/>
        </w:trPr>
        <w:tc>
          <w:tcPr>
            <w:tcW w:w="0" w:type="dxa"/>
            <w:shd w:val="clear" w:color="auto" w:fill="auto"/>
            <w:vAlign w:val="center"/>
          </w:tcPr>
          <w:p w14:paraId="6C417ACB"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TEG</w:t>
            </w:r>
          </w:p>
        </w:tc>
        <w:tc>
          <w:tcPr>
            <w:tcW w:w="0" w:type="dxa"/>
            <w:shd w:val="clear" w:color="auto" w:fill="auto"/>
            <w:vAlign w:val="center"/>
          </w:tcPr>
          <w:p w14:paraId="27109CAF"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3.727</w:t>
            </w:r>
          </w:p>
        </w:tc>
        <w:tc>
          <w:tcPr>
            <w:tcW w:w="0" w:type="dxa"/>
            <w:shd w:val="clear" w:color="auto" w:fill="auto"/>
            <w:vAlign w:val="center"/>
          </w:tcPr>
          <w:p w14:paraId="43579E72"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0.883</w:t>
            </w:r>
          </w:p>
        </w:tc>
        <w:tc>
          <w:tcPr>
            <w:tcW w:w="0" w:type="dxa"/>
            <w:shd w:val="clear" w:color="auto" w:fill="auto"/>
            <w:vAlign w:val="center"/>
          </w:tcPr>
          <w:p w14:paraId="13665016"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0.890</w:t>
            </w:r>
          </w:p>
        </w:tc>
      </w:tr>
      <w:tr w:rsidR="00482722" w:rsidRPr="00482722" w14:paraId="204360F0" w14:textId="77777777" w:rsidTr="006D31B5">
        <w:trPr>
          <w:trHeight w:val="142"/>
          <w:jc w:val="center"/>
        </w:trPr>
        <w:tc>
          <w:tcPr>
            <w:tcW w:w="0" w:type="dxa"/>
            <w:tcBorders>
              <w:bottom w:val="nil"/>
            </w:tcBorders>
            <w:shd w:val="clear" w:color="auto" w:fill="auto"/>
            <w:vAlign w:val="center"/>
          </w:tcPr>
          <w:p w14:paraId="45A2EF74"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CS</w:t>
            </w:r>
          </w:p>
        </w:tc>
        <w:tc>
          <w:tcPr>
            <w:tcW w:w="0" w:type="dxa"/>
            <w:tcBorders>
              <w:bottom w:val="nil"/>
            </w:tcBorders>
            <w:shd w:val="clear" w:color="auto" w:fill="auto"/>
            <w:vAlign w:val="center"/>
          </w:tcPr>
          <w:p w14:paraId="16C90FE2"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3.672</w:t>
            </w:r>
          </w:p>
        </w:tc>
        <w:tc>
          <w:tcPr>
            <w:tcW w:w="0" w:type="dxa"/>
            <w:tcBorders>
              <w:bottom w:val="nil"/>
            </w:tcBorders>
            <w:shd w:val="clear" w:color="auto" w:fill="auto"/>
            <w:vAlign w:val="center"/>
          </w:tcPr>
          <w:p w14:paraId="3A73034E"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0.980</w:t>
            </w:r>
          </w:p>
        </w:tc>
        <w:tc>
          <w:tcPr>
            <w:tcW w:w="0" w:type="dxa"/>
            <w:tcBorders>
              <w:bottom w:val="nil"/>
            </w:tcBorders>
            <w:shd w:val="clear" w:color="auto" w:fill="auto"/>
            <w:vAlign w:val="center"/>
          </w:tcPr>
          <w:p w14:paraId="695295A2"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0.882</w:t>
            </w:r>
          </w:p>
        </w:tc>
      </w:tr>
      <w:tr w:rsidR="00482722" w:rsidRPr="00482722" w14:paraId="25C19DBA" w14:textId="77777777" w:rsidTr="006D31B5">
        <w:trPr>
          <w:trHeight w:val="142"/>
          <w:jc w:val="center"/>
        </w:trPr>
        <w:tc>
          <w:tcPr>
            <w:tcW w:w="0" w:type="dxa"/>
            <w:tcBorders>
              <w:top w:val="nil"/>
              <w:bottom w:val="single" w:sz="4" w:space="0" w:color="auto"/>
            </w:tcBorders>
            <w:shd w:val="clear" w:color="auto" w:fill="auto"/>
            <w:vAlign w:val="center"/>
          </w:tcPr>
          <w:p w14:paraId="53EA9F0B"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CL</w:t>
            </w:r>
          </w:p>
        </w:tc>
        <w:tc>
          <w:tcPr>
            <w:tcW w:w="0" w:type="dxa"/>
            <w:tcBorders>
              <w:top w:val="nil"/>
              <w:bottom w:val="single" w:sz="4" w:space="0" w:color="auto"/>
            </w:tcBorders>
            <w:shd w:val="clear" w:color="auto" w:fill="auto"/>
            <w:vAlign w:val="center"/>
          </w:tcPr>
          <w:p w14:paraId="6AE44A40" w14:textId="77777777" w:rsidR="00283F7B" w:rsidRPr="00482722" w:rsidRDefault="00283F7B" w:rsidP="00460900">
            <w:pPr>
              <w:jc w:val="center"/>
              <w:rPr>
                <w:rFonts w:ascii="Arial" w:hAnsi="Arial" w:cs="Arial"/>
                <w:sz w:val="20"/>
                <w:szCs w:val="20"/>
                <w:lang w:val="en-GB"/>
              </w:rPr>
            </w:pPr>
            <w:r w:rsidRPr="00482722">
              <w:rPr>
                <w:rFonts w:ascii="Arial" w:hAnsi="Arial" w:cs="Arial"/>
                <w:sz w:val="20"/>
                <w:szCs w:val="20"/>
                <w:lang w:val="en-GB"/>
              </w:rPr>
              <w:t>3.631</w:t>
            </w:r>
          </w:p>
        </w:tc>
        <w:tc>
          <w:tcPr>
            <w:tcW w:w="0" w:type="dxa"/>
            <w:tcBorders>
              <w:top w:val="nil"/>
              <w:bottom w:val="single" w:sz="4" w:space="0" w:color="auto"/>
            </w:tcBorders>
            <w:shd w:val="clear" w:color="auto" w:fill="auto"/>
            <w:vAlign w:val="center"/>
          </w:tcPr>
          <w:p w14:paraId="5301709C" w14:textId="77777777" w:rsidR="00283F7B" w:rsidRPr="00482722" w:rsidRDefault="00283F7B" w:rsidP="001362DA">
            <w:pPr>
              <w:jc w:val="center"/>
              <w:rPr>
                <w:rFonts w:ascii="Arial" w:hAnsi="Arial" w:cs="Arial"/>
                <w:sz w:val="20"/>
                <w:szCs w:val="20"/>
                <w:lang w:val="en-GB"/>
              </w:rPr>
            </w:pPr>
            <w:r w:rsidRPr="00482722">
              <w:rPr>
                <w:rFonts w:ascii="Arial" w:hAnsi="Arial" w:cs="Arial"/>
                <w:sz w:val="20"/>
                <w:szCs w:val="20"/>
                <w:lang w:val="en-GB"/>
              </w:rPr>
              <w:t>0.910</w:t>
            </w:r>
          </w:p>
        </w:tc>
        <w:tc>
          <w:tcPr>
            <w:tcW w:w="0" w:type="dxa"/>
            <w:tcBorders>
              <w:top w:val="nil"/>
              <w:bottom w:val="single" w:sz="4" w:space="0" w:color="auto"/>
            </w:tcBorders>
            <w:shd w:val="clear" w:color="auto" w:fill="auto"/>
            <w:vAlign w:val="center"/>
          </w:tcPr>
          <w:p w14:paraId="7949F825" w14:textId="77777777" w:rsidR="00283F7B" w:rsidRPr="00482722" w:rsidRDefault="00283F7B" w:rsidP="00F845A1">
            <w:pPr>
              <w:jc w:val="center"/>
              <w:rPr>
                <w:rFonts w:ascii="Arial" w:hAnsi="Arial" w:cs="Arial"/>
                <w:sz w:val="20"/>
                <w:szCs w:val="20"/>
                <w:lang w:val="en-GB"/>
              </w:rPr>
            </w:pPr>
            <w:r w:rsidRPr="00482722">
              <w:rPr>
                <w:rFonts w:ascii="Arial" w:hAnsi="Arial" w:cs="Arial"/>
                <w:sz w:val="20"/>
                <w:szCs w:val="20"/>
                <w:lang w:val="en-GB"/>
              </w:rPr>
              <w:t>0.884</w:t>
            </w:r>
          </w:p>
        </w:tc>
      </w:tr>
      <w:tr w:rsidR="00482722" w:rsidRPr="00482722" w14:paraId="42065A99" w14:textId="77777777" w:rsidTr="00D566A3">
        <w:trPr>
          <w:trHeight w:val="338"/>
          <w:jc w:val="center"/>
        </w:trPr>
        <w:tc>
          <w:tcPr>
            <w:tcW w:w="0" w:type="dxa"/>
            <w:gridSpan w:val="4"/>
            <w:tcBorders>
              <w:top w:val="single" w:sz="4" w:space="0" w:color="auto"/>
              <w:bottom w:val="nil"/>
            </w:tcBorders>
            <w:shd w:val="clear" w:color="auto" w:fill="auto"/>
            <w:vAlign w:val="center"/>
          </w:tcPr>
          <w:p w14:paraId="1427481E" w14:textId="0579ABED" w:rsidR="00390D25" w:rsidRPr="00482722" w:rsidRDefault="00390D25" w:rsidP="00390D25">
            <w:pPr>
              <w:rPr>
                <w:rFonts w:ascii="Arial" w:hAnsi="Arial" w:cs="Arial"/>
                <w:sz w:val="20"/>
                <w:szCs w:val="20"/>
                <w:lang w:val="en-GB"/>
              </w:rPr>
            </w:pPr>
            <w:r w:rsidRPr="00482722">
              <w:rPr>
                <w:rFonts w:ascii="Arial" w:hAnsi="Arial" w:cs="Arial"/>
                <w:sz w:val="20"/>
                <w:szCs w:val="20"/>
                <w:lang w:val="en-GB"/>
              </w:rPr>
              <w:t>Note</w:t>
            </w:r>
            <w:r w:rsidR="00F75BB7" w:rsidRPr="00482722">
              <w:rPr>
                <w:rFonts w:ascii="Arial" w:hAnsi="Arial" w:cs="Arial"/>
                <w:sz w:val="20"/>
                <w:szCs w:val="20"/>
                <w:lang w:val="en-GB"/>
              </w:rPr>
              <w:t>s</w:t>
            </w:r>
            <w:r w:rsidRPr="00482722">
              <w:rPr>
                <w:rFonts w:ascii="Arial" w:hAnsi="Arial" w:cs="Arial"/>
                <w:sz w:val="20"/>
                <w:szCs w:val="20"/>
                <w:lang w:val="en-GB"/>
              </w:rPr>
              <w:t>: TG</w:t>
            </w:r>
            <w:r w:rsidR="00906EC0"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t</w:t>
            </w:r>
            <w:r w:rsidRPr="00482722">
              <w:rPr>
                <w:rFonts w:ascii="Arial" w:hAnsi="Arial" w:cs="Arial"/>
                <w:sz w:val="20"/>
                <w:szCs w:val="20"/>
                <w:lang w:val="en-GB"/>
              </w:rPr>
              <w:t>rust in government</w:t>
            </w:r>
            <w:r w:rsidR="00906EC0" w:rsidRPr="00482722">
              <w:rPr>
                <w:rFonts w:ascii="Arial" w:hAnsi="Arial" w:cs="Arial"/>
                <w:sz w:val="20"/>
                <w:szCs w:val="20"/>
                <w:lang w:val="en-GB"/>
              </w:rPr>
              <w:t>;</w:t>
            </w:r>
            <w:r w:rsidRPr="00482722">
              <w:rPr>
                <w:rFonts w:ascii="Arial" w:hAnsi="Arial" w:cs="Arial"/>
                <w:sz w:val="20"/>
                <w:szCs w:val="20"/>
                <w:lang w:val="en-GB"/>
              </w:rPr>
              <w:t xml:space="preserve"> DT</w:t>
            </w:r>
            <w:r w:rsidR="00EA780F"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d</w:t>
            </w:r>
            <w:r w:rsidRPr="00482722">
              <w:rPr>
                <w:rFonts w:ascii="Arial" w:hAnsi="Arial" w:cs="Arial"/>
                <w:sz w:val="20"/>
                <w:szCs w:val="20"/>
                <w:lang w:val="en-GB"/>
              </w:rPr>
              <w:t>isposition to trust</w:t>
            </w:r>
            <w:r w:rsidR="00EA780F" w:rsidRPr="00482722">
              <w:rPr>
                <w:rFonts w:ascii="Arial" w:hAnsi="Arial" w:cs="Arial"/>
                <w:sz w:val="20"/>
                <w:szCs w:val="20"/>
                <w:lang w:val="en-GB"/>
              </w:rPr>
              <w:t>;</w:t>
            </w:r>
            <w:r w:rsidRPr="00482722">
              <w:rPr>
                <w:rFonts w:ascii="Arial" w:hAnsi="Arial" w:cs="Arial"/>
                <w:sz w:val="20"/>
                <w:szCs w:val="20"/>
                <w:lang w:val="en-GB"/>
              </w:rPr>
              <w:t xml:space="preserve"> SQ</w:t>
            </w:r>
            <w:r w:rsidR="00EA780F"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s</w:t>
            </w:r>
            <w:r w:rsidRPr="00482722">
              <w:rPr>
                <w:rFonts w:ascii="Arial" w:hAnsi="Arial" w:cs="Arial"/>
                <w:sz w:val="20"/>
                <w:szCs w:val="20"/>
                <w:lang w:val="en-GB"/>
              </w:rPr>
              <w:t>ervice quality</w:t>
            </w:r>
            <w:r w:rsidR="00EA780F" w:rsidRPr="00482722">
              <w:rPr>
                <w:rFonts w:ascii="Arial" w:hAnsi="Arial" w:cs="Arial"/>
                <w:sz w:val="20"/>
                <w:szCs w:val="20"/>
                <w:lang w:val="en-GB"/>
              </w:rPr>
              <w:t>;</w:t>
            </w:r>
            <w:r w:rsidRPr="00482722">
              <w:rPr>
                <w:rFonts w:ascii="Arial" w:hAnsi="Arial" w:cs="Arial"/>
                <w:sz w:val="20"/>
                <w:szCs w:val="20"/>
                <w:lang w:val="en-GB"/>
              </w:rPr>
              <w:t xml:space="preserve"> TEG</w:t>
            </w:r>
            <w:r w:rsidR="00EA780F"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t</w:t>
            </w:r>
            <w:r w:rsidRPr="00482722">
              <w:rPr>
                <w:rFonts w:ascii="Arial" w:hAnsi="Arial" w:cs="Arial"/>
                <w:sz w:val="20"/>
                <w:szCs w:val="20"/>
                <w:lang w:val="en-GB"/>
              </w:rPr>
              <w:t>rust in e-government services</w:t>
            </w:r>
            <w:r w:rsidR="00EA780F" w:rsidRPr="00482722">
              <w:rPr>
                <w:rFonts w:ascii="Arial" w:hAnsi="Arial" w:cs="Arial"/>
                <w:sz w:val="20"/>
                <w:szCs w:val="20"/>
                <w:lang w:val="en-GB"/>
              </w:rPr>
              <w:t>;</w:t>
            </w:r>
            <w:r w:rsidRPr="00482722">
              <w:rPr>
                <w:rFonts w:ascii="Arial" w:hAnsi="Arial" w:cs="Arial"/>
                <w:sz w:val="20"/>
                <w:szCs w:val="20"/>
                <w:lang w:val="en-GB"/>
              </w:rPr>
              <w:t xml:space="preserve"> CS</w:t>
            </w:r>
            <w:r w:rsidR="00EA780F"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c</w:t>
            </w:r>
            <w:r w:rsidRPr="00482722">
              <w:rPr>
                <w:rFonts w:ascii="Arial" w:hAnsi="Arial" w:cs="Arial"/>
                <w:sz w:val="20"/>
                <w:szCs w:val="20"/>
                <w:lang w:val="en-GB"/>
              </w:rPr>
              <w:t>itizen satisfaction</w:t>
            </w:r>
            <w:r w:rsidR="00334ECA" w:rsidRPr="00482722">
              <w:rPr>
                <w:rFonts w:ascii="Arial" w:hAnsi="Arial" w:cs="Arial"/>
                <w:sz w:val="20"/>
                <w:szCs w:val="20"/>
                <w:lang w:val="en-GB"/>
              </w:rPr>
              <w:t>;</w:t>
            </w:r>
            <w:r w:rsidRPr="00482722">
              <w:rPr>
                <w:rFonts w:ascii="Arial" w:hAnsi="Arial" w:cs="Arial"/>
                <w:sz w:val="20"/>
                <w:szCs w:val="20"/>
                <w:lang w:val="en-GB"/>
              </w:rPr>
              <w:t xml:space="preserve"> CL</w:t>
            </w:r>
            <w:r w:rsidR="00334ECA" w:rsidRPr="00482722">
              <w:rPr>
                <w:rFonts w:ascii="Arial" w:hAnsi="Arial" w:cs="Arial"/>
                <w:sz w:val="20"/>
                <w:szCs w:val="20"/>
                <w:lang w:val="en-GB"/>
              </w:rPr>
              <w:t>,</w:t>
            </w:r>
            <w:r w:rsidRPr="00482722">
              <w:rPr>
                <w:rFonts w:ascii="Arial" w:hAnsi="Arial" w:cs="Arial"/>
                <w:sz w:val="20"/>
                <w:szCs w:val="20"/>
                <w:lang w:val="en-GB"/>
              </w:rPr>
              <w:t xml:space="preserve"> </w:t>
            </w:r>
            <w:r w:rsidR="007A6A98" w:rsidRPr="00482722">
              <w:rPr>
                <w:rFonts w:ascii="Arial" w:hAnsi="Arial" w:cs="Arial"/>
                <w:sz w:val="20"/>
                <w:szCs w:val="20"/>
                <w:lang w:val="en-GB"/>
              </w:rPr>
              <w:t>c</w:t>
            </w:r>
            <w:r w:rsidRPr="00482722">
              <w:rPr>
                <w:rFonts w:ascii="Arial" w:hAnsi="Arial" w:cs="Arial"/>
                <w:sz w:val="20"/>
                <w:szCs w:val="20"/>
                <w:lang w:val="en-GB"/>
              </w:rPr>
              <w:t>itizen loyalty</w:t>
            </w:r>
          </w:p>
        </w:tc>
      </w:tr>
    </w:tbl>
    <w:p w14:paraId="0FCCACD5" w14:textId="119A4308" w:rsidR="00283F7B" w:rsidRPr="00482722" w:rsidRDefault="00283F7B" w:rsidP="00DA5EEC">
      <w:pPr>
        <w:spacing w:line="240" w:lineRule="auto"/>
        <w:rPr>
          <w:rFonts w:ascii="Arial" w:hAnsi="Arial" w:cs="Arial"/>
          <w:sz w:val="20"/>
          <w:szCs w:val="20"/>
        </w:rPr>
      </w:pPr>
    </w:p>
    <w:p w14:paraId="3A0F2D10" w14:textId="693336B1" w:rsidR="00283F7B" w:rsidRPr="00482722" w:rsidRDefault="00283F7B" w:rsidP="006D31B5">
      <w:pPr>
        <w:pStyle w:val="Heading2"/>
      </w:pPr>
      <w:bookmarkStart w:id="17" w:name="_Hlk65445318"/>
      <w:r w:rsidRPr="00482722">
        <w:t xml:space="preserve">Measurement </w:t>
      </w:r>
      <w:r w:rsidR="007A0D74" w:rsidRPr="00482722">
        <w:t>m</w:t>
      </w:r>
      <w:r w:rsidRPr="00482722">
        <w:t>odel</w:t>
      </w:r>
    </w:p>
    <w:bookmarkEnd w:id="17"/>
    <w:p w14:paraId="0773DA28" w14:textId="42573D80" w:rsidR="006B4CCD" w:rsidRPr="00482722" w:rsidRDefault="006B4CCD" w:rsidP="00DA5EEC">
      <w:pPr>
        <w:spacing w:line="240" w:lineRule="auto"/>
        <w:jc w:val="both"/>
        <w:rPr>
          <w:rFonts w:ascii="Arial" w:hAnsi="Arial" w:cs="Arial"/>
          <w:sz w:val="20"/>
          <w:szCs w:val="20"/>
        </w:rPr>
      </w:pPr>
      <w:r w:rsidRPr="00482722">
        <w:rPr>
          <w:rFonts w:ascii="Arial" w:hAnsi="Arial" w:cs="Arial"/>
          <w:sz w:val="20"/>
          <w:szCs w:val="20"/>
        </w:rPr>
        <w:t>A potential threat to the validity of results may be expected with a survey that contains perceptual questions (Podsakoff et al., 2003)</w:t>
      </w:r>
      <w:r w:rsidR="007A6A98" w:rsidRPr="00482722">
        <w:rPr>
          <w:rFonts w:ascii="Arial" w:hAnsi="Arial" w:cs="Arial"/>
          <w:sz w:val="20"/>
          <w:szCs w:val="20"/>
        </w:rPr>
        <w:t>. Hence,</w:t>
      </w:r>
      <w:r w:rsidRPr="00482722">
        <w:rPr>
          <w:rFonts w:ascii="Arial" w:hAnsi="Arial" w:cs="Arial"/>
          <w:sz w:val="20"/>
          <w:szCs w:val="20"/>
        </w:rPr>
        <w:t xml:space="preserve"> </w:t>
      </w:r>
      <w:r w:rsidR="00D566A3" w:rsidRPr="00482722">
        <w:rPr>
          <w:rFonts w:ascii="Arial" w:hAnsi="Arial" w:cs="Arial"/>
          <w:sz w:val="20"/>
          <w:szCs w:val="20"/>
        </w:rPr>
        <w:t>the common</w:t>
      </w:r>
      <w:r w:rsidRPr="00482722">
        <w:rPr>
          <w:rFonts w:ascii="Arial" w:hAnsi="Arial" w:cs="Arial"/>
          <w:sz w:val="20"/>
          <w:szCs w:val="20"/>
        </w:rPr>
        <w:t xml:space="preserve"> method bias (CMB) test was conducted. CMB indicates any bias in the data set that might be caused by external sources </w:t>
      </w:r>
      <w:r w:rsidR="00F2100B" w:rsidRPr="00482722">
        <w:rPr>
          <w:rFonts w:ascii="Arial" w:hAnsi="Arial" w:cs="Arial"/>
          <w:sz w:val="20"/>
          <w:szCs w:val="20"/>
        </w:rPr>
        <w:t xml:space="preserve">that </w:t>
      </w:r>
      <w:r w:rsidRPr="00482722">
        <w:rPr>
          <w:rFonts w:ascii="Arial" w:hAnsi="Arial" w:cs="Arial"/>
          <w:sz w:val="20"/>
          <w:szCs w:val="20"/>
        </w:rPr>
        <w:t xml:space="preserve">could influence the answers of the respondents. A data set that is affected by </w:t>
      </w:r>
      <w:r w:rsidR="000D5AB2" w:rsidRPr="00482722">
        <w:rPr>
          <w:rFonts w:ascii="Arial" w:hAnsi="Arial" w:cs="Arial"/>
          <w:sz w:val="20"/>
          <w:szCs w:val="20"/>
        </w:rPr>
        <w:t>CMB</w:t>
      </w:r>
      <w:r w:rsidRPr="00482722">
        <w:rPr>
          <w:rFonts w:ascii="Arial" w:hAnsi="Arial" w:cs="Arial"/>
          <w:sz w:val="20"/>
          <w:szCs w:val="20"/>
        </w:rPr>
        <w:t xml:space="preserve"> is one in which most of the variance can be explained by one factor (Podsakoff et al., 2003). This research employed Harman</w:t>
      </w:r>
      <w:r w:rsidR="00F2100B" w:rsidRPr="00482722">
        <w:rPr>
          <w:rFonts w:ascii="Arial" w:hAnsi="Arial" w:cs="Arial"/>
          <w:sz w:val="20"/>
          <w:szCs w:val="20"/>
        </w:rPr>
        <w:t>’</w:t>
      </w:r>
      <w:r w:rsidRPr="00482722">
        <w:rPr>
          <w:rFonts w:ascii="Arial" w:hAnsi="Arial" w:cs="Arial"/>
          <w:sz w:val="20"/>
          <w:szCs w:val="20"/>
        </w:rPr>
        <w:t>s single factor to test 21</w:t>
      </w:r>
      <w:r w:rsidR="00F2100B" w:rsidRPr="00482722">
        <w:rPr>
          <w:rFonts w:ascii="Arial" w:hAnsi="Arial" w:cs="Arial"/>
          <w:sz w:val="20"/>
          <w:szCs w:val="20"/>
        </w:rPr>
        <w:t xml:space="preserve"> </w:t>
      </w:r>
      <w:r w:rsidRPr="00482722">
        <w:rPr>
          <w:rFonts w:ascii="Arial" w:hAnsi="Arial" w:cs="Arial"/>
          <w:sz w:val="20"/>
          <w:szCs w:val="20"/>
        </w:rPr>
        <w:t>scale</w:t>
      </w:r>
      <w:r w:rsidR="00F2100B" w:rsidRPr="00482722">
        <w:rPr>
          <w:rFonts w:ascii="Arial" w:hAnsi="Arial" w:cs="Arial"/>
          <w:sz w:val="20"/>
          <w:szCs w:val="20"/>
        </w:rPr>
        <w:t xml:space="preserve"> </w:t>
      </w:r>
      <w:r w:rsidRPr="00482722">
        <w:rPr>
          <w:rFonts w:ascii="Arial" w:hAnsi="Arial" w:cs="Arial"/>
          <w:sz w:val="20"/>
          <w:szCs w:val="20"/>
        </w:rPr>
        <w:t xml:space="preserve">items for </w:t>
      </w:r>
      <w:r w:rsidR="000D5AB2" w:rsidRPr="00482722">
        <w:rPr>
          <w:rFonts w:ascii="Arial" w:hAnsi="Arial" w:cs="Arial"/>
          <w:sz w:val="20"/>
          <w:szCs w:val="20"/>
        </w:rPr>
        <w:t>CMB</w:t>
      </w:r>
      <w:r w:rsidRPr="00482722">
        <w:rPr>
          <w:rFonts w:ascii="Arial" w:hAnsi="Arial" w:cs="Arial"/>
          <w:sz w:val="20"/>
          <w:szCs w:val="20"/>
        </w:rPr>
        <w:t xml:space="preserve"> (Harman, 1976). The maximum explained variance by a single factor was 41.81 per</w:t>
      </w:r>
      <w:r w:rsidR="00BD142C" w:rsidRPr="00482722">
        <w:rPr>
          <w:rFonts w:ascii="Arial" w:hAnsi="Arial" w:cs="Arial"/>
          <w:sz w:val="20"/>
          <w:szCs w:val="20"/>
        </w:rPr>
        <w:t xml:space="preserve"> </w:t>
      </w:r>
      <w:r w:rsidRPr="00482722">
        <w:rPr>
          <w:rFonts w:ascii="Arial" w:hAnsi="Arial" w:cs="Arial"/>
          <w:sz w:val="20"/>
          <w:szCs w:val="20"/>
        </w:rPr>
        <w:t>cent, which is less than the threshold of 50 per</w:t>
      </w:r>
      <w:r w:rsidR="00BD142C" w:rsidRPr="00482722">
        <w:rPr>
          <w:rFonts w:ascii="Arial" w:hAnsi="Arial" w:cs="Arial"/>
          <w:sz w:val="20"/>
          <w:szCs w:val="20"/>
        </w:rPr>
        <w:t xml:space="preserve"> </w:t>
      </w:r>
      <w:r w:rsidRPr="00482722">
        <w:rPr>
          <w:rFonts w:ascii="Arial" w:hAnsi="Arial" w:cs="Arial"/>
          <w:sz w:val="20"/>
          <w:szCs w:val="20"/>
        </w:rPr>
        <w:t xml:space="preserve">cent. </w:t>
      </w:r>
      <w:r w:rsidR="00F2100B" w:rsidRPr="00482722">
        <w:rPr>
          <w:rFonts w:ascii="Arial" w:hAnsi="Arial" w:cs="Arial"/>
          <w:sz w:val="20"/>
          <w:szCs w:val="20"/>
        </w:rPr>
        <w:t>Therefore, t</w:t>
      </w:r>
      <w:r w:rsidRPr="00482722">
        <w:rPr>
          <w:rFonts w:ascii="Arial" w:hAnsi="Arial" w:cs="Arial"/>
          <w:sz w:val="20"/>
          <w:szCs w:val="20"/>
        </w:rPr>
        <w:t>his is a strong indication that CMB was not present in the data set of the current study (Podsakoff et al., 2003; Harman, 1976).</w:t>
      </w:r>
    </w:p>
    <w:p w14:paraId="7845DBBB" w14:textId="3D58D3CB" w:rsidR="006868D0" w:rsidRPr="00482722" w:rsidRDefault="007A6A98" w:rsidP="00DA5EEC">
      <w:pPr>
        <w:spacing w:line="240" w:lineRule="auto"/>
        <w:jc w:val="both"/>
        <w:rPr>
          <w:rFonts w:ascii="Arial" w:hAnsi="Arial" w:cs="Arial"/>
          <w:sz w:val="20"/>
          <w:szCs w:val="20"/>
        </w:rPr>
      </w:pPr>
      <w:r w:rsidRPr="00482722">
        <w:rPr>
          <w:rFonts w:ascii="Arial" w:hAnsi="Arial" w:cs="Arial"/>
          <w:sz w:val="20"/>
          <w:szCs w:val="20"/>
        </w:rPr>
        <w:t>We used c</w:t>
      </w:r>
      <w:r w:rsidR="00E7495D" w:rsidRPr="00482722">
        <w:rPr>
          <w:rFonts w:ascii="Arial" w:hAnsi="Arial" w:cs="Arial"/>
          <w:sz w:val="20"/>
          <w:szCs w:val="20"/>
        </w:rPr>
        <w:t xml:space="preserve">onfirmatory </w:t>
      </w:r>
      <w:r w:rsidR="00EE158B" w:rsidRPr="00482722">
        <w:rPr>
          <w:rFonts w:ascii="Arial" w:hAnsi="Arial" w:cs="Arial"/>
          <w:sz w:val="20"/>
          <w:szCs w:val="20"/>
        </w:rPr>
        <w:t>f</w:t>
      </w:r>
      <w:r w:rsidR="00E7495D" w:rsidRPr="00482722">
        <w:rPr>
          <w:rFonts w:ascii="Arial" w:hAnsi="Arial" w:cs="Arial"/>
          <w:sz w:val="20"/>
          <w:szCs w:val="20"/>
        </w:rPr>
        <w:t xml:space="preserve">actor </w:t>
      </w:r>
      <w:r w:rsidR="00EE158B" w:rsidRPr="00482722">
        <w:rPr>
          <w:rFonts w:ascii="Arial" w:hAnsi="Arial" w:cs="Arial"/>
          <w:sz w:val="20"/>
          <w:szCs w:val="20"/>
        </w:rPr>
        <w:t>a</w:t>
      </w:r>
      <w:r w:rsidR="00E7495D" w:rsidRPr="00482722">
        <w:rPr>
          <w:rFonts w:ascii="Arial" w:hAnsi="Arial" w:cs="Arial"/>
          <w:sz w:val="20"/>
          <w:szCs w:val="20"/>
        </w:rPr>
        <w:t xml:space="preserve">nalysis </w:t>
      </w:r>
      <w:r w:rsidR="00283F7B" w:rsidRPr="00482722">
        <w:rPr>
          <w:rFonts w:ascii="Arial" w:hAnsi="Arial" w:cs="Arial"/>
          <w:sz w:val="20"/>
          <w:szCs w:val="20"/>
        </w:rPr>
        <w:t>to specify how each group of the observed items</w:t>
      </w:r>
      <w:r w:rsidRPr="00482722">
        <w:rPr>
          <w:rFonts w:ascii="Arial" w:hAnsi="Arial" w:cs="Arial"/>
          <w:sz w:val="20"/>
          <w:szCs w:val="20"/>
        </w:rPr>
        <w:t xml:space="preserve"> </w:t>
      </w:r>
      <w:r w:rsidR="00283F7B" w:rsidRPr="00482722">
        <w:rPr>
          <w:rFonts w:ascii="Arial" w:hAnsi="Arial" w:cs="Arial"/>
          <w:sz w:val="20"/>
          <w:szCs w:val="20"/>
        </w:rPr>
        <w:t>depended on its construct</w:t>
      </w:r>
      <w:r w:rsidRPr="00482722">
        <w:rPr>
          <w:rFonts w:ascii="Arial" w:hAnsi="Arial" w:cs="Arial"/>
          <w:sz w:val="20"/>
          <w:szCs w:val="20"/>
        </w:rPr>
        <w:t xml:space="preserve"> </w:t>
      </w:r>
      <w:r w:rsidR="00D566A3" w:rsidRPr="00482722">
        <w:rPr>
          <w:rFonts w:ascii="Arial" w:hAnsi="Arial" w:cs="Arial"/>
          <w:sz w:val="20"/>
          <w:szCs w:val="20"/>
        </w:rPr>
        <w:t>and to</w:t>
      </w:r>
      <w:r w:rsidR="00283F7B" w:rsidRPr="00482722">
        <w:rPr>
          <w:rFonts w:ascii="Arial" w:hAnsi="Arial" w:cs="Arial"/>
          <w:sz w:val="20"/>
          <w:szCs w:val="20"/>
        </w:rPr>
        <w:t xml:space="preserve"> assess the convergent</w:t>
      </w:r>
      <w:r w:rsidRPr="00482722">
        <w:rPr>
          <w:rFonts w:ascii="Arial" w:hAnsi="Arial" w:cs="Arial"/>
          <w:sz w:val="20"/>
          <w:szCs w:val="20"/>
        </w:rPr>
        <w:t xml:space="preserve"> </w:t>
      </w:r>
      <w:r w:rsidR="00283F7B" w:rsidRPr="00482722">
        <w:rPr>
          <w:rFonts w:ascii="Arial" w:hAnsi="Arial" w:cs="Arial"/>
          <w:sz w:val="20"/>
          <w:szCs w:val="20"/>
        </w:rPr>
        <w:t xml:space="preserve">and discriminant validity of the scales. Convergent validity refers to the extent to which each measurement item correlates with its theoretical construct, whereas discriminant validity measures the degree to which two theoretical constructs are uncorrelated (Anderson </w:t>
      </w:r>
      <w:r w:rsidR="002D35B9" w:rsidRPr="00482722">
        <w:rPr>
          <w:rFonts w:ascii="Arial" w:hAnsi="Arial" w:cs="Arial"/>
          <w:sz w:val="20"/>
          <w:szCs w:val="20"/>
        </w:rPr>
        <w:t>and</w:t>
      </w:r>
      <w:r w:rsidR="00283F7B" w:rsidRPr="00482722">
        <w:rPr>
          <w:rFonts w:ascii="Arial" w:hAnsi="Arial" w:cs="Arial"/>
          <w:sz w:val="20"/>
          <w:szCs w:val="20"/>
        </w:rPr>
        <w:t xml:space="preserve"> Gerbing, 1988). Table </w:t>
      </w:r>
      <w:r w:rsidR="00F75BB7" w:rsidRPr="00482722">
        <w:rPr>
          <w:rFonts w:ascii="Arial" w:hAnsi="Arial" w:cs="Arial"/>
          <w:sz w:val="20"/>
          <w:szCs w:val="20"/>
        </w:rPr>
        <w:t>V</w:t>
      </w:r>
      <w:r w:rsidR="00283F7B" w:rsidRPr="00482722">
        <w:rPr>
          <w:rFonts w:ascii="Arial" w:hAnsi="Arial" w:cs="Arial"/>
          <w:sz w:val="20"/>
          <w:szCs w:val="20"/>
        </w:rPr>
        <w:t xml:space="preserve"> presents </w:t>
      </w:r>
      <w:r w:rsidR="008A41EC" w:rsidRPr="00482722">
        <w:rPr>
          <w:rFonts w:ascii="Arial" w:hAnsi="Arial" w:cs="Arial"/>
          <w:sz w:val="20"/>
          <w:szCs w:val="20"/>
        </w:rPr>
        <w:t xml:space="preserve">the </w:t>
      </w:r>
      <w:r w:rsidR="00283F7B" w:rsidRPr="00482722">
        <w:rPr>
          <w:rFonts w:ascii="Arial" w:hAnsi="Arial" w:cs="Arial"/>
          <w:sz w:val="20"/>
          <w:szCs w:val="20"/>
        </w:rPr>
        <w:t>standardi</w:t>
      </w:r>
      <w:r w:rsidRPr="00482722">
        <w:rPr>
          <w:rFonts w:ascii="Arial" w:hAnsi="Arial" w:cs="Arial"/>
          <w:sz w:val="20"/>
          <w:szCs w:val="20"/>
        </w:rPr>
        <w:t>s</w:t>
      </w:r>
      <w:r w:rsidR="00283F7B" w:rsidRPr="00482722">
        <w:rPr>
          <w:rFonts w:ascii="Arial" w:hAnsi="Arial" w:cs="Arial"/>
          <w:sz w:val="20"/>
          <w:szCs w:val="20"/>
        </w:rPr>
        <w:t xml:space="preserve">ed factor loadings (FL), average variance extracted (AVE) and composite reliability (CR) for the purpose of assessing convergent validity. </w:t>
      </w:r>
      <w:r w:rsidR="006868D0" w:rsidRPr="00482722">
        <w:rPr>
          <w:rFonts w:ascii="Arial" w:hAnsi="Arial" w:cs="Arial"/>
          <w:sz w:val="20"/>
          <w:szCs w:val="20"/>
        </w:rPr>
        <w:t xml:space="preserve">All the factor loadings were greater than the minimum value (0.70), as recommended by Hair et al. (1995) and Nunnally (1993), for their predefined constructs. The AVE values of all </w:t>
      </w:r>
      <w:r w:rsidR="008A41EC" w:rsidRPr="00482722">
        <w:rPr>
          <w:rFonts w:ascii="Arial" w:hAnsi="Arial" w:cs="Arial"/>
          <w:sz w:val="20"/>
          <w:szCs w:val="20"/>
        </w:rPr>
        <w:t xml:space="preserve">the </w:t>
      </w:r>
      <w:r w:rsidR="006868D0" w:rsidRPr="00482722">
        <w:rPr>
          <w:rFonts w:ascii="Arial" w:hAnsi="Arial" w:cs="Arial"/>
          <w:sz w:val="20"/>
          <w:szCs w:val="20"/>
        </w:rPr>
        <w:t>constructs were greater than 0.5,</w:t>
      </w:r>
      <w:r w:rsidR="008A41EC" w:rsidRPr="00482722">
        <w:rPr>
          <w:rFonts w:ascii="Arial" w:hAnsi="Arial" w:cs="Arial"/>
          <w:sz w:val="20"/>
          <w:szCs w:val="20"/>
        </w:rPr>
        <w:t xml:space="preserve"> and</w:t>
      </w:r>
      <w:r w:rsidR="006868D0" w:rsidRPr="00482722">
        <w:rPr>
          <w:rFonts w:ascii="Arial" w:hAnsi="Arial" w:cs="Arial"/>
          <w:sz w:val="20"/>
          <w:szCs w:val="20"/>
        </w:rPr>
        <w:t xml:space="preserve"> the CR values of all the constructs exceeded 0.70 and were greater than AVE for each factor; this means that convergent validity was established (Hair et al, 1995; Bagozzi </w:t>
      </w:r>
      <w:r w:rsidR="002D35B9" w:rsidRPr="00482722">
        <w:rPr>
          <w:rFonts w:ascii="Arial" w:hAnsi="Arial" w:cs="Arial"/>
          <w:sz w:val="20"/>
          <w:szCs w:val="20"/>
        </w:rPr>
        <w:t>and</w:t>
      </w:r>
      <w:r w:rsidR="006868D0" w:rsidRPr="00482722">
        <w:rPr>
          <w:rFonts w:ascii="Arial" w:hAnsi="Arial" w:cs="Arial"/>
          <w:sz w:val="20"/>
          <w:szCs w:val="20"/>
        </w:rPr>
        <w:t xml:space="preserve"> Yi, 1988; Anderson </w:t>
      </w:r>
      <w:r w:rsidR="002D35B9" w:rsidRPr="00482722">
        <w:rPr>
          <w:rFonts w:ascii="Arial" w:hAnsi="Arial" w:cs="Arial"/>
          <w:sz w:val="20"/>
          <w:szCs w:val="20"/>
        </w:rPr>
        <w:t>and</w:t>
      </w:r>
      <w:r w:rsidR="006868D0" w:rsidRPr="00482722">
        <w:rPr>
          <w:rFonts w:ascii="Arial" w:hAnsi="Arial" w:cs="Arial"/>
          <w:sz w:val="20"/>
          <w:szCs w:val="20"/>
        </w:rPr>
        <w:t xml:space="preserve"> Gerbing, 1988; Fornell </w:t>
      </w:r>
      <w:r w:rsidR="002D35B9" w:rsidRPr="00482722">
        <w:rPr>
          <w:rFonts w:ascii="Arial" w:hAnsi="Arial" w:cs="Arial"/>
          <w:sz w:val="20"/>
          <w:szCs w:val="20"/>
        </w:rPr>
        <w:t>and</w:t>
      </w:r>
      <w:r w:rsidR="006868D0" w:rsidRPr="00482722">
        <w:rPr>
          <w:rFonts w:ascii="Arial" w:hAnsi="Arial" w:cs="Arial"/>
          <w:sz w:val="20"/>
          <w:szCs w:val="20"/>
        </w:rPr>
        <w:t xml:space="preserve"> Larcker, 1981).</w:t>
      </w:r>
    </w:p>
    <w:p w14:paraId="1667B9A7" w14:textId="40C34B45" w:rsidR="006B4CCD" w:rsidRPr="00482722" w:rsidRDefault="007A6A98" w:rsidP="00DA5EEC">
      <w:pPr>
        <w:spacing w:line="240" w:lineRule="auto"/>
        <w:jc w:val="both"/>
        <w:rPr>
          <w:rFonts w:ascii="Arial" w:hAnsi="Arial" w:cs="Arial"/>
          <w:sz w:val="20"/>
          <w:szCs w:val="20"/>
        </w:rPr>
      </w:pPr>
      <w:r w:rsidRPr="00482722">
        <w:rPr>
          <w:rFonts w:ascii="Arial" w:hAnsi="Arial" w:cs="Arial"/>
          <w:sz w:val="20"/>
          <w:szCs w:val="20"/>
        </w:rPr>
        <w:t>We assessed t</w:t>
      </w:r>
      <w:r w:rsidR="006B4CCD" w:rsidRPr="00482722">
        <w:rPr>
          <w:rFonts w:ascii="Arial" w:hAnsi="Arial" w:cs="Arial"/>
          <w:sz w:val="20"/>
          <w:szCs w:val="20"/>
        </w:rPr>
        <w:t xml:space="preserve">he reliability of </w:t>
      </w:r>
      <w:r w:rsidR="008A41EC" w:rsidRPr="00482722">
        <w:rPr>
          <w:rFonts w:ascii="Arial" w:hAnsi="Arial" w:cs="Arial"/>
          <w:sz w:val="20"/>
          <w:szCs w:val="20"/>
        </w:rPr>
        <w:t xml:space="preserve">the </w:t>
      </w:r>
      <w:r w:rsidR="006B4CCD" w:rsidRPr="00482722">
        <w:rPr>
          <w:rFonts w:ascii="Arial" w:hAnsi="Arial" w:cs="Arial"/>
          <w:sz w:val="20"/>
          <w:szCs w:val="20"/>
        </w:rPr>
        <w:t xml:space="preserve">scale </w:t>
      </w:r>
      <w:r w:rsidR="008A41EC" w:rsidRPr="00482722">
        <w:rPr>
          <w:rFonts w:ascii="Arial" w:hAnsi="Arial" w:cs="Arial"/>
          <w:sz w:val="20"/>
          <w:szCs w:val="20"/>
        </w:rPr>
        <w:t>(</w:t>
      </w:r>
      <w:r w:rsidR="006B4CCD" w:rsidRPr="00482722">
        <w:rPr>
          <w:rFonts w:ascii="Arial" w:hAnsi="Arial" w:cs="Arial"/>
          <w:sz w:val="20"/>
          <w:szCs w:val="20"/>
        </w:rPr>
        <w:t>or internal consistency</w:t>
      </w:r>
      <w:r w:rsidR="008A41EC" w:rsidRPr="00482722">
        <w:rPr>
          <w:rFonts w:ascii="Arial" w:hAnsi="Arial" w:cs="Arial"/>
          <w:sz w:val="20"/>
          <w:szCs w:val="20"/>
        </w:rPr>
        <w:t>)</w:t>
      </w:r>
      <w:r w:rsidR="006B4CCD" w:rsidRPr="00482722">
        <w:rPr>
          <w:rFonts w:ascii="Arial" w:hAnsi="Arial" w:cs="Arial"/>
          <w:sz w:val="20"/>
          <w:szCs w:val="20"/>
        </w:rPr>
        <w:t xml:space="preserve"> using </w:t>
      </w:r>
      <w:r w:rsidR="008A41EC" w:rsidRPr="00482722">
        <w:rPr>
          <w:rFonts w:ascii="Arial" w:hAnsi="Arial" w:cs="Arial"/>
          <w:sz w:val="20"/>
          <w:szCs w:val="20"/>
        </w:rPr>
        <w:t xml:space="preserve">the </w:t>
      </w:r>
      <w:r w:rsidR="006B4CCD" w:rsidRPr="00482722">
        <w:rPr>
          <w:rFonts w:ascii="Arial" w:hAnsi="Arial" w:cs="Arial"/>
          <w:sz w:val="20"/>
          <w:szCs w:val="20"/>
        </w:rPr>
        <w:t xml:space="preserve">Cronbach’s </w:t>
      </w:r>
      <w:r w:rsidR="008A41EC" w:rsidRPr="00482722">
        <w:rPr>
          <w:rFonts w:ascii="Arial" w:hAnsi="Arial" w:cs="Arial"/>
          <w:sz w:val="20"/>
          <w:szCs w:val="20"/>
        </w:rPr>
        <w:t>a</w:t>
      </w:r>
      <w:r w:rsidR="006B4CCD" w:rsidRPr="00482722">
        <w:rPr>
          <w:rFonts w:ascii="Arial" w:hAnsi="Arial" w:cs="Arial"/>
          <w:sz w:val="20"/>
          <w:szCs w:val="20"/>
        </w:rPr>
        <w:t>lpha coefficient</w:t>
      </w:r>
      <w:r w:rsidR="008A41EC" w:rsidRPr="00482722">
        <w:rPr>
          <w:rFonts w:ascii="Arial" w:hAnsi="Arial" w:cs="Arial"/>
          <w:sz w:val="20"/>
          <w:szCs w:val="20"/>
        </w:rPr>
        <w:t>,</w:t>
      </w:r>
      <w:r w:rsidRPr="00482722">
        <w:rPr>
          <w:rFonts w:ascii="Arial" w:hAnsi="Arial" w:cs="Arial"/>
          <w:sz w:val="20"/>
          <w:szCs w:val="20"/>
        </w:rPr>
        <w:t xml:space="preserve"> which </w:t>
      </w:r>
      <w:r w:rsidR="006B4CCD" w:rsidRPr="00482722">
        <w:rPr>
          <w:rFonts w:ascii="Arial" w:hAnsi="Arial" w:cs="Arial"/>
          <w:sz w:val="20"/>
          <w:szCs w:val="20"/>
        </w:rPr>
        <w:t xml:space="preserve">indicates the average correlation among all the items in each construct and is a common indicator of </w:t>
      </w:r>
      <w:r w:rsidR="00275CD1" w:rsidRPr="00482722">
        <w:rPr>
          <w:rFonts w:ascii="Arial" w:hAnsi="Arial" w:cs="Arial"/>
          <w:sz w:val="20"/>
          <w:szCs w:val="20"/>
        </w:rPr>
        <w:t xml:space="preserve">the </w:t>
      </w:r>
      <w:r w:rsidR="006B4CCD" w:rsidRPr="00482722">
        <w:rPr>
          <w:rFonts w:ascii="Arial" w:hAnsi="Arial" w:cs="Arial"/>
          <w:sz w:val="20"/>
          <w:szCs w:val="20"/>
        </w:rPr>
        <w:t xml:space="preserve">internal consistency or scale reliability of items </w:t>
      </w:r>
      <w:r w:rsidR="00275CD1" w:rsidRPr="00482722">
        <w:rPr>
          <w:rFonts w:ascii="Arial" w:hAnsi="Arial" w:cs="Arial"/>
          <w:sz w:val="20"/>
          <w:szCs w:val="20"/>
        </w:rPr>
        <w:t xml:space="preserve">that </w:t>
      </w:r>
      <w:r w:rsidR="006B4CCD" w:rsidRPr="00482722">
        <w:rPr>
          <w:rFonts w:ascii="Arial" w:hAnsi="Arial" w:cs="Arial"/>
          <w:sz w:val="20"/>
          <w:szCs w:val="20"/>
        </w:rPr>
        <w:t>measure the same factor (Pallant, 2005; Zikmund, 1994</w:t>
      </w:r>
      <w:r w:rsidR="006B4CCD" w:rsidRPr="00482722">
        <w:rPr>
          <w:rFonts w:ascii="Arial" w:eastAsia="Times New Roman" w:hAnsi="Arial" w:cs="Arial"/>
          <w:sz w:val="20"/>
          <w:szCs w:val="20"/>
          <w:lang w:eastAsia="en-GB"/>
        </w:rPr>
        <w:t>; Nunnally, 1993</w:t>
      </w:r>
      <w:r w:rsidR="006B4CCD" w:rsidRPr="00482722">
        <w:rPr>
          <w:rFonts w:ascii="Arial" w:hAnsi="Arial" w:cs="Arial"/>
          <w:sz w:val="20"/>
          <w:szCs w:val="20"/>
        </w:rPr>
        <w:t xml:space="preserve">). For all constructs, </w:t>
      </w:r>
      <w:r w:rsidR="00275CD1" w:rsidRPr="00482722">
        <w:rPr>
          <w:rFonts w:ascii="Arial" w:hAnsi="Arial" w:cs="Arial"/>
          <w:sz w:val="20"/>
          <w:szCs w:val="20"/>
        </w:rPr>
        <w:t xml:space="preserve">the </w:t>
      </w:r>
      <w:r w:rsidR="006B4CCD" w:rsidRPr="00482722">
        <w:rPr>
          <w:rFonts w:ascii="Arial" w:hAnsi="Arial" w:cs="Arial"/>
          <w:sz w:val="20"/>
          <w:szCs w:val="20"/>
        </w:rPr>
        <w:t xml:space="preserve">Cronbach’s </w:t>
      </w:r>
      <w:r w:rsidR="00275CD1" w:rsidRPr="00482722">
        <w:rPr>
          <w:rFonts w:ascii="Arial" w:hAnsi="Arial" w:cs="Arial"/>
          <w:sz w:val="20"/>
          <w:szCs w:val="20"/>
        </w:rPr>
        <w:t>a</w:t>
      </w:r>
      <w:r w:rsidR="006B4CCD" w:rsidRPr="00482722">
        <w:rPr>
          <w:rFonts w:ascii="Arial" w:hAnsi="Arial" w:cs="Arial"/>
          <w:sz w:val="20"/>
          <w:szCs w:val="20"/>
        </w:rPr>
        <w:t xml:space="preserve">lpha values were </w:t>
      </w:r>
      <w:r w:rsidR="00275CD1" w:rsidRPr="00482722">
        <w:rPr>
          <w:rFonts w:ascii="Arial" w:hAnsi="Arial" w:cs="Arial"/>
          <w:sz w:val="20"/>
          <w:szCs w:val="20"/>
        </w:rPr>
        <w:t xml:space="preserve">higher </w:t>
      </w:r>
      <w:r w:rsidR="006B4CCD" w:rsidRPr="00482722">
        <w:rPr>
          <w:rFonts w:ascii="Arial" w:hAnsi="Arial" w:cs="Arial"/>
          <w:sz w:val="20"/>
          <w:szCs w:val="20"/>
        </w:rPr>
        <w:t>than the threshold of 0.70</w:t>
      </w:r>
      <w:r w:rsidR="00275CD1" w:rsidRPr="00482722">
        <w:rPr>
          <w:rFonts w:ascii="Arial" w:hAnsi="Arial" w:cs="Arial"/>
          <w:sz w:val="20"/>
          <w:szCs w:val="20"/>
        </w:rPr>
        <w:t>,</w:t>
      </w:r>
      <w:r w:rsidR="006B4CCD" w:rsidRPr="00482722">
        <w:rPr>
          <w:rFonts w:ascii="Arial" w:hAnsi="Arial" w:cs="Arial"/>
          <w:sz w:val="20"/>
          <w:szCs w:val="20"/>
        </w:rPr>
        <w:t xml:space="preserve"> with almost all </w:t>
      </w:r>
      <w:r w:rsidR="00275CD1" w:rsidRPr="00482722">
        <w:rPr>
          <w:rFonts w:ascii="Arial" w:hAnsi="Arial" w:cs="Arial"/>
          <w:sz w:val="20"/>
          <w:szCs w:val="20"/>
        </w:rPr>
        <w:t xml:space="preserve">of them </w:t>
      </w:r>
      <w:r w:rsidR="006B4CCD" w:rsidRPr="00482722">
        <w:rPr>
          <w:rFonts w:ascii="Arial" w:hAnsi="Arial" w:cs="Arial"/>
          <w:sz w:val="20"/>
          <w:szCs w:val="20"/>
        </w:rPr>
        <w:t>above 0.80</w:t>
      </w:r>
      <w:r w:rsidR="005E1A25" w:rsidRPr="00482722">
        <w:rPr>
          <w:rFonts w:ascii="Arial" w:hAnsi="Arial" w:cs="Arial"/>
          <w:sz w:val="20"/>
          <w:szCs w:val="20"/>
        </w:rPr>
        <w:t>; this</w:t>
      </w:r>
      <w:r w:rsidR="006B4CCD" w:rsidRPr="00482722">
        <w:rPr>
          <w:rFonts w:ascii="Arial" w:hAnsi="Arial" w:cs="Arial"/>
          <w:sz w:val="20"/>
          <w:szCs w:val="20"/>
        </w:rPr>
        <w:t xml:space="preserve"> reflect</w:t>
      </w:r>
      <w:r w:rsidR="005E1A25" w:rsidRPr="00482722">
        <w:rPr>
          <w:rFonts w:ascii="Arial" w:hAnsi="Arial" w:cs="Arial"/>
          <w:sz w:val="20"/>
          <w:szCs w:val="20"/>
        </w:rPr>
        <w:t>s an</w:t>
      </w:r>
      <w:r w:rsidR="006B4CCD" w:rsidRPr="00482722">
        <w:rPr>
          <w:rFonts w:ascii="Arial" w:hAnsi="Arial" w:cs="Arial"/>
          <w:sz w:val="20"/>
          <w:szCs w:val="20"/>
        </w:rPr>
        <w:t xml:space="preserve"> acceptable level of internal consistency (Nunnally 1993; Zikmund, 1994).</w:t>
      </w:r>
    </w:p>
    <w:p w14:paraId="06F5B256" w14:textId="77777777" w:rsidR="00B24D68" w:rsidRPr="00482722" w:rsidRDefault="00B24D68" w:rsidP="00DA5EEC">
      <w:pPr>
        <w:spacing w:line="240" w:lineRule="auto"/>
        <w:jc w:val="both"/>
        <w:rPr>
          <w:rFonts w:ascii="Arial" w:hAnsi="Arial" w:cs="Arial"/>
          <w:sz w:val="20"/>
          <w:szCs w:val="20"/>
        </w:rPr>
      </w:pPr>
    </w:p>
    <w:p w14:paraId="3818AC27" w14:textId="00582FB8" w:rsidR="00283F7B" w:rsidRPr="00482722" w:rsidRDefault="00283F7B"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F75BB7" w:rsidRPr="00482722">
        <w:rPr>
          <w:rFonts w:ascii="Arial" w:hAnsi="Arial" w:cs="Arial"/>
          <w:b/>
          <w:bCs/>
          <w:sz w:val="20"/>
          <w:szCs w:val="20"/>
        </w:rPr>
        <w:t>V</w:t>
      </w:r>
      <w:r w:rsidR="00167284" w:rsidRPr="00482722">
        <w:rPr>
          <w:rFonts w:ascii="Arial" w:hAnsi="Arial" w:cs="Arial"/>
          <w:b/>
          <w:bCs/>
          <w:sz w:val="20"/>
          <w:szCs w:val="20"/>
        </w:rPr>
        <w:t>.</w:t>
      </w:r>
      <w:r w:rsidRPr="00482722">
        <w:rPr>
          <w:rFonts w:ascii="Arial" w:hAnsi="Arial" w:cs="Arial"/>
          <w:sz w:val="20"/>
          <w:szCs w:val="20"/>
        </w:rPr>
        <w:t xml:space="preserve"> Measurement model results</w:t>
      </w:r>
    </w:p>
    <w:tbl>
      <w:tblPr>
        <w:tblStyle w:val="LightList-Accent5"/>
        <w:tblW w:w="8222" w:type="dxa"/>
        <w:tblBorders>
          <w:top w:val="single" w:sz="8" w:space="0" w:color="auto"/>
          <w:left w:val="none" w:sz="0" w:space="0" w:color="auto"/>
          <w:bottom w:val="single" w:sz="8" w:space="0" w:color="auto"/>
          <w:right w:val="none" w:sz="0" w:space="0" w:color="auto"/>
          <w:insideH w:val="single" w:sz="8" w:space="0" w:color="auto"/>
        </w:tblBorders>
        <w:tblLook w:val="0600" w:firstRow="0" w:lastRow="0" w:firstColumn="0" w:lastColumn="0" w:noHBand="1" w:noVBand="1"/>
      </w:tblPr>
      <w:tblGrid>
        <w:gridCol w:w="1551"/>
        <w:gridCol w:w="1068"/>
        <w:gridCol w:w="1756"/>
        <w:gridCol w:w="1036"/>
        <w:gridCol w:w="1036"/>
        <w:gridCol w:w="1775"/>
      </w:tblGrid>
      <w:tr w:rsidR="00482722" w:rsidRPr="00482722" w14:paraId="39AE4502" w14:textId="77777777" w:rsidTr="006D31B5">
        <w:tc>
          <w:tcPr>
            <w:tcW w:w="0" w:type="dxa"/>
            <w:tcBorders>
              <w:top w:val="single" w:sz="4" w:space="0" w:color="auto"/>
              <w:bottom w:val="single" w:sz="4" w:space="0" w:color="auto"/>
            </w:tcBorders>
            <w:shd w:val="clear" w:color="auto" w:fill="auto"/>
            <w:vAlign w:val="center"/>
          </w:tcPr>
          <w:p w14:paraId="2591361A" w14:textId="522B6096"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Construct</w:t>
            </w:r>
          </w:p>
        </w:tc>
        <w:tc>
          <w:tcPr>
            <w:tcW w:w="0" w:type="dxa"/>
            <w:tcBorders>
              <w:top w:val="single" w:sz="4" w:space="0" w:color="auto"/>
              <w:bottom w:val="single" w:sz="4" w:space="0" w:color="auto"/>
            </w:tcBorders>
            <w:shd w:val="clear" w:color="auto" w:fill="auto"/>
            <w:vAlign w:val="center"/>
          </w:tcPr>
          <w:p w14:paraId="4ED5466E" w14:textId="652543EA"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Item</w:t>
            </w:r>
          </w:p>
        </w:tc>
        <w:tc>
          <w:tcPr>
            <w:tcW w:w="0" w:type="dxa"/>
            <w:tcBorders>
              <w:top w:val="single" w:sz="4" w:space="0" w:color="auto"/>
              <w:bottom w:val="single" w:sz="4" w:space="0" w:color="auto"/>
            </w:tcBorders>
            <w:shd w:val="clear" w:color="auto" w:fill="auto"/>
            <w:vAlign w:val="center"/>
          </w:tcPr>
          <w:p w14:paraId="66FBD2A2" w14:textId="77777777" w:rsidR="00283F7B" w:rsidRPr="00482722" w:rsidRDefault="00283F7B" w:rsidP="00DA5EEC">
            <w:pPr>
              <w:jc w:val="center"/>
              <w:rPr>
                <w:rFonts w:ascii="Arial" w:hAnsi="Arial" w:cs="Arial"/>
                <w:b/>
                <w:bCs/>
                <w:sz w:val="20"/>
                <w:szCs w:val="20"/>
                <w:lang w:val="en-GB"/>
              </w:rPr>
            </w:pPr>
            <w:r w:rsidRPr="00482722">
              <w:rPr>
                <w:rFonts w:ascii="Arial" w:hAnsi="Arial" w:cs="Arial"/>
                <w:sz w:val="20"/>
                <w:szCs w:val="20"/>
                <w:lang w:val="en-GB"/>
              </w:rPr>
              <w:t>FL</w:t>
            </w:r>
          </w:p>
        </w:tc>
        <w:tc>
          <w:tcPr>
            <w:tcW w:w="0" w:type="dxa"/>
            <w:tcBorders>
              <w:top w:val="single" w:sz="4" w:space="0" w:color="auto"/>
              <w:bottom w:val="single" w:sz="4" w:space="0" w:color="auto"/>
            </w:tcBorders>
            <w:shd w:val="clear" w:color="auto" w:fill="auto"/>
            <w:vAlign w:val="center"/>
          </w:tcPr>
          <w:p w14:paraId="65CC8789" w14:textId="77777777" w:rsidR="00283F7B" w:rsidRPr="00482722" w:rsidRDefault="00283F7B" w:rsidP="00DA5EEC">
            <w:pPr>
              <w:jc w:val="center"/>
              <w:rPr>
                <w:rFonts w:ascii="Arial" w:hAnsi="Arial" w:cs="Arial"/>
                <w:b/>
                <w:bCs/>
                <w:sz w:val="20"/>
                <w:szCs w:val="20"/>
                <w:lang w:val="en-GB"/>
              </w:rPr>
            </w:pPr>
            <w:r w:rsidRPr="00482722">
              <w:rPr>
                <w:rFonts w:ascii="Arial" w:hAnsi="Arial" w:cs="Arial"/>
                <w:sz w:val="20"/>
                <w:szCs w:val="20"/>
                <w:lang w:val="en-GB"/>
              </w:rPr>
              <w:t>AVE</w:t>
            </w:r>
          </w:p>
        </w:tc>
        <w:tc>
          <w:tcPr>
            <w:tcW w:w="0" w:type="dxa"/>
            <w:tcBorders>
              <w:top w:val="single" w:sz="4" w:space="0" w:color="auto"/>
              <w:bottom w:val="single" w:sz="4" w:space="0" w:color="auto"/>
            </w:tcBorders>
            <w:shd w:val="clear" w:color="auto" w:fill="auto"/>
            <w:vAlign w:val="center"/>
          </w:tcPr>
          <w:p w14:paraId="7278882E" w14:textId="77777777" w:rsidR="00283F7B" w:rsidRPr="00482722" w:rsidRDefault="00283F7B" w:rsidP="00DA5EEC">
            <w:pPr>
              <w:jc w:val="center"/>
              <w:rPr>
                <w:rFonts w:ascii="Arial" w:hAnsi="Arial" w:cs="Arial"/>
                <w:b/>
                <w:bCs/>
                <w:sz w:val="20"/>
                <w:szCs w:val="20"/>
                <w:lang w:val="en-GB"/>
              </w:rPr>
            </w:pPr>
            <w:r w:rsidRPr="00482722">
              <w:rPr>
                <w:rFonts w:ascii="Arial" w:hAnsi="Arial" w:cs="Arial"/>
                <w:sz w:val="20"/>
                <w:szCs w:val="20"/>
                <w:lang w:val="en-GB"/>
              </w:rPr>
              <w:t>CR</w:t>
            </w:r>
          </w:p>
        </w:tc>
        <w:tc>
          <w:tcPr>
            <w:tcW w:w="0" w:type="dxa"/>
            <w:tcBorders>
              <w:top w:val="single" w:sz="4" w:space="0" w:color="auto"/>
              <w:bottom w:val="single" w:sz="4" w:space="0" w:color="auto"/>
            </w:tcBorders>
            <w:shd w:val="clear" w:color="auto" w:fill="auto"/>
            <w:vAlign w:val="center"/>
          </w:tcPr>
          <w:p w14:paraId="150D3EC1" w14:textId="77777777" w:rsidR="00283F7B" w:rsidRPr="00482722" w:rsidRDefault="00283F7B" w:rsidP="00DA5EEC">
            <w:pPr>
              <w:jc w:val="center"/>
              <w:rPr>
                <w:rFonts w:ascii="Arial" w:hAnsi="Arial" w:cs="Arial"/>
                <w:b/>
                <w:bCs/>
                <w:sz w:val="20"/>
                <w:szCs w:val="20"/>
                <w:lang w:val="en-GB"/>
              </w:rPr>
            </w:pPr>
            <w:r w:rsidRPr="00482722">
              <w:rPr>
                <w:rFonts w:ascii="Arial" w:hAnsi="Arial" w:cs="Arial"/>
                <w:sz w:val="20"/>
                <w:szCs w:val="20"/>
                <w:lang w:val="en-GB"/>
              </w:rPr>
              <w:t>Cronbach’s</w:t>
            </w:r>
          </w:p>
          <w:p w14:paraId="382D3746" w14:textId="61AB6609" w:rsidR="00283F7B" w:rsidRPr="00482722" w:rsidRDefault="00C33696" w:rsidP="00DA5EEC">
            <w:pPr>
              <w:jc w:val="center"/>
              <w:rPr>
                <w:rFonts w:ascii="Arial" w:hAnsi="Arial" w:cs="Arial"/>
                <w:b/>
                <w:bCs/>
                <w:sz w:val="20"/>
                <w:szCs w:val="20"/>
                <w:lang w:val="en-GB"/>
              </w:rPr>
            </w:pPr>
            <w:r w:rsidRPr="00482722">
              <w:rPr>
                <w:rFonts w:ascii="Arial" w:hAnsi="Arial" w:cs="Arial"/>
                <w:sz w:val="20"/>
                <w:szCs w:val="20"/>
                <w:lang w:val="en-GB"/>
              </w:rPr>
              <w:t>a</w:t>
            </w:r>
            <w:r w:rsidR="00283F7B" w:rsidRPr="00482722">
              <w:rPr>
                <w:rFonts w:ascii="Arial" w:hAnsi="Arial" w:cs="Arial"/>
                <w:sz w:val="20"/>
                <w:szCs w:val="20"/>
                <w:lang w:val="en-GB"/>
              </w:rPr>
              <w:t>lpha</w:t>
            </w:r>
          </w:p>
        </w:tc>
      </w:tr>
      <w:tr w:rsidR="00482722" w:rsidRPr="00482722" w14:paraId="6BF7FBED" w14:textId="77777777" w:rsidTr="006D31B5">
        <w:tc>
          <w:tcPr>
            <w:tcW w:w="0" w:type="dxa"/>
            <w:tcBorders>
              <w:top w:val="single" w:sz="4" w:space="0" w:color="auto"/>
              <w:bottom w:val="nil"/>
            </w:tcBorders>
            <w:shd w:val="clear" w:color="auto" w:fill="auto"/>
            <w:vAlign w:val="center"/>
          </w:tcPr>
          <w:p w14:paraId="5D63B497" w14:textId="77777777" w:rsidR="00AB5AA9" w:rsidRPr="00482722" w:rsidRDefault="00AB5AA9" w:rsidP="00DA5EEC">
            <w:pPr>
              <w:jc w:val="center"/>
              <w:rPr>
                <w:rFonts w:ascii="Arial" w:hAnsi="Arial" w:cs="Arial"/>
                <w:sz w:val="20"/>
                <w:szCs w:val="20"/>
              </w:rPr>
            </w:pPr>
          </w:p>
        </w:tc>
        <w:tc>
          <w:tcPr>
            <w:tcW w:w="0" w:type="dxa"/>
            <w:tcBorders>
              <w:top w:val="single" w:sz="4" w:space="0" w:color="auto"/>
              <w:bottom w:val="nil"/>
            </w:tcBorders>
            <w:shd w:val="clear" w:color="auto" w:fill="auto"/>
            <w:vAlign w:val="center"/>
          </w:tcPr>
          <w:p w14:paraId="5513DCE5" w14:textId="77777777" w:rsidR="00AB5AA9" w:rsidRPr="00482722" w:rsidRDefault="00AB5AA9" w:rsidP="00DA5EEC">
            <w:pPr>
              <w:jc w:val="center"/>
              <w:rPr>
                <w:rFonts w:ascii="Arial" w:hAnsi="Arial" w:cs="Arial"/>
                <w:sz w:val="20"/>
                <w:szCs w:val="20"/>
              </w:rPr>
            </w:pPr>
          </w:p>
        </w:tc>
        <w:tc>
          <w:tcPr>
            <w:tcW w:w="0" w:type="dxa"/>
            <w:tcBorders>
              <w:top w:val="single" w:sz="4" w:space="0" w:color="auto"/>
              <w:bottom w:val="nil"/>
            </w:tcBorders>
            <w:shd w:val="clear" w:color="auto" w:fill="auto"/>
            <w:vAlign w:val="center"/>
          </w:tcPr>
          <w:p w14:paraId="760E2770" w14:textId="77777777" w:rsidR="00AB5AA9" w:rsidRPr="00482722" w:rsidRDefault="00AB5AA9" w:rsidP="00DA5EEC">
            <w:pPr>
              <w:jc w:val="center"/>
              <w:rPr>
                <w:rFonts w:ascii="Arial" w:hAnsi="Arial" w:cs="Arial"/>
                <w:sz w:val="20"/>
                <w:szCs w:val="20"/>
              </w:rPr>
            </w:pPr>
          </w:p>
        </w:tc>
        <w:tc>
          <w:tcPr>
            <w:tcW w:w="0" w:type="dxa"/>
            <w:tcBorders>
              <w:top w:val="single" w:sz="4" w:space="0" w:color="auto"/>
              <w:bottom w:val="nil"/>
            </w:tcBorders>
            <w:shd w:val="clear" w:color="auto" w:fill="auto"/>
            <w:vAlign w:val="center"/>
          </w:tcPr>
          <w:p w14:paraId="180BE342" w14:textId="77777777" w:rsidR="00AB5AA9" w:rsidRPr="00482722" w:rsidRDefault="00AB5AA9" w:rsidP="00DA5EEC">
            <w:pPr>
              <w:jc w:val="center"/>
              <w:rPr>
                <w:rFonts w:ascii="Arial" w:hAnsi="Arial" w:cs="Arial"/>
                <w:sz w:val="20"/>
                <w:szCs w:val="20"/>
              </w:rPr>
            </w:pPr>
          </w:p>
        </w:tc>
        <w:tc>
          <w:tcPr>
            <w:tcW w:w="0" w:type="dxa"/>
            <w:tcBorders>
              <w:top w:val="single" w:sz="4" w:space="0" w:color="auto"/>
              <w:bottom w:val="nil"/>
            </w:tcBorders>
            <w:shd w:val="clear" w:color="auto" w:fill="auto"/>
            <w:vAlign w:val="center"/>
          </w:tcPr>
          <w:p w14:paraId="1B1A204A" w14:textId="77777777" w:rsidR="00AB5AA9" w:rsidRPr="00482722" w:rsidRDefault="00AB5AA9" w:rsidP="00DA5EEC">
            <w:pPr>
              <w:jc w:val="center"/>
              <w:rPr>
                <w:rFonts w:ascii="Arial" w:hAnsi="Arial" w:cs="Arial"/>
                <w:sz w:val="20"/>
                <w:szCs w:val="20"/>
              </w:rPr>
            </w:pPr>
          </w:p>
        </w:tc>
        <w:tc>
          <w:tcPr>
            <w:tcW w:w="0" w:type="dxa"/>
            <w:tcBorders>
              <w:top w:val="single" w:sz="4" w:space="0" w:color="auto"/>
              <w:bottom w:val="nil"/>
            </w:tcBorders>
            <w:shd w:val="clear" w:color="auto" w:fill="auto"/>
            <w:vAlign w:val="center"/>
          </w:tcPr>
          <w:p w14:paraId="54556B08" w14:textId="77777777" w:rsidR="00AB5AA9" w:rsidRPr="00482722" w:rsidRDefault="00AB5AA9" w:rsidP="00DA5EEC">
            <w:pPr>
              <w:jc w:val="center"/>
              <w:rPr>
                <w:rFonts w:ascii="Arial" w:hAnsi="Arial" w:cs="Arial"/>
                <w:sz w:val="20"/>
                <w:szCs w:val="20"/>
              </w:rPr>
            </w:pPr>
          </w:p>
        </w:tc>
      </w:tr>
      <w:tr w:rsidR="00482722" w:rsidRPr="00482722" w14:paraId="2A49A8AE" w14:textId="77777777" w:rsidTr="006D31B5">
        <w:tc>
          <w:tcPr>
            <w:tcW w:w="0" w:type="dxa"/>
            <w:vMerge w:val="restart"/>
            <w:tcBorders>
              <w:top w:val="nil"/>
              <w:bottom w:val="nil"/>
            </w:tcBorders>
            <w:shd w:val="clear" w:color="auto" w:fill="auto"/>
          </w:tcPr>
          <w:p w14:paraId="6D9A29A0"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TG</w:t>
            </w:r>
          </w:p>
        </w:tc>
        <w:tc>
          <w:tcPr>
            <w:tcW w:w="0" w:type="dxa"/>
            <w:tcBorders>
              <w:top w:val="nil"/>
              <w:bottom w:val="nil"/>
            </w:tcBorders>
            <w:shd w:val="clear" w:color="auto" w:fill="auto"/>
            <w:vAlign w:val="center"/>
          </w:tcPr>
          <w:p w14:paraId="4E3BDF67"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TG1</w:t>
            </w:r>
          </w:p>
        </w:tc>
        <w:tc>
          <w:tcPr>
            <w:tcW w:w="0" w:type="dxa"/>
            <w:tcBorders>
              <w:top w:val="nil"/>
              <w:bottom w:val="nil"/>
            </w:tcBorders>
            <w:shd w:val="clear" w:color="auto" w:fill="auto"/>
            <w:vAlign w:val="center"/>
          </w:tcPr>
          <w:p w14:paraId="69F64B0E"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0.878</w:t>
            </w:r>
          </w:p>
        </w:tc>
        <w:tc>
          <w:tcPr>
            <w:tcW w:w="0" w:type="dxa"/>
            <w:tcBorders>
              <w:top w:val="nil"/>
              <w:bottom w:val="nil"/>
            </w:tcBorders>
            <w:shd w:val="clear" w:color="auto" w:fill="auto"/>
            <w:vAlign w:val="center"/>
          </w:tcPr>
          <w:p w14:paraId="28AA53B8"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0.744</w:t>
            </w:r>
          </w:p>
        </w:tc>
        <w:tc>
          <w:tcPr>
            <w:tcW w:w="0" w:type="dxa"/>
            <w:tcBorders>
              <w:top w:val="nil"/>
              <w:bottom w:val="nil"/>
            </w:tcBorders>
            <w:shd w:val="clear" w:color="auto" w:fill="auto"/>
            <w:vAlign w:val="center"/>
          </w:tcPr>
          <w:p w14:paraId="295A8872"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0.921</w:t>
            </w:r>
          </w:p>
        </w:tc>
        <w:tc>
          <w:tcPr>
            <w:tcW w:w="0" w:type="dxa"/>
            <w:tcBorders>
              <w:top w:val="nil"/>
              <w:bottom w:val="nil"/>
            </w:tcBorders>
            <w:shd w:val="clear" w:color="auto" w:fill="auto"/>
            <w:vAlign w:val="center"/>
          </w:tcPr>
          <w:p w14:paraId="113145A6"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0.921</w:t>
            </w:r>
          </w:p>
        </w:tc>
      </w:tr>
      <w:tr w:rsidR="00482722" w:rsidRPr="00482722" w14:paraId="370389D0" w14:textId="77777777" w:rsidTr="006D31B5">
        <w:tc>
          <w:tcPr>
            <w:tcW w:w="0" w:type="dxa"/>
            <w:vMerge/>
            <w:tcBorders>
              <w:top w:val="nil"/>
              <w:bottom w:val="nil"/>
            </w:tcBorders>
            <w:shd w:val="clear" w:color="auto" w:fill="auto"/>
          </w:tcPr>
          <w:p w14:paraId="66D8D79A"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27D41839"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TG2</w:t>
            </w:r>
          </w:p>
        </w:tc>
        <w:tc>
          <w:tcPr>
            <w:tcW w:w="0" w:type="dxa"/>
            <w:tcBorders>
              <w:top w:val="nil"/>
              <w:bottom w:val="nil"/>
            </w:tcBorders>
            <w:shd w:val="clear" w:color="auto" w:fill="auto"/>
            <w:vAlign w:val="center"/>
          </w:tcPr>
          <w:p w14:paraId="0EB1FE0E"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0.885</w:t>
            </w:r>
          </w:p>
        </w:tc>
        <w:tc>
          <w:tcPr>
            <w:tcW w:w="0" w:type="dxa"/>
            <w:tcBorders>
              <w:top w:val="nil"/>
              <w:bottom w:val="nil"/>
            </w:tcBorders>
            <w:shd w:val="clear" w:color="auto" w:fill="auto"/>
            <w:vAlign w:val="center"/>
          </w:tcPr>
          <w:p w14:paraId="5D6C0D2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541F94C"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F05A7D0" w14:textId="77777777" w:rsidR="00283F7B" w:rsidRPr="00482722" w:rsidRDefault="00283F7B" w:rsidP="00DA5EEC">
            <w:pPr>
              <w:jc w:val="center"/>
              <w:rPr>
                <w:rFonts w:ascii="Arial" w:hAnsi="Arial" w:cs="Arial"/>
                <w:sz w:val="20"/>
                <w:szCs w:val="20"/>
                <w:lang w:val="en-GB"/>
              </w:rPr>
            </w:pPr>
          </w:p>
        </w:tc>
      </w:tr>
      <w:tr w:rsidR="00482722" w:rsidRPr="00482722" w14:paraId="32A48F75" w14:textId="77777777" w:rsidTr="006D31B5">
        <w:tc>
          <w:tcPr>
            <w:tcW w:w="0" w:type="dxa"/>
            <w:vMerge/>
            <w:tcBorders>
              <w:top w:val="nil"/>
              <w:bottom w:val="nil"/>
            </w:tcBorders>
            <w:shd w:val="clear" w:color="auto" w:fill="auto"/>
          </w:tcPr>
          <w:p w14:paraId="1DCAD3B2"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0928130F"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TG3</w:t>
            </w:r>
          </w:p>
        </w:tc>
        <w:tc>
          <w:tcPr>
            <w:tcW w:w="0" w:type="dxa"/>
            <w:tcBorders>
              <w:top w:val="nil"/>
              <w:bottom w:val="nil"/>
            </w:tcBorders>
            <w:shd w:val="clear" w:color="auto" w:fill="auto"/>
            <w:vAlign w:val="center"/>
          </w:tcPr>
          <w:p w14:paraId="616FCD2F"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0.842</w:t>
            </w:r>
          </w:p>
        </w:tc>
        <w:tc>
          <w:tcPr>
            <w:tcW w:w="0" w:type="dxa"/>
            <w:tcBorders>
              <w:top w:val="nil"/>
              <w:bottom w:val="nil"/>
            </w:tcBorders>
            <w:shd w:val="clear" w:color="auto" w:fill="auto"/>
            <w:vAlign w:val="center"/>
          </w:tcPr>
          <w:p w14:paraId="191F80C2"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689B4F8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294762C3" w14:textId="77777777" w:rsidR="00283F7B" w:rsidRPr="00482722" w:rsidRDefault="00283F7B" w:rsidP="00DA5EEC">
            <w:pPr>
              <w:jc w:val="center"/>
              <w:rPr>
                <w:rFonts w:ascii="Arial" w:hAnsi="Arial" w:cs="Arial"/>
                <w:sz w:val="20"/>
                <w:szCs w:val="20"/>
                <w:lang w:val="en-GB"/>
              </w:rPr>
            </w:pPr>
          </w:p>
        </w:tc>
      </w:tr>
      <w:tr w:rsidR="00482722" w:rsidRPr="00482722" w14:paraId="110844D3" w14:textId="77777777" w:rsidTr="006D31B5">
        <w:tc>
          <w:tcPr>
            <w:tcW w:w="0" w:type="dxa"/>
            <w:vMerge/>
            <w:tcBorders>
              <w:top w:val="nil"/>
              <w:bottom w:val="nil"/>
            </w:tcBorders>
            <w:shd w:val="clear" w:color="auto" w:fill="auto"/>
          </w:tcPr>
          <w:p w14:paraId="6E205351"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69294621"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TG4</w:t>
            </w:r>
          </w:p>
        </w:tc>
        <w:tc>
          <w:tcPr>
            <w:tcW w:w="0" w:type="dxa"/>
            <w:tcBorders>
              <w:top w:val="nil"/>
              <w:bottom w:val="nil"/>
            </w:tcBorders>
            <w:shd w:val="clear" w:color="auto" w:fill="auto"/>
            <w:vAlign w:val="center"/>
          </w:tcPr>
          <w:p w14:paraId="6F745BFE"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0.844</w:t>
            </w:r>
          </w:p>
        </w:tc>
        <w:tc>
          <w:tcPr>
            <w:tcW w:w="0" w:type="dxa"/>
            <w:tcBorders>
              <w:top w:val="nil"/>
              <w:bottom w:val="nil"/>
            </w:tcBorders>
            <w:shd w:val="clear" w:color="auto" w:fill="auto"/>
            <w:vAlign w:val="center"/>
          </w:tcPr>
          <w:p w14:paraId="5DFA10B7"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5D60169E"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4A5098F1" w14:textId="77777777" w:rsidR="00283F7B" w:rsidRPr="00482722" w:rsidRDefault="00283F7B" w:rsidP="00DA5EEC">
            <w:pPr>
              <w:jc w:val="center"/>
              <w:rPr>
                <w:rFonts w:ascii="Arial" w:hAnsi="Arial" w:cs="Arial"/>
                <w:sz w:val="20"/>
                <w:szCs w:val="20"/>
                <w:lang w:val="en-GB"/>
              </w:rPr>
            </w:pPr>
          </w:p>
        </w:tc>
      </w:tr>
      <w:tr w:rsidR="00482722" w:rsidRPr="00482722" w14:paraId="0E4E71F9" w14:textId="77777777" w:rsidTr="006D31B5">
        <w:tc>
          <w:tcPr>
            <w:tcW w:w="0" w:type="dxa"/>
            <w:tcBorders>
              <w:top w:val="nil"/>
              <w:bottom w:val="nil"/>
            </w:tcBorders>
            <w:shd w:val="clear" w:color="auto" w:fill="auto"/>
          </w:tcPr>
          <w:p w14:paraId="71C3E434"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0316A0BF"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16216AA0" w14:textId="77777777" w:rsidR="000868BF" w:rsidRPr="00482722" w:rsidRDefault="000868BF" w:rsidP="006D31B5">
            <w:pPr>
              <w:tabs>
                <w:tab w:val="decimal" w:pos="609"/>
              </w:tabs>
              <w:rPr>
                <w:rFonts w:ascii="Arial" w:hAnsi="Arial" w:cs="Arial"/>
                <w:sz w:val="20"/>
                <w:szCs w:val="20"/>
              </w:rPr>
            </w:pPr>
          </w:p>
        </w:tc>
        <w:tc>
          <w:tcPr>
            <w:tcW w:w="0" w:type="dxa"/>
            <w:tcBorders>
              <w:top w:val="nil"/>
              <w:bottom w:val="nil"/>
            </w:tcBorders>
            <w:shd w:val="clear" w:color="auto" w:fill="auto"/>
            <w:vAlign w:val="center"/>
          </w:tcPr>
          <w:p w14:paraId="1B042830"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09867C6D"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076023EA" w14:textId="77777777" w:rsidR="000868BF" w:rsidRPr="00482722" w:rsidRDefault="000868BF" w:rsidP="00DA5EEC">
            <w:pPr>
              <w:jc w:val="center"/>
              <w:rPr>
                <w:rFonts w:ascii="Arial" w:hAnsi="Arial" w:cs="Arial"/>
                <w:sz w:val="20"/>
                <w:szCs w:val="20"/>
              </w:rPr>
            </w:pPr>
          </w:p>
        </w:tc>
      </w:tr>
      <w:tr w:rsidR="00482722" w:rsidRPr="00482722" w14:paraId="46058682" w14:textId="77777777" w:rsidTr="006D31B5">
        <w:tc>
          <w:tcPr>
            <w:tcW w:w="0" w:type="dxa"/>
            <w:vMerge w:val="restart"/>
            <w:tcBorders>
              <w:top w:val="nil"/>
              <w:bottom w:val="nil"/>
            </w:tcBorders>
            <w:shd w:val="clear" w:color="auto" w:fill="auto"/>
          </w:tcPr>
          <w:p w14:paraId="0544FC04"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DT</w:t>
            </w:r>
          </w:p>
        </w:tc>
        <w:tc>
          <w:tcPr>
            <w:tcW w:w="0" w:type="dxa"/>
            <w:tcBorders>
              <w:top w:val="nil"/>
              <w:bottom w:val="nil"/>
            </w:tcBorders>
            <w:shd w:val="clear" w:color="auto" w:fill="auto"/>
            <w:vAlign w:val="center"/>
          </w:tcPr>
          <w:p w14:paraId="4284E31F"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DT1</w:t>
            </w:r>
          </w:p>
        </w:tc>
        <w:tc>
          <w:tcPr>
            <w:tcW w:w="0" w:type="dxa"/>
            <w:tcBorders>
              <w:top w:val="nil"/>
              <w:bottom w:val="nil"/>
            </w:tcBorders>
            <w:shd w:val="clear" w:color="auto" w:fill="auto"/>
            <w:vAlign w:val="center"/>
          </w:tcPr>
          <w:p w14:paraId="7F09E28A"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0.783</w:t>
            </w:r>
          </w:p>
        </w:tc>
        <w:tc>
          <w:tcPr>
            <w:tcW w:w="0" w:type="dxa"/>
            <w:tcBorders>
              <w:top w:val="nil"/>
              <w:bottom w:val="nil"/>
            </w:tcBorders>
            <w:shd w:val="clear" w:color="auto" w:fill="auto"/>
            <w:vAlign w:val="center"/>
          </w:tcPr>
          <w:p w14:paraId="3944D6DF"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0.635</w:t>
            </w:r>
          </w:p>
        </w:tc>
        <w:tc>
          <w:tcPr>
            <w:tcW w:w="0" w:type="dxa"/>
            <w:tcBorders>
              <w:top w:val="nil"/>
              <w:bottom w:val="nil"/>
            </w:tcBorders>
            <w:shd w:val="clear" w:color="auto" w:fill="auto"/>
            <w:vAlign w:val="center"/>
          </w:tcPr>
          <w:p w14:paraId="20F403E7"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0.839</w:t>
            </w:r>
          </w:p>
        </w:tc>
        <w:tc>
          <w:tcPr>
            <w:tcW w:w="0" w:type="dxa"/>
            <w:tcBorders>
              <w:top w:val="nil"/>
              <w:bottom w:val="nil"/>
            </w:tcBorders>
            <w:shd w:val="clear" w:color="auto" w:fill="auto"/>
            <w:vAlign w:val="center"/>
          </w:tcPr>
          <w:p w14:paraId="4C46750E"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0.836</w:t>
            </w:r>
          </w:p>
        </w:tc>
      </w:tr>
      <w:tr w:rsidR="00482722" w:rsidRPr="00482722" w14:paraId="69D857C6" w14:textId="77777777" w:rsidTr="006D31B5">
        <w:tc>
          <w:tcPr>
            <w:tcW w:w="0" w:type="dxa"/>
            <w:vMerge/>
            <w:tcBorders>
              <w:top w:val="nil"/>
              <w:bottom w:val="nil"/>
            </w:tcBorders>
            <w:shd w:val="clear" w:color="auto" w:fill="auto"/>
          </w:tcPr>
          <w:p w14:paraId="5D05FCB2"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49BC1FD7"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DT2</w:t>
            </w:r>
          </w:p>
        </w:tc>
        <w:tc>
          <w:tcPr>
            <w:tcW w:w="0" w:type="dxa"/>
            <w:tcBorders>
              <w:top w:val="nil"/>
              <w:bottom w:val="nil"/>
            </w:tcBorders>
            <w:shd w:val="clear" w:color="auto" w:fill="auto"/>
            <w:vAlign w:val="center"/>
          </w:tcPr>
          <w:p w14:paraId="511E5984"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0.860</w:t>
            </w:r>
          </w:p>
        </w:tc>
        <w:tc>
          <w:tcPr>
            <w:tcW w:w="0" w:type="dxa"/>
            <w:tcBorders>
              <w:top w:val="nil"/>
              <w:bottom w:val="nil"/>
            </w:tcBorders>
            <w:shd w:val="clear" w:color="auto" w:fill="auto"/>
            <w:vAlign w:val="center"/>
          </w:tcPr>
          <w:p w14:paraId="145CF1B3"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4CB12436"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42C710B2" w14:textId="77777777" w:rsidR="00283F7B" w:rsidRPr="00482722" w:rsidRDefault="00283F7B" w:rsidP="00DA5EEC">
            <w:pPr>
              <w:jc w:val="center"/>
              <w:rPr>
                <w:rFonts w:ascii="Arial" w:hAnsi="Arial" w:cs="Arial"/>
                <w:sz w:val="20"/>
                <w:szCs w:val="20"/>
                <w:lang w:val="en-GB"/>
              </w:rPr>
            </w:pPr>
          </w:p>
        </w:tc>
      </w:tr>
      <w:tr w:rsidR="00482722" w:rsidRPr="00482722" w14:paraId="30EB90AF" w14:textId="77777777" w:rsidTr="006D31B5">
        <w:tc>
          <w:tcPr>
            <w:tcW w:w="0" w:type="dxa"/>
            <w:vMerge/>
            <w:tcBorders>
              <w:top w:val="nil"/>
              <w:bottom w:val="nil"/>
            </w:tcBorders>
            <w:shd w:val="clear" w:color="auto" w:fill="auto"/>
          </w:tcPr>
          <w:p w14:paraId="2BAC4257"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0A79BD4E"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DT3</w:t>
            </w:r>
          </w:p>
        </w:tc>
        <w:tc>
          <w:tcPr>
            <w:tcW w:w="0" w:type="dxa"/>
            <w:tcBorders>
              <w:top w:val="nil"/>
              <w:bottom w:val="nil"/>
            </w:tcBorders>
            <w:shd w:val="clear" w:color="auto" w:fill="auto"/>
            <w:vAlign w:val="center"/>
          </w:tcPr>
          <w:p w14:paraId="7B600790"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0.744</w:t>
            </w:r>
          </w:p>
        </w:tc>
        <w:tc>
          <w:tcPr>
            <w:tcW w:w="0" w:type="dxa"/>
            <w:tcBorders>
              <w:top w:val="nil"/>
              <w:bottom w:val="nil"/>
            </w:tcBorders>
            <w:shd w:val="clear" w:color="auto" w:fill="auto"/>
            <w:vAlign w:val="center"/>
          </w:tcPr>
          <w:p w14:paraId="2E0F224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5A337D8"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31A20D78" w14:textId="77777777" w:rsidR="00283F7B" w:rsidRPr="00482722" w:rsidRDefault="00283F7B" w:rsidP="00DA5EEC">
            <w:pPr>
              <w:jc w:val="center"/>
              <w:rPr>
                <w:rFonts w:ascii="Arial" w:hAnsi="Arial" w:cs="Arial"/>
                <w:sz w:val="20"/>
                <w:szCs w:val="20"/>
                <w:lang w:val="en-GB"/>
              </w:rPr>
            </w:pPr>
          </w:p>
        </w:tc>
      </w:tr>
      <w:tr w:rsidR="00482722" w:rsidRPr="00482722" w14:paraId="1F8B5DCF" w14:textId="77777777" w:rsidTr="006D31B5">
        <w:tc>
          <w:tcPr>
            <w:tcW w:w="0" w:type="dxa"/>
            <w:tcBorders>
              <w:top w:val="nil"/>
              <w:bottom w:val="nil"/>
            </w:tcBorders>
            <w:shd w:val="clear" w:color="auto" w:fill="auto"/>
          </w:tcPr>
          <w:p w14:paraId="28F67815"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126992E7"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77355027" w14:textId="77777777" w:rsidR="000868BF" w:rsidRPr="00482722" w:rsidRDefault="000868BF" w:rsidP="006D31B5">
            <w:pPr>
              <w:tabs>
                <w:tab w:val="decimal" w:pos="609"/>
              </w:tabs>
              <w:rPr>
                <w:rFonts w:ascii="Arial" w:hAnsi="Arial" w:cs="Arial"/>
                <w:sz w:val="20"/>
                <w:szCs w:val="20"/>
              </w:rPr>
            </w:pPr>
          </w:p>
        </w:tc>
        <w:tc>
          <w:tcPr>
            <w:tcW w:w="0" w:type="dxa"/>
            <w:tcBorders>
              <w:top w:val="nil"/>
              <w:bottom w:val="nil"/>
            </w:tcBorders>
            <w:shd w:val="clear" w:color="auto" w:fill="auto"/>
            <w:vAlign w:val="center"/>
          </w:tcPr>
          <w:p w14:paraId="5350D6C3"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5F4BD493"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7B26EE28" w14:textId="77777777" w:rsidR="000868BF" w:rsidRPr="00482722" w:rsidRDefault="000868BF" w:rsidP="00DA5EEC">
            <w:pPr>
              <w:jc w:val="center"/>
              <w:rPr>
                <w:rFonts w:ascii="Arial" w:hAnsi="Arial" w:cs="Arial"/>
                <w:sz w:val="20"/>
                <w:szCs w:val="20"/>
              </w:rPr>
            </w:pPr>
          </w:p>
        </w:tc>
      </w:tr>
      <w:tr w:rsidR="00482722" w:rsidRPr="00482722" w14:paraId="16FE5DA4" w14:textId="77777777" w:rsidTr="006D31B5">
        <w:tc>
          <w:tcPr>
            <w:tcW w:w="0" w:type="dxa"/>
            <w:vMerge w:val="restart"/>
            <w:tcBorders>
              <w:top w:val="nil"/>
              <w:bottom w:val="nil"/>
            </w:tcBorders>
            <w:shd w:val="clear" w:color="auto" w:fill="auto"/>
          </w:tcPr>
          <w:p w14:paraId="581A461D"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SQ</w:t>
            </w:r>
          </w:p>
        </w:tc>
        <w:tc>
          <w:tcPr>
            <w:tcW w:w="0" w:type="dxa"/>
            <w:tcBorders>
              <w:top w:val="nil"/>
              <w:bottom w:val="nil"/>
            </w:tcBorders>
            <w:shd w:val="clear" w:color="auto" w:fill="auto"/>
            <w:vAlign w:val="center"/>
          </w:tcPr>
          <w:p w14:paraId="0300BDC0"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SQT</w:t>
            </w:r>
          </w:p>
        </w:tc>
        <w:tc>
          <w:tcPr>
            <w:tcW w:w="0" w:type="dxa"/>
            <w:tcBorders>
              <w:top w:val="nil"/>
              <w:bottom w:val="nil"/>
            </w:tcBorders>
            <w:shd w:val="clear" w:color="auto" w:fill="auto"/>
            <w:vAlign w:val="center"/>
          </w:tcPr>
          <w:p w14:paraId="4E7C21DA"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0.674</w:t>
            </w:r>
          </w:p>
        </w:tc>
        <w:tc>
          <w:tcPr>
            <w:tcW w:w="0" w:type="dxa"/>
            <w:tcBorders>
              <w:top w:val="nil"/>
              <w:bottom w:val="nil"/>
            </w:tcBorders>
            <w:shd w:val="clear" w:color="auto" w:fill="auto"/>
            <w:vAlign w:val="center"/>
          </w:tcPr>
          <w:p w14:paraId="0B2B7D65"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0.605</w:t>
            </w:r>
          </w:p>
        </w:tc>
        <w:tc>
          <w:tcPr>
            <w:tcW w:w="0" w:type="dxa"/>
            <w:tcBorders>
              <w:top w:val="nil"/>
              <w:bottom w:val="nil"/>
            </w:tcBorders>
            <w:shd w:val="clear" w:color="auto" w:fill="auto"/>
            <w:vAlign w:val="center"/>
          </w:tcPr>
          <w:p w14:paraId="1E7643F7"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0.884</w:t>
            </w:r>
          </w:p>
        </w:tc>
        <w:tc>
          <w:tcPr>
            <w:tcW w:w="0" w:type="dxa"/>
            <w:tcBorders>
              <w:top w:val="nil"/>
              <w:bottom w:val="nil"/>
            </w:tcBorders>
            <w:shd w:val="clear" w:color="auto" w:fill="auto"/>
            <w:vAlign w:val="center"/>
          </w:tcPr>
          <w:p w14:paraId="3A1A1E04"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0.878</w:t>
            </w:r>
          </w:p>
        </w:tc>
      </w:tr>
      <w:tr w:rsidR="00482722" w:rsidRPr="00482722" w14:paraId="6468D319" w14:textId="77777777" w:rsidTr="006D31B5">
        <w:tc>
          <w:tcPr>
            <w:tcW w:w="0" w:type="dxa"/>
            <w:vMerge/>
            <w:tcBorders>
              <w:top w:val="nil"/>
              <w:bottom w:val="nil"/>
            </w:tcBorders>
            <w:shd w:val="clear" w:color="auto" w:fill="auto"/>
          </w:tcPr>
          <w:p w14:paraId="375B1C6B"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3D5E056B"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SQR</w:t>
            </w:r>
          </w:p>
        </w:tc>
        <w:tc>
          <w:tcPr>
            <w:tcW w:w="0" w:type="dxa"/>
            <w:tcBorders>
              <w:top w:val="nil"/>
              <w:bottom w:val="nil"/>
            </w:tcBorders>
            <w:shd w:val="clear" w:color="auto" w:fill="auto"/>
            <w:vAlign w:val="center"/>
          </w:tcPr>
          <w:p w14:paraId="5B02BDD3"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0.785</w:t>
            </w:r>
          </w:p>
        </w:tc>
        <w:tc>
          <w:tcPr>
            <w:tcW w:w="0" w:type="dxa"/>
            <w:tcBorders>
              <w:top w:val="nil"/>
              <w:bottom w:val="nil"/>
            </w:tcBorders>
            <w:shd w:val="clear" w:color="auto" w:fill="auto"/>
            <w:vAlign w:val="center"/>
          </w:tcPr>
          <w:p w14:paraId="13392D55"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38CDC04"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DE13988" w14:textId="77777777" w:rsidR="00283F7B" w:rsidRPr="00482722" w:rsidRDefault="00283F7B" w:rsidP="00DA5EEC">
            <w:pPr>
              <w:jc w:val="center"/>
              <w:rPr>
                <w:rFonts w:ascii="Arial" w:hAnsi="Arial" w:cs="Arial"/>
                <w:sz w:val="20"/>
                <w:szCs w:val="20"/>
                <w:lang w:val="en-GB"/>
              </w:rPr>
            </w:pPr>
          </w:p>
        </w:tc>
      </w:tr>
      <w:tr w:rsidR="00482722" w:rsidRPr="00482722" w14:paraId="205D907D" w14:textId="77777777" w:rsidTr="006D31B5">
        <w:tc>
          <w:tcPr>
            <w:tcW w:w="0" w:type="dxa"/>
            <w:vMerge/>
            <w:tcBorders>
              <w:top w:val="nil"/>
              <w:bottom w:val="nil"/>
            </w:tcBorders>
            <w:shd w:val="clear" w:color="auto" w:fill="auto"/>
          </w:tcPr>
          <w:p w14:paraId="247744DE"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0E99C9E0"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SQP</w:t>
            </w:r>
          </w:p>
        </w:tc>
        <w:tc>
          <w:tcPr>
            <w:tcW w:w="0" w:type="dxa"/>
            <w:tcBorders>
              <w:top w:val="nil"/>
              <w:bottom w:val="nil"/>
            </w:tcBorders>
            <w:shd w:val="clear" w:color="auto" w:fill="auto"/>
            <w:vAlign w:val="center"/>
          </w:tcPr>
          <w:p w14:paraId="3CE245F4"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0.803</w:t>
            </w:r>
          </w:p>
        </w:tc>
        <w:tc>
          <w:tcPr>
            <w:tcW w:w="0" w:type="dxa"/>
            <w:tcBorders>
              <w:top w:val="nil"/>
              <w:bottom w:val="nil"/>
            </w:tcBorders>
            <w:shd w:val="clear" w:color="auto" w:fill="auto"/>
            <w:vAlign w:val="center"/>
          </w:tcPr>
          <w:p w14:paraId="4FA28897"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295EF8B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3B78B251" w14:textId="77777777" w:rsidR="00283F7B" w:rsidRPr="00482722" w:rsidRDefault="00283F7B" w:rsidP="00DA5EEC">
            <w:pPr>
              <w:jc w:val="center"/>
              <w:rPr>
                <w:rFonts w:ascii="Arial" w:hAnsi="Arial" w:cs="Arial"/>
                <w:sz w:val="20"/>
                <w:szCs w:val="20"/>
                <w:lang w:val="en-GB"/>
              </w:rPr>
            </w:pPr>
          </w:p>
        </w:tc>
      </w:tr>
      <w:tr w:rsidR="00482722" w:rsidRPr="00482722" w14:paraId="4B9F895C" w14:textId="77777777" w:rsidTr="006D31B5">
        <w:tc>
          <w:tcPr>
            <w:tcW w:w="0" w:type="dxa"/>
            <w:vMerge/>
            <w:tcBorders>
              <w:top w:val="nil"/>
              <w:bottom w:val="nil"/>
            </w:tcBorders>
            <w:shd w:val="clear" w:color="auto" w:fill="auto"/>
          </w:tcPr>
          <w:p w14:paraId="407CD4B1"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0FF85682"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SQA</w:t>
            </w:r>
          </w:p>
        </w:tc>
        <w:tc>
          <w:tcPr>
            <w:tcW w:w="0" w:type="dxa"/>
            <w:tcBorders>
              <w:top w:val="nil"/>
              <w:bottom w:val="nil"/>
            </w:tcBorders>
            <w:shd w:val="clear" w:color="auto" w:fill="auto"/>
            <w:vAlign w:val="center"/>
          </w:tcPr>
          <w:p w14:paraId="451B624A"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0.834</w:t>
            </w:r>
          </w:p>
        </w:tc>
        <w:tc>
          <w:tcPr>
            <w:tcW w:w="0" w:type="dxa"/>
            <w:tcBorders>
              <w:top w:val="nil"/>
              <w:bottom w:val="nil"/>
            </w:tcBorders>
            <w:shd w:val="clear" w:color="auto" w:fill="auto"/>
            <w:vAlign w:val="center"/>
          </w:tcPr>
          <w:p w14:paraId="4696790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5AE4B67"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5A8F6EEE" w14:textId="77777777" w:rsidR="00283F7B" w:rsidRPr="00482722" w:rsidRDefault="00283F7B" w:rsidP="00DA5EEC">
            <w:pPr>
              <w:jc w:val="center"/>
              <w:rPr>
                <w:rFonts w:ascii="Arial" w:hAnsi="Arial" w:cs="Arial"/>
                <w:sz w:val="20"/>
                <w:szCs w:val="20"/>
                <w:lang w:val="en-GB"/>
              </w:rPr>
            </w:pPr>
          </w:p>
        </w:tc>
      </w:tr>
      <w:tr w:rsidR="00482722" w:rsidRPr="00482722" w14:paraId="2F91BE44" w14:textId="77777777" w:rsidTr="006D31B5">
        <w:tc>
          <w:tcPr>
            <w:tcW w:w="0" w:type="dxa"/>
            <w:vMerge/>
            <w:tcBorders>
              <w:top w:val="nil"/>
              <w:bottom w:val="nil"/>
            </w:tcBorders>
            <w:shd w:val="clear" w:color="auto" w:fill="auto"/>
          </w:tcPr>
          <w:p w14:paraId="426573A6"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4912905B"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SQE</w:t>
            </w:r>
          </w:p>
        </w:tc>
        <w:tc>
          <w:tcPr>
            <w:tcW w:w="0" w:type="dxa"/>
            <w:tcBorders>
              <w:top w:val="nil"/>
              <w:bottom w:val="nil"/>
            </w:tcBorders>
            <w:shd w:val="clear" w:color="auto" w:fill="auto"/>
            <w:vAlign w:val="center"/>
          </w:tcPr>
          <w:p w14:paraId="6838BFDC"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0.784</w:t>
            </w:r>
          </w:p>
        </w:tc>
        <w:tc>
          <w:tcPr>
            <w:tcW w:w="0" w:type="dxa"/>
            <w:tcBorders>
              <w:top w:val="nil"/>
              <w:bottom w:val="nil"/>
            </w:tcBorders>
            <w:shd w:val="clear" w:color="auto" w:fill="auto"/>
            <w:vAlign w:val="center"/>
          </w:tcPr>
          <w:p w14:paraId="64253BBA"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0371427D"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2B1068D0" w14:textId="77777777" w:rsidR="00283F7B" w:rsidRPr="00482722" w:rsidRDefault="00283F7B" w:rsidP="00DA5EEC">
            <w:pPr>
              <w:jc w:val="center"/>
              <w:rPr>
                <w:rFonts w:ascii="Arial" w:hAnsi="Arial" w:cs="Arial"/>
                <w:sz w:val="20"/>
                <w:szCs w:val="20"/>
                <w:lang w:val="en-GB"/>
              </w:rPr>
            </w:pPr>
          </w:p>
        </w:tc>
      </w:tr>
      <w:tr w:rsidR="00482722" w:rsidRPr="00482722" w14:paraId="02DD96A2" w14:textId="77777777" w:rsidTr="006D31B5">
        <w:tc>
          <w:tcPr>
            <w:tcW w:w="0" w:type="dxa"/>
            <w:tcBorders>
              <w:top w:val="nil"/>
              <w:bottom w:val="nil"/>
            </w:tcBorders>
            <w:shd w:val="clear" w:color="auto" w:fill="auto"/>
          </w:tcPr>
          <w:p w14:paraId="124BA64C"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7B376DD9"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187E1F89" w14:textId="77777777" w:rsidR="000868BF" w:rsidRPr="00482722" w:rsidRDefault="000868BF" w:rsidP="006D31B5">
            <w:pPr>
              <w:tabs>
                <w:tab w:val="decimal" w:pos="609"/>
              </w:tabs>
              <w:rPr>
                <w:rFonts w:ascii="Arial" w:hAnsi="Arial" w:cs="Arial"/>
                <w:sz w:val="20"/>
                <w:szCs w:val="20"/>
              </w:rPr>
            </w:pPr>
          </w:p>
        </w:tc>
        <w:tc>
          <w:tcPr>
            <w:tcW w:w="0" w:type="dxa"/>
            <w:tcBorders>
              <w:top w:val="nil"/>
              <w:bottom w:val="nil"/>
            </w:tcBorders>
            <w:shd w:val="clear" w:color="auto" w:fill="auto"/>
            <w:vAlign w:val="center"/>
          </w:tcPr>
          <w:p w14:paraId="398C8E6E"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6040EC9F"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35C287B9" w14:textId="77777777" w:rsidR="000868BF" w:rsidRPr="00482722" w:rsidRDefault="000868BF" w:rsidP="00DA5EEC">
            <w:pPr>
              <w:jc w:val="center"/>
              <w:rPr>
                <w:rFonts w:ascii="Arial" w:hAnsi="Arial" w:cs="Arial"/>
                <w:sz w:val="20"/>
                <w:szCs w:val="20"/>
              </w:rPr>
            </w:pPr>
          </w:p>
        </w:tc>
      </w:tr>
      <w:tr w:rsidR="00482722" w:rsidRPr="00482722" w14:paraId="376A5D64" w14:textId="77777777" w:rsidTr="006D31B5">
        <w:tc>
          <w:tcPr>
            <w:tcW w:w="0" w:type="dxa"/>
            <w:vMerge w:val="restart"/>
            <w:tcBorders>
              <w:top w:val="nil"/>
              <w:bottom w:val="nil"/>
            </w:tcBorders>
            <w:shd w:val="clear" w:color="auto" w:fill="auto"/>
          </w:tcPr>
          <w:p w14:paraId="053D1438"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TEG</w:t>
            </w:r>
          </w:p>
        </w:tc>
        <w:tc>
          <w:tcPr>
            <w:tcW w:w="0" w:type="dxa"/>
            <w:tcBorders>
              <w:top w:val="nil"/>
              <w:bottom w:val="nil"/>
            </w:tcBorders>
            <w:shd w:val="clear" w:color="auto" w:fill="auto"/>
            <w:vAlign w:val="center"/>
          </w:tcPr>
          <w:p w14:paraId="133D4FD6"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TEG1</w:t>
            </w:r>
          </w:p>
        </w:tc>
        <w:tc>
          <w:tcPr>
            <w:tcW w:w="0" w:type="dxa"/>
            <w:tcBorders>
              <w:top w:val="nil"/>
              <w:bottom w:val="nil"/>
            </w:tcBorders>
            <w:shd w:val="clear" w:color="auto" w:fill="auto"/>
            <w:vAlign w:val="center"/>
          </w:tcPr>
          <w:p w14:paraId="322C6DA7"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0.818</w:t>
            </w:r>
          </w:p>
        </w:tc>
        <w:tc>
          <w:tcPr>
            <w:tcW w:w="0" w:type="dxa"/>
            <w:tcBorders>
              <w:top w:val="nil"/>
              <w:bottom w:val="nil"/>
            </w:tcBorders>
            <w:shd w:val="clear" w:color="auto" w:fill="auto"/>
            <w:vAlign w:val="center"/>
          </w:tcPr>
          <w:p w14:paraId="6D778040"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0.732</w:t>
            </w:r>
          </w:p>
        </w:tc>
        <w:tc>
          <w:tcPr>
            <w:tcW w:w="0" w:type="dxa"/>
            <w:tcBorders>
              <w:top w:val="nil"/>
              <w:bottom w:val="nil"/>
            </w:tcBorders>
            <w:shd w:val="clear" w:color="auto" w:fill="auto"/>
            <w:vAlign w:val="center"/>
          </w:tcPr>
          <w:p w14:paraId="1C7FF643"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0.891</w:t>
            </w:r>
          </w:p>
        </w:tc>
        <w:tc>
          <w:tcPr>
            <w:tcW w:w="0" w:type="dxa"/>
            <w:tcBorders>
              <w:top w:val="nil"/>
              <w:bottom w:val="nil"/>
            </w:tcBorders>
            <w:shd w:val="clear" w:color="auto" w:fill="auto"/>
            <w:vAlign w:val="center"/>
          </w:tcPr>
          <w:p w14:paraId="7417281A"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0.890</w:t>
            </w:r>
          </w:p>
        </w:tc>
      </w:tr>
      <w:tr w:rsidR="00482722" w:rsidRPr="00482722" w14:paraId="7FADA238" w14:textId="77777777" w:rsidTr="006D31B5">
        <w:tc>
          <w:tcPr>
            <w:tcW w:w="0" w:type="dxa"/>
            <w:vMerge/>
            <w:tcBorders>
              <w:top w:val="nil"/>
              <w:bottom w:val="nil"/>
            </w:tcBorders>
            <w:shd w:val="clear" w:color="auto" w:fill="auto"/>
          </w:tcPr>
          <w:p w14:paraId="068D8732"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7E882FAC"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TEG2</w:t>
            </w:r>
          </w:p>
        </w:tc>
        <w:tc>
          <w:tcPr>
            <w:tcW w:w="0" w:type="dxa"/>
            <w:tcBorders>
              <w:top w:val="nil"/>
              <w:bottom w:val="nil"/>
            </w:tcBorders>
            <w:shd w:val="clear" w:color="auto" w:fill="auto"/>
            <w:vAlign w:val="center"/>
          </w:tcPr>
          <w:p w14:paraId="4999E7A0"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0.882</w:t>
            </w:r>
          </w:p>
        </w:tc>
        <w:tc>
          <w:tcPr>
            <w:tcW w:w="0" w:type="dxa"/>
            <w:tcBorders>
              <w:top w:val="nil"/>
              <w:bottom w:val="nil"/>
            </w:tcBorders>
            <w:shd w:val="clear" w:color="auto" w:fill="auto"/>
            <w:vAlign w:val="center"/>
          </w:tcPr>
          <w:p w14:paraId="3057AEA2"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2ED33799"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7808ABA4" w14:textId="77777777" w:rsidR="00283F7B" w:rsidRPr="00482722" w:rsidRDefault="00283F7B" w:rsidP="00DA5EEC">
            <w:pPr>
              <w:jc w:val="center"/>
              <w:rPr>
                <w:rFonts w:ascii="Arial" w:hAnsi="Arial" w:cs="Arial"/>
                <w:sz w:val="20"/>
                <w:szCs w:val="20"/>
                <w:lang w:val="en-GB"/>
              </w:rPr>
            </w:pPr>
          </w:p>
        </w:tc>
      </w:tr>
      <w:tr w:rsidR="00482722" w:rsidRPr="00482722" w14:paraId="4B630B19" w14:textId="77777777" w:rsidTr="006D31B5">
        <w:tc>
          <w:tcPr>
            <w:tcW w:w="0" w:type="dxa"/>
            <w:vMerge/>
            <w:tcBorders>
              <w:top w:val="nil"/>
              <w:bottom w:val="nil"/>
            </w:tcBorders>
            <w:shd w:val="clear" w:color="auto" w:fill="auto"/>
          </w:tcPr>
          <w:p w14:paraId="4335310F"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6AA7E9E2"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TEG3</w:t>
            </w:r>
          </w:p>
        </w:tc>
        <w:tc>
          <w:tcPr>
            <w:tcW w:w="0" w:type="dxa"/>
            <w:tcBorders>
              <w:top w:val="nil"/>
              <w:bottom w:val="nil"/>
            </w:tcBorders>
            <w:shd w:val="clear" w:color="auto" w:fill="auto"/>
            <w:vAlign w:val="center"/>
          </w:tcPr>
          <w:p w14:paraId="46C47059"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0.866</w:t>
            </w:r>
          </w:p>
        </w:tc>
        <w:tc>
          <w:tcPr>
            <w:tcW w:w="0" w:type="dxa"/>
            <w:tcBorders>
              <w:top w:val="nil"/>
              <w:bottom w:val="nil"/>
            </w:tcBorders>
            <w:shd w:val="clear" w:color="auto" w:fill="auto"/>
            <w:vAlign w:val="center"/>
          </w:tcPr>
          <w:p w14:paraId="7916D9B9"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7CAB94C6"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5D7778D2" w14:textId="77777777" w:rsidR="00283F7B" w:rsidRPr="00482722" w:rsidRDefault="00283F7B" w:rsidP="00DA5EEC">
            <w:pPr>
              <w:jc w:val="center"/>
              <w:rPr>
                <w:rFonts w:ascii="Arial" w:hAnsi="Arial" w:cs="Arial"/>
                <w:sz w:val="20"/>
                <w:szCs w:val="20"/>
                <w:lang w:val="en-GB"/>
              </w:rPr>
            </w:pPr>
          </w:p>
        </w:tc>
      </w:tr>
      <w:tr w:rsidR="00482722" w:rsidRPr="00482722" w14:paraId="70998F82" w14:textId="77777777" w:rsidTr="006D31B5">
        <w:tc>
          <w:tcPr>
            <w:tcW w:w="0" w:type="dxa"/>
            <w:tcBorders>
              <w:top w:val="nil"/>
              <w:bottom w:val="nil"/>
            </w:tcBorders>
            <w:shd w:val="clear" w:color="auto" w:fill="auto"/>
          </w:tcPr>
          <w:p w14:paraId="474FFE45"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62DA7987"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72750F6D" w14:textId="77777777" w:rsidR="000868BF" w:rsidRPr="00482722" w:rsidRDefault="000868BF" w:rsidP="006D31B5">
            <w:pPr>
              <w:tabs>
                <w:tab w:val="decimal" w:pos="609"/>
              </w:tabs>
              <w:rPr>
                <w:rFonts w:ascii="Arial" w:hAnsi="Arial" w:cs="Arial"/>
                <w:sz w:val="20"/>
                <w:szCs w:val="20"/>
              </w:rPr>
            </w:pPr>
          </w:p>
        </w:tc>
        <w:tc>
          <w:tcPr>
            <w:tcW w:w="0" w:type="dxa"/>
            <w:tcBorders>
              <w:top w:val="nil"/>
              <w:bottom w:val="nil"/>
            </w:tcBorders>
            <w:shd w:val="clear" w:color="auto" w:fill="auto"/>
            <w:vAlign w:val="center"/>
          </w:tcPr>
          <w:p w14:paraId="0FDDAB35"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45FDC53A"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33842C05" w14:textId="77777777" w:rsidR="000868BF" w:rsidRPr="00482722" w:rsidRDefault="000868BF" w:rsidP="00DA5EEC">
            <w:pPr>
              <w:jc w:val="center"/>
              <w:rPr>
                <w:rFonts w:ascii="Arial" w:hAnsi="Arial" w:cs="Arial"/>
                <w:sz w:val="20"/>
                <w:szCs w:val="20"/>
              </w:rPr>
            </w:pPr>
          </w:p>
        </w:tc>
      </w:tr>
      <w:tr w:rsidR="00482722" w:rsidRPr="00482722" w14:paraId="6BBEC747" w14:textId="77777777" w:rsidTr="006D31B5">
        <w:tc>
          <w:tcPr>
            <w:tcW w:w="0" w:type="dxa"/>
            <w:vMerge w:val="restart"/>
            <w:tcBorders>
              <w:top w:val="nil"/>
              <w:bottom w:val="nil"/>
            </w:tcBorders>
            <w:shd w:val="clear" w:color="auto" w:fill="auto"/>
          </w:tcPr>
          <w:p w14:paraId="31AD8CC2"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CS</w:t>
            </w:r>
          </w:p>
        </w:tc>
        <w:tc>
          <w:tcPr>
            <w:tcW w:w="0" w:type="dxa"/>
            <w:tcBorders>
              <w:top w:val="nil"/>
              <w:bottom w:val="nil"/>
            </w:tcBorders>
            <w:shd w:val="clear" w:color="auto" w:fill="auto"/>
            <w:vAlign w:val="center"/>
          </w:tcPr>
          <w:p w14:paraId="69FDBDAC"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CS1</w:t>
            </w:r>
          </w:p>
        </w:tc>
        <w:tc>
          <w:tcPr>
            <w:tcW w:w="0" w:type="dxa"/>
            <w:tcBorders>
              <w:top w:val="nil"/>
              <w:bottom w:val="nil"/>
            </w:tcBorders>
            <w:shd w:val="clear" w:color="auto" w:fill="auto"/>
            <w:vAlign w:val="center"/>
          </w:tcPr>
          <w:p w14:paraId="46626F76"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0.868</w:t>
            </w:r>
          </w:p>
        </w:tc>
        <w:tc>
          <w:tcPr>
            <w:tcW w:w="0" w:type="dxa"/>
            <w:tcBorders>
              <w:top w:val="nil"/>
              <w:bottom w:val="nil"/>
            </w:tcBorders>
            <w:shd w:val="clear" w:color="auto" w:fill="auto"/>
            <w:vAlign w:val="center"/>
          </w:tcPr>
          <w:p w14:paraId="495AE4FF"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0.716</w:t>
            </w:r>
          </w:p>
        </w:tc>
        <w:tc>
          <w:tcPr>
            <w:tcW w:w="0" w:type="dxa"/>
            <w:tcBorders>
              <w:top w:val="nil"/>
              <w:bottom w:val="nil"/>
            </w:tcBorders>
            <w:shd w:val="clear" w:color="auto" w:fill="auto"/>
            <w:vAlign w:val="center"/>
          </w:tcPr>
          <w:p w14:paraId="3F0FF064"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0.868</w:t>
            </w:r>
          </w:p>
        </w:tc>
        <w:tc>
          <w:tcPr>
            <w:tcW w:w="0" w:type="dxa"/>
            <w:tcBorders>
              <w:top w:val="nil"/>
              <w:bottom w:val="nil"/>
            </w:tcBorders>
            <w:shd w:val="clear" w:color="auto" w:fill="auto"/>
            <w:vAlign w:val="center"/>
          </w:tcPr>
          <w:p w14:paraId="6185F96D"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0.882</w:t>
            </w:r>
          </w:p>
        </w:tc>
      </w:tr>
      <w:tr w:rsidR="00482722" w:rsidRPr="00482722" w14:paraId="4D3196BE" w14:textId="77777777" w:rsidTr="006D31B5">
        <w:tc>
          <w:tcPr>
            <w:tcW w:w="0" w:type="dxa"/>
            <w:vMerge/>
            <w:tcBorders>
              <w:top w:val="nil"/>
              <w:bottom w:val="nil"/>
            </w:tcBorders>
            <w:shd w:val="clear" w:color="auto" w:fill="auto"/>
          </w:tcPr>
          <w:p w14:paraId="10EFD23A"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5B60B00B"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CS2</w:t>
            </w:r>
          </w:p>
        </w:tc>
        <w:tc>
          <w:tcPr>
            <w:tcW w:w="0" w:type="dxa"/>
            <w:tcBorders>
              <w:top w:val="nil"/>
              <w:bottom w:val="nil"/>
            </w:tcBorders>
            <w:shd w:val="clear" w:color="auto" w:fill="auto"/>
            <w:vAlign w:val="center"/>
          </w:tcPr>
          <w:p w14:paraId="274E7FF2"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0.860</w:t>
            </w:r>
          </w:p>
        </w:tc>
        <w:tc>
          <w:tcPr>
            <w:tcW w:w="0" w:type="dxa"/>
            <w:tcBorders>
              <w:top w:val="nil"/>
              <w:bottom w:val="nil"/>
            </w:tcBorders>
            <w:shd w:val="clear" w:color="auto" w:fill="auto"/>
            <w:vAlign w:val="center"/>
          </w:tcPr>
          <w:p w14:paraId="098F3A9D"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56C84864"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5C8DF660" w14:textId="77777777" w:rsidR="00283F7B" w:rsidRPr="00482722" w:rsidRDefault="00283F7B" w:rsidP="00DA5EEC">
            <w:pPr>
              <w:jc w:val="center"/>
              <w:rPr>
                <w:rFonts w:ascii="Arial" w:hAnsi="Arial" w:cs="Arial"/>
                <w:sz w:val="20"/>
                <w:szCs w:val="20"/>
                <w:lang w:val="en-GB"/>
              </w:rPr>
            </w:pPr>
          </w:p>
        </w:tc>
      </w:tr>
      <w:tr w:rsidR="00482722" w:rsidRPr="00482722" w14:paraId="15F8310B" w14:textId="77777777" w:rsidTr="006D31B5">
        <w:tc>
          <w:tcPr>
            <w:tcW w:w="0" w:type="dxa"/>
            <w:vMerge/>
            <w:tcBorders>
              <w:top w:val="nil"/>
              <w:bottom w:val="nil"/>
            </w:tcBorders>
            <w:shd w:val="clear" w:color="auto" w:fill="auto"/>
          </w:tcPr>
          <w:p w14:paraId="0270D703" w14:textId="77777777" w:rsidR="00283F7B" w:rsidRPr="00482722" w:rsidRDefault="00283F7B" w:rsidP="006D31B5">
            <w:pPr>
              <w:rPr>
                <w:rFonts w:ascii="Arial" w:hAnsi="Arial" w:cs="Arial"/>
                <w:b/>
                <w:sz w:val="20"/>
                <w:szCs w:val="20"/>
                <w:lang w:val="en-GB"/>
              </w:rPr>
            </w:pPr>
          </w:p>
        </w:tc>
        <w:tc>
          <w:tcPr>
            <w:tcW w:w="0" w:type="dxa"/>
            <w:tcBorders>
              <w:top w:val="nil"/>
              <w:bottom w:val="nil"/>
            </w:tcBorders>
            <w:shd w:val="clear" w:color="auto" w:fill="auto"/>
            <w:vAlign w:val="center"/>
          </w:tcPr>
          <w:p w14:paraId="3DF5355A"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CS3</w:t>
            </w:r>
          </w:p>
        </w:tc>
        <w:tc>
          <w:tcPr>
            <w:tcW w:w="0" w:type="dxa"/>
            <w:tcBorders>
              <w:top w:val="nil"/>
              <w:bottom w:val="nil"/>
            </w:tcBorders>
            <w:shd w:val="clear" w:color="auto" w:fill="auto"/>
            <w:vAlign w:val="center"/>
          </w:tcPr>
          <w:p w14:paraId="030C9E6F"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0.809</w:t>
            </w:r>
          </w:p>
        </w:tc>
        <w:tc>
          <w:tcPr>
            <w:tcW w:w="0" w:type="dxa"/>
            <w:tcBorders>
              <w:top w:val="nil"/>
              <w:bottom w:val="nil"/>
            </w:tcBorders>
            <w:shd w:val="clear" w:color="auto" w:fill="auto"/>
            <w:vAlign w:val="center"/>
          </w:tcPr>
          <w:p w14:paraId="1626BF8D"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678F32AE"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7B981F5D" w14:textId="77777777" w:rsidR="00283F7B" w:rsidRPr="00482722" w:rsidRDefault="00283F7B" w:rsidP="00DA5EEC">
            <w:pPr>
              <w:jc w:val="center"/>
              <w:rPr>
                <w:rFonts w:ascii="Arial" w:hAnsi="Arial" w:cs="Arial"/>
                <w:sz w:val="20"/>
                <w:szCs w:val="20"/>
                <w:lang w:val="en-GB"/>
              </w:rPr>
            </w:pPr>
          </w:p>
        </w:tc>
      </w:tr>
      <w:tr w:rsidR="00482722" w:rsidRPr="00482722" w14:paraId="4AA725B8" w14:textId="77777777" w:rsidTr="006D31B5">
        <w:tc>
          <w:tcPr>
            <w:tcW w:w="0" w:type="dxa"/>
            <w:tcBorders>
              <w:top w:val="nil"/>
              <w:bottom w:val="nil"/>
            </w:tcBorders>
            <w:shd w:val="clear" w:color="auto" w:fill="auto"/>
          </w:tcPr>
          <w:p w14:paraId="2CB2FF7F"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6A007FF4" w14:textId="77777777" w:rsidR="000868BF" w:rsidRPr="00482722" w:rsidRDefault="000868BF" w:rsidP="006D31B5">
            <w:pPr>
              <w:rPr>
                <w:rFonts w:ascii="Arial" w:hAnsi="Arial" w:cs="Arial"/>
                <w:sz w:val="20"/>
                <w:szCs w:val="20"/>
              </w:rPr>
            </w:pPr>
          </w:p>
        </w:tc>
        <w:tc>
          <w:tcPr>
            <w:tcW w:w="0" w:type="dxa"/>
            <w:tcBorders>
              <w:top w:val="nil"/>
              <w:bottom w:val="nil"/>
            </w:tcBorders>
            <w:shd w:val="clear" w:color="auto" w:fill="auto"/>
            <w:vAlign w:val="center"/>
          </w:tcPr>
          <w:p w14:paraId="3039A529" w14:textId="77777777" w:rsidR="000868BF" w:rsidRPr="00482722" w:rsidRDefault="000868BF" w:rsidP="006D31B5">
            <w:pPr>
              <w:tabs>
                <w:tab w:val="decimal" w:pos="609"/>
              </w:tabs>
              <w:rPr>
                <w:rFonts w:ascii="Arial" w:hAnsi="Arial" w:cs="Arial"/>
                <w:sz w:val="20"/>
                <w:szCs w:val="20"/>
              </w:rPr>
            </w:pPr>
          </w:p>
        </w:tc>
        <w:tc>
          <w:tcPr>
            <w:tcW w:w="0" w:type="dxa"/>
            <w:tcBorders>
              <w:top w:val="nil"/>
              <w:bottom w:val="nil"/>
            </w:tcBorders>
            <w:shd w:val="clear" w:color="auto" w:fill="auto"/>
            <w:vAlign w:val="center"/>
          </w:tcPr>
          <w:p w14:paraId="2E81D07D"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452826E6" w14:textId="77777777" w:rsidR="000868BF" w:rsidRPr="00482722" w:rsidRDefault="000868BF" w:rsidP="00DA5EEC">
            <w:pPr>
              <w:jc w:val="center"/>
              <w:rPr>
                <w:rFonts w:ascii="Arial" w:hAnsi="Arial" w:cs="Arial"/>
                <w:sz w:val="20"/>
                <w:szCs w:val="20"/>
              </w:rPr>
            </w:pPr>
          </w:p>
        </w:tc>
        <w:tc>
          <w:tcPr>
            <w:tcW w:w="0" w:type="dxa"/>
            <w:tcBorders>
              <w:top w:val="nil"/>
              <w:bottom w:val="nil"/>
            </w:tcBorders>
            <w:shd w:val="clear" w:color="auto" w:fill="auto"/>
            <w:vAlign w:val="center"/>
          </w:tcPr>
          <w:p w14:paraId="30691714" w14:textId="77777777" w:rsidR="000868BF" w:rsidRPr="00482722" w:rsidRDefault="000868BF" w:rsidP="00DA5EEC">
            <w:pPr>
              <w:jc w:val="center"/>
              <w:rPr>
                <w:rFonts w:ascii="Arial" w:hAnsi="Arial" w:cs="Arial"/>
                <w:sz w:val="20"/>
                <w:szCs w:val="20"/>
              </w:rPr>
            </w:pPr>
          </w:p>
        </w:tc>
      </w:tr>
      <w:tr w:rsidR="00482722" w:rsidRPr="00482722" w14:paraId="1E059F51" w14:textId="77777777" w:rsidTr="006D31B5">
        <w:tc>
          <w:tcPr>
            <w:tcW w:w="0" w:type="dxa"/>
            <w:vMerge w:val="restart"/>
            <w:tcBorders>
              <w:top w:val="nil"/>
            </w:tcBorders>
            <w:shd w:val="clear" w:color="auto" w:fill="auto"/>
          </w:tcPr>
          <w:p w14:paraId="6D7E2904"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CL</w:t>
            </w:r>
          </w:p>
        </w:tc>
        <w:tc>
          <w:tcPr>
            <w:tcW w:w="0" w:type="dxa"/>
            <w:tcBorders>
              <w:top w:val="nil"/>
              <w:bottom w:val="nil"/>
            </w:tcBorders>
            <w:shd w:val="clear" w:color="auto" w:fill="auto"/>
            <w:vAlign w:val="center"/>
          </w:tcPr>
          <w:p w14:paraId="1BF87D3C"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CL1</w:t>
            </w:r>
          </w:p>
        </w:tc>
        <w:tc>
          <w:tcPr>
            <w:tcW w:w="0" w:type="dxa"/>
            <w:tcBorders>
              <w:top w:val="nil"/>
              <w:bottom w:val="nil"/>
            </w:tcBorders>
            <w:shd w:val="clear" w:color="auto" w:fill="auto"/>
            <w:vAlign w:val="center"/>
          </w:tcPr>
          <w:p w14:paraId="26E9272A"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0.859</w:t>
            </w:r>
          </w:p>
        </w:tc>
        <w:tc>
          <w:tcPr>
            <w:tcW w:w="0" w:type="dxa"/>
            <w:tcBorders>
              <w:top w:val="nil"/>
              <w:bottom w:val="nil"/>
            </w:tcBorders>
            <w:shd w:val="clear" w:color="auto" w:fill="auto"/>
            <w:vAlign w:val="center"/>
          </w:tcPr>
          <w:p w14:paraId="59902ADB"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0.720</w:t>
            </w:r>
          </w:p>
        </w:tc>
        <w:tc>
          <w:tcPr>
            <w:tcW w:w="0" w:type="dxa"/>
            <w:tcBorders>
              <w:top w:val="nil"/>
              <w:bottom w:val="nil"/>
            </w:tcBorders>
            <w:shd w:val="clear" w:color="auto" w:fill="auto"/>
            <w:vAlign w:val="center"/>
          </w:tcPr>
          <w:p w14:paraId="0AC90108"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0.885</w:t>
            </w:r>
          </w:p>
        </w:tc>
        <w:tc>
          <w:tcPr>
            <w:tcW w:w="0" w:type="dxa"/>
            <w:tcBorders>
              <w:top w:val="nil"/>
              <w:bottom w:val="nil"/>
            </w:tcBorders>
            <w:shd w:val="clear" w:color="auto" w:fill="auto"/>
            <w:vAlign w:val="center"/>
          </w:tcPr>
          <w:p w14:paraId="5C3951D7"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0.884</w:t>
            </w:r>
          </w:p>
        </w:tc>
      </w:tr>
      <w:tr w:rsidR="00482722" w:rsidRPr="00482722" w14:paraId="68041409" w14:textId="77777777" w:rsidTr="006D31B5">
        <w:tc>
          <w:tcPr>
            <w:tcW w:w="0" w:type="dxa"/>
            <w:vMerge/>
            <w:shd w:val="clear" w:color="auto" w:fill="auto"/>
            <w:vAlign w:val="center"/>
          </w:tcPr>
          <w:p w14:paraId="58BDA3B7" w14:textId="77777777" w:rsidR="00283F7B" w:rsidRPr="00482722" w:rsidRDefault="00283F7B" w:rsidP="00DA5EEC">
            <w:pPr>
              <w:jc w:val="center"/>
              <w:rPr>
                <w:rFonts w:ascii="Arial" w:hAnsi="Arial" w:cs="Arial"/>
                <w:b/>
                <w:sz w:val="20"/>
                <w:szCs w:val="20"/>
                <w:lang w:val="en-GB"/>
              </w:rPr>
            </w:pPr>
          </w:p>
        </w:tc>
        <w:tc>
          <w:tcPr>
            <w:tcW w:w="0" w:type="dxa"/>
            <w:tcBorders>
              <w:top w:val="nil"/>
              <w:bottom w:val="nil"/>
            </w:tcBorders>
            <w:shd w:val="clear" w:color="auto" w:fill="auto"/>
            <w:vAlign w:val="center"/>
          </w:tcPr>
          <w:p w14:paraId="7E3E93A5"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CL2</w:t>
            </w:r>
          </w:p>
        </w:tc>
        <w:tc>
          <w:tcPr>
            <w:tcW w:w="0" w:type="dxa"/>
            <w:tcBorders>
              <w:top w:val="nil"/>
              <w:bottom w:val="nil"/>
            </w:tcBorders>
            <w:shd w:val="clear" w:color="auto" w:fill="auto"/>
            <w:vAlign w:val="center"/>
          </w:tcPr>
          <w:p w14:paraId="41B31DEC"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0.88</w:t>
            </w:r>
          </w:p>
        </w:tc>
        <w:tc>
          <w:tcPr>
            <w:tcW w:w="0" w:type="dxa"/>
            <w:tcBorders>
              <w:top w:val="nil"/>
              <w:bottom w:val="nil"/>
            </w:tcBorders>
            <w:shd w:val="clear" w:color="auto" w:fill="auto"/>
            <w:vAlign w:val="center"/>
          </w:tcPr>
          <w:p w14:paraId="0F8FBFAD"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8B91AA1"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vAlign w:val="center"/>
          </w:tcPr>
          <w:p w14:paraId="103F509B" w14:textId="77777777" w:rsidR="00283F7B" w:rsidRPr="00482722" w:rsidRDefault="00283F7B" w:rsidP="00DA5EEC">
            <w:pPr>
              <w:jc w:val="center"/>
              <w:rPr>
                <w:rFonts w:ascii="Arial" w:hAnsi="Arial" w:cs="Arial"/>
                <w:sz w:val="20"/>
                <w:szCs w:val="20"/>
                <w:lang w:val="en-GB"/>
              </w:rPr>
            </w:pPr>
          </w:p>
        </w:tc>
      </w:tr>
      <w:tr w:rsidR="00482722" w:rsidRPr="00482722" w14:paraId="558652CB" w14:textId="77777777" w:rsidTr="006D31B5">
        <w:tc>
          <w:tcPr>
            <w:tcW w:w="0" w:type="dxa"/>
            <w:vMerge/>
            <w:tcBorders>
              <w:bottom w:val="single" w:sz="4" w:space="0" w:color="auto"/>
            </w:tcBorders>
            <w:shd w:val="clear" w:color="auto" w:fill="auto"/>
            <w:vAlign w:val="center"/>
          </w:tcPr>
          <w:p w14:paraId="7F819347" w14:textId="77777777" w:rsidR="00283F7B" w:rsidRPr="00482722" w:rsidRDefault="00283F7B" w:rsidP="00DA5EEC">
            <w:pPr>
              <w:jc w:val="center"/>
              <w:rPr>
                <w:rFonts w:ascii="Arial" w:hAnsi="Arial" w:cs="Arial"/>
                <w:b/>
                <w:sz w:val="20"/>
                <w:szCs w:val="20"/>
                <w:lang w:val="en-GB"/>
              </w:rPr>
            </w:pPr>
          </w:p>
        </w:tc>
        <w:tc>
          <w:tcPr>
            <w:tcW w:w="0" w:type="dxa"/>
            <w:tcBorders>
              <w:top w:val="nil"/>
              <w:bottom w:val="single" w:sz="4" w:space="0" w:color="auto"/>
            </w:tcBorders>
            <w:shd w:val="clear" w:color="auto" w:fill="auto"/>
            <w:vAlign w:val="center"/>
          </w:tcPr>
          <w:p w14:paraId="28FC0E38"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CL3</w:t>
            </w:r>
          </w:p>
        </w:tc>
        <w:tc>
          <w:tcPr>
            <w:tcW w:w="0" w:type="dxa"/>
            <w:tcBorders>
              <w:top w:val="nil"/>
              <w:bottom w:val="single" w:sz="4" w:space="0" w:color="auto"/>
            </w:tcBorders>
            <w:shd w:val="clear" w:color="auto" w:fill="auto"/>
            <w:vAlign w:val="center"/>
          </w:tcPr>
          <w:p w14:paraId="68BA44E5" w14:textId="77777777" w:rsidR="00283F7B" w:rsidRPr="00482722" w:rsidRDefault="00283F7B" w:rsidP="006D31B5">
            <w:pPr>
              <w:tabs>
                <w:tab w:val="decimal" w:pos="609"/>
              </w:tabs>
              <w:rPr>
                <w:rFonts w:ascii="Arial" w:hAnsi="Arial" w:cs="Arial"/>
                <w:sz w:val="20"/>
                <w:szCs w:val="20"/>
                <w:lang w:val="en-GB"/>
              </w:rPr>
            </w:pPr>
            <w:r w:rsidRPr="00482722">
              <w:rPr>
                <w:rFonts w:ascii="Arial" w:hAnsi="Arial" w:cs="Arial"/>
                <w:sz w:val="20"/>
                <w:szCs w:val="20"/>
                <w:lang w:val="en-GB"/>
              </w:rPr>
              <w:t>0.805</w:t>
            </w:r>
          </w:p>
        </w:tc>
        <w:tc>
          <w:tcPr>
            <w:tcW w:w="0" w:type="dxa"/>
            <w:tcBorders>
              <w:top w:val="nil"/>
              <w:bottom w:val="single" w:sz="4" w:space="0" w:color="auto"/>
            </w:tcBorders>
            <w:shd w:val="clear" w:color="auto" w:fill="auto"/>
            <w:vAlign w:val="center"/>
          </w:tcPr>
          <w:p w14:paraId="4CF1FB21" w14:textId="77777777" w:rsidR="00283F7B" w:rsidRPr="00482722" w:rsidRDefault="00283F7B" w:rsidP="00DA5EEC">
            <w:pPr>
              <w:jc w:val="center"/>
              <w:rPr>
                <w:rFonts w:ascii="Arial" w:hAnsi="Arial" w:cs="Arial"/>
                <w:sz w:val="20"/>
                <w:szCs w:val="20"/>
                <w:lang w:val="en-GB"/>
              </w:rPr>
            </w:pPr>
          </w:p>
        </w:tc>
        <w:tc>
          <w:tcPr>
            <w:tcW w:w="0" w:type="dxa"/>
            <w:tcBorders>
              <w:top w:val="nil"/>
              <w:bottom w:val="single" w:sz="4" w:space="0" w:color="auto"/>
            </w:tcBorders>
            <w:shd w:val="clear" w:color="auto" w:fill="auto"/>
            <w:vAlign w:val="center"/>
          </w:tcPr>
          <w:p w14:paraId="7A3BF714" w14:textId="77777777" w:rsidR="00283F7B" w:rsidRPr="00482722" w:rsidRDefault="00283F7B" w:rsidP="00DA5EEC">
            <w:pPr>
              <w:jc w:val="center"/>
              <w:rPr>
                <w:rFonts w:ascii="Arial" w:hAnsi="Arial" w:cs="Arial"/>
                <w:sz w:val="20"/>
                <w:szCs w:val="20"/>
                <w:lang w:val="en-GB"/>
              </w:rPr>
            </w:pPr>
          </w:p>
        </w:tc>
        <w:tc>
          <w:tcPr>
            <w:tcW w:w="0" w:type="dxa"/>
            <w:tcBorders>
              <w:top w:val="nil"/>
              <w:bottom w:val="single" w:sz="4" w:space="0" w:color="auto"/>
            </w:tcBorders>
            <w:shd w:val="clear" w:color="auto" w:fill="auto"/>
            <w:vAlign w:val="center"/>
          </w:tcPr>
          <w:p w14:paraId="6982AF27" w14:textId="77777777" w:rsidR="00283F7B" w:rsidRPr="00482722" w:rsidRDefault="00283F7B" w:rsidP="00DA5EEC">
            <w:pPr>
              <w:jc w:val="center"/>
              <w:rPr>
                <w:rFonts w:ascii="Arial" w:hAnsi="Arial" w:cs="Arial"/>
                <w:sz w:val="20"/>
                <w:szCs w:val="20"/>
                <w:lang w:val="en-GB"/>
              </w:rPr>
            </w:pPr>
          </w:p>
        </w:tc>
      </w:tr>
    </w:tbl>
    <w:p w14:paraId="1D23179B" w14:textId="77777777" w:rsidR="00283F7B" w:rsidRPr="00482722" w:rsidRDefault="00283F7B" w:rsidP="00DA5EEC">
      <w:pPr>
        <w:spacing w:line="240" w:lineRule="auto"/>
        <w:rPr>
          <w:rFonts w:ascii="Arial" w:hAnsi="Arial" w:cs="Arial"/>
          <w:sz w:val="20"/>
          <w:szCs w:val="20"/>
        </w:rPr>
      </w:pPr>
    </w:p>
    <w:p w14:paraId="664D5153" w14:textId="663C273D" w:rsidR="00283F7B"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Furthermore, discriminant validity was examined using the factors correlation matrix and square root of</w:t>
      </w:r>
      <w:r w:rsidR="00915D06" w:rsidRPr="00482722">
        <w:rPr>
          <w:rFonts w:ascii="Arial" w:hAnsi="Arial" w:cs="Arial"/>
          <w:sz w:val="20"/>
          <w:szCs w:val="20"/>
        </w:rPr>
        <w:t xml:space="preserve"> </w:t>
      </w:r>
      <w:r w:rsidR="000D5AB2" w:rsidRPr="00482722">
        <w:rPr>
          <w:rFonts w:ascii="Arial" w:hAnsi="Arial" w:cs="Arial"/>
          <w:sz w:val="20"/>
          <w:szCs w:val="20"/>
        </w:rPr>
        <w:t>AVE</w:t>
      </w:r>
      <w:r w:rsidRPr="00482722">
        <w:rPr>
          <w:rFonts w:ascii="Arial" w:hAnsi="Arial" w:cs="Arial"/>
          <w:sz w:val="20"/>
          <w:szCs w:val="20"/>
        </w:rPr>
        <w:t xml:space="preserve">. </w:t>
      </w:r>
      <w:r w:rsidR="000D5AB2" w:rsidRPr="00482722">
        <w:rPr>
          <w:rFonts w:ascii="Arial" w:hAnsi="Arial" w:cs="Arial"/>
          <w:sz w:val="20"/>
          <w:szCs w:val="20"/>
        </w:rPr>
        <w:t>T</w:t>
      </w:r>
      <w:r w:rsidRPr="00482722">
        <w:rPr>
          <w:rFonts w:ascii="Arial" w:hAnsi="Arial" w:cs="Arial"/>
          <w:sz w:val="20"/>
          <w:szCs w:val="20"/>
        </w:rPr>
        <w:t>o verify discriminant validity, the correlation coefficient for each pair of factors</w:t>
      </w:r>
      <w:r w:rsidR="007A6A98" w:rsidRPr="00482722">
        <w:rPr>
          <w:rFonts w:ascii="Arial" w:hAnsi="Arial" w:cs="Arial"/>
          <w:sz w:val="20"/>
          <w:szCs w:val="20"/>
        </w:rPr>
        <w:t xml:space="preserve"> should</w:t>
      </w:r>
      <w:r w:rsidRPr="00482722">
        <w:rPr>
          <w:rFonts w:ascii="Arial" w:hAnsi="Arial" w:cs="Arial"/>
          <w:sz w:val="20"/>
          <w:szCs w:val="20"/>
        </w:rPr>
        <w:t xml:space="preserve"> be less than the square root of AVE </w:t>
      </w:r>
      <w:r w:rsidR="00460900" w:rsidRPr="00482722">
        <w:rPr>
          <w:rFonts w:ascii="Arial" w:hAnsi="Arial" w:cs="Arial"/>
          <w:sz w:val="20"/>
          <w:szCs w:val="20"/>
        </w:rPr>
        <w:t xml:space="preserve">for </w:t>
      </w:r>
      <w:r w:rsidRPr="00482722">
        <w:rPr>
          <w:rFonts w:ascii="Arial" w:hAnsi="Arial" w:cs="Arial"/>
          <w:sz w:val="20"/>
          <w:szCs w:val="20"/>
        </w:rPr>
        <w:t xml:space="preserve">each factor in the factor correlation matrix (Anderson </w:t>
      </w:r>
      <w:r w:rsidR="002D35B9" w:rsidRPr="00482722">
        <w:rPr>
          <w:rFonts w:ascii="Arial" w:hAnsi="Arial" w:cs="Arial"/>
          <w:sz w:val="20"/>
          <w:szCs w:val="20"/>
        </w:rPr>
        <w:t>and</w:t>
      </w:r>
      <w:r w:rsidRPr="00482722">
        <w:rPr>
          <w:rFonts w:ascii="Arial" w:hAnsi="Arial" w:cs="Arial"/>
          <w:sz w:val="20"/>
          <w:szCs w:val="20"/>
        </w:rPr>
        <w:t xml:space="preserve"> Gerbing, 1988; Fornell </w:t>
      </w:r>
      <w:r w:rsidR="002D35B9" w:rsidRPr="00482722">
        <w:rPr>
          <w:rFonts w:ascii="Arial" w:hAnsi="Arial" w:cs="Arial"/>
          <w:sz w:val="20"/>
          <w:szCs w:val="20"/>
        </w:rPr>
        <w:t>and</w:t>
      </w:r>
      <w:r w:rsidRPr="00482722">
        <w:rPr>
          <w:rFonts w:ascii="Arial" w:hAnsi="Arial" w:cs="Arial"/>
          <w:sz w:val="20"/>
          <w:szCs w:val="20"/>
        </w:rPr>
        <w:t xml:space="preserve"> Larcker, 1981)</w:t>
      </w:r>
      <w:r w:rsidR="00460900" w:rsidRPr="00482722">
        <w:rPr>
          <w:rFonts w:ascii="Arial" w:hAnsi="Arial" w:cs="Arial"/>
          <w:sz w:val="20"/>
          <w:szCs w:val="20"/>
        </w:rPr>
        <w:t>,</w:t>
      </w:r>
      <w:r w:rsidR="007A6A98" w:rsidRPr="00482722">
        <w:rPr>
          <w:rFonts w:ascii="Arial" w:hAnsi="Arial" w:cs="Arial"/>
          <w:sz w:val="20"/>
          <w:szCs w:val="20"/>
        </w:rPr>
        <w:t xml:space="preserve"> and this was the case in our sample (as shown </w:t>
      </w:r>
      <w:r w:rsidRPr="00482722">
        <w:rPr>
          <w:rFonts w:ascii="Arial" w:hAnsi="Arial" w:cs="Arial"/>
          <w:sz w:val="20"/>
          <w:szCs w:val="20"/>
        </w:rPr>
        <w:t xml:space="preserve">in Table </w:t>
      </w:r>
      <w:r w:rsidR="00E50375" w:rsidRPr="00482722">
        <w:rPr>
          <w:rFonts w:ascii="Arial" w:hAnsi="Arial" w:cs="Arial"/>
          <w:sz w:val="20"/>
          <w:szCs w:val="20"/>
        </w:rPr>
        <w:t>VI</w:t>
      </w:r>
      <w:r w:rsidR="007A6A98" w:rsidRPr="00482722">
        <w:rPr>
          <w:rFonts w:ascii="Arial" w:hAnsi="Arial" w:cs="Arial"/>
          <w:sz w:val="20"/>
          <w:szCs w:val="20"/>
        </w:rPr>
        <w:t>)</w:t>
      </w:r>
      <w:r w:rsidRPr="00482722">
        <w:rPr>
          <w:rFonts w:ascii="Arial" w:hAnsi="Arial" w:cs="Arial"/>
          <w:sz w:val="20"/>
          <w:szCs w:val="20"/>
        </w:rPr>
        <w:t xml:space="preserve">. For example, the correlation coefficient between </w:t>
      </w:r>
      <w:r w:rsidR="00B91C56" w:rsidRPr="00482722">
        <w:rPr>
          <w:rFonts w:ascii="Arial" w:hAnsi="Arial" w:cs="Arial"/>
          <w:sz w:val="20"/>
          <w:szCs w:val="20"/>
        </w:rPr>
        <w:t>trust in government</w:t>
      </w:r>
      <w:r w:rsidRPr="00482722">
        <w:rPr>
          <w:rFonts w:ascii="Arial" w:hAnsi="Arial" w:cs="Arial"/>
          <w:sz w:val="20"/>
          <w:szCs w:val="20"/>
        </w:rPr>
        <w:t xml:space="preserve"> and </w:t>
      </w:r>
      <w:r w:rsidR="00B91C56" w:rsidRPr="00482722">
        <w:rPr>
          <w:rFonts w:ascii="Arial" w:hAnsi="Arial" w:cs="Arial"/>
          <w:sz w:val="20"/>
          <w:szCs w:val="20"/>
        </w:rPr>
        <w:t>disposition to trust</w:t>
      </w:r>
      <w:r w:rsidRPr="00482722">
        <w:rPr>
          <w:rFonts w:ascii="Arial" w:hAnsi="Arial" w:cs="Arial"/>
          <w:sz w:val="20"/>
          <w:szCs w:val="20"/>
        </w:rPr>
        <w:t xml:space="preserve"> was 0.453</w:t>
      </w:r>
      <w:r w:rsidR="00AA7D8A" w:rsidRPr="00482722">
        <w:rPr>
          <w:rFonts w:ascii="Arial" w:hAnsi="Arial" w:cs="Arial"/>
          <w:sz w:val="20"/>
          <w:szCs w:val="20"/>
        </w:rPr>
        <w:t>,</w:t>
      </w:r>
      <w:r w:rsidRPr="00482722">
        <w:rPr>
          <w:rFonts w:ascii="Arial" w:hAnsi="Arial" w:cs="Arial"/>
          <w:sz w:val="20"/>
          <w:szCs w:val="20"/>
        </w:rPr>
        <w:t xml:space="preserve"> which is less than the square root of</w:t>
      </w:r>
      <w:r w:rsidR="00915D06" w:rsidRPr="00482722">
        <w:rPr>
          <w:rFonts w:ascii="Arial" w:hAnsi="Arial" w:cs="Arial"/>
          <w:sz w:val="20"/>
          <w:szCs w:val="20"/>
        </w:rPr>
        <w:t xml:space="preserve"> </w:t>
      </w:r>
      <w:r w:rsidRPr="00482722">
        <w:rPr>
          <w:rFonts w:ascii="Arial" w:hAnsi="Arial" w:cs="Arial"/>
          <w:sz w:val="20"/>
          <w:szCs w:val="20"/>
        </w:rPr>
        <w:t>AVE (i.e., 0.863 and 0.797</w:t>
      </w:r>
      <w:r w:rsidR="00AA7D8A" w:rsidRPr="00482722">
        <w:rPr>
          <w:rFonts w:ascii="Arial" w:hAnsi="Arial" w:cs="Arial"/>
          <w:sz w:val="20"/>
          <w:szCs w:val="20"/>
        </w:rPr>
        <w:t>,</w:t>
      </w:r>
      <w:r w:rsidRPr="00482722">
        <w:rPr>
          <w:rFonts w:ascii="Arial" w:hAnsi="Arial" w:cs="Arial"/>
          <w:sz w:val="20"/>
          <w:szCs w:val="20"/>
        </w:rPr>
        <w:t xml:space="preserve"> respectively), as shown in bold and italic</w:t>
      </w:r>
      <w:r w:rsidR="00852A7F" w:rsidRPr="00482722">
        <w:rPr>
          <w:rFonts w:ascii="Arial" w:hAnsi="Arial" w:cs="Arial"/>
          <w:sz w:val="20"/>
          <w:szCs w:val="20"/>
        </w:rPr>
        <w:t>s</w:t>
      </w:r>
      <w:r w:rsidRPr="00482722">
        <w:rPr>
          <w:rFonts w:ascii="Arial" w:hAnsi="Arial" w:cs="Arial"/>
          <w:sz w:val="20"/>
          <w:szCs w:val="20"/>
        </w:rPr>
        <w:t xml:space="preserve"> across the diagonal </w:t>
      </w:r>
      <w:r w:rsidR="00852A7F" w:rsidRPr="00482722">
        <w:rPr>
          <w:rFonts w:ascii="Arial" w:hAnsi="Arial" w:cs="Arial"/>
          <w:sz w:val="20"/>
          <w:szCs w:val="20"/>
        </w:rPr>
        <w:t xml:space="preserve">in </w:t>
      </w:r>
      <w:r w:rsidRPr="00482722">
        <w:rPr>
          <w:rFonts w:ascii="Arial" w:hAnsi="Arial" w:cs="Arial"/>
          <w:sz w:val="20"/>
          <w:szCs w:val="20"/>
        </w:rPr>
        <w:t xml:space="preserve">Table </w:t>
      </w:r>
      <w:r w:rsidR="00E50375" w:rsidRPr="00482722">
        <w:rPr>
          <w:rFonts w:ascii="Arial" w:hAnsi="Arial" w:cs="Arial"/>
          <w:sz w:val="20"/>
          <w:szCs w:val="20"/>
        </w:rPr>
        <w:t>VI</w:t>
      </w:r>
      <w:r w:rsidRPr="00482722">
        <w:rPr>
          <w:rFonts w:ascii="Arial" w:hAnsi="Arial" w:cs="Arial"/>
          <w:sz w:val="20"/>
          <w:szCs w:val="20"/>
        </w:rPr>
        <w:t xml:space="preserve">. In addition, </w:t>
      </w:r>
      <w:r w:rsidR="00FE7B4E" w:rsidRPr="00482722">
        <w:rPr>
          <w:rFonts w:ascii="Arial" w:hAnsi="Arial" w:cs="Arial"/>
          <w:sz w:val="20"/>
          <w:szCs w:val="20"/>
        </w:rPr>
        <w:t xml:space="preserve">we did not find any </w:t>
      </w:r>
      <w:r w:rsidRPr="00482722">
        <w:rPr>
          <w:rFonts w:ascii="Arial" w:hAnsi="Arial" w:cs="Arial"/>
          <w:sz w:val="20"/>
          <w:szCs w:val="20"/>
        </w:rPr>
        <w:t xml:space="preserve">multicollinearity </w:t>
      </w:r>
      <w:r w:rsidR="00FE7B4E" w:rsidRPr="00482722">
        <w:rPr>
          <w:rFonts w:ascii="Arial" w:hAnsi="Arial" w:cs="Arial"/>
          <w:sz w:val="20"/>
          <w:szCs w:val="20"/>
        </w:rPr>
        <w:t>issues</w:t>
      </w:r>
      <w:r w:rsidR="00EE2F90" w:rsidRPr="00482722">
        <w:rPr>
          <w:rFonts w:ascii="Arial" w:hAnsi="Arial" w:cs="Arial"/>
          <w:sz w:val="20"/>
          <w:szCs w:val="20"/>
        </w:rPr>
        <w:t>,</w:t>
      </w:r>
      <w:r w:rsidR="00FE7B4E" w:rsidRPr="00482722">
        <w:rPr>
          <w:rFonts w:ascii="Arial" w:hAnsi="Arial" w:cs="Arial"/>
          <w:sz w:val="20"/>
          <w:szCs w:val="20"/>
        </w:rPr>
        <w:t xml:space="preserve"> </w:t>
      </w:r>
      <w:r w:rsidR="006C1B30" w:rsidRPr="00482722">
        <w:rPr>
          <w:rFonts w:ascii="Arial" w:hAnsi="Arial" w:cs="Arial"/>
          <w:sz w:val="20"/>
          <w:szCs w:val="20"/>
        </w:rPr>
        <w:t xml:space="preserve">because </w:t>
      </w:r>
      <w:r w:rsidRPr="00482722">
        <w:rPr>
          <w:rFonts w:ascii="Arial" w:hAnsi="Arial" w:cs="Arial"/>
          <w:sz w:val="20"/>
          <w:szCs w:val="20"/>
        </w:rPr>
        <w:t xml:space="preserve">all the correlation coefficients among the constructs were less than 0.80 (Asteriou </w:t>
      </w:r>
      <w:r w:rsidR="002D35B9" w:rsidRPr="00482722">
        <w:rPr>
          <w:rFonts w:ascii="Arial" w:hAnsi="Arial" w:cs="Arial"/>
          <w:sz w:val="20"/>
          <w:szCs w:val="20"/>
        </w:rPr>
        <w:t>and</w:t>
      </w:r>
      <w:r w:rsidRPr="00482722">
        <w:rPr>
          <w:rFonts w:ascii="Arial" w:hAnsi="Arial" w:cs="Arial"/>
          <w:sz w:val="20"/>
          <w:szCs w:val="20"/>
        </w:rPr>
        <w:t xml:space="preserve"> Hall, 2007). </w:t>
      </w:r>
      <w:r w:rsidR="00CD1FA0" w:rsidRPr="00482722">
        <w:rPr>
          <w:rFonts w:ascii="Arial" w:hAnsi="Arial" w:cs="Arial"/>
          <w:sz w:val="20"/>
          <w:szCs w:val="20"/>
        </w:rPr>
        <w:t>Overall,</w:t>
      </w:r>
      <w:r w:rsidR="00FE7B4E" w:rsidRPr="00482722">
        <w:rPr>
          <w:rFonts w:ascii="Arial" w:hAnsi="Arial" w:cs="Arial"/>
          <w:sz w:val="20"/>
          <w:szCs w:val="20"/>
        </w:rPr>
        <w:t xml:space="preserve"> the results</w:t>
      </w:r>
      <w:r w:rsidRPr="00482722">
        <w:rPr>
          <w:rFonts w:ascii="Arial" w:hAnsi="Arial" w:cs="Arial"/>
          <w:sz w:val="20"/>
          <w:szCs w:val="20"/>
        </w:rPr>
        <w:t xml:space="preserve"> show that the convergent validity and discriminant validity of the measurement model were </w:t>
      </w:r>
      <w:r w:rsidR="00FE7B4E" w:rsidRPr="00482722">
        <w:rPr>
          <w:rFonts w:ascii="Arial" w:hAnsi="Arial" w:cs="Arial"/>
          <w:sz w:val="20"/>
          <w:szCs w:val="20"/>
        </w:rPr>
        <w:t>confirmed.</w:t>
      </w:r>
    </w:p>
    <w:p w14:paraId="3F35C9F3" w14:textId="7F55F90D" w:rsidR="00283F7B" w:rsidRPr="00482722" w:rsidRDefault="00283F7B" w:rsidP="00DA5EEC">
      <w:pPr>
        <w:spacing w:line="240" w:lineRule="auto"/>
        <w:jc w:val="both"/>
        <w:rPr>
          <w:rFonts w:ascii="Arial" w:hAnsi="Arial" w:cs="Arial"/>
          <w:sz w:val="20"/>
          <w:szCs w:val="20"/>
        </w:rPr>
      </w:pPr>
      <w:r w:rsidRPr="00482722">
        <w:rPr>
          <w:rFonts w:ascii="Arial" w:hAnsi="Arial" w:cs="Arial"/>
          <w:b/>
          <w:bCs/>
          <w:sz w:val="20"/>
          <w:szCs w:val="20"/>
        </w:rPr>
        <w:t xml:space="preserve">Table </w:t>
      </w:r>
      <w:r w:rsidR="00E50375" w:rsidRPr="00482722">
        <w:rPr>
          <w:rFonts w:ascii="Arial" w:hAnsi="Arial" w:cs="Arial"/>
          <w:b/>
          <w:bCs/>
          <w:sz w:val="20"/>
          <w:szCs w:val="20"/>
        </w:rPr>
        <w:t>VI</w:t>
      </w:r>
      <w:r w:rsidR="004074E8" w:rsidRPr="00482722">
        <w:rPr>
          <w:rFonts w:ascii="Arial" w:hAnsi="Arial" w:cs="Arial"/>
          <w:b/>
          <w:bCs/>
          <w:sz w:val="20"/>
          <w:szCs w:val="20"/>
        </w:rPr>
        <w:t>.</w:t>
      </w:r>
      <w:r w:rsidRPr="00482722">
        <w:rPr>
          <w:rFonts w:ascii="Arial" w:hAnsi="Arial" w:cs="Arial"/>
          <w:sz w:val="20"/>
          <w:szCs w:val="20"/>
        </w:rPr>
        <w:t xml:space="preserve"> Correlation matrix and discriminant validity of factors</w:t>
      </w:r>
    </w:p>
    <w:tbl>
      <w:tblPr>
        <w:tblStyle w:val="LightList-Accent5"/>
        <w:tblW w:w="0" w:type="auto"/>
        <w:jc w:val="center"/>
        <w:tblBorders>
          <w:top w:val="single" w:sz="8" w:space="0" w:color="auto"/>
          <w:left w:val="none" w:sz="0" w:space="0" w:color="auto"/>
          <w:bottom w:val="single" w:sz="8" w:space="0" w:color="auto"/>
          <w:right w:val="none" w:sz="0" w:space="0" w:color="auto"/>
          <w:insideH w:val="single" w:sz="8" w:space="0" w:color="auto"/>
        </w:tblBorders>
        <w:tblLook w:val="0600" w:firstRow="0" w:lastRow="0" w:firstColumn="0" w:lastColumn="0" w:noHBand="1" w:noVBand="1"/>
      </w:tblPr>
      <w:tblGrid>
        <w:gridCol w:w="1270"/>
        <w:gridCol w:w="1202"/>
        <w:gridCol w:w="1202"/>
        <w:gridCol w:w="1207"/>
        <w:gridCol w:w="1135"/>
        <w:gridCol w:w="1135"/>
        <w:gridCol w:w="1135"/>
      </w:tblGrid>
      <w:tr w:rsidR="00482722" w:rsidRPr="00482722" w14:paraId="75564504" w14:textId="77777777" w:rsidTr="00F2100B">
        <w:trPr>
          <w:jc w:val="center"/>
        </w:trPr>
        <w:tc>
          <w:tcPr>
            <w:tcW w:w="1270" w:type="dxa"/>
            <w:tcBorders>
              <w:top w:val="single" w:sz="4" w:space="0" w:color="auto"/>
              <w:bottom w:val="single" w:sz="4" w:space="0" w:color="auto"/>
            </w:tcBorders>
            <w:shd w:val="clear" w:color="auto" w:fill="auto"/>
          </w:tcPr>
          <w:p w14:paraId="0D913F3B" w14:textId="204076D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Factor</w:t>
            </w:r>
          </w:p>
        </w:tc>
        <w:tc>
          <w:tcPr>
            <w:tcW w:w="1202" w:type="dxa"/>
            <w:tcBorders>
              <w:top w:val="single" w:sz="4" w:space="0" w:color="auto"/>
              <w:bottom w:val="single" w:sz="4" w:space="0" w:color="auto"/>
            </w:tcBorders>
            <w:shd w:val="clear" w:color="auto" w:fill="auto"/>
          </w:tcPr>
          <w:p w14:paraId="183366A5"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TG</w:t>
            </w:r>
          </w:p>
        </w:tc>
        <w:tc>
          <w:tcPr>
            <w:tcW w:w="1202" w:type="dxa"/>
            <w:tcBorders>
              <w:top w:val="single" w:sz="4" w:space="0" w:color="auto"/>
              <w:bottom w:val="single" w:sz="4" w:space="0" w:color="auto"/>
            </w:tcBorders>
            <w:shd w:val="clear" w:color="auto" w:fill="auto"/>
          </w:tcPr>
          <w:p w14:paraId="06F581DD"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DT</w:t>
            </w:r>
          </w:p>
        </w:tc>
        <w:tc>
          <w:tcPr>
            <w:tcW w:w="1207" w:type="dxa"/>
            <w:tcBorders>
              <w:top w:val="single" w:sz="4" w:space="0" w:color="auto"/>
              <w:bottom w:val="single" w:sz="4" w:space="0" w:color="auto"/>
            </w:tcBorders>
            <w:shd w:val="clear" w:color="auto" w:fill="auto"/>
          </w:tcPr>
          <w:p w14:paraId="1383BE6D"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SQ</w:t>
            </w:r>
          </w:p>
        </w:tc>
        <w:tc>
          <w:tcPr>
            <w:tcW w:w="1135" w:type="dxa"/>
            <w:tcBorders>
              <w:top w:val="single" w:sz="4" w:space="0" w:color="auto"/>
              <w:bottom w:val="single" w:sz="4" w:space="0" w:color="auto"/>
            </w:tcBorders>
            <w:shd w:val="clear" w:color="auto" w:fill="auto"/>
          </w:tcPr>
          <w:p w14:paraId="402D057C"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TEG</w:t>
            </w:r>
          </w:p>
        </w:tc>
        <w:tc>
          <w:tcPr>
            <w:tcW w:w="1135" w:type="dxa"/>
            <w:tcBorders>
              <w:top w:val="single" w:sz="4" w:space="0" w:color="auto"/>
              <w:bottom w:val="single" w:sz="4" w:space="0" w:color="auto"/>
            </w:tcBorders>
            <w:shd w:val="clear" w:color="auto" w:fill="auto"/>
          </w:tcPr>
          <w:p w14:paraId="1A382E21"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CS</w:t>
            </w:r>
          </w:p>
        </w:tc>
        <w:tc>
          <w:tcPr>
            <w:tcW w:w="1135" w:type="dxa"/>
            <w:tcBorders>
              <w:top w:val="single" w:sz="4" w:space="0" w:color="auto"/>
              <w:bottom w:val="single" w:sz="4" w:space="0" w:color="auto"/>
            </w:tcBorders>
            <w:shd w:val="clear" w:color="auto" w:fill="auto"/>
          </w:tcPr>
          <w:p w14:paraId="784E77C9"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CL</w:t>
            </w:r>
          </w:p>
        </w:tc>
      </w:tr>
      <w:tr w:rsidR="00482722" w:rsidRPr="00482722" w14:paraId="6C218903" w14:textId="77777777" w:rsidTr="006D31B5">
        <w:trPr>
          <w:jc w:val="center"/>
        </w:trPr>
        <w:tc>
          <w:tcPr>
            <w:tcW w:w="0" w:type="dxa"/>
            <w:tcBorders>
              <w:top w:val="single" w:sz="4" w:space="0" w:color="auto"/>
              <w:bottom w:val="nil"/>
            </w:tcBorders>
            <w:shd w:val="clear" w:color="auto" w:fill="auto"/>
          </w:tcPr>
          <w:p w14:paraId="09A292FB"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TG</w:t>
            </w:r>
          </w:p>
        </w:tc>
        <w:tc>
          <w:tcPr>
            <w:tcW w:w="0" w:type="dxa"/>
            <w:tcBorders>
              <w:top w:val="single" w:sz="4" w:space="0" w:color="auto"/>
              <w:bottom w:val="nil"/>
            </w:tcBorders>
            <w:shd w:val="clear" w:color="auto" w:fill="auto"/>
            <w:vAlign w:val="center"/>
          </w:tcPr>
          <w:p w14:paraId="3CED69A5" w14:textId="77777777" w:rsidR="00283F7B" w:rsidRPr="00482722" w:rsidRDefault="00283F7B" w:rsidP="00DA5EEC">
            <w:pPr>
              <w:jc w:val="center"/>
              <w:rPr>
                <w:rFonts w:ascii="Arial" w:hAnsi="Arial" w:cs="Arial"/>
                <w:b/>
                <w:bCs/>
                <w:i/>
                <w:iCs/>
                <w:sz w:val="20"/>
                <w:szCs w:val="20"/>
                <w:lang w:val="en-GB"/>
              </w:rPr>
            </w:pPr>
            <w:r w:rsidRPr="00482722">
              <w:rPr>
                <w:rFonts w:ascii="Arial" w:hAnsi="Arial" w:cs="Arial"/>
                <w:b/>
                <w:bCs/>
                <w:i/>
                <w:iCs/>
                <w:sz w:val="20"/>
                <w:szCs w:val="20"/>
                <w:lang w:val="en-GB"/>
              </w:rPr>
              <w:t>0.863</w:t>
            </w:r>
          </w:p>
        </w:tc>
        <w:tc>
          <w:tcPr>
            <w:tcW w:w="0" w:type="dxa"/>
            <w:tcBorders>
              <w:top w:val="single" w:sz="4" w:space="0" w:color="auto"/>
              <w:bottom w:val="nil"/>
            </w:tcBorders>
            <w:shd w:val="clear" w:color="auto" w:fill="auto"/>
          </w:tcPr>
          <w:p w14:paraId="7AFABD33" w14:textId="77777777" w:rsidR="00283F7B" w:rsidRPr="00482722" w:rsidRDefault="00283F7B" w:rsidP="00DA5EEC">
            <w:pPr>
              <w:rPr>
                <w:rFonts w:ascii="Arial" w:hAnsi="Arial" w:cs="Arial"/>
                <w:sz w:val="20"/>
                <w:szCs w:val="20"/>
                <w:lang w:val="en-GB"/>
              </w:rPr>
            </w:pPr>
          </w:p>
        </w:tc>
        <w:tc>
          <w:tcPr>
            <w:tcW w:w="0" w:type="dxa"/>
            <w:tcBorders>
              <w:top w:val="single" w:sz="4" w:space="0" w:color="auto"/>
              <w:bottom w:val="nil"/>
            </w:tcBorders>
            <w:shd w:val="clear" w:color="auto" w:fill="auto"/>
          </w:tcPr>
          <w:p w14:paraId="00393AB4" w14:textId="77777777" w:rsidR="00283F7B" w:rsidRPr="00482722" w:rsidRDefault="00283F7B" w:rsidP="00DA5EEC">
            <w:pPr>
              <w:rPr>
                <w:rFonts w:ascii="Arial" w:hAnsi="Arial" w:cs="Arial"/>
                <w:sz w:val="20"/>
                <w:szCs w:val="20"/>
                <w:lang w:val="en-GB"/>
              </w:rPr>
            </w:pPr>
          </w:p>
        </w:tc>
        <w:tc>
          <w:tcPr>
            <w:tcW w:w="0" w:type="dxa"/>
            <w:tcBorders>
              <w:top w:val="single" w:sz="4" w:space="0" w:color="auto"/>
              <w:bottom w:val="nil"/>
            </w:tcBorders>
            <w:shd w:val="clear" w:color="auto" w:fill="auto"/>
          </w:tcPr>
          <w:p w14:paraId="2E8DB188" w14:textId="77777777" w:rsidR="00283F7B" w:rsidRPr="00482722" w:rsidRDefault="00283F7B" w:rsidP="00DA5EEC">
            <w:pPr>
              <w:rPr>
                <w:rFonts w:ascii="Arial" w:hAnsi="Arial" w:cs="Arial"/>
                <w:sz w:val="20"/>
                <w:szCs w:val="20"/>
                <w:lang w:val="en-GB"/>
              </w:rPr>
            </w:pPr>
          </w:p>
        </w:tc>
        <w:tc>
          <w:tcPr>
            <w:tcW w:w="0" w:type="dxa"/>
            <w:tcBorders>
              <w:top w:val="single" w:sz="4" w:space="0" w:color="auto"/>
              <w:bottom w:val="nil"/>
            </w:tcBorders>
            <w:shd w:val="clear" w:color="auto" w:fill="auto"/>
          </w:tcPr>
          <w:p w14:paraId="0CE07358" w14:textId="77777777" w:rsidR="00283F7B" w:rsidRPr="00482722" w:rsidRDefault="00283F7B" w:rsidP="006D31B5">
            <w:pPr>
              <w:tabs>
                <w:tab w:val="decimal" w:pos="337"/>
              </w:tabs>
              <w:rPr>
                <w:rFonts w:ascii="Arial" w:hAnsi="Arial" w:cs="Arial"/>
                <w:sz w:val="20"/>
                <w:szCs w:val="20"/>
                <w:lang w:val="en-GB"/>
              </w:rPr>
            </w:pPr>
          </w:p>
        </w:tc>
        <w:tc>
          <w:tcPr>
            <w:tcW w:w="0" w:type="dxa"/>
            <w:tcBorders>
              <w:top w:val="single" w:sz="4" w:space="0" w:color="auto"/>
              <w:bottom w:val="nil"/>
            </w:tcBorders>
            <w:shd w:val="clear" w:color="auto" w:fill="auto"/>
          </w:tcPr>
          <w:p w14:paraId="19B5BD08" w14:textId="77777777" w:rsidR="00283F7B" w:rsidRPr="00482722" w:rsidRDefault="00283F7B" w:rsidP="00DA5EEC">
            <w:pPr>
              <w:rPr>
                <w:rFonts w:ascii="Arial" w:hAnsi="Arial" w:cs="Arial"/>
                <w:sz w:val="20"/>
                <w:szCs w:val="20"/>
                <w:lang w:val="en-GB"/>
              </w:rPr>
            </w:pPr>
          </w:p>
        </w:tc>
      </w:tr>
      <w:tr w:rsidR="00482722" w:rsidRPr="00482722" w14:paraId="37FEC80D" w14:textId="77777777" w:rsidTr="006D31B5">
        <w:trPr>
          <w:jc w:val="center"/>
        </w:trPr>
        <w:tc>
          <w:tcPr>
            <w:tcW w:w="0" w:type="dxa"/>
            <w:tcBorders>
              <w:top w:val="nil"/>
              <w:bottom w:val="nil"/>
            </w:tcBorders>
            <w:shd w:val="clear" w:color="auto" w:fill="auto"/>
          </w:tcPr>
          <w:p w14:paraId="5D921F44"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DT</w:t>
            </w:r>
          </w:p>
        </w:tc>
        <w:tc>
          <w:tcPr>
            <w:tcW w:w="0" w:type="dxa"/>
            <w:tcBorders>
              <w:top w:val="nil"/>
              <w:bottom w:val="nil"/>
            </w:tcBorders>
            <w:shd w:val="clear" w:color="auto" w:fill="auto"/>
            <w:vAlign w:val="center"/>
          </w:tcPr>
          <w:p w14:paraId="49C65230"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0.453</w:t>
            </w:r>
          </w:p>
        </w:tc>
        <w:tc>
          <w:tcPr>
            <w:tcW w:w="0" w:type="dxa"/>
            <w:tcBorders>
              <w:top w:val="nil"/>
              <w:bottom w:val="nil"/>
            </w:tcBorders>
            <w:shd w:val="clear" w:color="auto" w:fill="auto"/>
            <w:vAlign w:val="center"/>
          </w:tcPr>
          <w:p w14:paraId="584BD726" w14:textId="77777777" w:rsidR="00283F7B" w:rsidRPr="00482722" w:rsidRDefault="00283F7B" w:rsidP="00DA5EEC">
            <w:pPr>
              <w:jc w:val="center"/>
              <w:rPr>
                <w:rFonts w:ascii="Arial" w:hAnsi="Arial" w:cs="Arial"/>
                <w:b/>
                <w:bCs/>
                <w:i/>
                <w:iCs/>
                <w:sz w:val="20"/>
                <w:szCs w:val="20"/>
                <w:lang w:val="en-GB"/>
              </w:rPr>
            </w:pPr>
            <w:r w:rsidRPr="00482722">
              <w:rPr>
                <w:rFonts w:ascii="Arial" w:hAnsi="Arial" w:cs="Arial"/>
                <w:b/>
                <w:bCs/>
                <w:i/>
                <w:iCs/>
                <w:sz w:val="20"/>
                <w:szCs w:val="20"/>
                <w:lang w:val="en-GB"/>
              </w:rPr>
              <w:t>0.797</w:t>
            </w:r>
          </w:p>
        </w:tc>
        <w:tc>
          <w:tcPr>
            <w:tcW w:w="0" w:type="dxa"/>
            <w:tcBorders>
              <w:top w:val="nil"/>
              <w:bottom w:val="nil"/>
            </w:tcBorders>
            <w:shd w:val="clear" w:color="auto" w:fill="auto"/>
          </w:tcPr>
          <w:p w14:paraId="7089B33B"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tcPr>
          <w:p w14:paraId="6DADC3E2"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tcPr>
          <w:p w14:paraId="3E40B335" w14:textId="77777777" w:rsidR="00283F7B" w:rsidRPr="00482722" w:rsidRDefault="00283F7B" w:rsidP="006D31B5">
            <w:pPr>
              <w:tabs>
                <w:tab w:val="decimal" w:pos="337"/>
              </w:tabs>
              <w:jc w:val="center"/>
              <w:rPr>
                <w:rFonts w:ascii="Arial" w:hAnsi="Arial" w:cs="Arial"/>
                <w:sz w:val="20"/>
                <w:szCs w:val="20"/>
                <w:lang w:val="en-GB"/>
              </w:rPr>
            </w:pPr>
          </w:p>
        </w:tc>
        <w:tc>
          <w:tcPr>
            <w:tcW w:w="0" w:type="dxa"/>
            <w:tcBorders>
              <w:top w:val="nil"/>
              <w:bottom w:val="nil"/>
            </w:tcBorders>
            <w:shd w:val="clear" w:color="auto" w:fill="auto"/>
          </w:tcPr>
          <w:p w14:paraId="5327C6B4" w14:textId="77777777" w:rsidR="00283F7B" w:rsidRPr="00482722" w:rsidRDefault="00283F7B" w:rsidP="00DA5EEC">
            <w:pPr>
              <w:jc w:val="center"/>
              <w:rPr>
                <w:rFonts w:ascii="Arial" w:hAnsi="Arial" w:cs="Arial"/>
                <w:sz w:val="20"/>
                <w:szCs w:val="20"/>
                <w:lang w:val="en-GB"/>
              </w:rPr>
            </w:pPr>
          </w:p>
        </w:tc>
      </w:tr>
      <w:tr w:rsidR="00482722" w:rsidRPr="00482722" w14:paraId="021B2C07" w14:textId="77777777" w:rsidTr="006D31B5">
        <w:trPr>
          <w:jc w:val="center"/>
        </w:trPr>
        <w:tc>
          <w:tcPr>
            <w:tcW w:w="0" w:type="dxa"/>
            <w:tcBorders>
              <w:top w:val="nil"/>
              <w:bottom w:val="nil"/>
            </w:tcBorders>
            <w:shd w:val="clear" w:color="auto" w:fill="auto"/>
          </w:tcPr>
          <w:p w14:paraId="444D5A56"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SQ</w:t>
            </w:r>
          </w:p>
        </w:tc>
        <w:tc>
          <w:tcPr>
            <w:tcW w:w="0" w:type="dxa"/>
            <w:tcBorders>
              <w:top w:val="nil"/>
              <w:bottom w:val="nil"/>
            </w:tcBorders>
            <w:shd w:val="clear" w:color="auto" w:fill="auto"/>
            <w:vAlign w:val="center"/>
          </w:tcPr>
          <w:p w14:paraId="668F773F"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0.632</w:t>
            </w:r>
          </w:p>
        </w:tc>
        <w:tc>
          <w:tcPr>
            <w:tcW w:w="0" w:type="dxa"/>
            <w:tcBorders>
              <w:top w:val="nil"/>
              <w:bottom w:val="nil"/>
            </w:tcBorders>
            <w:shd w:val="clear" w:color="auto" w:fill="auto"/>
            <w:vAlign w:val="center"/>
          </w:tcPr>
          <w:p w14:paraId="28DE9C35"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0.335</w:t>
            </w:r>
          </w:p>
        </w:tc>
        <w:tc>
          <w:tcPr>
            <w:tcW w:w="0" w:type="dxa"/>
            <w:tcBorders>
              <w:top w:val="nil"/>
              <w:bottom w:val="nil"/>
            </w:tcBorders>
            <w:shd w:val="clear" w:color="auto" w:fill="auto"/>
            <w:vAlign w:val="center"/>
          </w:tcPr>
          <w:p w14:paraId="7F1B5B71" w14:textId="77777777" w:rsidR="00283F7B" w:rsidRPr="00482722" w:rsidRDefault="00283F7B" w:rsidP="00DA5EEC">
            <w:pPr>
              <w:jc w:val="center"/>
              <w:rPr>
                <w:rFonts w:ascii="Arial" w:hAnsi="Arial" w:cs="Arial"/>
                <w:b/>
                <w:bCs/>
                <w:i/>
                <w:iCs/>
                <w:sz w:val="20"/>
                <w:szCs w:val="20"/>
                <w:lang w:val="en-GB"/>
              </w:rPr>
            </w:pPr>
            <w:r w:rsidRPr="00482722">
              <w:rPr>
                <w:rFonts w:ascii="Arial" w:hAnsi="Arial" w:cs="Arial"/>
                <w:b/>
                <w:bCs/>
                <w:i/>
                <w:iCs/>
                <w:sz w:val="20"/>
                <w:szCs w:val="20"/>
                <w:lang w:val="en-GB"/>
              </w:rPr>
              <w:t>0.778</w:t>
            </w:r>
          </w:p>
        </w:tc>
        <w:tc>
          <w:tcPr>
            <w:tcW w:w="0" w:type="dxa"/>
            <w:tcBorders>
              <w:top w:val="nil"/>
              <w:bottom w:val="nil"/>
            </w:tcBorders>
            <w:shd w:val="clear" w:color="auto" w:fill="auto"/>
          </w:tcPr>
          <w:p w14:paraId="578FF51C" w14:textId="77777777" w:rsidR="00283F7B" w:rsidRPr="00482722" w:rsidRDefault="00283F7B" w:rsidP="00DA5EEC">
            <w:pPr>
              <w:jc w:val="center"/>
              <w:rPr>
                <w:rFonts w:ascii="Arial" w:hAnsi="Arial" w:cs="Arial"/>
                <w:sz w:val="20"/>
                <w:szCs w:val="20"/>
                <w:lang w:val="en-GB"/>
              </w:rPr>
            </w:pPr>
          </w:p>
        </w:tc>
        <w:tc>
          <w:tcPr>
            <w:tcW w:w="0" w:type="dxa"/>
            <w:tcBorders>
              <w:top w:val="nil"/>
              <w:bottom w:val="nil"/>
            </w:tcBorders>
            <w:shd w:val="clear" w:color="auto" w:fill="auto"/>
          </w:tcPr>
          <w:p w14:paraId="48BB2523" w14:textId="77777777" w:rsidR="00283F7B" w:rsidRPr="00482722" w:rsidRDefault="00283F7B" w:rsidP="006D31B5">
            <w:pPr>
              <w:tabs>
                <w:tab w:val="decimal" w:pos="337"/>
              </w:tabs>
              <w:jc w:val="center"/>
              <w:rPr>
                <w:rFonts w:ascii="Arial" w:hAnsi="Arial" w:cs="Arial"/>
                <w:sz w:val="20"/>
                <w:szCs w:val="20"/>
                <w:lang w:val="en-GB"/>
              </w:rPr>
            </w:pPr>
          </w:p>
        </w:tc>
        <w:tc>
          <w:tcPr>
            <w:tcW w:w="0" w:type="dxa"/>
            <w:tcBorders>
              <w:top w:val="nil"/>
              <w:bottom w:val="nil"/>
            </w:tcBorders>
            <w:shd w:val="clear" w:color="auto" w:fill="auto"/>
          </w:tcPr>
          <w:p w14:paraId="4E8C941E" w14:textId="77777777" w:rsidR="00283F7B" w:rsidRPr="00482722" w:rsidRDefault="00283F7B" w:rsidP="00DA5EEC">
            <w:pPr>
              <w:jc w:val="center"/>
              <w:rPr>
                <w:rFonts w:ascii="Arial" w:hAnsi="Arial" w:cs="Arial"/>
                <w:sz w:val="20"/>
                <w:szCs w:val="20"/>
                <w:lang w:val="en-GB"/>
              </w:rPr>
            </w:pPr>
          </w:p>
        </w:tc>
      </w:tr>
      <w:tr w:rsidR="00482722" w:rsidRPr="00482722" w14:paraId="3EB5AA66" w14:textId="77777777" w:rsidTr="006D31B5">
        <w:trPr>
          <w:jc w:val="center"/>
        </w:trPr>
        <w:tc>
          <w:tcPr>
            <w:tcW w:w="0" w:type="dxa"/>
            <w:tcBorders>
              <w:top w:val="nil"/>
              <w:bottom w:val="nil"/>
            </w:tcBorders>
            <w:shd w:val="clear" w:color="auto" w:fill="auto"/>
          </w:tcPr>
          <w:p w14:paraId="6774B5F3"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TEG</w:t>
            </w:r>
          </w:p>
        </w:tc>
        <w:tc>
          <w:tcPr>
            <w:tcW w:w="0" w:type="dxa"/>
            <w:tcBorders>
              <w:top w:val="nil"/>
              <w:bottom w:val="nil"/>
            </w:tcBorders>
            <w:shd w:val="clear" w:color="auto" w:fill="auto"/>
            <w:vAlign w:val="center"/>
          </w:tcPr>
          <w:p w14:paraId="037507F8"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0.541</w:t>
            </w:r>
          </w:p>
        </w:tc>
        <w:tc>
          <w:tcPr>
            <w:tcW w:w="0" w:type="dxa"/>
            <w:tcBorders>
              <w:top w:val="nil"/>
              <w:bottom w:val="nil"/>
            </w:tcBorders>
            <w:shd w:val="clear" w:color="auto" w:fill="auto"/>
            <w:vAlign w:val="center"/>
          </w:tcPr>
          <w:p w14:paraId="3BBF73A9"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0.318</w:t>
            </w:r>
          </w:p>
        </w:tc>
        <w:tc>
          <w:tcPr>
            <w:tcW w:w="0" w:type="dxa"/>
            <w:tcBorders>
              <w:top w:val="nil"/>
              <w:bottom w:val="nil"/>
            </w:tcBorders>
            <w:shd w:val="clear" w:color="auto" w:fill="auto"/>
            <w:vAlign w:val="center"/>
          </w:tcPr>
          <w:p w14:paraId="3AC4E792"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0.702</w:t>
            </w:r>
          </w:p>
        </w:tc>
        <w:tc>
          <w:tcPr>
            <w:tcW w:w="0" w:type="dxa"/>
            <w:tcBorders>
              <w:top w:val="nil"/>
              <w:bottom w:val="nil"/>
            </w:tcBorders>
            <w:shd w:val="clear" w:color="auto" w:fill="auto"/>
            <w:vAlign w:val="center"/>
          </w:tcPr>
          <w:p w14:paraId="2EF4A953" w14:textId="77777777" w:rsidR="00283F7B" w:rsidRPr="00482722" w:rsidRDefault="00283F7B" w:rsidP="00DA5EEC">
            <w:pPr>
              <w:jc w:val="center"/>
              <w:rPr>
                <w:rFonts w:ascii="Arial" w:hAnsi="Arial" w:cs="Arial"/>
                <w:b/>
                <w:bCs/>
                <w:i/>
                <w:iCs/>
                <w:sz w:val="20"/>
                <w:szCs w:val="20"/>
                <w:lang w:val="en-GB"/>
              </w:rPr>
            </w:pPr>
            <w:r w:rsidRPr="00482722">
              <w:rPr>
                <w:rFonts w:ascii="Arial" w:hAnsi="Arial" w:cs="Arial"/>
                <w:b/>
                <w:bCs/>
                <w:i/>
                <w:iCs/>
                <w:sz w:val="20"/>
                <w:szCs w:val="20"/>
                <w:lang w:val="en-GB"/>
              </w:rPr>
              <w:t>0.856</w:t>
            </w:r>
          </w:p>
        </w:tc>
        <w:tc>
          <w:tcPr>
            <w:tcW w:w="0" w:type="dxa"/>
            <w:tcBorders>
              <w:top w:val="nil"/>
              <w:bottom w:val="nil"/>
            </w:tcBorders>
            <w:shd w:val="clear" w:color="auto" w:fill="auto"/>
          </w:tcPr>
          <w:p w14:paraId="7B10B475" w14:textId="77777777" w:rsidR="00283F7B" w:rsidRPr="00482722" w:rsidRDefault="00283F7B" w:rsidP="006D31B5">
            <w:pPr>
              <w:tabs>
                <w:tab w:val="decimal" w:pos="337"/>
              </w:tabs>
              <w:jc w:val="center"/>
              <w:rPr>
                <w:rFonts w:ascii="Arial" w:hAnsi="Arial" w:cs="Arial"/>
                <w:sz w:val="20"/>
                <w:szCs w:val="20"/>
                <w:lang w:val="en-GB"/>
              </w:rPr>
            </w:pPr>
          </w:p>
        </w:tc>
        <w:tc>
          <w:tcPr>
            <w:tcW w:w="0" w:type="dxa"/>
            <w:tcBorders>
              <w:top w:val="nil"/>
              <w:bottom w:val="nil"/>
            </w:tcBorders>
            <w:shd w:val="clear" w:color="auto" w:fill="auto"/>
          </w:tcPr>
          <w:p w14:paraId="4AE7EE81" w14:textId="77777777" w:rsidR="00283F7B" w:rsidRPr="00482722" w:rsidRDefault="00283F7B" w:rsidP="00DA5EEC">
            <w:pPr>
              <w:jc w:val="center"/>
              <w:rPr>
                <w:rFonts w:ascii="Arial" w:hAnsi="Arial" w:cs="Arial"/>
                <w:sz w:val="20"/>
                <w:szCs w:val="20"/>
                <w:lang w:val="en-GB"/>
              </w:rPr>
            </w:pPr>
          </w:p>
        </w:tc>
      </w:tr>
      <w:tr w:rsidR="00482722" w:rsidRPr="00482722" w14:paraId="6B6A5235" w14:textId="77777777" w:rsidTr="006D31B5">
        <w:trPr>
          <w:jc w:val="center"/>
        </w:trPr>
        <w:tc>
          <w:tcPr>
            <w:tcW w:w="0" w:type="dxa"/>
            <w:tcBorders>
              <w:top w:val="nil"/>
              <w:bottom w:val="nil"/>
            </w:tcBorders>
            <w:shd w:val="clear" w:color="auto" w:fill="auto"/>
          </w:tcPr>
          <w:p w14:paraId="5A56D53B"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CS</w:t>
            </w:r>
          </w:p>
        </w:tc>
        <w:tc>
          <w:tcPr>
            <w:tcW w:w="0" w:type="dxa"/>
            <w:tcBorders>
              <w:top w:val="nil"/>
              <w:bottom w:val="nil"/>
            </w:tcBorders>
            <w:shd w:val="clear" w:color="auto" w:fill="auto"/>
            <w:vAlign w:val="center"/>
          </w:tcPr>
          <w:p w14:paraId="503F31E4"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0.532</w:t>
            </w:r>
          </w:p>
        </w:tc>
        <w:tc>
          <w:tcPr>
            <w:tcW w:w="0" w:type="dxa"/>
            <w:tcBorders>
              <w:top w:val="nil"/>
              <w:bottom w:val="nil"/>
            </w:tcBorders>
            <w:shd w:val="clear" w:color="auto" w:fill="auto"/>
            <w:vAlign w:val="center"/>
          </w:tcPr>
          <w:p w14:paraId="2369E287"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0.233</w:t>
            </w:r>
          </w:p>
        </w:tc>
        <w:tc>
          <w:tcPr>
            <w:tcW w:w="0" w:type="dxa"/>
            <w:tcBorders>
              <w:top w:val="nil"/>
              <w:bottom w:val="nil"/>
            </w:tcBorders>
            <w:shd w:val="clear" w:color="auto" w:fill="auto"/>
            <w:vAlign w:val="center"/>
          </w:tcPr>
          <w:p w14:paraId="302421B2"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0.554</w:t>
            </w:r>
          </w:p>
        </w:tc>
        <w:tc>
          <w:tcPr>
            <w:tcW w:w="0" w:type="dxa"/>
            <w:tcBorders>
              <w:top w:val="nil"/>
              <w:bottom w:val="nil"/>
            </w:tcBorders>
            <w:shd w:val="clear" w:color="auto" w:fill="auto"/>
            <w:vAlign w:val="center"/>
          </w:tcPr>
          <w:p w14:paraId="752D7C88"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0.486</w:t>
            </w:r>
          </w:p>
        </w:tc>
        <w:tc>
          <w:tcPr>
            <w:tcW w:w="0" w:type="dxa"/>
            <w:tcBorders>
              <w:top w:val="nil"/>
              <w:bottom w:val="nil"/>
            </w:tcBorders>
            <w:shd w:val="clear" w:color="auto" w:fill="auto"/>
            <w:vAlign w:val="center"/>
          </w:tcPr>
          <w:p w14:paraId="6D0F698F" w14:textId="77777777" w:rsidR="00283F7B" w:rsidRPr="00482722" w:rsidRDefault="00283F7B" w:rsidP="006D31B5">
            <w:pPr>
              <w:tabs>
                <w:tab w:val="decimal" w:pos="337"/>
              </w:tabs>
              <w:rPr>
                <w:rFonts w:ascii="Arial" w:hAnsi="Arial" w:cs="Arial"/>
                <w:b/>
                <w:bCs/>
                <w:i/>
                <w:iCs/>
                <w:sz w:val="20"/>
                <w:szCs w:val="20"/>
                <w:lang w:val="en-GB"/>
              </w:rPr>
            </w:pPr>
            <w:r w:rsidRPr="00482722">
              <w:rPr>
                <w:rFonts w:ascii="Arial" w:hAnsi="Arial" w:cs="Arial"/>
                <w:b/>
                <w:bCs/>
                <w:i/>
                <w:iCs/>
                <w:sz w:val="20"/>
                <w:szCs w:val="20"/>
                <w:lang w:val="en-GB"/>
              </w:rPr>
              <w:t>0.846</w:t>
            </w:r>
          </w:p>
        </w:tc>
        <w:tc>
          <w:tcPr>
            <w:tcW w:w="0" w:type="dxa"/>
            <w:tcBorders>
              <w:top w:val="nil"/>
              <w:bottom w:val="nil"/>
            </w:tcBorders>
            <w:shd w:val="clear" w:color="auto" w:fill="auto"/>
          </w:tcPr>
          <w:p w14:paraId="03519268" w14:textId="77777777" w:rsidR="00283F7B" w:rsidRPr="00482722" w:rsidRDefault="00283F7B" w:rsidP="00DA5EEC">
            <w:pPr>
              <w:jc w:val="center"/>
              <w:rPr>
                <w:rFonts w:ascii="Arial" w:hAnsi="Arial" w:cs="Arial"/>
                <w:sz w:val="20"/>
                <w:szCs w:val="20"/>
                <w:lang w:val="en-GB"/>
              </w:rPr>
            </w:pPr>
          </w:p>
        </w:tc>
      </w:tr>
      <w:tr w:rsidR="00482722" w:rsidRPr="00482722" w14:paraId="61FD6F55" w14:textId="77777777" w:rsidTr="006D31B5">
        <w:trPr>
          <w:jc w:val="center"/>
        </w:trPr>
        <w:tc>
          <w:tcPr>
            <w:tcW w:w="0" w:type="dxa"/>
            <w:tcBorders>
              <w:top w:val="nil"/>
              <w:bottom w:val="single" w:sz="4" w:space="0" w:color="auto"/>
            </w:tcBorders>
            <w:shd w:val="clear" w:color="auto" w:fill="auto"/>
          </w:tcPr>
          <w:p w14:paraId="68E09E76" w14:textId="77777777" w:rsidR="00283F7B" w:rsidRPr="00482722" w:rsidRDefault="00283F7B" w:rsidP="006D31B5">
            <w:pPr>
              <w:rPr>
                <w:rFonts w:ascii="Arial" w:hAnsi="Arial" w:cs="Arial"/>
                <w:b/>
                <w:bCs/>
                <w:sz w:val="20"/>
                <w:szCs w:val="20"/>
                <w:lang w:val="en-GB"/>
              </w:rPr>
            </w:pPr>
            <w:r w:rsidRPr="00482722">
              <w:rPr>
                <w:rFonts w:ascii="Arial" w:hAnsi="Arial" w:cs="Arial"/>
                <w:sz w:val="20"/>
                <w:szCs w:val="20"/>
                <w:lang w:val="en-GB"/>
              </w:rPr>
              <w:t>CL</w:t>
            </w:r>
          </w:p>
        </w:tc>
        <w:tc>
          <w:tcPr>
            <w:tcW w:w="0" w:type="dxa"/>
            <w:tcBorders>
              <w:top w:val="nil"/>
              <w:bottom w:val="single" w:sz="4" w:space="0" w:color="auto"/>
            </w:tcBorders>
            <w:shd w:val="clear" w:color="auto" w:fill="auto"/>
            <w:vAlign w:val="center"/>
          </w:tcPr>
          <w:p w14:paraId="0C2BF24E"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0.728</w:t>
            </w:r>
          </w:p>
        </w:tc>
        <w:tc>
          <w:tcPr>
            <w:tcW w:w="0" w:type="dxa"/>
            <w:tcBorders>
              <w:top w:val="nil"/>
              <w:bottom w:val="single" w:sz="4" w:space="0" w:color="auto"/>
            </w:tcBorders>
            <w:shd w:val="clear" w:color="auto" w:fill="auto"/>
            <w:vAlign w:val="center"/>
          </w:tcPr>
          <w:p w14:paraId="0CFB6139"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0.346</w:t>
            </w:r>
          </w:p>
        </w:tc>
        <w:tc>
          <w:tcPr>
            <w:tcW w:w="0" w:type="dxa"/>
            <w:tcBorders>
              <w:top w:val="nil"/>
              <w:bottom w:val="single" w:sz="4" w:space="0" w:color="auto"/>
            </w:tcBorders>
            <w:shd w:val="clear" w:color="auto" w:fill="auto"/>
            <w:vAlign w:val="center"/>
          </w:tcPr>
          <w:p w14:paraId="22CD74BE"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0.659</w:t>
            </w:r>
          </w:p>
        </w:tc>
        <w:tc>
          <w:tcPr>
            <w:tcW w:w="0" w:type="dxa"/>
            <w:tcBorders>
              <w:top w:val="nil"/>
              <w:bottom w:val="single" w:sz="4" w:space="0" w:color="auto"/>
            </w:tcBorders>
            <w:shd w:val="clear" w:color="auto" w:fill="auto"/>
            <w:vAlign w:val="center"/>
          </w:tcPr>
          <w:p w14:paraId="3F0456DE" w14:textId="77777777" w:rsidR="00283F7B" w:rsidRPr="00482722" w:rsidRDefault="00283F7B" w:rsidP="00DA5EEC">
            <w:pPr>
              <w:jc w:val="center"/>
              <w:rPr>
                <w:rFonts w:ascii="Arial" w:hAnsi="Arial" w:cs="Arial"/>
                <w:sz w:val="20"/>
                <w:szCs w:val="20"/>
                <w:lang w:val="en-GB"/>
              </w:rPr>
            </w:pPr>
            <w:r w:rsidRPr="00482722">
              <w:rPr>
                <w:rFonts w:ascii="Arial" w:hAnsi="Arial" w:cs="Arial"/>
                <w:sz w:val="20"/>
                <w:szCs w:val="20"/>
                <w:lang w:val="en-GB"/>
              </w:rPr>
              <w:t>0.611</w:t>
            </w:r>
          </w:p>
        </w:tc>
        <w:tc>
          <w:tcPr>
            <w:tcW w:w="0" w:type="dxa"/>
            <w:tcBorders>
              <w:top w:val="nil"/>
              <w:bottom w:val="single" w:sz="4" w:space="0" w:color="auto"/>
            </w:tcBorders>
            <w:shd w:val="clear" w:color="auto" w:fill="auto"/>
            <w:vAlign w:val="center"/>
          </w:tcPr>
          <w:p w14:paraId="2485652E" w14:textId="77777777" w:rsidR="00283F7B" w:rsidRPr="00482722" w:rsidRDefault="00283F7B" w:rsidP="006D31B5">
            <w:pPr>
              <w:tabs>
                <w:tab w:val="decimal" w:pos="337"/>
              </w:tabs>
              <w:rPr>
                <w:rFonts w:ascii="Arial" w:hAnsi="Arial" w:cs="Arial"/>
                <w:sz w:val="20"/>
                <w:szCs w:val="20"/>
                <w:lang w:val="en-GB"/>
              </w:rPr>
            </w:pPr>
            <w:r w:rsidRPr="00482722">
              <w:rPr>
                <w:rFonts w:ascii="Arial" w:hAnsi="Arial" w:cs="Arial"/>
                <w:sz w:val="20"/>
                <w:szCs w:val="20"/>
                <w:lang w:val="en-GB"/>
              </w:rPr>
              <w:t>0.53</w:t>
            </w:r>
          </w:p>
        </w:tc>
        <w:tc>
          <w:tcPr>
            <w:tcW w:w="0" w:type="dxa"/>
            <w:tcBorders>
              <w:top w:val="nil"/>
              <w:bottom w:val="single" w:sz="4" w:space="0" w:color="auto"/>
            </w:tcBorders>
            <w:shd w:val="clear" w:color="auto" w:fill="auto"/>
            <w:vAlign w:val="center"/>
          </w:tcPr>
          <w:p w14:paraId="2C876A15" w14:textId="77777777" w:rsidR="00283F7B" w:rsidRPr="00482722" w:rsidRDefault="00283F7B" w:rsidP="00DA5EEC">
            <w:pPr>
              <w:jc w:val="center"/>
              <w:rPr>
                <w:rFonts w:ascii="Arial" w:hAnsi="Arial" w:cs="Arial"/>
                <w:b/>
                <w:bCs/>
                <w:i/>
                <w:iCs/>
                <w:sz w:val="20"/>
                <w:szCs w:val="20"/>
                <w:lang w:val="en-GB"/>
              </w:rPr>
            </w:pPr>
            <w:r w:rsidRPr="00482722">
              <w:rPr>
                <w:rFonts w:ascii="Arial" w:hAnsi="Arial" w:cs="Arial"/>
                <w:b/>
                <w:bCs/>
                <w:i/>
                <w:iCs/>
                <w:sz w:val="20"/>
                <w:szCs w:val="20"/>
                <w:lang w:val="en-GB"/>
              </w:rPr>
              <w:t>0.849</w:t>
            </w:r>
          </w:p>
        </w:tc>
      </w:tr>
      <w:tr w:rsidR="00482722" w:rsidRPr="00482722" w14:paraId="206CB28E" w14:textId="77777777" w:rsidTr="00F2100B">
        <w:trPr>
          <w:jc w:val="center"/>
        </w:trPr>
        <w:tc>
          <w:tcPr>
            <w:tcW w:w="8286" w:type="dxa"/>
            <w:gridSpan w:val="7"/>
            <w:tcBorders>
              <w:top w:val="single" w:sz="4" w:space="0" w:color="auto"/>
              <w:bottom w:val="nil"/>
            </w:tcBorders>
            <w:shd w:val="clear" w:color="auto" w:fill="auto"/>
          </w:tcPr>
          <w:p w14:paraId="52A50990" w14:textId="641BC72E" w:rsidR="00283F7B" w:rsidRPr="00482722" w:rsidRDefault="00C5071D" w:rsidP="00DA5EEC">
            <w:pPr>
              <w:rPr>
                <w:rFonts w:ascii="Arial" w:hAnsi="Arial" w:cs="Arial"/>
                <w:b/>
                <w:bCs/>
                <w:i/>
                <w:iCs/>
                <w:sz w:val="20"/>
                <w:szCs w:val="20"/>
                <w:lang w:val="en-GB"/>
              </w:rPr>
            </w:pPr>
            <w:r w:rsidRPr="00482722">
              <w:rPr>
                <w:rFonts w:ascii="Arial" w:hAnsi="Arial" w:cs="Arial"/>
                <w:sz w:val="20"/>
                <w:szCs w:val="20"/>
                <w:lang w:val="en-GB"/>
              </w:rPr>
              <w:t>Note:</w:t>
            </w:r>
            <w:r w:rsidR="00283F7B" w:rsidRPr="00482722">
              <w:rPr>
                <w:rFonts w:ascii="Arial" w:hAnsi="Arial" w:cs="Arial"/>
                <w:i/>
                <w:iCs/>
                <w:sz w:val="20"/>
                <w:szCs w:val="20"/>
                <w:lang w:val="en-GB"/>
              </w:rPr>
              <w:t xml:space="preserve"> </w:t>
            </w:r>
            <w:r w:rsidR="00283F7B" w:rsidRPr="00482722">
              <w:rPr>
                <w:rFonts w:ascii="Arial" w:hAnsi="Arial" w:cs="Arial"/>
                <w:sz w:val="20"/>
                <w:szCs w:val="20"/>
              </w:rPr>
              <w:t>Square roots of AVE are presented in bold and italics.</w:t>
            </w:r>
          </w:p>
        </w:tc>
      </w:tr>
    </w:tbl>
    <w:p w14:paraId="050AB1E1" w14:textId="77777777" w:rsidR="00283F7B" w:rsidRPr="00482722" w:rsidRDefault="00283F7B" w:rsidP="00DA5EEC">
      <w:pPr>
        <w:spacing w:line="240" w:lineRule="auto"/>
        <w:rPr>
          <w:rFonts w:ascii="Arial" w:hAnsi="Arial" w:cs="Arial"/>
          <w:sz w:val="20"/>
          <w:szCs w:val="20"/>
        </w:rPr>
      </w:pPr>
      <w:bookmarkStart w:id="18" w:name="_Hlk65445541"/>
      <w:bookmarkStart w:id="19" w:name="_Hlk65445134"/>
      <w:bookmarkStart w:id="20" w:name="_Hlk65444094"/>
    </w:p>
    <w:p w14:paraId="0656B260" w14:textId="509879EC" w:rsidR="00283F7B" w:rsidRPr="00482722" w:rsidRDefault="00283F7B" w:rsidP="006D31B5">
      <w:pPr>
        <w:pStyle w:val="Heading2"/>
      </w:pPr>
      <w:bookmarkStart w:id="21" w:name="_Hlk56540929"/>
      <w:r w:rsidRPr="00482722">
        <w:t xml:space="preserve">Structural </w:t>
      </w:r>
      <w:r w:rsidR="007A0D74" w:rsidRPr="00482722">
        <w:t>m</w:t>
      </w:r>
      <w:r w:rsidRPr="00482722">
        <w:t>odel</w:t>
      </w:r>
    </w:p>
    <w:bookmarkEnd w:id="21"/>
    <w:p w14:paraId="235FF9E7" w14:textId="66E3E1FC" w:rsidR="00BB0DFA" w:rsidRPr="00482722" w:rsidRDefault="00E7495D" w:rsidP="00BB0DFA">
      <w:pPr>
        <w:spacing w:line="240" w:lineRule="auto"/>
        <w:jc w:val="both"/>
        <w:rPr>
          <w:rFonts w:ascii="Arial" w:hAnsi="Arial" w:cs="Arial"/>
          <w:sz w:val="20"/>
          <w:szCs w:val="20"/>
        </w:rPr>
      </w:pPr>
      <w:r w:rsidRPr="00482722">
        <w:rPr>
          <w:rFonts w:ascii="Arial" w:hAnsi="Arial" w:cs="Arial"/>
          <w:sz w:val="20"/>
          <w:szCs w:val="20"/>
        </w:rPr>
        <w:t xml:space="preserve">Structural </w:t>
      </w:r>
      <w:r w:rsidR="00BF0071" w:rsidRPr="00482722">
        <w:rPr>
          <w:rFonts w:ascii="Arial" w:hAnsi="Arial" w:cs="Arial"/>
          <w:sz w:val="20"/>
          <w:szCs w:val="20"/>
        </w:rPr>
        <w:t>e</w:t>
      </w:r>
      <w:r w:rsidRPr="00482722">
        <w:rPr>
          <w:rFonts w:ascii="Arial" w:hAnsi="Arial" w:cs="Arial"/>
          <w:sz w:val="20"/>
          <w:szCs w:val="20"/>
        </w:rPr>
        <w:t xml:space="preserve">quation </w:t>
      </w:r>
      <w:r w:rsidR="00BF0071" w:rsidRPr="00482722">
        <w:rPr>
          <w:rFonts w:ascii="Arial" w:hAnsi="Arial" w:cs="Arial"/>
          <w:sz w:val="20"/>
          <w:szCs w:val="20"/>
        </w:rPr>
        <w:t>m</w:t>
      </w:r>
      <w:r w:rsidRPr="00482722">
        <w:rPr>
          <w:rFonts w:ascii="Arial" w:hAnsi="Arial" w:cs="Arial"/>
          <w:sz w:val="20"/>
          <w:szCs w:val="20"/>
        </w:rPr>
        <w:t xml:space="preserve">odelling (SEM) </w:t>
      </w:r>
      <w:r w:rsidR="00283F7B" w:rsidRPr="00482722">
        <w:rPr>
          <w:rFonts w:ascii="Arial" w:hAnsi="Arial" w:cs="Arial"/>
          <w:sz w:val="20"/>
          <w:szCs w:val="20"/>
        </w:rPr>
        <w:t xml:space="preserve">was conducted using SPSS/AMOS V21 to examine the model’s fit in terms of each construct and to test the relationships among the constructs (i.e., to test the hypotheses in the structural model). </w:t>
      </w:r>
      <w:r w:rsidR="00BB0DFA" w:rsidRPr="00482722">
        <w:rPr>
          <w:rFonts w:ascii="Arial" w:hAnsi="Arial" w:cs="Arial"/>
          <w:sz w:val="20"/>
          <w:szCs w:val="20"/>
        </w:rPr>
        <w:t>The two-step approach by Anderson and Gerbing (1992) was adopted using the maximum likelihood method to estimate the measurement and structural model. The size of the sample (N 780) in this research study is adequate for conducting a confirmatory factor analysis (CFA) and SEM test (Kline, 2015; Malhotra, 2010). Covariance</w:t>
      </w:r>
      <w:r w:rsidR="00BB0DFA" w:rsidRPr="00482722">
        <w:rPr>
          <w:rFonts w:ascii="Cambria Math" w:hAnsi="Cambria Math" w:cs="Cambria Math"/>
          <w:sz w:val="20"/>
          <w:szCs w:val="20"/>
        </w:rPr>
        <w:t>‐</w:t>
      </w:r>
      <w:r w:rsidR="00BB0DFA" w:rsidRPr="00482722">
        <w:rPr>
          <w:rFonts w:ascii="Arial" w:hAnsi="Arial" w:cs="Arial"/>
          <w:sz w:val="20"/>
          <w:szCs w:val="20"/>
        </w:rPr>
        <w:t>based structural equation modeling (CB</w:t>
      </w:r>
      <w:r w:rsidR="00BB0DFA" w:rsidRPr="00482722">
        <w:rPr>
          <w:rFonts w:ascii="Cambria Math" w:hAnsi="Cambria Math" w:cs="Cambria Math"/>
          <w:sz w:val="20"/>
          <w:szCs w:val="20"/>
        </w:rPr>
        <w:t>‐</w:t>
      </w:r>
      <w:r w:rsidR="00BB0DFA" w:rsidRPr="00482722">
        <w:rPr>
          <w:rFonts w:ascii="Arial" w:hAnsi="Arial" w:cs="Arial"/>
          <w:sz w:val="20"/>
          <w:szCs w:val="20"/>
        </w:rPr>
        <w:t>SEM) is a powerful technique which has become a technique of choice in many recent studies (</w:t>
      </w:r>
      <w:r w:rsidR="00444019" w:rsidRPr="00482722">
        <w:rPr>
          <w:rFonts w:ascii="Arial" w:hAnsi="Arial" w:cs="Arial"/>
          <w:sz w:val="20"/>
          <w:szCs w:val="20"/>
        </w:rPr>
        <w:t>e.g.,</w:t>
      </w:r>
      <w:r w:rsidR="00BB0DFA" w:rsidRPr="00482722">
        <w:rPr>
          <w:rFonts w:ascii="Arial" w:hAnsi="Arial" w:cs="Arial"/>
          <w:sz w:val="20"/>
          <w:szCs w:val="20"/>
        </w:rPr>
        <w:t xml:space="preserve"> Doargajudhur and Dell, 2019; Al Mansoori et al., 2018; Siala et al., 2019; Esmaeilzadeh et al., 2021; Shiau and Chau, 2015), as it considers as an integration of several multivariate statistical methods such as regression analysis, path analysis and confirmatory factor analysis. It also allows conducting a simultaneous analysis of observed variables and latent structures. Furthermore, it provides more accurate estimates of the model parameters and effects </w:t>
      </w:r>
      <w:r w:rsidR="00BB0DFA" w:rsidRPr="00482722">
        <w:rPr>
          <w:rFonts w:ascii="Arial" w:hAnsi="Arial" w:cs="Arial"/>
          <w:sz w:val="20"/>
          <w:szCs w:val="20"/>
        </w:rPr>
        <w:fldChar w:fldCharType="begin" w:fldLock="1"/>
      </w:r>
      <w:r w:rsidR="00BB0DFA" w:rsidRPr="00482722">
        <w:rPr>
          <w:rFonts w:ascii="Arial" w:hAnsi="Arial" w:cs="Arial"/>
          <w:sz w:val="20"/>
          <w:szCs w:val="20"/>
        </w:rPr>
        <w:instrText>ADDIN CSL_CITATION {"citationItems":[{"id":"ITEM-1","itemData":{"DOI":"10.1111/1467-8551.12415","ISSN":"14678551","abstract":"Covariance-based structural equation modelling (CB-SEM) with reflective measurement has been a popular data analysis tool in organizational and management research. Extensive studies and guidelines have been published on what constitutes its best practice. What is much less known is the extent to which CB-SEM users in organizational and management research comprehend and adhere to the standards and principles behind this advanced analytical technique. In this study, we first devised an evaluation scheme to assess the quality of CB-SEM performed in a study, and then utilized this scheme to examine 144 CB-SEM studies published in 12 top organizational and management journals between 2011 and 2016. The evaluation of the published studies revealed a pressing need for more systematic and standardized approaches to planning, conducting and reporting CB-SEM studies. We discussed the implication of the findings for future work.","author":[{"dropping-particle":"","family":"Zhang","given":"Mary F.","non-dropping-particle":"","parse-names":false,"suffix":""},{"dropping-particle":"","family":"Dawson","given":"Jeremy F.","non-dropping-particle":"","parse-names":false,"suffix":""},{"dropping-particle":"","family":"Kline","given":"Rex B.","non-dropping-particle":"","parse-names":false,"suffix":""}],"container-title":"British Journal of Management","id":"ITEM-1","issued":{"date-parts":[["2020"]]},"page":"1-16","title":"Evaluating the Use of Covariance-Based Structural Equation Modelling with Reflective Measurement in Organizational and Management Research: A Review and Recommendations for Best Practice","type":"article-journal","volume":"0"},"uris":["http://www.mendeley.com/documents/?uuid=d1bafaa8-51f4-44be-96ad-89dc33171623"]}],"mendeley":{"formattedCitation":"(Zhang, Dawson and Kline, 2020)","plainTextFormattedCitation":"(Zhang, Dawson and Kline, 2020)","previouslyFormattedCitation":"(Zhang, Dawson and Kline, 2020)"},"properties":{"noteIndex":0},"schema":"https://github.com/citation-style-language/schema/raw/master/csl-citation.json"}</w:instrText>
      </w:r>
      <w:r w:rsidR="00BB0DFA" w:rsidRPr="00482722">
        <w:rPr>
          <w:rFonts w:ascii="Arial" w:hAnsi="Arial" w:cs="Arial"/>
          <w:sz w:val="20"/>
          <w:szCs w:val="20"/>
        </w:rPr>
        <w:fldChar w:fldCharType="separate"/>
      </w:r>
      <w:r w:rsidR="00BB0DFA" w:rsidRPr="00482722">
        <w:rPr>
          <w:rFonts w:ascii="Arial" w:hAnsi="Arial" w:cs="Arial"/>
          <w:sz w:val="20"/>
          <w:szCs w:val="20"/>
        </w:rPr>
        <w:t>(Zhang</w:t>
      </w:r>
      <w:r w:rsidR="0010415C" w:rsidRPr="00482722">
        <w:rPr>
          <w:rFonts w:ascii="Arial" w:hAnsi="Arial" w:cs="Arial"/>
          <w:sz w:val="20"/>
          <w:szCs w:val="20"/>
        </w:rPr>
        <w:t xml:space="preserve"> et al., </w:t>
      </w:r>
      <w:r w:rsidR="00BB0DFA" w:rsidRPr="00482722">
        <w:rPr>
          <w:rFonts w:ascii="Arial" w:hAnsi="Arial" w:cs="Arial"/>
          <w:sz w:val="20"/>
          <w:szCs w:val="20"/>
        </w:rPr>
        <w:t>2020)</w:t>
      </w:r>
      <w:r w:rsidR="00BB0DFA" w:rsidRPr="00482722">
        <w:rPr>
          <w:rFonts w:ascii="Arial" w:hAnsi="Arial" w:cs="Arial"/>
          <w:sz w:val="20"/>
          <w:szCs w:val="20"/>
        </w:rPr>
        <w:fldChar w:fldCharType="end"/>
      </w:r>
      <w:r w:rsidR="00BB0DFA" w:rsidRPr="00482722">
        <w:rPr>
          <w:rFonts w:ascii="Arial" w:hAnsi="Arial" w:cs="Arial"/>
          <w:sz w:val="20"/>
          <w:szCs w:val="20"/>
        </w:rPr>
        <w:t>. By calculating a range of goodness-of-fit statistics, CB-SEM can assess whether the theoretical model is confirmed (Astrachan et al., 2014).</w:t>
      </w:r>
    </w:p>
    <w:p w14:paraId="3D6CB350" w14:textId="19A2C671" w:rsidR="00B30597" w:rsidRPr="00482722" w:rsidRDefault="00B30597" w:rsidP="00BB0DFA">
      <w:pPr>
        <w:spacing w:line="240" w:lineRule="auto"/>
        <w:jc w:val="both"/>
        <w:rPr>
          <w:rFonts w:ascii="Arial" w:hAnsi="Arial" w:cs="Arial"/>
          <w:sz w:val="20"/>
          <w:szCs w:val="20"/>
        </w:rPr>
      </w:pPr>
      <w:r w:rsidRPr="00482722">
        <w:rPr>
          <w:rFonts w:ascii="Arial" w:hAnsi="Arial" w:cs="Arial"/>
          <w:sz w:val="20"/>
          <w:szCs w:val="20"/>
        </w:rPr>
        <w:t xml:space="preserve">In addition, the authors used parceling items strategy to examine the effect of service quality. </w:t>
      </w:r>
      <w:r w:rsidR="00EF58ED" w:rsidRPr="00482722">
        <w:rPr>
          <w:rFonts w:ascii="Arial" w:hAnsi="Arial" w:cs="Arial"/>
          <w:sz w:val="20"/>
          <w:szCs w:val="20"/>
        </w:rPr>
        <w:t xml:space="preserve">Parceling strategy </w:t>
      </w:r>
      <w:r w:rsidRPr="00482722">
        <w:rPr>
          <w:rFonts w:ascii="Arial" w:hAnsi="Arial" w:cs="Arial"/>
          <w:sz w:val="20"/>
          <w:szCs w:val="20"/>
        </w:rPr>
        <w:t xml:space="preserve">allows combining item-level responses into aggregate item parcels and using those aggregates as indicators of latent constructs. </w:t>
      </w:r>
      <w:r w:rsidR="00EF58ED" w:rsidRPr="00482722">
        <w:rPr>
          <w:rFonts w:ascii="Arial" w:hAnsi="Arial" w:cs="Arial"/>
          <w:sz w:val="20"/>
          <w:szCs w:val="20"/>
        </w:rPr>
        <w:t xml:space="preserve">It </w:t>
      </w:r>
      <w:r w:rsidRPr="00482722">
        <w:rPr>
          <w:rFonts w:ascii="Arial" w:hAnsi="Arial" w:cs="Arial"/>
          <w:sz w:val="20"/>
          <w:szCs w:val="20"/>
        </w:rPr>
        <w:t xml:space="preserve">can be implemented by utilizing several techniques including sub-items parcel and all-items parcel (Matsunaga, 2008). The use of item parcels has become quite common methods in SEM or CFA research (Bandalos 2002). Bandalos (2002) conducted simulation studies to investigate the effects of the practice of item parceling. </w:t>
      </w:r>
      <w:r w:rsidR="009F6D25" w:rsidRPr="00482722">
        <w:rPr>
          <w:rFonts w:ascii="Arial" w:hAnsi="Arial" w:cs="Arial"/>
          <w:sz w:val="20"/>
          <w:szCs w:val="20"/>
        </w:rPr>
        <w:t>T</w:t>
      </w:r>
      <w:r w:rsidRPr="00482722">
        <w:rPr>
          <w:rFonts w:ascii="Arial" w:hAnsi="Arial" w:cs="Arial"/>
          <w:sz w:val="20"/>
          <w:szCs w:val="20"/>
        </w:rPr>
        <w:t>he use of item parcels of a unidimensional structure resulted in better fitting solutions (e.g., RMSEA, CFI, and chi-square test), as well as having less bias in estimates of structural parameters than solutions based on the individual items (Bandalos 2002, Hall</w:t>
      </w:r>
      <w:r w:rsidR="00A0426C" w:rsidRPr="00482722">
        <w:rPr>
          <w:rFonts w:ascii="Arial" w:hAnsi="Arial" w:cs="Arial"/>
          <w:sz w:val="20"/>
          <w:szCs w:val="20"/>
        </w:rPr>
        <w:t xml:space="preserve"> et al., </w:t>
      </w:r>
      <w:r w:rsidRPr="00482722">
        <w:rPr>
          <w:rFonts w:ascii="Arial" w:hAnsi="Arial" w:cs="Arial"/>
          <w:sz w:val="20"/>
          <w:szCs w:val="20"/>
        </w:rPr>
        <w:t>1999).</w:t>
      </w:r>
    </w:p>
    <w:p w14:paraId="4705B1BD" w14:textId="68A4738A" w:rsidR="00283F7B"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A set of goodness-fit indices w</w:t>
      </w:r>
      <w:r w:rsidR="00FE7B4E" w:rsidRPr="00482722">
        <w:rPr>
          <w:rFonts w:ascii="Arial" w:hAnsi="Arial" w:cs="Arial"/>
          <w:sz w:val="20"/>
          <w:szCs w:val="20"/>
        </w:rPr>
        <w:t>as</w:t>
      </w:r>
      <w:r w:rsidRPr="00482722">
        <w:rPr>
          <w:rFonts w:ascii="Arial" w:hAnsi="Arial" w:cs="Arial"/>
          <w:sz w:val="20"/>
          <w:szCs w:val="20"/>
        </w:rPr>
        <w:t xml:space="preserve"> used to evaluate the </w:t>
      </w:r>
      <w:r w:rsidR="00FD6817" w:rsidRPr="00482722">
        <w:rPr>
          <w:rFonts w:ascii="Arial" w:hAnsi="Arial" w:cs="Arial"/>
          <w:sz w:val="20"/>
          <w:szCs w:val="20"/>
        </w:rPr>
        <w:t xml:space="preserve">adequacy of the </w:t>
      </w:r>
      <w:r w:rsidRPr="00482722">
        <w:rPr>
          <w:rFonts w:ascii="Arial" w:hAnsi="Arial" w:cs="Arial"/>
          <w:sz w:val="20"/>
          <w:szCs w:val="20"/>
        </w:rPr>
        <w:t>structural model. These</w:t>
      </w:r>
      <w:r w:rsidR="00FE7B4E" w:rsidRPr="00482722">
        <w:rPr>
          <w:rFonts w:ascii="Arial" w:hAnsi="Arial" w:cs="Arial"/>
          <w:sz w:val="20"/>
          <w:szCs w:val="20"/>
        </w:rPr>
        <w:t xml:space="preserve"> goodness-fit indices</w:t>
      </w:r>
      <w:r w:rsidRPr="00482722">
        <w:rPr>
          <w:rFonts w:ascii="Arial" w:hAnsi="Arial" w:cs="Arial"/>
          <w:sz w:val="20"/>
          <w:szCs w:val="20"/>
        </w:rPr>
        <w:t xml:space="preserve"> </w:t>
      </w:r>
      <w:r w:rsidR="00042923" w:rsidRPr="00482722">
        <w:rPr>
          <w:rFonts w:ascii="Arial" w:hAnsi="Arial" w:cs="Arial"/>
          <w:sz w:val="20"/>
          <w:szCs w:val="20"/>
        </w:rPr>
        <w:t>were as follows</w:t>
      </w:r>
      <w:r w:rsidRPr="00482722">
        <w:rPr>
          <w:rFonts w:ascii="Arial" w:hAnsi="Arial" w:cs="Arial"/>
          <w:sz w:val="20"/>
          <w:szCs w:val="20"/>
        </w:rPr>
        <w:t xml:space="preserve">: </w:t>
      </w:r>
      <w:r w:rsidR="00FE7B4E" w:rsidRPr="00482722">
        <w:rPr>
          <w:rFonts w:ascii="Arial" w:hAnsi="Arial" w:cs="Arial"/>
          <w:sz w:val="20"/>
          <w:szCs w:val="20"/>
        </w:rPr>
        <w:t xml:space="preserve">chi square </w:t>
      </w:r>
      <w:r w:rsidRPr="00482722">
        <w:rPr>
          <w:rFonts w:ascii="Arial" w:hAnsi="Arial" w:cs="Arial"/>
          <w:sz w:val="20"/>
          <w:szCs w:val="20"/>
        </w:rPr>
        <w:t>adjusted for degree of freedom (CMIN/DF)</w:t>
      </w:r>
      <w:r w:rsidR="008E7DA8" w:rsidRPr="00482722">
        <w:rPr>
          <w:rFonts w:ascii="Arial" w:hAnsi="Arial" w:cs="Arial"/>
          <w:sz w:val="20"/>
          <w:szCs w:val="20"/>
        </w:rPr>
        <w:t>;</w:t>
      </w:r>
      <w:r w:rsidRPr="00482722">
        <w:rPr>
          <w:rFonts w:ascii="Arial" w:hAnsi="Arial" w:cs="Arial"/>
          <w:sz w:val="20"/>
          <w:szCs w:val="20"/>
        </w:rPr>
        <w:t xml:space="preserve"> </w:t>
      </w:r>
      <w:r w:rsidR="00C86A91" w:rsidRPr="00482722">
        <w:rPr>
          <w:rFonts w:ascii="Arial" w:hAnsi="Arial" w:cs="Arial"/>
          <w:sz w:val="20"/>
          <w:szCs w:val="20"/>
        </w:rPr>
        <w:t xml:space="preserve">the </w:t>
      </w:r>
      <w:r w:rsidR="00FE7B4E" w:rsidRPr="00482722">
        <w:rPr>
          <w:rFonts w:ascii="Arial" w:hAnsi="Arial" w:cs="Arial"/>
          <w:sz w:val="20"/>
          <w:szCs w:val="20"/>
        </w:rPr>
        <w:t>g</w:t>
      </w:r>
      <w:r w:rsidRPr="00482722">
        <w:rPr>
          <w:rFonts w:ascii="Arial" w:hAnsi="Arial" w:cs="Arial"/>
          <w:sz w:val="20"/>
          <w:szCs w:val="20"/>
        </w:rPr>
        <w:t>oodness</w:t>
      </w:r>
      <w:r w:rsidR="0087642E" w:rsidRPr="00482722">
        <w:rPr>
          <w:rFonts w:ascii="Arial" w:hAnsi="Arial" w:cs="Arial"/>
          <w:sz w:val="20"/>
          <w:szCs w:val="20"/>
        </w:rPr>
        <w:t>-</w:t>
      </w:r>
      <w:r w:rsidRPr="00482722">
        <w:rPr>
          <w:rFonts w:ascii="Arial" w:hAnsi="Arial" w:cs="Arial"/>
          <w:sz w:val="20"/>
          <w:szCs w:val="20"/>
        </w:rPr>
        <w:t>of</w:t>
      </w:r>
      <w:r w:rsidR="0087642E" w:rsidRPr="00482722">
        <w:rPr>
          <w:rFonts w:ascii="Arial" w:hAnsi="Arial" w:cs="Arial"/>
          <w:sz w:val="20"/>
          <w:szCs w:val="20"/>
        </w:rPr>
        <w:t>-</w:t>
      </w:r>
      <w:r w:rsidR="001502EB" w:rsidRPr="00482722">
        <w:rPr>
          <w:rFonts w:ascii="Arial" w:hAnsi="Arial" w:cs="Arial"/>
          <w:sz w:val="20"/>
          <w:szCs w:val="20"/>
        </w:rPr>
        <w:t>f</w:t>
      </w:r>
      <w:r w:rsidRPr="00482722">
        <w:rPr>
          <w:rFonts w:ascii="Arial" w:hAnsi="Arial" w:cs="Arial"/>
          <w:sz w:val="20"/>
          <w:szCs w:val="20"/>
        </w:rPr>
        <w:t xml:space="preserve">it </w:t>
      </w:r>
      <w:r w:rsidR="001502EB" w:rsidRPr="00482722">
        <w:rPr>
          <w:rFonts w:ascii="Arial" w:hAnsi="Arial" w:cs="Arial"/>
          <w:sz w:val="20"/>
          <w:szCs w:val="20"/>
        </w:rPr>
        <w:t>i</w:t>
      </w:r>
      <w:r w:rsidRPr="00482722">
        <w:rPr>
          <w:rFonts w:ascii="Arial" w:hAnsi="Arial" w:cs="Arial"/>
          <w:sz w:val="20"/>
          <w:szCs w:val="20"/>
        </w:rPr>
        <w:t>ndex (GFI)</w:t>
      </w:r>
      <w:r w:rsidR="008E7DA8" w:rsidRPr="00482722">
        <w:rPr>
          <w:rFonts w:ascii="Arial" w:hAnsi="Arial" w:cs="Arial"/>
          <w:sz w:val="20"/>
          <w:szCs w:val="20"/>
        </w:rPr>
        <w:t>;</w:t>
      </w:r>
      <w:r w:rsidRPr="00482722">
        <w:rPr>
          <w:rFonts w:ascii="Arial" w:hAnsi="Arial" w:cs="Arial"/>
          <w:sz w:val="20"/>
          <w:szCs w:val="20"/>
        </w:rPr>
        <w:t xml:space="preserve"> </w:t>
      </w:r>
      <w:r w:rsidR="00C86A91" w:rsidRPr="00482722">
        <w:rPr>
          <w:rFonts w:ascii="Arial" w:hAnsi="Arial" w:cs="Arial"/>
          <w:sz w:val="20"/>
          <w:szCs w:val="20"/>
        </w:rPr>
        <w:t xml:space="preserve">the </w:t>
      </w:r>
      <w:r w:rsidR="00FE7B4E" w:rsidRPr="00482722">
        <w:rPr>
          <w:rFonts w:ascii="Arial" w:hAnsi="Arial" w:cs="Arial"/>
          <w:sz w:val="20"/>
          <w:szCs w:val="20"/>
        </w:rPr>
        <w:t>a</w:t>
      </w:r>
      <w:r w:rsidRPr="00482722">
        <w:rPr>
          <w:rFonts w:ascii="Arial" w:hAnsi="Arial" w:cs="Arial"/>
          <w:sz w:val="20"/>
          <w:szCs w:val="20"/>
        </w:rPr>
        <w:t xml:space="preserve">djusted </w:t>
      </w:r>
      <w:r w:rsidR="00FE7B4E" w:rsidRPr="00482722">
        <w:rPr>
          <w:rFonts w:ascii="Arial" w:hAnsi="Arial" w:cs="Arial"/>
          <w:sz w:val="20"/>
          <w:szCs w:val="20"/>
        </w:rPr>
        <w:t>g</w:t>
      </w:r>
      <w:r w:rsidRPr="00482722">
        <w:rPr>
          <w:rFonts w:ascii="Arial" w:hAnsi="Arial" w:cs="Arial"/>
          <w:sz w:val="20"/>
          <w:szCs w:val="20"/>
        </w:rPr>
        <w:t>oodness</w:t>
      </w:r>
      <w:r w:rsidR="0087642E" w:rsidRPr="00482722">
        <w:rPr>
          <w:rFonts w:ascii="Arial" w:hAnsi="Arial" w:cs="Arial"/>
          <w:sz w:val="20"/>
          <w:szCs w:val="20"/>
        </w:rPr>
        <w:t>-</w:t>
      </w:r>
      <w:r w:rsidRPr="00482722">
        <w:rPr>
          <w:rFonts w:ascii="Arial" w:hAnsi="Arial" w:cs="Arial"/>
          <w:sz w:val="20"/>
          <w:szCs w:val="20"/>
        </w:rPr>
        <w:t>of</w:t>
      </w:r>
      <w:r w:rsidR="0087642E" w:rsidRPr="00482722">
        <w:rPr>
          <w:rFonts w:ascii="Arial" w:hAnsi="Arial" w:cs="Arial"/>
          <w:sz w:val="20"/>
          <w:szCs w:val="20"/>
        </w:rPr>
        <w:t>-</w:t>
      </w:r>
      <w:r w:rsidR="00FE7B4E" w:rsidRPr="00482722">
        <w:rPr>
          <w:rFonts w:ascii="Arial" w:hAnsi="Arial" w:cs="Arial"/>
          <w:sz w:val="20"/>
          <w:szCs w:val="20"/>
        </w:rPr>
        <w:t>f</w:t>
      </w:r>
      <w:r w:rsidRPr="00482722">
        <w:rPr>
          <w:rFonts w:ascii="Arial" w:hAnsi="Arial" w:cs="Arial"/>
          <w:sz w:val="20"/>
          <w:szCs w:val="20"/>
        </w:rPr>
        <w:t xml:space="preserve">it </w:t>
      </w:r>
      <w:r w:rsidR="00FE7B4E" w:rsidRPr="00482722">
        <w:rPr>
          <w:rFonts w:ascii="Arial" w:hAnsi="Arial" w:cs="Arial"/>
          <w:sz w:val="20"/>
          <w:szCs w:val="20"/>
        </w:rPr>
        <w:t>i</w:t>
      </w:r>
      <w:r w:rsidRPr="00482722">
        <w:rPr>
          <w:rFonts w:ascii="Arial" w:hAnsi="Arial" w:cs="Arial"/>
          <w:sz w:val="20"/>
          <w:szCs w:val="20"/>
        </w:rPr>
        <w:t>ndex (AGFI)</w:t>
      </w:r>
      <w:r w:rsidR="008E7DA8" w:rsidRPr="00482722">
        <w:rPr>
          <w:rFonts w:ascii="Arial" w:hAnsi="Arial" w:cs="Arial"/>
          <w:sz w:val="20"/>
          <w:szCs w:val="20"/>
        </w:rPr>
        <w:t>;</w:t>
      </w:r>
      <w:r w:rsidRPr="00482722">
        <w:rPr>
          <w:rFonts w:ascii="Arial" w:hAnsi="Arial" w:cs="Arial"/>
          <w:sz w:val="20"/>
          <w:szCs w:val="20"/>
        </w:rPr>
        <w:t xml:space="preserve"> </w:t>
      </w:r>
      <w:r w:rsidR="00C86A91" w:rsidRPr="00482722">
        <w:rPr>
          <w:rFonts w:ascii="Arial" w:hAnsi="Arial" w:cs="Arial"/>
          <w:sz w:val="20"/>
          <w:szCs w:val="20"/>
        </w:rPr>
        <w:t xml:space="preserve">the </w:t>
      </w:r>
      <w:r w:rsidR="00FE7B4E" w:rsidRPr="00482722">
        <w:rPr>
          <w:rFonts w:ascii="Arial" w:hAnsi="Arial" w:cs="Arial"/>
          <w:sz w:val="20"/>
          <w:szCs w:val="20"/>
        </w:rPr>
        <w:t>n</w:t>
      </w:r>
      <w:r w:rsidRPr="00482722">
        <w:rPr>
          <w:rFonts w:ascii="Arial" w:hAnsi="Arial" w:cs="Arial"/>
          <w:sz w:val="20"/>
          <w:szCs w:val="20"/>
        </w:rPr>
        <w:t xml:space="preserve">ormed </w:t>
      </w:r>
      <w:r w:rsidR="00FE7B4E" w:rsidRPr="00482722">
        <w:rPr>
          <w:rFonts w:ascii="Arial" w:hAnsi="Arial" w:cs="Arial"/>
          <w:sz w:val="20"/>
          <w:szCs w:val="20"/>
        </w:rPr>
        <w:t>f</w:t>
      </w:r>
      <w:r w:rsidRPr="00482722">
        <w:rPr>
          <w:rFonts w:ascii="Arial" w:hAnsi="Arial" w:cs="Arial"/>
          <w:sz w:val="20"/>
          <w:szCs w:val="20"/>
        </w:rPr>
        <w:t xml:space="preserve">it </w:t>
      </w:r>
      <w:r w:rsidR="00FE7B4E" w:rsidRPr="00482722">
        <w:rPr>
          <w:rFonts w:ascii="Arial" w:hAnsi="Arial" w:cs="Arial"/>
          <w:sz w:val="20"/>
          <w:szCs w:val="20"/>
        </w:rPr>
        <w:t>i</w:t>
      </w:r>
      <w:r w:rsidRPr="00482722">
        <w:rPr>
          <w:rFonts w:ascii="Arial" w:hAnsi="Arial" w:cs="Arial"/>
          <w:sz w:val="20"/>
          <w:szCs w:val="20"/>
        </w:rPr>
        <w:t>ndex (NFI)</w:t>
      </w:r>
      <w:r w:rsidR="008E7DA8" w:rsidRPr="00482722">
        <w:rPr>
          <w:rFonts w:ascii="Arial" w:hAnsi="Arial" w:cs="Arial"/>
          <w:sz w:val="20"/>
          <w:szCs w:val="20"/>
        </w:rPr>
        <w:t>;</w:t>
      </w:r>
      <w:r w:rsidRPr="00482722">
        <w:rPr>
          <w:rFonts w:ascii="Arial" w:hAnsi="Arial" w:cs="Arial"/>
          <w:sz w:val="20"/>
          <w:szCs w:val="20"/>
        </w:rPr>
        <w:t xml:space="preserve"> </w:t>
      </w:r>
      <w:r w:rsidR="00C86A91" w:rsidRPr="00482722">
        <w:rPr>
          <w:rFonts w:ascii="Arial" w:hAnsi="Arial" w:cs="Arial"/>
          <w:sz w:val="20"/>
          <w:szCs w:val="20"/>
        </w:rPr>
        <w:t xml:space="preserve">the </w:t>
      </w:r>
      <w:r w:rsidR="00FE7B4E" w:rsidRPr="00482722">
        <w:rPr>
          <w:rFonts w:ascii="Arial" w:hAnsi="Arial" w:cs="Arial"/>
          <w:sz w:val="20"/>
          <w:szCs w:val="20"/>
        </w:rPr>
        <w:t>c</w:t>
      </w:r>
      <w:r w:rsidRPr="00482722">
        <w:rPr>
          <w:rFonts w:ascii="Arial" w:hAnsi="Arial" w:cs="Arial"/>
          <w:sz w:val="20"/>
          <w:szCs w:val="20"/>
        </w:rPr>
        <w:t xml:space="preserve">omparative </w:t>
      </w:r>
      <w:r w:rsidR="00FE7B4E" w:rsidRPr="00482722">
        <w:rPr>
          <w:rFonts w:ascii="Arial" w:hAnsi="Arial" w:cs="Arial"/>
          <w:sz w:val="20"/>
          <w:szCs w:val="20"/>
        </w:rPr>
        <w:t>f</w:t>
      </w:r>
      <w:r w:rsidRPr="00482722">
        <w:rPr>
          <w:rFonts w:ascii="Arial" w:hAnsi="Arial" w:cs="Arial"/>
          <w:sz w:val="20"/>
          <w:szCs w:val="20"/>
        </w:rPr>
        <w:t xml:space="preserve">it </w:t>
      </w:r>
      <w:r w:rsidR="00FE7B4E" w:rsidRPr="00482722">
        <w:rPr>
          <w:rFonts w:ascii="Arial" w:hAnsi="Arial" w:cs="Arial"/>
          <w:sz w:val="20"/>
          <w:szCs w:val="20"/>
        </w:rPr>
        <w:t>i</w:t>
      </w:r>
      <w:r w:rsidRPr="00482722">
        <w:rPr>
          <w:rFonts w:ascii="Arial" w:hAnsi="Arial" w:cs="Arial"/>
          <w:sz w:val="20"/>
          <w:szCs w:val="20"/>
        </w:rPr>
        <w:t>ndex (CFI)</w:t>
      </w:r>
      <w:r w:rsidR="008E7DA8" w:rsidRPr="00482722">
        <w:rPr>
          <w:rFonts w:ascii="Arial" w:hAnsi="Arial" w:cs="Arial"/>
          <w:sz w:val="20"/>
          <w:szCs w:val="20"/>
        </w:rPr>
        <w:t>;</w:t>
      </w:r>
      <w:r w:rsidR="00C86A91" w:rsidRPr="00482722">
        <w:rPr>
          <w:rFonts w:ascii="Arial" w:hAnsi="Arial" w:cs="Arial"/>
          <w:sz w:val="20"/>
          <w:szCs w:val="20"/>
        </w:rPr>
        <w:t xml:space="preserve"> the</w:t>
      </w:r>
      <w:r w:rsidRPr="00482722">
        <w:rPr>
          <w:rFonts w:ascii="Arial" w:hAnsi="Arial" w:cs="Arial"/>
          <w:sz w:val="20"/>
          <w:szCs w:val="20"/>
        </w:rPr>
        <w:t xml:space="preserve"> </w:t>
      </w:r>
      <w:r w:rsidR="00FE7B4E" w:rsidRPr="00482722">
        <w:rPr>
          <w:rFonts w:ascii="Arial" w:hAnsi="Arial" w:cs="Arial"/>
          <w:sz w:val="20"/>
          <w:szCs w:val="20"/>
        </w:rPr>
        <w:t>i</w:t>
      </w:r>
      <w:r w:rsidRPr="00482722">
        <w:rPr>
          <w:rFonts w:ascii="Arial" w:hAnsi="Arial" w:cs="Arial"/>
          <w:sz w:val="20"/>
          <w:szCs w:val="20"/>
        </w:rPr>
        <w:t xml:space="preserve">ncremental </w:t>
      </w:r>
      <w:r w:rsidR="00FE7B4E" w:rsidRPr="00482722">
        <w:rPr>
          <w:rFonts w:ascii="Arial" w:hAnsi="Arial" w:cs="Arial"/>
          <w:sz w:val="20"/>
          <w:szCs w:val="20"/>
        </w:rPr>
        <w:t>f</w:t>
      </w:r>
      <w:r w:rsidRPr="00482722">
        <w:rPr>
          <w:rFonts w:ascii="Arial" w:hAnsi="Arial" w:cs="Arial"/>
          <w:sz w:val="20"/>
          <w:szCs w:val="20"/>
        </w:rPr>
        <w:t xml:space="preserve">it </w:t>
      </w:r>
      <w:r w:rsidR="00FE7B4E" w:rsidRPr="00482722">
        <w:rPr>
          <w:rFonts w:ascii="Arial" w:hAnsi="Arial" w:cs="Arial"/>
          <w:sz w:val="20"/>
          <w:szCs w:val="20"/>
        </w:rPr>
        <w:t>i</w:t>
      </w:r>
      <w:r w:rsidRPr="00482722">
        <w:rPr>
          <w:rFonts w:ascii="Arial" w:hAnsi="Arial" w:cs="Arial"/>
          <w:sz w:val="20"/>
          <w:szCs w:val="20"/>
        </w:rPr>
        <w:t>ndex (IFI)</w:t>
      </w:r>
      <w:r w:rsidR="008E7DA8" w:rsidRPr="00482722">
        <w:rPr>
          <w:rFonts w:ascii="Arial" w:hAnsi="Arial" w:cs="Arial"/>
          <w:sz w:val="20"/>
          <w:szCs w:val="20"/>
        </w:rPr>
        <w:t>;</w:t>
      </w:r>
      <w:r w:rsidRPr="00482722">
        <w:rPr>
          <w:rFonts w:ascii="Arial" w:hAnsi="Arial" w:cs="Arial"/>
          <w:sz w:val="20"/>
          <w:szCs w:val="20"/>
        </w:rPr>
        <w:t xml:space="preserve"> and</w:t>
      </w:r>
      <w:r w:rsidR="00C86A91" w:rsidRPr="00482722">
        <w:rPr>
          <w:rFonts w:ascii="Arial" w:hAnsi="Arial" w:cs="Arial"/>
          <w:sz w:val="20"/>
          <w:szCs w:val="20"/>
        </w:rPr>
        <w:t xml:space="preserve"> the</w:t>
      </w:r>
      <w:r w:rsidRPr="00482722">
        <w:rPr>
          <w:rFonts w:ascii="Arial" w:hAnsi="Arial" w:cs="Arial"/>
          <w:sz w:val="20"/>
          <w:szCs w:val="20"/>
        </w:rPr>
        <w:t xml:space="preserve"> </w:t>
      </w:r>
      <w:r w:rsidR="00FE7B4E" w:rsidRPr="00482722">
        <w:rPr>
          <w:rFonts w:ascii="Arial" w:hAnsi="Arial" w:cs="Arial"/>
          <w:sz w:val="20"/>
          <w:szCs w:val="20"/>
        </w:rPr>
        <w:t>r</w:t>
      </w:r>
      <w:r w:rsidRPr="00482722">
        <w:rPr>
          <w:rFonts w:ascii="Arial" w:hAnsi="Arial" w:cs="Arial"/>
          <w:sz w:val="20"/>
          <w:szCs w:val="20"/>
        </w:rPr>
        <w:t xml:space="preserve">oot </w:t>
      </w:r>
      <w:r w:rsidR="00FE7B4E" w:rsidRPr="00482722">
        <w:rPr>
          <w:rFonts w:ascii="Arial" w:hAnsi="Arial" w:cs="Arial"/>
          <w:sz w:val="20"/>
          <w:szCs w:val="20"/>
        </w:rPr>
        <w:t>m</w:t>
      </w:r>
      <w:r w:rsidRPr="00482722">
        <w:rPr>
          <w:rFonts w:ascii="Arial" w:hAnsi="Arial" w:cs="Arial"/>
          <w:sz w:val="20"/>
          <w:szCs w:val="20"/>
        </w:rPr>
        <w:t xml:space="preserve">ean </w:t>
      </w:r>
      <w:r w:rsidR="00FE7B4E" w:rsidRPr="00482722">
        <w:rPr>
          <w:rFonts w:ascii="Arial" w:hAnsi="Arial" w:cs="Arial"/>
          <w:sz w:val="20"/>
          <w:szCs w:val="20"/>
        </w:rPr>
        <w:t>s</w:t>
      </w:r>
      <w:r w:rsidRPr="00482722">
        <w:rPr>
          <w:rFonts w:ascii="Arial" w:hAnsi="Arial" w:cs="Arial"/>
          <w:sz w:val="20"/>
          <w:szCs w:val="20"/>
        </w:rPr>
        <w:t xml:space="preserve">quare </w:t>
      </w:r>
      <w:r w:rsidR="00FE7B4E" w:rsidRPr="00482722">
        <w:rPr>
          <w:rFonts w:ascii="Arial" w:hAnsi="Arial" w:cs="Arial"/>
          <w:sz w:val="20"/>
          <w:szCs w:val="20"/>
        </w:rPr>
        <w:t>e</w:t>
      </w:r>
      <w:r w:rsidRPr="00482722">
        <w:rPr>
          <w:rFonts w:ascii="Arial" w:hAnsi="Arial" w:cs="Arial"/>
          <w:sz w:val="20"/>
          <w:szCs w:val="20"/>
        </w:rPr>
        <w:t xml:space="preserve">rror of </w:t>
      </w:r>
      <w:r w:rsidR="00FE7B4E" w:rsidRPr="00482722">
        <w:rPr>
          <w:rFonts w:ascii="Arial" w:hAnsi="Arial" w:cs="Arial"/>
          <w:sz w:val="20"/>
          <w:szCs w:val="20"/>
        </w:rPr>
        <w:t>a</w:t>
      </w:r>
      <w:r w:rsidRPr="00482722">
        <w:rPr>
          <w:rFonts w:ascii="Arial" w:hAnsi="Arial" w:cs="Arial"/>
          <w:sz w:val="20"/>
          <w:szCs w:val="20"/>
        </w:rPr>
        <w:t xml:space="preserve">pproximation (RMSEA). As presented in Table </w:t>
      </w:r>
      <w:r w:rsidR="00E50375" w:rsidRPr="00482722">
        <w:rPr>
          <w:rFonts w:ascii="Arial" w:hAnsi="Arial" w:cs="Arial"/>
          <w:sz w:val="20"/>
          <w:szCs w:val="20"/>
        </w:rPr>
        <w:t>VII</w:t>
      </w:r>
      <w:r w:rsidRPr="00482722">
        <w:rPr>
          <w:rFonts w:ascii="Arial" w:hAnsi="Arial" w:cs="Arial"/>
          <w:sz w:val="20"/>
          <w:szCs w:val="20"/>
        </w:rPr>
        <w:t>, all the model’s fit indices exceeded their respective recommended values as suggested by Schumacker and Lomax (2010). Thus, the proposed structural model presented in Figure 2 adequately fits the sample data.</w:t>
      </w:r>
    </w:p>
    <w:p w14:paraId="7B371493" w14:textId="77777777" w:rsidR="00B24D68" w:rsidRPr="00482722" w:rsidRDefault="00B24D68" w:rsidP="00DA5EEC">
      <w:pPr>
        <w:spacing w:line="240" w:lineRule="auto"/>
        <w:jc w:val="both"/>
        <w:rPr>
          <w:rFonts w:ascii="Arial" w:hAnsi="Arial" w:cs="Arial"/>
          <w:sz w:val="20"/>
          <w:szCs w:val="20"/>
        </w:rPr>
      </w:pPr>
    </w:p>
    <w:p w14:paraId="40808796" w14:textId="57A9FE46" w:rsidR="00283F7B" w:rsidRPr="00482722" w:rsidRDefault="00283F7B" w:rsidP="00DA5EEC">
      <w:pPr>
        <w:spacing w:line="240" w:lineRule="auto"/>
        <w:rPr>
          <w:rFonts w:ascii="Arial" w:hAnsi="Arial" w:cs="Arial"/>
          <w:sz w:val="20"/>
          <w:szCs w:val="20"/>
        </w:rPr>
      </w:pPr>
      <w:r w:rsidRPr="00482722">
        <w:rPr>
          <w:rFonts w:ascii="Arial" w:hAnsi="Arial" w:cs="Arial"/>
          <w:b/>
          <w:bCs/>
          <w:sz w:val="20"/>
          <w:szCs w:val="20"/>
        </w:rPr>
        <w:t xml:space="preserve">Table </w:t>
      </w:r>
      <w:r w:rsidR="00E50375" w:rsidRPr="00482722">
        <w:rPr>
          <w:rFonts w:ascii="Arial" w:hAnsi="Arial" w:cs="Arial"/>
          <w:b/>
          <w:bCs/>
          <w:sz w:val="20"/>
          <w:szCs w:val="20"/>
        </w:rPr>
        <w:t>VII</w:t>
      </w:r>
      <w:r w:rsidR="004074E8" w:rsidRPr="00482722">
        <w:rPr>
          <w:rFonts w:ascii="Arial" w:hAnsi="Arial" w:cs="Arial"/>
          <w:b/>
          <w:bCs/>
          <w:sz w:val="20"/>
          <w:szCs w:val="20"/>
        </w:rPr>
        <w:t>.</w:t>
      </w:r>
      <w:r w:rsidRPr="00482722">
        <w:rPr>
          <w:rFonts w:ascii="Arial" w:hAnsi="Arial" w:cs="Arial"/>
          <w:sz w:val="20"/>
          <w:szCs w:val="20"/>
        </w:rPr>
        <w:t xml:space="preserve"> Fitness indices</w:t>
      </w:r>
    </w:p>
    <w:tbl>
      <w:tblPr>
        <w:tblStyle w:val="LightList-Accent5"/>
        <w:tblW w:w="0" w:type="auto"/>
        <w:jc w:val="center"/>
        <w:tblBorders>
          <w:top w:val="single" w:sz="8" w:space="0" w:color="auto"/>
          <w:left w:val="none" w:sz="0" w:space="0" w:color="auto"/>
          <w:bottom w:val="none" w:sz="0" w:space="0" w:color="auto"/>
          <w:right w:val="none" w:sz="0" w:space="0" w:color="auto"/>
          <w:insideH w:val="single" w:sz="8" w:space="0" w:color="auto"/>
        </w:tblBorders>
        <w:tblLayout w:type="fixed"/>
        <w:tblCellMar>
          <w:left w:w="57" w:type="dxa"/>
          <w:right w:w="57" w:type="dxa"/>
        </w:tblCellMar>
        <w:tblLook w:val="0600" w:firstRow="0" w:lastRow="0" w:firstColumn="0" w:lastColumn="0" w:noHBand="1" w:noVBand="1"/>
      </w:tblPr>
      <w:tblGrid>
        <w:gridCol w:w="1701"/>
        <w:gridCol w:w="1264"/>
        <w:gridCol w:w="867"/>
        <w:gridCol w:w="867"/>
        <w:gridCol w:w="867"/>
        <w:gridCol w:w="867"/>
        <w:gridCol w:w="867"/>
        <w:gridCol w:w="986"/>
      </w:tblGrid>
      <w:tr w:rsidR="00482722" w:rsidRPr="00482722" w14:paraId="0C5C4BB5" w14:textId="77777777" w:rsidTr="00265AA8">
        <w:trPr>
          <w:jc w:val="center"/>
        </w:trPr>
        <w:tc>
          <w:tcPr>
            <w:tcW w:w="1701" w:type="dxa"/>
            <w:shd w:val="clear" w:color="auto" w:fill="auto"/>
          </w:tcPr>
          <w:p w14:paraId="19F4D156"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Fit Index</w:t>
            </w:r>
          </w:p>
        </w:tc>
        <w:tc>
          <w:tcPr>
            <w:tcW w:w="1264" w:type="dxa"/>
            <w:shd w:val="clear" w:color="auto" w:fill="auto"/>
          </w:tcPr>
          <w:p w14:paraId="600F82BE" w14:textId="77777777" w:rsidR="00ED53E8" w:rsidRPr="00482722" w:rsidRDefault="00ED53E8" w:rsidP="00265AA8">
            <w:pPr>
              <w:jc w:val="center"/>
              <w:rPr>
                <w:rFonts w:ascii="Arial" w:hAnsi="Arial" w:cs="Arial"/>
                <w:sz w:val="20"/>
                <w:szCs w:val="20"/>
                <w:lang w:val="en-GB"/>
              </w:rPr>
            </w:pPr>
            <w:r w:rsidRPr="00482722">
              <w:rPr>
                <w:rFonts w:ascii="Arial" w:eastAsia="SimSun" w:hAnsi="Arial" w:cs="Arial"/>
                <w:sz w:val="20"/>
                <w:szCs w:val="20"/>
              </w:rPr>
              <w:t>(CMIN/DF)</w:t>
            </w:r>
          </w:p>
        </w:tc>
        <w:tc>
          <w:tcPr>
            <w:tcW w:w="867" w:type="dxa"/>
            <w:shd w:val="clear" w:color="auto" w:fill="auto"/>
          </w:tcPr>
          <w:p w14:paraId="4E179D32"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GFI</w:t>
            </w:r>
          </w:p>
        </w:tc>
        <w:tc>
          <w:tcPr>
            <w:tcW w:w="867" w:type="dxa"/>
            <w:shd w:val="clear" w:color="auto" w:fill="auto"/>
          </w:tcPr>
          <w:p w14:paraId="7AF66FC3"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AGFI</w:t>
            </w:r>
          </w:p>
        </w:tc>
        <w:tc>
          <w:tcPr>
            <w:tcW w:w="867" w:type="dxa"/>
            <w:shd w:val="clear" w:color="auto" w:fill="auto"/>
          </w:tcPr>
          <w:p w14:paraId="5B2A7B8E"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NFI</w:t>
            </w:r>
          </w:p>
        </w:tc>
        <w:tc>
          <w:tcPr>
            <w:tcW w:w="867" w:type="dxa"/>
            <w:shd w:val="clear" w:color="auto" w:fill="auto"/>
          </w:tcPr>
          <w:p w14:paraId="07D2F033"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CFI</w:t>
            </w:r>
          </w:p>
        </w:tc>
        <w:tc>
          <w:tcPr>
            <w:tcW w:w="867" w:type="dxa"/>
            <w:shd w:val="clear" w:color="auto" w:fill="auto"/>
          </w:tcPr>
          <w:p w14:paraId="4255806F"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IFI</w:t>
            </w:r>
          </w:p>
        </w:tc>
        <w:tc>
          <w:tcPr>
            <w:tcW w:w="986" w:type="dxa"/>
            <w:shd w:val="clear" w:color="auto" w:fill="auto"/>
          </w:tcPr>
          <w:p w14:paraId="652D0D18"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RMSEA</w:t>
            </w:r>
          </w:p>
        </w:tc>
      </w:tr>
      <w:tr w:rsidR="00482722" w:rsidRPr="00482722" w14:paraId="69B72973" w14:textId="77777777" w:rsidTr="00265AA8">
        <w:trPr>
          <w:jc w:val="center"/>
        </w:trPr>
        <w:tc>
          <w:tcPr>
            <w:tcW w:w="1701" w:type="dxa"/>
            <w:shd w:val="clear" w:color="auto" w:fill="auto"/>
          </w:tcPr>
          <w:p w14:paraId="4BD10724" w14:textId="77777777" w:rsidR="00ED53E8" w:rsidRPr="00482722" w:rsidRDefault="00ED53E8" w:rsidP="00265AA8">
            <w:pPr>
              <w:jc w:val="center"/>
              <w:rPr>
                <w:rFonts w:ascii="Arial" w:hAnsi="Arial" w:cs="Arial"/>
                <w:b/>
                <w:bCs/>
                <w:sz w:val="20"/>
                <w:szCs w:val="20"/>
                <w:lang w:val="en-GB"/>
              </w:rPr>
            </w:pPr>
            <w:r w:rsidRPr="00482722">
              <w:rPr>
                <w:rFonts w:ascii="Arial" w:hAnsi="Arial" w:cs="Arial"/>
                <w:sz w:val="20"/>
                <w:szCs w:val="20"/>
              </w:rPr>
              <w:t>*Recommended Value</w:t>
            </w:r>
          </w:p>
        </w:tc>
        <w:tc>
          <w:tcPr>
            <w:tcW w:w="1264" w:type="dxa"/>
            <w:shd w:val="clear" w:color="auto" w:fill="auto"/>
          </w:tcPr>
          <w:p w14:paraId="2D0BC63F"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5</w:t>
            </w:r>
          </w:p>
        </w:tc>
        <w:tc>
          <w:tcPr>
            <w:tcW w:w="867" w:type="dxa"/>
            <w:shd w:val="clear" w:color="auto" w:fill="auto"/>
          </w:tcPr>
          <w:p w14:paraId="37C13461"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0.900</w:t>
            </w:r>
          </w:p>
        </w:tc>
        <w:tc>
          <w:tcPr>
            <w:tcW w:w="867" w:type="dxa"/>
            <w:shd w:val="clear" w:color="auto" w:fill="auto"/>
          </w:tcPr>
          <w:p w14:paraId="0A0350BF"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0.900</w:t>
            </w:r>
          </w:p>
        </w:tc>
        <w:tc>
          <w:tcPr>
            <w:tcW w:w="867" w:type="dxa"/>
            <w:shd w:val="clear" w:color="auto" w:fill="auto"/>
          </w:tcPr>
          <w:p w14:paraId="3C3D6B41"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0.900</w:t>
            </w:r>
          </w:p>
        </w:tc>
        <w:tc>
          <w:tcPr>
            <w:tcW w:w="867" w:type="dxa"/>
            <w:shd w:val="clear" w:color="auto" w:fill="auto"/>
          </w:tcPr>
          <w:p w14:paraId="1B487B7A"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0.900</w:t>
            </w:r>
          </w:p>
        </w:tc>
        <w:tc>
          <w:tcPr>
            <w:tcW w:w="867" w:type="dxa"/>
            <w:shd w:val="clear" w:color="auto" w:fill="auto"/>
          </w:tcPr>
          <w:p w14:paraId="46B5A926"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 0.900</w:t>
            </w:r>
          </w:p>
        </w:tc>
        <w:tc>
          <w:tcPr>
            <w:tcW w:w="986" w:type="dxa"/>
            <w:shd w:val="clear" w:color="auto" w:fill="auto"/>
          </w:tcPr>
          <w:p w14:paraId="4226E8A0"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0.05 to 0.08</w:t>
            </w:r>
          </w:p>
        </w:tc>
      </w:tr>
      <w:tr w:rsidR="00482722" w:rsidRPr="00482722" w14:paraId="678A69DA" w14:textId="77777777" w:rsidTr="00265AA8">
        <w:trPr>
          <w:jc w:val="center"/>
        </w:trPr>
        <w:tc>
          <w:tcPr>
            <w:tcW w:w="1701" w:type="dxa"/>
            <w:shd w:val="clear" w:color="auto" w:fill="auto"/>
          </w:tcPr>
          <w:p w14:paraId="32BE0D20" w14:textId="77777777" w:rsidR="00ED53E8" w:rsidRPr="00482722" w:rsidRDefault="00ED53E8" w:rsidP="00265AA8">
            <w:pPr>
              <w:jc w:val="center"/>
              <w:rPr>
                <w:rFonts w:ascii="Arial" w:hAnsi="Arial" w:cs="Arial"/>
                <w:b/>
                <w:bCs/>
                <w:sz w:val="20"/>
                <w:szCs w:val="20"/>
                <w:lang w:val="en-GB"/>
              </w:rPr>
            </w:pPr>
            <w:r w:rsidRPr="00482722">
              <w:rPr>
                <w:rFonts w:ascii="Arial" w:hAnsi="Arial" w:cs="Arial"/>
                <w:sz w:val="20"/>
                <w:szCs w:val="20"/>
              </w:rPr>
              <w:t>Actual Value</w:t>
            </w:r>
          </w:p>
        </w:tc>
        <w:tc>
          <w:tcPr>
            <w:tcW w:w="1264" w:type="dxa"/>
            <w:shd w:val="clear" w:color="auto" w:fill="auto"/>
          </w:tcPr>
          <w:p w14:paraId="400A5121"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3.422</w:t>
            </w:r>
          </w:p>
        </w:tc>
        <w:tc>
          <w:tcPr>
            <w:tcW w:w="867" w:type="dxa"/>
            <w:shd w:val="clear" w:color="auto" w:fill="auto"/>
          </w:tcPr>
          <w:p w14:paraId="66D723EC"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0.931</w:t>
            </w:r>
          </w:p>
        </w:tc>
        <w:tc>
          <w:tcPr>
            <w:tcW w:w="867" w:type="dxa"/>
            <w:shd w:val="clear" w:color="auto" w:fill="auto"/>
          </w:tcPr>
          <w:p w14:paraId="6689F2C4"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0.911</w:t>
            </w:r>
          </w:p>
        </w:tc>
        <w:tc>
          <w:tcPr>
            <w:tcW w:w="867" w:type="dxa"/>
            <w:shd w:val="clear" w:color="auto" w:fill="auto"/>
          </w:tcPr>
          <w:p w14:paraId="553347D5"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0.947</w:t>
            </w:r>
          </w:p>
        </w:tc>
        <w:tc>
          <w:tcPr>
            <w:tcW w:w="867" w:type="dxa"/>
            <w:shd w:val="clear" w:color="auto" w:fill="auto"/>
          </w:tcPr>
          <w:p w14:paraId="2B578F2C"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0.962</w:t>
            </w:r>
          </w:p>
        </w:tc>
        <w:tc>
          <w:tcPr>
            <w:tcW w:w="867" w:type="dxa"/>
            <w:shd w:val="clear" w:color="auto" w:fill="auto"/>
          </w:tcPr>
          <w:p w14:paraId="591C47D3"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0.962</w:t>
            </w:r>
          </w:p>
        </w:tc>
        <w:tc>
          <w:tcPr>
            <w:tcW w:w="986" w:type="dxa"/>
            <w:shd w:val="clear" w:color="auto" w:fill="auto"/>
          </w:tcPr>
          <w:p w14:paraId="2CFC5660" w14:textId="77777777" w:rsidR="00ED53E8" w:rsidRPr="00482722" w:rsidRDefault="00ED53E8" w:rsidP="00265AA8">
            <w:pPr>
              <w:jc w:val="center"/>
              <w:rPr>
                <w:rFonts w:ascii="Arial" w:hAnsi="Arial" w:cs="Arial"/>
                <w:sz w:val="20"/>
                <w:szCs w:val="20"/>
                <w:lang w:val="en-GB"/>
              </w:rPr>
            </w:pPr>
            <w:r w:rsidRPr="00482722">
              <w:rPr>
                <w:rFonts w:ascii="Arial" w:hAnsi="Arial" w:cs="Arial"/>
                <w:sz w:val="20"/>
                <w:szCs w:val="20"/>
              </w:rPr>
              <w:t>0.056</w:t>
            </w:r>
          </w:p>
        </w:tc>
      </w:tr>
      <w:tr w:rsidR="00482722" w:rsidRPr="00482722" w14:paraId="13CDF029" w14:textId="77777777" w:rsidTr="00265AA8">
        <w:trPr>
          <w:jc w:val="center"/>
        </w:trPr>
        <w:tc>
          <w:tcPr>
            <w:tcW w:w="8286" w:type="dxa"/>
            <w:gridSpan w:val="8"/>
            <w:shd w:val="clear" w:color="auto" w:fill="auto"/>
          </w:tcPr>
          <w:p w14:paraId="440BCD40" w14:textId="77777777" w:rsidR="00ED53E8" w:rsidRPr="00482722" w:rsidRDefault="00ED53E8" w:rsidP="00265AA8">
            <w:pPr>
              <w:jc w:val="both"/>
              <w:rPr>
                <w:rFonts w:ascii="Arial" w:eastAsia="Times New Roman" w:hAnsi="Arial" w:cs="Arial"/>
                <w:b/>
                <w:bCs/>
                <w:sz w:val="20"/>
                <w:szCs w:val="20"/>
                <w:lang w:val="en-GB" w:eastAsia="en-GB"/>
              </w:rPr>
            </w:pPr>
            <w:r w:rsidRPr="00482722">
              <w:rPr>
                <w:rFonts w:ascii="Arial" w:eastAsia="Times New Roman" w:hAnsi="Arial" w:cs="Arial"/>
                <w:sz w:val="20"/>
                <w:szCs w:val="20"/>
                <w:lang w:eastAsia="en-GB"/>
              </w:rPr>
              <w:t xml:space="preserve">* Source: Schumacker </w:t>
            </w:r>
            <w:r w:rsidRPr="00482722">
              <w:rPr>
                <w:rFonts w:ascii="Arial" w:eastAsia="Times New Roman" w:hAnsi="Arial" w:cs="Arial"/>
                <w:sz w:val="20"/>
                <w:szCs w:val="20"/>
                <w:lang w:val="en-GB" w:eastAsia="en-GB"/>
              </w:rPr>
              <w:t>and Lomax, 2010.  p.76.</w:t>
            </w:r>
          </w:p>
        </w:tc>
      </w:tr>
    </w:tbl>
    <w:p w14:paraId="4E113802" w14:textId="77777777" w:rsidR="00283F7B" w:rsidRPr="00482722" w:rsidRDefault="00283F7B" w:rsidP="00DA5EEC">
      <w:pPr>
        <w:spacing w:line="240" w:lineRule="auto"/>
        <w:jc w:val="both"/>
        <w:rPr>
          <w:rFonts w:ascii="Arial" w:hAnsi="Arial" w:cs="Arial"/>
          <w:sz w:val="20"/>
          <w:szCs w:val="20"/>
        </w:rPr>
      </w:pPr>
    </w:p>
    <w:p w14:paraId="059E852A" w14:textId="65CAFC7B" w:rsidR="00283F7B"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 xml:space="preserve">Based on the </w:t>
      </w:r>
      <w:r w:rsidR="00FE7B4E" w:rsidRPr="00482722">
        <w:rPr>
          <w:rFonts w:ascii="Arial" w:hAnsi="Arial" w:cs="Arial"/>
          <w:sz w:val="20"/>
          <w:szCs w:val="20"/>
        </w:rPr>
        <w:t>m</w:t>
      </w:r>
      <w:r w:rsidRPr="00482722">
        <w:rPr>
          <w:rFonts w:ascii="Arial" w:hAnsi="Arial" w:cs="Arial"/>
          <w:sz w:val="20"/>
          <w:szCs w:val="20"/>
        </w:rPr>
        <w:t xml:space="preserve">aximum </w:t>
      </w:r>
      <w:r w:rsidR="00FE7B4E" w:rsidRPr="00482722">
        <w:rPr>
          <w:rFonts w:ascii="Arial" w:hAnsi="Arial" w:cs="Arial"/>
          <w:sz w:val="20"/>
          <w:szCs w:val="20"/>
        </w:rPr>
        <w:t>l</w:t>
      </w:r>
      <w:r w:rsidRPr="00482722">
        <w:rPr>
          <w:rFonts w:ascii="Arial" w:hAnsi="Arial" w:cs="Arial"/>
          <w:sz w:val="20"/>
          <w:szCs w:val="20"/>
        </w:rPr>
        <w:t xml:space="preserve">ikelihood estimation method, </w:t>
      </w:r>
      <w:r w:rsidR="00E64CF2" w:rsidRPr="00482722">
        <w:rPr>
          <w:rFonts w:ascii="Arial" w:hAnsi="Arial" w:cs="Arial"/>
          <w:sz w:val="20"/>
          <w:szCs w:val="20"/>
        </w:rPr>
        <w:t xml:space="preserve">12 </w:t>
      </w:r>
      <w:r w:rsidRPr="00482722">
        <w:rPr>
          <w:rFonts w:ascii="Arial" w:hAnsi="Arial" w:cs="Arial"/>
          <w:sz w:val="20"/>
          <w:szCs w:val="20"/>
        </w:rPr>
        <w:t>hypotheses were also tested using S</w:t>
      </w:r>
      <w:r w:rsidR="00BE6176" w:rsidRPr="00482722">
        <w:rPr>
          <w:rFonts w:ascii="Arial" w:hAnsi="Arial" w:cs="Arial"/>
          <w:sz w:val="20"/>
          <w:szCs w:val="20"/>
        </w:rPr>
        <w:t>EM</w:t>
      </w:r>
      <w:r w:rsidRPr="00482722">
        <w:rPr>
          <w:rFonts w:ascii="Arial" w:hAnsi="Arial" w:cs="Arial"/>
          <w:sz w:val="20"/>
          <w:szCs w:val="20"/>
        </w:rPr>
        <w:t xml:space="preserve"> with </w:t>
      </w:r>
      <w:r w:rsidR="00BE6176" w:rsidRPr="00482722">
        <w:rPr>
          <w:rFonts w:ascii="Arial" w:hAnsi="Arial" w:cs="Arial"/>
          <w:sz w:val="20"/>
          <w:szCs w:val="20"/>
        </w:rPr>
        <w:t>l</w:t>
      </w:r>
      <w:r w:rsidRPr="00482722">
        <w:rPr>
          <w:rFonts w:ascii="Arial" w:hAnsi="Arial" w:cs="Arial"/>
          <w:sz w:val="20"/>
          <w:szCs w:val="20"/>
        </w:rPr>
        <w:t xml:space="preserve">atent </w:t>
      </w:r>
      <w:r w:rsidR="00BE6176" w:rsidRPr="00482722">
        <w:rPr>
          <w:rFonts w:ascii="Arial" w:hAnsi="Arial" w:cs="Arial"/>
          <w:sz w:val="20"/>
          <w:szCs w:val="20"/>
        </w:rPr>
        <w:t>v</w:t>
      </w:r>
      <w:r w:rsidRPr="00482722">
        <w:rPr>
          <w:rFonts w:ascii="Arial" w:hAnsi="Arial" w:cs="Arial"/>
          <w:sz w:val="20"/>
          <w:szCs w:val="20"/>
        </w:rPr>
        <w:t xml:space="preserve">ariables, as shown in Figure 2. Table </w:t>
      </w:r>
      <w:r w:rsidR="009C0EA6" w:rsidRPr="00482722">
        <w:rPr>
          <w:rFonts w:ascii="Arial" w:hAnsi="Arial" w:cs="Arial"/>
          <w:sz w:val="20"/>
          <w:szCs w:val="20"/>
        </w:rPr>
        <w:t>VII</w:t>
      </w:r>
      <w:r w:rsidR="00E50375" w:rsidRPr="00482722">
        <w:rPr>
          <w:rFonts w:ascii="Arial" w:hAnsi="Arial" w:cs="Arial"/>
          <w:sz w:val="20"/>
          <w:szCs w:val="20"/>
        </w:rPr>
        <w:t>I</w:t>
      </w:r>
      <w:r w:rsidRPr="00482722">
        <w:rPr>
          <w:rFonts w:ascii="Arial" w:hAnsi="Arial" w:cs="Arial"/>
          <w:sz w:val="20"/>
          <w:szCs w:val="20"/>
        </w:rPr>
        <w:t xml:space="preserve"> reveals the path coefficients, </w:t>
      </w:r>
      <w:r w:rsidR="008E7DA8" w:rsidRPr="00482722">
        <w:rPr>
          <w:rFonts w:ascii="Arial" w:hAnsi="Arial" w:cs="Arial"/>
          <w:sz w:val="20"/>
          <w:szCs w:val="20"/>
        </w:rPr>
        <w:t>c</w:t>
      </w:r>
      <w:r w:rsidRPr="00482722">
        <w:rPr>
          <w:rFonts w:ascii="Arial" w:hAnsi="Arial" w:cs="Arial"/>
          <w:sz w:val="20"/>
          <w:szCs w:val="20"/>
        </w:rPr>
        <w:t xml:space="preserve">ritical ratios (CR), </w:t>
      </w:r>
      <w:r w:rsidR="008E7DA8" w:rsidRPr="00482722">
        <w:rPr>
          <w:rFonts w:ascii="Arial" w:hAnsi="Arial" w:cs="Arial"/>
          <w:sz w:val="20"/>
          <w:szCs w:val="20"/>
        </w:rPr>
        <w:t>p</w:t>
      </w:r>
      <w:r w:rsidRPr="00482722">
        <w:rPr>
          <w:rFonts w:ascii="Arial" w:hAnsi="Arial" w:cs="Arial"/>
          <w:sz w:val="20"/>
          <w:szCs w:val="20"/>
        </w:rPr>
        <w:t>robability values (P), and the</w:t>
      </w:r>
      <w:r w:rsidR="00FB3E3F" w:rsidRPr="00482722">
        <w:rPr>
          <w:rFonts w:ascii="Arial" w:hAnsi="Arial" w:cs="Arial"/>
          <w:sz w:val="20"/>
          <w:szCs w:val="20"/>
        </w:rPr>
        <w:t xml:space="preserve"> results of the</w:t>
      </w:r>
      <w:r w:rsidR="00596A74" w:rsidRPr="00482722">
        <w:rPr>
          <w:rFonts w:ascii="Arial" w:hAnsi="Arial" w:cs="Arial"/>
          <w:sz w:val="20"/>
          <w:szCs w:val="20"/>
        </w:rPr>
        <w:t xml:space="preserve"> </w:t>
      </w:r>
      <w:r w:rsidRPr="00482722">
        <w:rPr>
          <w:rFonts w:ascii="Arial" w:hAnsi="Arial" w:cs="Arial"/>
          <w:sz w:val="20"/>
          <w:szCs w:val="20"/>
        </w:rPr>
        <w:t>hypothes</w:t>
      </w:r>
      <w:r w:rsidR="00596A74" w:rsidRPr="00482722">
        <w:rPr>
          <w:rFonts w:ascii="Arial" w:hAnsi="Arial" w:cs="Arial"/>
          <w:sz w:val="20"/>
          <w:szCs w:val="20"/>
        </w:rPr>
        <w:t>i</w:t>
      </w:r>
      <w:r w:rsidRPr="00482722">
        <w:rPr>
          <w:rFonts w:ascii="Arial" w:hAnsi="Arial" w:cs="Arial"/>
          <w:sz w:val="20"/>
          <w:szCs w:val="20"/>
        </w:rPr>
        <w:t>s</w:t>
      </w:r>
      <w:r w:rsidR="00FB3E3F" w:rsidRPr="00482722">
        <w:rPr>
          <w:rFonts w:ascii="Arial" w:hAnsi="Arial" w:cs="Arial"/>
          <w:sz w:val="20"/>
          <w:szCs w:val="20"/>
        </w:rPr>
        <w:t xml:space="preserve"> </w:t>
      </w:r>
      <w:r w:rsidRPr="00482722">
        <w:rPr>
          <w:rFonts w:ascii="Arial" w:hAnsi="Arial" w:cs="Arial"/>
          <w:sz w:val="20"/>
          <w:szCs w:val="20"/>
        </w:rPr>
        <w:t xml:space="preserve">testing. As shown in Table </w:t>
      </w:r>
      <w:r w:rsidR="009C0EA6" w:rsidRPr="00482722">
        <w:rPr>
          <w:rFonts w:ascii="Arial" w:hAnsi="Arial" w:cs="Arial"/>
          <w:sz w:val="20"/>
          <w:szCs w:val="20"/>
        </w:rPr>
        <w:t>V</w:t>
      </w:r>
      <w:r w:rsidR="00E50375" w:rsidRPr="00482722">
        <w:rPr>
          <w:rFonts w:ascii="Arial" w:hAnsi="Arial" w:cs="Arial"/>
          <w:sz w:val="20"/>
          <w:szCs w:val="20"/>
        </w:rPr>
        <w:t>I</w:t>
      </w:r>
      <w:r w:rsidR="009C0EA6" w:rsidRPr="00482722">
        <w:rPr>
          <w:rFonts w:ascii="Arial" w:hAnsi="Arial" w:cs="Arial"/>
          <w:sz w:val="20"/>
          <w:szCs w:val="20"/>
        </w:rPr>
        <w:t>II</w:t>
      </w:r>
      <w:r w:rsidRPr="00482722">
        <w:rPr>
          <w:rFonts w:ascii="Arial" w:hAnsi="Arial" w:cs="Arial"/>
          <w:sz w:val="20"/>
          <w:szCs w:val="20"/>
        </w:rPr>
        <w:t>, all path coefficients were statistically significant since their probabilities were less than α</w:t>
      </w:r>
      <w:r w:rsidR="00741C85" w:rsidRPr="00482722">
        <w:rPr>
          <w:rFonts w:ascii="Arial" w:hAnsi="Arial" w:cs="Arial"/>
          <w:sz w:val="20"/>
          <w:szCs w:val="20"/>
        </w:rPr>
        <w:t xml:space="preserve"> </w:t>
      </w:r>
      <w:r w:rsidRPr="00482722">
        <w:rPr>
          <w:rFonts w:ascii="Arial" w:hAnsi="Arial" w:cs="Arial"/>
          <w:sz w:val="20"/>
          <w:szCs w:val="20"/>
        </w:rPr>
        <w:t>≤</w:t>
      </w:r>
      <w:r w:rsidR="00741C85" w:rsidRPr="00482722">
        <w:rPr>
          <w:rFonts w:ascii="Arial" w:hAnsi="Arial" w:cs="Arial"/>
          <w:sz w:val="20"/>
          <w:szCs w:val="20"/>
        </w:rPr>
        <w:t xml:space="preserve"> </w:t>
      </w:r>
      <w:r w:rsidRPr="00482722">
        <w:rPr>
          <w:rFonts w:ascii="Arial" w:hAnsi="Arial" w:cs="Arial"/>
          <w:sz w:val="20"/>
          <w:szCs w:val="20"/>
        </w:rPr>
        <w:t>0.05. Therefore, hypotheses H1 to H12 are supported at the common statistical levels of significance (Byrne, 2001).</w:t>
      </w:r>
    </w:p>
    <w:p w14:paraId="7DA54E28" w14:textId="77777777" w:rsidR="00B24D68" w:rsidRPr="00482722" w:rsidRDefault="00B24D68" w:rsidP="00DA5EEC">
      <w:pPr>
        <w:spacing w:line="240" w:lineRule="auto"/>
        <w:rPr>
          <w:rFonts w:ascii="Arial" w:hAnsi="Arial" w:cs="Arial"/>
          <w:sz w:val="20"/>
          <w:szCs w:val="20"/>
        </w:rPr>
      </w:pPr>
    </w:p>
    <w:p w14:paraId="2D6746F8" w14:textId="5EFDEDC6" w:rsidR="00283F7B" w:rsidRPr="00482722" w:rsidRDefault="00283F7B" w:rsidP="00DA5EEC">
      <w:pPr>
        <w:spacing w:line="240" w:lineRule="auto"/>
        <w:rPr>
          <w:rFonts w:ascii="Arial" w:hAnsi="Arial" w:cs="Arial"/>
          <w:sz w:val="20"/>
          <w:szCs w:val="20"/>
        </w:rPr>
      </w:pPr>
      <w:r w:rsidRPr="00482722">
        <w:rPr>
          <w:rFonts w:ascii="Arial" w:hAnsi="Arial" w:cs="Arial"/>
          <w:b/>
          <w:bCs/>
          <w:sz w:val="20"/>
          <w:szCs w:val="20"/>
        </w:rPr>
        <w:t xml:space="preserve">Table </w:t>
      </w:r>
      <w:r w:rsidR="009C0EA6" w:rsidRPr="00482722">
        <w:rPr>
          <w:rFonts w:ascii="Arial" w:hAnsi="Arial" w:cs="Arial"/>
          <w:b/>
          <w:bCs/>
          <w:sz w:val="20"/>
          <w:szCs w:val="20"/>
        </w:rPr>
        <w:t>VIII</w:t>
      </w:r>
      <w:r w:rsidR="000F4780" w:rsidRPr="00482722">
        <w:rPr>
          <w:rFonts w:ascii="Arial" w:hAnsi="Arial" w:cs="Arial"/>
          <w:b/>
          <w:bCs/>
          <w:sz w:val="20"/>
          <w:szCs w:val="20"/>
        </w:rPr>
        <w:t>.</w:t>
      </w:r>
      <w:r w:rsidRPr="00482722">
        <w:rPr>
          <w:rFonts w:ascii="Arial" w:hAnsi="Arial" w:cs="Arial"/>
          <w:sz w:val="20"/>
          <w:szCs w:val="20"/>
        </w:rPr>
        <w:t xml:space="preserve"> Hypothes</w:t>
      </w:r>
      <w:r w:rsidR="00082A29" w:rsidRPr="00482722">
        <w:rPr>
          <w:rFonts w:ascii="Arial" w:hAnsi="Arial" w:cs="Arial"/>
          <w:sz w:val="20"/>
          <w:szCs w:val="20"/>
        </w:rPr>
        <w:t>i</w:t>
      </w:r>
      <w:r w:rsidRPr="00482722">
        <w:rPr>
          <w:rFonts w:ascii="Arial" w:hAnsi="Arial" w:cs="Arial"/>
          <w:sz w:val="20"/>
          <w:szCs w:val="20"/>
        </w:rPr>
        <w:t>s</w:t>
      </w:r>
      <w:r w:rsidR="005903A8" w:rsidRPr="00482722">
        <w:rPr>
          <w:rFonts w:ascii="Arial" w:hAnsi="Arial" w:cs="Arial"/>
          <w:sz w:val="20"/>
          <w:szCs w:val="20"/>
        </w:rPr>
        <w:t>-</w:t>
      </w:r>
      <w:r w:rsidRPr="00482722">
        <w:rPr>
          <w:rFonts w:ascii="Arial" w:hAnsi="Arial" w:cs="Arial"/>
          <w:sz w:val="20"/>
          <w:szCs w:val="20"/>
        </w:rPr>
        <w:t>testing results</w:t>
      </w:r>
    </w:p>
    <w:tbl>
      <w:tblPr>
        <w:tblStyle w:val="LightList-Accent5"/>
        <w:tblW w:w="8618" w:type="dxa"/>
        <w:tblBorders>
          <w:top w:val="single" w:sz="8" w:space="0" w:color="auto"/>
          <w:left w:val="none" w:sz="0" w:space="0" w:color="auto"/>
          <w:bottom w:val="single" w:sz="8" w:space="0" w:color="auto"/>
          <w:right w:val="none" w:sz="0" w:space="0" w:color="auto"/>
          <w:insideH w:val="single" w:sz="8" w:space="0" w:color="auto"/>
        </w:tblBorders>
        <w:tblLook w:val="0600" w:firstRow="0" w:lastRow="0" w:firstColumn="0" w:lastColumn="0" w:noHBand="1" w:noVBand="1"/>
      </w:tblPr>
      <w:tblGrid>
        <w:gridCol w:w="1306"/>
        <w:gridCol w:w="1902"/>
        <w:gridCol w:w="1316"/>
        <w:gridCol w:w="1023"/>
        <w:gridCol w:w="877"/>
        <w:gridCol w:w="2194"/>
      </w:tblGrid>
      <w:tr w:rsidR="00482722" w:rsidRPr="00482722" w14:paraId="07CA23B9" w14:textId="77777777" w:rsidTr="00AD24A8">
        <w:trPr>
          <w:trHeight w:val="536"/>
        </w:trPr>
        <w:tc>
          <w:tcPr>
            <w:tcW w:w="1306" w:type="dxa"/>
            <w:tcBorders>
              <w:top w:val="single" w:sz="4" w:space="0" w:color="auto"/>
              <w:bottom w:val="single" w:sz="4" w:space="0" w:color="auto"/>
            </w:tcBorders>
            <w:shd w:val="clear" w:color="auto" w:fill="auto"/>
            <w:vAlign w:val="center"/>
          </w:tcPr>
          <w:p w14:paraId="6E1A6019"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Hypothesis</w:t>
            </w:r>
          </w:p>
        </w:tc>
        <w:tc>
          <w:tcPr>
            <w:tcW w:w="1902" w:type="dxa"/>
            <w:tcBorders>
              <w:top w:val="single" w:sz="4" w:space="0" w:color="auto"/>
              <w:bottom w:val="single" w:sz="4" w:space="0" w:color="auto"/>
            </w:tcBorders>
            <w:shd w:val="clear" w:color="auto" w:fill="auto"/>
            <w:vAlign w:val="center"/>
          </w:tcPr>
          <w:p w14:paraId="04E58E48" w14:textId="77777777" w:rsidR="00283F7B" w:rsidRPr="00482722" w:rsidRDefault="00283F7B" w:rsidP="006D31B5">
            <w:pPr>
              <w:jc w:val="both"/>
              <w:rPr>
                <w:rFonts w:ascii="Arial" w:hAnsi="Arial" w:cs="Arial"/>
                <w:sz w:val="20"/>
                <w:szCs w:val="20"/>
                <w:lang w:val="en-GB"/>
              </w:rPr>
            </w:pPr>
            <w:r w:rsidRPr="00482722">
              <w:rPr>
                <w:rFonts w:ascii="Arial" w:hAnsi="Arial" w:cs="Arial"/>
                <w:sz w:val="20"/>
                <w:szCs w:val="20"/>
                <w:lang w:val="en-GB"/>
              </w:rPr>
              <w:t>Path</w:t>
            </w:r>
          </w:p>
        </w:tc>
        <w:tc>
          <w:tcPr>
            <w:tcW w:w="1316" w:type="dxa"/>
            <w:tcBorders>
              <w:top w:val="single" w:sz="4" w:space="0" w:color="auto"/>
              <w:bottom w:val="single" w:sz="4" w:space="0" w:color="auto"/>
            </w:tcBorders>
            <w:shd w:val="clear" w:color="auto" w:fill="auto"/>
            <w:vAlign w:val="center"/>
          </w:tcPr>
          <w:p w14:paraId="7590028C" w14:textId="63526CBE" w:rsidR="00283F7B" w:rsidRPr="00482722" w:rsidRDefault="00283F7B" w:rsidP="00D566A3">
            <w:pPr>
              <w:jc w:val="center"/>
              <w:rPr>
                <w:rFonts w:ascii="Arial" w:hAnsi="Arial" w:cs="Arial"/>
                <w:sz w:val="20"/>
                <w:szCs w:val="20"/>
                <w:lang w:val="en-GB"/>
              </w:rPr>
            </w:pPr>
            <w:r w:rsidRPr="00482722">
              <w:rPr>
                <w:rFonts w:ascii="Arial" w:hAnsi="Arial" w:cs="Arial"/>
                <w:sz w:val="20"/>
                <w:szCs w:val="20"/>
                <w:lang w:val="en-GB"/>
              </w:rPr>
              <w:t xml:space="preserve">Path </w:t>
            </w:r>
            <w:r w:rsidR="00FE7B4E" w:rsidRPr="00482722">
              <w:rPr>
                <w:rFonts w:ascii="Arial" w:hAnsi="Arial" w:cs="Arial"/>
                <w:sz w:val="20"/>
                <w:szCs w:val="20"/>
                <w:lang w:val="en-GB"/>
              </w:rPr>
              <w:t>c</w:t>
            </w:r>
            <w:r w:rsidRPr="00482722">
              <w:rPr>
                <w:rFonts w:ascii="Arial" w:hAnsi="Arial" w:cs="Arial"/>
                <w:sz w:val="20"/>
                <w:szCs w:val="20"/>
                <w:lang w:val="en-GB"/>
              </w:rPr>
              <w:t>oefficient</w:t>
            </w:r>
          </w:p>
        </w:tc>
        <w:tc>
          <w:tcPr>
            <w:tcW w:w="1023" w:type="dxa"/>
            <w:tcBorders>
              <w:top w:val="single" w:sz="4" w:space="0" w:color="auto"/>
              <w:bottom w:val="single" w:sz="4" w:space="0" w:color="auto"/>
            </w:tcBorders>
            <w:shd w:val="clear" w:color="auto" w:fill="auto"/>
            <w:vAlign w:val="center"/>
          </w:tcPr>
          <w:p w14:paraId="30BE9D03" w14:textId="4E97AE21" w:rsidR="00283F7B" w:rsidRPr="00482722" w:rsidRDefault="00283F7B" w:rsidP="00D566A3">
            <w:pPr>
              <w:jc w:val="center"/>
              <w:rPr>
                <w:rFonts w:ascii="Arial" w:hAnsi="Arial" w:cs="Arial"/>
                <w:sz w:val="20"/>
                <w:szCs w:val="20"/>
                <w:lang w:val="en-GB"/>
              </w:rPr>
            </w:pPr>
            <w:r w:rsidRPr="00482722">
              <w:rPr>
                <w:rFonts w:ascii="Arial" w:hAnsi="Arial" w:cs="Arial"/>
                <w:sz w:val="20"/>
                <w:szCs w:val="20"/>
                <w:lang w:val="en-GB"/>
              </w:rPr>
              <w:t>C</w:t>
            </w:r>
            <w:r w:rsidR="00C33696" w:rsidRPr="00482722">
              <w:rPr>
                <w:rFonts w:ascii="Arial" w:hAnsi="Arial" w:cs="Arial"/>
                <w:sz w:val="20"/>
                <w:szCs w:val="20"/>
                <w:lang w:val="en-GB"/>
              </w:rPr>
              <w:t>R</w:t>
            </w:r>
          </w:p>
        </w:tc>
        <w:tc>
          <w:tcPr>
            <w:tcW w:w="877" w:type="dxa"/>
            <w:tcBorders>
              <w:top w:val="single" w:sz="4" w:space="0" w:color="auto"/>
              <w:bottom w:val="single" w:sz="4" w:space="0" w:color="auto"/>
            </w:tcBorders>
            <w:shd w:val="clear" w:color="auto" w:fill="auto"/>
            <w:vAlign w:val="center"/>
          </w:tcPr>
          <w:p w14:paraId="1B9A4226" w14:textId="38A4A694" w:rsidR="00283F7B" w:rsidRPr="00482722" w:rsidRDefault="00FE7B4E" w:rsidP="00D566A3">
            <w:pPr>
              <w:jc w:val="center"/>
              <w:rPr>
                <w:rFonts w:ascii="Arial" w:hAnsi="Arial" w:cs="Arial"/>
                <w:sz w:val="20"/>
                <w:szCs w:val="20"/>
                <w:lang w:val="en-GB"/>
              </w:rPr>
            </w:pPr>
            <w:r w:rsidRPr="00482722">
              <w:rPr>
                <w:rFonts w:ascii="Arial" w:hAnsi="Arial" w:cs="Arial"/>
                <w:i/>
                <w:iCs/>
                <w:sz w:val="20"/>
                <w:szCs w:val="20"/>
                <w:lang w:val="en-GB"/>
              </w:rPr>
              <w:t>p</w:t>
            </w:r>
            <w:r w:rsidR="00D566A3" w:rsidRPr="00482722">
              <w:rPr>
                <w:rFonts w:ascii="Arial" w:hAnsi="Arial" w:cs="Arial"/>
                <w:i/>
                <w:iCs/>
                <w:sz w:val="20"/>
                <w:szCs w:val="20"/>
                <w:lang w:val="en-GB"/>
              </w:rPr>
              <w:t>-</w:t>
            </w:r>
            <w:r w:rsidRPr="00482722">
              <w:rPr>
                <w:rFonts w:ascii="Arial" w:hAnsi="Arial" w:cs="Arial"/>
                <w:sz w:val="20"/>
                <w:szCs w:val="20"/>
                <w:lang w:val="en-GB"/>
              </w:rPr>
              <w:t>value</w:t>
            </w:r>
          </w:p>
        </w:tc>
        <w:tc>
          <w:tcPr>
            <w:tcW w:w="2194" w:type="dxa"/>
            <w:tcBorders>
              <w:top w:val="single" w:sz="4" w:space="0" w:color="auto"/>
              <w:bottom w:val="single" w:sz="4" w:space="0" w:color="auto"/>
            </w:tcBorders>
            <w:shd w:val="clear" w:color="auto" w:fill="auto"/>
            <w:vAlign w:val="center"/>
          </w:tcPr>
          <w:p w14:paraId="7D67879A" w14:textId="08B0F008"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Result</w:t>
            </w:r>
          </w:p>
        </w:tc>
      </w:tr>
      <w:tr w:rsidR="00482722" w:rsidRPr="00482722" w14:paraId="79716896" w14:textId="77777777" w:rsidTr="006D31B5">
        <w:trPr>
          <w:trHeight w:val="283"/>
        </w:trPr>
        <w:tc>
          <w:tcPr>
            <w:tcW w:w="0" w:type="dxa"/>
            <w:tcBorders>
              <w:top w:val="single" w:sz="4" w:space="0" w:color="auto"/>
              <w:bottom w:val="nil"/>
            </w:tcBorders>
            <w:shd w:val="clear" w:color="auto" w:fill="auto"/>
            <w:vAlign w:val="center"/>
          </w:tcPr>
          <w:p w14:paraId="70C91E96"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H1</w:t>
            </w:r>
          </w:p>
        </w:tc>
        <w:tc>
          <w:tcPr>
            <w:tcW w:w="0" w:type="dxa"/>
            <w:tcBorders>
              <w:top w:val="single" w:sz="4" w:space="0" w:color="auto"/>
              <w:bottom w:val="nil"/>
            </w:tcBorders>
            <w:shd w:val="clear" w:color="auto" w:fill="auto"/>
            <w:vAlign w:val="center"/>
          </w:tcPr>
          <w:p w14:paraId="6EA74B0A" w14:textId="1028ECE7"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6240" behindDoc="0" locked="0" layoutInCell="1" allowOverlap="1" wp14:anchorId="18C6F92F" wp14:editId="2452404A">
                      <wp:simplePos x="0" y="0"/>
                      <wp:positionH relativeFrom="column">
                        <wp:posOffset>310515</wp:posOffset>
                      </wp:positionH>
                      <wp:positionV relativeFrom="paragraph">
                        <wp:posOffset>117475</wp:posOffset>
                      </wp:positionV>
                      <wp:extent cx="257175" cy="0"/>
                      <wp:effectExtent l="0" t="76200" r="28575" b="114300"/>
                      <wp:wrapNone/>
                      <wp:docPr id="1" name="Straight Arrow Connector 21"/>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DD27D7B" id="_x0000_t32" coordsize="21600,21600" o:spt="32" o:oned="t" path="m,l21600,21600e" filled="f">
                      <v:path arrowok="t" fillok="f" o:connecttype="none"/>
                      <o:lock v:ext="edit" shapetype="t"/>
                    </v:shapetype>
                    <v:shape id="Straight Arrow Connector 21" o:spid="_x0000_s1026" type="#_x0000_t32" style="position:absolute;left:0;text-align:left;margin-left:24.45pt;margin-top:9.25pt;width:20.2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" strokeweight="1.25pt">
                      <v:stroke endarrow="open"/>
                    </v:shape>
                  </w:pict>
                </mc:Fallback>
              </mc:AlternateContent>
            </w:r>
            <w:r w:rsidRPr="00482722">
              <w:rPr>
                <w:rFonts w:ascii="Arial" w:eastAsia="Times New Roman" w:hAnsi="Arial" w:cs="Arial"/>
                <w:sz w:val="20"/>
                <w:szCs w:val="20"/>
                <w:lang w:val="en-GB"/>
              </w:rPr>
              <w:t>DT            TG</w:t>
            </w:r>
          </w:p>
        </w:tc>
        <w:tc>
          <w:tcPr>
            <w:tcW w:w="0" w:type="dxa"/>
            <w:tcBorders>
              <w:top w:val="single" w:sz="4" w:space="0" w:color="auto"/>
              <w:bottom w:val="nil"/>
            </w:tcBorders>
            <w:shd w:val="clear" w:color="auto" w:fill="auto"/>
            <w:vAlign w:val="center"/>
          </w:tcPr>
          <w:p w14:paraId="22F6A3DD"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0.331***</w:t>
            </w:r>
          </w:p>
        </w:tc>
        <w:tc>
          <w:tcPr>
            <w:tcW w:w="0" w:type="dxa"/>
            <w:tcBorders>
              <w:top w:val="single" w:sz="4" w:space="0" w:color="auto"/>
              <w:bottom w:val="nil"/>
            </w:tcBorders>
            <w:shd w:val="clear" w:color="auto" w:fill="auto"/>
            <w:vAlign w:val="center"/>
          </w:tcPr>
          <w:p w14:paraId="6AF9180B"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8.522</w:t>
            </w:r>
          </w:p>
        </w:tc>
        <w:tc>
          <w:tcPr>
            <w:tcW w:w="0" w:type="dxa"/>
            <w:tcBorders>
              <w:top w:val="single" w:sz="4" w:space="0" w:color="auto"/>
              <w:bottom w:val="nil"/>
            </w:tcBorders>
            <w:shd w:val="clear" w:color="auto" w:fill="auto"/>
            <w:vAlign w:val="center"/>
          </w:tcPr>
          <w:p w14:paraId="711C5820"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single" w:sz="4" w:space="0" w:color="auto"/>
              <w:bottom w:val="nil"/>
            </w:tcBorders>
            <w:shd w:val="clear" w:color="auto" w:fill="auto"/>
            <w:vAlign w:val="center"/>
          </w:tcPr>
          <w:p w14:paraId="676DC6D3"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0261E768" w14:textId="77777777" w:rsidTr="006D31B5">
        <w:trPr>
          <w:trHeight w:val="298"/>
        </w:trPr>
        <w:tc>
          <w:tcPr>
            <w:tcW w:w="0" w:type="dxa"/>
            <w:tcBorders>
              <w:top w:val="nil"/>
              <w:bottom w:val="nil"/>
            </w:tcBorders>
            <w:shd w:val="clear" w:color="auto" w:fill="auto"/>
            <w:vAlign w:val="center"/>
          </w:tcPr>
          <w:p w14:paraId="0EC63DD4"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H2</w:t>
            </w:r>
          </w:p>
        </w:tc>
        <w:tc>
          <w:tcPr>
            <w:tcW w:w="0" w:type="dxa"/>
            <w:tcBorders>
              <w:top w:val="nil"/>
              <w:bottom w:val="nil"/>
            </w:tcBorders>
            <w:shd w:val="clear" w:color="auto" w:fill="auto"/>
            <w:vAlign w:val="center"/>
          </w:tcPr>
          <w:p w14:paraId="663EA0E4" w14:textId="0D15217A"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4192" behindDoc="0" locked="0" layoutInCell="1" allowOverlap="1" wp14:anchorId="027923EA" wp14:editId="7C6370FD">
                      <wp:simplePos x="0" y="0"/>
                      <wp:positionH relativeFrom="column">
                        <wp:posOffset>319405</wp:posOffset>
                      </wp:positionH>
                      <wp:positionV relativeFrom="paragraph">
                        <wp:posOffset>111760</wp:posOffset>
                      </wp:positionV>
                      <wp:extent cx="257175" cy="0"/>
                      <wp:effectExtent l="0" t="76200" r="28575" b="114300"/>
                      <wp:wrapNone/>
                      <wp:docPr id="2" name="Straight Arrow Connector 14"/>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FBB37" id="Straight Arrow Connector 14" o:spid="_x0000_s1026" type="#_x0000_t32" style="position:absolute;left:0;text-align:left;margin-left:25.15pt;margin-top:8.8pt;width:20.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" strokecolor="black [3200]" strokeweight="1.25pt">
                      <v:stroke endarrow="open" joinstyle="miter"/>
                    </v:shape>
                  </w:pict>
                </mc:Fallback>
              </mc:AlternateContent>
            </w:r>
            <w:r w:rsidRPr="00482722">
              <w:rPr>
                <w:rFonts w:ascii="Arial" w:eastAsia="Times New Roman" w:hAnsi="Arial" w:cs="Arial"/>
                <w:sz w:val="20"/>
                <w:szCs w:val="20"/>
                <w:lang w:val="en-GB"/>
              </w:rPr>
              <w:t>DT            TEG</w:t>
            </w:r>
          </w:p>
        </w:tc>
        <w:tc>
          <w:tcPr>
            <w:tcW w:w="0" w:type="dxa"/>
            <w:tcBorders>
              <w:top w:val="nil"/>
              <w:bottom w:val="nil"/>
            </w:tcBorders>
            <w:shd w:val="clear" w:color="auto" w:fill="auto"/>
            <w:vAlign w:val="center"/>
          </w:tcPr>
          <w:p w14:paraId="0BAF317C"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0.073**</w:t>
            </w:r>
          </w:p>
        </w:tc>
        <w:tc>
          <w:tcPr>
            <w:tcW w:w="0" w:type="dxa"/>
            <w:tcBorders>
              <w:top w:val="nil"/>
              <w:bottom w:val="nil"/>
            </w:tcBorders>
            <w:shd w:val="clear" w:color="auto" w:fill="auto"/>
            <w:vAlign w:val="center"/>
          </w:tcPr>
          <w:p w14:paraId="5B0A0FAD"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2.280</w:t>
            </w:r>
          </w:p>
        </w:tc>
        <w:tc>
          <w:tcPr>
            <w:tcW w:w="0" w:type="dxa"/>
            <w:tcBorders>
              <w:top w:val="nil"/>
              <w:bottom w:val="nil"/>
            </w:tcBorders>
            <w:shd w:val="clear" w:color="auto" w:fill="auto"/>
            <w:vAlign w:val="center"/>
          </w:tcPr>
          <w:p w14:paraId="2C085171"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0.023</w:t>
            </w:r>
          </w:p>
        </w:tc>
        <w:tc>
          <w:tcPr>
            <w:tcW w:w="0" w:type="dxa"/>
            <w:tcBorders>
              <w:top w:val="nil"/>
              <w:bottom w:val="nil"/>
            </w:tcBorders>
            <w:shd w:val="clear" w:color="auto" w:fill="auto"/>
            <w:vAlign w:val="center"/>
          </w:tcPr>
          <w:p w14:paraId="56291D9D"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7E93D007" w14:textId="77777777" w:rsidTr="006D31B5">
        <w:trPr>
          <w:trHeight w:val="283"/>
        </w:trPr>
        <w:tc>
          <w:tcPr>
            <w:tcW w:w="0" w:type="dxa"/>
            <w:tcBorders>
              <w:top w:val="nil"/>
              <w:bottom w:val="nil"/>
            </w:tcBorders>
            <w:shd w:val="clear" w:color="auto" w:fill="auto"/>
            <w:vAlign w:val="center"/>
          </w:tcPr>
          <w:p w14:paraId="00F72C52"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H3</w:t>
            </w:r>
          </w:p>
        </w:tc>
        <w:tc>
          <w:tcPr>
            <w:tcW w:w="0" w:type="dxa"/>
            <w:tcBorders>
              <w:top w:val="nil"/>
              <w:bottom w:val="nil"/>
            </w:tcBorders>
            <w:shd w:val="clear" w:color="auto" w:fill="auto"/>
            <w:vAlign w:val="center"/>
          </w:tcPr>
          <w:p w14:paraId="256BE75C" w14:textId="7EB20AB3"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7264" behindDoc="0" locked="0" layoutInCell="1" allowOverlap="1" wp14:anchorId="0DF2A7D4" wp14:editId="311D3B9F">
                      <wp:simplePos x="0" y="0"/>
                      <wp:positionH relativeFrom="column">
                        <wp:posOffset>319405</wp:posOffset>
                      </wp:positionH>
                      <wp:positionV relativeFrom="paragraph">
                        <wp:posOffset>90170</wp:posOffset>
                      </wp:positionV>
                      <wp:extent cx="257175" cy="0"/>
                      <wp:effectExtent l="0" t="76200" r="28575" b="114300"/>
                      <wp:wrapNone/>
                      <wp:docPr id="4" name="Straight Arrow Connector 22"/>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C6D227" id="Straight Arrow Connector 22" o:spid="_x0000_s1026" type="#_x0000_t32" style="position:absolute;left:0;text-align:left;margin-left:25.15pt;margin-top:7.1pt;width:20.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" strokeweight="1.25pt">
                      <v:stroke endarrow="open"/>
                    </v:shape>
                  </w:pict>
                </mc:Fallback>
              </mc:AlternateContent>
            </w:r>
            <w:r w:rsidRPr="00482722">
              <w:rPr>
                <w:rFonts w:ascii="Arial" w:eastAsia="Times New Roman" w:hAnsi="Arial" w:cs="Arial"/>
                <w:sz w:val="20"/>
                <w:szCs w:val="20"/>
                <w:lang w:val="en-GB"/>
              </w:rPr>
              <w:t>TG            TEG</w:t>
            </w:r>
          </w:p>
        </w:tc>
        <w:tc>
          <w:tcPr>
            <w:tcW w:w="0" w:type="dxa"/>
            <w:tcBorders>
              <w:top w:val="nil"/>
              <w:bottom w:val="nil"/>
            </w:tcBorders>
            <w:shd w:val="clear" w:color="auto" w:fill="auto"/>
            <w:vAlign w:val="center"/>
          </w:tcPr>
          <w:p w14:paraId="37978D48"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0.112***</w:t>
            </w:r>
          </w:p>
        </w:tc>
        <w:tc>
          <w:tcPr>
            <w:tcW w:w="0" w:type="dxa"/>
            <w:tcBorders>
              <w:top w:val="nil"/>
              <w:bottom w:val="nil"/>
            </w:tcBorders>
            <w:shd w:val="clear" w:color="auto" w:fill="auto"/>
            <w:vAlign w:val="center"/>
          </w:tcPr>
          <w:p w14:paraId="4C13DA2F"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3.126</w:t>
            </w:r>
          </w:p>
        </w:tc>
        <w:tc>
          <w:tcPr>
            <w:tcW w:w="0" w:type="dxa"/>
            <w:tcBorders>
              <w:top w:val="nil"/>
              <w:bottom w:val="nil"/>
            </w:tcBorders>
            <w:shd w:val="clear" w:color="auto" w:fill="auto"/>
            <w:vAlign w:val="center"/>
          </w:tcPr>
          <w:p w14:paraId="30A6291F"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0.002</w:t>
            </w:r>
          </w:p>
        </w:tc>
        <w:tc>
          <w:tcPr>
            <w:tcW w:w="0" w:type="dxa"/>
            <w:tcBorders>
              <w:top w:val="nil"/>
              <w:bottom w:val="nil"/>
            </w:tcBorders>
            <w:shd w:val="clear" w:color="auto" w:fill="auto"/>
            <w:vAlign w:val="center"/>
          </w:tcPr>
          <w:p w14:paraId="71846140"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2469DAD5" w14:textId="77777777" w:rsidTr="006D31B5">
        <w:trPr>
          <w:trHeight w:val="283"/>
        </w:trPr>
        <w:tc>
          <w:tcPr>
            <w:tcW w:w="0" w:type="dxa"/>
            <w:tcBorders>
              <w:top w:val="nil"/>
              <w:bottom w:val="nil"/>
            </w:tcBorders>
            <w:shd w:val="clear" w:color="auto" w:fill="auto"/>
            <w:vAlign w:val="center"/>
          </w:tcPr>
          <w:p w14:paraId="07A09F72"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H4</w:t>
            </w:r>
          </w:p>
        </w:tc>
        <w:tc>
          <w:tcPr>
            <w:tcW w:w="0" w:type="dxa"/>
            <w:tcBorders>
              <w:top w:val="nil"/>
              <w:bottom w:val="nil"/>
            </w:tcBorders>
            <w:shd w:val="clear" w:color="auto" w:fill="auto"/>
            <w:vAlign w:val="center"/>
          </w:tcPr>
          <w:p w14:paraId="3811987B" w14:textId="44305CFD"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76000" behindDoc="0" locked="0" layoutInCell="1" allowOverlap="1" wp14:anchorId="498500CD" wp14:editId="0E7CA19A">
                      <wp:simplePos x="0" y="0"/>
                      <wp:positionH relativeFrom="column">
                        <wp:posOffset>326390</wp:posOffset>
                      </wp:positionH>
                      <wp:positionV relativeFrom="paragraph">
                        <wp:posOffset>104140</wp:posOffset>
                      </wp:positionV>
                      <wp:extent cx="257175" cy="0"/>
                      <wp:effectExtent l="0" t="76200" r="28575" b="114300"/>
                      <wp:wrapNone/>
                      <wp:docPr id="5" name="Straight Arrow Connector 2"/>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2EA59" id="Straight Arrow Connector 2" o:spid="_x0000_s1026" type="#_x0000_t32" style="position:absolute;left:0;text-align:left;margin-left:25.7pt;margin-top:8.2pt;width:20.2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" strokecolor="black [3200]" strokeweight="1.25pt">
                      <v:stroke endarrow="open" joinstyle="miter"/>
                    </v:shape>
                  </w:pict>
                </mc:Fallback>
              </mc:AlternateContent>
            </w:r>
            <w:r w:rsidRPr="00482722">
              <w:rPr>
                <w:rFonts w:ascii="Arial" w:eastAsia="Times New Roman" w:hAnsi="Arial" w:cs="Arial"/>
                <w:sz w:val="20"/>
                <w:szCs w:val="20"/>
                <w:lang w:val="en-GB"/>
              </w:rPr>
              <w:t>SQ            TG</w:t>
            </w:r>
          </w:p>
        </w:tc>
        <w:tc>
          <w:tcPr>
            <w:tcW w:w="0" w:type="dxa"/>
            <w:tcBorders>
              <w:top w:val="nil"/>
              <w:bottom w:val="nil"/>
            </w:tcBorders>
            <w:shd w:val="clear" w:color="auto" w:fill="auto"/>
            <w:vAlign w:val="center"/>
          </w:tcPr>
          <w:p w14:paraId="161365C7"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0.256***</w:t>
            </w:r>
          </w:p>
        </w:tc>
        <w:tc>
          <w:tcPr>
            <w:tcW w:w="0" w:type="dxa"/>
            <w:tcBorders>
              <w:top w:val="nil"/>
              <w:bottom w:val="nil"/>
            </w:tcBorders>
            <w:shd w:val="clear" w:color="auto" w:fill="auto"/>
            <w:vAlign w:val="center"/>
          </w:tcPr>
          <w:p w14:paraId="01343486"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15.402</w:t>
            </w:r>
          </w:p>
        </w:tc>
        <w:tc>
          <w:tcPr>
            <w:tcW w:w="0" w:type="dxa"/>
            <w:tcBorders>
              <w:top w:val="nil"/>
              <w:bottom w:val="nil"/>
            </w:tcBorders>
            <w:shd w:val="clear" w:color="auto" w:fill="auto"/>
            <w:vAlign w:val="center"/>
          </w:tcPr>
          <w:p w14:paraId="4ACFB91E"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1DFD95D5"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075CABB1" w14:textId="77777777" w:rsidTr="006D31B5">
        <w:trPr>
          <w:trHeight w:val="298"/>
        </w:trPr>
        <w:tc>
          <w:tcPr>
            <w:tcW w:w="0" w:type="dxa"/>
            <w:tcBorders>
              <w:top w:val="nil"/>
              <w:bottom w:val="nil"/>
            </w:tcBorders>
            <w:shd w:val="clear" w:color="auto" w:fill="auto"/>
            <w:vAlign w:val="center"/>
          </w:tcPr>
          <w:p w14:paraId="0BFCD7AD"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H5</w:t>
            </w:r>
          </w:p>
        </w:tc>
        <w:tc>
          <w:tcPr>
            <w:tcW w:w="0" w:type="dxa"/>
            <w:tcBorders>
              <w:top w:val="nil"/>
              <w:bottom w:val="nil"/>
            </w:tcBorders>
            <w:shd w:val="clear" w:color="auto" w:fill="auto"/>
            <w:vAlign w:val="center"/>
          </w:tcPr>
          <w:p w14:paraId="7DEAC775" w14:textId="0E6C37EB"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77024" behindDoc="0" locked="0" layoutInCell="1" allowOverlap="1" wp14:anchorId="5E503E5A" wp14:editId="4774DF62">
                      <wp:simplePos x="0" y="0"/>
                      <wp:positionH relativeFrom="column">
                        <wp:posOffset>316865</wp:posOffset>
                      </wp:positionH>
                      <wp:positionV relativeFrom="paragraph">
                        <wp:posOffset>99060</wp:posOffset>
                      </wp:positionV>
                      <wp:extent cx="257175" cy="0"/>
                      <wp:effectExtent l="0" t="76200" r="28575" b="114300"/>
                      <wp:wrapNone/>
                      <wp:docPr id="6" name="Straight Arrow Connector 3"/>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E53A6" id="Straight Arrow Connector 3" o:spid="_x0000_s1026" type="#_x0000_t32" style="position:absolute;left:0;text-align:left;margin-left:24.95pt;margin-top:7.8pt;width:20.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" strokecolor="black [3200]" strokeweight="1.25pt">
                      <v:stroke endarrow="open" joinstyle="miter"/>
                    </v:shape>
                  </w:pict>
                </mc:Fallback>
              </mc:AlternateContent>
            </w:r>
            <w:r w:rsidRPr="00482722">
              <w:rPr>
                <w:rFonts w:ascii="Arial" w:eastAsia="Times New Roman" w:hAnsi="Arial" w:cs="Arial"/>
                <w:sz w:val="20"/>
                <w:szCs w:val="20"/>
                <w:lang w:val="en-GB"/>
              </w:rPr>
              <w:t>SQ            TEG</w:t>
            </w:r>
          </w:p>
        </w:tc>
        <w:tc>
          <w:tcPr>
            <w:tcW w:w="0" w:type="dxa"/>
            <w:tcBorders>
              <w:top w:val="nil"/>
              <w:bottom w:val="nil"/>
            </w:tcBorders>
            <w:shd w:val="clear" w:color="auto" w:fill="auto"/>
            <w:vAlign w:val="center"/>
          </w:tcPr>
          <w:p w14:paraId="32F2DBE0"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0.222***</w:t>
            </w:r>
          </w:p>
        </w:tc>
        <w:tc>
          <w:tcPr>
            <w:tcW w:w="0" w:type="dxa"/>
            <w:tcBorders>
              <w:top w:val="nil"/>
              <w:bottom w:val="nil"/>
            </w:tcBorders>
            <w:shd w:val="clear" w:color="auto" w:fill="auto"/>
            <w:vAlign w:val="center"/>
          </w:tcPr>
          <w:p w14:paraId="29E9EA55"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13.023</w:t>
            </w:r>
          </w:p>
        </w:tc>
        <w:tc>
          <w:tcPr>
            <w:tcW w:w="0" w:type="dxa"/>
            <w:tcBorders>
              <w:top w:val="nil"/>
              <w:bottom w:val="nil"/>
            </w:tcBorders>
            <w:shd w:val="clear" w:color="auto" w:fill="auto"/>
            <w:vAlign w:val="center"/>
          </w:tcPr>
          <w:p w14:paraId="0DCF7D13"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6BFDEC3C"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113F6B19" w14:textId="77777777" w:rsidTr="006D31B5">
        <w:trPr>
          <w:trHeight w:val="283"/>
        </w:trPr>
        <w:tc>
          <w:tcPr>
            <w:tcW w:w="0" w:type="dxa"/>
            <w:tcBorders>
              <w:top w:val="nil"/>
              <w:bottom w:val="nil"/>
            </w:tcBorders>
            <w:shd w:val="clear" w:color="auto" w:fill="auto"/>
            <w:vAlign w:val="center"/>
          </w:tcPr>
          <w:p w14:paraId="09335C60"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H6</w:t>
            </w:r>
          </w:p>
        </w:tc>
        <w:tc>
          <w:tcPr>
            <w:tcW w:w="0" w:type="dxa"/>
            <w:tcBorders>
              <w:top w:val="nil"/>
              <w:bottom w:val="nil"/>
            </w:tcBorders>
            <w:shd w:val="clear" w:color="auto" w:fill="auto"/>
            <w:vAlign w:val="center"/>
          </w:tcPr>
          <w:p w14:paraId="126B95C3" w14:textId="68A9FC53"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78048" behindDoc="0" locked="0" layoutInCell="1" allowOverlap="1" wp14:anchorId="69AA8086" wp14:editId="4D119149">
                      <wp:simplePos x="0" y="0"/>
                      <wp:positionH relativeFrom="column">
                        <wp:posOffset>317500</wp:posOffset>
                      </wp:positionH>
                      <wp:positionV relativeFrom="paragraph">
                        <wp:posOffset>97155</wp:posOffset>
                      </wp:positionV>
                      <wp:extent cx="257175" cy="0"/>
                      <wp:effectExtent l="0" t="76200" r="28575" b="114300"/>
                      <wp:wrapNone/>
                      <wp:docPr id="7" name="Straight Arrow Connector 13"/>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AE7A1" id="Straight Arrow Connector 13" o:spid="_x0000_s1026" type="#_x0000_t32" style="position:absolute;left:0;text-align:left;margin-left:25pt;margin-top:7.65pt;width:20.2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" strokecolor="black [3200]" strokeweight="1.25pt">
                      <v:stroke endarrow="open" joinstyle="miter"/>
                    </v:shape>
                  </w:pict>
                </mc:Fallback>
              </mc:AlternateContent>
            </w:r>
            <w:r w:rsidRPr="00482722">
              <w:rPr>
                <w:rFonts w:ascii="Arial" w:eastAsia="Times New Roman" w:hAnsi="Arial" w:cs="Arial"/>
                <w:sz w:val="20"/>
                <w:szCs w:val="20"/>
                <w:lang w:val="en-GB"/>
              </w:rPr>
              <w:t>SQ            CS</w:t>
            </w:r>
          </w:p>
        </w:tc>
        <w:tc>
          <w:tcPr>
            <w:tcW w:w="0" w:type="dxa"/>
            <w:tcBorders>
              <w:top w:val="nil"/>
              <w:bottom w:val="nil"/>
            </w:tcBorders>
            <w:shd w:val="clear" w:color="auto" w:fill="auto"/>
            <w:vAlign w:val="center"/>
          </w:tcPr>
          <w:p w14:paraId="445D06DF"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0.124***</w:t>
            </w:r>
          </w:p>
        </w:tc>
        <w:tc>
          <w:tcPr>
            <w:tcW w:w="0" w:type="dxa"/>
            <w:tcBorders>
              <w:top w:val="nil"/>
              <w:bottom w:val="nil"/>
            </w:tcBorders>
            <w:shd w:val="clear" w:color="auto" w:fill="auto"/>
            <w:vAlign w:val="center"/>
          </w:tcPr>
          <w:p w14:paraId="3FDD7938"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5.140</w:t>
            </w:r>
          </w:p>
        </w:tc>
        <w:tc>
          <w:tcPr>
            <w:tcW w:w="0" w:type="dxa"/>
            <w:tcBorders>
              <w:top w:val="nil"/>
              <w:bottom w:val="nil"/>
            </w:tcBorders>
            <w:shd w:val="clear" w:color="auto" w:fill="auto"/>
            <w:vAlign w:val="center"/>
          </w:tcPr>
          <w:p w14:paraId="2E803BE0"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0885D4BF"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4DF8E1C6" w14:textId="77777777" w:rsidTr="006D31B5">
        <w:trPr>
          <w:trHeight w:val="298"/>
        </w:trPr>
        <w:tc>
          <w:tcPr>
            <w:tcW w:w="0" w:type="dxa"/>
            <w:tcBorders>
              <w:top w:val="nil"/>
              <w:bottom w:val="nil"/>
            </w:tcBorders>
            <w:shd w:val="clear" w:color="auto" w:fill="auto"/>
            <w:vAlign w:val="center"/>
          </w:tcPr>
          <w:p w14:paraId="48FC4B0A"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H7</w:t>
            </w:r>
          </w:p>
        </w:tc>
        <w:tc>
          <w:tcPr>
            <w:tcW w:w="0" w:type="dxa"/>
            <w:tcBorders>
              <w:top w:val="nil"/>
              <w:bottom w:val="nil"/>
            </w:tcBorders>
            <w:shd w:val="clear" w:color="auto" w:fill="auto"/>
            <w:vAlign w:val="center"/>
          </w:tcPr>
          <w:p w14:paraId="11D797E0" w14:textId="5C41E0B4"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2144" behindDoc="0" locked="0" layoutInCell="1" allowOverlap="1" wp14:anchorId="35FF79FB" wp14:editId="24F77192">
                      <wp:simplePos x="0" y="0"/>
                      <wp:positionH relativeFrom="column">
                        <wp:posOffset>324485</wp:posOffset>
                      </wp:positionH>
                      <wp:positionV relativeFrom="paragraph">
                        <wp:posOffset>89535</wp:posOffset>
                      </wp:positionV>
                      <wp:extent cx="257175" cy="0"/>
                      <wp:effectExtent l="0" t="76200" r="28575" b="114300"/>
                      <wp:wrapNone/>
                      <wp:docPr id="8" name="Straight Arrow Connector 18"/>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F1352B" id="Straight Arrow Connector 18" o:spid="_x0000_s1026" type="#_x0000_t32" style="position:absolute;left:0;text-align:left;margin-left:25.55pt;margin-top:7.05pt;width:20.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" strokeweight="1.25pt">
                      <v:stroke endarrow="open"/>
                    </v:shape>
                  </w:pict>
                </mc:Fallback>
              </mc:AlternateContent>
            </w:r>
            <w:r w:rsidRPr="00482722">
              <w:rPr>
                <w:rFonts w:ascii="Arial" w:eastAsia="Times New Roman" w:hAnsi="Arial" w:cs="Arial"/>
                <w:sz w:val="20"/>
                <w:szCs w:val="20"/>
                <w:lang w:val="en-GB"/>
              </w:rPr>
              <w:t>TG            CS</w:t>
            </w:r>
          </w:p>
        </w:tc>
        <w:tc>
          <w:tcPr>
            <w:tcW w:w="0" w:type="dxa"/>
            <w:tcBorders>
              <w:top w:val="nil"/>
              <w:bottom w:val="nil"/>
            </w:tcBorders>
            <w:shd w:val="clear" w:color="auto" w:fill="auto"/>
            <w:vAlign w:val="center"/>
          </w:tcPr>
          <w:p w14:paraId="16EA2CAB"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0.270***</w:t>
            </w:r>
          </w:p>
        </w:tc>
        <w:tc>
          <w:tcPr>
            <w:tcW w:w="0" w:type="dxa"/>
            <w:tcBorders>
              <w:top w:val="nil"/>
              <w:bottom w:val="nil"/>
            </w:tcBorders>
            <w:shd w:val="clear" w:color="auto" w:fill="auto"/>
            <w:vAlign w:val="center"/>
          </w:tcPr>
          <w:p w14:paraId="30C049C1"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6.255</w:t>
            </w:r>
          </w:p>
        </w:tc>
        <w:tc>
          <w:tcPr>
            <w:tcW w:w="0" w:type="dxa"/>
            <w:tcBorders>
              <w:top w:val="nil"/>
              <w:bottom w:val="nil"/>
            </w:tcBorders>
            <w:shd w:val="clear" w:color="auto" w:fill="auto"/>
            <w:vAlign w:val="center"/>
          </w:tcPr>
          <w:p w14:paraId="5BDA3C57"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5E49BD88"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73D1E0E4" w14:textId="77777777" w:rsidTr="006D31B5">
        <w:trPr>
          <w:trHeight w:val="283"/>
        </w:trPr>
        <w:tc>
          <w:tcPr>
            <w:tcW w:w="0" w:type="dxa"/>
            <w:tcBorders>
              <w:top w:val="nil"/>
              <w:bottom w:val="nil"/>
            </w:tcBorders>
            <w:shd w:val="clear" w:color="auto" w:fill="auto"/>
            <w:vAlign w:val="center"/>
          </w:tcPr>
          <w:p w14:paraId="5FFA3AD3"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H8</w:t>
            </w:r>
          </w:p>
        </w:tc>
        <w:tc>
          <w:tcPr>
            <w:tcW w:w="0" w:type="dxa"/>
            <w:tcBorders>
              <w:top w:val="nil"/>
              <w:bottom w:val="nil"/>
            </w:tcBorders>
            <w:shd w:val="clear" w:color="auto" w:fill="auto"/>
            <w:vAlign w:val="center"/>
          </w:tcPr>
          <w:p w14:paraId="1DAF9EF3" w14:textId="66565073"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79072" behindDoc="0" locked="0" layoutInCell="1" allowOverlap="1" wp14:anchorId="43CCAA48" wp14:editId="1DAD677F">
                      <wp:simplePos x="0" y="0"/>
                      <wp:positionH relativeFrom="column">
                        <wp:posOffset>321310</wp:posOffset>
                      </wp:positionH>
                      <wp:positionV relativeFrom="paragraph">
                        <wp:posOffset>102870</wp:posOffset>
                      </wp:positionV>
                      <wp:extent cx="257175" cy="0"/>
                      <wp:effectExtent l="0" t="76200" r="28575" b="114300"/>
                      <wp:wrapNone/>
                      <wp:docPr id="19" name="Straight Arrow Connector 15"/>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2DEB9" id="Straight Arrow Connector 15" o:spid="_x0000_s1026" type="#_x0000_t32" style="position:absolute;left:0;text-align:left;margin-left:25.3pt;margin-top:8.1pt;width:20.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" strokecolor="black [3200]" strokeweight="1.25pt">
                      <v:stroke endarrow="open" joinstyle="miter"/>
                    </v:shape>
                  </w:pict>
                </mc:Fallback>
              </mc:AlternateContent>
            </w:r>
            <w:r w:rsidRPr="00482722">
              <w:rPr>
                <w:rFonts w:ascii="Arial" w:eastAsia="Times New Roman" w:hAnsi="Arial" w:cs="Arial"/>
                <w:sz w:val="20"/>
                <w:szCs w:val="20"/>
                <w:lang w:val="en-GB"/>
              </w:rPr>
              <w:t>TEG          CS</w:t>
            </w:r>
          </w:p>
        </w:tc>
        <w:tc>
          <w:tcPr>
            <w:tcW w:w="0" w:type="dxa"/>
            <w:tcBorders>
              <w:top w:val="nil"/>
              <w:bottom w:val="nil"/>
            </w:tcBorders>
            <w:shd w:val="clear" w:color="auto" w:fill="auto"/>
            <w:vAlign w:val="center"/>
          </w:tcPr>
          <w:p w14:paraId="75719223"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0.163***</w:t>
            </w:r>
          </w:p>
        </w:tc>
        <w:tc>
          <w:tcPr>
            <w:tcW w:w="0" w:type="dxa"/>
            <w:tcBorders>
              <w:top w:val="nil"/>
              <w:bottom w:val="nil"/>
            </w:tcBorders>
            <w:shd w:val="clear" w:color="auto" w:fill="auto"/>
            <w:vAlign w:val="center"/>
          </w:tcPr>
          <w:p w14:paraId="21003BF5"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2.655</w:t>
            </w:r>
          </w:p>
        </w:tc>
        <w:tc>
          <w:tcPr>
            <w:tcW w:w="0" w:type="dxa"/>
            <w:tcBorders>
              <w:top w:val="nil"/>
              <w:bottom w:val="nil"/>
            </w:tcBorders>
            <w:shd w:val="clear" w:color="auto" w:fill="auto"/>
            <w:vAlign w:val="center"/>
          </w:tcPr>
          <w:p w14:paraId="2108E792"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0.008</w:t>
            </w:r>
          </w:p>
        </w:tc>
        <w:tc>
          <w:tcPr>
            <w:tcW w:w="0" w:type="dxa"/>
            <w:tcBorders>
              <w:top w:val="nil"/>
              <w:bottom w:val="nil"/>
            </w:tcBorders>
            <w:shd w:val="clear" w:color="auto" w:fill="auto"/>
            <w:vAlign w:val="center"/>
          </w:tcPr>
          <w:p w14:paraId="6DA87D0A"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010579EB" w14:textId="77777777" w:rsidTr="006D31B5">
        <w:trPr>
          <w:trHeight w:val="283"/>
        </w:trPr>
        <w:tc>
          <w:tcPr>
            <w:tcW w:w="0" w:type="dxa"/>
            <w:tcBorders>
              <w:top w:val="nil"/>
              <w:bottom w:val="nil"/>
            </w:tcBorders>
            <w:shd w:val="clear" w:color="auto" w:fill="auto"/>
            <w:vAlign w:val="center"/>
          </w:tcPr>
          <w:p w14:paraId="55AD7932"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H9</w:t>
            </w:r>
          </w:p>
        </w:tc>
        <w:tc>
          <w:tcPr>
            <w:tcW w:w="0" w:type="dxa"/>
            <w:tcBorders>
              <w:top w:val="nil"/>
              <w:bottom w:val="nil"/>
            </w:tcBorders>
            <w:shd w:val="clear" w:color="auto" w:fill="auto"/>
            <w:vAlign w:val="center"/>
          </w:tcPr>
          <w:p w14:paraId="7B0F626E" w14:textId="18593DAC"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5216" behindDoc="0" locked="0" layoutInCell="1" allowOverlap="1" wp14:anchorId="206836B9" wp14:editId="59082AE7">
                      <wp:simplePos x="0" y="0"/>
                      <wp:positionH relativeFrom="column">
                        <wp:posOffset>314960</wp:posOffset>
                      </wp:positionH>
                      <wp:positionV relativeFrom="paragraph">
                        <wp:posOffset>102235</wp:posOffset>
                      </wp:positionV>
                      <wp:extent cx="2571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C6AA20" id="Straight Arrow Connector 20" o:spid="_x0000_s1026" type="#_x0000_t32" style="position:absolute;left:0;text-align:left;margin-left:24.8pt;margin-top:8.05pt;width:20.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" strokeweight="1.25pt">
                      <v:stroke endarrow="open"/>
                    </v:shape>
                  </w:pict>
                </mc:Fallback>
              </mc:AlternateContent>
            </w:r>
            <w:r w:rsidRPr="00482722">
              <w:rPr>
                <w:rFonts w:ascii="Arial" w:eastAsia="Times New Roman" w:hAnsi="Arial" w:cs="Arial"/>
                <w:sz w:val="20"/>
                <w:szCs w:val="20"/>
                <w:lang w:val="en-GB"/>
              </w:rPr>
              <w:t>SQ            CL</w:t>
            </w:r>
          </w:p>
        </w:tc>
        <w:tc>
          <w:tcPr>
            <w:tcW w:w="0" w:type="dxa"/>
            <w:tcBorders>
              <w:top w:val="nil"/>
              <w:bottom w:val="nil"/>
            </w:tcBorders>
            <w:shd w:val="clear" w:color="auto" w:fill="auto"/>
            <w:vAlign w:val="center"/>
          </w:tcPr>
          <w:p w14:paraId="18400C0D"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0.077***</w:t>
            </w:r>
          </w:p>
        </w:tc>
        <w:tc>
          <w:tcPr>
            <w:tcW w:w="0" w:type="dxa"/>
            <w:tcBorders>
              <w:top w:val="nil"/>
              <w:bottom w:val="nil"/>
            </w:tcBorders>
            <w:shd w:val="clear" w:color="auto" w:fill="auto"/>
            <w:vAlign w:val="center"/>
          </w:tcPr>
          <w:p w14:paraId="6C1B0C63"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3.964</w:t>
            </w:r>
          </w:p>
        </w:tc>
        <w:tc>
          <w:tcPr>
            <w:tcW w:w="0" w:type="dxa"/>
            <w:tcBorders>
              <w:top w:val="nil"/>
              <w:bottom w:val="nil"/>
            </w:tcBorders>
            <w:shd w:val="clear" w:color="auto" w:fill="auto"/>
            <w:vAlign w:val="center"/>
          </w:tcPr>
          <w:p w14:paraId="64B71E9C"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601E2F32"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143766B8" w14:textId="77777777" w:rsidTr="006D31B5">
        <w:trPr>
          <w:trHeight w:val="298"/>
        </w:trPr>
        <w:tc>
          <w:tcPr>
            <w:tcW w:w="0" w:type="dxa"/>
            <w:tcBorders>
              <w:top w:val="nil"/>
              <w:bottom w:val="nil"/>
            </w:tcBorders>
            <w:shd w:val="clear" w:color="auto" w:fill="auto"/>
            <w:vAlign w:val="center"/>
          </w:tcPr>
          <w:p w14:paraId="4A22DD4D"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H10</w:t>
            </w:r>
          </w:p>
        </w:tc>
        <w:tc>
          <w:tcPr>
            <w:tcW w:w="0" w:type="dxa"/>
            <w:tcBorders>
              <w:top w:val="nil"/>
              <w:bottom w:val="nil"/>
            </w:tcBorders>
            <w:shd w:val="clear" w:color="auto" w:fill="auto"/>
            <w:vAlign w:val="center"/>
          </w:tcPr>
          <w:p w14:paraId="36909DE7" w14:textId="329FA68F"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1120" behindDoc="0" locked="0" layoutInCell="1" allowOverlap="1" wp14:anchorId="2962B5A3" wp14:editId="4ADF0043">
                      <wp:simplePos x="0" y="0"/>
                      <wp:positionH relativeFrom="column">
                        <wp:posOffset>321945</wp:posOffset>
                      </wp:positionH>
                      <wp:positionV relativeFrom="paragraph">
                        <wp:posOffset>86995</wp:posOffset>
                      </wp:positionV>
                      <wp:extent cx="257175" cy="0"/>
                      <wp:effectExtent l="0" t="76200" r="28575" b="114300"/>
                      <wp:wrapNone/>
                      <wp:docPr id="21" name="Straight Arrow Connector 17"/>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78C063" id="Straight Arrow Connector 17" o:spid="_x0000_s1026" type="#_x0000_t32" style="position:absolute;left:0;text-align:left;margin-left:25.35pt;margin-top:6.85pt;width:20.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" strokeweight="1.25pt">
                      <v:stroke endarrow="open"/>
                    </v:shape>
                  </w:pict>
                </mc:Fallback>
              </mc:AlternateContent>
            </w:r>
            <w:r w:rsidRPr="00482722">
              <w:rPr>
                <w:rFonts w:ascii="Arial" w:eastAsia="Times New Roman" w:hAnsi="Arial" w:cs="Arial"/>
                <w:sz w:val="20"/>
                <w:szCs w:val="20"/>
                <w:lang w:val="en-GB"/>
              </w:rPr>
              <w:t>TG            CL</w:t>
            </w:r>
          </w:p>
        </w:tc>
        <w:tc>
          <w:tcPr>
            <w:tcW w:w="0" w:type="dxa"/>
            <w:tcBorders>
              <w:top w:val="nil"/>
              <w:bottom w:val="nil"/>
            </w:tcBorders>
            <w:shd w:val="clear" w:color="auto" w:fill="auto"/>
            <w:vAlign w:val="center"/>
          </w:tcPr>
          <w:p w14:paraId="65067E6F"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0.422***</w:t>
            </w:r>
          </w:p>
        </w:tc>
        <w:tc>
          <w:tcPr>
            <w:tcW w:w="0" w:type="dxa"/>
            <w:tcBorders>
              <w:top w:val="nil"/>
              <w:bottom w:val="nil"/>
            </w:tcBorders>
            <w:shd w:val="clear" w:color="auto" w:fill="auto"/>
            <w:vAlign w:val="center"/>
          </w:tcPr>
          <w:p w14:paraId="452D4828"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11.359</w:t>
            </w:r>
          </w:p>
        </w:tc>
        <w:tc>
          <w:tcPr>
            <w:tcW w:w="0" w:type="dxa"/>
            <w:tcBorders>
              <w:top w:val="nil"/>
              <w:bottom w:val="nil"/>
            </w:tcBorders>
            <w:shd w:val="clear" w:color="auto" w:fill="auto"/>
            <w:vAlign w:val="center"/>
          </w:tcPr>
          <w:p w14:paraId="75360C95"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358D991B"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0C0CC97B" w14:textId="77777777" w:rsidTr="006D31B5">
        <w:trPr>
          <w:trHeight w:val="283"/>
        </w:trPr>
        <w:tc>
          <w:tcPr>
            <w:tcW w:w="0" w:type="dxa"/>
            <w:tcBorders>
              <w:top w:val="nil"/>
              <w:bottom w:val="nil"/>
            </w:tcBorders>
            <w:shd w:val="clear" w:color="auto" w:fill="auto"/>
            <w:vAlign w:val="center"/>
          </w:tcPr>
          <w:p w14:paraId="2C6C6661"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H11</w:t>
            </w:r>
          </w:p>
        </w:tc>
        <w:tc>
          <w:tcPr>
            <w:tcW w:w="0" w:type="dxa"/>
            <w:tcBorders>
              <w:top w:val="nil"/>
              <w:bottom w:val="nil"/>
            </w:tcBorders>
            <w:shd w:val="clear" w:color="auto" w:fill="auto"/>
            <w:vAlign w:val="center"/>
          </w:tcPr>
          <w:p w14:paraId="55A0604B" w14:textId="31C582D5"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3168" behindDoc="0" locked="0" layoutInCell="1" allowOverlap="1" wp14:anchorId="6819E035" wp14:editId="43BB313D">
                      <wp:simplePos x="0" y="0"/>
                      <wp:positionH relativeFrom="column">
                        <wp:posOffset>335280</wp:posOffset>
                      </wp:positionH>
                      <wp:positionV relativeFrom="paragraph">
                        <wp:posOffset>81280</wp:posOffset>
                      </wp:positionV>
                      <wp:extent cx="257175" cy="0"/>
                      <wp:effectExtent l="0" t="76200" r="28575" b="114300"/>
                      <wp:wrapNone/>
                      <wp:docPr id="22" name="Straight Arrow Connector 19"/>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158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4DB54A" id="Straight Arrow Connector 19" o:spid="_x0000_s1026" type="#_x0000_t32" style="position:absolute;left:0;text-align:left;margin-left:26.4pt;margin-top:6.4pt;width:20.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" strokeweight="1.25pt">
                      <v:stroke endarrow="open"/>
                    </v:shape>
                  </w:pict>
                </mc:Fallback>
              </mc:AlternateContent>
            </w:r>
            <w:r w:rsidRPr="00482722">
              <w:rPr>
                <w:rFonts w:ascii="Arial" w:eastAsia="Times New Roman" w:hAnsi="Arial" w:cs="Arial"/>
                <w:sz w:val="20"/>
                <w:szCs w:val="20"/>
                <w:lang w:val="en-GB"/>
              </w:rPr>
              <w:t>TEG          CL</w:t>
            </w:r>
          </w:p>
        </w:tc>
        <w:tc>
          <w:tcPr>
            <w:tcW w:w="0" w:type="dxa"/>
            <w:tcBorders>
              <w:top w:val="nil"/>
              <w:bottom w:val="nil"/>
            </w:tcBorders>
            <w:shd w:val="clear" w:color="auto" w:fill="auto"/>
            <w:vAlign w:val="center"/>
          </w:tcPr>
          <w:p w14:paraId="049AFAE9"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0.212***</w:t>
            </w:r>
          </w:p>
        </w:tc>
        <w:tc>
          <w:tcPr>
            <w:tcW w:w="0" w:type="dxa"/>
            <w:tcBorders>
              <w:top w:val="nil"/>
              <w:bottom w:val="nil"/>
            </w:tcBorders>
            <w:shd w:val="clear" w:color="auto" w:fill="auto"/>
            <w:vAlign w:val="center"/>
          </w:tcPr>
          <w:p w14:paraId="48987211"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4.345</w:t>
            </w:r>
          </w:p>
        </w:tc>
        <w:tc>
          <w:tcPr>
            <w:tcW w:w="0" w:type="dxa"/>
            <w:tcBorders>
              <w:top w:val="nil"/>
              <w:bottom w:val="nil"/>
            </w:tcBorders>
            <w:shd w:val="clear" w:color="auto" w:fill="auto"/>
            <w:vAlign w:val="center"/>
          </w:tcPr>
          <w:p w14:paraId="1B5CE393"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0.000</w:t>
            </w:r>
          </w:p>
        </w:tc>
        <w:tc>
          <w:tcPr>
            <w:tcW w:w="0" w:type="dxa"/>
            <w:tcBorders>
              <w:top w:val="nil"/>
              <w:bottom w:val="nil"/>
            </w:tcBorders>
            <w:shd w:val="clear" w:color="auto" w:fill="auto"/>
            <w:vAlign w:val="center"/>
          </w:tcPr>
          <w:p w14:paraId="5593395F"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0F87CEA9" w14:textId="77777777" w:rsidTr="006D31B5">
        <w:trPr>
          <w:trHeight w:val="298"/>
        </w:trPr>
        <w:tc>
          <w:tcPr>
            <w:tcW w:w="0" w:type="dxa"/>
            <w:tcBorders>
              <w:top w:val="nil"/>
              <w:bottom w:val="single" w:sz="4" w:space="0" w:color="auto"/>
            </w:tcBorders>
            <w:shd w:val="clear" w:color="auto" w:fill="auto"/>
            <w:vAlign w:val="center"/>
          </w:tcPr>
          <w:p w14:paraId="619A3099" w14:textId="77777777" w:rsidR="00283F7B" w:rsidRPr="00482722" w:rsidRDefault="00283F7B" w:rsidP="006D31B5">
            <w:pPr>
              <w:rPr>
                <w:rFonts w:ascii="Arial" w:hAnsi="Arial" w:cs="Arial"/>
                <w:sz w:val="20"/>
                <w:szCs w:val="20"/>
                <w:lang w:val="en-GB"/>
              </w:rPr>
            </w:pPr>
            <w:r w:rsidRPr="00482722">
              <w:rPr>
                <w:rFonts w:ascii="Arial" w:hAnsi="Arial" w:cs="Arial"/>
                <w:sz w:val="20"/>
                <w:szCs w:val="20"/>
                <w:lang w:val="en-GB"/>
              </w:rPr>
              <w:t>H12</w:t>
            </w:r>
          </w:p>
        </w:tc>
        <w:tc>
          <w:tcPr>
            <w:tcW w:w="0" w:type="dxa"/>
            <w:tcBorders>
              <w:top w:val="nil"/>
              <w:bottom w:val="single" w:sz="4" w:space="0" w:color="auto"/>
            </w:tcBorders>
            <w:shd w:val="clear" w:color="auto" w:fill="auto"/>
            <w:vAlign w:val="center"/>
          </w:tcPr>
          <w:p w14:paraId="73475145" w14:textId="0138F8C7" w:rsidR="00283F7B" w:rsidRPr="00482722" w:rsidRDefault="00283F7B" w:rsidP="00DA5EEC">
            <w:pPr>
              <w:rPr>
                <w:rFonts w:ascii="Arial" w:eastAsia="Times New Roman" w:hAnsi="Arial" w:cs="Arial"/>
                <w:sz w:val="20"/>
                <w:szCs w:val="20"/>
                <w:lang w:val="en-GB"/>
              </w:rPr>
            </w:pPr>
            <w:r w:rsidRPr="00482722">
              <w:rPr>
                <w:rFonts w:ascii="Arial" w:eastAsia="Times New Roman" w:hAnsi="Arial" w:cs="Arial"/>
                <w:noProof/>
                <w:sz w:val="20"/>
                <w:szCs w:val="20"/>
                <w:lang w:eastAsia="en-GB"/>
              </w:rPr>
              <mc:AlternateContent>
                <mc:Choice Requires="wps">
                  <w:drawing>
                    <wp:anchor distT="0" distB="0" distL="114300" distR="114300" simplePos="0" relativeHeight="251780096" behindDoc="0" locked="0" layoutInCell="1" allowOverlap="1" wp14:anchorId="7F5CBEC8" wp14:editId="241005C1">
                      <wp:simplePos x="0" y="0"/>
                      <wp:positionH relativeFrom="column">
                        <wp:posOffset>315595</wp:posOffset>
                      </wp:positionH>
                      <wp:positionV relativeFrom="paragraph">
                        <wp:posOffset>90170</wp:posOffset>
                      </wp:positionV>
                      <wp:extent cx="257175" cy="0"/>
                      <wp:effectExtent l="0" t="76200" r="28575" b="114300"/>
                      <wp:wrapNone/>
                      <wp:docPr id="23" name="Straight Arrow Connector 16"/>
                      <wp:cNvGraphicFramePr/>
                      <a:graphic xmlns:a="http://schemas.openxmlformats.org/drawingml/2006/main">
                        <a:graphicData uri="http://schemas.microsoft.com/office/word/2010/wordprocessingShape">
                          <wps:wsp>
                            <wps:cNvCnPr/>
                            <wps:spPr>
                              <a:xfrm>
                                <a:off x="0" y="0"/>
                                <a:ext cx="25717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04352" id="Straight Arrow Connector 16" o:spid="_x0000_s1026" type="#_x0000_t32" style="position:absolute;left:0;text-align:left;margin-left:24.85pt;margin-top:7.1pt;width:20.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" strokecolor="black [3200]" strokeweight="1.25pt">
                      <v:stroke endarrow="open" joinstyle="miter"/>
                    </v:shape>
                  </w:pict>
                </mc:Fallback>
              </mc:AlternateContent>
            </w:r>
            <w:r w:rsidRPr="00482722">
              <w:rPr>
                <w:rFonts w:ascii="Arial" w:eastAsia="Times New Roman" w:hAnsi="Arial" w:cs="Arial"/>
                <w:sz w:val="20"/>
                <w:szCs w:val="20"/>
                <w:lang w:val="en-GB"/>
              </w:rPr>
              <w:t>CS            CL</w:t>
            </w:r>
          </w:p>
        </w:tc>
        <w:tc>
          <w:tcPr>
            <w:tcW w:w="0" w:type="dxa"/>
            <w:tcBorders>
              <w:top w:val="nil"/>
              <w:bottom w:val="single" w:sz="4" w:space="0" w:color="auto"/>
            </w:tcBorders>
            <w:shd w:val="clear" w:color="auto" w:fill="auto"/>
            <w:vAlign w:val="center"/>
          </w:tcPr>
          <w:p w14:paraId="1205AF4B" w14:textId="77777777" w:rsidR="00283F7B" w:rsidRPr="00482722" w:rsidRDefault="00283F7B" w:rsidP="006D31B5">
            <w:pPr>
              <w:tabs>
                <w:tab w:val="decimal" w:pos="328"/>
              </w:tabs>
              <w:rPr>
                <w:rFonts w:ascii="Arial" w:eastAsia="Times New Roman" w:hAnsi="Arial" w:cs="Arial"/>
                <w:sz w:val="20"/>
                <w:szCs w:val="20"/>
                <w:lang w:val="en-GB"/>
              </w:rPr>
            </w:pPr>
            <w:r w:rsidRPr="00482722">
              <w:rPr>
                <w:rFonts w:ascii="Arial" w:eastAsia="Times New Roman" w:hAnsi="Arial" w:cs="Arial"/>
                <w:sz w:val="20"/>
                <w:szCs w:val="20"/>
                <w:lang w:val="en-GB"/>
              </w:rPr>
              <w:t>0.087**</w:t>
            </w:r>
          </w:p>
        </w:tc>
        <w:tc>
          <w:tcPr>
            <w:tcW w:w="0" w:type="dxa"/>
            <w:tcBorders>
              <w:top w:val="nil"/>
              <w:bottom w:val="single" w:sz="4" w:space="0" w:color="auto"/>
            </w:tcBorders>
            <w:shd w:val="clear" w:color="auto" w:fill="auto"/>
            <w:vAlign w:val="center"/>
          </w:tcPr>
          <w:p w14:paraId="7F228105" w14:textId="77777777" w:rsidR="00283F7B" w:rsidRPr="00482722" w:rsidRDefault="00283F7B" w:rsidP="006D31B5">
            <w:pPr>
              <w:tabs>
                <w:tab w:val="decimal" w:pos="329"/>
              </w:tabs>
              <w:rPr>
                <w:rFonts w:ascii="Arial" w:eastAsia="Times New Roman" w:hAnsi="Arial" w:cs="Arial"/>
                <w:sz w:val="20"/>
                <w:szCs w:val="20"/>
                <w:lang w:val="en-GB"/>
              </w:rPr>
            </w:pPr>
            <w:r w:rsidRPr="00482722">
              <w:rPr>
                <w:rFonts w:ascii="Arial" w:eastAsia="Times New Roman" w:hAnsi="Arial" w:cs="Arial"/>
                <w:sz w:val="20"/>
                <w:szCs w:val="20"/>
                <w:lang w:val="en-GB"/>
              </w:rPr>
              <w:t>2.486</w:t>
            </w:r>
          </w:p>
        </w:tc>
        <w:tc>
          <w:tcPr>
            <w:tcW w:w="0" w:type="dxa"/>
            <w:tcBorders>
              <w:top w:val="nil"/>
              <w:bottom w:val="single" w:sz="4" w:space="0" w:color="auto"/>
            </w:tcBorders>
            <w:shd w:val="clear" w:color="auto" w:fill="auto"/>
            <w:vAlign w:val="center"/>
          </w:tcPr>
          <w:p w14:paraId="69BCA688" w14:textId="77777777" w:rsidR="00283F7B" w:rsidRPr="00482722" w:rsidRDefault="00283F7B" w:rsidP="00DA5EEC">
            <w:pPr>
              <w:jc w:val="center"/>
              <w:rPr>
                <w:rFonts w:ascii="Arial" w:eastAsia="Times New Roman" w:hAnsi="Arial" w:cs="Arial"/>
                <w:sz w:val="20"/>
                <w:szCs w:val="20"/>
                <w:lang w:val="en-GB"/>
              </w:rPr>
            </w:pPr>
            <w:r w:rsidRPr="00482722">
              <w:rPr>
                <w:rFonts w:ascii="Arial" w:eastAsia="Times New Roman" w:hAnsi="Arial" w:cs="Arial"/>
                <w:sz w:val="20"/>
                <w:szCs w:val="20"/>
                <w:lang w:val="en-GB"/>
              </w:rPr>
              <w:t>0.013</w:t>
            </w:r>
          </w:p>
        </w:tc>
        <w:tc>
          <w:tcPr>
            <w:tcW w:w="0" w:type="dxa"/>
            <w:tcBorders>
              <w:top w:val="nil"/>
              <w:bottom w:val="single" w:sz="4" w:space="0" w:color="auto"/>
            </w:tcBorders>
            <w:shd w:val="clear" w:color="auto" w:fill="auto"/>
            <w:vAlign w:val="center"/>
          </w:tcPr>
          <w:p w14:paraId="054DAA38" w14:textId="77777777" w:rsidR="00283F7B" w:rsidRPr="00482722" w:rsidRDefault="00283F7B" w:rsidP="006D31B5">
            <w:pPr>
              <w:rPr>
                <w:rFonts w:ascii="Arial" w:eastAsia="Times New Roman" w:hAnsi="Arial" w:cs="Arial"/>
                <w:sz w:val="20"/>
                <w:szCs w:val="20"/>
                <w:lang w:val="en-GB"/>
              </w:rPr>
            </w:pPr>
            <w:r w:rsidRPr="00482722">
              <w:rPr>
                <w:rFonts w:ascii="Arial" w:eastAsia="Times New Roman" w:hAnsi="Arial" w:cs="Arial"/>
                <w:sz w:val="20"/>
                <w:szCs w:val="20"/>
                <w:lang w:val="en-GB"/>
              </w:rPr>
              <w:t>Supported</w:t>
            </w:r>
          </w:p>
        </w:tc>
      </w:tr>
      <w:tr w:rsidR="00482722" w:rsidRPr="00482722" w14:paraId="4200FB0C" w14:textId="77777777" w:rsidTr="00AD24A8">
        <w:trPr>
          <w:trHeight w:val="298"/>
        </w:trPr>
        <w:tc>
          <w:tcPr>
            <w:tcW w:w="0" w:type="dxa"/>
            <w:gridSpan w:val="6"/>
            <w:tcBorders>
              <w:top w:val="single" w:sz="4" w:space="0" w:color="auto"/>
              <w:bottom w:val="nil"/>
            </w:tcBorders>
            <w:shd w:val="clear" w:color="auto" w:fill="auto"/>
            <w:vAlign w:val="center"/>
          </w:tcPr>
          <w:p w14:paraId="680FD23A" w14:textId="11987927" w:rsidR="00283F7B" w:rsidRPr="00482722" w:rsidRDefault="00082A29" w:rsidP="00DA5EEC">
            <w:pPr>
              <w:rPr>
                <w:rFonts w:ascii="Arial" w:eastAsia="Times New Roman" w:hAnsi="Arial" w:cs="Arial"/>
                <w:sz w:val="20"/>
                <w:szCs w:val="20"/>
                <w:lang w:val="en-GB"/>
              </w:rPr>
            </w:pPr>
            <w:r w:rsidRPr="00482722">
              <w:rPr>
                <w:rFonts w:ascii="Arial" w:eastAsia="Times New Roman" w:hAnsi="Arial" w:cs="Arial"/>
                <w:sz w:val="20"/>
                <w:szCs w:val="20"/>
                <w:lang w:val="en-GB"/>
              </w:rPr>
              <w:t>Note</w:t>
            </w:r>
            <w:r w:rsidR="007F3E90" w:rsidRPr="00482722">
              <w:rPr>
                <w:rFonts w:ascii="Arial" w:eastAsia="Times New Roman" w:hAnsi="Arial" w:cs="Arial"/>
                <w:sz w:val="20"/>
                <w:szCs w:val="20"/>
                <w:lang w:val="en-GB"/>
              </w:rPr>
              <w:t>s</w:t>
            </w:r>
            <w:r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w:t>
            </w:r>
            <w:r w:rsidR="00BC5D03" w:rsidRPr="00482722">
              <w:rPr>
                <w:rFonts w:ascii="Arial" w:eastAsia="Times New Roman" w:hAnsi="Arial" w:cs="Arial"/>
                <w:i/>
                <w:iCs/>
                <w:sz w:val="20"/>
                <w:szCs w:val="20"/>
                <w:lang w:val="en-GB"/>
              </w:rPr>
              <w:t>p</w:t>
            </w:r>
            <w:r w:rsidR="00BC5D03"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&lt;</w:t>
            </w:r>
            <w:r w:rsidR="007F3E90"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0.1</w:t>
            </w:r>
            <w:r w:rsidR="00581377" w:rsidRPr="00482722">
              <w:rPr>
                <w:rFonts w:ascii="Arial" w:eastAsia="Times New Roman" w:hAnsi="Arial" w:cs="Arial"/>
                <w:sz w:val="20"/>
                <w:szCs w:val="20"/>
                <w:lang w:val="en-GB"/>
              </w:rPr>
              <w:t>;</w:t>
            </w:r>
            <w:r w:rsidR="00283F7B" w:rsidRPr="00482722">
              <w:rPr>
                <w:rFonts w:ascii="Arial" w:eastAsia="Times New Roman" w:hAnsi="Arial" w:cs="Arial"/>
                <w:sz w:val="20"/>
                <w:szCs w:val="20"/>
                <w:lang w:val="en-GB"/>
              </w:rPr>
              <w:t xml:space="preserve"> **</w:t>
            </w:r>
            <w:r w:rsidR="00BC5D03" w:rsidRPr="00482722">
              <w:rPr>
                <w:rFonts w:ascii="Arial" w:eastAsia="Times New Roman" w:hAnsi="Arial" w:cs="Arial"/>
                <w:i/>
                <w:iCs/>
                <w:sz w:val="20"/>
                <w:szCs w:val="20"/>
              </w:rPr>
              <w:t>p</w:t>
            </w:r>
            <w:r w:rsidR="00BC5D03"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&lt;</w:t>
            </w:r>
            <w:r w:rsidR="007F3E90"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0.05</w:t>
            </w:r>
            <w:r w:rsidR="00581377" w:rsidRPr="00482722">
              <w:rPr>
                <w:rFonts w:ascii="Arial" w:eastAsia="Times New Roman" w:hAnsi="Arial" w:cs="Arial"/>
                <w:sz w:val="20"/>
                <w:szCs w:val="20"/>
                <w:lang w:val="en-GB"/>
              </w:rPr>
              <w:t>;</w:t>
            </w:r>
            <w:r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w:t>
            </w:r>
            <w:r w:rsidR="00BC5D03" w:rsidRPr="00482722">
              <w:rPr>
                <w:rFonts w:ascii="Arial" w:eastAsia="Times New Roman" w:hAnsi="Arial" w:cs="Arial"/>
                <w:i/>
                <w:iCs/>
                <w:sz w:val="20"/>
                <w:szCs w:val="20"/>
              </w:rPr>
              <w:t>p</w:t>
            </w:r>
            <w:r w:rsidR="00BC5D03"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&lt;</w:t>
            </w:r>
            <w:r w:rsidR="007F3E90" w:rsidRPr="00482722">
              <w:rPr>
                <w:rFonts w:ascii="Arial" w:eastAsia="Times New Roman" w:hAnsi="Arial" w:cs="Arial"/>
                <w:sz w:val="20"/>
                <w:szCs w:val="20"/>
                <w:lang w:val="en-GB"/>
              </w:rPr>
              <w:t xml:space="preserve"> </w:t>
            </w:r>
            <w:r w:rsidR="00283F7B" w:rsidRPr="00482722">
              <w:rPr>
                <w:rFonts w:ascii="Arial" w:eastAsia="Times New Roman" w:hAnsi="Arial" w:cs="Arial"/>
                <w:sz w:val="20"/>
                <w:szCs w:val="20"/>
                <w:lang w:val="en-GB"/>
              </w:rPr>
              <w:t>0.01</w:t>
            </w:r>
          </w:p>
        </w:tc>
      </w:tr>
    </w:tbl>
    <w:p w14:paraId="3AABDE7D" w14:textId="77777777" w:rsidR="00283F7B" w:rsidRPr="00482722" w:rsidRDefault="00283F7B" w:rsidP="00DA5EEC">
      <w:pPr>
        <w:spacing w:line="240" w:lineRule="auto"/>
        <w:rPr>
          <w:rFonts w:ascii="Arial" w:hAnsi="Arial" w:cs="Arial"/>
          <w:sz w:val="20"/>
          <w:szCs w:val="20"/>
        </w:rPr>
      </w:pPr>
    </w:p>
    <w:p w14:paraId="6E834729" w14:textId="2B255380" w:rsidR="00283F7B" w:rsidRPr="00482722" w:rsidRDefault="00283F7B" w:rsidP="00637C41">
      <w:pPr>
        <w:spacing w:line="240" w:lineRule="auto"/>
        <w:jc w:val="both"/>
        <w:rPr>
          <w:rFonts w:ascii="Arial" w:hAnsi="Arial" w:cs="Arial"/>
          <w:sz w:val="20"/>
          <w:szCs w:val="20"/>
        </w:rPr>
      </w:pPr>
      <w:r w:rsidRPr="00482722">
        <w:rPr>
          <w:rFonts w:ascii="Arial" w:hAnsi="Arial" w:cs="Arial"/>
          <w:sz w:val="20"/>
          <w:szCs w:val="20"/>
        </w:rPr>
        <w:t xml:space="preserve">Figure 2 illustrates the structural research model with standardised path coefficients, factor loadings, </w:t>
      </w:r>
      <w:r w:rsidRPr="00482722">
        <w:rPr>
          <w:rFonts w:ascii="Arial" w:hAnsi="Arial" w:cs="Arial"/>
          <w:i/>
          <w:iCs/>
          <w:sz w:val="20"/>
          <w:szCs w:val="20"/>
        </w:rPr>
        <w:t>R</w:t>
      </w:r>
      <w:r w:rsidR="0071131D" w:rsidRPr="00482722">
        <w:rPr>
          <w:rFonts w:ascii="Arial" w:hAnsi="Arial" w:cs="Arial"/>
          <w:sz w:val="20"/>
          <w:szCs w:val="20"/>
          <w:vertAlign w:val="superscript"/>
        </w:rPr>
        <w:t>2</w:t>
      </w:r>
      <w:r w:rsidRPr="00482722">
        <w:rPr>
          <w:rFonts w:ascii="Arial" w:hAnsi="Arial" w:cs="Arial"/>
          <w:sz w:val="20"/>
          <w:szCs w:val="20"/>
        </w:rPr>
        <w:t xml:space="preserve"> values, and model fitness indices. For instance, the path coefficient of 0.14 between </w:t>
      </w:r>
      <w:r w:rsidR="00B91C56" w:rsidRPr="00482722">
        <w:rPr>
          <w:rFonts w:ascii="Arial" w:hAnsi="Arial" w:cs="Arial"/>
          <w:sz w:val="20"/>
          <w:szCs w:val="20"/>
        </w:rPr>
        <w:t>trust in government</w:t>
      </w:r>
      <w:r w:rsidRPr="00482722">
        <w:rPr>
          <w:rFonts w:ascii="Arial" w:hAnsi="Arial" w:cs="Arial"/>
          <w:sz w:val="20"/>
          <w:szCs w:val="20"/>
        </w:rPr>
        <w:t xml:space="preserve"> and </w:t>
      </w:r>
      <w:r w:rsidR="00B91C56" w:rsidRPr="00482722">
        <w:rPr>
          <w:rFonts w:ascii="Arial" w:hAnsi="Arial" w:cs="Arial"/>
          <w:sz w:val="20"/>
          <w:szCs w:val="20"/>
        </w:rPr>
        <w:t>trust in e-government</w:t>
      </w:r>
      <w:r w:rsidRPr="00482722">
        <w:rPr>
          <w:rFonts w:ascii="Arial" w:hAnsi="Arial" w:cs="Arial"/>
          <w:sz w:val="20"/>
          <w:szCs w:val="20"/>
        </w:rPr>
        <w:t xml:space="preserve"> indicates that when </w:t>
      </w:r>
      <w:r w:rsidR="00B91C56" w:rsidRPr="00482722">
        <w:rPr>
          <w:rFonts w:ascii="Arial" w:hAnsi="Arial" w:cs="Arial"/>
          <w:sz w:val="20"/>
          <w:szCs w:val="20"/>
        </w:rPr>
        <w:t>trust in government</w:t>
      </w:r>
      <w:r w:rsidRPr="00482722">
        <w:rPr>
          <w:rFonts w:ascii="Arial" w:hAnsi="Arial" w:cs="Arial"/>
          <w:sz w:val="20"/>
          <w:szCs w:val="20"/>
        </w:rPr>
        <w:t xml:space="preserve"> increases by 1 </w:t>
      </w:r>
      <w:r w:rsidR="0071131D" w:rsidRPr="00482722">
        <w:rPr>
          <w:rFonts w:ascii="Arial" w:hAnsi="Arial" w:cs="Arial"/>
          <w:sz w:val="20"/>
          <w:szCs w:val="20"/>
        </w:rPr>
        <w:t>SD</w:t>
      </w:r>
      <w:r w:rsidRPr="00482722">
        <w:rPr>
          <w:rFonts w:ascii="Arial" w:hAnsi="Arial" w:cs="Arial"/>
          <w:sz w:val="20"/>
          <w:szCs w:val="20"/>
        </w:rPr>
        <w:t xml:space="preserve">, </w:t>
      </w:r>
      <w:r w:rsidR="00B91C56" w:rsidRPr="00482722">
        <w:rPr>
          <w:rFonts w:ascii="Arial" w:hAnsi="Arial" w:cs="Arial"/>
          <w:sz w:val="20"/>
          <w:szCs w:val="20"/>
        </w:rPr>
        <w:t>trust in e-government</w:t>
      </w:r>
      <w:r w:rsidRPr="00482722">
        <w:rPr>
          <w:rFonts w:ascii="Arial" w:hAnsi="Arial" w:cs="Arial"/>
          <w:sz w:val="20"/>
          <w:szCs w:val="20"/>
        </w:rPr>
        <w:t xml:space="preserve"> increases by 0.14 </w:t>
      </w:r>
      <w:r w:rsidR="0071131D" w:rsidRPr="00482722">
        <w:rPr>
          <w:rFonts w:ascii="Arial" w:hAnsi="Arial" w:cs="Arial"/>
          <w:sz w:val="20"/>
          <w:szCs w:val="20"/>
        </w:rPr>
        <w:t>SD</w:t>
      </w:r>
      <w:r w:rsidRPr="00482722">
        <w:rPr>
          <w:rFonts w:ascii="Arial" w:hAnsi="Arial" w:cs="Arial"/>
          <w:sz w:val="20"/>
          <w:szCs w:val="20"/>
        </w:rPr>
        <w:t xml:space="preserve">. In addition, the coefficient of determination </w:t>
      </w:r>
      <w:r w:rsidRPr="00482722">
        <w:rPr>
          <w:rFonts w:ascii="Arial" w:hAnsi="Arial" w:cs="Arial"/>
          <w:i/>
          <w:iCs/>
          <w:sz w:val="20"/>
          <w:szCs w:val="20"/>
        </w:rPr>
        <w:t>R</w:t>
      </w:r>
      <w:r w:rsidRPr="00482722">
        <w:rPr>
          <w:rFonts w:ascii="Arial" w:hAnsi="Arial" w:cs="Arial"/>
          <w:sz w:val="20"/>
          <w:szCs w:val="20"/>
          <w:vertAlign w:val="superscript"/>
        </w:rPr>
        <w:t>2</w:t>
      </w:r>
      <w:r w:rsidRPr="00482722">
        <w:rPr>
          <w:rFonts w:ascii="Arial" w:hAnsi="Arial" w:cs="Arial"/>
          <w:sz w:val="20"/>
          <w:szCs w:val="20"/>
        </w:rPr>
        <w:t xml:space="preserve"> of </w:t>
      </w:r>
      <w:r w:rsidR="00016D7E" w:rsidRPr="00482722">
        <w:rPr>
          <w:rFonts w:ascii="Arial" w:hAnsi="Arial" w:cs="Arial"/>
          <w:sz w:val="20"/>
          <w:szCs w:val="20"/>
        </w:rPr>
        <w:t>citizen loyalty</w:t>
      </w:r>
      <w:r w:rsidRPr="00482722">
        <w:rPr>
          <w:rFonts w:ascii="Arial" w:hAnsi="Arial" w:cs="Arial"/>
          <w:sz w:val="20"/>
          <w:szCs w:val="20"/>
        </w:rPr>
        <w:t xml:space="preserve"> is 0.60</w:t>
      </w:r>
      <w:r w:rsidR="008E7DA8" w:rsidRPr="00482722">
        <w:rPr>
          <w:rFonts w:ascii="Arial" w:hAnsi="Arial" w:cs="Arial"/>
          <w:sz w:val="20"/>
          <w:szCs w:val="20"/>
        </w:rPr>
        <w:t>,</w:t>
      </w:r>
      <w:r w:rsidRPr="00482722">
        <w:rPr>
          <w:rFonts w:ascii="Arial" w:hAnsi="Arial" w:cs="Arial"/>
          <w:sz w:val="20"/>
          <w:szCs w:val="20"/>
        </w:rPr>
        <w:t xml:space="preserve"> which shows that the predictors of </w:t>
      </w:r>
      <w:r w:rsidR="00016D7E" w:rsidRPr="00482722">
        <w:rPr>
          <w:rFonts w:ascii="Arial" w:hAnsi="Arial" w:cs="Arial"/>
          <w:sz w:val="20"/>
          <w:szCs w:val="20"/>
        </w:rPr>
        <w:t>citizen loyalty</w:t>
      </w:r>
      <w:r w:rsidRPr="00482722">
        <w:rPr>
          <w:rFonts w:ascii="Arial" w:hAnsi="Arial" w:cs="Arial"/>
          <w:sz w:val="20"/>
          <w:szCs w:val="20"/>
        </w:rPr>
        <w:t xml:space="preserve"> explain about 60</w:t>
      </w:r>
      <w:r w:rsidR="008E7DA8" w:rsidRPr="00482722">
        <w:rPr>
          <w:rFonts w:ascii="Arial" w:hAnsi="Arial" w:cs="Arial"/>
          <w:sz w:val="20"/>
          <w:szCs w:val="20"/>
        </w:rPr>
        <w:t xml:space="preserve"> per</w:t>
      </w:r>
      <w:r w:rsidR="00BD142C" w:rsidRPr="00482722">
        <w:rPr>
          <w:rFonts w:ascii="Arial" w:hAnsi="Arial" w:cs="Arial"/>
          <w:sz w:val="20"/>
          <w:szCs w:val="20"/>
        </w:rPr>
        <w:t xml:space="preserve"> </w:t>
      </w:r>
      <w:r w:rsidR="008E7DA8" w:rsidRPr="00482722">
        <w:rPr>
          <w:rFonts w:ascii="Arial" w:hAnsi="Arial" w:cs="Arial"/>
          <w:sz w:val="20"/>
          <w:szCs w:val="20"/>
        </w:rPr>
        <w:t>cent</w:t>
      </w:r>
      <w:r w:rsidRPr="00482722">
        <w:rPr>
          <w:rFonts w:ascii="Arial" w:hAnsi="Arial" w:cs="Arial"/>
          <w:sz w:val="20"/>
          <w:szCs w:val="20"/>
        </w:rPr>
        <w:t xml:space="preserve"> of its variance.</w:t>
      </w:r>
    </w:p>
    <w:p w14:paraId="0DB0C5C3" w14:textId="78810A74" w:rsidR="00637C41" w:rsidRPr="00482722" w:rsidRDefault="00637C41" w:rsidP="00637C41">
      <w:pPr>
        <w:spacing w:line="240" w:lineRule="auto"/>
        <w:jc w:val="both"/>
        <w:rPr>
          <w:rFonts w:ascii="Arial" w:hAnsi="Arial" w:cs="Arial"/>
          <w:sz w:val="20"/>
          <w:szCs w:val="20"/>
        </w:rPr>
      </w:pPr>
      <w:r w:rsidRPr="00482722">
        <w:rPr>
          <w:rFonts w:ascii="Arial" w:hAnsi="Arial" w:cs="Arial"/>
          <w:sz w:val="20"/>
          <w:szCs w:val="20"/>
        </w:rPr>
        <w:t xml:space="preserve">The coefficient of determination, which is also denoted as </w:t>
      </w:r>
      <w:r w:rsidRPr="00B10FEA">
        <w:rPr>
          <w:rFonts w:ascii="Arial" w:hAnsi="Arial" w:cs="Arial"/>
          <w:i/>
          <w:iCs/>
          <w:sz w:val="20"/>
          <w:szCs w:val="20"/>
        </w:rPr>
        <w:t>R</w:t>
      </w:r>
      <w:r w:rsidRPr="00482722">
        <w:rPr>
          <w:rFonts w:ascii="Arial" w:hAnsi="Arial" w:cs="Arial"/>
          <w:sz w:val="20"/>
          <w:szCs w:val="20"/>
        </w:rPr>
        <w:t>-squared (</w:t>
      </w:r>
      <w:r w:rsidRPr="00B10FEA">
        <w:rPr>
          <w:rFonts w:ascii="Arial" w:hAnsi="Arial" w:cs="Arial"/>
          <w:i/>
          <w:iCs/>
          <w:sz w:val="20"/>
          <w:szCs w:val="20"/>
        </w:rPr>
        <w:t>R</w:t>
      </w:r>
      <w:r w:rsidRPr="0021536F">
        <w:rPr>
          <w:rFonts w:ascii="Arial" w:hAnsi="Arial" w:cs="Arial"/>
          <w:sz w:val="20"/>
          <w:szCs w:val="20"/>
          <w:vertAlign w:val="superscript"/>
        </w:rPr>
        <w:t>2</w:t>
      </w:r>
      <w:r w:rsidRPr="00482722">
        <w:rPr>
          <w:rFonts w:ascii="Arial" w:hAnsi="Arial" w:cs="Arial"/>
          <w:sz w:val="20"/>
          <w:szCs w:val="20"/>
        </w:rPr>
        <w:t xml:space="preserve">), was estimated as an essential criterion for the assessment of the endogenous latent variables of the structural model (Henseler et al., 2009). As SEM is multivariate extension of the multiple linear regression with one explained variable, </w:t>
      </w:r>
      <w:r w:rsidRPr="00482722">
        <w:rPr>
          <w:rFonts w:ascii="Arial" w:hAnsi="Arial" w:cs="Arial"/>
          <w:i/>
          <w:sz w:val="20"/>
          <w:szCs w:val="20"/>
        </w:rPr>
        <w:t>R</w:t>
      </w:r>
      <w:r w:rsidRPr="00482722">
        <w:rPr>
          <w:rFonts w:ascii="Arial" w:hAnsi="Arial" w:cs="Arial"/>
          <w:iCs/>
          <w:sz w:val="20"/>
          <w:szCs w:val="20"/>
          <w:vertAlign w:val="superscript"/>
        </w:rPr>
        <w:t>2</w:t>
      </w:r>
      <w:r w:rsidRPr="00482722">
        <w:rPr>
          <w:rFonts w:ascii="Arial" w:hAnsi="Arial" w:cs="Arial"/>
          <w:sz w:val="20"/>
          <w:szCs w:val="20"/>
        </w:rPr>
        <w:t xml:space="preserve"> indicates the proportion of variance in the latent variable accounted for by the set of observed variables. In other words, the value of </w:t>
      </w:r>
      <w:r w:rsidRPr="00482722">
        <w:rPr>
          <w:rFonts w:ascii="Arial" w:hAnsi="Arial" w:cs="Arial"/>
          <w:i/>
          <w:sz w:val="20"/>
          <w:szCs w:val="20"/>
        </w:rPr>
        <w:t>R</w:t>
      </w:r>
      <w:r w:rsidRPr="00482722">
        <w:rPr>
          <w:rFonts w:ascii="Arial" w:hAnsi="Arial" w:cs="Arial"/>
          <w:iCs/>
          <w:sz w:val="20"/>
          <w:szCs w:val="20"/>
          <w:vertAlign w:val="superscript"/>
        </w:rPr>
        <w:t>2</w:t>
      </w:r>
      <w:r w:rsidRPr="00482722">
        <w:rPr>
          <w:rFonts w:ascii="Arial" w:hAnsi="Arial" w:cs="Arial"/>
          <w:sz w:val="20"/>
          <w:szCs w:val="20"/>
        </w:rPr>
        <w:t xml:space="preserve"> serves as an indicator of the strength of the structural relationships (Schumacker and Lomax, 2010)</w:t>
      </w:r>
      <w:r w:rsidR="004E756D" w:rsidRPr="00482722">
        <w:rPr>
          <w:rFonts w:ascii="Arial" w:hAnsi="Arial" w:cs="Arial"/>
          <w:sz w:val="20"/>
          <w:szCs w:val="20"/>
        </w:rPr>
        <w:t xml:space="preserve">. </w:t>
      </w:r>
      <w:r w:rsidRPr="00482722">
        <w:rPr>
          <w:rFonts w:ascii="Arial" w:hAnsi="Arial" w:cs="Arial"/>
          <w:sz w:val="20"/>
          <w:szCs w:val="20"/>
        </w:rPr>
        <w:t xml:space="preserve">Several related IS studies have reported significant level or </w:t>
      </w:r>
      <w:r w:rsidRPr="00482722">
        <w:rPr>
          <w:rFonts w:ascii="Arial" w:hAnsi="Arial" w:cs="Arial"/>
          <w:i/>
          <w:sz w:val="20"/>
          <w:szCs w:val="20"/>
        </w:rPr>
        <w:t>R</w:t>
      </w:r>
      <w:r w:rsidRPr="00482722">
        <w:rPr>
          <w:rFonts w:ascii="Arial" w:hAnsi="Arial" w:cs="Arial"/>
          <w:iCs/>
          <w:sz w:val="20"/>
          <w:szCs w:val="20"/>
          <w:vertAlign w:val="superscript"/>
        </w:rPr>
        <w:t>2</w:t>
      </w:r>
      <w:r w:rsidRPr="00482722">
        <w:rPr>
          <w:rFonts w:ascii="Arial" w:hAnsi="Arial" w:cs="Arial"/>
          <w:sz w:val="20"/>
          <w:szCs w:val="20"/>
        </w:rPr>
        <w:t xml:space="preserve"> by CB-SEM (e.g.,</w:t>
      </w:r>
      <w:r w:rsidR="004E756D" w:rsidRPr="00482722">
        <w:rPr>
          <w:rFonts w:ascii="Arial" w:hAnsi="Arial" w:cs="Arial"/>
          <w:sz w:val="20"/>
          <w:szCs w:val="20"/>
        </w:rPr>
        <w:t xml:space="preserve"> Rana et al., 2017; Rana et al., 2017; Weerakkody et al., 2016</w:t>
      </w:r>
      <w:r w:rsidRPr="00482722">
        <w:rPr>
          <w:rFonts w:ascii="Arial" w:hAnsi="Arial" w:cs="Arial"/>
          <w:sz w:val="20"/>
          <w:szCs w:val="20"/>
        </w:rPr>
        <w:t xml:space="preserve">). The </w:t>
      </w:r>
      <w:r w:rsidRPr="00482722">
        <w:rPr>
          <w:rFonts w:ascii="Arial" w:hAnsi="Arial" w:cs="Arial"/>
          <w:i/>
          <w:iCs/>
          <w:sz w:val="20"/>
          <w:szCs w:val="20"/>
        </w:rPr>
        <w:t>R</w:t>
      </w:r>
      <w:r w:rsidRPr="00482722">
        <w:rPr>
          <w:rFonts w:ascii="Arial" w:hAnsi="Arial" w:cs="Arial"/>
          <w:sz w:val="20"/>
          <w:szCs w:val="20"/>
          <w:vertAlign w:val="superscript"/>
        </w:rPr>
        <w:t>2</w:t>
      </w:r>
      <w:r w:rsidRPr="00482722">
        <w:rPr>
          <w:rFonts w:ascii="Arial" w:hAnsi="Arial" w:cs="Arial"/>
          <w:sz w:val="20"/>
          <w:szCs w:val="20"/>
        </w:rPr>
        <w:t xml:space="preserve"> values ranged from 0 to 1 (Alzahrani et al., 2018). As shown in Table IX, the </w:t>
      </w:r>
      <w:r w:rsidRPr="00482722">
        <w:rPr>
          <w:rFonts w:ascii="Arial" w:hAnsi="Arial" w:cs="Arial"/>
          <w:i/>
          <w:sz w:val="20"/>
          <w:szCs w:val="20"/>
        </w:rPr>
        <w:t>R</w:t>
      </w:r>
      <w:r w:rsidRPr="00482722">
        <w:rPr>
          <w:rFonts w:ascii="Arial" w:hAnsi="Arial" w:cs="Arial"/>
          <w:iCs/>
          <w:sz w:val="20"/>
          <w:szCs w:val="20"/>
          <w:vertAlign w:val="superscript"/>
        </w:rPr>
        <w:t>2</w:t>
      </w:r>
      <w:r w:rsidRPr="00482722">
        <w:rPr>
          <w:rFonts w:ascii="Arial" w:hAnsi="Arial" w:cs="Arial"/>
          <w:i/>
          <w:sz w:val="20"/>
          <w:szCs w:val="20"/>
        </w:rPr>
        <w:t xml:space="preserve"> </w:t>
      </w:r>
      <w:r w:rsidRPr="00482722">
        <w:rPr>
          <w:rFonts w:ascii="Arial" w:hAnsi="Arial" w:cs="Arial"/>
          <w:sz w:val="20"/>
          <w:szCs w:val="20"/>
        </w:rPr>
        <w:t>of 0.418 means that the predictors of trust in government (e.g., disposition to trust and service quality) explain 41.8 per cent of its variance, while the residual is due to the error variance.</w:t>
      </w:r>
    </w:p>
    <w:p w14:paraId="519F8016" w14:textId="77777777" w:rsidR="00637C41" w:rsidRPr="00482722" w:rsidRDefault="00637C41" w:rsidP="00637C41">
      <w:pPr>
        <w:spacing w:line="240" w:lineRule="auto"/>
        <w:jc w:val="both"/>
        <w:rPr>
          <w:rFonts w:ascii="Arial" w:hAnsi="Arial" w:cs="Arial"/>
          <w:sz w:val="20"/>
          <w:szCs w:val="20"/>
        </w:rPr>
      </w:pPr>
    </w:p>
    <w:p w14:paraId="6F01B94F" w14:textId="77777777" w:rsidR="00637C41" w:rsidRPr="00482722" w:rsidRDefault="00637C41" w:rsidP="00637C41">
      <w:pPr>
        <w:spacing w:line="240" w:lineRule="auto"/>
        <w:jc w:val="both"/>
        <w:rPr>
          <w:rFonts w:ascii="Arial" w:hAnsi="Arial" w:cs="Arial"/>
          <w:sz w:val="20"/>
          <w:szCs w:val="20"/>
        </w:rPr>
      </w:pPr>
      <w:r w:rsidRPr="00482722">
        <w:rPr>
          <w:rFonts w:ascii="Arial" w:hAnsi="Arial" w:cs="Arial"/>
          <w:b/>
          <w:bCs/>
          <w:sz w:val="20"/>
          <w:szCs w:val="20"/>
        </w:rPr>
        <w:t>Table IX.</w:t>
      </w:r>
      <w:r w:rsidRPr="00482722">
        <w:rPr>
          <w:rFonts w:ascii="Arial" w:hAnsi="Arial" w:cs="Arial"/>
          <w:sz w:val="20"/>
          <w:szCs w:val="20"/>
        </w:rPr>
        <w:t xml:space="preserve"> Coefficients of determination</w:t>
      </w:r>
    </w:p>
    <w:tbl>
      <w:tblPr>
        <w:tblStyle w:val="TableGrid"/>
        <w:tblW w:w="0" w:type="auto"/>
        <w:tblLook w:val="04A0" w:firstRow="1" w:lastRow="0" w:firstColumn="1" w:lastColumn="0" w:noHBand="0" w:noVBand="1"/>
      </w:tblPr>
      <w:tblGrid>
        <w:gridCol w:w="1560"/>
        <w:gridCol w:w="1842"/>
      </w:tblGrid>
      <w:tr w:rsidR="00482722" w:rsidRPr="00482722" w14:paraId="4EDA1538" w14:textId="77777777" w:rsidTr="00A0426C">
        <w:tc>
          <w:tcPr>
            <w:tcW w:w="1560" w:type="dxa"/>
            <w:tcBorders>
              <w:left w:val="nil"/>
              <w:right w:val="nil"/>
            </w:tcBorders>
            <w:vAlign w:val="center"/>
          </w:tcPr>
          <w:p w14:paraId="302F0C6D" w14:textId="77777777" w:rsidR="00637C41" w:rsidRPr="00482722" w:rsidRDefault="00637C41" w:rsidP="00A0426C">
            <w:pPr>
              <w:rPr>
                <w:rFonts w:ascii="Arial" w:hAnsi="Arial" w:cs="Arial"/>
                <w:sz w:val="20"/>
                <w:szCs w:val="20"/>
              </w:rPr>
            </w:pPr>
            <w:r w:rsidRPr="00482722">
              <w:rPr>
                <w:rFonts w:ascii="Arial" w:hAnsi="Arial" w:cs="Arial"/>
                <w:sz w:val="20"/>
                <w:szCs w:val="20"/>
              </w:rPr>
              <w:t>Construct</w:t>
            </w:r>
          </w:p>
        </w:tc>
        <w:tc>
          <w:tcPr>
            <w:tcW w:w="1842" w:type="dxa"/>
            <w:tcBorders>
              <w:left w:val="nil"/>
              <w:right w:val="nil"/>
            </w:tcBorders>
            <w:vAlign w:val="center"/>
          </w:tcPr>
          <w:p w14:paraId="17FC8DD6" w14:textId="77777777" w:rsidR="00637C41" w:rsidRPr="00482722" w:rsidRDefault="00637C41" w:rsidP="00A0426C">
            <w:pPr>
              <w:jc w:val="center"/>
              <w:rPr>
                <w:rFonts w:ascii="Arial" w:hAnsi="Arial" w:cs="Arial"/>
                <w:sz w:val="20"/>
                <w:szCs w:val="20"/>
              </w:rPr>
            </w:pPr>
            <w:r w:rsidRPr="00482722">
              <w:rPr>
                <w:rFonts w:ascii="Arial" w:hAnsi="Arial" w:cs="Arial"/>
                <w:i/>
                <w:iCs/>
                <w:sz w:val="20"/>
                <w:szCs w:val="20"/>
              </w:rPr>
              <w:t>R</w:t>
            </w:r>
            <w:r w:rsidRPr="00482722">
              <w:rPr>
                <w:rFonts w:ascii="Arial" w:hAnsi="Arial" w:cs="Arial"/>
                <w:sz w:val="20"/>
                <w:szCs w:val="20"/>
                <w:vertAlign w:val="superscript"/>
              </w:rPr>
              <w:t>2</w:t>
            </w:r>
          </w:p>
        </w:tc>
      </w:tr>
      <w:tr w:rsidR="00482722" w:rsidRPr="00482722" w14:paraId="4BB720F1" w14:textId="77777777" w:rsidTr="00A0426C">
        <w:tc>
          <w:tcPr>
            <w:tcW w:w="1560" w:type="dxa"/>
            <w:tcBorders>
              <w:left w:val="nil"/>
              <w:bottom w:val="nil"/>
              <w:right w:val="nil"/>
            </w:tcBorders>
            <w:vAlign w:val="center"/>
          </w:tcPr>
          <w:p w14:paraId="1F6CF451" w14:textId="77777777" w:rsidR="00637C41" w:rsidRPr="00482722" w:rsidRDefault="00637C41" w:rsidP="00A0426C">
            <w:pPr>
              <w:rPr>
                <w:rFonts w:ascii="Arial" w:hAnsi="Arial" w:cs="Arial"/>
                <w:sz w:val="20"/>
                <w:szCs w:val="20"/>
              </w:rPr>
            </w:pPr>
            <w:r w:rsidRPr="00482722">
              <w:rPr>
                <w:rFonts w:ascii="Arial" w:hAnsi="Arial" w:cs="Arial"/>
                <w:sz w:val="20"/>
                <w:szCs w:val="20"/>
              </w:rPr>
              <w:t>TG</w:t>
            </w:r>
          </w:p>
        </w:tc>
        <w:tc>
          <w:tcPr>
            <w:tcW w:w="1842" w:type="dxa"/>
            <w:tcBorders>
              <w:left w:val="nil"/>
              <w:bottom w:val="nil"/>
              <w:right w:val="nil"/>
            </w:tcBorders>
            <w:vAlign w:val="center"/>
          </w:tcPr>
          <w:p w14:paraId="31E57B47" w14:textId="77777777" w:rsidR="00637C41" w:rsidRPr="00482722" w:rsidRDefault="00637C41" w:rsidP="00A0426C">
            <w:pPr>
              <w:jc w:val="center"/>
              <w:rPr>
                <w:rFonts w:ascii="Arial" w:hAnsi="Arial" w:cs="Arial"/>
                <w:sz w:val="20"/>
                <w:szCs w:val="20"/>
              </w:rPr>
            </w:pPr>
            <w:r w:rsidRPr="00482722">
              <w:rPr>
                <w:rFonts w:ascii="Arial" w:hAnsi="Arial" w:cs="Arial"/>
                <w:sz w:val="20"/>
                <w:szCs w:val="20"/>
              </w:rPr>
              <w:t>0.418</w:t>
            </w:r>
          </w:p>
        </w:tc>
      </w:tr>
      <w:tr w:rsidR="00482722" w:rsidRPr="00482722" w14:paraId="4AA4CB22" w14:textId="77777777" w:rsidTr="00A0426C">
        <w:tc>
          <w:tcPr>
            <w:tcW w:w="1560" w:type="dxa"/>
            <w:tcBorders>
              <w:top w:val="nil"/>
              <w:left w:val="nil"/>
              <w:bottom w:val="nil"/>
              <w:right w:val="nil"/>
            </w:tcBorders>
            <w:vAlign w:val="center"/>
          </w:tcPr>
          <w:p w14:paraId="4B77A8B3" w14:textId="77777777" w:rsidR="00637C41" w:rsidRPr="00482722" w:rsidRDefault="00637C41" w:rsidP="00A0426C">
            <w:pPr>
              <w:rPr>
                <w:rFonts w:ascii="Arial" w:hAnsi="Arial" w:cs="Arial"/>
                <w:sz w:val="20"/>
                <w:szCs w:val="20"/>
              </w:rPr>
            </w:pPr>
            <w:r w:rsidRPr="00482722">
              <w:rPr>
                <w:rFonts w:ascii="Arial" w:hAnsi="Arial" w:cs="Arial"/>
                <w:sz w:val="20"/>
                <w:szCs w:val="20"/>
              </w:rPr>
              <w:t>TEG</w:t>
            </w:r>
          </w:p>
        </w:tc>
        <w:tc>
          <w:tcPr>
            <w:tcW w:w="1842" w:type="dxa"/>
            <w:tcBorders>
              <w:top w:val="nil"/>
              <w:left w:val="nil"/>
              <w:bottom w:val="nil"/>
              <w:right w:val="nil"/>
            </w:tcBorders>
            <w:vAlign w:val="center"/>
          </w:tcPr>
          <w:p w14:paraId="488FAB20" w14:textId="77777777" w:rsidR="00637C41" w:rsidRPr="00482722" w:rsidRDefault="00637C41" w:rsidP="00A0426C">
            <w:pPr>
              <w:jc w:val="center"/>
              <w:rPr>
                <w:rFonts w:ascii="Arial" w:hAnsi="Arial" w:cs="Arial"/>
                <w:sz w:val="20"/>
                <w:szCs w:val="20"/>
              </w:rPr>
            </w:pPr>
            <w:r w:rsidRPr="00482722">
              <w:rPr>
                <w:rFonts w:ascii="Arial" w:hAnsi="Arial" w:cs="Arial"/>
                <w:sz w:val="20"/>
                <w:szCs w:val="20"/>
              </w:rPr>
              <w:t>0.490</w:t>
            </w:r>
          </w:p>
        </w:tc>
      </w:tr>
      <w:tr w:rsidR="00482722" w:rsidRPr="00482722" w14:paraId="2C7EEBF9" w14:textId="77777777" w:rsidTr="00A0426C">
        <w:tc>
          <w:tcPr>
            <w:tcW w:w="1560" w:type="dxa"/>
            <w:tcBorders>
              <w:top w:val="nil"/>
              <w:left w:val="nil"/>
              <w:bottom w:val="nil"/>
              <w:right w:val="nil"/>
            </w:tcBorders>
            <w:vAlign w:val="center"/>
          </w:tcPr>
          <w:p w14:paraId="2F11AF65" w14:textId="77777777" w:rsidR="00637C41" w:rsidRPr="00482722" w:rsidRDefault="00637C41" w:rsidP="00A0426C">
            <w:pPr>
              <w:rPr>
                <w:rFonts w:ascii="Arial" w:hAnsi="Arial" w:cs="Arial"/>
                <w:sz w:val="20"/>
                <w:szCs w:val="20"/>
              </w:rPr>
            </w:pPr>
            <w:r w:rsidRPr="00482722">
              <w:rPr>
                <w:rFonts w:ascii="Arial" w:hAnsi="Arial" w:cs="Arial"/>
                <w:sz w:val="20"/>
                <w:szCs w:val="20"/>
              </w:rPr>
              <w:t>CS</w:t>
            </w:r>
          </w:p>
        </w:tc>
        <w:tc>
          <w:tcPr>
            <w:tcW w:w="1842" w:type="dxa"/>
            <w:tcBorders>
              <w:top w:val="nil"/>
              <w:left w:val="nil"/>
              <w:bottom w:val="nil"/>
              <w:right w:val="nil"/>
            </w:tcBorders>
            <w:vAlign w:val="center"/>
          </w:tcPr>
          <w:p w14:paraId="54827993" w14:textId="77777777" w:rsidR="00637C41" w:rsidRPr="00482722" w:rsidRDefault="00637C41" w:rsidP="00A0426C">
            <w:pPr>
              <w:jc w:val="center"/>
              <w:rPr>
                <w:rFonts w:ascii="Arial" w:hAnsi="Arial" w:cs="Arial"/>
                <w:sz w:val="20"/>
                <w:szCs w:val="20"/>
              </w:rPr>
            </w:pPr>
            <w:r w:rsidRPr="00482722">
              <w:rPr>
                <w:rFonts w:ascii="Arial" w:hAnsi="Arial" w:cs="Arial"/>
                <w:sz w:val="20"/>
                <w:szCs w:val="20"/>
              </w:rPr>
              <w:t>0.354</w:t>
            </w:r>
          </w:p>
        </w:tc>
      </w:tr>
      <w:tr w:rsidR="00637C41" w:rsidRPr="00482722" w14:paraId="0594B59E" w14:textId="77777777" w:rsidTr="00A0426C">
        <w:tc>
          <w:tcPr>
            <w:tcW w:w="1560" w:type="dxa"/>
            <w:tcBorders>
              <w:top w:val="nil"/>
              <w:left w:val="nil"/>
              <w:right w:val="nil"/>
            </w:tcBorders>
            <w:vAlign w:val="center"/>
          </w:tcPr>
          <w:p w14:paraId="1C2F74B1" w14:textId="77777777" w:rsidR="00637C41" w:rsidRPr="00482722" w:rsidRDefault="00637C41" w:rsidP="00A0426C">
            <w:pPr>
              <w:rPr>
                <w:rFonts w:ascii="Arial" w:hAnsi="Arial" w:cs="Arial"/>
                <w:sz w:val="20"/>
                <w:szCs w:val="20"/>
              </w:rPr>
            </w:pPr>
            <w:r w:rsidRPr="00482722">
              <w:rPr>
                <w:rFonts w:ascii="Arial" w:hAnsi="Arial" w:cs="Arial"/>
                <w:sz w:val="20"/>
                <w:szCs w:val="20"/>
              </w:rPr>
              <w:t>CL</w:t>
            </w:r>
          </w:p>
        </w:tc>
        <w:tc>
          <w:tcPr>
            <w:tcW w:w="1842" w:type="dxa"/>
            <w:tcBorders>
              <w:top w:val="nil"/>
              <w:left w:val="nil"/>
              <w:right w:val="nil"/>
            </w:tcBorders>
            <w:vAlign w:val="center"/>
          </w:tcPr>
          <w:p w14:paraId="639C7DD8" w14:textId="77777777" w:rsidR="00637C41" w:rsidRPr="00482722" w:rsidRDefault="00637C41" w:rsidP="00A0426C">
            <w:pPr>
              <w:jc w:val="center"/>
              <w:rPr>
                <w:rFonts w:ascii="Arial" w:hAnsi="Arial" w:cs="Arial"/>
                <w:sz w:val="20"/>
                <w:szCs w:val="20"/>
              </w:rPr>
            </w:pPr>
            <w:r w:rsidRPr="00482722">
              <w:rPr>
                <w:rFonts w:ascii="Arial" w:hAnsi="Arial" w:cs="Arial"/>
                <w:sz w:val="20"/>
                <w:szCs w:val="20"/>
              </w:rPr>
              <w:t>0.600</w:t>
            </w:r>
          </w:p>
        </w:tc>
      </w:tr>
    </w:tbl>
    <w:p w14:paraId="35082253" w14:textId="77777777" w:rsidR="00637C41" w:rsidRPr="00482722" w:rsidRDefault="00637C41" w:rsidP="00637C41">
      <w:pPr>
        <w:spacing w:line="240" w:lineRule="auto"/>
        <w:jc w:val="both"/>
        <w:rPr>
          <w:rFonts w:ascii="Arial" w:hAnsi="Arial" w:cs="Arial"/>
          <w:sz w:val="20"/>
          <w:szCs w:val="20"/>
        </w:rPr>
      </w:pPr>
    </w:p>
    <w:p w14:paraId="14199F46" w14:textId="77777777" w:rsidR="00637C41" w:rsidRPr="00482722" w:rsidRDefault="00637C41" w:rsidP="00637C41">
      <w:pPr>
        <w:spacing w:line="240" w:lineRule="auto"/>
        <w:jc w:val="both"/>
        <w:rPr>
          <w:rFonts w:ascii="Arial" w:hAnsi="Arial" w:cs="Arial"/>
          <w:sz w:val="20"/>
          <w:szCs w:val="20"/>
        </w:rPr>
      </w:pPr>
      <w:bookmarkStart w:id="22" w:name="_Hlk56541294"/>
      <w:r w:rsidRPr="00482722">
        <w:rPr>
          <w:rFonts w:ascii="Arial" w:hAnsi="Arial" w:cs="Arial"/>
          <w:sz w:val="20"/>
          <w:szCs w:val="20"/>
        </w:rPr>
        <w:t>In addition, the path analysis method was adopted to show the direct, indirect, and total effects (standardised beta coefficients) in the structural model. This method enables researchers to investigate the direct and indirect effects of the variables, but it requires the existence of some perquisites, such as the theoretical causal relationship, the temporal ordering, covariance, and correlation among the variables of interest (Schumacker and Lomax, 2010). As shown in Table X, the direct effect of service quality on citizen loyalty is 0.188 and the indirect effect is 0.440, so the total effect of service quality on citizen loyalty is 0.188 + 0.440 = 0.628. This means that, when service quality increases by 1 SD, citizen loyalty increases by 0.628 SD.</w:t>
      </w:r>
    </w:p>
    <w:bookmarkEnd w:id="22"/>
    <w:p w14:paraId="36000118" w14:textId="77777777" w:rsidR="00637C41" w:rsidRPr="00482722" w:rsidRDefault="00637C41" w:rsidP="00637C41">
      <w:pPr>
        <w:spacing w:line="240" w:lineRule="auto"/>
        <w:rPr>
          <w:rFonts w:ascii="Arial" w:hAnsi="Arial" w:cs="Arial"/>
          <w:sz w:val="20"/>
          <w:szCs w:val="20"/>
        </w:rPr>
      </w:pPr>
    </w:p>
    <w:p w14:paraId="3936C631" w14:textId="77777777" w:rsidR="00637C41" w:rsidRPr="00482722" w:rsidRDefault="00637C41" w:rsidP="00637C41">
      <w:pPr>
        <w:spacing w:line="240" w:lineRule="auto"/>
        <w:rPr>
          <w:rFonts w:ascii="Arial" w:hAnsi="Arial" w:cs="Arial"/>
          <w:sz w:val="20"/>
          <w:szCs w:val="20"/>
        </w:rPr>
      </w:pPr>
      <w:r w:rsidRPr="00482722">
        <w:rPr>
          <w:rFonts w:ascii="Arial" w:hAnsi="Arial" w:cs="Arial"/>
          <w:b/>
          <w:bCs/>
          <w:sz w:val="20"/>
          <w:szCs w:val="20"/>
        </w:rPr>
        <w:t>Table X.</w:t>
      </w:r>
      <w:r w:rsidRPr="00482722">
        <w:rPr>
          <w:rFonts w:ascii="Arial" w:hAnsi="Arial" w:cs="Arial"/>
          <w:sz w:val="20"/>
          <w:szCs w:val="20"/>
        </w:rPr>
        <w:t xml:space="preserve"> Direct, indirect, and total effects in the structural model</w:t>
      </w:r>
    </w:p>
    <w:tbl>
      <w:tblPr>
        <w:tblStyle w:val="TableGrid"/>
        <w:tblW w:w="5000" w:type="pct"/>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
        <w:gridCol w:w="520"/>
        <w:gridCol w:w="520"/>
        <w:gridCol w:w="520"/>
        <w:gridCol w:w="507"/>
        <w:gridCol w:w="520"/>
        <w:gridCol w:w="520"/>
        <w:gridCol w:w="520"/>
        <w:gridCol w:w="520"/>
        <w:gridCol w:w="520"/>
        <w:gridCol w:w="525"/>
        <w:gridCol w:w="520"/>
        <w:gridCol w:w="520"/>
        <w:gridCol w:w="520"/>
        <w:gridCol w:w="520"/>
        <w:gridCol w:w="519"/>
      </w:tblGrid>
      <w:tr w:rsidR="00482722" w:rsidRPr="00482722" w14:paraId="1DCA753D" w14:textId="77777777" w:rsidTr="00A0426C">
        <w:trPr>
          <w:jc w:val="center"/>
        </w:trPr>
        <w:tc>
          <w:tcPr>
            <w:tcW w:w="278" w:type="pct"/>
            <w:tcBorders>
              <w:top w:val="single" w:sz="4" w:space="0" w:color="auto"/>
              <w:bottom w:val="single" w:sz="4" w:space="0" w:color="auto"/>
            </w:tcBorders>
            <w:vAlign w:val="center"/>
          </w:tcPr>
          <w:p w14:paraId="055E22CA" w14:textId="77777777" w:rsidR="00637C41" w:rsidRPr="00482722" w:rsidRDefault="00637C41" w:rsidP="00A0426C">
            <w:pPr>
              <w:rPr>
                <w:rFonts w:ascii="Arial" w:eastAsia="Times New Roman" w:hAnsi="Arial" w:cs="Arial"/>
                <w:sz w:val="20"/>
                <w:szCs w:val="20"/>
              </w:rPr>
            </w:pPr>
          </w:p>
        </w:tc>
        <w:tc>
          <w:tcPr>
            <w:tcW w:w="1382" w:type="pct"/>
            <w:gridSpan w:val="5"/>
            <w:tcBorders>
              <w:top w:val="single" w:sz="4" w:space="0" w:color="auto"/>
              <w:bottom w:val="single" w:sz="4" w:space="0" w:color="auto"/>
            </w:tcBorders>
            <w:vAlign w:val="center"/>
          </w:tcPr>
          <w:p w14:paraId="076962D2" w14:textId="77777777" w:rsidR="00637C41" w:rsidRPr="00482722" w:rsidRDefault="00637C41" w:rsidP="00A0426C">
            <w:pPr>
              <w:jc w:val="center"/>
              <w:rPr>
                <w:rFonts w:ascii="Arial" w:eastAsia="Times New Roman" w:hAnsi="Arial" w:cs="Arial"/>
                <w:sz w:val="20"/>
                <w:szCs w:val="20"/>
              </w:rPr>
            </w:pPr>
            <w:r w:rsidRPr="00482722">
              <w:rPr>
                <w:rFonts w:ascii="Arial" w:hAnsi="Arial" w:cs="Arial"/>
                <w:sz w:val="20"/>
                <w:szCs w:val="20"/>
              </w:rPr>
              <w:t>Direct effect</w:t>
            </w:r>
          </w:p>
        </w:tc>
        <w:tc>
          <w:tcPr>
            <w:tcW w:w="1393" w:type="pct"/>
            <w:gridSpan w:val="5"/>
            <w:tcBorders>
              <w:top w:val="single" w:sz="4" w:space="0" w:color="auto"/>
              <w:bottom w:val="single" w:sz="4" w:space="0" w:color="auto"/>
            </w:tcBorders>
            <w:vAlign w:val="center"/>
          </w:tcPr>
          <w:p w14:paraId="7100D80B" w14:textId="77777777" w:rsidR="00637C41" w:rsidRPr="00482722" w:rsidRDefault="00637C41" w:rsidP="00A0426C">
            <w:pPr>
              <w:jc w:val="center"/>
              <w:rPr>
                <w:rFonts w:ascii="Arial" w:eastAsia="Times New Roman" w:hAnsi="Arial" w:cs="Arial"/>
                <w:sz w:val="20"/>
                <w:szCs w:val="20"/>
              </w:rPr>
            </w:pPr>
            <w:r w:rsidRPr="00482722">
              <w:rPr>
                <w:rFonts w:ascii="Arial" w:hAnsi="Arial" w:cs="Arial"/>
                <w:sz w:val="20"/>
                <w:szCs w:val="20"/>
              </w:rPr>
              <w:t>Indirect effect</w:t>
            </w:r>
          </w:p>
        </w:tc>
        <w:tc>
          <w:tcPr>
            <w:tcW w:w="1389" w:type="pct"/>
            <w:gridSpan w:val="5"/>
            <w:tcBorders>
              <w:top w:val="single" w:sz="4" w:space="0" w:color="auto"/>
              <w:bottom w:val="single" w:sz="4" w:space="0" w:color="auto"/>
            </w:tcBorders>
            <w:vAlign w:val="center"/>
          </w:tcPr>
          <w:p w14:paraId="486D2252" w14:textId="77777777" w:rsidR="00637C41" w:rsidRPr="00482722" w:rsidRDefault="00637C41" w:rsidP="00A0426C">
            <w:pPr>
              <w:jc w:val="center"/>
              <w:rPr>
                <w:rFonts w:ascii="Arial" w:eastAsia="Times New Roman" w:hAnsi="Arial" w:cs="Arial"/>
                <w:sz w:val="20"/>
                <w:szCs w:val="20"/>
              </w:rPr>
            </w:pPr>
            <w:r w:rsidRPr="00482722">
              <w:rPr>
                <w:rFonts w:ascii="Arial" w:hAnsi="Arial" w:cs="Arial"/>
                <w:sz w:val="20"/>
                <w:szCs w:val="20"/>
              </w:rPr>
              <w:t>Total effect</w:t>
            </w:r>
          </w:p>
        </w:tc>
      </w:tr>
      <w:tr w:rsidR="00482722" w:rsidRPr="00482722" w14:paraId="2C60E7CE" w14:textId="77777777" w:rsidTr="00A0426C">
        <w:trPr>
          <w:jc w:val="center"/>
        </w:trPr>
        <w:tc>
          <w:tcPr>
            <w:tcW w:w="278" w:type="pct"/>
            <w:tcBorders>
              <w:top w:val="single" w:sz="4" w:space="0" w:color="auto"/>
            </w:tcBorders>
            <w:vAlign w:val="center"/>
          </w:tcPr>
          <w:p w14:paraId="7B0069A4" w14:textId="77777777" w:rsidR="00637C41" w:rsidRPr="00482722" w:rsidRDefault="00637C41" w:rsidP="00A0426C">
            <w:pPr>
              <w:rPr>
                <w:rFonts w:ascii="Arial" w:eastAsia="Times New Roman" w:hAnsi="Arial" w:cs="Arial"/>
                <w:sz w:val="20"/>
                <w:szCs w:val="20"/>
              </w:rPr>
            </w:pPr>
          </w:p>
        </w:tc>
        <w:tc>
          <w:tcPr>
            <w:tcW w:w="278" w:type="pct"/>
            <w:tcBorders>
              <w:top w:val="single" w:sz="4" w:space="0" w:color="auto"/>
            </w:tcBorders>
            <w:vAlign w:val="center"/>
          </w:tcPr>
          <w:p w14:paraId="59E1B98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SQ</w:t>
            </w:r>
          </w:p>
        </w:tc>
        <w:tc>
          <w:tcPr>
            <w:tcW w:w="278" w:type="pct"/>
            <w:tcBorders>
              <w:top w:val="single" w:sz="4" w:space="0" w:color="auto"/>
            </w:tcBorders>
            <w:vAlign w:val="center"/>
          </w:tcPr>
          <w:p w14:paraId="4397611C"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DT</w:t>
            </w:r>
          </w:p>
        </w:tc>
        <w:tc>
          <w:tcPr>
            <w:tcW w:w="278" w:type="pct"/>
            <w:tcBorders>
              <w:top w:val="single" w:sz="4" w:space="0" w:color="auto"/>
            </w:tcBorders>
            <w:vAlign w:val="center"/>
          </w:tcPr>
          <w:p w14:paraId="21754CAF"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TG</w:t>
            </w:r>
          </w:p>
        </w:tc>
        <w:tc>
          <w:tcPr>
            <w:tcW w:w="271" w:type="pct"/>
            <w:tcBorders>
              <w:top w:val="single" w:sz="4" w:space="0" w:color="auto"/>
            </w:tcBorders>
            <w:vAlign w:val="center"/>
          </w:tcPr>
          <w:p w14:paraId="2C0BA36D"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TEG</w:t>
            </w:r>
          </w:p>
        </w:tc>
        <w:tc>
          <w:tcPr>
            <w:tcW w:w="278" w:type="pct"/>
            <w:tcBorders>
              <w:top w:val="single" w:sz="4" w:space="0" w:color="auto"/>
            </w:tcBorders>
            <w:vAlign w:val="center"/>
          </w:tcPr>
          <w:p w14:paraId="55895BDF"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CS</w:t>
            </w:r>
          </w:p>
        </w:tc>
        <w:tc>
          <w:tcPr>
            <w:tcW w:w="278" w:type="pct"/>
            <w:tcBorders>
              <w:top w:val="single" w:sz="4" w:space="0" w:color="auto"/>
            </w:tcBorders>
            <w:vAlign w:val="center"/>
          </w:tcPr>
          <w:p w14:paraId="11965A99"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SQ</w:t>
            </w:r>
          </w:p>
        </w:tc>
        <w:tc>
          <w:tcPr>
            <w:tcW w:w="278" w:type="pct"/>
            <w:tcBorders>
              <w:top w:val="single" w:sz="4" w:space="0" w:color="auto"/>
            </w:tcBorders>
            <w:vAlign w:val="center"/>
          </w:tcPr>
          <w:p w14:paraId="501E583A"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DT</w:t>
            </w:r>
          </w:p>
        </w:tc>
        <w:tc>
          <w:tcPr>
            <w:tcW w:w="278" w:type="pct"/>
            <w:tcBorders>
              <w:top w:val="single" w:sz="4" w:space="0" w:color="auto"/>
            </w:tcBorders>
            <w:vAlign w:val="center"/>
          </w:tcPr>
          <w:p w14:paraId="372B8F3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TG</w:t>
            </w:r>
          </w:p>
        </w:tc>
        <w:tc>
          <w:tcPr>
            <w:tcW w:w="278" w:type="pct"/>
            <w:tcBorders>
              <w:top w:val="single" w:sz="4" w:space="0" w:color="auto"/>
            </w:tcBorders>
            <w:vAlign w:val="center"/>
          </w:tcPr>
          <w:p w14:paraId="1D21611C"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TEG</w:t>
            </w:r>
          </w:p>
        </w:tc>
        <w:tc>
          <w:tcPr>
            <w:tcW w:w="280" w:type="pct"/>
            <w:tcBorders>
              <w:top w:val="single" w:sz="4" w:space="0" w:color="auto"/>
            </w:tcBorders>
            <w:vAlign w:val="center"/>
          </w:tcPr>
          <w:p w14:paraId="249730E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CS</w:t>
            </w:r>
          </w:p>
        </w:tc>
        <w:tc>
          <w:tcPr>
            <w:tcW w:w="278" w:type="pct"/>
            <w:tcBorders>
              <w:top w:val="single" w:sz="4" w:space="0" w:color="auto"/>
            </w:tcBorders>
            <w:vAlign w:val="center"/>
          </w:tcPr>
          <w:p w14:paraId="573B336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SQ</w:t>
            </w:r>
          </w:p>
        </w:tc>
        <w:tc>
          <w:tcPr>
            <w:tcW w:w="278" w:type="pct"/>
            <w:tcBorders>
              <w:top w:val="single" w:sz="4" w:space="0" w:color="auto"/>
            </w:tcBorders>
            <w:vAlign w:val="center"/>
          </w:tcPr>
          <w:p w14:paraId="152FE670"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DT</w:t>
            </w:r>
          </w:p>
        </w:tc>
        <w:tc>
          <w:tcPr>
            <w:tcW w:w="278" w:type="pct"/>
            <w:tcBorders>
              <w:top w:val="single" w:sz="4" w:space="0" w:color="auto"/>
            </w:tcBorders>
            <w:vAlign w:val="center"/>
          </w:tcPr>
          <w:p w14:paraId="69A81F5E"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TG</w:t>
            </w:r>
          </w:p>
        </w:tc>
        <w:tc>
          <w:tcPr>
            <w:tcW w:w="278" w:type="pct"/>
            <w:tcBorders>
              <w:top w:val="single" w:sz="4" w:space="0" w:color="auto"/>
            </w:tcBorders>
            <w:vAlign w:val="center"/>
          </w:tcPr>
          <w:p w14:paraId="71C83A54"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TEG</w:t>
            </w:r>
          </w:p>
        </w:tc>
        <w:tc>
          <w:tcPr>
            <w:tcW w:w="276" w:type="pct"/>
            <w:tcBorders>
              <w:top w:val="single" w:sz="4" w:space="0" w:color="auto"/>
            </w:tcBorders>
            <w:vAlign w:val="center"/>
          </w:tcPr>
          <w:p w14:paraId="297298E9"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CS</w:t>
            </w:r>
          </w:p>
        </w:tc>
      </w:tr>
      <w:tr w:rsidR="00482722" w:rsidRPr="00482722" w14:paraId="4D754676" w14:textId="77777777" w:rsidTr="00A0426C">
        <w:trPr>
          <w:jc w:val="center"/>
        </w:trPr>
        <w:tc>
          <w:tcPr>
            <w:tcW w:w="278" w:type="pct"/>
            <w:vAlign w:val="center"/>
          </w:tcPr>
          <w:p w14:paraId="1CA9966A" w14:textId="77777777" w:rsidR="00637C41" w:rsidRPr="00482722" w:rsidRDefault="00637C41" w:rsidP="00A0426C">
            <w:pPr>
              <w:rPr>
                <w:rFonts w:ascii="Arial" w:eastAsia="Times New Roman" w:hAnsi="Arial" w:cs="Arial"/>
                <w:sz w:val="20"/>
                <w:szCs w:val="20"/>
              </w:rPr>
            </w:pPr>
            <w:r w:rsidRPr="00482722">
              <w:rPr>
                <w:rFonts w:ascii="Arial" w:eastAsia="Times New Roman" w:hAnsi="Arial" w:cs="Arial"/>
                <w:sz w:val="20"/>
                <w:szCs w:val="20"/>
              </w:rPr>
              <w:t>TG</w:t>
            </w:r>
          </w:p>
        </w:tc>
        <w:tc>
          <w:tcPr>
            <w:tcW w:w="278" w:type="pct"/>
            <w:vAlign w:val="center"/>
          </w:tcPr>
          <w:p w14:paraId="30FC2C69"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.573</w:t>
            </w:r>
          </w:p>
        </w:tc>
        <w:tc>
          <w:tcPr>
            <w:tcW w:w="278" w:type="pct"/>
            <w:vAlign w:val="center"/>
          </w:tcPr>
          <w:p w14:paraId="5540920F"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.300</w:t>
            </w:r>
          </w:p>
        </w:tc>
        <w:tc>
          <w:tcPr>
            <w:tcW w:w="278" w:type="pct"/>
            <w:vAlign w:val="center"/>
          </w:tcPr>
          <w:p w14:paraId="29302217" w14:textId="77777777" w:rsidR="00637C41" w:rsidRPr="00482722" w:rsidRDefault="00637C41" w:rsidP="00A0426C">
            <w:pPr>
              <w:jc w:val="center"/>
              <w:rPr>
                <w:rFonts w:ascii="Arial" w:eastAsia="Times New Roman" w:hAnsi="Arial" w:cs="Arial"/>
                <w:sz w:val="20"/>
                <w:szCs w:val="20"/>
              </w:rPr>
            </w:pPr>
          </w:p>
        </w:tc>
        <w:tc>
          <w:tcPr>
            <w:tcW w:w="271" w:type="pct"/>
            <w:vAlign w:val="center"/>
          </w:tcPr>
          <w:p w14:paraId="3698A1A0"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87D45BA"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8E8B8CE"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33066E36"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8BECA03"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6A589800" w14:textId="77777777" w:rsidR="00637C41" w:rsidRPr="00482722" w:rsidRDefault="00637C41" w:rsidP="00A0426C">
            <w:pPr>
              <w:jc w:val="center"/>
              <w:rPr>
                <w:rFonts w:ascii="Arial" w:eastAsia="Times New Roman" w:hAnsi="Arial" w:cs="Arial"/>
                <w:sz w:val="20"/>
                <w:szCs w:val="20"/>
              </w:rPr>
            </w:pPr>
          </w:p>
        </w:tc>
        <w:tc>
          <w:tcPr>
            <w:tcW w:w="280" w:type="pct"/>
            <w:vAlign w:val="center"/>
          </w:tcPr>
          <w:p w14:paraId="63CC19B4"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2803093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.573</w:t>
            </w:r>
          </w:p>
        </w:tc>
        <w:tc>
          <w:tcPr>
            <w:tcW w:w="278" w:type="pct"/>
            <w:vAlign w:val="center"/>
          </w:tcPr>
          <w:p w14:paraId="1784B834"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.300</w:t>
            </w:r>
          </w:p>
        </w:tc>
        <w:tc>
          <w:tcPr>
            <w:tcW w:w="278" w:type="pct"/>
            <w:vAlign w:val="center"/>
          </w:tcPr>
          <w:p w14:paraId="599B7217"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3B74B5F8" w14:textId="77777777" w:rsidR="00637C41" w:rsidRPr="00482722" w:rsidRDefault="00637C41" w:rsidP="00A0426C">
            <w:pPr>
              <w:jc w:val="center"/>
              <w:rPr>
                <w:rFonts w:ascii="Arial" w:eastAsia="Times New Roman" w:hAnsi="Arial" w:cs="Arial"/>
                <w:sz w:val="20"/>
                <w:szCs w:val="20"/>
              </w:rPr>
            </w:pPr>
          </w:p>
        </w:tc>
        <w:tc>
          <w:tcPr>
            <w:tcW w:w="276" w:type="pct"/>
            <w:vAlign w:val="center"/>
          </w:tcPr>
          <w:p w14:paraId="0775CE3A" w14:textId="77777777" w:rsidR="00637C41" w:rsidRPr="00482722" w:rsidRDefault="00637C41" w:rsidP="00A0426C">
            <w:pPr>
              <w:jc w:val="center"/>
              <w:rPr>
                <w:rFonts w:ascii="Arial" w:eastAsia="Times New Roman" w:hAnsi="Arial" w:cs="Arial"/>
                <w:sz w:val="20"/>
                <w:szCs w:val="20"/>
              </w:rPr>
            </w:pPr>
          </w:p>
        </w:tc>
      </w:tr>
      <w:tr w:rsidR="00482722" w:rsidRPr="00482722" w14:paraId="64FE015C" w14:textId="77777777" w:rsidTr="00A0426C">
        <w:trPr>
          <w:jc w:val="center"/>
        </w:trPr>
        <w:tc>
          <w:tcPr>
            <w:tcW w:w="278" w:type="pct"/>
            <w:vAlign w:val="center"/>
          </w:tcPr>
          <w:p w14:paraId="271CE9F8" w14:textId="77777777" w:rsidR="00637C41" w:rsidRPr="00482722" w:rsidRDefault="00637C41" w:rsidP="00A0426C">
            <w:pPr>
              <w:rPr>
                <w:rFonts w:ascii="Arial" w:eastAsia="Times New Roman" w:hAnsi="Arial" w:cs="Arial"/>
                <w:sz w:val="20"/>
                <w:szCs w:val="20"/>
              </w:rPr>
            </w:pPr>
            <w:r w:rsidRPr="00482722">
              <w:rPr>
                <w:rFonts w:ascii="Arial" w:eastAsia="Times New Roman" w:hAnsi="Arial" w:cs="Arial"/>
                <w:sz w:val="20"/>
                <w:szCs w:val="20"/>
              </w:rPr>
              <w:t>TEG</w:t>
            </w:r>
          </w:p>
        </w:tc>
        <w:tc>
          <w:tcPr>
            <w:tcW w:w="278" w:type="pct"/>
            <w:vAlign w:val="center"/>
          </w:tcPr>
          <w:p w14:paraId="1B48A56A"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.604</w:t>
            </w:r>
          </w:p>
        </w:tc>
        <w:tc>
          <w:tcPr>
            <w:tcW w:w="278" w:type="pct"/>
            <w:vAlign w:val="center"/>
          </w:tcPr>
          <w:p w14:paraId="4CFE909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.080</w:t>
            </w:r>
          </w:p>
        </w:tc>
        <w:tc>
          <w:tcPr>
            <w:tcW w:w="278" w:type="pct"/>
            <w:vAlign w:val="center"/>
          </w:tcPr>
          <w:p w14:paraId="5CFD32AA"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.137</w:t>
            </w:r>
          </w:p>
        </w:tc>
        <w:tc>
          <w:tcPr>
            <w:tcW w:w="271" w:type="pct"/>
            <w:vAlign w:val="center"/>
          </w:tcPr>
          <w:p w14:paraId="788D86BC"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6876D879"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325B95AA"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.078</w:t>
            </w:r>
          </w:p>
        </w:tc>
        <w:tc>
          <w:tcPr>
            <w:tcW w:w="278" w:type="pct"/>
            <w:vAlign w:val="center"/>
          </w:tcPr>
          <w:p w14:paraId="7E89705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.041</w:t>
            </w:r>
          </w:p>
        </w:tc>
        <w:tc>
          <w:tcPr>
            <w:tcW w:w="278" w:type="pct"/>
            <w:vAlign w:val="center"/>
          </w:tcPr>
          <w:p w14:paraId="79A70A9F"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84F7A50" w14:textId="77777777" w:rsidR="00637C41" w:rsidRPr="00482722" w:rsidRDefault="00637C41" w:rsidP="00A0426C">
            <w:pPr>
              <w:jc w:val="center"/>
              <w:rPr>
                <w:rFonts w:ascii="Arial" w:eastAsia="Times New Roman" w:hAnsi="Arial" w:cs="Arial"/>
                <w:sz w:val="20"/>
                <w:szCs w:val="20"/>
              </w:rPr>
            </w:pPr>
          </w:p>
        </w:tc>
        <w:tc>
          <w:tcPr>
            <w:tcW w:w="280" w:type="pct"/>
            <w:vAlign w:val="center"/>
          </w:tcPr>
          <w:p w14:paraId="3C140EFA"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688F6456"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.682</w:t>
            </w:r>
          </w:p>
        </w:tc>
        <w:tc>
          <w:tcPr>
            <w:tcW w:w="278" w:type="pct"/>
            <w:vAlign w:val="center"/>
          </w:tcPr>
          <w:p w14:paraId="6009171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.121</w:t>
            </w:r>
          </w:p>
        </w:tc>
        <w:tc>
          <w:tcPr>
            <w:tcW w:w="278" w:type="pct"/>
            <w:vAlign w:val="center"/>
          </w:tcPr>
          <w:p w14:paraId="57C719F4"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.137</w:t>
            </w:r>
          </w:p>
        </w:tc>
        <w:tc>
          <w:tcPr>
            <w:tcW w:w="278" w:type="pct"/>
            <w:vAlign w:val="center"/>
          </w:tcPr>
          <w:p w14:paraId="0C3B8E9E" w14:textId="77777777" w:rsidR="00637C41" w:rsidRPr="00482722" w:rsidRDefault="00637C41" w:rsidP="00A0426C">
            <w:pPr>
              <w:jc w:val="center"/>
              <w:rPr>
                <w:rFonts w:ascii="Arial" w:eastAsia="Times New Roman" w:hAnsi="Arial" w:cs="Arial"/>
                <w:sz w:val="20"/>
                <w:szCs w:val="20"/>
              </w:rPr>
            </w:pPr>
          </w:p>
        </w:tc>
        <w:tc>
          <w:tcPr>
            <w:tcW w:w="276" w:type="pct"/>
            <w:vAlign w:val="center"/>
          </w:tcPr>
          <w:p w14:paraId="63DB093B" w14:textId="77777777" w:rsidR="00637C41" w:rsidRPr="00482722" w:rsidRDefault="00637C41" w:rsidP="00A0426C">
            <w:pPr>
              <w:jc w:val="center"/>
              <w:rPr>
                <w:rFonts w:ascii="Arial" w:eastAsia="Times New Roman" w:hAnsi="Arial" w:cs="Arial"/>
                <w:sz w:val="20"/>
                <w:szCs w:val="20"/>
              </w:rPr>
            </w:pPr>
          </w:p>
        </w:tc>
      </w:tr>
      <w:tr w:rsidR="00482722" w:rsidRPr="00482722" w14:paraId="44DEADD9" w14:textId="77777777" w:rsidTr="00A0426C">
        <w:trPr>
          <w:jc w:val="center"/>
        </w:trPr>
        <w:tc>
          <w:tcPr>
            <w:tcW w:w="278" w:type="pct"/>
            <w:vAlign w:val="center"/>
          </w:tcPr>
          <w:p w14:paraId="7F8719F5" w14:textId="77777777" w:rsidR="00637C41" w:rsidRPr="00482722" w:rsidRDefault="00637C41" w:rsidP="00A0426C">
            <w:pPr>
              <w:rPr>
                <w:rFonts w:ascii="Arial" w:eastAsia="Times New Roman" w:hAnsi="Arial" w:cs="Arial"/>
                <w:sz w:val="20"/>
                <w:szCs w:val="20"/>
              </w:rPr>
            </w:pPr>
            <w:r w:rsidRPr="00482722">
              <w:rPr>
                <w:rFonts w:ascii="Arial" w:eastAsia="Times New Roman" w:hAnsi="Arial" w:cs="Arial"/>
                <w:sz w:val="20"/>
                <w:szCs w:val="20"/>
              </w:rPr>
              <w:t>CS</w:t>
            </w:r>
          </w:p>
        </w:tc>
        <w:tc>
          <w:tcPr>
            <w:tcW w:w="278" w:type="pct"/>
            <w:vAlign w:val="center"/>
          </w:tcPr>
          <w:p w14:paraId="7CFBCFA6"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.283</w:t>
            </w:r>
          </w:p>
        </w:tc>
        <w:tc>
          <w:tcPr>
            <w:tcW w:w="278" w:type="pct"/>
            <w:vAlign w:val="center"/>
          </w:tcPr>
          <w:p w14:paraId="635A190D"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27FEA68"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.275</w:t>
            </w:r>
          </w:p>
        </w:tc>
        <w:tc>
          <w:tcPr>
            <w:tcW w:w="271" w:type="pct"/>
            <w:vAlign w:val="center"/>
          </w:tcPr>
          <w:p w14:paraId="505053B9"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.136</w:t>
            </w:r>
          </w:p>
        </w:tc>
        <w:tc>
          <w:tcPr>
            <w:tcW w:w="278" w:type="pct"/>
            <w:vAlign w:val="center"/>
          </w:tcPr>
          <w:p w14:paraId="34A8C609"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49C21B5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.251</w:t>
            </w:r>
          </w:p>
        </w:tc>
        <w:tc>
          <w:tcPr>
            <w:tcW w:w="278" w:type="pct"/>
            <w:vAlign w:val="center"/>
          </w:tcPr>
          <w:p w14:paraId="369FAACD"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.099</w:t>
            </w:r>
          </w:p>
        </w:tc>
        <w:tc>
          <w:tcPr>
            <w:tcW w:w="278" w:type="pct"/>
            <w:vAlign w:val="center"/>
          </w:tcPr>
          <w:p w14:paraId="26685E4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.019</w:t>
            </w:r>
          </w:p>
        </w:tc>
        <w:tc>
          <w:tcPr>
            <w:tcW w:w="278" w:type="pct"/>
            <w:vAlign w:val="center"/>
          </w:tcPr>
          <w:p w14:paraId="0CF5A18A" w14:textId="77777777" w:rsidR="00637C41" w:rsidRPr="00482722" w:rsidRDefault="00637C41" w:rsidP="00A0426C">
            <w:pPr>
              <w:jc w:val="center"/>
              <w:rPr>
                <w:rFonts w:ascii="Arial" w:eastAsia="Times New Roman" w:hAnsi="Arial" w:cs="Arial"/>
                <w:sz w:val="20"/>
                <w:szCs w:val="20"/>
              </w:rPr>
            </w:pPr>
          </w:p>
        </w:tc>
        <w:tc>
          <w:tcPr>
            <w:tcW w:w="280" w:type="pct"/>
            <w:vAlign w:val="center"/>
          </w:tcPr>
          <w:p w14:paraId="4642D325"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0CAB0C22"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.534</w:t>
            </w:r>
          </w:p>
        </w:tc>
        <w:tc>
          <w:tcPr>
            <w:tcW w:w="278" w:type="pct"/>
            <w:vAlign w:val="center"/>
          </w:tcPr>
          <w:p w14:paraId="18FD381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.099</w:t>
            </w:r>
          </w:p>
        </w:tc>
        <w:tc>
          <w:tcPr>
            <w:tcW w:w="278" w:type="pct"/>
            <w:vAlign w:val="center"/>
          </w:tcPr>
          <w:p w14:paraId="455D85A0"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.294</w:t>
            </w:r>
          </w:p>
        </w:tc>
        <w:tc>
          <w:tcPr>
            <w:tcW w:w="278" w:type="pct"/>
            <w:vAlign w:val="center"/>
          </w:tcPr>
          <w:p w14:paraId="2FDC189A"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.136</w:t>
            </w:r>
          </w:p>
        </w:tc>
        <w:tc>
          <w:tcPr>
            <w:tcW w:w="276" w:type="pct"/>
            <w:vAlign w:val="center"/>
          </w:tcPr>
          <w:p w14:paraId="29A89EBE" w14:textId="77777777" w:rsidR="00637C41" w:rsidRPr="00482722" w:rsidRDefault="00637C41" w:rsidP="00A0426C">
            <w:pPr>
              <w:jc w:val="center"/>
              <w:rPr>
                <w:rFonts w:ascii="Arial" w:eastAsia="Times New Roman" w:hAnsi="Arial" w:cs="Arial"/>
                <w:sz w:val="20"/>
                <w:szCs w:val="20"/>
              </w:rPr>
            </w:pPr>
          </w:p>
        </w:tc>
      </w:tr>
      <w:tr w:rsidR="00637C41" w:rsidRPr="00482722" w14:paraId="7FF8A08B" w14:textId="77777777" w:rsidTr="00A0426C">
        <w:trPr>
          <w:jc w:val="center"/>
        </w:trPr>
        <w:tc>
          <w:tcPr>
            <w:tcW w:w="278" w:type="pct"/>
            <w:vAlign w:val="center"/>
          </w:tcPr>
          <w:p w14:paraId="2DC03AF8" w14:textId="77777777" w:rsidR="00637C41" w:rsidRPr="00482722" w:rsidRDefault="00637C41" w:rsidP="00A0426C">
            <w:pPr>
              <w:rPr>
                <w:rFonts w:ascii="Arial" w:eastAsia="Times New Roman" w:hAnsi="Arial" w:cs="Arial"/>
                <w:sz w:val="20"/>
                <w:szCs w:val="20"/>
              </w:rPr>
            </w:pPr>
            <w:r w:rsidRPr="00482722">
              <w:rPr>
                <w:rFonts w:ascii="Arial" w:eastAsia="Times New Roman" w:hAnsi="Arial" w:cs="Arial"/>
                <w:sz w:val="20"/>
                <w:szCs w:val="20"/>
              </w:rPr>
              <w:t>CL</w:t>
            </w:r>
          </w:p>
        </w:tc>
        <w:tc>
          <w:tcPr>
            <w:tcW w:w="278" w:type="pct"/>
            <w:vAlign w:val="center"/>
          </w:tcPr>
          <w:p w14:paraId="42A30D77"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.188</w:t>
            </w:r>
          </w:p>
        </w:tc>
        <w:tc>
          <w:tcPr>
            <w:tcW w:w="278" w:type="pct"/>
            <w:vAlign w:val="center"/>
          </w:tcPr>
          <w:p w14:paraId="0448721D"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6A4E7AE1"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.457</w:t>
            </w:r>
          </w:p>
        </w:tc>
        <w:tc>
          <w:tcPr>
            <w:tcW w:w="271" w:type="pct"/>
            <w:vAlign w:val="center"/>
          </w:tcPr>
          <w:p w14:paraId="5FCCFA5B"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.189</w:t>
            </w:r>
          </w:p>
        </w:tc>
        <w:tc>
          <w:tcPr>
            <w:tcW w:w="278" w:type="pct"/>
            <w:vAlign w:val="center"/>
          </w:tcPr>
          <w:p w14:paraId="55AD4F1F"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.092</w:t>
            </w:r>
          </w:p>
        </w:tc>
        <w:tc>
          <w:tcPr>
            <w:tcW w:w="278" w:type="pct"/>
            <w:vAlign w:val="center"/>
          </w:tcPr>
          <w:p w14:paraId="74C13ED6"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.440</w:t>
            </w:r>
          </w:p>
        </w:tc>
        <w:tc>
          <w:tcPr>
            <w:tcW w:w="278" w:type="pct"/>
            <w:vAlign w:val="center"/>
          </w:tcPr>
          <w:p w14:paraId="34948B22"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.169</w:t>
            </w:r>
          </w:p>
        </w:tc>
        <w:tc>
          <w:tcPr>
            <w:tcW w:w="278" w:type="pct"/>
            <w:vAlign w:val="center"/>
          </w:tcPr>
          <w:p w14:paraId="41AA66B3"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.053</w:t>
            </w:r>
          </w:p>
        </w:tc>
        <w:tc>
          <w:tcPr>
            <w:tcW w:w="278" w:type="pct"/>
            <w:vAlign w:val="center"/>
          </w:tcPr>
          <w:p w14:paraId="4132C894"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.013</w:t>
            </w:r>
          </w:p>
        </w:tc>
        <w:tc>
          <w:tcPr>
            <w:tcW w:w="280" w:type="pct"/>
            <w:vAlign w:val="center"/>
          </w:tcPr>
          <w:p w14:paraId="5445B0A7" w14:textId="77777777" w:rsidR="00637C41" w:rsidRPr="00482722" w:rsidRDefault="00637C41" w:rsidP="00A0426C">
            <w:pPr>
              <w:jc w:val="center"/>
              <w:rPr>
                <w:rFonts w:ascii="Arial" w:eastAsia="Times New Roman" w:hAnsi="Arial" w:cs="Arial"/>
                <w:sz w:val="20"/>
                <w:szCs w:val="20"/>
              </w:rPr>
            </w:pPr>
          </w:p>
        </w:tc>
        <w:tc>
          <w:tcPr>
            <w:tcW w:w="278" w:type="pct"/>
            <w:vAlign w:val="center"/>
          </w:tcPr>
          <w:p w14:paraId="1096DD2C"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.628</w:t>
            </w:r>
          </w:p>
        </w:tc>
        <w:tc>
          <w:tcPr>
            <w:tcW w:w="278" w:type="pct"/>
            <w:vAlign w:val="center"/>
          </w:tcPr>
          <w:p w14:paraId="06AFA70C"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.169</w:t>
            </w:r>
          </w:p>
        </w:tc>
        <w:tc>
          <w:tcPr>
            <w:tcW w:w="278" w:type="pct"/>
            <w:vAlign w:val="center"/>
          </w:tcPr>
          <w:p w14:paraId="1BA82478"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.510</w:t>
            </w:r>
          </w:p>
        </w:tc>
        <w:tc>
          <w:tcPr>
            <w:tcW w:w="278" w:type="pct"/>
            <w:vAlign w:val="center"/>
          </w:tcPr>
          <w:p w14:paraId="1C8BD069"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.202</w:t>
            </w:r>
          </w:p>
        </w:tc>
        <w:tc>
          <w:tcPr>
            <w:tcW w:w="276" w:type="pct"/>
            <w:vAlign w:val="center"/>
          </w:tcPr>
          <w:p w14:paraId="3AC70431" w14:textId="77777777" w:rsidR="00637C41" w:rsidRPr="00482722" w:rsidRDefault="00637C41" w:rsidP="00A0426C">
            <w:pPr>
              <w:jc w:val="center"/>
              <w:rPr>
                <w:rFonts w:ascii="Arial" w:eastAsia="Times New Roman" w:hAnsi="Arial" w:cs="Arial"/>
                <w:sz w:val="20"/>
                <w:szCs w:val="20"/>
              </w:rPr>
            </w:pPr>
            <w:r w:rsidRPr="00482722">
              <w:rPr>
                <w:rFonts w:ascii="Arial" w:eastAsia="Times New Roman" w:hAnsi="Arial" w:cs="Arial"/>
                <w:sz w:val="20"/>
                <w:szCs w:val="20"/>
              </w:rPr>
              <w:t>.092</w:t>
            </w:r>
          </w:p>
        </w:tc>
      </w:tr>
      <w:bookmarkEnd w:id="18"/>
    </w:tbl>
    <w:p w14:paraId="0033DF0C" w14:textId="77777777" w:rsidR="00637C41" w:rsidRPr="00482722" w:rsidRDefault="00637C41" w:rsidP="00637C41">
      <w:pPr>
        <w:spacing w:line="240" w:lineRule="auto"/>
        <w:jc w:val="both"/>
        <w:rPr>
          <w:rFonts w:ascii="Arial" w:hAnsi="Arial" w:cs="Arial"/>
          <w:sz w:val="20"/>
          <w:szCs w:val="20"/>
        </w:rPr>
      </w:pPr>
    </w:p>
    <w:bookmarkEnd w:id="19"/>
    <w:p w14:paraId="52010F32" w14:textId="77777777" w:rsidR="00637C41" w:rsidRPr="00482722" w:rsidRDefault="00637C41" w:rsidP="00637C41">
      <w:pPr>
        <w:spacing w:line="240" w:lineRule="auto"/>
        <w:jc w:val="both"/>
        <w:rPr>
          <w:rFonts w:ascii="Arial" w:hAnsi="Arial" w:cs="Arial"/>
          <w:sz w:val="20"/>
          <w:szCs w:val="20"/>
        </w:rPr>
      </w:pPr>
    </w:p>
    <w:p w14:paraId="3D4DE35C" w14:textId="77777777" w:rsidR="00283F7B" w:rsidRPr="00482722" w:rsidRDefault="00283F7B" w:rsidP="00DA5EEC">
      <w:pPr>
        <w:spacing w:line="240" w:lineRule="auto"/>
        <w:rPr>
          <w:rFonts w:ascii="Arial" w:hAnsi="Arial" w:cs="Arial"/>
          <w:b/>
          <w:bCs/>
          <w:sz w:val="20"/>
          <w:szCs w:val="20"/>
        </w:rPr>
      </w:pPr>
      <w:r w:rsidRPr="00482722">
        <w:rPr>
          <w:rFonts w:ascii="Arial" w:hAnsi="Arial" w:cs="Arial"/>
          <w:noProof/>
          <w:sz w:val="20"/>
          <w:szCs w:val="20"/>
          <w:lang w:eastAsia="en-GB"/>
        </w:rPr>
        <w:drawing>
          <wp:inline distT="0" distB="0" distL="0" distR="0" wp14:anchorId="15B983C6" wp14:editId="2FE9ECE4">
            <wp:extent cx="5273828" cy="6591300"/>
            <wp:effectExtent l="19050" t="19050" r="22225" b="1905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3828" cy="6591300"/>
                    </a:xfrm>
                    <a:prstGeom prst="rect">
                      <a:avLst/>
                    </a:prstGeom>
                    <a:ln w="19050">
                      <a:solidFill>
                        <a:schemeClr val="tx1"/>
                      </a:solidFill>
                    </a:ln>
                  </pic:spPr>
                </pic:pic>
              </a:graphicData>
            </a:graphic>
          </wp:inline>
        </w:drawing>
      </w:r>
    </w:p>
    <w:p w14:paraId="701816D0" w14:textId="49AE5E3E" w:rsidR="00283F7B" w:rsidRPr="00482722" w:rsidRDefault="00283F7B" w:rsidP="00DA5EEC">
      <w:pPr>
        <w:pStyle w:val="yiv9788245124msoplaintext"/>
        <w:spacing w:before="0" w:beforeAutospacing="0" w:after="240" w:afterAutospacing="0"/>
        <w:rPr>
          <w:rFonts w:ascii="Arial" w:hAnsi="Arial" w:cs="Arial"/>
          <w:sz w:val="20"/>
          <w:szCs w:val="20"/>
          <w:lang w:val="en-GB"/>
        </w:rPr>
      </w:pPr>
      <w:r w:rsidRPr="00482722">
        <w:rPr>
          <w:rFonts w:ascii="Arial" w:hAnsi="Arial" w:cs="Arial"/>
          <w:b/>
          <w:bCs/>
          <w:sz w:val="20"/>
          <w:szCs w:val="20"/>
          <w:lang w:val="en-GB"/>
        </w:rPr>
        <w:t>Figure 2</w:t>
      </w:r>
      <w:r w:rsidR="000F4780" w:rsidRPr="00482722">
        <w:rPr>
          <w:rFonts w:ascii="Arial" w:hAnsi="Arial" w:cs="Arial"/>
          <w:b/>
          <w:bCs/>
          <w:sz w:val="20"/>
          <w:szCs w:val="20"/>
          <w:lang w:val="en-GB"/>
        </w:rPr>
        <w:t>.</w:t>
      </w:r>
      <w:r w:rsidRPr="00482722">
        <w:rPr>
          <w:rFonts w:ascii="Arial" w:hAnsi="Arial" w:cs="Arial"/>
          <w:sz w:val="20"/>
          <w:szCs w:val="20"/>
          <w:lang w:val="en-GB"/>
        </w:rPr>
        <w:t xml:space="preserve"> Structural model testing </w:t>
      </w:r>
    </w:p>
    <w:bookmarkEnd w:id="20"/>
    <w:p w14:paraId="673013F5" w14:textId="77777777" w:rsidR="00283F7B" w:rsidRPr="00482722" w:rsidRDefault="00283F7B" w:rsidP="00DA5EEC">
      <w:pPr>
        <w:spacing w:line="240" w:lineRule="auto"/>
        <w:jc w:val="both"/>
        <w:rPr>
          <w:rFonts w:ascii="Arial" w:hAnsi="Arial" w:cs="Arial"/>
          <w:sz w:val="20"/>
          <w:szCs w:val="20"/>
        </w:rPr>
      </w:pPr>
    </w:p>
    <w:p w14:paraId="1F0FBADF" w14:textId="5930A985" w:rsidR="00283F7B" w:rsidRPr="00482722" w:rsidRDefault="00283F7B" w:rsidP="00DA5EEC">
      <w:pPr>
        <w:pStyle w:val="Heading1"/>
        <w:spacing w:line="240" w:lineRule="auto"/>
        <w:rPr>
          <w:rFonts w:ascii="Arial" w:hAnsi="Arial" w:cs="Arial"/>
          <w:sz w:val="20"/>
          <w:szCs w:val="20"/>
        </w:rPr>
      </w:pPr>
      <w:r w:rsidRPr="00482722">
        <w:rPr>
          <w:rFonts w:ascii="Arial" w:hAnsi="Arial" w:cs="Arial"/>
          <w:sz w:val="20"/>
          <w:szCs w:val="20"/>
        </w:rPr>
        <w:t>Discussion</w:t>
      </w:r>
    </w:p>
    <w:p w14:paraId="7156F6C2" w14:textId="2C52DC8D" w:rsidR="00DC40DE" w:rsidRPr="00482722" w:rsidRDefault="00DC40DE" w:rsidP="00DC40DE">
      <w:pPr>
        <w:spacing w:line="240" w:lineRule="auto"/>
        <w:jc w:val="both"/>
        <w:rPr>
          <w:rFonts w:ascii="Arial" w:hAnsi="Arial" w:cs="Arial"/>
          <w:sz w:val="20"/>
          <w:szCs w:val="20"/>
        </w:rPr>
      </w:pPr>
      <w:r w:rsidRPr="00482722">
        <w:rPr>
          <w:rFonts w:ascii="Arial" w:hAnsi="Arial" w:cs="Arial"/>
          <w:sz w:val="20"/>
          <w:szCs w:val="20"/>
        </w:rPr>
        <w:t>This study investigated citizen loyalty to e-government services</w:t>
      </w:r>
      <w:r w:rsidR="004235B7" w:rsidRPr="00482722">
        <w:rPr>
          <w:rFonts w:ascii="Arial" w:hAnsi="Arial" w:cs="Arial"/>
          <w:sz w:val="20"/>
          <w:szCs w:val="20"/>
        </w:rPr>
        <w:t>;</w:t>
      </w:r>
      <w:r w:rsidRPr="00482722">
        <w:rPr>
          <w:rFonts w:ascii="Arial" w:hAnsi="Arial" w:cs="Arial"/>
          <w:sz w:val="20"/>
          <w:szCs w:val="20"/>
        </w:rPr>
        <w:t xml:space="preserve"> namely</w:t>
      </w:r>
      <w:r w:rsidR="004235B7" w:rsidRPr="00482722">
        <w:rPr>
          <w:rFonts w:ascii="Arial" w:hAnsi="Arial" w:cs="Arial"/>
          <w:sz w:val="20"/>
          <w:szCs w:val="20"/>
        </w:rPr>
        <w:t>, the</w:t>
      </w:r>
      <w:r w:rsidRPr="00482722">
        <w:rPr>
          <w:rFonts w:ascii="Arial" w:hAnsi="Arial" w:cs="Arial"/>
          <w:sz w:val="20"/>
          <w:szCs w:val="20"/>
        </w:rPr>
        <w:t xml:space="preserve"> UEAS for academic admissions in Saudi Arabia. Drawing on existing theories and research </w:t>
      </w:r>
      <w:r w:rsidR="00E23997" w:rsidRPr="00482722">
        <w:rPr>
          <w:rFonts w:ascii="Arial" w:hAnsi="Arial" w:cs="Arial"/>
          <w:sz w:val="20"/>
          <w:szCs w:val="20"/>
        </w:rPr>
        <w:t>in</w:t>
      </w:r>
      <w:r w:rsidR="004235B7" w:rsidRPr="00482722">
        <w:rPr>
          <w:rFonts w:ascii="Arial" w:hAnsi="Arial" w:cs="Arial"/>
          <w:sz w:val="20"/>
          <w:szCs w:val="20"/>
        </w:rPr>
        <w:t xml:space="preserve"> the domains of</w:t>
      </w:r>
      <w:r w:rsidR="00E23997" w:rsidRPr="00482722">
        <w:rPr>
          <w:rFonts w:ascii="Arial" w:hAnsi="Arial" w:cs="Arial"/>
          <w:sz w:val="20"/>
          <w:szCs w:val="20"/>
        </w:rPr>
        <w:t xml:space="preserve"> </w:t>
      </w:r>
      <w:r w:rsidR="00D571A2" w:rsidRPr="00482722">
        <w:rPr>
          <w:rFonts w:ascii="Arial" w:hAnsi="Arial" w:cs="Arial"/>
          <w:sz w:val="20"/>
          <w:szCs w:val="20"/>
        </w:rPr>
        <w:t>IS,</w:t>
      </w:r>
      <w:r w:rsidRPr="00482722">
        <w:rPr>
          <w:rFonts w:ascii="Arial" w:hAnsi="Arial" w:cs="Arial"/>
          <w:sz w:val="20"/>
          <w:szCs w:val="20"/>
        </w:rPr>
        <w:t xml:space="preserve"> e-government, and marketing, this research proposed and empirically</w:t>
      </w:r>
      <w:r w:rsidR="004235B7" w:rsidRPr="00482722">
        <w:rPr>
          <w:rFonts w:ascii="Arial" w:hAnsi="Arial" w:cs="Arial"/>
          <w:sz w:val="20"/>
          <w:szCs w:val="20"/>
        </w:rPr>
        <w:t xml:space="preserve"> examined</w:t>
      </w:r>
      <w:r w:rsidRPr="00482722">
        <w:rPr>
          <w:rFonts w:ascii="Arial" w:hAnsi="Arial" w:cs="Arial"/>
          <w:sz w:val="20"/>
          <w:szCs w:val="20"/>
        </w:rPr>
        <w:t xml:space="preserve"> the direct and indirect effects of service quality, trust, and satisfaction on citizen loyalty to e-government services. </w:t>
      </w:r>
      <w:r w:rsidR="007C1602" w:rsidRPr="00482722">
        <w:rPr>
          <w:rFonts w:ascii="Arial" w:hAnsi="Arial" w:cs="Arial"/>
          <w:sz w:val="20"/>
          <w:szCs w:val="20"/>
        </w:rPr>
        <w:t>Overall</w:t>
      </w:r>
      <w:r w:rsidRPr="00482722">
        <w:rPr>
          <w:rFonts w:ascii="Arial" w:hAnsi="Arial" w:cs="Arial"/>
          <w:sz w:val="20"/>
          <w:szCs w:val="20"/>
        </w:rPr>
        <w:t xml:space="preserve">, the results support </w:t>
      </w:r>
      <w:r w:rsidR="00D571A2" w:rsidRPr="00482722">
        <w:rPr>
          <w:rFonts w:ascii="Arial" w:hAnsi="Arial" w:cs="Arial"/>
          <w:sz w:val="20"/>
          <w:szCs w:val="20"/>
        </w:rPr>
        <w:t>the model</w:t>
      </w:r>
      <w:r w:rsidRPr="00482722">
        <w:rPr>
          <w:rFonts w:ascii="Arial" w:hAnsi="Arial" w:cs="Arial"/>
          <w:sz w:val="20"/>
          <w:szCs w:val="20"/>
        </w:rPr>
        <w:t xml:space="preserve"> and hypotheses</w:t>
      </w:r>
      <w:r w:rsidR="007C1602" w:rsidRPr="00482722">
        <w:rPr>
          <w:rFonts w:ascii="Arial" w:hAnsi="Arial" w:cs="Arial"/>
          <w:sz w:val="20"/>
          <w:szCs w:val="20"/>
        </w:rPr>
        <w:t xml:space="preserve"> proposed in this research</w:t>
      </w:r>
      <w:r w:rsidRPr="00482722">
        <w:rPr>
          <w:rFonts w:ascii="Arial" w:hAnsi="Arial" w:cs="Arial"/>
          <w:sz w:val="20"/>
          <w:szCs w:val="20"/>
        </w:rPr>
        <w:t xml:space="preserve">. The integration of these </w:t>
      </w:r>
      <w:r w:rsidR="007C1602" w:rsidRPr="00482722">
        <w:rPr>
          <w:rFonts w:ascii="Arial" w:hAnsi="Arial" w:cs="Arial"/>
          <w:sz w:val="20"/>
          <w:szCs w:val="20"/>
        </w:rPr>
        <w:t xml:space="preserve">factors </w:t>
      </w:r>
      <w:r w:rsidRPr="00482722">
        <w:rPr>
          <w:rFonts w:ascii="Arial" w:hAnsi="Arial" w:cs="Arial"/>
          <w:sz w:val="20"/>
          <w:szCs w:val="20"/>
        </w:rPr>
        <w:t>advances the theoretical understanding of building citizen loyalty to e-government services as</w:t>
      </w:r>
      <w:r w:rsidR="000373DC" w:rsidRPr="00482722">
        <w:rPr>
          <w:rFonts w:ascii="Arial" w:hAnsi="Arial" w:cs="Arial"/>
          <w:sz w:val="20"/>
          <w:szCs w:val="20"/>
        </w:rPr>
        <w:t xml:space="preserve"> an</w:t>
      </w:r>
      <w:r w:rsidRPr="00482722">
        <w:rPr>
          <w:rFonts w:ascii="Arial" w:hAnsi="Arial" w:cs="Arial"/>
          <w:sz w:val="20"/>
          <w:szCs w:val="20"/>
        </w:rPr>
        <w:t xml:space="preserve"> essential method </w:t>
      </w:r>
      <w:r w:rsidR="000373DC" w:rsidRPr="00482722">
        <w:rPr>
          <w:rFonts w:ascii="Arial" w:hAnsi="Arial" w:cs="Arial"/>
          <w:sz w:val="20"/>
          <w:szCs w:val="20"/>
        </w:rPr>
        <w:t xml:space="preserve">of </w:t>
      </w:r>
      <w:r w:rsidRPr="00482722">
        <w:rPr>
          <w:rFonts w:ascii="Arial" w:hAnsi="Arial" w:cs="Arial"/>
          <w:sz w:val="20"/>
          <w:szCs w:val="20"/>
        </w:rPr>
        <w:t>enhanc</w:t>
      </w:r>
      <w:r w:rsidR="000373DC" w:rsidRPr="00482722">
        <w:rPr>
          <w:rFonts w:ascii="Arial" w:hAnsi="Arial" w:cs="Arial"/>
          <w:sz w:val="20"/>
          <w:szCs w:val="20"/>
        </w:rPr>
        <w:t>ing</w:t>
      </w:r>
      <w:r w:rsidRPr="00482722">
        <w:rPr>
          <w:rFonts w:ascii="Arial" w:hAnsi="Arial" w:cs="Arial"/>
          <w:sz w:val="20"/>
          <w:szCs w:val="20"/>
        </w:rPr>
        <w:t xml:space="preserve"> citizens</w:t>
      </w:r>
      <w:r w:rsidR="003040B2" w:rsidRPr="00482722">
        <w:rPr>
          <w:rFonts w:ascii="Arial" w:hAnsi="Arial" w:cs="Arial"/>
          <w:sz w:val="20"/>
          <w:szCs w:val="20"/>
        </w:rPr>
        <w:t>’</w:t>
      </w:r>
      <w:r w:rsidRPr="00482722">
        <w:rPr>
          <w:rFonts w:ascii="Arial" w:hAnsi="Arial" w:cs="Arial"/>
          <w:sz w:val="20"/>
          <w:szCs w:val="20"/>
        </w:rPr>
        <w:t xml:space="preserve"> sense of commitment to e-government services</w:t>
      </w:r>
      <w:r w:rsidR="000373DC" w:rsidRPr="00482722">
        <w:rPr>
          <w:rFonts w:ascii="Arial" w:hAnsi="Arial" w:cs="Arial"/>
          <w:sz w:val="20"/>
          <w:szCs w:val="20"/>
        </w:rPr>
        <w:t xml:space="preserve"> and</w:t>
      </w:r>
      <w:r w:rsidR="003E1515" w:rsidRPr="00482722">
        <w:rPr>
          <w:rFonts w:ascii="Arial" w:hAnsi="Arial" w:cs="Arial"/>
          <w:sz w:val="20"/>
          <w:szCs w:val="20"/>
        </w:rPr>
        <w:t xml:space="preserve"> increasing</w:t>
      </w:r>
      <w:r w:rsidRPr="00482722">
        <w:rPr>
          <w:rFonts w:ascii="Arial" w:hAnsi="Arial" w:cs="Arial"/>
          <w:sz w:val="20"/>
          <w:szCs w:val="20"/>
        </w:rPr>
        <w:t xml:space="preserve"> </w:t>
      </w:r>
      <w:r w:rsidR="00623EEC" w:rsidRPr="00482722">
        <w:rPr>
          <w:rFonts w:ascii="Arial" w:hAnsi="Arial" w:cs="Arial"/>
          <w:sz w:val="20"/>
          <w:szCs w:val="20"/>
        </w:rPr>
        <w:t xml:space="preserve">their </w:t>
      </w:r>
      <w:r w:rsidRPr="00482722">
        <w:rPr>
          <w:rFonts w:ascii="Arial" w:hAnsi="Arial" w:cs="Arial"/>
          <w:sz w:val="20"/>
          <w:szCs w:val="20"/>
        </w:rPr>
        <w:t xml:space="preserve">likelihood </w:t>
      </w:r>
      <w:r w:rsidR="00623EEC" w:rsidRPr="00482722">
        <w:rPr>
          <w:rFonts w:ascii="Arial" w:hAnsi="Arial" w:cs="Arial"/>
          <w:sz w:val="20"/>
          <w:szCs w:val="20"/>
        </w:rPr>
        <w:t>of</w:t>
      </w:r>
      <w:r w:rsidRPr="00482722">
        <w:rPr>
          <w:rFonts w:ascii="Arial" w:hAnsi="Arial" w:cs="Arial"/>
          <w:sz w:val="20"/>
          <w:szCs w:val="20"/>
        </w:rPr>
        <w:t xml:space="preserve"> patronis</w:t>
      </w:r>
      <w:r w:rsidR="00623EEC" w:rsidRPr="00482722">
        <w:rPr>
          <w:rFonts w:ascii="Arial" w:hAnsi="Arial" w:cs="Arial"/>
          <w:sz w:val="20"/>
          <w:szCs w:val="20"/>
        </w:rPr>
        <w:t>ing</w:t>
      </w:r>
      <w:r w:rsidRPr="00482722">
        <w:rPr>
          <w:rFonts w:ascii="Arial" w:hAnsi="Arial" w:cs="Arial"/>
          <w:sz w:val="20"/>
          <w:szCs w:val="20"/>
        </w:rPr>
        <w:t xml:space="preserve"> government agencies again (Chatfield and Alanazi, 2013; Connolly et al. 2010; Doong et al., 2010).</w:t>
      </w:r>
    </w:p>
    <w:p w14:paraId="3045763A" w14:textId="7093CDE3" w:rsidR="00DC40DE" w:rsidRPr="00482722" w:rsidRDefault="007C1602" w:rsidP="00DC40DE">
      <w:pPr>
        <w:spacing w:line="240" w:lineRule="auto"/>
        <w:jc w:val="both"/>
        <w:rPr>
          <w:rFonts w:ascii="Arial" w:hAnsi="Arial" w:cs="Arial"/>
          <w:sz w:val="20"/>
          <w:szCs w:val="20"/>
        </w:rPr>
      </w:pPr>
      <w:r w:rsidRPr="00482722">
        <w:rPr>
          <w:rFonts w:ascii="Arial" w:hAnsi="Arial" w:cs="Arial"/>
          <w:sz w:val="20"/>
          <w:szCs w:val="20"/>
        </w:rPr>
        <w:t>T</w:t>
      </w:r>
      <w:r w:rsidR="00DC40DE" w:rsidRPr="00482722">
        <w:rPr>
          <w:rFonts w:ascii="Arial" w:hAnsi="Arial" w:cs="Arial"/>
          <w:sz w:val="20"/>
          <w:szCs w:val="20"/>
        </w:rPr>
        <w:t xml:space="preserve">he findings of this </w:t>
      </w:r>
      <w:r w:rsidR="00D571A2" w:rsidRPr="00482722">
        <w:rPr>
          <w:rFonts w:ascii="Arial" w:hAnsi="Arial" w:cs="Arial"/>
          <w:sz w:val="20"/>
          <w:szCs w:val="20"/>
        </w:rPr>
        <w:t>study revealed</w:t>
      </w:r>
      <w:r w:rsidR="00DC40DE" w:rsidRPr="00482722">
        <w:rPr>
          <w:rFonts w:ascii="Arial" w:hAnsi="Arial" w:cs="Arial"/>
          <w:sz w:val="20"/>
          <w:szCs w:val="20"/>
        </w:rPr>
        <w:t xml:space="preserve"> that disposition to trust ha</w:t>
      </w:r>
      <w:r w:rsidR="003E1515" w:rsidRPr="00482722">
        <w:rPr>
          <w:rFonts w:ascii="Arial" w:hAnsi="Arial" w:cs="Arial"/>
          <w:sz w:val="20"/>
          <w:szCs w:val="20"/>
        </w:rPr>
        <w:t>s</w:t>
      </w:r>
      <w:r w:rsidR="00DC40DE" w:rsidRPr="00482722">
        <w:rPr>
          <w:rFonts w:ascii="Arial" w:hAnsi="Arial" w:cs="Arial"/>
          <w:sz w:val="20"/>
          <w:szCs w:val="20"/>
        </w:rPr>
        <w:t xml:space="preserve"> a more significant effect on trust in government </w:t>
      </w:r>
      <w:r w:rsidR="00F46FEB" w:rsidRPr="00482722">
        <w:rPr>
          <w:rFonts w:ascii="Arial" w:hAnsi="Arial" w:cs="Arial"/>
          <w:sz w:val="20"/>
          <w:szCs w:val="20"/>
        </w:rPr>
        <w:t>than on</w:t>
      </w:r>
      <w:r w:rsidR="00DC40DE" w:rsidRPr="00482722">
        <w:rPr>
          <w:rFonts w:ascii="Arial" w:hAnsi="Arial" w:cs="Arial"/>
          <w:sz w:val="20"/>
          <w:szCs w:val="20"/>
        </w:rPr>
        <w:t xml:space="preserve"> trust in e-government. This result is not consistent with </w:t>
      </w:r>
      <w:r w:rsidR="00F46FEB" w:rsidRPr="00482722">
        <w:rPr>
          <w:rFonts w:ascii="Arial" w:hAnsi="Arial" w:cs="Arial"/>
          <w:sz w:val="20"/>
          <w:szCs w:val="20"/>
        </w:rPr>
        <w:t xml:space="preserve">the </w:t>
      </w:r>
      <w:r w:rsidR="00DC40DE" w:rsidRPr="00482722">
        <w:rPr>
          <w:rFonts w:ascii="Arial" w:hAnsi="Arial" w:cs="Arial"/>
          <w:sz w:val="20"/>
          <w:szCs w:val="20"/>
        </w:rPr>
        <w:t>existing literature (e.g., Bélanger and Carter, 2008), which showed that disposition to trust ha</w:t>
      </w:r>
      <w:r w:rsidR="003E1515" w:rsidRPr="00482722">
        <w:rPr>
          <w:rFonts w:ascii="Arial" w:hAnsi="Arial" w:cs="Arial"/>
          <w:sz w:val="20"/>
          <w:szCs w:val="20"/>
        </w:rPr>
        <w:t>s</w:t>
      </w:r>
      <w:r w:rsidR="00DC40DE" w:rsidRPr="00482722">
        <w:rPr>
          <w:rFonts w:ascii="Arial" w:hAnsi="Arial" w:cs="Arial"/>
          <w:sz w:val="20"/>
          <w:szCs w:val="20"/>
        </w:rPr>
        <w:t xml:space="preserve"> an almost equal direct effect on both trust in government and trust in e-government. This may mean that </w:t>
      </w:r>
      <w:r w:rsidR="003E1515" w:rsidRPr="00482722">
        <w:rPr>
          <w:rFonts w:ascii="Arial" w:hAnsi="Arial" w:cs="Arial"/>
          <w:sz w:val="20"/>
          <w:szCs w:val="20"/>
        </w:rPr>
        <w:t xml:space="preserve">the </w:t>
      </w:r>
      <w:r w:rsidR="00DC40DE" w:rsidRPr="00482722">
        <w:rPr>
          <w:rFonts w:ascii="Arial" w:hAnsi="Arial" w:cs="Arial"/>
          <w:sz w:val="20"/>
          <w:szCs w:val="20"/>
        </w:rPr>
        <w:t xml:space="preserve">students </w:t>
      </w:r>
      <w:r w:rsidR="003E1515" w:rsidRPr="00482722">
        <w:rPr>
          <w:rFonts w:ascii="Arial" w:hAnsi="Arial" w:cs="Arial"/>
          <w:sz w:val="20"/>
          <w:szCs w:val="20"/>
        </w:rPr>
        <w:t xml:space="preserve">in this study </w:t>
      </w:r>
      <w:r w:rsidR="00DC40DE" w:rsidRPr="00482722">
        <w:rPr>
          <w:rFonts w:ascii="Arial" w:hAnsi="Arial" w:cs="Arial"/>
          <w:sz w:val="20"/>
          <w:szCs w:val="20"/>
        </w:rPr>
        <w:t>ha</w:t>
      </w:r>
      <w:r w:rsidR="00CC6ED3" w:rsidRPr="00482722">
        <w:rPr>
          <w:rFonts w:ascii="Arial" w:hAnsi="Arial" w:cs="Arial"/>
          <w:sz w:val="20"/>
          <w:szCs w:val="20"/>
        </w:rPr>
        <w:t>d</w:t>
      </w:r>
      <w:r w:rsidR="00DC40DE" w:rsidRPr="00482722">
        <w:rPr>
          <w:rFonts w:ascii="Arial" w:hAnsi="Arial" w:cs="Arial"/>
          <w:sz w:val="20"/>
          <w:szCs w:val="20"/>
        </w:rPr>
        <w:t xml:space="preserve"> confidence in the Saudi Arabian government to work for their benefit in the academic admission process, but </w:t>
      </w:r>
      <w:r w:rsidR="00CC6ED3" w:rsidRPr="00482722">
        <w:rPr>
          <w:rFonts w:ascii="Arial" w:hAnsi="Arial" w:cs="Arial"/>
          <w:sz w:val="20"/>
          <w:szCs w:val="20"/>
        </w:rPr>
        <w:t xml:space="preserve">were less </w:t>
      </w:r>
      <w:r w:rsidR="00DC40DE" w:rsidRPr="00482722">
        <w:rPr>
          <w:rFonts w:ascii="Arial" w:hAnsi="Arial" w:cs="Arial"/>
          <w:sz w:val="20"/>
          <w:szCs w:val="20"/>
        </w:rPr>
        <w:t>confiden</w:t>
      </w:r>
      <w:r w:rsidR="00CC6ED3" w:rsidRPr="00482722">
        <w:rPr>
          <w:rFonts w:ascii="Arial" w:hAnsi="Arial" w:cs="Arial"/>
          <w:sz w:val="20"/>
          <w:szCs w:val="20"/>
        </w:rPr>
        <w:t>t</w:t>
      </w:r>
      <w:r w:rsidR="00DC40DE" w:rsidRPr="00482722">
        <w:rPr>
          <w:rFonts w:ascii="Arial" w:hAnsi="Arial" w:cs="Arial"/>
          <w:sz w:val="20"/>
          <w:szCs w:val="20"/>
        </w:rPr>
        <w:t xml:space="preserve"> that the electronic services </w:t>
      </w:r>
      <w:r w:rsidR="00CC6ED3" w:rsidRPr="00482722">
        <w:rPr>
          <w:rFonts w:ascii="Arial" w:hAnsi="Arial" w:cs="Arial"/>
          <w:sz w:val="20"/>
          <w:szCs w:val="20"/>
        </w:rPr>
        <w:t xml:space="preserve">would </w:t>
      </w:r>
      <w:r w:rsidR="00DC40DE" w:rsidRPr="00482722">
        <w:rPr>
          <w:rFonts w:ascii="Arial" w:hAnsi="Arial" w:cs="Arial"/>
          <w:sz w:val="20"/>
          <w:szCs w:val="20"/>
        </w:rPr>
        <w:t xml:space="preserve">help the government </w:t>
      </w:r>
      <w:r w:rsidR="00CC6ED3" w:rsidRPr="00482722">
        <w:rPr>
          <w:rFonts w:ascii="Arial" w:hAnsi="Arial" w:cs="Arial"/>
          <w:sz w:val="20"/>
          <w:szCs w:val="20"/>
        </w:rPr>
        <w:t>to achieve</w:t>
      </w:r>
      <w:r w:rsidR="00DC40DE" w:rsidRPr="00482722">
        <w:rPr>
          <w:rFonts w:ascii="Arial" w:hAnsi="Arial" w:cs="Arial"/>
          <w:sz w:val="20"/>
          <w:szCs w:val="20"/>
        </w:rPr>
        <w:t xml:space="preserve"> its goals.</w:t>
      </w:r>
    </w:p>
    <w:p w14:paraId="73D54B62" w14:textId="4A3EE227" w:rsidR="00DC40DE" w:rsidRPr="00482722" w:rsidRDefault="00DC40DE" w:rsidP="00DC40DE">
      <w:pPr>
        <w:spacing w:line="240" w:lineRule="auto"/>
        <w:jc w:val="both"/>
        <w:rPr>
          <w:rFonts w:ascii="Arial" w:hAnsi="Arial" w:cs="Arial"/>
          <w:sz w:val="20"/>
          <w:szCs w:val="20"/>
        </w:rPr>
      </w:pPr>
      <w:bookmarkStart w:id="23" w:name="_Hlk58261740"/>
      <w:r w:rsidRPr="00482722">
        <w:rPr>
          <w:rFonts w:ascii="Arial" w:hAnsi="Arial" w:cs="Arial"/>
          <w:sz w:val="20"/>
          <w:szCs w:val="20"/>
        </w:rPr>
        <w:t>The results also showed that service quality ha</w:t>
      </w:r>
      <w:r w:rsidR="003E1515" w:rsidRPr="00482722">
        <w:rPr>
          <w:rFonts w:ascii="Arial" w:hAnsi="Arial" w:cs="Arial"/>
          <w:sz w:val="20"/>
          <w:szCs w:val="20"/>
        </w:rPr>
        <w:t>s</w:t>
      </w:r>
      <w:r w:rsidRPr="00482722">
        <w:rPr>
          <w:rFonts w:ascii="Arial" w:hAnsi="Arial" w:cs="Arial"/>
          <w:sz w:val="20"/>
          <w:szCs w:val="20"/>
        </w:rPr>
        <w:t xml:space="preserve"> a significant effect on trust in government, trust in e-government, and citizen satisfaction. </w:t>
      </w:r>
      <w:r w:rsidR="007C1602" w:rsidRPr="00482722">
        <w:rPr>
          <w:rFonts w:ascii="Arial" w:hAnsi="Arial" w:cs="Arial"/>
          <w:sz w:val="20"/>
          <w:szCs w:val="20"/>
        </w:rPr>
        <w:t xml:space="preserve">Previous </w:t>
      </w:r>
      <w:r w:rsidRPr="00482722">
        <w:rPr>
          <w:rFonts w:ascii="Arial" w:hAnsi="Arial" w:cs="Arial"/>
          <w:sz w:val="20"/>
          <w:szCs w:val="20"/>
        </w:rPr>
        <w:t>studies indicated that high</w:t>
      </w:r>
      <w:r w:rsidR="00F24312" w:rsidRPr="00482722">
        <w:rPr>
          <w:rFonts w:ascii="Arial" w:hAnsi="Arial" w:cs="Arial"/>
          <w:sz w:val="20"/>
          <w:szCs w:val="20"/>
        </w:rPr>
        <w:t xml:space="preserve"> levels of</w:t>
      </w:r>
      <w:r w:rsidRPr="00482722">
        <w:rPr>
          <w:rFonts w:ascii="Arial" w:hAnsi="Arial" w:cs="Arial"/>
          <w:sz w:val="20"/>
          <w:szCs w:val="20"/>
        </w:rPr>
        <w:t xml:space="preserve"> service quality can foster citizen trust in government (Fakhoury and Aubert; 2015; Beldad et al., 2012; Welch et al., 2004)</w:t>
      </w:r>
      <w:r w:rsidR="001F5487" w:rsidRPr="00482722">
        <w:rPr>
          <w:rFonts w:ascii="Arial" w:hAnsi="Arial" w:cs="Arial"/>
          <w:sz w:val="20"/>
          <w:szCs w:val="20"/>
        </w:rPr>
        <w:t>, citizen trust</w:t>
      </w:r>
      <w:r w:rsidR="00F24312" w:rsidRPr="00482722">
        <w:rPr>
          <w:rFonts w:ascii="Arial" w:hAnsi="Arial" w:cs="Arial"/>
          <w:sz w:val="20"/>
          <w:szCs w:val="20"/>
        </w:rPr>
        <w:t xml:space="preserve"> in</w:t>
      </w:r>
      <w:r w:rsidRPr="00482722">
        <w:rPr>
          <w:rFonts w:ascii="Arial" w:hAnsi="Arial" w:cs="Arial"/>
          <w:sz w:val="20"/>
          <w:szCs w:val="20"/>
        </w:rPr>
        <w:t xml:space="preserve"> e-government services (Alzahrani et al., 2018; Morgeson III et al., 2010; Gefen, 2002), and citizen satisfaction (Kumar et al., 2020; Alzahrani et al., 2018; Sá et al., 2016).</w:t>
      </w:r>
    </w:p>
    <w:bookmarkEnd w:id="23"/>
    <w:p w14:paraId="58B9F745" w14:textId="54BF546F" w:rsidR="00DC40DE" w:rsidRPr="00482722" w:rsidRDefault="00DC40DE" w:rsidP="00DC40DE">
      <w:pPr>
        <w:spacing w:line="240" w:lineRule="auto"/>
        <w:jc w:val="both"/>
        <w:rPr>
          <w:rFonts w:ascii="Arial" w:hAnsi="Arial" w:cs="Arial"/>
          <w:sz w:val="20"/>
          <w:szCs w:val="20"/>
        </w:rPr>
      </w:pPr>
      <w:r w:rsidRPr="00482722">
        <w:rPr>
          <w:rFonts w:ascii="Arial" w:hAnsi="Arial" w:cs="Arial"/>
          <w:sz w:val="20"/>
          <w:szCs w:val="20"/>
        </w:rPr>
        <w:t xml:space="preserve">The results </w:t>
      </w:r>
      <w:r w:rsidR="003D1CB6" w:rsidRPr="00482722">
        <w:rPr>
          <w:rFonts w:ascii="Arial" w:hAnsi="Arial" w:cs="Arial"/>
          <w:sz w:val="20"/>
          <w:szCs w:val="20"/>
        </w:rPr>
        <w:t xml:space="preserve">showed </w:t>
      </w:r>
      <w:r w:rsidRPr="00482722">
        <w:rPr>
          <w:rFonts w:ascii="Arial" w:hAnsi="Arial" w:cs="Arial"/>
          <w:sz w:val="20"/>
          <w:szCs w:val="20"/>
        </w:rPr>
        <w:t>that higher levels of both trust in government and trust in e-government ha</w:t>
      </w:r>
      <w:r w:rsidR="001F5487" w:rsidRPr="00482722">
        <w:rPr>
          <w:rFonts w:ascii="Arial" w:hAnsi="Arial" w:cs="Arial"/>
          <w:sz w:val="20"/>
          <w:szCs w:val="20"/>
        </w:rPr>
        <w:t>ve</w:t>
      </w:r>
      <w:r w:rsidRPr="00482722">
        <w:rPr>
          <w:rFonts w:ascii="Arial" w:hAnsi="Arial" w:cs="Arial"/>
          <w:sz w:val="20"/>
          <w:szCs w:val="20"/>
        </w:rPr>
        <w:t xml:space="preserve"> significant impacts on citizen satisfaction. It is obvious that the higher levels of student trust in the Ministry of Education in Saudi Arabia (i.e., trust in government) and trust in </w:t>
      </w:r>
      <w:r w:rsidR="00FD5392" w:rsidRPr="00482722">
        <w:rPr>
          <w:rFonts w:ascii="Arial" w:hAnsi="Arial" w:cs="Arial"/>
          <w:sz w:val="20"/>
          <w:szCs w:val="20"/>
        </w:rPr>
        <w:t xml:space="preserve">the </w:t>
      </w:r>
      <w:r w:rsidRPr="00482722">
        <w:rPr>
          <w:rFonts w:ascii="Arial" w:hAnsi="Arial" w:cs="Arial"/>
          <w:sz w:val="20"/>
          <w:szCs w:val="20"/>
        </w:rPr>
        <w:t xml:space="preserve">UEAS for academic admissions (i.e., trust in e-government) </w:t>
      </w:r>
      <w:r w:rsidR="001F5487" w:rsidRPr="00482722">
        <w:rPr>
          <w:rFonts w:ascii="Arial" w:hAnsi="Arial" w:cs="Arial"/>
          <w:sz w:val="20"/>
          <w:szCs w:val="20"/>
        </w:rPr>
        <w:t xml:space="preserve">are </w:t>
      </w:r>
      <w:r w:rsidRPr="00482722">
        <w:rPr>
          <w:rFonts w:ascii="Arial" w:hAnsi="Arial" w:cs="Arial"/>
          <w:sz w:val="20"/>
          <w:szCs w:val="20"/>
        </w:rPr>
        <w:t xml:space="preserve">positively related to higher levels of student satisfaction. A number of IS success models </w:t>
      </w:r>
      <w:r w:rsidR="002B51C1" w:rsidRPr="00482722">
        <w:rPr>
          <w:rFonts w:ascii="Arial" w:hAnsi="Arial" w:cs="Arial"/>
          <w:sz w:val="20"/>
          <w:szCs w:val="20"/>
        </w:rPr>
        <w:t xml:space="preserve">for </w:t>
      </w:r>
      <w:r w:rsidRPr="00482722">
        <w:rPr>
          <w:rFonts w:ascii="Arial" w:hAnsi="Arial" w:cs="Arial"/>
          <w:sz w:val="20"/>
          <w:szCs w:val="20"/>
        </w:rPr>
        <w:t>e-government demonstrated the significant impact of both trust in government (e.g., Janssen et al., 2018; Irani et al., 2012; Bélanger and Carter, 2008; Carter and Bélanger, 2005; Gefen et al., 2005) and trust in e-government (e.g., Santa et al., 2019; Sá et al., 2016; Lee and Kim, 2014; Chan et al., 2010; Teo et al., 2008) on citizen satisfaction.</w:t>
      </w:r>
    </w:p>
    <w:p w14:paraId="714FF7E4" w14:textId="5564FE5F" w:rsidR="00DC40DE" w:rsidRPr="00482722" w:rsidRDefault="00DC40DE" w:rsidP="00DC40DE">
      <w:pPr>
        <w:spacing w:line="240" w:lineRule="auto"/>
        <w:jc w:val="both"/>
        <w:rPr>
          <w:rFonts w:ascii="Arial" w:hAnsi="Arial" w:cs="Arial"/>
          <w:sz w:val="20"/>
          <w:szCs w:val="20"/>
        </w:rPr>
      </w:pPr>
      <w:r w:rsidRPr="00482722">
        <w:rPr>
          <w:rFonts w:ascii="Arial" w:hAnsi="Arial" w:cs="Arial"/>
          <w:sz w:val="20"/>
          <w:szCs w:val="20"/>
        </w:rPr>
        <w:t xml:space="preserve">In addition, the findings revealed that the indirect effect of service quality on satisfaction through trust significantly </w:t>
      </w:r>
      <w:r w:rsidR="00BD3515" w:rsidRPr="00482722">
        <w:rPr>
          <w:rFonts w:ascii="Arial" w:hAnsi="Arial" w:cs="Arial"/>
          <w:sz w:val="20"/>
          <w:szCs w:val="20"/>
        </w:rPr>
        <w:t>increase</w:t>
      </w:r>
      <w:r w:rsidR="001F5487" w:rsidRPr="00482722">
        <w:rPr>
          <w:rFonts w:ascii="Arial" w:hAnsi="Arial" w:cs="Arial"/>
          <w:sz w:val="20"/>
          <w:szCs w:val="20"/>
        </w:rPr>
        <w:t>s</w:t>
      </w:r>
      <w:r w:rsidR="00BD3515" w:rsidRPr="00482722">
        <w:rPr>
          <w:rFonts w:ascii="Arial" w:hAnsi="Arial" w:cs="Arial"/>
          <w:sz w:val="20"/>
          <w:szCs w:val="20"/>
        </w:rPr>
        <w:t xml:space="preserve"> </w:t>
      </w:r>
      <w:r w:rsidRPr="00482722">
        <w:rPr>
          <w:rFonts w:ascii="Arial" w:hAnsi="Arial" w:cs="Arial"/>
          <w:sz w:val="20"/>
          <w:szCs w:val="20"/>
        </w:rPr>
        <w:t>student satisfaction with e-government services. In the context of this research, students</w:t>
      </w:r>
      <w:r w:rsidR="00221779" w:rsidRPr="00482722">
        <w:rPr>
          <w:rFonts w:ascii="Arial" w:hAnsi="Arial" w:cs="Arial"/>
          <w:sz w:val="20"/>
          <w:szCs w:val="20"/>
        </w:rPr>
        <w:t>’</w:t>
      </w:r>
      <w:r w:rsidRPr="00482722">
        <w:rPr>
          <w:rFonts w:ascii="Arial" w:hAnsi="Arial" w:cs="Arial"/>
          <w:sz w:val="20"/>
          <w:szCs w:val="20"/>
        </w:rPr>
        <w:t xml:space="preserve"> general appraisal</w:t>
      </w:r>
      <w:r w:rsidR="00221779" w:rsidRPr="00482722">
        <w:rPr>
          <w:rFonts w:ascii="Arial" w:hAnsi="Arial" w:cs="Arial"/>
          <w:sz w:val="20"/>
          <w:szCs w:val="20"/>
        </w:rPr>
        <w:t>s</w:t>
      </w:r>
      <w:r w:rsidRPr="00482722">
        <w:rPr>
          <w:rFonts w:ascii="Arial" w:hAnsi="Arial" w:cs="Arial"/>
          <w:sz w:val="20"/>
          <w:szCs w:val="20"/>
        </w:rPr>
        <w:t xml:space="preserve"> </w:t>
      </w:r>
      <w:r w:rsidR="00307ADA" w:rsidRPr="00482722">
        <w:rPr>
          <w:rFonts w:ascii="Arial" w:hAnsi="Arial" w:cs="Arial"/>
          <w:sz w:val="20"/>
          <w:szCs w:val="20"/>
        </w:rPr>
        <w:t xml:space="preserve">of </w:t>
      </w:r>
      <w:r w:rsidRPr="00482722">
        <w:rPr>
          <w:rFonts w:ascii="Arial" w:hAnsi="Arial" w:cs="Arial"/>
          <w:sz w:val="20"/>
          <w:szCs w:val="20"/>
        </w:rPr>
        <w:t>and judg</w:t>
      </w:r>
      <w:r w:rsidR="00221779" w:rsidRPr="00482722">
        <w:rPr>
          <w:rFonts w:ascii="Arial" w:hAnsi="Arial" w:cs="Arial"/>
          <w:sz w:val="20"/>
          <w:szCs w:val="20"/>
        </w:rPr>
        <w:t>e</w:t>
      </w:r>
      <w:r w:rsidRPr="00482722">
        <w:rPr>
          <w:rFonts w:ascii="Arial" w:hAnsi="Arial" w:cs="Arial"/>
          <w:sz w:val="20"/>
          <w:szCs w:val="20"/>
        </w:rPr>
        <w:t xml:space="preserve">ments </w:t>
      </w:r>
      <w:r w:rsidR="00047199" w:rsidRPr="00482722">
        <w:rPr>
          <w:rFonts w:ascii="Arial" w:hAnsi="Arial" w:cs="Arial"/>
          <w:sz w:val="20"/>
          <w:szCs w:val="20"/>
        </w:rPr>
        <w:t xml:space="preserve">on </w:t>
      </w:r>
      <w:r w:rsidRPr="00482722">
        <w:rPr>
          <w:rFonts w:ascii="Arial" w:hAnsi="Arial" w:cs="Arial"/>
          <w:sz w:val="20"/>
          <w:szCs w:val="20"/>
        </w:rPr>
        <w:t xml:space="preserve">the superiority of the </w:t>
      </w:r>
      <w:r w:rsidR="00047199" w:rsidRPr="00482722">
        <w:rPr>
          <w:rFonts w:ascii="Arial" w:hAnsi="Arial" w:cs="Arial"/>
          <w:sz w:val="20"/>
          <w:szCs w:val="20"/>
        </w:rPr>
        <w:t xml:space="preserve">academic admissions </w:t>
      </w:r>
      <w:r w:rsidRPr="00482722">
        <w:rPr>
          <w:rFonts w:ascii="Arial" w:hAnsi="Arial" w:cs="Arial"/>
          <w:sz w:val="20"/>
          <w:szCs w:val="20"/>
        </w:rPr>
        <w:t xml:space="preserve">service provided through </w:t>
      </w:r>
      <w:r w:rsidR="00221779" w:rsidRPr="00482722">
        <w:rPr>
          <w:rFonts w:ascii="Arial" w:hAnsi="Arial" w:cs="Arial"/>
          <w:sz w:val="20"/>
          <w:szCs w:val="20"/>
        </w:rPr>
        <w:t xml:space="preserve">the </w:t>
      </w:r>
      <w:r w:rsidRPr="00482722">
        <w:rPr>
          <w:rFonts w:ascii="Arial" w:hAnsi="Arial" w:cs="Arial"/>
          <w:sz w:val="20"/>
          <w:szCs w:val="20"/>
        </w:rPr>
        <w:t>UEAS led to an improved perception and level of user satisfaction (Veeramootoo et al., 2018; Xu et al., 2013). The</w:t>
      </w:r>
      <w:r w:rsidR="007C1602" w:rsidRPr="00482722">
        <w:rPr>
          <w:rFonts w:ascii="Arial" w:hAnsi="Arial" w:cs="Arial"/>
          <w:sz w:val="20"/>
          <w:szCs w:val="20"/>
        </w:rPr>
        <w:t xml:space="preserve"> results show</w:t>
      </w:r>
      <w:r w:rsidR="00DA0CF3" w:rsidRPr="00482722">
        <w:rPr>
          <w:rFonts w:ascii="Arial" w:hAnsi="Arial" w:cs="Arial"/>
          <w:sz w:val="20"/>
          <w:szCs w:val="20"/>
        </w:rPr>
        <w:t>ed</w:t>
      </w:r>
      <w:r w:rsidR="007C1602" w:rsidRPr="00482722">
        <w:rPr>
          <w:rFonts w:ascii="Arial" w:hAnsi="Arial" w:cs="Arial"/>
          <w:sz w:val="20"/>
          <w:szCs w:val="20"/>
        </w:rPr>
        <w:t xml:space="preserve"> that the</w:t>
      </w:r>
      <w:r w:rsidRPr="00482722">
        <w:rPr>
          <w:rFonts w:ascii="Arial" w:hAnsi="Arial" w:cs="Arial"/>
          <w:sz w:val="20"/>
          <w:szCs w:val="20"/>
        </w:rPr>
        <w:t xml:space="preserve"> impact of service quality on consumer satisfaction</w:t>
      </w:r>
      <w:r w:rsidR="007C1602" w:rsidRPr="00482722">
        <w:rPr>
          <w:rFonts w:ascii="Arial" w:hAnsi="Arial" w:cs="Arial"/>
          <w:sz w:val="20"/>
          <w:szCs w:val="20"/>
        </w:rPr>
        <w:t xml:space="preserve"> </w:t>
      </w:r>
      <w:r w:rsidRPr="00482722">
        <w:rPr>
          <w:rFonts w:ascii="Arial" w:hAnsi="Arial" w:cs="Arial"/>
          <w:sz w:val="20"/>
          <w:szCs w:val="20"/>
        </w:rPr>
        <w:t>corroborates with both the existing marketing literature (e.g., Udo et al. 2010) and previous IS studies (e.g., Alzahrani et al., 2018;</w:t>
      </w:r>
      <w:r w:rsidRPr="00482722">
        <w:rPr>
          <w:rFonts w:ascii="Arial" w:eastAsia="Times New Roman" w:hAnsi="Arial" w:cs="Arial"/>
          <w:sz w:val="20"/>
          <w:szCs w:val="20"/>
          <w:lang w:eastAsia="en-GB"/>
        </w:rPr>
        <w:t xml:space="preserve"> </w:t>
      </w:r>
      <w:r w:rsidRPr="00482722">
        <w:rPr>
          <w:rFonts w:ascii="Arial" w:hAnsi="Arial" w:cs="Arial"/>
          <w:sz w:val="20"/>
          <w:szCs w:val="20"/>
        </w:rPr>
        <w:t xml:space="preserve">Wang and Liao, 2008). Further, the findings indicated that the total effects of trust in government on citizen satisfaction </w:t>
      </w:r>
      <w:r w:rsidR="00876D99" w:rsidRPr="00482722">
        <w:rPr>
          <w:rFonts w:ascii="Arial" w:hAnsi="Arial" w:cs="Arial"/>
          <w:sz w:val="20"/>
          <w:szCs w:val="20"/>
        </w:rPr>
        <w:t xml:space="preserve">are stronger </w:t>
      </w:r>
      <w:r w:rsidRPr="00482722">
        <w:rPr>
          <w:rFonts w:ascii="Arial" w:hAnsi="Arial" w:cs="Arial"/>
          <w:sz w:val="20"/>
          <w:szCs w:val="20"/>
        </w:rPr>
        <w:t xml:space="preserve">than the </w:t>
      </w:r>
      <w:r w:rsidR="009D30A4" w:rsidRPr="00482722">
        <w:rPr>
          <w:rFonts w:ascii="Arial" w:hAnsi="Arial" w:cs="Arial"/>
          <w:sz w:val="20"/>
          <w:szCs w:val="20"/>
        </w:rPr>
        <w:t xml:space="preserve">effects </w:t>
      </w:r>
      <w:r w:rsidRPr="00482722">
        <w:rPr>
          <w:rFonts w:ascii="Arial" w:hAnsi="Arial" w:cs="Arial"/>
          <w:sz w:val="20"/>
          <w:szCs w:val="20"/>
        </w:rPr>
        <w:t>of trust in e-government on citizen satisfaction, thus validating the results of Bélanger and Carter (2008). This indicate</w:t>
      </w:r>
      <w:r w:rsidR="007C1602" w:rsidRPr="00482722">
        <w:rPr>
          <w:rFonts w:ascii="Arial" w:hAnsi="Arial" w:cs="Arial"/>
          <w:sz w:val="20"/>
          <w:szCs w:val="20"/>
        </w:rPr>
        <w:t>s</w:t>
      </w:r>
      <w:r w:rsidRPr="00482722">
        <w:rPr>
          <w:rFonts w:ascii="Arial" w:hAnsi="Arial" w:cs="Arial"/>
          <w:sz w:val="20"/>
          <w:szCs w:val="20"/>
        </w:rPr>
        <w:t xml:space="preserve"> that</w:t>
      </w:r>
      <w:r w:rsidR="00D85E67" w:rsidRPr="00482722">
        <w:rPr>
          <w:rFonts w:ascii="Arial" w:hAnsi="Arial" w:cs="Arial"/>
          <w:sz w:val="20"/>
          <w:szCs w:val="20"/>
        </w:rPr>
        <w:t>,</w:t>
      </w:r>
      <w:r w:rsidRPr="00482722">
        <w:rPr>
          <w:rFonts w:ascii="Arial" w:hAnsi="Arial" w:cs="Arial"/>
          <w:sz w:val="20"/>
          <w:szCs w:val="20"/>
        </w:rPr>
        <w:t xml:space="preserve"> </w:t>
      </w:r>
      <w:r w:rsidR="00D85E67" w:rsidRPr="00482722">
        <w:rPr>
          <w:rFonts w:ascii="Arial" w:hAnsi="Arial" w:cs="Arial"/>
          <w:sz w:val="20"/>
          <w:szCs w:val="20"/>
        </w:rPr>
        <w:t>among citizens,</w:t>
      </w:r>
      <w:r w:rsidRPr="00482722">
        <w:rPr>
          <w:rFonts w:ascii="Arial" w:hAnsi="Arial" w:cs="Arial"/>
          <w:sz w:val="20"/>
          <w:szCs w:val="20"/>
        </w:rPr>
        <w:t xml:space="preserve"> trust in government </w:t>
      </w:r>
      <w:r w:rsidR="00845BED" w:rsidRPr="00482722">
        <w:rPr>
          <w:rFonts w:ascii="Arial" w:hAnsi="Arial" w:cs="Arial"/>
          <w:sz w:val="20"/>
          <w:szCs w:val="20"/>
        </w:rPr>
        <w:t>increases</w:t>
      </w:r>
      <w:r w:rsidRPr="00482722">
        <w:rPr>
          <w:rFonts w:ascii="Arial" w:hAnsi="Arial" w:cs="Arial"/>
          <w:sz w:val="20"/>
          <w:szCs w:val="20"/>
        </w:rPr>
        <w:t xml:space="preserve"> confidence</w:t>
      </w:r>
      <w:r w:rsidR="009D30A4" w:rsidRPr="00482722">
        <w:rPr>
          <w:rFonts w:ascii="Arial" w:hAnsi="Arial" w:cs="Arial"/>
          <w:sz w:val="20"/>
          <w:szCs w:val="20"/>
        </w:rPr>
        <w:t xml:space="preserve"> in</w:t>
      </w:r>
      <w:r w:rsidRPr="00482722">
        <w:rPr>
          <w:rFonts w:ascii="Arial" w:hAnsi="Arial" w:cs="Arial"/>
          <w:sz w:val="20"/>
          <w:szCs w:val="20"/>
        </w:rPr>
        <w:t xml:space="preserve"> and acceptance of e-government services.</w:t>
      </w:r>
    </w:p>
    <w:p w14:paraId="23E5E043" w14:textId="3D0A139B" w:rsidR="00DC40DE" w:rsidRPr="00482722" w:rsidRDefault="00DC40DE" w:rsidP="006F13DA">
      <w:pPr>
        <w:spacing w:line="240" w:lineRule="auto"/>
        <w:jc w:val="both"/>
        <w:rPr>
          <w:rFonts w:ascii="Arial" w:hAnsi="Arial" w:cs="Arial"/>
          <w:sz w:val="20"/>
          <w:szCs w:val="20"/>
        </w:rPr>
      </w:pPr>
      <w:r w:rsidRPr="00482722">
        <w:rPr>
          <w:rFonts w:ascii="Arial" w:hAnsi="Arial" w:cs="Arial"/>
          <w:sz w:val="20"/>
          <w:szCs w:val="20"/>
        </w:rPr>
        <w:t xml:space="preserve">Unlike e-commerce services, where customer loyalty is </w:t>
      </w:r>
      <w:r w:rsidR="0064243C" w:rsidRPr="00482722">
        <w:rPr>
          <w:rFonts w:ascii="Arial" w:hAnsi="Arial" w:cs="Arial"/>
          <w:sz w:val="20"/>
          <w:szCs w:val="20"/>
        </w:rPr>
        <w:t xml:space="preserve">mainly </w:t>
      </w:r>
      <w:r w:rsidRPr="00482722">
        <w:rPr>
          <w:rFonts w:ascii="Arial" w:hAnsi="Arial" w:cs="Arial"/>
          <w:sz w:val="20"/>
          <w:szCs w:val="20"/>
        </w:rPr>
        <w:t xml:space="preserve">associated with repeat purchase </w:t>
      </w:r>
      <w:r w:rsidR="007C1602" w:rsidRPr="00482722">
        <w:rPr>
          <w:rFonts w:ascii="Arial" w:hAnsi="Arial" w:cs="Arial"/>
          <w:sz w:val="20"/>
          <w:szCs w:val="20"/>
        </w:rPr>
        <w:t>behaviour</w:t>
      </w:r>
      <w:r w:rsidRPr="00482722">
        <w:rPr>
          <w:rFonts w:ascii="Arial" w:hAnsi="Arial" w:cs="Arial"/>
          <w:sz w:val="20"/>
          <w:szCs w:val="20"/>
        </w:rPr>
        <w:t xml:space="preserve"> (Zheng et al., 2017; Anderson and Srinivasan, 2003), citizen loyalty to e-government services </w:t>
      </w:r>
      <w:r w:rsidR="0064243C" w:rsidRPr="00482722">
        <w:rPr>
          <w:rFonts w:ascii="Arial" w:hAnsi="Arial" w:cs="Arial"/>
          <w:sz w:val="20"/>
          <w:szCs w:val="20"/>
        </w:rPr>
        <w:t xml:space="preserve">can be formed through </w:t>
      </w:r>
      <w:r w:rsidRPr="00482722">
        <w:rPr>
          <w:rFonts w:ascii="Arial" w:hAnsi="Arial" w:cs="Arial"/>
          <w:sz w:val="20"/>
          <w:szCs w:val="20"/>
        </w:rPr>
        <w:t>a</w:t>
      </w:r>
      <w:r w:rsidR="0064243C" w:rsidRPr="00482722">
        <w:rPr>
          <w:rFonts w:ascii="Arial" w:hAnsi="Arial" w:cs="Arial"/>
          <w:sz w:val="20"/>
          <w:szCs w:val="20"/>
        </w:rPr>
        <w:t xml:space="preserve"> strong </w:t>
      </w:r>
      <w:r w:rsidRPr="00482722">
        <w:rPr>
          <w:rFonts w:ascii="Arial" w:hAnsi="Arial" w:cs="Arial"/>
          <w:sz w:val="20"/>
          <w:szCs w:val="20"/>
        </w:rPr>
        <w:t>partnership between government and citizens in developing</w:t>
      </w:r>
      <w:r w:rsidR="00914942" w:rsidRPr="00482722">
        <w:rPr>
          <w:rFonts w:ascii="Arial" w:hAnsi="Arial" w:cs="Arial"/>
          <w:sz w:val="20"/>
          <w:szCs w:val="20"/>
        </w:rPr>
        <w:t xml:space="preserve"> those</w:t>
      </w:r>
      <w:r w:rsidRPr="00482722">
        <w:rPr>
          <w:rFonts w:ascii="Arial" w:hAnsi="Arial" w:cs="Arial"/>
          <w:sz w:val="20"/>
          <w:szCs w:val="20"/>
        </w:rPr>
        <w:t xml:space="preserve"> services </w:t>
      </w:r>
      <w:r w:rsidR="00C63F92" w:rsidRPr="00482722">
        <w:rPr>
          <w:rFonts w:ascii="Arial" w:hAnsi="Arial" w:cs="Arial"/>
          <w:sz w:val="20"/>
          <w:szCs w:val="20"/>
        </w:rPr>
        <w:t>(</w:t>
      </w:r>
      <w:r w:rsidR="0064243C" w:rsidRPr="00482722">
        <w:rPr>
          <w:rFonts w:ascii="Arial" w:hAnsi="Arial" w:cs="Arial"/>
          <w:sz w:val="20"/>
          <w:szCs w:val="20"/>
        </w:rPr>
        <w:t>such as</w:t>
      </w:r>
      <w:r w:rsidR="009A392A" w:rsidRPr="00482722">
        <w:rPr>
          <w:rFonts w:ascii="Arial" w:hAnsi="Arial" w:cs="Arial"/>
          <w:sz w:val="20"/>
          <w:szCs w:val="20"/>
        </w:rPr>
        <w:t xml:space="preserve"> sharing</w:t>
      </w:r>
      <w:r w:rsidR="0064243C" w:rsidRPr="00482722">
        <w:rPr>
          <w:rFonts w:ascii="Arial" w:hAnsi="Arial" w:cs="Arial"/>
          <w:sz w:val="20"/>
          <w:szCs w:val="20"/>
        </w:rPr>
        <w:t xml:space="preserve"> </w:t>
      </w:r>
      <w:r w:rsidRPr="00482722">
        <w:rPr>
          <w:rFonts w:ascii="Arial" w:hAnsi="Arial" w:cs="Arial"/>
          <w:sz w:val="20"/>
          <w:szCs w:val="20"/>
        </w:rPr>
        <w:t xml:space="preserve">feedback and success stories </w:t>
      </w:r>
      <w:r w:rsidR="00914942" w:rsidRPr="00482722">
        <w:rPr>
          <w:rFonts w:ascii="Arial" w:hAnsi="Arial" w:cs="Arial"/>
          <w:sz w:val="20"/>
          <w:szCs w:val="20"/>
        </w:rPr>
        <w:t xml:space="preserve">about </w:t>
      </w:r>
      <w:r w:rsidRPr="00482722">
        <w:rPr>
          <w:rFonts w:ascii="Arial" w:hAnsi="Arial" w:cs="Arial"/>
          <w:sz w:val="20"/>
          <w:szCs w:val="20"/>
        </w:rPr>
        <w:t>e-government services</w:t>
      </w:r>
      <w:r w:rsidR="00C63F92" w:rsidRPr="00482722">
        <w:rPr>
          <w:rFonts w:ascii="Arial" w:hAnsi="Arial" w:cs="Arial"/>
          <w:sz w:val="20"/>
          <w:szCs w:val="20"/>
        </w:rPr>
        <w:t>)</w:t>
      </w:r>
      <w:r w:rsidR="006B3914" w:rsidRPr="00482722">
        <w:rPr>
          <w:rFonts w:ascii="Arial" w:hAnsi="Arial" w:cs="Arial"/>
          <w:sz w:val="20"/>
          <w:szCs w:val="20"/>
        </w:rPr>
        <w:t>,</w:t>
      </w:r>
      <w:r w:rsidRPr="00482722">
        <w:rPr>
          <w:rFonts w:ascii="Arial" w:hAnsi="Arial" w:cs="Arial"/>
          <w:sz w:val="20"/>
          <w:szCs w:val="20"/>
        </w:rPr>
        <w:t xml:space="preserve"> and</w:t>
      </w:r>
      <w:r w:rsidR="006B3914" w:rsidRPr="00482722">
        <w:rPr>
          <w:rFonts w:ascii="Arial" w:hAnsi="Arial" w:cs="Arial"/>
          <w:sz w:val="20"/>
          <w:szCs w:val="20"/>
        </w:rPr>
        <w:t xml:space="preserve"> by enhancing</w:t>
      </w:r>
      <w:r w:rsidRPr="00482722">
        <w:rPr>
          <w:rFonts w:ascii="Arial" w:hAnsi="Arial" w:cs="Arial"/>
          <w:sz w:val="20"/>
          <w:szCs w:val="20"/>
        </w:rPr>
        <w:t xml:space="preserve"> user dependence on e-government services, which therefore ensures the success of the services provided</w:t>
      </w:r>
      <w:r w:rsidR="0064243C" w:rsidRPr="00482722">
        <w:rPr>
          <w:rFonts w:ascii="Arial" w:hAnsi="Arial" w:cs="Arial"/>
          <w:sz w:val="20"/>
          <w:szCs w:val="20"/>
        </w:rPr>
        <w:t xml:space="preserve"> (Alzahrani et al., 2018;</w:t>
      </w:r>
      <w:r w:rsidR="0064243C" w:rsidRPr="00482722">
        <w:rPr>
          <w:rFonts w:ascii="Arial" w:eastAsia="Times New Roman" w:hAnsi="Arial" w:cs="Arial"/>
          <w:sz w:val="20"/>
          <w:szCs w:val="20"/>
          <w:lang w:eastAsia="en-GB"/>
        </w:rPr>
        <w:t xml:space="preserve"> </w:t>
      </w:r>
      <w:r w:rsidR="0064243C" w:rsidRPr="00482722">
        <w:rPr>
          <w:rFonts w:ascii="Arial" w:hAnsi="Arial" w:cs="Arial"/>
          <w:sz w:val="20"/>
          <w:szCs w:val="20"/>
        </w:rPr>
        <w:t>Veeramootoo et al., 2018</w:t>
      </w:r>
      <w:r w:rsidR="0064243C" w:rsidRPr="00482722">
        <w:rPr>
          <w:rFonts w:ascii="Arial" w:eastAsia="Times New Roman" w:hAnsi="Arial" w:cs="Arial"/>
          <w:sz w:val="20"/>
          <w:szCs w:val="20"/>
          <w:lang w:eastAsia="en-GB"/>
        </w:rPr>
        <w:t xml:space="preserve">; </w:t>
      </w:r>
      <w:r w:rsidR="0064243C" w:rsidRPr="00482722">
        <w:rPr>
          <w:rFonts w:ascii="Arial" w:hAnsi="Arial" w:cs="Arial"/>
          <w:sz w:val="20"/>
          <w:szCs w:val="20"/>
        </w:rPr>
        <w:t>Chatfield and Alanazi, 2013)</w:t>
      </w:r>
      <w:r w:rsidRPr="00482722">
        <w:rPr>
          <w:rFonts w:ascii="Arial" w:hAnsi="Arial" w:cs="Arial"/>
          <w:sz w:val="20"/>
          <w:szCs w:val="20"/>
        </w:rPr>
        <w:t xml:space="preserve">. Therefore, this study has extended the IS success research to include the construct of citizen loyalty </w:t>
      </w:r>
      <w:r w:rsidR="00FC72B5" w:rsidRPr="00482722">
        <w:rPr>
          <w:rFonts w:ascii="Arial" w:hAnsi="Arial" w:cs="Arial"/>
          <w:sz w:val="20"/>
          <w:szCs w:val="20"/>
        </w:rPr>
        <w:t xml:space="preserve">in the context of </w:t>
      </w:r>
      <w:r w:rsidRPr="00482722">
        <w:rPr>
          <w:rFonts w:ascii="Arial" w:hAnsi="Arial" w:cs="Arial"/>
          <w:sz w:val="20"/>
          <w:szCs w:val="20"/>
        </w:rPr>
        <w:t xml:space="preserve">e-government services, which has been neglected by previous </w:t>
      </w:r>
      <w:r w:rsidR="00FC72B5" w:rsidRPr="00482722">
        <w:rPr>
          <w:rFonts w:ascii="Arial" w:hAnsi="Arial" w:cs="Arial"/>
          <w:sz w:val="20"/>
          <w:szCs w:val="20"/>
        </w:rPr>
        <w:t xml:space="preserve">studies on </w:t>
      </w:r>
      <w:r w:rsidRPr="00482722">
        <w:rPr>
          <w:rFonts w:ascii="Arial" w:hAnsi="Arial" w:cs="Arial"/>
          <w:sz w:val="20"/>
          <w:szCs w:val="20"/>
        </w:rPr>
        <w:t>e-government.</w:t>
      </w:r>
    </w:p>
    <w:p w14:paraId="44D93CB0" w14:textId="59AF7A3D" w:rsidR="00DC40DE" w:rsidRPr="00482722" w:rsidRDefault="00DC40DE" w:rsidP="00DC40DE">
      <w:pPr>
        <w:spacing w:line="240" w:lineRule="auto"/>
        <w:jc w:val="both"/>
        <w:rPr>
          <w:rFonts w:ascii="Arial" w:hAnsi="Arial" w:cs="Arial"/>
          <w:sz w:val="20"/>
          <w:szCs w:val="20"/>
        </w:rPr>
      </w:pPr>
      <w:r w:rsidRPr="00482722">
        <w:rPr>
          <w:rFonts w:ascii="Arial" w:hAnsi="Arial" w:cs="Arial"/>
          <w:sz w:val="20"/>
          <w:szCs w:val="20"/>
        </w:rPr>
        <w:t>T</w:t>
      </w:r>
      <w:r w:rsidR="00B4398A" w:rsidRPr="00482722">
        <w:rPr>
          <w:rFonts w:ascii="Arial" w:hAnsi="Arial" w:cs="Arial"/>
          <w:sz w:val="20"/>
          <w:szCs w:val="20"/>
        </w:rPr>
        <w:t>he results showed that t</w:t>
      </w:r>
      <w:r w:rsidRPr="00482722">
        <w:rPr>
          <w:rFonts w:ascii="Arial" w:hAnsi="Arial" w:cs="Arial"/>
          <w:sz w:val="20"/>
          <w:szCs w:val="20"/>
        </w:rPr>
        <w:t>rust in government exert</w:t>
      </w:r>
      <w:r w:rsidR="00B4398A" w:rsidRPr="00482722">
        <w:rPr>
          <w:rFonts w:ascii="Arial" w:hAnsi="Arial" w:cs="Arial"/>
          <w:sz w:val="20"/>
          <w:szCs w:val="20"/>
        </w:rPr>
        <w:t>s</w:t>
      </w:r>
      <w:r w:rsidRPr="00482722">
        <w:rPr>
          <w:rFonts w:ascii="Arial" w:hAnsi="Arial" w:cs="Arial"/>
          <w:sz w:val="20"/>
          <w:szCs w:val="20"/>
        </w:rPr>
        <w:t xml:space="preserve"> a stronger direct effect on citizen loyalty than </w:t>
      </w:r>
      <w:r w:rsidR="00EE1ECE" w:rsidRPr="00482722">
        <w:rPr>
          <w:rFonts w:ascii="Arial" w:hAnsi="Arial" w:cs="Arial"/>
          <w:sz w:val="20"/>
          <w:szCs w:val="20"/>
        </w:rPr>
        <w:t xml:space="preserve">the effects of </w:t>
      </w:r>
      <w:r w:rsidRPr="00482722">
        <w:rPr>
          <w:rFonts w:ascii="Arial" w:hAnsi="Arial" w:cs="Arial"/>
          <w:sz w:val="20"/>
          <w:szCs w:val="20"/>
        </w:rPr>
        <w:t>service quality, trust in e-government, and citizen satisfaction</w:t>
      </w:r>
      <w:r w:rsidR="00EE1ECE" w:rsidRPr="00482722">
        <w:rPr>
          <w:rFonts w:ascii="Arial" w:hAnsi="Arial" w:cs="Arial"/>
          <w:sz w:val="20"/>
          <w:szCs w:val="20"/>
        </w:rPr>
        <w:t>;</w:t>
      </w:r>
      <w:r w:rsidRPr="00482722">
        <w:rPr>
          <w:rFonts w:ascii="Arial" w:hAnsi="Arial" w:cs="Arial"/>
          <w:sz w:val="20"/>
          <w:szCs w:val="20"/>
        </w:rPr>
        <w:t xml:space="preserve"> </w:t>
      </w:r>
      <w:r w:rsidR="00E13FFA" w:rsidRPr="00482722">
        <w:rPr>
          <w:rFonts w:ascii="Arial" w:hAnsi="Arial" w:cs="Arial"/>
          <w:sz w:val="20"/>
          <w:szCs w:val="20"/>
        </w:rPr>
        <w:t xml:space="preserve">however, </w:t>
      </w:r>
      <w:r w:rsidRPr="00482722">
        <w:rPr>
          <w:rFonts w:ascii="Arial" w:hAnsi="Arial" w:cs="Arial"/>
          <w:sz w:val="20"/>
          <w:szCs w:val="20"/>
        </w:rPr>
        <w:t>service quality exhibit</w:t>
      </w:r>
      <w:r w:rsidR="00B4398A" w:rsidRPr="00482722">
        <w:rPr>
          <w:rFonts w:ascii="Arial" w:hAnsi="Arial" w:cs="Arial"/>
          <w:sz w:val="20"/>
          <w:szCs w:val="20"/>
        </w:rPr>
        <w:t>s</w:t>
      </w:r>
      <w:r w:rsidRPr="00482722">
        <w:rPr>
          <w:rFonts w:ascii="Arial" w:hAnsi="Arial" w:cs="Arial"/>
          <w:sz w:val="20"/>
          <w:szCs w:val="20"/>
        </w:rPr>
        <w:t xml:space="preserve"> a stronger total effect on citizen loyalty than that of trust in government. Therefore, service quality and trust in government </w:t>
      </w:r>
      <w:r w:rsidR="00E13FFA" w:rsidRPr="00482722">
        <w:rPr>
          <w:rFonts w:ascii="Arial" w:hAnsi="Arial" w:cs="Arial"/>
          <w:sz w:val="20"/>
          <w:szCs w:val="20"/>
        </w:rPr>
        <w:t xml:space="preserve">are </w:t>
      </w:r>
      <w:r w:rsidRPr="00482722">
        <w:rPr>
          <w:rFonts w:ascii="Arial" w:hAnsi="Arial" w:cs="Arial"/>
          <w:sz w:val="20"/>
          <w:szCs w:val="20"/>
        </w:rPr>
        <w:t>both important aspects of increasing citizen loyalty in the context of e-government services, thus tying together the literature o</w:t>
      </w:r>
      <w:r w:rsidR="00E13FFA" w:rsidRPr="00482722">
        <w:rPr>
          <w:rFonts w:ascii="Arial" w:hAnsi="Arial" w:cs="Arial"/>
          <w:sz w:val="20"/>
          <w:szCs w:val="20"/>
        </w:rPr>
        <w:t>n</w:t>
      </w:r>
      <w:r w:rsidRPr="00482722">
        <w:rPr>
          <w:rFonts w:ascii="Arial" w:hAnsi="Arial" w:cs="Arial"/>
          <w:sz w:val="20"/>
          <w:szCs w:val="20"/>
        </w:rPr>
        <w:t xml:space="preserve"> service quality and trust in </w:t>
      </w:r>
      <w:r w:rsidR="001362DA" w:rsidRPr="00482722">
        <w:rPr>
          <w:rFonts w:ascii="Arial" w:hAnsi="Arial" w:cs="Arial"/>
          <w:sz w:val="20"/>
          <w:szCs w:val="20"/>
        </w:rPr>
        <w:t xml:space="preserve">this </w:t>
      </w:r>
      <w:r w:rsidRPr="00482722">
        <w:rPr>
          <w:rFonts w:ascii="Arial" w:hAnsi="Arial" w:cs="Arial"/>
          <w:sz w:val="20"/>
          <w:szCs w:val="20"/>
        </w:rPr>
        <w:t xml:space="preserve">context. The findings are consistently supported by </w:t>
      </w:r>
      <w:r w:rsidR="00E56C35" w:rsidRPr="00482722">
        <w:rPr>
          <w:rFonts w:ascii="Arial" w:hAnsi="Arial" w:cs="Arial"/>
          <w:sz w:val="20"/>
          <w:szCs w:val="20"/>
        </w:rPr>
        <w:t xml:space="preserve">previous </w:t>
      </w:r>
      <w:r w:rsidRPr="00482722">
        <w:rPr>
          <w:rFonts w:ascii="Arial" w:hAnsi="Arial" w:cs="Arial"/>
          <w:sz w:val="20"/>
          <w:szCs w:val="20"/>
        </w:rPr>
        <w:t xml:space="preserve">studies (Gefen, 2002; Reichheld and Schefter, 2000), </w:t>
      </w:r>
      <w:r w:rsidR="00680334" w:rsidRPr="00482722">
        <w:rPr>
          <w:rFonts w:ascii="Arial" w:hAnsi="Arial" w:cs="Arial"/>
          <w:sz w:val="20"/>
          <w:szCs w:val="20"/>
        </w:rPr>
        <w:t xml:space="preserve">in which </w:t>
      </w:r>
      <w:r w:rsidRPr="00482722">
        <w:rPr>
          <w:rFonts w:ascii="Arial" w:hAnsi="Arial" w:cs="Arial"/>
          <w:sz w:val="20"/>
          <w:szCs w:val="20"/>
        </w:rPr>
        <w:t xml:space="preserve">both service quality and trust in </w:t>
      </w:r>
      <w:r w:rsidR="00E56C35" w:rsidRPr="00482722">
        <w:rPr>
          <w:rFonts w:ascii="Arial" w:hAnsi="Arial" w:cs="Arial"/>
          <w:sz w:val="20"/>
          <w:szCs w:val="20"/>
        </w:rPr>
        <w:t xml:space="preserve">the </w:t>
      </w:r>
      <w:r w:rsidRPr="00482722">
        <w:rPr>
          <w:rFonts w:ascii="Arial" w:hAnsi="Arial" w:cs="Arial"/>
          <w:sz w:val="20"/>
          <w:szCs w:val="20"/>
        </w:rPr>
        <w:t>service provider have been shown to be significant predictors of customer loyalty in an e-commerce setting.</w:t>
      </w:r>
    </w:p>
    <w:p w14:paraId="250BBA41" w14:textId="7C513BD6" w:rsidR="0055513F" w:rsidRPr="00482722" w:rsidRDefault="00DC40DE" w:rsidP="00DA5EEC">
      <w:pPr>
        <w:spacing w:line="240" w:lineRule="auto"/>
        <w:jc w:val="both"/>
        <w:rPr>
          <w:rFonts w:ascii="Arial" w:hAnsi="Arial" w:cs="Arial"/>
          <w:sz w:val="20"/>
          <w:szCs w:val="20"/>
        </w:rPr>
      </w:pPr>
      <w:r w:rsidRPr="00482722">
        <w:rPr>
          <w:rFonts w:ascii="Arial" w:hAnsi="Arial" w:cs="Arial"/>
          <w:sz w:val="20"/>
          <w:szCs w:val="20"/>
        </w:rPr>
        <w:t>In contrast, citizen satisfaction exert</w:t>
      </w:r>
      <w:r w:rsidR="00B4398A" w:rsidRPr="00482722">
        <w:rPr>
          <w:rFonts w:ascii="Arial" w:hAnsi="Arial" w:cs="Arial"/>
          <w:sz w:val="20"/>
          <w:szCs w:val="20"/>
        </w:rPr>
        <w:t xml:space="preserve">s </w:t>
      </w:r>
      <w:r w:rsidRPr="00482722">
        <w:rPr>
          <w:rFonts w:ascii="Arial" w:hAnsi="Arial" w:cs="Arial"/>
          <w:sz w:val="20"/>
          <w:szCs w:val="20"/>
        </w:rPr>
        <w:t>a weaker total effect on citizen loyalty than other factors</w:t>
      </w:r>
      <w:r w:rsidR="00845BED" w:rsidRPr="00482722">
        <w:rPr>
          <w:rFonts w:ascii="Arial" w:hAnsi="Arial" w:cs="Arial"/>
          <w:sz w:val="20"/>
          <w:szCs w:val="20"/>
        </w:rPr>
        <w:t xml:space="preserve"> did</w:t>
      </w:r>
      <w:r w:rsidRPr="00482722">
        <w:rPr>
          <w:rFonts w:ascii="Arial" w:hAnsi="Arial" w:cs="Arial"/>
          <w:sz w:val="20"/>
          <w:szCs w:val="20"/>
        </w:rPr>
        <w:t xml:space="preserve">. This result, however, is inconsistent with </w:t>
      </w:r>
      <w:r w:rsidR="00DF32D3" w:rsidRPr="00482722">
        <w:rPr>
          <w:rFonts w:ascii="Arial" w:hAnsi="Arial" w:cs="Arial"/>
          <w:sz w:val="20"/>
          <w:szCs w:val="20"/>
        </w:rPr>
        <w:t xml:space="preserve">those of </w:t>
      </w:r>
      <w:r w:rsidRPr="00482722">
        <w:rPr>
          <w:rFonts w:ascii="Arial" w:hAnsi="Arial" w:cs="Arial"/>
          <w:sz w:val="20"/>
          <w:szCs w:val="20"/>
        </w:rPr>
        <w:t>prior studies (e.g., Flavián et al., 2006; Lin and Wang, 2006)</w:t>
      </w:r>
      <w:r w:rsidR="003B2932" w:rsidRPr="00482722">
        <w:rPr>
          <w:rFonts w:ascii="Arial" w:hAnsi="Arial" w:cs="Arial"/>
          <w:sz w:val="20"/>
          <w:szCs w:val="20"/>
        </w:rPr>
        <w:t>,</w:t>
      </w:r>
      <w:r w:rsidRPr="00482722">
        <w:rPr>
          <w:rFonts w:ascii="Arial" w:hAnsi="Arial" w:cs="Arial"/>
          <w:sz w:val="20"/>
          <w:szCs w:val="20"/>
        </w:rPr>
        <w:t xml:space="preserve"> which showed customer satisfaction to be the strongest predicator of loyalty. The results also show</w:t>
      </w:r>
      <w:r w:rsidR="00385228" w:rsidRPr="00482722">
        <w:rPr>
          <w:rFonts w:ascii="Arial" w:hAnsi="Arial" w:cs="Arial"/>
          <w:sz w:val="20"/>
          <w:szCs w:val="20"/>
        </w:rPr>
        <w:t>ed</w:t>
      </w:r>
      <w:r w:rsidRPr="00482722">
        <w:rPr>
          <w:rFonts w:ascii="Arial" w:hAnsi="Arial" w:cs="Arial"/>
          <w:sz w:val="20"/>
          <w:szCs w:val="20"/>
        </w:rPr>
        <w:t xml:space="preserve"> that citizen satisfaction </w:t>
      </w:r>
      <w:r w:rsidR="00385228" w:rsidRPr="00482722">
        <w:rPr>
          <w:rFonts w:ascii="Arial" w:hAnsi="Arial" w:cs="Arial"/>
          <w:sz w:val="20"/>
          <w:szCs w:val="20"/>
        </w:rPr>
        <w:t>i</w:t>
      </w:r>
      <w:r w:rsidRPr="00482722">
        <w:rPr>
          <w:rFonts w:ascii="Arial" w:hAnsi="Arial" w:cs="Arial"/>
          <w:sz w:val="20"/>
          <w:szCs w:val="20"/>
        </w:rPr>
        <w:t>s a mediating construct between</w:t>
      </w:r>
      <w:r w:rsidR="001934D6" w:rsidRPr="00482722">
        <w:rPr>
          <w:rFonts w:ascii="Arial" w:hAnsi="Arial" w:cs="Arial"/>
          <w:sz w:val="20"/>
          <w:szCs w:val="20"/>
        </w:rPr>
        <w:t xml:space="preserve"> the factors</w:t>
      </w:r>
      <w:r w:rsidRPr="00482722">
        <w:rPr>
          <w:rFonts w:ascii="Arial" w:hAnsi="Arial" w:cs="Arial"/>
          <w:sz w:val="20"/>
          <w:szCs w:val="20"/>
        </w:rPr>
        <w:t xml:space="preserve"> service quality, trust in government, and trust in e-government on the one hand, and</w:t>
      </w:r>
      <w:r w:rsidR="001934D6" w:rsidRPr="00482722">
        <w:rPr>
          <w:rFonts w:ascii="Arial" w:hAnsi="Arial" w:cs="Arial"/>
          <w:sz w:val="20"/>
          <w:szCs w:val="20"/>
        </w:rPr>
        <w:t xml:space="preserve"> the factor</w:t>
      </w:r>
      <w:r w:rsidRPr="00482722">
        <w:rPr>
          <w:rFonts w:ascii="Arial" w:hAnsi="Arial" w:cs="Arial"/>
          <w:sz w:val="20"/>
          <w:szCs w:val="20"/>
        </w:rPr>
        <w:t xml:space="preserve"> citizen loyalty on the other. This corroborates with prior studies (e.g., Lin and Wang, 2006), </w:t>
      </w:r>
      <w:r w:rsidR="00385228" w:rsidRPr="00482722">
        <w:rPr>
          <w:rFonts w:ascii="Arial" w:hAnsi="Arial" w:cs="Arial"/>
          <w:sz w:val="20"/>
          <w:szCs w:val="20"/>
        </w:rPr>
        <w:t>which indicate</w:t>
      </w:r>
      <w:r w:rsidR="00504F26" w:rsidRPr="00482722">
        <w:rPr>
          <w:rFonts w:ascii="Arial" w:hAnsi="Arial" w:cs="Arial"/>
          <w:sz w:val="20"/>
          <w:szCs w:val="20"/>
        </w:rPr>
        <w:t>d</w:t>
      </w:r>
      <w:r w:rsidR="00385228" w:rsidRPr="00482722">
        <w:rPr>
          <w:rFonts w:ascii="Arial" w:hAnsi="Arial" w:cs="Arial"/>
          <w:sz w:val="20"/>
          <w:szCs w:val="20"/>
        </w:rPr>
        <w:t xml:space="preserve"> </w:t>
      </w:r>
      <w:r w:rsidRPr="00482722">
        <w:rPr>
          <w:rFonts w:ascii="Arial" w:hAnsi="Arial" w:cs="Arial"/>
          <w:sz w:val="20"/>
          <w:szCs w:val="20"/>
        </w:rPr>
        <w:t>that satisfaction can play a crucial mediating role in the relationship between cognitive variables (e.g., service quality and trust) and conative outcomes (e.g., customer loyalty).</w:t>
      </w:r>
    </w:p>
    <w:p w14:paraId="5AF91883" w14:textId="7D7C1C9A" w:rsidR="00283F7B" w:rsidRPr="00482722" w:rsidRDefault="00283F7B" w:rsidP="006D31B5">
      <w:pPr>
        <w:pStyle w:val="Heading2"/>
      </w:pPr>
      <w:r w:rsidRPr="00482722">
        <w:t xml:space="preserve">Theoretical </w:t>
      </w:r>
      <w:r w:rsidR="00AC29DC" w:rsidRPr="00482722">
        <w:t>contributions</w:t>
      </w:r>
    </w:p>
    <w:p w14:paraId="5F5998B7" w14:textId="19944FC0" w:rsidR="00420E52" w:rsidRPr="00482722" w:rsidRDefault="004D13B0" w:rsidP="008A7336">
      <w:pPr>
        <w:spacing w:line="240" w:lineRule="auto"/>
        <w:jc w:val="both"/>
        <w:rPr>
          <w:rFonts w:ascii="Arial" w:hAnsi="Arial" w:cs="Arial"/>
          <w:sz w:val="20"/>
          <w:szCs w:val="20"/>
        </w:rPr>
      </w:pPr>
      <w:bookmarkStart w:id="24" w:name="_Hlk58263795"/>
      <w:r w:rsidRPr="00482722">
        <w:rPr>
          <w:rFonts w:ascii="Arial" w:hAnsi="Arial" w:cs="Arial"/>
          <w:sz w:val="20"/>
          <w:szCs w:val="20"/>
        </w:rPr>
        <w:t xml:space="preserve">The main contribution of this research in terms of theory lies in </w:t>
      </w:r>
      <w:r w:rsidR="007E6342" w:rsidRPr="00482722">
        <w:rPr>
          <w:rFonts w:ascii="Arial" w:hAnsi="Arial" w:cs="Arial"/>
          <w:sz w:val="20"/>
          <w:szCs w:val="20"/>
        </w:rPr>
        <w:t xml:space="preserve">its </w:t>
      </w:r>
      <w:r w:rsidRPr="00482722">
        <w:rPr>
          <w:rFonts w:ascii="Arial" w:hAnsi="Arial" w:cs="Arial"/>
          <w:sz w:val="20"/>
          <w:szCs w:val="20"/>
        </w:rPr>
        <w:t>extension of the lens of</w:t>
      </w:r>
      <w:r w:rsidR="004B215D" w:rsidRPr="00482722">
        <w:rPr>
          <w:rFonts w:ascii="Arial" w:hAnsi="Arial" w:cs="Arial"/>
          <w:sz w:val="20"/>
          <w:szCs w:val="20"/>
        </w:rPr>
        <w:t xml:space="preserve"> citizen</w:t>
      </w:r>
      <w:r w:rsidRPr="00482722">
        <w:rPr>
          <w:rFonts w:ascii="Arial" w:hAnsi="Arial" w:cs="Arial"/>
          <w:sz w:val="20"/>
          <w:szCs w:val="20"/>
        </w:rPr>
        <w:t xml:space="preserve"> loyalty in the context of e-government services. The study proposed and empirically tested a new model combining the service quality model (Parasuraman et al.,1994) and trust theory (Zucker, 1986) and integrat</w:t>
      </w:r>
      <w:r w:rsidR="004B215D" w:rsidRPr="00482722">
        <w:rPr>
          <w:rFonts w:ascii="Arial" w:hAnsi="Arial" w:cs="Arial"/>
          <w:sz w:val="20"/>
          <w:szCs w:val="20"/>
        </w:rPr>
        <w:t xml:space="preserve">es </w:t>
      </w:r>
      <w:r w:rsidRPr="00482722">
        <w:rPr>
          <w:rFonts w:ascii="Arial" w:hAnsi="Arial" w:cs="Arial"/>
          <w:sz w:val="20"/>
          <w:szCs w:val="20"/>
        </w:rPr>
        <w:t>satisfaction</w:t>
      </w:r>
      <w:r w:rsidR="00F6796F" w:rsidRPr="00482722">
        <w:rPr>
          <w:rFonts w:ascii="Arial" w:hAnsi="Arial" w:cs="Arial"/>
          <w:sz w:val="20"/>
          <w:szCs w:val="20"/>
        </w:rPr>
        <w:t xml:space="preserve"> as a factor</w:t>
      </w:r>
      <w:r w:rsidRPr="00482722">
        <w:rPr>
          <w:rFonts w:ascii="Arial" w:hAnsi="Arial" w:cs="Arial"/>
          <w:sz w:val="20"/>
          <w:szCs w:val="20"/>
        </w:rPr>
        <w:t>. The study</w:t>
      </w:r>
      <w:r w:rsidR="00F6796F" w:rsidRPr="00482722">
        <w:rPr>
          <w:rFonts w:ascii="Arial" w:hAnsi="Arial" w:cs="Arial"/>
          <w:sz w:val="20"/>
          <w:szCs w:val="20"/>
        </w:rPr>
        <w:t xml:space="preserve"> has</w:t>
      </w:r>
      <w:r w:rsidRPr="00482722">
        <w:rPr>
          <w:rFonts w:ascii="Arial" w:hAnsi="Arial" w:cs="Arial"/>
          <w:sz w:val="20"/>
          <w:szCs w:val="20"/>
        </w:rPr>
        <w:t xml:space="preserve"> advanced knowledge in the areas of technology adoption</w:t>
      </w:r>
      <w:r w:rsidR="007C1602" w:rsidRPr="00482722">
        <w:rPr>
          <w:rFonts w:ascii="Arial" w:hAnsi="Arial" w:cs="Arial"/>
          <w:sz w:val="20"/>
          <w:szCs w:val="20"/>
        </w:rPr>
        <w:t xml:space="preserve"> and use</w:t>
      </w:r>
      <w:r w:rsidRPr="00482722">
        <w:rPr>
          <w:rFonts w:ascii="Arial" w:hAnsi="Arial" w:cs="Arial"/>
          <w:sz w:val="20"/>
          <w:szCs w:val="20"/>
        </w:rPr>
        <w:t xml:space="preserve"> in the context of e-government </w:t>
      </w:r>
      <w:r w:rsidR="00420E52" w:rsidRPr="00482722">
        <w:rPr>
          <w:rFonts w:ascii="Arial" w:hAnsi="Arial" w:cs="Arial"/>
          <w:sz w:val="20"/>
          <w:szCs w:val="20"/>
        </w:rPr>
        <w:t>services. The integration of these factors advances the theoretical understanding of building citizen loyalty to e-government services as</w:t>
      </w:r>
      <w:r w:rsidR="007C1602" w:rsidRPr="00482722">
        <w:rPr>
          <w:rFonts w:ascii="Arial" w:hAnsi="Arial" w:cs="Arial"/>
          <w:sz w:val="20"/>
          <w:szCs w:val="20"/>
        </w:rPr>
        <w:t xml:space="preserve"> an</w:t>
      </w:r>
      <w:r w:rsidR="00420E52" w:rsidRPr="00482722">
        <w:rPr>
          <w:rFonts w:ascii="Arial" w:hAnsi="Arial" w:cs="Arial"/>
          <w:sz w:val="20"/>
          <w:szCs w:val="20"/>
        </w:rPr>
        <w:t xml:space="preserve"> essential method </w:t>
      </w:r>
      <w:r w:rsidR="009541DA" w:rsidRPr="00482722">
        <w:rPr>
          <w:rFonts w:ascii="Arial" w:hAnsi="Arial" w:cs="Arial"/>
          <w:sz w:val="20"/>
          <w:szCs w:val="20"/>
        </w:rPr>
        <w:t xml:space="preserve">for </w:t>
      </w:r>
      <w:r w:rsidR="00420E52" w:rsidRPr="00482722">
        <w:rPr>
          <w:rFonts w:ascii="Arial" w:hAnsi="Arial" w:cs="Arial"/>
          <w:sz w:val="20"/>
          <w:szCs w:val="20"/>
        </w:rPr>
        <w:t>enhanc</w:t>
      </w:r>
      <w:r w:rsidR="009541DA" w:rsidRPr="00482722">
        <w:rPr>
          <w:rFonts w:ascii="Arial" w:hAnsi="Arial" w:cs="Arial"/>
          <w:sz w:val="20"/>
          <w:szCs w:val="20"/>
        </w:rPr>
        <w:t>ing</w:t>
      </w:r>
      <w:r w:rsidR="00420E52" w:rsidRPr="00482722">
        <w:rPr>
          <w:rFonts w:ascii="Arial" w:hAnsi="Arial" w:cs="Arial"/>
          <w:sz w:val="20"/>
          <w:szCs w:val="20"/>
        </w:rPr>
        <w:t xml:space="preserve"> </w:t>
      </w:r>
      <w:r w:rsidR="009541DA" w:rsidRPr="00482722">
        <w:rPr>
          <w:rFonts w:ascii="Arial" w:hAnsi="Arial" w:cs="Arial"/>
          <w:sz w:val="20"/>
          <w:szCs w:val="20"/>
        </w:rPr>
        <w:t>the</w:t>
      </w:r>
      <w:r w:rsidR="00420E52" w:rsidRPr="00482722">
        <w:rPr>
          <w:rFonts w:ascii="Arial" w:hAnsi="Arial" w:cs="Arial"/>
          <w:sz w:val="20"/>
          <w:szCs w:val="20"/>
        </w:rPr>
        <w:t xml:space="preserve"> sense of commitment to e-government services</w:t>
      </w:r>
      <w:r w:rsidR="009541DA" w:rsidRPr="00482722">
        <w:rPr>
          <w:rFonts w:ascii="Arial" w:hAnsi="Arial" w:cs="Arial"/>
          <w:sz w:val="20"/>
          <w:szCs w:val="20"/>
        </w:rPr>
        <w:t xml:space="preserve"> among citizens and</w:t>
      </w:r>
      <w:r w:rsidR="00420E52" w:rsidRPr="00482722">
        <w:rPr>
          <w:rFonts w:ascii="Arial" w:hAnsi="Arial" w:cs="Arial"/>
          <w:sz w:val="20"/>
          <w:szCs w:val="20"/>
        </w:rPr>
        <w:t xml:space="preserve"> </w:t>
      </w:r>
      <w:r w:rsidR="007C1602" w:rsidRPr="00482722">
        <w:rPr>
          <w:rFonts w:ascii="Arial" w:hAnsi="Arial" w:cs="Arial"/>
          <w:sz w:val="20"/>
          <w:szCs w:val="20"/>
        </w:rPr>
        <w:t xml:space="preserve">increasing </w:t>
      </w:r>
      <w:r w:rsidR="00420E52" w:rsidRPr="00482722">
        <w:rPr>
          <w:rFonts w:ascii="Arial" w:hAnsi="Arial" w:cs="Arial"/>
          <w:sz w:val="20"/>
          <w:szCs w:val="20"/>
        </w:rPr>
        <w:t xml:space="preserve">the likelihood </w:t>
      </w:r>
      <w:r w:rsidR="009541DA" w:rsidRPr="00482722">
        <w:rPr>
          <w:rFonts w:ascii="Arial" w:hAnsi="Arial" w:cs="Arial"/>
          <w:sz w:val="20"/>
          <w:szCs w:val="20"/>
        </w:rPr>
        <w:t xml:space="preserve">that </w:t>
      </w:r>
      <w:r w:rsidR="00420E52" w:rsidRPr="00482722">
        <w:rPr>
          <w:rFonts w:ascii="Arial" w:hAnsi="Arial" w:cs="Arial"/>
          <w:sz w:val="20"/>
          <w:szCs w:val="20"/>
        </w:rPr>
        <w:t>they will patroni</w:t>
      </w:r>
      <w:r w:rsidR="007C1602" w:rsidRPr="00482722">
        <w:rPr>
          <w:rFonts w:ascii="Arial" w:hAnsi="Arial" w:cs="Arial"/>
          <w:sz w:val="20"/>
          <w:szCs w:val="20"/>
        </w:rPr>
        <w:t>s</w:t>
      </w:r>
      <w:r w:rsidR="00420E52" w:rsidRPr="00482722">
        <w:rPr>
          <w:rFonts w:ascii="Arial" w:hAnsi="Arial" w:cs="Arial"/>
          <w:sz w:val="20"/>
          <w:szCs w:val="20"/>
        </w:rPr>
        <w:t>e government agencies again (Chatfield &amp; Alanazi, 2013; Connolly et al. 2010; Doong et al., 2010).</w:t>
      </w:r>
    </w:p>
    <w:bookmarkEnd w:id="24"/>
    <w:p w14:paraId="5A1EDA10" w14:textId="62E74324" w:rsidR="00AC29DC" w:rsidRPr="00482722" w:rsidRDefault="00162FE2" w:rsidP="00DA5EEC">
      <w:pPr>
        <w:spacing w:line="240" w:lineRule="auto"/>
        <w:jc w:val="both"/>
        <w:rPr>
          <w:rFonts w:ascii="Arial" w:hAnsi="Arial" w:cs="Arial"/>
          <w:sz w:val="20"/>
          <w:szCs w:val="20"/>
        </w:rPr>
      </w:pPr>
      <w:r w:rsidRPr="00482722">
        <w:rPr>
          <w:rFonts w:ascii="Arial" w:hAnsi="Arial" w:cs="Arial"/>
          <w:sz w:val="20"/>
          <w:szCs w:val="20"/>
        </w:rPr>
        <w:t>In addition</w:t>
      </w:r>
      <w:r w:rsidR="00402F37" w:rsidRPr="00482722">
        <w:rPr>
          <w:rFonts w:ascii="Arial" w:hAnsi="Arial" w:cs="Arial"/>
          <w:sz w:val="20"/>
          <w:szCs w:val="20"/>
        </w:rPr>
        <w:t xml:space="preserve">, the study </w:t>
      </w:r>
      <w:r w:rsidR="009541DA" w:rsidRPr="00482722">
        <w:rPr>
          <w:rFonts w:ascii="Arial" w:hAnsi="Arial" w:cs="Arial"/>
          <w:sz w:val="20"/>
          <w:szCs w:val="20"/>
        </w:rPr>
        <w:t xml:space="preserve">has </w:t>
      </w:r>
      <w:r w:rsidR="00402F37" w:rsidRPr="00482722">
        <w:rPr>
          <w:rFonts w:ascii="Arial" w:hAnsi="Arial" w:cs="Arial"/>
          <w:sz w:val="20"/>
          <w:szCs w:val="20"/>
        </w:rPr>
        <w:t xml:space="preserve">filled a gap in </w:t>
      </w:r>
      <w:r w:rsidR="008931D9" w:rsidRPr="00482722">
        <w:rPr>
          <w:rFonts w:ascii="Arial" w:hAnsi="Arial" w:cs="Arial"/>
          <w:sz w:val="20"/>
          <w:szCs w:val="20"/>
        </w:rPr>
        <w:t xml:space="preserve">the </w:t>
      </w:r>
      <w:r w:rsidR="00402F37" w:rsidRPr="00482722">
        <w:rPr>
          <w:rFonts w:ascii="Arial" w:hAnsi="Arial" w:cs="Arial"/>
          <w:sz w:val="20"/>
          <w:szCs w:val="20"/>
        </w:rPr>
        <w:t xml:space="preserve">research </w:t>
      </w:r>
      <w:r w:rsidR="008931D9" w:rsidRPr="00482722">
        <w:rPr>
          <w:rFonts w:ascii="Arial" w:hAnsi="Arial" w:cs="Arial"/>
          <w:sz w:val="20"/>
          <w:szCs w:val="20"/>
        </w:rPr>
        <w:t>on</w:t>
      </w:r>
      <w:r w:rsidR="00402F37" w:rsidRPr="00482722">
        <w:rPr>
          <w:rFonts w:ascii="Arial" w:hAnsi="Arial" w:cs="Arial"/>
          <w:sz w:val="20"/>
          <w:szCs w:val="20"/>
        </w:rPr>
        <w:t xml:space="preserve"> citizen loyalty to e-government services</w:t>
      </w:r>
      <w:r w:rsidR="008931D9" w:rsidRPr="00482722">
        <w:rPr>
          <w:rFonts w:ascii="Arial" w:hAnsi="Arial" w:cs="Arial"/>
          <w:sz w:val="20"/>
          <w:szCs w:val="20"/>
        </w:rPr>
        <w:t>,</w:t>
      </w:r>
      <w:r w:rsidR="00402F37" w:rsidRPr="00482722">
        <w:rPr>
          <w:rFonts w:ascii="Arial" w:hAnsi="Arial" w:cs="Arial"/>
          <w:sz w:val="20"/>
          <w:szCs w:val="20"/>
        </w:rPr>
        <w:t xml:space="preserve"> </w:t>
      </w:r>
      <w:r w:rsidR="002E003B" w:rsidRPr="00482722">
        <w:rPr>
          <w:rFonts w:ascii="Arial" w:hAnsi="Arial" w:cs="Arial"/>
          <w:sz w:val="20"/>
          <w:szCs w:val="20"/>
        </w:rPr>
        <w:t xml:space="preserve">given that </w:t>
      </w:r>
      <w:r w:rsidR="00402F37" w:rsidRPr="00482722">
        <w:rPr>
          <w:rFonts w:ascii="Arial" w:hAnsi="Arial" w:cs="Arial"/>
          <w:sz w:val="20"/>
          <w:szCs w:val="20"/>
        </w:rPr>
        <w:t>the majority of existing studies focused on satisfaction</w:t>
      </w:r>
      <w:r w:rsidRPr="00482722">
        <w:rPr>
          <w:rFonts w:ascii="Arial" w:hAnsi="Arial" w:cs="Arial"/>
          <w:sz w:val="20"/>
          <w:szCs w:val="20"/>
        </w:rPr>
        <w:t xml:space="preserve"> (e.g., Alkraiji, 2020a; Alzahrani et al., 2018; Rana et al., 2017; Weerakkody et al., 2016; Irani et al., 2012; Chan et al., 2010; Teo et al., 2008; Wang and Liao, 2008). </w:t>
      </w:r>
      <w:r w:rsidR="001E5714" w:rsidRPr="00482722">
        <w:rPr>
          <w:rFonts w:ascii="Arial" w:hAnsi="Arial" w:cs="Arial"/>
          <w:sz w:val="20"/>
          <w:szCs w:val="20"/>
        </w:rPr>
        <w:t>In doing so, t</w:t>
      </w:r>
      <w:r w:rsidRPr="00482722">
        <w:rPr>
          <w:rFonts w:ascii="Arial" w:hAnsi="Arial" w:cs="Arial"/>
          <w:sz w:val="20"/>
          <w:szCs w:val="20"/>
        </w:rPr>
        <w:t xml:space="preserve">his study </w:t>
      </w:r>
      <w:r w:rsidR="00381FEF" w:rsidRPr="00482722">
        <w:rPr>
          <w:rFonts w:ascii="Arial" w:hAnsi="Arial" w:cs="Arial"/>
          <w:sz w:val="20"/>
          <w:szCs w:val="20"/>
        </w:rPr>
        <w:t xml:space="preserve">has </w:t>
      </w:r>
      <w:r w:rsidR="001E5714" w:rsidRPr="00482722">
        <w:rPr>
          <w:rFonts w:ascii="Arial" w:hAnsi="Arial" w:cs="Arial"/>
          <w:sz w:val="20"/>
          <w:szCs w:val="20"/>
        </w:rPr>
        <w:t xml:space="preserve">offered new insights and </w:t>
      </w:r>
      <w:r w:rsidR="00FD3F90" w:rsidRPr="00482722">
        <w:rPr>
          <w:rFonts w:ascii="Arial" w:hAnsi="Arial" w:cs="Arial"/>
          <w:sz w:val="20"/>
          <w:szCs w:val="20"/>
        </w:rPr>
        <w:t xml:space="preserve">identified </w:t>
      </w:r>
      <w:r w:rsidR="001E5714" w:rsidRPr="00482722">
        <w:rPr>
          <w:rFonts w:ascii="Arial" w:hAnsi="Arial" w:cs="Arial"/>
          <w:sz w:val="20"/>
          <w:szCs w:val="20"/>
        </w:rPr>
        <w:t xml:space="preserve">relationships between different factors that can influence citizen loyalty to e-government services. </w:t>
      </w:r>
      <w:r w:rsidR="00BF4B78" w:rsidRPr="00482722">
        <w:rPr>
          <w:rFonts w:ascii="Arial" w:hAnsi="Arial" w:cs="Arial"/>
          <w:sz w:val="20"/>
          <w:szCs w:val="20"/>
        </w:rPr>
        <w:t>Unlike t</w:t>
      </w:r>
      <w:r w:rsidR="00C007CF" w:rsidRPr="00482722">
        <w:rPr>
          <w:rFonts w:ascii="Arial" w:hAnsi="Arial" w:cs="Arial"/>
          <w:sz w:val="20"/>
          <w:szCs w:val="20"/>
        </w:rPr>
        <w:t>he majority of existing studies</w:t>
      </w:r>
      <w:r w:rsidR="00BF4B78" w:rsidRPr="00482722">
        <w:rPr>
          <w:rFonts w:ascii="Arial" w:hAnsi="Arial" w:cs="Arial"/>
          <w:sz w:val="20"/>
          <w:szCs w:val="20"/>
        </w:rPr>
        <w:t>, which</w:t>
      </w:r>
      <w:r w:rsidR="00C007CF" w:rsidRPr="00482722">
        <w:rPr>
          <w:rFonts w:ascii="Arial" w:hAnsi="Arial" w:cs="Arial"/>
          <w:sz w:val="20"/>
          <w:szCs w:val="20"/>
        </w:rPr>
        <w:t xml:space="preserve"> focused on trust as </w:t>
      </w:r>
      <w:r w:rsidR="00502644" w:rsidRPr="00482722">
        <w:rPr>
          <w:rFonts w:ascii="Arial" w:hAnsi="Arial" w:cs="Arial"/>
          <w:sz w:val="20"/>
          <w:szCs w:val="20"/>
        </w:rPr>
        <w:t xml:space="preserve">institution-based trust and </w:t>
      </w:r>
      <w:r w:rsidR="00BF4B78" w:rsidRPr="00482722">
        <w:rPr>
          <w:rFonts w:ascii="Arial" w:hAnsi="Arial" w:cs="Arial"/>
          <w:sz w:val="20"/>
          <w:szCs w:val="20"/>
        </w:rPr>
        <w:t xml:space="preserve">as </w:t>
      </w:r>
      <w:r w:rsidR="00502644" w:rsidRPr="00482722">
        <w:rPr>
          <w:rFonts w:ascii="Arial" w:hAnsi="Arial" w:cs="Arial"/>
          <w:sz w:val="20"/>
          <w:szCs w:val="20"/>
        </w:rPr>
        <w:t>process-based trust (Kumar et al., 2020; Bélanger &amp; Carter, 2008; Gefen et al., 2003; McKnight et al., 2002; Warkentin et al., 2002)</w:t>
      </w:r>
      <w:r w:rsidR="00C007CF" w:rsidRPr="00482722">
        <w:rPr>
          <w:rFonts w:ascii="Arial" w:hAnsi="Arial" w:cs="Arial"/>
          <w:sz w:val="20"/>
          <w:szCs w:val="20"/>
        </w:rPr>
        <w:t xml:space="preserve">, </w:t>
      </w:r>
      <w:r w:rsidR="00502644" w:rsidRPr="00482722">
        <w:rPr>
          <w:rFonts w:ascii="Arial" w:hAnsi="Arial" w:cs="Arial"/>
          <w:sz w:val="20"/>
          <w:szCs w:val="20"/>
        </w:rPr>
        <w:t>t</w:t>
      </w:r>
      <w:r w:rsidR="00362228" w:rsidRPr="00482722">
        <w:rPr>
          <w:rFonts w:ascii="Arial" w:hAnsi="Arial" w:cs="Arial"/>
          <w:sz w:val="20"/>
          <w:szCs w:val="20"/>
        </w:rPr>
        <w:t xml:space="preserve">his study </w:t>
      </w:r>
      <w:r w:rsidR="005F6618" w:rsidRPr="00482722">
        <w:rPr>
          <w:rFonts w:ascii="Arial" w:hAnsi="Arial" w:cs="Arial"/>
          <w:sz w:val="20"/>
          <w:szCs w:val="20"/>
        </w:rPr>
        <w:t>examined</w:t>
      </w:r>
      <w:r w:rsidR="00362228" w:rsidRPr="00482722">
        <w:rPr>
          <w:rFonts w:ascii="Arial" w:hAnsi="Arial" w:cs="Arial"/>
          <w:sz w:val="20"/>
          <w:szCs w:val="20"/>
        </w:rPr>
        <w:t xml:space="preserve"> three main </w:t>
      </w:r>
      <w:r w:rsidR="00EE0585" w:rsidRPr="00482722">
        <w:rPr>
          <w:rFonts w:ascii="Arial" w:hAnsi="Arial" w:cs="Arial"/>
          <w:sz w:val="20"/>
          <w:szCs w:val="20"/>
        </w:rPr>
        <w:t xml:space="preserve">categories of trust </w:t>
      </w:r>
      <w:r w:rsidR="00362228" w:rsidRPr="00482722">
        <w:rPr>
          <w:rFonts w:ascii="Arial" w:hAnsi="Arial" w:cs="Arial"/>
          <w:sz w:val="20"/>
          <w:szCs w:val="20"/>
        </w:rPr>
        <w:t xml:space="preserve">in the context of </w:t>
      </w:r>
      <w:r w:rsidR="00EE0585" w:rsidRPr="00482722">
        <w:rPr>
          <w:rFonts w:ascii="Arial" w:hAnsi="Arial" w:cs="Arial"/>
          <w:sz w:val="20"/>
          <w:szCs w:val="20"/>
        </w:rPr>
        <w:t xml:space="preserve">using </w:t>
      </w:r>
      <w:r w:rsidR="00362228" w:rsidRPr="00482722">
        <w:rPr>
          <w:rFonts w:ascii="Arial" w:hAnsi="Arial" w:cs="Arial"/>
          <w:sz w:val="20"/>
          <w:szCs w:val="20"/>
        </w:rPr>
        <w:t>e-government services: trust in e-government, trust in government</w:t>
      </w:r>
      <w:r w:rsidR="005461C2" w:rsidRPr="00482722">
        <w:rPr>
          <w:rFonts w:ascii="Arial" w:hAnsi="Arial" w:cs="Arial"/>
          <w:sz w:val="20"/>
          <w:szCs w:val="20"/>
        </w:rPr>
        <w:t>, and</w:t>
      </w:r>
      <w:r w:rsidR="00362228" w:rsidRPr="00482722">
        <w:rPr>
          <w:rFonts w:ascii="Arial" w:hAnsi="Arial" w:cs="Arial"/>
          <w:sz w:val="20"/>
          <w:szCs w:val="20"/>
        </w:rPr>
        <w:t xml:space="preserve"> disposition to trust. </w:t>
      </w:r>
      <w:r w:rsidR="0017540F" w:rsidRPr="00482722">
        <w:rPr>
          <w:rFonts w:ascii="Arial" w:hAnsi="Arial" w:cs="Arial"/>
          <w:sz w:val="20"/>
          <w:szCs w:val="20"/>
        </w:rPr>
        <w:t xml:space="preserve">This categorisation allows </w:t>
      </w:r>
      <w:r w:rsidR="00257429" w:rsidRPr="00482722">
        <w:rPr>
          <w:rFonts w:ascii="Arial" w:hAnsi="Arial" w:cs="Arial"/>
          <w:sz w:val="20"/>
          <w:szCs w:val="20"/>
        </w:rPr>
        <w:t xml:space="preserve">researchers to gain </w:t>
      </w:r>
      <w:r w:rsidR="0017540F" w:rsidRPr="00482722">
        <w:rPr>
          <w:rFonts w:ascii="Arial" w:hAnsi="Arial" w:cs="Arial"/>
          <w:sz w:val="20"/>
          <w:szCs w:val="20"/>
        </w:rPr>
        <w:t xml:space="preserve">a </w:t>
      </w:r>
      <w:r w:rsidR="00E12CCB" w:rsidRPr="00482722">
        <w:rPr>
          <w:rFonts w:ascii="Arial" w:hAnsi="Arial" w:cs="Arial"/>
          <w:sz w:val="20"/>
          <w:szCs w:val="20"/>
        </w:rPr>
        <w:t>deeper</w:t>
      </w:r>
      <w:r w:rsidR="0017540F" w:rsidRPr="00482722">
        <w:rPr>
          <w:rFonts w:ascii="Arial" w:hAnsi="Arial" w:cs="Arial"/>
          <w:sz w:val="20"/>
          <w:szCs w:val="20"/>
        </w:rPr>
        <w:t xml:space="preserve"> and more accurate understanding </w:t>
      </w:r>
      <w:r w:rsidR="00257429" w:rsidRPr="00482722">
        <w:rPr>
          <w:rFonts w:ascii="Arial" w:hAnsi="Arial" w:cs="Arial"/>
          <w:sz w:val="20"/>
          <w:szCs w:val="20"/>
        </w:rPr>
        <w:t>of</w:t>
      </w:r>
      <w:r w:rsidR="0017540F" w:rsidRPr="00482722">
        <w:rPr>
          <w:rFonts w:ascii="Arial" w:hAnsi="Arial" w:cs="Arial"/>
          <w:sz w:val="20"/>
          <w:szCs w:val="20"/>
        </w:rPr>
        <w:t xml:space="preserve"> trust in the </w:t>
      </w:r>
      <w:r w:rsidR="008675A6" w:rsidRPr="00482722">
        <w:rPr>
          <w:rFonts w:ascii="Arial" w:hAnsi="Arial" w:cs="Arial"/>
          <w:sz w:val="20"/>
          <w:szCs w:val="20"/>
        </w:rPr>
        <w:t xml:space="preserve">context </w:t>
      </w:r>
      <w:r w:rsidR="0017540F" w:rsidRPr="00482722">
        <w:rPr>
          <w:rFonts w:ascii="Arial" w:hAnsi="Arial" w:cs="Arial"/>
          <w:sz w:val="20"/>
          <w:szCs w:val="20"/>
        </w:rPr>
        <w:t xml:space="preserve">of e-government services. </w:t>
      </w:r>
      <w:r w:rsidR="007B7023" w:rsidRPr="00482722">
        <w:rPr>
          <w:rFonts w:ascii="Arial" w:hAnsi="Arial" w:cs="Arial"/>
          <w:sz w:val="20"/>
          <w:szCs w:val="20"/>
        </w:rPr>
        <w:t>The findings also indicated that service quality exhibit</w:t>
      </w:r>
      <w:r w:rsidR="008675A6" w:rsidRPr="00482722">
        <w:rPr>
          <w:rFonts w:ascii="Arial" w:hAnsi="Arial" w:cs="Arial"/>
          <w:sz w:val="20"/>
          <w:szCs w:val="20"/>
        </w:rPr>
        <w:t>s</w:t>
      </w:r>
      <w:r w:rsidR="007B7023" w:rsidRPr="00482722">
        <w:rPr>
          <w:rFonts w:ascii="Arial" w:hAnsi="Arial" w:cs="Arial"/>
          <w:sz w:val="20"/>
          <w:szCs w:val="20"/>
        </w:rPr>
        <w:t xml:space="preserve"> a stronger total effect on trust in e-government than trust in government, whereas trust in government exhibit</w:t>
      </w:r>
      <w:r w:rsidR="008675A6" w:rsidRPr="00482722">
        <w:rPr>
          <w:rFonts w:ascii="Arial" w:hAnsi="Arial" w:cs="Arial"/>
          <w:sz w:val="20"/>
          <w:szCs w:val="20"/>
        </w:rPr>
        <w:t>s</w:t>
      </w:r>
      <w:r w:rsidR="007B7023" w:rsidRPr="00482722">
        <w:rPr>
          <w:rFonts w:ascii="Arial" w:hAnsi="Arial" w:cs="Arial"/>
          <w:sz w:val="20"/>
          <w:szCs w:val="20"/>
        </w:rPr>
        <w:t xml:space="preserve"> a stronger total effect on both citizen satisfaction and</w:t>
      </w:r>
      <w:r w:rsidR="005A52D4" w:rsidRPr="00482722">
        <w:rPr>
          <w:rFonts w:ascii="Arial" w:hAnsi="Arial" w:cs="Arial"/>
          <w:sz w:val="20"/>
          <w:szCs w:val="20"/>
        </w:rPr>
        <w:t xml:space="preserve"> citizen</w:t>
      </w:r>
      <w:r w:rsidR="007B7023" w:rsidRPr="00482722">
        <w:rPr>
          <w:rFonts w:ascii="Arial" w:hAnsi="Arial" w:cs="Arial"/>
          <w:sz w:val="20"/>
          <w:szCs w:val="20"/>
        </w:rPr>
        <w:t xml:space="preserve"> loyalty than trust in e-government. This result confirm</w:t>
      </w:r>
      <w:r w:rsidR="008675A6" w:rsidRPr="00482722">
        <w:rPr>
          <w:rFonts w:ascii="Arial" w:hAnsi="Arial" w:cs="Arial"/>
          <w:sz w:val="20"/>
          <w:szCs w:val="20"/>
        </w:rPr>
        <w:t>s</w:t>
      </w:r>
      <w:r w:rsidR="007B7023" w:rsidRPr="00482722">
        <w:rPr>
          <w:rFonts w:ascii="Arial" w:hAnsi="Arial" w:cs="Arial"/>
          <w:sz w:val="20"/>
          <w:szCs w:val="20"/>
        </w:rPr>
        <w:t xml:space="preserve"> the assertion that the willingness of citizens to expose vulnerabilities while </w:t>
      </w:r>
      <w:r w:rsidR="005A52D4" w:rsidRPr="00482722">
        <w:rPr>
          <w:rFonts w:ascii="Arial" w:hAnsi="Arial" w:cs="Arial"/>
          <w:sz w:val="20"/>
          <w:szCs w:val="20"/>
        </w:rPr>
        <w:t>using</w:t>
      </w:r>
      <w:r w:rsidR="007B7023" w:rsidRPr="00482722">
        <w:rPr>
          <w:rFonts w:ascii="Arial" w:hAnsi="Arial" w:cs="Arial"/>
          <w:sz w:val="20"/>
          <w:szCs w:val="20"/>
        </w:rPr>
        <w:t xml:space="preserve"> e-government services </w:t>
      </w:r>
      <w:r w:rsidR="008675A6" w:rsidRPr="00482722">
        <w:rPr>
          <w:rFonts w:ascii="Arial" w:hAnsi="Arial" w:cs="Arial"/>
          <w:sz w:val="20"/>
          <w:szCs w:val="20"/>
        </w:rPr>
        <w:t>i</w:t>
      </w:r>
      <w:r w:rsidR="007B7023" w:rsidRPr="00482722">
        <w:rPr>
          <w:rFonts w:ascii="Arial" w:hAnsi="Arial" w:cs="Arial"/>
          <w:sz w:val="20"/>
          <w:szCs w:val="20"/>
        </w:rPr>
        <w:t>s significantly influenced by their belief in the performance and ability of the government</w:t>
      </w:r>
      <w:r w:rsidR="00187996" w:rsidRPr="00482722">
        <w:rPr>
          <w:rFonts w:ascii="Arial" w:hAnsi="Arial" w:cs="Arial"/>
          <w:sz w:val="20"/>
          <w:szCs w:val="20"/>
        </w:rPr>
        <w:t xml:space="preserve">. This is consistent with the findings of the studies conducted </w:t>
      </w:r>
      <w:r w:rsidR="00242BD8" w:rsidRPr="00482722">
        <w:rPr>
          <w:rFonts w:ascii="Arial" w:hAnsi="Arial" w:cs="Arial"/>
          <w:sz w:val="20"/>
          <w:szCs w:val="20"/>
        </w:rPr>
        <w:t>by Srivastava</w:t>
      </w:r>
      <w:r w:rsidR="007B7023" w:rsidRPr="00482722">
        <w:rPr>
          <w:rFonts w:ascii="Arial" w:hAnsi="Arial" w:cs="Arial"/>
          <w:sz w:val="20"/>
          <w:szCs w:val="20"/>
        </w:rPr>
        <w:t xml:space="preserve"> and Teo</w:t>
      </w:r>
      <w:r w:rsidR="00242BD8" w:rsidRPr="00482722">
        <w:rPr>
          <w:rFonts w:ascii="Arial" w:hAnsi="Arial" w:cs="Arial"/>
          <w:sz w:val="20"/>
          <w:szCs w:val="20"/>
        </w:rPr>
        <w:t xml:space="preserve"> </w:t>
      </w:r>
      <w:r w:rsidR="00187996" w:rsidRPr="00482722">
        <w:rPr>
          <w:rFonts w:ascii="Arial" w:hAnsi="Arial" w:cs="Arial"/>
          <w:sz w:val="20"/>
          <w:szCs w:val="20"/>
        </w:rPr>
        <w:t>(</w:t>
      </w:r>
      <w:r w:rsidR="007B7023" w:rsidRPr="00482722">
        <w:rPr>
          <w:rFonts w:ascii="Arial" w:hAnsi="Arial" w:cs="Arial"/>
          <w:sz w:val="20"/>
          <w:szCs w:val="20"/>
        </w:rPr>
        <w:t>2009</w:t>
      </w:r>
      <w:r w:rsidR="00187996" w:rsidRPr="00482722">
        <w:rPr>
          <w:rFonts w:ascii="Arial" w:hAnsi="Arial" w:cs="Arial"/>
          <w:sz w:val="20"/>
          <w:szCs w:val="20"/>
        </w:rPr>
        <w:t>) and</w:t>
      </w:r>
      <w:r w:rsidR="007B7023" w:rsidRPr="00482722">
        <w:rPr>
          <w:rFonts w:ascii="Arial" w:hAnsi="Arial" w:cs="Arial"/>
          <w:sz w:val="20"/>
          <w:szCs w:val="20"/>
        </w:rPr>
        <w:t xml:space="preserve"> Bélanger and Carter</w:t>
      </w:r>
      <w:r w:rsidR="00187996" w:rsidRPr="00482722">
        <w:rPr>
          <w:rFonts w:ascii="Arial" w:hAnsi="Arial" w:cs="Arial"/>
          <w:sz w:val="20"/>
          <w:szCs w:val="20"/>
        </w:rPr>
        <w:t xml:space="preserve"> (</w:t>
      </w:r>
      <w:r w:rsidR="007B7023" w:rsidRPr="00482722">
        <w:rPr>
          <w:rFonts w:ascii="Arial" w:hAnsi="Arial" w:cs="Arial"/>
          <w:sz w:val="20"/>
          <w:szCs w:val="20"/>
        </w:rPr>
        <w:t>2008).</w:t>
      </w:r>
    </w:p>
    <w:p w14:paraId="45665E76" w14:textId="1D84A3A8" w:rsidR="0017540F" w:rsidRPr="00482722" w:rsidRDefault="00111199" w:rsidP="00DA5EEC">
      <w:pPr>
        <w:spacing w:line="240" w:lineRule="auto"/>
        <w:jc w:val="both"/>
        <w:rPr>
          <w:rFonts w:ascii="Arial" w:hAnsi="Arial" w:cs="Arial"/>
          <w:sz w:val="20"/>
          <w:szCs w:val="20"/>
        </w:rPr>
      </w:pPr>
      <w:r w:rsidRPr="00482722">
        <w:rPr>
          <w:rFonts w:ascii="Arial" w:hAnsi="Arial" w:cs="Arial"/>
          <w:sz w:val="20"/>
          <w:szCs w:val="20"/>
        </w:rPr>
        <w:t>Furthermore, the study revealed significant relationships between service quality, trust, satisfaction</w:t>
      </w:r>
      <w:r w:rsidR="005461C2" w:rsidRPr="00482722">
        <w:rPr>
          <w:rFonts w:ascii="Arial" w:hAnsi="Arial" w:cs="Arial"/>
          <w:sz w:val="20"/>
          <w:szCs w:val="20"/>
        </w:rPr>
        <w:t>, and</w:t>
      </w:r>
      <w:r w:rsidRPr="00482722">
        <w:rPr>
          <w:rFonts w:ascii="Arial" w:hAnsi="Arial" w:cs="Arial"/>
          <w:sz w:val="20"/>
          <w:szCs w:val="20"/>
        </w:rPr>
        <w:t xml:space="preserve"> loyalty. The results showed </w:t>
      </w:r>
      <w:r w:rsidR="00316164" w:rsidRPr="00482722">
        <w:rPr>
          <w:rFonts w:ascii="Arial" w:hAnsi="Arial" w:cs="Arial"/>
          <w:sz w:val="20"/>
          <w:szCs w:val="20"/>
        </w:rPr>
        <w:t>that</w:t>
      </w:r>
      <w:r w:rsidRPr="00482722">
        <w:rPr>
          <w:rFonts w:ascii="Arial" w:hAnsi="Arial" w:cs="Arial"/>
          <w:sz w:val="20"/>
          <w:szCs w:val="20"/>
        </w:rPr>
        <w:t xml:space="preserve"> the dimensions proposed by the SERVQUAL instrument </w:t>
      </w:r>
      <w:r w:rsidR="00316164" w:rsidRPr="00482722">
        <w:rPr>
          <w:rFonts w:ascii="Arial" w:hAnsi="Arial" w:cs="Arial"/>
          <w:sz w:val="20"/>
          <w:szCs w:val="20"/>
        </w:rPr>
        <w:t>are applicable to</w:t>
      </w:r>
      <w:r w:rsidRPr="00482722">
        <w:rPr>
          <w:rFonts w:ascii="Arial" w:hAnsi="Arial" w:cs="Arial"/>
          <w:sz w:val="20"/>
          <w:szCs w:val="20"/>
        </w:rPr>
        <w:t xml:space="preserve"> operationali</w:t>
      </w:r>
      <w:r w:rsidR="006C6B17" w:rsidRPr="00482722">
        <w:rPr>
          <w:rFonts w:ascii="Arial" w:hAnsi="Arial" w:cs="Arial"/>
          <w:sz w:val="20"/>
          <w:szCs w:val="20"/>
        </w:rPr>
        <w:t>s</w:t>
      </w:r>
      <w:r w:rsidRPr="00482722">
        <w:rPr>
          <w:rFonts w:ascii="Arial" w:hAnsi="Arial" w:cs="Arial"/>
          <w:sz w:val="20"/>
          <w:szCs w:val="20"/>
        </w:rPr>
        <w:t>ing citizens</w:t>
      </w:r>
      <w:r w:rsidR="00C6750A" w:rsidRPr="00482722">
        <w:rPr>
          <w:rFonts w:ascii="Arial" w:hAnsi="Arial" w:cs="Arial"/>
          <w:sz w:val="20"/>
          <w:szCs w:val="20"/>
        </w:rPr>
        <w:t>’</w:t>
      </w:r>
      <w:r w:rsidRPr="00482722">
        <w:rPr>
          <w:rFonts w:ascii="Arial" w:hAnsi="Arial" w:cs="Arial"/>
          <w:sz w:val="20"/>
          <w:szCs w:val="20"/>
        </w:rPr>
        <w:t xml:space="preserve"> perceptions of trust, satisfaction, and loyalty with regard to e-government services. Based on the total effect, the SERVQUAL instrument revealed a significant impact on the research model constructs. While some IS scholars (e.g., Orgeron and Goodman, 2011; Kassim, and Abdullah, 2008) have questioned the precision and value of the SERVQUAL dimensions scale in measuring online services, others (e.g., Connolly et al. 2010; Udo et al. 2010; Gefen, 2002; Pitt et al., 1995) have validated the instrument as a </w:t>
      </w:r>
      <w:r w:rsidR="006A66D4" w:rsidRPr="00482722">
        <w:rPr>
          <w:rFonts w:ascii="Arial" w:hAnsi="Arial" w:cs="Arial"/>
          <w:sz w:val="20"/>
          <w:szCs w:val="20"/>
        </w:rPr>
        <w:t xml:space="preserve">valuable </w:t>
      </w:r>
      <w:r w:rsidRPr="00482722">
        <w:rPr>
          <w:rFonts w:ascii="Arial" w:hAnsi="Arial" w:cs="Arial"/>
          <w:sz w:val="20"/>
          <w:szCs w:val="20"/>
        </w:rPr>
        <w:t>benchmark of service quality in the realm of online services.</w:t>
      </w:r>
    </w:p>
    <w:p w14:paraId="60B449E6" w14:textId="0487187C" w:rsidR="00283F7B" w:rsidRPr="00482722" w:rsidRDefault="00283F7B" w:rsidP="006D31B5">
      <w:pPr>
        <w:pStyle w:val="Heading2"/>
      </w:pPr>
      <w:r w:rsidRPr="00482722">
        <w:t xml:space="preserve">Practical </w:t>
      </w:r>
      <w:r w:rsidR="00CB0F76" w:rsidRPr="00482722">
        <w:t>i</w:t>
      </w:r>
      <w:r w:rsidRPr="00482722">
        <w:t>mplications</w:t>
      </w:r>
    </w:p>
    <w:p w14:paraId="49C19E73" w14:textId="2242B35F" w:rsidR="006818BB" w:rsidRPr="00482722" w:rsidRDefault="006818BB" w:rsidP="00DA5EEC">
      <w:pPr>
        <w:spacing w:line="240" w:lineRule="auto"/>
        <w:jc w:val="both"/>
        <w:rPr>
          <w:rFonts w:ascii="Arial" w:hAnsi="Arial" w:cs="Arial"/>
          <w:sz w:val="20"/>
          <w:szCs w:val="20"/>
        </w:rPr>
      </w:pPr>
      <w:r w:rsidRPr="00482722">
        <w:rPr>
          <w:rFonts w:ascii="Arial" w:hAnsi="Arial" w:cs="Arial"/>
          <w:sz w:val="20"/>
          <w:szCs w:val="20"/>
        </w:rPr>
        <w:t xml:space="preserve">This research has practical implications for </w:t>
      </w:r>
      <w:r w:rsidR="00CF1C1C" w:rsidRPr="00482722">
        <w:rPr>
          <w:rFonts w:ascii="Arial" w:hAnsi="Arial" w:cs="Arial"/>
          <w:sz w:val="20"/>
          <w:szCs w:val="20"/>
        </w:rPr>
        <w:t xml:space="preserve">the </w:t>
      </w:r>
      <w:r w:rsidRPr="00482722">
        <w:rPr>
          <w:rFonts w:ascii="Arial" w:hAnsi="Arial" w:cs="Arial"/>
          <w:sz w:val="20"/>
          <w:szCs w:val="20"/>
        </w:rPr>
        <w:t>UEAS</w:t>
      </w:r>
      <w:r w:rsidR="00790A74" w:rsidRPr="00482722">
        <w:rPr>
          <w:rFonts w:ascii="Arial" w:hAnsi="Arial" w:cs="Arial"/>
          <w:sz w:val="20"/>
          <w:szCs w:val="20"/>
        </w:rPr>
        <w:t>,</w:t>
      </w:r>
      <w:r w:rsidRPr="00482722">
        <w:rPr>
          <w:rFonts w:ascii="Arial" w:hAnsi="Arial" w:cs="Arial"/>
          <w:sz w:val="20"/>
          <w:szCs w:val="20"/>
        </w:rPr>
        <w:t xml:space="preserve"> government agencies in general</w:t>
      </w:r>
      <w:r w:rsidR="005461C2" w:rsidRPr="00482722">
        <w:rPr>
          <w:rFonts w:ascii="Arial" w:hAnsi="Arial" w:cs="Arial"/>
          <w:sz w:val="20"/>
          <w:szCs w:val="20"/>
        </w:rPr>
        <w:t>, and</w:t>
      </w:r>
      <w:r w:rsidR="00790A74" w:rsidRPr="00482722">
        <w:rPr>
          <w:rFonts w:ascii="Arial" w:hAnsi="Arial" w:cs="Arial"/>
          <w:sz w:val="20"/>
          <w:szCs w:val="20"/>
        </w:rPr>
        <w:t xml:space="preserve"> government officials</w:t>
      </w:r>
      <w:r w:rsidR="00CF1C1C" w:rsidRPr="00482722">
        <w:rPr>
          <w:rFonts w:ascii="Arial" w:hAnsi="Arial" w:cs="Arial"/>
          <w:sz w:val="20"/>
          <w:szCs w:val="20"/>
        </w:rPr>
        <w:t xml:space="preserve"> who wish</w:t>
      </w:r>
      <w:r w:rsidRPr="00482722">
        <w:rPr>
          <w:rFonts w:ascii="Arial" w:hAnsi="Arial" w:cs="Arial"/>
          <w:sz w:val="20"/>
          <w:szCs w:val="20"/>
        </w:rPr>
        <w:t xml:space="preserve"> to develop loyalty to services they offer online. </w:t>
      </w:r>
      <w:r w:rsidR="000B0B3D" w:rsidRPr="00482722">
        <w:rPr>
          <w:rFonts w:ascii="Arial" w:hAnsi="Arial" w:cs="Arial"/>
          <w:sz w:val="20"/>
          <w:szCs w:val="20"/>
        </w:rPr>
        <w:t>E</w:t>
      </w:r>
      <w:r w:rsidRPr="00482722">
        <w:rPr>
          <w:rFonts w:ascii="Arial" w:hAnsi="Arial" w:cs="Arial"/>
          <w:sz w:val="20"/>
          <w:szCs w:val="20"/>
        </w:rPr>
        <w:t>ven in the context of e-government services</w:t>
      </w:r>
      <w:r w:rsidR="005E6689" w:rsidRPr="00482722">
        <w:rPr>
          <w:rFonts w:ascii="Arial" w:hAnsi="Arial" w:cs="Arial"/>
          <w:sz w:val="20"/>
          <w:szCs w:val="20"/>
        </w:rPr>
        <w:t>,</w:t>
      </w:r>
      <w:r w:rsidRPr="00482722">
        <w:rPr>
          <w:rFonts w:ascii="Arial" w:hAnsi="Arial" w:cs="Arial"/>
          <w:sz w:val="20"/>
          <w:szCs w:val="20"/>
        </w:rPr>
        <w:t xml:space="preserve"> where there is no competition,</w:t>
      </w:r>
      <w:r w:rsidR="000B0B3D" w:rsidRPr="00482722">
        <w:rPr>
          <w:rFonts w:ascii="Arial" w:hAnsi="Arial" w:cs="Arial"/>
          <w:sz w:val="20"/>
          <w:szCs w:val="20"/>
        </w:rPr>
        <w:t xml:space="preserve"> the importance of</w:t>
      </w:r>
      <w:r w:rsidRPr="00482722">
        <w:rPr>
          <w:rFonts w:ascii="Arial" w:hAnsi="Arial" w:cs="Arial"/>
          <w:sz w:val="20"/>
          <w:szCs w:val="20"/>
        </w:rPr>
        <w:t xml:space="preserve"> building citizen loyalty </w:t>
      </w:r>
      <w:r w:rsidR="000B0B3D" w:rsidRPr="00482722">
        <w:rPr>
          <w:rFonts w:ascii="Arial" w:hAnsi="Arial" w:cs="Arial"/>
          <w:sz w:val="20"/>
          <w:szCs w:val="20"/>
        </w:rPr>
        <w:t>cannot be overestimated,</w:t>
      </w:r>
      <w:r w:rsidRPr="00482722">
        <w:rPr>
          <w:rFonts w:ascii="Arial" w:hAnsi="Arial" w:cs="Arial"/>
          <w:sz w:val="20"/>
          <w:szCs w:val="20"/>
        </w:rPr>
        <w:t xml:space="preserve"> </w:t>
      </w:r>
      <w:r w:rsidR="005E6689" w:rsidRPr="00482722">
        <w:rPr>
          <w:rFonts w:ascii="Arial" w:hAnsi="Arial" w:cs="Arial"/>
          <w:sz w:val="20"/>
          <w:szCs w:val="20"/>
        </w:rPr>
        <w:t xml:space="preserve">because </w:t>
      </w:r>
      <w:r w:rsidR="00772E68" w:rsidRPr="00482722">
        <w:rPr>
          <w:rFonts w:ascii="Arial" w:hAnsi="Arial" w:cs="Arial"/>
          <w:sz w:val="20"/>
          <w:szCs w:val="20"/>
        </w:rPr>
        <w:t xml:space="preserve">loyalty </w:t>
      </w:r>
      <w:r w:rsidRPr="00482722">
        <w:rPr>
          <w:rFonts w:ascii="Arial" w:hAnsi="Arial" w:cs="Arial"/>
          <w:sz w:val="20"/>
          <w:szCs w:val="20"/>
        </w:rPr>
        <w:t xml:space="preserve">motivates citizens to continue using these services rather than </w:t>
      </w:r>
      <w:r w:rsidR="00E12CCB" w:rsidRPr="00482722">
        <w:rPr>
          <w:rFonts w:ascii="Arial" w:hAnsi="Arial" w:cs="Arial"/>
          <w:sz w:val="20"/>
          <w:szCs w:val="20"/>
        </w:rPr>
        <w:t>rather than traditional means of accessing these services</w:t>
      </w:r>
      <w:r w:rsidRPr="00482722">
        <w:rPr>
          <w:rFonts w:ascii="Arial" w:hAnsi="Arial" w:cs="Arial"/>
          <w:sz w:val="20"/>
          <w:szCs w:val="20"/>
        </w:rPr>
        <w:t>. Hence, this research focuse</w:t>
      </w:r>
      <w:r w:rsidR="004F45B3" w:rsidRPr="00482722">
        <w:rPr>
          <w:rFonts w:ascii="Arial" w:hAnsi="Arial" w:cs="Arial"/>
          <w:sz w:val="20"/>
          <w:szCs w:val="20"/>
        </w:rPr>
        <w:t>d</w:t>
      </w:r>
      <w:r w:rsidRPr="00482722">
        <w:rPr>
          <w:rFonts w:ascii="Arial" w:hAnsi="Arial" w:cs="Arial"/>
          <w:sz w:val="20"/>
          <w:szCs w:val="20"/>
        </w:rPr>
        <w:t xml:space="preserve"> on </w:t>
      </w:r>
      <w:r w:rsidR="00F11635" w:rsidRPr="00482722">
        <w:rPr>
          <w:rFonts w:ascii="Arial" w:hAnsi="Arial" w:cs="Arial"/>
          <w:sz w:val="20"/>
          <w:szCs w:val="20"/>
        </w:rPr>
        <w:t xml:space="preserve">the </w:t>
      </w:r>
      <w:r w:rsidR="000B0B3D" w:rsidRPr="00482722">
        <w:rPr>
          <w:rFonts w:ascii="Arial" w:hAnsi="Arial" w:cs="Arial"/>
          <w:sz w:val="20"/>
          <w:szCs w:val="20"/>
        </w:rPr>
        <w:t xml:space="preserve">factors </w:t>
      </w:r>
      <w:r w:rsidRPr="00482722">
        <w:rPr>
          <w:rFonts w:ascii="Arial" w:hAnsi="Arial" w:cs="Arial"/>
          <w:sz w:val="20"/>
          <w:szCs w:val="20"/>
        </w:rPr>
        <w:t xml:space="preserve">that </w:t>
      </w:r>
      <w:r w:rsidR="000B0B3D" w:rsidRPr="00482722">
        <w:rPr>
          <w:rFonts w:ascii="Arial" w:hAnsi="Arial" w:cs="Arial"/>
          <w:sz w:val="20"/>
          <w:szCs w:val="20"/>
        </w:rPr>
        <w:t>may</w:t>
      </w:r>
      <w:r w:rsidRPr="00482722">
        <w:rPr>
          <w:rFonts w:ascii="Arial" w:hAnsi="Arial" w:cs="Arial"/>
          <w:sz w:val="20"/>
          <w:szCs w:val="20"/>
        </w:rPr>
        <w:t xml:space="preserve"> increase citizen loyalty to these services.</w:t>
      </w:r>
    </w:p>
    <w:p w14:paraId="047BFC0D" w14:textId="46FE48AB" w:rsidR="00283F7B" w:rsidRPr="00482722" w:rsidRDefault="006818BB" w:rsidP="00DA5EEC">
      <w:pPr>
        <w:spacing w:line="240" w:lineRule="auto"/>
        <w:jc w:val="both"/>
        <w:rPr>
          <w:rFonts w:ascii="Arial" w:hAnsi="Arial" w:cs="Arial"/>
          <w:sz w:val="20"/>
          <w:szCs w:val="20"/>
        </w:rPr>
      </w:pPr>
      <w:r w:rsidRPr="00482722">
        <w:rPr>
          <w:rFonts w:ascii="Arial" w:hAnsi="Arial" w:cs="Arial"/>
          <w:sz w:val="20"/>
          <w:szCs w:val="20"/>
        </w:rPr>
        <w:t>G</w:t>
      </w:r>
      <w:r w:rsidR="00283F7B" w:rsidRPr="00482722">
        <w:rPr>
          <w:rFonts w:ascii="Arial" w:hAnsi="Arial" w:cs="Arial"/>
          <w:sz w:val="20"/>
          <w:szCs w:val="20"/>
        </w:rPr>
        <w:t xml:space="preserve">overnment agencies need to be concerned about the quality of their e-services from </w:t>
      </w:r>
      <w:r w:rsidR="00AA324B" w:rsidRPr="00482722">
        <w:rPr>
          <w:rFonts w:ascii="Arial" w:hAnsi="Arial" w:cs="Arial"/>
          <w:sz w:val="20"/>
          <w:szCs w:val="20"/>
        </w:rPr>
        <w:t xml:space="preserve">the point at which </w:t>
      </w:r>
      <w:r w:rsidR="00CB639B" w:rsidRPr="00482722">
        <w:rPr>
          <w:rFonts w:ascii="Arial" w:hAnsi="Arial" w:cs="Arial"/>
          <w:sz w:val="20"/>
          <w:szCs w:val="20"/>
        </w:rPr>
        <w:t>a citizen</w:t>
      </w:r>
      <w:r w:rsidR="00283F7B" w:rsidRPr="00482722">
        <w:rPr>
          <w:rFonts w:ascii="Arial" w:hAnsi="Arial" w:cs="Arial"/>
          <w:sz w:val="20"/>
          <w:szCs w:val="20"/>
        </w:rPr>
        <w:t xml:space="preserve"> first encounter</w:t>
      </w:r>
      <w:r w:rsidR="00AA324B" w:rsidRPr="00482722">
        <w:rPr>
          <w:rFonts w:ascii="Arial" w:hAnsi="Arial" w:cs="Arial"/>
          <w:sz w:val="20"/>
          <w:szCs w:val="20"/>
        </w:rPr>
        <w:t>s</w:t>
      </w:r>
      <w:r w:rsidR="00283F7B" w:rsidRPr="00482722">
        <w:rPr>
          <w:rFonts w:ascii="Arial" w:hAnsi="Arial" w:cs="Arial"/>
          <w:sz w:val="20"/>
          <w:szCs w:val="20"/>
        </w:rPr>
        <w:t xml:space="preserve"> </w:t>
      </w:r>
      <w:r w:rsidR="00CB639B" w:rsidRPr="00482722">
        <w:rPr>
          <w:rFonts w:ascii="Arial" w:hAnsi="Arial" w:cs="Arial"/>
          <w:sz w:val="20"/>
          <w:szCs w:val="20"/>
        </w:rPr>
        <w:t xml:space="preserve">a </w:t>
      </w:r>
      <w:r w:rsidR="00283F7B" w:rsidRPr="00482722">
        <w:rPr>
          <w:rFonts w:ascii="Arial" w:hAnsi="Arial" w:cs="Arial"/>
          <w:sz w:val="20"/>
          <w:szCs w:val="20"/>
        </w:rPr>
        <w:t xml:space="preserve">service until the citizen </w:t>
      </w:r>
      <w:r w:rsidR="00CB639B" w:rsidRPr="00482722">
        <w:rPr>
          <w:rFonts w:ascii="Arial" w:hAnsi="Arial" w:cs="Arial"/>
          <w:sz w:val="20"/>
          <w:szCs w:val="20"/>
        </w:rPr>
        <w:t xml:space="preserve">has </w:t>
      </w:r>
      <w:r w:rsidR="00831B36" w:rsidRPr="00482722">
        <w:rPr>
          <w:rFonts w:ascii="Arial" w:hAnsi="Arial" w:cs="Arial"/>
          <w:sz w:val="20"/>
          <w:szCs w:val="20"/>
        </w:rPr>
        <w:t>finished</w:t>
      </w:r>
      <w:r w:rsidR="00CB639B" w:rsidRPr="00482722">
        <w:rPr>
          <w:rFonts w:ascii="Arial" w:hAnsi="Arial" w:cs="Arial"/>
          <w:sz w:val="20"/>
          <w:szCs w:val="20"/>
        </w:rPr>
        <w:t xml:space="preserve"> using the service</w:t>
      </w:r>
      <w:r w:rsidR="00283F7B" w:rsidRPr="00482722">
        <w:rPr>
          <w:rFonts w:ascii="Arial" w:hAnsi="Arial" w:cs="Arial"/>
          <w:sz w:val="20"/>
          <w:szCs w:val="20"/>
        </w:rPr>
        <w:t xml:space="preserve">. This supports the </w:t>
      </w:r>
      <w:r w:rsidR="00187996" w:rsidRPr="00482722">
        <w:rPr>
          <w:rFonts w:ascii="Arial" w:hAnsi="Arial" w:cs="Arial"/>
          <w:sz w:val="20"/>
          <w:szCs w:val="20"/>
        </w:rPr>
        <w:t xml:space="preserve">initiation and development </w:t>
      </w:r>
      <w:r w:rsidR="00283F7B" w:rsidRPr="00482722">
        <w:rPr>
          <w:rFonts w:ascii="Arial" w:hAnsi="Arial" w:cs="Arial"/>
          <w:sz w:val="20"/>
          <w:szCs w:val="20"/>
        </w:rPr>
        <w:t>of citizen trust in both government and e-government services</w:t>
      </w:r>
      <w:r w:rsidR="00BC74FE" w:rsidRPr="00482722">
        <w:rPr>
          <w:rFonts w:ascii="Arial" w:hAnsi="Arial" w:cs="Arial"/>
          <w:sz w:val="20"/>
          <w:szCs w:val="20"/>
        </w:rPr>
        <w:t>, which</w:t>
      </w:r>
      <w:r w:rsidR="00283F7B" w:rsidRPr="00482722">
        <w:rPr>
          <w:rFonts w:ascii="Arial" w:hAnsi="Arial" w:cs="Arial"/>
          <w:sz w:val="20"/>
          <w:szCs w:val="20"/>
        </w:rPr>
        <w:t>, in turn,</w:t>
      </w:r>
      <w:r w:rsidR="007548A2" w:rsidRPr="00482722">
        <w:rPr>
          <w:rFonts w:ascii="Arial" w:hAnsi="Arial" w:cs="Arial"/>
          <w:sz w:val="20"/>
          <w:szCs w:val="20"/>
        </w:rPr>
        <w:t xml:space="preserve"> can</w:t>
      </w:r>
      <w:r w:rsidR="00283F7B" w:rsidRPr="00482722">
        <w:rPr>
          <w:rFonts w:ascii="Arial" w:hAnsi="Arial" w:cs="Arial"/>
          <w:sz w:val="20"/>
          <w:szCs w:val="20"/>
        </w:rPr>
        <w:t xml:space="preserve"> enhance satisfaction and ultimately influence loyalty to </w:t>
      </w:r>
      <w:r w:rsidR="00F065E5" w:rsidRPr="00482722">
        <w:rPr>
          <w:rFonts w:ascii="Arial" w:hAnsi="Arial" w:cs="Arial"/>
          <w:sz w:val="20"/>
          <w:szCs w:val="20"/>
        </w:rPr>
        <w:t>these</w:t>
      </w:r>
      <w:r w:rsidR="00283F7B" w:rsidRPr="00482722">
        <w:rPr>
          <w:rFonts w:ascii="Arial" w:hAnsi="Arial" w:cs="Arial"/>
          <w:sz w:val="20"/>
          <w:szCs w:val="20"/>
        </w:rPr>
        <w:t xml:space="preserve"> services. </w:t>
      </w:r>
      <w:r w:rsidR="00F065E5" w:rsidRPr="00482722">
        <w:rPr>
          <w:rFonts w:ascii="Arial" w:hAnsi="Arial" w:cs="Arial"/>
          <w:sz w:val="20"/>
          <w:szCs w:val="20"/>
        </w:rPr>
        <w:t>This research showed that s</w:t>
      </w:r>
      <w:r w:rsidR="00283F7B" w:rsidRPr="00482722">
        <w:rPr>
          <w:rFonts w:ascii="Arial" w:hAnsi="Arial" w:cs="Arial"/>
          <w:sz w:val="20"/>
          <w:szCs w:val="20"/>
        </w:rPr>
        <w:t xml:space="preserve">ervice quality </w:t>
      </w:r>
      <w:r w:rsidR="00F065E5" w:rsidRPr="00482722">
        <w:rPr>
          <w:rFonts w:ascii="Arial" w:hAnsi="Arial" w:cs="Arial"/>
          <w:sz w:val="20"/>
          <w:szCs w:val="20"/>
        </w:rPr>
        <w:t>has</w:t>
      </w:r>
      <w:r w:rsidR="00283F7B" w:rsidRPr="00482722">
        <w:rPr>
          <w:rFonts w:ascii="Arial" w:hAnsi="Arial" w:cs="Arial"/>
          <w:sz w:val="20"/>
          <w:szCs w:val="20"/>
        </w:rPr>
        <w:t xml:space="preserve"> the strongest total effect on trust in e-government, citizen satisfaction</w:t>
      </w:r>
      <w:r w:rsidR="00F31EFB" w:rsidRPr="00482722">
        <w:rPr>
          <w:rFonts w:ascii="Arial" w:hAnsi="Arial" w:cs="Arial"/>
          <w:sz w:val="20"/>
          <w:szCs w:val="20"/>
        </w:rPr>
        <w:t>,</w:t>
      </w:r>
      <w:r w:rsidR="00283F7B" w:rsidRPr="00482722">
        <w:rPr>
          <w:rFonts w:ascii="Arial" w:hAnsi="Arial" w:cs="Arial"/>
          <w:sz w:val="20"/>
          <w:szCs w:val="20"/>
        </w:rPr>
        <w:t xml:space="preserve"> and </w:t>
      </w:r>
      <w:r w:rsidR="00EB4905" w:rsidRPr="00482722">
        <w:rPr>
          <w:rFonts w:ascii="Arial" w:hAnsi="Arial" w:cs="Arial"/>
          <w:sz w:val="20"/>
          <w:szCs w:val="20"/>
        </w:rPr>
        <w:t xml:space="preserve">citizen </w:t>
      </w:r>
      <w:r w:rsidR="00283F7B" w:rsidRPr="00482722">
        <w:rPr>
          <w:rFonts w:ascii="Arial" w:hAnsi="Arial" w:cs="Arial"/>
          <w:sz w:val="20"/>
          <w:szCs w:val="20"/>
        </w:rPr>
        <w:t xml:space="preserve">loyalty. </w:t>
      </w:r>
      <w:r w:rsidRPr="00482722">
        <w:rPr>
          <w:rFonts w:ascii="Arial" w:hAnsi="Arial" w:cs="Arial"/>
          <w:sz w:val="20"/>
          <w:szCs w:val="20"/>
        </w:rPr>
        <w:t xml:space="preserve">The quality of </w:t>
      </w:r>
      <w:r w:rsidR="00EB4905" w:rsidRPr="00482722">
        <w:rPr>
          <w:rFonts w:ascii="Arial" w:hAnsi="Arial" w:cs="Arial"/>
          <w:sz w:val="20"/>
          <w:szCs w:val="20"/>
        </w:rPr>
        <w:t xml:space="preserve">an e-government </w:t>
      </w:r>
      <w:r w:rsidRPr="00482722">
        <w:rPr>
          <w:rFonts w:ascii="Arial" w:hAnsi="Arial" w:cs="Arial"/>
          <w:sz w:val="20"/>
          <w:szCs w:val="20"/>
        </w:rPr>
        <w:t>service can be enhanced by ensuring that the information available on the</w:t>
      </w:r>
      <w:r w:rsidR="00EB4905" w:rsidRPr="00482722">
        <w:rPr>
          <w:rFonts w:ascii="Arial" w:hAnsi="Arial" w:cs="Arial"/>
          <w:sz w:val="20"/>
          <w:szCs w:val="20"/>
        </w:rPr>
        <w:t xml:space="preserve"> service</w:t>
      </w:r>
      <w:r w:rsidRPr="00482722">
        <w:rPr>
          <w:rFonts w:ascii="Arial" w:hAnsi="Arial" w:cs="Arial"/>
          <w:sz w:val="20"/>
          <w:szCs w:val="20"/>
        </w:rPr>
        <w:t xml:space="preserve"> website is up</w:t>
      </w:r>
      <w:r w:rsidR="00C6750A" w:rsidRPr="00482722">
        <w:rPr>
          <w:rFonts w:ascii="Arial" w:hAnsi="Arial" w:cs="Arial"/>
          <w:sz w:val="20"/>
          <w:szCs w:val="20"/>
        </w:rPr>
        <w:t xml:space="preserve"> </w:t>
      </w:r>
      <w:r w:rsidRPr="00482722">
        <w:rPr>
          <w:rFonts w:ascii="Arial" w:hAnsi="Arial" w:cs="Arial"/>
          <w:sz w:val="20"/>
          <w:szCs w:val="20"/>
        </w:rPr>
        <w:t>to</w:t>
      </w:r>
      <w:r w:rsidR="00C6750A" w:rsidRPr="00482722">
        <w:rPr>
          <w:rFonts w:ascii="Arial" w:hAnsi="Arial" w:cs="Arial"/>
          <w:sz w:val="20"/>
          <w:szCs w:val="20"/>
        </w:rPr>
        <w:t xml:space="preserve"> </w:t>
      </w:r>
      <w:r w:rsidRPr="00482722">
        <w:rPr>
          <w:rFonts w:ascii="Arial" w:hAnsi="Arial" w:cs="Arial"/>
          <w:sz w:val="20"/>
          <w:szCs w:val="20"/>
        </w:rPr>
        <w:t xml:space="preserve">date, </w:t>
      </w:r>
      <w:r w:rsidR="00AA5D06" w:rsidRPr="00482722">
        <w:rPr>
          <w:rFonts w:ascii="Arial" w:hAnsi="Arial" w:cs="Arial"/>
          <w:sz w:val="20"/>
          <w:szCs w:val="20"/>
        </w:rPr>
        <w:t>uploading</w:t>
      </w:r>
      <w:r w:rsidR="00F15EE1" w:rsidRPr="00482722">
        <w:rPr>
          <w:rFonts w:ascii="Arial" w:hAnsi="Arial" w:cs="Arial"/>
          <w:sz w:val="20"/>
          <w:szCs w:val="20"/>
        </w:rPr>
        <w:t xml:space="preserve"> </w:t>
      </w:r>
      <w:r w:rsidRPr="00482722">
        <w:rPr>
          <w:rFonts w:ascii="Arial" w:hAnsi="Arial" w:cs="Arial"/>
          <w:sz w:val="20"/>
          <w:szCs w:val="20"/>
        </w:rPr>
        <w:t xml:space="preserve">content </w:t>
      </w:r>
      <w:r w:rsidR="00F15EE1" w:rsidRPr="00482722">
        <w:rPr>
          <w:rFonts w:ascii="Arial" w:hAnsi="Arial" w:cs="Arial"/>
          <w:sz w:val="20"/>
          <w:szCs w:val="20"/>
        </w:rPr>
        <w:t xml:space="preserve">that </w:t>
      </w:r>
      <w:r w:rsidRPr="00482722">
        <w:rPr>
          <w:rFonts w:ascii="Arial" w:hAnsi="Arial" w:cs="Arial"/>
          <w:sz w:val="20"/>
          <w:szCs w:val="20"/>
        </w:rPr>
        <w:t xml:space="preserve">is </w:t>
      </w:r>
      <w:r w:rsidR="00EB4905" w:rsidRPr="00482722">
        <w:rPr>
          <w:rFonts w:ascii="Arial" w:hAnsi="Arial" w:cs="Arial"/>
          <w:sz w:val="20"/>
          <w:szCs w:val="20"/>
        </w:rPr>
        <w:t xml:space="preserve">well organised and </w:t>
      </w:r>
      <w:r w:rsidRPr="00482722">
        <w:rPr>
          <w:rFonts w:ascii="Arial" w:hAnsi="Arial" w:cs="Arial"/>
          <w:sz w:val="20"/>
          <w:szCs w:val="20"/>
        </w:rPr>
        <w:t xml:space="preserve">easy to navigate, </w:t>
      </w:r>
      <w:r w:rsidR="00C947DD" w:rsidRPr="00482722">
        <w:rPr>
          <w:rFonts w:ascii="Arial" w:hAnsi="Arial" w:cs="Arial"/>
          <w:sz w:val="20"/>
          <w:szCs w:val="20"/>
        </w:rPr>
        <w:t xml:space="preserve">providing an outstanding citizen support team to solve any problems efficiently and in a timely manner, promoting new services so that citizens are regularly updated, ensuring </w:t>
      </w:r>
      <w:r w:rsidR="00C25AFD" w:rsidRPr="00482722">
        <w:rPr>
          <w:rFonts w:ascii="Arial" w:hAnsi="Arial" w:cs="Arial"/>
          <w:sz w:val="20"/>
          <w:szCs w:val="20"/>
        </w:rPr>
        <w:t xml:space="preserve">the security of </w:t>
      </w:r>
      <w:r w:rsidR="00C947DD" w:rsidRPr="00482722">
        <w:rPr>
          <w:rFonts w:ascii="Arial" w:hAnsi="Arial" w:cs="Arial"/>
          <w:sz w:val="20"/>
          <w:szCs w:val="20"/>
        </w:rPr>
        <w:t xml:space="preserve">online transactions and personal information </w:t>
      </w:r>
      <w:r w:rsidR="00C25AFD" w:rsidRPr="00482722">
        <w:rPr>
          <w:rFonts w:ascii="Arial" w:hAnsi="Arial" w:cs="Arial"/>
          <w:sz w:val="20"/>
          <w:szCs w:val="20"/>
        </w:rPr>
        <w:t>by</w:t>
      </w:r>
      <w:r w:rsidR="00C947DD" w:rsidRPr="00482722">
        <w:rPr>
          <w:rFonts w:ascii="Arial" w:hAnsi="Arial" w:cs="Arial"/>
          <w:sz w:val="20"/>
          <w:szCs w:val="20"/>
        </w:rPr>
        <w:t xml:space="preserve"> developing efficient testing models</w:t>
      </w:r>
      <w:r w:rsidR="00C25AFD" w:rsidRPr="00482722">
        <w:rPr>
          <w:rFonts w:ascii="Arial" w:hAnsi="Arial" w:cs="Arial"/>
          <w:sz w:val="20"/>
          <w:szCs w:val="20"/>
        </w:rPr>
        <w:t>,</w:t>
      </w:r>
      <w:r w:rsidR="00C947DD" w:rsidRPr="00482722">
        <w:rPr>
          <w:rFonts w:ascii="Arial" w:hAnsi="Arial" w:cs="Arial"/>
          <w:sz w:val="20"/>
          <w:szCs w:val="20"/>
        </w:rPr>
        <w:t xml:space="preserve"> and hiring staff </w:t>
      </w:r>
      <w:r w:rsidR="00C25AFD" w:rsidRPr="00482722">
        <w:rPr>
          <w:rFonts w:ascii="Arial" w:hAnsi="Arial" w:cs="Arial"/>
          <w:sz w:val="20"/>
          <w:szCs w:val="20"/>
        </w:rPr>
        <w:t xml:space="preserve">who </w:t>
      </w:r>
      <w:r w:rsidR="00C947DD" w:rsidRPr="00482722">
        <w:rPr>
          <w:rFonts w:ascii="Arial" w:hAnsi="Arial" w:cs="Arial"/>
          <w:sz w:val="20"/>
          <w:szCs w:val="20"/>
        </w:rPr>
        <w:t xml:space="preserve">are knowledgeable </w:t>
      </w:r>
      <w:r w:rsidR="00C25AFD" w:rsidRPr="00482722">
        <w:rPr>
          <w:rFonts w:ascii="Arial" w:hAnsi="Arial" w:cs="Arial"/>
          <w:sz w:val="20"/>
          <w:szCs w:val="20"/>
        </w:rPr>
        <w:t xml:space="preserve">about </w:t>
      </w:r>
      <w:r w:rsidR="00C947DD" w:rsidRPr="00482722">
        <w:rPr>
          <w:rFonts w:ascii="Arial" w:hAnsi="Arial" w:cs="Arial"/>
          <w:sz w:val="20"/>
          <w:szCs w:val="20"/>
        </w:rPr>
        <w:t>the types of problems citizens face in the context of government online services.</w:t>
      </w:r>
    </w:p>
    <w:p w14:paraId="4D121B1F" w14:textId="72791594" w:rsidR="00790A74"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 xml:space="preserve">Moreover, </w:t>
      </w:r>
      <w:r w:rsidR="00277C67" w:rsidRPr="00482722">
        <w:rPr>
          <w:rFonts w:ascii="Arial" w:hAnsi="Arial" w:cs="Arial"/>
          <w:sz w:val="20"/>
          <w:szCs w:val="20"/>
        </w:rPr>
        <w:t xml:space="preserve">building </w:t>
      </w:r>
      <w:r w:rsidR="00C947DD" w:rsidRPr="00482722">
        <w:rPr>
          <w:rFonts w:ascii="Arial" w:hAnsi="Arial" w:cs="Arial"/>
          <w:sz w:val="20"/>
          <w:szCs w:val="20"/>
        </w:rPr>
        <w:t xml:space="preserve">trust in government is an important aspect </w:t>
      </w:r>
      <w:r w:rsidR="00C25AFD" w:rsidRPr="00482722">
        <w:rPr>
          <w:rFonts w:ascii="Arial" w:hAnsi="Arial" w:cs="Arial"/>
          <w:sz w:val="20"/>
          <w:szCs w:val="20"/>
        </w:rPr>
        <w:t xml:space="preserve">of </w:t>
      </w:r>
      <w:r w:rsidR="00C947DD" w:rsidRPr="00482722">
        <w:rPr>
          <w:rFonts w:ascii="Arial" w:hAnsi="Arial" w:cs="Arial"/>
          <w:sz w:val="20"/>
          <w:szCs w:val="20"/>
        </w:rPr>
        <w:t>develop</w:t>
      </w:r>
      <w:r w:rsidR="00277C67" w:rsidRPr="00482722">
        <w:rPr>
          <w:rFonts w:ascii="Arial" w:hAnsi="Arial" w:cs="Arial"/>
          <w:sz w:val="20"/>
          <w:szCs w:val="20"/>
        </w:rPr>
        <w:t>ing</w:t>
      </w:r>
      <w:r w:rsidR="00C947DD" w:rsidRPr="00482722">
        <w:rPr>
          <w:rFonts w:ascii="Arial" w:hAnsi="Arial" w:cs="Arial"/>
          <w:sz w:val="20"/>
          <w:szCs w:val="20"/>
        </w:rPr>
        <w:t xml:space="preserve"> citizen satisfaction and loyalty. For example, when </w:t>
      </w:r>
      <w:r w:rsidR="00277C67" w:rsidRPr="00482722">
        <w:rPr>
          <w:rFonts w:ascii="Arial" w:hAnsi="Arial" w:cs="Arial"/>
          <w:sz w:val="20"/>
          <w:szCs w:val="20"/>
        </w:rPr>
        <w:t>students</w:t>
      </w:r>
      <w:r w:rsidR="00C947DD" w:rsidRPr="00482722">
        <w:rPr>
          <w:rFonts w:ascii="Arial" w:hAnsi="Arial" w:cs="Arial"/>
          <w:sz w:val="20"/>
          <w:szCs w:val="20"/>
        </w:rPr>
        <w:t xml:space="preserve"> trust their government to carry out the </w:t>
      </w:r>
      <w:r w:rsidR="00277C67" w:rsidRPr="00482722">
        <w:rPr>
          <w:rFonts w:ascii="Arial" w:hAnsi="Arial" w:cs="Arial"/>
          <w:sz w:val="20"/>
          <w:szCs w:val="20"/>
        </w:rPr>
        <w:t xml:space="preserve">university </w:t>
      </w:r>
      <w:r w:rsidR="00C947DD" w:rsidRPr="00482722">
        <w:rPr>
          <w:rFonts w:ascii="Arial" w:hAnsi="Arial" w:cs="Arial"/>
          <w:sz w:val="20"/>
          <w:szCs w:val="20"/>
        </w:rPr>
        <w:t>admission process faithfully, they are likely to develop</w:t>
      </w:r>
      <w:r w:rsidR="000B1732" w:rsidRPr="00482722">
        <w:rPr>
          <w:rFonts w:ascii="Arial" w:hAnsi="Arial" w:cs="Arial"/>
          <w:sz w:val="20"/>
          <w:szCs w:val="20"/>
        </w:rPr>
        <w:t xml:space="preserve"> feelings of</w:t>
      </w:r>
      <w:r w:rsidR="00C947DD" w:rsidRPr="00482722">
        <w:rPr>
          <w:rFonts w:ascii="Arial" w:hAnsi="Arial" w:cs="Arial"/>
          <w:sz w:val="20"/>
          <w:szCs w:val="20"/>
        </w:rPr>
        <w:t xml:space="preserve"> loyalty and satisfaction. Another example is when students </w:t>
      </w:r>
      <w:r w:rsidR="00703196" w:rsidRPr="00482722">
        <w:rPr>
          <w:rFonts w:ascii="Arial" w:hAnsi="Arial" w:cs="Arial"/>
          <w:sz w:val="20"/>
          <w:szCs w:val="20"/>
        </w:rPr>
        <w:t xml:space="preserve">believe </w:t>
      </w:r>
      <w:r w:rsidR="00C947DD" w:rsidRPr="00482722">
        <w:rPr>
          <w:rFonts w:ascii="Arial" w:hAnsi="Arial" w:cs="Arial"/>
          <w:sz w:val="20"/>
          <w:szCs w:val="20"/>
        </w:rPr>
        <w:t>that the Ministry of Education</w:t>
      </w:r>
      <w:r w:rsidR="00703196" w:rsidRPr="00482722">
        <w:rPr>
          <w:rFonts w:ascii="Arial" w:hAnsi="Arial" w:cs="Arial"/>
          <w:sz w:val="20"/>
          <w:szCs w:val="20"/>
        </w:rPr>
        <w:t xml:space="preserve"> is generally trustworthy and</w:t>
      </w:r>
      <w:r w:rsidR="00C947DD" w:rsidRPr="00482722">
        <w:rPr>
          <w:rFonts w:ascii="Arial" w:hAnsi="Arial" w:cs="Arial"/>
          <w:sz w:val="20"/>
          <w:szCs w:val="20"/>
        </w:rPr>
        <w:t xml:space="preserve"> will keep in mind </w:t>
      </w:r>
      <w:r w:rsidR="006C6B17" w:rsidRPr="00482722">
        <w:rPr>
          <w:rFonts w:ascii="Arial" w:hAnsi="Arial" w:cs="Arial"/>
          <w:sz w:val="20"/>
          <w:szCs w:val="20"/>
        </w:rPr>
        <w:t xml:space="preserve">their </w:t>
      </w:r>
      <w:r w:rsidR="00C947DD" w:rsidRPr="00482722">
        <w:rPr>
          <w:rFonts w:ascii="Arial" w:hAnsi="Arial" w:cs="Arial"/>
          <w:sz w:val="20"/>
          <w:szCs w:val="20"/>
        </w:rPr>
        <w:t xml:space="preserve">best interests in terms of specialisations. </w:t>
      </w:r>
      <w:r w:rsidR="006E554A" w:rsidRPr="00482722">
        <w:rPr>
          <w:rFonts w:ascii="Arial" w:hAnsi="Arial" w:cs="Arial"/>
          <w:sz w:val="20"/>
          <w:szCs w:val="20"/>
        </w:rPr>
        <w:t>Therefore, policymakers</w:t>
      </w:r>
      <w:r w:rsidR="00C947DD" w:rsidRPr="00482722">
        <w:rPr>
          <w:rFonts w:ascii="Arial" w:hAnsi="Arial" w:cs="Arial"/>
          <w:sz w:val="20"/>
          <w:szCs w:val="20"/>
        </w:rPr>
        <w:t xml:space="preserve"> and government officials </w:t>
      </w:r>
      <w:r w:rsidR="006E554A" w:rsidRPr="00482722">
        <w:rPr>
          <w:rFonts w:ascii="Arial" w:hAnsi="Arial" w:cs="Arial"/>
          <w:sz w:val="20"/>
          <w:szCs w:val="20"/>
        </w:rPr>
        <w:t xml:space="preserve">can </w:t>
      </w:r>
      <w:r w:rsidR="00791BAD" w:rsidRPr="00482722">
        <w:rPr>
          <w:rFonts w:ascii="Arial" w:hAnsi="Arial" w:cs="Arial"/>
          <w:sz w:val="20"/>
          <w:szCs w:val="20"/>
        </w:rPr>
        <w:t xml:space="preserve">attempt to build </w:t>
      </w:r>
      <w:r w:rsidR="00C947DD" w:rsidRPr="00482722">
        <w:rPr>
          <w:rFonts w:ascii="Arial" w:hAnsi="Arial" w:cs="Arial"/>
          <w:sz w:val="20"/>
          <w:szCs w:val="20"/>
        </w:rPr>
        <w:t xml:space="preserve">citizen trust in </w:t>
      </w:r>
      <w:r w:rsidR="00205881" w:rsidRPr="00482722">
        <w:rPr>
          <w:rFonts w:ascii="Arial" w:hAnsi="Arial" w:cs="Arial"/>
          <w:sz w:val="20"/>
          <w:szCs w:val="20"/>
        </w:rPr>
        <w:t>e-</w:t>
      </w:r>
      <w:r w:rsidR="00C947DD" w:rsidRPr="00482722">
        <w:rPr>
          <w:rFonts w:ascii="Arial" w:hAnsi="Arial" w:cs="Arial"/>
          <w:sz w:val="20"/>
          <w:szCs w:val="20"/>
        </w:rPr>
        <w:t xml:space="preserve">government </w:t>
      </w:r>
      <w:r w:rsidR="006E554A" w:rsidRPr="00482722">
        <w:rPr>
          <w:rFonts w:ascii="Arial" w:hAnsi="Arial" w:cs="Arial"/>
          <w:sz w:val="20"/>
          <w:szCs w:val="20"/>
        </w:rPr>
        <w:t>by</w:t>
      </w:r>
      <w:r w:rsidR="00791BAD" w:rsidRPr="00482722">
        <w:rPr>
          <w:rFonts w:ascii="Arial" w:hAnsi="Arial" w:cs="Arial"/>
          <w:sz w:val="20"/>
          <w:szCs w:val="20"/>
        </w:rPr>
        <w:t xml:space="preserve"> </w:t>
      </w:r>
      <w:r w:rsidR="006E554A" w:rsidRPr="00482722">
        <w:rPr>
          <w:rFonts w:ascii="Arial" w:hAnsi="Arial" w:cs="Arial"/>
          <w:sz w:val="20"/>
          <w:szCs w:val="20"/>
        </w:rPr>
        <w:t xml:space="preserve">putting in place </w:t>
      </w:r>
      <w:r w:rsidR="00791BAD" w:rsidRPr="00482722">
        <w:rPr>
          <w:rFonts w:ascii="Arial" w:hAnsi="Arial" w:cs="Arial"/>
          <w:sz w:val="20"/>
          <w:szCs w:val="20"/>
        </w:rPr>
        <w:t xml:space="preserve">sufficient safeguards to reassure </w:t>
      </w:r>
      <w:r w:rsidR="00D67C45" w:rsidRPr="00482722">
        <w:rPr>
          <w:rFonts w:ascii="Arial" w:hAnsi="Arial" w:cs="Arial"/>
          <w:sz w:val="20"/>
          <w:szCs w:val="20"/>
        </w:rPr>
        <w:t>users</w:t>
      </w:r>
      <w:r w:rsidR="006E554A" w:rsidRPr="00482722">
        <w:rPr>
          <w:rFonts w:ascii="Arial" w:hAnsi="Arial" w:cs="Arial"/>
          <w:sz w:val="20"/>
          <w:szCs w:val="20"/>
        </w:rPr>
        <w:t xml:space="preserve"> </w:t>
      </w:r>
      <w:r w:rsidR="00791BAD" w:rsidRPr="00482722">
        <w:rPr>
          <w:rFonts w:ascii="Arial" w:hAnsi="Arial" w:cs="Arial"/>
          <w:sz w:val="20"/>
          <w:szCs w:val="20"/>
        </w:rPr>
        <w:t>during the application process</w:t>
      </w:r>
      <w:r w:rsidR="006E554A" w:rsidRPr="00482722">
        <w:rPr>
          <w:rFonts w:ascii="Arial" w:hAnsi="Arial" w:cs="Arial"/>
          <w:sz w:val="20"/>
          <w:szCs w:val="20"/>
        </w:rPr>
        <w:t xml:space="preserve"> that the</w:t>
      </w:r>
      <w:r w:rsidR="00791BAD" w:rsidRPr="00482722">
        <w:rPr>
          <w:rFonts w:ascii="Arial" w:hAnsi="Arial" w:cs="Arial"/>
          <w:sz w:val="20"/>
          <w:szCs w:val="20"/>
        </w:rPr>
        <w:t xml:space="preserve"> UEAS </w:t>
      </w:r>
      <w:r w:rsidR="006E554A" w:rsidRPr="00482722">
        <w:rPr>
          <w:rFonts w:ascii="Arial" w:hAnsi="Arial" w:cs="Arial"/>
          <w:sz w:val="20"/>
          <w:szCs w:val="20"/>
        </w:rPr>
        <w:t xml:space="preserve">will </w:t>
      </w:r>
      <w:r w:rsidR="00D67C45" w:rsidRPr="00482722">
        <w:rPr>
          <w:rFonts w:ascii="Arial" w:hAnsi="Arial" w:cs="Arial"/>
          <w:sz w:val="20"/>
          <w:szCs w:val="20"/>
        </w:rPr>
        <w:t>meet</w:t>
      </w:r>
      <w:r w:rsidR="00791BAD" w:rsidRPr="00482722">
        <w:rPr>
          <w:rFonts w:ascii="Arial" w:hAnsi="Arial" w:cs="Arial"/>
          <w:sz w:val="20"/>
          <w:szCs w:val="20"/>
        </w:rPr>
        <w:t xml:space="preserve"> the legal and technological standards required to </w:t>
      </w:r>
      <w:r w:rsidR="006E554A" w:rsidRPr="00482722">
        <w:rPr>
          <w:rFonts w:ascii="Arial" w:hAnsi="Arial" w:cs="Arial"/>
          <w:sz w:val="20"/>
          <w:szCs w:val="20"/>
        </w:rPr>
        <w:t>avoid</w:t>
      </w:r>
      <w:r w:rsidR="00791BAD" w:rsidRPr="00482722">
        <w:rPr>
          <w:rFonts w:ascii="Arial" w:hAnsi="Arial" w:cs="Arial"/>
          <w:sz w:val="20"/>
          <w:szCs w:val="20"/>
        </w:rPr>
        <w:t xml:space="preserve"> admission problems and that </w:t>
      </w:r>
      <w:r w:rsidR="006E554A" w:rsidRPr="00482722">
        <w:rPr>
          <w:rFonts w:ascii="Arial" w:hAnsi="Arial" w:cs="Arial"/>
          <w:sz w:val="20"/>
          <w:szCs w:val="20"/>
        </w:rPr>
        <w:t xml:space="preserve">the </w:t>
      </w:r>
      <w:r w:rsidR="00791BAD" w:rsidRPr="00482722">
        <w:rPr>
          <w:rFonts w:ascii="Arial" w:hAnsi="Arial" w:cs="Arial"/>
          <w:sz w:val="20"/>
          <w:szCs w:val="20"/>
        </w:rPr>
        <w:t>UEAS</w:t>
      </w:r>
      <w:r w:rsidR="00942CD6" w:rsidRPr="00482722">
        <w:rPr>
          <w:rFonts w:ascii="Arial" w:hAnsi="Arial" w:cs="Arial"/>
          <w:sz w:val="20"/>
          <w:szCs w:val="20"/>
        </w:rPr>
        <w:t xml:space="preserve"> system is</w:t>
      </w:r>
      <w:r w:rsidR="00791BAD" w:rsidRPr="00482722">
        <w:rPr>
          <w:rFonts w:ascii="Arial" w:hAnsi="Arial" w:cs="Arial"/>
          <w:sz w:val="20"/>
          <w:szCs w:val="20"/>
        </w:rPr>
        <w:t xml:space="preserve"> robust and safe to use. </w:t>
      </w:r>
      <w:r w:rsidR="00B37AAA" w:rsidRPr="00482722">
        <w:rPr>
          <w:rFonts w:ascii="Arial" w:hAnsi="Arial" w:cs="Arial"/>
          <w:sz w:val="20"/>
          <w:szCs w:val="20"/>
        </w:rPr>
        <w:t xml:space="preserve">Developing this </w:t>
      </w:r>
      <w:r w:rsidR="00791BAD" w:rsidRPr="00482722">
        <w:rPr>
          <w:rFonts w:ascii="Arial" w:hAnsi="Arial" w:cs="Arial"/>
          <w:sz w:val="20"/>
          <w:szCs w:val="20"/>
        </w:rPr>
        <w:t xml:space="preserve">trust is likely to </w:t>
      </w:r>
      <w:r w:rsidR="00B37AAA" w:rsidRPr="00482722">
        <w:rPr>
          <w:rFonts w:ascii="Arial" w:hAnsi="Arial" w:cs="Arial"/>
          <w:sz w:val="20"/>
          <w:szCs w:val="20"/>
        </w:rPr>
        <w:t>increase</w:t>
      </w:r>
      <w:r w:rsidR="00791BAD" w:rsidRPr="00482722">
        <w:rPr>
          <w:rFonts w:ascii="Arial" w:hAnsi="Arial" w:cs="Arial"/>
          <w:sz w:val="20"/>
          <w:szCs w:val="20"/>
        </w:rPr>
        <w:t xml:space="preserve"> citizen trust in government</w:t>
      </w:r>
      <w:r w:rsidR="00ED3BCD" w:rsidRPr="00482722">
        <w:rPr>
          <w:rFonts w:ascii="Arial" w:hAnsi="Arial" w:cs="Arial"/>
          <w:sz w:val="20"/>
          <w:szCs w:val="20"/>
        </w:rPr>
        <w:t>,</w:t>
      </w:r>
      <w:r w:rsidR="00791BAD" w:rsidRPr="00482722">
        <w:rPr>
          <w:rFonts w:ascii="Arial" w:hAnsi="Arial" w:cs="Arial"/>
          <w:sz w:val="20"/>
          <w:szCs w:val="20"/>
        </w:rPr>
        <w:t xml:space="preserve"> too. </w:t>
      </w:r>
      <w:r w:rsidR="00790A74" w:rsidRPr="00482722">
        <w:rPr>
          <w:rFonts w:ascii="Arial" w:hAnsi="Arial" w:cs="Arial"/>
          <w:sz w:val="20"/>
          <w:szCs w:val="20"/>
        </w:rPr>
        <w:t xml:space="preserve">Therefore, if governments seek to obtain higher levels of citizen loyalty, </w:t>
      </w:r>
      <w:r w:rsidR="00291270" w:rsidRPr="00482722">
        <w:rPr>
          <w:rFonts w:ascii="Arial" w:hAnsi="Arial" w:cs="Arial"/>
          <w:sz w:val="20"/>
          <w:szCs w:val="20"/>
        </w:rPr>
        <w:t xml:space="preserve">they should take </w:t>
      </w:r>
      <w:r w:rsidR="00790A74" w:rsidRPr="00482722">
        <w:rPr>
          <w:rFonts w:ascii="Arial" w:hAnsi="Arial" w:cs="Arial"/>
          <w:sz w:val="20"/>
          <w:szCs w:val="20"/>
        </w:rPr>
        <w:t>managerial action to develop trust between government agencies and citizens by ensuring that the e-government services</w:t>
      </w:r>
      <w:r w:rsidR="00291270" w:rsidRPr="00482722">
        <w:rPr>
          <w:rFonts w:ascii="Arial" w:hAnsi="Arial" w:cs="Arial"/>
          <w:sz w:val="20"/>
          <w:szCs w:val="20"/>
        </w:rPr>
        <w:t xml:space="preserve"> they provide</w:t>
      </w:r>
      <w:r w:rsidR="00790A74" w:rsidRPr="00482722">
        <w:rPr>
          <w:rFonts w:ascii="Arial" w:hAnsi="Arial" w:cs="Arial"/>
          <w:sz w:val="20"/>
          <w:szCs w:val="20"/>
        </w:rPr>
        <w:t xml:space="preserve"> are carried out faithfully while reassuring users that there is adequate security protection </w:t>
      </w:r>
      <w:r w:rsidR="008E7077" w:rsidRPr="00482722">
        <w:rPr>
          <w:rFonts w:ascii="Arial" w:hAnsi="Arial" w:cs="Arial"/>
          <w:sz w:val="20"/>
          <w:szCs w:val="20"/>
        </w:rPr>
        <w:t xml:space="preserve">in </w:t>
      </w:r>
      <w:r w:rsidR="00790A74" w:rsidRPr="00482722">
        <w:rPr>
          <w:rFonts w:ascii="Arial" w:hAnsi="Arial" w:cs="Arial"/>
          <w:sz w:val="20"/>
          <w:szCs w:val="20"/>
        </w:rPr>
        <w:t xml:space="preserve">the service processes. The empirical results </w:t>
      </w:r>
      <w:r w:rsidR="008E7077" w:rsidRPr="00482722">
        <w:rPr>
          <w:rFonts w:ascii="Arial" w:hAnsi="Arial" w:cs="Arial"/>
          <w:sz w:val="20"/>
          <w:szCs w:val="20"/>
        </w:rPr>
        <w:t xml:space="preserve">of this research </w:t>
      </w:r>
      <w:r w:rsidR="00790A74" w:rsidRPr="00482722">
        <w:rPr>
          <w:rFonts w:ascii="Arial" w:hAnsi="Arial" w:cs="Arial"/>
          <w:sz w:val="20"/>
          <w:szCs w:val="20"/>
        </w:rPr>
        <w:t>also encourage governments to include measures of service quality, disposition to trust, trust in government, trust in e-government services, citizen satisfaction, and citizen loyalty in their loyalty</w:t>
      </w:r>
      <w:r w:rsidR="007548A2" w:rsidRPr="00482722">
        <w:rPr>
          <w:rFonts w:ascii="Arial" w:hAnsi="Arial" w:cs="Arial"/>
          <w:sz w:val="20"/>
          <w:szCs w:val="20"/>
        </w:rPr>
        <w:t>-</w:t>
      </w:r>
      <w:r w:rsidR="00790A74" w:rsidRPr="00482722">
        <w:rPr>
          <w:rFonts w:ascii="Arial" w:hAnsi="Arial" w:cs="Arial"/>
          <w:sz w:val="20"/>
          <w:szCs w:val="20"/>
        </w:rPr>
        <w:t xml:space="preserve">evaluation </w:t>
      </w:r>
      <w:r w:rsidR="006D31B5" w:rsidRPr="00482722">
        <w:rPr>
          <w:rFonts w:ascii="Arial" w:hAnsi="Arial" w:cs="Arial"/>
          <w:sz w:val="20"/>
          <w:szCs w:val="20"/>
        </w:rPr>
        <w:t xml:space="preserve">methods </w:t>
      </w:r>
      <w:r w:rsidR="00790A74" w:rsidRPr="00482722">
        <w:rPr>
          <w:rFonts w:ascii="Arial" w:hAnsi="Arial" w:cs="Arial"/>
          <w:sz w:val="20"/>
          <w:szCs w:val="20"/>
        </w:rPr>
        <w:t>and take the necessary corrective actions to improve them.</w:t>
      </w:r>
    </w:p>
    <w:p w14:paraId="6FF66DAD" w14:textId="612258A0" w:rsidR="009D71A5" w:rsidRPr="00482722" w:rsidRDefault="00791BAD" w:rsidP="00242BD8">
      <w:pPr>
        <w:spacing w:line="240" w:lineRule="auto"/>
        <w:jc w:val="both"/>
        <w:rPr>
          <w:rFonts w:ascii="Arial" w:hAnsi="Arial" w:cs="Arial"/>
          <w:sz w:val="20"/>
          <w:szCs w:val="20"/>
        </w:rPr>
      </w:pPr>
      <w:r w:rsidRPr="00482722">
        <w:rPr>
          <w:rFonts w:ascii="Arial" w:hAnsi="Arial" w:cs="Arial"/>
          <w:sz w:val="20"/>
          <w:szCs w:val="20"/>
        </w:rPr>
        <w:t xml:space="preserve">In </w:t>
      </w:r>
      <w:r w:rsidR="00283F7B" w:rsidRPr="00482722">
        <w:rPr>
          <w:rFonts w:ascii="Arial" w:hAnsi="Arial" w:cs="Arial"/>
          <w:sz w:val="20"/>
          <w:szCs w:val="20"/>
        </w:rPr>
        <w:t xml:space="preserve">the context of this study (i.e., Saudi Arabia), the trust of </w:t>
      </w:r>
      <w:r w:rsidR="009C39A3" w:rsidRPr="00482722">
        <w:rPr>
          <w:rFonts w:ascii="Arial" w:hAnsi="Arial" w:cs="Arial"/>
          <w:sz w:val="20"/>
          <w:szCs w:val="20"/>
        </w:rPr>
        <w:t>a</w:t>
      </w:r>
      <w:r w:rsidR="00283F7B" w:rsidRPr="00482722">
        <w:rPr>
          <w:rFonts w:ascii="Arial" w:hAnsi="Arial" w:cs="Arial"/>
          <w:sz w:val="20"/>
          <w:szCs w:val="20"/>
        </w:rPr>
        <w:t xml:space="preserve"> generation of young citizens in e-government services stems primarily from their certainty or uncertainty </w:t>
      </w:r>
      <w:r w:rsidR="009C39A3" w:rsidRPr="00482722">
        <w:rPr>
          <w:rFonts w:ascii="Arial" w:hAnsi="Arial" w:cs="Arial"/>
          <w:sz w:val="20"/>
          <w:szCs w:val="20"/>
        </w:rPr>
        <w:t xml:space="preserve">about </w:t>
      </w:r>
      <w:r w:rsidR="00283F7B" w:rsidRPr="00482722">
        <w:rPr>
          <w:rFonts w:ascii="Arial" w:hAnsi="Arial" w:cs="Arial"/>
          <w:sz w:val="20"/>
          <w:szCs w:val="20"/>
        </w:rPr>
        <w:t>the government</w:t>
      </w:r>
      <w:r w:rsidR="00484B0C" w:rsidRPr="00482722">
        <w:rPr>
          <w:rFonts w:ascii="Arial" w:hAnsi="Arial" w:cs="Arial"/>
          <w:sz w:val="20"/>
          <w:szCs w:val="20"/>
        </w:rPr>
        <w:t>’</w:t>
      </w:r>
      <w:r w:rsidR="00283F7B" w:rsidRPr="00482722">
        <w:rPr>
          <w:rFonts w:ascii="Arial" w:hAnsi="Arial" w:cs="Arial"/>
          <w:sz w:val="20"/>
          <w:szCs w:val="20"/>
        </w:rPr>
        <w:t>s ability to introduce an effective e-government infrastructure whil</w:t>
      </w:r>
      <w:r w:rsidR="00D86F2A" w:rsidRPr="00482722">
        <w:rPr>
          <w:rFonts w:ascii="Arial" w:hAnsi="Arial" w:cs="Arial"/>
          <w:sz w:val="20"/>
          <w:szCs w:val="20"/>
        </w:rPr>
        <w:t>e</w:t>
      </w:r>
      <w:r w:rsidR="00283F7B" w:rsidRPr="00482722">
        <w:rPr>
          <w:rFonts w:ascii="Arial" w:hAnsi="Arial" w:cs="Arial"/>
          <w:sz w:val="20"/>
          <w:szCs w:val="20"/>
        </w:rPr>
        <w:t xml:space="preserve"> ensuring equal and fair services </w:t>
      </w:r>
      <w:r w:rsidR="009C39A3" w:rsidRPr="00482722">
        <w:rPr>
          <w:rFonts w:ascii="Arial" w:hAnsi="Arial" w:cs="Arial"/>
          <w:sz w:val="20"/>
          <w:szCs w:val="20"/>
        </w:rPr>
        <w:t>for</w:t>
      </w:r>
      <w:r w:rsidR="00283F7B" w:rsidRPr="00482722">
        <w:rPr>
          <w:rFonts w:ascii="Arial" w:hAnsi="Arial" w:cs="Arial"/>
          <w:sz w:val="20"/>
          <w:szCs w:val="20"/>
        </w:rPr>
        <w:t xml:space="preserve"> citizens. From a managerial standpoint, this requires government agencies to increase </w:t>
      </w:r>
      <w:r w:rsidR="001004D3" w:rsidRPr="00482722">
        <w:rPr>
          <w:rFonts w:ascii="Arial" w:hAnsi="Arial" w:cs="Arial"/>
          <w:sz w:val="20"/>
          <w:szCs w:val="20"/>
        </w:rPr>
        <w:t xml:space="preserve">citizen </w:t>
      </w:r>
      <w:r w:rsidR="00242BD8" w:rsidRPr="00482722">
        <w:rPr>
          <w:rFonts w:ascii="Arial" w:hAnsi="Arial" w:cs="Arial"/>
          <w:sz w:val="20"/>
          <w:szCs w:val="20"/>
        </w:rPr>
        <w:t xml:space="preserve">involvement </w:t>
      </w:r>
      <w:r w:rsidR="00283F7B" w:rsidRPr="00482722">
        <w:rPr>
          <w:rFonts w:ascii="Arial" w:hAnsi="Arial" w:cs="Arial"/>
          <w:sz w:val="20"/>
          <w:szCs w:val="20"/>
        </w:rPr>
        <w:t xml:space="preserve">and awareness </w:t>
      </w:r>
      <w:r w:rsidR="001004D3" w:rsidRPr="00482722">
        <w:rPr>
          <w:rFonts w:ascii="Arial" w:hAnsi="Arial" w:cs="Arial"/>
          <w:sz w:val="20"/>
          <w:szCs w:val="20"/>
        </w:rPr>
        <w:t>when developing</w:t>
      </w:r>
      <w:r w:rsidR="00283F7B" w:rsidRPr="00482722">
        <w:rPr>
          <w:rFonts w:ascii="Arial" w:hAnsi="Arial" w:cs="Arial"/>
          <w:sz w:val="20"/>
          <w:szCs w:val="20"/>
        </w:rPr>
        <w:t xml:space="preserve"> e-government services, whil</w:t>
      </w:r>
      <w:r w:rsidR="00D86F2A" w:rsidRPr="00482722">
        <w:rPr>
          <w:rFonts w:ascii="Arial" w:hAnsi="Arial" w:cs="Arial"/>
          <w:sz w:val="20"/>
          <w:szCs w:val="20"/>
        </w:rPr>
        <w:t>e</w:t>
      </w:r>
      <w:r w:rsidR="00283F7B" w:rsidRPr="00482722">
        <w:rPr>
          <w:rFonts w:ascii="Arial" w:hAnsi="Arial" w:cs="Arial"/>
          <w:sz w:val="20"/>
          <w:szCs w:val="20"/>
        </w:rPr>
        <w:t xml:space="preserve"> </w:t>
      </w:r>
      <w:r w:rsidR="001004D3" w:rsidRPr="00482722">
        <w:rPr>
          <w:rFonts w:ascii="Arial" w:hAnsi="Arial" w:cs="Arial"/>
          <w:sz w:val="20"/>
          <w:szCs w:val="20"/>
        </w:rPr>
        <w:t xml:space="preserve">building citizen </w:t>
      </w:r>
      <w:r w:rsidR="00283F7B" w:rsidRPr="00482722">
        <w:rPr>
          <w:rFonts w:ascii="Arial" w:hAnsi="Arial" w:cs="Arial"/>
          <w:sz w:val="20"/>
          <w:szCs w:val="20"/>
        </w:rPr>
        <w:t>confidence in the</w:t>
      </w:r>
      <w:r w:rsidR="001004D3" w:rsidRPr="00482722">
        <w:rPr>
          <w:rFonts w:ascii="Arial" w:hAnsi="Arial" w:cs="Arial"/>
          <w:sz w:val="20"/>
          <w:szCs w:val="20"/>
        </w:rPr>
        <w:t xml:space="preserve"> government’s</w:t>
      </w:r>
      <w:r w:rsidR="00283F7B" w:rsidRPr="00482722">
        <w:rPr>
          <w:rFonts w:ascii="Arial" w:hAnsi="Arial" w:cs="Arial"/>
          <w:sz w:val="20"/>
          <w:szCs w:val="20"/>
        </w:rPr>
        <w:t xml:space="preserve"> performance in this regard. </w:t>
      </w:r>
      <w:r w:rsidR="0008158B" w:rsidRPr="00482722">
        <w:rPr>
          <w:rFonts w:ascii="Arial" w:hAnsi="Arial" w:cs="Arial"/>
          <w:sz w:val="20"/>
          <w:szCs w:val="20"/>
        </w:rPr>
        <w:t>Increasing c</w:t>
      </w:r>
      <w:r w:rsidR="00283F7B" w:rsidRPr="00482722">
        <w:rPr>
          <w:rFonts w:ascii="Arial" w:hAnsi="Arial" w:cs="Arial"/>
          <w:sz w:val="20"/>
          <w:szCs w:val="20"/>
        </w:rPr>
        <w:t xml:space="preserve">itizen awareness of e-government services helps </w:t>
      </w:r>
      <w:r w:rsidR="0008158B" w:rsidRPr="00482722">
        <w:rPr>
          <w:rFonts w:ascii="Arial" w:hAnsi="Arial" w:cs="Arial"/>
          <w:sz w:val="20"/>
          <w:szCs w:val="20"/>
        </w:rPr>
        <w:t>to develop</w:t>
      </w:r>
      <w:r w:rsidR="00283F7B" w:rsidRPr="00482722">
        <w:rPr>
          <w:rFonts w:ascii="Arial" w:hAnsi="Arial" w:cs="Arial"/>
          <w:sz w:val="20"/>
          <w:szCs w:val="20"/>
        </w:rPr>
        <w:t xml:space="preserve"> their understanding of </w:t>
      </w:r>
      <w:r w:rsidR="006D31B5" w:rsidRPr="00482722">
        <w:rPr>
          <w:rFonts w:ascii="Arial" w:hAnsi="Arial" w:cs="Arial"/>
          <w:sz w:val="20"/>
          <w:szCs w:val="20"/>
        </w:rPr>
        <w:t>the services that the government provides</w:t>
      </w:r>
      <w:r w:rsidR="00283F7B" w:rsidRPr="00482722">
        <w:rPr>
          <w:rFonts w:ascii="Arial" w:hAnsi="Arial" w:cs="Arial"/>
          <w:sz w:val="20"/>
          <w:szCs w:val="20"/>
        </w:rPr>
        <w:t xml:space="preserve">. In addition, </w:t>
      </w:r>
      <w:r w:rsidR="004A5334" w:rsidRPr="00482722">
        <w:rPr>
          <w:rFonts w:ascii="Arial" w:hAnsi="Arial" w:cs="Arial"/>
          <w:sz w:val="20"/>
          <w:szCs w:val="20"/>
        </w:rPr>
        <w:t xml:space="preserve">bi-directional feedback and comment channels should be provided so that </w:t>
      </w:r>
      <w:r w:rsidR="00283F7B" w:rsidRPr="00482722">
        <w:rPr>
          <w:rFonts w:ascii="Arial" w:hAnsi="Arial" w:cs="Arial"/>
          <w:sz w:val="20"/>
          <w:szCs w:val="20"/>
        </w:rPr>
        <w:t xml:space="preserve">citizens </w:t>
      </w:r>
      <w:r w:rsidR="004A5334" w:rsidRPr="00482722">
        <w:rPr>
          <w:rFonts w:ascii="Arial" w:hAnsi="Arial" w:cs="Arial"/>
          <w:sz w:val="20"/>
          <w:szCs w:val="20"/>
        </w:rPr>
        <w:t>can be</w:t>
      </w:r>
      <w:r w:rsidR="00283F7B" w:rsidRPr="00482722">
        <w:rPr>
          <w:rFonts w:ascii="Arial" w:hAnsi="Arial" w:cs="Arial"/>
          <w:sz w:val="20"/>
          <w:szCs w:val="20"/>
        </w:rPr>
        <w:t xml:space="preserve"> involved </w:t>
      </w:r>
      <w:r w:rsidR="004D7CF9" w:rsidRPr="00482722">
        <w:rPr>
          <w:rFonts w:ascii="Arial" w:hAnsi="Arial" w:cs="Arial"/>
          <w:sz w:val="20"/>
          <w:szCs w:val="20"/>
        </w:rPr>
        <w:t xml:space="preserve">in, </w:t>
      </w:r>
      <w:r w:rsidR="00283F7B" w:rsidRPr="00482722">
        <w:rPr>
          <w:rFonts w:ascii="Arial" w:hAnsi="Arial" w:cs="Arial"/>
          <w:sz w:val="20"/>
          <w:szCs w:val="20"/>
        </w:rPr>
        <w:t xml:space="preserve">and </w:t>
      </w:r>
      <w:r w:rsidR="004D7CF9" w:rsidRPr="00482722">
        <w:rPr>
          <w:rFonts w:ascii="Arial" w:hAnsi="Arial" w:cs="Arial"/>
          <w:sz w:val="20"/>
          <w:szCs w:val="20"/>
        </w:rPr>
        <w:t xml:space="preserve">regularly </w:t>
      </w:r>
      <w:r w:rsidR="00283F7B" w:rsidRPr="00482722">
        <w:rPr>
          <w:rFonts w:ascii="Arial" w:hAnsi="Arial" w:cs="Arial"/>
          <w:sz w:val="20"/>
          <w:szCs w:val="20"/>
        </w:rPr>
        <w:t>participate during</w:t>
      </w:r>
      <w:r w:rsidR="004D7CF9" w:rsidRPr="00482722">
        <w:rPr>
          <w:rFonts w:ascii="Arial" w:hAnsi="Arial" w:cs="Arial"/>
          <w:sz w:val="20"/>
          <w:szCs w:val="20"/>
        </w:rPr>
        <w:t>,</w:t>
      </w:r>
      <w:r w:rsidR="00283F7B" w:rsidRPr="00482722">
        <w:rPr>
          <w:rFonts w:ascii="Arial" w:hAnsi="Arial" w:cs="Arial"/>
          <w:sz w:val="20"/>
          <w:szCs w:val="20"/>
        </w:rPr>
        <w:t xml:space="preserve"> the process of</w:t>
      </w:r>
      <w:r w:rsidR="004D7CF9" w:rsidRPr="00482722">
        <w:rPr>
          <w:rFonts w:ascii="Arial" w:hAnsi="Arial" w:cs="Arial"/>
          <w:sz w:val="20"/>
          <w:szCs w:val="20"/>
        </w:rPr>
        <w:t xml:space="preserve"> developing</w:t>
      </w:r>
      <w:r w:rsidR="00283F7B" w:rsidRPr="00482722">
        <w:rPr>
          <w:rFonts w:ascii="Arial" w:hAnsi="Arial" w:cs="Arial"/>
          <w:sz w:val="20"/>
          <w:szCs w:val="20"/>
        </w:rPr>
        <w:t xml:space="preserve"> e-government services</w:t>
      </w:r>
      <w:r w:rsidR="00B60AB8" w:rsidRPr="00482722">
        <w:rPr>
          <w:rFonts w:ascii="Arial" w:hAnsi="Arial" w:cs="Arial"/>
          <w:sz w:val="20"/>
          <w:szCs w:val="20"/>
        </w:rPr>
        <w:t xml:space="preserve">, </w:t>
      </w:r>
      <w:r w:rsidR="006D31B5" w:rsidRPr="00482722">
        <w:rPr>
          <w:rFonts w:ascii="Arial" w:hAnsi="Arial" w:cs="Arial"/>
          <w:sz w:val="20"/>
          <w:szCs w:val="20"/>
        </w:rPr>
        <w:t xml:space="preserve">two-way </w:t>
      </w:r>
      <w:r w:rsidR="00283F7B" w:rsidRPr="00482722">
        <w:rPr>
          <w:rFonts w:ascii="Arial" w:hAnsi="Arial" w:cs="Arial"/>
          <w:sz w:val="20"/>
          <w:szCs w:val="20"/>
        </w:rPr>
        <w:t>as this</w:t>
      </w:r>
      <w:r w:rsidR="008750BA" w:rsidRPr="00482722">
        <w:rPr>
          <w:rFonts w:ascii="Arial" w:hAnsi="Arial" w:cs="Arial"/>
          <w:sz w:val="20"/>
          <w:szCs w:val="20"/>
        </w:rPr>
        <w:t xml:space="preserve"> is another way of</w:t>
      </w:r>
      <w:r w:rsidR="00283F7B" w:rsidRPr="00482722">
        <w:rPr>
          <w:rFonts w:ascii="Arial" w:hAnsi="Arial" w:cs="Arial"/>
          <w:sz w:val="20"/>
          <w:szCs w:val="20"/>
        </w:rPr>
        <w:t xml:space="preserve"> improv</w:t>
      </w:r>
      <w:r w:rsidR="008750BA" w:rsidRPr="00482722">
        <w:rPr>
          <w:rFonts w:ascii="Arial" w:hAnsi="Arial" w:cs="Arial"/>
          <w:sz w:val="20"/>
          <w:szCs w:val="20"/>
        </w:rPr>
        <w:t>ing</w:t>
      </w:r>
      <w:r w:rsidR="00283F7B" w:rsidRPr="00482722">
        <w:rPr>
          <w:rFonts w:ascii="Arial" w:hAnsi="Arial" w:cs="Arial"/>
          <w:sz w:val="20"/>
          <w:szCs w:val="20"/>
        </w:rPr>
        <w:t xml:space="preserve"> citizen trust in government</w:t>
      </w:r>
      <w:r w:rsidR="002F2F1D" w:rsidRPr="00482722">
        <w:rPr>
          <w:rFonts w:ascii="Arial" w:hAnsi="Arial" w:cs="Arial"/>
          <w:sz w:val="20"/>
          <w:szCs w:val="20"/>
        </w:rPr>
        <w:t>.</w:t>
      </w:r>
      <w:r w:rsidR="00283F7B" w:rsidRPr="00482722">
        <w:rPr>
          <w:rFonts w:ascii="Arial" w:hAnsi="Arial" w:cs="Arial"/>
          <w:sz w:val="20"/>
          <w:szCs w:val="20"/>
        </w:rPr>
        <w:t xml:space="preserve"> </w:t>
      </w:r>
      <w:r w:rsidR="002F2F1D" w:rsidRPr="00482722">
        <w:rPr>
          <w:rFonts w:ascii="Arial" w:hAnsi="Arial" w:cs="Arial"/>
          <w:sz w:val="20"/>
          <w:szCs w:val="20"/>
        </w:rPr>
        <w:t xml:space="preserve">This strategy </w:t>
      </w:r>
      <w:r w:rsidR="00187996" w:rsidRPr="00482722">
        <w:rPr>
          <w:rFonts w:ascii="Arial" w:hAnsi="Arial" w:cs="Arial"/>
          <w:sz w:val="20"/>
          <w:szCs w:val="20"/>
        </w:rPr>
        <w:t xml:space="preserve">can </w:t>
      </w:r>
      <w:r w:rsidR="002F2F1D" w:rsidRPr="00482722">
        <w:rPr>
          <w:rFonts w:ascii="Arial" w:hAnsi="Arial" w:cs="Arial"/>
          <w:sz w:val="20"/>
          <w:szCs w:val="20"/>
        </w:rPr>
        <w:t>also</w:t>
      </w:r>
      <w:r w:rsidR="00283F7B" w:rsidRPr="00482722">
        <w:rPr>
          <w:rFonts w:ascii="Arial" w:hAnsi="Arial" w:cs="Arial"/>
          <w:sz w:val="20"/>
          <w:szCs w:val="20"/>
        </w:rPr>
        <w:t xml:space="preserve"> increas</w:t>
      </w:r>
      <w:r w:rsidR="002F2F1D" w:rsidRPr="00482722">
        <w:rPr>
          <w:rFonts w:ascii="Arial" w:hAnsi="Arial" w:cs="Arial"/>
          <w:sz w:val="20"/>
          <w:szCs w:val="20"/>
        </w:rPr>
        <w:t>e</w:t>
      </w:r>
      <w:r w:rsidR="00283F7B" w:rsidRPr="00482722">
        <w:rPr>
          <w:rFonts w:ascii="Arial" w:hAnsi="Arial" w:cs="Arial"/>
          <w:sz w:val="20"/>
          <w:szCs w:val="20"/>
        </w:rPr>
        <w:t xml:space="preserve"> level</w:t>
      </w:r>
      <w:r w:rsidR="00484B0C" w:rsidRPr="00482722">
        <w:rPr>
          <w:rFonts w:ascii="Arial" w:hAnsi="Arial" w:cs="Arial"/>
          <w:sz w:val="20"/>
          <w:szCs w:val="20"/>
        </w:rPr>
        <w:t>s</w:t>
      </w:r>
      <w:r w:rsidR="00283F7B" w:rsidRPr="00482722">
        <w:rPr>
          <w:rFonts w:ascii="Arial" w:hAnsi="Arial" w:cs="Arial"/>
          <w:sz w:val="20"/>
          <w:szCs w:val="20"/>
        </w:rPr>
        <w:t xml:space="preserve"> of</w:t>
      </w:r>
      <w:r w:rsidR="00484B0C" w:rsidRPr="00482722">
        <w:rPr>
          <w:rFonts w:ascii="Arial" w:hAnsi="Arial" w:cs="Arial"/>
          <w:sz w:val="20"/>
          <w:szCs w:val="20"/>
        </w:rPr>
        <w:t xml:space="preserve"> citizen</w:t>
      </w:r>
      <w:r w:rsidR="00283F7B" w:rsidRPr="00482722">
        <w:rPr>
          <w:rFonts w:ascii="Arial" w:hAnsi="Arial" w:cs="Arial"/>
          <w:sz w:val="20"/>
          <w:szCs w:val="20"/>
        </w:rPr>
        <w:t xml:space="preserve"> satisfaction with and commitment to e-government services.</w:t>
      </w:r>
    </w:p>
    <w:p w14:paraId="67E0019E" w14:textId="62EE5F22" w:rsidR="00283F7B" w:rsidRPr="00482722" w:rsidRDefault="00283F7B" w:rsidP="006D31B5">
      <w:pPr>
        <w:pStyle w:val="Heading2"/>
      </w:pPr>
      <w:r w:rsidRPr="00482722">
        <w:t xml:space="preserve">Limitations and </w:t>
      </w:r>
      <w:r w:rsidR="002B0DEA" w:rsidRPr="00482722">
        <w:t>f</w:t>
      </w:r>
      <w:r w:rsidRPr="00482722">
        <w:t xml:space="preserve">uture </w:t>
      </w:r>
      <w:r w:rsidR="002B0DEA" w:rsidRPr="00482722">
        <w:t>r</w:t>
      </w:r>
      <w:r w:rsidRPr="00482722">
        <w:t>esearch</w:t>
      </w:r>
    </w:p>
    <w:p w14:paraId="17AAF7B9" w14:textId="05ADCB13" w:rsidR="00283F7B" w:rsidRPr="00482722" w:rsidRDefault="00104BAF" w:rsidP="00DA5EEC">
      <w:pPr>
        <w:spacing w:line="240" w:lineRule="auto"/>
        <w:jc w:val="both"/>
        <w:rPr>
          <w:rFonts w:ascii="Arial" w:hAnsi="Arial" w:cs="Arial"/>
          <w:sz w:val="20"/>
          <w:szCs w:val="20"/>
        </w:rPr>
      </w:pPr>
      <w:r w:rsidRPr="00482722">
        <w:rPr>
          <w:rFonts w:ascii="Arial" w:hAnsi="Arial" w:cs="Arial"/>
          <w:sz w:val="20"/>
          <w:szCs w:val="20"/>
        </w:rPr>
        <w:t xml:space="preserve">Despite </w:t>
      </w:r>
      <w:r w:rsidR="00E8791F" w:rsidRPr="00482722">
        <w:rPr>
          <w:rFonts w:ascii="Arial" w:hAnsi="Arial" w:cs="Arial"/>
          <w:sz w:val="20"/>
          <w:szCs w:val="20"/>
        </w:rPr>
        <w:t xml:space="preserve">the </w:t>
      </w:r>
      <w:r w:rsidRPr="00482722">
        <w:rPr>
          <w:rFonts w:ascii="Arial" w:hAnsi="Arial" w:cs="Arial"/>
          <w:sz w:val="20"/>
          <w:szCs w:val="20"/>
        </w:rPr>
        <w:t>contributions</w:t>
      </w:r>
      <w:r w:rsidR="00E8791F" w:rsidRPr="00482722">
        <w:rPr>
          <w:rFonts w:ascii="Arial" w:hAnsi="Arial" w:cs="Arial"/>
          <w:sz w:val="20"/>
          <w:szCs w:val="20"/>
        </w:rPr>
        <w:t xml:space="preserve"> of </w:t>
      </w:r>
      <w:r w:rsidRPr="00482722">
        <w:rPr>
          <w:rFonts w:ascii="Arial" w:hAnsi="Arial" w:cs="Arial"/>
          <w:sz w:val="20"/>
          <w:szCs w:val="20"/>
        </w:rPr>
        <w:t>t</w:t>
      </w:r>
      <w:r w:rsidR="00283F7B" w:rsidRPr="00482722">
        <w:rPr>
          <w:rFonts w:ascii="Arial" w:hAnsi="Arial" w:cs="Arial"/>
          <w:sz w:val="20"/>
          <w:szCs w:val="20"/>
        </w:rPr>
        <w:t>his empirical research</w:t>
      </w:r>
      <w:r w:rsidR="00E8791F" w:rsidRPr="00482722">
        <w:rPr>
          <w:rFonts w:ascii="Arial" w:hAnsi="Arial" w:cs="Arial"/>
          <w:sz w:val="20"/>
          <w:szCs w:val="20"/>
        </w:rPr>
        <w:t>, it</w:t>
      </w:r>
      <w:r w:rsidR="00283F7B" w:rsidRPr="00482722">
        <w:rPr>
          <w:rFonts w:ascii="Arial" w:hAnsi="Arial" w:cs="Arial"/>
          <w:sz w:val="20"/>
          <w:szCs w:val="20"/>
        </w:rPr>
        <w:t xml:space="preserve"> has some limitations</w:t>
      </w:r>
      <w:r w:rsidR="00AD6EB5" w:rsidRPr="00482722">
        <w:rPr>
          <w:rFonts w:ascii="Arial" w:hAnsi="Arial" w:cs="Arial"/>
          <w:sz w:val="20"/>
          <w:szCs w:val="20"/>
        </w:rPr>
        <w:t>, which</w:t>
      </w:r>
      <w:r w:rsidR="00283F7B" w:rsidRPr="00482722">
        <w:rPr>
          <w:rFonts w:ascii="Arial" w:hAnsi="Arial" w:cs="Arial"/>
          <w:sz w:val="20"/>
          <w:szCs w:val="20"/>
        </w:rPr>
        <w:t xml:space="preserve"> can be addressed in future studies. </w:t>
      </w:r>
      <w:r w:rsidRPr="00482722">
        <w:rPr>
          <w:rFonts w:ascii="Arial" w:hAnsi="Arial" w:cs="Arial"/>
          <w:sz w:val="20"/>
          <w:szCs w:val="20"/>
        </w:rPr>
        <w:t>One of the</w:t>
      </w:r>
      <w:r w:rsidR="00AD6EB5" w:rsidRPr="00482722">
        <w:rPr>
          <w:rFonts w:ascii="Arial" w:hAnsi="Arial" w:cs="Arial"/>
          <w:sz w:val="20"/>
          <w:szCs w:val="20"/>
        </w:rPr>
        <w:t>se</w:t>
      </w:r>
      <w:r w:rsidR="00283F7B" w:rsidRPr="00482722">
        <w:rPr>
          <w:rFonts w:ascii="Arial" w:hAnsi="Arial" w:cs="Arial"/>
          <w:sz w:val="20"/>
          <w:szCs w:val="20"/>
        </w:rPr>
        <w:t xml:space="preserve"> limitation</w:t>
      </w:r>
      <w:r w:rsidRPr="00482722">
        <w:rPr>
          <w:rFonts w:ascii="Arial" w:hAnsi="Arial" w:cs="Arial"/>
          <w:sz w:val="20"/>
          <w:szCs w:val="20"/>
        </w:rPr>
        <w:t>s</w:t>
      </w:r>
      <w:r w:rsidR="00283F7B" w:rsidRPr="00482722">
        <w:rPr>
          <w:rFonts w:ascii="Arial" w:hAnsi="Arial" w:cs="Arial"/>
          <w:sz w:val="20"/>
          <w:szCs w:val="20"/>
        </w:rPr>
        <w:t xml:space="preserve"> is that </w:t>
      </w:r>
      <w:r w:rsidR="00AD6EB5" w:rsidRPr="00482722">
        <w:rPr>
          <w:rFonts w:ascii="Arial" w:hAnsi="Arial" w:cs="Arial"/>
          <w:sz w:val="20"/>
          <w:szCs w:val="20"/>
        </w:rPr>
        <w:t xml:space="preserve">the </w:t>
      </w:r>
      <w:r w:rsidR="00283F7B" w:rsidRPr="00482722">
        <w:rPr>
          <w:rFonts w:ascii="Arial" w:hAnsi="Arial" w:cs="Arial"/>
          <w:sz w:val="20"/>
          <w:szCs w:val="20"/>
        </w:rPr>
        <w:t xml:space="preserve">empirical data were collected </w:t>
      </w:r>
      <w:r w:rsidR="00AD6EB5" w:rsidRPr="00482722">
        <w:rPr>
          <w:rFonts w:ascii="Arial" w:hAnsi="Arial" w:cs="Arial"/>
          <w:sz w:val="20"/>
          <w:szCs w:val="20"/>
        </w:rPr>
        <w:t>through</w:t>
      </w:r>
      <w:r w:rsidRPr="00482722">
        <w:rPr>
          <w:rFonts w:ascii="Arial" w:hAnsi="Arial" w:cs="Arial"/>
          <w:sz w:val="20"/>
          <w:szCs w:val="20"/>
        </w:rPr>
        <w:t xml:space="preserve"> a</w:t>
      </w:r>
      <w:r w:rsidR="00283F7B" w:rsidRPr="00482722">
        <w:rPr>
          <w:rFonts w:ascii="Arial" w:hAnsi="Arial" w:cs="Arial"/>
          <w:sz w:val="20"/>
          <w:szCs w:val="20"/>
        </w:rPr>
        <w:t xml:space="preserve"> single study that examined the antecedents </w:t>
      </w:r>
      <w:r w:rsidR="000C253A" w:rsidRPr="00482722">
        <w:rPr>
          <w:rFonts w:ascii="Arial" w:hAnsi="Arial" w:cs="Arial"/>
          <w:sz w:val="20"/>
          <w:szCs w:val="20"/>
        </w:rPr>
        <w:t>of</w:t>
      </w:r>
      <w:r w:rsidR="00283F7B" w:rsidRPr="00482722">
        <w:rPr>
          <w:rFonts w:ascii="Arial" w:hAnsi="Arial" w:cs="Arial"/>
          <w:sz w:val="20"/>
          <w:szCs w:val="20"/>
        </w:rPr>
        <w:t xml:space="preserve"> citizen loyalty to </w:t>
      </w:r>
      <w:r w:rsidR="00484B0C" w:rsidRPr="00482722">
        <w:rPr>
          <w:rFonts w:ascii="Arial" w:hAnsi="Arial" w:cs="Arial"/>
          <w:sz w:val="20"/>
          <w:szCs w:val="20"/>
        </w:rPr>
        <w:t xml:space="preserve">the </w:t>
      </w:r>
      <w:r w:rsidR="00283F7B" w:rsidRPr="00482722">
        <w:rPr>
          <w:rFonts w:ascii="Arial" w:hAnsi="Arial" w:cs="Arial"/>
          <w:sz w:val="20"/>
          <w:szCs w:val="20"/>
        </w:rPr>
        <w:t xml:space="preserve">UEAS for </w:t>
      </w:r>
      <w:r w:rsidR="00781350" w:rsidRPr="00482722">
        <w:rPr>
          <w:rFonts w:ascii="Arial" w:hAnsi="Arial" w:cs="Arial"/>
          <w:sz w:val="20"/>
          <w:szCs w:val="20"/>
        </w:rPr>
        <w:t xml:space="preserve">the purpose of </w:t>
      </w:r>
      <w:r w:rsidR="00283F7B" w:rsidRPr="00482722">
        <w:rPr>
          <w:rFonts w:ascii="Arial" w:hAnsi="Arial" w:cs="Arial"/>
          <w:sz w:val="20"/>
          <w:szCs w:val="20"/>
        </w:rPr>
        <w:t xml:space="preserve">academic admission to government universities and the </w:t>
      </w:r>
      <w:r w:rsidR="00484B0C" w:rsidRPr="00482722">
        <w:rPr>
          <w:rFonts w:ascii="Arial" w:hAnsi="Arial" w:cs="Arial"/>
          <w:sz w:val="20"/>
          <w:szCs w:val="20"/>
        </w:rPr>
        <w:t>t</w:t>
      </w:r>
      <w:r w:rsidR="00283F7B" w:rsidRPr="00482722">
        <w:rPr>
          <w:rFonts w:ascii="Arial" w:hAnsi="Arial" w:cs="Arial"/>
          <w:sz w:val="20"/>
          <w:szCs w:val="20"/>
        </w:rPr>
        <w:t xml:space="preserve">echnical </w:t>
      </w:r>
      <w:r w:rsidR="00484B0C" w:rsidRPr="00482722">
        <w:rPr>
          <w:rFonts w:ascii="Arial" w:hAnsi="Arial" w:cs="Arial"/>
          <w:sz w:val="20"/>
          <w:szCs w:val="20"/>
        </w:rPr>
        <w:t>c</w:t>
      </w:r>
      <w:r w:rsidR="00283F7B" w:rsidRPr="00482722">
        <w:rPr>
          <w:rFonts w:ascii="Arial" w:hAnsi="Arial" w:cs="Arial"/>
          <w:sz w:val="20"/>
          <w:szCs w:val="20"/>
        </w:rPr>
        <w:t>ollege in Riyadh, Saudi Arabia, while targeting a specific group (i.e., foundation</w:t>
      </w:r>
      <w:r w:rsidR="00781350" w:rsidRPr="00482722">
        <w:rPr>
          <w:rFonts w:ascii="Arial" w:hAnsi="Arial" w:cs="Arial"/>
          <w:sz w:val="20"/>
          <w:szCs w:val="20"/>
        </w:rPr>
        <w:t>-</w:t>
      </w:r>
      <w:r w:rsidR="00283F7B" w:rsidRPr="00482722">
        <w:rPr>
          <w:rFonts w:ascii="Arial" w:hAnsi="Arial" w:cs="Arial"/>
          <w:sz w:val="20"/>
          <w:szCs w:val="20"/>
        </w:rPr>
        <w:t>year students). Citizen loyalty to e-government services is a relatively new concept</w:t>
      </w:r>
      <w:r w:rsidR="00781350" w:rsidRPr="00482722">
        <w:rPr>
          <w:rFonts w:ascii="Arial" w:hAnsi="Arial" w:cs="Arial"/>
          <w:sz w:val="20"/>
          <w:szCs w:val="20"/>
        </w:rPr>
        <w:t>;</w:t>
      </w:r>
      <w:r w:rsidRPr="00482722">
        <w:rPr>
          <w:rFonts w:ascii="Arial" w:hAnsi="Arial" w:cs="Arial"/>
          <w:sz w:val="20"/>
          <w:szCs w:val="20"/>
        </w:rPr>
        <w:t xml:space="preserve"> hence</w:t>
      </w:r>
      <w:r w:rsidR="00781350" w:rsidRPr="00482722">
        <w:rPr>
          <w:rFonts w:ascii="Arial" w:hAnsi="Arial" w:cs="Arial"/>
          <w:sz w:val="20"/>
          <w:szCs w:val="20"/>
        </w:rPr>
        <w:t>,</w:t>
      </w:r>
      <w:r w:rsidR="00283F7B" w:rsidRPr="00482722">
        <w:rPr>
          <w:rFonts w:ascii="Arial" w:hAnsi="Arial" w:cs="Arial"/>
          <w:sz w:val="20"/>
          <w:szCs w:val="20"/>
        </w:rPr>
        <w:t xml:space="preserve"> the research findings and implications should be considered with caution when generali</w:t>
      </w:r>
      <w:r w:rsidRPr="00482722">
        <w:rPr>
          <w:rFonts w:ascii="Arial" w:hAnsi="Arial" w:cs="Arial"/>
          <w:sz w:val="20"/>
          <w:szCs w:val="20"/>
        </w:rPr>
        <w:t>s</w:t>
      </w:r>
      <w:r w:rsidR="00283F7B" w:rsidRPr="00482722">
        <w:rPr>
          <w:rFonts w:ascii="Arial" w:hAnsi="Arial" w:cs="Arial"/>
          <w:sz w:val="20"/>
          <w:szCs w:val="20"/>
        </w:rPr>
        <w:t xml:space="preserve">ing the findings and extending the discussion to include other e-government service categories or user groups. </w:t>
      </w:r>
      <w:r w:rsidR="00E02327" w:rsidRPr="00482722">
        <w:rPr>
          <w:rFonts w:ascii="Arial" w:hAnsi="Arial" w:cs="Arial"/>
          <w:sz w:val="20"/>
          <w:szCs w:val="20"/>
        </w:rPr>
        <w:t xml:space="preserve">Future research is needed to </w:t>
      </w:r>
      <w:r w:rsidR="00244125" w:rsidRPr="00482722">
        <w:rPr>
          <w:rFonts w:ascii="Arial" w:hAnsi="Arial" w:cs="Arial"/>
          <w:sz w:val="20"/>
          <w:szCs w:val="20"/>
        </w:rPr>
        <w:t xml:space="preserve">validate the research model </w:t>
      </w:r>
      <w:r w:rsidR="005F5E7E" w:rsidRPr="00482722">
        <w:rPr>
          <w:rFonts w:ascii="Arial" w:hAnsi="Arial" w:cs="Arial"/>
          <w:sz w:val="20"/>
          <w:szCs w:val="20"/>
        </w:rPr>
        <w:t>in</w:t>
      </w:r>
      <w:r w:rsidR="00F24B85" w:rsidRPr="00482722">
        <w:rPr>
          <w:rFonts w:ascii="Arial" w:hAnsi="Arial" w:cs="Arial"/>
          <w:sz w:val="20"/>
          <w:szCs w:val="20"/>
        </w:rPr>
        <w:t xml:space="preserve"> </w:t>
      </w:r>
      <w:r w:rsidR="00283F7B" w:rsidRPr="00482722">
        <w:rPr>
          <w:rFonts w:ascii="Arial" w:hAnsi="Arial" w:cs="Arial"/>
          <w:sz w:val="20"/>
          <w:szCs w:val="20"/>
        </w:rPr>
        <w:t xml:space="preserve">a large, cross-cultural sample </w:t>
      </w:r>
      <w:r w:rsidR="005F5E7E" w:rsidRPr="00482722">
        <w:rPr>
          <w:rFonts w:ascii="Arial" w:hAnsi="Arial" w:cs="Arial"/>
          <w:sz w:val="20"/>
          <w:szCs w:val="20"/>
        </w:rPr>
        <w:t>from</w:t>
      </w:r>
      <w:r w:rsidR="00F24B85" w:rsidRPr="00482722">
        <w:rPr>
          <w:rFonts w:ascii="Arial" w:hAnsi="Arial" w:cs="Arial"/>
          <w:sz w:val="20"/>
          <w:szCs w:val="20"/>
        </w:rPr>
        <w:t xml:space="preserve"> </w:t>
      </w:r>
      <w:r w:rsidR="00283F7B" w:rsidRPr="00482722">
        <w:rPr>
          <w:rFonts w:ascii="Arial" w:hAnsi="Arial" w:cs="Arial"/>
          <w:sz w:val="20"/>
          <w:szCs w:val="20"/>
        </w:rPr>
        <w:t>different e-government contexts</w:t>
      </w:r>
      <w:r w:rsidR="005F5E7E" w:rsidRPr="00482722">
        <w:rPr>
          <w:rFonts w:ascii="Arial" w:hAnsi="Arial" w:cs="Arial"/>
          <w:sz w:val="20"/>
          <w:szCs w:val="20"/>
        </w:rPr>
        <w:t>,</w:t>
      </w:r>
      <w:r w:rsidR="00244125" w:rsidRPr="00482722">
        <w:rPr>
          <w:rFonts w:ascii="Arial" w:hAnsi="Arial" w:cs="Arial"/>
          <w:sz w:val="20"/>
          <w:szCs w:val="20"/>
        </w:rPr>
        <w:t xml:space="preserve"> </w:t>
      </w:r>
      <w:r w:rsidR="005F5E7E" w:rsidRPr="00482722">
        <w:rPr>
          <w:rFonts w:ascii="Arial" w:hAnsi="Arial" w:cs="Arial"/>
          <w:sz w:val="20"/>
          <w:szCs w:val="20"/>
        </w:rPr>
        <w:t>which may</w:t>
      </w:r>
      <w:r w:rsidR="00244125" w:rsidRPr="00482722">
        <w:rPr>
          <w:rFonts w:ascii="Arial" w:hAnsi="Arial" w:cs="Arial"/>
          <w:sz w:val="20"/>
          <w:szCs w:val="20"/>
        </w:rPr>
        <w:t xml:space="preserve"> also </w:t>
      </w:r>
      <w:r w:rsidR="00051D39" w:rsidRPr="00482722">
        <w:rPr>
          <w:rFonts w:ascii="Arial" w:hAnsi="Arial" w:cs="Arial"/>
          <w:sz w:val="20"/>
          <w:szCs w:val="20"/>
        </w:rPr>
        <w:t xml:space="preserve">allow </w:t>
      </w:r>
      <w:r w:rsidR="00244125" w:rsidRPr="00482722">
        <w:rPr>
          <w:rFonts w:ascii="Arial" w:hAnsi="Arial" w:cs="Arial"/>
          <w:sz w:val="20"/>
          <w:szCs w:val="20"/>
        </w:rPr>
        <w:t>the generali</w:t>
      </w:r>
      <w:r w:rsidRPr="00482722">
        <w:rPr>
          <w:rFonts w:ascii="Arial" w:hAnsi="Arial" w:cs="Arial"/>
          <w:sz w:val="20"/>
          <w:szCs w:val="20"/>
        </w:rPr>
        <w:t>s</w:t>
      </w:r>
      <w:r w:rsidR="00244125" w:rsidRPr="00482722">
        <w:rPr>
          <w:rFonts w:ascii="Arial" w:hAnsi="Arial" w:cs="Arial"/>
          <w:sz w:val="20"/>
          <w:szCs w:val="20"/>
        </w:rPr>
        <w:t>ation of the findings of this research.</w:t>
      </w:r>
    </w:p>
    <w:p w14:paraId="14EE2836" w14:textId="4F376B53" w:rsidR="00283F7B"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Secondly, as this research did not conduct a multigroup analysis (i.e., gender, university, culture</w:t>
      </w:r>
      <w:r w:rsidR="002F2F1D" w:rsidRPr="00482722">
        <w:rPr>
          <w:rFonts w:ascii="Arial" w:hAnsi="Arial" w:cs="Arial"/>
          <w:sz w:val="20"/>
          <w:szCs w:val="20"/>
        </w:rPr>
        <w:t>,</w:t>
      </w:r>
      <w:r w:rsidRPr="00482722">
        <w:rPr>
          <w:rFonts w:ascii="Arial" w:hAnsi="Arial" w:cs="Arial"/>
          <w:sz w:val="20"/>
          <w:szCs w:val="20"/>
        </w:rPr>
        <w:t xml:space="preserve"> and economic background), additional research is needed to examine the impact of </w:t>
      </w:r>
      <w:r w:rsidR="00FE22BD" w:rsidRPr="00482722">
        <w:rPr>
          <w:rFonts w:ascii="Arial" w:hAnsi="Arial" w:cs="Arial"/>
          <w:sz w:val="20"/>
          <w:szCs w:val="20"/>
        </w:rPr>
        <w:t xml:space="preserve">the </w:t>
      </w:r>
      <w:r w:rsidRPr="00482722">
        <w:rPr>
          <w:rFonts w:ascii="Arial" w:hAnsi="Arial" w:cs="Arial"/>
          <w:sz w:val="20"/>
          <w:szCs w:val="20"/>
        </w:rPr>
        <w:t xml:space="preserve">diversity of the sample on the research model in order to increase the generalisability of the findings. </w:t>
      </w:r>
      <w:r w:rsidR="00B24D68" w:rsidRPr="00482722">
        <w:rPr>
          <w:rFonts w:ascii="Arial" w:hAnsi="Arial" w:cs="Arial"/>
          <w:sz w:val="20"/>
          <w:szCs w:val="20"/>
        </w:rPr>
        <w:t xml:space="preserve">Thirdly, </w:t>
      </w:r>
      <w:r w:rsidR="00291940" w:rsidRPr="00482722">
        <w:rPr>
          <w:rFonts w:ascii="Arial" w:hAnsi="Arial" w:cs="Arial"/>
          <w:sz w:val="20"/>
          <w:szCs w:val="20"/>
        </w:rPr>
        <w:t xml:space="preserve">given that </w:t>
      </w:r>
      <w:r w:rsidRPr="00482722">
        <w:rPr>
          <w:rFonts w:ascii="Arial" w:hAnsi="Arial" w:cs="Arial"/>
          <w:sz w:val="20"/>
          <w:szCs w:val="20"/>
        </w:rPr>
        <w:t>the research model explained</w:t>
      </w:r>
      <w:r w:rsidR="00104BAF" w:rsidRPr="00482722">
        <w:rPr>
          <w:rFonts w:ascii="Arial" w:hAnsi="Arial" w:cs="Arial"/>
          <w:sz w:val="20"/>
          <w:szCs w:val="20"/>
        </w:rPr>
        <w:t xml:space="preserve"> </w:t>
      </w:r>
      <w:r w:rsidR="00901AE7" w:rsidRPr="00482722">
        <w:rPr>
          <w:rFonts w:ascii="Arial" w:hAnsi="Arial" w:cs="Arial"/>
          <w:sz w:val="20"/>
          <w:szCs w:val="20"/>
        </w:rPr>
        <w:t xml:space="preserve">just under </w:t>
      </w:r>
      <w:r w:rsidRPr="00482722">
        <w:rPr>
          <w:rFonts w:ascii="Arial" w:hAnsi="Arial" w:cs="Arial"/>
          <w:sz w:val="20"/>
          <w:szCs w:val="20"/>
        </w:rPr>
        <w:t>60</w:t>
      </w:r>
      <w:r w:rsidR="002F2F1D" w:rsidRPr="00482722">
        <w:rPr>
          <w:rFonts w:ascii="Arial" w:hAnsi="Arial" w:cs="Arial"/>
          <w:sz w:val="20"/>
          <w:szCs w:val="20"/>
        </w:rPr>
        <w:t xml:space="preserve"> per</w:t>
      </w:r>
      <w:r w:rsidR="00205881" w:rsidRPr="00482722">
        <w:rPr>
          <w:rFonts w:ascii="Arial" w:hAnsi="Arial" w:cs="Arial"/>
          <w:sz w:val="20"/>
          <w:szCs w:val="20"/>
        </w:rPr>
        <w:t xml:space="preserve"> </w:t>
      </w:r>
      <w:r w:rsidR="002F2F1D" w:rsidRPr="00482722">
        <w:rPr>
          <w:rFonts w:ascii="Arial" w:hAnsi="Arial" w:cs="Arial"/>
          <w:sz w:val="20"/>
          <w:szCs w:val="20"/>
        </w:rPr>
        <w:t>cent</w:t>
      </w:r>
      <w:r w:rsidRPr="00482722">
        <w:rPr>
          <w:rFonts w:ascii="Arial" w:hAnsi="Arial" w:cs="Arial"/>
          <w:sz w:val="20"/>
          <w:szCs w:val="20"/>
        </w:rPr>
        <w:t xml:space="preserve"> of its variance (</w:t>
      </w:r>
      <w:r w:rsidR="006D31B5" w:rsidRPr="00482722">
        <w:rPr>
          <w:rFonts w:ascii="Arial" w:hAnsi="Arial" w:cs="Arial"/>
          <w:sz w:val="20"/>
          <w:szCs w:val="20"/>
        </w:rPr>
        <w:t xml:space="preserve">in </w:t>
      </w:r>
      <w:r w:rsidRPr="00482722">
        <w:rPr>
          <w:rFonts w:ascii="Arial" w:hAnsi="Arial" w:cs="Arial"/>
          <w:sz w:val="20"/>
          <w:szCs w:val="20"/>
        </w:rPr>
        <w:t>citizen loyalty to e-government services), there</w:t>
      </w:r>
      <w:r w:rsidR="00916210" w:rsidRPr="00482722">
        <w:rPr>
          <w:rFonts w:ascii="Arial" w:hAnsi="Arial" w:cs="Arial"/>
          <w:sz w:val="20"/>
          <w:szCs w:val="20"/>
        </w:rPr>
        <w:t xml:space="preserve"> is</w:t>
      </w:r>
      <w:r w:rsidRPr="00482722">
        <w:rPr>
          <w:rFonts w:ascii="Arial" w:hAnsi="Arial" w:cs="Arial"/>
          <w:sz w:val="20"/>
          <w:szCs w:val="20"/>
        </w:rPr>
        <w:t xml:space="preserve"> still a need to incorporate other factors that can improve the prediction of citizen loyalty to e-government services. Therefore, longitudinal empirical IS studies may advance a theoretical understanding of the multidimensional antecedents </w:t>
      </w:r>
      <w:r w:rsidR="000C253A" w:rsidRPr="00482722">
        <w:rPr>
          <w:rFonts w:ascii="Arial" w:hAnsi="Arial" w:cs="Arial"/>
          <w:sz w:val="20"/>
          <w:szCs w:val="20"/>
        </w:rPr>
        <w:t>of</w:t>
      </w:r>
      <w:r w:rsidRPr="00482722">
        <w:rPr>
          <w:rFonts w:ascii="Arial" w:hAnsi="Arial" w:cs="Arial"/>
          <w:sz w:val="20"/>
          <w:szCs w:val="20"/>
        </w:rPr>
        <w:t xml:space="preserve"> citizen loyalty to e-government services, and the causality and interrelationships among them.</w:t>
      </w:r>
    </w:p>
    <w:p w14:paraId="0F895558" w14:textId="00FD7F0F" w:rsidR="00283F7B" w:rsidRPr="00482722" w:rsidRDefault="00283F7B" w:rsidP="00DA5EEC">
      <w:pPr>
        <w:pStyle w:val="Heading1"/>
        <w:spacing w:line="240" w:lineRule="auto"/>
        <w:rPr>
          <w:rFonts w:ascii="Arial" w:hAnsi="Arial" w:cs="Arial"/>
          <w:sz w:val="20"/>
          <w:szCs w:val="20"/>
        </w:rPr>
      </w:pPr>
      <w:r w:rsidRPr="00482722">
        <w:rPr>
          <w:rFonts w:ascii="Arial" w:hAnsi="Arial" w:cs="Arial"/>
          <w:sz w:val="20"/>
          <w:szCs w:val="20"/>
        </w:rPr>
        <w:t>Conclusion</w:t>
      </w:r>
    </w:p>
    <w:p w14:paraId="7C47BC2B" w14:textId="20BC9D8E" w:rsidR="005D711A" w:rsidRPr="00482722" w:rsidRDefault="00283F7B" w:rsidP="00DA5EEC">
      <w:pPr>
        <w:spacing w:line="240" w:lineRule="auto"/>
        <w:jc w:val="both"/>
        <w:rPr>
          <w:rFonts w:ascii="Arial" w:hAnsi="Arial" w:cs="Arial"/>
          <w:sz w:val="20"/>
          <w:szCs w:val="20"/>
        </w:rPr>
      </w:pPr>
      <w:r w:rsidRPr="00482722">
        <w:rPr>
          <w:rFonts w:ascii="Arial" w:hAnsi="Arial" w:cs="Arial"/>
          <w:sz w:val="20"/>
          <w:szCs w:val="20"/>
        </w:rPr>
        <w:t xml:space="preserve">The </w:t>
      </w:r>
      <w:r w:rsidR="00FE6638" w:rsidRPr="00482722">
        <w:rPr>
          <w:rFonts w:ascii="Arial" w:hAnsi="Arial" w:cs="Arial"/>
          <w:sz w:val="20"/>
          <w:szCs w:val="20"/>
        </w:rPr>
        <w:t>aim</w:t>
      </w:r>
      <w:r w:rsidRPr="00482722">
        <w:rPr>
          <w:rFonts w:ascii="Arial" w:hAnsi="Arial" w:cs="Arial"/>
          <w:sz w:val="20"/>
          <w:szCs w:val="20"/>
        </w:rPr>
        <w:t xml:space="preserve"> of this research was</w:t>
      </w:r>
      <w:r w:rsidR="00FE6638" w:rsidRPr="00482722">
        <w:rPr>
          <w:rFonts w:ascii="Arial" w:hAnsi="Arial" w:cs="Arial"/>
          <w:sz w:val="20"/>
          <w:szCs w:val="20"/>
        </w:rPr>
        <w:t xml:space="preserve"> to extend the IS research </w:t>
      </w:r>
      <w:r w:rsidR="00901AE7" w:rsidRPr="00482722">
        <w:rPr>
          <w:rFonts w:ascii="Arial" w:hAnsi="Arial" w:cs="Arial"/>
          <w:sz w:val="20"/>
          <w:szCs w:val="20"/>
        </w:rPr>
        <w:t xml:space="preserve">on </w:t>
      </w:r>
      <w:r w:rsidR="00FE6638" w:rsidRPr="00482722">
        <w:rPr>
          <w:rFonts w:ascii="Arial" w:hAnsi="Arial" w:cs="Arial"/>
          <w:sz w:val="20"/>
          <w:szCs w:val="20"/>
        </w:rPr>
        <w:t xml:space="preserve">customer loyalty </w:t>
      </w:r>
      <w:r w:rsidR="00901AE7" w:rsidRPr="00482722">
        <w:rPr>
          <w:rFonts w:ascii="Arial" w:hAnsi="Arial" w:cs="Arial"/>
          <w:sz w:val="20"/>
          <w:szCs w:val="20"/>
        </w:rPr>
        <w:t xml:space="preserve">to </w:t>
      </w:r>
      <w:r w:rsidR="00FE6638" w:rsidRPr="00482722">
        <w:rPr>
          <w:rFonts w:ascii="Arial" w:hAnsi="Arial" w:cs="Arial"/>
          <w:sz w:val="20"/>
          <w:szCs w:val="20"/>
        </w:rPr>
        <w:t xml:space="preserve">e-commerce services </w:t>
      </w:r>
      <w:r w:rsidR="00123405" w:rsidRPr="00482722">
        <w:rPr>
          <w:rFonts w:ascii="Arial" w:hAnsi="Arial" w:cs="Arial"/>
          <w:sz w:val="20"/>
          <w:szCs w:val="20"/>
        </w:rPr>
        <w:t>into electronic public services</w:t>
      </w:r>
      <w:r w:rsidR="007D7D1B" w:rsidRPr="00482722">
        <w:rPr>
          <w:rFonts w:ascii="Arial" w:hAnsi="Arial" w:cs="Arial"/>
          <w:sz w:val="20"/>
          <w:szCs w:val="20"/>
        </w:rPr>
        <w:t>,</w:t>
      </w:r>
      <w:r w:rsidR="00123405" w:rsidRPr="00482722">
        <w:rPr>
          <w:rFonts w:ascii="Arial" w:hAnsi="Arial" w:cs="Arial"/>
          <w:sz w:val="20"/>
          <w:szCs w:val="20"/>
        </w:rPr>
        <w:t xml:space="preserve"> such as e</w:t>
      </w:r>
      <w:r w:rsidR="00FC680C" w:rsidRPr="00482722">
        <w:rPr>
          <w:rFonts w:ascii="Arial" w:hAnsi="Arial" w:cs="Arial"/>
          <w:sz w:val="20"/>
          <w:szCs w:val="20"/>
        </w:rPr>
        <w:t xml:space="preserve">-government services. In doing so, this study </w:t>
      </w:r>
      <w:r w:rsidR="0062637A" w:rsidRPr="00482722">
        <w:rPr>
          <w:rFonts w:ascii="Arial" w:hAnsi="Arial" w:cs="Arial"/>
          <w:sz w:val="20"/>
          <w:szCs w:val="20"/>
        </w:rPr>
        <w:t xml:space="preserve">empirically </w:t>
      </w:r>
      <w:r w:rsidRPr="00482722">
        <w:rPr>
          <w:rFonts w:ascii="Arial" w:hAnsi="Arial" w:cs="Arial"/>
          <w:sz w:val="20"/>
          <w:szCs w:val="20"/>
        </w:rPr>
        <w:t>test</w:t>
      </w:r>
      <w:r w:rsidR="00FC680C" w:rsidRPr="00482722">
        <w:rPr>
          <w:rFonts w:ascii="Arial" w:hAnsi="Arial" w:cs="Arial"/>
          <w:sz w:val="20"/>
          <w:szCs w:val="20"/>
        </w:rPr>
        <w:t>ed the effect</w:t>
      </w:r>
      <w:r w:rsidR="00AD55C2" w:rsidRPr="00482722">
        <w:rPr>
          <w:rFonts w:ascii="Arial" w:hAnsi="Arial" w:cs="Arial"/>
          <w:sz w:val="20"/>
          <w:szCs w:val="20"/>
        </w:rPr>
        <w:t>s</w:t>
      </w:r>
      <w:r w:rsidR="00FC680C" w:rsidRPr="00482722">
        <w:rPr>
          <w:rFonts w:ascii="Arial" w:hAnsi="Arial" w:cs="Arial"/>
          <w:sz w:val="20"/>
          <w:szCs w:val="20"/>
        </w:rPr>
        <w:t xml:space="preserve"> of service</w:t>
      </w:r>
      <w:r w:rsidRPr="00482722">
        <w:rPr>
          <w:rFonts w:ascii="Arial" w:hAnsi="Arial" w:cs="Arial"/>
          <w:sz w:val="20"/>
          <w:szCs w:val="20"/>
        </w:rPr>
        <w:t xml:space="preserve"> quality,</w:t>
      </w:r>
      <w:r w:rsidR="0062637A" w:rsidRPr="00482722">
        <w:rPr>
          <w:rFonts w:ascii="Arial" w:hAnsi="Arial" w:cs="Arial"/>
          <w:sz w:val="20"/>
          <w:szCs w:val="20"/>
        </w:rPr>
        <w:t xml:space="preserve"> trust in government, trust in e-government services, and citizen satisfaction </w:t>
      </w:r>
      <w:r w:rsidR="00FC680C" w:rsidRPr="00482722">
        <w:rPr>
          <w:rFonts w:ascii="Arial" w:hAnsi="Arial" w:cs="Arial"/>
          <w:sz w:val="20"/>
          <w:szCs w:val="20"/>
        </w:rPr>
        <w:t xml:space="preserve">on </w:t>
      </w:r>
      <w:r w:rsidR="0062637A" w:rsidRPr="00482722">
        <w:rPr>
          <w:rFonts w:ascii="Arial" w:hAnsi="Arial" w:cs="Arial"/>
          <w:sz w:val="20"/>
          <w:szCs w:val="20"/>
        </w:rPr>
        <w:t xml:space="preserve">citizen loyalty </w:t>
      </w:r>
      <w:r w:rsidR="00FC680C" w:rsidRPr="00482722">
        <w:rPr>
          <w:rFonts w:ascii="Arial" w:hAnsi="Arial" w:cs="Arial"/>
          <w:sz w:val="20"/>
          <w:szCs w:val="20"/>
        </w:rPr>
        <w:t xml:space="preserve">in the context </w:t>
      </w:r>
      <w:r w:rsidR="00123405" w:rsidRPr="00482722">
        <w:rPr>
          <w:rFonts w:ascii="Arial" w:hAnsi="Arial" w:cs="Arial"/>
          <w:sz w:val="20"/>
          <w:szCs w:val="20"/>
        </w:rPr>
        <w:t>of e</w:t>
      </w:r>
      <w:r w:rsidR="0062637A" w:rsidRPr="00482722">
        <w:rPr>
          <w:rFonts w:ascii="Arial" w:hAnsi="Arial" w:cs="Arial"/>
          <w:sz w:val="20"/>
          <w:szCs w:val="20"/>
        </w:rPr>
        <w:t xml:space="preserve">-government services </w:t>
      </w:r>
      <w:r w:rsidRPr="00482722">
        <w:rPr>
          <w:rFonts w:ascii="Arial" w:hAnsi="Arial" w:cs="Arial"/>
          <w:sz w:val="20"/>
          <w:szCs w:val="20"/>
        </w:rPr>
        <w:t xml:space="preserve">(i.e., </w:t>
      </w:r>
      <w:r w:rsidR="007D7D1B" w:rsidRPr="00482722">
        <w:rPr>
          <w:rFonts w:ascii="Arial" w:hAnsi="Arial" w:cs="Arial"/>
          <w:sz w:val="20"/>
          <w:szCs w:val="20"/>
        </w:rPr>
        <w:t xml:space="preserve">the </w:t>
      </w:r>
      <w:r w:rsidRPr="00482722">
        <w:rPr>
          <w:rFonts w:ascii="Arial" w:hAnsi="Arial" w:cs="Arial"/>
          <w:sz w:val="20"/>
          <w:szCs w:val="20"/>
        </w:rPr>
        <w:t>UEAS for academic admissions in Saudi Arabia).</w:t>
      </w:r>
      <w:r w:rsidR="005D711A" w:rsidRPr="00482722">
        <w:rPr>
          <w:rFonts w:ascii="Arial" w:hAnsi="Arial" w:cs="Arial"/>
          <w:sz w:val="20"/>
          <w:szCs w:val="20"/>
        </w:rPr>
        <w:t xml:space="preserve"> T</w:t>
      </w:r>
      <w:r w:rsidRPr="00482722">
        <w:rPr>
          <w:rFonts w:ascii="Arial" w:hAnsi="Arial" w:cs="Arial"/>
          <w:sz w:val="20"/>
          <w:szCs w:val="20"/>
        </w:rPr>
        <w:t>he</w:t>
      </w:r>
      <w:r w:rsidR="005D711A" w:rsidRPr="00482722">
        <w:rPr>
          <w:rFonts w:ascii="Arial" w:hAnsi="Arial" w:cs="Arial"/>
          <w:sz w:val="20"/>
          <w:szCs w:val="20"/>
        </w:rPr>
        <w:t xml:space="preserve"> findings d</w:t>
      </w:r>
      <w:r w:rsidRPr="00482722">
        <w:rPr>
          <w:rFonts w:ascii="Arial" w:hAnsi="Arial" w:cs="Arial"/>
          <w:sz w:val="20"/>
          <w:szCs w:val="20"/>
        </w:rPr>
        <w:t xml:space="preserve">emonstrated the importance of service quality, trust in government, trust in e-government services, and citizen satisfaction in the development of citizen loyalty </w:t>
      </w:r>
      <w:r w:rsidR="00123405" w:rsidRPr="00482722">
        <w:rPr>
          <w:rFonts w:ascii="Arial" w:hAnsi="Arial" w:cs="Arial"/>
          <w:sz w:val="20"/>
          <w:szCs w:val="20"/>
        </w:rPr>
        <w:t>to e</w:t>
      </w:r>
      <w:r w:rsidRPr="00482722">
        <w:rPr>
          <w:rFonts w:ascii="Arial" w:hAnsi="Arial" w:cs="Arial"/>
          <w:sz w:val="20"/>
          <w:szCs w:val="20"/>
        </w:rPr>
        <w:t xml:space="preserve">-government services. The findings supported all </w:t>
      </w:r>
      <w:r w:rsidR="00272B32" w:rsidRPr="00482722">
        <w:rPr>
          <w:rFonts w:ascii="Arial" w:hAnsi="Arial" w:cs="Arial"/>
          <w:sz w:val="20"/>
          <w:szCs w:val="20"/>
        </w:rPr>
        <w:t xml:space="preserve">12 </w:t>
      </w:r>
      <w:r w:rsidRPr="00482722">
        <w:rPr>
          <w:rFonts w:ascii="Arial" w:hAnsi="Arial" w:cs="Arial"/>
          <w:sz w:val="20"/>
          <w:szCs w:val="20"/>
        </w:rPr>
        <w:t>research hypotheses and successfully validated the research model</w:t>
      </w:r>
      <w:r w:rsidR="005D711A" w:rsidRPr="00482722">
        <w:rPr>
          <w:rFonts w:ascii="Arial" w:hAnsi="Arial" w:cs="Arial"/>
          <w:sz w:val="20"/>
          <w:szCs w:val="20"/>
        </w:rPr>
        <w:t>.</w:t>
      </w:r>
    </w:p>
    <w:p w14:paraId="05B90A5E" w14:textId="76995797" w:rsidR="00ED736D" w:rsidRPr="00482722" w:rsidRDefault="0062637A" w:rsidP="00FF3D38">
      <w:pPr>
        <w:spacing w:line="240" w:lineRule="auto"/>
        <w:jc w:val="both"/>
        <w:rPr>
          <w:rFonts w:ascii="Arial" w:eastAsiaTheme="majorEastAsia" w:hAnsi="Arial" w:cs="Arial"/>
          <w:b/>
          <w:sz w:val="20"/>
          <w:szCs w:val="20"/>
        </w:rPr>
      </w:pPr>
      <w:r w:rsidRPr="00482722">
        <w:rPr>
          <w:rFonts w:ascii="Arial" w:hAnsi="Arial" w:cs="Arial"/>
          <w:sz w:val="20"/>
          <w:szCs w:val="20"/>
        </w:rPr>
        <w:t xml:space="preserve">The results confirmed that service quality and trust </w:t>
      </w:r>
      <w:r w:rsidR="00E551C2" w:rsidRPr="00482722">
        <w:rPr>
          <w:rFonts w:ascii="Arial" w:hAnsi="Arial" w:cs="Arial"/>
          <w:sz w:val="20"/>
          <w:szCs w:val="20"/>
        </w:rPr>
        <w:t xml:space="preserve">in government </w:t>
      </w:r>
      <w:r w:rsidRPr="00482722">
        <w:rPr>
          <w:rFonts w:ascii="Arial" w:hAnsi="Arial" w:cs="Arial"/>
          <w:sz w:val="20"/>
          <w:szCs w:val="20"/>
        </w:rPr>
        <w:t>were</w:t>
      </w:r>
      <w:r w:rsidR="00E551C2" w:rsidRPr="00482722">
        <w:rPr>
          <w:rFonts w:ascii="Arial" w:hAnsi="Arial" w:cs="Arial"/>
          <w:sz w:val="20"/>
          <w:szCs w:val="20"/>
        </w:rPr>
        <w:t xml:space="preserve"> the</w:t>
      </w:r>
      <w:r w:rsidR="00FF03F2" w:rsidRPr="00482722">
        <w:rPr>
          <w:rFonts w:ascii="Arial" w:hAnsi="Arial" w:cs="Arial"/>
          <w:sz w:val="20"/>
          <w:szCs w:val="20"/>
        </w:rPr>
        <w:t xml:space="preserve"> most significant predictors of</w:t>
      </w:r>
      <w:r w:rsidR="00E551C2" w:rsidRPr="00482722">
        <w:rPr>
          <w:rFonts w:ascii="Arial" w:hAnsi="Arial" w:cs="Arial"/>
          <w:sz w:val="20"/>
          <w:szCs w:val="20"/>
        </w:rPr>
        <w:t xml:space="preserve"> citizen loyalty </w:t>
      </w:r>
      <w:r w:rsidR="00FF03F2" w:rsidRPr="00482722">
        <w:rPr>
          <w:rFonts w:ascii="Arial" w:hAnsi="Arial" w:cs="Arial"/>
          <w:sz w:val="20"/>
          <w:szCs w:val="20"/>
        </w:rPr>
        <w:t xml:space="preserve">in the context </w:t>
      </w:r>
      <w:r w:rsidR="00123405" w:rsidRPr="00482722">
        <w:rPr>
          <w:rFonts w:ascii="Arial" w:hAnsi="Arial" w:cs="Arial"/>
          <w:sz w:val="20"/>
          <w:szCs w:val="20"/>
        </w:rPr>
        <w:t>of e</w:t>
      </w:r>
      <w:r w:rsidR="00E551C2" w:rsidRPr="00482722">
        <w:rPr>
          <w:rFonts w:ascii="Arial" w:hAnsi="Arial" w:cs="Arial"/>
          <w:sz w:val="20"/>
          <w:szCs w:val="20"/>
        </w:rPr>
        <w:t>-</w:t>
      </w:r>
      <w:r w:rsidR="00FF03F2" w:rsidRPr="00482722">
        <w:rPr>
          <w:rFonts w:ascii="Arial" w:hAnsi="Arial" w:cs="Arial"/>
          <w:sz w:val="20"/>
          <w:szCs w:val="20"/>
        </w:rPr>
        <w:t>government services</w:t>
      </w:r>
      <w:r w:rsidR="00E551C2" w:rsidRPr="00482722">
        <w:rPr>
          <w:rFonts w:ascii="Arial" w:hAnsi="Arial" w:cs="Arial"/>
          <w:sz w:val="20"/>
          <w:szCs w:val="20"/>
        </w:rPr>
        <w:t xml:space="preserve">, whereas citizen satisfaction demonstrated the least important effect. The outcomes of this study </w:t>
      </w:r>
      <w:r w:rsidR="00B24D68" w:rsidRPr="00482722">
        <w:rPr>
          <w:rFonts w:ascii="Arial" w:hAnsi="Arial" w:cs="Arial"/>
          <w:sz w:val="20"/>
          <w:szCs w:val="20"/>
        </w:rPr>
        <w:t>are</w:t>
      </w:r>
      <w:r w:rsidR="00E551C2" w:rsidRPr="00482722">
        <w:rPr>
          <w:rFonts w:ascii="Arial" w:hAnsi="Arial" w:cs="Arial"/>
          <w:sz w:val="20"/>
          <w:szCs w:val="20"/>
        </w:rPr>
        <w:t xml:space="preserve"> expected to strength</w:t>
      </w:r>
      <w:r w:rsidR="00277CF2" w:rsidRPr="00482722">
        <w:rPr>
          <w:rFonts w:ascii="Arial" w:hAnsi="Arial" w:cs="Arial"/>
          <w:sz w:val="20"/>
          <w:szCs w:val="20"/>
        </w:rPr>
        <w:t>en</w:t>
      </w:r>
      <w:r w:rsidR="00E551C2" w:rsidRPr="00482722">
        <w:rPr>
          <w:rFonts w:ascii="Arial" w:hAnsi="Arial" w:cs="Arial"/>
          <w:sz w:val="20"/>
          <w:szCs w:val="20"/>
        </w:rPr>
        <w:t xml:space="preserve"> the theoretical research cycle in the context of citizen loyalty </w:t>
      </w:r>
      <w:r w:rsidR="00B24D68" w:rsidRPr="00482722">
        <w:rPr>
          <w:rFonts w:ascii="Arial" w:hAnsi="Arial" w:cs="Arial"/>
          <w:sz w:val="20"/>
          <w:szCs w:val="20"/>
        </w:rPr>
        <w:t>to e</w:t>
      </w:r>
      <w:r w:rsidR="00E551C2" w:rsidRPr="00482722">
        <w:rPr>
          <w:rFonts w:ascii="Arial" w:hAnsi="Arial" w:cs="Arial"/>
          <w:sz w:val="20"/>
          <w:szCs w:val="20"/>
        </w:rPr>
        <w:t>-services, while providing support for e-government practitioners to adjust managerial</w:t>
      </w:r>
      <w:r w:rsidR="00FF03F2" w:rsidRPr="00482722">
        <w:rPr>
          <w:rFonts w:ascii="Arial" w:hAnsi="Arial" w:cs="Arial"/>
          <w:sz w:val="20"/>
          <w:szCs w:val="20"/>
        </w:rPr>
        <w:t xml:space="preserve"> intervention </w:t>
      </w:r>
      <w:r w:rsidR="00337481" w:rsidRPr="00482722">
        <w:rPr>
          <w:rFonts w:ascii="Arial" w:hAnsi="Arial" w:cs="Arial"/>
          <w:sz w:val="20"/>
          <w:szCs w:val="20"/>
        </w:rPr>
        <w:t xml:space="preserve">in creating </w:t>
      </w:r>
      <w:r w:rsidR="00FF03F2" w:rsidRPr="00482722">
        <w:rPr>
          <w:rFonts w:ascii="Arial" w:hAnsi="Arial" w:cs="Arial"/>
          <w:sz w:val="20"/>
          <w:szCs w:val="20"/>
        </w:rPr>
        <w:t>effective citizen loyalty program</w:t>
      </w:r>
      <w:r w:rsidR="00277CF2" w:rsidRPr="00482722">
        <w:rPr>
          <w:rFonts w:ascii="Arial" w:hAnsi="Arial" w:cs="Arial"/>
          <w:sz w:val="20"/>
          <w:szCs w:val="20"/>
        </w:rPr>
        <w:t>me</w:t>
      </w:r>
      <w:r w:rsidR="00FF03F2" w:rsidRPr="00482722">
        <w:rPr>
          <w:rFonts w:ascii="Arial" w:hAnsi="Arial" w:cs="Arial"/>
          <w:sz w:val="20"/>
          <w:szCs w:val="20"/>
        </w:rPr>
        <w:t>s.</w:t>
      </w:r>
    </w:p>
    <w:p w14:paraId="3B0B84BB" w14:textId="1AB4D7F4" w:rsidR="00C27147" w:rsidRPr="00482722" w:rsidRDefault="0032377B" w:rsidP="0032377B">
      <w:pPr>
        <w:pStyle w:val="Heading2"/>
        <w:numPr>
          <w:ilvl w:val="0"/>
          <w:numId w:val="0"/>
        </w:numPr>
        <w:ind w:left="360"/>
        <w:rPr>
          <w:b/>
          <w:bCs w:val="0"/>
          <w:i w:val="0"/>
          <w:iCs w:val="0"/>
        </w:rPr>
      </w:pPr>
      <w:r w:rsidRPr="00482722">
        <w:rPr>
          <w:b/>
          <w:bCs w:val="0"/>
          <w:i w:val="0"/>
          <w:iCs w:val="0"/>
        </w:rPr>
        <w:t>References</w:t>
      </w:r>
    </w:p>
    <w:p w14:paraId="7888CD14" w14:textId="77777777" w:rsidR="00B83B32" w:rsidRPr="00482722" w:rsidRDefault="00B83B32" w:rsidP="00B83B32">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Abu-Shanab, E. (2014), “Antecedents of trust in e-government services: An empirical test in Jordan”, </w:t>
      </w:r>
      <w:r w:rsidRPr="00482722">
        <w:rPr>
          <w:rFonts w:ascii="Arial" w:eastAsia="Times New Roman" w:hAnsi="Arial" w:cs="Arial"/>
          <w:i/>
          <w:sz w:val="20"/>
          <w:szCs w:val="20"/>
          <w:lang w:eastAsia="en-GB"/>
        </w:rPr>
        <w:t>Transforming Government: People, Process and Policy</w:t>
      </w:r>
      <w:r w:rsidRPr="00482722">
        <w:rPr>
          <w:rFonts w:ascii="Arial" w:eastAsia="Times New Roman" w:hAnsi="Arial" w:cs="Arial"/>
          <w:sz w:val="20"/>
          <w:szCs w:val="20"/>
          <w:lang w:eastAsia="en-GB"/>
        </w:rPr>
        <w:t>, Vol. 8 No. 4, pp. 480-499.</w:t>
      </w:r>
    </w:p>
    <w:p w14:paraId="62C742A9" w14:textId="53AAE4F4" w:rsidR="00A063DD" w:rsidRPr="00482722" w:rsidRDefault="00A063DD">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Alawneh, A., Al-Refai, H. and Batiha, K.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2013</w:t>
      </w:r>
      <w:r w:rsidR="00C62D41"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Measuring user satisfaction from e-Government services: Lessons from Jordan</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Government Information Quarterly,</w:t>
      </w:r>
      <w:r w:rsidRPr="00482722">
        <w:rPr>
          <w:rFonts w:ascii="Arial" w:eastAsia="Times New Roman" w:hAnsi="Arial" w:cs="Arial"/>
          <w:sz w:val="20"/>
          <w:szCs w:val="20"/>
          <w:lang w:eastAsia="en-GB"/>
        </w:rPr>
        <w:t> </w:t>
      </w:r>
      <w:r w:rsidR="00501A26"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30</w:t>
      </w:r>
      <w:r w:rsidR="00501A26"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3</w:t>
      </w:r>
      <w:r w:rsidR="00501A26"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277-288.</w:t>
      </w:r>
    </w:p>
    <w:p w14:paraId="1C1E53DF" w14:textId="1763E5B4" w:rsidR="00806497" w:rsidRPr="00482722" w:rsidRDefault="0080649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Albrahim, R., Alsalamah, H., Alsalamah, S. and Aksoy, M.</w:t>
      </w:r>
      <w:r w:rsidR="002D626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2018</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Access Control Model for Modern Virtual e-Government Services: Saudi Arabian Case Study</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International Journal of Advanced Computer Science and Applications</w:t>
      </w:r>
      <w:r w:rsidRPr="00482722">
        <w:rPr>
          <w:rFonts w:ascii="Arial" w:eastAsia="Times New Roman" w:hAnsi="Arial" w:cs="Arial"/>
          <w:sz w:val="20"/>
          <w:szCs w:val="20"/>
          <w:lang w:eastAsia="en-GB"/>
        </w:rPr>
        <w:t>,</w:t>
      </w:r>
      <w:r w:rsidR="007A651E" w:rsidRPr="00482722">
        <w:rPr>
          <w:rFonts w:ascii="Arial" w:eastAsia="Times New Roman" w:hAnsi="Arial" w:cs="Arial"/>
          <w:sz w:val="20"/>
          <w:szCs w:val="20"/>
          <w:lang w:eastAsia="en-GB"/>
        </w:rPr>
        <w:t xml:space="preserve"> Vol. </w:t>
      </w:r>
      <w:r w:rsidR="005A4593" w:rsidRPr="00482722">
        <w:rPr>
          <w:rFonts w:ascii="Arial" w:eastAsia="Times New Roman" w:hAnsi="Arial" w:cs="Arial"/>
          <w:sz w:val="20"/>
          <w:szCs w:val="20"/>
          <w:lang w:eastAsia="en-GB"/>
        </w:rPr>
        <w:t>9</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8, pp.</w:t>
      </w:r>
      <w:r w:rsidRPr="00482722">
        <w:rPr>
          <w:rFonts w:ascii="Arial" w:eastAsia="Times New Roman" w:hAnsi="Arial" w:cs="Arial"/>
          <w:sz w:val="20"/>
          <w:szCs w:val="20"/>
          <w:lang w:eastAsia="en-GB"/>
        </w:rPr>
        <w:t>357-364.</w:t>
      </w:r>
    </w:p>
    <w:p w14:paraId="19E957DD" w14:textId="2FE4CDA5" w:rsidR="002F2AEE" w:rsidRPr="00482722" w:rsidRDefault="002F2AE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Alkraiji, A. I. (2020a)</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Citizen Satisfaction with Mandatory E-Government Services: A Conceptual Framework and an Empirical Validation</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IEEE Access</w:t>
      </w:r>
      <w:r w:rsidRPr="00482722">
        <w:rPr>
          <w:rFonts w:ascii="Arial" w:eastAsia="Times New Roman" w:hAnsi="Arial" w:cs="Arial"/>
          <w:sz w:val="20"/>
          <w:szCs w:val="20"/>
          <w:lang w:eastAsia="en-GB"/>
        </w:rPr>
        <w:t xml:space="preserve">, </w:t>
      </w:r>
      <w:r w:rsidR="007A651E" w:rsidRPr="00482722">
        <w:rPr>
          <w:rFonts w:ascii="Arial" w:eastAsia="Times New Roman" w:hAnsi="Arial" w:cs="Arial"/>
          <w:sz w:val="20"/>
          <w:szCs w:val="20"/>
          <w:lang w:eastAsia="en-GB"/>
        </w:rPr>
        <w:t>Vol. 8</w:t>
      </w:r>
      <w:r w:rsidRPr="00482722">
        <w:rPr>
          <w:rFonts w:ascii="Arial" w:eastAsia="Times New Roman" w:hAnsi="Arial" w:cs="Arial"/>
          <w:sz w:val="20"/>
          <w:szCs w:val="20"/>
          <w:lang w:eastAsia="en-GB"/>
        </w:rPr>
        <w:t>, pp. 117253-117265. doi: 10.1109/ACCESS.2020.3004541.</w:t>
      </w:r>
    </w:p>
    <w:p w14:paraId="30A68495" w14:textId="276FEFDC" w:rsidR="002F2AEE" w:rsidRPr="00482722" w:rsidRDefault="002F2AE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Alkraiji, A. I. (2020b)</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examination of citizen satisfaction with mandatory e-government services: comparison of two information systems success models</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Transforming Government: People, Process and Policy</w:t>
      </w:r>
      <w:r w:rsidRPr="00482722">
        <w:rPr>
          <w:rFonts w:ascii="Arial" w:eastAsia="Times New Roman" w:hAnsi="Arial" w:cs="Arial"/>
          <w:sz w:val="20"/>
          <w:szCs w:val="20"/>
          <w:lang w:eastAsia="en-GB"/>
        </w:rPr>
        <w:t>, Vol. ahead-of-print No. ahead-of-print. https://doi.org/10.1108/TG-01-2020-0015</w:t>
      </w:r>
    </w:p>
    <w:p w14:paraId="115535B3" w14:textId="4495508C"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Al-Hujran, O., Al-Debei, M.</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M., Chatfield, A. and Migdadi, M.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2015</w:t>
      </w:r>
      <w:r w:rsidR="00C62D41"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imperative of influencing citizen attitude toward e-government adoption and use</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Computers in </w:t>
      </w:r>
      <w:r w:rsidR="00C62D41" w:rsidRPr="00482722">
        <w:rPr>
          <w:rFonts w:ascii="Arial" w:eastAsia="Times New Roman" w:hAnsi="Arial" w:cs="Arial"/>
          <w:i/>
          <w:sz w:val="20"/>
          <w:szCs w:val="20"/>
          <w:lang w:eastAsia="en-GB"/>
        </w:rPr>
        <w:t>H</w:t>
      </w:r>
      <w:r w:rsidRPr="00482722">
        <w:rPr>
          <w:rFonts w:ascii="Arial" w:eastAsia="Times New Roman" w:hAnsi="Arial" w:cs="Arial"/>
          <w:i/>
          <w:sz w:val="20"/>
          <w:szCs w:val="20"/>
          <w:lang w:eastAsia="en-GB"/>
        </w:rPr>
        <w:t>uman Behavior</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53,</w:t>
      </w:r>
      <w:r w:rsidR="002D6265" w:rsidRPr="00482722">
        <w:rPr>
          <w:rFonts w:ascii="Arial" w:eastAsia="Times New Roman" w:hAnsi="Arial" w:cs="Arial"/>
          <w:sz w:val="20"/>
          <w:szCs w:val="20"/>
          <w:lang w:eastAsia="en-GB"/>
        </w:rPr>
        <w:t xml:space="preserve"> pp. </w:t>
      </w:r>
      <w:r w:rsidRPr="00482722">
        <w:rPr>
          <w:rFonts w:ascii="Arial" w:eastAsia="Times New Roman" w:hAnsi="Arial" w:cs="Arial"/>
          <w:sz w:val="20"/>
          <w:szCs w:val="20"/>
          <w:lang w:eastAsia="en-GB"/>
        </w:rPr>
        <w:t>189-203.</w:t>
      </w:r>
    </w:p>
    <w:p w14:paraId="7FF8D512"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 Mansoori, K.A., Sarabdeen, J. and Tchantchane, A.L., (2018), “Investigating Emirati citizens’ adoption of e-government services in Abu Dhabi using modified UTAUT model”, </w:t>
      </w:r>
      <w:r w:rsidRPr="00482722">
        <w:rPr>
          <w:rFonts w:ascii="Arial" w:eastAsia="Times New Roman" w:hAnsi="Arial" w:cs="Arial"/>
          <w:i/>
          <w:iCs/>
          <w:sz w:val="20"/>
          <w:szCs w:val="20"/>
          <w:lang w:eastAsia="en-GB"/>
        </w:rPr>
        <w:t>Information Technology &amp; People</w:t>
      </w:r>
      <w:r w:rsidRPr="00482722">
        <w:rPr>
          <w:rFonts w:ascii="Arial" w:eastAsia="Times New Roman" w:hAnsi="Arial" w:cs="Arial"/>
          <w:sz w:val="20"/>
          <w:szCs w:val="20"/>
          <w:lang w:eastAsia="en-GB"/>
        </w:rPr>
        <w:t>. Vol. 31 No. 2. pp. 455-481.</w:t>
      </w:r>
    </w:p>
    <w:p w14:paraId="0CF9C183" w14:textId="7C7DA58E" w:rsidR="00A063DD"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Alzahrani, L., Al-Karaghouli, W.</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Weerakkody, V.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2018</w:t>
      </w:r>
      <w:r w:rsidR="00C62D41"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Investigating the impact of citizens’ trust toward the successful adoption of e-government: A multigroup analysis of gender, age, and internet experience</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Information Systems Management</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35</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2</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124-146.</w:t>
      </w:r>
    </w:p>
    <w:p w14:paraId="7B4535B7" w14:textId="1ABFB674" w:rsidR="009E2CAC" w:rsidRPr="00482722" w:rsidRDefault="009E2CAC" w:rsidP="007A651E">
      <w:pPr>
        <w:spacing w:after="0" w:line="240" w:lineRule="auto"/>
        <w:ind w:hanging="720"/>
        <w:jc w:val="both"/>
        <w:rPr>
          <w:rFonts w:ascii="Arial" w:eastAsia="Times New Roman" w:hAnsi="Arial" w:cs="Arial"/>
          <w:sz w:val="20"/>
          <w:szCs w:val="20"/>
          <w:lang w:eastAsia="en-GB"/>
        </w:rPr>
      </w:pPr>
      <w:r>
        <w:rPr>
          <w:rFonts w:ascii="Arial" w:eastAsia="Times New Roman" w:hAnsi="Arial" w:cs="Arial"/>
          <w:sz w:val="20"/>
          <w:szCs w:val="20"/>
          <w:lang w:eastAsia="en-GB"/>
        </w:rPr>
        <w:t>Ameen, N., Hosany, S., Tarhini, A. (2021), “</w:t>
      </w:r>
      <w:r w:rsidRPr="009E2CAC">
        <w:rPr>
          <w:rFonts w:ascii="Arial" w:eastAsia="Times New Roman" w:hAnsi="Arial" w:cs="Arial"/>
          <w:sz w:val="20"/>
          <w:szCs w:val="20"/>
          <w:lang w:eastAsia="en-GB"/>
        </w:rPr>
        <w:t>Consumer interaction with cutting-edge technologies:</w:t>
      </w:r>
      <w:r>
        <w:rPr>
          <w:rFonts w:ascii="Arial" w:eastAsia="Times New Roman" w:hAnsi="Arial" w:cs="Arial"/>
          <w:sz w:val="20"/>
          <w:szCs w:val="20"/>
          <w:lang w:eastAsia="en-GB"/>
        </w:rPr>
        <w:t xml:space="preserve"> </w:t>
      </w:r>
      <w:r w:rsidRPr="009E2CAC">
        <w:rPr>
          <w:rFonts w:ascii="Arial" w:eastAsia="Times New Roman" w:hAnsi="Arial" w:cs="Arial"/>
          <w:sz w:val="20"/>
          <w:szCs w:val="20"/>
          <w:lang w:eastAsia="en-GB"/>
        </w:rPr>
        <w:t>Trends and implications for future research</w:t>
      </w:r>
      <w:r>
        <w:rPr>
          <w:rFonts w:ascii="Arial" w:eastAsia="Times New Roman" w:hAnsi="Arial" w:cs="Arial"/>
          <w:sz w:val="20"/>
          <w:szCs w:val="20"/>
          <w:lang w:eastAsia="en-GB"/>
        </w:rPr>
        <w:t xml:space="preserve">”, </w:t>
      </w:r>
      <w:r w:rsidRPr="001B6CBB">
        <w:rPr>
          <w:rFonts w:ascii="Arial" w:eastAsia="Times New Roman" w:hAnsi="Arial" w:cs="Arial"/>
          <w:i/>
          <w:iCs/>
          <w:sz w:val="20"/>
          <w:szCs w:val="20"/>
          <w:lang w:eastAsia="en-GB"/>
        </w:rPr>
        <w:t>Computers in Human Behavior</w:t>
      </w:r>
      <w:r>
        <w:rPr>
          <w:rFonts w:ascii="Arial" w:eastAsia="Times New Roman" w:hAnsi="Arial" w:cs="Arial"/>
          <w:sz w:val="20"/>
          <w:szCs w:val="20"/>
          <w:lang w:eastAsia="en-GB"/>
        </w:rPr>
        <w:t xml:space="preserve">, </w:t>
      </w:r>
      <w:r w:rsidRPr="009E2CAC">
        <w:rPr>
          <w:rFonts w:ascii="Arial" w:eastAsia="Times New Roman" w:hAnsi="Arial" w:cs="Arial"/>
          <w:sz w:val="20"/>
          <w:szCs w:val="20"/>
          <w:lang w:eastAsia="en-GB"/>
        </w:rPr>
        <w:t>https://doi.org/10.1016/j.chb.2021.106761</w:t>
      </w:r>
      <w:r>
        <w:rPr>
          <w:rFonts w:ascii="Arial" w:eastAsia="Times New Roman" w:hAnsi="Arial" w:cs="Arial"/>
          <w:sz w:val="20"/>
          <w:szCs w:val="20"/>
          <w:lang w:eastAsia="en-GB"/>
        </w:rPr>
        <w:t>.</w:t>
      </w:r>
    </w:p>
    <w:p w14:paraId="27C0D889" w14:textId="16388018" w:rsidR="00A506F7" w:rsidRPr="00482722" w:rsidRDefault="00A506F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Ameen, N., Tarhini, A., Reppel, A. and Anand, A. (2020a)</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Customer experiences in the age of artificial intelligence</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Computers in Human Behavior</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114, p.106548.</w:t>
      </w:r>
    </w:p>
    <w:p w14:paraId="29319A32" w14:textId="6233DD75" w:rsidR="00A506F7" w:rsidRPr="00482722" w:rsidRDefault="00A506F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Ameen, N., Tarhini, A., Shah, M.H. and Nusair, K. (2020b)</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 cross cultural study of gender differences in omnichannel retailing contexts</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Journal of Retailing and Consumer Services</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58, p.102265.</w:t>
      </w:r>
    </w:p>
    <w:p w14:paraId="64817BE1" w14:textId="322F15ED" w:rsidR="00B755FB" w:rsidRPr="00482722" w:rsidRDefault="00B755FB"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Anderson, J.</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Gerbing, D.</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W.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1988</w:t>
      </w:r>
      <w:r w:rsidR="00C62D41"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Structural equation modeling in practice: A review and recommended two-step approach</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Psychological </w:t>
      </w:r>
      <w:r w:rsidR="00C62D41" w:rsidRPr="00482722">
        <w:rPr>
          <w:rFonts w:ascii="Arial" w:eastAsia="Times New Roman" w:hAnsi="Arial" w:cs="Arial"/>
          <w:i/>
          <w:sz w:val="20"/>
          <w:szCs w:val="20"/>
          <w:lang w:eastAsia="en-GB"/>
        </w:rPr>
        <w:t>B</w:t>
      </w:r>
      <w:r w:rsidRPr="00482722">
        <w:rPr>
          <w:rFonts w:ascii="Arial" w:eastAsia="Times New Roman" w:hAnsi="Arial" w:cs="Arial"/>
          <w:i/>
          <w:sz w:val="20"/>
          <w:szCs w:val="20"/>
          <w:lang w:eastAsia="en-GB"/>
        </w:rPr>
        <w:t>ulletin</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103</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3</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411-423.</w:t>
      </w:r>
    </w:p>
    <w:p w14:paraId="7DC9D1B3"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Anderson, J.C. and Gerbing, D.W. (1992), “Assumptions and comparative strengths of the two-step approach comment on Fornell and Yi”, </w:t>
      </w:r>
      <w:r w:rsidRPr="00482722">
        <w:rPr>
          <w:rFonts w:ascii="Arial" w:eastAsia="Times New Roman" w:hAnsi="Arial" w:cs="Arial"/>
          <w:i/>
          <w:iCs/>
          <w:sz w:val="20"/>
          <w:szCs w:val="20"/>
          <w:lang w:eastAsia="en-GB"/>
        </w:rPr>
        <w:t>Sociological Methods &amp; Research</w:t>
      </w:r>
      <w:r w:rsidRPr="00482722">
        <w:rPr>
          <w:rFonts w:ascii="Arial" w:eastAsia="Times New Roman" w:hAnsi="Arial" w:cs="Arial"/>
          <w:sz w:val="20"/>
          <w:szCs w:val="20"/>
          <w:lang w:eastAsia="en-GB"/>
        </w:rPr>
        <w:t>, Vol. 20 No. 3, pp. 321-333.</w:t>
      </w:r>
    </w:p>
    <w:p w14:paraId="567A56E8" w14:textId="57A5C226"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Anderson, R.</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Srinivasan, S.</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S.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2003</w:t>
      </w:r>
      <w:r w:rsidR="00C62D41"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w:t>
      </w:r>
      <w:r w:rsidRPr="00482722">
        <w:rPr>
          <w:rFonts w:ascii="Cambria Math" w:eastAsia="Times New Roman" w:hAnsi="Cambria Math" w:cs="Cambria Math"/>
          <w:sz w:val="20"/>
          <w:szCs w:val="20"/>
          <w:lang w:eastAsia="en-GB"/>
        </w:rPr>
        <w:t>‐</w:t>
      </w:r>
      <w:r w:rsidRPr="00482722">
        <w:rPr>
          <w:rFonts w:ascii="Arial" w:eastAsia="Times New Roman" w:hAnsi="Arial" w:cs="Arial"/>
          <w:sz w:val="20"/>
          <w:szCs w:val="20"/>
          <w:lang w:eastAsia="en-GB"/>
        </w:rPr>
        <w:t>satisfaction and e</w:t>
      </w:r>
      <w:r w:rsidRPr="00482722">
        <w:rPr>
          <w:rFonts w:ascii="Cambria Math" w:eastAsia="Times New Roman" w:hAnsi="Cambria Math" w:cs="Cambria Math"/>
          <w:sz w:val="20"/>
          <w:szCs w:val="20"/>
          <w:lang w:eastAsia="en-GB"/>
        </w:rPr>
        <w:t>‐</w:t>
      </w:r>
      <w:r w:rsidRPr="00482722">
        <w:rPr>
          <w:rFonts w:ascii="Arial" w:eastAsia="Times New Roman" w:hAnsi="Arial" w:cs="Arial"/>
          <w:sz w:val="20"/>
          <w:szCs w:val="20"/>
          <w:lang w:eastAsia="en-GB"/>
        </w:rPr>
        <w:t>loyalty: A contingency framework</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Psychology </w:t>
      </w:r>
      <w:r w:rsidR="002D35B9" w:rsidRPr="00482722">
        <w:rPr>
          <w:rFonts w:ascii="Arial" w:eastAsia="Times New Roman" w:hAnsi="Arial" w:cs="Arial"/>
          <w:i/>
          <w:sz w:val="20"/>
          <w:szCs w:val="20"/>
          <w:lang w:eastAsia="en-GB"/>
        </w:rPr>
        <w:t>and</w:t>
      </w:r>
      <w:r w:rsidRPr="00482722">
        <w:rPr>
          <w:rFonts w:ascii="Arial" w:eastAsia="Times New Roman" w:hAnsi="Arial" w:cs="Arial"/>
          <w:i/>
          <w:sz w:val="20"/>
          <w:szCs w:val="20"/>
          <w:lang w:eastAsia="en-GB"/>
        </w:rPr>
        <w:t xml:space="preserve"> </w:t>
      </w:r>
      <w:r w:rsidR="00C62D41"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arketing,</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20</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2</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123-138.</w:t>
      </w:r>
    </w:p>
    <w:p w14:paraId="2E64D8E6" w14:textId="48D6E4DB"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Asteriou D</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S</w:t>
      </w:r>
      <w:r w:rsidR="00C62D41"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G</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Hall. </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2007</w:t>
      </w:r>
      <w:r w:rsidR="00C62D41"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Applied Econometrics: </w:t>
      </w:r>
      <w:r w:rsidR="00C62D41" w:rsidRPr="00482722">
        <w:rPr>
          <w:rFonts w:ascii="Arial" w:eastAsia="Times New Roman" w:hAnsi="Arial" w:cs="Arial"/>
          <w:i/>
          <w:sz w:val="20"/>
          <w:szCs w:val="20"/>
          <w:lang w:eastAsia="en-GB"/>
        </w:rPr>
        <w:t>A</w:t>
      </w:r>
      <w:r w:rsidRPr="00482722">
        <w:rPr>
          <w:rFonts w:ascii="Arial" w:eastAsia="Times New Roman" w:hAnsi="Arial" w:cs="Arial"/>
          <w:i/>
          <w:sz w:val="20"/>
          <w:szCs w:val="20"/>
          <w:lang w:eastAsia="en-GB"/>
        </w:rPr>
        <w:t xml:space="preserve"> modern approach, Revised Edition</w:t>
      </w:r>
      <w:r w:rsidRPr="00482722">
        <w:rPr>
          <w:rFonts w:ascii="Arial" w:eastAsia="Times New Roman" w:hAnsi="Arial" w:cs="Arial"/>
          <w:sz w:val="20"/>
          <w:szCs w:val="20"/>
          <w:lang w:eastAsia="en-GB"/>
        </w:rPr>
        <w:t>, Hampshire: Palgrave Macmillan.</w:t>
      </w:r>
    </w:p>
    <w:p w14:paraId="3610D2FE"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Astrachan, C.B., Patel, V.K. and Wanzenried, G., (2014), “A comparative study of CB-SEM and PLS-SEM for theory development in family firm research”, </w:t>
      </w:r>
      <w:r w:rsidRPr="00482722">
        <w:rPr>
          <w:rFonts w:ascii="Arial" w:eastAsia="Times New Roman" w:hAnsi="Arial" w:cs="Arial"/>
          <w:i/>
          <w:iCs/>
          <w:sz w:val="20"/>
          <w:szCs w:val="20"/>
          <w:lang w:eastAsia="en-GB"/>
        </w:rPr>
        <w:t>Journal of Family Business Strategy</w:t>
      </w:r>
      <w:r w:rsidRPr="00482722">
        <w:rPr>
          <w:rFonts w:ascii="Arial" w:eastAsia="Times New Roman" w:hAnsi="Arial" w:cs="Arial"/>
          <w:sz w:val="20"/>
          <w:szCs w:val="20"/>
          <w:lang w:eastAsia="en-GB"/>
        </w:rPr>
        <w:t>, Vol. 5 No. 1, pp. 116-128.</w:t>
      </w:r>
    </w:p>
    <w:p w14:paraId="52F7D7AE" w14:textId="4346C692" w:rsidR="00806497" w:rsidRPr="00482722" w:rsidRDefault="0080649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Basahel, A.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Yamin, M. (2017)</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Measuring success of e-government of Saudi Arabia</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International Journal of Information Technology</w:t>
      </w:r>
      <w:r w:rsidRPr="00482722">
        <w:rPr>
          <w:rFonts w:ascii="Arial" w:eastAsia="Times New Roman" w:hAnsi="Arial" w:cs="Arial"/>
          <w:sz w:val="20"/>
          <w:szCs w:val="20"/>
          <w:lang w:eastAsia="en-GB"/>
        </w:rPr>
        <w:t xml:space="preserve">,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9</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3</w:t>
      </w:r>
      <w:r w:rsidR="007A651E"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pp.287-293.</w:t>
      </w:r>
    </w:p>
    <w:p w14:paraId="0CB4705C" w14:textId="37946E4C" w:rsidR="00A13197" w:rsidRPr="00482722" w:rsidRDefault="00A1319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Bagozzi, R. P.,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Yi, Y. (1988)</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On the evaluation of structural equation models</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the Academy of Marketing Science</w:t>
      </w:r>
      <w:r w:rsidRPr="00482722">
        <w:rPr>
          <w:rFonts w:ascii="Arial" w:eastAsia="Times New Roman" w:hAnsi="Arial" w:cs="Arial"/>
          <w:iCs/>
          <w:sz w:val="20"/>
          <w:szCs w:val="20"/>
          <w:lang w:eastAsia="en-GB"/>
        </w:rPr>
        <w:t>, </w:t>
      </w:r>
      <w:r w:rsidR="007A651E" w:rsidRPr="00482722">
        <w:rPr>
          <w:rFonts w:ascii="Arial" w:eastAsia="Times New Roman" w:hAnsi="Arial" w:cs="Arial"/>
          <w:iCs/>
          <w:sz w:val="20"/>
          <w:szCs w:val="20"/>
          <w:lang w:eastAsia="en-GB"/>
        </w:rPr>
        <w:t xml:space="preserve">Vol. </w:t>
      </w:r>
      <w:r w:rsidR="005A4593" w:rsidRPr="00482722">
        <w:rPr>
          <w:rFonts w:ascii="Arial" w:eastAsia="Times New Roman" w:hAnsi="Arial" w:cs="Arial"/>
          <w:iCs/>
          <w:sz w:val="20"/>
          <w:szCs w:val="20"/>
          <w:lang w:eastAsia="en-GB"/>
        </w:rPr>
        <w:t>16</w:t>
      </w:r>
      <w:r w:rsidR="007A651E" w:rsidRPr="00482722">
        <w:rPr>
          <w:rFonts w:ascii="Arial" w:eastAsia="Times New Roman" w:hAnsi="Arial" w:cs="Arial"/>
          <w:iCs/>
          <w:sz w:val="20"/>
          <w:szCs w:val="20"/>
          <w:lang w:eastAsia="en-GB"/>
        </w:rPr>
        <w:t xml:space="preserve"> No. </w:t>
      </w:r>
      <w:r w:rsidR="005A4593" w:rsidRPr="00482722">
        <w:rPr>
          <w:rFonts w:ascii="Arial" w:eastAsia="Times New Roman" w:hAnsi="Arial" w:cs="Arial"/>
          <w:iCs/>
          <w:sz w:val="20"/>
          <w:szCs w:val="20"/>
          <w:lang w:eastAsia="en-GB"/>
        </w:rPr>
        <w:t>1</w:t>
      </w:r>
      <w:r w:rsidR="007A651E" w:rsidRPr="00482722">
        <w:rPr>
          <w:rFonts w:ascii="Arial" w:eastAsia="Times New Roman" w:hAnsi="Arial" w:cs="Arial"/>
          <w:iCs/>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74-94.</w:t>
      </w:r>
    </w:p>
    <w:p w14:paraId="56F411DD"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Bandalos, D.L., (2002). “The effects of item parceling on goodness-of-fit and parameter estimate bias in structural equation modeling”, </w:t>
      </w:r>
      <w:r w:rsidRPr="00482722">
        <w:rPr>
          <w:rFonts w:ascii="Arial" w:eastAsia="Times New Roman" w:hAnsi="Arial" w:cs="Arial"/>
          <w:i/>
          <w:iCs/>
          <w:sz w:val="20"/>
          <w:szCs w:val="20"/>
          <w:lang w:eastAsia="en-GB"/>
        </w:rPr>
        <w:t>Structural equation modeling</w:t>
      </w:r>
      <w:r w:rsidRPr="00482722">
        <w:rPr>
          <w:rFonts w:ascii="Arial" w:eastAsia="Times New Roman" w:hAnsi="Arial" w:cs="Arial"/>
          <w:sz w:val="20"/>
          <w:szCs w:val="20"/>
          <w:lang w:eastAsia="en-GB"/>
        </w:rPr>
        <w:t>, 9(1), pp.78-102.</w:t>
      </w:r>
    </w:p>
    <w:p w14:paraId="09D57AEB" w14:textId="27392F68"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Bélanger, F.</w:t>
      </w:r>
      <w:r w:rsidR="00AA4009"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Carter, L.</w:t>
      </w:r>
      <w:r w:rsidR="00AA400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2008</w:t>
      </w:r>
      <w:r w:rsidR="00AA4009"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Trust and risk in e-government adoption</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The Journal of Strategic Information Systems</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17</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2</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165-176.</w:t>
      </w:r>
    </w:p>
    <w:p w14:paraId="5DD947A3" w14:textId="7CD25474"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Beldad, A., van der Geest, T., de Jong, M.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Steehouder, M., </w:t>
      </w:r>
      <w:r w:rsidR="004672A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2012</w:t>
      </w:r>
      <w:r w:rsidR="004672AA"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 cue or two and I'll trust you: Determinants of trust in government organizations in terms of their processing and usage of citizens' personal information disclosed online</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Government </w:t>
      </w:r>
      <w:r w:rsidR="00243B05" w:rsidRPr="00482722">
        <w:rPr>
          <w:rFonts w:ascii="Arial" w:eastAsia="Times New Roman" w:hAnsi="Arial" w:cs="Arial"/>
          <w:i/>
          <w:sz w:val="20"/>
          <w:szCs w:val="20"/>
          <w:lang w:eastAsia="en-GB"/>
        </w:rPr>
        <w:t>I</w:t>
      </w:r>
      <w:r w:rsidRPr="00482722">
        <w:rPr>
          <w:rFonts w:ascii="Arial" w:eastAsia="Times New Roman" w:hAnsi="Arial" w:cs="Arial"/>
          <w:i/>
          <w:sz w:val="20"/>
          <w:szCs w:val="20"/>
          <w:lang w:eastAsia="en-GB"/>
        </w:rPr>
        <w:t xml:space="preserve">nformation </w:t>
      </w:r>
      <w:r w:rsidR="00243B05" w:rsidRPr="00482722">
        <w:rPr>
          <w:rFonts w:ascii="Arial" w:eastAsia="Times New Roman" w:hAnsi="Arial" w:cs="Arial"/>
          <w:i/>
          <w:sz w:val="20"/>
          <w:szCs w:val="20"/>
          <w:lang w:eastAsia="en-GB"/>
        </w:rPr>
        <w:t>Q</w:t>
      </w:r>
      <w:r w:rsidRPr="00482722">
        <w:rPr>
          <w:rFonts w:ascii="Arial" w:eastAsia="Times New Roman" w:hAnsi="Arial" w:cs="Arial"/>
          <w:i/>
          <w:sz w:val="20"/>
          <w:szCs w:val="20"/>
          <w:lang w:eastAsia="en-GB"/>
        </w:rPr>
        <w:t>uarterly,</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29</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41-49.</w:t>
      </w:r>
    </w:p>
    <w:p w14:paraId="41A99EB4" w14:textId="2AB86160" w:rsidR="00A13197" w:rsidRPr="00482722" w:rsidRDefault="00A1319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Bilgihan, A.</w:t>
      </w:r>
      <w:r w:rsidR="002D626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2016</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Gen Y customer loyalty in online shopping: An integrated model of trust, user experience and branding</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Computers in Human Behavior</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61, pp.103-113.</w:t>
      </w:r>
    </w:p>
    <w:p w14:paraId="6766A569" w14:textId="777D4E48" w:rsidR="00EE5E08" w:rsidRPr="00482722" w:rsidRDefault="00EE5E08"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Bhattacherjee, A.</w:t>
      </w:r>
      <w:r w:rsidR="002D626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2001</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Understanding information systems continuance: an expectation-confirmation model</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MIS quarterly</w:t>
      </w:r>
      <w:r w:rsidRPr="00482722">
        <w:rPr>
          <w:rFonts w:ascii="Arial" w:eastAsia="Times New Roman" w:hAnsi="Arial" w:cs="Arial"/>
          <w:sz w:val="20"/>
          <w:szCs w:val="20"/>
          <w:lang w:eastAsia="en-GB"/>
        </w:rPr>
        <w:t xml:space="preserve">, </w:t>
      </w:r>
      <w:r w:rsidR="00501A26" w:rsidRPr="00482722">
        <w:rPr>
          <w:rFonts w:ascii="Arial" w:eastAsia="Times New Roman" w:hAnsi="Arial" w:cs="Arial"/>
          <w:sz w:val="20"/>
          <w:szCs w:val="20"/>
          <w:lang w:eastAsia="en-GB"/>
        </w:rPr>
        <w:t xml:space="preserve">Vol. 25 No. 3, </w:t>
      </w:r>
      <w:r w:rsidRPr="00482722">
        <w:rPr>
          <w:rFonts w:ascii="Arial" w:eastAsia="Times New Roman" w:hAnsi="Arial" w:cs="Arial"/>
          <w:sz w:val="20"/>
          <w:szCs w:val="20"/>
          <w:lang w:eastAsia="en-GB"/>
        </w:rPr>
        <w:t>pp.351-370.</w:t>
      </w:r>
    </w:p>
    <w:p w14:paraId="10BD111D" w14:textId="6B959E33" w:rsidR="003025B1" w:rsidRPr="00482722" w:rsidRDefault="003025B1"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Brown, S.</w:t>
      </w:r>
      <w:r w:rsidR="00AA400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A., Venkatesh, V., Kuruzovich, J.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Massey, A.</w:t>
      </w:r>
      <w:r w:rsidR="002D626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P. </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2008</w:t>
      </w:r>
      <w:r w:rsidR="00AA4009"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Expectation confirmation: An examination of three competing models</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Organizational Behavior and Human Decision Processes</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105</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105(1),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52-66.</w:t>
      </w:r>
    </w:p>
    <w:p w14:paraId="16DA2103" w14:textId="6E0F9B28" w:rsidR="00FA7A9A" w:rsidRPr="00482722" w:rsidRDefault="00FA7A9A"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Brislin, R. W. (1970)</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Back-translation for cross-cultural research</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Journal of Cross-Cultural Psychology</w:t>
      </w:r>
      <w:r w:rsidRPr="00482722">
        <w:rPr>
          <w:rFonts w:ascii="Arial" w:eastAsia="Times New Roman" w:hAnsi="Arial" w:cs="Arial"/>
          <w:sz w:val="20"/>
          <w:szCs w:val="20"/>
          <w:lang w:eastAsia="en-GB"/>
        </w:rPr>
        <w:t xml:space="preserve">,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3</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pp.</w:t>
      </w:r>
      <w:r w:rsidRPr="00482722">
        <w:rPr>
          <w:rFonts w:ascii="Arial" w:eastAsia="Times New Roman" w:hAnsi="Arial" w:cs="Arial"/>
          <w:sz w:val="20"/>
          <w:szCs w:val="20"/>
          <w:lang w:eastAsia="en-GB"/>
        </w:rPr>
        <w:t>185-216.</w:t>
      </w:r>
    </w:p>
    <w:p w14:paraId="40464FDD" w14:textId="23CA4EB6" w:rsidR="00B755FB" w:rsidRPr="00482722" w:rsidRDefault="00B755FB"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Byrne, B. M. </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2001</w:t>
      </w:r>
      <w:r w:rsidR="00AA4009" w:rsidRPr="00482722">
        <w:rPr>
          <w:rFonts w:ascii="Arial" w:eastAsia="Times New Roman" w:hAnsi="Arial" w:cs="Arial"/>
          <w:sz w:val="20"/>
          <w:szCs w:val="20"/>
          <w:lang w:eastAsia="en-GB"/>
        </w:rPr>
        <w:t>)</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Structural </w:t>
      </w:r>
      <w:r w:rsidR="00AA4009" w:rsidRPr="00482722">
        <w:rPr>
          <w:rFonts w:ascii="Arial" w:eastAsia="Times New Roman" w:hAnsi="Arial" w:cs="Arial"/>
          <w:sz w:val="20"/>
          <w:szCs w:val="20"/>
          <w:lang w:eastAsia="en-GB"/>
        </w:rPr>
        <w:t>e</w:t>
      </w:r>
      <w:r w:rsidRPr="00482722">
        <w:rPr>
          <w:rFonts w:ascii="Arial" w:eastAsia="Times New Roman" w:hAnsi="Arial" w:cs="Arial"/>
          <w:sz w:val="20"/>
          <w:szCs w:val="20"/>
          <w:lang w:eastAsia="en-GB"/>
        </w:rPr>
        <w:t xml:space="preserve">quation </w:t>
      </w:r>
      <w:r w:rsidR="00AA4009" w:rsidRPr="00482722">
        <w:rPr>
          <w:rFonts w:ascii="Arial" w:eastAsia="Times New Roman" w:hAnsi="Arial" w:cs="Arial"/>
          <w:sz w:val="20"/>
          <w:szCs w:val="20"/>
          <w:lang w:eastAsia="en-GB"/>
        </w:rPr>
        <w:t>m</w:t>
      </w:r>
      <w:r w:rsidRPr="00482722">
        <w:rPr>
          <w:rFonts w:ascii="Arial" w:eastAsia="Times New Roman" w:hAnsi="Arial" w:cs="Arial"/>
          <w:sz w:val="20"/>
          <w:szCs w:val="20"/>
          <w:lang w:eastAsia="en-GB"/>
        </w:rPr>
        <w:t>ode</w:t>
      </w:r>
      <w:r w:rsidR="00AA4009" w:rsidRPr="00482722">
        <w:rPr>
          <w:rFonts w:ascii="Arial" w:eastAsia="Times New Roman" w:hAnsi="Arial" w:cs="Arial"/>
          <w:sz w:val="20"/>
          <w:szCs w:val="20"/>
          <w:lang w:eastAsia="en-GB"/>
        </w:rPr>
        <w:t>l</w:t>
      </w:r>
      <w:r w:rsidRPr="00482722">
        <w:rPr>
          <w:rFonts w:ascii="Arial" w:eastAsia="Times New Roman" w:hAnsi="Arial" w:cs="Arial"/>
          <w:sz w:val="20"/>
          <w:szCs w:val="20"/>
          <w:lang w:eastAsia="en-GB"/>
        </w:rPr>
        <w:t xml:space="preserve">ling </w:t>
      </w:r>
      <w:r w:rsidR="00AA4009" w:rsidRPr="00482722">
        <w:rPr>
          <w:rFonts w:ascii="Arial" w:eastAsia="Times New Roman" w:hAnsi="Arial" w:cs="Arial"/>
          <w:sz w:val="20"/>
          <w:szCs w:val="20"/>
          <w:lang w:eastAsia="en-GB"/>
        </w:rPr>
        <w:t>w</w:t>
      </w:r>
      <w:r w:rsidRPr="00482722">
        <w:rPr>
          <w:rFonts w:ascii="Arial" w:eastAsia="Times New Roman" w:hAnsi="Arial" w:cs="Arial"/>
          <w:sz w:val="20"/>
          <w:szCs w:val="20"/>
          <w:lang w:eastAsia="en-GB"/>
        </w:rPr>
        <w:t xml:space="preserve">ith AMOS, EQS, and LISREL: Comparative </w:t>
      </w:r>
      <w:r w:rsidR="00AA4009" w:rsidRPr="00482722">
        <w:rPr>
          <w:rFonts w:ascii="Arial" w:eastAsia="Times New Roman" w:hAnsi="Arial" w:cs="Arial"/>
          <w:sz w:val="20"/>
          <w:szCs w:val="20"/>
          <w:lang w:eastAsia="en-GB"/>
        </w:rPr>
        <w:t>a</w:t>
      </w:r>
      <w:r w:rsidRPr="00482722">
        <w:rPr>
          <w:rFonts w:ascii="Arial" w:eastAsia="Times New Roman" w:hAnsi="Arial" w:cs="Arial"/>
          <w:sz w:val="20"/>
          <w:szCs w:val="20"/>
          <w:lang w:eastAsia="en-GB"/>
        </w:rPr>
        <w:t xml:space="preserve">pproaches to </w:t>
      </w:r>
      <w:r w:rsidR="00AA4009" w:rsidRPr="00482722">
        <w:rPr>
          <w:rFonts w:ascii="Arial" w:eastAsia="Times New Roman" w:hAnsi="Arial" w:cs="Arial"/>
          <w:sz w:val="20"/>
          <w:szCs w:val="20"/>
          <w:lang w:eastAsia="en-GB"/>
        </w:rPr>
        <w:t>t</w:t>
      </w:r>
      <w:r w:rsidRPr="00482722">
        <w:rPr>
          <w:rFonts w:ascii="Arial" w:eastAsia="Times New Roman" w:hAnsi="Arial" w:cs="Arial"/>
          <w:sz w:val="20"/>
          <w:szCs w:val="20"/>
          <w:lang w:eastAsia="en-GB"/>
        </w:rPr>
        <w:t xml:space="preserve">esting for the </w:t>
      </w:r>
      <w:r w:rsidR="00AA4009" w:rsidRPr="00482722">
        <w:rPr>
          <w:rFonts w:ascii="Arial" w:eastAsia="Times New Roman" w:hAnsi="Arial" w:cs="Arial"/>
          <w:sz w:val="20"/>
          <w:szCs w:val="20"/>
          <w:lang w:eastAsia="en-GB"/>
        </w:rPr>
        <w:t>f</w:t>
      </w:r>
      <w:r w:rsidRPr="00482722">
        <w:rPr>
          <w:rFonts w:ascii="Arial" w:eastAsia="Times New Roman" w:hAnsi="Arial" w:cs="Arial"/>
          <w:sz w:val="20"/>
          <w:szCs w:val="20"/>
          <w:lang w:eastAsia="en-GB"/>
        </w:rPr>
        <w:t xml:space="preserve">actorial </w:t>
      </w:r>
      <w:r w:rsidR="00AA4009" w:rsidRPr="00482722">
        <w:rPr>
          <w:rFonts w:ascii="Arial" w:eastAsia="Times New Roman" w:hAnsi="Arial" w:cs="Arial"/>
          <w:sz w:val="20"/>
          <w:szCs w:val="20"/>
          <w:lang w:eastAsia="en-GB"/>
        </w:rPr>
        <w:t>v</w:t>
      </w:r>
      <w:r w:rsidRPr="00482722">
        <w:rPr>
          <w:rFonts w:ascii="Arial" w:eastAsia="Times New Roman" w:hAnsi="Arial" w:cs="Arial"/>
          <w:sz w:val="20"/>
          <w:szCs w:val="20"/>
          <w:lang w:eastAsia="en-GB"/>
        </w:rPr>
        <w:t xml:space="preserve">alidity of a </w:t>
      </w:r>
      <w:r w:rsidR="00AA4009" w:rsidRPr="00482722">
        <w:rPr>
          <w:rFonts w:ascii="Arial" w:eastAsia="Times New Roman" w:hAnsi="Arial" w:cs="Arial"/>
          <w:sz w:val="20"/>
          <w:szCs w:val="20"/>
          <w:lang w:eastAsia="en-GB"/>
        </w:rPr>
        <w:t>m</w:t>
      </w:r>
      <w:r w:rsidRPr="00482722">
        <w:rPr>
          <w:rFonts w:ascii="Arial" w:eastAsia="Times New Roman" w:hAnsi="Arial" w:cs="Arial"/>
          <w:sz w:val="20"/>
          <w:szCs w:val="20"/>
          <w:lang w:eastAsia="en-GB"/>
        </w:rPr>
        <w:t xml:space="preserve">easuring </w:t>
      </w:r>
      <w:r w:rsidR="00AA4009" w:rsidRPr="00482722">
        <w:rPr>
          <w:rFonts w:ascii="Arial" w:eastAsia="Times New Roman" w:hAnsi="Arial" w:cs="Arial"/>
          <w:sz w:val="20"/>
          <w:szCs w:val="20"/>
          <w:lang w:eastAsia="en-GB"/>
        </w:rPr>
        <w:t>i</w:t>
      </w:r>
      <w:r w:rsidRPr="00482722">
        <w:rPr>
          <w:rFonts w:ascii="Arial" w:eastAsia="Times New Roman" w:hAnsi="Arial" w:cs="Arial"/>
          <w:sz w:val="20"/>
          <w:szCs w:val="20"/>
          <w:lang w:eastAsia="en-GB"/>
        </w:rPr>
        <w:t>nstrument</w:t>
      </w:r>
      <w:r w:rsidR="00657AC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International Journal of Testing,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No.</w:t>
      </w:r>
      <w:r w:rsidR="005A459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w:t>
      </w:r>
      <w:r w:rsidR="002D626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55-86.</w:t>
      </w:r>
    </w:p>
    <w:p w14:paraId="0FFAF576" w14:textId="65B66517" w:rsidR="00EB72DE" w:rsidRPr="00482722" w:rsidRDefault="00EB72D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Cao, X., Yu, L., Liu, Z., Gong, M. and Adeel, L. (2018)</w:t>
      </w:r>
      <w:r w:rsidR="002D626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Understanding mobile payment users’ continuance intention: a trust transfer perspective</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Internet Research</w:t>
      </w:r>
      <w:r w:rsidRPr="00482722">
        <w:rPr>
          <w:rFonts w:ascii="Arial" w:eastAsia="Times New Roman" w:hAnsi="Arial" w:cs="Arial"/>
          <w:sz w:val="20"/>
          <w:szCs w:val="20"/>
          <w:lang w:eastAsia="en-GB"/>
        </w:rPr>
        <w:t xml:space="preserve">, </w:t>
      </w:r>
      <w:r w:rsidR="007A651E" w:rsidRPr="00482722">
        <w:rPr>
          <w:rFonts w:ascii="Arial" w:eastAsia="Times New Roman" w:hAnsi="Arial" w:cs="Arial"/>
          <w:sz w:val="20"/>
          <w:szCs w:val="20"/>
          <w:lang w:eastAsia="en-GB"/>
        </w:rPr>
        <w:t xml:space="preserve">Vol. </w:t>
      </w:r>
      <w:r w:rsidR="005A4593" w:rsidRPr="00482722">
        <w:rPr>
          <w:rFonts w:ascii="Arial" w:eastAsia="Times New Roman" w:hAnsi="Arial" w:cs="Arial"/>
          <w:sz w:val="20"/>
          <w:szCs w:val="20"/>
          <w:lang w:eastAsia="en-GB"/>
        </w:rPr>
        <w:t>28</w:t>
      </w:r>
      <w:r w:rsidR="007A651E" w:rsidRPr="00482722">
        <w:rPr>
          <w:rFonts w:ascii="Arial" w:eastAsia="Times New Roman" w:hAnsi="Arial" w:cs="Arial"/>
          <w:sz w:val="20"/>
          <w:szCs w:val="20"/>
          <w:lang w:eastAsia="en-GB"/>
        </w:rPr>
        <w:t xml:space="preserve"> No. </w:t>
      </w:r>
      <w:r w:rsidR="005A4593" w:rsidRPr="00482722">
        <w:rPr>
          <w:rFonts w:ascii="Arial" w:eastAsia="Times New Roman" w:hAnsi="Arial" w:cs="Arial"/>
          <w:sz w:val="20"/>
          <w:szCs w:val="20"/>
          <w:lang w:eastAsia="en-GB"/>
        </w:rPr>
        <w:t>2</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456-476.</w:t>
      </w:r>
    </w:p>
    <w:p w14:paraId="6472B251" w14:textId="2C9A30DE"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Carter, L.</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Bélanger, F. </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2005</w:t>
      </w:r>
      <w:r w:rsidR="00AA400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utilization of e</w:t>
      </w:r>
      <w:r w:rsidRPr="00482722">
        <w:rPr>
          <w:rFonts w:ascii="Cambria Math" w:eastAsia="Times New Roman" w:hAnsi="Cambria Math" w:cs="Cambria Math"/>
          <w:sz w:val="20"/>
          <w:szCs w:val="20"/>
          <w:lang w:eastAsia="en-GB"/>
        </w:rPr>
        <w:t>‐</w:t>
      </w:r>
      <w:r w:rsidRPr="00482722">
        <w:rPr>
          <w:rFonts w:ascii="Arial" w:eastAsia="Times New Roman" w:hAnsi="Arial" w:cs="Arial"/>
          <w:sz w:val="20"/>
          <w:szCs w:val="20"/>
          <w:lang w:eastAsia="en-GB"/>
        </w:rPr>
        <w:t>government services: citizen trust, innovation and acceptance factors</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Information </w:t>
      </w:r>
      <w:r w:rsidR="00AA4009" w:rsidRPr="00482722">
        <w:rPr>
          <w:rFonts w:ascii="Arial" w:eastAsia="Times New Roman" w:hAnsi="Arial" w:cs="Arial"/>
          <w:i/>
          <w:iCs/>
          <w:sz w:val="20"/>
          <w:szCs w:val="20"/>
          <w:lang w:eastAsia="en-GB"/>
        </w:rPr>
        <w:t>S</w:t>
      </w:r>
      <w:r w:rsidRPr="00482722">
        <w:rPr>
          <w:rFonts w:ascii="Arial" w:eastAsia="Times New Roman" w:hAnsi="Arial" w:cs="Arial"/>
          <w:i/>
          <w:iCs/>
          <w:sz w:val="20"/>
          <w:szCs w:val="20"/>
          <w:lang w:eastAsia="en-GB"/>
        </w:rPr>
        <w:t xml:space="preserve">ystems </w:t>
      </w:r>
      <w:r w:rsidR="00AA4009" w:rsidRPr="00482722">
        <w:rPr>
          <w:rFonts w:ascii="Arial" w:eastAsia="Times New Roman" w:hAnsi="Arial" w:cs="Arial"/>
          <w:i/>
          <w:iCs/>
          <w:sz w:val="20"/>
          <w:szCs w:val="20"/>
          <w:lang w:eastAsia="en-GB"/>
        </w:rPr>
        <w:t>J</w:t>
      </w:r>
      <w:r w:rsidRPr="00482722">
        <w:rPr>
          <w:rFonts w:ascii="Arial" w:eastAsia="Times New Roman" w:hAnsi="Arial" w:cs="Arial"/>
          <w:i/>
          <w:iCs/>
          <w:sz w:val="20"/>
          <w:szCs w:val="20"/>
          <w:lang w:eastAsia="en-GB"/>
        </w:rPr>
        <w:t>ournal</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15</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pp.</w:t>
      </w:r>
      <w:r w:rsidRPr="00482722">
        <w:rPr>
          <w:rFonts w:ascii="Arial" w:eastAsia="Times New Roman" w:hAnsi="Arial" w:cs="Arial"/>
          <w:sz w:val="20"/>
          <w:szCs w:val="20"/>
          <w:lang w:eastAsia="en-GB"/>
        </w:rPr>
        <w:t xml:space="preserve"> 5-25.</w:t>
      </w:r>
    </w:p>
    <w:p w14:paraId="14639433" w14:textId="21510238" w:rsidR="00F34314" w:rsidRPr="00482722" w:rsidRDefault="00F34314"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Chan, F., Thong, J. Y., Venkatesh, V., Brown, S., Hu, P.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Tam, K. Y. (2010)</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Modeling citizen satisfaction with mandatory adoption of an e-government technology</w:t>
      </w:r>
      <w:r w:rsidR="00657AC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Journal of the Association for Information Systems</w:t>
      </w:r>
      <w:r w:rsidRPr="00482722">
        <w:rPr>
          <w:rFonts w:ascii="Arial" w:eastAsia="Times New Roman" w:hAnsi="Arial" w:cs="Arial"/>
          <w:sz w:val="20"/>
          <w:szCs w:val="20"/>
          <w:lang w:eastAsia="en-GB"/>
        </w:rPr>
        <w:t xml:space="preserve">,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11</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10</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519-549.</w:t>
      </w:r>
    </w:p>
    <w:p w14:paraId="375EED29" w14:textId="7F674E47" w:rsidR="003949EC" w:rsidRPr="00482722" w:rsidRDefault="003949EC"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Chatfield, A.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Alanazi, J. M.</w:t>
      </w:r>
      <w:r w:rsidR="00E4448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2013</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Service quality, citizen satisfaction, and loyalty with self-service delivery options to transforming e-government services. 24th Australasian Conference on Information Systems (pp. 1-11). Australia: RMIT University.</w:t>
      </w:r>
    </w:p>
    <w:p w14:paraId="1F2FAFE2" w14:textId="7E77826D"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Chiou, J.</w:t>
      </w:r>
      <w:r w:rsidR="00AA400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S. </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2004</w:t>
      </w:r>
      <w:r w:rsidR="00AA400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antecedents of consumers’ loyalty toward Internet service providers</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Information </w:t>
      </w:r>
      <w:r w:rsidR="002D35B9" w:rsidRPr="00482722">
        <w:rPr>
          <w:rFonts w:ascii="Arial" w:eastAsia="Times New Roman" w:hAnsi="Arial" w:cs="Arial"/>
          <w:i/>
          <w:sz w:val="20"/>
          <w:szCs w:val="20"/>
          <w:lang w:eastAsia="en-GB"/>
        </w:rPr>
        <w:t>and</w:t>
      </w:r>
      <w:r w:rsidRPr="00482722">
        <w:rPr>
          <w:rFonts w:ascii="Arial" w:eastAsia="Times New Roman" w:hAnsi="Arial" w:cs="Arial"/>
          <w:i/>
          <w:sz w:val="20"/>
          <w:szCs w:val="20"/>
          <w:lang w:eastAsia="en-GB"/>
        </w:rPr>
        <w:t xml:space="preserve"> Management,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41</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6</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685-695.</w:t>
      </w:r>
    </w:p>
    <w:p w14:paraId="2DBE60A5" w14:textId="2290B4CB" w:rsidR="00693B03" w:rsidRPr="00482722" w:rsidRDefault="00693B0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Choi, N.</w:t>
      </w:r>
      <w:r w:rsidR="00E4448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2015</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Information systems satisfaction, loyalty and attachment: conceptual and empirical differentiation</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Behaviour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Information Technology</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34</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261-272.</w:t>
      </w:r>
    </w:p>
    <w:p w14:paraId="037B3E82" w14:textId="43EC514D"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Connolly, R. </w:t>
      </w:r>
      <w:r w:rsidR="00AA400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2007</w:t>
      </w:r>
      <w:r w:rsidR="00AA400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Trust and the </w:t>
      </w:r>
      <w:r w:rsidR="00AA4009" w:rsidRPr="00482722">
        <w:rPr>
          <w:rFonts w:ascii="Arial" w:eastAsia="Times New Roman" w:hAnsi="Arial" w:cs="Arial"/>
          <w:sz w:val="20"/>
          <w:szCs w:val="20"/>
          <w:lang w:eastAsia="en-GB"/>
        </w:rPr>
        <w:t>t</w:t>
      </w:r>
      <w:r w:rsidRPr="00482722">
        <w:rPr>
          <w:rFonts w:ascii="Arial" w:eastAsia="Times New Roman" w:hAnsi="Arial" w:cs="Arial"/>
          <w:sz w:val="20"/>
          <w:szCs w:val="20"/>
          <w:lang w:eastAsia="en-GB"/>
        </w:rPr>
        <w:t xml:space="preserve">axman: </w:t>
      </w:r>
      <w:r w:rsidR="00AA4009" w:rsidRPr="00482722">
        <w:rPr>
          <w:rFonts w:ascii="Arial" w:eastAsia="Times New Roman" w:hAnsi="Arial" w:cs="Arial"/>
          <w:sz w:val="20"/>
          <w:szCs w:val="20"/>
          <w:lang w:eastAsia="en-GB"/>
        </w:rPr>
        <w:t>A</w:t>
      </w:r>
      <w:r w:rsidRPr="00482722">
        <w:rPr>
          <w:rFonts w:ascii="Arial" w:eastAsia="Times New Roman" w:hAnsi="Arial" w:cs="Arial"/>
          <w:sz w:val="20"/>
          <w:szCs w:val="20"/>
          <w:lang w:eastAsia="en-GB"/>
        </w:rPr>
        <w:t xml:space="preserve"> </w:t>
      </w:r>
      <w:r w:rsidR="00AA4009"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 xml:space="preserve">tudy of the Irish </w:t>
      </w:r>
      <w:r w:rsidR="00AA4009" w:rsidRPr="00482722">
        <w:rPr>
          <w:rFonts w:ascii="Arial" w:eastAsia="Times New Roman" w:hAnsi="Arial" w:cs="Arial"/>
          <w:sz w:val="20"/>
          <w:szCs w:val="20"/>
          <w:lang w:eastAsia="en-GB"/>
        </w:rPr>
        <w:t>r</w:t>
      </w:r>
      <w:r w:rsidRPr="00482722">
        <w:rPr>
          <w:rFonts w:ascii="Arial" w:eastAsia="Times New Roman" w:hAnsi="Arial" w:cs="Arial"/>
          <w:sz w:val="20"/>
          <w:szCs w:val="20"/>
          <w:lang w:eastAsia="en-GB"/>
        </w:rPr>
        <w:t xml:space="preserve">evenue's </w:t>
      </w:r>
      <w:r w:rsidR="00AA4009" w:rsidRPr="00482722">
        <w:rPr>
          <w:rFonts w:ascii="Arial" w:eastAsia="Times New Roman" w:hAnsi="Arial" w:cs="Arial"/>
          <w:sz w:val="20"/>
          <w:szCs w:val="20"/>
          <w:lang w:eastAsia="en-GB"/>
        </w:rPr>
        <w:t>w</w:t>
      </w:r>
      <w:r w:rsidRPr="00482722">
        <w:rPr>
          <w:rFonts w:ascii="Arial" w:eastAsia="Times New Roman" w:hAnsi="Arial" w:cs="Arial"/>
          <w:sz w:val="20"/>
          <w:szCs w:val="20"/>
          <w:lang w:eastAsia="en-GB"/>
        </w:rPr>
        <w:t xml:space="preserve">ebsite </w:t>
      </w:r>
      <w:r w:rsidR="00AA4009"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 xml:space="preserve">ervice </w:t>
      </w:r>
      <w:r w:rsidR="00AA4009" w:rsidRPr="00482722">
        <w:rPr>
          <w:rFonts w:ascii="Arial" w:eastAsia="Times New Roman" w:hAnsi="Arial" w:cs="Arial"/>
          <w:sz w:val="20"/>
          <w:szCs w:val="20"/>
          <w:lang w:eastAsia="en-GB"/>
        </w:rPr>
        <w:t>q</w:t>
      </w:r>
      <w:r w:rsidRPr="00482722">
        <w:rPr>
          <w:rFonts w:ascii="Arial" w:eastAsia="Times New Roman" w:hAnsi="Arial" w:cs="Arial"/>
          <w:sz w:val="20"/>
          <w:szCs w:val="20"/>
          <w:lang w:eastAsia="en-GB"/>
        </w:rPr>
        <w:t>uality</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Electronic Journal of e-Government,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5</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2</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127-134.</w:t>
      </w:r>
    </w:p>
    <w:p w14:paraId="3128BEA5" w14:textId="2E97C9EE" w:rsidR="00ED1A6F" w:rsidRPr="00482722" w:rsidRDefault="00ED1A6F"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Connolly, R., Bannister, F.,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Kearney, A. (2010)</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Government website service quality: a study of the Irish revenue online service</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European Journal of Information Systems</w:t>
      </w:r>
      <w:r w:rsidRPr="00482722">
        <w:rPr>
          <w:rFonts w:ascii="Arial" w:eastAsia="Times New Roman" w:hAnsi="Arial" w:cs="Arial"/>
          <w:sz w:val="20"/>
          <w:szCs w:val="20"/>
          <w:lang w:eastAsia="en-GB"/>
        </w:rPr>
        <w:t>,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19</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6</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649-667.</w:t>
      </w:r>
    </w:p>
    <w:p w14:paraId="2A19A6B1" w14:textId="637A7DD8"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Cyr, D., </w:t>
      </w:r>
      <w:r w:rsidR="004672A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2008</w:t>
      </w:r>
      <w:r w:rsidR="004672AA"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Model</w:t>
      </w:r>
      <w:r w:rsidR="00AA4009" w:rsidRPr="00482722">
        <w:rPr>
          <w:rFonts w:ascii="Arial" w:eastAsia="Times New Roman" w:hAnsi="Arial" w:cs="Arial"/>
          <w:sz w:val="20"/>
          <w:szCs w:val="20"/>
          <w:lang w:eastAsia="en-GB"/>
        </w:rPr>
        <w:t>l</w:t>
      </w:r>
      <w:r w:rsidRPr="00482722">
        <w:rPr>
          <w:rFonts w:ascii="Arial" w:eastAsia="Times New Roman" w:hAnsi="Arial" w:cs="Arial"/>
          <w:sz w:val="20"/>
          <w:szCs w:val="20"/>
          <w:lang w:eastAsia="en-GB"/>
        </w:rPr>
        <w:t xml:space="preserve">ing web site design across cultures: </w:t>
      </w:r>
      <w:r w:rsidR="00AA4009" w:rsidRPr="00482722">
        <w:rPr>
          <w:rFonts w:ascii="Arial" w:eastAsia="Times New Roman" w:hAnsi="Arial" w:cs="Arial"/>
          <w:sz w:val="20"/>
          <w:szCs w:val="20"/>
          <w:lang w:eastAsia="en-GB"/>
        </w:rPr>
        <w:t>R</w:t>
      </w:r>
      <w:r w:rsidRPr="00482722">
        <w:rPr>
          <w:rFonts w:ascii="Arial" w:eastAsia="Times New Roman" w:hAnsi="Arial" w:cs="Arial"/>
          <w:sz w:val="20"/>
          <w:szCs w:val="20"/>
          <w:lang w:eastAsia="en-GB"/>
        </w:rPr>
        <w:t>elationships to trust, satisfaction, and e-loyalty</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Management Information Systems, </w:t>
      </w:r>
      <w:r w:rsidR="007A651E"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24</w:t>
      </w:r>
      <w:r w:rsidR="007A651E"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4</w:t>
      </w:r>
      <w:r w:rsidR="007A651E"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47-72.</w:t>
      </w:r>
    </w:p>
    <w:p w14:paraId="4A1C9BBA" w14:textId="67D63D98" w:rsidR="00E80763" w:rsidRPr="00482722" w:rsidRDefault="00E8076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da Silva, L.A., Magnus, S., Silveira, M.S.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Maciel, C. (2013)</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Designing help system for e-GOV websites: A Brazilian case study</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Information Polity</w:t>
      </w:r>
      <w:r w:rsidRPr="00482722">
        <w:rPr>
          <w:rFonts w:ascii="Arial" w:eastAsia="Times New Roman" w:hAnsi="Arial" w:cs="Arial"/>
          <w:sz w:val="20"/>
          <w:szCs w:val="20"/>
          <w:lang w:eastAsia="en-GB"/>
        </w:rPr>
        <w:t xml:space="preserve">,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pp.261-274.</w:t>
      </w:r>
    </w:p>
    <w:p w14:paraId="1F0CF5E9" w14:textId="6D746DB4" w:rsidR="00FA7A9A" w:rsidRPr="00482722" w:rsidRDefault="00FA7A9A"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Davis, F. D. (1993)</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User acceptance of information technology: system characteristics, user perceptions and behavioral impacts</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International Journal of Man-Machine Studies</w:t>
      </w:r>
      <w:r w:rsidRPr="00482722">
        <w:rPr>
          <w:rFonts w:ascii="Arial" w:eastAsia="Times New Roman" w:hAnsi="Arial" w:cs="Arial"/>
          <w:sz w:val="20"/>
          <w:szCs w:val="20"/>
          <w:lang w:eastAsia="en-GB"/>
        </w:rPr>
        <w:t xml:space="preserve">,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475-487.</w:t>
      </w:r>
    </w:p>
    <w:p w14:paraId="60BCF79A" w14:textId="6D204074" w:rsidR="00714203" w:rsidRPr="00482722" w:rsidRDefault="0071420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Davison, R., Wagner, C.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Ma, L. (2005)</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From government to e</w:t>
      </w:r>
      <w:r w:rsidRPr="00482722">
        <w:rPr>
          <w:rFonts w:ascii="Cambria Math" w:eastAsia="Times New Roman" w:hAnsi="Cambria Math" w:cs="Cambria Math"/>
          <w:sz w:val="20"/>
          <w:szCs w:val="20"/>
          <w:lang w:eastAsia="en-GB"/>
        </w:rPr>
        <w:t>‐</w:t>
      </w:r>
      <w:r w:rsidRPr="00482722">
        <w:rPr>
          <w:rFonts w:ascii="Arial" w:eastAsia="Times New Roman" w:hAnsi="Arial" w:cs="Arial"/>
          <w:sz w:val="20"/>
          <w:szCs w:val="20"/>
          <w:lang w:eastAsia="en-GB"/>
        </w:rPr>
        <w:t>government: a transition model</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Information Technology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People</w:t>
      </w:r>
      <w:r w:rsidRPr="00482722">
        <w:rPr>
          <w:rFonts w:ascii="Arial" w:eastAsia="Times New Roman" w:hAnsi="Arial" w:cs="Arial"/>
          <w:sz w:val="20"/>
          <w:szCs w:val="20"/>
          <w:lang w:eastAsia="en-GB"/>
        </w:rPr>
        <w:t xml:space="preserve">,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280-299.</w:t>
      </w:r>
    </w:p>
    <w:p w14:paraId="3EEBF232" w14:textId="43DB6345" w:rsidR="00D067B6" w:rsidRPr="00482722" w:rsidRDefault="00D067B6"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DeLone, W. H.,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McLean, E. R. (2003)</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DeLone and McLean model of information systems success: A ten-year update</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Journal of Management Information Systems,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19</w:t>
      </w:r>
      <w:r w:rsidR="008B3AF9" w:rsidRPr="00482722">
        <w:rPr>
          <w:rFonts w:ascii="Arial" w:eastAsia="Times New Roman" w:hAnsi="Arial" w:cs="Arial"/>
          <w:sz w:val="20"/>
          <w:szCs w:val="20"/>
          <w:lang w:eastAsia="en-GB"/>
        </w:rPr>
        <w:t xml:space="preserve"> No. 4,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9-30.</w:t>
      </w:r>
    </w:p>
    <w:p w14:paraId="7EDA6F0C"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Doargajudhur, M.S. and Dell, P., (2019), “Impact of BYOD on organizational commitment: An empirical investigation”, </w:t>
      </w:r>
      <w:r w:rsidRPr="00482722">
        <w:rPr>
          <w:rFonts w:ascii="Arial" w:eastAsia="Times New Roman" w:hAnsi="Arial" w:cs="Arial"/>
          <w:i/>
          <w:iCs/>
          <w:sz w:val="20"/>
          <w:szCs w:val="20"/>
          <w:lang w:eastAsia="en-GB"/>
        </w:rPr>
        <w:t>Information Technology &amp; People</w:t>
      </w:r>
      <w:r w:rsidRPr="00482722">
        <w:rPr>
          <w:rFonts w:ascii="Arial" w:eastAsia="Times New Roman" w:hAnsi="Arial" w:cs="Arial"/>
          <w:sz w:val="20"/>
          <w:szCs w:val="20"/>
          <w:lang w:eastAsia="en-GB"/>
        </w:rPr>
        <w:t>. Vol. 32 No. 2, pp. 246-268.</w:t>
      </w:r>
    </w:p>
    <w:p w14:paraId="7F40CE65" w14:textId="691FE178" w:rsidR="00E80763" w:rsidRPr="00482722" w:rsidRDefault="00E8076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Doong, H.S., Wang, H.C.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Foxall, G.R.</w:t>
      </w:r>
      <w:r w:rsidR="00BB358D"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2010</w:t>
      </w:r>
      <w:r w:rsidR="00BB358D"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Psychological traits and loyalty intentions towards e-Government services</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International Journal of Information Management</w:t>
      </w:r>
      <w:r w:rsidRPr="00482722">
        <w:rPr>
          <w:rFonts w:ascii="Arial" w:eastAsia="Times New Roman" w:hAnsi="Arial" w:cs="Arial"/>
          <w:sz w:val="20"/>
          <w:szCs w:val="20"/>
          <w:lang w:eastAsia="en-GB"/>
        </w:rPr>
        <w: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30</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5</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457-464.</w:t>
      </w:r>
    </w:p>
    <w:p w14:paraId="5007EFA6" w14:textId="14C36AD2"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Dwivedi, Y.</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K., Shareef, M.</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 Simintiras, A.</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 Lal, B.</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Weerakkody, V.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2016</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 generalised adoption model for services: A cross-country comparison of mobile health (m-health)</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Government Information Quarterly</w:t>
      </w:r>
      <w:r w:rsidRPr="00482722">
        <w:rPr>
          <w:rFonts w:ascii="Arial" w:eastAsia="Times New Roman" w:hAnsi="Arial" w:cs="Arial"/>
          <w:sz w:val="20"/>
          <w:szCs w:val="20"/>
          <w:lang w:eastAsia="en-GB"/>
        </w:rPr>
        <w: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33</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174-187.</w:t>
      </w:r>
    </w:p>
    <w:p w14:paraId="34D18123"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bookmarkStart w:id="25" w:name="_Hlk65064991"/>
      <w:r w:rsidRPr="00482722">
        <w:rPr>
          <w:rFonts w:ascii="Arial" w:eastAsia="Times New Roman" w:hAnsi="Arial" w:cs="Arial"/>
          <w:sz w:val="20"/>
          <w:szCs w:val="20"/>
          <w:lang w:eastAsia="en-GB"/>
        </w:rPr>
        <w:t>Esmaeilzadeh, P., Dharanikota, S. and Mirzaei, T., (2021), “The role of patient engagement in patient-centric health information exchange (HIE) initiatives: an empirical study in the United States”, </w:t>
      </w:r>
      <w:r w:rsidRPr="00482722">
        <w:rPr>
          <w:rFonts w:ascii="Arial" w:eastAsia="Times New Roman" w:hAnsi="Arial" w:cs="Arial"/>
          <w:i/>
          <w:iCs/>
          <w:sz w:val="20"/>
          <w:szCs w:val="20"/>
          <w:lang w:eastAsia="en-GB"/>
        </w:rPr>
        <w:t>Information Technology &amp; People</w:t>
      </w:r>
      <w:r w:rsidRPr="00482722">
        <w:rPr>
          <w:rFonts w:ascii="Arial" w:eastAsia="Times New Roman" w:hAnsi="Arial" w:cs="Arial"/>
          <w:sz w:val="20"/>
          <w:szCs w:val="20"/>
          <w:lang w:eastAsia="en-GB"/>
        </w:rPr>
        <w:t>. https://doi.org/10.1108/ITP-05-2020-0316</w:t>
      </w:r>
    </w:p>
    <w:bookmarkEnd w:id="25"/>
    <w:p w14:paraId="5B819024" w14:textId="23669009"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Fakhoury, R.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Aubert, B.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2015</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Citizenship, trust, and behavioural intentions to use public e-services: The case of Lebanon</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International Journal of Information Management, </w:t>
      </w:r>
      <w:r w:rsidR="008B3AF9" w:rsidRPr="00482722">
        <w:rPr>
          <w:rFonts w:ascii="Arial" w:eastAsia="Times New Roman" w:hAnsi="Arial" w:cs="Arial"/>
          <w:sz w:val="20"/>
          <w:szCs w:val="20"/>
          <w:lang w:eastAsia="en-GB"/>
        </w:rPr>
        <w:t xml:space="preserve">Vol. 8 No. 4, </w:t>
      </w:r>
      <w:r w:rsidRPr="00482722">
        <w:rPr>
          <w:rFonts w:ascii="Arial" w:eastAsia="Times New Roman" w:hAnsi="Arial" w:cs="Arial"/>
          <w:sz w:val="20"/>
          <w:szCs w:val="20"/>
          <w:lang w:eastAsia="en-GB"/>
        </w:rPr>
        <w:t xml:space="preserve">35(3),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346-351.</w:t>
      </w:r>
    </w:p>
    <w:p w14:paraId="165C3B8E" w14:textId="7F6346D6"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Flavián, C., Guinalíu, M. and Gurrea, R.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2006</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role played by perceived usability, satisfaction and consumer trust on website loyalty</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Information </w:t>
      </w:r>
      <w:r w:rsidR="002D35B9" w:rsidRPr="00482722">
        <w:rPr>
          <w:rFonts w:ascii="Arial" w:eastAsia="Times New Roman" w:hAnsi="Arial" w:cs="Arial"/>
          <w:i/>
          <w:sz w:val="20"/>
          <w:szCs w:val="20"/>
          <w:lang w:eastAsia="en-GB"/>
        </w:rPr>
        <w:t>and</w:t>
      </w:r>
      <w:r w:rsidRPr="00482722">
        <w:rPr>
          <w:rFonts w:ascii="Arial" w:eastAsia="Times New Roman" w:hAnsi="Arial" w:cs="Arial"/>
          <w:i/>
          <w:sz w:val="20"/>
          <w:szCs w:val="20"/>
          <w:lang w:eastAsia="en-GB"/>
        </w:rPr>
        <w:t xml:space="preserve"> </w:t>
      </w:r>
      <w:r w:rsidR="00755229"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anagement,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43</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1-14.</w:t>
      </w:r>
    </w:p>
    <w:p w14:paraId="2D2413AB" w14:textId="79AD6F89" w:rsidR="00B755FB" w:rsidRPr="00482722" w:rsidRDefault="00B755FB"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Fornell, C.</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Larcker, D.</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F.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1981</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Evaluating structural equation models with unobservable variables and measurement error</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Journal of </w:t>
      </w:r>
      <w:r w:rsidR="00755229"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 xml:space="preserve">arketing </w:t>
      </w:r>
      <w:r w:rsidR="00755229" w:rsidRPr="00482722">
        <w:rPr>
          <w:rFonts w:ascii="Arial" w:eastAsia="Times New Roman" w:hAnsi="Arial" w:cs="Arial"/>
          <w:i/>
          <w:sz w:val="20"/>
          <w:szCs w:val="20"/>
          <w:lang w:eastAsia="en-GB"/>
        </w:rPr>
        <w:t>R</w:t>
      </w:r>
      <w:r w:rsidRPr="00482722">
        <w:rPr>
          <w:rFonts w:ascii="Arial" w:eastAsia="Times New Roman" w:hAnsi="Arial" w:cs="Arial"/>
          <w:i/>
          <w:sz w:val="20"/>
          <w:szCs w:val="20"/>
          <w:lang w:eastAsia="en-GB"/>
        </w:rPr>
        <w:t>esearch,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39-50.</w:t>
      </w:r>
    </w:p>
    <w:p w14:paraId="22BEE48C" w14:textId="34093091" w:rsidR="00A1362C" w:rsidRPr="00482722" w:rsidRDefault="00A1362C"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Gao, W. and Li, X.</w:t>
      </w:r>
      <w:r w:rsidR="00E4448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2019</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Building presence in an online shopping website: the role of website quality</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Behaviour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Information Technology</w:t>
      </w:r>
      <w:r w:rsidRPr="00482722">
        <w:rPr>
          <w:rFonts w:ascii="Arial" w:eastAsia="Times New Roman" w:hAnsi="Arial" w:cs="Arial"/>
          <w:sz w:val="20"/>
          <w:szCs w:val="20"/>
          <w:lang w:eastAsia="en-GB"/>
        </w:rPr>
        <w: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28-41.</w:t>
      </w:r>
    </w:p>
    <w:p w14:paraId="5C134097" w14:textId="0DF1C510"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Gefen, D.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2002</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Customer loyalty in e-commerce</w:t>
      </w:r>
      <w:r w:rsidR="00A217E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Journal of the </w:t>
      </w:r>
      <w:r w:rsidR="00755229" w:rsidRPr="00482722">
        <w:rPr>
          <w:rFonts w:ascii="Arial" w:eastAsia="Times New Roman" w:hAnsi="Arial" w:cs="Arial"/>
          <w:i/>
          <w:sz w:val="20"/>
          <w:szCs w:val="20"/>
          <w:lang w:eastAsia="en-GB"/>
        </w:rPr>
        <w:t>A</w:t>
      </w:r>
      <w:r w:rsidRPr="00482722">
        <w:rPr>
          <w:rFonts w:ascii="Arial" w:eastAsia="Times New Roman" w:hAnsi="Arial" w:cs="Arial"/>
          <w:i/>
          <w:sz w:val="20"/>
          <w:szCs w:val="20"/>
          <w:lang w:eastAsia="en-GB"/>
        </w:rPr>
        <w:t xml:space="preserve">ssociation for </w:t>
      </w:r>
      <w:r w:rsidR="00755229" w:rsidRPr="00482722">
        <w:rPr>
          <w:rFonts w:ascii="Arial" w:eastAsia="Times New Roman" w:hAnsi="Arial" w:cs="Arial"/>
          <w:i/>
          <w:sz w:val="20"/>
          <w:szCs w:val="20"/>
          <w:lang w:eastAsia="en-GB"/>
        </w:rPr>
        <w:t>I</w:t>
      </w:r>
      <w:r w:rsidRPr="00482722">
        <w:rPr>
          <w:rFonts w:ascii="Arial" w:eastAsia="Times New Roman" w:hAnsi="Arial" w:cs="Arial"/>
          <w:i/>
          <w:sz w:val="20"/>
          <w:szCs w:val="20"/>
          <w:lang w:eastAsia="en-GB"/>
        </w:rPr>
        <w:t xml:space="preserve">nformation </w:t>
      </w:r>
      <w:r w:rsidR="00755229" w:rsidRPr="00482722">
        <w:rPr>
          <w:rFonts w:ascii="Arial" w:eastAsia="Times New Roman" w:hAnsi="Arial" w:cs="Arial"/>
          <w:i/>
          <w:sz w:val="20"/>
          <w:szCs w:val="20"/>
          <w:lang w:eastAsia="en-GB"/>
        </w:rPr>
        <w:t>S</w:t>
      </w:r>
      <w:r w:rsidRPr="00482722">
        <w:rPr>
          <w:rFonts w:ascii="Arial" w:eastAsia="Times New Roman" w:hAnsi="Arial" w:cs="Arial"/>
          <w:i/>
          <w:sz w:val="20"/>
          <w:szCs w:val="20"/>
          <w:lang w:eastAsia="en-GB"/>
        </w:rPr>
        <w:t>ystems</w:t>
      </w:r>
      <w:r w:rsidR="00845498" w:rsidRPr="00482722">
        <w:rPr>
          <w:rFonts w:ascii="Arial" w:eastAsia="Times New Roman" w:hAnsi="Arial" w:cs="Arial"/>
          <w:sz w:val="20"/>
          <w:szCs w:val="20"/>
          <w:lang w:eastAsia="en-GB"/>
        </w:rPr>
        <w: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27-51.</w:t>
      </w:r>
    </w:p>
    <w:p w14:paraId="69A1C6E8" w14:textId="4EC22814"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Gefen, D., Karahanna, 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Straub, D.</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W.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2003</w:t>
      </w:r>
      <w:r w:rsidR="00755229"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Trust and TAM in online shopping: An integrated model</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MIS </w:t>
      </w:r>
      <w:r w:rsidR="00755229" w:rsidRPr="00482722">
        <w:rPr>
          <w:rFonts w:ascii="Arial" w:eastAsia="Times New Roman" w:hAnsi="Arial" w:cs="Arial"/>
          <w:i/>
          <w:sz w:val="20"/>
          <w:szCs w:val="20"/>
          <w:lang w:eastAsia="en-GB"/>
        </w:rPr>
        <w:t>Q</w:t>
      </w:r>
      <w:r w:rsidRPr="00482722">
        <w:rPr>
          <w:rFonts w:ascii="Arial" w:eastAsia="Times New Roman" w:hAnsi="Arial" w:cs="Arial"/>
          <w:i/>
          <w:sz w:val="20"/>
          <w:szCs w:val="20"/>
          <w:lang w:eastAsia="en-GB"/>
        </w:rPr>
        <w:t>uarterly,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27</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51-90.</w:t>
      </w:r>
    </w:p>
    <w:p w14:paraId="7E589B41" w14:textId="77F0F1F1" w:rsidR="00732332" w:rsidRPr="00482722" w:rsidRDefault="00732332"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Gefen, D., Rose, G.</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M., Warkentin, M.</w:t>
      </w:r>
      <w:r w:rsidR="00755229"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Pavlou, P.</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A., </w:t>
      </w:r>
      <w:r w:rsidR="004672A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2005</w:t>
      </w:r>
      <w:r w:rsidR="004672AA" w:rsidRPr="00482722">
        <w:rPr>
          <w:rFonts w:ascii="Arial" w:eastAsia="Times New Roman" w:hAnsi="Arial" w:cs="Arial"/>
          <w:sz w:val="20"/>
          <w:szCs w:val="20"/>
          <w:lang w:eastAsia="en-GB"/>
        </w:rPr>
        <w:t>)</w:t>
      </w:r>
      <w:r w:rsidR="00E44480"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Cultural diversity and trust in IT adoption: A comparison of potential e-voters in the USA and South Africa</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Global Information Management,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13</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E44480"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54-78.</w:t>
      </w:r>
    </w:p>
    <w:p w14:paraId="2848F8D0" w14:textId="23A2EB7E"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Hair, J. F., Jr., Anderson, R. E., Tatham, R. L.,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Black, W. C.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1995</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Multivariate data analysis with readings. </w:t>
      </w:r>
      <w:r w:rsidRPr="00482722">
        <w:rPr>
          <w:rFonts w:ascii="Arial" w:eastAsia="Times New Roman" w:hAnsi="Arial" w:cs="Arial"/>
          <w:sz w:val="20"/>
          <w:szCs w:val="20"/>
          <w:lang w:eastAsia="en-GB"/>
        </w:rPr>
        <w:t>Englewood Cliffs, NJ: Prentice-Hall.</w:t>
      </w:r>
    </w:p>
    <w:p w14:paraId="3E2B0082" w14:textId="7EE8B69D"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Hall, R. J., Snell, A. F. and Foust, M. S., (1999) “Item parceling strategies in sem: Investigating the subtle effects of un modeled secondary constructs”, </w:t>
      </w:r>
      <w:r w:rsidRPr="00482722">
        <w:rPr>
          <w:rFonts w:ascii="Arial" w:eastAsia="Times New Roman" w:hAnsi="Arial" w:cs="Arial"/>
          <w:i/>
          <w:iCs/>
          <w:sz w:val="20"/>
          <w:szCs w:val="20"/>
          <w:lang w:eastAsia="en-GB"/>
        </w:rPr>
        <w:t>Organizational Research Methods</w:t>
      </w:r>
      <w:r w:rsidRPr="00482722">
        <w:rPr>
          <w:rFonts w:ascii="Arial" w:eastAsia="Times New Roman" w:hAnsi="Arial" w:cs="Arial"/>
          <w:sz w:val="20"/>
          <w:szCs w:val="20"/>
          <w:lang w:eastAsia="en-GB"/>
        </w:rPr>
        <w:t>. doi: 10.1177/109442819923002.</w:t>
      </w:r>
    </w:p>
    <w:p w14:paraId="34893C80" w14:textId="7DE4BA7A" w:rsidR="00F3241F" w:rsidRPr="00482722" w:rsidRDefault="00F3241F"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Harman, H. H. (1976). </w:t>
      </w:r>
      <w:r w:rsidRPr="00482722">
        <w:rPr>
          <w:rFonts w:ascii="Arial" w:eastAsia="Times New Roman" w:hAnsi="Arial" w:cs="Arial"/>
          <w:i/>
          <w:sz w:val="20"/>
          <w:szCs w:val="20"/>
          <w:lang w:eastAsia="en-GB"/>
        </w:rPr>
        <w:t>Modern factor analysis</w:t>
      </w:r>
      <w:r w:rsidRPr="00482722">
        <w:rPr>
          <w:rFonts w:ascii="Arial" w:eastAsia="Times New Roman" w:hAnsi="Arial" w:cs="Arial"/>
          <w:sz w:val="20"/>
          <w:szCs w:val="20"/>
          <w:lang w:eastAsia="en-GB"/>
        </w:rPr>
        <w:t xml:space="preserve"> (3rd ed.). Chicago, IL: University of Chicago Press.</w:t>
      </w:r>
    </w:p>
    <w:p w14:paraId="1D491D8C" w14:textId="2B4EB252" w:rsidR="00B755FB" w:rsidRPr="00482722" w:rsidRDefault="00B755FB"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Henseler, J., Ringle, C.</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M. and Sinkovics, R.</w:t>
      </w:r>
      <w:r w:rsidR="0075522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R. </w:t>
      </w:r>
      <w:r w:rsidR="00755229"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2009</w:t>
      </w:r>
      <w:r w:rsidR="00755229"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use of partial least squares path modeling in international marketing</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Advances in International Marketing,</w:t>
      </w:r>
      <w:r w:rsidRPr="00482722">
        <w:rPr>
          <w:rFonts w:ascii="Arial" w:eastAsia="Times New Roman" w:hAnsi="Arial" w:cs="Arial"/>
          <w:sz w:val="20"/>
          <w:szCs w:val="20"/>
          <w:lang w:eastAsia="en-GB"/>
        </w:rPr>
        <w:t xml:space="preserve"> </w:t>
      </w:r>
      <w:r w:rsidR="008B3AF9"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 xml:space="preserve">20,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277-320.</w:t>
      </w:r>
    </w:p>
    <w:p w14:paraId="12CC867A" w14:textId="5684DDD0"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Irani, Z., Weerakkody, V., Kamal, M., Mohammed Hindi, N., Osman, I.H., Latef Anouze, A., El-Haddadeh, R., Lee, H., Osmani, M.</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Al-Ayoubi, B.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2012</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analysis of methodologies utilised in e-government research: A user satisfaction perspective</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Enterprise Information Management, </w:t>
      </w:r>
      <w:r w:rsidR="008B3AF9" w:rsidRPr="00482722">
        <w:rPr>
          <w:rFonts w:ascii="Arial" w:eastAsia="Times New Roman" w:hAnsi="Arial" w:cs="Arial"/>
          <w:iCs/>
          <w:sz w:val="20"/>
          <w:szCs w:val="20"/>
          <w:lang w:eastAsia="en-GB"/>
        </w:rPr>
        <w:t xml:space="preserve">Vol. </w:t>
      </w:r>
      <w:r w:rsidR="006A2D53" w:rsidRPr="00482722">
        <w:rPr>
          <w:rFonts w:ascii="Arial" w:eastAsia="Times New Roman" w:hAnsi="Arial" w:cs="Arial"/>
          <w:iCs/>
          <w:sz w:val="20"/>
          <w:szCs w:val="20"/>
          <w:lang w:eastAsia="en-GB"/>
        </w:rPr>
        <w:t>25</w:t>
      </w:r>
      <w:r w:rsidR="008B3AF9" w:rsidRPr="00482722">
        <w:rPr>
          <w:rFonts w:ascii="Arial" w:eastAsia="Times New Roman" w:hAnsi="Arial" w:cs="Arial"/>
          <w:iCs/>
          <w:sz w:val="20"/>
          <w:szCs w:val="20"/>
          <w:lang w:eastAsia="en-GB"/>
        </w:rPr>
        <w:t xml:space="preserve"> No. </w:t>
      </w:r>
      <w:r w:rsidR="006A2D53" w:rsidRPr="00482722">
        <w:rPr>
          <w:rFonts w:ascii="Arial" w:eastAsia="Times New Roman" w:hAnsi="Arial" w:cs="Arial"/>
          <w:iCs/>
          <w:sz w:val="20"/>
          <w:szCs w:val="20"/>
          <w:lang w:eastAsia="en-GB"/>
        </w:rPr>
        <w:t>3</w:t>
      </w:r>
      <w:r w:rsidR="008B3AF9" w:rsidRPr="00482722">
        <w:rPr>
          <w:rFonts w:ascii="Arial" w:eastAsia="Times New Roman" w:hAnsi="Arial" w:cs="Arial"/>
          <w:iCs/>
          <w:sz w:val="20"/>
          <w:szCs w:val="20"/>
          <w:lang w:eastAsia="en-GB"/>
        </w:rPr>
        <w:t xml:space="preserve">, </w:t>
      </w:r>
      <w:r w:rsidR="00965F2B"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298-313.</w:t>
      </w:r>
    </w:p>
    <w:p w14:paraId="4B4FAF6A" w14:textId="2F4D4D2A"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Janssen, M., Rana, N.</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 Slade, E.</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L. and Dwivedi, Y.</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K.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2018</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Trustworthiness of digital government services: deriving a comprehensive theory through interpretive structural modelling</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Public Management Review</w:t>
      </w:r>
      <w:r w:rsidRPr="00482722">
        <w:rPr>
          <w:rFonts w:ascii="Arial" w:eastAsia="Times New Roman" w:hAnsi="Arial" w:cs="Arial"/>
          <w:iCs/>
          <w:sz w:val="20"/>
          <w:szCs w:val="20"/>
          <w:lang w:eastAsia="en-GB"/>
        </w:rPr>
        <w:t>,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20</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5</w:t>
      </w:r>
      <w:r w:rsidR="008B3AF9"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647-671.</w:t>
      </w:r>
    </w:p>
    <w:p w14:paraId="41917FD8" w14:textId="1CDE0E91"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Kassim, M.</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N. and Ismail, S.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2009</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Investigating the complex drivers of loyalty in e-commerce settings</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Measuring </w:t>
      </w:r>
      <w:r w:rsidR="00FE7D78" w:rsidRPr="00482722">
        <w:rPr>
          <w:rFonts w:ascii="Arial" w:eastAsia="Times New Roman" w:hAnsi="Arial" w:cs="Arial"/>
          <w:i/>
          <w:sz w:val="20"/>
          <w:szCs w:val="20"/>
          <w:lang w:eastAsia="en-GB"/>
        </w:rPr>
        <w:t>B</w:t>
      </w:r>
      <w:r w:rsidRPr="00482722">
        <w:rPr>
          <w:rFonts w:ascii="Arial" w:eastAsia="Times New Roman" w:hAnsi="Arial" w:cs="Arial"/>
          <w:i/>
          <w:sz w:val="20"/>
          <w:szCs w:val="20"/>
          <w:lang w:eastAsia="en-GB"/>
        </w:rPr>
        <w:t xml:space="preserve">usiness </w:t>
      </w:r>
      <w:r w:rsidR="00FE7D78" w:rsidRPr="00482722">
        <w:rPr>
          <w:rFonts w:ascii="Arial" w:eastAsia="Times New Roman" w:hAnsi="Arial" w:cs="Arial"/>
          <w:i/>
          <w:sz w:val="20"/>
          <w:szCs w:val="20"/>
          <w:lang w:eastAsia="en-GB"/>
        </w:rPr>
        <w:t>E</w:t>
      </w:r>
      <w:r w:rsidRPr="00482722">
        <w:rPr>
          <w:rFonts w:ascii="Arial" w:eastAsia="Times New Roman" w:hAnsi="Arial" w:cs="Arial"/>
          <w:i/>
          <w:sz w:val="20"/>
          <w:szCs w:val="20"/>
          <w:lang w:eastAsia="en-GB"/>
        </w:rPr>
        <w:t>xcellence,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13</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1</w:t>
      </w:r>
      <w:r w:rsidR="008B3AF9"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56-71.</w:t>
      </w:r>
    </w:p>
    <w:p w14:paraId="05E26BCC" w14:textId="7E8546A8"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Kassim, N.</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M. and Abdullah, N.</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A.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2008</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Customer loyalty in e</w:t>
      </w:r>
      <w:r w:rsidRPr="00482722">
        <w:rPr>
          <w:rFonts w:ascii="Cambria Math" w:eastAsia="Times New Roman" w:hAnsi="Cambria Math" w:cs="Cambria Math"/>
          <w:sz w:val="20"/>
          <w:szCs w:val="20"/>
          <w:lang w:eastAsia="en-GB"/>
        </w:rPr>
        <w:t>‐</w:t>
      </w:r>
      <w:r w:rsidRPr="00482722">
        <w:rPr>
          <w:rFonts w:ascii="Arial" w:eastAsia="Times New Roman" w:hAnsi="Arial" w:cs="Arial"/>
          <w:sz w:val="20"/>
          <w:szCs w:val="20"/>
          <w:lang w:eastAsia="en-GB"/>
        </w:rPr>
        <w:t>commerce settings: an empirical study</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Electronic Markets,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18</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275-290.</w:t>
      </w:r>
    </w:p>
    <w:p w14:paraId="37F944C6" w14:textId="1E941CD7" w:rsidR="00156A83" w:rsidRPr="00482722" w:rsidRDefault="00156A8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Kaur, H., Paruthi, M., Islam, J.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Hollebeek, L.D.</w:t>
      </w:r>
      <w:r w:rsidR="001F167E"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2020</w:t>
      </w:r>
      <w:r w:rsidR="001F167E"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role of brand community identification and reward on consumer brand engagement and brand loyalty in virtual brand communities</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Telematics and Informatics</w:t>
      </w:r>
      <w:r w:rsidRPr="00482722">
        <w:rPr>
          <w:rFonts w:ascii="Arial" w:eastAsia="Times New Roman" w:hAnsi="Arial" w:cs="Arial"/>
          <w:sz w:val="20"/>
          <w:szCs w:val="20"/>
          <w:lang w:eastAsia="en-GB"/>
        </w:rPr>
        <w:t>, </w:t>
      </w:r>
      <w:r w:rsidR="008B3AF9"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46, 01321, doi.org/10.1016/j.tele.2019.101321.</w:t>
      </w:r>
    </w:p>
    <w:p w14:paraId="6734FF4E"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Kline, R.B. (2015), “</w:t>
      </w:r>
      <w:r w:rsidRPr="00482722">
        <w:rPr>
          <w:rFonts w:ascii="Arial" w:eastAsia="Times New Roman" w:hAnsi="Arial" w:cs="Arial"/>
          <w:i/>
          <w:iCs/>
          <w:sz w:val="20"/>
          <w:szCs w:val="20"/>
          <w:lang w:eastAsia="en-GB"/>
        </w:rPr>
        <w:t>Principles and Practice of Structural Equation Modeling</w:t>
      </w:r>
      <w:r w:rsidRPr="00482722">
        <w:rPr>
          <w:rFonts w:ascii="Arial" w:eastAsia="Times New Roman" w:hAnsi="Arial" w:cs="Arial"/>
          <w:sz w:val="20"/>
          <w:szCs w:val="20"/>
          <w:lang w:eastAsia="en-GB"/>
        </w:rPr>
        <w:t>”, Guilford Publications, New York, NY.</w:t>
      </w:r>
    </w:p>
    <w:p w14:paraId="369A8283" w14:textId="3B0A56C7" w:rsidR="001F167E" w:rsidRPr="00482722" w:rsidRDefault="001F167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Kumar, R., Kumar, R., Sachan, A. and Gupta, P. (2020)</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An examination of the e-government service value chain. </w:t>
      </w:r>
      <w:r w:rsidRPr="00482722">
        <w:rPr>
          <w:rFonts w:ascii="Arial" w:eastAsia="Times New Roman" w:hAnsi="Arial" w:cs="Arial"/>
          <w:i/>
          <w:iCs/>
          <w:sz w:val="20"/>
          <w:szCs w:val="20"/>
          <w:lang w:eastAsia="en-GB"/>
        </w:rPr>
        <w:t xml:space="preserve">Information Technology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People</w:t>
      </w:r>
      <w:r w:rsidRPr="00482722">
        <w:rPr>
          <w:rFonts w:ascii="Arial" w:eastAsia="Times New Roman" w:hAnsi="Arial" w:cs="Arial"/>
          <w:sz w:val="20"/>
          <w:szCs w:val="20"/>
          <w:lang w:eastAsia="en-GB"/>
        </w:rPr>
        <w:t>, Vol. ahead-of-print No. ahead-of-print. https://doi.org/10.1108/ITP-09-2018-0438</w:t>
      </w:r>
    </w:p>
    <w:p w14:paraId="16A0A8C1" w14:textId="3BCED02C"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Kurfalı, M., Arifoğlu, A., Tokdemir, G.</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Paçin, Y.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2017</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Adoption of e-government services in Turkey</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Computers in Human Behavior,</w:t>
      </w:r>
      <w:r w:rsidR="008B3AF9" w:rsidRPr="00482722">
        <w:rPr>
          <w:rFonts w:ascii="Arial" w:eastAsia="Times New Roman" w:hAnsi="Arial" w:cs="Arial"/>
          <w:i/>
          <w:sz w:val="20"/>
          <w:szCs w:val="20"/>
          <w:lang w:eastAsia="en-GB"/>
        </w:rPr>
        <w:t xml:space="preserve"> </w:t>
      </w:r>
      <w:r w:rsidR="008B3AF9" w:rsidRPr="00482722">
        <w:rPr>
          <w:rFonts w:ascii="Arial" w:eastAsia="Times New Roman" w:hAnsi="Arial" w:cs="Arial"/>
          <w:iCs/>
          <w:sz w:val="20"/>
          <w:szCs w:val="20"/>
          <w:lang w:eastAsia="en-GB"/>
        </w:rPr>
        <w:t xml:space="preserve">Vol. </w:t>
      </w:r>
      <w:r w:rsidRPr="00482722">
        <w:rPr>
          <w:rFonts w:ascii="Arial" w:eastAsia="Times New Roman" w:hAnsi="Arial" w:cs="Arial"/>
          <w:iCs/>
          <w:sz w:val="20"/>
          <w:szCs w:val="20"/>
          <w:lang w:eastAsia="en-GB"/>
        </w:rPr>
        <w:t>66</w:t>
      </w:r>
      <w:r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168-178.</w:t>
      </w:r>
    </w:p>
    <w:p w14:paraId="2C76B860" w14:textId="34CCAA75" w:rsidR="00583C66" w:rsidRPr="00482722" w:rsidRDefault="00583C66"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Xu, J., Benbasat, I.</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Cenfetelli, R.</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T.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2013</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Integrating service quality with system and information quality: </w:t>
      </w:r>
      <w:r w:rsidR="00FE7D78" w:rsidRPr="00482722">
        <w:rPr>
          <w:rFonts w:ascii="Arial" w:eastAsia="Times New Roman" w:hAnsi="Arial" w:cs="Arial"/>
          <w:sz w:val="20"/>
          <w:szCs w:val="20"/>
          <w:lang w:eastAsia="en-GB"/>
        </w:rPr>
        <w:t>A</w:t>
      </w:r>
      <w:r w:rsidRPr="00482722">
        <w:rPr>
          <w:rFonts w:ascii="Arial" w:eastAsia="Times New Roman" w:hAnsi="Arial" w:cs="Arial"/>
          <w:sz w:val="20"/>
          <w:szCs w:val="20"/>
          <w:lang w:eastAsia="en-GB"/>
        </w:rPr>
        <w:t>n empirical test in the e-service context. </w:t>
      </w:r>
      <w:r w:rsidRPr="00482722">
        <w:rPr>
          <w:rFonts w:ascii="Arial" w:eastAsia="Times New Roman" w:hAnsi="Arial" w:cs="Arial"/>
          <w:i/>
          <w:sz w:val="20"/>
          <w:szCs w:val="20"/>
          <w:lang w:eastAsia="en-GB"/>
        </w:rPr>
        <w:t xml:space="preserve">MIS </w:t>
      </w:r>
      <w:r w:rsidR="00FE7D78" w:rsidRPr="00482722">
        <w:rPr>
          <w:rFonts w:ascii="Arial" w:eastAsia="Times New Roman" w:hAnsi="Arial" w:cs="Arial"/>
          <w:i/>
          <w:sz w:val="20"/>
          <w:szCs w:val="20"/>
          <w:lang w:eastAsia="en-GB"/>
        </w:rPr>
        <w:t>Q</w:t>
      </w:r>
      <w:r w:rsidRPr="00482722">
        <w:rPr>
          <w:rFonts w:ascii="Arial" w:eastAsia="Times New Roman" w:hAnsi="Arial" w:cs="Arial"/>
          <w:i/>
          <w:sz w:val="20"/>
          <w:szCs w:val="20"/>
          <w:lang w:eastAsia="en-GB"/>
        </w:rPr>
        <w:t>uarterly</w:t>
      </w:r>
      <w:r w:rsidRPr="00482722">
        <w:rPr>
          <w:rFonts w:ascii="Arial" w:eastAsia="Times New Roman" w:hAnsi="Arial" w:cs="Arial"/>
          <w:sz w:val="20"/>
          <w:szCs w:val="20"/>
          <w:lang w:eastAsia="en-GB"/>
        </w:rPr>
        <w:t xml:space="preserve">, </w:t>
      </w:r>
      <w:r w:rsidR="008B3AF9"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37</w:t>
      </w:r>
      <w:r w:rsidR="008B3AF9"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8B3AF9"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777-794.</w:t>
      </w:r>
    </w:p>
    <w:p w14:paraId="618C0C0F" w14:textId="6F98A92B" w:rsidR="00AB2F7E" w:rsidRPr="00482722" w:rsidRDefault="00AB2F7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Pavlou, P.</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w:t>
      </w:r>
      <w:r w:rsidR="00965F2B" w:rsidRPr="00482722">
        <w:rPr>
          <w:rFonts w:ascii="Arial" w:eastAsia="Times New Roman" w:hAnsi="Arial" w:cs="Arial"/>
          <w:sz w:val="20"/>
          <w:szCs w:val="20"/>
          <w:lang w:eastAsia="en-GB"/>
        </w:rPr>
        <w:t xml:space="preserve"> </w:t>
      </w:r>
      <w:r w:rsidR="004672A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2003</w:t>
      </w:r>
      <w:r w:rsidR="004672AA"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Consumer acceptance of electronic commerce: Integrating trust and risk with the technology acceptance model</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International </w:t>
      </w:r>
      <w:r w:rsidR="00FE7D78" w:rsidRPr="00482722">
        <w:rPr>
          <w:rFonts w:ascii="Arial" w:eastAsia="Times New Roman" w:hAnsi="Arial" w:cs="Arial"/>
          <w:i/>
          <w:sz w:val="20"/>
          <w:szCs w:val="20"/>
          <w:lang w:eastAsia="en-GB"/>
        </w:rPr>
        <w:t>J</w:t>
      </w:r>
      <w:r w:rsidRPr="00482722">
        <w:rPr>
          <w:rFonts w:ascii="Arial" w:eastAsia="Times New Roman" w:hAnsi="Arial" w:cs="Arial"/>
          <w:i/>
          <w:sz w:val="20"/>
          <w:szCs w:val="20"/>
          <w:lang w:eastAsia="en-GB"/>
        </w:rPr>
        <w:t xml:space="preserve">ournal of </w:t>
      </w:r>
      <w:r w:rsidR="00FE7D78" w:rsidRPr="00482722">
        <w:rPr>
          <w:rFonts w:ascii="Arial" w:eastAsia="Times New Roman" w:hAnsi="Arial" w:cs="Arial"/>
          <w:i/>
          <w:sz w:val="20"/>
          <w:szCs w:val="20"/>
          <w:lang w:eastAsia="en-GB"/>
        </w:rPr>
        <w:t>E</w:t>
      </w:r>
      <w:r w:rsidRPr="00482722">
        <w:rPr>
          <w:rFonts w:ascii="Arial" w:eastAsia="Times New Roman" w:hAnsi="Arial" w:cs="Arial"/>
          <w:i/>
          <w:sz w:val="20"/>
          <w:szCs w:val="20"/>
          <w:lang w:eastAsia="en-GB"/>
        </w:rPr>
        <w:t xml:space="preserve">lectronic </w:t>
      </w:r>
      <w:r w:rsidR="00FE7D78" w:rsidRPr="00482722">
        <w:rPr>
          <w:rFonts w:ascii="Arial" w:eastAsia="Times New Roman" w:hAnsi="Arial" w:cs="Arial"/>
          <w:i/>
          <w:sz w:val="20"/>
          <w:szCs w:val="20"/>
          <w:lang w:eastAsia="en-GB"/>
        </w:rPr>
        <w:t>C</w:t>
      </w:r>
      <w:r w:rsidRPr="00482722">
        <w:rPr>
          <w:rFonts w:ascii="Arial" w:eastAsia="Times New Roman" w:hAnsi="Arial" w:cs="Arial"/>
          <w:i/>
          <w:sz w:val="20"/>
          <w:szCs w:val="20"/>
          <w:lang w:eastAsia="en-GB"/>
        </w:rPr>
        <w:t>ommerce,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7</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101-134.</w:t>
      </w:r>
    </w:p>
    <w:p w14:paraId="54B78117" w14:textId="04A05622"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Lam, S.</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Y., Shankar, V., Erramilli, M.</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K.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Murthy, B.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2004</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Customer value, satisfaction, loyalty, and switching costs: an illustration from a business-to-business service context</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Journal of the </w:t>
      </w:r>
      <w:r w:rsidR="00FE7D78" w:rsidRPr="00482722">
        <w:rPr>
          <w:rFonts w:ascii="Arial" w:eastAsia="Times New Roman" w:hAnsi="Arial" w:cs="Arial"/>
          <w:i/>
          <w:sz w:val="20"/>
          <w:szCs w:val="20"/>
          <w:lang w:eastAsia="en-GB"/>
        </w:rPr>
        <w:t>A</w:t>
      </w:r>
      <w:r w:rsidRPr="00482722">
        <w:rPr>
          <w:rFonts w:ascii="Arial" w:eastAsia="Times New Roman" w:hAnsi="Arial" w:cs="Arial"/>
          <w:i/>
          <w:sz w:val="20"/>
          <w:szCs w:val="20"/>
          <w:lang w:eastAsia="en-GB"/>
        </w:rPr>
        <w:t xml:space="preserve">cademy of </w:t>
      </w:r>
      <w:r w:rsidR="00FE7D78"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 xml:space="preserve">arketing </w:t>
      </w:r>
      <w:r w:rsidR="00FE7D78" w:rsidRPr="00482722">
        <w:rPr>
          <w:rFonts w:ascii="Arial" w:eastAsia="Times New Roman" w:hAnsi="Arial" w:cs="Arial"/>
          <w:i/>
          <w:sz w:val="20"/>
          <w:szCs w:val="20"/>
          <w:lang w:eastAsia="en-GB"/>
        </w:rPr>
        <w:t>S</w:t>
      </w:r>
      <w:r w:rsidRPr="00482722">
        <w:rPr>
          <w:rFonts w:ascii="Arial" w:eastAsia="Times New Roman" w:hAnsi="Arial" w:cs="Arial"/>
          <w:i/>
          <w:sz w:val="20"/>
          <w:szCs w:val="20"/>
          <w:lang w:eastAsia="en-GB"/>
        </w:rPr>
        <w:t>cience</w:t>
      </w:r>
      <w:r w:rsidRPr="00482722">
        <w:rPr>
          <w:rFonts w:ascii="Arial" w:eastAsia="Times New Roman" w:hAnsi="Arial" w:cs="Arial"/>
          <w:iCs/>
          <w:sz w:val="20"/>
          <w:szCs w:val="20"/>
          <w:lang w:eastAsia="en-GB"/>
        </w:rPr>
        <w:t>,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32</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2</w:t>
      </w:r>
      <w:r w:rsidR="006725FC" w:rsidRPr="00482722">
        <w:rPr>
          <w:rFonts w:ascii="Arial" w:eastAsia="Times New Roman" w:hAnsi="Arial" w:cs="Arial"/>
          <w:sz w:val="20"/>
          <w:szCs w:val="20"/>
          <w:lang w:eastAsia="en-GB"/>
        </w:rPr>
        <w:t xml:space="preserve">, </w:t>
      </w:r>
      <w:r w:rsidR="00965F2B"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293-311.</w:t>
      </w:r>
    </w:p>
    <w:p w14:paraId="26AF236B" w14:textId="3B0CE0A8" w:rsidR="00317589" w:rsidRPr="00482722" w:rsidRDefault="00317589"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Lara-Rubio, J., Villarejo-Ramos, A.F.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Liébana-Cabanillas, F.</w:t>
      </w:r>
      <w:r w:rsidR="00965F2B"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2020</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Explanatory and predictive model of the adoption of P2P payment systems</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Behaviour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Information Technology</w:t>
      </w:r>
      <w:r w:rsidRPr="00482722">
        <w:rPr>
          <w:rFonts w:ascii="Arial" w:eastAsia="Times New Roman" w:hAnsi="Arial" w:cs="Arial"/>
          <w:sz w:val="20"/>
          <w:szCs w:val="20"/>
          <w:lang w:eastAsia="en-GB"/>
        </w:rPr>
        <w:t xml:space="preserve">, </w:t>
      </w:r>
      <w:r w:rsidR="00965F2B"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1-14. doi.org/10.1080/0144929X.2019.1706637.</w:t>
      </w:r>
    </w:p>
    <w:p w14:paraId="1800DBB1" w14:textId="321104E2"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Lee, H.</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Kim, C.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2014</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Benchmarking of service quality with data envelopment analysis</w:t>
      </w:r>
      <w:r w:rsidR="00845498"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Expert Systems with Applications,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41</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8</w:t>
      </w:r>
      <w:r w:rsidR="006725FC" w:rsidRPr="00482722">
        <w:rPr>
          <w:rFonts w:ascii="Arial" w:eastAsia="Times New Roman" w:hAnsi="Arial" w:cs="Arial"/>
          <w:sz w:val="20"/>
          <w:szCs w:val="20"/>
          <w:lang w:eastAsia="en-GB"/>
        </w:rPr>
        <w:t xml:space="preserve">, </w:t>
      </w:r>
      <w:r w:rsidR="00965F2B"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3761-3768.</w:t>
      </w:r>
    </w:p>
    <w:p w14:paraId="0109F9D4" w14:textId="0814F9CF" w:rsidR="00115D6D" w:rsidRPr="00482722" w:rsidRDefault="00115D6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Li, Y.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Shang, H. (2020)</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Service quality, perceived value, and citizens’ continuous-use intention regarding e-government: Empirical evidence from China</w:t>
      </w:r>
      <w:r w:rsidR="00845498"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Information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Management</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57</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103197.</w:t>
      </w:r>
    </w:p>
    <w:p w14:paraId="2E267ED5" w14:textId="440C10C3"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Lin, H.</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H. and Wang, Y.</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S.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2006</w:t>
      </w:r>
      <w:r w:rsidR="00FE7D78" w:rsidRPr="00482722">
        <w:rPr>
          <w:rFonts w:ascii="Arial" w:eastAsia="Times New Roman" w:hAnsi="Arial" w:cs="Arial"/>
          <w:sz w:val="20"/>
          <w:szCs w:val="20"/>
          <w:lang w:eastAsia="en-GB"/>
        </w:rPr>
        <w:t>)</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examination of the determinants of customer loyalty in mobile commerce contexts</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Information </w:t>
      </w:r>
      <w:r w:rsidR="002D35B9" w:rsidRPr="00482722">
        <w:rPr>
          <w:rFonts w:ascii="Arial" w:eastAsia="Times New Roman" w:hAnsi="Arial" w:cs="Arial"/>
          <w:i/>
          <w:sz w:val="20"/>
          <w:szCs w:val="20"/>
          <w:lang w:eastAsia="en-GB"/>
        </w:rPr>
        <w:t>and</w:t>
      </w:r>
      <w:r w:rsidRPr="00482722">
        <w:rPr>
          <w:rFonts w:ascii="Arial" w:eastAsia="Times New Roman" w:hAnsi="Arial" w:cs="Arial"/>
          <w:i/>
          <w:sz w:val="20"/>
          <w:szCs w:val="20"/>
          <w:lang w:eastAsia="en-GB"/>
        </w:rPr>
        <w:t xml:space="preserve"> </w:t>
      </w:r>
      <w:r w:rsidR="00FE7D78"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anagement</w:t>
      </w:r>
      <w:r w:rsidRPr="00482722">
        <w:rPr>
          <w:rFonts w:ascii="Arial" w:eastAsia="Times New Roman" w:hAnsi="Arial" w:cs="Arial"/>
          <w:iCs/>
          <w:sz w:val="20"/>
          <w:szCs w:val="20"/>
          <w:lang w:eastAsia="en-GB"/>
        </w:rPr>
        <w:t>, </w:t>
      </w:r>
      <w:r w:rsidR="006725FC" w:rsidRPr="00482722">
        <w:rPr>
          <w:rFonts w:ascii="Arial" w:eastAsia="Times New Roman" w:hAnsi="Arial" w:cs="Arial"/>
          <w:iCs/>
          <w:sz w:val="20"/>
          <w:szCs w:val="20"/>
          <w:lang w:eastAsia="en-GB"/>
        </w:rPr>
        <w:t xml:space="preserve">Vol. </w:t>
      </w:r>
      <w:r w:rsidR="006A2D53" w:rsidRPr="00482722">
        <w:rPr>
          <w:rFonts w:ascii="Arial" w:eastAsia="Times New Roman" w:hAnsi="Arial" w:cs="Arial"/>
          <w:iCs/>
          <w:sz w:val="20"/>
          <w:szCs w:val="20"/>
          <w:lang w:eastAsia="en-GB"/>
        </w:rPr>
        <w:t>43</w:t>
      </w:r>
      <w:r w:rsidR="006725FC" w:rsidRPr="00482722">
        <w:rPr>
          <w:rFonts w:ascii="Arial" w:eastAsia="Times New Roman" w:hAnsi="Arial" w:cs="Arial"/>
          <w:iCs/>
          <w:sz w:val="20"/>
          <w:szCs w:val="20"/>
          <w:lang w:eastAsia="en-GB"/>
        </w:rPr>
        <w:t xml:space="preserve"> No. </w:t>
      </w:r>
      <w:r w:rsidR="006A2D53" w:rsidRPr="00482722">
        <w:rPr>
          <w:rFonts w:ascii="Arial" w:eastAsia="Times New Roman" w:hAnsi="Arial" w:cs="Arial"/>
          <w:iCs/>
          <w:sz w:val="20"/>
          <w:szCs w:val="20"/>
          <w:lang w:eastAsia="en-GB"/>
        </w:rPr>
        <w:t>3</w:t>
      </w:r>
      <w:r w:rsidR="006725FC" w:rsidRPr="00482722">
        <w:rPr>
          <w:rFonts w:ascii="Arial" w:eastAsia="Times New Roman" w:hAnsi="Arial" w:cs="Arial"/>
          <w:iCs/>
          <w:sz w:val="20"/>
          <w:szCs w:val="20"/>
          <w:lang w:eastAsia="en-GB"/>
        </w:rPr>
        <w:t xml:space="preserve">, </w:t>
      </w:r>
      <w:r w:rsidR="00965F2B"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271-282.</w:t>
      </w:r>
    </w:p>
    <w:p w14:paraId="55B739E4" w14:textId="27C03B2A" w:rsidR="00EB72DE" w:rsidRPr="00482722" w:rsidRDefault="00EB72D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Liang, R., Guo, W. and Zhang, L. (2019)</w:t>
      </w:r>
      <w:r w:rsidR="00965F2B"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Exploring oppositional loyalty and satisfaction in firm-hosted communities in China: Effects of social capital and e-quality"</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Internet Research</w:t>
      </w:r>
      <w:r w:rsidRPr="00482722">
        <w:rPr>
          <w:rFonts w:ascii="Arial" w:eastAsia="Times New Roman" w:hAnsi="Arial" w:cs="Arial"/>
          <w:sz w:val="20"/>
          <w:szCs w:val="20"/>
          <w:lang w:eastAsia="en-GB"/>
        </w:rPr>
        <w:t>, doi.org/10.1108/INTR-07-2018-0344.</w:t>
      </w:r>
    </w:p>
    <w:p w14:paraId="356ACFAB" w14:textId="2846EBA2" w:rsidR="00497F6B" w:rsidRPr="00482722" w:rsidRDefault="00497F6B"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Liao, G.</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Y., Pham, T.</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T.</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L., Cheng, T.</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E. and Teng, C.</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I.</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2020</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Impacts of real-world need satisfaction on online gamer loyalty: Perspective of self-affirmation theory</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Computers in Human Behavior</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103, pp.91-100.</w:t>
      </w:r>
    </w:p>
    <w:p w14:paraId="28F7A697" w14:textId="7ED6BD09" w:rsidR="00A506F7" w:rsidRPr="00482722" w:rsidRDefault="00A506F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Maitlo, A., Ameen, N., Peikari, H.R. and Shah, M. (2019)</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Preventing identity theft: Identifying major barriers to knowledge-sharing in online retail organisations</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Information Technology and People</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32</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5</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 1184-1214.</w:t>
      </w:r>
    </w:p>
    <w:p w14:paraId="352CFC6E"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Malhotra, N.K. (2010), “</w:t>
      </w:r>
      <w:r w:rsidRPr="00482722">
        <w:rPr>
          <w:rFonts w:ascii="Arial" w:eastAsia="Times New Roman" w:hAnsi="Arial" w:cs="Arial"/>
          <w:i/>
          <w:iCs/>
          <w:sz w:val="20"/>
          <w:szCs w:val="20"/>
          <w:lang w:eastAsia="en-GB"/>
        </w:rPr>
        <w:t>Marketing Research: An Applied Orientation</w:t>
      </w:r>
      <w:r w:rsidRPr="00482722">
        <w:rPr>
          <w:rFonts w:ascii="Arial" w:eastAsia="Times New Roman" w:hAnsi="Arial" w:cs="Arial"/>
          <w:sz w:val="20"/>
          <w:szCs w:val="20"/>
          <w:lang w:eastAsia="en-GB"/>
        </w:rPr>
        <w:t>”, 6th ed., Prentice Hall, London.</w:t>
      </w:r>
    </w:p>
    <w:p w14:paraId="03244FD6" w14:textId="45E38F1B"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McKnight, D.</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H., Choudhury, V. and Kacmar, C.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2002</w:t>
      </w:r>
      <w:r w:rsidR="00FE7D78" w:rsidRPr="00482722">
        <w:rPr>
          <w:rFonts w:ascii="Arial" w:eastAsia="Times New Roman" w:hAnsi="Arial" w:cs="Arial"/>
          <w:sz w:val="20"/>
          <w:szCs w:val="20"/>
          <w:lang w:eastAsia="en-GB"/>
        </w:rPr>
        <w:t>)</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Developing and validating trust measures for e-commerce: An integrative typology</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Information </w:t>
      </w:r>
      <w:r w:rsidR="00FE7D78" w:rsidRPr="00482722">
        <w:rPr>
          <w:rFonts w:ascii="Arial" w:eastAsia="Times New Roman" w:hAnsi="Arial" w:cs="Arial"/>
          <w:i/>
          <w:sz w:val="20"/>
          <w:szCs w:val="20"/>
          <w:lang w:eastAsia="en-GB"/>
        </w:rPr>
        <w:t>S</w:t>
      </w:r>
      <w:r w:rsidRPr="00482722">
        <w:rPr>
          <w:rFonts w:ascii="Arial" w:eastAsia="Times New Roman" w:hAnsi="Arial" w:cs="Arial"/>
          <w:i/>
          <w:sz w:val="20"/>
          <w:szCs w:val="20"/>
          <w:lang w:eastAsia="en-GB"/>
        </w:rPr>
        <w:t xml:space="preserve">ystems </w:t>
      </w:r>
      <w:r w:rsidR="00FE7D78" w:rsidRPr="00482722">
        <w:rPr>
          <w:rFonts w:ascii="Arial" w:eastAsia="Times New Roman" w:hAnsi="Arial" w:cs="Arial"/>
          <w:i/>
          <w:sz w:val="20"/>
          <w:szCs w:val="20"/>
          <w:lang w:eastAsia="en-GB"/>
        </w:rPr>
        <w:t>R</w:t>
      </w:r>
      <w:r w:rsidRPr="00482722">
        <w:rPr>
          <w:rFonts w:ascii="Arial" w:eastAsia="Times New Roman" w:hAnsi="Arial" w:cs="Arial"/>
          <w:i/>
          <w:sz w:val="20"/>
          <w:szCs w:val="20"/>
          <w:lang w:eastAsia="en-GB"/>
        </w:rPr>
        <w:t>esearch, </w:t>
      </w:r>
      <w:r w:rsidR="006725FC" w:rsidRPr="00482722">
        <w:rPr>
          <w:rFonts w:ascii="Arial" w:eastAsia="Times New Roman" w:hAnsi="Arial" w:cs="Arial"/>
          <w:sz w:val="20"/>
          <w:szCs w:val="20"/>
          <w:lang w:eastAsia="en-GB"/>
        </w:rPr>
        <w:t xml:space="preserve">Vol. </w:t>
      </w:r>
      <w:r w:rsidR="006A2D53" w:rsidRPr="00482722">
        <w:rPr>
          <w:rFonts w:ascii="Arial" w:eastAsia="Times New Roman" w:hAnsi="Arial" w:cs="Arial"/>
          <w:sz w:val="20"/>
          <w:szCs w:val="20"/>
          <w:lang w:eastAsia="en-GB"/>
        </w:rPr>
        <w:t>13</w:t>
      </w:r>
      <w:r w:rsidR="006725FC" w:rsidRPr="00482722">
        <w:rPr>
          <w:rFonts w:ascii="Arial" w:eastAsia="Times New Roman" w:hAnsi="Arial" w:cs="Arial"/>
          <w:sz w:val="20"/>
          <w:szCs w:val="20"/>
          <w:lang w:eastAsia="en-GB"/>
        </w:rPr>
        <w:t xml:space="preserve"> No. </w:t>
      </w:r>
      <w:r w:rsidR="006A2D53"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5875B9" w:rsidRPr="00482722">
        <w:rPr>
          <w:rFonts w:ascii="Arial" w:eastAsia="Times New Roman" w:hAnsi="Arial" w:cs="Arial"/>
          <w:sz w:val="20"/>
          <w:szCs w:val="20"/>
          <w:lang w:eastAsia="en-GB"/>
        </w:rPr>
        <w:t>pp.</w:t>
      </w:r>
      <w:r w:rsidR="005875B9" w:rsidRPr="00482722">
        <w:rPr>
          <w:rFonts w:ascii="Arial" w:eastAsia="Times New Roman" w:hAnsi="Arial" w:cs="Arial"/>
          <w:iCs/>
          <w:sz w:val="20"/>
          <w:szCs w:val="20"/>
          <w:lang w:eastAsia="en-GB"/>
        </w:rPr>
        <w:t xml:space="preserve"> </w:t>
      </w:r>
      <w:r w:rsidRPr="00482722">
        <w:rPr>
          <w:rFonts w:ascii="Arial" w:eastAsia="Times New Roman" w:hAnsi="Arial" w:cs="Arial"/>
          <w:iCs/>
          <w:sz w:val="20"/>
          <w:szCs w:val="20"/>
          <w:lang w:eastAsia="en-GB"/>
        </w:rPr>
        <w:t>334-359.</w:t>
      </w:r>
    </w:p>
    <w:p w14:paraId="01E17CDD"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Matsunaga, M., (2008), “Item parceling in structural equation modeling: A primer</w:t>
      </w:r>
      <w:r w:rsidRPr="00482722">
        <w:rPr>
          <w:rFonts w:ascii="Arial" w:eastAsia="Times New Roman" w:hAnsi="Arial" w:cs="Arial"/>
          <w:i/>
          <w:iCs/>
          <w:sz w:val="20"/>
          <w:szCs w:val="20"/>
          <w:lang w:eastAsia="en-GB"/>
        </w:rPr>
        <w:t>”, Communication Methods and Measures</w:t>
      </w:r>
      <w:r w:rsidRPr="00482722">
        <w:rPr>
          <w:rFonts w:ascii="Arial" w:eastAsia="Times New Roman" w:hAnsi="Arial" w:cs="Arial"/>
          <w:sz w:val="20"/>
          <w:szCs w:val="20"/>
          <w:lang w:eastAsia="en-GB"/>
        </w:rPr>
        <w:t>, Vol. 2 No. 4. pp. 260-293. doi: 10.1080/19312450802458935.</w:t>
      </w:r>
    </w:p>
    <w:p w14:paraId="6E809C37" w14:textId="5A86FB3E" w:rsidR="00A859D0" w:rsidRPr="00482722" w:rsidRDefault="00A859D0"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Morgeson III, F.V.</w:t>
      </w:r>
      <w:r w:rsidR="005875B9"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2011</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Comparing determinants of website satisfaction and loyalty across the e-government and e-business domains</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Electronic Government, an International Journal</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8 No. </w:t>
      </w:r>
      <w:r w:rsidR="00D76098" w:rsidRPr="00482722">
        <w:rPr>
          <w:rFonts w:ascii="Arial" w:eastAsia="Times New Roman" w:hAnsi="Arial" w:cs="Arial"/>
          <w:sz w:val="20"/>
          <w:szCs w:val="20"/>
          <w:lang w:eastAsia="en-GB"/>
        </w:rPr>
        <w:t>2-3</w:t>
      </w:r>
      <w:r w:rsidR="006725FC" w:rsidRPr="00482722">
        <w:rPr>
          <w:rFonts w:ascii="Arial" w:eastAsia="Times New Roman" w:hAnsi="Arial" w:cs="Arial"/>
          <w:sz w:val="20"/>
          <w:szCs w:val="20"/>
          <w:lang w:eastAsia="en-GB"/>
        </w:rPr>
        <w:t xml:space="preserve">, </w:t>
      </w:r>
      <w:r w:rsidR="005875B9"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164-184.</w:t>
      </w:r>
    </w:p>
    <w:p w14:paraId="62447178" w14:textId="7103A1B2"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Morgeson III, F.</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V., VanAmburg, D.</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Mithas, S.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2010</w:t>
      </w:r>
      <w:r w:rsidR="00FE7D78" w:rsidRPr="00482722">
        <w:rPr>
          <w:rFonts w:ascii="Arial" w:eastAsia="Times New Roman" w:hAnsi="Arial" w:cs="Arial"/>
          <w:sz w:val="20"/>
          <w:szCs w:val="20"/>
          <w:lang w:eastAsia="en-GB"/>
        </w:rPr>
        <w:t>)</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Misplaced trust? Exploring the structure of the e-government-citizen trust relationship</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Public Administration Research and Theory,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21</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2</w:t>
      </w:r>
      <w:r w:rsidR="006725FC" w:rsidRPr="00482722">
        <w:rPr>
          <w:rFonts w:ascii="Arial" w:eastAsia="Times New Roman" w:hAnsi="Arial" w:cs="Arial"/>
          <w:sz w:val="20"/>
          <w:szCs w:val="20"/>
          <w:lang w:eastAsia="en-GB"/>
        </w:rPr>
        <w:t xml:space="preserve">, </w:t>
      </w:r>
      <w:r w:rsidR="005875B9"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257-283.</w:t>
      </w:r>
    </w:p>
    <w:p w14:paraId="76C1F11E" w14:textId="14AA803E"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Nunnally, J. C.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1993</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Psychometric </w:t>
      </w:r>
      <w:r w:rsidR="00FE7D78" w:rsidRPr="00482722">
        <w:rPr>
          <w:rFonts w:ascii="Arial" w:eastAsia="Times New Roman" w:hAnsi="Arial" w:cs="Arial"/>
          <w:i/>
          <w:sz w:val="20"/>
          <w:szCs w:val="20"/>
          <w:lang w:eastAsia="en-GB"/>
        </w:rPr>
        <w:t>t</w:t>
      </w:r>
      <w:r w:rsidRPr="00482722">
        <w:rPr>
          <w:rFonts w:ascii="Arial" w:eastAsia="Times New Roman" w:hAnsi="Arial" w:cs="Arial"/>
          <w:i/>
          <w:sz w:val="20"/>
          <w:szCs w:val="20"/>
          <w:lang w:eastAsia="en-GB"/>
        </w:rPr>
        <w:t>heory</w:t>
      </w:r>
      <w:r w:rsidRPr="00482722">
        <w:rPr>
          <w:rFonts w:ascii="Arial" w:eastAsia="Times New Roman" w:hAnsi="Arial" w:cs="Arial"/>
          <w:sz w:val="20"/>
          <w:szCs w:val="20"/>
          <w:lang w:eastAsia="en-GB"/>
        </w:rPr>
        <w:t xml:space="preserve">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3rd </w:t>
      </w:r>
      <w:r w:rsidR="00FE7D78" w:rsidRPr="00482722">
        <w:rPr>
          <w:rFonts w:ascii="Arial" w:eastAsia="Times New Roman" w:hAnsi="Arial" w:cs="Arial"/>
          <w:sz w:val="20"/>
          <w:szCs w:val="20"/>
          <w:lang w:eastAsia="en-GB"/>
        </w:rPr>
        <w:t>ed.).</w:t>
      </w:r>
      <w:r w:rsidRPr="00482722">
        <w:rPr>
          <w:rFonts w:ascii="Arial" w:eastAsia="Times New Roman" w:hAnsi="Arial" w:cs="Arial"/>
          <w:sz w:val="20"/>
          <w:szCs w:val="20"/>
          <w:lang w:eastAsia="en-GB"/>
        </w:rPr>
        <w:t xml:space="preserve"> New York, NY: McGraw-Hill.</w:t>
      </w:r>
    </w:p>
    <w:p w14:paraId="4567D3F8" w14:textId="4736BA3E"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Orgeron, C.</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w:t>
      </w:r>
      <w:r w:rsidR="009B3045" w:rsidRPr="00482722">
        <w:rPr>
          <w:rFonts w:ascii="Arial" w:eastAsia="Times New Roman" w:hAnsi="Arial" w:cs="Arial"/>
          <w:sz w:val="20"/>
          <w:szCs w:val="20"/>
          <w:lang w:eastAsia="en-GB"/>
        </w:rPr>
        <w:t xml:space="preserve"> </w:t>
      </w:r>
      <w:r w:rsidR="00D76098" w:rsidRPr="00482722">
        <w:rPr>
          <w:rFonts w:ascii="Arial" w:eastAsia="Times New Roman" w:hAnsi="Arial" w:cs="Arial"/>
          <w:sz w:val="20"/>
          <w:szCs w:val="20"/>
          <w:lang w:eastAsia="en-GB"/>
        </w:rPr>
        <w:t>and Goodman</w:t>
      </w:r>
      <w:r w:rsidRPr="00482722">
        <w:rPr>
          <w:rFonts w:ascii="Arial" w:eastAsia="Times New Roman" w:hAnsi="Arial" w:cs="Arial"/>
          <w:sz w:val="20"/>
          <w:szCs w:val="20"/>
          <w:lang w:eastAsia="en-GB"/>
        </w:rPr>
        <w:t xml:space="preserve">, D.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2011</w:t>
      </w:r>
      <w:r w:rsidR="00FE7D78" w:rsidRPr="00482722">
        <w:rPr>
          <w:rFonts w:ascii="Arial" w:eastAsia="Times New Roman" w:hAnsi="Arial" w:cs="Arial"/>
          <w:sz w:val="20"/>
          <w:szCs w:val="20"/>
          <w:lang w:eastAsia="en-GB"/>
        </w:rPr>
        <w:t>)</w:t>
      </w:r>
      <w:r w:rsidR="005875B9"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Evaluating citizen adoption and satisfaction of e-government</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International Journal of Electronic Government Research,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7</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5875B9"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57-78.</w:t>
      </w:r>
    </w:p>
    <w:p w14:paraId="4890386F" w14:textId="27F1DF1F" w:rsidR="00072E5F" w:rsidRPr="00482722" w:rsidRDefault="00072E5F"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Pai, P.</w:t>
      </w:r>
      <w:r w:rsidR="009B3045" w:rsidRPr="00482722">
        <w:rPr>
          <w:rFonts w:ascii="Arial" w:eastAsia="Times New Roman" w:hAnsi="Arial" w:cs="Arial"/>
          <w:sz w:val="20"/>
          <w:szCs w:val="20"/>
          <w:rtl/>
          <w:lang w:eastAsia="en-GB"/>
        </w:rPr>
        <w:t xml:space="preserve"> </w:t>
      </w:r>
      <w:r w:rsidRPr="00482722">
        <w:rPr>
          <w:rFonts w:ascii="Arial" w:eastAsia="Times New Roman" w:hAnsi="Arial" w:cs="Arial"/>
          <w:sz w:val="20"/>
          <w:szCs w:val="20"/>
          <w:lang w:eastAsia="en-GB"/>
        </w:rPr>
        <w:t>Y. and Tsai, H.</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T.</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2011</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How virtual community participation influences consumer loyalty intentions in online shopping contexts: an investigation of mediating factors</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Behaviour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information technology</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30</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5</w:t>
      </w:r>
      <w:r w:rsidR="006725FC" w:rsidRPr="00482722">
        <w:rPr>
          <w:rFonts w:ascii="Arial" w:eastAsia="Times New Roman" w:hAnsi="Arial" w:cs="Arial"/>
          <w:sz w:val="20"/>
          <w:szCs w:val="20"/>
          <w:lang w:eastAsia="en-GB"/>
        </w:rPr>
        <w:t xml:space="preserve">,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603-615.</w:t>
      </w:r>
    </w:p>
    <w:p w14:paraId="3B3BA3D1" w14:textId="4B249F35"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Pallant, J.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2005</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SPSS survival manual</w:t>
      </w:r>
      <w:r w:rsidR="00FE7D78" w:rsidRPr="00482722">
        <w:rPr>
          <w:rFonts w:ascii="Arial" w:eastAsia="Times New Roman" w:hAnsi="Arial" w:cs="Arial"/>
          <w:i/>
          <w:sz w:val="20"/>
          <w:szCs w:val="20"/>
          <w:lang w:eastAsia="en-GB"/>
        </w:rPr>
        <w:t>:</w:t>
      </w:r>
      <w:r w:rsidRPr="00482722">
        <w:rPr>
          <w:rFonts w:ascii="Arial" w:eastAsia="Times New Roman" w:hAnsi="Arial" w:cs="Arial"/>
          <w:i/>
          <w:sz w:val="20"/>
          <w:szCs w:val="20"/>
          <w:lang w:eastAsia="en-GB"/>
        </w:rPr>
        <w:t xml:space="preserve"> A step by step guide to data analysis using SPSS for windows</w:t>
      </w:r>
      <w:r w:rsidRPr="00482722">
        <w:rPr>
          <w:rFonts w:ascii="Arial" w:eastAsia="Times New Roman" w:hAnsi="Arial" w:cs="Arial"/>
          <w:sz w:val="20"/>
          <w:szCs w:val="20"/>
          <w:lang w:eastAsia="en-GB"/>
        </w:rPr>
        <w:t xml:space="preserve"> (version 12</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2nd </w:t>
      </w:r>
      <w:r w:rsidR="00FE7D78" w:rsidRPr="00482722">
        <w:rPr>
          <w:rFonts w:ascii="Arial" w:eastAsia="Times New Roman" w:hAnsi="Arial" w:cs="Arial"/>
          <w:sz w:val="20"/>
          <w:szCs w:val="20"/>
          <w:lang w:eastAsia="en-GB"/>
        </w:rPr>
        <w:t>ed.).</w:t>
      </w:r>
      <w:r w:rsidRPr="00482722">
        <w:rPr>
          <w:rFonts w:ascii="Arial" w:eastAsia="Times New Roman" w:hAnsi="Arial" w:cs="Arial"/>
          <w:sz w:val="20"/>
          <w:szCs w:val="20"/>
          <w:lang w:eastAsia="en-GB"/>
        </w:rPr>
        <w:t xml:space="preserve"> New York</w:t>
      </w:r>
      <w:r w:rsidR="00244125" w:rsidRPr="00482722">
        <w:rPr>
          <w:rFonts w:ascii="Arial" w:eastAsia="Times New Roman" w:hAnsi="Arial" w:cs="Arial"/>
          <w:sz w:val="20"/>
          <w:szCs w:val="20"/>
          <w:lang w:eastAsia="en-GB"/>
        </w:rPr>
        <w:t>, NY, US</w:t>
      </w:r>
      <w:r w:rsidR="00FE7D78" w:rsidRPr="00482722">
        <w:rPr>
          <w:rFonts w:ascii="Arial" w:eastAsia="Times New Roman" w:hAnsi="Arial" w:cs="Arial"/>
          <w:sz w:val="20"/>
          <w:szCs w:val="20"/>
          <w:lang w:eastAsia="en-GB"/>
        </w:rPr>
        <w:t>: Open University Press</w:t>
      </w:r>
      <w:r w:rsidRPr="00482722">
        <w:rPr>
          <w:rFonts w:ascii="Arial" w:eastAsia="Times New Roman" w:hAnsi="Arial" w:cs="Arial"/>
          <w:sz w:val="20"/>
          <w:szCs w:val="20"/>
          <w:lang w:eastAsia="en-GB"/>
        </w:rPr>
        <w:t>.</w:t>
      </w:r>
    </w:p>
    <w:p w14:paraId="7A0850C7" w14:textId="6FCE26DF"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Parasuraman, A., Zeithaml, V. A.</w:t>
      </w:r>
      <w:r w:rsidR="009B3045"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Berry, L. L. (1988)</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SERVQUAL: A multiple-item scale for measuring consumer perceptions of service quality</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Retailing</w:t>
      </w:r>
      <w:r w:rsidRPr="00482722">
        <w:rPr>
          <w:rFonts w:ascii="Arial" w:eastAsia="Times New Roman" w:hAnsi="Arial" w:cs="Arial"/>
          <w:iCs/>
          <w:sz w:val="20"/>
          <w:szCs w:val="20"/>
          <w:lang w:eastAsia="en-GB"/>
        </w:rPr>
        <w:t xml:space="preserve">,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64</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009B3045"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12–40.</w:t>
      </w:r>
    </w:p>
    <w:p w14:paraId="2C0FE9EA" w14:textId="6C069706"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Parasuraman, A., Zeithaml, V.</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w:t>
      </w:r>
      <w:r w:rsidR="009B3045"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Berry, L.</w:t>
      </w:r>
      <w:r w:rsidR="00FE7D78"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L. </w:t>
      </w:r>
      <w:r w:rsidR="00FE7D78"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1985</w:t>
      </w:r>
      <w:r w:rsidR="00FE7D78"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 conceptual model of service quality and its implications for future research</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The Journal of Marketing</w:t>
      </w:r>
      <w:r w:rsidRPr="00482722">
        <w:rPr>
          <w:rFonts w:ascii="Arial" w:eastAsia="Times New Roman" w:hAnsi="Arial" w:cs="Arial"/>
          <w:sz w:val="20"/>
          <w:szCs w:val="20"/>
          <w:lang w:eastAsia="en-GB"/>
        </w:rPr>
        <w:t>,</w:t>
      </w:r>
      <w:r w:rsidR="00F66A0B"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49</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4</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pp.41-50.</w:t>
      </w:r>
    </w:p>
    <w:p w14:paraId="09688E87" w14:textId="6B2E39CB" w:rsidR="00A21291" w:rsidRPr="00482722" w:rsidRDefault="00A21291"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Parasuraman, A., Zeithaml, V.</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 and Berry, L.</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L. (1994)</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Reassessment of expectations as a comparison standard in measuring service quality: implications for further research</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Journal of marketing</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58</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pp.111-124.</w:t>
      </w:r>
    </w:p>
    <w:p w14:paraId="62668DEA" w14:textId="6C1F9401" w:rsidR="00156A83" w:rsidRPr="00482722" w:rsidRDefault="00156A8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Pearson, A., Tadisina, S.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Griffin, C. (2012)</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role of e-service quality and information quality in creating perceived value: antecedents to web site loyalty</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Information Systems Management</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29</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pp.201-215.</w:t>
      </w:r>
    </w:p>
    <w:p w14:paraId="5ACDC8B9" w14:textId="15AA7AD0" w:rsidR="00737B13" w:rsidRPr="00482722" w:rsidRDefault="00737B13"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Pérez-Morote, R., Pontones-Rosa, C.,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Núñez-Chicharro, M. (2020)</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effects of e-government evaluation, trust and the digital divide in the levels of e-government use in European countries</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Technological Forecasting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Social Change</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154, 119973. DOI: 10.1016/j.techfore.2020.119973</w:t>
      </w:r>
    </w:p>
    <w:p w14:paraId="612CB815" w14:textId="6B63C681"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Pitt, L.</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F., Watson, R.</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T.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Kavan, C.</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B.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1995</w:t>
      </w:r>
      <w:r w:rsidR="00B56970"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Service quality: a measure of information systems effectiveness</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MIS </w:t>
      </w:r>
      <w:r w:rsidR="00B56970" w:rsidRPr="00482722">
        <w:rPr>
          <w:rFonts w:ascii="Arial" w:eastAsia="Times New Roman" w:hAnsi="Arial" w:cs="Arial"/>
          <w:i/>
          <w:sz w:val="20"/>
          <w:szCs w:val="20"/>
          <w:lang w:eastAsia="en-GB"/>
        </w:rPr>
        <w:t>Q</w:t>
      </w:r>
      <w:r w:rsidRPr="00482722">
        <w:rPr>
          <w:rFonts w:ascii="Arial" w:eastAsia="Times New Roman" w:hAnsi="Arial" w:cs="Arial"/>
          <w:i/>
          <w:sz w:val="20"/>
          <w:szCs w:val="20"/>
          <w:lang w:eastAsia="en-GB"/>
        </w:rPr>
        <w:t>uarterly,</w:t>
      </w:r>
      <w:r w:rsidRPr="00482722">
        <w:rPr>
          <w:rFonts w:ascii="Arial" w:eastAsia="Times New Roman" w:hAnsi="Arial" w:cs="Arial"/>
          <w:sz w:val="20"/>
          <w:szCs w:val="20"/>
          <w:lang w:eastAsia="en-GB"/>
        </w:rPr>
        <w:t xml:space="preserve"> </w:t>
      </w:r>
      <w:r w:rsidR="00D76098" w:rsidRPr="00482722">
        <w:rPr>
          <w:rFonts w:ascii="Arial" w:eastAsia="Times New Roman" w:hAnsi="Arial" w:cs="Arial"/>
          <w:sz w:val="20"/>
          <w:szCs w:val="20"/>
          <w:lang w:eastAsia="en-GB"/>
        </w:rPr>
        <w:t xml:space="preserve">Vol. 19 No. 2,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173-187.</w:t>
      </w:r>
    </w:p>
    <w:p w14:paraId="2122BE4B" w14:textId="2C8BF535" w:rsidR="00F3241F" w:rsidRPr="00482722" w:rsidRDefault="00F3241F"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Podsakoff, P. M., MacKenzie, S. B., Lee, J. Y.,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Podsakoff, N. P. (2003)</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Common method biases in behavioral research: A critical review of the literature and recommended remedies</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Journal of Applied Psychology,</w:t>
      </w:r>
      <w:r w:rsidR="006725FC" w:rsidRPr="00482722">
        <w:rPr>
          <w:rFonts w:ascii="Arial" w:eastAsia="Times New Roman" w:hAnsi="Arial" w:cs="Arial"/>
          <w:sz w:val="20"/>
          <w:szCs w:val="20"/>
          <w:lang w:eastAsia="en-GB"/>
        </w:rPr>
        <w:t xml:space="preserve"> Vol. </w:t>
      </w:r>
      <w:r w:rsidR="00D76098" w:rsidRPr="00482722">
        <w:rPr>
          <w:rFonts w:ascii="Arial" w:eastAsia="Times New Roman" w:hAnsi="Arial" w:cs="Arial"/>
          <w:sz w:val="20"/>
          <w:szCs w:val="20"/>
          <w:lang w:eastAsia="en-GB"/>
        </w:rPr>
        <w:t>88</w:t>
      </w:r>
      <w:r w:rsidR="006725FC" w:rsidRPr="00482722">
        <w:rPr>
          <w:rFonts w:ascii="Arial" w:eastAsia="Times New Roman" w:hAnsi="Arial" w:cs="Arial"/>
          <w:sz w:val="20"/>
          <w:szCs w:val="20"/>
          <w:lang w:eastAsia="en-GB"/>
        </w:rPr>
        <w:t xml:space="preserve"> No.</w:t>
      </w:r>
      <w:r w:rsidR="00D76098" w:rsidRPr="00482722">
        <w:rPr>
          <w:rFonts w:ascii="Arial" w:eastAsia="Times New Roman" w:hAnsi="Arial" w:cs="Arial"/>
          <w:sz w:val="20"/>
          <w:szCs w:val="20"/>
          <w:lang w:eastAsia="en-GB"/>
        </w:rPr>
        <w:t xml:space="preserve"> 5,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879-903.</w:t>
      </w:r>
    </w:p>
    <w:p w14:paraId="3D231C04" w14:textId="2B834219"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Rana, N.</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 Dwivedi, Y.</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K., Lal, B., Williams, M.</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D.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Clement, M.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2017</w:t>
      </w:r>
      <w:r w:rsidR="00B56970"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Citizens’ adoption of an electronic government system: </w:t>
      </w:r>
      <w:r w:rsidR="00B56970" w:rsidRPr="00482722">
        <w:rPr>
          <w:rFonts w:ascii="Arial" w:eastAsia="Times New Roman" w:hAnsi="Arial" w:cs="Arial"/>
          <w:sz w:val="20"/>
          <w:szCs w:val="20"/>
          <w:lang w:eastAsia="en-GB"/>
        </w:rPr>
        <w:t>T</w:t>
      </w:r>
      <w:r w:rsidRPr="00482722">
        <w:rPr>
          <w:rFonts w:ascii="Arial" w:eastAsia="Times New Roman" w:hAnsi="Arial" w:cs="Arial"/>
          <w:sz w:val="20"/>
          <w:szCs w:val="20"/>
          <w:lang w:eastAsia="en-GB"/>
        </w:rPr>
        <w:t>owards a unified view</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Information Systems Frontiers</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19</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549-568.</w:t>
      </w:r>
    </w:p>
    <w:p w14:paraId="06F6939B" w14:textId="5B4B1275" w:rsidR="00A063DD" w:rsidRPr="00482722" w:rsidRDefault="00A063DD" w:rsidP="007A651E">
      <w:pPr>
        <w:spacing w:after="0" w:line="240" w:lineRule="auto"/>
        <w:ind w:hanging="720"/>
        <w:jc w:val="both"/>
        <w:rPr>
          <w:rFonts w:ascii="Arial" w:eastAsia="Times New Roman" w:hAnsi="Arial" w:cs="Arial"/>
          <w:sz w:val="20"/>
          <w:szCs w:val="20"/>
          <w:lang w:eastAsia="en-GB"/>
        </w:rPr>
      </w:pPr>
      <w:bookmarkStart w:id="26" w:name="_Hlk65445959"/>
      <w:r w:rsidRPr="00482722">
        <w:rPr>
          <w:rFonts w:ascii="Arial" w:eastAsia="Times New Roman" w:hAnsi="Arial" w:cs="Arial"/>
          <w:sz w:val="20"/>
          <w:szCs w:val="20"/>
          <w:lang w:eastAsia="en-GB"/>
        </w:rPr>
        <w:t>Rana, N.</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 Dwivedi, Y.</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K., Williams, M.</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D.</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Weerakkody, V.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2016</w:t>
      </w:r>
      <w:r w:rsidR="00B56970"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Adoption of online public grievance redressal system in India: Toward developing a unified view</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Computers in Human Behavior</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 xml:space="preserve">59,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265-282.</w:t>
      </w:r>
    </w:p>
    <w:bookmarkEnd w:id="26"/>
    <w:p w14:paraId="148A6996" w14:textId="28DAB489" w:rsidR="00A30B91" w:rsidRPr="00482722" w:rsidRDefault="00A30B91"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Raza, S.</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 Umer, A., Qureshi, M.</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 and Dahri, A.</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S. (2020)</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Internet banking service quality, e-customer satisfaction and loyalty: the modified e-SERVQUAL model</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The TQM Journal</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32</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6</w:t>
      </w:r>
      <w:r w:rsidR="006725FC" w:rsidRPr="00482722">
        <w:rPr>
          <w:rFonts w:ascii="Arial" w:eastAsia="Times New Roman" w:hAnsi="Arial" w:cs="Arial"/>
          <w:sz w:val="20"/>
          <w:szCs w:val="20"/>
          <w:lang w:eastAsia="en-GB"/>
        </w:rPr>
        <w:t xml:space="preserve">,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1443-1466. https://doi.org/10.1108/TQM-02-2020-0019</w:t>
      </w:r>
    </w:p>
    <w:p w14:paraId="7E1E76D0" w14:textId="3C91907A"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Reichheld, F.</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F.</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Schefter, P.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2000</w:t>
      </w:r>
      <w:r w:rsidR="00B56970"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E-loyalty: </w:t>
      </w:r>
      <w:r w:rsidR="00B56970" w:rsidRPr="00482722">
        <w:rPr>
          <w:rFonts w:ascii="Arial" w:eastAsia="Times New Roman" w:hAnsi="Arial" w:cs="Arial"/>
          <w:sz w:val="20"/>
          <w:szCs w:val="20"/>
          <w:lang w:eastAsia="en-GB"/>
        </w:rPr>
        <w:t>Y</w:t>
      </w:r>
      <w:r w:rsidRPr="00482722">
        <w:rPr>
          <w:rFonts w:ascii="Arial" w:eastAsia="Times New Roman" w:hAnsi="Arial" w:cs="Arial"/>
          <w:sz w:val="20"/>
          <w:szCs w:val="20"/>
          <w:lang w:eastAsia="en-GB"/>
        </w:rPr>
        <w:t>our secret weapon on the web</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Harvard </w:t>
      </w:r>
      <w:r w:rsidR="00B56970" w:rsidRPr="00482722">
        <w:rPr>
          <w:rFonts w:ascii="Arial" w:eastAsia="Times New Roman" w:hAnsi="Arial" w:cs="Arial"/>
          <w:i/>
          <w:sz w:val="20"/>
          <w:szCs w:val="20"/>
          <w:lang w:eastAsia="en-GB"/>
        </w:rPr>
        <w:t>B</w:t>
      </w:r>
      <w:r w:rsidRPr="00482722">
        <w:rPr>
          <w:rFonts w:ascii="Arial" w:eastAsia="Times New Roman" w:hAnsi="Arial" w:cs="Arial"/>
          <w:i/>
          <w:sz w:val="20"/>
          <w:szCs w:val="20"/>
          <w:lang w:eastAsia="en-GB"/>
        </w:rPr>
        <w:t xml:space="preserve">usiness </w:t>
      </w:r>
      <w:r w:rsidR="00B56970" w:rsidRPr="00482722">
        <w:rPr>
          <w:rFonts w:ascii="Arial" w:eastAsia="Times New Roman" w:hAnsi="Arial" w:cs="Arial"/>
          <w:i/>
          <w:sz w:val="20"/>
          <w:szCs w:val="20"/>
          <w:lang w:eastAsia="en-GB"/>
        </w:rPr>
        <w:t>R</w:t>
      </w:r>
      <w:r w:rsidRPr="00482722">
        <w:rPr>
          <w:rFonts w:ascii="Arial" w:eastAsia="Times New Roman" w:hAnsi="Arial" w:cs="Arial"/>
          <w:i/>
          <w:sz w:val="20"/>
          <w:szCs w:val="20"/>
          <w:lang w:eastAsia="en-GB"/>
        </w:rPr>
        <w:t>eview, </w:t>
      </w:r>
      <w:r w:rsidR="00DF6B1A" w:rsidRPr="00482722">
        <w:rPr>
          <w:rFonts w:ascii="Arial" w:eastAsia="Times New Roman" w:hAnsi="Arial" w:cs="Arial"/>
          <w:sz w:val="20"/>
          <w:szCs w:val="20"/>
          <w:lang w:eastAsia="en-GB"/>
        </w:rPr>
        <w:t xml:space="preserve">Vol. 78 No. 4, </w:t>
      </w:r>
      <w:r w:rsidR="009B3045"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105-113.</w:t>
      </w:r>
    </w:p>
    <w:p w14:paraId="71C1106E" w14:textId="668DCA55"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Reichheld, F.</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F.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1994</w:t>
      </w:r>
      <w:r w:rsidR="00B56970" w:rsidRPr="00482722">
        <w:rPr>
          <w:rFonts w:ascii="Arial" w:eastAsia="Times New Roman" w:hAnsi="Arial" w:cs="Arial"/>
          <w:sz w:val="20"/>
          <w:szCs w:val="20"/>
          <w:lang w:eastAsia="en-GB"/>
        </w:rPr>
        <w:t>)</w:t>
      </w:r>
      <w:r w:rsidR="009B304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Loyalty and the renaissance of marketing</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Marketing Management,</w:t>
      </w:r>
      <w:r w:rsidR="006725FC" w:rsidRPr="00482722">
        <w:rPr>
          <w:rFonts w:ascii="Arial" w:eastAsia="Times New Roman" w:hAnsi="Arial" w:cs="Arial"/>
          <w:sz w:val="20"/>
          <w:szCs w:val="20"/>
          <w:lang w:eastAsia="en-GB"/>
        </w:rPr>
        <w:t xml:space="preserve"> Vol. </w:t>
      </w:r>
      <w:r w:rsidR="00D76098" w:rsidRPr="00482722">
        <w:rPr>
          <w:rFonts w:ascii="Arial" w:eastAsia="Times New Roman" w:hAnsi="Arial" w:cs="Arial"/>
          <w:sz w:val="20"/>
          <w:szCs w:val="20"/>
          <w:lang w:eastAsia="en-GB"/>
        </w:rPr>
        <w:t>2</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4, pp.</w:t>
      </w:r>
      <w:r w:rsidR="009B3045"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10</w:t>
      </w:r>
      <w:r w:rsidR="009B3045" w:rsidRPr="00482722">
        <w:rPr>
          <w:rFonts w:ascii="Arial" w:eastAsia="Times New Roman" w:hAnsi="Arial" w:cs="Arial"/>
          <w:sz w:val="20"/>
          <w:szCs w:val="20"/>
          <w:lang w:eastAsia="en-GB"/>
        </w:rPr>
        <w:t>-21</w:t>
      </w:r>
      <w:r w:rsidRPr="00482722">
        <w:rPr>
          <w:rFonts w:ascii="Arial" w:eastAsia="Times New Roman" w:hAnsi="Arial" w:cs="Arial"/>
          <w:sz w:val="20"/>
          <w:szCs w:val="20"/>
          <w:lang w:eastAsia="en-GB"/>
        </w:rPr>
        <w:t>.</w:t>
      </w:r>
    </w:p>
    <w:p w14:paraId="1E51BC1C" w14:textId="0CAC2883"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Sá, F., Rocha, Á.</w:t>
      </w:r>
      <w:r w:rsidR="00B56970"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00C33CB1" w:rsidRPr="00482722">
        <w:rPr>
          <w:rFonts w:ascii="Arial" w:eastAsia="Times New Roman" w:hAnsi="Arial" w:cs="Arial"/>
          <w:sz w:val="20"/>
          <w:szCs w:val="20"/>
          <w:lang w:eastAsia="en-GB"/>
        </w:rPr>
        <w:t xml:space="preserve"> Cota</w:t>
      </w:r>
      <w:r w:rsidRPr="00482722">
        <w:rPr>
          <w:rFonts w:ascii="Arial" w:eastAsia="Times New Roman" w:hAnsi="Arial" w:cs="Arial"/>
          <w:sz w:val="20"/>
          <w:szCs w:val="20"/>
          <w:lang w:eastAsia="en-GB"/>
        </w:rPr>
        <w:t>, M.</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P.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2016</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From the quality of traditional services to the quality of local e-Government online services: A literature review</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Government Information Quarterly,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33</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149-160.</w:t>
      </w:r>
    </w:p>
    <w:p w14:paraId="747D0575" w14:textId="53DCAC7A" w:rsidR="000C594A" w:rsidRPr="00482722" w:rsidRDefault="001F3F0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Rotter, J.</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B.</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(1971)</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Generalized expectancies for interpersonal trust</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American psychologist</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26</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5</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000C594A" w:rsidRPr="00482722">
        <w:rPr>
          <w:rFonts w:ascii="Arial" w:hAnsi="Arial" w:cs="Arial"/>
          <w:sz w:val="21"/>
          <w:szCs w:val="21"/>
          <w:shd w:val="clear" w:color="auto" w:fill="FFFFFF"/>
        </w:rPr>
        <w:t>443–452. </w:t>
      </w:r>
      <w:hyperlink r:id="rId10" w:tgtFrame="_blank" w:history="1">
        <w:r w:rsidR="000C594A" w:rsidRPr="00482722">
          <w:rPr>
            <w:rStyle w:val="Hyperlink"/>
            <w:rFonts w:ascii="Arial" w:hAnsi="Arial" w:cs="Arial"/>
            <w:color w:val="auto"/>
            <w:sz w:val="21"/>
            <w:szCs w:val="21"/>
            <w:shd w:val="clear" w:color="auto" w:fill="FFFFFF"/>
          </w:rPr>
          <w:t>https://doi.org/10.1037/h0031464</w:t>
        </w:r>
      </w:hyperlink>
    </w:p>
    <w:p w14:paraId="40AA4E58" w14:textId="425116FE" w:rsidR="00B755FB" w:rsidRPr="00482722" w:rsidRDefault="00B755FB"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Santa, R., MacDonald, J.</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B.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Ferrer, M.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2019</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The role of trust in e-Government effectiveness, operational effectiveness and user satisfaction: Lessons from Saudi Arabia in e-G2B</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Government Information Quarterly,</w:t>
      </w:r>
      <w:r w:rsidR="006725FC" w:rsidRPr="00482722">
        <w:rPr>
          <w:rFonts w:ascii="Arial" w:eastAsia="Times New Roman" w:hAnsi="Arial" w:cs="Arial"/>
          <w:sz w:val="20"/>
          <w:szCs w:val="20"/>
          <w:lang w:eastAsia="en-GB"/>
        </w:rPr>
        <w:t xml:space="preserve"> Vol. </w:t>
      </w:r>
      <w:r w:rsidR="00D76098" w:rsidRPr="00482722">
        <w:rPr>
          <w:rFonts w:ascii="Arial" w:eastAsia="Times New Roman" w:hAnsi="Arial" w:cs="Arial"/>
          <w:sz w:val="20"/>
          <w:szCs w:val="20"/>
          <w:lang w:eastAsia="en-GB"/>
        </w:rPr>
        <w:t>36</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1, pp.</w:t>
      </w:r>
      <w:r w:rsidR="000C594A" w:rsidRPr="00482722">
        <w:rPr>
          <w:rFonts w:ascii="Arial" w:eastAsia="Times New Roman" w:hAnsi="Arial" w:cs="Arial"/>
          <w:iCs/>
          <w:sz w:val="20"/>
          <w:szCs w:val="20"/>
          <w:lang w:eastAsia="en-GB"/>
        </w:rPr>
        <w:t xml:space="preserve"> </w:t>
      </w:r>
      <w:r w:rsidRPr="00482722">
        <w:rPr>
          <w:rFonts w:ascii="Arial" w:eastAsia="Times New Roman" w:hAnsi="Arial" w:cs="Arial"/>
          <w:iCs/>
          <w:sz w:val="20"/>
          <w:szCs w:val="20"/>
          <w:lang w:eastAsia="en-GB"/>
        </w:rPr>
        <w:t>39-50.</w:t>
      </w:r>
    </w:p>
    <w:p w14:paraId="608C6D71" w14:textId="53D1A25B"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Schumacker. R</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Lomax R.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2010</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A </w:t>
      </w:r>
      <w:r w:rsidR="00B56970" w:rsidRPr="00482722">
        <w:rPr>
          <w:rFonts w:ascii="Arial" w:eastAsia="Times New Roman" w:hAnsi="Arial" w:cs="Arial"/>
          <w:i/>
          <w:sz w:val="20"/>
          <w:szCs w:val="20"/>
          <w:lang w:eastAsia="en-GB"/>
        </w:rPr>
        <w:t>b</w:t>
      </w:r>
      <w:r w:rsidRPr="00482722">
        <w:rPr>
          <w:rFonts w:ascii="Arial" w:eastAsia="Times New Roman" w:hAnsi="Arial" w:cs="Arial"/>
          <w:i/>
          <w:sz w:val="20"/>
          <w:szCs w:val="20"/>
          <w:lang w:eastAsia="en-GB"/>
        </w:rPr>
        <w:t xml:space="preserve">eginner’s </w:t>
      </w:r>
      <w:r w:rsidR="00B56970" w:rsidRPr="00482722">
        <w:rPr>
          <w:rFonts w:ascii="Arial" w:eastAsia="Times New Roman" w:hAnsi="Arial" w:cs="Arial"/>
          <w:i/>
          <w:sz w:val="20"/>
          <w:szCs w:val="20"/>
          <w:lang w:eastAsia="en-GB"/>
        </w:rPr>
        <w:t>g</w:t>
      </w:r>
      <w:r w:rsidRPr="00482722">
        <w:rPr>
          <w:rFonts w:ascii="Arial" w:eastAsia="Times New Roman" w:hAnsi="Arial" w:cs="Arial"/>
          <w:i/>
          <w:sz w:val="20"/>
          <w:szCs w:val="20"/>
          <w:lang w:eastAsia="en-GB"/>
        </w:rPr>
        <w:t xml:space="preserve">uide to </w:t>
      </w:r>
      <w:r w:rsidR="00B56970" w:rsidRPr="00482722">
        <w:rPr>
          <w:rFonts w:ascii="Arial" w:eastAsia="Times New Roman" w:hAnsi="Arial" w:cs="Arial"/>
          <w:i/>
          <w:sz w:val="20"/>
          <w:szCs w:val="20"/>
          <w:lang w:eastAsia="en-GB"/>
        </w:rPr>
        <w:t>s</w:t>
      </w:r>
      <w:r w:rsidRPr="00482722">
        <w:rPr>
          <w:rFonts w:ascii="Arial" w:eastAsia="Times New Roman" w:hAnsi="Arial" w:cs="Arial"/>
          <w:i/>
          <w:sz w:val="20"/>
          <w:szCs w:val="20"/>
          <w:lang w:eastAsia="en-GB"/>
        </w:rPr>
        <w:t xml:space="preserve">tructural </w:t>
      </w:r>
      <w:r w:rsidR="00B56970" w:rsidRPr="00482722">
        <w:rPr>
          <w:rFonts w:ascii="Arial" w:eastAsia="Times New Roman" w:hAnsi="Arial" w:cs="Arial"/>
          <w:i/>
          <w:sz w:val="20"/>
          <w:szCs w:val="20"/>
          <w:lang w:eastAsia="en-GB"/>
        </w:rPr>
        <w:t>e</w:t>
      </w:r>
      <w:r w:rsidRPr="00482722">
        <w:rPr>
          <w:rFonts w:ascii="Arial" w:eastAsia="Times New Roman" w:hAnsi="Arial" w:cs="Arial"/>
          <w:i/>
          <w:sz w:val="20"/>
          <w:szCs w:val="20"/>
          <w:lang w:eastAsia="en-GB"/>
        </w:rPr>
        <w:t xml:space="preserve">quation </w:t>
      </w:r>
      <w:r w:rsidR="00B56970"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odel</w:t>
      </w:r>
      <w:r w:rsidR="00B56970" w:rsidRPr="00482722">
        <w:rPr>
          <w:rFonts w:ascii="Arial" w:eastAsia="Times New Roman" w:hAnsi="Arial" w:cs="Arial"/>
          <w:i/>
          <w:sz w:val="20"/>
          <w:szCs w:val="20"/>
          <w:lang w:eastAsia="en-GB"/>
        </w:rPr>
        <w:t>l</w:t>
      </w:r>
      <w:r w:rsidRPr="00482722">
        <w:rPr>
          <w:rFonts w:ascii="Arial" w:eastAsia="Times New Roman" w:hAnsi="Arial" w:cs="Arial"/>
          <w:i/>
          <w:sz w:val="20"/>
          <w:szCs w:val="20"/>
          <w:lang w:eastAsia="en-GB"/>
        </w:rPr>
        <w:t>ing</w:t>
      </w:r>
      <w:r w:rsidRPr="00482722">
        <w:rPr>
          <w:rFonts w:ascii="Arial" w:eastAsia="Times New Roman" w:hAnsi="Arial" w:cs="Arial"/>
          <w:sz w:val="20"/>
          <w:szCs w:val="20"/>
          <w:lang w:eastAsia="en-GB"/>
        </w:rPr>
        <w:t xml:space="preserve">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3rd </w:t>
      </w:r>
      <w:r w:rsidR="00B56970" w:rsidRPr="00482722">
        <w:rPr>
          <w:rFonts w:ascii="Arial" w:eastAsia="Times New Roman" w:hAnsi="Arial" w:cs="Arial"/>
          <w:sz w:val="20"/>
          <w:szCs w:val="20"/>
          <w:lang w:eastAsia="en-GB"/>
        </w:rPr>
        <w:t>ed.).</w:t>
      </w:r>
      <w:r w:rsidRPr="00482722">
        <w:rPr>
          <w:rFonts w:ascii="Arial" w:eastAsia="Times New Roman" w:hAnsi="Arial" w:cs="Arial"/>
          <w:sz w:val="20"/>
          <w:szCs w:val="20"/>
          <w:lang w:eastAsia="en-GB"/>
        </w:rPr>
        <w:t xml:space="preserve"> New York</w:t>
      </w:r>
      <w:r w:rsidR="00244125" w:rsidRPr="00482722">
        <w:rPr>
          <w:rFonts w:ascii="Arial" w:eastAsia="Times New Roman" w:hAnsi="Arial" w:cs="Arial"/>
          <w:sz w:val="20"/>
          <w:szCs w:val="20"/>
          <w:lang w:eastAsia="en-GB"/>
        </w:rPr>
        <w:t>, NY, US</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Taylor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Francis Group.</w:t>
      </w:r>
    </w:p>
    <w:p w14:paraId="5C447F90" w14:textId="0389BC81" w:rsidR="000B10BC" w:rsidRPr="00482722" w:rsidRDefault="000B10BC"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Şentürk, B.</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2014</w:t>
      </w:r>
      <w:r w:rsidR="000C594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iCs/>
          <w:sz w:val="20"/>
          <w:szCs w:val="20"/>
          <w:lang w:eastAsia="en-GB"/>
        </w:rPr>
        <w:t>E-Guidelines for the Effectiveness of E-Government Process</w:t>
      </w:r>
      <w:r w:rsidRPr="00482722">
        <w:rPr>
          <w:rFonts w:ascii="Arial" w:eastAsia="Times New Roman" w:hAnsi="Arial" w:cs="Arial"/>
          <w:sz w:val="20"/>
          <w:szCs w:val="20"/>
          <w:lang w:eastAsia="en-GB"/>
        </w:rPr>
        <w:t xml:space="preserve">. In: M. Sebina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P. Mazebe II, Digital Access and E-Government: Perspectives from Developing and Emerging Countries, IGI Global, 164-181.</w:t>
      </w:r>
    </w:p>
    <w:p w14:paraId="3A225D7B" w14:textId="17BBE149"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Shiau, W.-L., and Chau, P.Y.K., (2016), “Understanding behavioral intention to use a cloud computing classroom: A multiple model-comparison approach”, </w:t>
      </w:r>
      <w:r w:rsidRPr="00482722">
        <w:rPr>
          <w:rFonts w:ascii="Arial" w:eastAsia="Times New Roman" w:hAnsi="Arial" w:cs="Arial"/>
          <w:i/>
          <w:iCs/>
          <w:sz w:val="20"/>
          <w:szCs w:val="20"/>
          <w:lang w:eastAsia="en-GB"/>
        </w:rPr>
        <w:t>Information &amp; Management</w:t>
      </w:r>
      <w:r w:rsidRPr="00482722">
        <w:rPr>
          <w:rFonts w:ascii="Arial" w:eastAsia="Times New Roman" w:hAnsi="Arial" w:cs="Arial"/>
          <w:sz w:val="20"/>
          <w:szCs w:val="20"/>
          <w:lang w:eastAsia="en-GB"/>
        </w:rPr>
        <w:t>, Vol. 53 No. 3. pp. 355-365.</w:t>
      </w:r>
    </w:p>
    <w:p w14:paraId="1DBE7AB3" w14:textId="6AA8A772"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Siala, H., Kutsch, E. and Jagger, S., (2019), “Cultural influences moderating learners’ adoption of serious 3D games for managerial learning”, </w:t>
      </w:r>
      <w:r w:rsidRPr="00482722">
        <w:rPr>
          <w:rFonts w:ascii="Arial" w:eastAsia="Times New Roman" w:hAnsi="Arial" w:cs="Arial"/>
          <w:i/>
          <w:iCs/>
          <w:sz w:val="20"/>
          <w:szCs w:val="20"/>
          <w:lang w:eastAsia="en-GB"/>
        </w:rPr>
        <w:t>Information Technology &amp; People</w:t>
      </w:r>
      <w:r w:rsidRPr="00482722">
        <w:rPr>
          <w:rFonts w:ascii="Arial" w:eastAsia="Times New Roman" w:hAnsi="Arial" w:cs="Arial"/>
          <w:sz w:val="20"/>
          <w:szCs w:val="20"/>
          <w:lang w:eastAsia="en-GB"/>
        </w:rPr>
        <w:t>. Vol. 31 No. 2, pp. 455-481.</w:t>
      </w:r>
    </w:p>
    <w:p w14:paraId="6D33ECD9" w14:textId="3CC3AF21" w:rsidR="00A063DD" w:rsidRPr="00482722" w:rsidRDefault="00A063DD"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Srivastava, S.</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Teo, T.</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S.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2009</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Citizen trust development for e-government adoption and usage: Insights from young adults in Singapore</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Communications of the Association for Information Systems</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25</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359-378.</w:t>
      </w:r>
    </w:p>
    <w:p w14:paraId="6A4C4998" w14:textId="7E18B551" w:rsidR="0042632C" w:rsidRPr="00482722" w:rsidRDefault="0042632C"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Tegethoff, T.</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M., Santa, R., Granobles, D.</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F.</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M.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Hoyos, J.</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V. (2019)</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Does trust have an impact on system and operational effectiveness? The implementation of e-government in Colombia</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Electronic Government, an International Journal</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15</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241-260.</w:t>
      </w:r>
    </w:p>
    <w:p w14:paraId="751D65C6" w14:textId="7820EA93" w:rsidR="00857C6E"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Teo, T.</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S., Srivastava, S.</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Jiang, L.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2008</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Trust and electronic government success: An empirical study</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Journal of </w:t>
      </w:r>
      <w:r w:rsidR="00B56970" w:rsidRPr="00482722">
        <w:rPr>
          <w:rFonts w:ascii="Arial" w:eastAsia="Times New Roman" w:hAnsi="Arial" w:cs="Arial"/>
          <w:i/>
          <w:iCs/>
          <w:sz w:val="20"/>
          <w:szCs w:val="20"/>
          <w:lang w:eastAsia="en-GB"/>
        </w:rPr>
        <w:t>M</w:t>
      </w:r>
      <w:r w:rsidRPr="00482722">
        <w:rPr>
          <w:rFonts w:ascii="Arial" w:eastAsia="Times New Roman" w:hAnsi="Arial" w:cs="Arial"/>
          <w:i/>
          <w:iCs/>
          <w:sz w:val="20"/>
          <w:szCs w:val="20"/>
          <w:lang w:eastAsia="en-GB"/>
        </w:rPr>
        <w:t xml:space="preserve">anagement </w:t>
      </w:r>
      <w:r w:rsidR="00B56970" w:rsidRPr="00482722">
        <w:rPr>
          <w:rFonts w:ascii="Arial" w:eastAsia="Times New Roman" w:hAnsi="Arial" w:cs="Arial"/>
          <w:i/>
          <w:iCs/>
          <w:sz w:val="20"/>
          <w:szCs w:val="20"/>
          <w:lang w:eastAsia="en-GB"/>
        </w:rPr>
        <w:t>I</w:t>
      </w:r>
      <w:r w:rsidRPr="00482722">
        <w:rPr>
          <w:rFonts w:ascii="Arial" w:eastAsia="Times New Roman" w:hAnsi="Arial" w:cs="Arial"/>
          <w:i/>
          <w:iCs/>
          <w:sz w:val="20"/>
          <w:szCs w:val="20"/>
          <w:lang w:eastAsia="en-GB"/>
        </w:rPr>
        <w:t xml:space="preserve">nformation </w:t>
      </w:r>
      <w:r w:rsidR="00B56970" w:rsidRPr="00482722">
        <w:rPr>
          <w:rFonts w:ascii="Arial" w:eastAsia="Times New Roman" w:hAnsi="Arial" w:cs="Arial"/>
          <w:i/>
          <w:iCs/>
          <w:sz w:val="20"/>
          <w:szCs w:val="20"/>
          <w:lang w:eastAsia="en-GB"/>
        </w:rPr>
        <w:t>S</w:t>
      </w:r>
      <w:r w:rsidRPr="00482722">
        <w:rPr>
          <w:rFonts w:ascii="Arial" w:eastAsia="Times New Roman" w:hAnsi="Arial" w:cs="Arial"/>
          <w:i/>
          <w:iCs/>
          <w:sz w:val="20"/>
          <w:szCs w:val="20"/>
          <w:lang w:eastAsia="en-GB"/>
        </w:rPr>
        <w:t>ystems</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25</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99-132.</w:t>
      </w:r>
    </w:p>
    <w:p w14:paraId="6E01C848" w14:textId="3D51E5C2" w:rsidR="00806497" w:rsidRPr="00482722" w:rsidRDefault="00806497"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The General Authority for Statistics</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2018</w:t>
      </w:r>
      <w:r w:rsidR="000C594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iCs/>
          <w:sz w:val="20"/>
          <w:szCs w:val="20"/>
          <w:lang w:eastAsia="en-GB"/>
        </w:rPr>
        <w:t xml:space="preserve">The Statistical Yearbook. Population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Demography</w:t>
      </w:r>
      <w:r w:rsidRPr="00482722">
        <w:rPr>
          <w:rFonts w:ascii="Arial" w:eastAsia="Times New Roman" w:hAnsi="Arial" w:cs="Arial"/>
          <w:sz w:val="20"/>
          <w:szCs w:val="20"/>
          <w:lang w:eastAsia="en-GB"/>
        </w:rPr>
        <w:t xml:space="preserve">, Chapter 01, </w:t>
      </w:r>
      <w:hyperlink r:id="rId11" w:history="1">
        <w:r w:rsidRPr="00482722">
          <w:rPr>
            <w:rFonts w:ascii="Arial" w:eastAsia="Times New Roman" w:hAnsi="Arial" w:cs="Arial"/>
            <w:sz w:val="20"/>
            <w:szCs w:val="20"/>
            <w:lang w:eastAsia="en-GB"/>
          </w:rPr>
          <w:t>https://www.stats.gov.sa/en/1007-0</w:t>
        </w:r>
      </w:hyperlink>
      <w:r w:rsidRPr="00482722">
        <w:rPr>
          <w:rFonts w:ascii="Arial" w:eastAsia="Times New Roman" w:hAnsi="Arial" w:cs="Arial"/>
          <w:sz w:val="20"/>
          <w:szCs w:val="20"/>
          <w:lang w:eastAsia="en-GB"/>
        </w:rPr>
        <w:t>.</w:t>
      </w:r>
    </w:p>
    <w:p w14:paraId="1266F561" w14:textId="21D405A3" w:rsidR="00857C6E" w:rsidRPr="00482722" w:rsidRDefault="00857C6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Udo, G. J., Bagchi, K. K.,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Kirs, P.J. (2010)</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assessment of customers’e-service quality perception, satisfaction and intention</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International Journal of Information Management</w:t>
      </w:r>
      <w:r w:rsidRPr="00482722">
        <w:rPr>
          <w:rFonts w:ascii="Arial" w:eastAsia="Times New Roman" w:hAnsi="Arial" w:cs="Arial"/>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30</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6</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481-492.</w:t>
      </w:r>
    </w:p>
    <w:p w14:paraId="02A9DA78" w14:textId="4563BB3E" w:rsidR="000674DE" w:rsidRPr="00482722" w:rsidRDefault="000674DE"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Veeramootoo, N., Nunkoo, R.</w:t>
      </w:r>
      <w:r w:rsidR="000C594A"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Dwivedi, Y.</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K.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2018</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What determines success of an e-government service? Validation of an integrative model of e-filing continuance usage</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Government Information Quarterly</w:t>
      </w:r>
      <w:r w:rsidRPr="00482722">
        <w:rPr>
          <w:rFonts w:ascii="Arial" w:eastAsia="Times New Roman" w:hAnsi="Arial" w:cs="Arial"/>
          <w:iCs/>
          <w:sz w:val="20"/>
          <w:szCs w:val="20"/>
          <w:lang w:eastAsia="en-GB"/>
        </w:rPr>
        <w:t>, </w:t>
      </w:r>
      <w:r w:rsidR="006725FC" w:rsidRPr="00482722">
        <w:rPr>
          <w:rFonts w:ascii="Arial" w:eastAsia="Times New Roman" w:hAnsi="Arial" w:cs="Arial"/>
          <w:iCs/>
          <w:sz w:val="20"/>
          <w:szCs w:val="20"/>
          <w:lang w:eastAsia="en-GB"/>
        </w:rPr>
        <w:t xml:space="preserve">Vol. </w:t>
      </w:r>
      <w:r w:rsidR="00D76098" w:rsidRPr="00482722">
        <w:rPr>
          <w:rFonts w:ascii="Arial" w:eastAsia="Times New Roman" w:hAnsi="Arial" w:cs="Arial"/>
          <w:iCs/>
          <w:sz w:val="20"/>
          <w:szCs w:val="20"/>
          <w:lang w:eastAsia="en-GB"/>
        </w:rPr>
        <w:t>35</w:t>
      </w:r>
      <w:r w:rsidR="006725FC" w:rsidRPr="00482722">
        <w:rPr>
          <w:rFonts w:ascii="Arial" w:eastAsia="Times New Roman" w:hAnsi="Arial" w:cs="Arial"/>
          <w:iCs/>
          <w:sz w:val="20"/>
          <w:szCs w:val="20"/>
          <w:lang w:eastAsia="en-GB"/>
        </w:rPr>
        <w:t xml:space="preserve"> No. </w:t>
      </w:r>
      <w:r w:rsidR="00D76098" w:rsidRPr="00482722">
        <w:rPr>
          <w:rFonts w:ascii="Arial" w:eastAsia="Times New Roman" w:hAnsi="Arial" w:cs="Arial"/>
          <w:iCs/>
          <w:sz w:val="20"/>
          <w:szCs w:val="20"/>
          <w:lang w:eastAsia="en-GB"/>
        </w:rPr>
        <w:t>2</w:t>
      </w:r>
      <w:r w:rsidR="006725FC" w:rsidRPr="00482722">
        <w:rPr>
          <w:rFonts w:ascii="Arial" w:eastAsia="Times New Roman" w:hAnsi="Arial" w:cs="Arial"/>
          <w:iCs/>
          <w:sz w:val="20"/>
          <w:szCs w:val="20"/>
          <w:lang w:eastAsia="en-GB"/>
        </w:rPr>
        <w:t xml:space="preserve">, </w:t>
      </w:r>
      <w:r w:rsidR="000C594A"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161-174.</w:t>
      </w:r>
    </w:p>
    <w:p w14:paraId="05198695" w14:textId="58268233" w:rsidR="00CA0D2E" w:rsidRPr="00482722" w:rsidRDefault="00CA0D2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Verkijika, S.</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F. and De Wet, L. (2018)</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E-government adoption in sub-Saharan Africa</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Electronic Commerce Research and Applications</w:t>
      </w:r>
      <w:r w:rsidRPr="00482722">
        <w:rPr>
          <w:rFonts w:ascii="Arial" w:eastAsia="Times New Roman" w:hAnsi="Arial" w:cs="Arial"/>
          <w:sz w:val="20"/>
          <w:szCs w:val="20"/>
          <w:lang w:eastAsia="en-GB"/>
        </w:rPr>
        <w:t>, </w:t>
      </w:r>
      <w:r w:rsidR="00DF6B1A" w:rsidRPr="00482722">
        <w:rPr>
          <w:rFonts w:ascii="Arial" w:eastAsia="Times New Roman" w:hAnsi="Arial" w:cs="Arial"/>
          <w:sz w:val="20"/>
          <w:szCs w:val="20"/>
          <w:lang w:eastAsia="en-GB"/>
        </w:rPr>
        <w:t xml:space="preserve">Vol. </w:t>
      </w:r>
      <w:r w:rsidRPr="00482722">
        <w:rPr>
          <w:rFonts w:ascii="Arial" w:eastAsia="Times New Roman" w:hAnsi="Arial" w:cs="Arial"/>
          <w:sz w:val="20"/>
          <w:szCs w:val="20"/>
          <w:lang w:eastAsia="en-GB"/>
        </w:rPr>
        <w:t>30, pp.83-93.</w:t>
      </w:r>
    </w:p>
    <w:p w14:paraId="3C331E0F" w14:textId="09E809D6" w:rsidR="00EB72DE" w:rsidRPr="00482722" w:rsidRDefault="00EB72DE"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Waheed, M., Klobas, J.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Ain, N. (2020)</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Unveiling knowledge quality, researcher satisfaction, learning, and loyalty: A model of academic social media success", </w:t>
      </w:r>
      <w:r w:rsidRPr="00482722">
        <w:rPr>
          <w:rFonts w:ascii="Arial" w:eastAsia="Times New Roman" w:hAnsi="Arial" w:cs="Arial"/>
          <w:i/>
          <w:iCs/>
          <w:sz w:val="20"/>
          <w:szCs w:val="20"/>
          <w:lang w:eastAsia="en-GB"/>
        </w:rPr>
        <w:t xml:space="preserve">Information Technology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People</w:t>
      </w:r>
      <w:r w:rsidRPr="00482722">
        <w:rPr>
          <w:rFonts w:ascii="Arial" w:eastAsia="Times New Roman" w:hAnsi="Arial" w:cs="Arial"/>
          <w:sz w:val="20"/>
          <w:szCs w:val="20"/>
          <w:lang w:eastAsia="en-GB"/>
        </w:rPr>
        <w:t>, doi.org/10.1108/ITP-07-2018-0345.</w:t>
      </w:r>
    </w:p>
    <w:p w14:paraId="72DDC20F" w14:textId="1E63843B"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Wang, Y.</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S.</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Liao, Y.</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W.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2008</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Assessing eGovernment systems success: A validation of the DeLone and McLean model of information systems success</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Government Information Quarterly,</w:t>
      </w:r>
      <w:r w:rsidR="006725FC" w:rsidRPr="00482722">
        <w:rPr>
          <w:rFonts w:ascii="Arial" w:eastAsia="Times New Roman" w:hAnsi="Arial" w:cs="Arial"/>
          <w:sz w:val="20"/>
          <w:szCs w:val="20"/>
          <w:lang w:eastAsia="en-GB"/>
        </w:rPr>
        <w:t xml:space="preserve"> Vol. </w:t>
      </w:r>
      <w:r w:rsidR="00D76098" w:rsidRPr="00482722">
        <w:rPr>
          <w:rFonts w:ascii="Arial" w:eastAsia="Times New Roman" w:hAnsi="Arial" w:cs="Arial"/>
          <w:sz w:val="20"/>
          <w:szCs w:val="20"/>
          <w:lang w:eastAsia="en-GB"/>
        </w:rPr>
        <w:t>25</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4,</w:t>
      </w:r>
      <w:r w:rsidR="00DF6B1A" w:rsidRPr="00482722">
        <w:rPr>
          <w:rFonts w:ascii="Arial" w:eastAsia="Times New Roman" w:hAnsi="Arial" w:cs="Arial"/>
          <w:i/>
          <w:sz w:val="20"/>
          <w:szCs w:val="20"/>
          <w:lang w:eastAsia="en-GB"/>
        </w:rPr>
        <w:t xml:space="preserve"> pp.</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717-733.</w:t>
      </w:r>
    </w:p>
    <w:p w14:paraId="406AB8AE" w14:textId="47461068"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Warkentin, M., Gefen, D., Pavlou, P.</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A.</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Rose, G.</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M., </w:t>
      </w:r>
      <w:r w:rsidR="004672AA"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2002</w:t>
      </w:r>
      <w:r w:rsidR="004672AA"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Encouraging citizen adoption of e-government by building trust</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Electronic </w:t>
      </w:r>
      <w:r w:rsidR="00B56970"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arkets</w:t>
      </w:r>
      <w:r w:rsidRPr="00482722">
        <w:rPr>
          <w:rFonts w:ascii="Arial" w:eastAsia="Times New Roman" w:hAnsi="Arial" w:cs="Arial"/>
          <w:iCs/>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12</w:t>
      </w:r>
      <w:r w:rsidR="006725FC" w:rsidRPr="00482722">
        <w:rPr>
          <w:rFonts w:ascii="Arial" w:eastAsia="Times New Roman" w:hAnsi="Arial" w:cs="Arial"/>
          <w:sz w:val="20"/>
          <w:szCs w:val="20"/>
          <w:lang w:eastAsia="en-GB"/>
        </w:rPr>
        <w:t xml:space="preserve"> No. </w:t>
      </w:r>
      <w:r w:rsidR="00D76098"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157-162.</w:t>
      </w:r>
    </w:p>
    <w:p w14:paraId="61BBFB28" w14:textId="4DE21BA1"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Weerakkody, V., Irani, Z., Lee, H., Hindi, N.</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Osman, I</w:t>
      </w:r>
      <w:r w:rsidR="00244125"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2016</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 xml:space="preserve">Are UK </w:t>
      </w:r>
      <w:r w:rsidR="00B56970" w:rsidRPr="00482722">
        <w:rPr>
          <w:rFonts w:ascii="Arial" w:eastAsia="Times New Roman" w:hAnsi="Arial" w:cs="Arial"/>
          <w:sz w:val="20"/>
          <w:szCs w:val="20"/>
          <w:lang w:eastAsia="en-GB"/>
        </w:rPr>
        <w:t>c</w:t>
      </w:r>
      <w:r w:rsidRPr="00482722">
        <w:rPr>
          <w:rFonts w:ascii="Arial" w:eastAsia="Times New Roman" w:hAnsi="Arial" w:cs="Arial"/>
          <w:sz w:val="20"/>
          <w:szCs w:val="20"/>
          <w:lang w:eastAsia="en-GB"/>
        </w:rPr>
        <w:t xml:space="preserve">itizens </w:t>
      </w:r>
      <w:r w:rsidR="00B56970"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 xml:space="preserve">atisfied </w:t>
      </w:r>
      <w:r w:rsidR="00B56970" w:rsidRPr="00482722">
        <w:rPr>
          <w:rFonts w:ascii="Arial" w:eastAsia="Times New Roman" w:hAnsi="Arial" w:cs="Arial"/>
          <w:sz w:val="20"/>
          <w:szCs w:val="20"/>
          <w:lang w:eastAsia="en-GB"/>
        </w:rPr>
        <w:t>w</w:t>
      </w:r>
      <w:r w:rsidRPr="00482722">
        <w:rPr>
          <w:rFonts w:ascii="Arial" w:eastAsia="Times New Roman" w:hAnsi="Arial" w:cs="Arial"/>
          <w:sz w:val="20"/>
          <w:szCs w:val="20"/>
          <w:lang w:eastAsia="en-GB"/>
        </w:rPr>
        <w:t xml:space="preserve">ith </w:t>
      </w:r>
      <w:r w:rsidR="00B56970" w:rsidRPr="00482722">
        <w:rPr>
          <w:rFonts w:ascii="Arial" w:eastAsia="Times New Roman" w:hAnsi="Arial" w:cs="Arial"/>
          <w:sz w:val="20"/>
          <w:szCs w:val="20"/>
          <w:lang w:eastAsia="en-GB"/>
        </w:rPr>
        <w:t>e</w:t>
      </w:r>
      <w:r w:rsidRPr="00482722">
        <w:rPr>
          <w:rFonts w:ascii="Arial" w:eastAsia="Times New Roman" w:hAnsi="Arial" w:cs="Arial"/>
          <w:sz w:val="20"/>
          <w:szCs w:val="20"/>
          <w:lang w:eastAsia="en-GB"/>
        </w:rPr>
        <w:t>-</w:t>
      </w:r>
      <w:r w:rsidR="00B56970" w:rsidRPr="00482722">
        <w:rPr>
          <w:rFonts w:ascii="Arial" w:eastAsia="Times New Roman" w:hAnsi="Arial" w:cs="Arial"/>
          <w:sz w:val="20"/>
          <w:szCs w:val="20"/>
          <w:lang w:eastAsia="en-GB"/>
        </w:rPr>
        <w:t>g</w:t>
      </w:r>
      <w:r w:rsidRPr="00482722">
        <w:rPr>
          <w:rFonts w:ascii="Arial" w:eastAsia="Times New Roman" w:hAnsi="Arial" w:cs="Arial"/>
          <w:sz w:val="20"/>
          <w:szCs w:val="20"/>
          <w:lang w:eastAsia="en-GB"/>
        </w:rPr>
        <w:t xml:space="preserve">overnment </w:t>
      </w:r>
      <w:r w:rsidR="00B56970"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 xml:space="preserve">ervices? Identifying and </w:t>
      </w:r>
      <w:r w:rsidR="00B56970" w:rsidRPr="00482722">
        <w:rPr>
          <w:rFonts w:ascii="Arial" w:eastAsia="Times New Roman" w:hAnsi="Arial" w:cs="Arial"/>
          <w:sz w:val="20"/>
          <w:szCs w:val="20"/>
          <w:lang w:eastAsia="en-GB"/>
        </w:rPr>
        <w:t>t</w:t>
      </w:r>
      <w:r w:rsidRPr="00482722">
        <w:rPr>
          <w:rFonts w:ascii="Arial" w:eastAsia="Times New Roman" w:hAnsi="Arial" w:cs="Arial"/>
          <w:sz w:val="20"/>
          <w:szCs w:val="20"/>
          <w:lang w:eastAsia="en-GB"/>
        </w:rPr>
        <w:t xml:space="preserve">esting </w:t>
      </w:r>
      <w:r w:rsidR="00B56970" w:rsidRPr="00482722">
        <w:rPr>
          <w:rFonts w:ascii="Arial" w:eastAsia="Times New Roman" w:hAnsi="Arial" w:cs="Arial"/>
          <w:sz w:val="20"/>
          <w:szCs w:val="20"/>
          <w:lang w:eastAsia="en-GB"/>
        </w:rPr>
        <w:t>a</w:t>
      </w:r>
      <w:r w:rsidRPr="00482722">
        <w:rPr>
          <w:rFonts w:ascii="Arial" w:eastAsia="Times New Roman" w:hAnsi="Arial" w:cs="Arial"/>
          <w:sz w:val="20"/>
          <w:szCs w:val="20"/>
          <w:lang w:eastAsia="en-GB"/>
        </w:rPr>
        <w:t xml:space="preserve">ntecedents of </w:t>
      </w:r>
      <w:r w:rsidR="00B56970"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atisfaction</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Information Systems Management</w:t>
      </w:r>
      <w:r w:rsidRPr="00482722">
        <w:rPr>
          <w:rFonts w:ascii="Arial" w:eastAsia="Times New Roman" w:hAnsi="Arial" w:cs="Arial"/>
          <w:iCs/>
          <w:sz w:val="20"/>
          <w:szCs w:val="20"/>
          <w:lang w:eastAsia="en-GB"/>
        </w:rPr>
        <w:t>, </w:t>
      </w:r>
      <w:r w:rsidR="006725FC" w:rsidRPr="00482722">
        <w:rPr>
          <w:rFonts w:ascii="Arial" w:eastAsia="Times New Roman" w:hAnsi="Arial" w:cs="Arial"/>
          <w:sz w:val="20"/>
          <w:szCs w:val="20"/>
          <w:lang w:eastAsia="en-GB"/>
        </w:rPr>
        <w:t xml:space="preserve">Vol. </w:t>
      </w:r>
      <w:r w:rsidR="00D76098" w:rsidRPr="00482722">
        <w:rPr>
          <w:rFonts w:ascii="Arial" w:eastAsia="Times New Roman" w:hAnsi="Arial" w:cs="Arial"/>
          <w:sz w:val="20"/>
          <w:szCs w:val="20"/>
          <w:lang w:eastAsia="en-GB"/>
        </w:rPr>
        <w:t>33</w:t>
      </w:r>
      <w:r w:rsidR="006725FC" w:rsidRPr="00482722">
        <w:rPr>
          <w:rFonts w:ascii="Arial" w:eastAsia="Times New Roman" w:hAnsi="Arial" w:cs="Arial"/>
          <w:sz w:val="20"/>
          <w:szCs w:val="20"/>
          <w:lang w:eastAsia="en-GB"/>
        </w:rPr>
        <w:t xml:space="preserve"> No. 4, </w:t>
      </w:r>
      <w:r w:rsidR="000C594A"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331-343.</w:t>
      </w:r>
    </w:p>
    <w:p w14:paraId="039F1503" w14:textId="48205ED0" w:rsidR="00A063DD" w:rsidRPr="00482722" w:rsidRDefault="00A063D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Welch, E.</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W., Hinnant, C.</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C.</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Moon, M.</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J.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2004</w:t>
      </w:r>
      <w:r w:rsidR="00B56970" w:rsidRPr="00482722">
        <w:rPr>
          <w:rFonts w:ascii="Arial" w:eastAsia="Times New Roman" w:hAnsi="Arial" w:cs="Arial"/>
          <w:sz w:val="20"/>
          <w:szCs w:val="20"/>
          <w:lang w:eastAsia="en-GB"/>
        </w:rPr>
        <w:t>)</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Linking citizen satisfaction with e-government and trust in government</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 xml:space="preserve">Journal of </w:t>
      </w:r>
      <w:r w:rsidR="00B56970" w:rsidRPr="00482722">
        <w:rPr>
          <w:rFonts w:ascii="Arial" w:eastAsia="Times New Roman" w:hAnsi="Arial" w:cs="Arial"/>
          <w:i/>
          <w:sz w:val="20"/>
          <w:szCs w:val="20"/>
          <w:lang w:eastAsia="en-GB"/>
        </w:rPr>
        <w:t>P</w:t>
      </w:r>
      <w:r w:rsidRPr="00482722">
        <w:rPr>
          <w:rFonts w:ascii="Arial" w:eastAsia="Times New Roman" w:hAnsi="Arial" w:cs="Arial"/>
          <w:i/>
          <w:sz w:val="20"/>
          <w:szCs w:val="20"/>
          <w:lang w:eastAsia="en-GB"/>
        </w:rPr>
        <w:t xml:space="preserve">ublic </w:t>
      </w:r>
      <w:r w:rsidR="00B56970" w:rsidRPr="00482722">
        <w:rPr>
          <w:rFonts w:ascii="Arial" w:eastAsia="Times New Roman" w:hAnsi="Arial" w:cs="Arial"/>
          <w:i/>
          <w:sz w:val="20"/>
          <w:szCs w:val="20"/>
          <w:lang w:eastAsia="en-GB"/>
        </w:rPr>
        <w:t>A</w:t>
      </w:r>
      <w:r w:rsidRPr="00482722">
        <w:rPr>
          <w:rFonts w:ascii="Arial" w:eastAsia="Times New Roman" w:hAnsi="Arial" w:cs="Arial"/>
          <w:i/>
          <w:sz w:val="20"/>
          <w:szCs w:val="20"/>
          <w:lang w:eastAsia="en-GB"/>
        </w:rPr>
        <w:t xml:space="preserve">dministration </w:t>
      </w:r>
      <w:r w:rsidR="00B56970" w:rsidRPr="00482722">
        <w:rPr>
          <w:rFonts w:ascii="Arial" w:eastAsia="Times New Roman" w:hAnsi="Arial" w:cs="Arial"/>
          <w:i/>
          <w:sz w:val="20"/>
          <w:szCs w:val="20"/>
          <w:lang w:eastAsia="en-GB"/>
        </w:rPr>
        <w:t>R</w:t>
      </w:r>
      <w:r w:rsidRPr="00482722">
        <w:rPr>
          <w:rFonts w:ascii="Arial" w:eastAsia="Times New Roman" w:hAnsi="Arial" w:cs="Arial"/>
          <w:i/>
          <w:sz w:val="20"/>
          <w:szCs w:val="20"/>
          <w:lang w:eastAsia="en-GB"/>
        </w:rPr>
        <w:t xml:space="preserve">esearch and </w:t>
      </w:r>
      <w:r w:rsidR="00B56970" w:rsidRPr="00482722">
        <w:rPr>
          <w:rFonts w:ascii="Arial" w:eastAsia="Times New Roman" w:hAnsi="Arial" w:cs="Arial"/>
          <w:i/>
          <w:sz w:val="20"/>
          <w:szCs w:val="20"/>
          <w:lang w:eastAsia="en-GB"/>
        </w:rPr>
        <w:t>T</w:t>
      </w:r>
      <w:r w:rsidRPr="00482722">
        <w:rPr>
          <w:rFonts w:ascii="Arial" w:eastAsia="Times New Roman" w:hAnsi="Arial" w:cs="Arial"/>
          <w:i/>
          <w:sz w:val="20"/>
          <w:szCs w:val="20"/>
          <w:lang w:eastAsia="en-GB"/>
        </w:rPr>
        <w:t>heory</w:t>
      </w:r>
      <w:r w:rsidRPr="00482722">
        <w:rPr>
          <w:rFonts w:ascii="Arial" w:eastAsia="Times New Roman" w:hAnsi="Arial" w:cs="Arial"/>
          <w:iCs/>
          <w:sz w:val="20"/>
          <w:szCs w:val="20"/>
          <w:lang w:eastAsia="en-GB"/>
        </w:rPr>
        <w:t>, </w:t>
      </w:r>
      <w:r w:rsidR="006725FC" w:rsidRPr="00482722">
        <w:rPr>
          <w:rFonts w:ascii="Arial" w:eastAsia="Times New Roman" w:hAnsi="Arial" w:cs="Arial"/>
          <w:iCs/>
          <w:sz w:val="20"/>
          <w:szCs w:val="20"/>
          <w:lang w:eastAsia="en-GB"/>
        </w:rPr>
        <w:t xml:space="preserve">Vol. </w:t>
      </w:r>
      <w:r w:rsidR="00D76098" w:rsidRPr="00482722">
        <w:rPr>
          <w:rFonts w:ascii="Arial" w:eastAsia="Times New Roman" w:hAnsi="Arial" w:cs="Arial"/>
          <w:iCs/>
          <w:sz w:val="20"/>
          <w:szCs w:val="20"/>
          <w:lang w:eastAsia="en-GB"/>
        </w:rPr>
        <w:t>15</w:t>
      </w:r>
      <w:r w:rsidR="006725FC" w:rsidRPr="00482722">
        <w:rPr>
          <w:rFonts w:ascii="Arial" w:eastAsia="Times New Roman" w:hAnsi="Arial" w:cs="Arial"/>
          <w:iCs/>
          <w:sz w:val="20"/>
          <w:szCs w:val="20"/>
          <w:lang w:eastAsia="en-GB"/>
        </w:rPr>
        <w:t xml:space="preserve"> No. </w:t>
      </w:r>
      <w:r w:rsidR="00D76098" w:rsidRPr="00482722">
        <w:rPr>
          <w:rFonts w:ascii="Arial" w:eastAsia="Times New Roman" w:hAnsi="Arial" w:cs="Arial"/>
          <w:iCs/>
          <w:sz w:val="20"/>
          <w:szCs w:val="20"/>
          <w:lang w:eastAsia="en-GB"/>
        </w:rPr>
        <w:t>3</w:t>
      </w:r>
      <w:r w:rsidR="006725FC" w:rsidRPr="00482722">
        <w:rPr>
          <w:rFonts w:ascii="Arial" w:eastAsia="Times New Roman" w:hAnsi="Arial" w:cs="Arial"/>
          <w:iCs/>
          <w:sz w:val="20"/>
          <w:szCs w:val="20"/>
          <w:lang w:eastAsia="en-GB"/>
        </w:rPr>
        <w:t>,</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371-391.</w:t>
      </w:r>
    </w:p>
    <w:p w14:paraId="08F5C1A6" w14:textId="43F56E33" w:rsidR="00A063DD" w:rsidRPr="00482722" w:rsidRDefault="00A063DD" w:rsidP="007A651E">
      <w:pPr>
        <w:spacing w:after="0" w:line="240" w:lineRule="auto"/>
        <w:ind w:hanging="720"/>
        <w:jc w:val="both"/>
        <w:rPr>
          <w:rFonts w:ascii="Arial" w:eastAsia="Times New Roman" w:hAnsi="Arial" w:cs="Arial"/>
          <w:iCs/>
          <w:sz w:val="20"/>
          <w:szCs w:val="20"/>
          <w:lang w:eastAsia="en-GB"/>
        </w:rPr>
      </w:pPr>
      <w:r w:rsidRPr="00482722">
        <w:rPr>
          <w:rFonts w:ascii="Arial" w:eastAsia="Times New Roman" w:hAnsi="Arial" w:cs="Arial"/>
          <w:sz w:val="20"/>
          <w:szCs w:val="20"/>
          <w:lang w:eastAsia="en-GB"/>
        </w:rPr>
        <w:t>Wixom, B.</w:t>
      </w:r>
      <w:r w:rsidR="00B56970"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H.</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Todd, P. (2005)</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 theoretical integration of user satisfaction and technology acceptance</w:t>
      </w:r>
      <w:r w:rsidR="007A651E" w:rsidRPr="00482722">
        <w:rPr>
          <w:rFonts w:ascii="Arial" w:eastAsia="Times New Roman" w:hAnsi="Arial" w:cs="Arial"/>
          <w:sz w:val="20"/>
          <w:szCs w:val="20"/>
          <w:lang w:eastAsia="en-GB"/>
        </w:rPr>
        <w:t>”, </w:t>
      </w:r>
      <w:r w:rsidRPr="00482722">
        <w:rPr>
          <w:rFonts w:ascii="Arial" w:eastAsia="Times New Roman" w:hAnsi="Arial" w:cs="Arial"/>
          <w:i/>
          <w:sz w:val="20"/>
          <w:szCs w:val="20"/>
          <w:lang w:eastAsia="en-GB"/>
        </w:rPr>
        <w:t>Information Systems Research</w:t>
      </w:r>
      <w:r w:rsidRPr="00482722">
        <w:rPr>
          <w:rFonts w:ascii="Arial" w:eastAsia="Times New Roman" w:hAnsi="Arial" w:cs="Arial"/>
          <w:iCs/>
          <w:sz w:val="20"/>
          <w:szCs w:val="20"/>
          <w:lang w:eastAsia="en-GB"/>
        </w:rPr>
        <w:t xml:space="preserve">, </w:t>
      </w:r>
      <w:r w:rsidR="006725FC" w:rsidRPr="00482722">
        <w:rPr>
          <w:rFonts w:ascii="Arial" w:eastAsia="Times New Roman" w:hAnsi="Arial" w:cs="Arial"/>
          <w:sz w:val="20"/>
          <w:szCs w:val="20"/>
          <w:lang w:eastAsia="en-GB"/>
        </w:rPr>
        <w:t xml:space="preserve">Vol. </w:t>
      </w:r>
      <w:r w:rsidR="00DF6B1A" w:rsidRPr="00482722">
        <w:rPr>
          <w:rFonts w:ascii="Arial" w:eastAsia="Times New Roman" w:hAnsi="Arial" w:cs="Arial"/>
          <w:sz w:val="20"/>
          <w:szCs w:val="20"/>
          <w:lang w:eastAsia="en-GB"/>
        </w:rPr>
        <w:t>16</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iCs/>
          <w:sz w:val="20"/>
          <w:szCs w:val="20"/>
          <w:lang w:eastAsia="en-GB"/>
        </w:rPr>
        <w:t xml:space="preserve">pp. </w:t>
      </w:r>
      <w:r w:rsidRPr="00482722">
        <w:rPr>
          <w:rFonts w:ascii="Arial" w:eastAsia="Times New Roman" w:hAnsi="Arial" w:cs="Arial"/>
          <w:iCs/>
          <w:sz w:val="20"/>
          <w:szCs w:val="20"/>
          <w:lang w:eastAsia="en-GB"/>
        </w:rPr>
        <w:t>85-102.</w:t>
      </w:r>
    </w:p>
    <w:p w14:paraId="65330D44" w14:textId="39917365" w:rsidR="00A30B91" w:rsidRPr="00482722" w:rsidRDefault="00A30B91"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Yadav, M.</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 xml:space="preserve">K. </w:t>
      </w:r>
      <w:r w:rsidR="002D35B9" w:rsidRPr="00482722">
        <w:rPr>
          <w:rFonts w:ascii="Arial" w:eastAsia="Times New Roman" w:hAnsi="Arial" w:cs="Arial"/>
          <w:sz w:val="20"/>
          <w:szCs w:val="20"/>
          <w:lang w:eastAsia="en-GB"/>
        </w:rPr>
        <w:t>and</w:t>
      </w:r>
      <w:r w:rsidRPr="00482722">
        <w:rPr>
          <w:rFonts w:ascii="Arial" w:eastAsia="Times New Roman" w:hAnsi="Arial" w:cs="Arial"/>
          <w:sz w:val="20"/>
          <w:szCs w:val="20"/>
          <w:lang w:eastAsia="en-GB"/>
        </w:rPr>
        <w:t xml:space="preserve"> Rai, A.</w:t>
      </w:r>
      <w:r w:rsidR="000C594A"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K. (2019)</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Assessment of the Mediating Effect of Customer Satisfaction on the Relationship Between Service Quality and Customer Loyalty</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IUP Journal of Marketing Management</w:t>
      </w:r>
      <w:r w:rsidRPr="00482722">
        <w:rPr>
          <w:rFonts w:ascii="Arial" w:eastAsia="Times New Roman" w:hAnsi="Arial" w:cs="Arial"/>
          <w:sz w:val="20"/>
          <w:szCs w:val="20"/>
          <w:lang w:eastAsia="en-GB"/>
        </w:rPr>
        <w:t>, </w:t>
      </w:r>
      <w:r w:rsidR="00DF6B1A" w:rsidRPr="00482722">
        <w:rPr>
          <w:rFonts w:ascii="Arial" w:eastAsia="Times New Roman" w:hAnsi="Arial" w:cs="Arial"/>
          <w:sz w:val="20"/>
          <w:szCs w:val="20"/>
          <w:lang w:eastAsia="en-GB"/>
        </w:rPr>
        <w:t xml:space="preserve">Vol. 18 No. 3, </w:t>
      </w:r>
      <w:r w:rsidRPr="00482722">
        <w:rPr>
          <w:rFonts w:ascii="Arial" w:eastAsia="Times New Roman" w:hAnsi="Arial" w:cs="Arial"/>
          <w:sz w:val="20"/>
          <w:szCs w:val="20"/>
          <w:lang w:eastAsia="en-GB"/>
        </w:rPr>
        <w:t>pp.7-23.</w:t>
      </w:r>
    </w:p>
    <w:p w14:paraId="09C6FBC0" w14:textId="77BBE3CB" w:rsidR="000C168A" w:rsidRPr="00482722" w:rsidRDefault="000C168A"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Yang, J., Zheng, R., Zhao, L. and Gupta, S. (2017)</w:t>
      </w:r>
      <w:r w:rsidR="000C594A"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Enhancing customer brand experience and loyalty through enterprise microblogs: Empirical evidence from a communication framework perspective</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 xml:space="preserve">Information Technology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People</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F6B1A" w:rsidRPr="00482722">
        <w:rPr>
          <w:rFonts w:ascii="Arial" w:eastAsia="Times New Roman" w:hAnsi="Arial" w:cs="Arial"/>
          <w:sz w:val="20"/>
          <w:szCs w:val="20"/>
          <w:lang w:eastAsia="en-GB"/>
        </w:rPr>
        <w:t>30</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0C594A"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580-601.</w:t>
      </w:r>
    </w:p>
    <w:p w14:paraId="5712C190" w14:textId="5508BAF3" w:rsidR="00B755FB" w:rsidRPr="00482722" w:rsidRDefault="00B755FB"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Zikmund, W. G.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1994</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Business </w:t>
      </w:r>
      <w:r w:rsidR="00B56970" w:rsidRPr="00482722">
        <w:rPr>
          <w:rFonts w:ascii="Arial" w:eastAsia="Times New Roman" w:hAnsi="Arial" w:cs="Arial"/>
          <w:i/>
          <w:sz w:val="20"/>
          <w:szCs w:val="20"/>
          <w:lang w:eastAsia="en-GB"/>
        </w:rPr>
        <w:t>r</w:t>
      </w:r>
      <w:r w:rsidRPr="00482722">
        <w:rPr>
          <w:rFonts w:ascii="Arial" w:eastAsia="Times New Roman" w:hAnsi="Arial" w:cs="Arial"/>
          <w:i/>
          <w:sz w:val="20"/>
          <w:szCs w:val="20"/>
          <w:lang w:eastAsia="en-GB"/>
        </w:rPr>
        <w:t xml:space="preserve">esearch </w:t>
      </w:r>
      <w:r w:rsidR="00B56970" w:rsidRPr="00482722">
        <w:rPr>
          <w:rFonts w:ascii="Arial" w:eastAsia="Times New Roman" w:hAnsi="Arial" w:cs="Arial"/>
          <w:i/>
          <w:sz w:val="20"/>
          <w:szCs w:val="20"/>
          <w:lang w:eastAsia="en-GB"/>
        </w:rPr>
        <w:t>m</w:t>
      </w:r>
      <w:r w:rsidRPr="00482722">
        <w:rPr>
          <w:rFonts w:ascii="Arial" w:eastAsia="Times New Roman" w:hAnsi="Arial" w:cs="Arial"/>
          <w:i/>
          <w:sz w:val="20"/>
          <w:szCs w:val="20"/>
          <w:lang w:eastAsia="en-GB"/>
        </w:rPr>
        <w:t>ethods</w:t>
      </w:r>
      <w:r w:rsidRPr="00482722">
        <w:rPr>
          <w:rFonts w:ascii="Arial" w:eastAsia="Times New Roman" w:hAnsi="Arial" w:cs="Arial"/>
          <w:sz w:val="20"/>
          <w:szCs w:val="20"/>
          <w:lang w:eastAsia="en-GB"/>
        </w:rPr>
        <w:t xml:space="preserve">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4th </w:t>
      </w:r>
      <w:r w:rsidR="00B56970" w:rsidRPr="00482722">
        <w:rPr>
          <w:rFonts w:ascii="Arial" w:eastAsia="Times New Roman" w:hAnsi="Arial" w:cs="Arial"/>
          <w:sz w:val="20"/>
          <w:szCs w:val="20"/>
          <w:lang w:eastAsia="en-GB"/>
        </w:rPr>
        <w:t>ed.)</w:t>
      </w:r>
      <w:r w:rsidRPr="00482722">
        <w:rPr>
          <w:rFonts w:ascii="Arial" w:eastAsia="Times New Roman" w:hAnsi="Arial" w:cs="Arial"/>
          <w:sz w:val="20"/>
          <w:szCs w:val="20"/>
          <w:lang w:eastAsia="en-GB"/>
        </w:rPr>
        <w:t>. New York, NY: The Dryden Press.</w:t>
      </w:r>
    </w:p>
    <w:p w14:paraId="57B0A2E5" w14:textId="77777777" w:rsidR="00597B80" w:rsidRPr="00482722" w:rsidRDefault="00597B80" w:rsidP="00597B80">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Zhang, M. F., Dawson, J. F. and Kline, R. B. (2020) “Evaluating the Use of Covariance-Based Structural Equation Modelling with Reflective Measurement in Organizational and Management Research: A Review and Recommendations for Best Practice”, </w:t>
      </w:r>
      <w:r w:rsidRPr="00482722">
        <w:rPr>
          <w:rFonts w:ascii="Arial" w:eastAsia="Times New Roman" w:hAnsi="Arial" w:cs="Arial"/>
          <w:i/>
          <w:iCs/>
          <w:sz w:val="20"/>
          <w:szCs w:val="20"/>
          <w:lang w:eastAsia="en-GB"/>
        </w:rPr>
        <w:t>British Journal of Management</w:t>
      </w:r>
      <w:r w:rsidRPr="00482722">
        <w:rPr>
          <w:rFonts w:ascii="Arial" w:eastAsia="Times New Roman" w:hAnsi="Arial" w:cs="Arial"/>
          <w:sz w:val="20"/>
          <w:szCs w:val="20"/>
          <w:lang w:eastAsia="en-GB"/>
        </w:rPr>
        <w:t>.  pp. 1–16. doi: 10.1111/1467-8551.12415.</w:t>
      </w:r>
    </w:p>
    <w:p w14:paraId="51D7F74F" w14:textId="130C9347" w:rsidR="00223AD5" w:rsidRPr="00482722" w:rsidRDefault="00223AD5"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Zhao, F., Naidu, S. and Wallis, J. (2019)</w:t>
      </w:r>
      <w:r w:rsidR="00657ACE"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An empirical study of e-government adoption in the United Arab Emirates: A social cognitive perspective</w:t>
      </w:r>
      <w:r w:rsidR="007A651E" w:rsidRPr="00482722">
        <w:rPr>
          <w:rFonts w:ascii="Arial" w:eastAsia="Times New Roman" w:hAnsi="Arial" w:cs="Arial"/>
          <w:sz w:val="20"/>
          <w:szCs w:val="20"/>
          <w:lang w:eastAsia="en-GB"/>
        </w:rPr>
        <w:t>”, </w:t>
      </w:r>
      <w:r w:rsidRPr="00482722">
        <w:rPr>
          <w:rFonts w:ascii="Arial" w:eastAsia="Times New Roman" w:hAnsi="Arial" w:cs="Arial"/>
          <w:i/>
          <w:iCs/>
          <w:sz w:val="20"/>
          <w:szCs w:val="20"/>
          <w:lang w:eastAsia="en-GB"/>
        </w:rPr>
        <w:t>Information Polity</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F6B1A" w:rsidRPr="00482722">
        <w:rPr>
          <w:rFonts w:ascii="Arial" w:eastAsia="Times New Roman" w:hAnsi="Arial" w:cs="Arial"/>
          <w:sz w:val="20"/>
          <w:szCs w:val="20"/>
          <w:lang w:eastAsia="en-GB"/>
        </w:rPr>
        <w:t>24</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Pr="00482722">
        <w:rPr>
          <w:rFonts w:ascii="Arial" w:eastAsia="Times New Roman" w:hAnsi="Arial" w:cs="Arial"/>
          <w:sz w:val="20"/>
          <w:szCs w:val="20"/>
          <w:lang w:eastAsia="en-GB"/>
        </w:rPr>
        <w:t>pp.91-109.</w:t>
      </w:r>
    </w:p>
    <w:p w14:paraId="482E4657" w14:textId="66484351" w:rsidR="00CB4F0D" w:rsidRPr="00482722" w:rsidRDefault="00CB4F0D"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Zheng, X., Lee, M. and Cheung, C. (2017)</w:t>
      </w:r>
      <w:r w:rsidR="00657ACE"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Examining e-loyalty towards online shopping platforms: The role of coupon proneness and value consciousness", </w:t>
      </w:r>
      <w:r w:rsidRPr="00482722">
        <w:rPr>
          <w:rFonts w:ascii="Arial" w:eastAsia="Times New Roman" w:hAnsi="Arial" w:cs="Arial"/>
          <w:i/>
          <w:iCs/>
          <w:sz w:val="20"/>
          <w:szCs w:val="20"/>
          <w:lang w:eastAsia="en-GB"/>
        </w:rPr>
        <w:t>Internet Research</w:t>
      </w:r>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F6B1A" w:rsidRPr="00482722">
        <w:rPr>
          <w:rFonts w:ascii="Arial" w:eastAsia="Times New Roman" w:hAnsi="Arial" w:cs="Arial"/>
          <w:sz w:val="20"/>
          <w:szCs w:val="20"/>
          <w:lang w:eastAsia="en-GB"/>
        </w:rPr>
        <w:t>27</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3</w:t>
      </w:r>
      <w:r w:rsidR="006725FC" w:rsidRPr="00482722">
        <w:rPr>
          <w:rFonts w:ascii="Arial" w:eastAsia="Times New Roman" w:hAnsi="Arial" w:cs="Arial"/>
          <w:sz w:val="20"/>
          <w:szCs w:val="20"/>
          <w:lang w:eastAsia="en-GB"/>
        </w:rPr>
        <w:t xml:space="preserve">, </w:t>
      </w:r>
      <w:r w:rsidR="00657ACE" w:rsidRPr="00482722">
        <w:rPr>
          <w:rFonts w:ascii="Arial" w:eastAsia="Times New Roman" w:hAnsi="Arial" w:cs="Arial"/>
          <w:sz w:val="20"/>
          <w:szCs w:val="20"/>
          <w:lang w:eastAsia="en-GB"/>
        </w:rPr>
        <w:t>27(3), pp.</w:t>
      </w:r>
      <w:r w:rsidRPr="00482722">
        <w:rPr>
          <w:rFonts w:ascii="Arial" w:eastAsia="Times New Roman" w:hAnsi="Arial" w:cs="Arial"/>
          <w:sz w:val="20"/>
          <w:szCs w:val="20"/>
          <w:lang w:eastAsia="en-GB"/>
        </w:rPr>
        <w:t xml:space="preserve"> 709-726.</w:t>
      </w:r>
    </w:p>
    <w:p w14:paraId="098FBC97" w14:textId="25CE1FB9" w:rsidR="00624512" w:rsidRPr="00482722" w:rsidRDefault="00624512" w:rsidP="007A651E">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Zheng, X., Cheung, C., Lee, M. and Liang, L. (2015)</w:t>
      </w:r>
      <w:r w:rsidR="00657ACE" w:rsidRPr="00482722">
        <w:rPr>
          <w:rFonts w:ascii="Arial" w:eastAsia="Times New Roman" w:hAnsi="Arial" w:cs="Arial"/>
          <w:sz w:val="20"/>
          <w:szCs w:val="20"/>
          <w:lang w:eastAsia="en-GB"/>
        </w:rPr>
        <w:t>, “</w:t>
      </w:r>
      <w:r w:rsidRPr="00482722">
        <w:rPr>
          <w:rFonts w:ascii="Arial" w:eastAsia="Times New Roman" w:hAnsi="Arial" w:cs="Arial"/>
          <w:sz w:val="20"/>
          <w:szCs w:val="20"/>
          <w:lang w:eastAsia="en-GB"/>
        </w:rPr>
        <w:t>Building brand loyalty through user engagement in online brand communities in social networking sites</w:t>
      </w:r>
      <w:r w:rsidR="007A651E" w:rsidRPr="00482722">
        <w:rPr>
          <w:rFonts w:ascii="Arial" w:eastAsia="Times New Roman" w:hAnsi="Arial" w:cs="Arial"/>
          <w:sz w:val="20"/>
          <w:szCs w:val="20"/>
          <w:lang w:eastAsia="en-GB"/>
        </w:rPr>
        <w:t>”, </w:t>
      </w:r>
      <w:hyperlink r:id="rId12" w:history="1">
        <w:r w:rsidRPr="00482722">
          <w:rPr>
            <w:rFonts w:ascii="Arial" w:eastAsia="Times New Roman" w:hAnsi="Arial" w:cs="Arial"/>
            <w:i/>
            <w:iCs/>
            <w:sz w:val="20"/>
            <w:szCs w:val="20"/>
            <w:lang w:eastAsia="en-GB"/>
          </w:rPr>
          <w:t xml:space="preserve">Information Technology </w:t>
        </w:r>
        <w:r w:rsidR="002D35B9" w:rsidRPr="00482722">
          <w:rPr>
            <w:rFonts w:ascii="Arial" w:eastAsia="Times New Roman" w:hAnsi="Arial" w:cs="Arial"/>
            <w:i/>
            <w:iCs/>
            <w:sz w:val="20"/>
            <w:szCs w:val="20"/>
            <w:lang w:eastAsia="en-GB"/>
          </w:rPr>
          <w:t>and</w:t>
        </w:r>
        <w:r w:rsidRPr="00482722">
          <w:rPr>
            <w:rFonts w:ascii="Arial" w:eastAsia="Times New Roman" w:hAnsi="Arial" w:cs="Arial"/>
            <w:i/>
            <w:iCs/>
            <w:sz w:val="20"/>
            <w:szCs w:val="20"/>
            <w:lang w:eastAsia="en-GB"/>
          </w:rPr>
          <w:t xml:space="preserve"> People</w:t>
        </w:r>
      </w:hyperlink>
      <w:r w:rsidRPr="00482722">
        <w:rPr>
          <w:rFonts w:ascii="Arial" w:eastAsia="Times New Roman" w:hAnsi="Arial" w:cs="Arial"/>
          <w:sz w:val="20"/>
          <w:szCs w:val="20"/>
          <w:lang w:eastAsia="en-GB"/>
        </w:rPr>
        <w:t xml:space="preserve">, </w:t>
      </w:r>
      <w:r w:rsidR="006725FC" w:rsidRPr="00482722">
        <w:rPr>
          <w:rFonts w:ascii="Arial" w:eastAsia="Times New Roman" w:hAnsi="Arial" w:cs="Arial"/>
          <w:sz w:val="20"/>
          <w:szCs w:val="20"/>
          <w:lang w:eastAsia="en-GB"/>
        </w:rPr>
        <w:t xml:space="preserve">Vol. </w:t>
      </w:r>
      <w:r w:rsidR="00DF6B1A" w:rsidRPr="00482722">
        <w:rPr>
          <w:rFonts w:ascii="Arial" w:eastAsia="Times New Roman" w:hAnsi="Arial" w:cs="Arial"/>
          <w:sz w:val="20"/>
          <w:szCs w:val="20"/>
          <w:lang w:eastAsia="en-GB"/>
        </w:rPr>
        <w:t>28</w:t>
      </w:r>
      <w:r w:rsidR="006725FC" w:rsidRPr="00482722">
        <w:rPr>
          <w:rFonts w:ascii="Arial" w:eastAsia="Times New Roman" w:hAnsi="Arial" w:cs="Arial"/>
          <w:sz w:val="20"/>
          <w:szCs w:val="20"/>
          <w:lang w:eastAsia="en-GB"/>
        </w:rPr>
        <w:t xml:space="preserve"> No. </w:t>
      </w:r>
      <w:r w:rsidR="00DF6B1A" w:rsidRPr="00482722">
        <w:rPr>
          <w:rFonts w:ascii="Arial" w:eastAsia="Times New Roman" w:hAnsi="Arial" w:cs="Arial"/>
          <w:sz w:val="20"/>
          <w:szCs w:val="20"/>
          <w:lang w:eastAsia="en-GB"/>
        </w:rPr>
        <w:t>1</w:t>
      </w:r>
      <w:r w:rsidR="006725FC" w:rsidRPr="00482722">
        <w:rPr>
          <w:rFonts w:ascii="Arial" w:eastAsia="Times New Roman" w:hAnsi="Arial" w:cs="Arial"/>
          <w:sz w:val="20"/>
          <w:szCs w:val="20"/>
          <w:lang w:eastAsia="en-GB"/>
        </w:rPr>
        <w:t xml:space="preserve">, </w:t>
      </w:r>
      <w:r w:rsidR="00657ACE" w:rsidRPr="00482722">
        <w:rPr>
          <w:rFonts w:ascii="Arial" w:eastAsia="Times New Roman" w:hAnsi="Arial" w:cs="Arial"/>
          <w:sz w:val="20"/>
          <w:szCs w:val="20"/>
          <w:lang w:eastAsia="en-GB"/>
        </w:rPr>
        <w:t xml:space="preserve">pp. </w:t>
      </w:r>
      <w:r w:rsidRPr="00482722">
        <w:rPr>
          <w:rFonts w:ascii="Arial" w:eastAsia="Times New Roman" w:hAnsi="Arial" w:cs="Arial"/>
          <w:sz w:val="20"/>
          <w:szCs w:val="20"/>
          <w:lang w:eastAsia="en-GB"/>
        </w:rPr>
        <w:t>90-106.</w:t>
      </w:r>
    </w:p>
    <w:p w14:paraId="4AD9A96A" w14:textId="6F181C41" w:rsidR="00A063DD" w:rsidRPr="00482722" w:rsidRDefault="00A063DD" w:rsidP="00DA5EEC">
      <w:pPr>
        <w:spacing w:after="0" w:line="240" w:lineRule="auto"/>
        <w:ind w:hanging="720"/>
        <w:jc w:val="both"/>
        <w:rPr>
          <w:rFonts w:ascii="Arial" w:eastAsia="Times New Roman" w:hAnsi="Arial" w:cs="Arial"/>
          <w:sz w:val="20"/>
          <w:szCs w:val="20"/>
          <w:lang w:eastAsia="en-GB"/>
        </w:rPr>
      </w:pPr>
      <w:r w:rsidRPr="00482722">
        <w:rPr>
          <w:rFonts w:ascii="Arial" w:eastAsia="Times New Roman" w:hAnsi="Arial" w:cs="Arial"/>
          <w:sz w:val="20"/>
          <w:szCs w:val="20"/>
          <w:lang w:eastAsia="en-GB"/>
        </w:rPr>
        <w:t xml:space="preserve">Zucker, L. G. </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1986</w:t>
      </w:r>
      <w:r w:rsidR="00B56970" w:rsidRPr="00482722">
        <w:rPr>
          <w:rFonts w:ascii="Arial" w:eastAsia="Times New Roman" w:hAnsi="Arial" w:cs="Arial"/>
          <w:sz w:val="20"/>
          <w:szCs w:val="20"/>
          <w:lang w:eastAsia="en-GB"/>
        </w:rPr>
        <w:t>)</w:t>
      </w:r>
      <w:r w:rsidRPr="00482722">
        <w:rPr>
          <w:rFonts w:ascii="Arial" w:eastAsia="Times New Roman" w:hAnsi="Arial" w:cs="Arial"/>
          <w:sz w:val="20"/>
          <w:szCs w:val="20"/>
          <w:lang w:eastAsia="en-GB"/>
        </w:rPr>
        <w:t xml:space="preserve">. Production of </w:t>
      </w:r>
      <w:r w:rsidR="00B56970" w:rsidRPr="00482722">
        <w:rPr>
          <w:rFonts w:ascii="Arial" w:eastAsia="Times New Roman" w:hAnsi="Arial" w:cs="Arial"/>
          <w:sz w:val="20"/>
          <w:szCs w:val="20"/>
          <w:lang w:eastAsia="en-GB"/>
        </w:rPr>
        <w:t>t</w:t>
      </w:r>
      <w:r w:rsidRPr="00482722">
        <w:rPr>
          <w:rFonts w:ascii="Arial" w:eastAsia="Times New Roman" w:hAnsi="Arial" w:cs="Arial"/>
          <w:sz w:val="20"/>
          <w:szCs w:val="20"/>
          <w:lang w:eastAsia="en-GB"/>
        </w:rPr>
        <w:t xml:space="preserve">rust: Institutional </w:t>
      </w:r>
      <w:r w:rsidR="00B56970"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 xml:space="preserve">ources of </w:t>
      </w:r>
      <w:r w:rsidR="00B56970" w:rsidRPr="00482722">
        <w:rPr>
          <w:rFonts w:ascii="Arial" w:eastAsia="Times New Roman" w:hAnsi="Arial" w:cs="Arial"/>
          <w:sz w:val="20"/>
          <w:szCs w:val="20"/>
          <w:lang w:eastAsia="en-GB"/>
        </w:rPr>
        <w:t>e</w:t>
      </w:r>
      <w:r w:rsidRPr="00482722">
        <w:rPr>
          <w:rFonts w:ascii="Arial" w:eastAsia="Times New Roman" w:hAnsi="Arial" w:cs="Arial"/>
          <w:sz w:val="20"/>
          <w:szCs w:val="20"/>
          <w:lang w:eastAsia="en-GB"/>
        </w:rPr>
        <w:t xml:space="preserve">conomic </w:t>
      </w:r>
      <w:r w:rsidR="00B56970" w:rsidRPr="00482722">
        <w:rPr>
          <w:rFonts w:ascii="Arial" w:eastAsia="Times New Roman" w:hAnsi="Arial" w:cs="Arial"/>
          <w:sz w:val="20"/>
          <w:szCs w:val="20"/>
          <w:lang w:eastAsia="en-GB"/>
        </w:rPr>
        <w:t>s</w:t>
      </w:r>
      <w:r w:rsidRPr="00482722">
        <w:rPr>
          <w:rFonts w:ascii="Arial" w:eastAsia="Times New Roman" w:hAnsi="Arial" w:cs="Arial"/>
          <w:sz w:val="20"/>
          <w:szCs w:val="20"/>
          <w:lang w:eastAsia="en-GB"/>
        </w:rPr>
        <w:t>tructure, 1840–1920. In</w:t>
      </w:r>
      <w:r w:rsidR="00B56970" w:rsidRPr="00482722">
        <w:rPr>
          <w:rFonts w:ascii="Arial" w:eastAsia="Times New Roman" w:hAnsi="Arial" w:cs="Arial"/>
          <w:sz w:val="20"/>
          <w:szCs w:val="20"/>
          <w:lang w:eastAsia="en-GB"/>
        </w:rPr>
        <w:t xml:space="preserve"> B. M. Staw </w:t>
      </w:r>
      <w:r w:rsidR="002D35B9" w:rsidRPr="00482722">
        <w:rPr>
          <w:rFonts w:ascii="Arial" w:eastAsia="Times New Roman" w:hAnsi="Arial" w:cs="Arial"/>
          <w:sz w:val="20"/>
          <w:szCs w:val="20"/>
          <w:lang w:eastAsia="en-GB"/>
        </w:rPr>
        <w:t>and</w:t>
      </w:r>
      <w:r w:rsidR="00B56970" w:rsidRPr="00482722">
        <w:rPr>
          <w:rFonts w:ascii="Arial" w:eastAsia="Times New Roman" w:hAnsi="Arial" w:cs="Arial"/>
          <w:sz w:val="20"/>
          <w:szCs w:val="20"/>
          <w:lang w:eastAsia="en-GB"/>
        </w:rPr>
        <w:t xml:space="preserve"> L. L. Cummings (Eds.),</w:t>
      </w:r>
      <w:r w:rsidRPr="00482722">
        <w:rPr>
          <w:rFonts w:ascii="Arial" w:eastAsia="Times New Roman" w:hAnsi="Arial" w:cs="Arial"/>
          <w:sz w:val="20"/>
          <w:szCs w:val="20"/>
          <w:lang w:eastAsia="en-GB"/>
        </w:rPr>
        <w:t xml:space="preserve"> </w:t>
      </w:r>
      <w:r w:rsidRPr="00482722">
        <w:rPr>
          <w:rFonts w:ascii="Arial" w:eastAsia="Times New Roman" w:hAnsi="Arial" w:cs="Arial"/>
          <w:i/>
          <w:sz w:val="20"/>
          <w:szCs w:val="20"/>
          <w:lang w:eastAsia="en-GB"/>
        </w:rPr>
        <w:t xml:space="preserve">Research in </w:t>
      </w:r>
      <w:r w:rsidR="00B56970" w:rsidRPr="00482722">
        <w:rPr>
          <w:rFonts w:ascii="Arial" w:eastAsia="Times New Roman" w:hAnsi="Arial" w:cs="Arial"/>
          <w:i/>
          <w:sz w:val="20"/>
          <w:szCs w:val="20"/>
          <w:lang w:eastAsia="en-GB"/>
        </w:rPr>
        <w:t>o</w:t>
      </w:r>
      <w:r w:rsidRPr="00482722">
        <w:rPr>
          <w:rFonts w:ascii="Arial" w:eastAsia="Times New Roman" w:hAnsi="Arial" w:cs="Arial"/>
          <w:i/>
          <w:sz w:val="20"/>
          <w:szCs w:val="20"/>
          <w:lang w:eastAsia="en-GB"/>
        </w:rPr>
        <w:t xml:space="preserve">rganizational </w:t>
      </w:r>
      <w:r w:rsidR="00B56970" w:rsidRPr="00482722">
        <w:rPr>
          <w:rFonts w:ascii="Arial" w:eastAsia="Times New Roman" w:hAnsi="Arial" w:cs="Arial"/>
          <w:i/>
          <w:sz w:val="20"/>
          <w:szCs w:val="20"/>
          <w:lang w:eastAsia="en-GB"/>
        </w:rPr>
        <w:t>b</w:t>
      </w:r>
      <w:r w:rsidRPr="00482722">
        <w:rPr>
          <w:rFonts w:ascii="Arial" w:eastAsia="Times New Roman" w:hAnsi="Arial" w:cs="Arial"/>
          <w:i/>
          <w:sz w:val="20"/>
          <w:szCs w:val="20"/>
          <w:lang w:eastAsia="en-GB"/>
        </w:rPr>
        <w:t xml:space="preserve">ehavior </w:t>
      </w:r>
      <w:r w:rsidRPr="00482722">
        <w:rPr>
          <w:rFonts w:ascii="Arial" w:eastAsia="Times New Roman" w:hAnsi="Arial" w:cs="Arial"/>
          <w:sz w:val="20"/>
          <w:szCs w:val="20"/>
          <w:lang w:eastAsia="en-GB"/>
        </w:rPr>
        <w:t>(</w:t>
      </w:r>
      <w:r w:rsidR="00B56970" w:rsidRPr="00482722">
        <w:rPr>
          <w:rFonts w:ascii="Arial" w:eastAsia="Times New Roman" w:hAnsi="Arial" w:cs="Arial"/>
          <w:sz w:val="20"/>
          <w:szCs w:val="20"/>
          <w:lang w:eastAsia="en-GB"/>
        </w:rPr>
        <w:t>v</w:t>
      </w:r>
      <w:r w:rsidRPr="00482722">
        <w:rPr>
          <w:rFonts w:ascii="Arial" w:eastAsia="Times New Roman" w:hAnsi="Arial" w:cs="Arial"/>
          <w:sz w:val="20"/>
          <w:szCs w:val="20"/>
          <w:lang w:eastAsia="en-GB"/>
        </w:rPr>
        <w:t>olume 8</w:t>
      </w:r>
      <w:r w:rsidR="00B56970" w:rsidRPr="00482722">
        <w:rPr>
          <w:rFonts w:ascii="Arial" w:eastAsia="Times New Roman" w:hAnsi="Arial" w:cs="Arial"/>
          <w:sz w:val="20"/>
          <w:szCs w:val="20"/>
          <w:lang w:eastAsia="en-GB"/>
        </w:rPr>
        <w:t>, pp. 53-111</w:t>
      </w:r>
      <w:r w:rsidRPr="00482722">
        <w:rPr>
          <w:rFonts w:ascii="Arial" w:eastAsia="Times New Roman" w:hAnsi="Arial" w:cs="Arial"/>
          <w:sz w:val="20"/>
          <w:szCs w:val="20"/>
          <w:lang w:eastAsia="en-GB"/>
        </w:rPr>
        <w:t xml:space="preserve">), </w:t>
      </w:r>
      <w:r w:rsidR="00B56970" w:rsidRPr="00482722">
        <w:rPr>
          <w:rFonts w:ascii="Arial" w:eastAsia="Times New Roman" w:hAnsi="Arial" w:cs="Arial"/>
          <w:sz w:val="20"/>
          <w:szCs w:val="20"/>
          <w:lang w:eastAsia="en-GB"/>
        </w:rPr>
        <w:t xml:space="preserve">Greenwich, CT: </w:t>
      </w:r>
      <w:r w:rsidRPr="00482722">
        <w:rPr>
          <w:rFonts w:ascii="Arial" w:eastAsia="Times New Roman" w:hAnsi="Arial" w:cs="Arial"/>
          <w:sz w:val="20"/>
          <w:szCs w:val="20"/>
          <w:lang w:eastAsia="en-GB"/>
        </w:rPr>
        <w:t>JAI Press</w:t>
      </w:r>
      <w:r w:rsidR="00B56970" w:rsidRPr="00482722">
        <w:rPr>
          <w:rFonts w:ascii="Arial" w:eastAsia="Times New Roman" w:hAnsi="Arial" w:cs="Arial"/>
          <w:sz w:val="20"/>
          <w:szCs w:val="20"/>
          <w:lang w:eastAsia="en-GB"/>
        </w:rPr>
        <w:t>.</w:t>
      </w:r>
    </w:p>
    <w:p w14:paraId="1B451CEE" w14:textId="77777777" w:rsidR="00A063DD" w:rsidRPr="00482722" w:rsidRDefault="00A063DD" w:rsidP="00DA5EEC">
      <w:pPr>
        <w:spacing w:line="240" w:lineRule="auto"/>
        <w:rPr>
          <w:rFonts w:ascii="Arial" w:hAnsi="Arial" w:cs="Arial"/>
          <w:sz w:val="20"/>
          <w:szCs w:val="20"/>
        </w:rPr>
      </w:pPr>
    </w:p>
    <w:p w14:paraId="45738CA2" w14:textId="77777777" w:rsidR="008012ED" w:rsidRPr="00482722" w:rsidRDefault="008012ED" w:rsidP="00DA5EEC">
      <w:pPr>
        <w:spacing w:line="240" w:lineRule="auto"/>
        <w:rPr>
          <w:rFonts w:ascii="Arial" w:hAnsi="Arial" w:cs="Arial"/>
          <w:sz w:val="20"/>
          <w:szCs w:val="20"/>
        </w:rPr>
      </w:pPr>
    </w:p>
    <w:p w14:paraId="7CE70933" w14:textId="77777777" w:rsidR="008012ED" w:rsidRPr="00482722" w:rsidRDefault="008012ED" w:rsidP="00DA5EEC">
      <w:pPr>
        <w:spacing w:line="240" w:lineRule="auto"/>
        <w:rPr>
          <w:rFonts w:ascii="Arial" w:hAnsi="Arial" w:cs="Arial"/>
          <w:sz w:val="20"/>
          <w:szCs w:val="20"/>
        </w:rPr>
      </w:pPr>
      <w:r w:rsidRPr="00482722">
        <w:rPr>
          <w:rFonts w:ascii="Arial" w:hAnsi="Arial" w:cs="Arial"/>
          <w:sz w:val="20"/>
          <w:szCs w:val="20"/>
        </w:rPr>
        <w:br w:type="page"/>
      </w:r>
    </w:p>
    <w:p w14:paraId="4658EE60" w14:textId="7ADEA176" w:rsidR="00A063DD" w:rsidRPr="00482722" w:rsidRDefault="008012ED" w:rsidP="00DA5EEC">
      <w:pPr>
        <w:pStyle w:val="Heading1"/>
        <w:numPr>
          <w:ilvl w:val="0"/>
          <w:numId w:val="0"/>
        </w:numPr>
        <w:spacing w:line="240" w:lineRule="auto"/>
        <w:ind w:left="432" w:hanging="432"/>
        <w:rPr>
          <w:rFonts w:ascii="Arial" w:hAnsi="Arial" w:cs="Arial"/>
          <w:sz w:val="20"/>
          <w:szCs w:val="20"/>
        </w:rPr>
      </w:pPr>
      <w:bookmarkStart w:id="27" w:name="_Hlk57975375"/>
      <w:r w:rsidRPr="00482722">
        <w:rPr>
          <w:rFonts w:ascii="Arial" w:hAnsi="Arial" w:cs="Arial"/>
          <w:sz w:val="20"/>
          <w:szCs w:val="20"/>
        </w:rPr>
        <w:t>Appendix A: Research</w:t>
      </w:r>
      <w:r w:rsidR="00BC7E58" w:rsidRPr="00482722">
        <w:rPr>
          <w:rFonts w:ascii="Arial" w:hAnsi="Arial" w:cs="Arial"/>
          <w:sz w:val="20"/>
          <w:szCs w:val="20"/>
        </w:rPr>
        <w:t xml:space="preserve"> measurement items</w:t>
      </w:r>
    </w:p>
    <w:p w14:paraId="5CBDB4A9" w14:textId="77777777" w:rsidR="008012ED" w:rsidRPr="00482722" w:rsidRDefault="008012ED" w:rsidP="00DA5EEC">
      <w:pPr>
        <w:spacing w:line="240" w:lineRule="auto"/>
        <w:rPr>
          <w:rFonts w:ascii="Arial" w:hAnsi="Arial" w:cs="Arial"/>
          <w:sz w:val="20"/>
          <w:szCs w:val="20"/>
        </w:rPr>
      </w:pPr>
    </w:p>
    <w:tbl>
      <w:tblPr>
        <w:tblStyle w:val="TableGrid"/>
        <w:tblW w:w="84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856"/>
        <w:gridCol w:w="4580"/>
        <w:gridCol w:w="1887"/>
      </w:tblGrid>
      <w:tr w:rsidR="00482722" w:rsidRPr="00482722" w14:paraId="404401E2" w14:textId="77777777" w:rsidTr="005D3104">
        <w:tc>
          <w:tcPr>
            <w:tcW w:w="1129" w:type="dxa"/>
            <w:tcBorders>
              <w:top w:val="single" w:sz="4" w:space="0" w:color="auto"/>
              <w:bottom w:val="single" w:sz="4" w:space="0" w:color="auto"/>
            </w:tcBorders>
          </w:tcPr>
          <w:p w14:paraId="74C8A4C9"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Construct</w:t>
            </w:r>
          </w:p>
        </w:tc>
        <w:tc>
          <w:tcPr>
            <w:tcW w:w="856" w:type="dxa"/>
            <w:tcBorders>
              <w:top w:val="single" w:sz="4" w:space="0" w:color="auto"/>
              <w:bottom w:val="single" w:sz="4" w:space="0" w:color="auto"/>
            </w:tcBorders>
          </w:tcPr>
          <w:p w14:paraId="5066BAB7" w14:textId="77777777" w:rsidR="008012ED" w:rsidRPr="00482722" w:rsidRDefault="008012ED" w:rsidP="00DA5EEC">
            <w:pPr>
              <w:spacing w:before="100" w:beforeAutospacing="1" w:after="100" w:afterAutospacing="1"/>
              <w:jc w:val="center"/>
              <w:rPr>
                <w:rFonts w:ascii="Arial" w:hAnsi="Arial" w:cs="Arial"/>
                <w:sz w:val="20"/>
                <w:szCs w:val="20"/>
              </w:rPr>
            </w:pPr>
            <w:r w:rsidRPr="00482722">
              <w:rPr>
                <w:rFonts w:ascii="Arial" w:hAnsi="Arial" w:cs="Arial"/>
                <w:sz w:val="20"/>
                <w:szCs w:val="20"/>
              </w:rPr>
              <w:t>ID</w:t>
            </w:r>
          </w:p>
        </w:tc>
        <w:tc>
          <w:tcPr>
            <w:tcW w:w="4580" w:type="dxa"/>
            <w:tcBorders>
              <w:top w:val="single" w:sz="4" w:space="0" w:color="auto"/>
              <w:bottom w:val="single" w:sz="4" w:space="0" w:color="auto"/>
            </w:tcBorders>
          </w:tcPr>
          <w:p w14:paraId="1015D686"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Measure</w:t>
            </w:r>
          </w:p>
        </w:tc>
        <w:tc>
          <w:tcPr>
            <w:tcW w:w="1887" w:type="dxa"/>
            <w:tcBorders>
              <w:top w:val="single" w:sz="4" w:space="0" w:color="auto"/>
              <w:bottom w:val="single" w:sz="4" w:space="0" w:color="auto"/>
            </w:tcBorders>
          </w:tcPr>
          <w:p w14:paraId="30D39691"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Original source</w:t>
            </w:r>
          </w:p>
        </w:tc>
      </w:tr>
      <w:tr w:rsidR="00482722" w:rsidRPr="00482722" w14:paraId="505EB6C9" w14:textId="77777777" w:rsidTr="005D3104">
        <w:tc>
          <w:tcPr>
            <w:tcW w:w="8452" w:type="dxa"/>
            <w:gridSpan w:val="4"/>
            <w:tcBorders>
              <w:top w:val="single" w:sz="4" w:space="0" w:color="auto"/>
            </w:tcBorders>
            <w:shd w:val="clear" w:color="auto" w:fill="E7E6E6" w:themeFill="background2"/>
          </w:tcPr>
          <w:p w14:paraId="0C090057" w14:textId="72F4AB5A" w:rsidR="008012ED" w:rsidRPr="00482722" w:rsidRDefault="002F2F1D" w:rsidP="00DA5EEC">
            <w:pPr>
              <w:jc w:val="center"/>
              <w:rPr>
                <w:rFonts w:ascii="Arial" w:hAnsi="Arial" w:cs="Arial"/>
                <w:sz w:val="20"/>
                <w:szCs w:val="20"/>
              </w:rPr>
            </w:pPr>
            <w:r w:rsidRPr="00482722">
              <w:rPr>
                <w:rFonts w:ascii="Arial" w:hAnsi="Arial" w:cs="Arial"/>
                <w:sz w:val="20"/>
                <w:szCs w:val="20"/>
              </w:rPr>
              <w:t>D</w:t>
            </w:r>
            <w:r w:rsidR="008012ED" w:rsidRPr="00482722">
              <w:rPr>
                <w:rFonts w:ascii="Arial" w:hAnsi="Arial" w:cs="Arial"/>
                <w:sz w:val="20"/>
                <w:szCs w:val="20"/>
              </w:rPr>
              <w:t>isposition to trust (DT)</w:t>
            </w:r>
          </w:p>
        </w:tc>
      </w:tr>
      <w:tr w:rsidR="00482722" w:rsidRPr="00482722" w14:paraId="6FA4794D" w14:textId="77777777" w:rsidTr="005D3104">
        <w:tc>
          <w:tcPr>
            <w:tcW w:w="1129" w:type="dxa"/>
            <w:vMerge w:val="restart"/>
          </w:tcPr>
          <w:p w14:paraId="5C972B2A"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DT</w:t>
            </w:r>
          </w:p>
        </w:tc>
        <w:tc>
          <w:tcPr>
            <w:tcW w:w="856" w:type="dxa"/>
          </w:tcPr>
          <w:p w14:paraId="2E5FC48C"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DT1</w:t>
            </w:r>
          </w:p>
        </w:tc>
        <w:tc>
          <w:tcPr>
            <w:tcW w:w="4580" w:type="dxa"/>
          </w:tcPr>
          <w:p w14:paraId="2B0403FB"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 generally trust other people.</w:t>
            </w:r>
          </w:p>
        </w:tc>
        <w:tc>
          <w:tcPr>
            <w:tcW w:w="1887" w:type="dxa"/>
            <w:vMerge w:val="restart"/>
          </w:tcPr>
          <w:p w14:paraId="541974D9" w14:textId="072C5CFB"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(Bélanger </w:t>
            </w:r>
            <w:r w:rsidR="002D35B9" w:rsidRPr="00482722">
              <w:rPr>
                <w:rFonts w:ascii="Arial" w:hAnsi="Arial" w:cs="Arial"/>
                <w:sz w:val="20"/>
                <w:szCs w:val="20"/>
              </w:rPr>
              <w:t>and</w:t>
            </w:r>
            <w:r w:rsidRPr="00482722">
              <w:rPr>
                <w:rFonts w:ascii="Arial" w:hAnsi="Arial" w:cs="Arial"/>
                <w:sz w:val="20"/>
                <w:szCs w:val="20"/>
              </w:rPr>
              <w:t xml:space="preserve"> Carter, 2008)</w:t>
            </w:r>
          </w:p>
        </w:tc>
      </w:tr>
      <w:tr w:rsidR="00482722" w:rsidRPr="00482722" w14:paraId="5AD24626" w14:textId="77777777" w:rsidTr="005D3104">
        <w:tc>
          <w:tcPr>
            <w:tcW w:w="1129" w:type="dxa"/>
            <w:vMerge/>
          </w:tcPr>
          <w:p w14:paraId="1DEA8F42" w14:textId="77777777" w:rsidR="008012ED" w:rsidRPr="00482722" w:rsidRDefault="008012ED" w:rsidP="00DA5EEC">
            <w:pPr>
              <w:jc w:val="center"/>
              <w:rPr>
                <w:rFonts w:ascii="Arial" w:hAnsi="Arial" w:cs="Arial"/>
                <w:sz w:val="20"/>
                <w:szCs w:val="20"/>
              </w:rPr>
            </w:pPr>
          </w:p>
        </w:tc>
        <w:tc>
          <w:tcPr>
            <w:tcW w:w="856" w:type="dxa"/>
          </w:tcPr>
          <w:p w14:paraId="4A868CC6" w14:textId="552CA9CB" w:rsidR="008012ED" w:rsidRPr="00482722" w:rsidRDefault="008012ED" w:rsidP="00DA5EEC">
            <w:pPr>
              <w:jc w:val="center"/>
              <w:rPr>
                <w:rFonts w:ascii="Arial" w:hAnsi="Arial" w:cs="Arial"/>
                <w:sz w:val="20"/>
                <w:szCs w:val="20"/>
              </w:rPr>
            </w:pPr>
            <w:r w:rsidRPr="00482722">
              <w:rPr>
                <w:rFonts w:ascii="Arial" w:hAnsi="Arial" w:cs="Arial"/>
                <w:sz w:val="20"/>
                <w:szCs w:val="20"/>
              </w:rPr>
              <w:t>DT</w:t>
            </w:r>
            <w:r w:rsidR="004934A8" w:rsidRPr="00482722">
              <w:rPr>
                <w:rFonts w:ascii="Arial" w:hAnsi="Arial" w:cs="Arial"/>
                <w:sz w:val="20"/>
                <w:szCs w:val="20"/>
              </w:rPr>
              <w:t>2</w:t>
            </w:r>
          </w:p>
        </w:tc>
        <w:tc>
          <w:tcPr>
            <w:tcW w:w="4580" w:type="dxa"/>
          </w:tcPr>
          <w:p w14:paraId="26D371CE"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 feel that people are generally reliable.</w:t>
            </w:r>
          </w:p>
        </w:tc>
        <w:tc>
          <w:tcPr>
            <w:tcW w:w="1887" w:type="dxa"/>
            <w:vMerge/>
          </w:tcPr>
          <w:p w14:paraId="18C1B891" w14:textId="77777777" w:rsidR="008012ED" w:rsidRPr="00482722" w:rsidRDefault="008012ED" w:rsidP="00DA5EEC">
            <w:pPr>
              <w:jc w:val="both"/>
              <w:rPr>
                <w:rFonts w:ascii="Arial" w:hAnsi="Arial" w:cs="Arial"/>
                <w:sz w:val="20"/>
                <w:szCs w:val="20"/>
              </w:rPr>
            </w:pPr>
          </w:p>
        </w:tc>
      </w:tr>
      <w:tr w:rsidR="00482722" w:rsidRPr="00482722" w14:paraId="730D8B1B" w14:textId="77777777" w:rsidTr="005D3104">
        <w:tc>
          <w:tcPr>
            <w:tcW w:w="1129" w:type="dxa"/>
            <w:vMerge/>
          </w:tcPr>
          <w:p w14:paraId="4FDA17D7" w14:textId="77777777" w:rsidR="008012ED" w:rsidRPr="00482722" w:rsidRDefault="008012ED" w:rsidP="00DA5EEC">
            <w:pPr>
              <w:jc w:val="center"/>
              <w:rPr>
                <w:rFonts w:ascii="Arial" w:hAnsi="Arial" w:cs="Arial"/>
                <w:sz w:val="20"/>
                <w:szCs w:val="20"/>
              </w:rPr>
            </w:pPr>
          </w:p>
        </w:tc>
        <w:tc>
          <w:tcPr>
            <w:tcW w:w="856" w:type="dxa"/>
          </w:tcPr>
          <w:p w14:paraId="7CD16C7E" w14:textId="59A0C39D" w:rsidR="008012ED" w:rsidRPr="00482722" w:rsidRDefault="008012ED" w:rsidP="00DA5EEC">
            <w:pPr>
              <w:jc w:val="center"/>
              <w:rPr>
                <w:rFonts w:ascii="Arial" w:hAnsi="Arial" w:cs="Arial"/>
                <w:sz w:val="20"/>
                <w:szCs w:val="20"/>
              </w:rPr>
            </w:pPr>
            <w:r w:rsidRPr="00482722">
              <w:rPr>
                <w:rFonts w:ascii="Arial" w:hAnsi="Arial" w:cs="Arial"/>
                <w:sz w:val="20"/>
                <w:szCs w:val="20"/>
              </w:rPr>
              <w:t>DT</w:t>
            </w:r>
            <w:r w:rsidR="004934A8" w:rsidRPr="00482722">
              <w:rPr>
                <w:rFonts w:ascii="Arial" w:hAnsi="Arial" w:cs="Arial"/>
                <w:sz w:val="20"/>
                <w:szCs w:val="20"/>
              </w:rPr>
              <w:t>3</w:t>
            </w:r>
          </w:p>
        </w:tc>
        <w:tc>
          <w:tcPr>
            <w:tcW w:w="4580" w:type="dxa"/>
          </w:tcPr>
          <w:p w14:paraId="093C125E"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 generally trust other people unless they give me reason not to.</w:t>
            </w:r>
          </w:p>
        </w:tc>
        <w:tc>
          <w:tcPr>
            <w:tcW w:w="1887" w:type="dxa"/>
            <w:vMerge/>
          </w:tcPr>
          <w:p w14:paraId="60994589" w14:textId="77777777" w:rsidR="008012ED" w:rsidRPr="00482722" w:rsidRDefault="008012ED" w:rsidP="00DA5EEC">
            <w:pPr>
              <w:jc w:val="both"/>
              <w:rPr>
                <w:rFonts w:ascii="Arial" w:hAnsi="Arial" w:cs="Arial"/>
                <w:sz w:val="20"/>
                <w:szCs w:val="20"/>
              </w:rPr>
            </w:pPr>
          </w:p>
        </w:tc>
      </w:tr>
      <w:tr w:rsidR="00482722" w:rsidRPr="00482722" w14:paraId="40ED6609" w14:textId="77777777" w:rsidTr="005D3104">
        <w:tc>
          <w:tcPr>
            <w:tcW w:w="1129" w:type="dxa"/>
            <w:shd w:val="clear" w:color="auto" w:fill="E7E6E6" w:themeFill="background2"/>
          </w:tcPr>
          <w:p w14:paraId="699E920D" w14:textId="77777777" w:rsidR="008012ED" w:rsidRPr="00482722" w:rsidRDefault="008012ED" w:rsidP="00DA5EEC">
            <w:pPr>
              <w:jc w:val="center"/>
              <w:rPr>
                <w:rFonts w:ascii="Arial" w:hAnsi="Arial" w:cs="Arial"/>
                <w:sz w:val="20"/>
                <w:szCs w:val="20"/>
              </w:rPr>
            </w:pPr>
          </w:p>
        </w:tc>
        <w:tc>
          <w:tcPr>
            <w:tcW w:w="856" w:type="dxa"/>
            <w:shd w:val="clear" w:color="auto" w:fill="E7E6E6" w:themeFill="background2"/>
          </w:tcPr>
          <w:p w14:paraId="0355F7AF" w14:textId="77777777" w:rsidR="008012ED" w:rsidRPr="00482722" w:rsidRDefault="008012ED" w:rsidP="00DA5EEC">
            <w:pPr>
              <w:jc w:val="center"/>
              <w:rPr>
                <w:rFonts w:ascii="Arial" w:hAnsi="Arial" w:cs="Arial"/>
                <w:sz w:val="20"/>
                <w:szCs w:val="20"/>
              </w:rPr>
            </w:pPr>
          </w:p>
        </w:tc>
        <w:tc>
          <w:tcPr>
            <w:tcW w:w="4580" w:type="dxa"/>
            <w:shd w:val="clear" w:color="auto" w:fill="E7E6E6" w:themeFill="background2"/>
          </w:tcPr>
          <w:p w14:paraId="140BAAD3"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Trust in government (TG)</w:t>
            </w:r>
          </w:p>
        </w:tc>
        <w:tc>
          <w:tcPr>
            <w:tcW w:w="1887" w:type="dxa"/>
            <w:shd w:val="clear" w:color="auto" w:fill="E7E6E6" w:themeFill="background2"/>
          </w:tcPr>
          <w:p w14:paraId="1EA5279D" w14:textId="77777777" w:rsidR="008012ED" w:rsidRPr="00482722" w:rsidRDefault="008012ED" w:rsidP="00DA5EEC">
            <w:pPr>
              <w:jc w:val="both"/>
              <w:rPr>
                <w:rFonts w:ascii="Arial" w:hAnsi="Arial" w:cs="Arial"/>
                <w:sz w:val="20"/>
                <w:szCs w:val="20"/>
              </w:rPr>
            </w:pPr>
          </w:p>
        </w:tc>
      </w:tr>
      <w:tr w:rsidR="00482722" w:rsidRPr="00482722" w14:paraId="0C84F7C8" w14:textId="77777777" w:rsidTr="005D3104">
        <w:tc>
          <w:tcPr>
            <w:tcW w:w="1129" w:type="dxa"/>
            <w:vMerge w:val="restart"/>
          </w:tcPr>
          <w:p w14:paraId="6E70435B"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TG</w:t>
            </w:r>
          </w:p>
        </w:tc>
        <w:tc>
          <w:tcPr>
            <w:tcW w:w="856" w:type="dxa"/>
          </w:tcPr>
          <w:p w14:paraId="63D4DCF6"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TG1</w:t>
            </w:r>
          </w:p>
        </w:tc>
        <w:tc>
          <w:tcPr>
            <w:tcW w:w="4580" w:type="dxa"/>
          </w:tcPr>
          <w:p w14:paraId="782DC093" w14:textId="63867C89" w:rsidR="008012ED" w:rsidRPr="00482722" w:rsidRDefault="008012ED" w:rsidP="00DA5EEC">
            <w:pPr>
              <w:jc w:val="both"/>
              <w:rPr>
                <w:rFonts w:ascii="Arial" w:hAnsi="Arial" w:cs="Arial"/>
                <w:sz w:val="20"/>
                <w:szCs w:val="20"/>
              </w:rPr>
            </w:pPr>
            <w:r w:rsidRPr="00482722">
              <w:rPr>
                <w:rFonts w:ascii="Arial" w:hAnsi="Arial" w:cs="Arial"/>
                <w:sz w:val="20"/>
                <w:szCs w:val="20"/>
              </w:rPr>
              <w:t>I trust the Ministry of Education and the committee of the Unified Electronic Admission System</w:t>
            </w:r>
            <w:r w:rsidR="00337481" w:rsidRPr="00482722">
              <w:rPr>
                <w:rFonts w:ascii="Arial" w:hAnsi="Arial" w:cs="Arial"/>
                <w:sz w:val="20"/>
                <w:szCs w:val="20"/>
              </w:rPr>
              <w:t xml:space="preserve"> (UEAS)</w:t>
            </w:r>
            <w:r w:rsidRPr="00482722">
              <w:rPr>
                <w:rFonts w:ascii="Arial" w:hAnsi="Arial" w:cs="Arial"/>
                <w:sz w:val="20"/>
                <w:szCs w:val="20"/>
              </w:rPr>
              <w:t>.</w:t>
            </w:r>
          </w:p>
        </w:tc>
        <w:tc>
          <w:tcPr>
            <w:tcW w:w="1887" w:type="dxa"/>
            <w:vMerge w:val="restart"/>
          </w:tcPr>
          <w:p w14:paraId="0E41C73C" w14:textId="4BF7CF04"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(Bélanger </w:t>
            </w:r>
            <w:r w:rsidR="002D35B9" w:rsidRPr="00482722">
              <w:rPr>
                <w:rFonts w:ascii="Arial" w:hAnsi="Arial" w:cs="Arial"/>
                <w:sz w:val="20"/>
                <w:szCs w:val="20"/>
              </w:rPr>
              <w:t>and</w:t>
            </w:r>
            <w:r w:rsidRPr="00482722">
              <w:rPr>
                <w:rFonts w:ascii="Arial" w:hAnsi="Arial" w:cs="Arial"/>
                <w:sz w:val="20"/>
                <w:szCs w:val="20"/>
              </w:rPr>
              <w:t xml:space="preserve"> Carter, 2008)</w:t>
            </w:r>
          </w:p>
        </w:tc>
      </w:tr>
      <w:tr w:rsidR="00482722" w:rsidRPr="00482722" w14:paraId="63593B6C" w14:textId="77777777" w:rsidTr="005D3104">
        <w:tc>
          <w:tcPr>
            <w:tcW w:w="1129" w:type="dxa"/>
            <w:vMerge/>
          </w:tcPr>
          <w:p w14:paraId="642262DC" w14:textId="77777777" w:rsidR="008012ED" w:rsidRPr="00482722" w:rsidRDefault="008012ED" w:rsidP="00DA5EEC">
            <w:pPr>
              <w:jc w:val="center"/>
              <w:rPr>
                <w:rFonts w:ascii="Arial" w:hAnsi="Arial" w:cs="Arial"/>
                <w:sz w:val="20"/>
                <w:szCs w:val="20"/>
              </w:rPr>
            </w:pPr>
          </w:p>
        </w:tc>
        <w:tc>
          <w:tcPr>
            <w:tcW w:w="856" w:type="dxa"/>
          </w:tcPr>
          <w:p w14:paraId="16377C66"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TG2</w:t>
            </w:r>
          </w:p>
        </w:tc>
        <w:tc>
          <w:tcPr>
            <w:tcW w:w="4580" w:type="dxa"/>
          </w:tcPr>
          <w:p w14:paraId="69AC0CCD" w14:textId="49E518E3" w:rsidR="008012ED" w:rsidRPr="00482722" w:rsidRDefault="00337481"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Ministry of Education can be trusted to carry out faithfully the student admission process in government universities in Riyadh.</w:t>
            </w:r>
          </w:p>
        </w:tc>
        <w:tc>
          <w:tcPr>
            <w:tcW w:w="1887" w:type="dxa"/>
            <w:vMerge/>
          </w:tcPr>
          <w:p w14:paraId="0873F3B6" w14:textId="77777777" w:rsidR="008012ED" w:rsidRPr="00482722" w:rsidRDefault="008012ED" w:rsidP="00DA5EEC">
            <w:pPr>
              <w:jc w:val="both"/>
              <w:rPr>
                <w:rFonts w:ascii="Arial" w:hAnsi="Arial" w:cs="Arial"/>
                <w:sz w:val="20"/>
                <w:szCs w:val="20"/>
              </w:rPr>
            </w:pPr>
          </w:p>
        </w:tc>
      </w:tr>
      <w:tr w:rsidR="00482722" w:rsidRPr="00482722" w14:paraId="5E2C5954" w14:textId="77777777" w:rsidTr="005D3104">
        <w:tc>
          <w:tcPr>
            <w:tcW w:w="1129" w:type="dxa"/>
            <w:vMerge/>
          </w:tcPr>
          <w:p w14:paraId="714981D0" w14:textId="77777777" w:rsidR="008012ED" w:rsidRPr="00482722" w:rsidRDefault="008012ED" w:rsidP="00DA5EEC">
            <w:pPr>
              <w:jc w:val="center"/>
              <w:rPr>
                <w:rFonts w:ascii="Arial" w:hAnsi="Arial" w:cs="Arial"/>
                <w:sz w:val="20"/>
                <w:szCs w:val="20"/>
              </w:rPr>
            </w:pPr>
          </w:p>
        </w:tc>
        <w:tc>
          <w:tcPr>
            <w:tcW w:w="856" w:type="dxa"/>
          </w:tcPr>
          <w:p w14:paraId="2C05F1C3"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TG3</w:t>
            </w:r>
          </w:p>
        </w:tc>
        <w:tc>
          <w:tcPr>
            <w:tcW w:w="4580" w:type="dxa"/>
          </w:tcPr>
          <w:p w14:paraId="7B18A093"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I trust that the Ministry of Education will keep in mind my best interests in terms of specialisations. </w:t>
            </w:r>
          </w:p>
        </w:tc>
        <w:tc>
          <w:tcPr>
            <w:tcW w:w="1887" w:type="dxa"/>
            <w:vMerge/>
          </w:tcPr>
          <w:p w14:paraId="7AD52654" w14:textId="77777777" w:rsidR="008012ED" w:rsidRPr="00482722" w:rsidRDefault="008012ED" w:rsidP="00DA5EEC">
            <w:pPr>
              <w:jc w:val="both"/>
              <w:rPr>
                <w:rFonts w:ascii="Arial" w:hAnsi="Arial" w:cs="Arial"/>
                <w:sz w:val="20"/>
                <w:szCs w:val="20"/>
              </w:rPr>
            </w:pPr>
          </w:p>
        </w:tc>
      </w:tr>
      <w:tr w:rsidR="00482722" w:rsidRPr="00482722" w14:paraId="5D6570F0" w14:textId="77777777" w:rsidTr="005D3104">
        <w:tc>
          <w:tcPr>
            <w:tcW w:w="1129" w:type="dxa"/>
            <w:vMerge/>
          </w:tcPr>
          <w:p w14:paraId="666BCC3F" w14:textId="77777777" w:rsidR="008012ED" w:rsidRPr="00482722" w:rsidRDefault="008012ED" w:rsidP="00DA5EEC">
            <w:pPr>
              <w:jc w:val="center"/>
              <w:rPr>
                <w:rFonts w:ascii="Arial" w:hAnsi="Arial" w:cs="Arial"/>
                <w:sz w:val="20"/>
                <w:szCs w:val="20"/>
              </w:rPr>
            </w:pPr>
          </w:p>
        </w:tc>
        <w:tc>
          <w:tcPr>
            <w:tcW w:w="856" w:type="dxa"/>
          </w:tcPr>
          <w:p w14:paraId="508779D5"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TG4</w:t>
            </w:r>
          </w:p>
        </w:tc>
        <w:tc>
          <w:tcPr>
            <w:tcW w:w="4580" w:type="dxa"/>
          </w:tcPr>
          <w:p w14:paraId="7859BE43"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In my opinion, the Ministry of Education is trustworthy.</w:t>
            </w:r>
          </w:p>
        </w:tc>
        <w:tc>
          <w:tcPr>
            <w:tcW w:w="1887" w:type="dxa"/>
            <w:vMerge/>
          </w:tcPr>
          <w:p w14:paraId="25E50109" w14:textId="77777777" w:rsidR="008012ED" w:rsidRPr="00482722" w:rsidRDefault="008012ED" w:rsidP="00DA5EEC">
            <w:pPr>
              <w:jc w:val="both"/>
              <w:rPr>
                <w:rFonts w:ascii="Arial" w:hAnsi="Arial" w:cs="Arial"/>
                <w:sz w:val="20"/>
                <w:szCs w:val="20"/>
              </w:rPr>
            </w:pPr>
          </w:p>
        </w:tc>
      </w:tr>
      <w:tr w:rsidR="00482722" w:rsidRPr="00482722" w14:paraId="531235D9" w14:textId="77777777" w:rsidTr="005D3104">
        <w:tc>
          <w:tcPr>
            <w:tcW w:w="1129" w:type="dxa"/>
            <w:shd w:val="clear" w:color="auto" w:fill="E7E6E6" w:themeFill="background2"/>
          </w:tcPr>
          <w:p w14:paraId="17AA89A5" w14:textId="77777777" w:rsidR="008012ED" w:rsidRPr="00482722" w:rsidRDefault="008012ED" w:rsidP="00DA5EEC">
            <w:pPr>
              <w:jc w:val="center"/>
              <w:rPr>
                <w:rFonts w:ascii="Arial" w:hAnsi="Arial" w:cs="Arial"/>
                <w:sz w:val="20"/>
                <w:szCs w:val="20"/>
              </w:rPr>
            </w:pPr>
          </w:p>
        </w:tc>
        <w:tc>
          <w:tcPr>
            <w:tcW w:w="856" w:type="dxa"/>
            <w:shd w:val="clear" w:color="auto" w:fill="E7E6E6" w:themeFill="background2"/>
          </w:tcPr>
          <w:p w14:paraId="046F4C59" w14:textId="77777777" w:rsidR="008012ED" w:rsidRPr="00482722" w:rsidRDefault="008012ED" w:rsidP="00DA5EEC">
            <w:pPr>
              <w:jc w:val="center"/>
              <w:rPr>
                <w:rFonts w:ascii="Arial" w:hAnsi="Arial" w:cs="Arial"/>
                <w:sz w:val="20"/>
                <w:szCs w:val="20"/>
              </w:rPr>
            </w:pPr>
          </w:p>
        </w:tc>
        <w:tc>
          <w:tcPr>
            <w:tcW w:w="4580" w:type="dxa"/>
            <w:shd w:val="clear" w:color="auto" w:fill="E7E6E6" w:themeFill="background2"/>
          </w:tcPr>
          <w:p w14:paraId="3CD097CC"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Trust in e-government (TEG)</w:t>
            </w:r>
          </w:p>
        </w:tc>
        <w:tc>
          <w:tcPr>
            <w:tcW w:w="1887" w:type="dxa"/>
            <w:shd w:val="clear" w:color="auto" w:fill="E7E6E6" w:themeFill="background2"/>
          </w:tcPr>
          <w:p w14:paraId="295C400F" w14:textId="77777777" w:rsidR="008012ED" w:rsidRPr="00482722" w:rsidRDefault="008012ED" w:rsidP="00DA5EEC">
            <w:pPr>
              <w:jc w:val="both"/>
              <w:rPr>
                <w:rFonts w:ascii="Arial" w:hAnsi="Arial" w:cs="Arial"/>
                <w:sz w:val="20"/>
                <w:szCs w:val="20"/>
              </w:rPr>
            </w:pPr>
          </w:p>
        </w:tc>
      </w:tr>
      <w:tr w:rsidR="00482722" w:rsidRPr="00482722" w14:paraId="744837A2" w14:textId="77777777" w:rsidTr="005D3104">
        <w:tc>
          <w:tcPr>
            <w:tcW w:w="1129" w:type="dxa"/>
            <w:vMerge w:val="restart"/>
          </w:tcPr>
          <w:p w14:paraId="7CA89AB9"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TEG</w:t>
            </w:r>
          </w:p>
        </w:tc>
        <w:tc>
          <w:tcPr>
            <w:tcW w:w="856" w:type="dxa"/>
          </w:tcPr>
          <w:p w14:paraId="6B44A3B0"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TEG1</w:t>
            </w:r>
          </w:p>
        </w:tc>
        <w:tc>
          <w:tcPr>
            <w:tcW w:w="4580" w:type="dxa"/>
          </w:tcPr>
          <w:p w14:paraId="43489A23" w14:textId="549AD84E" w:rsidR="008012ED" w:rsidRPr="00482722" w:rsidRDefault="00337481"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w:t>
            </w:r>
            <w:bookmarkStart w:id="28" w:name="_Hlk58194566"/>
            <w:r w:rsidR="008012ED" w:rsidRPr="00482722">
              <w:rPr>
                <w:rFonts w:ascii="Arial" w:hAnsi="Arial" w:cs="Arial"/>
                <w:sz w:val="20"/>
                <w:szCs w:val="20"/>
              </w:rPr>
              <w:t xml:space="preserve">has sufficient safeguards to reassure </w:t>
            </w:r>
            <w:bookmarkEnd w:id="28"/>
            <w:r w:rsidR="008012ED" w:rsidRPr="00482722">
              <w:rPr>
                <w:rFonts w:ascii="Arial" w:hAnsi="Arial" w:cs="Arial"/>
                <w:sz w:val="20"/>
                <w:szCs w:val="20"/>
              </w:rPr>
              <w:t xml:space="preserve">applicants during the application process. </w:t>
            </w:r>
          </w:p>
        </w:tc>
        <w:tc>
          <w:tcPr>
            <w:tcW w:w="1887" w:type="dxa"/>
            <w:vMerge w:val="restart"/>
          </w:tcPr>
          <w:p w14:paraId="534E0CA7" w14:textId="7CCDB161"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(Bélanger </w:t>
            </w:r>
            <w:r w:rsidR="002D35B9" w:rsidRPr="00482722">
              <w:rPr>
                <w:rFonts w:ascii="Arial" w:hAnsi="Arial" w:cs="Arial"/>
                <w:sz w:val="20"/>
                <w:szCs w:val="20"/>
              </w:rPr>
              <w:t>and</w:t>
            </w:r>
            <w:r w:rsidRPr="00482722">
              <w:rPr>
                <w:rFonts w:ascii="Arial" w:hAnsi="Arial" w:cs="Arial"/>
                <w:sz w:val="20"/>
                <w:szCs w:val="20"/>
              </w:rPr>
              <w:t xml:space="preserve"> Carter, 2008)</w:t>
            </w:r>
          </w:p>
        </w:tc>
      </w:tr>
      <w:tr w:rsidR="00482722" w:rsidRPr="00482722" w14:paraId="545CC4A4" w14:textId="77777777" w:rsidTr="005D3104">
        <w:tc>
          <w:tcPr>
            <w:tcW w:w="1129" w:type="dxa"/>
            <w:vMerge/>
          </w:tcPr>
          <w:p w14:paraId="118B414F" w14:textId="77777777" w:rsidR="008012ED" w:rsidRPr="00482722" w:rsidRDefault="008012ED" w:rsidP="00DA5EEC">
            <w:pPr>
              <w:jc w:val="center"/>
              <w:rPr>
                <w:rFonts w:ascii="Arial" w:hAnsi="Arial" w:cs="Arial"/>
                <w:sz w:val="20"/>
                <w:szCs w:val="20"/>
              </w:rPr>
            </w:pPr>
          </w:p>
        </w:tc>
        <w:tc>
          <w:tcPr>
            <w:tcW w:w="856" w:type="dxa"/>
          </w:tcPr>
          <w:p w14:paraId="26552621"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TEG2</w:t>
            </w:r>
          </w:p>
        </w:tc>
        <w:tc>
          <w:tcPr>
            <w:tcW w:w="4580" w:type="dxa"/>
          </w:tcPr>
          <w:p w14:paraId="2BA47CD5" w14:textId="74F8A164" w:rsidR="008012ED" w:rsidRPr="00482722" w:rsidRDefault="00337481"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reassures user</w:t>
            </w:r>
            <w:r w:rsidRPr="00482722">
              <w:rPr>
                <w:rFonts w:ascii="Arial" w:hAnsi="Arial" w:cs="Arial"/>
                <w:sz w:val="20"/>
                <w:szCs w:val="20"/>
              </w:rPr>
              <w:t>s</w:t>
            </w:r>
            <w:r w:rsidR="008012ED" w:rsidRPr="00482722">
              <w:rPr>
                <w:rFonts w:ascii="Arial" w:hAnsi="Arial" w:cs="Arial"/>
                <w:sz w:val="20"/>
                <w:szCs w:val="20"/>
              </w:rPr>
              <w:t xml:space="preserve"> that the legal and technological standards applied provide adequate protection from admission problems. </w:t>
            </w:r>
          </w:p>
        </w:tc>
        <w:tc>
          <w:tcPr>
            <w:tcW w:w="1887" w:type="dxa"/>
            <w:vMerge/>
          </w:tcPr>
          <w:p w14:paraId="6055BDBC" w14:textId="77777777" w:rsidR="008012ED" w:rsidRPr="00482722" w:rsidRDefault="008012ED" w:rsidP="00DA5EEC">
            <w:pPr>
              <w:jc w:val="both"/>
              <w:rPr>
                <w:rFonts w:ascii="Arial" w:hAnsi="Arial" w:cs="Arial"/>
                <w:sz w:val="20"/>
                <w:szCs w:val="20"/>
              </w:rPr>
            </w:pPr>
          </w:p>
        </w:tc>
      </w:tr>
      <w:tr w:rsidR="00482722" w:rsidRPr="00482722" w14:paraId="1F39AE6E" w14:textId="77777777" w:rsidTr="005D3104">
        <w:tc>
          <w:tcPr>
            <w:tcW w:w="1129" w:type="dxa"/>
            <w:vMerge/>
          </w:tcPr>
          <w:p w14:paraId="05F09E46" w14:textId="77777777" w:rsidR="008012ED" w:rsidRPr="00482722" w:rsidRDefault="008012ED" w:rsidP="00DA5EEC">
            <w:pPr>
              <w:jc w:val="center"/>
              <w:rPr>
                <w:rFonts w:ascii="Arial" w:hAnsi="Arial" w:cs="Arial"/>
                <w:sz w:val="20"/>
                <w:szCs w:val="20"/>
              </w:rPr>
            </w:pPr>
          </w:p>
        </w:tc>
        <w:tc>
          <w:tcPr>
            <w:tcW w:w="856" w:type="dxa"/>
          </w:tcPr>
          <w:p w14:paraId="7AF49CF9"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TEG3</w:t>
            </w:r>
          </w:p>
        </w:tc>
        <w:tc>
          <w:tcPr>
            <w:tcW w:w="4580" w:type="dxa"/>
          </w:tcPr>
          <w:p w14:paraId="1536E97B" w14:textId="01546CDF" w:rsidR="008012ED" w:rsidRPr="00482722" w:rsidRDefault="00F81AAF"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is in general a robust and safe system to use when </w:t>
            </w:r>
            <w:r w:rsidRPr="00482722">
              <w:rPr>
                <w:rFonts w:ascii="Arial" w:hAnsi="Arial" w:cs="Arial"/>
                <w:sz w:val="20"/>
                <w:szCs w:val="20"/>
              </w:rPr>
              <w:t>making a</w:t>
            </w:r>
            <w:r w:rsidR="008012ED" w:rsidRPr="00482722">
              <w:rPr>
                <w:rFonts w:ascii="Arial" w:hAnsi="Arial" w:cs="Arial"/>
                <w:sz w:val="20"/>
                <w:szCs w:val="20"/>
              </w:rPr>
              <w:t xml:space="preserve"> personal application for admission.</w:t>
            </w:r>
          </w:p>
        </w:tc>
        <w:tc>
          <w:tcPr>
            <w:tcW w:w="1887" w:type="dxa"/>
            <w:vMerge/>
          </w:tcPr>
          <w:p w14:paraId="76A7D23F" w14:textId="77777777" w:rsidR="008012ED" w:rsidRPr="00482722" w:rsidRDefault="008012ED" w:rsidP="00DA5EEC">
            <w:pPr>
              <w:jc w:val="both"/>
              <w:rPr>
                <w:rFonts w:ascii="Arial" w:hAnsi="Arial" w:cs="Arial"/>
                <w:sz w:val="20"/>
                <w:szCs w:val="20"/>
              </w:rPr>
            </w:pPr>
          </w:p>
        </w:tc>
      </w:tr>
      <w:tr w:rsidR="00482722" w:rsidRPr="00482722" w14:paraId="35FB4527" w14:textId="77777777" w:rsidTr="005D3104">
        <w:tc>
          <w:tcPr>
            <w:tcW w:w="8452" w:type="dxa"/>
            <w:gridSpan w:val="4"/>
            <w:shd w:val="clear" w:color="auto" w:fill="E7E6E6" w:themeFill="background2"/>
          </w:tcPr>
          <w:p w14:paraId="02E5690A"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Service quality (SQ)</w:t>
            </w:r>
          </w:p>
        </w:tc>
      </w:tr>
      <w:tr w:rsidR="00482722" w:rsidRPr="00482722" w14:paraId="523D25EC" w14:textId="77777777" w:rsidTr="005D3104">
        <w:tc>
          <w:tcPr>
            <w:tcW w:w="1129" w:type="dxa"/>
            <w:vMerge w:val="restart"/>
          </w:tcPr>
          <w:p w14:paraId="0398BC92"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SQT</w:t>
            </w:r>
          </w:p>
        </w:tc>
        <w:tc>
          <w:tcPr>
            <w:tcW w:w="856" w:type="dxa"/>
          </w:tcPr>
          <w:p w14:paraId="1586D787"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SQT1</w:t>
            </w:r>
          </w:p>
        </w:tc>
        <w:tc>
          <w:tcPr>
            <w:tcW w:w="4580" w:type="dxa"/>
          </w:tcPr>
          <w:p w14:paraId="71070924" w14:textId="1F0853D7" w:rsidR="008012ED" w:rsidRPr="00482722" w:rsidRDefault="00F81AAF"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has an up-to-date website.</w:t>
            </w:r>
          </w:p>
        </w:tc>
        <w:tc>
          <w:tcPr>
            <w:tcW w:w="1887" w:type="dxa"/>
            <w:vMerge w:val="restart"/>
          </w:tcPr>
          <w:p w14:paraId="35F6A5A3"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(Gefen, 2002; Pitt et al., 1995)</w:t>
            </w:r>
          </w:p>
        </w:tc>
      </w:tr>
      <w:tr w:rsidR="00482722" w:rsidRPr="00482722" w14:paraId="2C11A25A" w14:textId="77777777" w:rsidTr="005D3104">
        <w:tc>
          <w:tcPr>
            <w:tcW w:w="1129" w:type="dxa"/>
            <w:vMerge/>
          </w:tcPr>
          <w:p w14:paraId="0EE4A20F" w14:textId="77777777" w:rsidR="008012ED" w:rsidRPr="00482722" w:rsidRDefault="008012ED" w:rsidP="00DA5EEC">
            <w:pPr>
              <w:jc w:val="center"/>
              <w:rPr>
                <w:rFonts w:ascii="Arial" w:hAnsi="Arial" w:cs="Arial"/>
                <w:sz w:val="20"/>
                <w:szCs w:val="20"/>
              </w:rPr>
            </w:pPr>
          </w:p>
        </w:tc>
        <w:tc>
          <w:tcPr>
            <w:tcW w:w="856" w:type="dxa"/>
          </w:tcPr>
          <w:p w14:paraId="7429CC53"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SQT2</w:t>
            </w:r>
          </w:p>
        </w:tc>
        <w:tc>
          <w:tcPr>
            <w:tcW w:w="4580" w:type="dxa"/>
          </w:tcPr>
          <w:p w14:paraId="029072CF" w14:textId="069B753C" w:rsidR="008012ED" w:rsidRPr="00482722" w:rsidRDefault="00F81AAF"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is visually appealing.</w:t>
            </w:r>
          </w:p>
        </w:tc>
        <w:tc>
          <w:tcPr>
            <w:tcW w:w="1887" w:type="dxa"/>
            <w:vMerge/>
          </w:tcPr>
          <w:p w14:paraId="7A911CFA" w14:textId="77777777" w:rsidR="008012ED" w:rsidRPr="00482722" w:rsidRDefault="008012ED" w:rsidP="00DA5EEC">
            <w:pPr>
              <w:jc w:val="both"/>
              <w:rPr>
                <w:rFonts w:ascii="Arial" w:hAnsi="Arial" w:cs="Arial"/>
                <w:sz w:val="20"/>
                <w:szCs w:val="20"/>
              </w:rPr>
            </w:pPr>
          </w:p>
        </w:tc>
      </w:tr>
      <w:tr w:rsidR="00482722" w:rsidRPr="00482722" w14:paraId="5F670D0D" w14:textId="77777777" w:rsidTr="005D3104">
        <w:tc>
          <w:tcPr>
            <w:tcW w:w="1129" w:type="dxa"/>
            <w:vMerge/>
          </w:tcPr>
          <w:p w14:paraId="3B8E2718" w14:textId="77777777" w:rsidR="008012ED" w:rsidRPr="00482722" w:rsidRDefault="008012ED" w:rsidP="00DA5EEC">
            <w:pPr>
              <w:jc w:val="center"/>
              <w:rPr>
                <w:rFonts w:ascii="Arial" w:hAnsi="Arial" w:cs="Arial"/>
                <w:sz w:val="20"/>
                <w:szCs w:val="20"/>
              </w:rPr>
            </w:pPr>
          </w:p>
        </w:tc>
        <w:tc>
          <w:tcPr>
            <w:tcW w:w="856" w:type="dxa"/>
          </w:tcPr>
          <w:p w14:paraId="577E99BC"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SQT3</w:t>
            </w:r>
          </w:p>
        </w:tc>
        <w:tc>
          <w:tcPr>
            <w:tcW w:w="4580" w:type="dxa"/>
          </w:tcPr>
          <w:p w14:paraId="2EDCAF38" w14:textId="31EE19C3" w:rsidR="008012ED" w:rsidRPr="00482722" w:rsidRDefault="00F81AAF"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is neat in its appearance. </w:t>
            </w:r>
          </w:p>
        </w:tc>
        <w:tc>
          <w:tcPr>
            <w:tcW w:w="1887" w:type="dxa"/>
            <w:vMerge/>
          </w:tcPr>
          <w:p w14:paraId="633ABCBA" w14:textId="77777777" w:rsidR="008012ED" w:rsidRPr="00482722" w:rsidRDefault="008012ED" w:rsidP="00DA5EEC">
            <w:pPr>
              <w:jc w:val="both"/>
              <w:rPr>
                <w:rFonts w:ascii="Arial" w:hAnsi="Arial" w:cs="Arial"/>
                <w:sz w:val="20"/>
                <w:szCs w:val="20"/>
              </w:rPr>
            </w:pPr>
          </w:p>
        </w:tc>
      </w:tr>
      <w:tr w:rsidR="00482722" w:rsidRPr="00482722" w14:paraId="06D1BBAC" w14:textId="77777777" w:rsidTr="005D3104">
        <w:tc>
          <w:tcPr>
            <w:tcW w:w="1129" w:type="dxa"/>
            <w:vMerge/>
          </w:tcPr>
          <w:p w14:paraId="0F6C91A1" w14:textId="77777777" w:rsidR="008012ED" w:rsidRPr="00482722" w:rsidRDefault="008012ED" w:rsidP="00DA5EEC">
            <w:pPr>
              <w:jc w:val="center"/>
              <w:rPr>
                <w:rFonts w:ascii="Arial" w:hAnsi="Arial" w:cs="Arial"/>
                <w:sz w:val="20"/>
                <w:szCs w:val="20"/>
              </w:rPr>
            </w:pPr>
          </w:p>
        </w:tc>
        <w:tc>
          <w:tcPr>
            <w:tcW w:w="856" w:type="dxa"/>
          </w:tcPr>
          <w:p w14:paraId="531B8229"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SQT4</w:t>
            </w:r>
          </w:p>
        </w:tc>
        <w:tc>
          <w:tcPr>
            <w:tcW w:w="4580" w:type="dxa"/>
          </w:tcPr>
          <w:p w14:paraId="615D5355" w14:textId="2E632DE8" w:rsidR="008012ED" w:rsidRPr="00482722" w:rsidRDefault="00F81AAF"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is in keeping with the services it provides.</w:t>
            </w:r>
          </w:p>
        </w:tc>
        <w:tc>
          <w:tcPr>
            <w:tcW w:w="1887" w:type="dxa"/>
            <w:vMerge/>
          </w:tcPr>
          <w:p w14:paraId="5452C80F" w14:textId="77777777" w:rsidR="008012ED" w:rsidRPr="00482722" w:rsidRDefault="008012ED" w:rsidP="00DA5EEC">
            <w:pPr>
              <w:jc w:val="both"/>
              <w:rPr>
                <w:rFonts w:ascii="Arial" w:hAnsi="Arial" w:cs="Arial"/>
                <w:sz w:val="20"/>
                <w:szCs w:val="20"/>
              </w:rPr>
            </w:pPr>
          </w:p>
        </w:tc>
      </w:tr>
      <w:tr w:rsidR="00482722" w:rsidRPr="00482722" w14:paraId="2BD4A488" w14:textId="77777777" w:rsidTr="005D3104">
        <w:tc>
          <w:tcPr>
            <w:tcW w:w="1129" w:type="dxa"/>
            <w:vMerge w:val="restart"/>
          </w:tcPr>
          <w:p w14:paraId="37196F41"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SQR</w:t>
            </w:r>
          </w:p>
        </w:tc>
        <w:tc>
          <w:tcPr>
            <w:tcW w:w="856" w:type="dxa"/>
          </w:tcPr>
          <w:p w14:paraId="65CDEC2C"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SQR1</w:t>
            </w:r>
          </w:p>
        </w:tc>
        <w:tc>
          <w:tcPr>
            <w:tcW w:w="4580" w:type="dxa"/>
          </w:tcPr>
          <w:p w14:paraId="27EA52D7" w14:textId="1EE15E16"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has a disciplined time schedule </w:t>
            </w:r>
            <w:r w:rsidRPr="00482722">
              <w:rPr>
                <w:rFonts w:ascii="Arial" w:hAnsi="Arial" w:cs="Arial"/>
                <w:sz w:val="20"/>
                <w:szCs w:val="20"/>
              </w:rPr>
              <w:t xml:space="preserve">for </w:t>
            </w:r>
            <w:r w:rsidR="008012ED" w:rsidRPr="00482722">
              <w:rPr>
                <w:rFonts w:ascii="Arial" w:hAnsi="Arial" w:cs="Arial"/>
                <w:sz w:val="20"/>
                <w:szCs w:val="20"/>
              </w:rPr>
              <w:t xml:space="preserve">the services it performs. </w:t>
            </w:r>
          </w:p>
        </w:tc>
        <w:tc>
          <w:tcPr>
            <w:tcW w:w="1887" w:type="dxa"/>
            <w:vMerge w:val="restart"/>
          </w:tcPr>
          <w:p w14:paraId="6378C96F"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(Gefen, 2002; Pitt et al., 1995)</w:t>
            </w:r>
          </w:p>
        </w:tc>
      </w:tr>
      <w:tr w:rsidR="00482722" w:rsidRPr="00482722" w14:paraId="7109BCBA" w14:textId="77777777" w:rsidTr="005D3104">
        <w:tc>
          <w:tcPr>
            <w:tcW w:w="1129" w:type="dxa"/>
            <w:vMerge/>
          </w:tcPr>
          <w:p w14:paraId="17B8BCE4" w14:textId="77777777" w:rsidR="008012ED" w:rsidRPr="00482722" w:rsidRDefault="008012ED" w:rsidP="00DA5EEC">
            <w:pPr>
              <w:jc w:val="center"/>
              <w:rPr>
                <w:rFonts w:ascii="Arial" w:hAnsi="Arial" w:cs="Arial"/>
                <w:sz w:val="20"/>
                <w:szCs w:val="20"/>
              </w:rPr>
            </w:pPr>
          </w:p>
        </w:tc>
        <w:tc>
          <w:tcPr>
            <w:tcW w:w="856" w:type="dxa"/>
          </w:tcPr>
          <w:p w14:paraId="2533353F"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SQR2</w:t>
            </w:r>
          </w:p>
        </w:tc>
        <w:tc>
          <w:tcPr>
            <w:tcW w:w="4580" w:type="dxa"/>
          </w:tcPr>
          <w:p w14:paraId="388E7121" w14:textId="6F93EFFA"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shows a real interest in solving the user’s problems.</w:t>
            </w:r>
          </w:p>
        </w:tc>
        <w:tc>
          <w:tcPr>
            <w:tcW w:w="1887" w:type="dxa"/>
            <w:vMerge/>
          </w:tcPr>
          <w:p w14:paraId="4B96BE27" w14:textId="77777777" w:rsidR="008012ED" w:rsidRPr="00482722" w:rsidRDefault="008012ED" w:rsidP="00DA5EEC">
            <w:pPr>
              <w:jc w:val="both"/>
              <w:rPr>
                <w:rFonts w:ascii="Arial" w:hAnsi="Arial" w:cs="Arial"/>
                <w:sz w:val="20"/>
                <w:szCs w:val="20"/>
              </w:rPr>
            </w:pPr>
          </w:p>
        </w:tc>
      </w:tr>
      <w:tr w:rsidR="00482722" w:rsidRPr="00482722" w14:paraId="0E4F8E2B" w14:textId="77777777" w:rsidTr="005D3104">
        <w:tc>
          <w:tcPr>
            <w:tcW w:w="1129" w:type="dxa"/>
            <w:vMerge/>
          </w:tcPr>
          <w:p w14:paraId="1D9A0E41" w14:textId="77777777" w:rsidR="008012ED" w:rsidRPr="00482722" w:rsidRDefault="008012ED" w:rsidP="00DA5EEC">
            <w:pPr>
              <w:jc w:val="center"/>
              <w:rPr>
                <w:rFonts w:ascii="Arial" w:hAnsi="Arial" w:cs="Arial"/>
                <w:sz w:val="20"/>
                <w:szCs w:val="20"/>
              </w:rPr>
            </w:pPr>
          </w:p>
        </w:tc>
        <w:tc>
          <w:tcPr>
            <w:tcW w:w="856" w:type="dxa"/>
          </w:tcPr>
          <w:p w14:paraId="3A218FA2"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SQR3</w:t>
            </w:r>
          </w:p>
        </w:tc>
        <w:tc>
          <w:tcPr>
            <w:tcW w:w="4580" w:type="dxa"/>
          </w:tcPr>
          <w:p w14:paraId="34900049" w14:textId="5E5BCC70"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is dependable.</w:t>
            </w:r>
          </w:p>
        </w:tc>
        <w:tc>
          <w:tcPr>
            <w:tcW w:w="1887" w:type="dxa"/>
            <w:vMerge/>
          </w:tcPr>
          <w:p w14:paraId="1367C079" w14:textId="77777777" w:rsidR="008012ED" w:rsidRPr="00482722" w:rsidRDefault="008012ED" w:rsidP="00DA5EEC">
            <w:pPr>
              <w:jc w:val="both"/>
              <w:rPr>
                <w:rFonts w:ascii="Arial" w:hAnsi="Arial" w:cs="Arial"/>
                <w:sz w:val="20"/>
                <w:szCs w:val="20"/>
              </w:rPr>
            </w:pPr>
          </w:p>
        </w:tc>
      </w:tr>
      <w:tr w:rsidR="00482722" w:rsidRPr="00482722" w14:paraId="607976D7" w14:textId="77777777" w:rsidTr="005D3104">
        <w:tc>
          <w:tcPr>
            <w:tcW w:w="1129" w:type="dxa"/>
            <w:vMerge/>
          </w:tcPr>
          <w:p w14:paraId="1D0DC18B" w14:textId="77777777" w:rsidR="008012ED" w:rsidRPr="00482722" w:rsidRDefault="008012ED" w:rsidP="00DA5EEC">
            <w:pPr>
              <w:jc w:val="center"/>
              <w:rPr>
                <w:rFonts w:ascii="Arial" w:hAnsi="Arial" w:cs="Arial"/>
                <w:sz w:val="20"/>
                <w:szCs w:val="20"/>
              </w:rPr>
            </w:pPr>
          </w:p>
        </w:tc>
        <w:tc>
          <w:tcPr>
            <w:tcW w:w="856" w:type="dxa"/>
          </w:tcPr>
          <w:p w14:paraId="33C6B4A2"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SQR4</w:t>
            </w:r>
          </w:p>
        </w:tc>
        <w:tc>
          <w:tcPr>
            <w:tcW w:w="4580" w:type="dxa"/>
          </w:tcPr>
          <w:p w14:paraId="690C7B19" w14:textId="66606D5C"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provides its services at the time it promises to do so. </w:t>
            </w:r>
          </w:p>
        </w:tc>
        <w:tc>
          <w:tcPr>
            <w:tcW w:w="1887" w:type="dxa"/>
            <w:vMerge/>
          </w:tcPr>
          <w:p w14:paraId="1EDB5C87" w14:textId="77777777" w:rsidR="008012ED" w:rsidRPr="00482722" w:rsidRDefault="008012ED" w:rsidP="00DA5EEC">
            <w:pPr>
              <w:jc w:val="both"/>
              <w:rPr>
                <w:rFonts w:ascii="Arial" w:hAnsi="Arial" w:cs="Arial"/>
                <w:sz w:val="20"/>
                <w:szCs w:val="20"/>
              </w:rPr>
            </w:pPr>
          </w:p>
        </w:tc>
      </w:tr>
      <w:tr w:rsidR="00482722" w:rsidRPr="00482722" w14:paraId="7E9338C4" w14:textId="77777777" w:rsidTr="005D3104">
        <w:tc>
          <w:tcPr>
            <w:tcW w:w="1129" w:type="dxa"/>
            <w:vMerge w:val="restart"/>
          </w:tcPr>
          <w:p w14:paraId="2ED1011B"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SQP</w:t>
            </w:r>
          </w:p>
        </w:tc>
        <w:tc>
          <w:tcPr>
            <w:tcW w:w="856" w:type="dxa"/>
          </w:tcPr>
          <w:p w14:paraId="23242AF9"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SQP1</w:t>
            </w:r>
          </w:p>
        </w:tc>
        <w:tc>
          <w:tcPr>
            <w:tcW w:w="4580" w:type="dxa"/>
          </w:tcPr>
          <w:p w14:paraId="3D9154D8" w14:textId="14962DEC"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tells the user exactly when a service will be performed. </w:t>
            </w:r>
          </w:p>
        </w:tc>
        <w:tc>
          <w:tcPr>
            <w:tcW w:w="1887" w:type="dxa"/>
            <w:vMerge w:val="restart"/>
          </w:tcPr>
          <w:p w14:paraId="0B70B9C4"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(Gefen, 2002; Pitt et al., 1995)</w:t>
            </w:r>
          </w:p>
        </w:tc>
      </w:tr>
      <w:tr w:rsidR="00482722" w:rsidRPr="00482722" w14:paraId="44B1D0CD" w14:textId="77777777" w:rsidTr="005D3104">
        <w:tc>
          <w:tcPr>
            <w:tcW w:w="1129" w:type="dxa"/>
            <w:vMerge/>
          </w:tcPr>
          <w:p w14:paraId="70F5A99E" w14:textId="77777777" w:rsidR="008012ED" w:rsidRPr="00482722" w:rsidRDefault="008012ED" w:rsidP="00DA5EEC">
            <w:pPr>
              <w:jc w:val="center"/>
              <w:rPr>
                <w:rFonts w:ascii="Arial" w:hAnsi="Arial" w:cs="Arial"/>
                <w:sz w:val="20"/>
                <w:szCs w:val="20"/>
              </w:rPr>
            </w:pPr>
          </w:p>
        </w:tc>
        <w:tc>
          <w:tcPr>
            <w:tcW w:w="856" w:type="dxa"/>
          </w:tcPr>
          <w:p w14:paraId="1B78FA54"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SQP2</w:t>
            </w:r>
          </w:p>
        </w:tc>
        <w:tc>
          <w:tcPr>
            <w:tcW w:w="4580" w:type="dxa"/>
          </w:tcPr>
          <w:p w14:paraId="0B281999" w14:textId="001D25A1"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offers prompt services to the user. </w:t>
            </w:r>
          </w:p>
        </w:tc>
        <w:tc>
          <w:tcPr>
            <w:tcW w:w="1887" w:type="dxa"/>
            <w:vMerge/>
          </w:tcPr>
          <w:p w14:paraId="1C6AB516" w14:textId="77777777" w:rsidR="008012ED" w:rsidRPr="00482722" w:rsidRDefault="008012ED" w:rsidP="00DA5EEC">
            <w:pPr>
              <w:jc w:val="both"/>
              <w:rPr>
                <w:rFonts w:ascii="Arial" w:hAnsi="Arial" w:cs="Arial"/>
                <w:sz w:val="20"/>
                <w:szCs w:val="20"/>
              </w:rPr>
            </w:pPr>
          </w:p>
        </w:tc>
      </w:tr>
      <w:tr w:rsidR="00482722" w:rsidRPr="00482722" w14:paraId="5E2EA797" w14:textId="77777777" w:rsidTr="005D3104">
        <w:tc>
          <w:tcPr>
            <w:tcW w:w="1129" w:type="dxa"/>
            <w:vMerge/>
          </w:tcPr>
          <w:p w14:paraId="74A43112" w14:textId="77777777" w:rsidR="008012ED" w:rsidRPr="00482722" w:rsidRDefault="008012ED" w:rsidP="00DA5EEC">
            <w:pPr>
              <w:jc w:val="center"/>
              <w:rPr>
                <w:rFonts w:ascii="Arial" w:hAnsi="Arial" w:cs="Arial"/>
                <w:sz w:val="20"/>
                <w:szCs w:val="20"/>
              </w:rPr>
            </w:pPr>
          </w:p>
        </w:tc>
        <w:tc>
          <w:tcPr>
            <w:tcW w:w="856" w:type="dxa"/>
          </w:tcPr>
          <w:p w14:paraId="59FB6F42"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SQP3</w:t>
            </w:r>
          </w:p>
        </w:tc>
        <w:tc>
          <w:tcPr>
            <w:tcW w:w="4580" w:type="dxa"/>
          </w:tcPr>
          <w:p w14:paraId="1DE80A39" w14:textId="46E338E0"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is always willing to </w:t>
            </w:r>
            <w:r w:rsidRPr="00482722">
              <w:rPr>
                <w:rFonts w:ascii="Arial" w:hAnsi="Arial" w:cs="Arial"/>
                <w:sz w:val="20"/>
                <w:szCs w:val="20"/>
              </w:rPr>
              <w:t xml:space="preserve">deal with </w:t>
            </w:r>
            <w:r w:rsidR="008012ED" w:rsidRPr="00482722">
              <w:rPr>
                <w:rFonts w:ascii="Arial" w:hAnsi="Arial" w:cs="Arial"/>
                <w:sz w:val="20"/>
                <w:szCs w:val="20"/>
              </w:rPr>
              <w:t xml:space="preserve">the user’s requests. </w:t>
            </w:r>
          </w:p>
        </w:tc>
        <w:tc>
          <w:tcPr>
            <w:tcW w:w="1887" w:type="dxa"/>
            <w:vMerge/>
          </w:tcPr>
          <w:p w14:paraId="69DCFEFA" w14:textId="77777777" w:rsidR="008012ED" w:rsidRPr="00482722" w:rsidRDefault="008012ED" w:rsidP="00DA5EEC">
            <w:pPr>
              <w:jc w:val="both"/>
              <w:rPr>
                <w:rFonts w:ascii="Arial" w:hAnsi="Arial" w:cs="Arial"/>
                <w:sz w:val="20"/>
                <w:szCs w:val="20"/>
              </w:rPr>
            </w:pPr>
          </w:p>
        </w:tc>
      </w:tr>
      <w:tr w:rsidR="00482722" w:rsidRPr="00482722" w14:paraId="7F469C50" w14:textId="77777777" w:rsidTr="005D3104">
        <w:tc>
          <w:tcPr>
            <w:tcW w:w="1129" w:type="dxa"/>
            <w:vMerge/>
          </w:tcPr>
          <w:p w14:paraId="3EE045D7" w14:textId="77777777" w:rsidR="008012ED" w:rsidRPr="00482722" w:rsidRDefault="008012ED" w:rsidP="00DA5EEC">
            <w:pPr>
              <w:jc w:val="center"/>
              <w:rPr>
                <w:rFonts w:ascii="Arial" w:hAnsi="Arial" w:cs="Arial"/>
                <w:sz w:val="20"/>
                <w:szCs w:val="20"/>
              </w:rPr>
            </w:pPr>
          </w:p>
        </w:tc>
        <w:tc>
          <w:tcPr>
            <w:tcW w:w="856" w:type="dxa"/>
          </w:tcPr>
          <w:p w14:paraId="3CE417DB"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SQP4</w:t>
            </w:r>
          </w:p>
        </w:tc>
        <w:tc>
          <w:tcPr>
            <w:tcW w:w="4580" w:type="dxa"/>
          </w:tcPr>
          <w:p w14:paraId="157402BB" w14:textId="7E97ED61"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is always ready to respond quickly to the student’s requests. </w:t>
            </w:r>
          </w:p>
        </w:tc>
        <w:tc>
          <w:tcPr>
            <w:tcW w:w="1887" w:type="dxa"/>
            <w:vMerge/>
          </w:tcPr>
          <w:p w14:paraId="1E996F11" w14:textId="77777777" w:rsidR="008012ED" w:rsidRPr="00482722" w:rsidRDefault="008012ED" w:rsidP="00DA5EEC">
            <w:pPr>
              <w:jc w:val="both"/>
              <w:rPr>
                <w:rFonts w:ascii="Arial" w:hAnsi="Arial" w:cs="Arial"/>
                <w:sz w:val="20"/>
                <w:szCs w:val="20"/>
              </w:rPr>
            </w:pPr>
          </w:p>
        </w:tc>
      </w:tr>
      <w:tr w:rsidR="00482722" w:rsidRPr="00482722" w14:paraId="18BA64BF" w14:textId="77777777" w:rsidTr="005D3104">
        <w:tc>
          <w:tcPr>
            <w:tcW w:w="1129" w:type="dxa"/>
            <w:vMerge w:val="restart"/>
          </w:tcPr>
          <w:p w14:paraId="52E7B1A8"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SQA</w:t>
            </w:r>
          </w:p>
        </w:tc>
        <w:tc>
          <w:tcPr>
            <w:tcW w:w="856" w:type="dxa"/>
          </w:tcPr>
          <w:p w14:paraId="1D9758F8"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SQA1</w:t>
            </w:r>
          </w:p>
        </w:tc>
        <w:tc>
          <w:tcPr>
            <w:tcW w:w="4580" w:type="dxa"/>
          </w:tcPr>
          <w:p w14:paraId="523CDAE3" w14:textId="1054EDF7" w:rsidR="008012ED" w:rsidRPr="00482722" w:rsidRDefault="000E22B6"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instils confidence in the user </w:t>
            </w:r>
            <w:r w:rsidR="001A6C10" w:rsidRPr="00482722">
              <w:rPr>
                <w:rFonts w:ascii="Arial" w:hAnsi="Arial" w:cs="Arial"/>
                <w:sz w:val="20"/>
                <w:szCs w:val="20"/>
              </w:rPr>
              <w:t>about</w:t>
            </w:r>
            <w:r w:rsidR="008012ED" w:rsidRPr="00482722">
              <w:rPr>
                <w:rFonts w:ascii="Arial" w:hAnsi="Arial" w:cs="Arial"/>
                <w:sz w:val="20"/>
                <w:szCs w:val="20"/>
              </w:rPr>
              <w:t xml:space="preserve"> its performance. </w:t>
            </w:r>
          </w:p>
        </w:tc>
        <w:tc>
          <w:tcPr>
            <w:tcW w:w="1887" w:type="dxa"/>
            <w:vMerge w:val="restart"/>
          </w:tcPr>
          <w:p w14:paraId="03A62A88"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(Gefen, 2002; Pitt et al., 1995)</w:t>
            </w:r>
          </w:p>
        </w:tc>
      </w:tr>
      <w:tr w:rsidR="00482722" w:rsidRPr="00482722" w14:paraId="5B2EB5EC" w14:textId="77777777" w:rsidTr="005D3104">
        <w:tc>
          <w:tcPr>
            <w:tcW w:w="1129" w:type="dxa"/>
            <w:vMerge/>
          </w:tcPr>
          <w:p w14:paraId="41B7B5D9" w14:textId="77777777" w:rsidR="008012ED" w:rsidRPr="00482722" w:rsidRDefault="008012ED" w:rsidP="00DA5EEC">
            <w:pPr>
              <w:jc w:val="center"/>
              <w:rPr>
                <w:rFonts w:ascii="Arial" w:hAnsi="Arial" w:cs="Arial"/>
                <w:sz w:val="20"/>
                <w:szCs w:val="20"/>
              </w:rPr>
            </w:pPr>
          </w:p>
        </w:tc>
        <w:tc>
          <w:tcPr>
            <w:tcW w:w="856" w:type="dxa"/>
          </w:tcPr>
          <w:p w14:paraId="3FC82418"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AQA2</w:t>
            </w:r>
          </w:p>
        </w:tc>
        <w:tc>
          <w:tcPr>
            <w:tcW w:w="4580" w:type="dxa"/>
          </w:tcPr>
          <w:p w14:paraId="7C1D7386" w14:textId="17AA9FD5" w:rsidR="008012ED" w:rsidRPr="00482722" w:rsidRDefault="001A6C10"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UEAS is safe when carrying out transactions.</w:t>
            </w:r>
          </w:p>
        </w:tc>
        <w:tc>
          <w:tcPr>
            <w:tcW w:w="1887" w:type="dxa"/>
            <w:vMerge/>
          </w:tcPr>
          <w:p w14:paraId="10E5CE79" w14:textId="77777777" w:rsidR="008012ED" w:rsidRPr="00482722" w:rsidRDefault="008012ED" w:rsidP="00DA5EEC">
            <w:pPr>
              <w:jc w:val="both"/>
              <w:rPr>
                <w:rFonts w:ascii="Arial" w:hAnsi="Arial" w:cs="Arial"/>
                <w:sz w:val="20"/>
                <w:szCs w:val="20"/>
              </w:rPr>
            </w:pPr>
          </w:p>
        </w:tc>
      </w:tr>
      <w:tr w:rsidR="00482722" w:rsidRPr="00482722" w14:paraId="59D4C5AB" w14:textId="77777777" w:rsidTr="005D3104">
        <w:tc>
          <w:tcPr>
            <w:tcW w:w="1129" w:type="dxa"/>
            <w:vMerge/>
          </w:tcPr>
          <w:p w14:paraId="2A0600E4" w14:textId="77777777" w:rsidR="008012ED" w:rsidRPr="00482722" w:rsidRDefault="008012ED" w:rsidP="00DA5EEC">
            <w:pPr>
              <w:jc w:val="center"/>
              <w:rPr>
                <w:rFonts w:ascii="Arial" w:hAnsi="Arial" w:cs="Arial"/>
                <w:sz w:val="20"/>
                <w:szCs w:val="20"/>
              </w:rPr>
            </w:pPr>
          </w:p>
        </w:tc>
        <w:tc>
          <w:tcPr>
            <w:tcW w:w="856" w:type="dxa"/>
          </w:tcPr>
          <w:p w14:paraId="435D02B8"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SQA3</w:t>
            </w:r>
          </w:p>
        </w:tc>
        <w:tc>
          <w:tcPr>
            <w:tcW w:w="4580" w:type="dxa"/>
          </w:tcPr>
          <w:p w14:paraId="623E2927" w14:textId="2B9FF269" w:rsidR="008012ED" w:rsidRPr="00482722" w:rsidRDefault="001A6C10"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has knowledgeable staff to deal with queries. </w:t>
            </w:r>
          </w:p>
        </w:tc>
        <w:tc>
          <w:tcPr>
            <w:tcW w:w="1887" w:type="dxa"/>
            <w:vMerge/>
          </w:tcPr>
          <w:p w14:paraId="05BDB4FB" w14:textId="77777777" w:rsidR="008012ED" w:rsidRPr="00482722" w:rsidRDefault="008012ED" w:rsidP="00DA5EEC">
            <w:pPr>
              <w:jc w:val="both"/>
              <w:rPr>
                <w:rFonts w:ascii="Arial" w:hAnsi="Arial" w:cs="Arial"/>
                <w:sz w:val="20"/>
                <w:szCs w:val="20"/>
              </w:rPr>
            </w:pPr>
          </w:p>
        </w:tc>
      </w:tr>
      <w:tr w:rsidR="00482722" w:rsidRPr="00482722" w14:paraId="227EA53A" w14:textId="77777777" w:rsidTr="005D3104">
        <w:tc>
          <w:tcPr>
            <w:tcW w:w="1129" w:type="dxa"/>
            <w:vMerge w:val="restart"/>
          </w:tcPr>
          <w:p w14:paraId="52B00BB5"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SQE</w:t>
            </w:r>
          </w:p>
        </w:tc>
        <w:tc>
          <w:tcPr>
            <w:tcW w:w="856" w:type="dxa"/>
          </w:tcPr>
          <w:p w14:paraId="46BE0FBF"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SQE1</w:t>
            </w:r>
          </w:p>
        </w:tc>
        <w:tc>
          <w:tcPr>
            <w:tcW w:w="4580" w:type="dxa"/>
          </w:tcPr>
          <w:p w14:paraId="046EE8EF" w14:textId="5B981ADB" w:rsidR="008012ED" w:rsidRPr="00482722" w:rsidRDefault="001A6C10"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has operating hours that are convenient for the user. </w:t>
            </w:r>
          </w:p>
        </w:tc>
        <w:tc>
          <w:tcPr>
            <w:tcW w:w="1887" w:type="dxa"/>
            <w:vMerge w:val="restart"/>
          </w:tcPr>
          <w:p w14:paraId="2DEAC46F"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(Gefen, 2002; Pitt et al., 1995)</w:t>
            </w:r>
          </w:p>
        </w:tc>
      </w:tr>
      <w:tr w:rsidR="00482722" w:rsidRPr="00482722" w14:paraId="60842570" w14:textId="77777777" w:rsidTr="005D3104">
        <w:tc>
          <w:tcPr>
            <w:tcW w:w="1129" w:type="dxa"/>
            <w:vMerge/>
          </w:tcPr>
          <w:p w14:paraId="6F955FCF" w14:textId="77777777" w:rsidR="008012ED" w:rsidRPr="00482722" w:rsidRDefault="008012ED" w:rsidP="00DA5EEC">
            <w:pPr>
              <w:jc w:val="center"/>
              <w:rPr>
                <w:rFonts w:ascii="Arial" w:hAnsi="Arial" w:cs="Arial"/>
                <w:sz w:val="20"/>
                <w:szCs w:val="20"/>
              </w:rPr>
            </w:pPr>
          </w:p>
        </w:tc>
        <w:tc>
          <w:tcPr>
            <w:tcW w:w="856" w:type="dxa"/>
          </w:tcPr>
          <w:p w14:paraId="50897BD0"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SQE2</w:t>
            </w:r>
          </w:p>
        </w:tc>
        <w:tc>
          <w:tcPr>
            <w:tcW w:w="4580" w:type="dxa"/>
          </w:tcPr>
          <w:p w14:paraId="455FBEE4" w14:textId="43743D44" w:rsidR="008012ED" w:rsidRPr="00482722" w:rsidRDefault="001A6C10"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has the user’s best interests at heart. </w:t>
            </w:r>
          </w:p>
        </w:tc>
        <w:tc>
          <w:tcPr>
            <w:tcW w:w="1887" w:type="dxa"/>
            <w:vMerge/>
          </w:tcPr>
          <w:p w14:paraId="052B12FD" w14:textId="77777777" w:rsidR="008012ED" w:rsidRPr="00482722" w:rsidRDefault="008012ED" w:rsidP="00DA5EEC">
            <w:pPr>
              <w:jc w:val="both"/>
              <w:rPr>
                <w:rFonts w:ascii="Arial" w:hAnsi="Arial" w:cs="Arial"/>
                <w:sz w:val="20"/>
                <w:szCs w:val="20"/>
              </w:rPr>
            </w:pPr>
          </w:p>
        </w:tc>
      </w:tr>
      <w:tr w:rsidR="00482722" w:rsidRPr="00482722" w14:paraId="52885417" w14:textId="77777777" w:rsidTr="005D3104">
        <w:tc>
          <w:tcPr>
            <w:tcW w:w="1129" w:type="dxa"/>
            <w:vMerge/>
          </w:tcPr>
          <w:p w14:paraId="489D1600" w14:textId="77777777" w:rsidR="008012ED" w:rsidRPr="00482722" w:rsidRDefault="008012ED" w:rsidP="00DA5EEC">
            <w:pPr>
              <w:jc w:val="center"/>
              <w:rPr>
                <w:rFonts w:ascii="Arial" w:hAnsi="Arial" w:cs="Arial"/>
                <w:sz w:val="20"/>
                <w:szCs w:val="20"/>
              </w:rPr>
            </w:pPr>
          </w:p>
        </w:tc>
        <w:tc>
          <w:tcPr>
            <w:tcW w:w="856" w:type="dxa"/>
          </w:tcPr>
          <w:p w14:paraId="4D61CF72"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SQE3</w:t>
            </w:r>
          </w:p>
        </w:tc>
        <w:tc>
          <w:tcPr>
            <w:tcW w:w="4580" w:type="dxa"/>
          </w:tcPr>
          <w:p w14:paraId="3C603343" w14:textId="2539C99D" w:rsidR="008012ED" w:rsidRPr="00482722" w:rsidRDefault="001A6C10" w:rsidP="00DA5EEC">
            <w:pPr>
              <w:jc w:val="both"/>
              <w:rPr>
                <w:rFonts w:ascii="Arial" w:hAnsi="Arial" w:cs="Arial"/>
                <w:sz w:val="20"/>
                <w:szCs w:val="20"/>
              </w:rPr>
            </w:pPr>
            <w:r w:rsidRPr="00482722">
              <w:rPr>
                <w:rFonts w:ascii="Arial" w:hAnsi="Arial" w:cs="Arial"/>
                <w:sz w:val="20"/>
                <w:szCs w:val="20"/>
              </w:rPr>
              <w:t xml:space="preserve">The </w:t>
            </w:r>
            <w:r w:rsidR="008012ED" w:rsidRPr="00482722">
              <w:rPr>
                <w:rFonts w:ascii="Arial" w:hAnsi="Arial" w:cs="Arial"/>
                <w:sz w:val="20"/>
                <w:szCs w:val="20"/>
              </w:rPr>
              <w:t xml:space="preserve">UEAS has experienced staff </w:t>
            </w:r>
            <w:r w:rsidRPr="00482722">
              <w:rPr>
                <w:rFonts w:ascii="Arial" w:hAnsi="Arial" w:cs="Arial"/>
                <w:sz w:val="20"/>
                <w:szCs w:val="20"/>
              </w:rPr>
              <w:t xml:space="preserve">who </w:t>
            </w:r>
            <w:r w:rsidR="008012ED" w:rsidRPr="00482722">
              <w:rPr>
                <w:rFonts w:ascii="Arial" w:hAnsi="Arial" w:cs="Arial"/>
                <w:sz w:val="20"/>
                <w:szCs w:val="20"/>
              </w:rPr>
              <w:t>understand the specific needs of each user.</w:t>
            </w:r>
          </w:p>
        </w:tc>
        <w:tc>
          <w:tcPr>
            <w:tcW w:w="1887" w:type="dxa"/>
            <w:vMerge/>
          </w:tcPr>
          <w:p w14:paraId="519B6BED" w14:textId="77777777" w:rsidR="008012ED" w:rsidRPr="00482722" w:rsidRDefault="008012ED" w:rsidP="00DA5EEC">
            <w:pPr>
              <w:jc w:val="both"/>
              <w:rPr>
                <w:rFonts w:ascii="Arial" w:hAnsi="Arial" w:cs="Arial"/>
                <w:sz w:val="20"/>
                <w:szCs w:val="20"/>
              </w:rPr>
            </w:pPr>
          </w:p>
        </w:tc>
      </w:tr>
      <w:tr w:rsidR="00482722" w:rsidRPr="00482722" w14:paraId="79D76586" w14:textId="77777777" w:rsidTr="005D3104">
        <w:tc>
          <w:tcPr>
            <w:tcW w:w="8452" w:type="dxa"/>
            <w:gridSpan w:val="4"/>
            <w:shd w:val="clear" w:color="auto" w:fill="E7E6E6" w:themeFill="background2"/>
          </w:tcPr>
          <w:p w14:paraId="530ECCE6" w14:textId="3746C11C" w:rsidR="008012ED" w:rsidRPr="00482722" w:rsidRDefault="008012ED" w:rsidP="00DA5EEC">
            <w:pPr>
              <w:jc w:val="center"/>
              <w:rPr>
                <w:rFonts w:ascii="Arial" w:hAnsi="Arial" w:cs="Arial"/>
                <w:sz w:val="20"/>
                <w:szCs w:val="20"/>
              </w:rPr>
            </w:pPr>
            <w:r w:rsidRPr="00482722">
              <w:rPr>
                <w:rFonts w:ascii="Arial" w:hAnsi="Arial" w:cs="Arial"/>
                <w:sz w:val="20"/>
                <w:szCs w:val="20"/>
              </w:rPr>
              <w:t>Citizen satisfaction (CS)</w:t>
            </w:r>
          </w:p>
        </w:tc>
      </w:tr>
      <w:tr w:rsidR="00482722" w:rsidRPr="00482722" w14:paraId="7E1B6C69" w14:textId="77777777" w:rsidTr="005D3104">
        <w:tc>
          <w:tcPr>
            <w:tcW w:w="1129" w:type="dxa"/>
            <w:vMerge w:val="restart"/>
          </w:tcPr>
          <w:p w14:paraId="7755CE42" w14:textId="77777777" w:rsidR="008012ED" w:rsidRPr="00482722" w:rsidRDefault="008012ED" w:rsidP="00DA5EEC">
            <w:pPr>
              <w:jc w:val="center"/>
              <w:rPr>
                <w:rFonts w:ascii="Arial" w:hAnsi="Arial" w:cs="Arial"/>
                <w:sz w:val="20"/>
                <w:szCs w:val="20"/>
              </w:rPr>
            </w:pPr>
          </w:p>
        </w:tc>
        <w:tc>
          <w:tcPr>
            <w:tcW w:w="856" w:type="dxa"/>
          </w:tcPr>
          <w:p w14:paraId="31D6A7AC" w14:textId="67FC2670" w:rsidR="008012ED" w:rsidRPr="00482722" w:rsidRDefault="00722F13" w:rsidP="00DA5EEC">
            <w:pPr>
              <w:jc w:val="center"/>
              <w:rPr>
                <w:rFonts w:ascii="Arial" w:hAnsi="Arial" w:cs="Arial"/>
                <w:sz w:val="20"/>
                <w:szCs w:val="20"/>
              </w:rPr>
            </w:pPr>
            <w:r w:rsidRPr="00482722">
              <w:rPr>
                <w:rFonts w:ascii="Arial" w:hAnsi="Arial" w:cs="Arial"/>
                <w:sz w:val="20"/>
                <w:szCs w:val="20"/>
              </w:rPr>
              <w:t>CS1</w:t>
            </w:r>
          </w:p>
        </w:tc>
        <w:tc>
          <w:tcPr>
            <w:tcW w:w="4580" w:type="dxa"/>
          </w:tcPr>
          <w:p w14:paraId="12EB4854" w14:textId="0A342922"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The use of </w:t>
            </w:r>
            <w:r w:rsidR="00D34FBD" w:rsidRPr="00482722">
              <w:rPr>
                <w:rFonts w:ascii="Arial" w:hAnsi="Arial" w:cs="Arial"/>
                <w:sz w:val="20"/>
                <w:szCs w:val="20"/>
              </w:rPr>
              <w:t xml:space="preserve">the </w:t>
            </w:r>
            <w:r w:rsidRPr="00482722">
              <w:rPr>
                <w:rFonts w:ascii="Arial" w:hAnsi="Arial" w:cs="Arial"/>
                <w:sz w:val="20"/>
                <w:szCs w:val="20"/>
              </w:rPr>
              <w:t>UEAS is extremely positive.</w:t>
            </w:r>
          </w:p>
        </w:tc>
        <w:tc>
          <w:tcPr>
            <w:tcW w:w="1887" w:type="dxa"/>
            <w:vMerge w:val="restart"/>
          </w:tcPr>
          <w:p w14:paraId="674285FF" w14:textId="78637F1B" w:rsidR="008012ED" w:rsidRPr="00482722" w:rsidRDefault="00BA2942" w:rsidP="00DA5EEC">
            <w:pPr>
              <w:jc w:val="both"/>
              <w:rPr>
                <w:rFonts w:ascii="Arial" w:hAnsi="Arial" w:cs="Arial"/>
                <w:sz w:val="20"/>
                <w:szCs w:val="20"/>
              </w:rPr>
            </w:pPr>
            <w:r w:rsidRPr="00482722">
              <w:rPr>
                <w:rFonts w:ascii="Arial" w:hAnsi="Arial" w:cs="Arial"/>
                <w:sz w:val="20"/>
                <w:szCs w:val="20"/>
              </w:rPr>
              <w:t>(Chan et al., 2010; Brown et al., 2008)</w:t>
            </w:r>
          </w:p>
        </w:tc>
      </w:tr>
      <w:tr w:rsidR="00482722" w:rsidRPr="00482722" w14:paraId="2BCF5D2F" w14:textId="77777777" w:rsidTr="005D3104">
        <w:tc>
          <w:tcPr>
            <w:tcW w:w="1129" w:type="dxa"/>
            <w:vMerge/>
          </w:tcPr>
          <w:p w14:paraId="7D1B041B" w14:textId="77777777" w:rsidR="008012ED" w:rsidRPr="00482722" w:rsidRDefault="008012ED" w:rsidP="00DA5EEC">
            <w:pPr>
              <w:jc w:val="center"/>
              <w:rPr>
                <w:rFonts w:ascii="Arial" w:hAnsi="Arial" w:cs="Arial"/>
                <w:sz w:val="20"/>
                <w:szCs w:val="20"/>
              </w:rPr>
            </w:pPr>
          </w:p>
        </w:tc>
        <w:tc>
          <w:tcPr>
            <w:tcW w:w="856" w:type="dxa"/>
          </w:tcPr>
          <w:p w14:paraId="10798BB4" w14:textId="66D9BBA3" w:rsidR="008012ED" w:rsidRPr="00482722" w:rsidRDefault="00722F13" w:rsidP="00DA5EEC">
            <w:pPr>
              <w:jc w:val="center"/>
              <w:rPr>
                <w:rFonts w:ascii="Arial" w:hAnsi="Arial" w:cs="Arial"/>
                <w:sz w:val="20"/>
                <w:szCs w:val="20"/>
              </w:rPr>
            </w:pPr>
            <w:r w:rsidRPr="00482722">
              <w:rPr>
                <w:rFonts w:ascii="Arial" w:hAnsi="Arial" w:cs="Arial"/>
                <w:sz w:val="20"/>
                <w:szCs w:val="20"/>
              </w:rPr>
              <w:t>CS2</w:t>
            </w:r>
          </w:p>
        </w:tc>
        <w:tc>
          <w:tcPr>
            <w:tcW w:w="4580" w:type="dxa"/>
          </w:tcPr>
          <w:p w14:paraId="21F130AA" w14:textId="3989699F"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The use of </w:t>
            </w:r>
            <w:r w:rsidR="00D34FBD" w:rsidRPr="00482722">
              <w:rPr>
                <w:rFonts w:ascii="Arial" w:hAnsi="Arial" w:cs="Arial"/>
                <w:sz w:val="20"/>
                <w:szCs w:val="20"/>
              </w:rPr>
              <w:t xml:space="preserve">the </w:t>
            </w:r>
            <w:r w:rsidRPr="00482722">
              <w:rPr>
                <w:rFonts w:ascii="Arial" w:hAnsi="Arial" w:cs="Arial"/>
                <w:sz w:val="20"/>
                <w:szCs w:val="20"/>
              </w:rPr>
              <w:t>UEAS is extremely good.</w:t>
            </w:r>
          </w:p>
        </w:tc>
        <w:tc>
          <w:tcPr>
            <w:tcW w:w="1887" w:type="dxa"/>
            <w:vMerge/>
          </w:tcPr>
          <w:p w14:paraId="3CE4AD0B" w14:textId="77777777" w:rsidR="008012ED" w:rsidRPr="00482722" w:rsidRDefault="008012ED" w:rsidP="00DA5EEC">
            <w:pPr>
              <w:jc w:val="both"/>
              <w:rPr>
                <w:rFonts w:ascii="Arial" w:hAnsi="Arial" w:cs="Arial"/>
                <w:sz w:val="20"/>
                <w:szCs w:val="20"/>
              </w:rPr>
            </w:pPr>
          </w:p>
        </w:tc>
      </w:tr>
      <w:tr w:rsidR="00482722" w:rsidRPr="00482722" w14:paraId="502D83B2" w14:textId="77777777" w:rsidTr="005D3104">
        <w:tc>
          <w:tcPr>
            <w:tcW w:w="1129" w:type="dxa"/>
            <w:vMerge/>
          </w:tcPr>
          <w:p w14:paraId="4D3693EA" w14:textId="77777777" w:rsidR="008012ED" w:rsidRPr="00482722" w:rsidRDefault="008012ED" w:rsidP="00DA5EEC">
            <w:pPr>
              <w:jc w:val="center"/>
              <w:rPr>
                <w:rFonts w:ascii="Arial" w:hAnsi="Arial" w:cs="Arial"/>
                <w:sz w:val="20"/>
                <w:szCs w:val="20"/>
              </w:rPr>
            </w:pPr>
          </w:p>
        </w:tc>
        <w:tc>
          <w:tcPr>
            <w:tcW w:w="856" w:type="dxa"/>
          </w:tcPr>
          <w:p w14:paraId="41D5488E" w14:textId="0489E795" w:rsidR="008012ED" w:rsidRPr="00482722" w:rsidRDefault="00722F13" w:rsidP="00DA5EEC">
            <w:pPr>
              <w:jc w:val="center"/>
              <w:rPr>
                <w:rFonts w:ascii="Arial" w:hAnsi="Arial" w:cs="Arial"/>
                <w:sz w:val="20"/>
                <w:szCs w:val="20"/>
              </w:rPr>
            </w:pPr>
            <w:r w:rsidRPr="00482722">
              <w:rPr>
                <w:rFonts w:ascii="Arial" w:hAnsi="Arial" w:cs="Arial"/>
                <w:sz w:val="20"/>
                <w:szCs w:val="20"/>
              </w:rPr>
              <w:t>CS3</w:t>
            </w:r>
          </w:p>
        </w:tc>
        <w:tc>
          <w:tcPr>
            <w:tcW w:w="4580" w:type="dxa"/>
          </w:tcPr>
          <w:p w14:paraId="2E4D538B" w14:textId="398382D5"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The use of </w:t>
            </w:r>
            <w:r w:rsidR="00D34FBD" w:rsidRPr="00482722">
              <w:rPr>
                <w:rFonts w:ascii="Arial" w:hAnsi="Arial" w:cs="Arial"/>
                <w:sz w:val="20"/>
                <w:szCs w:val="20"/>
              </w:rPr>
              <w:t xml:space="preserve">the </w:t>
            </w:r>
            <w:r w:rsidRPr="00482722">
              <w:rPr>
                <w:rFonts w:ascii="Arial" w:hAnsi="Arial" w:cs="Arial"/>
                <w:sz w:val="20"/>
                <w:szCs w:val="20"/>
              </w:rPr>
              <w:t>UEAS is extremely beneficial.</w:t>
            </w:r>
          </w:p>
        </w:tc>
        <w:tc>
          <w:tcPr>
            <w:tcW w:w="1887" w:type="dxa"/>
            <w:vMerge/>
          </w:tcPr>
          <w:p w14:paraId="678ABACF" w14:textId="77777777" w:rsidR="008012ED" w:rsidRPr="00482722" w:rsidRDefault="008012ED" w:rsidP="00DA5EEC">
            <w:pPr>
              <w:jc w:val="both"/>
              <w:rPr>
                <w:rFonts w:ascii="Arial" w:hAnsi="Arial" w:cs="Arial"/>
                <w:sz w:val="20"/>
                <w:szCs w:val="20"/>
              </w:rPr>
            </w:pPr>
          </w:p>
        </w:tc>
      </w:tr>
      <w:tr w:rsidR="00482722" w:rsidRPr="00482722" w14:paraId="20E9AE81" w14:textId="77777777" w:rsidTr="005D3104">
        <w:tc>
          <w:tcPr>
            <w:tcW w:w="8452" w:type="dxa"/>
            <w:gridSpan w:val="4"/>
            <w:shd w:val="clear" w:color="auto" w:fill="E7E6E6" w:themeFill="background2"/>
          </w:tcPr>
          <w:p w14:paraId="7D221E19" w14:textId="19229480" w:rsidR="008012ED" w:rsidRPr="00482722" w:rsidRDefault="008012ED" w:rsidP="00DA5EEC">
            <w:pPr>
              <w:jc w:val="center"/>
              <w:rPr>
                <w:rFonts w:ascii="Arial" w:hAnsi="Arial" w:cs="Arial"/>
                <w:sz w:val="20"/>
                <w:szCs w:val="20"/>
              </w:rPr>
            </w:pPr>
            <w:r w:rsidRPr="00482722">
              <w:rPr>
                <w:rFonts w:ascii="Arial" w:hAnsi="Arial" w:cs="Arial"/>
                <w:sz w:val="20"/>
                <w:szCs w:val="20"/>
              </w:rPr>
              <w:t>Citizen loyalty (CL)</w:t>
            </w:r>
          </w:p>
        </w:tc>
      </w:tr>
      <w:tr w:rsidR="00482722" w:rsidRPr="00482722" w14:paraId="220D69D2" w14:textId="77777777" w:rsidTr="005D3104">
        <w:tc>
          <w:tcPr>
            <w:tcW w:w="1129" w:type="dxa"/>
            <w:vMerge w:val="restart"/>
          </w:tcPr>
          <w:p w14:paraId="3FD8436F"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CL</w:t>
            </w:r>
          </w:p>
        </w:tc>
        <w:tc>
          <w:tcPr>
            <w:tcW w:w="856" w:type="dxa"/>
          </w:tcPr>
          <w:p w14:paraId="669FD87B"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CL1</w:t>
            </w:r>
          </w:p>
        </w:tc>
        <w:tc>
          <w:tcPr>
            <w:tcW w:w="4580" w:type="dxa"/>
          </w:tcPr>
          <w:p w14:paraId="1D40DAC0"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 will use similar e-government services developed by the Ministry of Education again.</w:t>
            </w:r>
          </w:p>
        </w:tc>
        <w:tc>
          <w:tcPr>
            <w:tcW w:w="1887" w:type="dxa"/>
            <w:vMerge w:val="restart"/>
          </w:tcPr>
          <w:p w14:paraId="5C14B916" w14:textId="7A1AC9C6" w:rsidR="00C65FAE" w:rsidRPr="00482722" w:rsidRDefault="007C63BA" w:rsidP="00DA5EEC">
            <w:pPr>
              <w:jc w:val="both"/>
              <w:rPr>
                <w:rFonts w:ascii="Arial" w:hAnsi="Arial" w:cs="Arial"/>
                <w:sz w:val="20"/>
                <w:szCs w:val="20"/>
              </w:rPr>
            </w:pPr>
            <w:r w:rsidRPr="00482722">
              <w:rPr>
                <w:rFonts w:ascii="Arial" w:hAnsi="Arial" w:cs="Arial"/>
                <w:sz w:val="20"/>
                <w:szCs w:val="20"/>
              </w:rPr>
              <w:t xml:space="preserve">(Lin </w:t>
            </w:r>
            <w:r w:rsidR="002D35B9" w:rsidRPr="00482722">
              <w:rPr>
                <w:rFonts w:ascii="Arial" w:hAnsi="Arial" w:cs="Arial"/>
                <w:sz w:val="20"/>
                <w:szCs w:val="20"/>
              </w:rPr>
              <w:t>and</w:t>
            </w:r>
            <w:r w:rsidRPr="00482722">
              <w:rPr>
                <w:rFonts w:ascii="Arial" w:hAnsi="Arial" w:cs="Arial"/>
                <w:sz w:val="20"/>
                <w:szCs w:val="20"/>
              </w:rPr>
              <w:t xml:space="preserve"> Wang</w:t>
            </w:r>
            <w:r w:rsidR="00C65FAE" w:rsidRPr="00482722">
              <w:rPr>
                <w:rFonts w:ascii="Arial" w:hAnsi="Arial" w:cs="Arial"/>
                <w:sz w:val="20"/>
                <w:szCs w:val="20"/>
              </w:rPr>
              <w:t xml:space="preserve">, </w:t>
            </w:r>
            <w:r w:rsidRPr="00482722">
              <w:rPr>
                <w:rFonts w:ascii="Arial" w:hAnsi="Arial" w:cs="Arial"/>
                <w:sz w:val="20"/>
                <w:szCs w:val="20"/>
              </w:rPr>
              <w:t>2006</w:t>
            </w:r>
            <w:r w:rsidR="00C65FAE" w:rsidRPr="00482722">
              <w:rPr>
                <w:rFonts w:ascii="Arial" w:hAnsi="Arial" w:cs="Arial"/>
                <w:sz w:val="20"/>
                <w:szCs w:val="20"/>
              </w:rPr>
              <w:t>; Chiou, 2004; Gefen, 2002)</w:t>
            </w:r>
          </w:p>
        </w:tc>
      </w:tr>
      <w:tr w:rsidR="00482722" w:rsidRPr="00482722" w14:paraId="025E3E62" w14:textId="77777777" w:rsidTr="005D3104">
        <w:tc>
          <w:tcPr>
            <w:tcW w:w="1129" w:type="dxa"/>
            <w:vMerge/>
          </w:tcPr>
          <w:p w14:paraId="77A1552F" w14:textId="77777777" w:rsidR="008012ED" w:rsidRPr="00482722" w:rsidRDefault="008012ED" w:rsidP="00DA5EEC">
            <w:pPr>
              <w:jc w:val="center"/>
              <w:rPr>
                <w:rFonts w:ascii="Arial" w:hAnsi="Arial" w:cs="Arial"/>
                <w:sz w:val="20"/>
                <w:szCs w:val="20"/>
              </w:rPr>
            </w:pPr>
          </w:p>
        </w:tc>
        <w:tc>
          <w:tcPr>
            <w:tcW w:w="856" w:type="dxa"/>
          </w:tcPr>
          <w:p w14:paraId="034DD940"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CL2</w:t>
            </w:r>
          </w:p>
        </w:tc>
        <w:tc>
          <w:tcPr>
            <w:tcW w:w="4580" w:type="dxa"/>
          </w:tcPr>
          <w:p w14:paraId="5C941263" w14:textId="77777777" w:rsidR="008012ED" w:rsidRPr="00482722" w:rsidRDefault="008012ED" w:rsidP="00DA5EEC">
            <w:pPr>
              <w:jc w:val="both"/>
              <w:rPr>
                <w:rFonts w:ascii="Arial" w:hAnsi="Arial" w:cs="Arial"/>
                <w:sz w:val="20"/>
                <w:szCs w:val="20"/>
              </w:rPr>
            </w:pPr>
            <w:r w:rsidRPr="00482722">
              <w:rPr>
                <w:rFonts w:ascii="Arial" w:hAnsi="Arial" w:cs="Arial"/>
                <w:sz w:val="20"/>
                <w:szCs w:val="20"/>
              </w:rPr>
              <w:t>I will recommend e-government services developed by the Ministry of Education to others.</w:t>
            </w:r>
          </w:p>
        </w:tc>
        <w:tc>
          <w:tcPr>
            <w:tcW w:w="1887" w:type="dxa"/>
            <w:vMerge/>
          </w:tcPr>
          <w:p w14:paraId="37924B44" w14:textId="77777777" w:rsidR="008012ED" w:rsidRPr="00482722" w:rsidRDefault="008012ED" w:rsidP="00DA5EEC">
            <w:pPr>
              <w:jc w:val="both"/>
              <w:rPr>
                <w:rFonts w:ascii="Arial" w:hAnsi="Arial" w:cs="Arial"/>
                <w:sz w:val="20"/>
                <w:szCs w:val="20"/>
              </w:rPr>
            </w:pPr>
          </w:p>
        </w:tc>
      </w:tr>
      <w:tr w:rsidR="008012ED" w:rsidRPr="00482722" w14:paraId="1D5493F5" w14:textId="77777777" w:rsidTr="005D3104">
        <w:tc>
          <w:tcPr>
            <w:tcW w:w="1129" w:type="dxa"/>
            <w:vMerge/>
          </w:tcPr>
          <w:p w14:paraId="748BDE6F" w14:textId="77777777" w:rsidR="008012ED" w:rsidRPr="00482722" w:rsidRDefault="008012ED" w:rsidP="00DA5EEC">
            <w:pPr>
              <w:jc w:val="center"/>
              <w:rPr>
                <w:rFonts w:ascii="Arial" w:hAnsi="Arial" w:cs="Arial"/>
                <w:sz w:val="20"/>
                <w:szCs w:val="20"/>
              </w:rPr>
            </w:pPr>
          </w:p>
        </w:tc>
        <w:tc>
          <w:tcPr>
            <w:tcW w:w="856" w:type="dxa"/>
          </w:tcPr>
          <w:p w14:paraId="34E1484E" w14:textId="77777777" w:rsidR="008012ED" w:rsidRPr="00482722" w:rsidRDefault="008012ED" w:rsidP="00DA5EEC">
            <w:pPr>
              <w:jc w:val="center"/>
              <w:rPr>
                <w:rFonts w:ascii="Arial" w:hAnsi="Arial" w:cs="Arial"/>
                <w:sz w:val="20"/>
                <w:szCs w:val="20"/>
              </w:rPr>
            </w:pPr>
            <w:r w:rsidRPr="00482722">
              <w:rPr>
                <w:rFonts w:ascii="Arial" w:hAnsi="Arial" w:cs="Arial"/>
                <w:sz w:val="20"/>
                <w:szCs w:val="20"/>
              </w:rPr>
              <w:t>CL3</w:t>
            </w:r>
          </w:p>
        </w:tc>
        <w:tc>
          <w:tcPr>
            <w:tcW w:w="4580" w:type="dxa"/>
          </w:tcPr>
          <w:p w14:paraId="419FAC2E" w14:textId="059C6E5C" w:rsidR="008012ED" w:rsidRPr="00482722" w:rsidRDefault="008012ED" w:rsidP="00DA5EEC">
            <w:pPr>
              <w:jc w:val="both"/>
              <w:rPr>
                <w:rFonts w:ascii="Arial" w:hAnsi="Arial" w:cs="Arial"/>
                <w:sz w:val="20"/>
                <w:szCs w:val="20"/>
              </w:rPr>
            </w:pPr>
            <w:r w:rsidRPr="00482722">
              <w:rPr>
                <w:rFonts w:ascii="Arial" w:hAnsi="Arial" w:cs="Arial"/>
                <w:sz w:val="20"/>
                <w:szCs w:val="20"/>
              </w:rPr>
              <w:t xml:space="preserve">I consider myself to be a loyal user of </w:t>
            </w:r>
            <w:r w:rsidR="00B64AC4" w:rsidRPr="00482722">
              <w:rPr>
                <w:rFonts w:ascii="Arial" w:hAnsi="Arial" w:cs="Arial"/>
                <w:sz w:val="20"/>
                <w:szCs w:val="20"/>
              </w:rPr>
              <w:t>e</w:t>
            </w:r>
            <w:r w:rsidRPr="00482722">
              <w:rPr>
                <w:rFonts w:ascii="Arial" w:hAnsi="Arial" w:cs="Arial"/>
                <w:sz w:val="20"/>
                <w:szCs w:val="20"/>
              </w:rPr>
              <w:t>-government services developed by the Ministry of Education.</w:t>
            </w:r>
          </w:p>
        </w:tc>
        <w:tc>
          <w:tcPr>
            <w:tcW w:w="1887" w:type="dxa"/>
            <w:vMerge/>
          </w:tcPr>
          <w:p w14:paraId="259D445E" w14:textId="77777777" w:rsidR="008012ED" w:rsidRPr="00482722" w:rsidRDefault="008012ED" w:rsidP="00DA5EEC">
            <w:pPr>
              <w:jc w:val="both"/>
              <w:rPr>
                <w:rFonts w:ascii="Arial" w:hAnsi="Arial" w:cs="Arial"/>
                <w:sz w:val="20"/>
                <w:szCs w:val="20"/>
              </w:rPr>
            </w:pPr>
          </w:p>
        </w:tc>
      </w:tr>
      <w:bookmarkEnd w:id="27"/>
    </w:tbl>
    <w:p w14:paraId="50BCCE42" w14:textId="77777777" w:rsidR="008012ED" w:rsidRPr="00482722" w:rsidRDefault="008012ED" w:rsidP="00DA5EEC">
      <w:pPr>
        <w:spacing w:line="240" w:lineRule="auto"/>
        <w:rPr>
          <w:rFonts w:ascii="Arial" w:hAnsi="Arial" w:cs="Arial"/>
          <w:sz w:val="20"/>
          <w:szCs w:val="20"/>
        </w:rPr>
      </w:pPr>
    </w:p>
    <w:sectPr w:rsidR="008012ED" w:rsidRPr="00482722" w:rsidSect="00B23522">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1CA1" w14:textId="77777777" w:rsidR="00D14315" w:rsidRDefault="00D14315" w:rsidP="00282201">
      <w:pPr>
        <w:spacing w:after="0" w:line="240" w:lineRule="auto"/>
      </w:pPr>
      <w:r>
        <w:separator/>
      </w:r>
    </w:p>
  </w:endnote>
  <w:endnote w:type="continuationSeparator" w:id="0">
    <w:p w14:paraId="03383B5D" w14:textId="77777777" w:rsidR="00D14315" w:rsidRDefault="00D14315" w:rsidP="00282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00D5" w14:textId="77777777" w:rsidR="00A0426C" w:rsidRDefault="00A04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CE26" w14:textId="77777777" w:rsidR="00A0426C" w:rsidRDefault="00A04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EB4F" w14:textId="77777777" w:rsidR="00A0426C" w:rsidRDefault="00A0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B290C" w14:textId="77777777" w:rsidR="00D14315" w:rsidRDefault="00D14315" w:rsidP="00282201">
      <w:pPr>
        <w:spacing w:after="0" w:line="240" w:lineRule="auto"/>
      </w:pPr>
      <w:r>
        <w:separator/>
      </w:r>
    </w:p>
  </w:footnote>
  <w:footnote w:type="continuationSeparator" w:id="0">
    <w:p w14:paraId="44A46A56" w14:textId="77777777" w:rsidR="00D14315" w:rsidRDefault="00D14315" w:rsidP="00282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7FF1" w14:textId="77777777" w:rsidR="00A0426C" w:rsidRDefault="00A04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7C094" w14:textId="77777777" w:rsidR="00A0426C" w:rsidRDefault="00A04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862D" w14:textId="77777777" w:rsidR="00A0426C" w:rsidRDefault="00A0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1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036E9"/>
    <w:multiLevelType w:val="hybridMultilevel"/>
    <w:tmpl w:val="2F78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0FCC"/>
    <w:multiLevelType w:val="hybridMultilevel"/>
    <w:tmpl w:val="8FA42E00"/>
    <w:lvl w:ilvl="0" w:tplc="DAD8142E">
      <w:start w:val="1"/>
      <w:numFmt w:val="low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24E85"/>
    <w:multiLevelType w:val="hybridMultilevel"/>
    <w:tmpl w:val="2F78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E5659"/>
    <w:multiLevelType w:val="hybridMultilevel"/>
    <w:tmpl w:val="515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D75ED"/>
    <w:multiLevelType w:val="multilevel"/>
    <w:tmpl w:val="115A2736"/>
    <w:lvl w:ilvl="0">
      <w:start w:val="1"/>
      <w:numFmt w:val="decimal"/>
      <w:pStyle w:val="Heading1"/>
      <w:lvlText w:val="%1."/>
      <w:lvlJc w:val="left"/>
      <w:pPr>
        <w:ind w:left="360" w:hanging="360"/>
      </w:pPr>
      <w:rPr>
        <w:b/>
        <w:bCs/>
      </w:rPr>
    </w:lvl>
    <w:lvl w:ilvl="1">
      <w:start w:val="1"/>
      <w:numFmt w:val="decimal"/>
      <w:pStyle w:val="Heading2"/>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C37029F"/>
    <w:multiLevelType w:val="hybridMultilevel"/>
    <w:tmpl w:val="77D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A6A60"/>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526932"/>
    <w:multiLevelType w:val="hybridMultilevel"/>
    <w:tmpl w:val="F522C850"/>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AC1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602EC2"/>
    <w:multiLevelType w:val="hybridMultilevel"/>
    <w:tmpl w:val="FBC0789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5677E"/>
    <w:multiLevelType w:val="hybridMultilevel"/>
    <w:tmpl w:val="2F78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84F95"/>
    <w:multiLevelType w:val="hybridMultilevel"/>
    <w:tmpl w:val="2F78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F293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83C28"/>
    <w:multiLevelType w:val="multilevel"/>
    <w:tmpl w:val="FF0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C0078"/>
    <w:multiLevelType w:val="hybridMultilevel"/>
    <w:tmpl w:val="447EE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D405A0"/>
    <w:multiLevelType w:val="hybridMultilevel"/>
    <w:tmpl w:val="2F78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D39F9"/>
    <w:multiLevelType w:val="hybridMultilevel"/>
    <w:tmpl w:val="974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5"/>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0"/>
  </w:num>
  <w:num w:numId="11">
    <w:abstractNumId w:val="5"/>
  </w:num>
  <w:num w:numId="12">
    <w:abstractNumId w:val="5"/>
  </w:num>
  <w:num w:numId="13">
    <w:abstractNumId w:val="5"/>
  </w:num>
  <w:num w:numId="14">
    <w:abstractNumId w:val="5"/>
  </w:num>
  <w:num w:numId="15">
    <w:abstractNumId w:val="5"/>
  </w:num>
  <w:num w:numId="16">
    <w:abstractNumId w:val="4"/>
  </w:num>
  <w:num w:numId="17">
    <w:abstractNumId w:val="5"/>
  </w:num>
  <w:num w:numId="18">
    <w:abstractNumId w:val="2"/>
  </w:num>
  <w:num w:numId="19">
    <w:abstractNumId w:val="5"/>
  </w:num>
  <w:num w:numId="20">
    <w:abstractNumId w:val="5"/>
  </w:num>
  <w:num w:numId="21">
    <w:abstractNumId w:val="1"/>
  </w:num>
  <w:num w:numId="22">
    <w:abstractNumId w:val="3"/>
  </w:num>
  <w:num w:numId="23">
    <w:abstractNumId w:val="12"/>
  </w:num>
  <w:num w:numId="24">
    <w:abstractNumId w:val="11"/>
  </w:num>
  <w:num w:numId="25">
    <w:abstractNumId w:val="16"/>
  </w:num>
  <w:num w:numId="26">
    <w:abstractNumId w:val="14"/>
  </w:num>
  <w:num w:numId="27">
    <w:abstractNumId w:val="5"/>
  </w:num>
  <w:num w:numId="28">
    <w:abstractNumId w:val="8"/>
  </w:num>
  <w:num w:numId="29">
    <w:abstractNumId w:val="5"/>
  </w:num>
  <w:num w:numId="30">
    <w:abstractNumId w:val="5"/>
  </w:num>
  <w:num w:numId="31">
    <w:abstractNumId w:val="5"/>
  </w:num>
  <w:num w:numId="32">
    <w:abstractNumId w:val="15"/>
  </w:num>
  <w:num w:numId="33">
    <w:abstractNumId w:val="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3B"/>
    <w:rsid w:val="0000212F"/>
    <w:rsid w:val="000033DE"/>
    <w:rsid w:val="000037CF"/>
    <w:rsid w:val="00003D5E"/>
    <w:rsid w:val="000052F4"/>
    <w:rsid w:val="00005485"/>
    <w:rsid w:val="000062C1"/>
    <w:rsid w:val="0000741F"/>
    <w:rsid w:val="0001089B"/>
    <w:rsid w:val="00010B1A"/>
    <w:rsid w:val="00011ED2"/>
    <w:rsid w:val="00012C6D"/>
    <w:rsid w:val="0001457F"/>
    <w:rsid w:val="000157D2"/>
    <w:rsid w:val="000158E8"/>
    <w:rsid w:val="000165EC"/>
    <w:rsid w:val="00016D7E"/>
    <w:rsid w:val="00016FEA"/>
    <w:rsid w:val="00017A33"/>
    <w:rsid w:val="00021B47"/>
    <w:rsid w:val="00023FDC"/>
    <w:rsid w:val="000252B2"/>
    <w:rsid w:val="00025A57"/>
    <w:rsid w:val="00027E94"/>
    <w:rsid w:val="00027F58"/>
    <w:rsid w:val="0003154A"/>
    <w:rsid w:val="00031DCA"/>
    <w:rsid w:val="00035038"/>
    <w:rsid w:val="000358D7"/>
    <w:rsid w:val="00036BB9"/>
    <w:rsid w:val="0003729D"/>
    <w:rsid w:val="000373DC"/>
    <w:rsid w:val="00037830"/>
    <w:rsid w:val="000401F8"/>
    <w:rsid w:val="00041382"/>
    <w:rsid w:val="00041400"/>
    <w:rsid w:val="00042214"/>
    <w:rsid w:val="00042923"/>
    <w:rsid w:val="00042EEA"/>
    <w:rsid w:val="000437AC"/>
    <w:rsid w:val="00046DCC"/>
    <w:rsid w:val="00047199"/>
    <w:rsid w:val="00051D39"/>
    <w:rsid w:val="00053560"/>
    <w:rsid w:val="000551C3"/>
    <w:rsid w:val="00056A44"/>
    <w:rsid w:val="00056ECB"/>
    <w:rsid w:val="000605FF"/>
    <w:rsid w:val="00060774"/>
    <w:rsid w:val="000609A0"/>
    <w:rsid w:val="00062A96"/>
    <w:rsid w:val="00063D7F"/>
    <w:rsid w:val="00063DE6"/>
    <w:rsid w:val="000647AB"/>
    <w:rsid w:val="000648AC"/>
    <w:rsid w:val="00064ECB"/>
    <w:rsid w:val="00065970"/>
    <w:rsid w:val="00065D3A"/>
    <w:rsid w:val="00066033"/>
    <w:rsid w:val="00066A3C"/>
    <w:rsid w:val="000674DE"/>
    <w:rsid w:val="00070B09"/>
    <w:rsid w:val="00072E5F"/>
    <w:rsid w:val="0007316F"/>
    <w:rsid w:val="00074148"/>
    <w:rsid w:val="00074349"/>
    <w:rsid w:val="00076278"/>
    <w:rsid w:val="0007724B"/>
    <w:rsid w:val="00077DEE"/>
    <w:rsid w:val="000809A2"/>
    <w:rsid w:val="00080D40"/>
    <w:rsid w:val="0008158B"/>
    <w:rsid w:val="0008201E"/>
    <w:rsid w:val="000820B2"/>
    <w:rsid w:val="00082A29"/>
    <w:rsid w:val="00082F8B"/>
    <w:rsid w:val="000841F2"/>
    <w:rsid w:val="00085A32"/>
    <w:rsid w:val="000868BF"/>
    <w:rsid w:val="0009035D"/>
    <w:rsid w:val="00090901"/>
    <w:rsid w:val="00091D86"/>
    <w:rsid w:val="000924AF"/>
    <w:rsid w:val="00092AC1"/>
    <w:rsid w:val="00093329"/>
    <w:rsid w:val="000941FD"/>
    <w:rsid w:val="0009517E"/>
    <w:rsid w:val="000969B5"/>
    <w:rsid w:val="000978BD"/>
    <w:rsid w:val="000A0BC0"/>
    <w:rsid w:val="000A1A5C"/>
    <w:rsid w:val="000A3993"/>
    <w:rsid w:val="000A3D7A"/>
    <w:rsid w:val="000A4D3B"/>
    <w:rsid w:val="000A5566"/>
    <w:rsid w:val="000A5576"/>
    <w:rsid w:val="000B0141"/>
    <w:rsid w:val="000B09BC"/>
    <w:rsid w:val="000B0B3D"/>
    <w:rsid w:val="000B10BC"/>
    <w:rsid w:val="000B122B"/>
    <w:rsid w:val="000B16C9"/>
    <w:rsid w:val="000B1732"/>
    <w:rsid w:val="000B371F"/>
    <w:rsid w:val="000B4195"/>
    <w:rsid w:val="000B438F"/>
    <w:rsid w:val="000B6B85"/>
    <w:rsid w:val="000B6E2E"/>
    <w:rsid w:val="000C1659"/>
    <w:rsid w:val="000C168A"/>
    <w:rsid w:val="000C1BC5"/>
    <w:rsid w:val="000C1D6E"/>
    <w:rsid w:val="000C253A"/>
    <w:rsid w:val="000C286E"/>
    <w:rsid w:val="000C2B3C"/>
    <w:rsid w:val="000C351F"/>
    <w:rsid w:val="000C481D"/>
    <w:rsid w:val="000C492A"/>
    <w:rsid w:val="000C594A"/>
    <w:rsid w:val="000C5AFF"/>
    <w:rsid w:val="000C5D7D"/>
    <w:rsid w:val="000C70E7"/>
    <w:rsid w:val="000C79B6"/>
    <w:rsid w:val="000D1725"/>
    <w:rsid w:val="000D1D31"/>
    <w:rsid w:val="000D2FDA"/>
    <w:rsid w:val="000D3245"/>
    <w:rsid w:val="000D3479"/>
    <w:rsid w:val="000D3FC1"/>
    <w:rsid w:val="000D4236"/>
    <w:rsid w:val="000D53A3"/>
    <w:rsid w:val="000D5AB2"/>
    <w:rsid w:val="000D5C53"/>
    <w:rsid w:val="000D63EE"/>
    <w:rsid w:val="000D7203"/>
    <w:rsid w:val="000D78AC"/>
    <w:rsid w:val="000D7FC4"/>
    <w:rsid w:val="000E0F60"/>
    <w:rsid w:val="000E1102"/>
    <w:rsid w:val="000E1239"/>
    <w:rsid w:val="000E1DE7"/>
    <w:rsid w:val="000E22B6"/>
    <w:rsid w:val="000E3256"/>
    <w:rsid w:val="000E390A"/>
    <w:rsid w:val="000E3B51"/>
    <w:rsid w:val="000E3D7B"/>
    <w:rsid w:val="000E3E37"/>
    <w:rsid w:val="000E5249"/>
    <w:rsid w:val="000E61AF"/>
    <w:rsid w:val="000E79DF"/>
    <w:rsid w:val="000F0B24"/>
    <w:rsid w:val="000F19C2"/>
    <w:rsid w:val="000F2DF3"/>
    <w:rsid w:val="000F3D87"/>
    <w:rsid w:val="000F3EF9"/>
    <w:rsid w:val="000F4780"/>
    <w:rsid w:val="000F5932"/>
    <w:rsid w:val="001004D3"/>
    <w:rsid w:val="00100858"/>
    <w:rsid w:val="00101F3F"/>
    <w:rsid w:val="001027E8"/>
    <w:rsid w:val="0010295B"/>
    <w:rsid w:val="00102ABC"/>
    <w:rsid w:val="001030A5"/>
    <w:rsid w:val="0010415C"/>
    <w:rsid w:val="00104BAF"/>
    <w:rsid w:val="00105B4E"/>
    <w:rsid w:val="00107169"/>
    <w:rsid w:val="0010738C"/>
    <w:rsid w:val="00111199"/>
    <w:rsid w:val="00115D6D"/>
    <w:rsid w:val="001166BC"/>
    <w:rsid w:val="00121CF3"/>
    <w:rsid w:val="00122904"/>
    <w:rsid w:val="00123405"/>
    <w:rsid w:val="0012401F"/>
    <w:rsid w:val="001241C0"/>
    <w:rsid w:val="00124769"/>
    <w:rsid w:val="00124B19"/>
    <w:rsid w:val="00126316"/>
    <w:rsid w:val="0012661D"/>
    <w:rsid w:val="00126BD5"/>
    <w:rsid w:val="00127DD2"/>
    <w:rsid w:val="0013005C"/>
    <w:rsid w:val="001303CA"/>
    <w:rsid w:val="001303F9"/>
    <w:rsid w:val="0013063F"/>
    <w:rsid w:val="00130AED"/>
    <w:rsid w:val="001322C7"/>
    <w:rsid w:val="00132745"/>
    <w:rsid w:val="00133CE8"/>
    <w:rsid w:val="00133F9F"/>
    <w:rsid w:val="00135E7D"/>
    <w:rsid w:val="001362DA"/>
    <w:rsid w:val="00140E7C"/>
    <w:rsid w:val="00142BDA"/>
    <w:rsid w:val="00143909"/>
    <w:rsid w:val="001442BF"/>
    <w:rsid w:val="00145051"/>
    <w:rsid w:val="0014567D"/>
    <w:rsid w:val="001460E5"/>
    <w:rsid w:val="00147EEE"/>
    <w:rsid w:val="001502EB"/>
    <w:rsid w:val="001504D9"/>
    <w:rsid w:val="00150A63"/>
    <w:rsid w:val="00151168"/>
    <w:rsid w:val="00151E8A"/>
    <w:rsid w:val="00152D02"/>
    <w:rsid w:val="00152F04"/>
    <w:rsid w:val="00153B6F"/>
    <w:rsid w:val="00155C07"/>
    <w:rsid w:val="00156363"/>
    <w:rsid w:val="00156762"/>
    <w:rsid w:val="00156A83"/>
    <w:rsid w:val="00157754"/>
    <w:rsid w:val="00157A87"/>
    <w:rsid w:val="0016067C"/>
    <w:rsid w:val="0016081C"/>
    <w:rsid w:val="00162FE2"/>
    <w:rsid w:val="00163F3C"/>
    <w:rsid w:val="00164762"/>
    <w:rsid w:val="00165E6F"/>
    <w:rsid w:val="0016689E"/>
    <w:rsid w:val="00167284"/>
    <w:rsid w:val="00171226"/>
    <w:rsid w:val="00171615"/>
    <w:rsid w:val="00171723"/>
    <w:rsid w:val="00173171"/>
    <w:rsid w:val="0017540F"/>
    <w:rsid w:val="001767D6"/>
    <w:rsid w:val="00181A6A"/>
    <w:rsid w:val="00181E68"/>
    <w:rsid w:val="00184792"/>
    <w:rsid w:val="00185666"/>
    <w:rsid w:val="00187996"/>
    <w:rsid w:val="00187B75"/>
    <w:rsid w:val="00187BBA"/>
    <w:rsid w:val="00190DAD"/>
    <w:rsid w:val="00192D58"/>
    <w:rsid w:val="00192FA1"/>
    <w:rsid w:val="001934D6"/>
    <w:rsid w:val="001940DD"/>
    <w:rsid w:val="0019583A"/>
    <w:rsid w:val="00195FB7"/>
    <w:rsid w:val="00196D14"/>
    <w:rsid w:val="001A008F"/>
    <w:rsid w:val="001A1193"/>
    <w:rsid w:val="001A15AC"/>
    <w:rsid w:val="001A2FF4"/>
    <w:rsid w:val="001A3FBA"/>
    <w:rsid w:val="001A4F71"/>
    <w:rsid w:val="001A517B"/>
    <w:rsid w:val="001A5565"/>
    <w:rsid w:val="001A6C10"/>
    <w:rsid w:val="001B04AD"/>
    <w:rsid w:val="001B1163"/>
    <w:rsid w:val="001B14E1"/>
    <w:rsid w:val="001B1A7B"/>
    <w:rsid w:val="001B2649"/>
    <w:rsid w:val="001B37A7"/>
    <w:rsid w:val="001B3E5D"/>
    <w:rsid w:val="001B67E6"/>
    <w:rsid w:val="001B6CBB"/>
    <w:rsid w:val="001B71D1"/>
    <w:rsid w:val="001C0AEA"/>
    <w:rsid w:val="001C0CEF"/>
    <w:rsid w:val="001C184C"/>
    <w:rsid w:val="001C1F15"/>
    <w:rsid w:val="001C2F37"/>
    <w:rsid w:val="001C4D4F"/>
    <w:rsid w:val="001C53CF"/>
    <w:rsid w:val="001C59CD"/>
    <w:rsid w:val="001C72CC"/>
    <w:rsid w:val="001D1230"/>
    <w:rsid w:val="001D12CF"/>
    <w:rsid w:val="001D1A2B"/>
    <w:rsid w:val="001D29B4"/>
    <w:rsid w:val="001D3550"/>
    <w:rsid w:val="001D43E7"/>
    <w:rsid w:val="001D469E"/>
    <w:rsid w:val="001D551A"/>
    <w:rsid w:val="001D5B83"/>
    <w:rsid w:val="001D6379"/>
    <w:rsid w:val="001D6A9B"/>
    <w:rsid w:val="001E0788"/>
    <w:rsid w:val="001E0A6B"/>
    <w:rsid w:val="001E0AF4"/>
    <w:rsid w:val="001E1463"/>
    <w:rsid w:val="001E16E2"/>
    <w:rsid w:val="001E1B79"/>
    <w:rsid w:val="001E2206"/>
    <w:rsid w:val="001E4377"/>
    <w:rsid w:val="001E49E9"/>
    <w:rsid w:val="001E4C24"/>
    <w:rsid w:val="001E4C78"/>
    <w:rsid w:val="001E5714"/>
    <w:rsid w:val="001E5A4E"/>
    <w:rsid w:val="001E5F34"/>
    <w:rsid w:val="001E7B69"/>
    <w:rsid w:val="001E7C3B"/>
    <w:rsid w:val="001F0A04"/>
    <w:rsid w:val="001F0D00"/>
    <w:rsid w:val="001F0FB6"/>
    <w:rsid w:val="001F0FE3"/>
    <w:rsid w:val="001F158A"/>
    <w:rsid w:val="001F167E"/>
    <w:rsid w:val="001F1F8F"/>
    <w:rsid w:val="001F3700"/>
    <w:rsid w:val="001F3A27"/>
    <w:rsid w:val="001F3B35"/>
    <w:rsid w:val="001F3F07"/>
    <w:rsid w:val="001F47FA"/>
    <w:rsid w:val="001F5487"/>
    <w:rsid w:val="001F575F"/>
    <w:rsid w:val="001F5D26"/>
    <w:rsid w:val="001F631B"/>
    <w:rsid w:val="001F7BE5"/>
    <w:rsid w:val="001F7D44"/>
    <w:rsid w:val="0020111F"/>
    <w:rsid w:val="00201544"/>
    <w:rsid w:val="002017B3"/>
    <w:rsid w:val="002017CF"/>
    <w:rsid w:val="0020284E"/>
    <w:rsid w:val="002041B7"/>
    <w:rsid w:val="00205683"/>
    <w:rsid w:val="00205881"/>
    <w:rsid w:val="00206367"/>
    <w:rsid w:val="00210973"/>
    <w:rsid w:val="00211028"/>
    <w:rsid w:val="00213120"/>
    <w:rsid w:val="002138E6"/>
    <w:rsid w:val="00213B75"/>
    <w:rsid w:val="0021536F"/>
    <w:rsid w:val="00216226"/>
    <w:rsid w:val="0021647B"/>
    <w:rsid w:val="00216F8D"/>
    <w:rsid w:val="00216FF1"/>
    <w:rsid w:val="00220C5F"/>
    <w:rsid w:val="00220FAA"/>
    <w:rsid w:val="00221779"/>
    <w:rsid w:val="0022277D"/>
    <w:rsid w:val="00223AD5"/>
    <w:rsid w:val="00226C90"/>
    <w:rsid w:val="002270AD"/>
    <w:rsid w:val="002303E2"/>
    <w:rsid w:val="00230E63"/>
    <w:rsid w:val="0023107F"/>
    <w:rsid w:val="00231146"/>
    <w:rsid w:val="00232B79"/>
    <w:rsid w:val="00232D36"/>
    <w:rsid w:val="00234063"/>
    <w:rsid w:val="00234B29"/>
    <w:rsid w:val="00235A80"/>
    <w:rsid w:val="0023781A"/>
    <w:rsid w:val="00237CB4"/>
    <w:rsid w:val="0024094E"/>
    <w:rsid w:val="002426DE"/>
    <w:rsid w:val="00242931"/>
    <w:rsid w:val="00242BD8"/>
    <w:rsid w:val="00243B05"/>
    <w:rsid w:val="00243B96"/>
    <w:rsid w:val="00244125"/>
    <w:rsid w:val="0024487D"/>
    <w:rsid w:val="00244DC2"/>
    <w:rsid w:val="00247C9B"/>
    <w:rsid w:val="00250258"/>
    <w:rsid w:val="00250805"/>
    <w:rsid w:val="00251F2F"/>
    <w:rsid w:val="00252C65"/>
    <w:rsid w:val="00252E00"/>
    <w:rsid w:val="00253A0F"/>
    <w:rsid w:val="00253D49"/>
    <w:rsid w:val="00254475"/>
    <w:rsid w:val="0025475E"/>
    <w:rsid w:val="00255BBF"/>
    <w:rsid w:val="00256207"/>
    <w:rsid w:val="00256AF0"/>
    <w:rsid w:val="00257429"/>
    <w:rsid w:val="00260CBC"/>
    <w:rsid w:val="002611B0"/>
    <w:rsid w:val="00261210"/>
    <w:rsid w:val="002617D9"/>
    <w:rsid w:val="002631E5"/>
    <w:rsid w:val="002642FC"/>
    <w:rsid w:val="00264750"/>
    <w:rsid w:val="00264E77"/>
    <w:rsid w:val="00265AA8"/>
    <w:rsid w:val="00265F2D"/>
    <w:rsid w:val="00267343"/>
    <w:rsid w:val="00267CC3"/>
    <w:rsid w:val="00267D60"/>
    <w:rsid w:val="0027064A"/>
    <w:rsid w:val="002713C2"/>
    <w:rsid w:val="00271414"/>
    <w:rsid w:val="0027154E"/>
    <w:rsid w:val="00271870"/>
    <w:rsid w:val="00271CF9"/>
    <w:rsid w:val="0027263F"/>
    <w:rsid w:val="00272B32"/>
    <w:rsid w:val="0027518F"/>
    <w:rsid w:val="00275CD1"/>
    <w:rsid w:val="0027611B"/>
    <w:rsid w:val="00277C67"/>
    <w:rsid w:val="00277CF2"/>
    <w:rsid w:val="0028158F"/>
    <w:rsid w:val="00282201"/>
    <w:rsid w:val="00282316"/>
    <w:rsid w:val="00282F6F"/>
    <w:rsid w:val="002834CA"/>
    <w:rsid w:val="00283F7B"/>
    <w:rsid w:val="002845AC"/>
    <w:rsid w:val="00284E95"/>
    <w:rsid w:val="0028545A"/>
    <w:rsid w:val="0028642F"/>
    <w:rsid w:val="00286EB7"/>
    <w:rsid w:val="00287475"/>
    <w:rsid w:val="002875F9"/>
    <w:rsid w:val="002910C8"/>
    <w:rsid w:val="00291270"/>
    <w:rsid w:val="00291940"/>
    <w:rsid w:val="00294146"/>
    <w:rsid w:val="00295D27"/>
    <w:rsid w:val="0029662B"/>
    <w:rsid w:val="00297FDD"/>
    <w:rsid w:val="002A049E"/>
    <w:rsid w:val="002A058F"/>
    <w:rsid w:val="002A5011"/>
    <w:rsid w:val="002A5283"/>
    <w:rsid w:val="002A547C"/>
    <w:rsid w:val="002A5C40"/>
    <w:rsid w:val="002A6D3F"/>
    <w:rsid w:val="002A6D64"/>
    <w:rsid w:val="002A7425"/>
    <w:rsid w:val="002A7D62"/>
    <w:rsid w:val="002A7ED2"/>
    <w:rsid w:val="002B04C7"/>
    <w:rsid w:val="002B0899"/>
    <w:rsid w:val="002B0DEA"/>
    <w:rsid w:val="002B1AB1"/>
    <w:rsid w:val="002B1B6E"/>
    <w:rsid w:val="002B2BEF"/>
    <w:rsid w:val="002B39CC"/>
    <w:rsid w:val="002B5100"/>
    <w:rsid w:val="002B51C1"/>
    <w:rsid w:val="002B5AC0"/>
    <w:rsid w:val="002C0972"/>
    <w:rsid w:val="002C09BB"/>
    <w:rsid w:val="002C31ED"/>
    <w:rsid w:val="002C35D3"/>
    <w:rsid w:val="002C3BBD"/>
    <w:rsid w:val="002C4074"/>
    <w:rsid w:val="002C4A29"/>
    <w:rsid w:val="002C52E4"/>
    <w:rsid w:val="002C59AC"/>
    <w:rsid w:val="002C5AFD"/>
    <w:rsid w:val="002D0307"/>
    <w:rsid w:val="002D0C10"/>
    <w:rsid w:val="002D174F"/>
    <w:rsid w:val="002D25E9"/>
    <w:rsid w:val="002D35B9"/>
    <w:rsid w:val="002D36C1"/>
    <w:rsid w:val="002D6265"/>
    <w:rsid w:val="002D6614"/>
    <w:rsid w:val="002D6BCC"/>
    <w:rsid w:val="002E003B"/>
    <w:rsid w:val="002E362F"/>
    <w:rsid w:val="002E3FBA"/>
    <w:rsid w:val="002E53D4"/>
    <w:rsid w:val="002E6D8E"/>
    <w:rsid w:val="002E766C"/>
    <w:rsid w:val="002E7F6A"/>
    <w:rsid w:val="002F0737"/>
    <w:rsid w:val="002F2AEE"/>
    <w:rsid w:val="002F2F1D"/>
    <w:rsid w:val="002F37D1"/>
    <w:rsid w:val="002F3D9F"/>
    <w:rsid w:val="002F4120"/>
    <w:rsid w:val="002F547B"/>
    <w:rsid w:val="002F6CCC"/>
    <w:rsid w:val="0030006B"/>
    <w:rsid w:val="003000D4"/>
    <w:rsid w:val="003012E2"/>
    <w:rsid w:val="00301709"/>
    <w:rsid w:val="003025B1"/>
    <w:rsid w:val="00303D3F"/>
    <w:rsid w:val="003040B2"/>
    <w:rsid w:val="00304264"/>
    <w:rsid w:val="003049EC"/>
    <w:rsid w:val="00304E2E"/>
    <w:rsid w:val="00304FC6"/>
    <w:rsid w:val="00306C1C"/>
    <w:rsid w:val="00306EF6"/>
    <w:rsid w:val="00307ADA"/>
    <w:rsid w:val="00307CD7"/>
    <w:rsid w:val="00307F80"/>
    <w:rsid w:val="00312513"/>
    <w:rsid w:val="00312598"/>
    <w:rsid w:val="00313A65"/>
    <w:rsid w:val="00315BDB"/>
    <w:rsid w:val="00316164"/>
    <w:rsid w:val="0031710A"/>
    <w:rsid w:val="0031720D"/>
    <w:rsid w:val="00317589"/>
    <w:rsid w:val="00320502"/>
    <w:rsid w:val="00320B36"/>
    <w:rsid w:val="00321902"/>
    <w:rsid w:val="00322B6D"/>
    <w:rsid w:val="0032377B"/>
    <w:rsid w:val="00324266"/>
    <w:rsid w:val="003249F4"/>
    <w:rsid w:val="00325123"/>
    <w:rsid w:val="00325A07"/>
    <w:rsid w:val="0032693D"/>
    <w:rsid w:val="003276ED"/>
    <w:rsid w:val="00330392"/>
    <w:rsid w:val="003311AA"/>
    <w:rsid w:val="00331F50"/>
    <w:rsid w:val="00332411"/>
    <w:rsid w:val="00334ECA"/>
    <w:rsid w:val="00336006"/>
    <w:rsid w:val="00337481"/>
    <w:rsid w:val="00340270"/>
    <w:rsid w:val="0034029F"/>
    <w:rsid w:val="003427EF"/>
    <w:rsid w:val="0034283B"/>
    <w:rsid w:val="00342E94"/>
    <w:rsid w:val="00344448"/>
    <w:rsid w:val="00344D92"/>
    <w:rsid w:val="00345CC3"/>
    <w:rsid w:val="00347DBB"/>
    <w:rsid w:val="0035044A"/>
    <w:rsid w:val="00352F26"/>
    <w:rsid w:val="003538C0"/>
    <w:rsid w:val="00353E46"/>
    <w:rsid w:val="00354EB3"/>
    <w:rsid w:val="00355197"/>
    <w:rsid w:val="003552F5"/>
    <w:rsid w:val="00355368"/>
    <w:rsid w:val="00355EA1"/>
    <w:rsid w:val="00356009"/>
    <w:rsid w:val="0035688E"/>
    <w:rsid w:val="00356B9C"/>
    <w:rsid w:val="003578E4"/>
    <w:rsid w:val="00357CFC"/>
    <w:rsid w:val="00361D72"/>
    <w:rsid w:val="00362228"/>
    <w:rsid w:val="00364866"/>
    <w:rsid w:val="00364B4A"/>
    <w:rsid w:val="00365746"/>
    <w:rsid w:val="00365EFB"/>
    <w:rsid w:val="003663B5"/>
    <w:rsid w:val="003665B7"/>
    <w:rsid w:val="003674DA"/>
    <w:rsid w:val="00367D4B"/>
    <w:rsid w:val="00370B91"/>
    <w:rsid w:val="00370DC1"/>
    <w:rsid w:val="00371BF2"/>
    <w:rsid w:val="003724B0"/>
    <w:rsid w:val="00373094"/>
    <w:rsid w:val="003743B4"/>
    <w:rsid w:val="00374C8B"/>
    <w:rsid w:val="00375AB8"/>
    <w:rsid w:val="00376DC6"/>
    <w:rsid w:val="00376EDF"/>
    <w:rsid w:val="00380B6F"/>
    <w:rsid w:val="00380C58"/>
    <w:rsid w:val="00381FEF"/>
    <w:rsid w:val="00382633"/>
    <w:rsid w:val="00383357"/>
    <w:rsid w:val="00383E94"/>
    <w:rsid w:val="00385228"/>
    <w:rsid w:val="00385CDE"/>
    <w:rsid w:val="0038638F"/>
    <w:rsid w:val="00387DCA"/>
    <w:rsid w:val="0039087A"/>
    <w:rsid w:val="00390D25"/>
    <w:rsid w:val="00391287"/>
    <w:rsid w:val="00391BD2"/>
    <w:rsid w:val="00393549"/>
    <w:rsid w:val="00394536"/>
    <w:rsid w:val="003946B7"/>
    <w:rsid w:val="003949EC"/>
    <w:rsid w:val="00394B88"/>
    <w:rsid w:val="00397C8E"/>
    <w:rsid w:val="00397CBF"/>
    <w:rsid w:val="003A0FAA"/>
    <w:rsid w:val="003A15E1"/>
    <w:rsid w:val="003A1D8E"/>
    <w:rsid w:val="003A28B1"/>
    <w:rsid w:val="003A324E"/>
    <w:rsid w:val="003A3375"/>
    <w:rsid w:val="003A3D8C"/>
    <w:rsid w:val="003A51E0"/>
    <w:rsid w:val="003A5272"/>
    <w:rsid w:val="003A6195"/>
    <w:rsid w:val="003A7793"/>
    <w:rsid w:val="003A7929"/>
    <w:rsid w:val="003A7965"/>
    <w:rsid w:val="003B03EF"/>
    <w:rsid w:val="003B061C"/>
    <w:rsid w:val="003B1DEE"/>
    <w:rsid w:val="003B1E8B"/>
    <w:rsid w:val="003B2932"/>
    <w:rsid w:val="003B3B33"/>
    <w:rsid w:val="003B52F4"/>
    <w:rsid w:val="003B5F84"/>
    <w:rsid w:val="003B76BC"/>
    <w:rsid w:val="003C175D"/>
    <w:rsid w:val="003C1879"/>
    <w:rsid w:val="003C2EA6"/>
    <w:rsid w:val="003C3880"/>
    <w:rsid w:val="003C44C0"/>
    <w:rsid w:val="003C586E"/>
    <w:rsid w:val="003C5B15"/>
    <w:rsid w:val="003C684E"/>
    <w:rsid w:val="003C6855"/>
    <w:rsid w:val="003C68CE"/>
    <w:rsid w:val="003C7C7B"/>
    <w:rsid w:val="003D1109"/>
    <w:rsid w:val="003D1CB6"/>
    <w:rsid w:val="003D359A"/>
    <w:rsid w:val="003D476C"/>
    <w:rsid w:val="003D54FF"/>
    <w:rsid w:val="003D6702"/>
    <w:rsid w:val="003D6D14"/>
    <w:rsid w:val="003E0371"/>
    <w:rsid w:val="003E114B"/>
    <w:rsid w:val="003E1241"/>
    <w:rsid w:val="003E13A5"/>
    <w:rsid w:val="003E1515"/>
    <w:rsid w:val="003E1F0E"/>
    <w:rsid w:val="003E2AEA"/>
    <w:rsid w:val="003E6D6F"/>
    <w:rsid w:val="003F2B01"/>
    <w:rsid w:val="003F305F"/>
    <w:rsid w:val="003F3E51"/>
    <w:rsid w:val="003F464D"/>
    <w:rsid w:val="003F5581"/>
    <w:rsid w:val="003F56DB"/>
    <w:rsid w:val="003F5DE6"/>
    <w:rsid w:val="003F61DD"/>
    <w:rsid w:val="003F70D5"/>
    <w:rsid w:val="0040090C"/>
    <w:rsid w:val="00400D5D"/>
    <w:rsid w:val="004010D3"/>
    <w:rsid w:val="00401597"/>
    <w:rsid w:val="00402AEF"/>
    <w:rsid w:val="00402F37"/>
    <w:rsid w:val="004039FC"/>
    <w:rsid w:val="004046DF"/>
    <w:rsid w:val="004061D1"/>
    <w:rsid w:val="00406C08"/>
    <w:rsid w:val="00406EF5"/>
    <w:rsid w:val="004074E8"/>
    <w:rsid w:val="004110D8"/>
    <w:rsid w:val="00412478"/>
    <w:rsid w:val="0041287D"/>
    <w:rsid w:val="0041427E"/>
    <w:rsid w:val="00414629"/>
    <w:rsid w:val="00420E52"/>
    <w:rsid w:val="004222D6"/>
    <w:rsid w:val="004223FA"/>
    <w:rsid w:val="004235B7"/>
    <w:rsid w:val="00424750"/>
    <w:rsid w:val="00424CA6"/>
    <w:rsid w:val="00425BCA"/>
    <w:rsid w:val="00425ED3"/>
    <w:rsid w:val="0042632C"/>
    <w:rsid w:val="00426B53"/>
    <w:rsid w:val="00427785"/>
    <w:rsid w:val="00431F9C"/>
    <w:rsid w:val="00432168"/>
    <w:rsid w:val="004324C1"/>
    <w:rsid w:val="00432A78"/>
    <w:rsid w:val="00432EB7"/>
    <w:rsid w:val="004372AB"/>
    <w:rsid w:val="004377C8"/>
    <w:rsid w:val="00437CE8"/>
    <w:rsid w:val="004405AA"/>
    <w:rsid w:val="004407C5"/>
    <w:rsid w:val="004434DB"/>
    <w:rsid w:val="00443823"/>
    <w:rsid w:val="00443AA8"/>
    <w:rsid w:val="00444019"/>
    <w:rsid w:val="00445638"/>
    <w:rsid w:val="004477DC"/>
    <w:rsid w:val="0045054D"/>
    <w:rsid w:val="00450914"/>
    <w:rsid w:val="0045165C"/>
    <w:rsid w:val="00452950"/>
    <w:rsid w:val="004549C9"/>
    <w:rsid w:val="00454C11"/>
    <w:rsid w:val="00456080"/>
    <w:rsid w:val="00457108"/>
    <w:rsid w:val="004577EE"/>
    <w:rsid w:val="00460900"/>
    <w:rsid w:val="0046096C"/>
    <w:rsid w:val="0046119E"/>
    <w:rsid w:val="00461DA8"/>
    <w:rsid w:val="00463141"/>
    <w:rsid w:val="00464065"/>
    <w:rsid w:val="004654DD"/>
    <w:rsid w:val="00465A9F"/>
    <w:rsid w:val="004672AA"/>
    <w:rsid w:val="004736FF"/>
    <w:rsid w:val="00473EB8"/>
    <w:rsid w:val="004764DB"/>
    <w:rsid w:val="004808B0"/>
    <w:rsid w:val="0048169B"/>
    <w:rsid w:val="0048236F"/>
    <w:rsid w:val="00482722"/>
    <w:rsid w:val="0048349F"/>
    <w:rsid w:val="00483FEA"/>
    <w:rsid w:val="004841C3"/>
    <w:rsid w:val="00484941"/>
    <w:rsid w:val="00484B0C"/>
    <w:rsid w:val="00485374"/>
    <w:rsid w:val="004862B1"/>
    <w:rsid w:val="00486532"/>
    <w:rsid w:val="0048662E"/>
    <w:rsid w:val="00486DE8"/>
    <w:rsid w:val="00490126"/>
    <w:rsid w:val="00491516"/>
    <w:rsid w:val="0049277A"/>
    <w:rsid w:val="004934A8"/>
    <w:rsid w:val="00494F7D"/>
    <w:rsid w:val="004952B9"/>
    <w:rsid w:val="0049567D"/>
    <w:rsid w:val="00496546"/>
    <w:rsid w:val="00496894"/>
    <w:rsid w:val="00496953"/>
    <w:rsid w:val="00497565"/>
    <w:rsid w:val="00497725"/>
    <w:rsid w:val="00497F6B"/>
    <w:rsid w:val="004A13C8"/>
    <w:rsid w:val="004A3268"/>
    <w:rsid w:val="004A3484"/>
    <w:rsid w:val="004A40D7"/>
    <w:rsid w:val="004A4B90"/>
    <w:rsid w:val="004A4F71"/>
    <w:rsid w:val="004A5334"/>
    <w:rsid w:val="004A66FC"/>
    <w:rsid w:val="004A7E38"/>
    <w:rsid w:val="004B14D4"/>
    <w:rsid w:val="004B15A5"/>
    <w:rsid w:val="004B18A4"/>
    <w:rsid w:val="004B215D"/>
    <w:rsid w:val="004B2710"/>
    <w:rsid w:val="004B2B94"/>
    <w:rsid w:val="004B30C0"/>
    <w:rsid w:val="004B33FC"/>
    <w:rsid w:val="004B35C5"/>
    <w:rsid w:val="004B384D"/>
    <w:rsid w:val="004B3F95"/>
    <w:rsid w:val="004C00F0"/>
    <w:rsid w:val="004C04DF"/>
    <w:rsid w:val="004C207F"/>
    <w:rsid w:val="004C2182"/>
    <w:rsid w:val="004C24A3"/>
    <w:rsid w:val="004C287E"/>
    <w:rsid w:val="004C36BA"/>
    <w:rsid w:val="004C437C"/>
    <w:rsid w:val="004C62E1"/>
    <w:rsid w:val="004C67FA"/>
    <w:rsid w:val="004C67FF"/>
    <w:rsid w:val="004C7B55"/>
    <w:rsid w:val="004D0577"/>
    <w:rsid w:val="004D0EAF"/>
    <w:rsid w:val="004D13B0"/>
    <w:rsid w:val="004D1C26"/>
    <w:rsid w:val="004D27CA"/>
    <w:rsid w:val="004D379F"/>
    <w:rsid w:val="004D3D0C"/>
    <w:rsid w:val="004D48BF"/>
    <w:rsid w:val="004D4A84"/>
    <w:rsid w:val="004D7CF9"/>
    <w:rsid w:val="004E1AB7"/>
    <w:rsid w:val="004E40E9"/>
    <w:rsid w:val="004E48A5"/>
    <w:rsid w:val="004E4987"/>
    <w:rsid w:val="004E5829"/>
    <w:rsid w:val="004E67EF"/>
    <w:rsid w:val="004E6F34"/>
    <w:rsid w:val="004E756D"/>
    <w:rsid w:val="004E77B4"/>
    <w:rsid w:val="004E7A8D"/>
    <w:rsid w:val="004F0DD5"/>
    <w:rsid w:val="004F1B7E"/>
    <w:rsid w:val="004F33E5"/>
    <w:rsid w:val="004F45B3"/>
    <w:rsid w:val="004F5231"/>
    <w:rsid w:val="004F5EB6"/>
    <w:rsid w:val="004F60C5"/>
    <w:rsid w:val="004F61CB"/>
    <w:rsid w:val="00501772"/>
    <w:rsid w:val="00501A26"/>
    <w:rsid w:val="00501A65"/>
    <w:rsid w:val="00502644"/>
    <w:rsid w:val="00503BAD"/>
    <w:rsid w:val="00503BB8"/>
    <w:rsid w:val="00504990"/>
    <w:rsid w:val="00504F26"/>
    <w:rsid w:val="0050585C"/>
    <w:rsid w:val="00506B2B"/>
    <w:rsid w:val="00507D3F"/>
    <w:rsid w:val="00507FA8"/>
    <w:rsid w:val="00510AAC"/>
    <w:rsid w:val="00511173"/>
    <w:rsid w:val="0051161B"/>
    <w:rsid w:val="005116AE"/>
    <w:rsid w:val="00512030"/>
    <w:rsid w:val="005130D0"/>
    <w:rsid w:val="005147F5"/>
    <w:rsid w:val="00514DAD"/>
    <w:rsid w:val="00516CB0"/>
    <w:rsid w:val="00517112"/>
    <w:rsid w:val="005171AA"/>
    <w:rsid w:val="0051725A"/>
    <w:rsid w:val="00520222"/>
    <w:rsid w:val="005202DC"/>
    <w:rsid w:val="00523A23"/>
    <w:rsid w:val="00523A5F"/>
    <w:rsid w:val="00524A11"/>
    <w:rsid w:val="00525C86"/>
    <w:rsid w:val="00526E67"/>
    <w:rsid w:val="00531A3F"/>
    <w:rsid w:val="00532EA6"/>
    <w:rsid w:val="00533A55"/>
    <w:rsid w:val="00533D65"/>
    <w:rsid w:val="00534C65"/>
    <w:rsid w:val="00534DC4"/>
    <w:rsid w:val="0053609E"/>
    <w:rsid w:val="0053646F"/>
    <w:rsid w:val="00536934"/>
    <w:rsid w:val="00536955"/>
    <w:rsid w:val="00536E81"/>
    <w:rsid w:val="0053770F"/>
    <w:rsid w:val="005401D2"/>
    <w:rsid w:val="00540755"/>
    <w:rsid w:val="00540FA4"/>
    <w:rsid w:val="005410C2"/>
    <w:rsid w:val="005412DF"/>
    <w:rsid w:val="0054208C"/>
    <w:rsid w:val="0054302E"/>
    <w:rsid w:val="0054358D"/>
    <w:rsid w:val="00543B72"/>
    <w:rsid w:val="00544CEB"/>
    <w:rsid w:val="005460AF"/>
    <w:rsid w:val="005461C2"/>
    <w:rsid w:val="00546900"/>
    <w:rsid w:val="00550374"/>
    <w:rsid w:val="005521D8"/>
    <w:rsid w:val="00554B38"/>
    <w:rsid w:val="0055513F"/>
    <w:rsid w:val="00556231"/>
    <w:rsid w:val="00556BDF"/>
    <w:rsid w:val="00560FBF"/>
    <w:rsid w:val="0056298E"/>
    <w:rsid w:val="005631F1"/>
    <w:rsid w:val="00565411"/>
    <w:rsid w:val="005662C3"/>
    <w:rsid w:val="00566C4A"/>
    <w:rsid w:val="005673B1"/>
    <w:rsid w:val="00567E47"/>
    <w:rsid w:val="0057087C"/>
    <w:rsid w:val="00572AF7"/>
    <w:rsid w:val="0057373A"/>
    <w:rsid w:val="00573792"/>
    <w:rsid w:val="00574110"/>
    <w:rsid w:val="00577B3D"/>
    <w:rsid w:val="005803FF"/>
    <w:rsid w:val="005804D9"/>
    <w:rsid w:val="005808AB"/>
    <w:rsid w:val="005809C1"/>
    <w:rsid w:val="00581377"/>
    <w:rsid w:val="00583C01"/>
    <w:rsid w:val="00583C66"/>
    <w:rsid w:val="005855B0"/>
    <w:rsid w:val="00586C3B"/>
    <w:rsid w:val="005875B9"/>
    <w:rsid w:val="0058799C"/>
    <w:rsid w:val="0059035A"/>
    <w:rsid w:val="005903A8"/>
    <w:rsid w:val="00590A3D"/>
    <w:rsid w:val="00591124"/>
    <w:rsid w:val="00592D9A"/>
    <w:rsid w:val="00593D99"/>
    <w:rsid w:val="00594CFA"/>
    <w:rsid w:val="005951F3"/>
    <w:rsid w:val="00595230"/>
    <w:rsid w:val="00595423"/>
    <w:rsid w:val="0059545A"/>
    <w:rsid w:val="00596A74"/>
    <w:rsid w:val="00597420"/>
    <w:rsid w:val="00597B80"/>
    <w:rsid w:val="00597BB8"/>
    <w:rsid w:val="00597D6E"/>
    <w:rsid w:val="005A3D10"/>
    <w:rsid w:val="005A4593"/>
    <w:rsid w:val="005A4654"/>
    <w:rsid w:val="005A479A"/>
    <w:rsid w:val="005A52D4"/>
    <w:rsid w:val="005B0780"/>
    <w:rsid w:val="005B14BA"/>
    <w:rsid w:val="005B535E"/>
    <w:rsid w:val="005B5F02"/>
    <w:rsid w:val="005B6278"/>
    <w:rsid w:val="005B6A89"/>
    <w:rsid w:val="005C192D"/>
    <w:rsid w:val="005C194A"/>
    <w:rsid w:val="005C3761"/>
    <w:rsid w:val="005C46F8"/>
    <w:rsid w:val="005C5F08"/>
    <w:rsid w:val="005C7D73"/>
    <w:rsid w:val="005D0AF3"/>
    <w:rsid w:val="005D0E0E"/>
    <w:rsid w:val="005D2FCD"/>
    <w:rsid w:val="005D3104"/>
    <w:rsid w:val="005D3B82"/>
    <w:rsid w:val="005D40E4"/>
    <w:rsid w:val="005D5732"/>
    <w:rsid w:val="005D61E1"/>
    <w:rsid w:val="005D711A"/>
    <w:rsid w:val="005E0346"/>
    <w:rsid w:val="005E0A76"/>
    <w:rsid w:val="005E1A25"/>
    <w:rsid w:val="005E4561"/>
    <w:rsid w:val="005E4A1B"/>
    <w:rsid w:val="005E5068"/>
    <w:rsid w:val="005E5B2D"/>
    <w:rsid w:val="005E5EAB"/>
    <w:rsid w:val="005E6689"/>
    <w:rsid w:val="005E74E7"/>
    <w:rsid w:val="005E77B5"/>
    <w:rsid w:val="005F04D3"/>
    <w:rsid w:val="005F1AFF"/>
    <w:rsid w:val="005F29A0"/>
    <w:rsid w:val="005F4392"/>
    <w:rsid w:val="005F520F"/>
    <w:rsid w:val="005F54FE"/>
    <w:rsid w:val="005F5E7E"/>
    <w:rsid w:val="005F6615"/>
    <w:rsid w:val="005F6618"/>
    <w:rsid w:val="005F663F"/>
    <w:rsid w:val="005F6773"/>
    <w:rsid w:val="005F6C92"/>
    <w:rsid w:val="005F71A1"/>
    <w:rsid w:val="005F7791"/>
    <w:rsid w:val="0060118B"/>
    <w:rsid w:val="0060142B"/>
    <w:rsid w:val="006029E4"/>
    <w:rsid w:val="006032AF"/>
    <w:rsid w:val="006036C8"/>
    <w:rsid w:val="00603ABA"/>
    <w:rsid w:val="006040E2"/>
    <w:rsid w:val="00604102"/>
    <w:rsid w:val="00604370"/>
    <w:rsid w:val="006049EA"/>
    <w:rsid w:val="00607D60"/>
    <w:rsid w:val="00607D79"/>
    <w:rsid w:val="00612233"/>
    <w:rsid w:val="00612E9B"/>
    <w:rsid w:val="00613292"/>
    <w:rsid w:val="006139F0"/>
    <w:rsid w:val="00613E9C"/>
    <w:rsid w:val="0061565C"/>
    <w:rsid w:val="0061571C"/>
    <w:rsid w:val="00615F26"/>
    <w:rsid w:val="00616626"/>
    <w:rsid w:val="00616858"/>
    <w:rsid w:val="006168E3"/>
    <w:rsid w:val="006170B3"/>
    <w:rsid w:val="00617D03"/>
    <w:rsid w:val="00617E88"/>
    <w:rsid w:val="00617EC3"/>
    <w:rsid w:val="00620340"/>
    <w:rsid w:val="00620481"/>
    <w:rsid w:val="00621262"/>
    <w:rsid w:val="0062130E"/>
    <w:rsid w:val="00621D09"/>
    <w:rsid w:val="00623EEC"/>
    <w:rsid w:val="00624512"/>
    <w:rsid w:val="006246AE"/>
    <w:rsid w:val="00624746"/>
    <w:rsid w:val="0062637A"/>
    <w:rsid w:val="006274AE"/>
    <w:rsid w:val="00627F08"/>
    <w:rsid w:val="00631805"/>
    <w:rsid w:val="00632986"/>
    <w:rsid w:val="006330CD"/>
    <w:rsid w:val="00634D94"/>
    <w:rsid w:val="0063686B"/>
    <w:rsid w:val="00637C41"/>
    <w:rsid w:val="00640E52"/>
    <w:rsid w:val="0064243C"/>
    <w:rsid w:val="00642C30"/>
    <w:rsid w:val="00643CD2"/>
    <w:rsid w:val="00643D0C"/>
    <w:rsid w:val="006444B2"/>
    <w:rsid w:val="00647294"/>
    <w:rsid w:val="00647392"/>
    <w:rsid w:val="00647A4E"/>
    <w:rsid w:val="006529C6"/>
    <w:rsid w:val="0065344E"/>
    <w:rsid w:val="00654A8C"/>
    <w:rsid w:val="00654BE9"/>
    <w:rsid w:val="00655F36"/>
    <w:rsid w:val="00656E38"/>
    <w:rsid w:val="00657ACE"/>
    <w:rsid w:val="00657DA5"/>
    <w:rsid w:val="00661B1B"/>
    <w:rsid w:val="00663659"/>
    <w:rsid w:val="0066461C"/>
    <w:rsid w:val="00664D2C"/>
    <w:rsid w:val="006650F5"/>
    <w:rsid w:val="00665336"/>
    <w:rsid w:val="00666265"/>
    <w:rsid w:val="00671BFF"/>
    <w:rsid w:val="006724E4"/>
    <w:rsid w:val="006725FC"/>
    <w:rsid w:val="006744AF"/>
    <w:rsid w:val="00674AF5"/>
    <w:rsid w:val="00675606"/>
    <w:rsid w:val="006756F7"/>
    <w:rsid w:val="00676763"/>
    <w:rsid w:val="00676B90"/>
    <w:rsid w:val="00677E6C"/>
    <w:rsid w:val="00680334"/>
    <w:rsid w:val="00680B4A"/>
    <w:rsid w:val="0068100C"/>
    <w:rsid w:val="006818BB"/>
    <w:rsid w:val="00683892"/>
    <w:rsid w:val="00683E0C"/>
    <w:rsid w:val="006868D0"/>
    <w:rsid w:val="00686EAC"/>
    <w:rsid w:val="006877FD"/>
    <w:rsid w:val="0069163C"/>
    <w:rsid w:val="00691756"/>
    <w:rsid w:val="00693311"/>
    <w:rsid w:val="00693B03"/>
    <w:rsid w:val="00693FB5"/>
    <w:rsid w:val="00694836"/>
    <w:rsid w:val="00694FF4"/>
    <w:rsid w:val="006962BB"/>
    <w:rsid w:val="00696B48"/>
    <w:rsid w:val="00696FB8"/>
    <w:rsid w:val="00697942"/>
    <w:rsid w:val="00697AE4"/>
    <w:rsid w:val="00697E5C"/>
    <w:rsid w:val="006A1BFB"/>
    <w:rsid w:val="006A20F1"/>
    <w:rsid w:val="006A2D53"/>
    <w:rsid w:val="006A3A88"/>
    <w:rsid w:val="006A4E16"/>
    <w:rsid w:val="006A5992"/>
    <w:rsid w:val="006A66D4"/>
    <w:rsid w:val="006A7403"/>
    <w:rsid w:val="006A7E64"/>
    <w:rsid w:val="006B2058"/>
    <w:rsid w:val="006B2782"/>
    <w:rsid w:val="006B3914"/>
    <w:rsid w:val="006B3BC2"/>
    <w:rsid w:val="006B4CCD"/>
    <w:rsid w:val="006B5ED6"/>
    <w:rsid w:val="006B778A"/>
    <w:rsid w:val="006C1AA4"/>
    <w:rsid w:val="006C1B30"/>
    <w:rsid w:val="006C1EAC"/>
    <w:rsid w:val="006C1FB9"/>
    <w:rsid w:val="006C20FB"/>
    <w:rsid w:val="006C28EB"/>
    <w:rsid w:val="006C3821"/>
    <w:rsid w:val="006C6B17"/>
    <w:rsid w:val="006D0FDF"/>
    <w:rsid w:val="006D1BCC"/>
    <w:rsid w:val="006D31B5"/>
    <w:rsid w:val="006D4134"/>
    <w:rsid w:val="006D415D"/>
    <w:rsid w:val="006D4721"/>
    <w:rsid w:val="006D6AAA"/>
    <w:rsid w:val="006E2544"/>
    <w:rsid w:val="006E4F7B"/>
    <w:rsid w:val="006E52ED"/>
    <w:rsid w:val="006E554A"/>
    <w:rsid w:val="006E5E4B"/>
    <w:rsid w:val="006E63DA"/>
    <w:rsid w:val="006E6FE4"/>
    <w:rsid w:val="006E7133"/>
    <w:rsid w:val="006E7644"/>
    <w:rsid w:val="006E77C4"/>
    <w:rsid w:val="006E784F"/>
    <w:rsid w:val="006F0100"/>
    <w:rsid w:val="006F1342"/>
    <w:rsid w:val="006F13DA"/>
    <w:rsid w:val="006F2C8F"/>
    <w:rsid w:val="006F3E4B"/>
    <w:rsid w:val="006F4BBE"/>
    <w:rsid w:val="006F5167"/>
    <w:rsid w:val="006F5D8D"/>
    <w:rsid w:val="006F696B"/>
    <w:rsid w:val="006F6E92"/>
    <w:rsid w:val="006F7B26"/>
    <w:rsid w:val="006F7F28"/>
    <w:rsid w:val="0070273A"/>
    <w:rsid w:val="00702BFC"/>
    <w:rsid w:val="00703196"/>
    <w:rsid w:val="00703E01"/>
    <w:rsid w:val="0070682B"/>
    <w:rsid w:val="0070729A"/>
    <w:rsid w:val="00707DBA"/>
    <w:rsid w:val="0071131D"/>
    <w:rsid w:val="00711C91"/>
    <w:rsid w:val="00711DE4"/>
    <w:rsid w:val="00712E2F"/>
    <w:rsid w:val="00712F4E"/>
    <w:rsid w:val="00713531"/>
    <w:rsid w:val="00714203"/>
    <w:rsid w:val="007158F0"/>
    <w:rsid w:val="00716FDB"/>
    <w:rsid w:val="00717729"/>
    <w:rsid w:val="007218C8"/>
    <w:rsid w:val="00722F13"/>
    <w:rsid w:val="0072424A"/>
    <w:rsid w:val="0072434A"/>
    <w:rsid w:val="0072648C"/>
    <w:rsid w:val="0072690D"/>
    <w:rsid w:val="00727C06"/>
    <w:rsid w:val="0073070B"/>
    <w:rsid w:val="00730E0C"/>
    <w:rsid w:val="0073123E"/>
    <w:rsid w:val="00732332"/>
    <w:rsid w:val="007324BA"/>
    <w:rsid w:val="007334A6"/>
    <w:rsid w:val="00733505"/>
    <w:rsid w:val="00734D9D"/>
    <w:rsid w:val="00734E24"/>
    <w:rsid w:val="00734F3A"/>
    <w:rsid w:val="00736169"/>
    <w:rsid w:val="007363F3"/>
    <w:rsid w:val="00737B13"/>
    <w:rsid w:val="00737F58"/>
    <w:rsid w:val="007408DF"/>
    <w:rsid w:val="00741ACB"/>
    <w:rsid w:val="00741C85"/>
    <w:rsid w:val="007431FC"/>
    <w:rsid w:val="00747D89"/>
    <w:rsid w:val="00750003"/>
    <w:rsid w:val="007506FD"/>
    <w:rsid w:val="00750BA1"/>
    <w:rsid w:val="00752877"/>
    <w:rsid w:val="00753E21"/>
    <w:rsid w:val="00753EAB"/>
    <w:rsid w:val="00754834"/>
    <w:rsid w:val="007548A2"/>
    <w:rsid w:val="00755229"/>
    <w:rsid w:val="00755F54"/>
    <w:rsid w:val="00756C53"/>
    <w:rsid w:val="00757B45"/>
    <w:rsid w:val="0076020F"/>
    <w:rsid w:val="007602B9"/>
    <w:rsid w:val="0076119D"/>
    <w:rsid w:val="00761702"/>
    <w:rsid w:val="00763B5A"/>
    <w:rsid w:val="00763CC6"/>
    <w:rsid w:val="00763D97"/>
    <w:rsid w:val="00764D78"/>
    <w:rsid w:val="007652C1"/>
    <w:rsid w:val="007668D9"/>
    <w:rsid w:val="00766A02"/>
    <w:rsid w:val="00770B28"/>
    <w:rsid w:val="007720A7"/>
    <w:rsid w:val="00772AE7"/>
    <w:rsid w:val="00772C21"/>
    <w:rsid w:val="00772E68"/>
    <w:rsid w:val="0077308A"/>
    <w:rsid w:val="007738AB"/>
    <w:rsid w:val="00774255"/>
    <w:rsid w:val="007751BD"/>
    <w:rsid w:val="00777C3F"/>
    <w:rsid w:val="00780193"/>
    <w:rsid w:val="0078064A"/>
    <w:rsid w:val="0078103D"/>
    <w:rsid w:val="00781350"/>
    <w:rsid w:val="00781665"/>
    <w:rsid w:val="00781AFA"/>
    <w:rsid w:val="007849A4"/>
    <w:rsid w:val="00785C7D"/>
    <w:rsid w:val="00787B2D"/>
    <w:rsid w:val="00790A74"/>
    <w:rsid w:val="00790CCC"/>
    <w:rsid w:val="00791BAD"/>
    <w:rsid w:val="00791FB8"/>
    <w:rsid w:val="00792397"/>
    <w:rsid w:val="00795C41"/>
    <w:rsid w:val="0079620B"/>
    <w:rsid w:val="00797137"/>
    <w:rsid w:val="00797EA0"/>
    <w:rsid w:val="007A0A88"/>
    <w:rsid w:val="007A0BD8"/>
    <w:rsid w:val="007A0D74"/>
    <w:rsid w:val="007A1138"/>
    <w:rsid w:val="007A1BC8"/>
    <w:rsid w:val="007A21DA"/>
    <w:rsid w:val="007A2568"/>
    <w:rsid w:val="007A2704"/>
    <w:rsid w:val="007A29B1"/>
    <w:rsid w:val="007A2BD2"/>
    <w:rsid w:val="007A30F2"/>
    <w:rsid w:val="007A47CC"/>
    <w:rsid w:val="007A4950"/>
    <w:rsid w:val="007A5EE8"/>
    <w:rsid w:val="007A6209"/>
    <w:rsid w:val="007A651E"/>
    <w:rsid w:val="007A6A98"/>
    <w:rsid w:val="007A7151"/>
    <w:rsid w:val="007B1297"/>
    <w:rsid w:val="007B3E71"/>
    <w:rsid w:val="007B3FD4"/>
    <w:rsid w:val="007B478C"/>
    <w:rsid w:val="007B5583"/>
    <w:rsid w:val="007B5686"/>
    <w:rsid w:val="007B5FE6"/>
    <w:rsid w:val="007B7023"/>
    <w:rsid w:val="007B7824"/>
    <w:rsid w:val="007B79E6"/>
    <w:rsid w:val="007C069A"/>
    <w:rsid w:val="007C1602"/>
    <w:rsid w:val="007C1FEC"/>
    <w:rsid w:val="007C209F"/>
    <w:rsid w:val="007C29CE"/>
    <w:rsid w:val="007C3500"/>
    <w:rsid w:val="007C3A61"/>
    <w:rsid w:val="007C5A7C"/>
    <w:rsid w:val="007C63BA"/>
    <w:rsid w:val="007C650C"/>
    <w:rsid w:val="007C6AEC"/>
    <w:rsid w:val="007D2DD8"/>
    <w:rsid w:val="007D36DD"/>
    <w:rsid w:val="007D3CEB"/>
    <w:rsid w:val="007D4926"/>
    <w:rsid w:val="007D7D1B"/>
    <w:rsid w:val="007E0410"/>
    <w:rsid w:val="007E06D8"/>
    <w:rsid w:val="007E1652"/>
    <w:rsid w:val="007E31C8"/>
    <w:rsid w:val="007E3CE8"/>
    <w:rsid w:val="007E424E"/>
    <w:rsid w:val="007E437F"/>
    <w:rsid w:val="007E4B82"/>
    <w:rsid w:val="007E4CFB"/>
    <w:rsid w:val="007E5FB1"/>
    <w:rsid w:val="007E6342"/>
    <w:rsid w:val="007E7495"/>
    <w:rsid w:val="007E77D6"/>
    <w:rsid w:val="007E7C21"/>
    <w:rsid w:val="007E7F83"/>
    <w:rsid w:val="007F0E33"/>
    <w:rsid w:val="007F27C7"/>
    <w:rsid w:val="007F39E6"/>
    <w:rsid w:val="007F3E90"/>
    <w:rsid w:val="007F4065"/>
    <w:rsid w:val="007F434C"/>
    <w:rsid w:val="007F5A6A"/>
    <w:rsid w:val="007F7420"/>
    <w:rsid w:val="008005A2"/>
    <w:rsid w:val="008012ED"/>
    <w:rsid w:val="0080227D"/>
    <w:rsid w:val="008022B2"/>
    <w:rsid w:val="00803311"/>
    <w:rsid w:val="0080420C"/>
    <w:rsid w:val="00805560"/>
    <w:rsid w:val="0080596A"/>
    <w:rsid w:val="00805A84"/>
    <w:rsid w:val="00806497"/>
    <w:rsid w:val="00811BD5"/>
    <w:rsid w:val="00811F80"/>
    <w:rsid w:val="00813344"/>
    <w:rsid w:val="0081367E"/>
    <w:rsid w:val="00815001"/>
    <w:rsid w:val="008154A6"/>
    <w:rsid w:val="008156EE"/>
    <w:rsid w:val="00815ED9"/>
    <w:rsid w:val="0081628A"/>
    <w:rsid w:val="00816A47"/>
    <w:rsid w:val="008203AB"/>
    <w:rsid w:val="00820976"/>
    <w:rsid w:val="00822525"/>
    <w:rsid w:val="00822702"/>
    <w:rsid w:val="00822980"/>
    <w:rsid w:val="0082305D"/>
    <w:rsid w:val="0082315B"/>
    <w:rsid w:val="008232E5"/>
    <w:rsid w:val="00825F52"/>
    <w:rsid w:val="008272A1"/>
    <w:rsid w:val="008272C5"/>
    <w:rsid w:val="0082735A"/>
    <w:rsid w:val="00830924"/>
    <w:rsid w:val="0083141F"/>
    <w:rsid w:val="00831B36"/>
    <w:rsid w:val="00832441"/>
    <w:rsid w:val="00832827"/>
    <w:rsid w:val="00833A7A"/>
    <w:rsid w:val="008341F4"/>
    <w:rsid w:val="008350B9"/>
    <w:rsid w:val="00842B39"/>
    <w:rsid w:val="00842C05"/>
    <w:rsid w:val="00843412"/>
    <w:rsid w:val="00845074"/>
    <w:rsid w:val="008450C5"/>
    <w:rsid w:val="00845498"/>
    <w:rsid w:val="00845BED"/>
    <w:rsid w:val="00846BB2"/>
    <w:rsid w:val="00846DA2"/>
    <w:rsid w:val="00847A9C"/>
    <w:rsid w:val="00847B6B"/>
    <w:rsid w:val="00850AB9"/>
    <w:rsid w:val="00851FFC"/>
    <w:rsid w:val="00852A7F"/>
    <w:rsid w:val="00853A44"/>
    <w:rsid w:val="00853B38"/>
    <w:rsid w:val="0085441A"/>
    <w:rsid w:val="008549B5"/>
    <w:rsid w:val="00855D89"/>
    <w:rsid w:val="00857707"/>
    <w:rsid w:val="00857C6E"/>
    <w:rsid w:val="00857D25"/>
    <w:rsid w:val="008601DB"/>
    <w:rsid w:val="008607D6"/>
    <w:rsid w:val="00861287"/>
    <w:rsid w:val="008623E3"/>
    <w:rsid w:val="00862A7D"/>
    <w:rsid w:val="008630D9"/>
    <w:rsid w:val="00864B3A"/>
    <w:rsid w:val="0086564F"/>
    <w:rsid w:val="00865BA0"/>
    <w:rsid w:val="008668EC"/>
    <w:rsid w:val="008675A6"/>
    <w:rsid w:val="00867CFD"/>
    <w:rsid w:val="00870426"/>
    <w:rsid w:val="00870B31"/>
    <w:rsid w:val="0087326A"/>
    <w:rsid w:val="008733F1"/>
    <w:rsid w:val="00873606"/>
    <w:rsid w:val="0087421A"/>
    <w:rsid w:val="00874547"/>
    <w:rsid w:val="008750BA"/>
    <w:rsid w:val="0087550F"/>
    <w:rsid w:val="0087618F"/>
    <w:rsid w:val="008762F5"/>
    <w:rsid w:val="0087642E"/>
    <w:rsid w:val="00876581"/>
    <w:rsid w:val="00876D99"/>
    <w:rsid w:val="0087776B"/>
    <w:rsid w:val="00883002"/>
    <w:rsid w:val="00883007"/>
    <w:rsid w:val="008833DB"/>
    <w:rsid w:val="00883627"/>
    <w:rsid w:val="0088430B"/>
    <w:rsid w:val="0088529F"/>
    <w:rsid w:val="0088713D"/>
    <w:rsid w:val="00887365"/>
    <w:rsid w:val="00887CED"/>
    <w:rsid w:val="00891067"/>
    <w:rsid w:val="00891235"/>
    <w:rsid w:val="008931D9"/>
    <w:rsid w:val="00893E40"/>
    <w:rsid w:val="0089553B"/>
    <w:rsid w:val="00896A6A"/>
    <w:rsid w:val="00897809"/>
    <w:rsid w:val="008A1508"/>
    <w:rsid w:val="008A151F"/>
    <w:rsid w:val="008A2F24"/>
    <w:rsid w:val="008A41EC"/>
    <w:rsid w:val="008A5FD0"/>
    <w:rsid w:val="008A7336"/>
    <w:rsid w:val="008B029A"/>
    <w:rsid w:val="008B1D48"/>
    <w:rsid w:val="008B20FE"/>
    <w:rsid w:val="008B2ED0"/>
    <w:rsid w:val="008B3893"/>
    <w:rsid w:val="008B3AF9"/>
    <w:rsid w:val="008B57FD"/>
    <w:rsid w:val="008B5D1C"/>
    <w:rsid w:val="008C32A4"/>
    <w:rsid w:val="008C45CD"/>
    <w:rsid w:val="008C658C"/>
    <w:rsid w:val="008C7AE0"/>
    <w:rsid w:val="008C7B4B"/>
    <w:rsid w:val="008C7B60"/>
    <w:rsid w:val="008C7BF5"/>
    <w:rsid w:val="008D0A35"/>
    <w:rsid w:val="008D0ACC"/>
    <w:rsid w:val="008D34FA"/>
    <w:rsid w:val="008D3591"/>
    <w:rsid w:val="008D3A62"/>
    <w:rsid w:val="008D4644"/>
    <w:rsid w:val="008D5400"/>
    <w:rsid w:val="008D6501"/>
    <w:rsid w:val="008D67E2"/>
    <w:rsid w:val="008D6A14"/>
    <w:rsid w:val="008E3B19"/>
    <w:rsid w:val="008E595F"/>
    <w:rsid w:val="008E5D2E"/>
    <w:rsid w:val="008E7077"/>
    <w:rsid w:val="008E7598"/>
    <w:rsid w:val="008E7DA8"/>
    <w:rsid w:val="008F126F"/>
    <w:rsid w:val="008F1521"/>
    <w:rsid w:val="008F1906"/>
    <w:rsid w:val="008F3005"/>
    <w:rsid w:val="008F30FD"/>
    <w:rsid w:val="008F34C6"/>
    <w:rsid w:val="008F415A"/>
    <w:rsid w:val="008F4E12"/>
    <w:rsid w:val="008F5236"/>
    <w:rsid w:val="008F59BD"/>
    <w:rsid w:val="008F5F84"/>
    <w:rsid w:val="008F61AC"/>
    <w:rsid w:val="008F695B"/>
    <w:rsid w:val="008F7862"/>
    <w:rsid w:val="00901AE7"/>
    <w:rsid w:val="00903C96"/>
    <w:rsid w:val="00904CB4"/>
    <w:rsid w:val="00906EC0"/>
    <w:rsid w:val="00907273"/>
    <w:rsid w:val="009111C8"/>
    <w:rsid w:val="00911433"/>
    <w:rsid w:val="0091276A"/>
    <w:rsid w:val="00914942"/>
    <w:rsid w:val="00914DE8"/>
    <w:rsid w:val="00915724"/>
    <w:rsid w:val="00915D06"/>
    <w:rsid w:val="00915E73"/>
    <w:rsid w:val="00916210"/>
    <w:rsid w:val="00916779"/>
    <w:rsid w:val="00916A24"/>
    <w:rsid w:val="00916E56"/>
    <w:rsid w:val="009176B0"/>
    <w:rsid w:val="00917F0E"/>
    <w:rsid w:val="00922A1D"/>
    <w:rsid w:val="00923005"/>
    <w:rsid w:val="0092603E"/>
    <w:rsid w:val="00926516"/>
    <w:rsid w:val="00926866"/>
    <w:rsid w:val="00927043"/>
    <w:rsid w:val="00927B96"/>
    <w:rsid w:val="00931C23"/>
    <w:rsid w:val="009334CB"/>
    <w:rsid w:val="0093359C"/>
    <w:rsid w:val="00933883"/>
    <w:rsid w:val="00933A92"/>
    <w:rsid w:val="00933AFE"/>
    <w:rsid w:val="009350ED"/>
    <w:rsid w:val="00935E4B"/>
    <w:rsid w:val="00935EF5"/>
    <w:rsid w:val="00936FC0"/>
    <w:rsid w:val="00937610"/>
    <w:rsid w:val="00937F27"/>
    <w:rsid w:val="00937F3B"/>
    <w:rsid w:val="0094105E"/>
    <w:rsid w:val="009410F6"/>
    <w:rsid w:val="00941600"/>
    <w:rsid w:val="0094235A"/>
    <w:rsid w:val="00942AA2"/>
    <w:rsid w:val="00942CD6"/>
    <w:rsid w:val="00943EA0"/>
    <w:rsid w:val="00944872"/>
    <w:rsid w:val="00945D31"/>
    <w:rsid w:val="00945F3A"/>
    <w:rsid w:val="0094663A"/>
    <w:rsid w:val="00947428"/>
    <w:rsid w:val="00947822"/>
    <w:rsid w:val="00947971"/>
    <w:rsid w:val="00950D02"/>
    <w:rsid w:val="00950DD1"/>
    <w:rsid w:val="0095248C"/>
    <w:rsid w:val="009529C4"/>
    <w:rsid w:val="00953B7E"/>
    <w:rsid w:val="00953E89"/>
    <w:rsid w:val="00953ECC"/>
    <w:rsid w:val="009541DA"/>
    <w:rsid w:val="00955602"/>
    <w:rsid w:val="00956462"/>
    <w:rsid w:val="00956770"/>
    <w:rsid w:val="0096019D"/>
    <w:rsid w:val="00961B49"/>
    <w:rsid w:val="00963712"/>
    <w:rsid w:val="009645DE"/>
    <w:rsid w:val="009650EF"/>
    <w:rsid w:val="00965F2B"/>
    <w:rsid w:val="009669F8"/>
    <w:rsid w:val="009676AC"/>
    <w:rsid w:val="00971000"/>
    <w:rsid w:val="0097193D"/>
    <w:rsid w:val="009734C3"/>
    <w:rsid w:val="0097477D"/>
    <w:rsid w:val="009757F5"/>
    <w:rsid w:val="00975A4F"/>
    <w:rsid w:val="00976280"/>
    <w:rsid w:val="00976288"/>
    <w:rsid w:val="009808EB"/>
    <w:rsid w:val="00981AEB"/>
    <w:rsid w:val="00981EC2"/>
    <w:rsid w:val="009828EC"/>
    <w:rsid w:val="00982D07"/>
    <w:rsid w:val="00990FD9"/>
    <w:rsid w:val="009919A9"/>
    <w:rsid w:val="009919DF"/>
    <w:rsid w:val="00991AD6"/>
    <w:rsid w:val="0099373C"/>
    <w:rsid w:val="00993988"/>
    <w:rsid w:val="00994146"/>
    <w:rsid w:val="00994DAE"/>
    <w:rsid w:val="009952F7"/>
    <w:rsid w:val="009961FC"/>
    <w:rsid w:val="009964A1"/>
    <w:rsid w:val="00996E1C"/>
    <w:rsid w:val="009A147F"/>
    <w:rsid w:val="009A1E36"/>
    <w:rsid w:val="009A1EF4"/>
    <w:rsid w:val="009A2966"/>
    <w:rsid w:val="009A3371"/>
    <w:rsid w:val="009A392A"/>
    <w:rsid w:val="009A4B87"/>
    <w:rsid w:val="009A4E91"/>
    <w:rsid w:val="009A64E4"/>
    <w:rsid w:val="009A66EE"/>
    <w:rsid w:val="009A782B"/>
    <w:rsid w:val="009A78A9"/>
    <w:rsid w:val="009B01D0"/>
    <w:rsid w:val="009B1100"/>
    <w:rsid w:val="009B2A99"/>
    <w:rsid w:val="009B3045"/>
    <w:rsid w:val="009B30FA"/>
    <w:rsid w:val="009B3455"/>
    <w:rsid w:val="009B399E"/>
    <w:rsid w:val="009B5483"/>
    <w:rsid w:val="009C0EA6"/>
    <w:rsid w:val="009C158D"/>
    <w:rsid w:val="009C19A5"/>
    <w:rsid w:val="009C2210"/>
    <w:rsid w:val="009C28A0"/>
    <w:rsid w:val="009C39A3"/>
    <w:rsid w:val="009C4241"/>
    <w:rsid w:val="009C4CEE"/>
    <w:rsid w:val="009C4DCD"/>
    <w:rsid w:val="009C638D"/>
    <w:rsid w:val="009C6E33"/>
    <w:rsid w:val="009C774D"/>
    <w:rsid w:val="009D07AD"/>
    <w:rsid w:val="009D30A4"/>
    <w:rsid w:val="009D3F1E"/>
    <w:rsid w:val="009D58CF"/>
    <w:rsid w:val="009D6F43"/>
    <w:rsid w:val="009D71A5"/>
    <w:rsid w:val="009D740A"/>
    <w:rsid w:val="009E04FA"/>
    <w:rsid w:val="009E085A"/>
    <w:rsid w:val="009E0B38"/>
    <w:rsid w:val="009E1C95"/>
    <w:rsid w:val="009E1DF5"/>
    <w:rsid w:val="009E2CAC"/>
    <w:rsid w:val="009E2EEC"/>
    <w:rsid w:val="009E311D"/>
    <w:rsid w:val="009E6D3C"/>
    <w:rsid w:val="009E72C9"/>
    <w:rsid w:val="009F2B04"/>
    <w:rsid w:val="009F4B55"/>
    <w:rsid w:val="009F4CB5"/>
    <w:rsid w:val="009F55D7"/>
    <w:rsid w:val="009F5DC9"/>
    <w:rsid w:val="009F631E"/>
    <w:rsid w:val="009F6D25"/>
    <w:rsid w:val="009F7888"/>
    <w:rsid w:val="00A006EC"/>
    <w:rsid w:val="00A00C33"/>
    <w:rsid w:val="00A00DF1"/>
    <w:rsid w:val="00A0195A"/>
    <w:rsid w:val="00A02E63"/>
    <w:rsid w:val="00A04188"/>
    <w:rsid w:val="00A0426C"/>
    <w:rsid w:val="00A04A8E"/>
    <w:rsid w:val="00A063DD"/>
    <w:rsid w:val="00A06DD3"/>
    <w:rsid w:val="00A117D3"/>
    <w:rsid w:val="00A13197"/>
    <w:rsid w:val="00A1362C"/>
    <w:rsid w:val="00A13B61"/>
    <w:rsid w:val="00A14A91"/>
    <w:rsid w:val="00A158AA"/>
    <w:rsid w:val="00A15D8A"/>
    <w:rsid w:val="00A20C7F"/>
    <w:rsid w:val="00A20ECC"/>
    <w:rsid w:val="00A21291"/>
    <w:rsid w:val="00A2156E"/>
    <w:rsid w:val="00A217E9"/>
    <w:rsid w:val="00A219D1"/>
    <w:rsid w:val="00A267FC"/>
    <w:rsid w:val="00A27197"/>
    <w:rsid w:val="00A273B6"/>
    <w:rsid w:val="00A30171"/>
    <w:rsid w:val="00A30B91"/>
    <w:rsid w:val="00A30C40"/>
    <w:rsid w:val="00A3159A"/>
    <w:rsid w:val="00A31924"/>
    <w:rsid w:val="00A31DE6"/>
    <w:rsid w:val="00A31E39"/>
    <w:rsid w:val="00A33C27"/>
    <w:rsid w:val="00A33D0E"/>
    <w:rsid w:val="00A34432"/>
    <w:rsid w:val="00A34AAE"/>
    <w:rsid w:val="00A34FA1"/>
    <w:rsid w:val="00A35AA7"/>
    <w:rsid w:val="00A35BD9"/>
    <w:rsid w:val="00A40898"/>
    <w:rsid w:val="00A424DC"/>
    <w:rsid w:val="00A42C1D"/>
    <w:rsid w:val="00A42FCF"/>
    <w:rsid w:val="00A4426A"/>
    <w:rsid w:val="00A45116"/>
    <w:rsid w:val="00A46B93"/>
    <w:rsid w:val="00A46CB0"/>
    <w:rsid w:val="00A47ABB"/>
    <w:rsid w:val="00A47DA9"/>
    <w:rsid w:val="00A506F7"/>
    <w:rsid w:val="00A508F8"/>
    <w:rsid w:val="00A50F1E"/>
    <w:rsid w:val="00A518A3"/>
    <w:rsid w:val="00A51A87"/>
    <w:rsid w:val="00A523FD"/>
    <w:rsid w:val="00A531A0"/>
    <w:rsid w:val="00A54040"/>
    <w:rsid w:val="00A54B7E"/>
    <w:rsid w:val="00A55144"/>
    <w:rsid w:val="00A55D75"/>
    <w:rsid w:val="00A5787D"/>
    <w:rsid w:val="00A6133B"/>
    <w:rsid w:val="00A61A76"/>
    <w:rsid w:val="00A61DDD"/>
    <w:rsid w:val="00A63ACE"/>
    <w:rsid w:val="00A63F5C"/>
    <w:rsid w:val="00A650CE"/>
    <w:rsid w:val="00A657A3"/>
    <w:rsid w:val="00A657AE"/>
    <w:rsid w:val="00A66434"/>
    <w:rsid w:val="00A71EB3"/>
    <w:rsid w:val="00A72DDA"/>
    <w:rsid w:val="00A73291"/>
    <w:rsid w:val="00A73397"/>
    <w:rsid w:val="00A74A05"/>
    <w:rsid w:val="00A74A8E"/>
    <w:rsid w:val="00A75458"/>
    <w:rsid w:val="00A75D94"/>
    <w:rsid w:val="00A76923"/>
    <w:rsid w:val="00A77DD2"/>
    <w:rsid w:val="00A77E34"/>
    <w:rsid w:val="00A80C0B"/>
    <w:rsid w:val="00A80D4A"/>
    <w:rsid w:val="00A82024"/>
    <w:rsid w:val="00A85663"/>
    <w:rsid w:val="00A859D0"/>
    <w:rsid w:val="00A87131"/>
    <w:rsid w:val="00A87580"/>
    <w:rsid w:val="00A87E82"/>
    <w:rsid w:val="00A90DA3"/>
    <w:rsid w:val="00A9196B"/>
    <w:rsid w:val="00A93536"/>
    <w:rsid w:val="00A948C6"/>
    <w:rsid w:val="00A97105"/>
    <w:rsid w:val="00AA2FC6"/>
    <w:rsid w:val="00AA324B"/>
    <w:rsid w:val="00AA4009"/>
    <w:rsid w:val="00AA42B7"/>
    <w:rsid w:val="00AA4E22"/>
    <w:rsid w:val="00AA5D06"/>
    <w:rsid w:val="00AA67A3"/>
    <w:rsid w:val="00AA6E8A"/>
    <w:rsid w:val="00AA7D8A"/>
    <w:rsid w:val="00AB1CFA"/>
    <w:rsid w:val="00AB2499"/>
    <w:rsid w:val="00AB2EF8"/>
    <w:rsid w:val="00AB2F7E"/>
    <w:rsid w:val="00AB3428"/>
    <w:rsid w:val="00AB3945"/>
    <w:rsid w:val="00AB5264"/>
    <w:rsid w:val="00AB5AA9"/>
    <w:rsid w:val="00AB5DCB"/>
    <w:rsid w:val="00AB740C"/>
    <w:rsid w:val="00AB795C"/>
    <w:rsid w:val="00AB7C86"/>
    <w:rsid w:val="00AB7FFA"/>
    <w:rsid w:val="00AC10A6"/>
    <w:rsid w:val="00AC1E3C"/>
    <w:rsid w:val="00AC2804"/>
    <w:rsid w:val="00AC29DC"/>
    <w:rsid w:val="00AC3499"/>
    <w:rsid w:val="00AC548D"/>
    <w:rsid w:val="00AC7A0E"/>
    <w:rsid w:val="00AD07EF"/>
    <w:rsid w:val="00AD24A8"/>
    <w:rsid w:val="00AD24C7"/>
    <w:rsid w:val="00AD55C2"/>
    <w:rsid w:val="00AD57A5"/>
    <w:rsid w:val="00AD6541"/>
    <w:rsid w:val="00AD6EB5"/>
    <w:rsid w:val="00AD7470"/>
    <w:rsid w:val="00AE1B67"/>
    <w:rsid w:val="00AE28E2"/>
    <w:rsid w:val="00AE2F80"/>
    <w:rsid w:val="00AE311A"/>
    <w:rsid w:val="00AE477E"/>
    <w:rsid w:val="00AE485D"/>
    <w:rsid w:val="00AE4BA3"/>
    <w:rsid w:val="00AE5975"/>
    <w:rsid w:val="00AE688A"/>
    <w:rsid w:val="00AE6F04"/>
    <w:rsid w:val="00AE75F3"/>
    <w:rsid w:val="00AE7D08"/>
    <w:rsid w:val="00AE7FA1"/>
    <w:rsid w:val="00AF0A58"/>
    <w:rsid w:val="00AF3050"/>
    <w:rsid w:val="00AF4156"/>
    <w:rsid w:val="00AF5691"/>
    <w:rsid w:val="00AF62DB"/>
    <w:rsid w:val="00AF6909"/>
    <w:rsid w:val="00AF6E30"/>
    <w:rsid w:val="00AF70DE"/>
    <w:rsid w:val="00AF7400"/>
    <w:rsid w:val="00AF7AFA"/>
    <w:rsid w:val="00B00736"/>
    <w:rsid w:val="00B00A23"/>
    <w:rsid w:val="00B01DA5"/>
    <w:rsid w:val="00B036BF"/>
    <w:rsid w:val="00B057DC"/>
    <w:rsid w:val="00B05D5B"/>
    <w:rsid w:val="00B07B3E"/>
    <w:rsid w:val="00B07FFB"/>
    <w:rsid w:val="00B1025F"/>
    <w:rsid w:val="00B1087F"/>
    <w:rsid w:val="00B10FEA"/>
    <w:rsid w:val="00B11614"/>
    <w:rsid w:val="00B11772"/>
    <w:rsid w:val="00B1177E"/>
    <w:rsid w:val="00B12D89"/>
    <w:rsid w:val="00B13C27"/>
    <w:rsid w:val="00B14548"/>
    <w:rsid w:val="00B161DA"/>
    <w:rsid w:val="00B206A2"/>
    <w:rsid w:val="00B20EB5"/>
    <w:rsid w:val="00B21224"/>
    <w:rsid w:val="00B21590"/>
    <w:rsid w:val="00B21C62"/>
    <w:rsid w:val="00B23364"/>
    <w:rsid w:val="00B23522"/>
    <w:rsid w:val="00B23EA5"/>
    <w:rsid w:val="00B24D68"/>
    <w:rsid w:val="00B26FB9"/>
    <w:rsid w:val="00B30597"/>
    <w:rsid w:val="00B30C80"/>
    <w:rsid w:val="00B31898"/>
    <w:rsid w:val="00B3439E"/>
    <w:rsid w:val="00B34E17"/>
    <w:rsid w:val="00B34FC1"/>
    <w:rsid w:val="00B352B6"/>
    <w:rsid w:val="00B35429"/>
    <w:rsid w:val="00B35D10"/>
    <w:rsid w:val="00B36F05"/>
    <w:rsid w:val="00B37AAA"/>
    <w:rsid w:val="00B41B57"/>
    <w:rsid w:val="00B42746"/>
    <w:rsid w:val="00B4398A"/>
    <w:rsid w:val="00B475FB"/>
    <w:rsid w:val="00B47842"/>
    <w:rsid w:val="00B52E16"/>
    <w:rsid w:val="00B555F6"/>
    <w:rsid w:val="00B56970"/>
    <w:rsid w:val="00B56E87"/>
    <w:rsid w:val="00B5746F"/>
    <w:rsid w:val="00B5795A"/>
    <w:rsid w:val="00B60514"/>
    <w:rsid w:val="00B60AB8"/>
    <w:rsid w:val="00B615FD"/>
    <w:rsid w:val="00B633BE"/>
    <w:rsid w:val="00B64AC4"/>
    <w:rsid w:val="00B64F4A"/>
    <w:rsid w:val="00B7141F"/>
    <w:rsid w:val="00B71A4E"/>
    <w:rsid w:val="00B739BD"/>
    <w:rsid w:val="00B73F05"/>
    <w:rsid w:val="00B74201"/>
    <w:rsid w:val="00B755FB"/>
    <w:rsid w:val="00B769E5"/>
    <w:rsid w:val="00B77291"/>
    <w:rsid w:val="00B77550"/>
    <w:rsid w:val="00B77EB7"/>
    <w:rsid w:val="00B77F3B"/>
    <w:rsid w:val="00B80667"/>
    <w:rsid w:val="00B80A24"/>
    <w:rsid w:val="00B82488"/>
    <w:rsid w:val="00B83B32"/>
    <w:rsid w:val="00B83EA5"/>
    <w:rsid w:val="00B841F0"/>
    <w:rsid w:val="00B847A9"/>
    <w:rsid w:val="00B84FE5"/>
    <w:rsid w:val="00B86D9D"/>
    <w:rsid w:val="00B91C56"/>
    <w:rsid w:val="00B91CA9"/>
    <w:rsid w:val="00B91FA6"/>
    <w:rsid w:val="00B92464"/>
    <w:rsid w:val="00B9365E"/>
    <w:rsid w:val="00B939B0"/>
    <w:rsid w:val="00B93DEE"/>
    <w:rsid w:val="00B93EBF"/>
    <w:rsid w:val="00B93F7B"/>
    <w:rsid w:val="00B94D55"/>
    <w:rsid w:val="00B950AF"/>
    <w:rsid w:val="00B9656F"/>
    <w:rsid w:val="00B971C7"/>
    <w:rsid w:val="00BA03E9"/>
    <w:rsid w:val="00BA05AD"/>
    <w:rsid w:val="00BA18D9"/>
    <w:rsid w:val="00BA2942"/>
    <w:rsid w:val="00BA70FC"/>
    <w:rsid w:val="00BB0DFA"/>
    <w:rsid w:val="00BB1EEB"/>
    <w:rsid w:val="00BB246E"/>
    <w:rsid w:val="00BB2656"/>
    <w:rsid w:val="00BB277B"/>
    <w:rsid w:val="00BB3459"/>
    <w:rsid w:val="00BB358D"/>
    <w:rsid w:val="00BB3E1B"/>
    <w:rsid w:val="00BB48FF"/>
    <w:rsid w:val="00BB5035"/>
    <w:rsid w:val="00BB6659"/>
    <w:rsid w:val="00BB6DD6"/>
    <w:rsid w:val="00BB6F56"/>
    <w:rsid w:val="00BB7028"/>
    <w:rsid w:val="00BB739B"/>
    <w:rsid w:val="00BB7B12"/>
    <w:rsid w:val="00BC0408"/>
    <w:rsid w:val="00BC0EBB"/>
    <w:rsid w:val="00BC188A"/>
    <w:rsid w:val="00BC1FCB"/>
    <w:rsid w:val="00BC283E"/>
    <w:rsid w:val="00BC3084"/>
    <w:rsid w:val="00BC3621"/>
    <w:rsid w:val="00BC379A"/>
    <w:rsid w:val="00BC4860"/>
    <w:rsid w:val="00BC49A2"/>
    <w:rsid w:val="00BC5D03"/>
    <w:rsid w:val="00BC74FE"/>
    <w:rsid w:val="00BC767A"/>
    <w:rsid w:val="00BC7E58"/>
    <w:rsid w:val="00BD0A56"/>
    <w:rsid w:val="00BD142C"/>
    <w:rsid w:val="00BD16A5"/>
    <w:rsid w:val="00BD3515"/>
    <w:rsid w:val="00BD53E7"/>
    <w:rsid w:val="00BD5DE9"/>
    <w:rsid w:val="00BD5E23"/>
    <w:rsid w:val="00BD6044"/>
    <w:rsid w:val="00BD6610"/>
    <w:rsid w:val="00BD6A65"/>
    <w:rsid w:val="00BD7072"/>
    <w:rsid w:val="00BD727A"/>
    <w:rsid w:val="00BE2528"/>
    <w:rsid w:val="00BE2BE4"/>
    <w:rsid w:val="00BE2FE6"/>
    <w:rsid w:val="00BE4C0A"/>
    <w:rsid w:val="00BE550C"/>
    <w:rsid w:val="00BE6176"/>
    <w:rsid w:val="00BE6A31"/>
    <w:rsid w:val="00BE7E45"/>
    <w:rsid w:val="00BF0071"/>
    <w:rsid w:val="00BF0129"/>
    <w:rsid w:val="00BF1B1E"/>
    <w:rsid w:val="00BF1BC1"/>
    <w:rsid w:val="00BF1E0E"/>
    <w:rsid w:val="00BF41C8"/>
    <w:rsid w:val="00BF4B78"/>
    <w:rsid w:val="00BF5266"/>
    <w:rsid w:val="00BF551F"/>
    <w:rsid w:val="00BF5F0A"/>
    <w:rsid w:val="00BF7610"/>
    <w:rsid w:val="00BF7F6C"/>
    <w:rsid w:val="00C007CF"/>
    <w:rsid w:val="00C00F3C"/>
    <w:rsid w:val="00C01302"/>
    <w:rsid w:val="00C01AA4"/>
    <w:rsid w:val="00C01FCC"/>
    <w:rsid w:val="00C02B05"/>
    <w:rsid w:val="00C033C5"/>
    <w:rsid w:val="00C03FE8"/>
    <w:rsid w:val="00C05D09"/>
    <w:rsid w:val="00C06544"/>
    <w:rsid w:val="00C06760"/>
    <w:rsid w:val="00C078AB"/>
    <w:rsid w:val="00C11CA1"/>
    <w:rsid w:val="00C11FD0"/>
    <w:rsid w:val="00C123FA"/>
    <w:rsid w:val="00C12D25"/>
    <w:rsid w:val="00C1301D"/>
    <w:rsid w:val="00C13891"/>
    <w:rsid w:val="00C13950"/>
    <w:rsid w:val="00C13E59"/>
    <w:rsid w:val="00C14916"/>
    <w:rsid w:val="00C15104"/>
    <w:rsid w:val="00C15976"/>
    <w:rsid w:val="00C15F09"/>
    <w:rsid w:val="00C1756D"/>
    <w:rsid w:val="00C2114D"/>
    <w:rsid w:val="00C2290C"/>
    <w:rsid w:val="00C22A14"/>
    <w:rsid w:val="00C22DD6"/>
    <w:rsid w:val="00C25AFD"/>
    <w:rsid w:val="00C27147"/>
    <w:rsid w:val="00C27964"/>
    <w:rsid w:val="00C32969"/>
    <w:rsid w:val="00C32B34"/>
    <w:rsid w:val="00C32DC7"/>
    <w:rsid w:val="00C332B4"/>
    <w:rsid w:val="00C33696"/>
    <w:rsid w:val="00C33CB1"/>
    <w:rsid w:val="00C34A47"/>
    <w:rsid w:val="00C34A61"/>
    <w:rsid w:val="00C36FEC"/>
    <w:rsid w:val="00C374DB"/>
    <w:rsid w:val="00C37768"/>
    <w:rsid w:val="00C37F94"/>
    <w:rsid w:val="00C400E1"/>
    <w:rsid w:val="00C42AD4"/>
    <w:rsid w:val="00C42E3A"/>
    <w:rsid w:val="00C43CA6"/>
    <w:rsid w:val="00C46426"/>
    <w:rsid w:val="00C46CCD"/>
    <w:rsid w:val="00C46E40"/>
    <w:rsid w:val="00C5071D"/>
    <w:rsid w:val="00C5137F"/>
    <w:rsid w:val="00C51593"/>
    <w:rsid w:val="00C518A0"/>
    <w:rsid w:val="00C529F6"/>
    <w:rsid w:val="00C52B24"/>
    <w:rsid w:val="00C53199"/>
    <w:rsid w:val="00C533CB"/>
    <w:rsid w:val="00C549B4"/>
    <w:rsid w:val="00C55265"/>
    <w:rsid w:val="00C55DD0"/>
    <w:rsid w:val="00C55FDF"/>
    <w:rsid w:val="00C5743A"/>
    <w:rsid w:val="00C579C3"/>
    <w:rsid w:val="00C6000D"/>
    <w:rsid w:val="00C60A0B"/>
    <w:rsid w:val="00C62C11"/>
    <w:rsid w:val="00C62D41"/>
    <w:rsid w:val="00C63F92"/>
    <w:rsid w:val="00C648B6"/>
    <w:rsid w:val="00C6495C"/>
    <w:rsid w:val="00C65FAE"/>
    <w:rsid w:val="00C66D4E"/>
    <w:rsid w:val="00C6750A"/>
    <w:rsid w:val="00C6796D"/>
    <w:rsid w:val="00C70BB7"/>
    <w:rsid w:val="00C70C70"/>
    <w:rsid w:val="00C71239"/>
    <w:rsid w:val="00C71BB7"/>
    <w:rsid w:val="00C72BFC"/>
    <w:rsid w:val="00C72C3D"/>
    <w:rsid w:val="00C73043"/>
    <w:rsid w:val="00C73250"/>
    <w:rsid w:val="00C75A71"/>
    <w:rsid w:val="00C75CF2"/>
    <w:rsid w:val="00C76884"/>
    <w:rsid w:val="00C77829"/>
    <w:rsid w:val="00C80035"/>
    <w:rsid w:val="00C80344"/>
    <w:rsid w:val="00C80C28"/>
    <w:rsid w:val="00C80E21"/>
    <w:rsid w:val="00C81201"/>
    <w:rsid w:val="00C816DA"/>
    <w:rsid w:val="00C85AB9"/>
    <w:rsid w:val="00C86A91"/>
    <w:rsid w:val="00C8725D"/>
    <w:rsid w:val="00C87F7A"/>
    <w:rsid w:val="00C91C5A"/>
    <w:rsid w:val="00C93F26"/>
    <w:rsid w:val="00C947DD"/>
    <w:rsid w:val="00C9578A"/>
    <w:rsid w:val="00C9603B"/>
    <w:rsid w:val="00C9606F"/>
    <w:rsid w:val="00C97D00"/>
    <w:rsid w:val="00C97ED8"/>
    <w:rsid w:val="00CA0D2E"/>
    <w:rsid w:val="00CA519C"/>
    <w:rsid w:val="00CA5451"/>
    <w:rsid w:val="00CA5677"/>
    <w:rsid w:val="00CA6AD1"/>
    <w:rsid w:val="00CA799B"/>
    <w:rsid w:val="00CA799E"/>
    <w:rsid w:val="00CA7B89"/>
    <w:rsid w:val="00CA7F82"/>
    <w:rsid w:val="00CB0F76"/>
    <w:rsid w:val="00CB1F76"/>
    <w:rsid w:val="00CB315C"/>
    <w:rsid w:val="00CB41FE"/>
    <w:rsid w:val="00CB4AB1"/>
    <w:rsid w:val="00CB4F0D"/>
    <w:rsid w:val="00CB4F42"/>
    <w:rsid w:val="00CB577E"/>
    <w:rsid w:val="00CB5BDC"/>
    <w:rsid w:val="00CB639B"/>
    <w:rsid w:val="00CB76ED"/>
    <w:rsid w:val="00CC0676"/>
    <w:rsid w:val="00CC1484"/>
    <w:rsid w:val="00CC1E58"/>
    <w:rsid w:val="00CC32C5"/>
    <w:rsid w:val="00CC32CA"/>
    <w:rsid w:val="00CC34DB"/>
    <w:rsid w:val="00CC3D1D"/>
    <w:rsid w:val="00CC409C"/>
    <w:rsid w:val="00CC421F"/>
    <w:rsid w:val="00CC621E"/>
    <w:rsid w:val="00CC6ED3"/>
    <w:rsid w:val="00CC7D41"/>
    <w:rsid w:val="00CD0176"/>
    <w:rsid w:val="00CD1FA0"/>
    <w:rsid w:val="00CD2C84"/>
    <w:rsid w:val="00CD2E6D"/>
    <w:rsid w:val="00CD4200"/>
    <w:rsid w:val="00CD4250"/>
    <w:rsid w:val="00CD4AB7"/>
    <w:rsid w:val="00CD530B"/>
    <w:rsid w:val="00CD559B"/>
    <w:rsid w:val="00CD5F60"/>
    <w:rsid w:val="00CD6940"/>
    <w:rsid w:val="00CD6E5C"/>
    <w:rsid w:val="00CD70FE"/>
    <w:rsid w:val="00CD7C6F"/>
    <w:rsid w:val="00CD7CB2"/>
    <w:rsid w:val="00CE2225"/>
    <w:rsid w:val="00CE35FE"/>
    <w:rsid w:val="00CE367F"/>
    <w:rsid w:val="00CE435C"/>
    <w:rsid w:val="00CE7B26"/>
    <w:rsid w:val="00CE7B9A"/>
    <w:rsid w:val="00CE7D9D"/>
    <w:rsid w:val="00CF116F"/>
    <w:rsid w:val="00CF1C1C"/>
    <w:rsid w:val="00CF3231"/>
    <w:rsid w:val="00CF3DEE"/>
    <w:rsid w:val="00CF4626"/>
    <w:rsid w:val="00CF4744"/>
    <w:rsid w:val="00CF4898"/>
    <w:rsid w:val="00CF712D"/>
    <w:rsid w:val="00CF7942"/>
    <w:rsid w:val="00D036C3"/>
    <w:rsid w:val="00D043A9"/>
    <w:rsid w:val="00D048ED"/>
    <w:rsid w:val="00D053FE"/>
    <w:rsid w:val="00D067B6"/>
    <w:rsid w:val="00D069D1"/>
    <w:rsid w:val="00D0702E"/>
    <w:rsid w:val="00D10C0B"/>
    <w:rsid w:val="00D11702"/>
    <w:rsid w:val="00D11CBB"/>
    <w:rsid w:val="00D120FB"/>
    <w:rsid w:val="00D12423"/>
    <w:rsid w:val="00D136DC"/>
    <w:rsid w:val="00D14315"/>
    <w:rsid w:val="00D14470"/>
    <w:rsid w:val="00D164CC"/>
    <w:rsid w:val="00D1662A"/>
    <w:rsid w:val="00D17448"/>
    <w:rsid w:val="00D21FCE"/>
    <w:rsid w:val="00D22201"/>
    <w:rsid w:val="00D22330"/>
    <w:rsid w:val="00D22444"/>
    <w:rsid w:val="00D2304A"/>
    <w:rsid w:val="00D23DD8"/>
    <w:rsid w:val="00D240B0"/>
    <w:rsid w:val="00D2570F"/>
    <w:rsid w:val="00D25EA3"/>
    <w:rsid w:val="00D26BAC"/>
    <w:rsid w:val="00D26F94"/>
    <w:rsid w:val="00D347E6"/>
    <w:rsid w:val="00D34FBD"/>
    <w:rsid w:val="00D36367"/>
    <w:rsid w:val="00D36FCC"/>
    <w:rsid w:val="00D37400"/>
    <w:rsid w:val="00D37597"/>
    <w:rsid w:val="00D379E3"/>
    <w:rsid w:val="00D40049"/>
    <w:rsid w:val="00D41A1A"/>
    <w:rsid w:val="00D42826"/>
    <w:rsid w:val="00D440DB"/>
    <w:rsid w:val="00D44654"/>
    <w:rsid w:val="00D46802"/>
    <w:rsid w:val="00D46ECC"/>
    <w:rsid w:val="00D473A7"/>
    <w:rsid w:val="00D476FE"/>
    <w:rsid w:val="00D47C42"/>
    <w:rsid w:val="00D50CBA"/>
    <w:rsid w:val="00D510A5"/>
    <w:rsid w:val="00D51700"/>
    <w:rsid w:val="00D5214C"/>
    <w:rsid w:val="00D532CB"/>
    <w:rsid w:val="00D566A3"/>
    <w:rsid w:val="00D566C4"/>
    <w:rsid w:val="00D570A5"/>
    <w:rsid w:val="00D571A2"/>
    <w:rsid w:val="00D575B3"/>
    <w:rsid w:val="00D57F9E"/>
    <w:rsid w:val="00D57FE8"/>
    <w:rsid w:val="00D607B1"/>
    <w:rsid w:val="00D60B02"/>
    <w:rsid w:val="00D61A20"/>
    <w:rsid w:val="00D62C6F"/>
    <w:rsid w:val="00D62EAF"/>
    <w:rsid w:val="00D66CA4"/>
    <w:rsid w:val="00D66D18"/>
    <w:rsid w:val="00D67C45"/>
    <w:rsid w:val="00D72703"/>
    <w:rsid w:val="00D728F5"/>
    <w:rsid w:val="00D76098"/>
    <w:rsid w:val="00D77C09"/>
    <w:rsid w:val="00D802B3"/>
    <w:rsid w:val="00D80D34"/>
    <w:rsid w:val="00D82DB0"/>
    <w:rsid w:val="00D83615"/>
    <w:rsid w:val="00D83975"/>
    <w:rsid w:val="00D83AAE"/>
    <w:rsid w:val="00D83D5C"/>
    <w:rsid w:val="00D83F8A"/>
    <w:rsid w:val="00D85E67"/>
    <w:rsid w:val="00D866D3"/>
    <w:rsid w:val="00D86F2A"/>
    <w:rsid w:val="00D87901"/>
    <w:rsid w:val="00D92352"/>
    <w:rsid w:val="00D92A60"/>
    <w:rsid w:val="00D92D64"/>
    <w:rsid w:val="00D9374F"/>
    <w:rsid w:val="00D94C8C"/>
    <w:rsid w:val="00D957E8"/>
    <w:rsid w:val="00D965D0"/>
    <w:rsid w:val="00D967F0"/>
    <w:rsid w:val="00D9729E"/>
    <w:rsid w:val="00D97B2C"/>
    <w:rsid w:val="00D97DBD"/>
    <w:rsid w:val="00DA0CF3"/>
    <w:rsid w:val="00DA1A68"/>
    <w:rsid w:val="00DA218B"/>
    <w:rsid w:val="00DA2369"/>
    <w:rsid w:val="00DA4439"/>
    <w:rsid w:val="00DA5193"/>
    <w:rsid w:val="00DA5EEC"/>
    <w:rsid w:val="00DA7016"/>
    <w:rsid w:val="00DA7AA3"/>
    <w:rsid w:val="00DB003D"/>
    <w:rsid w:val="00DB046C"/>
    <w:rsid w:val="00DB128B"/>
    <w:rsid w:val="00DB1853"/>
    <w:rsid w:val="00DB322D"/>
    <w:rsid w:val="00DB3B65"/>
    <w:rsid w:val="00DB3CA7"/>
    <w:rsid w:val="00DB4893"/>
    <w:rsid w:val="00DB4C51"/>
    <w:rsid w:val="00DB5173"/>
    <w:rsid w:val="00DC0CAF"/>
    <w:rsid w:val="00DC0D14"/>
    <w:rsid w:val="00DC2AD2"/>
    <w:rsid w:val="00DC333B"/>
    <w:rsid w:val="00DC3F1B"/>
    <w:rsid w:val="00DC40DE"/>
    <w:rsid w:val="00DC69A4"/>
    <w:rsid w:val="00DC7167"/>
    <w:rsid w:val="00DC7F26"/>
    <w:rsid w:val="00DD0080"/>
    <w:rsid w:val="00DD07DE"/>
    <w:rsid w:val="00DD0E06"/>
    <w:rsid w:val="00DD0E8C"/>
    <w:rsid w:val="00DD11F5"/>
    <w:rsid w:val="00DD164C"/>
    <w:rsid w:val="00DD20DE"/>
    <w:rsid w:val="00DD2507"/>
    <w:rsid w:val="00DD3AA1"/>
    <w:rsid w:val="00DD4E4A"/>
    <w:rsid w:val="00DD786D"/>
    <w:rsid w:val="00DE086E"/>
    <w:rsid w:val="00DE0E19"/>
    <w:rsid w:val="00DE0E1B"/>
    <w:rsid w:val="00DE29AA"/>
    <w:rsid w:val="00DE3F3A"/>
    <w:rsid w:val="00DE4A98"/>
    <w:rsid w:val="00DE50F2"/>
    <w:rsid w:val="00DE6593"/>
    <w:rsid w:val="00DF0065"/>
    <w:rsid w:val="00DF0DF0"/>
    <w:rsid w:val="00DF2A28"/>
    <w:rsid w:val="00DF32D3"/>
    <w:rsid w:val="00DF44B9"/>
    <w:rsid w:val="00DF48C8"/>
    <w:rsid w:val="00DF4C2B"/>
    <w:rsid w:val="00DF4FC3"/>
    <w:rsid w:val="00DF69EB"/>
    <w:rsid w:val="00DF6B1A"/>
    <w:rsid w:val="00DF7E92"/>
    <w:rsid w:val="00E00054"/>
    <w:rsid w:val="00E01B72"/>
    <w:rsid w:val="00E02327"/>
    <w:rsid w:val="00E02510"/>
    <w:rsid w:val="00E0253E"/>
    <w:rsid w:val="00E025BB"/>
    <w:rsid w:val="00E035DB"/>
    <w:rsid w:val="00E03FE2"/>
    <w:rsid w:val="00E057FF"/>
    <w:rsid w:val="00E05F0C"/>
    <w:rsid w:val="00E05FCC"/>
    <w:rsid w:val="00E06163"/>
    <w:rsid w:val="00E06510"/>
    <w:rsid w:val="00E10CA4"/>
    <w:rsid w:val="00E12AF2"/>
    <w:rsid w:val="00E12C3F"/>
    <w:rsid w:val="00E12CCB"/>
    <w:rsid w:val="00E13FFA"/>
    <w:rsid w:val="00E15F68"/>
    <w:rsid w:val="00E16275"/>
    <w:rsid w:val="00E16750"/>
    <w:rsid w:val="00E16782"/>
    <w:rsid w:val="00E17102"/>
    <w:rsid w:val="00E20040"/>
    <w:rsid w:val="00E212A8"/>
    <w:rsid w:val="00E21F70"/>
    <w:rsid w:val="00E23997"/>
    <w:rsid w:val="00E24CEA"/>
    <w:rsid w:val="00E259E5"/>
    <w:rsid w:val="00E27F38"/>
    <w:rsid w:val="00E30DA6"/>
    <w:rsid w:val="00E31D45"/>
    <w:rsid w:val="00E34B7A"/>
    <w:rsid w:val="00E35A05"/>
    <w:rsid w:val="00E35C06"/>
    <w:rsid w:val="00E37CF9"/>
    <w:rsid w:val="00E37EB3"/>
    <w:rsid w:val="00E44480"/>
    <w:rsid w:val="00E4476B"/>
    <w:rsid w:val="00E44C1A"/>
    <w:rsid w:val="00E45A3A"/>
    <w:rsid w:val="00E47ECF"/>
    <w:rsid w:val="00E50375"/>
    <w:rsid w:val="00E50959"/>
    <w:rsid w:val="00E51705"/>
    <w:rsid w:val="00E531EB"/>
    <w:rsid w:val="00E551C2"/>
    <w:rsid w:val="00E55EB4"/>
    <w:rsid w:val="00E5638A"/>
    <w:rsid w:val="00E56C35"/>
    <w:rsid w:val="00E6071D"/>
    <w:rsid w:val="00E60A31"/>
    <w:rsid w:val="00E60F66"/>
    <w:rsid w:val="00E62DB8"/>
    <w:rsid w:val="00E639C2"/>
    <w:rsid w:val="00E64113"/>
    <w:rsid w:val="00E642AB"/>
    <w:rsid w:val="00E64372"/>
    <w:rsid w:val="00E64AA4"/>
    <w:rsid w:val="00E64BB9"/>
    <w:rsid w:val="00E64CF2"/>
    <w:rsid w:val="00E65908"/>
    <w:rsid w:val="00E67938"/>
    <w:rsid w:val="00E67B16"/>
    <w:rsid w:val="00E724CA"/>
    <w:rsid w:val="00E7329F"/>
    <w:rsid w:val="00E73578"/>
    <w:rsid w:val="00E7495D"/>
    <w:rsid w:val="00E751DD"/>
    <w:rsid w:val="00E7540B"/>
    <w:rsid w:val="00E75CF0"/>
    <w:rsid w:val="00E7666A"/>
    <w:rsid w:val="00E80763"/>
    <w:rsid w:val="00E80B6E"/>
    <w:rsid w:val="00E81431"/>
    <w:rsid w:val="00E82E40"/>
    <w:rsid w:val="00E84257"/>
    <w:rsid w:val="00E84ADD"/>
    <w:rsid w:val="00E84BE8"/>
    <w:rsid w:val="00E8506D"/>
    <w:rsid w:val="00E85BEE"/>
    <w:rsid w:val="00E874B8"/>
    <w:rsid w:val="00E877B7"/>
    <w:rsid w:val="00E8791F"/>
    <w:rsid w:val="00E90A97"/>
    <w:rsid w:val="00E918D0"/>
    <w:rsid w:val="00E91C5B"/>
    <w:rsid w:val="00E926B8"/>
    <w:rsid w:val="00E939CF"/>
    <w:rsid w:val="00E9504C"/>
    <w:rsid w:val="00E9569C"/>
    <w:rsid w:val="00E95F7B"/>
    <w:rsid w:val="00E969A9"/>
    <w:rsid w:val="00E96A51"/>
    <w:rsid w:val="00E96FD4"/>
    <w:rsid w:val="00E97AF4"/>
    <w:rsid w:val="00EA19B7"/>
    <w:rsid w:val="00EA19CB"/>
    <w:rsid w:val="00EA20A0"/>
    <w:rsid w:val="00EA2144"/>
    <w:rsid w:val="00EA2440"/>
    <w:rsid w:val="00EA3BFD"/>
    <w:rsid w:val="00EA4424"/>
    <w:rsid w:val="00EA50EC"/>
    <w:rsid w:val="00EA5133"/>
    <w:rsid w:val="00EA564C"/>
    <w:rsid w:val="00EA696A"/>
    <w:rsid w:val="00EA6D87"/>
    <w:rsid w:val="00EA780F"/>
    <w:rsid w:val="00EB062E"/>
    <w:rsid w:val="00EB0807"/>
    <w:rsid w:val="00EB08D9"/>
    <w:rsid w:val="00EB2F83"/>
    <w:rsid w:val="00EB3739"/>
    <w:rsid w:val="00EB3944"/>
    <w:rsid w:val="00EB412B"/>
    <w:rsid w:val="00EB4905"/>
    <w:rsid w:val="00EB5AC3"/>
    <w:rsid w:val="00EB72DE"/>
    <w:rsid w:val="00EC0168"/>
    <w:rsid w:val="00EC197F"/>
    <w:rsid w:val="00EC2D5B"/>
    <w:rsid w:val="00EC2DFE"/>
    <w:rsid w:val="00EC4093"/>
    <w:rsid w:val="00EC42EA"/>
    <w:rsid w:val="00EC4470"/>
    <w:rsid w:val="00EC63B8"/>
    <w:rsid w:val="00EC72D7"/>
    <w:rsid w:val="00ED082B"/>
    <w:rsid w:val="00ED1A6F"/>
    <w:rsid w:val="00ED283D"/>
    <w:rsid w:val="00ED2B47"/>
    <w:rsid w:val="00ED2D68"/>
    <w:rsid w:val="00ED3202"/>
    <w:rsid w:val="00ED3BCD"/>
    <w:rsid w:val="00ED53E8"/>
    <w:rsid w:val="00ED653F"/>
    <w:rsid w:val="00ED6E5C"/>
    <w:rsid w:val="00ED72FA"/>
    <w:rsid w:val="00ED736D"/>
    <w:rsid w:val="00EE0585"/>
    <w:rsid w:val="00EE07EE"/>
    <w:rsid w:val="00EE0FBA"/>
    <w:rsid w:val="00EE158B"/>
    <w:rsid w:val="00EE1ECE"/>
    <w:rsid w:val="00EE25B7"/>
    <w:rsid w:val="00EE2F90"/>
    <w:rsid w:val="00EE312B"/>
    <w:rsid w:val="00EE3D23"/>
    <w:rsid w:val="00EE4D97"/>
    <w:rsid w:val="00EE5E08"/>
    <w:rsid w:val="00EE6994"/>
    <w:rsid w:val="00EF00EA"/>
    <w:rsid w:val="00EF236B"/>
    <w:rsid w:val="00EF345D"/>
    <w:rsid w:val="00EF4985"/>
    <w:rsid w:val="00EF4A06"/>
    <w:rsid w:val="00EF552B"/>
    <w:rsid w:val="00EF58ED"/>
    <w:rsid w:val="00EF73BF"/>
    <w:rsid w:val="00F00E51"/>
    <w:rsid w:val="00F00EF6"/>
    <w:rsid w:val="00F019A8"/>
    <w:rsid w:val="00F019D6"/>
    <w:rsid w:val="00F01F5E"/>
    <w:rsid w:val="00F02629"/>
    <w:rsid w:val="00F037A4"/>
    <w:rsid w:val="00F03E50"/>
    <w:rsid w:val="00F05355"/>
    <w:rsid w:val="00F065E5"/>
    <w:rsid w:val="00F1096D"/>
    <w:rsid w:val="00F10C59"/>
    <w:rsid w:val="00F110BC"/>
    <w:rsid w:val="00F115DD"/>
    <w:rsid w:val="00F11635"/>
    <w:rsid w:val="00F122C0"/>
    <w:rsid w:val="00F12671"/>
    <w:rsid w:val="00F129D2"/>
    <w:rsid w:val="00F12F05"/>
    <w:rsid w:val="00F13710"/>
    <w:rsid w:val="00F14FB5"/>
    <w:rsid w:val="00F1534D"/>
    <w:rsid w:val="00F156C0"/>
    <w:rsid w:val="00F15EE1"/>
    <w:rsid w:val="00F16996"/>
    <w:rsid w:val="00F2100B"/>
    <w:rsid w:val="00F21E50"/>
    <w:rsid w:val="00F221D3"/>
    <w:rsid w:val="00F232B9"/>
    <w:rsid w:val="00F239C7"/>
    <w:rsid w:val="00F242C5"/>
    <w:rsid w:val="00F2430C"/>
    <w:rsid w:val="00F24312"/>
    <w:rsid w:val="00F24B85"/>
    <w:rsid w:val="00F24D15"/>
    <w:rsid w:val="00F260C6"/>
    <w:rsid w:val="00F26FBC"/>
    <w:rsid w:val="00F2721C"/>
    <w:rsid w:val="00F279E1"/>
    <w:rsid w:val="00F315DB"/>
    <w:rsid w:val="00F317DD"/>
    <w:rsid w:val="00F31EFB"/>
    <w:rsid w:val="00F323CD"/>
    <w:rsid w:val="00F3241F"/>
    <w:rsid w:val="00F32A30"/>
    <w:rsid w:val="00F33F19"/>
    <w:rsid w:val="00F34314"/>
    <w:rsid w:val="00F34542"/>
    <w:rsid w:val="00F35C94"/>
    <w:rsid w:val="00F360A4"/>
    <w:rsid w:val="00F36B5F"/>
    <w:rsid w:val="00F37443"/>
    <w:rsid w:val="00F375DE"/>
    <w:rsid w:val="00F37EA0"/>
    <w:rsid w:val="00F40133"/>
    <w:rsid w:val="00F40F22"/>
    <w:rsid w:val="00F42487"/>
    <w:rsid w:val="00F424B3"/>
    <w:rsid w:val="00F429B5"/>
    <w:rsid w:val="00F4474E"/>
    <w:rsid w:val="00F44A6D"/>
    <w:rsid w:val="00F46745"/>
    <w:rsid w:val="00F46FEB"/>
    <w:rsid w:val="00F50644"/>
    <w:rsid w:val="00F52BA1"/>
    <w:rsid w:val="00F530F7"/>
    <w:rsid w:val="00F53576"/>
    <w:rsid w:val="00F54485"/>
    <w:rsid w:val="00F55899"/>
    <w:rsid w:val="00F55EA9"/>
    <w:rsid w:val="00F55EF5"/>
    <w:rsid w:val="00F56193"/>
    <w:rsid w:val="00F5660C"/>
    <w:rsid w:val="00F57C35"/>
    <w:rsid w:val="00F61EF0"/>
    <w:rsid w:val="00F62DEF"/>
    <w:rsid w:val="00F643F3"/>
    <w:rsid w:val="00F64FEB"/>
    <w:rsid w:val="00F65310"/>
    <w:rsid w:val="00F65F72"/>
    <w:rsid w:val="00F66A0B"/>
    <w:rsid w:val="00F66CBB"/>
    <w:rsid w:val="00F673B3"/>
    <w:rsid w:val="00F6747D"/>
    <w:rsid w:val="00F6796F"/>
    <w:rsid w:val="00F715C6"/>
    <w:rsid w:val="00F7179D"/>
    <w:rsid w:val="00F722A9"/>
    <w:rsid w:val="00F732D4"/>
    <w:rsid w:val="00F73BCB"/>
    <w:rsid w:val="00F758BA"/>
    <w:rsid w:val="00F75BB7"/>
    <w:rsid w:val="00F75C0C"/>
    <w:rsid w:val="00F75F67"/>
    <w:rsid w:val="00F76F37"/>
    <w:rsid w:val="00F7794F"/>
    <w:rsid w:val="00F77AA7"/>
    <w:rsid w:val="00F809FA"/>
    <w:rsid w:val="00F8129A"/>
    <w:rsid w:val="00F817A2"/>
    <w:rsid w:val="00F819C3"/>
    <w:rsid w:val="00F81AAF"/>
    <w:rsid w:val="00F83824"/>
    <w:rsid w:val="00F845A1"/>
    <w:rsid w:val="00F84F9D"/>
    <w:rsid w:val="00F905D3"/>
    <w:rsid w:val="00F91F60"/>
    <w:rsid w:val="00F95A7A"/>
    <w:rsid w:val="00F9611D"/>
    <w:rsid w:val="00F96F0E"/>
    <w:rsid w:val="00F973D5"/>
    <w:rsid w:val="00F97F53"/>
    <w:rsid w:val="00FA0A73"/>
    <w:rsid w:val="00FA0D63"/>
    <w:rsid w:val="00FA13AC"/>
    <w:rsid w:val="00FA19A2"/>
    <w:rsid w:val="00FA3EE0"/>
    <w:rsid w:val="00FA513C"/>
    <w:rsid w:val="00FA5BFC"/>
    <w:rsid w:val="00FA7A9A"/>
    <w:rsid w:val="00FB1A59"/>
    <w:rsid w:val="00FB2578"/>
    <w:rsid w:val="00FB3859"/>
    <w:rsid w:val="00FB3E3F"/>
    <w:rsid w:val="00FB6079"/>
    <w:rsid w:val="00FB6989"/>
    <w:rsid w:val="00FB7D75"/>
    <w:rsid w:val="00FC204E"/>
    <w:rsid w:val="00FC2B77"/>
    <w:rsid w:val="00FC3FBB"/>
    <w:rsid w:val="00FC539F"/>
    <w:rsid w:val="00FC660A"/>
    <w:rsid w:val="00FC660B"/>
    <w:rsid w:val="00FC680C"/>
    <w:rsid w:val="00FC72B5"/>
    <w:rsid w:val="00FD0945"/>
    <w:rsid w:val="00FD12CE"/>
    <w:rsid w:val="00FD13A4"/>
    <w:rsid w:val="00FD21A1"/>
    <w:rsid w:val="00FD3258"/>
    <w:rsid w:val="00FD37DE"/>
    <w:rsid w:val="00FD3DD8"/>
    <w:rsid w:val="00FD3F90"/>
    <w:rsid w:val="00FD41A0"/>
    <w:rsid w:val="00FD4422"/>
    <w:rsid w:val="00FD5392"/>
    <w:rsid w:val="00FD6817"/>
    <w:rsid w:val="00FD69A6"/>
    <w:rsid w:val="00FE0DE6"/>
    <w:rsid w:val="00FE1B7E"/>
    <w:rsid w:val="00FE22BD"/>
    <w:rsid w:val="00FE310D"/>
    <w:rsid w:val="00FE4106"/>
    <w:rsid w:val="00FE43CE"/>
    <w:rsid w:val="00FE45B7"/>
    <w:rsid w:val="00FE583F"/>
    <w:rsid w:val="00FE6638"/>
    <w:rsid w:val="00FE69B6"/>
    <w:rsid w:val="00FE6BBE"/>
    <w:rsid w:val="00FE7690"/>
    <w:rsid w:val="00FE77A8"/>
    <w:rsid w:val="00FE78A6"/>
    <w:rsid w:val="00FE7B4E"/>
    <w:rsid w:val="00FE7D78"/>
    <w:rsid w:val="00FF03F2"/>
    <w:rsid w:val="00FF0423"/>
    <w:rsid w:val="00FF058B"/>
    <w:rsid w:val="00FF0AE3"/>
    <w:rsid w:val="00FF1ADF"/>
    <w:rsid w:val="00FF2007"/>
    <w:rsid w:val="00FF225F"/>
    <w:rsid w:val="00FF2657"/>
    <w:rsid w:val="00FF2911"/>
    <w:rsid w:val="00FF3725"/>
    <w:rsid w:val="00FF3D38"/>
    <w:rsid w:val="00FF5842"/>
    <w:rsid w:val="00FF5B65"/>
    <w:rsid w:val="00FF7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B8A13"/>
  <w15:chartTrackingRefBased/>
  <w15:docId w15:val="{1B6137DC-2098-4FF2-A1BB-FC766AD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3B"/>
  </w:style>
  <w:style w:type="paragraph" w:styleId="Heading1">
    <w:name w:val="heading 1"/>
    <w:basedOn w:val="Normal"/>
    <w:next w:val="Normal"/>
    <w:link w:val="Heading1Char"/>
    <w:uiPriority w:val="9"/>
    <w:qFormat/>
    <w:rsid w:val="007D2DD8"/>
    <w:pPr>
      <w:keepNext/>
      <w:keepLines/>
      <w:numPr>
        <w:numId w:val="3"/>
      </w:numPr>
      <w:spacing w:before="100" w:beforeAutospacing="1" w:after="100" w:afterAutospacing="1" w:line="480" w:lineRule="auto"/>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C01AA4"/>
    <w:pPr>
      <w:keepNext/>
      <w:keepLines/>
      <w:numPr>
        <w:ilvl w:val="1"/>
        <w:numId w:val="3"/>
      </w:numPr>
      <w:spacing w:before="100" w:beforeAutospacing="1" w:after="100" w:afterAutospacing="1" w:line="240" w:lineRule="auto"/>
      <w:outlineLvl w:val="1"/>
    </w:pPr>
    <w:rPr>
      <w:rFonts w:ascii="Arial" w:eastAsiaTheme="majorEastAsia" w:hAnsi="Arial" w:cs="Arial"/>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2201"/>
  </w:style>
  <w:style w:type="paragraph" w:styleId="Footer">
    <w:name w:val="footer"/>
    <w:basedOn w:val="Normal"/>
    <w:link w:val="FooterChar"/>
    <w:uiPriority w:val="99"/>
    <w:unhideWhenUsed/>
    <w:rsid w:val="00282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2201"/>
  </w:style>
  <w:style w:type="table" w:styleId="TableGrid">
    <w:name w:val="Table Grid"/>
    <w:basedOn w:val="TableNormal"/>
    <w:uiPriority w:val="39"/>
    <w:rsid w:val="009D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C53"/>
    <w:rPr>
      <w:color w:val="0563C1" w:themeColor="hyperlink"/>
      <w:u w:val="single"/>
    </w:rPr>
  </w:style>
  <w:style w:type="paragraph" w:styleId="ListParagraph">
    <w:name w:val="List Paragraph"/>
    <w:basedOn w:val="Normal"/>
    <w:uiPriority w:val="34"/>
    <w:qFormat/>
    <w:rsid w:val="000F19C2"/>
    <w:pPr>
      <w:ind w:left="720"/>
      <w:contextualSpacing/>
    </w:pPr>
  </w:style>
  <w:style w:type="character" w:styleId="FollowedHyperlink">
    <w:name w:val="FollowedHyperlink"/>
    <w:basedOn w:val="DefaultParagraphFont"/>
    <w:uiPriority w:val="99"/>
    <w:semiHidden/>
    <w:unhideWhenUsed/>
    <w:rsid w:val="00DE086E"/>
    <w:rPr>
      <w:color w:val="954F72" w:themeColor="followedHyperlink"/>
      <w:u w:val="single"/>
    </w:rPr>
  </w:style>
  <w:style w:type="paragraph" w:customStyle="1" w:styleId="yiv9788245124msoplaintext">
    <w:name w:val="yiv9788245124msoplaintext"/>
    <w:basedOn w:val="Normal"/>
    <w:rsid w:val="009E31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D2DD8"/>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C01AA4"/>
    <w:rPr>
      <w:rFonts w:ascii="Arial" w:eastAsiaTheme="majorEastAsia" w:hAnsi="Arial" w:cs="Arial"/>
      <w:bCs/>
      <w:i/>
      <w:iCs/>
      <w:sz w:val="20"/>
      <w:szCs w:val="20"/>
    </w:rPr>
  </w:style>
  <w:style w:type="character" w:customStyle="1" w:styleId="title-text">
    <w:name w:val="title-text"/>
    <w:basedOn w:val="DefaultParagraphFont"/>
    <w:rsid w:val="00FB6079"/>
  </w:style>
  <w:style w:type="paragraph" w:styleId="NormalWeb">
    <w:name w:val="Normal (Web)"/>
    <w:basedOn w:val="Normal"/>
    <w:uiPriority w:val="99"/>
    <w:semiHidden/>
    <w:unhideWhenUsed/>
    <w:rsid w:val="00A344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332411"/>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alloonText">
    <w:name w:val="Balloon Text"/>
    <w:basedOn w:val="Normal"/>
    <w:link w:val="BalloonTextChar"/>
    <w:uiPriority w:val="99"/>
    <w:semiHidden/>
    <w:unhideWhenUsed/>
    <w:rsid w:val="0028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7B"/>
    <w:rPr>
      <w:rFonts w:ascii="Tahoma" w:hAnsi="Tahoma" w:cs="Tahoma"/>
      <w:sz w:val="16"/>
      <w:szCs w:val="16"/>
    </w:rPr>
  </w:style>
  <w:style w:type="character" w:styleId="Emphasis">
    <w:name w:val="Emphasis"/>
    <w:basedOn w:val="DefaultParagraphFont"/>
    <w:uiPriority w:val="20"/>
    <w:qFormat/>
    <w:rsid w:val="00283F7B"/>
    <w:rPr>
      <w:i/>
      <w:iCs/>
    </w:rPr>
  </w:style>
  <w:style w:type="character" w:customStyle="1" w:styleId="font-variable-name1">
    <w:name w:val="font-variable-name1"/>
    <w:basedOn w:val="DefaultParagraphFont"/>
    <w:rsid w:val="00283F7B"/>
    <w:rPr>
      <w:rFonts w:cs="Aharoni" w:hint="cs"/>
      <w:b/>
      <w:bCs/>
      <w:vanish w:val="0"/>
      <w:webHidden w:val="0"/>
      <w:color w:val="000000"/>
      <w:sz w:val="20"/>
      <w:szCs w:val="20"/>
      <w:vertAlign w:val="baseline"/>
      <w:specVanish w:val="0"/>
    </w:rPr>
  </w:style>
  <w:style w:type="character" w:styleId="CommentReference">
    <w:name w:val="annotation reference"/>
    <w:basedOn w:val="DefaultParagraphFont"/>
    <w:uiPriority w:val="99"/>
    <w:semiHidden/>
    <w:unhideWhenUsed/>
    <w:rsid w:val="00283F7B"/>
    <w:rPr>
      <w:sz w:val="16"/>
      <w:szCs w:val="16"/>
    </w:rPr>
  </w:style>
  <w:style w:type="paragraph" w:styleId="CommentText">
    <w:name w:val="annotation text"/>
    <w:basedOn w:val="Normal"/>
    <w:link w:val="CommentTextChar"/>
    <w:uiPriority w:val="99"/>
    <w:unhideWhenUsed/>
    <w:rsid w:val="00283F7B"/>
    <w:pPr>
      <w:spacing w:line="240" w:lineRule="auto"/>
    </w:pPr>
    <w:rPr>
      <w:sz w:val="20"/>
      <w:szCs w:val="20"/>
    </w:rPr>
  </w:style>
  <w:style w:type="character" w:customStyle="1" w:styleId="CommentTextChar">
    <w:name w:val="Comment Text Char"/>
    <w:basedOn w:val="DefaultParagraphFont"/>
    <w:link w:val="CommentText"/>
    <w:uiPriority w:val="99"/>
    <w:rsid w:val="00283F7B"/>
    <w:rPr>
      <w:sz w:val="20"/>
      <w:szCs w:val="20"/>
    </w:rPr>
  </w:style>
  <w:style w:type="paragraph" w:styleId="CommentSubject">
    <w:name w:val="annotation subject"/>
    <w:basedOn w:val="CommentText"/>
    <w:next w:val="CommentText"/>
    <w:link w:val="CommentSubjectChar"/>
    <w:uiPriority w:val="99"/>
    <w:semiHidden/>
    <w:unhideWhenUsed/>
    <w:rsid w:val="00283F7B"/>
    <w:rPr>
      <w:b/>
      <w:bCs/>
    </w:rPr>
  </w:style>
  <w:style w:type="character" w:customStyle="1" w:styleId="CommentSubjectChar">
    <w:name w:val="Comment Subject Char"/>
    <w:basedOn w:val="CommentTextChar"/>
    <w:link w:val="CommentSubject"/>
    <w:uiPriority w:val="99"/>
    <w:semiHidden/>
    <w:rsid w:val="00283F7B"/>
    <w:rPr>
      <w:b/>
      <w:bCs/>
      <w:sz w:val="20"/>
      <w:szCs w:val="20"/>
    </w:rPr>
  </w:style>
  <w:style w:type="character" w:styleId="Strong">
    <w:name w:val="Strong"/>
    <w:basedOn w:val="DefaultParagraphFont"/>
    <w:uiPriority w:val="22"/>
    <w:qFormat/>
    <w:rsid w:val="00802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97404">
      <w:bodyDiv w:val="1"/>
      <w:marLeft w:val="0"/>
      <w:marRight w:val="0"/>
      <w:marTop w:val="0"/>
      <w:marBottom w:val="0"/>
      <w:divBdr>
        <w:top w:val="none" w:sz="0" w:space="0" w:color="auto"/>
        <w:left w:val="none" w:sz="0" w:space="0" w:color="auto"/>
        <w:bottom w:val="none" w:sz="0" w:space="0" w:color="auto"/>
        <w:right w:val="none" w:sz="0" w:space="0" w:color="auto"/>
      </w:divBdr>
      <w:divsChild>
        <w:div w:id="1469055947">
          <w:marLeft w:val="0"/>
          <w:marRight w:val="0"/>
          <w:marTop w:val="0"/>
          <w:marBottom w:val="0"/>
          <w:divBdr>
            <w:top w:val="none" w:sz="0" w:space="0" w:color="auto"/>
            <w:left w:val="none" w:sz="0" w:space="0" w:color="auto"/>
            <w:bottom w:val="none" w:sz="0" w:space="0" w:color="auto"/>
            <w:right w:val="none" w:sz="0" w:space="0" w:color="auto"/>
          </w:divBdr>
        </w:div>
      </w:divsChild>
    </w:div>
    <w:div w:id="436365879">
      <w:bodyDiv w:val="1"/>
      <w:marLeft w:val="0"/>
      <w:marRight w:val="0"/>
      <w:marTop w:val="0"/>
      <w:marBottom w:val="0"/>
      <w:divBdr>
        <w:top w:val="none" w:sz="0" w:space="0" w:color="auto"/>
        <w:left w:val="none" w:sz="0" w:space="0" w:color="auto"/>
        <w:bottom w:val="none" w:sz="0" w:space="0" w:color="auto"/>
        <w:right w:val="none" w:sz="0" w:space="0" w:color="auto"/>
      </w:divBdr>
    </w:div>
    <w:div w:id="458883177">
      <w:bodyDiv w:val="1"/>
      <w:marLeft w:val="0"/>
      <w:marRight w:val="0"/>
      <w:marTop w:val="0"/>
      <w:marBottom w:val="0"/>
      <w:divBdr>
        <w:top w:val="none" w:sz="0" w:space="0" w:color="auto"/>
        <w:left w:val="none" w:sz="0" w:space="0" w:color="auto"/>
        <w:bottom w:val="none" w:sz="0" w:space="0" w:color="auto"/>
        <w:right w:val="none" w:sz="0" w:space="0" w:color="auto"/>
      </w:divBdr>
      <w:divsChild>
        <w:div w:id="1079130727">
          <w:marLeft w:val="0"/>
          <w:marRight w:val="0"/>
          <w:marTop w:val="0"/>
          <w:marBottom w:val="0"/>
          <w:divBdr>
            <w:top w:val="none" w:sz="0" w:space="0" w:color="auto"/>
            <w:left w:val="none" w:sz="0" w:space="0" w:color="auto"/>
            <w:bottom w:val="none" w:sz="0" w:space="0" w:color="auto"/>
            <w:right w:val="none" w:sz="0" w:space="0" w:color="auto"/>
          </w:divBdr>
          <w:divsChild>
            <w:div w:id="585722572">
              <w:marLeft w:val="0"/>
              <w:marRight w:val="0"/>
              <w:marTop w:val="75"/>
              <w:marBottom w:val="0"/>
              <w:divBdr>
                <w:top w:val="none" w:sz="0" w:space="0" w:color="auto"/>
                <w:left w:val="none" w:sz="0" w:space="0" w:color="auto"/>
                <w:bottom w:val="none" w:sz="0" w:space="0" w:color="auto"/>
                <w:right w:val="none" w:sz="0" w:space="0" w:color="auto"/>
              </w:divBdr>
              <w:divsChild>
                <w:div w:id="750811492">
                  <w:marLeft w:val="0"/>
                  <w:marRight w:val="0"/>
                  <w:marTop w:val="0"/>
                  <w:marBottom w:val="0"/>
                  <w:divBdr>
                    <w:top w:val="none" w:sz="0" w:space="0" w:color="auto"/>
                    <w:left w:val="none" w:sz="0" w:space="0" w:color="auto"/>
                    <w:bottom w:val="none" w:sz="0" w:space="0" w:color="auto"/>
                    <w:right w:val="none" w:sz="0" w:space="0" w:color="auto"/>
                  </w:divBdr>
                  <w:divsChild>
                    <w:div w:id="1384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4215">
      <w:bodyDiv w:val="1"/>
      <w:marLeft w:val="0"/>
      <w:marRight w:val="0"/>
      <w:marTop w:val="0"/>
      <w:marBottom w:val="0"/>
      <w:divBdr>
        <w:top w:val="none" w:sz="0" w:space="0" w:color="auto"/>
        <w:left w:val="none" w:sz="0" w:space="0" w:color="auto"/>
        <w:bottom w:val="none" w:sz="0" w:space="0" w:color="auto"/>
        <w:right w:val="none" w:sz="0" w:space="0" w:color="auto"/>
      </w:divBdr>
    </w:div>
    <w:div w:id="1321808717">
      <w:bodyDiv w:val="1"/>
      <w:marLeft w:val="0"/>
      <w:marRight w:val="0"/>
      <w:marTop w:val="0"/>
      <w:marBottom w:val="0"/>
      <w:divBdr>
        <w:top w:val="none" w:sz="0" w:space="0" w:color="auto"/>
        <w:left w:val="none" w:sz="0" w:space="0" w:color="auto"/>
        <w:bottom w:val="none" w:sz="0" w:space="0" w:color="auto"/>
        <w:right w:val="none" w:sz="0" w:space="0" w:color="auto"/>
      </w:divBdr>
      <w:divsChild>
        <w:div w:id="1609121164">
          <w:marLeft w:val="0"/>
          <w:marRight w:val="0"/>
          <w:marTop w:val="0"/>
          <w:marBottom w:val="0"/>
          <w:divBdr>
            <w:top w:val="none" w:sz="0" w:space="0" w:color="auto"/>
            <w:left w:val="none" w:sz="0" w:space="0" w:color="auto"/>
            <w:bottom w:val="none" w:sz="0" w:space="0" w:color="auto"/>
            <w:right w:val="none" w:sz="0" w:space="0" w:color="auto"/>
          </w:divBdr>
        </w:div>
      </w:divsChild>
    </w:div>
    <w:div w:id="1596785572">
      <w:bodyDiv w:val="1"/>
      <w:marLeft w:val="0"/>
      <w:marRight w:val="0"/>
      <w:marTop w:val="0"/>
      <w:marBottom w:val="0"/>
      <w:divBdr>
        <w:top w:val="none" w:sz="0" w:space="0" w:color="auto"/>
        <w:left w:val="none" w:sz="0" w:space="0" w:color="auto"/>
        <w:bottom w:val="none" w:sz="0" w:space="0" w:color="auto"/>
        <w:right w:val="none" w:sz="0" w:space="0" w:color="auto"/>
      </w:divBdr>
    </w:div>
    <w:div w:id="1707026456">
      <w:bodyDiv w:val="1"/>
      <w:marLeft w:val="0"/>
      <w:marRight w:val="0"/>
      <w:marTop w:val="0"/>
      <w:marBottom w:val="0"/>
      <w:divBdr>
        <w:top w:val="none" w:sz="0" w:space="0" w:color="auto"/>
        <w:left w:val="none" w:sz="0" w:space="0" w:color="auto"/>
        <w:bottom w:val="none" w:sz="0" w:space="0" w:color="auto"/>
        <w:right w:val="none" w:sz="0" w:space="0" w:color="auto"/>
      </w:divBdr>
    </w:div>
    <w:div w:id="1936471414">
      <w:bodyDiv w:val="1"/>
      <w:marLeft w:val="0"/>
      <w:marRight w:val="0"/>
      <w:marTop w:val="0"/>
      <w:marBottom w:val="0"/>
      <w:divBdr>
        <w:top w:val="none" w:sz="0" w:space="0" w:color="auto"/>
        <w:left w:val="none" w:sz="0" w:space="0" w:color="auto"/>
        <w:bottom w:val="none" w:sz="0" w:space="0" w:color="auto"/>
        <w:right w:val="none" w:sz="0" w:space="0" w:color="auto"/>
      </w:divBdr>
    </w:div>
    <w:div w:id="212665144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erald.com/insight/publication/issn/0959-384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gov.sa/en/100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cnet.apa.org/doi/10.1037/h003146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4A43-0F2A-4BCE-BEEE-3CAD431A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16436</Words>
  <Characters>93687</Characters>
  <Application>Microsoft Office Word</Application>
  <DocSecurity>0</DocSecurity>
  <Lines>780</Lines>
  <Paragraphs>219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KFSC-USER</dc:creator>
  <cp:keywords/>
  <dc:description/>
  <cp:lastModifiedBy>Ari Khan</cp:lastModifiedBy>
  <cp:revision>2</cp:revision>
  <dcterms:created xsi:type="dcterms:W3CDTF">2021-03-25T12:41:00Z</dcterms:created>
  <dcterms:modified xsi:type="dcterms:W3CDTF">2021-03-25T12:41:00Z</dcterms:modified>
</cp:coreProperties>
</file>