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4499A" w14:textId="77777777" w:rsidR="00426B78" w:rsidRPr="008D59BB" w:rsidRDefault="00C40A0F" w:rsidP="00AF0784">
      <w:pPr>
        <w:spacing w:after="0" w:line="480" w:lineRule="auto"/>
        <w:rPr>
          <w:rFonts w:ascii="Arial" w:hAnsi="Arial" w:cs="Arial"/>
          <w:b/>
          <w:sz w:val="24"/>
          <w:szCs w:val="24"/>
        </w:rPr>
      </w:pPr>
      <w:bookmarkStart w:id="0" w:name="_GoBack"/>
      <w:bookmarkEnd w:id="0"/>
      <w:r w:rsidRPr="008D59BB">
        <w:rPr>
          <w:rFonts w:ascii="Arial" w:hAnsi="Arial" w:cs="Arial"/>
          <w:b/>
          <w:sz w:val="24"/>
          <w:szCs w:val="24"/>
        </w:rPr>
        <w:t>Prevalence</w:t>
      </w:r>
      <w:r w:rsidR="0043068A" w:rsidRPr="008D59BB">
        <w:rPr>
          <w:rFonts w:ascii="Arial" w:hAnsi="Arial" w:cs="Arial"/>
          <w:b/>
          <w:sz w:val="24"/>
          <w:szCs w:val="24"/>
        </w:rPr>
        <w:t xml:space="preserve"> and consequences of </w:t>
      </w:r>
      <w:r w:rsidRPr="008D59BB">
        <w:rPr>
          <w:rFonts w:ascii="Arial" w:hAnsi="Arial" w:cs="Arial"/>
          <w:b/>
          <w:sz w:val="24"/>
          <w:szCs w:val="24"/>
        </w:rPr>
        <w:t xml:space="preserve">malnutrition and </w:t>
      </w:r>
      <w:r w:rsidR="0043068A" w:rsidRPr="008D59BB">
        <w:rPr>
          <w:rFonts w:ascii="Arial" w:hAnsi="Arial" w:cs="Arial"/>
          <w:b/>
          <w:sz w:val="24"/>
          <w:szCs w:val="24"/>
        </w:rPr>
        <w:t>malnourishment in older individuals admitted to hospital with a hip fracture</w:t>
      </w:r>
    </w:p>
    <w:p w14:paraId="4E6857F6" w14:textId="77777777" w:rsidR="003E41FA" w:rsidRPr="008D59BB" w:rsidRDefault="003E41FA" w:rsidP="00AF0784">
      <w:pPr>
        <w:spacing w:after="0" w:line="480" w:lineRule="auto"/>
        <w:rPr>
          <w:rFonts w:ascii="Arial" w:hAnsi="Arial" w:cs="Arial"/>
          <w:b/>
          <w:sz w:val="24"/>
          <w:szCs w:val="24"/>
        </w:rPr>
      </w:pPr>
    </w:p>
    <w:p w14:paraId="140348FE" w14:textId="77777777" w:rsidR="003E41FA" w:rsidRPr="008D59BB" w:rsidRDefault="009B6038" w:rsidP="003E41FA">
      <w:pPr>
        <w:pStyle w:val="Body"/>
        <w:spacing w:after="0" w:line="480" w:lineRule="auto"/>
        <w:jc w:val="both"/>
        <w:rPr>
          <w:rFonts w:ascii="Arial" w:eastAsia="Arial" w:hAnsi="Arial" w:cs="Arial"/>
          <w:color w:val="auto"/>
          <w:vertAlign w:val="superscript"/>
        </w:rPr>
      </w:pPr>
      <w:r w:rsidRPr="008D59BB">
        <w:rPr>
          <w:rFonts w:ascii="Arial" w:hAnsi="Arial"/>
          <w:color w:val="auto"/>
        </w:rPr>
        <w:t>Thang S Han,</w:t>
      </w:r>
      <w:r w:rsidRPr="008D59BB">
        <w:rPr>
          <w:rFonts w:ascii="Arial" w:hAnsi="Arial"/>
          <w:color w:val="auto"/>
          <w:vertAlign w:val="superscript"/>
        </w:rPr>
        <w:t>1</w:t>
      </w:r>
      <w:r w:rsidRPr="008D59BB">
        <w:rPr>
          <w:rFonts w:ascii="Arial" w:hAnsi="Arial"/>
          <w:color w:val="auto"/>
        </w:rPr>
        <w:t xml:space="preserve"> </w:t>
      </w:r>
      <w:r w:rsidR="00731EB3" w:rsidRPr="008D59BB">
        <w:rPr>
          <w:rFonts w:ascii="Arial" w:hAnsi="Arial"/>
          <w:color w:val="auto"/>
        </w:rPr>
        <w:t>K</w:t>
      </w:r>
      <w:r w:rsidR="00C561A3" w:rsidRPr="008D59BB">
        <w:rPr>
          <w:rFonts w:ascii="Arial" w:hAnsi="Arial"/>
          <w:color w:val="auto"/>
        </w:rPr>
        <w:t>eefai Yeong</w:t>
      </w:r>
      <w:r w:rsidR="00731EB3" w:rsidRPr="008D59BB">
        <w:rPr>
          <w:rFonts w:ascii="Arial" w:hAnsi="Arial"/>
          <w:color w:val="auto"/>
          <w:vertAlign w:val="superscript"/>
        </w:rPr>
        <w:t>2</w:t>
      </w:r>
      <w:r w:rsidR="00C561A3" w:rsidRPr="008D59BB">
        <w:rPr>
          <w:rFonts w:ascii="Arial" w:hAnsi="Arial"/>
          <w:color w:val="auto"/>
        </w:rPr>
        <w:t xml:space="preserve">, </w:t>
      </w:r>
      <w:r w:rsidR="003E41FA" w:rsidRPr="008D59BB">
        <w:rPr>
          <w:rFonts w:ascii="Arial" w:hAnsi="Arial"/>
          <w:color w:val="auto"/>
        </w:rPr>
        <w:t>Radcliffe Lisk</w:t>
      </w:r>
      <w:r w:rsidR="00731EB3" w:rsidRPr="008D59BB">
        <w:rPr>
          <w:rFonts w:ascii="Arial" w:hAnsi="Arial"/>
          <w:color w:val="auto"/>
          <w:vertAlign w:val="superscript"/>
        </w:rPr>
        <w:t>2</w:t>
      </w:r>
      <w:r w:rsidR="003E41FA" w:rsidRPr="008D59BB">
        <w:rPr>
          <w:rFonts w:ascii="Arial" w:hAnsi="Arial"/>
          <w:color w:val="auto"/>
        </w:rPr>
        <w:t>, David Fluck</w:t>
      </w:r>
      <w:r w:rsidR="003E41FA" w:rsidRPr="008D59BB">
        <w:rPr>
          <w:rFonts w:ascii="Arial" w:hAnsi="Arial"/>
          <w:color w:val="auto"/>
          <w:vertAlign w:val="superscript"/>
        </w:rPr>
        <w:t>3</w:t>
      </w:r>
      <w:r w:rsidR="003E41FA" w:rsidRPr="008D59BB">
        <w:rPr>
          <w:rFonts w:ascii="Arial" w:hAnsi="Arial"/>
          <w:color w:val="auto"/>
        </w:rPr>
        <w:t>, Christopher H Fry</w:t>
      </w:r>
      <w:r w:rsidR="003E41FA" w:rsidRPr="008D59BB">
        <w:rPr>
          <w:rFonts w:ascii="Arial" w:hAnsi="Arial"/>
          <w:color w:val="auto"/>
          <w:vertAlign w:val="superscript"/>
        </w:rPr>
        <w:t>4</w:t>
      </w:r>
    </w:p>
    <w:p w14:paraId="5D13FCD5" w14:textId="77777777" w:rsidR="003E41FA" w:rsidRPr="008D59BB" w:rsidRDefault="003E41FA" w:rsidP="003E41FA">
      <w:pPr>
        <w:pStyle w:val="Body"/>
        <w:spacing w:after="0" w:line="480" w:lineRule="auto"/>
        <w:jc w:val="both"/>
        <w:rPr>
          <w:rFonts w:ascii="Arial" w:hAnsi="Arial" w:cs="Arial"/>
          <w:color w:val="auto"/>
        </w:rPr>
      </w:pPr>
    </w:p>
    <w:p w14:paraId="62D758EF" w14:textId="77777777" w:rsidR="00731EB3" w:rsidRPr="008D59BB" w:rsidRDefault="00731EB3" w:rsidP="00731EB3">
      <w:pPr>
        <w:pStyle w:val="Body"/>
        <w:spacing w:after="0" w:line="480" w:lineRule="auto"/>
        <w:jc w:val="both"/>
        <w:rPr>
          <w:rFonts w:ascii="Arial" w:hAnsi="Arial" w:cs="Arial"/>
          <w:color w:val="auto"/>
        </w:rPr>
      </w:pPr>
      <w:r w:rsidRPr="008D59BB">
        <w:rPr>
          <w:rFonts w:ascii="Arial" w:hAnsi="Arial" w:cs="Arial"/>
          <w:color w:val="auto"/>
          <w:vertAlign w:val="superscript"/>
        </w:rPr>
        <w:t>1</w:t>
      </w:r>
      <w:r w:rsidRPr="008D59BB">
        <w:rPr>
          <w:rFonts w:ascii="Arial" w:hAnsi="Arial" w:cs="Arial"/>
          <w:color w:val="auto"/>
        </w:rPr>
        <w:t>Institute of Cardiovascular Research, Royal Holloway, University of London, Egham, Surrey TW20 0EX, UK</w:t>
      </w:r>
    </w:p>
    <w:p w14:paraId="7A7BB5B1" w14:textId="77777777" w:rsidR="003E41FA" w:rsidRPr="008D59BB" w:rsidRDefault="009B6038" w:rsidP="003E41FA">
      <w:pPr>
        <w:pStyle w:val="Body"/>
        <w:spacing w:after="0" w:line="480" w:lineRule="auto"/>
        <w:jc w:val="both"/>
        <w:rPr>
          <w:rFonts w:ascii="Arial" w:hAnsi="Arial" w:cs="Arial"/>
          <w:color w:val="auto"/>
        </w:rPr>
      </w:pPr>
      <w:r w:rsidRPr="008D59BB">
        <w:rPr>
          <w:rFonts w:ascii="Arial" w:hAnsi="Arial" w:cs="Arial"/>
          <w:color w:val="auto"/>
          <w:vertAlign w:val="superscript"/>
        </w:rPr>
        <w:t>2</w:t>
      </w:r>
      <w:r w:rsidR="003E41FA" w:rsidRPr="008D59BB">
        <w:rPr>
          <w:rFonts w:ascii="Arial" w:hAnsi="Arial" w:cs="Arial"/>
          <w:color w:val="auto"/>
        </w:rPr>
        <w:t>Department of Orthogeriatrics, Ashford and St Peter’s NHS Foundation Trust, Guildford Road, Chertsey, Surrey KT16 0PZ, UK</w:t>
      </w:r>
    </w:p>
    <w:p w14:paraId="76F64494" w14:textId="77777777" w:rsidR="003E41FA" w:rsidRPr="008D59BB" w:rsidRDefault="003E41FA" w:rsidP="003E41FA">
      <w:pPr>
        <w:pStyle w:val="Body"/>
        <w:spacing w:after="0" w:line="480" w:lineRule="auto"/>
        <w:jc w:val="both"/>
        <w:rPr>
          <w:rFonts w:ascii="Arial" w:hAnsi="Arial" w:cs="Arial"/>
          <w:color w:val="auto"/>
        </w:rPr>
      </w:pPr>
      <w:r w:rsidRPr="008D59BB">
        <w:rPr>
          <w:rFonts w:ascii="Arial" w:hAnsi="Arial" w:cs="Arial"/>
          <w:color w:val="auto"/>
          <w:vertAlign w:val="superscript"/>
        </w:rPr>
        <w:t>3</w:t>
      </w:r>
      <w:r w:rsidRPr="008D59BB">
        <w:rPr>
          <w:rFonts w:ascii="Arial" w:hAnsi="Arial" w:cs="Arial"/>
          <w:color w:val="auto"/>
        </w:rPr>
        <w:t>Department of Cardiology, Ashford and St Peter’s NHS Foundation Trust, Guildford Road, Chertsey, Surrey KT16 0PZ, UK</w:t>
      </w:r>
    </w:p>
    <w:p w14:paraId="60B1D694" w14:textId="77777777" w:rsidR="003E41FA" w:rsidRPr="008D59BB" w:rsidRDefault="003E41FA" w:rsidP="003E41FA">
      <w:pPr>
        <w:pStyle w:val="Body"/>
        <w:spacing w:after="0" w:line="480" w:lineRule="auto"/>
        <w:jc w:val="both"/>
        <w:rPr>
          <w:rFonts w:ascii="Arial" w:hAnsi="Arial" w:cs="Arial"/>
          <w:color w:val="auto"/>
        </w:rPr>
      </w:pPr>
      <w:r w:rsidRPr="008D59BB">
        <w:rPr>
          <w:rFonts w:ascii="Arial" w:hAnsi="Arial" w:cs="Arial"/>
          <w:color w:val="auto"/>
          <w:vertAlign w:val="superscript"/>
        </w:rPr>
        <w:t>4</w:t>
      </w:r>
      <w:r w:rsidRPr="008D59BB">
        <w:rPr>
          <w:rFonts w:ascii="Arial" w:hAnsi="Arial" w:cs="Arial"/>
          <w:color w:val="auto"/>
        </w:rPr>
        <w:t>School of Physiology, Pharmacology and Neuroscience, University of Bristol, Bristol BS8 1TD, UK</w:t>
      </w:r>
    </w:p>
    <w:p w14:paraId="2181CC80" w14:textId="77777777" w:rsidR="003E41FA" w:rsidRPr="008D59BB" w:rsidRDefault="003E41FA" w:rsidP="003E41FA">
      <w:pPr>
        <w:pStyle w:val="Body"/>
        <w:spacing w:after="0" w:line="480" w:lineRule="auto"/>
        <w:jc w:val="both"/>
        <w:rPr>
          <w:rFonts w:ascii="Arial" w:eastAsia="Arial" w:hAnsi="Arial" w:cs="Arial"/>
          <w:color w:val="auto"/>
        </w:rPr>
      </w:pPr>
    </w:p>
    <w:p w14:paraId="0B8F1116" w14:textId="77777777" w:rsidR="003E41FA" w:rsidRPr="008D59BB" w:rsidRDefault="003E41FA" w:rsidP="003E41FA">
      <w:pPr>
        <w:pStyle w:val="Body"/>
        <w:spacing w:after="0" w:line="480" w:lineRule="auto"/>
        <w:jc w:val="both"/>
        <w:rPr>
          <w:rFonts w:ascii="Arial" w:eastAsia="Arial" w:hAnsi="Arial" w:cs="Arial"/>
          <w:b/>
          <w:bCs/>
          <w:color w:val="auto"/>
        </w:rPr>
      </w:pPr>
      <w:r w:rsidRPr="008D59BB">
        <w:rPr>
          <w:rFonts w:ascii="Arial" w:hAnsi="Arial" w:cs="Arial"/>
          <w:b/>
          <w:bCs/>
          <w:color w:val="auto"/>
        </w:rPr>
        <w:t xml:space="preserve">Running title: </w:t>
      </w:r>
      <w:r w:rsidR="00C40A0F" w:rsidRPr="008D59BB">
        <w:rPr>
          <w:rFonts w:ascii="Arial" w:hAnsi="Arial" w:cs="Arial"/>
          <w:bCs/>
          <w:color w:val="auto"/>
        </w:rPr>
        <w:t>Nutritional status and</w:t>
      </w:r>
      <w:r w:rsidRPr="008D59BB">
        <w:rPr>
          <w:rFonts w:ascii="Arial" w:hAnsi="Arial" w:cs="Arial"/>
          <w:bCs/>
          <w:color w:val="auto"/>
        </w:rPr>
        <w:t xml:space="preserve"> </w:t>
      </w:r>
      <w:r w:rsidR="00BD759E" w:rsidRPr="008D59BB">
        <w:rPr>
          <w:rFonts w:ascii="Arial" w:hAnsi="Arial" w:cs="Arial"/>
          <w:bCs/>
          <w:color w:val="auto"/>
        </w:rPr>
        <w:t xml:space="preserve">hip fracture </w:t>
      </w:r>
      <w:r w:rsidRPr="008D59BB">
        <w:rPr>
          <w:rFonts w:ascii="Arial" w:hAnsi="Arial" w:cs="Arial"/>
          <w:bCs/>
          <w:color w:val="auto"/>
        </w:rPr>
        <w:t>outcomes</w:t>
      </w:r>
    </w:p>
    <w:p w14:paraId="0A8F3085" w14:textId="6CD8C82A" w:rsidR="003E41FA" w:rsidRPr="008D59BB" w:rsidRDefault="003E41FA" w:rsidP="003E41FA">
      <w:pPr>
        <w:pStyle w:val="Body"/>
        <w:spacing w:after="0" w:line="480" w:lineRule="auto"/>
        <w:jc w:val="both"/>
        <w:rPr>
          <w:rFonts w:ascii="Arial" w:eastAsia="Arial" w:hAnsi="Arial" w:cs="Arial"/>
          <w:color w:val="auto"/>
        </w:rPr>
      </w:pPr>
      <w:r w:rsidRPr="008D59BB">
        <w:rPr>
          <w:rFonts w:ascii="Arial" w:eastAsia="Arial" w:hAnsi="Arial" w:cs="Arial"/>
          <w:b/>
          <w:color w:val="auto"/>
        </w:rPr>
        <w:t>Word count:</w:t>
      </w:r>
      <w:r w:rsidRPr="008D59BB">
        <w:rPr>
          <w:rFonts w:ascii="Arial" w:eastAsia="Arial" w:hAnsi="Arial" w:cs="Arial"/>
          <w:color w:val="auto"/>
        </w:rPr>
        <w:t xml:space="preserve"> </w:t>
      </w:r>
      <w:r w:rsidR="00B833E2" w:rsidRPr="008D59BB">
        <w:rPr>
          <w:rFonts w:ascii="Arial" w:eastAsia="Arial" w:hAnsi="Arial" w:cs="Arial"/>
          <w:color w:val="auto"/>
        </w:rPr>
        <w:t>2</w:t>
      </w:r>
      <w:r w:rsidR="008D7B35" w:rsidRPr="008D59BB">
        <w:rPr>
          <w:rFonts w:ascii="Arial" w:eastAsia="Arial" w:hAnsi="Arial" w:cs="Arial"/>
          <w:color w:val="auto"/>
        </w:rPr>
        <w:t>87</w:t>
      </w:r>
      <w:r w:rsidR="00B8629D" w:rsidRPr="008D59BB">
        <w:rPr>
          <w:rFonts w:ascii="Arial" w:eastAsia="Arial" w:hAnsi="Arial" w:cs="Arial"/>
          <w:color w:val="auto"/>
        </w:rPr>
        <w:t>2</w:t>
      </w:r>
      <w:r w:rsidR="002D2647" w:rsidRPr="008D59BB">
        <w:rPr>
          <w:rFonts w:ascii="Arial" w:eastAsia="Arial" w:hAnsi="Arial" w:cs="Arial"/>
          <w:color w:val="auto"/>
        </w:rPr>
        <w:t xml:space="preserve"> words</w:t>
      </w:r>
      <w:r w:rsidRPr="008D59BB">
        <w:rPr>
          <w:rFonts w:ascii="Arial" w:eastAsia="Arial" w:hAnsi="Arial" w:cs="Arial"/>
          <w:color w:val="auto"/>
        </w:rPr>
        <w:t xml:space="preserve">; </w:t>
      </w:r>
      <w:r w:rsidR="00EE41C4" w:rsidRPr="008D59BB">
        <w:rPr>
          <w:rFonts w:ascii="Arial" w:eastAsia="Arial" w:hAnsi="Arial" w:cs="Arial"/>
          <w:color w:val="auto"/>
        </w:rPr>
        <w:t>2</w:t>
      </w:r>
      <w:r w:rsidRPr="008D59BB">
        <w:rPr>
          <w:rFonts w:ascii="Arial" w:eastAsia="Arial" w:hAnsi="Arial" w:cs="Arial"/>
          <w:color w:val="auto"/>
        </w:rPr>
        <w:t xml:space="preserve"> Table</w:t>
      </w:r>
      <w:r w:rsidR="00EE41C4" w:rsidRPr="008D59BB">
        <w:rPr>
          <w:rFonts w:ascii="Arial" w:eastAsia="Arial" w:hAnsi="Arial" w:cs="Arial"/>
          <w:color w:val="auto"/>
        </w:rPr>
        <w:t>s</w:t>
      </w:r>
      <w:r w:rsidRPr="008D59BB">
        <w:rPr>
          <w:rFonts w:ascii="Arial" w:eastAsia="Arial" w:hAnsi="Arial" w:cs="Arial"/>
          <w:color w:val="auto"/>
        </w:rPr>
        <w:t xml:space="preserve">; </w:t>
      </w:r>
      <w:r w:rsidR="00E12A61" w:rsidRPr="008D59BB">
        <w:rPr>
          <w:rFonts w:ascii="Arial" w:eastAsia="Arial" w:hAnsi="Arial" w:cs="Arial"/>
          <w:color w:val="auto"/>
        </w:rPr>
        <w:t>4</w:t>
      </w:r>
      <w:r w:rsidR="000F6A0A" w:rsidRPr="008D59BB">
        <w:rPr>
          <w:rFonts w:ascii="Arial" w:eastAsia="Arial" w:hAnsi="Arial" w:cs="Arial"/>
          <w:color w:val="auto"/>
        </w:rPr>
        <w:t xml:space="preserve"> </w:t>
      </w:r>
      <w:r w:rsidRPr="008D59BB">
        <w:rPr>
          <w:rFonts w:ascii="Arial" w:eastAsia="Arial" w:hAnsi="Arial" w:cs="Arial"/>
          <w:color w:val="auto"/>
        </w:rPr>
        <w:t>Figures</w:t>
      </w:r>
    </w:p>
    <w:p w14:paraId="32450248" w14:textId="77777777" w:rsidR="003E41FA" w:rsidRPr="008D59BB" w:rsidRDefault="003E41FA" w:rsidP="003E41FA">
      <w:pPr>
        <w:pStyle w:val="Body"/>
        <w:spacing w:after="0" w:line="360" w:lineRule="auto"/>
        <w:jc w:val="both"/>
        <w:rPr>
          <w:rFonts w:ascii="Arial" w:eastAsia="Arial" w:hAnsi="Arial" w:cs="Arial"/>
          <w:color w:val="auto"/>
        </w:rPr>
      </w:pPr>
      <w:r w:rsidRPr="008D59BB">
        <w:rPr>
          <w:rFonts w:ascii="Arial" w:eastAsia="Arial" w:hAnsi="Arial" w:cs="Arial"/>
          <w:b/>
          <w:color w:val="auto"/>
        </w:rPr>
        <w:t>Keywords:</w:t>
      </w:r>
      <w:r w:rsidRPr="008D59BB">
        <w:rPr>
          <w:rFonts w:ascii="Arial" w:eastAsia="Arial" w:hAnsi="Arial" w:cs="Arial"/>
          <w:color w:val="auto"/>
        </w:rPr>
        <w:t xml:space="preserve"> </w:t>
      </w:r>
      <w:r w:rsidR="00BC332E" w:rsidRPr="008D59BB">
        <w:rPr>
          <w:rFonts w:ascii="Arial" w:eastAsia="Arial" w:hAnsi="Arial" w:cs="Arial"/>
          <w:color w:val="auto"/>
        </w:rPr>
        <w:t xml:space="preserve">discharge planning; </w:t>
      </w:r>
      <w:r w:rsidRPr="008D59BB">
        <w:rPr>
          <w:rFonts w:ascii="Arial" w:eastAsia="Arial" w:hAnsi="Arial" w:cs="Arial"/>
          <w:color w:val="auto"/>
        </w:rPr>
        <w:t>geriatrics; health</w:t>
      </w:r>
      <w:r w:rsidR="00003B46" w:rsidRPr="008D59BB">
        <w:rPr>
          <w:rFonts w:ascii="Arial" w:eastAsia="Arial" w:hAnsi="Arial" w:cs="Arial"/>
          <w:color w:val="auto"/>
        </w:rPr>
        <w:t>care</w:t>
      </w:r>
      <w:r w:rsidRPr="008D59BB">
        <w:rPr>
          <w:rFonts w:ascii="Arial" w:eastAsia="Arial" w:hAnsi="Arial" w:cs="Arial"/>
          <w:color w:val="auto"/>
        </w:rPr>
        <w:t xml:space="preserve">; </w:t>
      </w:r>
      <w:r w:rsidR="00003B46" w:rsidRPr="008D59BB">
        <w:rPr>
          <w:rFonts w:ascii="Arial" w:eastAsia="Arial" w:hAnsi="Arial" w:cs="Arial"/>
          <w:color w:val="auto"/>
        </w:rPr>
        <w:t xml:space="preserve">length of stay in hospital; mortality; </w:t>
      </w:r>
      <w:r w:rsidR="00C40A0F" w:rsidRPr="008D59BB">
        <w:rPr>
          <w:rFonts w:ascii="Arial" w:eastAsia="Arial" w:hAnsi="Arial" w:cs="Arial"/>
          <w:color w:val="auto"/>
        </w:rPr>
        <w:t>nutritional status</w:t>
      </w:r>
    </w:p>
    <w:p w14:paraId="1C756531" w14:textId="77777777" w:rsidR="003E41FA" w:rsidRPr="008D59BB" w:rsidRDefault="003E41FA" w:rsidP="003E41FA">
      <w:pPr>
        <w:pStyle w:val="Body"/>
        <w:spacing w:after="0" w:line="360" w:lineRule="auto"/>
        <w:jc w:val="both"/>
        <w:rPr>
          <w:rFonts w:ascii="Arial" w:eastAsia="Arial" w:hAnsi="Arial" w:cs="Arial"/>
          <w:color w:val="auto"/>
        </w:rPr>
      </w:pPr>
    </w:p>
    <w:p w14:paraId="5EB7C4E4" w14:textId="77777777" w:rsidR="003E41FA" w:rsidRPr="008D59BB" w:rsidRDefault="003E41FA" w:rsidP="003E41FA">
      <w:pPr>
        <w:pStyle w:val="Body"/>
        <w:spacing w:after="0" w:line="480" w:lineRule="auto"/>
        <w:jc w:val="both"/>
        <w:rPr>
          <w:rFonts w:ascii="Arial" w:eastAsia="Arial" w:hAnsi="Arial" w:cs="Arial"/>
          <w:color w:val="auto"/>
        </w:rPr>
      </w:pPr>
      <w:r w:rsidRPr="008D59BB">
        <w:rPr>
          <w:rFonts w:ascii="Arial" w:hAnsi="Arial" w:cs="Arial"/>
          <w:b/>
          <w:bCs/>
          <w:color w:val="auto"/>
        </w:rPr>
        <w:t xml:space="preserve">Corresponding author: </w:t>
      </w:r>
      <w:r w:rsidRPr="008D59BB">
        <w:rPr>
          <w:rFonts w:ascii="Arial" w:hAnsi="Arial" w:cs="Arial"/>
          <w:color w:val="auto"/>
        </w:rPr>
        <w:t>Dr Thang S Han</w:t>
      </w:r>
    </w:p>
    <w:p w14:paraId="4B095298" w14:textId="77777777" w:rsidR="003E41FA" w:rsidRPr="008D59BB" w:rsidRDefault="003E41FA" w:rsidP="003E41FA">
      <w:pPr>
        <w:pStyle w:val="Body"/>
        <w:spacing w:after="0" w:line="480" w:lineRule="auto"/>
        <w:jc w:val="both"/>
        <w:rPr>
          <w:rFonts w:ascii="Arial" w:hAnsi="Arial" w:cs="Arial"/>
          <w:color w:val="auto"/>
        </w:rPr>
      </w:pPr>
      <w:r w:rsidRPr="008D59BB">
        <w:rPr>
          <w:rFonts w:ascii="Arial" w:hAnsi="Arial" w:cs="Arial"/>
          <w:color w:val="auto"/>
        </w:rPr>
        <w:t>Institute of Cardiovascular Research, Royal Holloway, University of London</w:t>
      </w:r>
    </w:p>
    <w:p w14:paraId="3FB25D0C" w14:textId="77777777" w:rsidR="003E41FA" w:rsidRPr="008D59BB" w:rsidRDefault="003E41FA" w:rsidP="003E41FA">
      <w:pPr>
        <w:pStyle w:val="Body"/>
        <w:spacing w:after="0" w:line="480" w:lineRule="auto"/>
        <w:jc w:val="both"/>
        <w:rPr>
          <w:rStyle w:val="Hyperlink"/>
          <w:rFonts w:ascii="Arial" w:hAnsi="Arial" w:cs="Arial"/>
          <w:color w:val="auto"/>
        </w:rPr>
      </w:pPr>
      <w:r w:rsidRPr="008D59BB">
        <w:rPr>
          <w:rFonts w:ascii="Arial" w:hAnsi="Arial" w:cs="Arial"/>
          <w:color w:val="auto"/>
        </w:rPr>
        <w:t xml:space="preserve">Egham, Surrey, TW20 0EX, UK. </w:t>
      </w:r>
      <w:r w:rsidRPr="008D59BB">
        <w:rPr>
          <w:rFonts w:ascii="Arial" w:hAnsi="Arial" w:cs="Arial"/>
          <w:color w:val="auto"/>
          <w:lang w:val="it-IT"/>
        </w:rPr>
        <w:t>Tel: 01784443807</w:t>
      </w:r>
    </w:p>
    <w:p w14:paraId="38A8684E" w14:textId="77777777" w:rsidR="00426B78" w:rsidRPr="008D59BB" w:rsidRDefault="003E41FA" w:rsidP="001979D9">
      <w:pPr>
        <w:pStyle w:val="Body"/>
        <w:spacing w:after="0" w:line="480" w:lineRule="auto"/>
        <w:jc w:val="both"/>
        <w:rPr>
          <w:rFonts w:ascii="Arial" w:hAnsi="Arial" w:cs="Arial"/>
          <w:b/>
          <w:color w:val="auto"/>
        </w:rPr>
      </w:pPr>
      <w:r w:rsidRPr="008D59BB">
        <w:rPr>
          <w:rFonts w:ascii="Arial" w:hAnsi="Arial" w:cs="Arial"/>
          <w:color w:val="auto"/>
        </w:rPr>
        <w:t xml:space="preserve">Email: </w:t>
      </w:r>
      <w:hyperlink r:id="rId8" w:history="1">
        <w:r w:rsidRPr="008D59BB">
          <w:rPr>
            <w:rStyle w:val="Hyperlink"/>
            <w:rFonts w:ascii="Arial" w:hAnsi="Arial" w:cs="Arial"/>
            <w:color w:val="auto"/>
            <w:u w:val="none"/>
          </w:rPr>
          <w:t>thang.han@rhul.ac.uk</w:t>
        </w:r>
      </w:hyperlink>
      <w:r w:rsidR="00426B78" w:rsidRPr="008D59BB">
        <w:rPr>
          <w:rFonts w:ascii="Arial" w:hAnsi="Arial" w:cs="Arial"/>
          <w:b/>
          <w:color w:val="auto"/>
          <w:sz w:val="24"/>
          <w:szCs w:val="24"/>
        </w:rPr>
        <w:br w:type="page"/>
      </w:r>
    </w:p>
    <w:p w14:paraId="2FB65519" w14:textId="5C92F883" w:rsidR="00426B78" w:rsidRPr="008D59BB" w:rsidRDefault="00426B78" w:rsidP="005D6090">
      <w:pPr>
        <w:spacing w:after="0" w:line="480" w:lineRule="auto"/>
        <w:jc w:val="both"/>
        <w:rPr>
          <w:rFonts w:ascii="Arial" w:hAnsi="Arial" w:cs="Arial"/>
          <w:b/>
          <w:sz w:val="24"/>
          <w:szCs w:val="24"/>
        </w:rPr>
      </w:pPr>
      <w:r w:rsidRPr="008D59BB">
        <w:rPr>
          <w:rFonts w:ascii="Arial" w:hAnsi="Arial" w:cs="Arial"/>
          <w:b/>
          <w:sz w:val="24"/>
          <w:szCs w:val="24"/>
        </w:rPr>
        <w:lastRenderedPageBreak/>
        <w:t>ABSTRACT</w:t>
      </w:r>
    </w:p>
    <w:p w14:paraId="00EB74FB" w14:textId="5849695F" w:rsidR="00426B78" w:rsidRPr="008D59BB" w:rsidRDefault="008E1044" w:rsidP="005D6090">
      <w:pPr>
        <w:spacing w:after="0" w:line="480" w:lineRule="auto"/>
        <w:jc w:val="both"/>
        <w:rPr>
          <w:rFonts w:ascii="Arial" w:hAnsi="Arial" w:cs="Arial"/>
          <w:sz w:val="24"/>
          <w:szCs w:val="24"/>
        </w:rPr>
      </w:pPr>
      <w:r w:rsidRPr="008D59BB">
        <w:rPr>
          <w:rFonts w:ascii="Arial" w:hAnsi="Arial" w:cs="Arial"/>
          <w:b/>
          <w:sz w:val="24"/>
          <w:szCs w:val="24"/>
        </w:rPr>
        <w:t>BACKGROUND/OBJECTIVES</w:t>
      </w:r>
      <w:r w:rsidRPr="008D59BB">
        <w:rPr>
          <w:rFonts w:ascii="Arial" w:hAnsi="Arial" w:cs="Arial"/>
          <w:sz w:val="24"/>
          <w:szCs w:val="24"/>
        </w:rPr>
        <w:t>:</w:t>
      </w:r>
      <w:r w:rsidR="000A1179" w:rsidRPr="008D59BB">
        <w:rPr>
          <w:rFonts w:ascii="Arial" w:hAnsi="Arial" w:cs="Arial"/>
          <w:sz w:val="24"/>
          <w:szCs w:val="24"/>
        </w:rPr>
        <w:t xml:space="preserve"> </w:t>
      </w:r>
      <w:r w:rsidR="00EC735D" w:rsidRPr="008D59BB">
        <w:rPr>
          <w:rFonts w:ascii="Arial" w:hAnsi="Arial" w:cs="Arial"/>
          <w:sz w:val="24"/>
          <w:szCs w:val="24"/>
        </w:rPr>
        <w:t xml:space="preserve">Major causes of hip </w:t>
      </w:r>
      <w:r w:rsidR="000A1179" w:rsidRPr="008D59BB">
        <w:rPr>
          <w:rFonts w:ascii="Arial" w:hAnsi="Arial" w:cs="Arial"/>
          <w:sz w:val="24"/>
          <w:szCs w:val="24"/>
        </w:rPr>
        <w:t xml:space="preserve">fractures </w:t>
      </w:r>
      <w:r w:rsidR="00714561" w:rsidRPr="008D59BB">
        <w:rPr>
          <w:rFonts w:ascii="Arial" w:hAnsi="Arial" w:cs="Arial"/>
          <w:sz w:val="24"/>
          <w:szCs w:val="24"/>
        </w:rPr>
        <w:t xml:space="preserve">are </w:t>
      </w:r>
      <w:r w:rsidR="000A1179" w:rsidRPr="008D59BB">
        <w:rPr>
          <w:rFonts w:ascii="Arial" w:hAnsi="Arial" w:cs="Arial"/>
          <w:sz w:val="24"/>
          <w:szCs w:val="24"/>
        </w:rPr>
        <w:t>osteoporosis and falls, both of which are determined by nutrition</w:t>
      </w:r>
      <w:r w:rsidR="00426B78" w:rsidRPr="008D59BB">
        <w:rPr>
          <w:rFonts w:ascii="Arial" w:hAnsi="Arial" w:cs="Arial"/>
          <w:sz w:val="24"/>
          <w:szCs w:val="24"/>
        </w:rPr>
        <w:t xml:space="preserve">. </w:t>
      </w:r>
      <w:r w:rsidR="00547577" w:rsidRPr="008D59BB">
        <w:rPr>
          <w:rFonts w:ascii="Arial" w:hAnsi="Arial" w:cs="Arial"/>
          <w:sz w:val="24"/>
          <w:szCs w:val="24"/>
        </w:rPr>
        <w:t xml:space="preserve">Information on </w:t>
      </w:r>
      <w:r w:rsidR="00EC735D" w:rsidRPr="008D59BB">
        <w:rPr>
          <w:rFonts w:ascii="Arial" w:hAnsi="Arial" w:cs="Arial"/>
          <w:sz w:val="24"/>
          <w:szCs w:val="24"/>
        </w:rPr>
        <w:t xml:space="preserve">the </w:t>
      </w:r>
      <w:r w:rsidR="00547577" w:rsidRPr="008D59BB">
        <w:rPr>
          <w:rFonts w:ascii="Arial" w:hAnsi="Arial" w:cs="Arial"/>
          <w:sz w:val="24"/>
          <w:szCs w:val="24"/>
        </w:rPr>
        <w:t xml:space="preserve">nutritional status </w:t>
      </w:r>
      <w:r w:rsidR="00EC735D" w:rsidRPr="008D59BB">
        <w:rPr>
          <w:rFonts w:ascii="Arial" w:hAnsi="Arial" w:cs="Arial"/>
          <w:sz w:val="24"/>
          <w:szCs w:val="24"/>
        </w:rPr>
        <w:t xml:space="preserve">of </w:t>
      </w:r>
      <w:r w:rsidR="008B777E" w:rsidRPr="008D59BB">
        <w:rPr>
          <w:rFonts w:ascii="Arial" w:hAnsi="Arial" w:cs="Arial"/>
          <w:sz w:val="24"/>
          <w:szCs w:val="24"/>
        </w:rPr>
        <w:t>patients</w:t>
      </w:r>
      <w:r w:rsidR="00547577" w:rsidRPr="008D59BB">
        <w:rPr>
          <w:rFonts w:ascii="Arial" w:hAnsi="Arial" w:cs="Arial"/>
          <w:sz w:val="24"/>
          <w:szCs w:val="24"/>
        </w:rPr>
        <w:t xml:space="preserve"> admitted to hospital with a hip fracture is lacking. In this study, w</w:t>
      </w:r>
      <w:r w:rsidR="00426B78" w:rsidRPr="008D59BB">
        <w:rPr>
          <w:rFonts w:ascii="Arial" w:hAnsi="Arial" w:cs="Arial"/>
          <w:sz w:val="24"/>
          <w:szCs w:val="24"/>
        </w:rPr>
        <w:t>e assessed determ</w:t>
      </w:r>
      <w:r w:rsidR="003055F4" w:rsidRPr="008D59BB">
        <w:rPr>
          <w:rFonts w:ascii="Arial" w:hAnsi="Arial" w:cs="Arial"/>
          <w:sz w:val="24"/>
          <w:szCs w:val="24"/>
        </w:rPr>
        <w:t>in</w:t>
      </w:r>
      <w:r w:rsidR="007F236D" w:rsidRPr="008D59BB">
        <w:rPr>
          <w:rFonts w:ascii="Arial" w:hAnsi="Arial" w:cs="Arial"/>
          <w:sz w:val="24"/>
          <w:szCs w:val="24"/>
        </w:rPr>
        <w:t>ants</w:t>
      </w:r>
      <w:r w:rsidR="00426B78" w:rsidRPr="008D59BB">
        <w:rPr>
          <w:rFonts w:ascii="Arial" w:hAnsi="Arial" w:cs="Arial"/>
          <w:sz w:val="24"/>
          <w:szCs w:val="24"/>
        </w:rPr>
        <w:t xml:space="preserve"> and adverse outcomes associated with </w:t>
      </w:r>
      <w:r w:rsidR="00B4705B" w:rsidRPr="008D59BB">
        <w:rPr>
          <w:rFonts w:ascii="Arial" w:hAnsi="Arial" w:cs="Arial"/>
          <w:sz w:val="24"/>
          <w:szCs w:val="24"/>
        </w:rPr>
        <w:t>malnutrition and malnourishment</w:t>
      </w:r>
      <w:r w:rsidR="00426B78" w:rsidRPr="008D59BB">
        <w:rPr>
          <w:rFonts w:ascii="Arial" w:hAnsi="Arial" w:cs="Arial"/>
          <w:sz w:val="24"/>
          <w:szCs w:val="24"/>
        </w:rPr>
        <w:t>.</w:t>
      </w:r>
    </w:p>
    <w:p w14:paraId="63F36CF1" w14:textId="4F8B3447" w:rsidR="00860486" w:rsidRPr="008D59BB" w:rsidRDefault="008E1044" w:rsidP="005D6090">
      <w:pPr>
        <w:spacing w:after="0" w:line="480" w:lineRule="auto"/>
        <w:jc w:val="both"/>
        <w:rPr>
          <w:rFonts w:ascii="Arial" w:hAnsi="Arial" w:cs="Arial"/>
          <w:sz w:val="24"/>
          <w:szCs w:val="24"/>
        </w:rPr>
      </w:pPr>
      <w:r w:rsidRPr="008D59BB">
        <w:rPr>
          <w:rFonts w:ascii="Arial" w:hAnsi="Arial" w:cs="Arial"/>
          <w:b/>
          <w:sz w:val="24"/>
          <w:szCs w:val="24"/>
        </w:rPr>
        <w:t>METHODS</w:t>
      </w:r>
      <w:r w:rsidR="00426B78" w:rsidRPr="008D59BB">
        <w:rPr>
          <w:rFonts w:ascii="Arial" w:hAnsi="Arial" w:cs="Arial"/>
          <w:sz w:val="24"/>
          <w:szCs w:val="24"/>
        </w:rPr>
        <w:t xml:space="preserve">: </w:t>
      </w:r>
      <w:r w:rsidR="00D74C19" w:rsidRPr="008D59BB">
        <w:rPr>
          <w:rFonts w:ascii="Arial" w:hAnsi="Arial" w:cs="Arial"/>
          <w:sz w:val="24"/>
          <w:szCs w:val="24"/>
        </w:rPr>
        <w:t xml:space="preserve">Nutritional status, </w:t>
      </w:r>
      <w:r w:rsidR="00860486" w:rsidRPr="008D59BB">
        <w:rPr>
          <w:rFonts w:ascii="Arial" w:hAnsi="Arial" w:cs="Arial"/>
          <w:sz w:val="24"/>
          <w:szCs w:val="24"/>
        </w:rPr>
        <w:t>assessed using the Malnutrition Universal Screening Tool protocol</w:t>
      </w:r>
      <w:r w:rsidR="00364FE6" w:rsidRPr="008D59BB">
        <w:rPr>
          <w:rFonts w:ascii="Arial" w:hAnsi="Arial" w:cs="Arial"/>
          <w:sz w:val="24"/>
          <w:szCs w:val="24"/>
        </w:rPr>
        <w:t xml:space="preserve">, </w:t>
      </w:r>
      <w:r w:rsidR="00D74C19" w:rsidRPr="008D59BB">
        <w:rPr>
          <w:rFonts w:ascii="Arial" w:hAnsi="Arial" w:cs="Arial"/>
          <w:sz w:val="24"/>
          <w:szCs w:val="24"/>
        </w:rPr>
        <w:t>was</w:t>
      </w:r>
      <w:r w:rsidR="00364FE6" w:rsidRPr="008D59BB">
        <w:rPr>
          <w:rFonts w:ascii="Arial" w:hAnsi="Arial" w:cs="Arial"/>
          <w:sz w:val="24"/>
          <w:szCs w:val="24"/>
        </w:rPr>
        <w:t xml:space="preserve"> </w:t>
      </w:r>
      <w:r w:rsidR="007F236D" w:rsidRPr="008D59BB">
        <w:rPr>
          <w:rFonts w:ascii="Arial" w:hAnsi="Arial" w:cs="Arial"/>
          <w:sz w:val="24"/>
          <w:szCs w:val="24"/>
        </w:rPr>
        <w:t xml:space="preserve">compared </w:t>
      </w:r>
      <w:r w:rsidR="00364FE6" w:rsidRPr="008D59BB">
        <w:rPr>
          <w:rFonts w:ascii="Arial" w:hAnsi="Arial" w:cs="Arial"/>
          <w:sz w:val="24"/>
          <w:szCs w:val="24"/>
        </w:rPr>
        <w:t xml:space="preserve">to </w:t>
      </w:r>
      <w:r w:rsidR="002C6CD8" w:rsidRPr="008D59BB">
        <w:rPr>
          <w:rFonts w:ascii="Arial" w:hAnsi="Arial" w:cs="Arial"/>
          <w:sz w:val="24"/>
          <w:szCs w:val="24"/>
        </w:rPr>
        <w:t xml:space="preserve">age and residency </w:t>
      </w:r>
      <w:r w:rsidR="00364FE6" w:rsidRPr="008D59BB">
        <w:rPr>
          <w:rFonts w:ascii="Arial" w:hAnsi="Arial" w:cs="Arial"/>
          <w:sz w:val="24"/>
          <w:szCs w:val="24"/>
        </w:rPr>
        <w:t>prior to</w:t>
      </w:r>
      <w:r w:rsidR="002C6CD8" w:rsidRPr="008D59BB">
        <w:rPr>
          <w:rFonts w:ascii="Arial" w:hAnsi="Arial" w:cs="Arial"/>
          <w:sz w:val="24"/>
          <w:szCs w:val="24"/>
        </w:rPr>
        <w:t xml:space="preserve"> admission</w:t>
      </w:r>
      <w:r w:rsidR="00364FE6" w:rsidRPr="008D59BB">
        <w:rPr>
          <w:rFonts w:ascii="Arial" w:hAnsi="Arial" w:cs="Arial"/>
          <w:sz w:val="24"/>
          <w:szCs w:val="24"/>
        </w:rPr>
        <w:t>, and outcomes during hospital</w:t>
      </w:r>
      <w:r w:rsidR="007F72FB" w:rsidRPr="008D59BB">
        <w:rPr>
          <w:rFonts w:ascii="Arial" w:hAnsi="Arial" w:cs="Arial"/>
          <w:sz w:val="24"/>
          <w:szCs w:val="24"/>
        </w:rPr>
        <w:t xml:space="preserve"> stay and at discharge</w:t>
      </w:r>
      <w:r w:rsidR="00860486" w:rsidRPr="008D59BB">
        <w:rPr>
          <w:rFonts w:ascii="Arial" w:hAnsi="Arial" w:cs="Arial"/>
          <w:sz w:val="24"/>
          <w:szCs w:val="24"/>
        </w:rPr>
        <w:t>.</w:t>
      </w:r>
    </w:p>
    <w:p w14:paraId="3AC0151F" w14:textId="7CE13EFA" w:rsidR="007A5807" w:rsidRPr="008D59BB" w:rsidRDefault="008E1044" w:rsidP="005D6090">
      <w:pPr>
        <w:spacing w:after="0" w:line="480" w:lineRule="auto"/>
        <w:jc w:val="both"/>
        <w:rPr>
          <w:rFonts w:ascii="Arial" w:hAnsi="Arial" w:cs="Arial"/>
          <w:sz w:val="24"/>
          <w:szCs w:val="24"/>
        </w:rPr>
      </w:pPr>
      <w:r w:rsidRPr="008D59BB">
        <w:rPr>
          <w:rFonts w:ascii="Arial" w:hAnsi="Arial" w:cs="Arial"/>
          <w:b/>
          <w:sz w:val="24"/>
          <w:szCs w:val="24"/>
        </w:rPr>
        <w:t>RESULTS</w:t>
      </w:r>
      <w:r w:rsidR="00860486" w:rsidRPr="008D59BB">
        <w:rPr>
          <w:rFonts w:ascii="Arial" w:hAnsi="Arial" w:cs="Arial"/>
          <w:sz w:val="24"/>
          <w:szCs w:val="24"/>
        </w:rPr>
        <w:t xml:space="preserve">: </w:t>
      </w:r>
      <w:r w:rsidR="000D3AF4" w:rsidRPr="008D59BB">
        <w:rPr>
          <w:rFonts w:ascii="Arial" w:hAnsi="Arial" w:cs="Arial"/>
          <w:sz w:val="24"/>
          <w:szCs w:val="24"/>
        </w:rPr>
        <w:t xml:space="preserve">A total of 1239 patients admitted with a hip fracture (349 men, 890 women), aged 60-100yr. Compared with well-nourished individuals, the prevalences of malnutrition risk or malnourishment were higher in older age groups and those from residential or nursing care. Those with risk of malnutrition or malnourishment stayed in hospital longer by 3.0 days (95% confidence interval (CI), 1.5-4.5 days; </w:t>
      </w:r>
      <w:r w:rsidR="000D3AF4" w:rsidRPr="008D59BB">
        <w:rPr>
          <w:rFonts w:ascii="Arial" w:hAnsi="Arial" w:cs="Arial"/>
          <w:i/>
          <w:sz w:val="24"/>
          <w:szCs w:val="24"/>
        </w:rPr>
        <w:t>p</w:t>
      </w:r>
      <w:r w:rsidR="000D3AF4" w:rsidRPr="008D59BB">
        <w:rPr>
          <w:rFonts w:ascii="Arial" w:hAnsi="Arial" w:cs="Arial"/>
          <w:sz w:val="24"/>
          <w:szCs w:val="24"/>
        </w:rPr>
        <w:t xml:space="preserve">&lt;0.001) and 3.1 days (95%CI, 0.7-5.5 days; </w:t>
      </w:r>
      <w:r w:rsidR="000D3AF4" w:rsidRPr="008D59BB">
        <w:rPr>
          <w:rFonts w:ascii="Arial" w:hAnsi="Arial" w:cs="Arial"/>
          <w:i/>
          <w:sz w:val="24"/>
          <w:szCs w:val="24"/>
        </w:rPr>
        <w:t>p</w:t>
      </w:r>
      <w:r w:rsidR="000D3AF4" w:rsidRPr="008D59BB">
        <w:rPr>
          <w:rFonts w:ascii="Arial" w:hAnsi="Arial" w:cs="Arial"/>
          <w:sz w:val="24"/>
          <w:szCs w:val="24"/>
        </w:rPr>
        <w:t xml:space="preserve">=0.011), respectively. Compared with the well-nourished group, malnourished individuals had increased: i) risk for failure to mobilise within 1-day of surgery (rates=17.9 </w:t>
      </w:r>
      <w:r w:rsidR="000D3AF4" w:rsidRPr="008D59BB">
        <w:rPr>
          <w:rFonts w:ascii="Arial" w:hAnsi="Arial" w:cs="Arial"/>
          <w:i/>
          <w:sz w:val="24"/>
          <w:szCs w:val="24"/>
        </w:rPr>
        <w:t>versus</w:t>
      </w:r>
      <w:r w:rsidR="000D3AF4" w:rsidRPr="008D59BB">
        <w:rPr>
          <w:rFonts w:ascii="Arial" w:hAnsi="Arial" w:cs="Arial"/>
          <w:sz w:val="24"/>
          <w:szCs w:val="24"/>
        </w:rPr>
        <w:t xml:space="preserve"> 27.0%; odds ratio (OR)=1.6 (95%CI, 1.0-2.7), </w:t>
      </w:r>
      <w:r w:rsidR="000D3AF4" w:rsidRPr="008D59BB">
        <w:rPr>
          <w:rFonts w:ascii="Arial" w:hAnsi="Arial" w:cs="Arial"/>
          <w:i/>
          <w:sz w:val="24"/>
          <w:szCs w:val="24"/>
        </w:rPr>
        <w:t>p</w:t>
      </w:r>
      <w:r w:rsidR="000D3AF4" w:rsidRPr="008D59BB">
        <w:rPr>
          <w:rFonts w:ascii="Arial" w:hAnsi="Arial" w:cs="Arial"/>
          <w:sz w:val="24"/>
          <w:szCs w:val="24"/>
        </w:rPr>
        <w:t xml:space="preserve">=0.045); ii) pressure ulcers (rates=1.0% </w:t>
      </w:r>
      <w:r w:rsidR="000D3AF4" w:rsidRPr="008D59BB">
        <w:rPr>
          <w:rFonts w:ascii="Arial" w:hAnsi="Arial" w:cs="Arial"/>
          <w:i/>
          <w:sz w:val="24"/>
          <w:szCs w:val="24"/>
        </w:rPr>
        <w:t>versus</w:t>
      </w:r>
      <w:r w:rsidR="000D3AF4" w:rsidRPr="008D59BB">
        <w:rPr>
          <w:rFonts w:ascii="Arial" w:hAnsi="Arial" w:cs="Arial"/>
          <w:sz w:val="24"/>
          <w:szCs w:val="24"/>
        </w:rPr>
        <w:t xml:space="preserve"> 5.0%; OR= 5.5 (95%CI, 1.8-17.1), </w:t>
      </w:r>
      <w:r w:rsidR="000D3AF4" w:rsidRPr="008D59BB">
        <w:rPr>
          <w:rFonts w:ascii="Arial" w:hAnsi="Arial" w:cs="Arial"/>
          <w:i/>
          <w:sz w:val="24"/>
          <w:szCs w:val="24"/>
        </w:rPr>
        <w:t>p</w:t>
      </w:r>
      <w:r w:rsidR="000D3AF4" w:rsidRPr="008D59BB">
        <w:rPr>
          <w:rFonts w:ascii="Arial" w:hAnsi="Arial" w:cs="Arial"/>
          <w:sz w:val="24"/>
          <w:szCs w:val="24"/>
        </w:rPr>
        <w:t xml:space="preserve">=0.006; iii) in-patient mortality (rates=4.5% </w:t>
      </w:r>
      <w:r w:rsidR="000D3AF4" w:rsidRPr="008D59BB">
        <w:rPr>
          <w:rFonts w:ascii="Arial" w:hAnsi="Arial" w:cs="Arial"/>
          <w:i/>
          <w:sz w:val="24"/>
          <w:szCs w:val="24"/>
        </w:rPr>
        <w:t>versus</w:t>
      </w:r>
      <w:r w:rsidR="000D3AF4" w:rsidRPr="008D59BB">
        <w:rPr>
          <w:rFonts w:ascii="Arial" w:hAnsi="Arial" w:cs="Arial"/>
          <w:sz w:val="24"/>
          <w:szCs w:val="24"/>
        </w:rPr>
        <w:t xml:space="preserve"> 10.1%; OR=2.3 (95%CI, 1.1-4.8) </w:t>
      </w:r>
      <w:r w:rsidR="000D3AF4" w:rsidRPr="008D59BB">
        <w:rPr>
          <w:rFonts w:ascii="Arial" w:hAnsi="Arial" w:cs="Arial"/>
          <w:i/>
          <w:sz w:val="24"/>
          <w:szCs w:val="24"/>
        </w:rPr>
        <w:t>p</w:t>
      </w:r>
      <w:r w:rsidR="000D3AF4" w:rsidRPr="008D59BB">
        <w:rPr>
          <w:rFonts w:ascii="Arial" w:hAnsi="Arial" w:cs="Arial"/>
          <w:sz w:val="24"/>
          <w:szCs w:val="24"/>
        </w:rPr>
        <w:t xml:space="preserve">=0.033 and iv) discharge to residential/nursing care: rates=4.3% </w:t>
      </w:r>
      <w:r w:rsidR="000D3AF4" w:rsidRPr="008D59BB">
        <w:rPr>
          <w:rFonts w:ascii="Arial" w:hAnsi="Arial" w:cs="Arial"/>
          <w:i/>
          <w:sz w:val="24"/>
          <w:szCs w:val="24"/>
        </w:rPr>
        <w:t>versus</w:t>
      </w:r>
      <w:r w:rsidR="000D3AF4" w:rsidRPr="008D59BB">
        <w:rPr>
          <w:rFonts w:ascii="Arial" w:hAnsi="Arial" w:cs="Arial"/>
          <w:sz w:val="24"/>
          <w:szCs w:val="24"/>
        </w:rPr>
        <w:t xml:space="preserve"> 11.1%; OR=2.8 (95%CI, 1.2-6.6), </w:t>
      </w:r>
      <w:r w:rsidR="000D3AF4" w:rsidRPr="008D59BB">
        <w:rPr>
          <w:rFonts w:ascii="Arial" w:hAnsi="Arial" w:cs="Arial"/>
          <w:i/>
          <w:sz w:val="24"/>
          <w:szCs w:val="24"/>
        </w:rPr>
        <w:t>p=</w:t>
      </w:r>
      <w:r w:rsidR="000D3AF4" w:rsidRPr="008D59BB">
        <w:rPr>
          <w:rFonts w:ascii="Arial" w:hAnsi="Arial" w:cs="Arial"/>
          <w:sz w:val="24"/>
          <w:szCs w:val="24"/>
        </w:rPr>
        <w:t>0.022.</w:t>
      </w:r>
    </w:p>
    <w:p w14:paraId="75F7244B" w14:textId="393B88E7" w:rsidR="00D90742" w:rsidRPr="008D59BB" w:rsidRDefault="008E1044" w:rsidP="005D6090">
      <w:pPr>
        <w:spacing w:after="0" w:line="480" w:lineRule="auto"/>
        <w:jc w:val="both"/>
        <w:rPr>
          <w:rFonts w:ascii="Arial" w:hAnsi="Arial" w:cs="Arial"/>
          <w:sz w:val="24"/>
          <w:szCs w:val="24"/>
        </w:rPr>
      </w:pPr>
      <w:r w:rsidRPr="008D59BB">
        <w:rPr>
          <w:rFonts w:ascii="Arial" w:hAnsi="Arial" w:cs="Arial"/>
          <w:b/>
          <w:sz w:val="24"/>
          <w:szCs w:val="24"/>
        </w:rPr>
        <w:t>CONCLUSIONS</w:t>
      </w:r>
      <w:r w:rsidR="00AF0784" w:rsidRPr="008D59BB">
        <w:rPr>
          <w:rFonts w:ascii="Arial" w:hAnsi="Arial" w:cs="Arial"/>
          <w:sz w:val="24"/>
          <w:szCs w:val="24"/>
        </w:rPr>
        <w:t>:</w:t>
      </w:r>
      <w:r w:rsidR="00143EA0" w:rsidRPr="008D59BB">
        <w:rPr>
          <w:rFonts w:ascii="Arial" w:hAnsi="Arial" w:cs="Arial"/>
          <w:sz w:val="24"/>
          <w:szCs w:val="24"/>
        </w:rPr>
        <w:t xml:space="preserve"> Inadequate nutrition is common in patients admitted to hospital with a hip fracture</w:t>
      </w:r>
      <w:r w:rsidR="006923F7" w:rsidRPr="008D59BB">
        <w:rPr>
          <w:rFonts w:ascii="Arial" w:hAnsi="Arial" w:cs="Arial"/>
          <w:sz w:val="24"/>
          <w:szCs w:val="24"/>
        </w:rPr>
        <w:t>,</w:t>
      </w:r>
      <w:r w:rsidR="00143EA0" w:rsidRPr="008D59BB">
        <w:rPr>
          <w:rFonts w:ascii="Arial" w:hAnsi="Arial" w:cs="Arial"/>
          <w:sz w:val="24"/>
          <w:szCs w:val="24"/>
        </w:rPr>
        <w:t xml:space="preserve"> which in turn predisposes </w:t>
      </w:r>
      <w:r w:rsidR="00EC735D" w:rsidRPr="008D59BB">
        <w:rPr>
          <w:rFonts w:ascii="Arial" w:hAnsi="Arial" w:cs="Arial"/>
          <w:sz w:val="24"/>
          <w:szCs w:val="24"/>
        </w:rPr>
        <w:t xml:space="preserve">them </w:t>
      </w:r>
      <w:r w:rsidR="00143EA0" w:rsidRPr="008D59BB">
        <w:rPr>
          <w:rFonts w:ascii="Arial" w:hAnsi="Arial" w:cs="Arial"/>
          <w:sz w:val="24"/>
          <w:szCs w:val="24"/>
        </w:rPr>
        <w:t xml:space="preserve">to a number of complications. More research on nutritional support should be directed </w:t>
      </w:r>
      <w:r w:rsidR="00EC735D" w:rsidRPr="008D59BB">
        <w:rPr>
          <w:rFonts w:ascii="Arial" w:hAnsi="Arial" w:cs="Arial"/>
          <w:sz w:val="24"/>
          <w:szCs w:val="24"/>
        </w:rPr>
        <w:t xml:space="preserve">to </w:t>
      </w:r>
      <w:r w:rsidR="00143EA0" w:rsidRPr="008D59BB">
        <w:rPr>
          <w:rFonts w:ascii="Arial" w:hAnsi="Arial" w:cs="Arial"/>
          <w:sz w:val="24"/>
          <w:szCs w:val="24"/>
        </w:rPr>
        <w:t>this group to prevent or minimise hip fractures</w:t>
      </w:r>
      <w:r w:rsidR="00112655" w:rsidRPr="008D59BB">
        <w:rPr>
          <w:rFonts w:ascii="Arial" w:hAnsi="Arial" w:cs="Arial"/>
          <w:sz w:val="24"/>
          <w:szCs w:val="24"/>
        </w:rPr>
        <w:t>.</w:t>
      </w:r>
      <w:r w:rsidR="00D90742" w:rsidRPr="008D59BB">
        <w:rPr>
          <w:rFonts w:ascii="Arial" w:hAnsi="Arial" w:cs="Arial"/>
          <w:sz w:val="24"/>
          <w:szCs w:val="24"/>
        </w:rPr>
        <w:br w:type="page"/>
      </w:r>
    </w:p>
    <w:p w14:paraId="25384FE0" w14:textId="77777777" w:rsidR="00AF0784" w:rsidRPr="008D59BB" w:rsidRDefault="00D90742" w:rsidP="003B0E64">
      <w:pPr>
        <w:spacing w:after="0" w:line="480" w:lineRule="auto"/>
        <w:jc w:val="both"/>
        <w:rPr>
          <w:rFonts w:ascii="Arial" w:hAnsi="Arial" w:cs="Arial"/>
          <w:sz w:val="24"/>
          <w:szCs w:val="24"/>
        </w:rPr>
      </w:pPr>
      <w:r w:rsidRPr="008D59BB">
        <w:rPr>
          <w:rFonts w:ascii="Arial" w:hAnsi="Arial" w:cs="Arial"/>
          <w:b/>
          <w:sz w:val="24"/>
          <w:szCs w:val="24"/>
        </w:rPr>
        <w:lastRenderedPageBreak/>
        <w:t>INTRODUCTION</w:t>
      </w:r>
    </w:p>
    <w:p w14:paraId="7C5D1D50" w14:textId="02C9D594" w:rsidR="006A315B" w:rsidRPr="008D59BB" w:rsidRDefault="00A37912" w:rsidP="006A315B">
      <w:pPr>
        <w:spacing w:after="0" w:line="480" w:lineRule="auto"/>
        <w:jc w:val="both"/>
        <w:rPr>
          <w:rFonts w:ascii="Arial" w:hAnsi="Arial" w:cs="Arial"/>
          <w:sz w:val="24"/>
          <w:szCs w:val="24"/>
        </w:rPr>
      </w:pPr>
      <w:r w:rsidRPr="008D59BB">
        <w:rPr>
          <w:rFonts w:ascii="Arial" w:hAnsi="Arial" w:cs="Arial"/>
          <w:sz w:val="24"/>
          <w:szCs w:val="24"/>
        </w:rPr>
        <w:t xml:space="preserve">The prevalence of hip fracture </w:t>
      </w:r>
      <w:r w:rsidR="00AB7F14" w:rsidRPr="008D59BB">
        <w:rPr>
          <w:rFonts w:ascii="Arial" w:hAnsi="Arial" w:cs="Arial"/>
          <w:sz w:val="24"/>
          <w:szCs w:val="24"/>
        </w:rPr>
        <w:t>is common in high income countries, rising steeply with age</w:t>
      </w:r>
      <w:r w:rsidR="00CF67D2" w:rsidRPr="008D59BB">
        <w:rPr>
          <w:rFonts w:ascii="Arial" w:hAnsi="Arial" w:cs="Arial"/>
          <w:sz w:val="24"/>
          <w:szCs w:val="24"/>
        </w:rPr>
        <w:t xml:space="preserve"> </w:t>
      </w:r>
      <w:r w:rsidR="000659B0" w:rsidRPr="008D59BB">
        <w:rPr>
          <w:rFonts w:ascii="Arial" w:hAnsi="Arial" w:cs="Arial"/>
          <w:sz w:val="24"/>
          <w:szCs w:val="24"/>
        </w:rPr>
        <w:t>[1, 2]</w:t>
      </w:r>
      <w:r w:rsidRPr="008D59BB">
        <w:rPr>
          <w:rFonts w:ascii="Arial" w:hAnsi="Arial" w:cs="Arial"/>
          <w:sz w:val="24"/>
          <w:szCs w:val="24"/>
        </w:rPr>
        <w:t xml:space="preserve">. </w:t>
      </w:r>
      <w:r w:rsidR="00AB7F14" w:rsidRPr="008D59BB">
        <w:rPr>
          <w:rFonts w:ascii="Arial" w:hAnsi="Arial" w:cs="Arial"/>
          <w:sz w:val="24"/>
          <w:szCs w:val="24"/>
        </w:rPr>
        <w:t xml:space="preserve">Hip fractures </w:t>
      </w:r>
      <w:r w:rsidR="006923F7" w:rsidRPr="008D59BB">
        <w:rPr>
          <w:rFonts w:ascii="Arial" w:hAnsi="Arial" w:cs="Arial"/>
          <w:sz w:val="24"/>
          <w:szCs w:val="24"/>
        </w:rPr>
        <w:t xml:space="preserve">are </w:t>
      </w:r>
      <w:r w:rsidR="00AB7F14" w:rsidRPr="008D59BB">
        <w:rPr>
          <w:rFonts w:ascii="Arial" w:hAnsi="Arial" w:cs="Arial"/>
          <w:sz w:val="24"/>
          <w:szCs w:val="24"/>
        </w:rPr>
        <w:t xml:space="preserve">associated with disability which imposes heavy </w:t>
      </w:r>
      <w:r w:rsidR="006A0DD0" w:rsidRPr="008D59BB">
        <w:rPr>
          <w:rFonts w:ascii="Arial" w:hAnsi="Arial" w:cs="Arial"/>
          <w:sz w:val="24"/>
          <w:szCs w:val="24"/>
        </w:rPr>
        <w:t>personal and social costs</w:t>
      </w:r>
      <w:r w:rsidR="00AB7F14" w:rsidRPr="008D59BB">
        <w:rPr>
          <w:rFonts w:ascii="Arial" w:hAnsi="Arial" w:cs="Arial"/>
          <w:sz w:val="24"/>
          <w:szCs w:val="24"/>
        </w:rPr>
        <w:t xml:space="preserve"> </w:t>
      </w:r>
      <w:r w:rsidR="000659B0" w:rsidRPr="008D59BB">
        <w:rPr>
          <w:rFonts w:ascii="Arial" w:hAnsi="Arial" w:cs="Arial"/>
          <w:sz w:val="24"/>
          <w:szCs w:val="24"/>
        </w:rPr>
        <w:t>[1-3]</w:t>
      </w:r>
      <w:r w:rsidR="00AB7F14" w:rsidRPr="008D59BB">
        <w:rPr>
          <w:rFonts w:ascii="Arial" w:hAnsi="Arial" w:cs="Arial"/>
          <w:sz w:val="24"/>
          <w:szCs w:val="24"/>
        </w:rPr>
        <w:t>.</w:t>
      </w:r>
      <w:r w:rsidR="00CF67D2" w:rsidRPr="008D59BB">
        <w:rPr>
          <w:rFonts w:ascii="Arial" w:hAnsi="Arial" w:cs="Arial"/>
          <w:sz w:val="24"/>
          <w:szCs w:val="24"/>
        </w:rPr>
        <w:t xml:space="preserve"> </w:t>
      </w:r>
      <w:r w:rsidRPr="008D59BB">
        <w:rPr>
          <w:rFonts w:ascii="Arial" w:hAnsi="Arial" w:cs="Arial"/>
          <w:sz w:val="24"/>
          <w:szCs w:val="24"/>
        </w:rPr>
        <w:t>Osteoporosis and frequent falls are</w:t>
      </w:r>
      <w:r w:rsidR="00F95F1B" w:rsidRPr="008D59BB">
        <w:rPr>
          <w:rFonts w:ascii="Arial" w:hAnsi="Arial" w:cs="Arial"/>
          <w:sz w:val="24"/>
          <w:szCs w:val="24"/>
        </w:rPr>
        <w:t xml:space="preserve"> interrelated </w:t>
      </w:r>
      <w:r w:rsidR="00601985" w:rsidRPr="008D59BB">
        <w:rPr>
          <w:rFonts w:ascii="Arial" w:hAnsi="Arial" w:cs="Arial"/>
          <w:sz w:val="24"/>
          <w:szCs w:val="24"/>
        </w:rPr>
        <w:t>predisposing</w:t>
      </w:r>
      <w:r w:rsidR="00F95F1B" w:rsidRPr="008D59BB">
        <w:rPr>
          <w:rFonts w:ascii="Arial" w:hAnsi="Arial" w:cs="Arial"/>
          <w:sz w:val="24"/>
          <w:szCs w:val="24"/>
        </w:rPr>
        <w:t xml:space="preserve"> factors </w:t>
      </w:r>
      <w:r w:rsidR="00E42BE8" w:rsidRPr="008D59BB">
        <w:rPr>
          <w:rFonts w:ascii="Arial" w:hAnsi="Arial" w:cs="Arial"/>
          <w:sz w:val="24"/>
          <w:szCs w:val="24"/>
        </w:rPr>
        <w:t>of</w:t>
      </w:r>
      <w:r w:rsidR="00427583" w:rsidRPr="008D59BB">
        <w:rPr>
          <w:rFonts w:ascii="Arial" w:hAnsi="Arial" w:cs="Arial"/>
          <w:sz w:val="24"/>
          <w:szCs w:val="24"/>
        </w:rPr>
        <w:t xml:space="preserve"> bone fractures </w:t>
      </w:r>
      <w:r w:rsidR="000659B0" w:rsidRPr="008D59BB">
        <w:rPr>
          <w:rFonts w:ascii="Arial" w:hAnsi="Arial" w:cs="Arial"/>
          <w:sz w:val="24"/>
          <w:szCs w:val="24"/>
        </w:rPr>
        <w:t>[4]</w:t>
      </w:r>
      <w:r w:rsidR="00427583" w:rsidRPr="008D59BB">
        <w:rPr>
          <w:rFonts w:ascii="Arial" w:hAnsi="Arial" w:cs="Arial"/>
          <w:sz w:val="24"/>
          <w:szCs w:val="24"/>
        </w:rPr>
        <w:t xml:space="preserve">. </w:t>
      </w:r>
      <w:r w:rsidRPr="008D59BB">
        <w:rPr>
          <w:rFonts w:ascii="Arial" w:hAnsi="Arial" w:cs="Arial"/>
          <w:sz w:val="24"/>
          <w:szCs w:val="24"/>
        </w:rPr>
        <w:t>Osteoporosis may arise</w:t>
      </w:r>
      <w:r w:rsidR="00D90742" w:rsidRPr="008D59BB">
        <w:rPr>
          <w:rFonts w:ascii="Arial" w:hAnsi="Arial" w:cs="Arial"/>
          <w:sz w:val="24"/>
          <w:szCs w:val="24"/>
        </w:rPr>
        <w:t xml:space="preserve"> </w:t>
      </w:r>
      <w:r w:rsidR="006F598D" w:rsidRPr="008D59BB">
        <w:rPr>
          <w:rFonts w:ascii="Arial" w:hAnsi="Arial" w:cs="Arial"/>
          <w:sz w:val="24"/>
          <w:szCs w:val="24"/>
        </w:rPr>
        <w:t xml:space="preserve">from </w:t>
      </w:r>
      <w:r w:rsidR="00A24C30" w:rsidRPr="008D59BB">
        <w:rPr>
          <w:rFonts w:ascii="Arial" w:hAnsi="Arial" w:cs="Arial"/>
          <w:sz w:val="24"/>
          <w:szCs w:val="24"/>
        </w:rPr>
        <w:t>physical inactivity</w:t>
      </w:r>
      <w:r w:rsidR="00F95F1B" w:rsidRPr="008D59BB">
        <w:rPr>
          <w:rFonts w:ascii="Arial" w:hAnsi="Arial" w:cs="Arial"/>
          <w:sz w:val="24"/>
          <w:szCs w:val="24"/>
        </w:rPr>
        <w:t xml:space="preserve"> </w:t>
      </w:r>
      <w:r w:rsidR="000659B0" w:rsidRPr="008D59BB">
        <w:rPr>
          <w:rFonts w:ascii="Arial" w:hAnsi="Arial" w:cs="Arial"/>
          <w:sz w:val="24"/>
          <w:szCs w:val="24"/>
        </w:rPr>
        <w:t>[5]</w:t>
      </w:r>
      <w:r w:rsidRPr="008D59BB">
        <w:rPr>
          <w:rFonts w:ascii="Arial" w:hAnsi="Arial" w:cs="Arial"/>
          <w:sz w:val="24"/>
          <w:szCs w:val="24"/>
        </w:rPr>
        <w:t xml:space="preserve">, </w:t>
      </w:r>
      <w:r w:rsidR="00955B61" w:rsidRPr="008D59BB">
        <w:rPr>
          <w:rFonts w:ascii="Arial" w:hAnsi="Arial" w:cs="Arial"/>
          <w:sz w:val="24"/>
          <w:szCs w:val="24"/>
        </w:rPr>
        <w:t>drugs</w:t>
      </w:r>
      <w:r w:rsidRPr="008D59BB">
        <w:rPr>
          <w:rFonts w:ascii="Arial" w:hAnsi="Arial" w:cs="Arial"/>
          <w:sz w:val="24"/>
          <w:szCs w:val="24"/>
        </w:rPr>
        <w:t xml:space="preserve"> such as steroids</w:t>
      </w:r>
      <w:r w:rsidR="00D90742" w:rsidRPr="008D59BB">
        <w:rPr>
          <w:rFonts w:ascii="Arial" w:hAnsi="Arial" w:cs="Arial"/>
          <w:sz w:val="24"/>
          <w:szCs w:val="24"/>
        </w:rPr>
        <w:t xml:space="preserve"> and </w:t>
      </w:r>
      <w:r w:rsidR="00955B61" w:rsidRPr="008D59BB">
        <w:rPr>
          <w:rFonts w:ascii="Arial" w:hAnsi="Arial" w:cs="Arial"/>
          <w:sz w:val="24"/>
          <w:szCs w:val="24"/>
        </w:rPr>
        <w:t>a</w:t>
      </w:r>
      <w:r w:rsidR="00D90742" w:rsidRPr="008D59BB">
        <w:rPr>
          <w:rFonts w:ascii="Arial" w:hAnsi="Arial" w:cs="Arial"/>
          <w:sz w:val="24"/>
          <w:szCs w:val="24"/>
        </w:rPr>
        <w:t xml:space="preserve"> </w:t>
      </w:r>
      <w:r w:rsidRPr="008D59BB">
        <w:rPr>
          <w:rFonts w:ascii="Arial" w:hAnsi="Arial" w:cs="Arial"/>
          <w:sz w:val="24"/>
          <w:szCs w:val="24"/>
        </w:rPr>
        <w:t xml:space="preserve">decline in </w:t>
      </w:r>
      <w:r w:rsidR="00955B61" w:rsidRPr="008D59BB">
        <w:rPr>
          <w:rFonts w:ascii="Arial" w:hAnsi="Arial" w:cs="Arial"/>
          <w:sz w:val="24"/>
          <w:szCs w:val="24"/>
        </w:rPr>
        <w:t xml:space="preserve">the levels of </w:t>
      </w:r>
      <w:r w:rsidRPr="008D59BB">
        <w:rPr>
          <w:rFonts w:ascii="Arial" w:hAnsi="Arial" w:cs="Arial"/>
          <w:sz w:val="24"/>
          <w:szCs w:val="24"/>
        </w:rPr>
        <w:t>sex hormones</w:t>
      </w:r>
      <w:r w:rsidR="00D90742" w:rsidRPr="008D59BB">
        <w:rPr>
          <w:rFonts w:ascii="Arial" w:hAnsi="Arial" w:cs="Arial"/>
          <w:sz w:val="24"/>
          <w:szCs w:val="24"/>
        </w:rPr>
        <w:t xml:space="preserve"> </w:t>
      </w:r>
      <w:r w:rsidR="000659B0" w:rsidRPr="008D59BB">
        <w:rPr>
          <w:rFonts w:ascii="Arial" w:hAnsi="Arial" w:cs="Arial"/>
          <w:sz w:val="24"/>
          <w:szCs w:val="24"/>
        </w:rPr>
        <w:t>[6]</w:t>
      </w:r>
      <w:r w:rsidR="00955B61" w:rsidRPr="008D59BB">
        <w:rPr>
          <w:rFonts w:ascii="Arial" w:hAnsi="Arial" w:cs="Arial"/>
          <w:sz w:val="24"/>
          <w:szCs w:val="24"/>
        </w:rPr>
        <w:t>,</w:t>
      </w:r>
      <w:r w:rsidR="000659B0" w:rsidRPr="008D59BB">
        <w:rPr>
          <w:rFonts w:ascii="Arial" w:hAnsi="Arial" w:cs="Arial"/>
          <w:sz w:val="24"/>
          <w:szCs w:val="24"/>
        </w:rPr>
        <w:t xml:space="preserve"> </w:t>
      </w:r>
      <w:r w:rsidR="00847FD5" w:rsidRPr="008D59BB">
        <w:rPr>
          <w:rFonts w:ascii="Arial" w:hAnsi="Arial" w:cs="Arial"/>
          <w:sz w:val="24"/>
          <w:szCs w:val="24"/>
        </w:rPr>
        <w:t xml:space="preserve">falls </w:t>
      </w:r>
      <w:r w:rsidR="00DC087A" w:rsidRPr="008D59BB">
        <w:rPr>
          <w:rFonts w:ascii="Arial" w:hAnsi="Arial" w:cs="Arial"/>
          <w:sz w:val="24"/>
          <w:szCs w:val="24"/>
        </w:rPr>
        <w:t xml:space="preserve">on the other hand, </w:t>
      </w:r>
      <w:r w:rsidR="00847FD5" w:rsidRPr="008D59BB">
        <w:rPr>
          <w:rFonts w:ascii="Arial" w:hAnsi="Arial" w:cs="Arial"/>
          <w:sz w:val="24"/>
          <w:szCs w:val="24"/>
        </w:rPr>
        <w:t xml:space="preserve">are </w:t>
      </w:r>
      <w:r w:rsidR="00955B61" w:rsidRPr="008D59BB">
        <w:rPr>
          <w:rFonts w:ascii="Arial" w:hAnsi="Arial" w:cs="Arial"/>
          <w:sz w:val="24"/>
          <w:szCs w:val="24"/>
        </w:rPr>
        <w:t>primarily</w:t>
      </w:r>
      <w:r w:rsidR="00847FD5" w:rsidRPr="008D59BB">
        <w:rPr>
          <w:rFonts w:ascii="Arial" w:hAnsi="Arial" w:cs="Arial"/>
          <w:sz w:val="24"/>
          <w:szCs w:val="24"/>
        </w:rPr>
        <w:t xml:space="preserve"> </w:t>
      </w:r>
      <w:r w:rsidR="00DC087A" w:rsidRPr="008D59BB">
        <w:rPr>
          <w:rFonts w:ascii="Arial" w:hAnsi="Arial" w:cs="Arial"/>
          <w:sz w:val="24"/>
          <w:szCs w:val="24"/>
        </w:rPr>
        <w:t>caused by</w:t>
      </w:r>
      <w:r w:rsidR="00847FD5" w:rsidRPr="008D59BB">
        <w:rPr>
          <w:rFonts w:ascii="Arial" w:hAnsi="Arial" w:cs="Arial"/>
          <w:sz w:val="24"/>
          <w:szCs w:val="24"/>
        </w:rPr>
        <w:t xml:space="preserve"> </w:t>
      </w:r>
      <w:r w:rsidR="00E42BE8" w:rsidRPr="008D59BB">
        <w:rPr>
          <w:rFonts w:ascii="Arial" w:hAnsi="Arial" w:cs="Arial"/>
          <w:sz w:val="24"/>
          <w:szCs w:val="24"/>
        </w:rPr>
        <w:t>frailty</w:t>
      </w:r>
      <w:r w:rsidR="008B6F76" w:rsidRPr="008D59BB">
        <w:rPr>
          <w:rFonts w:ascii="Arial" w:hAnsi="Arial" w:cs="Arial"/>
          <w:sz w:val="24"/>
          <w:szCs w:val="24"/>
        </w:rPr>
        <w:t xml:space="preserve"> </w:t>
      </w:r>
      <w:r w:rsidR="000659B0" w:rsidRPr="008D59BB">
        <w:rPr>
          <w:rFonts w:ascii="Arial" w:hAnsi="Arial" w:cs="Arial"/>
          <w:sz w:val="24"/>
          <w:szCs w:val="24"/>
        </w:rPr>
        <w:t>[7]</w:t>
      </w:r>
      <w:r w:rsidR="003B6606" w:rsidRPr="008D59BB">
        <w:rPr>
          <w:rFonts w:ascii="Arial" w:hAnsi="Arial" w:cs="Arial"/>
          <w:sz w:val="24"/>
          <w:szCs w:val="24"/>
        </w:rPr>
        <w:t xml:space="preserve">, </w:t>
      </w:r>
      <w:r w:rsidR="00E42BE8" w:rsidRPr="008D59BB">
        <w:rPr>
          <w:rFonts w:ascii="Arial" w:hAnsi="Arial" w:cs="Arial"/>
          <w:sz w:val="24"/>
          <w:szCs w:val="24"/>
        </w:rPr>
        <w:t xml:space="preserve">poor </w:t>
      </w:r>
      <w:r w:rsidR="003B6606" w:rsidRPr="008D59BB">
        <w:rPr>
          <w:rFonts w:ascii="Arial" w:hAnsi="Arial" w:cs="Arial"/>
          <w:sz w:val="24"/>
          <w:szCs w:val="24"/>
        </w:rPr>
        <w:t xml:space="preserve">vision and </w:t>
      </w:r>
      <w:r w:rsidR="00604F18" w:rsidRPr="008D59BB">
        <w:rPr>
          <w:rFonts w:ascii="Arial" w:hAnsi="Arial" w:cs="Arial"/>
          <w:sz w:val="24"/>
          <w:szCs w:val="24"/>
        </w:rPr>
        <w:t>postural stability</w:t>
      </w:r>
      <w:r w:rsidR="003B6606" w:rsidRPr="008D59BB">
        <w:rPr>
          <w:rFonts w:ascii="Arial" w:hAnsi="Arial" w:cs="Arial"/>
          <w:sz w:val="24"/>
          <w:szCs w:val="24"/>
        </w:rPr>
        <w:t xml:space="preserve"> </w:t>
      </w:r>
      <w:r w:rsidR="000659B0" w:rsidRPr="008D59BB">
        <w:rPr>
          <w:rFonts w:ascii="Arial" w:hAnsi="Arial" w:cs="Arial"/>
          <w:sz w:val="24"/>
          <w:szCs w:val="24"/>
        </w:rPr>
        <w:t>[8]</w:t>
      </w:r>
      <w:r w:rsidR="00E42BE8" w:rsidRPr="008D59BB">
        <w:rPr>
          <w:rFonts w:ascii="Arial" w:hAnsi="Arial" w:cs="Arial"/>
          <w:sz w:val="24"/>
          <w:szCs w:val="24"/>
        </w:rPr>
        <w:t xml:space="preserve">, cognitive decline </w:t>
      </w:r>
      <w:r w:rsidR="000659B0" w:rsidRPr="008D59BB">
        <w:rPr>
          <w:rFonts w:ascii="Arial" w:hAnsi="Arial" w:cs="Arial"/>
          <w:sz w:val="24"/>
          <w:szCs w:val="24"/>
        </w:rPr>
        <w:t>[9]</w:t>
      </w:r>
      <w:r w:rsidR="003E183B" w:rsidRPr="008D59BB">
        <w:rPr>
          <w:rFonts w:ascii="Arial" w:hAnsi="Arial" w:cs="Arial"/>
          <w:sz w:val="24"/>
          <w:szCs w:val="24"/>
        </w:rPr>
        <w:t xml:space="preserve">, </w:t>
      </w:r>
      <w:r w:rsidR="00604F18" w:rsidRPr="008D59BB">
        <w:rPr>
          <w:rFonts w:ascii="Arial" w:hAnsi="Arial" w:cs="Arial"/>
          <w:sz w:val="24"/>
          <w:szCs w:val="24"/>
        </w:rPr>
        <w:t xml:space="preserve">impaired mobility, urinary incontinence </w:t>
      </w:r>
      <w:r w:rsidR="00E42BE8" w:rsidRPr="008D59BB">
        <w:rPr>
          <w:rFonts w:ascii="Arial" w:hAnsi="Arial" w:cs="Arial"/>
          <w:sz w:val="24"/>
          <w:szCs w:val="24"/>
        </w:rPr>
        <w:t xml:space="preserve">and a number of drugs </w:t>
      </w:r>
      <w:r w:rsidR="00EA16FD" w:rsidRPr="008D59BB">
        <w:rPr>
          <w:rFonts w:ascii="Arial" w:hAnsi="Arial" w:cs="Arial"/>
          <w:sz w:val="24"/>
          <w:szCs w:val="24"/>
        </w:rPr>
        <w:t>[10]</w:t>
      </w:r>
      <w:r w:rsidR="00634A95" w:rsidRPr="008D59BB">
        <w:rPr>
          <w:rFonts w:ascii="Arial" w:hAnsi="Arial" w:cs="Arial"/>
          <w:sz w:val="24"/>
          <w:szCs w:val="24"/>
        </w:rPr>
        <w:t xml:space="preserve">. </w:t>
      </w:r>
      <w:r w:rsidR="00BA3CE4" w:rsidRPr="008D59BB">
        <w:rPr>
          <w:rFonts w:ascii="Arial" w:hAnsi="Arial" w:cs="Arial"/>
          <w:sz w:val="24"/>
          <w:szCs w:val="24"/>
        </w:rPr>
        <w:t>Common conditions such as u</w:t>
      </w:r>
      <w:r w:rsidR="00604F18" w:rsidRPr="008D59BB">
        <w:rPr>
          <w:rFonts w:ascii="Arial" w:hAnsi="Arial" w:cs="Arial"/>
          <w:sz w:val="24"/>
          <w:szCs w:val="24"/>
        </w:rPr>
        <w:t xml:space="preserve">rinary </w:t>
      </w:r>
      <w:r w:rsidR="000659B0" w:rsidRPr="008D59BB">
        <w:rPr>
          <w:rFonts w:ascii="Arial" w:hAnsi="Arial" w:cs="Arial"/>
          <w:sz w:val="24"/>
          <w:szCs w:val="24"/>
        </w:rPr>
        <w:t>[1</w:t>
      </w:r>
      <w:r w:rsidR="00EA16FD" w:rsidRPr="008D59BB">
        <w:rPr>
          <w:rFonts w:ascii="Arial" w:hAnsi="Arial" w:cs="Arial"/>
          <w:sz w:val="24"/>
          <w:szCs w:val="24"/>
        </w:rPr>
        <w:t>1</w:t>
      </w:r>
      <w:r w:rsidR="000659B0" w:rsidRPr="008D59BB">
        <w:rPr>
          <w:rFonts w:ascii="Arial" w:hAnsi="Arial" w:cs="Arial"/>
          <w:sz w:val="24"/>
          <w:szCs w:val="24"/>
        </w:rPr>
        <w:t xml:space="preserve">] </w:t>
      </w:r>
      <w:r w:rsidR="00634A95" w:rsidRPr="008D59BB">
        <w:rPr>
          <w:rFonts w:ascii="Arial" w:hAnsi="Arial" w:cs="Arial"/>
          <w:sz w:val="24"/>
          <w:szCs w:val="24"/>
        </w:rPr>
        <w:t>and lower respiratory tract infection</w:t>
      </w:r>
      <w:r w:rsidR="00BA3CE4" w:rsidRPr="008D59BB">
        <w:rPr>
          <w:rFonts w:ascii="Arial" w:hAnsi="Arial" w:cs="Arial"/>
          <w:sz w:val="24"/>
          <w:szCs w:val="24"/>
        </w:rPr>
        <w:t>s</w:t>
      </w:r>
      <w:r w:rsidR="00634A95" w:rsidRPr="008D59BB">
        <w:rPr>
          <w:rFonts w:ascii="Arial" w:hAnsi="Arial" w:cs="Arial"/>
          <w:sz w:val="24"/>
          <w:szCs w:val="24"/>
        </w:rPr>
        <w:t xml:space="preserve"> </w:t>
      </w:r>
      <w:r w:rsidR="006F598D" w:rsidRPr="008D59BB">
        <w:rPr>
          <w:rFonts w:ascii="Arial" w:hAnsi="Arial" w:cs="Arial"/>
          <w:sz w:val="24"/>
          <w:szCs w:val="24"/>
        </w:rPr>
        <w:t xml:space="preserve">often co-exist with frequent falls </w:t>
      </w:r>
      <w:r w:rsidR="000659B0" w:rsidRPr="008D59BB">
        <w:rPr>
          <w:rFonts w:ascii="Arial" w:hAnsi="Arial" w:cs="Arial"/>
          <w:sz w:val="24"/>
          <w:szCs w:val="24"/>
        </w:rPr>
        <w:t>[1</w:t>
      </w:r>
      <w:r w:rsidR="00EA16FD" w:rsidRPr="008D59BB">
        <w:rPr>
          <w:rFonts w:ascii="Arial" w:hAnsi="Arial" w:cs="Arial"/>
          <w:sz w:val="24"/>
          <w:szCs w:val="24"/>
        </w:rPr>
        <w:t>2</w:t>
      </w:r>
      <w:r w:rsidR="000659B0" w:rsidRPr="008D59BB">
        <w:rPr>
          <w:rFonts w:ascii="Arial" w:hAnsi="Arial" w:cs="Arial"/>
          <w:sz w:val="24"/>
          <w:szCs w:val="24"/>
        </w:rPr>
        <w:t>]</w:t>
      </w:r>
      <w:r w:rsidR="00227E0B" w:rsidRPr="008D59BB">
        <w:rPr>
          <w:rFonts w:ascii="Arial" w:hAnsi="Arial" w:cs="Arial"/>
          <w:sz w:val="24"/>
          <w:szCs w:val="24"/>
        </w:rPr>
        <w:t xml:space="preserve">. </w:t>
      </w:r>
      <w:r w:rsidR="00BA3CE4" w:rsidRPr="008D59BB">
        <w:rPr>
          <w:rFonts w:ascii="Arial" w:hAnsi="Arial" w:cs="Arial"/>
          <w:sz w:val="24"/>
          <w:szCs w:val="24"/>
        </w:rPr>
        <w:t>All of t</w:t>
      </w:r>
      <w:r w:rsidR="00227E0B" w:rsidRPr="008D59BB">
        <w:rPr>
          <w:rFonts w:ascii="Arial" w:hAnsi="Arial" w:cs="Arial"/>
          <w:sz w:val="24"/>
          <w:szCs w:val="24"/>
        </w:rPr>
        <w:t>hese</w:t>
      </w:r>
      <w:r w:rsidR="00955B61" w:rsidRPr="008D59BB">
        <w:rPr>
          <w:rFonts w:ascii="Arial" w:hAnsi="Arial" w:cs="Arial"/>
          <w:sz w:val="24"/>
          <w:szCs w:val="24"/>
        </w:rPr>
        <w:t xml:space="preserve"> risk</w:t>
      </w:r>
      <w:r w:rsidR="00227E0B" w:rsidRPr="008D59BB">
        <w:rPr>
          <w:rFonts w:ascii="Arial" w:hAnsi="Arial" w:cs="Arial"/>
          <w:sz w:val="24"/>
          <w:szCs w:val="24"/>
        </w:rPr>
        <w:t xml:space="preserve"> factors are closely</w:t>
      </w:r>
      <w:r w:rsidR="00955B61" w:rsidRPr="008D59BB">
        <w:rPr>
          <w:rFonts w:ascii="Arial" w:hAnsi="Arial" w:cs="Arial"/>
          <w:sz w:val="24"/>
          <w:szCs w:val="24"/>
        </w:rPr>
        <w:t xml:space="preserve"> and</w:t>
      </w:r>
      <w:r w:rsidR="00227E0B" w:rsidRPr="008D59BB">
        <w:rPr>
          <w:rFonts w:ascii="Arial" w:hAnsi="Arial" w:cs="Arial"/>
          <w:sz w:val="24"/>
          <w:szCs w:val="24"/>
        </w:rPr>
        <w:t xml:space="preserve"> </w:t>
      </w:r>
      <w:r w:rsidR="00955B61" w:rsidRPr="008D59BB">
        <w:rPr>
          <w:rFonts w:ascii="Arial" w:hAnsi="Arial" w:cs="Arial"/>
          <w:sz w:val="24"/>
          <w:szCs w:val="24"/>
        </w:rPr>
        <w:t xml:space="preserve">reciprocally </w:t>
      </w:r>
      <w:r w:rsidR="00BA3CE4" w:rsidRPr="008D59BB">
        <w:rPr>
          <w:rFonts w:ascii="Arial" w:hAnsi="Arial" w:cs="Arial"/>
          <w:sz w:val="24"/>
          <w:szCs w:val="24"/>
        </w:rPr>
        <w:t>related</w:t>
      </w:r>
      <w:r w:rsidR="00227E0B" w:rsidRPr="008D59BB">
        <w:rPr>
          <w:rFonts w:ascii="Arial" w:hAnsi="Arial" w:cs="Arial"/>
          <w:sz w:val="24"/>
          <w:szCs w:val="24"/>
        </w:rPr>
        <w:t xml:space="preserve"> </w:t>
      </w:r>
      <w:r w:rsidR="00BA3CE4" w:rsidRPr="008D59BB">
        <w:rPr>
          <w:rFonts w:ascii="Arial" w:hAnsi="Arial" w:cs="Arial"/>
          <w:sz w:val="24"/>
          <w:szCs w:val="24"/>
        </w:rPr>
        <w:t>to</w:t>
      </w:r>
      <w:r w:rsidR="00227E0B" w:rsidRPr="008D59BB">
        <w:rPr>
          <w:rFonts w:ascii="Arial" w:hAnsi="Arial" w:cs="Arial"/>
          <w:sz w:val="24"/>
          <w:szCs w:val="24"/>
        </w:rPr>
        <w:t xml:space="preserve"> </w:t>
      </w:r>
      <w:r w:rsidR="006923F7" w:rsidRPr="008D59BB">
        <w:rPr>
          <w:rFonts w:ascii="Arial" w:hAnsi="Arial" w:cs="Arial"/>
          <w:sz w:val="24"/>
          <w:szCs w:val="24"/>
        </w:rPr>
        <w:t xml:space="preserve">the </w:t>
      </w:r>
      <w:r w:rsidR="00227E0B" w:rsidRPr="008D59BB">
        <w:rPr>
          <w:rFonts w:ascii="Arial" w:hAnsi="Arial" w:cs="Arial"/>
          <w:sz w:val="24"/>
          <w:szCs w:val="24"/>
        </w:rPr>
        <w:t>nutrit</w:t>
      </w:r>
      <w:r w:rsidR="00BA3CE4" w:rsidRPr="008D59BB">
        <w:rPr>
          <w:rFonts w:ascii="Arial" w:hAnsi="Arial" w:cs="Arial"/>
          <w:sz w:val="24"/>
          <w:szCs w:val="24"/>
        </w:rPr>
        <w:t xml:space="preserve">ional status of the </w:t>
      </w:r>
      <w:r w:rsidR="00955B61" w:rsidRPr="008D59BB">
        <w:rPr>
          <w:rFonts w:ascii="Arial" w:hAnsi="Arial" w:cs="Arial"/>
          <w:sz w:val="24"/>
          <w:szCs w:val="24"/>
        </w:rPr>
        <w:t>individual</w:t>
      </w:r>
      <w:r w:rsidR="00CD780F" w:rsidRPr="008D59BB">
        <w:rPr>
          <w:rFonts w:ascii="Arial" w:hAnsi="Arial" w:cs="Arial"/>
          <w:sz w:val="24"/>
          <w:szCs w:val="24"/>
        </w:rPr>
        <w:t xml:space="preserve">; poor nutrition </w:t>
      </w:r>
      <w:r w:rsidR="00955B61" w:rsidRPr="008D59BB">
        <w:rPr>
          <w:rFonts w:ascii="Arial" w:hAnsi="Arial" w:cs="Arial"/>
          <w:sz w:val="24"/>
          <w:szCs w:val="24"/>
        </w:rPr>
        <w:t>leads to</w:t>
      </w:r>
      <w:r w:rsidR="00CD780F" w:rsidRPr="008D59BB">
        <w:rPr>
          <w:rFonts w:ascii="Arial" w:hAnsi="Arial" w:cs="Arial"/>
          <w:sz w:val="24"/>
          <w:szCs w:val="24"/>
        </w:rPr>
        <w:t xml:space="preserve"> physical and mental </w:t>
      </w:r>
      <w:r w:rsidR="00DC087A" w:rsidRPr="008D59BB">
        <w:rPr>
          <w:rFonts w:ascii="Arial" w:hAnsi="Arial" w:cs="Arial"/>
          <w:sz w:val="24"/>
          <w:szCs w:val="24"/>
        </w:rPr>
        <w:t>impairment</w:t>
      </w:r>
      <w:r w:rsidR="00CD780F" w:rsidRPr="008D59BB">
        <w:rPr>
          <w:rFonts w:ascii="Arial" w:hAnsi="Arial" w:cs="Arial"/>
          <w:sz w:val="24"/>
          <w:szCs w:val="24"/>
        </w:rPr>
        <w:t xml:space="preserve">, </w:t>
      </w:r>
      <w:r w:rsidR="00955B61" w:rsidRPr="008D59BB">
        <w:rPr>
          <w:rFonts w:ascii="Arial" w:hAnsi="Arial" w:cs="Arial"/>
          <w:sz w:val="24"/>
          <w:szCs w:val="24"/>
        </w:rPr>
        <w:t>predisposing an individual to</w:t>
      </w:r>
      <w:r w:rsidR="00CD780F" w:rsidRPr="008D59BB">
        <w:rPr>
          <w:rFonts w:ascii="Arial" w:hAnsi="Arial" w:cs="Arial"/>
          <w:sz w:val="24"/>
          <w:szCs w:val="24"/>
        </w:rPr>
        <w:t xml:space="preserve"> osteoporosis and falls, and conversely </w:t>
      </w:r>
      <w:r w:rsidR="00DC087A" w:rsidRPr="008D59BB">
        <w:rPr>
          <w:rFonts w:ascii="Arial" w:hAnsi="Arial" w:cs="Arial"/>
          <w:sz w:val="24"/>
          <w:szCs w:val="24"/>
        </w:rPr>
        <w:t xml:space="preserve">these described </w:t>
      </w:r>
      <w:r w:rsidR="00CD780F" w:rsidRPr="008D59BB">
        <w:rPr>
          <w:rFonts w:ascii="Arial" w:hAnsi="Arial" w:cs="Arial"/>
          <w:sz w:val="24"/>
          <w:szCs w:val="24"/>
        </w:rPr>
        <w:t xml:space="preserve">conditions </w:t>
      </w:r>
      <w:r w:rsidR="000B2F9C" w:rsidRPr="008D59BB">
        <w:rPr>
          <w:rFonts w:ascii="Arial" w:hAnsi="Arial" w:cs="Arial"/>
          <w:sz w:val="24"/>
          <w:szCs w:val="24"/>
        </w:rPr>
        <w:t>can often</w:t>
      </w:r>
      <w:r w:rsidR="00BA3CE4" w:rsidRPr="008D59BB">
        <w:rPr>
          <w:rFonts w:ascii="Arial" w:hAnsi="Arial" w:cs="Arial"/>
          <w:sz w:val="24"/>
          <w:szCs w:val="24"/>
        </w:rPr>
        <w:t xml:space="preserve"> lead to </w:t>
      </w:r>
      <w:r w:rsidR="00955B61" w:rsidRPr="008D59BB">
        <w:rPr>
          <w:rFonts w:ascii="Arial" w:hAnsi="Arial" w:cs="Arial"/>
          <w:sz w:val="24"/>
          <w:szCs w:val="24"/>
        </w:rPr>
        <w:t>inadequate nutritional intake</w:t>
      </w:r>
      <w:r w:rsidR="00CD780F" w:rsidRPr="008D59BB">
        <w:rPr>
          <w:rFonts w:ascii="Arial" w:hAnsi="Arial" w:cs="Arial"/>
          <w:sz w:val="24"/>
          <w:szCs w:val="24"/>
        </w:rPr>
        <w:t>.</w:t>
      </w:r>
      <w:r w:rsidR="006A315B" w:rsidRPr="008D59BB">
        <w:rPr>
          <w:rFonts w:ascii="Arial" w:hAnsi="Arial" w:cs="Arial"/>
          <w:sz w:val="24"/>
          <w:szCs w:val="24"/>
        </w:rPr>
        <w:t xml:space="preserve"> </w:t>
      </w:r>
      <w:r w:rsidR="002D2647" w:rsidRPr="008D59BB">
        <w:rPr>
          <w:rFonts w:ascii="Arial" w:hAnsi="Arial" w:cs="Arial"/>
          <w:sz w:val="24"/>
          <w:szCs w:val="24"/>
        </w:rPr>
        <w:t>Despite medical and healthcare advances, and the understanding of the role of nutrition in the aetiology of chronic diseases, malnutrition and malnourishment remain highly prevalent in modern societies</w:t>
      </w:r>
      <w:r w:rsidR="006A315B" w:rsidRPr="008D59BB">
        <w:rPr>
          <w:rFonts w:ascii="Arial" w:hAnsi="Arial" w:cs="Arial"/>
          <w:sz w:val="24"/>
          <w:szCs w:val="24"/>
        </w:rPr>
        <w:t xml:space="preserve"> [13]. </w:t>
      </w:r>
    </w:p>
    <w:p w14:paraId="1B3A7735" w14:textId="77777777" w:rsidR="006A315B" w:rsidRPr="008D59BB" w:rsidRDefault="006A315B" w:rsidP="003B0E64">
      <w:pPr>
        <w:spacing w:after="0" w:line="480" w:lineRule="auto"/>
        <w:jc w:val="both"/>
        <w:rPr>
          <w:rFonts w:ascii="Arial" w:hAnsi="Arial" w:cs="Arial"/>
          <w:sz w:val="24"/>
          <w:szCs w:val="24"/>
        </w:rPr>
      </w:pPr>
    </w:p>
    <w:p w14:paraId="2CFBEA85" w14:textId="10894B3A" w:rsidR="00D90742" w:rsidRPr="008D59BB" w:rsidRDefault="006923F7" w:rsidP="003B0E64">
      <w:pPr>
        <w:spacing w:after="0" w:line="480" w:lineRule="auto"/>
        <w:jc w:val="both"/>
        <w:rPr>
          <w:rFonts w:ascii="Arial" w:hAnsi="Arial" w:cs="Arial"/>
          <w:sz w:val="24"/>
          <w:szCs w:val="24"/>
        </w:rPr>
      </w:pPr>
      <w:r w:rsidRPr="008D59BB">
        <w:rPr>
          <w:rFonts w:ascii="Arial" w:hAnsi="Arial" w:cs="Arial"/>
          <w:sz w:val="24"/>
          <w:szCs w:val="24"/>
        </w:rPr>
        <w:t xml:space="preserve">The nutritional </w:t>
      </w:r>
      <w:r w:rsidR="005A30C9" w:rsidRPr="008D59BB">
        <w:rPr>
          <w:rFonts w:ascii="Arial" w:hAnsi="Arial" w:cs="Arial"/>
          <w:sz w:val="24"/>
          <w:szCs w:val="24"/>
        </w:rPr>
        <w:t xml:space="preserve">status of an individual is </w:t>
      </w:r>
      <w:r w:rsidR="002D2647" w:rsidRPr="008D59BB">
        <w:rPr>
          <w:rFonts w:ascii="Arial" w:hAnsi="Arial" w:cs="Arial"/>
          <w:sz w:val="24"/>
          <w:szCs w:val="24"/>
        </w:rPr>
        <w:t xml:space="preserve">undoubtedly </w:t>
      </w:r>
      <w:r w:rsidR="005A30C9" w:rsidRPr="008D59BB">
        <w:rPr>
          <w:rFonts w:ascii="Arial" w:hAnsi="Arial" w:cs="Arial"/>
          <w:sz w:val="24"/>
          <w:szCs w:val="24"/>
        </w:rPr>
        <w:t xml:space="preserve">an important indicator of their health status during the period leading to a hip fracture, and a prognostic marker for recovery potential. </w:t>
      </w:r>
      <w:r w:rsidR="009F6673" w:rsidRPr="008D59BB">
        <w:rPr>
          <w:rFonts w:ascii="Arial" w:hAnsi="Arial" w:cs="Arial"/>
          <w:sz w:val="24"/>
          <w:szCs w:val="24"/>
        </w:rPr>
        <w:t xml:space="preserve">Previous studies on nutritional status in patients admitted with a hip fracture focussed primarily on mortality [14], while its association with other complications </w:t>
      </w:r>
      <w:r w:rsidR="00445F85" w:rsidRPr="008D59BB">
        <w:rPr>
          <w:rFonts w:ascii="Arial" w:hAnsi="Arial" w:cs="Arial"/>
          <w:sz w:val="24"/>
          <w:szCs w:val="24"/>
        </w:rPr>
        <w:t>is surprisingly scarce</w:t>
      </w:r>
      <w:r w:rsidR="009F6673" w:rsidRPr="008D59BB">
        <w:rPr>
          <w:rFonts w:ascii="Arial" w:hAnsi="Arial" w:cs="Arial"/>
          <w:sz w:val="24"/>
          <w:szCs w:val="24"/>
        </w:rPr>
        <w:t xml:space="preserve"> and mostly based on</w:t>
      </w:r>
      <w:r w:rsidR="00594ADE" w:rsidRPr="008D59BB">
        <w:rPr>
          <w:rFonts w:ascii="Arial" w:hAnsi="Arial" w:cs="Arial"/>
          <w:sz w:val="24"/>
          <w:szCs w:val="24"/>
        </w:rPr>
        <w:t xml:space="preserve"> </w:t>
      </w:r>
      <w:r w:rsidR="00445F85" w:rsidRPr="008D59BB">
        <w:rPr>
          <w:rFonts w:ascii="Arial" w:hAnsi="Arial" w:cs="Arial"/>
          <w:sz w:val="24"/>
          <w:szCs w:val="24"/>
        </w:rPr>
        <w:t xml:space="preserve">small </w:t>
      </w:r>
      <w:r w:rsidR="009F6673" w:rsidRPr="008D59BB">
        <w:rPr>
          <w:rFonts w:ascii="Arial" w:hAnsi="Arial" w:cs="Arial"/>
          <w:sz w:val="24"/>
          <w:szCs w:val="24"/>
        </w:rPr>
        <w:t>samples</w:t>
      </w:r>
      <w:r w:rsidR="00445F85" w:rsidRPr="008D59BB">
        <w:rPr>
          <w:rFonts w:ascii="Arial" w:hAnsi="Arial" w:cs="Arial"/>
          <w:sz w:val="24"/>
          <w:szCs w:val="24"/>
        </w:rPr>
        <w:t xml:space="preserve"> </w:t>
      </w:r>
      <w:r w:rsidR="007A47FF" w:rsidRPr="008D59BB">
        <w:rPr>
          <w:rFonts w:ascii="Arial" w:hAnsi="Arial" w:cs="Arial"/>
          <w:sz w:val="24"/>
          <w:szCs w:val="24"/>
        </w:rPr>
        <w:t>[1</w:t>
      </w:r>
      <w:r w:rsidR="009F6673" w:rsidRPr="008D59BB">
        <w:rPr>
          <w:rFonts w:ascii="Arial" w:hAnsi="Arial" w:cs="Arial"/>
          <w:sz w:val="24"/>
          <w:szCs w:val="24"/>
        </w:rPr>
        <w:t>5</w:t>
      </w:r>
      <w:r w:rsidR="007A47FF" w:rsidRPr="008D59BB">
        <w:rPr>
          <w:rFonts w:ascii="Arial" w:hAnsi="Arial" w:cs="Arial"/>
          <w:sz w:val="24"/>
          <w:szCs w:val="24"/>
        </w:rPr>
        <w:t>, 1</w:t>
      </w:r>
      <w:r w:rsidR="009F6673" w:rsidRPr="008D59BB">
        <w:rPr>
          <w:rFonts w:ascii="Arial" w:hAnsi="Arial" w:cs="Arial"/>
          <w:sz w:val="24"/>
          <w:szCs w:val="24"/>
        </w:rPr>
        <w:t>6</w:t>
      </w:r>
      <w:r w:rsidR="007A47FF" w:rsidRPr="008D59BB">
        <w:rPr>
          <w:rFonts w:ascii="Arial" w:hAnsi="Arial" w:cs="Arial"/>
          <w:sz w:val="24"/>
          <w:szCs w:val="24"/>
        </w:rPr>
        <w:t>]</w:t>
      </w:r>
      <w:r w:rsidR="00445F85" w:rsidRPr="008D59BB">
        <w:rPr>
          <w:rFonts w:ascii="Arial" w:hAnsi="Arial" w:cs="Arial"/>
          <w:sz w:val="24"/>
          <w:szCs w:val="24"/>
        </w:rPr>
        <w:t>.</w:t>
      </w:r>
      <w:r w:rsidR="00911B8F" w:rsidRPr="008D59BB">
        <w:rPr>
          <w:rFonts w:ascii="Arial" w:hAnsi="Arial" w:cs="Arial"/>
          <w:sz w:val="24"/>
          <w:szCs w:val="24"/>
        </w:rPr>
        <w:t xml:space="preserve"> </w:t>
      </w:r>
      <w:r w:rsidR="00CF0739" w:rsidRPr="008D59BB">
        <w:rPr>
          <w:rFonts w:ascii="Arial" w:hAnsi="Arial" w:cs="Arial"/>
          <w:sz w:val="24"/>
          <w:szCs w:val="24"/>
        </w:rPr>
        <w:t>In this study of older patients admitted with a hip fracture</w:t>
      </w:r>
      <w:r w:rsidR="00624917" w:rsidRPr="008D59BB">
        <w:rPr>
          <w:rFonts w:ascii="Arial" w:hAnsi="Arial" w:cs="Arial"/>
          <w:sz w:val="24"/>
          <w:szCs w:val="24"/>
        </w:rPr>
        <w:t xml:space="preserve">, we </w:t>
      </w:r>
      <w:r w:rsidR="00911B8F" w:rsidRPr="008D59BB">
        <w:rPr>
          <w:rFonts w:ascii="Arial" w:hAnsi="Arial" w:cs="Arial"/>
          <w:sz w:val="24"/>
          <w:szCs w:val="24"/>
        </w:rPr>
        <w:t>sought</w:t>
      </w:r>
      <w:r w:rsidR="00624917" w:rsidRPr="008D59BB">
        <w:rPr>
          <w:rFonts w:ascii="Arial" w:hAnsi="Arial" w:cs="Arial"/>
          <w:sz w:val="24"/>
          <w:szCs w:val="24"/>
        </w:rPr>
        <w:t xml:space="preserve"> to </w:t>
      </w:r>
      <w:r w:rsidR="00911B8F" w:rsidRPr="008D59BB">
        <w:rPr>
          <w:rFonts w:ascii="Arial" w:hAnsi="Arial" w:cs="Arial"/>
          <w:sz w:val="24"/>
          <w:szCs w:val="24"/>
        </w:rPr>
        <w:t>measure</w:t>
      </w:r>
      <w:r w:rsidR="00D90742" w:rsidRPr="008D59BB">
        <w:rPr>
          <w:rFonts w:ascii="Arial" w:hAnsi="Arial" w:cs="Arial"/>
          <w:sz w:val="24"/>
          <w:szCs w:val="24"/>
        </w:rPr>
        <w:t xml:space="preserve"> the prevalence of </w:t>
      </w:r>
      <w:r w:rsidR="00CF0739" w:rsidRPr="008D59BB">
        <w:rPr>
          <w:rFonts w:ascii="Arial" w:hAnsi="Arial" w:cs="Arial"/>
          <w:sz w:val="24"/>
          <w:szCs w:val="24"/>
        </w:rPr>
        <w:t xml:space="preserve">risk of </w:t>
      </w:r>
      <w:r w:rsidR="00D90742" w:rsidRPr="008D59BB">
        <w:rPr>
          <w:rFonts w:ascii="Arial" w:hAnsi="Arial" w:cs="Arial"/>
          <w:sz w:val="24"/>
          <w:szCs w:val="24"/>
        </w:rPr>
        <w:t>malnutrition and malnourishment in relation to a</w:t>
      </w:r>
      <w:r w:rsidR="00B813B0" w:rsidRPr="008D59BB">
        <w:rPr>
          <w:rFonts w:ascii="Arial" w:hAnsi="Arial" w:cs="Arial"/>
          <w:sz w:val="24"/>
          <w:szCs w:val="24"/>
        </w:rPr>
        <w:t xml:space="preserve">ge and </w:t>
      </w:r>
      <w:r w:rsidR="006F598D" w:rsidRPr="008D59BB">
        <w:rPr>
          <w:rFonts w:ascii="Arial" w:hAnsi="Arial" w:cs="Arial"/>
          <w:sz w:val="24"/>
          <w:szCs w:val="24"/>
        </w:rPr>
        <w:t xml:space="preserve">the </w:t>
      </w:r>
      <w:r w:rsidR="00B813B0" w:rsidRPr="008D59BB">
        <w:rPr>
          <w:rFonts w:ascii="Arial" w:hAnsi="Arial" w:cs="Arial"/>
          <w:sz w:val="24"/>
          <w:szCs w:val="24"/>
        </w:rPr>
        <w:t>type of</w:t>
      </w:r>
      <w:r w:rsidR="006F598D" w:rsidRPr="008D59BB">
        <w:rPr>
          <w:rFonts w:ascii="Arial" w:hAnsi="Arial" w:cs="Arial"/>
          <w:sz w:val="24"/>
          <w:szCs w:val="24"/>
        </w:rPr>
        <w:t xml:space="preserve"> their residency</w:t>
      </w:r>
      <w:r w:rsidR="00D90742" w:rsidRPr="008D59BB">
        <w:rPr>
          <w:rFonts w:ascii="Arial" w:hAnsi="Arial" w:cs="Arial"/>
          <w:sz w:val="24"/>
          <w:szCs w:val="24"/>
        </w:rPr>
        <w:t xml:space="preserve"> before admission, and </w:t>
      </w:r>
      <w:r w:rsidR="00911B8F" w:rsidRPr="008D59BB">
        <w:rPr>
          <w:rFonts w:ascii="Arial" w:hAnsi="Arial" w:cs="Arial"/>
          <w:sz w:val="24"/>
          <w:szCs w:val="24"/>
        </w:rPr>
        <w:t xml:space="preserve">to evaluate </w:t>
      </w:r>
      <w:r w:rsidR="00624917" w:rsidRPr="008D59BB">
        <w:rPr>
          <w:rFonts w:ascii="Arial" w:hAnsi="Arial" w:cs="Arial"/>
          <w:sz w:val="24"/>
          <w:szCs w:val="24"/>
        </w:rPr>
        <w:t xml:space="preserve">the </w:t>
      </w:r>
      <w:r w:rsidR="00911B8F" w:rsidRPr="008D59BB">
        <w:rPr>
          <w:rFonts w:ascii="Arial" w:hAnsi="Arial" w:cs="Arial"/>
          <w:sz w:val="24"/>
          <w:szCs w:val="24"/>
        </w:rPr>
        <w:t>complications</w:t>
      </w:r>
      <w:r w:rsidR="00B813B0" w:rsidRPr="008D59BB">
        <w:rPr>
          <w:rFonts w:ascii="Arial" w:hAnsi="Arial" w:cs="Arial"/>
          <w:sz w:val="24"/>
          <w:szCs w:val="24"/>
        </w:rPr>
        <w:t xml:space="preserve"> </w:t>
      </w:r>
      <w:r w:rsidR="0066609D" w:rsidRPr="008D59BB">
        <w:rPr>
          <w:rFonts w:ascii="Arial" w:hAnsi="Arial" w:cs="Arial"/>
          <w:sz w:val="24"/>
          <w:szCs w:val="24"/>
        </w:rPr>
        <w:t>of</w:t>
      </w:r>
      <w:r w:rsidR="00D90742" w:rsidRPr="008D59BB">
        <w:rPr>
          <w:rFonts w:ascii="Arial" w:hAnsi="Arial" w:cs="Arial"/>
          <w:sz w:val="24"/>
          <w:szCs w:val="24"/>
        </w:rPr>
        <w:t xml:space="preserve"> malnutrition</w:t>
      </w:r>
      <w:r w:rsidR="00E224A7" w:rsidRPr="008D59BB">
        <w:rPr>
          <w:rFonts w:ascii="Arial" w:hAnsi="Arial" w:cs="Arial"/>
          <w:sz w:val="24"/>
          <w:szCs w:val="24"/>
        </w:rPr>
        <w:t xml:space="preserve"> </w:t>
      </w:r>
      <w:r w:rsidR="00E224A7" w:rsidRPr="008D59BB">
        <w:rPr>
          <w:rFonts w:ascii="Arial" w:hAnsi="Arial" w:cs="Arial"/>
          <w:sz w:val="24"/>
          <w:szCs w:val="24"/>
        </w:rPr>
        <w:lastRenderedPageBreak/>
        <w:t>and malnourishment including mobility 1-day after surgery (</w:t>
      </w:r>
      <w:r w:rsidRPr="008D59BB">
        <w:rPr>
          <w:rFonts w:ascii="Arial" w:hAnsi="Arial" w:cs="Arial"/>
          <w:sz w:val="24"/>
          <w:szCs w:val="24"/>
        </w:rPr>
        <w:t xml:space="preserve">an </w:t>
      </w:r>
      <w:r w:rsidR="00CB7E9D" w:rsidRPr="008D59BB">
        <w:rPr>
          <w:rFonts w:ascii="Arial" w:hAnsi="Arial" w:cs="Arial"/>
          <w:sz w:val="24"/>
          <w:szCs w:val="24"/>
        </w:rPr>
        <w:t>indicator</w:t>
      </w:r>
      <w:r w:rsidR="00E224A7" w:rsidRPr="008D59BB">
        <w:rPr>
          <w:rFonts w:ascii="Arial" w:hAnsi="Arial" w:cs="Arial"/>
          <w:sz w:val="24"/>
          <w:szCs w:val="24"/>
        </w:rPr>
        <w:t xml:space="preserve"> of rapid </w:t>
      </w:r>
      <w:r w:rsidR="000771C7" w:rsidRPr="008D59BB">
        <w:rPr>
          <w:rFonts w:ascii="Arial" w:hAnsi="Arial" w:cs="Arial"/>
          <w:sz w:val="24"/>
          <w:szCs w:val="24"/>
        </w:rPr>
        <w:t xml:space="preserve">functional </w:t>
      </w:r>
      <w:r w:rsidR="00E224A7" w:rsidRPr="008D59BB">
        <w:rPr>
          <w:rFonts w:ascii="Arial" w:hAnsi="Arial" w:cs="Arial"/>
          <w:sz w:val="24"/>
          <w:szCs w:val="24"/>
        </w:rPr>
        <w:t xml:space="preserve">recovery), </w:t>
      </w:r>
      <w:r w:rsidR="00431D7C" w:rsidRPr="008D59BB">
        <w:rPr>
          <w:rFonts w:ascii="Arial" w:hAnsi="Arial" w:cs="Arial"/>
          <w:sz w:val="24"/>
          <w:szCs w:val="24"/>
        </w:rPr>
        <w:t xml:space="preserve">pressure ulcers, </w:t>
      </w:r>
      <w:r w:rsidR="00E224A7" w:rsidRPr="008D59BB">
        <w:rPr>
          <w:rFonts w:ascii="Arial" w:hAnsi="Arial" w:cs="Arial"/>
          <w:sz w:val="24"/>
          <w:szCs w:val="24"/>
        </w:rPr>
        <w:t>length of stay (LOS) and deaths in hospital, as well as discharge destination.</w:t>
      </w:r>
    </w:p>
    <w:p w14:paraId="5760C7FB" w14:textId="77777777" w:rsidR="00B25AD6" w:rsidRPr="008D59BB" w:rsidRDefault="00B25AD6" w:rsidP="003B0E64">
      <w:pPr>
        <w:spacing w:after="0" w:line="480" w:lineRule="auto"/>
        <w:jc w:val="both"/>
        <w:rPr>
          <w:rFonts w:ascii="Arial" w:hAnsi="Arial" w:cs="Arial"/>
          <w:sz w:val="24"/>
          <w:szCs w:val="24"/>
        </w:rPr>
      </w:pPr>
    </w:p>
    <w:p w14:paraId="36E4D5F4" w14:textId="77777777" w:rsidR="00B25AD6" w:rsidRPr="008D59BB" w:rsidRDefault="00B25AD6" w:rsidP="00B25AD6">
      <w:pPr>
        <w:tabs>
          <w:tab w:val="left" w:pos="1704"/>
        </w:tabs>
        <w:spacing w:after="0" w:line="480" w:lineRule="auto"/>
        <w:jc w:val="both"/>
        <w:rPr>
          <w:rFonts w:ascii="Arial" w:hAnsi="Arial" w:cs="Arial"/>
          <w:b/>
          <w:sz w:val="24"/>
          <w:szCs w:val="24"/>
        </w:rPr>
      </w:pPr>
      <w:r w:rsidRPr="008D59BB">
        <w:rPr>
          <w:rFonts w:ascii="Arial" w:hAnsi="Arial" w:cs="Arial"/>
          <w:b/>
          <w:sz w:val="24"/>
          <w:szCs w:val="24"/>
        </w:rPr>
        <w:t>METHODS</w:t>
      </w:r>
      <w:r w:rsidRPr="008D59BB">
        <w:rPr>
          <w:rFonts w:ascii="Arial" w:hAnsi="Arial" w:cs="Arial"/>
          <w:b/>
          <w:sz w:val="24"/>
          <w:szCs w:val="24"/>
        </w:rPr>
        <w:tab/>
      </w:r>
    </w:p>
    <w:p w14:paraId="03F0CF74" w14:textId="77777777" w:rsidR="00B25AD6" w:rsidRPr="008D59BB" w:rsidRDefault="00B25AD6" w:rsidP="00B25AD6">
      <w:pPr>
        <w:spacing w:after="0" w:line="480" w:lineRule="auto"/>
        <w:jc w:val="both"/>
        <w:rPr>
          <w:rFonts w:ascii="Arial" w:hAnsi="Arial" w:cs="Arial"/>
          <w:b/>
          <w:sz w:val="24"/>
          <w:szCs w:val="24"/>
        </w:rPr>
      </w:pPr>
      <w:r w:rsidRPr="008D59BB">
        <w:rPr>
          <w:rFonts w:ascii="Arial" w:hAnsi="Arial" w:cs="Arial"/>
          <w:b/>
          <w:sz w:val="24"/>
          <w:szCs w:val="24"/>
        </w:rPr>
        <w:t>Study design, participants and setting</w:t>
      </w:r>
    </w:p>
    <w:p w14:paraId="0B3B6390" w14:textId="4850D340" w:rsidR="00647508" w:rsidRPr="008D59BB" w:rsidRDefault="00B25AD6" w:rsidP="00B25AD6">
      <w:pPr>
        <w:spacing w:after="0" w:line="480" w:lineRule="auto"/>
        <w:jc w:val="both"/>
        <w:rPr>
          <w:rFonts w:ascii="Arial" w:hAnsi="Arial" w:cs="Arial"/>
          <w:sz w:val="24"/>
          <w:szCs w:val="24"/>
        </w:rPr>
      </w:pPr>
      <w:r w:rsidRPr="008D59BB">
        <w:rPr>
          <w:rFonts w:ascii="Arial" w:hAnsi="Arial" w:cs="Arial"/>
          <w:sz w:val="24"/>
          <w:szCs w:val="24"/>
        </w:rPr>
        <w:t>We conducted a cross-sectional study of older individuals</w:t>
      </w:r>
      <w:r w:rsidR="00250A48" w:rsidRPr="008D59BB">
        <w:rPr>
          <w:rFonts w:ascii="Arial" w:hAnsi="Arial" w:cs="Arial"/>
          <w:sz w:val="24"/>
          <w:szCs w:val="24"/>
        </w:rPr>
        <w:t xml:space="preserve"> aged ≥60 years</w:t>
      </w:r>
      <w:r w:rsidRPr="008D59BB">
        <w:rPr>
          <w:rFonts w:ascii="Arial" w:hAnsi="Arial" w:cs="Arial"/>
          <w:sz w:val="24"/>
          <w:szCs w:val="24"/>
        </w:rPr>
        <w:t xml:space="preserve"> admitted with hip fractures</w:t>
      </w:r>
      <w:r w:rsidR="006C1097" w:rsidRPr="008D59BB">
        <w:rPr>
          <w:rFonts w:ascii="Arial" w:hAnsi="Arial" w:cs="Arial"/>
          <w:sz w:val="24"/>
          <w:szCs w:val="24"/>
        </w:rPr>
        <w:t xml:space="preserve"> as </w:t>
      </w:r>
      <w:r w:rsidR="00382158" w:rsidRPr="008D59BB">
        <w:rPr>
          <w:rFonts w:ascii="Arial" w:hAnsi="Arial" w:cs="Arial"/>
          <w:sz w:val="24"/>
          <w:szCs w:val="24"/>
        </w:rPr>
        <w:t xml:space="preserve">the </w:t>
      </w:r>
      <w:r w:rsidR="006C1097" w:rsidRPr="008D59BB">
        <w:rPr>
          <w:rFonts w:ascii="Arial" w:hAnsi="Arial" w:cs="Arial"/>
          <w:sz w:val="24"/>
          <w:szCs w:val="24"/>
        </w:rPr>
        <w:t>principal diagnosis</w:t>
      </w:r>
      <w:r w:rsidRPr="008D59BB">
        <w:rPr>
          <w:rFonts w:ascii="Arial" w:hAnsi="Arial" w:cs="Arial"/>
          <w:sz w:val="24"/>
          <w:szCs w:val="24"/>
        </w:rPr>
        <w:t xml:space="preserve"> between </w:t>
      </w:r>
      <w:r w:rsidR="00FF6D77" w:rsidRPr="008D59BB">
        <w:rPr>
          <w:rFonts w:ascii="Arial" w:hAnsi="Arial" w:cs="Arial"/>
          <w:sz w:val="24"/>
          <w:szCs w:val="24"/>
        </w:rPr>
        <w:t xml:space="preserve">01/01/2016 and 06/06/2019 </w:t>
      </w:r>
      <w:r w:rsidRPr="008D59BB">
        <w:rPr>
          <w:rFonts w:ascii="Arial" w:hAnsi="Arial" w:cs="Arial"/>
          <w:sz w:val="24"/>
          <w:szCs w:val="24"/>
        </w:rPr>
        <w:t>to a National Health Service hospital.</w:t>
      </w:r>
      <w:r w:rsidR="00250A48" w:rsidRPr="008D59BB">
        <w:rPr>
          <w:rFonts w:ascii="Arial" w:hAnsi="Arial" w:cs="Arial"/>
          <w:sz w:val="24"/>
          <w:szCs w:val="24"/>
        </w:rPr>
        <w:t xml:space="preserve"> </w:t>
      </w:r>
      <w:r w:rsidR="00647508" w:rsidRPr="008D59BB">
        <w:rPr>
          <w:rFonts w:ascii="Arial" w:hAnsi="Arial" w:cs="Arial"/>
          <w:sz w:val="24"/>
          <w:szCs w:val="24"/>
        </w:rPr>
        <w:t>This study does not require NHS Research Ethics Committee approval since it involves secondary analysis of anonymised data.</w:t>
      </w:r>
    </w:p>
    <w:p w14:paraId="48179887" w14:textId="77777777" w:rsidR="00647508" w:rsidRPr="008D59BB" w:rsidRDefault="00647508" w:rsidP="00B25AD6">
      <w:pPr>
        <w:spacing w:after="0" w:line="480" w:lineRule="auto"/>
        <w:jc w:val="both"/>
        <w:rPr>
          <w:rFonts w:ascii="Arial" w:hAnsi="Arial" w:cs="Arial"/>
          <w:sz w:val="24"/>
          <w:szCs w:val="24"/>
        </w:rPr>
      </w:pPr>
    </w:p>
    <w:p w14:paraId="3206E7C0" w14:textId="77777777" w:rsidR="00B25AD6" w:rsidRPr="008D59BB" w:rsidRDefault="00B25AD6" w:rsidP="00B25AD6">
      <w:pPr>
        <w:spacing w:after="0" w:line="480" w:lineRule="auto"/>
        <w:jc w:val="both"/>
        <w:rPr>
          <w:rFonts w:ascii="Arial" w:hAnsi="Arial" w:cs="Arial"/>
          <w:b/>
          <w:sz w:val="24"/>
          <w:szCs w:val="24"/>
        </w:rPr>
      </w:pPr>
      <w:r w:rsidRPr="008D59BB">
        <w:rPr>
          <w:rFonts w:ascii="Arial" w:hAnsi="Arial" w:cs="Arial"/>
          <w:b/>
          <w:sz w:val="24"/>
          <w:szCs w:val="24"/>
        </w:rPr>
        <w:t>Measurement</w:t>
      </w:r>
    </w:p>
    <w:p w14:paraId="4DF581AC" w14:textId="6DD09F82" w:rsidR="00B25AD6" w:rsidRPr="008D59BB" w:rsidRDefault="00456E6E" w:rsidP="00B25AD6">
      <w:pPr>
        <w:spacing w:after="0" w:line="480" w:lineRule="auto"/>
        <w:jc w:val="both"/>
        <w:rPr>
          <w:rFonts w:ascii="Arial" w:hAnsi="Arial" w:cs="Arial"/>
          <w:sz w:val="24"/>
          <w:szCs w:val="24"/>
        </w:rPr>
      </w:pPr>
      <w:r w:rsidRPr="008D59BB">
        <w:rPr>
          <w:rFonts w:ascii="Arial" w:hAnsi="Arial" w:cs="Arial"/>
          <w:sz w:val="24"/>
          <w:szCs w:val="24"/>
        </w:rPr>
        <w:t>D</w:t>
      </w:r>
      <w:r w:rsidR="00B25AD6" w:rsidRPr="008D59BB">
        <w:rPr>
          <w:rFonts w:ascii="Arial" w:hAnsi="Arial" w:cs="Arial"/>
          <w:sz w:val="24"/>
          <w:szCs w:val="24"/>
        </w:rPr>
        <w:t>ata were prospectively collected by a Trauma Coordinator for patient</w:t>
      </w:r>
      <w:r w:rsidR="00B307E8" w:rsidRPr="008D59BB">
        <w:rPr>
          <w:rFonts w:ascii="Arial" w:hAnsi="Arial" w:cs="Arial"/>
          <w:sz w:val="24"/>
          <w:szCs w:val="24"/>
        </w:rPr>
        <w:t>s</w:t>
      </w:r>
      <w:r w:rsidR="00B25AD6" w:rsidRPr="008D59BB">
        <w:rPr>
          <w:rFonts w:ascii="Arial" w:hAnsi="Arial" w:cs="Arial"/>
          <w:sz w:val="24"/>
          <w:szCs w:val="24"/>
        </w:rPr>
        <w:t xml:space="preserve"> admitted with a hip fracture</w:t>
      </w:r>
      <w:r w:rsidRPr="008D59BB">
        <w:rPr>
          <w:rFonts w:ascii="Arial" w:hAnsi="Arial" w:cs="Arial"/>
          <w:sz w:val="24"/>
          <w:szCs w:val="24"/>
        </w:rPr>
        <w:t xml:space="preserve"> through our participation in the National Hip Fracture Database </w:t>
      </w:r>
      <w:r w:rsidR="00C7607F" w:rsidRPr="008D59BB">
        <w:rPr>
          <w:rFonts w:ascii="Arial" w:hAnsi="Arial" w:cs="Arial"/>
          <w:sz w:val="24"/>
          <w:szCs w:val="24"/>
        </w:rPr>
        <w:t xml:space="preserve">(NHFD) Audit Programme </w:t>
      </w:r>
      <w:r w:rsidRPr="008D59BB">
        <w:rPr>
          <w:rFonts w:ascii="Arial" w:hAnsi="Arial" w:cs="Arial"/>
          <w:sz w:val="24"/>
          <w:szCs w:val="24"/>
        </w:rPr>
        <w:t>[17-20]</w:t>
      </w:r>
      <w:r w:rsidR="00B25AD6" w:rsidRPr="008D59BB">
        <w:rPr>
          <w:rFonts w:ascii="Arial" w:hAnsi="Arial" w:cs="Arial"/>
          <w:sz w:val="24"/>
          <w:szCs w:val="24"/>
        </w:rPr>
        <w:t xml:space="preserve">. </w:t>
      </w:r>
      <w:r w:rsidRPr="008D59BB">
        <w:rPr>
          <w:rFonts w:ascii="Arial" w:hAnsi="Arial" w:cs="Arial"/>
          <w:sz w:val="24"/>
          <w:szCs w:val="24"/>
        </w:rPr>
        <w:t>Information</w:t>
      </w:r>
      <w:r w:rsidR="00FA14C6" w:rsidRPr="008D59BB">
        <w:rPr>
          <w:rFonts w:ascii="Arial" w:hAnsi="Arial" w:cs="Arial"/>
          <w:sz w:val="24"/>
          <w:szCs w:val="24"/>
        </w:rPr>
        <w:t xml:space="preserve"> on</w:t>
      </w:r>
      <w:r w:rsidR="00B25AD6" w:rsidRPr="008D59BB">
        <w:rPr>
          <w:rFonts w:ascii="Arial" w:hAnsi="Arial" w:cs="Arial"/>
          <w:sz w:val="24"/>
          <w:szCs w:val="24"/>
        </w:rPr>
        <w:t xml:space="preserve"> </w:t>
      </w:r>
      <w:r w:rsidR="00FA14C6" w:rsidRPr="008D59BB">
        <w:rPr>
          <w:rFonts w:ascii="Arial" w:hAnsi="Arial" w:cs="Arial"/>
          <w:sz w:val="24"/>
          <w:szCs w:val="24"/>
        </w:rPr>
        <w:t xml:space="preserve">clinical characteristics and care quality </w:t>
      </w:r>
      <w:r w:rsidR="00B307E8" w:rsidRPr="008D59BB">
        <w:rPr>
          <w:rFonts w:ascii="Arial" w:hAnsi="Arial" w:cs="Arial"/>
          <w:sz w:val="24"/>
          <w:szCs w:val="24"/>
        </w:rPr>
        <w:t xml:space="preserve">from the time of admission to discharge </w:t>
      </w:r>
      <w:r w:rsidRPr="008D59BB">
        <w:rPr>
          <w:rFonts w:ascii="Arial" w:hAnsi="Arial" w:cs="Arial"/>
          <w:sz w:val="24"/>
          <w:szCs w:val="24"/>
        </w:rPr>
        <w:t>was</w:t>
      </w:r>
      <w:r w:rsidR="00B307E8" w:rsidRPr="008D59BB">
        <w:rPr>
          <w:rFonts w:ascii="Arial" w:hAnsi="Arial" w:cs="Arial"/>
          <w:sz w:val="24"/>
          <w:szCs w:val="24"/>
        </w:rPr>
        <w:t xml:space="preserve"> documented </w:t>
      </w:r>
      <w:r w:rsidR="002B4309" w:rsidRPr="008D59BB">
        <w:rPr>
          <w:rFonts w:ascii="Arial" w:hAnsi="Arial" w:cs="Arial"/>
          <w:sz w:val="24"/>
          <w:szCs w:val="24"/>
        </w:rPr>
        <w:t>including</w:t>
      </w:r>
      <w:r w:rsidR="006923F7" w:rsidRPr="008D59BB">
        <w:rPr>
          <w:rFonts w:ascii="Arial" w:hAnsi="Arial" w:cs="Arial"/>
          <w:sz w:val="24"/>
          <w:szCs w:val="24"/>
        </w:rPr>
        <w:t>:</w:t>
      </w:r>
      <w:r w:rsidR="002B4309" w:rsidRPr="008D59BB">
        <w:rPr>
          <w:rFonts w:ascii="Arial" w:hAnsi="Arial" w:cs="Arial"/>
          <w:sz w:val="24"/>
          <w:szCs w:val="24"/>
        </w:rPr>
        <w:t xml:space="preserve"> </w:t>
      </w:r>
      <w:r w:rsidR="00B307E8" w:rsidRPr="008D59BB">
        <w:rPr>
          <w:rFonts w:ascii="Arial" w:hAnsi="Arial" w:cs="Arial"/>
          <w:sz w:val="24"/>
          <w:szCs w:val="24"/>
        </w:rPr>
        <w:t>age</w:t>
      </w:r>
      <w:r w:rsidR="006923F7" w:rsidRPr="008D59BB">
        <w:rPr>
          <w:rFonts w:ascii="Arial" w:hAnsi="Arial" w:cs="Arial"/>
          <w:sz w:val="24"/>
          <w:szCs w:val="24"/>
        </w:rPr>
        <w:t>;</w:t>
      </w:r>
      <w:r w:rsidR="00B307E8" w:rsidRPr="008D59BB">
        <w:rPr>
          <w:rFonts w:ascii="Arial" w:hAnsi="Arial" w:cs="Arial"/>
          <w:sz w:val="24"/>
          <w:szCs w:val="24"/>
        </w:rPr>
        <w:t xml:space="preserve"> sex</w:t>
      </w:r>
      <w:r w:rsidR="006923F7" w:rsidRPr="008D59BB">
        <w:rPr>
          <w:rFonts w:ascii="Arial" w:hAnsi="Arial" w:cs="Arial"/>
          <w:sz w:val="24"/>
          <w:szCs w:val="24"/>
        </w:rPr>
        <w:t>;</w:t>
      </w:r>
      <w:r w:rsidR="00B307E8" w:rsidRPr="008D59BB">
        <w:rPr>
          <w:rFonts w:ascii="Arial" w:hAnsi="Arial" w:cs="Arial"/>
          <w:sz w:val="24"/>
          <w:szCs w:val="24"/>
        </w:rPr>
        <w:t xml:space="preserve"> residency prior to admission</w:t>
      </w:r>
      <w:r w:rsidR="006923F7" w:rsidRPr="008D59BB">
        <w:rPr>
          <w:rFonts w:ascii="Arial" w:hAnsi="Arial" w:cs="Arial"/>
          <w:sz w:val="24"/>
          <w:szCs w:val="24"/>
        </w:rPr>
        <w:t>;</w:t>
      </w:r>
      <w:r w:rsidR="00B307E8" w:rsidRPr="008D59BB">
        <w:rPr>
          <w:rFonts w:ascii="Arial" w:hAnsi="Arial" w:cs="Arial"/>
          <w:sz w:val="24"/>
          <w:szCs w:val="24"/>
        </w:rPr>
        <w:t xml:space="preserve"> nutritional status on admission</w:t>
      </w:r>
      <w:r w:rsidR="006923F7" w:rsidRPr="008D59BB">
        <w:rPr>
          <w:rFonts w:ascii="Arial" w:hAnsi="Arial" w:cs="Arial"/>
          <w:sz w:val="24"/>
          <w:szCs w:val="24"/>
        </w:rPr>
        <w:t xml:space="preserve">; </w:t>
      </w:r>
      <w:r w:rsidR="00B25AD6" w:rsidRPr="008D59BB">
        <w:rPr>
          <w:rFonts w:ascii="Arial" w:hAnsi="Arial" w:cs="Arial"/>
          <w:sz w:val="24"/>
          <w:szCs w:val="24"/>
        </w:rPr>
        <w:t xml:space="preserve">mobility within </w:t>
      </w:r>
      <w:r w:rsidR="002B4309" w:rsidRPr="008D59BB">
        <w:rPr>
          <w:rFonts w:ascii="Arial" w:hAnsi="Arial" w:cs="Arial"/>
          <w:sz w:val="24"/>
          <w:szCs w:val="24"/>
        </w:rPr>
        <w:t>1-</w:t>
      </w:r>
      <w:r w:rsidR="00B25AD6" w:rsidRPr="008D59BB">
        <w:rPr>
          <w:rFonts w:ascii="Arial" w:hAnsi="Arial" w:cs="Arial"/>
          <w:sz w:val="24"/>
          <w:szCs w:val="24"/>
        </w:rPr>
        <w:t>day after hip surgery</w:t>
      </w:r>
      <w:r w:rsidR="006923F7" w:rsidRPr="008D59BB">
        <w:rPr>
          <w:rFonts w:ascii="Arial" w:hAnsi="Arial" w:cs="Arial"/>
          <w:sz w:val="24"/>
          <w:szCs w:val="24"/>
        </w:rPr>
        <w:t xml:space="preserve">; </w:t>
      </w:r>
      <w:r w:rsidR="00DF130C" w:rsidRPr="008D59BB">
        <w:rPr>
          <w:rFonts w:ascii="Arial" w:hAnsi="Arial" w:cs="Arial"/>
          <w:sz w:val="24"/>
          <w:szCs w:val="24"/>
        </w:rPr>
        <w:t xml:space="preserve">abbreviated mental test score (AMTS); </w:t>
      </w:r>
      <w:r w:rsidR="00F072B3" w:rsidRPr="008D59BB">
        <w:rPr>
          <w:rFonts w:ascii="Arial" w:hAnsi="Arial" w:cs="Arial"/>
          <w:sz w:val="24"/>
          <w:szCs w:val="24"/>
        </w:rPr>
        <w:t>pressure ulcers</w:t>
      </w:r>
      <w:r w:rsidR="006923F7" w:rsidRPr="008D59BB">
        <w:rPr>
          <w:rFonts w:ascii="Arial" w:hAnsi="Arial" w:cs="Arial"/>
          <w:sz w:val="24"/>
          <w:szCs w:val="24"/>
        </w:rPr>
        <w:t xml:space="preserve">; </w:t>
      </w:r>
      <w:r w:rsidR="00B25AD6" w:rsidRPr="008D59BB">
        <w:rPr>
          <w:rFonts w:ascii="Arial" w:hAnsi="Arial" w:cs="Arial"/>
          <w:sz w:val="24"/>
          <w:szCs w:val="24"/>
        </w:rPr>
        <w:t xml:space="preserve">LOS </w:t>
      </w:r>
      <w:r w:rsidR="00B307E8" w:rsidRPr="008D59BB">
        <w:rPr>
          <w:rFonts w:ascii="Arial" w:hAnsi="Arial" w:cs="Arial"/>
          <w:sz w:val="24"/>
          <w:szCs w:val="24"/>
        </w:rPr>
        <w:t>and mortality in hospital</w:t>
      </w:r>
      <w:r w:rsidR="006923F7" w:rsidRPr="008D59BB">
        <w:rPr>
          <w:rFonts w:ascii="Arial" w:hAnsi="Arial" w:cs="Arial"/>
          <w:sz w:val="24"/>
          <w:szCs w:val="24"/>
        </w:rPr>
        <w:t xml:space="preserve">; </w:t>
      </w:r>
      <w:r w:rsidR="00FA14C6" w:rsidRPr="008D59BB">
        <w:rPr>
          <w:rFonts w:ascii="Arial" w:hAnsi="Arial" w:cs="Arial"/>
          <w:sz w:val="24"/>
          <w:szCs w:val="24"/>
        </w:rPr>
        <w:t>new</w:t>
      </w:r>
      <w:r w:rsidR="00D23B16" w:rsidRPr="008D59BB">
        <w:rPr>
          <w:rFonts w:ascii="Arial" w:hAnsi="Arial" w:cs="Arial"/>
          <w:sz w:val="24"/>
          <w:szCs w:val="24"/>
        </w:rPr>
        <w:t xml:space="preserve"> treatment with an</w:t>
      </w:r>
      <w:r w:rsidR="00FA14C6" w:rsidRPr="008D59BB">
        <w:rPr>
          <w:rFonts w:ascii="Arial" w:hAnsi="Arial" w:cs="Arial"/>
          <w:sz w:val="24"/>
          <w:szCs w:val="24"/>
        </w:rPr>
        <w:t xml:space="preserve"> </w:t>
      </w:r>
      <w:r w:rsidR="005814C7" w:rsidRPr="008D59BB">
        <w:rPr>
          <w:rFonts w:ascii="Arial" w:hAnsi="Arial" w:cs="Arial"/>
          <w:sz w:val="24"/>
          <w:szCs w:val="24"/>
        </w:rPr>
        <w:t>antire</w:t>
      </w:r>
      <w:r w:rsidR="00F072B3" w:rsidRPr="008D59BB">
        <w:rPr>
          <w:rFonts w:ascii="Arial" w:hAnsi="Arial" w:cs="Arial"/>
          <w:sz w:val="24"/>
          <w:szCs w:val="24"/>
        </w:rPr>
        <w:t xml:space="preserve">sorptive </w:t>
      </w:r>
      <w:r w:rsidR="005814C7" w:rsidRPr="008D59BB">
        <w:rPr>
          <w:rFonts w:ascii="Arial" w:hAnsi="Arial" w:cs="Arial"/>
          <w:sz w:val="24"/>
          <w:szCs w:val="24"/>
        </w:rPr>
        <w:t>agent</w:t>
      </w:r>
      <w:r w:rsidR="006923F7" w:rsidRPr="008D59BB">
        <w:rPr>
          <w:rFonts w:ascii="Arial" w:hAnsi="Arial" w:cs="Arial"/>
          <w:sz w:val="24"/>
          <w:szCs w:val="24"/>
        </w:rPr>
        <w:t xml:space="preserve"> </w:t>
      </w:r>
      <w:r w:rsidR="00B25AD6" w:rsidRPr="008D59BB">
        <w:rPr>
          <w:rFonts w:ascii="Arial" w:hAnsi="Arial" w:cs="Arial"/>
          <w:sz w:val="24"/>
          <w:szCs w:val="24"/>
        </w:rPr>
        <w:t xml:space="preserve">and discharge destination. </w:t>
      </w:r>
      <w:r w:rsidR="00B307E8" w:rsidRPr="008D59BB">
        <w:rPr>
          <w:rFonts w:ascii="Arial" w:hAnsi="Arial" w:cs="Arial"/>
          <w:sz w:val="24"/>
          <w:szCs w:val="24"/>
        </w:rPr>
        <w:t>All data were updated regularly into a database managed by the lead orthogeriatrician</w:t>
      </w:r>
      <w:r w:rsidR="00C7607F" w:rsidRPr="008D59BB">
        <w:rPr>
          <w:rFonts w:ascii="Arial" w:hAnsi="Arial" w:cs="Arial"/>
          <w:sz w:val="24"/>
          <w:szCs w:val="24"/>
        </w:rPr>
        <w:t xml:space="preserve"> who examined and corrected any error and ensured completeness</w:t>
      </w:r>
      <w:r w:rsidR="008461C7" w:rsidRPr="008D59BB">
        <w:rPr>
          <w:rFonts w:ascii="Arial" w:hAnsi="Arial" w:cs="Arial"/>
          <w:sz w:val="24"/>
          <w:szCs w:val="24"/>
        </w:rPr>
        <w:t xml:space="preserve"> of data collection</w:t>
      </w:r>
      <w:r w:rsidR="00C7607F" w:rsidRPr="008D59BB">
        <w:rPr>
          <w:rFonts w:ascii="Arial" w:hAnsi="Arial" w:cs="Arial"/>
          <w:sz w:val="24"/>
          <w:szCs w:val="24"/>
        </w:rPr>
        <w:t xml:space="preserve"> as </w:t>
      </w:r>
      <w:r w:rsidR="008461C7" w:rsidRPr="008D59BB">
        <w:rPr>
          <w:rFonts w:ascii="Arial" w:hAnsi="Arial" w:cs="Arial"/>
          <w:sz w:val="24"/>
          <w:szCs w:val="24"/>
        </w:rPr>
        <w:t>required</w:t>
      </w:r>
      <w:r w:rsidR="00C7607F" w:rsidRPr="008D59BB">
        <w:rPr>
          <w:rFonts w:ascii="Arial" w:hAnsi="Arial" w:cs="Arial"/>
          <w:sz w:val="24"/>
          <w:szCs w:val="24"/>
        </w:rPr>
        <w:t xml:space="preserve"> by the NHFD Audit Programme</w:t>
      </w:r>
      <w:r w:rsidR="00B307E8" w:rsidRPr="008D59BB">
        <w:rPr>
          <w:rFonts w:ascii="Arial" w:hAnsi="Arial" w:cs="Arial"/>
          <w:sz w:val="24"/>
          <w:szCs w:val="24"/>
        </w:rPr>
        <w:t>.</w:t>
      </w:r>
      <w:r w:rsidR="00C7607F" w:rsidRPr="008D59BB">
        <w:rPr>
          <w:rFonts w:ascii="Arial" w:hAnsi="Arial" w:cs="Arial"/>
          <w:sz w:val="24"/>
          <w:szCs w:val="24"/>
        </w:rPr>
        <w:t xml:space="preserve"> All patients with information on the variables described above were included in the present study</w:t>
      </w:r>
      <w:r w:rsidR="00250A48" w:rsidRPr="008D59BB">
        <w:rPr>
          <w:rFonts w:ascii="Arial" w:hAnsi="Arial" w:cs="Arial"/>
          <w:sz w:val="24"/>
          <w:szCs w:val="24"/>
        </w:rPr>
        <w:t>. Patients whos</w:t>
      </w:r>
      <w:r w:rsidR="005449DE" w:rsidRPr="008D59BB">
        <w:rPr>
          <w:rFonts w:ascii="Arial" w:hAnsi="Arial" w:cs="Arial"/>
          <w:sz w:val="24"/>
          <w:szCs w:val="24"/>
        </w:rPr>
        <w:t>e</w:t>
      </w:r>
      <w:r w:rsidR="00250A48" w:rsidRPr="008D59BB">
        <w:rPr>
          <w:rFonts w:ascii="Arial" w:hAnsi="Arial" w:cs="Arial"/>
          <w:sz w:val="24"/>
          <w:szCs w:val="24"/>
        </w:rPr>
        <w:t xml:space="preserve"> primary diagnosis </w:t>
      </w:r>
      <w:r w:rsidR="006176D5" w:rsidRPr="008D59BB">
        <w:rPr>
          <w:rFonts w:ascii="Arial" w:hAnsi="Arial" w:cs="Arial"/>
          <w:sz w:val="24"/>
          <w:szCs w:val="24"/>
        </w:rPr>
        <w:t xml:space="preserve">was </w:t>
      </w:r>
      <w:r w:rsidR="00250A48" w:rsidRPr="008D59BB">
        <w:rPr>
          <w:rFonts w:ascii="Arial" w:hAnsi="Arial" w:cs="Arial"/>
          <w:sz w:val="24"/>
          <w:szCs w:val="24"/>
        </w:rPr>
        <w:t>other than hip fracture</w:t>
      </w:r>
      <w:r w:rsidR="00BB61E6" w:rsidRPr="008D59BB">
        <w:rPr>
          <w:rFonts w:ascii="Arial" w:hAnsi="Arial" w:cs="Arial"/>
          <w:sz w:val="24"/>
          <w:szCs w:val="24"/>
        </w:rPr>
        <w:t>,</w:t>
      </w:r>
      <w:r w:rsidR="00250A48" w:rsidRPr="008D59BB">
        <w:rPr>
          <w:rFonts w:ascii="Arial" w:hAnsi="Arial" w:cs="Arial"/>
          <w:sz w:val="24"/>
          <w:szCs w:val="24"/>
        </w:rPr>
        <w:t xml:space="preserve"> or younger than 60 years were excluded</w:t>
      </w:r>
      <w:r w:rsidR="00C7607F" w:rsidRPr="008D59BB">
        <w:rPr>
          <w:rFonts w:ascii="Arial" w:hAnsi="Arial" w:cs="Arial"/>
          <w:sz w:val="24"/>
          <w:szCs w:val="24"/>
        </w:rPr>
        <w:t>.</w:t>
      </w:r>
    </w:p>
    <w:p w14:paraId="5E7C83EA" w14:textId="77777777" w:rsidR="00B25AD6" w:rsidRPr="008D59BB" w:rsidRDefault="00B25AD6" w:rsidP="00B25AD6">
      <w:pPr>
        <w:spacing w:after="0" w:line="480" w:lineRule="auto"/>
        <w:jc w:val="both"/>
        <w:rPr>
          <w:rFonts w:ascii="Arial" w:hAnsi="Arial" w:cs="Arial"/>
          <w:sz w:val="24"/>
          <w:szCs w:val="24"/>
        </w:rPr>
      </w:pPr>
    </w:p>
    <w:p w14:paraId="69DD9F71" w14:textId="77777777" w:rsidR="00B25AD6" w:rsidRPr="008D59BB" w:rsidRDefault="00B25AD6" w:rsidP="00B25AD6">
      <w:pPr>
        <w:spacing w:after="0" w:line="480" w:lineRule="auto"/>
        <w:jc w:val="both"/>
        <w:rPr>
          <w:rFonts w:ascii="Arial" w:hAnsi="Arial" w:cs="Arial"/>
          <w:b/>
          <w:sz w:val="24"/>
          <w:szCs w:val="24"/>
        </w:rPr>
      </w:pPr>
      <w:r w:rsidRPr="008D59BB">
        <w:rPr>
          <w:rFonts w:ascii="Arial" w:hAnsi="Arial" w:cs="Arial"/>
          <w:b/>
          <w:sz w:val="24"/>
          <w:szCs w:val="24"/>
        </w:rPr>
        <w:lastRenderedPageBreak/>
        <w:t>Categorisation of variables</w:t>
      </w:r>
    </w:p>
    <w:p w14:paraId="763AA06B" w14:textId="2CD1F351" w:rsidR="00B25AD6" w:rsidRPr="008D59BB" w:rsidRDefault="00C229B7" w:rsidP="00B25AD6">
      <w:pPr>
        <w:spacing w:after="0" w:line="480" w:lineRule="auto"/>
        <w:jc w:val="both"/>
        <w:rPr>
          <w:rFonts w:ascii="Arial" w:hAnsi="Arial" w:cs="Arial"/>
          <w:sz w:val="24"/>
          <w:szCs w:val="24"/>
        </w:rPr>
      </w:pPr>
      <w:r w:rsidRPr="008D59BB">
        <w:rPr>
          <w:rFonts w:ascii="Arial" w:hAnsi="Arial" w:cs="Arial"/>
          <w:sz w:val="24"/>
          <w:szCs w:val="24"/>
        </w:rPr>
        <w:t xml:space="preserve">Nutritional status, </w:t>
      </w:r>
      <w:r w:rsidR="002B4309" w:rsidRPr="008D59BB">
        <w:rPr>
          <w:rFonts w:ascii="Arial" w:hAnsi="Arial" w:cs="Arial"/>
          <w:sz w:val="24"/>
          <w:szCs w:val="24"/>
        </w:rPr>
        <w:t xml:space="preserve">assessed </w:t>
      </w:r>
      <w:r w:rsidR="00761F4B" w:rsidRPr="008D59BB">
        <w:rPr>
          <w:rFonts w:ascii="Arial" w:hAnsi="Arial" w:cs="Arial"/>
          <w:sz w:val="24"/>
          <w:szCs w:val="24"/>
        </w:rPr>
        <w:t>by</w:t>
      </w:r>
      <w:r w:rsidR="002B4309" w:rsidRPr="008D59BB">
        <w:rPr>
          <w:rFonts w:ascii="Arial" w:hAnsi="Arial" w:cs="Arial"/>
          <w:sz w:val="24"/>
          <w:szCs w:val="24"/>
        </w:rPr>
        <w:t xml:space="preserve"> </w:t>
      </w:r>
      <w:r w:rsidR="006923F7" w:rsidRPr="008D59BB">
        <w:rPr>
          <w:rFonts w:ascii="Arial" w:hAnsi="Arial" w:cs="Arial"/>
          <w:sz w:val="24"/>
          <w:szCs w:val="24"/>
        </w:rPr>
        <w:t xml:space="preserve">the </w:t>
      </w:r>
      <w:r w:rsidR="002B4309" w:rsidRPr="008D59BB">
        <w:rPr>
          <w:rFonts w:ascii="Arial" w:hAnsi="Arial" w:cs="Arial"/>
          <w:sz w:val="24"/>
          <w:szCs w:val="24"/>
        </w:rPr>
        <w:t xml:space="preserve">Malnutrition Universal Screening Tool </w:t>
      </w:r>
      <w:r w:rsidR="009B3035" w:rsidRPr="008D59BB">
        <w:rPr>
          <w:rFonts w:ascii="Arial" w:hAnsi="Arial" w:cs="Arial"/>
          <w:sz w:val="24"/>
          <w:szCs w:val="24"/>
        </w:rPr>
        <w:t xml:space="preserve">(MUST) </w:t>
      </w:r>
      <w:r w:rsidR="002B4309" w:rsidRPr="008D59BB">
        <w:rPr>
          <w:rFonts w:ascii="Arial" w:hAnsi="Arial" w:cs="Arial"/>
          <w:sz w:val="24"/>
          <w:szCs w:val="24"/>
        </w:rPr>
        <w:t>protocol</w:t>
      </w:r>
      <w:r w:rsidR="003C1A42" w:rsidRPr="008D59BB">
        <w:rPr>
          <w:rFonts w:ascii="Arial" w:hAnsi="Arial" w:cs="Arial"/>
          <w:sz w:val="24"/>
          <w:szCs w:val="24"/>
        </w:rPr>
        <w:t>,</w:t>
      </w:r>
      <w:r w:rsidR="00F20073" w:rsidRPr="008D59BB">
        <w:rPr>
          <w:rFonts w:ascii="Arial" w:hAnsi="Arial" w:cs="Arial"/>
          <w:sz w:val="24"/>
          <w:szCs w:val="24"/>
        </w:rPr>
        <w:t xml:space="preserve"> </w:t>
      </w:r>
      <w:r w:rsidR="005B3915" w:rsidRPr="008D59BB">
        <w:rPr>
          <w:rFonts w:ascii="Arial" w:hAnsi="Arial" w:cs="Arial"/>
          <w:sz w:val="24"/>
          <w:szCs w:val="24"/>
        </w:rPr>
        <w:t>was</w:t>
      </w:r>
      <w:r w:rsidR="003C1A42" w:rsidRPr="008D59BB">
        <w:rPr>
          <w:rFonts w:ascii="Arial" w:hAnsi="Arial" w:cs="Arial"/>
          <w:sz w:val="24"/>
          <w:szCs w:val="24"/>
        </w:rPr>
        <w:t xml:space="preserve"> stratified into over</w:t>
      </w:r>
      <w:r w:rsidR="00771309" w:rsidRPr="008D59BB">
        <w:rPr>
          <w:rFonts w:ascii="Arial" w:hAnsi="Arial" w:cs="Arial"/>
          <w:sz w:val="24"/>
          <w:szCs w:val="24"/>
        </w:rPr>
        <w:t>all scores of 0, 1, and ≥2</w:t>
      </w:r>
      <w:r w:rsidR="00A4422E" w:rsidRPr="008D59BB">
        <w:rPr>
          <w:rFonts w:ascii="Arial" w:hAnsi="Arial" w:cs="Arial"/>
          <w:sz w:val="24"/>
          <w:szCs w:val="24"/>
        </w:rPr>
        <w:t xml:space="preserve"> </w:t>
      </w:r>
      <w:r w:rsidR="005B3915" w:rsidRPr="008D59BB">
        <w:rPr>
          <w:rFonts w:ascii="Arial" w:hAnsi="Arial" w:cs="Arial"/>
          <w:sz w:val="24"/>
          <w:szCs w:val="24"/>
        </w:rPr>
        <w:t xml:space="preserve">to </w:t>
      </w:r>
      <w:r w:rsidR="00771309" w:rsidRPr="008D59BB">
        <w:rPr>
          <w:rFonts w:ascii="Arial" w:hAnsi="Arial" w:cs="Arial"/>
          <w:sz w:val="24"/>
          <w:szCs w:val="24"/>
        </w:rPr>
        <w:t>indicat</w:t>
      </w:r>
      <w:r w:rsidR="005B3915" w:rsidRPr="008D59BB">
        <w:rPr>
          <w:rFonts w:ascii="Arial" w:hAnsi="Arial" w:cs="Arial"/>
          <w:sz w:val="24"/>
          <w:szCs w:val="24"/>
        </w:rPr>
        <w:t>e</w:t>
      </w:r>
      <w:r w:rsidR="00771309" w:rsidRPr="008D59BB">
        <w:rPr>
          <w:rFonts w:ascii="Arial" w:hAnsi="Arial" w:cs="Arial"/>
          <w:sz w:val="24"/>
          <w:szCs w:val="24"/>
        </w:rPr>
        <w:t xml:space="preserve"> low, medium and high risk</w:t>
      </w:r>
      <w:r w:rsidR="005B3915" w:rsidRPr="008D59BB">
        <w:rPr>
          <w:rFonts w:ascii="Arial" w:hAnsi="Arial" w:cs="Arial"/>
          <w:sz w:val="24"/>
          <w:szCs w:val="24"/>
        </w:rPr>
        <w:t>, respectively</w:t>
      </w:r>
      <w:r w:rsidR="00771309" w:rsidRPr="008D59BB">
        <w:rPr>
          <w:rFonts w:ascii="Arial" w:hAnsi="Arial" w:cs="Arial"/>
          <w:sz w:val="24"/>
          <w:szCs w:val="24"/>
        </w:rPr>
        <w:t xml:space="preserve"> </w:t>
      </w:r>
      <w:r w:rsidR="007A47FF" w:rsidRPr="008D59BB">
        <w:rPr>
          <w:rFonts w:ascii="Arial" w:hAnsi="Arial" w:cs="Arial"/>
          <w:sz w:val="24"/>
          <w:szCs w:val="24"/>
        </w:rPr>
        <w:t>[</w:t>
      </w:r>
      <w:r w:rsidR="00EA16FD" w:rsidRPr="008D59BB">
        <w:rPr>
          <w:rFonts w:ascii="Arial" w:hAnsi="Arial" w:cs="Arial"/>
          <w:sz w:val="24"/>
          <w:szCs w:val="24"/>
        </w:rPr>
        <w:t>2</w:t>
      </w:r>
      <w:r w:rsidR="009F6673" w:rsidRPr="008D59BB">
        <w:rPr>
          <w:rFonts w:ascii="Arial" w:hAnsi="Arial" w:cs="Arial"/>
          <w:sz w:val="24"/>
          <w:szCs w:val="24"/>
        </w:rPr>
        <w:t>1</w:t>
      </w:r>
      <w:r w:rsidR="007A47FF" w:rsidRPr="008D59BB">
        <w:rPr>
          <w:rFonts w:ascii="Arial" w:hAnsi="Arial" w:cs="Arial"/>
          <w:sz w:val="24"/>
          <w:szCs w:val="24"/>
        </w:rPr>
        <w:t>]</w:t>
      </w:r>
      <w:r w:rsidR="002B4309" w:rsidRPr="008D59BB">
        <w:rPr>
          <w:rFonts w:ascii="Arial" w:hAnsi="Arial" w:cs="Arial"/>
          <w:sz w:val="24"/>
          <w:szCs w:val="24"/>
        </w:rPr>
        <w:t xml:space="preserve">. </w:t>
      </w:r>
      <w:r w:rsidR="00B25AD6" w:rsidRPr="008D59BB">
        <w:rPr>
          <w:rFonts w:ascii="Arial" w:hAnsi="Arial" w:cs="Arial"/>
          <w:sz w:val="24"/>
          <w:szCs w:val="24"/>
        </w:rPr>
        <w:t xml:space="preserve">Mobilisation within </w:t>
      </w:r>
      <w:r w:rsidR="002B4309" w:rsidRPr="008D59BB">
        <w:rPr>
          <w:rFonts w:ascii="Arial" w:hAnsi="Arial" w:cs="Arial"/>
          <w:sz w:val="24"/>
          <w:szCs w:val="24"/>
        </w:rPr>
        <w:t>1-</w:t>
      </w:r>
      <w:r w:rsidR="00B25AD6" w:rsidRPr="008D59BB">
        <w:rPr>
          <w:rFonts w:ascii="Arial" w:hAnsi="Arial" w:cs="Arial"/>
          <w:sz w:val="24"/>
          <w:szCs w:val="24"/>
        </w:rPr>
        <w:t xml:space="preserve">day after surgery was defined as </w:t>
      </w:r>
      <w:r w:rsidR="00ED26E0" w:rsidRPr="008D59BB">
        <w:rPr>
          <w:rFonts w:ascii="Arial" w:hAnsi="Arial" w:cs="Arial"/>
          <w:sz w:val="24"/>
          <w:szCs w:val="24"/>
        </w:rPr>
        <w:t>those</w:t>
      </w:r>
      <w:r w:rsidR="00B25AD6" w:rsidRPr="008D59BB">
        <w:rPr>
          <w:rFonts w:ascii="Arial" w:hAnsi="Arial" w:cs="Arial"/>
          <w:sz w:val="24"/>
          <w:szCs w:val="24"/>
        </w:rPr>
        <w:t xml:space="preserve"> who were able to start rehabilitation no later than the day after surgery [</w:t>
      </w:r>
      <w:r w:rsidR="007A47FF" w:rsidRPr="008D59BB">
        <w:rPr>
          <w:rFonts w:ascii="Arial" w:hAnsi="Arial" w:cs="Arial"/>
          <w:sz w:val="24"/>
          <w:szCs w:val="24"/>
        </w:rPr>
        <w:t>2</w:t>
      </w:r>
      <w:r w:rsidR="009F6673" w:rsidRPr="008D59BB">
        <w:rPr>
          <w:rFonts w:ascii="Arial" w:hAnsi="Arial" w:cs="Arial"/>
          <w:sz w:val="24"/>
          <w:szCs w:val="24"/>
        </w:rPr>
        <w:t>2</w:t>
      </w:r>
      <w:r w:rsidR="00B25AD6" w:rsidRPr="008D59BB">
        <w:rPr>
          <w:rFonts w:ascii="Arial" w:hAnsi="Arial" w:cs="Arial"/>
          <w:sz w:val="24"/>
          <w:szCs w:val="24"/>
        </w:rPr>
        <w:t>]</w:t>
      </w:r>
      <w:r w:rsidR="00E077F3" w:rsidRPr="008D59BB">
        <w:rPr>
          <w:rFonts w:ascii="Arial" w:hAnsi="Arial" w:cs="Arial"/>
          <w:sz w:val="24"/>
          <w:szCs w:val="24"/>
        </w:rPr>
        <w:t xml:space="preserve">, </w:t>
      </w:r>
      <w:r w:rsidR="009806E4" w:rsidRPr="008D59BB">
        <w:rPr>
          <w:rFonts w:ascii="Arial" w:hAnsi="Arial" w:cs="Arial"/>
          <w:sz w:val="24"/>
          <w:szCs w:val="24"/>
        </w:rPr>
        <w:t xml:space="preserve">pressure </w:t>
      </w:r>
      <w:r w:rsidR="00F4178C" w:rsidRPr="008D59BB">
        <w:rPr>
          <w:rFonts w:ascii="Arial" w:hAnsi="Arial" w:cs="Arial"/>
          <w:sz w:val="24"/>
          <w:szCs w:val="24"/>
        </w:rPr>
        <w:t xml:space="preserve">ulcers as the presence </w:t>
      </w:r>
      <w:r w:rsidR="0081749A" w:rsidRPr="008D59BB">
        <w:rPr>
          <w:rFonts w:ascii="Arial" w:hAnsi="Arial" w:cs="Arial"/>
          <w:sz w:val="24"/>
          <w:szCs w:val="24"/>
        </w:rPr>
        <w:t>a new pressure ulcer (of grade 2 or above) acquired during the admission</w:t>
      </w:r>
      <w:r w:rsidR="0081749A" w:rsidRPr="008D59BB">
        <w:rPr>
          <w:rFonts w:ascii="Arial" w:hAnsi="Arial" w:cs="Arial"/>
          <w:b/>
          <w:sz w:val="24"/>
          <w:szCs w:val="24"/>
        </w:rPr>
        <w:t xml:space="preserve"> </w:t>
      </w:r>
      <w:r w:rsidR="0081749A" w:rsidRPr="008D59BB">
        <w:rPr>
          <w:rFonts w:ascii="Arial" w:hAnsi="Arial" w:cs="Arial"/>
          <w:sz w:val="24"/>
          <w:szCs w:val="24"/>
        </w:rPr>
        <w:t xml:space="preserve">[20], </w:t>
      </w:r>
      <w:r w:rsidR="00E077F3" w:rsidRPr="008D59BB">
        <w:rPr>
          <w:rFonts w:ascii="Arial" w:hAnsi="Arial" w:cs="Arial"/>
          <w:sz w:val="24"/>
          <w:szCs w:val="24"/>
        </w:rPr>
        <w:t>and</w:t>
      </w:r>
      <w:r w:rsidR="00B25AD6" w:rsidRPr="008D59BB">
        <w:rPr>
          <w:rFonts w:ascii="Arial" w:hAnsi="Arial" w:cs="Arial"/>
          <w:sz w:val="24"/>
          <w:szCs w:val="24"/>
        </w:rPr>
        <w:t xml:space="preserve"> </w:t>
      </w:r>
      <w:r w:rsidR="00E077F3" w:rsidRPr="008D59BB">
        <w:rPr>
          <w:rFonts w:ascii="Arial" w:hAnsi="Arial" w:cs="Arial"/>
          <w:sz w:val="24"/>
          <w:szCs w:val="24"/>
        </w:rPr>
        <w:t>c</w:t>
      </w:r>
      <w:r w:rsidR="00B25AD6" w:rsidRPr="008D59BB">
        <w:rPr>
          <w:rFonts w:ascii="Arial" w:hAnsi="Arial" w:cs="Arial"/>
          <w:sz w:val="24"/>
          <w:szCs w:val="24"/>
        </w:rPr>
        <w:t xml:space="preserve">hange in discharge destination as those who came from their own home before hospital admission but </w:t>
      </w:r>
      <w:r w:rsidR="00E077F3" w:rsidRPr="008D59BB">
        <w:rPr>
          <w:rFonts w:ascii="Arial" w:hAnsi="Arial" w:cs="Arial"/>
          <w:sz w:val="24"/>
          <w:szCs w:val="24"/>
        </w:rPr>
        <w:t>were</w:t>
      </w:r>
      <w:r w:rsidR="00B25AD6" w:rsidRPr="008D59BB">
        <w:rPr>
          <w:rFonts w:ascii="Arial" w:hAnsi="Arial" w:cs="Arial"/>
          <w:sz w:val="24"/>
          <w:szCs w:val="24"/>
        </w:rPr>
        <w:t xml:space="preserve"> transferred to places where increased care was provided, including re</w:t>
      </w:r>
      <w:r w:rsidR="00E077F3" w:rsidRPr="008D59BB">
        <w:rPr>
          <w:rFonts w:ascii="Arial" w:hAnsi="Arial" w:cs="Arial"/>
          <w:sz w:val="24"/>
          <w:szCs w:val="24"/>
        </w:rPr>
        <w:t>sidential care</w:t>
      </w:r>
      <w:r w:rsidR="006923F7" w:rsidRPr="008D59BB">
        <w:rPr>
          <w:rFonts w:ascii="Arial" w:hAnsi="Arial" w:cs="Arial"/>
          <w:sz w:val="24"/>
          <w:szCs w:val="24"/>
        </w:rPr>
        <w:t xml:space="preserve">, </w:t>
      </w:r>
      <w:r w:rsidR="002F36F3" w:rsidRPr="008D59BB">
        <w:rPr>
          <w:rFonts w:ascii="Arial" w:hAnsi="Arial" w:cs="Arial"/>
          <w:sz w:val="24"/>
          <w:szCs w:val="24"/>
        </w:rPr>
        <w:t>nursing care</w:t>
      </w:r>
      <w:r w:rsidR="00E077F3" w:rsidRPr="008D59BB">
        <w:rPr>
          <w:rFonts w:ascii="Arial" w:hAnsi="Arial" w:cs="Arial"/>
          <w:sz w:val="24"/>
          <w:szCs w:val="24"/>
        </w:rPr>
        <w:t>, or rehabilitation units</w:t>
      </w:r>
      <w:r w:rsidR="002F36F3" w:rsidRPr="008D59BB">
        <w:rPr>
          <w:rFonts w:ascii="Arial" w:hAnsi="Arial" w:cs="Arial"/>
          <w:sz w:val="24"/>
          <w:szCs w:val="24"/>
        </w:rPr>
        <w:t>.</w:t>
      </w:r>
    </w:p>
    <w:p w14:paraId="42291811" w14:textId="77777777" w:rsidR="00B25AD6" w:rsidRPr="008D59BB" w:rsidRDefault="00B25AD6" w:rsidP="00B25AD6">
      <w:pPr>
        <w:spacing w:after="0" w:line="480" w:lineRule="auto"/>
        <w:jc w:val="both"/>
        <w:rPr>
          <w:rFonts w:ascii="Arial" w:hAnsi="Arial" w:cs="Arial"/>
          <w:sz w:val="24"/>
          <w:szCs w:val="24"/>
        </w:rPr>
      </w:pPr>
    </w:p>
    <w:p w14:paraId="03158911" w14:textId="33D344F8" w:rsidR="007D37CD" w:rsidRPr="008D59BB" w:rsidRDefault="007D37CD" w:rsidP="00B25AD6">
      <w:pPr>
        <w:spacing w:after="0" w:line="480" w:lineRule="auto"/>
        <w:jc w:val="both"/>
        <w:rPr>
          <w:rFonts w:ascii="Arial" w:hAnsi="Arial" w:cs="Arial"/>
          <w:b/>
          <w:sz w:val="24"/>
          <w:szCs w:val="24"/>
        </w:rPr>
      </w:pPr>
      <w:r w:rsidRPr="008D59BB">
        <w:rPr>
          <w:rFonts w:ascii="Arial" w:hAnsi="Arial" w:cs="Arial"/>
          <w:b/>
          <w:sz w:val="24"/>
          <w:szCs w:val="24"/>
        </w:rPr>
        <w:t>Nutritional support</w:t>
      </w:r>
    </w:p>
    <w:p w14:paraId="0580A8AA" w14:textId="661A8590" w:rsidR="007D37CD" w:rsidRPr="008D59BB" w:rsidRDefault="007D37CD" w:rsidP="00B25AD6">
      <w:pPr>
        <w:spacing w:after="0" w:line="480" w:lineRule="auto"/>
        <w:jc w:val="both"/>
        <w:rPr>
          <w:rFonts w:ascii="Arial" w:hAnsi="Arial" w:cs="Arial"/>
          <w:sz w:val="24"/>
          <w:szCs w:val="24"/>
          <w:lang w:val="en-US"/>
        </w:rPr>
      </w:pPr>
      <w:r w:rsidRPr="008D59BB">
        <w:rPr>
          <w:rFonts w:ascii="Arial" w:hAnsi="Arial" w:cs="Arial"/>
          <w:sz w:val="24"/>
          <w:szCs w:val="24"/>
        </w:rPr>
        <w:t>All patients received nutritional</w:t>
      </w:r>
      <w:r w:rsidR="00342FE0" w:rsidRPr="008D59BB">
        <w:rPr>
          <w:rFonts w:ascii="Arial" w:hAnsi="Arial" w:cs="Arial"/>
          <w:sz w:val="24"/>
          <w:szCs w:val="24"/>
        </w:rPr>
        <w:t xml:space="preserve"> assessment using MUST protocol</w:t>
      </w:r>
      <w:r w:rsidRPr="008D59BB">
        <w:rPr>
          <w:rFonts w:ascii="Arial" w:hAnsi="Arial" w:cs="Arial"/>
          <w:sz w:val="24"/>
          <w:szCs w:val="24"/>
        </w:rPr>
        <w:t xml:space="preserve"> and Fortisip</w:t>
      </w:r>
      <w:r w:rsidR="00A5561A" w:rsidRPr="008D59BB">
        <w:rPr>
          <w:rFonts w:ascii="Arial" w:hAnsi="Arial" w:cs="Arial"/>
          <w:sz w:val="24"/>
          <w:szCs w:val="24"/>
          <w:vertAlign w:val="superscript"/>
        </w:rPr>
        <w:t>®</w:t>
      </w:r>
      <w:r w:rsidRPr="008D59BB">
        <w:rPr>
          <w:rFonts w:ascii="Arial" w:hAnsi="Arial" w:cs="Arial"/>
          <w:sz w:val="24"/>
          <w:szCs w:val="24"/>
        </w:rPr>
        <w:t xml:space="preserve"> </w:t>
      </w:r>
      <w:r w:rsidR="00A5561A" w:rsidRPr="008D59BB">
        <w:rPr>
          <w:rFonts w:ascii="Arial" w:hAnsi="Arial" w:cs="Arial"/>
          <w:sz w:val="24"/>
          <w:szCs w:val="24"/>
        </w:rPr>
        <w:t>Compact (Nutritcia</w:t>
      </w:r>
      <w:r w:rsidR="00F130F4" w:rsidRPr="008D59BB">
        <w:rPr>
          <w:rFonts w:ascii="Arial" w:hAnsi="Arial" w:cs="Arial"/>
          <w:sz w:val="24"/>
          <w:szCs w:val="24"/>
        </w:rPr>
        <w:t>, The Netherlands</w:t>
      </w:r>
      <w:r w:rsidR="00A5561A" w:rsidRPr="008D59BB">
        <w:rPr>
          <w:rFonts w:ascii="Arial" w:hAnsi="Arial" w:cs="Arial"/>
          <w:sz w:val="24"/>
          <w:szCs w:val="24"/>
        </w:rPr>
        <w:t>) was</w:t>
      </w:r>
      <w:r w:rsidRPr="008D59BB">
        <w:rPr>
          <w:rFonts w:ascii="Arial" w:hAnsi="Arial" w:cs="Arial"/>
          <w:sz w:val="24"/>
          <w:szCs w:val="24"/>
        </w:rPr>
        <w:t xml:space="preserve"> </w:t>
      </w:r>
      <w:r w:rsidR="00A5561A" w:rsidRPr="008D59BB">
        <w:rPr>
          <w:rFonts w:ascii="Arial" w:hAnsi="Arial" w:cs="Arial"/>
          <w:sz w:val="24"/>
          <w:szCs w:val="24"/>
        </w:rPr>
        <w:t xml:space="preserve">prescribed </w:t>
      </w:r>
      <w:r w:rsidRPr="008D59BB">
        <w:rPr>
          <w:rFonts w:ascii="Arial" w:hAnsi="Arial" w:cs="Arial"/>
          <w:sz w:val="24"/>
          <w:szCs w:val="24"/>
        </w:rPr>
        <w:t xml:space="preserve">for </w:t>
      </w:r>
      <w:r w:rsidR="00A5561A" w:rsidRPr="008D59BB">
        <w:rPr>
          <w:rFonts w:ascii="Arial" w:hAnsi="Arial" w:cs="Arial"/>
          <w:sz w:val="24"/>
          <w:szCs w:val="24"/>
        </w:rPr>
        <w:t xml:space="preserve">patients with </w:t>
      </w:r>
      <w:r w:rsidRPr="008D59BB">
        <w:rPr>
          <w:rFonts w:ascii="Arial" w:hAnsi="Arial" w:cs="Arial"/>
          <w:sz w:val="24"/>
          <w:szCs w:val="24"/>
        </w:rPr>
        <w:t xml:space="preserve">medium (score = 1) or high risk (score ≥2) </w:t>
      </w:r>
      <w:r w:rsidR="00A5561A" w:rsidRPr="008D59BB">
        <w:rPr>
          <w:rFonts w:ascii="Arial" w:hAnsi="Arial" w:cs="Arial"/>
          <w:sz w:val="24"/>
          <w:szCs w:val="24"/>
        </w:rPr>
        <w:t>of malnutrition</w:t>
      </w:r>
      <w:r w:rsidRPr="008D59BB">
        <w:rPr>
          <w:rFonts w:ascii="Arial" w:hAnsi="Arial" w:cs="Arial"/>
          <w:sz w:val="24"/>
          <w:szCs w:val="24"/>
        </w:rPr>
        <w:t>. For pati</w:t>
      </w:r>
      <w:r w:rsidR="00E52EBF" w:rsidRPr="008D59BB">
        <w:rPr>
          <w:rFonts w:ascii="Arial" w:hAnsi="Arial" w:cs="Arial"/>
          <w:sz w:val="24"/>
          <w:szCs w:val="24"/>
        </w:rPr>
        <w:t>ents with medium risk, Fortisip</w:t>
      </w:r>
      <w:r w:rsidR="00E52EBF" w:rsidRPr="008D59BB">
        <w:rPr>
          <w:rFonts w:ascii="Arial" w:hAnsi="Arial" w:cs="Arial"/>
          <w:sz w:val="24"/>
          <w:szCs w:val="24"/>
          <w:vertAlign w:val="superscript"/>
        </w:rPr>
        <w:t>®</w:t>
      </w:r>
      <w:r w:rsidR="00E52EBF" w:rsidRPr="008D59BB">
        <w:rPr>
          <w:rFonts w:ascii="Arial" w:hAnsi="Arial" w:cs="Arial"/>
          <w:sz w:val="24"/>
          <w:szCs w:val="24"/>
        </w:rPr>
        <w:t xml:space="preserve"> Compact was</w:t>
      </w:r>
      <w:r w:rsidRPr="008D59BB">
        <w:rPr>
          <w:rFonts w:ascii="Arial" w:hAnsi="Arial" w:cs="Arial"/>
          <w:sz w:val="24"/>
          <w:szCs w:val="24"/>
        </w:rPr>
        <w:t xml:space="preserve"> continued until reassessment on day 4, while patients with high risk were referred to dietitians for further assessment. </w:t>
      </w:r>
      <w:r w:rsidR="00E52EBF" w:rsidRPr="008D59BB">
        <w:rPr>
          <w:rFonts w:ascii="Arial" w:hAnsi="Arial" w:cs="Arial"/>
          <w:sz w:val="24"/>
          <w:szCs w:val="24"/>
          <w:lang w:val="en-US"/>
        </w:rPr>
        <w:t>The a</w:t>
      </w:r>
      <w:r w:rsidRPr="008D59BB">
        <w:rPr>
          <w:rFonts w:ascii="Arial" w:hAnsi="Arial" w:cs="Arial"/>
          <w:sz w:val="24"/>
          <w:szCs w:val="24"/>
          <w:lang w:val="en-US"/>
        </w:rPr>
        <w:t>ppropriate level of nutritional support depended on the level of deficiency, but in general, patients would be provided with Fortisip</w:t>
      </w:r>
      <w:r w:rsidR="00E15D17" w:rsidRPr="008D59BB">
        <w:rPr>
          <w:rFonts w:ascii="Arial" w:hAnsi="Arial" w:cs="Arial"/>
          <w:sz w:val="24"/>
          <w:szCs w:val="24"/>
          <w:vertAlign w:val="superscript"/>
        </w:rPr>
        <w:t>®</w:t>
      </w:r>
      <w:r w:rsidRPr="008D59BB">
        <w:rPr>
          <w:rFonts w:ascii="Arial" w:hAnsi="Arial" w:cs="Arial"/>
          <w:sz w:val="24"/>
          <w:szCs w:val="24"/>
          <w:lang w:val="en-US"/>
        </w:rPr>
        <w:t xml:space="preserve"> Compact Protein</w:t>
      </w:r>
      <w:r w:rsidR="00E15D17" w:rsidRPr="008D59BB">
        <w:rPr>
          <w:rFonts w:ascii="Arial" w:hAnsi="Arial" w:cs="Arial"/>
          <w:sz w:val="24"/>
          <w:szCs w:val="24"/>
          <w:lang w:val="en-US"/>
        </w:rPr>
        <w:t xml:space="preserve"> </w:t>
      </w:r>
      <w:r w:rsidR="00E15D17" w:rsidRPr="008D59BB">
        <w:rPr>
          <w:rFonts w:ascii="Arial" w:hAnsi="Arial" w:cs="Arial"/>
          <w:sz w:val="24"/>
          <w:szCs w:val="24"/>
        </w:rPr>
        <w:t>(Nutritcia)</w:t>
      </w:r>
      <w:r w:rsidRPr="008D59BB">
        <w:rPr>
          <w:rFonts w:ascii="Arial" w:hAnsi="Arial" w:cs="Arial"/>
          <w:sz w:val="24"/>
          <w:szCs w:val="24"/>
          <w:lang w:val="en-US"/>
        </w:rPr>
        <w:t xml:space="preserve"> if they were deemed to be protein deficient. Other supplements include Forticreme</w:t>
      </w:r>
      <w:r w:rsidRPr="008D59BB">
        <w:rPr>
          <w:rFonts w:ascii="Arial" w:hAnsi="Arial" w:cs="Arial"/>
          <w:sz w:val="24"/>
          <w:szCs w:val="24"/>
          <w:vertAlign w:val="superscript"/>
        </w:rPr>
        <w:t>®</w:t>
      </w:r>
      <w:r w:rsidR="00E15D17" w:rsidRPr="008D59BB">
        <w:rPr>
          <w:rFonts w:ascii="Arial" w:hAnsi="Arial" w:cs="Arial"/>
          <w:sz w:val="24"/>
          <w:szCs w:val="24"/>
          <w:lang w:val="en-US"/>
        </w:rPr>
        <w:t xml:space="preserve"> Complete </w:t>
      </w:r>
      <w:r w:rsidR="00E15D17" w:rsidRPr="008D59BB">
        <w:rPr>
          <w:rFonts w:ascii="Arial" w:hAnsi="Arial" w:cs="Arial"/>
          <w:sz w:val="24"/>
          <w:szCs w:val="24"/>
        </w:rPr>
        <w:t>(Nutritcia),</w:t>
      </w:r>
      <w:r w:rsidRPr="008D59BB">
        <w:rPr>
          <w:rFonts w:ascii="Arial" w:hAnsi="Arial" w:cs="Arial"/>
          <w:sz w:val="24"/>
          <w:szCs w:val="24"/>
          <w:lang w:val="en-US"/>
        </w:rPr>
        <w:t xml:space="preserve"> FortiJuice</w:t>
      </w:r>
      <w:r w:rsidRPr="008D59BB">
        <w:rPr>
          <w:rFonts w:ascii="Arial" w:hAnsi="Arial" w:cs="Arial"/>
          <w:sz w:val="24"/>
          <w:szCs w:val="24"/>
          <w:vertAlign w:val="superscript"/>
        </w:rPr>
        <w:t>®</w:t>
      </w:r>
      <w:r w:rsidR="00E15D17" w:rsidRPr="008D59BB">
        <w:rPr>
          <w:rFonts w:ascii="Arial" w:hAnsi="Arial" w:cs="Arial"/>
          <w:sz w:val="24"/>
          <w:szCs w:val="24"/>
          <w:lang w:val="en-US"/>
        </w:rPr>
        <w:t xml:space="preserve"> </w:t>
      </w:r>
      <w:r w:rsidR="00E15D17" w:rsidRPr="008D59BB">
        <w:rPr>
          <w:rFonts w:ascii="Arial" w:hAnsi="Arial" w:cs="Arial"/>
          <w:sz w:val="24"/>
          <w:szCs w:val="24"/>
        </w:rPr>
        <w:t>(Nutritcia),</w:t>
      </w:r>
      <w:r w:rsidRPr="008D59BB">
        <w:rPr>
          <w:rFonts w:ascii="Arial" w:hAnsi="Arial" w:cs="Arial"/>
          <w:sz w:val="24"/>
          <w:szCs w:val="24"/>
          <w:lang w:val="en-US"/>
        </w:rPr>
        <w:t xml:space="preserve"> Meritene</w:t>
      </w:r>
      <w:r w:rsidRPr="008D59BB">
        <w:rPr>
          <w:rFonts w:ascii="Arial" w:hAnsi="Arial" w:cs="Arial"/>
          <w:sz w:val="24"/>
          <w:szCs w:val="24"/>
          <w:vertAlign w:val="superscript"/>
        </w:rPr>
        <w:t>®</w:t>
      </w:r>
      <w:r w:rsidRPr="008D59BB">
        <w:rPr>
          <w:rFonts w:ascii="Arial" w:hAnsi="Arial" w:cs="Arial"/>
          <w:sz w:val="24"/>
          <w:szCs w:val="24"/>
          <w:lang w:val="en-US"/>
        </w:rPr>
        <w:t xml:space="preserve"> </w:t>
      </w:r>
      <w:r w:rsidR="00E15D17" w:rsidRPr="008D59BB">
        <w:rPr>
          <w:rFonts w:ascii="Arial" w:hAnsi="Arial" w:cs="Arial"/>
          <w:sz w:val="24"/>
          <w:szCs w:val="24"/>
          <w:lang w:val="en-US"/>
        </w:rPr>
        <w:t>(Nestlé Health Science</w:t>
      </w:r>
      <w:r w:rsidR="00F130F4" w:rsidRPr="008D59BB">
        <w:rPr>
          <w:rFonts w:ascii="Arial" w:hAnsi="Arial" w:cs="Arial"/>
          <w:sz w:val="24"/>
          <w:szCs w:val="24"/>
          <w:lang w:val="en-US"/>
        </w:rPr>
        <w:t>, UK</w:t>
      </w:r>
      <w:r w:rsidR="00E15D17" w:rsidRPr="008D59BB">
        <w:rPr>
          <w:rFonts w:ascii="Arial" w:hAnsi="Arial" w:cs="Arial"/>
          <w:sz w:val="24"/>
          <w:szCs w:val="24"/>
          <w:lang w:val="en-US"/>
        </w:rPr>
        <w:t xml:space="preserve">) </w:t>
      </w:r>
      <w:r w:rsidRPr="008D59BB">
        <w:rPr>
          <w:rFonts w:ascii="Arial" w:hAnsi="Arial" w:cs="Arial"/>
          <w:sz w:val="24"/>
          <w:szCs w:val="24"/>
          <w:lang w:val="en-US"/>
        </w:rPr>
        <w:t>and Scandishakes</w:t>
      </w:r>
      <w:r w:rsidRPr="008D59BB">
        <w:rPr>
          <w:rFonts w:ascii="Arial" w:hAnsi="Arial" w:cs="Arial"/>
          <w:sz w:val="24"/>
          <w:szCs w:val="24"/>
          <w:vertAlign w:val="superscript"/>
        </w:rPr>
        <w:t>®</w:t>
      </w:r>
      <w:r w:rsidRPr="008D59BB">
        <w:rPr>
          <w:rFonts w:ascii="Arial" w:hAnsi="Arial" w:cs="Arial"/>
          <w:sz w:val="24"/>
          <w:szCs w:val="24"/>
          <w:lang w:val="en-US"/>
        </w:rPr>
        <w:t xml:space="preserve"> </w:t>
      </w:r>
      <w:r w:rsidR="00E15D17" w:rsidRPr="008D59BB">
        <w:rPr>
          <w:rFonts w:ascii="Arial" w:hAnsi="Arial" w:cs="Arial"/>
          <w:sz w:val="24"/>
          <w:szCs w:val="24"/>
        </w:rPr>
        <w:t xml:space="preserve">(Nutritcia) </w:t>
      </w:r>
      <w:r w:rsidRPr="008D59BB">
        <w:rPr>
          <w:rFonts w:ascii="Arial" w:hAnsi="Arial" w:cs="Arial"/>
          <w:sz w:val="24"/>
          <w:szCs w:val="24"/>
          <w:lang w:val="en-US"/>
        </w:rPr>
        <w:t>but these were generally determined by patient requirement and preference. Patients who were not able to tolerate or at risk of oral intake, enteral or parental nutrition would be considered if appropriate.</w:t>
      </w:r>
    </w:p>
    <w:p w14:paraId="33A2ACE8" w14:textId="77777777" w:rsidR="007D37CD" w:rsidRPr="008D59BB" w:rsidRDefault="007D37CD" w:rsidP="00B25AD6">
      <w:pPr>
        <w:spacing w:after="0" w:line="480" w:lineRule="auto"/>
        <w:jc w:val="both"/>
        <w:rPr>
          <w:rFonts w:ascii="Arial" w:hAnsi="Arial" w:cs="Arial"/>
          <w:sz w:val="24"/>
          <w:szCs w:val="24"/>
        </w:rPr>
      </w:pPr>
    </w:p>
    <w:p w14:paraId="72176A07" w14:textId="257B1D8F" w:rsidR="000220CF" w:rsidRPr="008D59BB" w:rsidRDefault="000220CF" w:rsidP="00B25AD6">
      <w:pPr>
        <w:spacing w:after="0" w:line="480" w:lineRule="auto"/>
        <w:jc w:val="both"/>
        <w:rPr>
          <w:rFonts w:ascii="Arial" w:hAnsi="Arial" w:cs="Arial"/>
          <w:b/>
          <w:sz w:val="24"/>
          <w:szCs w:val="24"/>
        </w:rPr>
      </w:pPr>
      <w:r w:rsidRPr="008D59BB">
        <w:rPr>
          <w:rFonts w:ascii="Arial" w:hAnsi="Arial" w:cs="Arial"/>
          <w:b/>
          <w:sz w:val="24"/>
          <w:szCs w:val="24"/>
        </w:rPr>
        <w:lastRenderedPageBreak/>
        <w:t>Rehabilitation programmes</w:t>
      </w:r>
    </w:p>
    <w:p w14:paraId="2AE16F64" w14:textId="624BE26E" w:rsidR="000220CF" w:rsidRPr="008D59BB" w:rsidRDefault="000220CF" w:rsidP="00B25AD6">
      <w:pPr>
        <w:spacing w:after="0" w:line="480" w:lineRule="auto"/>
        <w:jc w:val="both"/>
        <w:rPr>
          <w:rFonts w:ascii="Arial" w:hAnsi="Arial" w:cs="Arial"/>
          <w:sz w:val="24"/>
          <w:szCs w:val="24"/>
        </w:rPr>
      </w:pPr>
      <w:r w:rsidRPr="008D59BB">
        <w:rPr>
          <w:rFonts w:ascii="Arial" w:hAnsi="Arial" w:cs="Arial"/>
          <w:sz w:val="24"/>
          <w:szCs w:val="24"/>
        </w:rPr>
        <w:t xml:space="preserve">Physiotherapy during hospital stay consisted of exercising in bed to improve </w:t>
      </w:r>
      <w:r w:rsidR="00005AEB" w:rsidRPr="008D59BB">
        <w:rPr>
          <w:rFonts w:ascii="Arial" w:hAnsi="Arial" w:cs="Arial"/>
          <w:sz w:val="24"/>
          <w:szCs w:val="24"/>
        </w:rPr>
        <w:t xml:space="preserve">the </w:t>
      </w:r>
      <w:r w:rsidRPr="008D59BB">
        <w:rPr>
          <w:rFonts w:ascii="Arial" w:hAnsi="Arial" w:cs="Arial"/>
          <w:sz w:val="24"/>
          <w:szCs w:val="24"/>
        </w:rPr>
        <w:t xml:space="preserve">circulation, strengthen muscles around the hip and regain hip movement. </w:t>
      </w:r>
      <w:r w:rsidR="00005AEB" w:rsidRPr="008D59BB">
        <w:rPr>
          <w:rFonts w:ascii="Arial" w:hAnsi="Arial" w:cs="Arial"/>
          <w:sz w:val="24"/>
          <w:szCs w:val="24"/>
        </w:rPr>
        <w:t>This was done at least four times a day, progressing to daily walking exercises with crutches or sticks and then walking up and down stairs</w:t>
      </w:r>
      <w:r w:rsidRPr="008D59BB">
        <w:rPr>
          <w:rFonts w:ascii="Arial" w:hAnsi="Arial" w:cs="Arial"/>
          <w:sz w:val="24"/>
          <w:szCs w:val="24"/>
        </w:rPr>
        <w:t>.</w:t>
      </w:r>
    </w:p>
    <w:p w14:paraId="6E6683BD" w14:textId="77777777" w:rsidR="000220CF" w:rsidRPr="008D59BB" w:rsidRDefault="000220CF" w:rsidP="00B25AD6">
      <w:pPr>
        <w:spacing w:after="0" w:line="480" w:lineRule="auto"/>
        <w:jc w:val="both"/>
        <w:rPr>
          <w:rFonts w:ascii="Arial" w:hAnsi="Arial" w:cs="Arial"/>
          <w:sz w:val="24"/>
          <w:szCs w:val="24"/>
        </w:rPr>
      </w:pPr>
    </w:p>
    <w:p w14:paraId="3D8D0CEE" w14:textId="77777777" w:rsidR="00B25AD6" w:rsidRPr="008D59BB" w:rsidRDefault="00B25AD6" w:rsidP="00B25AD6">
      <w:pPr>
        <w:spacing w:after="0" w:line="480" w:lineRule="auto"/>
        <w:jc w:val="both"/>
        <w:rPr>
          <w:rFonts w:ascii="Arial" w:hAnsi="Arial" w:cs="Arial"/>
          <w:b/>
          <w:sz w:val="24"/>
          <w:szCs w:val="24"/>
        </w:rPr>
      </w:pPr>
      <w:r w:rsidRPr="008D59BB">
        <w:rPr>
          <w:rFonts w:ascii="Arial" w:hAnsi="Arial" w:cs="Arial"/>
          <w:b/>
          <w:sz w:val="24"/>
          <w:szCs w:val="24"/>
        </w:rPr>
        <w:t>Statistical analysis</w:t>
      </w:r>
    </w:p>
    <w:p w14:paraId="6735EE9C" w14:textId="321C4CCE" w:rsidR="00B25AD6" w:rsidRPr="008D59BB" w:rsidRDefault="00036F5E" w:rsidP="00B25AD6">
      <w:pPr>
        <w:spacing w:after="0" w:line="480" w:lineRule="auto"/>
        <w:jc w:val="both"/>
        <w:rPr>
          <w:rFonts w:ascii="Arial" w:hAnsi="Arial" w:cs="Arial"/>
          <w:sz w:val="24"/>
          <w:szCs w:val="24"/>
        </w:rPr>
      </w:pPr>
      <w:r w:rsidRPr="008D59BB">
        <w:rPr>
          <w:rFonts w:ascii="Arial" w:hAnsi="Arial" w:cs="Arial"/>
          <w:sz w:val="24"/>
          <w:szCs w:val="24"/>
        </w:rPr>
        <w:t xml:space="preserve">The </w:t>
      </w:r>
      <w:r w:rsidR="006176D5" w:rsidRPr="008D59BB">
        <w:rPr>
          <w:rFonts w:ascii="Arial" w:hAnsi="Arial" w:cs="Arial"/>
          <w:sz w:val="24"/>
          <w:szCs w:val="24"/>
        </w:rPr>
        <w:t xml:space="preserve">minimum </w:t>
      </w:r>
      <w:r w:rsidRPr="008D59BB">
        <w:rPr>
          <w:rFonts w:ascii="Arial" w:hAnsi="Arial" w:cs="Arial"/>
          <w:sz w:val="24"/>
          <w:szCs w:val="24"/>
        </w:rPr>
        <w:t xml:space="preserve">sample size was calculated based on the formula for cross-sectional studies: n = </w:t>
      </w:r>
      <w:r w:rsidR="00802443" w:rsidRPr="008D59BB">
        <w:rPr>
          <w:rFonts w:ascii="Arial" w:hAnsi="Arial" w:cs="Arial"/>
          <w:sz w:val="24"/>
          <w:szCs w:val="24"/>
        </w:rPr>
        <w:t>[</w:t>
      </w:r>
      <w:r w:rsidRPr="008D59BB">
        <w:rPr>
          <w:rFonts w:ascii="Arial" w:hAnsi="Arial" w:cs="Arial"/>
          <w:sz w:val="24"/>
          <w:szCs w:val="24"/>
        </w:rPr>
        <w:t>Z</w:t>
      </w:r>
      <w:r w:rsidRPr="008D59BB">
        <w:rPr>
          <w:rFonts w:ascii="Arial" w:hAnsi="Arial" w:cs="Arial"/>
          <w:sz w:val="24"/>
          <w:szCs w:val="24"/>
          <w:vertAlign w:val="superscript"/>
        </w:rPr>
        <w:t>2</w:t>
      </w:r>
      <w:r w:rsidRPr="008D59BB">
        <w:rPr>
          <w:rFonts w:ascii="Arial" w:hAnsi="Arial" w:cs="Arial"/>
          <w:sz w:val="24"/>
          <w:szCs w:val="24"/>
        </w:rPr>
        <w:t xml:space="preserve"> </w:t>
      </w:r>
      <w:r w:rsidRPr="008D59BB">
        <w:rPr>
          <w:rFonts w:ascii="Arial" w:hAnsi="Arial" w:cs="Arial"/>
          <w:sz w:val="24"/>
          <w:szCs w:val="24"/>
        </w:rPr>
        <w:sym w:font="Symbol" w:char="F0B4"/>
      </w:r>
      <w:r w:rsidRPr="008D59BB">
        <w:rPr>
          <w:rFonts w:ascii="Arial" w:hAnsi="Arial" w:cs="Arial"/>
          <w:sz w:val="24"/>
          <w:szCs w:val="24"/>
        </w:rPr>
        <w:t xml:space="preserve"> P (1 - P)</w:t>
      </w:r>
      <w:r w:rsidR="00802443" w:rsidRPr="008D59BB">
        <w:rPr>
          <w:rFonts w:ascii="Arial" w:hAnsi="Arial" w:cs="Arial"/>
          <w:sz w:val="24"/>
          <w:szCs w:val="24"/>
        </w:rPr>
        <w:t>]</w:t>
      </w:r>
      <w:r w:rsidRPr="008D59BB">
        <w:rPr>
          <w:rFonts w:ascii="Arial" w:hAnsi="Arial" w:cs="Arial"/>
          <w:sz w:val="24"/>
          <w:szCs w:val="24"/>
        </w:rPr>
        <w:t>/d</w:t>
      </w:r>
      <w:r w:rsidRPr="008D59BB">
        <w:rPr>
          <w:rFonts w:ascii="Arial" w:hAnsi="Arial" w:cs="Arial"/>
          <w:sz w:val="24"/>
          <w:szCs w:val="24"/>
          <w:vertAlign w:val="superscript"/>
        </w:rPr>
        <w:t>2</w:t>
      </w:r>
      <w:r w:rsidRPr="008D59BB">
        <w:rPr>
          <w:rFonts w:ascii="Arial" w:hAnsi="Arial" w:cs="Arial"/>
          <w:sz w:val="24"/>
          <w:szCs w:val="24"/>
        </w:rPr>
        <w:t>, where Z is the level of confidence (</w:t>
      </w:r>
      <w:r w:rsidR="004D35C1" w:rsidRPr="008D59BB">
        <w:rPr>
          <w:rFonts w:ascii="Arial" w:hAnsi="Arial" w:cs="Arial"/>
          <w:sz w:val="24"/>
          <w:szCs w:val="24"/>
        </w:rPr>
        <w:t xml:space="preserve">we chose </w:t>
      </w:r>
      <w:r w:rsidR="00802443" w:rsidRPr="008D59BB">
        <w:rPr>
          <w:rFonts w:ascii="Arial" w:hAnsi="Arial" w:cs="Arial"/>
          <w:sz w:val="24"/>
          <w:szCs w:val="24"/>
        </w:rPr>
        <w:t xml:space="preserve">Z = 1.96 for </w:t>
      </w:r>
      <w:r w:rsidRPr="008D59BB">
        <w:rPr>
          <w:rFonts w:ascii="Arial" w:hAnsi="Arial" w:cs="Arial"/>
          <w:sz w:val="24"/>
          <w:szCs w:val="24"/>
        </w:rPr>
        <w:t>95% CI</w:t>
      </w:r>
      <w:r w:rsidR="00802443" w:rsidRPr="008D59BB">
        <w:rPr>
          <w:rFonts w:ascii="Arial" w:hAnsi="Arial" w:cs="Arial"/>
          <w:sz w:val="24"/>
          <w:szCs w:val="24"/>
        </w:rPr>
        <w:t xml:space="preserve">), P is </w:t>
      </w:r>
      <w:r w:rsidR="006176D5" w:rsidRPr="008D59BB">
        <w:rPr>
          <w:rFonts w:ascii="Arial" w:hAnsi="Arial" w:cs="Arial"/>
          <w:sz w:val="24"/>
          <w:szCs w:val="24"/>
        </w:rPr>
        <w:t xml:space="preserve">the </w:t>
      </w:r>
      <w:r w:rsidR="00802443" w:rsidRPr="008D59BB">
        <w:rPr>
          <w:rFonts w:ascii="Arial" w:hAnsi="Arial" w:cs="Arial"/>
          <w:sz w:val="24"/>
          <w:szCs w:val="24"/>
        </w:rPr>
        <w:t>expected prevalence (</w:t>
      </w:r>
      <w:r w:rsidR="00F93B25" w:rsidRPr="008D59BB">
        <w:rPr>
          <w:rFonts w:ascii="Arial" w:hAnsi="Arial" w:cs="Arial"/>
          <w:sz w:val="24"/>
          <w:szCs w:val="24"/>
        </w:rPr>
        <w:t>P for</w:t>
      </w:r>
      <w:r w:rsidR="00BC51A3" w:rsidRPr="008D59BB">
        <w:rPr>
          <w:rFonts w:ascii="Arial" w:hAnsi="Arial" w:cs="Arial"/>
          <w:sz w:val="24"/>
          <w:szCs w:val="24"/>
        </w:rPr>
        <w:t xml:space="preserve"> risk of malnutrition/malnourishment = </w:t>
      </w:r>
      <w:r w:rsidR="00802443" w:rsidRPr="008D59BB">
        <w:rPr>
          <w:rFonts w:ascii="Arial" w:hAnsi="Arial" w:cs="Arial"/>
          <w:sz w:val="24"/>
          <w:szCs w:val="24"/>
        </w:rPr>
        <w:t>30% based on study by Lisk et al [18]), and d is precision (selected at 0.04</w:t>
      </w:r>
      <w:r w:rsidR="00DE275B" w:rsidRPr="008D59BB">
        <w:rPr>
          <w:rFonts w:ascii="Arial" w:hAnsi="Arial" w:cs="Arial"/>
          <w:sz w:val="24"/>
          <w:szCs w:val="24"/>
        </w:rPr>
        <w:t>, approximately 15% of P</w:t>
      </w:r>
      <w:r w:rsidR="00A04617" w:rsidRPr="008D59BB">
        <w:rPr>
          <w:rFonts w:ascii="Arial" w:hAnsi="Arial" w:cs="Arial"/>
          <w:sz w:val="24"/>
          <w:szCs w:val="24"/>
        </w:rPr>
        <w:t xml:space="preserve"> which is within the recommended precision of 10-20%</w:t>
      </w:r>
      <w:r w:rsidR="00802443" w:rsidRPr="008D59BB">
        <w:rPr>
          <w:rFonts w:ascii="Arial" w:hAnsi="Arial" w:cs="Arial"/>
          <w:sz w:val="24"/>
          <w:szCs w:val="24"/>
        </w:rPr>
        <w:t xml:space="preserve">) [23]. </w:t>
      </w:r>
      <w:r w:rsidR="006176D5" w:rsidRPr="008D59BB">
        <w:rPr>
          <w:rFonts w:ascii="Arial" w:hAnsi="Arial" w:cs="Arial"/>
          <w:sz w:val="24"/>
          <w:szCs w:val="24"/>
        </w:rPr>
        <w:t>Thus</w:t>
      </w:r>
      <w:r w:rsidR="00802443" w:rsidRPr="008D59BB">
        <w:rPr>
          <w:rFonts w:ascii="Arial" w:hAnsi="Arial" w:cs="Arial"/>
          <w:sz w:val="24"/>
          <w:szCs w:val="24"/>
        </w:rPr>
        <w:t>, n = [1.96</w:t>
      </w:r>
      <w:r w:rsidR="00802443" w:rsidRPr="008D59BB">
        <w:rPr>
          <w:rFonts w:ascii="Arial" w:hAnsi="Arial" w:cs="Arial"/>
          <w:sz w:val="24"/>
          <w:szCs w:val="24"/>
          <w:vertAlign w:val="superscript"/>
        </w:rPr>
        <w:t>2</w:t>
      </w:r>
      <w:r w:rsidR="00802443" w:rsidRPr="008D59BB">
        <w:rPr>
          <w:rFonts w:ascii="Arial" w:hAnsi="Arial" w:cs="Arial"/>
          <w:sz w:val="24"/>
          <w:szCs w:val="24"/>
        </w:rPr>
        <w:t xml:space="preserve"> </w:t>
      </w:r>
      <w:r w:rsidR="00802443" w:rsidRPr="008D59BB">
        <w:rPr>
          <w:rFonts w:ascii="Arial" w:hAnsi="Arial" w:cs="Arial"/>
          <w:sz w:val="24"/>
          <w:szCs w:val="24"/>
        </w:rPr>
        <w:sym w:font="Symbol" w:char="F0B4"/>
      </w:r>
      <w:r w:rsidR="00802443" w:rsidRPr="008D59BB">
        <w:rPr>
          <w:rFonts w:ascii="Arial" w:hAnsi="Arial" w:cs="Arial"/>
          <w:sz w:val="24"/>
          <w:szCs w:val="24"/>
        </w:rPr>
        <w:t xml:space="preserve"> 0.3 </w:t>
      </w:r>
      <w:r w:rsidR="00802443" w:rsidRPr="008D59BB">
        <w:rPr>
          <w:rFonts w:ascii="Arial" w:hAnsi="Arial" w:cs="Arial"/>
          <w:sz w:val="24"/>
          <w:szCs w:val="24"/>
        </w:rPr>
        <w:sym w:font="Symbol" w:char="F0B4"/>
      </w:r>
      <w:r w:rsidR="00802443" w:rsidRPr="008D59BB">
        <w:rPr>
          <w:rFonts w:ascii="Arial" w:hAnsi="Arial" w:cs="Arial"/>
          <w:sz w:val="24"/>
          <w:szCs w:val="24"/>
        </w:rPr>
        <w:t xml:space="preserve"> </w:t>
      </w:r>
      <w:r w:rsidR="00791032" w:rsidRPr="008D59BB">
        <w:rPr>
          <w:rFonts w:ascii="Arial" w:hAnsi="Arial" w:cs="Arial"/>
          <w:sz w:val="24"/>
          <w:szCs w:val="24"/>
        </w:rPr>
        <w:t xml:space="preserve">(1- </w:t>
      </w:r>
      <w:r w:rsidR="00802443" w:rsidRPr="008D59BB">
        <w:rPr>
          <w:rFonts w:ascii="Arial" w:hAnsi="Arial" w:cs="Arial"/>
          <w:sz w:val="24"/>
          <w:szCs w:val="24"/>
        </w:rPr>
        <w:t>0.</w:t>
      </w:r>
      <w:r w:rsidR="00791032" w:rsidRPr="008D59BB">
        <w:rPr>
          <w:rFonts w:ascii="Arial" w:hAnsi="Arial" w:cs="Arial"/>
          <w:sz w:val="24"/>
          <w:szCs w:val="24"/>
        </w:rPr>
        <w:t>3)</w:t>
      </w:r>
      <w:r w:rsidR="00802443" w:rsidRPr="008D59BB">
        <w:rPr>
          <w:rFonts w:ascii="Arial" w:hAnsi="Arial" w:cs="Arial"/>
          <w:sz w:val="24"/>
          <w:szCs w:val="24"/>
        </w:rPr>
        <w:t>]/0.04</w:t>
      </w:r>
      <w:r w:rsidR="00802443" w:rsidRPr="008D59BB">
        <w:rPr>
          <w:rFonts w:ascii="Arial" w:hAnsi="Arial" w:cs="Arial"/>
          <w:sz w:val="24"/>
          <w:szCs w:val="24"/>
          <w:vertAlign w:val="superscript"/>
        </w:rPr>
        <w:t>2</w:t>
      </w:r>
      <w:r w:rsidR="00802443" w:rsidRPr="008D59BB">
        <w:rPr>
          <w:rFonts w:ascii="Arial" w:hAnsi="Arial" w:cs="Arial"/>
          <w:sz w:val="24"/>
          <w:szCs w:val="24"/>
        </w:rPr>
        <w:t xml:space="preserve"> </w:t>
      </w:r>
      <w:r w:rsidR="006176D5" w:rsidRPr="008D59BB">
        <w:rPr>
          <w:rFonts w:ascii="Arial" w:hAnsi="Arial" w:cs="Arial"/>
          <w:sz w:val="24"/>
          <w:szCs w:val="24"/>
        </w:rPr>
        <w:t>=</w:t>
      </w:r>
      <w:r w:rsidR="0086432C" w:rsidRPr="008D59BB">
        <w:rPr>
          <w:rFonts w:ascii="Arial" w:hAnsi="Arial" w:cs="Arial"/>
          <w:sz w:val="24"/>
          <w:szCs w:val="24"/>
        </w:rPr>
        <w:t xml:space="preserve"> </w:t>
      </w:r>
      <w:r w:rsidR="00802443" w:rsidRPr="008D59BB">
        <w:rPr>
          <w:rFonts w:ascii="Arial" w:hAnsi="Arial" w:cs="Arial"/>
          <w:sz w:val="24"/>
          <w:szCs w:val="24"/>
        </w:rPr>
        <w:t>504</w:t>
      </w:r>
      <w:r w:rsidR="00DE275B" w:rsidRPr="008D59BB">
        <w:rPr>
          <w:rFonts w:ascii="Arial" w:hAnsi="Arial" w:cs="Arial"/>
          <w:sz w:val="24"/>
          <w:szCs w:val="24"/>
        </w:rPr>
        <w:t xml:space="preserve">. </w:t>
      </w:r>
      <w:r w:rsidR="00AE30A3" w:rsidRPr="008D59BB">
        <w:rPr>
          <w:rFonts w:ascii="Arial" w:hAnsi="Arial" w:cs="Arial"/>
          <w:sz w:val="24"/>
          <w:szCs w:val="24"/>
        </w:rPr>
        <w:t xml:space="preserve">Group data are </w:t>
      </w:r>
      <w:r w:rsidR="00811989" w:rsidRPr="008D59BB">
        <w:rPr>
          <w:rFonts w:ascii="Arial" w:hAnsi="Arial" w:cs="Arial"/>
          <w:sz w:val="24"/>
          <w:szCs w:val="24"/>
        </w:rPr>
        <w:t>expressed</w:t>
      </w:r>
      <w:r w:rsidR="00AE30A3" w:rsidRPr="008D59BB">
        <w:rPr>
          <w:rFonts w:ascii="Arial" w:hAnsi="Arial" w:cs="Arial"/>
          <w:sz w:val="24"/>
          <w:szCs w:val="24"/>
        </w:rPr>
        <w:t xml:space="preserve"> as mean values ± standard deviation (SD). </w:t>
      </w:r>
      <w:r w:rsidR="00B25AD6" w:rsidRPr="008D59BB">
        <w:rPr>
          <w:rFonts w:ascii="Arial" w:hAnsi="Arial" w:cs="Arial"/>
          <w:sz w:val="24"/>
          <w:szCs w:val="24"/>
        </w:rPr>
        <w:t>Differences in</w:t>
      </w:r>
      <w:r w:rsidR="003F5E02" w:rsidRPr="008D59BB">
        <w:rPr>
          <w:rFonts w:ascii="Arial" w:hAnsi="Arial" w:cs="Arial"/>
          <w:sz w:val="24"/>
          <w:szCs w:val="24"/>
        </w:rPr>
        <w:t xml:space="preserve"> age and</w:t>
      </w:r>
      <w:r w:rsidR="00B25AD6" w:rsidRPr="008D59BB">
        <w:rPr>
          <w:rFonts w:ascii="Arial" w:hAnsi="Arial" w:cs="Arial"/>
          <w:sz w:val="24"/>
          <w:szCs w:val="24"/>
        </w:rPr>
        <w:t xml:space="preserve"> LOS between </w:t>
      </w:r>
      <w:r w:rsidR="00ED3B2E" w:rsidRPr="008D59BB">
        <w:rPr>
          <w:rFonts w:ascii="Arial" w:hAnsi="Arial" w:cs="Arial"/>
          <w:sz w:val="24"/>
          <w:szCs w:val="24"/>
        </w:rPr>
        <w:t xml:space="preserve">nutritional </w:t>
      </w:r>
      <w:r w:rsidR="00B25AD6" w:rsidRPr="008D59BB">
        <w:rPr>
          <w:rFonts w:ascii="Arial" w:hAnsi="Arial" w:cs="Arial"/>
          <w:sz w:val="24"/>
          <w:szCs w:val="24"/>
        </w:rPr>
        <w:t xml:space="preserve">groups were tested by ANOVA with </w:t>
      </w:r>
      <w:r w:rsidR="00B25AD6" w:rsidRPr="008D59BB">
        <w:rPr>
          <w:rFonts w:ascii="Arial" w:hAnsi="Arial" w:cs="Arial"/>
          <w:i/>
          <w:sz w:val="24"/>
          <w:szCs w:val="24"/>
        </w:rPr>
        <w:t>post-hoc</w:t>
      </w:r>
      <w:r w:rsidR="00AE30A3" w:rsidRPr="008D59BB">
        <w:rPr>
          <w:rFonts w:ascii="Arial" w:hAnsi="Arial" w:cs="Arial"/>
          <w:sz w:val="24"/>
          <w:szCs w:val="24"/>
        </w:rPr>
        <w:t xml:space="preserve"> analyses using a least-</w:t>
      </w:r>
      <w:r w:rsidR="00B25AD6" w:rsidRPr="008D59BB">
        <w:rPr>
          <w:rFonts w:ascii="Arial" w:hAnsi="Arial" w:cs="Arial"/>
          <w:sz w:val="24"/>
          <w:szCs w:val="24"/>
        </w:rPr>
        <w:t>significant difference test where necessary</w:t>
      </w:r>
      <w:r w:rsidR="006923F7" w:rsidRPr="008D59BB">
        <w:rPr>
          <w:rFonts w:ascii="Arial" w:hAnsi="Arial" w:cs="Arial"/>
          <w:sz w:val="24"/>
          <w:szCs w:val="24"/>
        </w:rPr>
        <w:t>. Differences</w:t>
      </w:r>
      <w:r w:rsidR="00B25AD6" w:rsidRPr="008D59BB">
        <w:rPr>
          <w:rFonts w:ascii="Arial" w:hAnsi="Arial" w:cs="Arial"/>
          <w:sz w:val="24"/>
          <w:szCs w:val="24"/>
        </w:rPr>
        <w:t xml:space="preserve"> between categorical variables were assessed by chi-squared tests. Logistic regression</w:t>
      </w:r>
      <w:r w:rsidR="003F5E02" w:rsidRPr="008D59BB">
        <w:rPr>
          <w:rFonts w:ascii="Arial" w:hAnsi="Arial" w:cs="Arial"/>
          <w:sz w:val="24"/>
          <w:szCs w:val="24"/>
        </w:rPr>
        <w:t xml:space="preserve"> </w:t>
      </w:r>
      <w:r w:rsidR="00B25AD6" w:rsidRPr="008D59BB">
        <w:rPr>
          <w:rFonts w:ascii="Arial" w:hAnsi="Arial" w:cs="Arial"/>
          <w:sz w:val="24"/>
          <w:szCs w:val="24"/>
        </w:rPr>
        <w:t xml:space="preserve">was </w:t>
      </w:r>
      <w:r w:rsidR="003F5E02" w:rsidRPr="008D59BB">
        <w:rPr>
          <w:rFonts w:ascii="Arial" w:hAnsi="Arial" w:cs="Arial"/>
          <w:sz w:val="24"/>
          <w:szCs w:val="24"/>
        </w:rPr>
        <w:t>performed</w:t>
      </w:r>
      <w:r w:rsidR="00B25AD6" w:rsidRPr="008D59BB">
        <w:rPr>
          <w:rFonts w:ascii="Arial" w:hAnsi="Arial" w:cs="Arial"/>
          <w:sz w:val="24"/>
          <w:szCs w:val="24"/>
        </w:rPr>
        <w:t xml:space="preserve"> to assess the association of different </w:t>
      </w:r>
      <w:r w:rsidR="003F5E02" w:rsidRPr="008D59BB">
        <w:rPr>
          <w:rFonts w:ascii="Arial" w:hAnsi="Arial" w:cs="Arial"/>
          <w:sz w:val="24"/>
          <w:szCs w:val="24"/>
        </w:rPr>
        <w:t>nutrition</w:t>
      </w:r>
      <w:r w:rsidR="00B92400" w:rsidRPr="008D59BB">
        <w:rPr>
          <w:rFonts w:ascii="Arial" w:hAnsi="Arial" w:cs="Arial"/>
          <w:sz w:val="24"/>
          <w:szCs w:val="24"/>
        </w:rPr>
        <w:t>al</w:t>
      </w:r>
      <w:r w:rsidR="003F5E02" w:rsidRPr="008D59BB">
        <w:rPr>
          <w:rFonts w:ascii="Arial" w:hAnsi="Arial" w:cs="Arial"/>
          <w:sz w:val="24"/>
          <w:szCs w:val="24"/>
        </w:rPr>
        <w:t xml:space="preserve"> status</w:t>
      </w:r>
      <w:r w:rsidR="00B25AD6" w:rsidRPr="008D59BB">
        <w:rPr>
          <w:rFonts w:ascii="Arial" w:hAnsi="Arial" w:cs="Arial"/>
          <w:sz w:val="24"/>
          <w:szCs w:val="24"/>
        </w:rPr>
        <w:t xml:space="preserve"> with outcome measures</w:t>
      </w:r>
      <w:r w:rsidR="00AE4F8A" w:rsidRPr="008D59BB">
        <w:rPr>
          <w:rFonts w:ascii="Arial" w:hAnsi="Arial" w:cs="Arial"/>
          <w:sz w:val="24"/>
          <w:szCs w:val="24"/>
        </w:rPr>
        <w:t>, unadjusted and adjusted for age and sex</w:t>
      </w:r>
      <w:r w:rsidR="00B25AD6" w:rsidRPr="008D59BB">
        <w:rPr>
          <w:rFonts w:ascii="Arial" w:hAnsi="Arial" w:cs="Arial"/>
          <w:sz w:val="24"/>
          <w:szCs w:val="24"/>
        </w:rPr>
        <w:t>. Analyses were performed using IBM SPSS Statistics, v23.0 (IBM Corp., Armonk, NY).</w:t>
      </w:r>
    </w:p>
    <w:p w14:paraId="1B0FC2F2" w14:textId="77777777" w:rsidR="00B25AD6" w:rsidRPr="008D59BB" w:rsidRDefault="00B25AD6" w:rsidP="00B25AD6">
      <w:pPr>
        <w:spacing w:after="0" w:line="480" w:lineRule="auto"/>
        <w:jc w:val="both"/>
        <w:rPr>
          <w:rFonts w:ascii="Arial" w:hAnsi="Arial" w:cs="Arial"/>
          <w:sz w:val="24"/>
          <w:szCs w:val="24"/>
        </w:rPr>
      </w:pPr>
    </w:p>
    <w:p w14:paraId="46B68373" w14:textId="77777777" w:rsidR="00B25AD6" w:rsidRPr="008D59BB" w:rsidRDefault="00B25AD6" w:rsidP="00AD437A">
      <w:pPr>
        <w:spacing w:after="0" w:line="480" w:lineRule="auto"/>
        <w:jc w:val="both"/>
        <w:rPr>
          <w:rFonts w:ascii="Arial" w:hAnsi="Arial" w:cs="Arial"/>
          <w:b/>
          <w:sz w:val="24"/>
          <w:szCs w:val="24"/>
        </w:rPr>
      </w:pPr>
      <w:r w:rsidRPr="008D59BB">
        <w:rPr>
          <w:rFonts w:ascii="Arial" w:hAnsi="Arial" w:cs="Arial"/>
          <w:b/>
          <w:sz w:val="24"/>
          <w:szCs w:val="24"/>
        </w:rPr>
        <w:t>RESULTS</w:t>
      </w:r>
    </w:p>
    <w:p w14:paraId="76C09B96" w14:textId="0BFB1447" w:rsidR="003A47F5" w:rsidRPr="008D59BB" w:rsidRDefault="00C75596" w:rsidP="00AD437A">
      <w:pPr>
        <w:spacing w:after="0" w:line="480" w:lineRule="auto"/>
        <w:jc w:val="both"/>
        <w:rPr>
          <w:rFonts w:ascii="Arial" w:hAnsi="Arial" w:cs="Arial"/>
          <w:sz w:val="24"/>
          <w:szCs w:val="24"/>
        </w:rPr>
      </w:pPr>
      <w:r w:rsidRPr="008D59BB">
        <w:rPr>
          <w:rFonts w:ascii="Arial" w:hAnsi="Arial" w:cs="Arial"/>
          <w:sz w:val="24"/>
          <w:szCs w:val="24"/>
        </w:rPr>
        <w:t>From a</w:t>
      </w:r>
      <w:r w:rsidR="00AD437A" w:rsidRPr="008D59BB">
        <w:rPr>
          <w:rFonts w:ascii="Arial" w:hAnsi="Arial" w:cs="Arial"/>
          <w:sz w:val="24"/>
          <w:szCs w:val="24"/>
        </w:rPr>
        <w:t xml:space="preserve"> total of 1239 patients admitt</w:t>
      </w:r>
      <w:r w:rsidR="00371C81" w:rsidRPr="008D59BB">
        <w:rPr>
          <w:rFonts w:ascii="Arial" w:hAnsi="Arial" w:cs="Arial"/>
          <w:sz w:val="24"/>
          <w:szCs w:val="24"/>
        </w:rPr>
        <w:t>ed with a hip fracture (349 men and</w:t>
      </w:r>
      <w:r w:rsidRPr="008D59BB">
        <w:rPr>
          <w:rFonts w:ascii="Arial" w:hAnsi="Arial" w:cs="Arial"/>
          <w:sz w:val="24"/>
          <w:szCs w:val="24"/>
        </w:rPr>
        <w:t xml:space="preserve"> 890 women),</w:t>
      </w:r>
      <w:r w:rsidR="00344759" w:rsidRPr="008D59BB">
        <w:rPr>
          <w:rFonts w:ascii="Arial" w:hAnsi="Arial" w:cs="Arial"/>
          <w:sz w:val="24"/>
          <w:szCs w:val="24"/>
        </w:rPr>
        <w:t xml:space="preserve"> 1011</w:t>
      </w:r>
      <w:r w:rsidRPr="008D59BB">
        <w:rPr>
          <w:rFonts w:ascii="Arial" w:hAnsi="Arial" w:cs="Arial"/>
          <w:sz w:val="24"/>
          <w:szCs w:val="24"/>
        </w:rPr>
        <w:t xml:space="preserve"> </w:t>
      </w:r>
      <w:r w:rsidR="00CD1B5B" w:rsidRPr="008D59BB">
        <w:rPr>
          <w:rFonts w:ascii="Arial" w:hAnsi="Arial" w:cs="Arial"/>
          <w:sz w:val="24"/>
          <w:szCs w:val="24"/>
        </w:rPr>
        <w:t xml:space="preserve">(81.6%) </w:t>
      </w:r>
      <w:r w:rsidRPr="008D59BB">
        <w:rPr>
          <w:rFonts w:ascii="Arial" w:hAnsi="Arial" w:cs="Arial"/>
          <w:sz w:val="24"/>
          <w:szCs w:val="24"/>
        </w:rPr>
        <w:t>patients came from their own home, 1</w:t>
      </w:r>
      <w:r w:rsidR="00F546A0" w:rsidRPr="008D59BB">
        <w:rPr>
          <w:rFonts w:ascii="Arial" w:hAnsi="Arial" w:cs="Arial"/>
          <w:sz w:val="24"/>
          <w:szCs w:val="24"/>
        </w:rPr>
        <w:t>4</w:t>
      </w:r>
      <w:r w:rsidRPr="008D59BB">
        <w:rPr>
          <w:rFonts w:ascii="Arial" w:hAnsi="Arial" w:cs="Arial"/>
          <w:sz w:val="24"/>
          <w:szCs w:val="24"/>
        </w:rPr>
        <w:t>4</w:t>
      </w:r>
      <w:r w:rsidR="00CD1B5B" w:rsidRPr="008D59BB">
        <w:rPr>
          <w:rFonts w:ascii="Arial" w:hAnsi="Arial" w:cs="Arial"/>
          <w:sz w:val="24"/>
          <w:szCs w:val="24"/>
        </w:rPr>
        <w:t xml:space="preserve"> (</w:t>
      </w:r>
      <w:r w:rsidR="00F546A0" w:rsidRPr="008D59BB">
        <w:rPr>
          <w:rFonts w:ascii="Arial" w:hAnsi="Arial" w:cs="Arial"/>
          <w:sz w:val="24"/>
          <w:szCs w:val="24"/>
        </w:rPr>
        <w:t>11.6</w:t>
      </w:r>
      <w:r w:rsidR="00CD1B5B" w:rsidRPr="008D59BB">
        <w:rPr>
          <w:rFonts w:ascii="Arial" w:hAnsi="Arial" w:cs="Arial"/>
          <w:sz w:val="24"/>
          <w:szCs w:val="24"/>
        </w:rPr>
        <w:t>%)</w:t>
      </w:r>
      <w:r w:rsidRPr="008D59BB">
        <w:rPr>
          <w:rFonts w:ascii="Arial" w:hAnsi="Arial" w:cs="Arial"/>
          <w:sz w:val="24"/>
          <w:szCs w:val="24"/>
        </w:rPr>
        <w:t xml:space="preserve"> from residential care and 84</w:t>
      </w:r>
      <w:r w:rsidR="00CD1B5B" w:rsidRPr="008D59BB">
        <w:rPr>
          <w:rFonts w:ascii="Arial" w:hAnsi="Arial" w:cs="Arial"/>
          <w:sz w:val="24"/>
          <w:szCs w:val="24"/>
        </w:rPr>
        <w:t xml:space="preserve"> (6.8%)</w:t>
      </w:r>
      <w:r w:rsidRPr="008D59BB">
        <w:rPr>
          <w:rFonts w:ascii="Arial" w:hAnsi="Arial" w:cs="Arial"/>
          <w:sz w:val="24"/>
          <w:szCs w:val="24"/>
        </w:rPr>
        <w:t xml:space="preserve"> from nursing care. </w:t>
      </w:r>
      <w:r w:rsidR="00197726" w:rsidRPr="008D59BB">
        <w:rPr>
          <w:rFonts w:ascii="Arial" w:hAnsi="Arial" w:cs="Arial"/>
          <w:sz w:val="24"/>
          <w:szCs w:val="24"/>
        </w:rPr>
        <w:t xml:space="preserve">The mean age was 83.8 </w:t>
      </w:r>
      <w:r w:rsidR="00787718" w:rsidRPr="008D59BB">
        <w:rPr>
          <w:rFonts w:ascii="Arial" w:hAnsi="Arial" w:cs="Arial"/>
          <w:sz w:val="24"/>
          <w:szCs w:val="24"/>
        </w:rPr>
        <w:t xml:space="preserve">±8.6 </w:t>
      </w:r>
      <w:r w:rsidR="00197726" w:rsidRPr="008D59BB">
        <w:rPr>
          <w:rFonts w:ascii="Arial" w:hAnsi="Arial" w:cs="Arial"/>
          <w:sz w:val="24"/>
          <w:szCs w:val="24"/>
        </w:rPr>
        <w:t>years</w:t>
      </w:r>
      <w:r w:rsidR="009476F8" w:rsidRPr="008D59BB">
        <w:rPr>
          <w:rFonts w:ascii="Arial" w:hAnsi="Arial" w:cs="Arial"/>
          <w:sz w:val="24"/>
          <w:szCs w:val="24"/>
        </w:rPr>
        <w:t xml:space="preserve"> and</w:t>
      </w:r>
      <w:r w:rsidR="00882549" w:rsidRPr="008D59BB">
        <w:rPr>
          <w:rFonts w:ascii="Arial" w:hAnsi="Arial" w:cs="Arial"/>
          <w:sz w:val="24"/>
          <w:szCs w:val="24"/>
        </w:rPr>
        <w:t xml:space="preserve"> LOS was </w:t>
      </w:r>
      <w:r w:rsidR="00882549" w:rsidRPr="008D59BB">
        <w:rPr>
          <w:rFonts w:ascii="Arial" w:hAnsi="Arial" w:cs="Arial"/>
          <w:sz w:val="24"/>
          <w:szCs w:val="24"/>
        </w:rPr>
        <w:lastRenderedPageBreak/>
        <w:t xml:space="preserve">13.5 </w:t>
      </w:r>
      <w:r w:rsidR="00787718" w:rsidRPr="008D59BB">
        <w:rPr>
          <w:rFonts w:ascii="Arial" w:hAnsi="Arial" w:cs="Arial"/>
          <w:sz w:val="24"/>
          <w:szCs w:val="24"/>
        </w:rPr>
        <w:t>±11.5 days</w:t>
      </w:r>
      <w:r w:rsidR="00882549" w:rsidRPr="008D59BB">
        <w:rPr>
          <w:rFonts w:ascii="Arial" w:hAnsi="Arial" w:cs="Arial"/>
          <w:sz w:val="24"/>
          <w:szCs w:val="24"/>
        </w:rPr>
        <w:t xml:space="preserve">, and </w:t>
      </w:r>
      <w:r w:rsidR="001A0579" w:rsidRPr="008D59BB">
        <w:rPr>
          <w:rFonts w:ascii="Arial" w:hAnsi="Arial" w:cs="Arial"/>
          <w:sz w:val="24"/>
          <w:szCs w:val="24"/>
        </w:rPr>
        <w:t xml:space="preserve">median </w:t>
      </w:r>
      <w:r w:rsidR="00882549" w:rsidRPr="008D59BB">
        <w:rPr>
          <w:rFonts w:ascii="Arial" w:hAnsi="Arial" w:cs="Arial"/>
          <w:sz w:val="24"/>
          <w:szCs w:val="24"/>
        </w:rPr>
        <w:t xml:space="preserve">AMTS was </w:t>
      </w:r>
      <w:r w:rsidR="001A0579" w:rsidRPr="008D59BB">
        <w:rPr>
          <w:rFonts w:ascii="Arial" w:hAnsi="Arial" w:cs="Arial"/>
          <w:sz w:val="24"/>
          <w:szCs w:val="24"/>
        </w:rPr>
        <w:t>9 (interquartile range = 6-10)</w:t>
      </w:r>
      <w:r w:rsidR="00882549" w:rsidRPr="008D59BB">
        <w:rPr>
          <w:rFonts w:ascii="Arial" w:hAnsi="Arial" w:cs="Arial"/>
          <w:sz w:val="24"/>
          <w:szCs w:val="24"/>
        </w:rPr>
        <w:t>.</w:t>
      </w:r>
      <w:r w:rsidR="00197726" w:rsidRPr="008D59BB">
        <w:rPr>
          <w:rFonts w:ascii="Arial" w:hAnsi="Arial" w:cs="Arial"/>
          <w:sz w:val="24"/>
          <w:szCs w:val="24"/>
        </w:rPr>
        <w:t xml:space="preserve"> </w:t>
      </w:r>
      <w:r w:rsidR="00173EFE" w:rsidRPr="008D59BB">
        <w:rPr>
          <w:rFonts w:ascii="Arial" w:hAnsi="Arial" w:cs="Arial"/>
          <w:sz w:val="24"/>
          <w:szCs w:val="24"/>
        </w:rPr>
        <w:t xml:space="preserve">During admission, 20.0% </w:t>
      </w:r>
      <w:r w:rsidR="00811989" w:rsidRPr="008D59BB">
        <w:rPr>
          <w:rFonts w:ascii="Arial" w:hAnsi="Arial" w:cs="Arial"/>
          <w:sz w:val="24"/>
          <w:szCs w:val="24"/>
        </w:rPr>
        <w:t xml:space="preserve">of all patients </w:t>
      </w:r>
      <w:r w:rsidR="00173EFE" w:rsidRPr="008D59BB">
        <w:rPr>
          <w:rFonts w:ascii="Arial" w:hAnsi="Arial" w:cs="Arial"/>
          <w:sz w:val="24"/>
          <w:szCs w:val="24"/>
        </w:rPr>
        <w:t xml:space="preserve">failed to mobilise within 1-day of hip surgery, </w:t>
      </w:r>
      <w:r w:rsidR="00571228" w:rsidRPr="008D59BB">
        <w:rPr>
          <w:rFonts w:ascii="Arial" w:hAnsi="Arial" w:cs="Arial"/>
          <w:sz w:val="24"/>
          <w:szCs w:val="24"/>
        </w:rPr>
        <w:t xml:space="preserve">1.5% developed a new pressure ulcer, </w:t>
      </w:r>
      <w:r w:rsidR="00173EFE" w:rsidRPr="008D59BB">
        <w:rPr>
          <w:rFonts w:ascii="Arial" w:hAnsi="Arial" w:cs="Arial"/>
          <w:sz w:val="24"/>
          <w:szCs w:val="24"/>
        </w:rPr>
        <w:t>and</w:t>
      </w:r>
      <w:r w:rsidRPr="008D59BB">
        <w:rPr>
          <w:rFonts w:ascii="Arial" w:hAnsi="Arial" w:cs="Arial"/>
          <w:sz w:val="24"/>
          <w:szCs w:val="24"/>
        </w:rPr>
        <w:t xml:space="preserve"> </w:t>
      </w:r>
      <w:r w:rsidR="00CD1B5B" w:rsidRPr="008D59BB">
        <w:rPr>
          <w:rFonts w:ascii="Arial" w:hAnsi="Arial" w:cs="Arial"/>
          <w:sz w:val="24"/>
          <w:szCs w:val="24"/>
        </w:rPr>
        <w:t>5.</w:t>
      </w:r>
      <w:r w:rsidR="00684590" w:rsidRPr="008D59BB">
        <w:rPr>
          <w:rFonts w:ascii="Arial" w:hAnsi="Arial" w:cs="Arial"/>
          <w:sz w:val="24"/>
          <w:szCs w:val="24"/>
        </w:rPr>
        <w:t>2</w:t>
      </w:r>
      <w:r w:rsidR="00CD1B5B" w:rsidRPr="008D59BB">
        <w:rPr>
          <w:rFonts w:ascii="Arial" w:hAnsi="Arial" w:cs="Arial"/>
          <w:sz w:val="24"/>
          <w:szCs w:val="24"/>
        </w:rPr>
        <w:t>%</w:t>
      </w:r>
      <w:r w:rsidRPr="008D59BB">
        <w:rPr>
          <w:rFonts w:ascii="Arial" w:hAnsi="Arial" w:cs="Arial"/>
          <w:sz w:val="24"/>
          <w:szCs w:val="24"/>
        </w:rPr>
        <w:t xml:space="preserve"> died</w:t>
      </w:r>
      <w:r w:rsidR="00344759" w:rsidRPr="008D59BB">
        <w:rPr>
          <w:rFonts w:ascii="Arial" w:hAnsi="Arial" w:cs="Arial"/>
          <w:sz w:val="24"/>
          <w:szCs w:val="24"/>
        </w:rPr>
        <w:t xml:space="preserve"> in hospital</w:t>
      </w:r>
      <w:r w:rsidR="00173EFE" w:rsidRPr="008D59BB">
        <w:rPr>
          <w:rFonts w:ascii="Arial" w:hAnsi="Arial" w:cs="Arial"/>
          <w:sz w:val="24"/>
          <w:szCs w:val="24"/>
        </w:rPr>
        <w:t xml:space="preserve">, </w:t>
      </w:r>
      <w:r w:rsidR="00173EFE" w:rsidRPr="008D59BB">
        <w:rPr>
          <w:rFonts w:ascii="Arial" w:hAnsi="Arial" w:cs="Arial"/>
          <w:i/>
          <w:sz w:val="24"/>
          <w:szCs w:val="24"/>
        </w:rPr>
        <w:t>i.e.</w:t>
      </w:r>
      <w:r w:rsidR="00173EFE" w:rsidRPr="008D59BB">
        <w:rPr>
          <w:rFonts w:ascii="Arial" w:hAnsi="Arial" w:cs="Arial"/>
          <w:sz w:val="24"/>
          <w:szCs w:val="24"/>
        </w:rPr>
        <w:t xml:space="preserve"> </w:t>
      </w:r>
      <w:r w:rsidR="00684590" w:rsidRPr="008D59BB">
        <w:rPr>
          <w:rFonts w:ascii="Arial" w:hAnsi="Arial" w:cs="Arial"/>
          <w:sz w:val="24"/>
          <w:szCs w:val="24"/>
        </w:rPr>
        <w:t>1174 (94.8</w:t>
      </w:r>
      <w:r w:rsidR="00CD1B5B" w:rsidRPr="008D59BB">
        <w:rPr>
          <w:rFonts w:ascii="Arial" w:hAnsi="Arial" w:cs="Arial"/>
          <w:sz w:val="24"/>
          <w:szCs w:val="24"/>
        </w:rPr>
        <w:t>%)</w:t>
      </w:r>
      <w:r w:rsidR="00344759" w:rsidRPr="008D59BB">
        <w:rPr>
          <w:rFonts w:ascii="Arial" w:hAnsi="Arial" w:cs="Arial"/>
          <w:sz w:val="24"/>
          <w:szCs w:val="24"/>
        </w:rPr>
        <w:t xml:space="preserve"> survived to discharge</w:t>
      </w:r>
      <w:r w:rsidR="006075CF" w:rsidRPr="008D59BB">
        <w:rPr>
          <w:rFonts w:ascii="Arial" w:hAnsi="Arial" w:cs="Arial"/>
          <w:sz w:val="24"/>
          <w:szCs w:val="24"/>
        </w:rPr>
        <w:t xml:space="preserve"> (</w:t>
      </w:r>
      <w:r w:rsidR="006075CF" w:rsidRPr="008D59BB">
        <w:rPr>
          <w:rFonts w:ascii="Arial" w:hAnsi="Arial" w:cs="Arial"/>
          <w:b/>
          <w:sz w:val="24"/>
          <w:szCs w:val="24"/>
        </w:rPr>
        <w:t>Table 1</w:t>
      </w:r>
      <w:r w:rsidR="006075CF" w:rsidRPr="008D59BB">
        <w:rPr>
          <w:rFonts w:ascii="Arial" w:hAnsi="Arial" w:cs="Arial"/>
          <w:sz w:val="24"/>
          <w:szCs w:val="24"/>
        </w:rPr>
        <w:t>)</w:t>
      </w:r>
      <w:r w:rsidR="00344759" w:rsidRPr="008D59BB">
        <w:rPr>
          <w:rFonts w:ascii="Arial" w:hAnsi="Arial" w:cs="Arial"/>
          <w:sz w:val="24"/>
          <w:szCs w:val="24"/>
        </w:rPr>
        <w:t xml:space="preserve">. </w:t>
      </w:r>
      <w:r w:rsidR="00BB2621" w:rsidRPr="008D59BB">
        <w:rPr>
          <w:rFonts w:ascii="Arial" w:hAnsi="Arial" w:cs="Arial"/>
          <w:sz w:val="24"/>
          <w:szCs w:val="24"/>
          <w:lang w:val="en-US"/>
        </w:rPr>
        <w:t>A</w:t>
      </w:r>
      <w:r w:rsidR="008A7949" w:rsidRPr="008D59BB">
        <w:rPr>
          <w:rFonts w:ascii="Arial" w:hAnsi="Arial" w:cs="Arial"/>
          <w:sz w:val="24"/>
          <w:szCs w:val="24"/>
        </w:rPr>
        <w:t>lmost all received specialist falls (99.4%) and physiotherapy (96.5%) assessment while in hospital.</w:t>
      </w:r>
      <w:r w:rsidR="009D12C0" w:rsidRPr="008D59BB">
        <w:rPr>
          <w:rFonts w:ascii="Arial" w:hAnsi="Arial" w:cs="Arial"/>
          <w:sz w:val="24"/>
          <w:szCs w:val="24"/>
        </w:rPr>
        <w:t xml:space="preserve"> </w:t>
      </w:r>
      <w:r w:rsidR="00F072B3" w:rsidRPr="008D59BB">
        <w:rPr>
          <w:rFonts w:ascii="Arial" w:hAnsi="Arial" w:cs="Arial"/>
          <w:sz w:val="24"/>
          <w:szCs w:val="24"/>
        </w:rPr>
        <w:t xml:space="preserve">There were </w:t>
      </w:r>
      <w:r w:rsidR="00C04361" w:rsidRPr="008D59BB">
        <w:rPr>
          <w:rFonts w:ascii="Arial" w:hAnsi="Arial" w:cs="Arial"/>
          <w:sz w:val="24"/>
          <w:szCs w:val="24"/>
        </w:rPr>
        <w:t>only 3.3</w:t>
      </w:r>
      <w:r w:rsidR="00F072B3" w:rsidRPr="008D59BB">
        <w:rPr>
          <w:rFonts w:ascii="Arial" w:hAnsi="Arial" w:cs="Arial"/>
          <w:sz w:val="24"/>
          <w:szCs w:val="24"/>
        </w:rPr>
        <w:t>%</w:t>
      </w:r>
      <w:r w:rsidR="00C04361" w:rsidRPr="008D59BB">
        <w:rPr>
          <w:rFonts w:ascii="Arial" w:hAnsi="Arial" w:cs="Arial"/>
          <w:sz w:val="24"/>
          <w:szCs w:val="24"/>
        </w:rPr>
        <w:t xml:space="preserve"> of patients</w:t>
      </w:r>
      <w:r w:rsidR="005814C7" w:rsidRPr="008D59BB">
        <w:rPr>
          <w:rFonts w:ascii="Arial" w:hAnsi="Arial" w:cs="Arial"/>
          <w:sz w:val="24"/>
          <w:szCs w:val="24"/>
        </w:rPr>
        <w:t xml:space="preserve"> on an oral or injectable antire</w:t>
      </w:r>
      <w:r w:rsidR="00C04361" w:rsidRPr="008D59BB">
        <w:rPr>
          <w:rFonts w:ascii="Arial" w:hAnsi="Arial" w:cs="Arial"/>
          <w:sz w:val="24"/>
          <w:szCs w:val="24"/>
        </w:rPr>
        <w:t xml:space="preserve">sorptive </w:t>
      </w:r>
      <w:r w:rsidR="005814C7" w:rsidRPr="008D59BB">
        <w:rPr>
          <w:rFonts w:ascii="Arial" w:hAnsi="Arial" w:cs="Arial"/>
          <w:sz w:val="24"/>
          <w:szCs w:val="24"/>
        </w:rPr>
        <w:t>agent</w:t>
      </w:r>
      <w:r w:rsidR="00C04361" w:rsidRPr="008D59BB">
        <w:rPr>
          <w:rFonts w:ascii="Arial" w:hAnsi="Arial" w:cs="Arial"/>
          <w:sz w:val="24"/>
          <w:szCs w:val="24"/>
        </w:rPr>
        <w:t xml:space="preserve"> </w:t>
      </w:r>
      <w:r w:rsidR="00811989" w:rsidRPr="008D59BB">
        <w:rPr>
          <w:rFonts w:ascii="Arial" w:hAnsi="Arial" w:cs="Arial"/>
          <w:sz w:val="24"/>
          <w:szCs w:val="24"/>
        </w:rPr>
        <w:t>before</w:t>
      </w:r>
      <w:r w:rsidR="00C04361" w:rsidRPr="008D59BB">
        <w:rPr>
          <w:rFonts w:ascii="Arial" w:hAnsi="Arial" w:cs="Arial"/>
          <w:sz w:val="24"/>
          <w:szCs w:val="24"/>
        </w:rPr>
        <w:t xml:space="preserve"> admission.</w:t>
      </w:r>
      <w:r w:rsidR="00F072B3" w:rsidRPr="008D59BB">
        <w:rPr>
          <w:rFonts w:ascii="Arial" w:hAnsi="Arial" w:cs="Arial"/>
          <w:sz w:val="24"/>
          <w:szCs w:val="24"/>
        </w:rPr>
        <w:t xml:space="preserve"> After the assessment</w:t>
      </w:r>
      <w:r w:rsidR="00C04361" w:rsidRPr="008D59BB">
        <w:rPr>
          <w:rFonts w:ascii="Arial" w:hAnsi="Arial" w:cs="Arial"/>
          <w:sz w:val="24"/>
          <w:szCs w:val="24"/>
        </w:rPr>
        <w:t xml:space="preserve"> in hospital 3.5% did no</w:t>
      </w:r>
      <w:r w:rsidR="004B3BC3" w:rsidRPr="008D59BB">
        <w:rPr>
          <w:rFonts w:ascii="Arial" w:hAnsi="Arial" w:cs="Arial"/>
          <w:sz w:val="24"/>
          <w:szCs w:val="24"/>
        </w:rPr>
        <w:t>t</w:t>
      </w:r>
      <w:r w:rsidR="00C04361" w:rsidRPr="008D59BB">
        <w:rPr>
          <w:rFonts w:ascii="Arial" w:hAnsi="Arial" w:cs="Arial"/>
          <w:sz w:val="24"/>
          <w:szCs w:val="24"/>
        </w:rPr>
        <w:t xml:space="preserve"> </w:t>
      </w:r>
      <w:r w:rsidR="007D48E6" w:rsidRPr="008D59BB">
        <w:rPr>
          <w:rFonts w:ascii="Arial" w:hAnsi="Arial" w:cs="Arial"/>
          <w:sz w:val="24"/>
          <w:szCs w:val="24"/>
        </w:rPr>
        <w:t>require</w:t>
      </w:r>
      <w:r w:rsidR="00C04361" w:rsidRPr="008D59BB">
        <w:rPr>
          <w:rFonts w:ascii="Arial" w:hAnsi="Arial" w:cs="Arial"/>
          <w:sz w:val="24"/>
          <w:szCs w:val="24"/>
        </w:rPr>
        <w:t xml:space="preserve"> treatment, </w:t>
      </w:r>
      <w:r w:rsidR="00B92400" w:rsidRPr="008D59BB">
        <w:rPr>
          <w:rFonts w:ascii="Arial" w:hAnsi="Arial" w:cs="Arial"/>
          <w:sz w:val="24"/>
          <w:szCs w:val="24"/>
        </w:rPr>
        <w:t xml:space="preserve">whilst </w:t>
      </w:r>
      <w:r w:rsidR="00F072B3" w:rsidRPr="008D59BB">
        <w:rPr>
          <w:rFonts w:ascii="Arial" w:hAnsi="Arial" w:cs="Arial"/>
          <w:sz w:val="24"/>
          <w:szCs w:val="24"/>
        </w:rPr>
        <w:t xml:space="preserve">67.3% </w:t>
      </w:r>
      <w:r w:rsidR="00811989" w:rsidRPr="008D59BB">
        <w:rPr>
          <w:rFonts w:ascii="Arial" w:hAnsi="Arial" w:cs="Arial"/>
          <w:sz w:val="24"/>
          <w:szCs w:val="24"/>
        </w:rPr>
        <w:t>were newly prescribed with</w:t>
      </w:r>
      <w:r w:rsidR="00C04361" w:rsidRPr="008D59BB">
        <w:rPr>
          <w:rFonts w:ascii="Arial" w:hAnsi="Arial" w:cs="Arial"/>
          <w:sz w:val="24"/>
          <w:szCs w:val="24"/>
        </w:rPr>
        <w:t xml:space="preserve"> </w:t>
      </w:r>
      <w:r w:rsidR="00AE4F8A" w:rsidRPr="008D59BB">
        <w:rPr>
          <w:rFonts w:ascii="Arial" w:hAnsi="Arial" w:cs="Arial"/>
          <w:sz w:val="24"/>
          <w:szCs w:val="24"/>
        </w:rPr>
        <w:t xml:space="preserve">an </w:t>
      </w:r>
      <w:r w:rsidR="00C04361" w:rsidRPr="008D59BB">
        <w:rPr>
          <w:rFonts w:ascii="Arial" w:hAnsi="Arial" w:cs="Arial"/>
          <w:sz w:val="24"/>
          <w:szCs w:val="24"/>
        </w:rPr>
        <w:t>oral and 17.</w:t>
      </w:r>
      <w:r w:rsidR="00DC620D" w:rsidRPr="008D59BB">
        <w:rPr>
          <w:rFonts w:ascii="Arial" w:hAnsi="Arial" w:cs="Arial"/>
          <w:sz w:val="24"/>
          <w:szCs w:val="24"/>
        </w:rPr>
        <w:t>0</w:t>
      </w:r>
      <w:r w:rsidR="005814C7" w:rsidRPr="008D59BB">
        <w:rPr>
          <w:rFonts w:ascii="Arial" w:hAnsi="Arial" w:cs="Arial"/>
          <w:sz w:val="24"/>
          <w:szCs w:val="24"/>
        </w:rPr>
        <w:t xml:space="preserve">% </w:t>
      </w:r>
      <w:r w:rsidR="00B92400" w:rsidRPr="008D59BB">
        <w:rPr>
          <w:rFonts w:ascii="Arial" w:hAnsi="Arial" w:cs="Arial"/>
          <w:sz w:val="24"/>
          <w:szCs w:val="24"/>
        </w:rPr>
        <w:t xml:space="preserve">with an </w:t>
      </w:r>
      <w:r w:rsidR="005814C7" w:rsidRPr="008D59BB">
        <w:rPr>
          <w:rFonts w:ascii="Arial" w:hAnsi="Arial" w:cs="Arial"/>
          <w:sz w:val="24"/>
          <w:szCs w:val="24"/>
        </w:rPr>
        <w:t>injectable antire</w:t>
      </w:r>
      <w:r w:rsidR="00C04361" w:rsidRPr="008D59BB">
        <w:rPr>
          <w:rFonts w:ascii="Arial" w:hAnsi="Arial" w:cs="Arial"/>
          <w:sz w:val="24"/>
          <w:szCs w:val="24"/>
        </w:rPr>
        <w:t xml:space="preserve">sorptive </w:t>
      </w:r>
      <w:r w:rsidR="005814C7" w:rsidRPr="008D59BB">
        <w:rPr>
          <w:rFonts w:ascii="Arial" w:hAnsi="Arial" w:cs="Arial"/>
          <w:sz w:val="24"/>
          <w:szCs w:val="24"/>
        </w:rPr>
        <w:t>agent</w:t>
      </w:r>
      <w:r w:rsidR="00B92400" w:rsidRPr="008D59BB">
        <w:rPr>
          <w:rFonts w:ascii="Arial" w:hAnsi="Arial" w:cs="Arial"/>
          <w:sz w:val="24"/>
          <w:szCs w:val="24"/>
        </w:rPr>
        <w:t>:</w:t>
      </w:r>
      <w:r w:rsidR="00C04361" w:rsidRPr="008D59BB">
        <w:rPr>
          <w:rFonts w:ascii="Arial" w:hAnsi="Arial" w:cs="Arial"/>
          <w:sz w:val="24"/>
          <w:szCs w:val="24"/>
        </w:rPr>
        <w:t xml:space="preserve"> 8.9% of patients were waiting for results of dual X-ray absorptiometry assessment</w:t>
      </w:r>
      <w:r w:rsidR="00AE4F8A" w:rsidRPr="008D59BB">
        <w:rPr>
          <w:rFonts w:ascii="Arial" w:hAnsi="Arial" w:cs="Arial"/>
          <w:sz w:val="24"/>
          <w:szCs w:val="24"/>
        </w:rPr>
        <w:t xml:space="preserve"> </w:t>
      </w:r>
      <w:r w:rsidR="00811989" w:rsidRPr="008D59BB">
        <w:rPr>
          <w:rFonts w:ascii="Arial" w:hAnsi="Arial" w:cs="Arial"/>
          <w:sz w:val="24"/>
          <w:szCs w:val="24"/>
        </w:rPr>
        <w:t>for a decision on</w:t>
      </w:r>
      <w:r w:rsidR="005814C7" w:rsidRPr="008D59BB">
        <w:rPr>
          <w:rFonts w:ascii="Arial" w:hAnsi="Arial" w:cs="Arial"/>
          <w:sz w:val="24"/>
          <w:szCs w:val="24"/>
        </w:rPr>
        <w:t xml:space="preserve"> antire</w:t>
      </w:r>
      <w:r w:rsidR="00AE4F8A" w:rsidRPr="008D59BB">
        <w:rPr>
          <w:rFonts w:ascii="Arial" w:hAnsi="Arial" w:cs="Arial"/>
          <w:sz w:val="24"/>
          <w:szCs w:val="24"/>
        </w:rPr>
        <w:t xml:space="preserve">sorptive treatment </w:t>
      </w:r>
      <w:r w:rsidR="00811989" w:rsidRPr="008D59BB">
        <w:rPr>
          <w:rFonts w:ascii="Arial" w:hAnsi="Arial" w:cs="Arial"/>
          <w:sz w:val="24"/>
          <w:szCs w:val="24"/>
        </w:rPr>
        <w:t>to be</w:t>
      </w:r>
      <w:r w:rsidR="00AE4F8A" w:rsidRPr="008D59BB">
        <w:rPr>
          <w:rFonts w:ascii="Arial" w:hAnsi="Arial" w:cs="Arial"/>
          <w:sz w:val="24"/>
          <w:szCs w:val="24"/>
        </w:rPr>
        <w:t xml:space="preserve"> made</w:t>
      </w:r>
      <w:r w:rsidR="00C04361" w:rsidRPr="008D59BB">
        <w:rPr>
          <w:rFonts w:ascii="Arial" w:hAnsi="Arial" w:cs="Arial"/>
          <w:sz w:val="24"/>
          <w:szCs w:val="24"/>
        </w:rPr>
        <w:t>.</w:t>
      </w:r>
      <w:r w:rsidR="00F072B3" w:rsidRPr="008D59BB">
        <w:rPr>
          <w:rFonts w:ascii="Arial" w:hAnsi="Arial" w:cs="Arial"/>
          <w:sz w:val="24"/>
          <w:szCs w:val="24"/>
        </w:rPr>
        <w:t xml:space="preserve"> </w:t>
      </w:r>
      <w:r w:rsidR="003A47F5" w:rsidRPr="008D59BB">
        <w:rPr>
          <w:rFonts w:ascii="Arial" w:hAnsi="Arial" w:cs="Arial"/>
          <w:sz w:val="24"/>
          <w:szCs w:val="24"/>
        </w:rPr>
        <w:t xml:space="preserve">Of the survivors, 943 were originally from their own home, among whom 528 (56.0%) returned home; whilst </w:t>
      </w:r>
      <w:r w:rsidR="00882549" w:rsidRPr="008D59BB">
        <w:rPr>
          <w:rFonts w:ascii="Arial" w:hAnsi="Arial" w:cs="Arial"/>
          <w:sz w:val="24"/>
          <w:szCs w:val="24"/>
        </w:rPr>
        <w:t xml:space="preserve">31 (3.3%) were transferred to residential care, </w:t>
      </w:r>
      <w:r w:rsidR="003A47F5" w:rsidRPr="008D59BB">
        <w:rPr>
          <w:rFonts w:ascii="Arial" w:hAnsi="Arial" w:cs="Arial"/>
          <w:sz w:val="24"/>
          <w:szCs w:val="24"/>
        </w:rPr>
        <w:t>21 (2.2%) to nursing care, 333 (35.3%) to rehabilitation and 30 (3.2%) to other destinations (</w:t>
      </w:r>
      <w:r w:rsidR="003A47F5" w:rsidRPr="008D59BB">
        <w:rPr>
          <w:rFonts w:ascii="Arial" w:hAnsi="Arial" w:cs="Arial"/>
          <w:b/>
          <w:sz w:val="24"/>
          <w:szCs w:val="24"/>
        </w:rPr>
        <w:t>Figure 1</w:t>
      </w:r>
      <w:r w:rsidR="003A47F5" w:rsidRPr="008D59BB">
        <w:rPr>
          <w:rFonts w:ascii="Arial" w:hAnsi="Arial" w:cs="Arial"/>
          <w:sz w:val="24"/>
          <w:szCs w:val="24"/>
        </w:rPr>
        <w:t xml:space="preserve">). </w:t>
      </w:r>
      <w:r w:rsidR="00FC7565" w:rsidRPr="008D59BB">
        <w:rPr>
          <w:rFonts w:ascii="Arial" w:hAnsi="Arial" w:cs="Arial"/>
          <w:sz w:val="24"/>
          <w:szCs w:val="24"/>
        </w:rPr>
        <w:t>Subsequently, a</w:t>
      </w:r>
      <w:r w:rsidR="000412C7" w:rsidRPr="008D59BB">
        <w:rPr>
          <w:rFonts w:ascii="Arial" w:hAnsi="Arial" w:cs="Arial"/>
          <w:sz w:val="24"/>
          <w:szCs w:val="24"/>
        </w:rPr>
        <w:t xml:space="preserve">ll 1239 patients were </w:t>
      </w:r>
      <w:r w:rsidR="00FC7565" w:rsidRPr="008D59BB">
        <w:rPr>
          <w:rFonts w:ascii="Arial" w:hAnsi="Arial" w:cs="Arial"/>
          <w:sz w:val="24"/>
          <w:szCs w:val="24"/>
        </w:rPr>
        <w:t>analysed</w:t>
      </w:r>
      <w:r w:rsidR="000412C7" w:rsidRPr="008D59BB">
        <w:rPr>
          <w:rFonts w:ascii="Arial" w:hAnsi="Arial" w:cs="Arial"/>
          <w:sz w:val="24"/>
          <w:szCs w:val="24"/>
        </w:rPr>
        <w:t>, except for the</w:t>
      </w:r>
      <w:r w:rsidR="00C50C98" w:rsidRPr="008D59BB">
        <w:rPr>
          <w:rFonts w:ascii="Arial" w:hAnsi="Arial" w:cs="Arial"/>
          <w:sz w:val="24"/>
          <w:szCs w:val="24"/>
        </w:rPr>
        <w:t xml:space="preserve"> study on discharge destination where</w:t>
      </w:r>
      <w:r w:rsidR="000412C7" w:rsidRPr="008D59BB">
        <w:rPr>
          <w:rFonts w:ascii="Arial" w:hAnsi="Arial" w:cs="Arial"/>
          <w:sz w:val="24"/>
          <w:szCs w:val="24"/>
        </w:rPr>
        <w:t xml:space="preserve"> only those who original</w:t>
      </w:r>
      <w:r w:rsidR="00C50C98" w:rsidRPr="008D59BB">
        <w:rPr>
          <w:rFonts w:ascii="Arial" w:hAnsi="Arial" w:cs="Arial"/>
          <w:sz w:val="24"/>
          <w:szCs w:val="24"/>
        </w:rPr>
        <w:t>ly came</w:t>
      </w:r>
      <w:r w:rsidR="000412C7" w:rsidRPr="008D59BB">
        <w:rPr>
          <w:rFonts w:ascii="Arial" w:hAnsi="Arial" w:cs="Arial"/>
          <w:sz w:val="24"/>
          <w:szCs w:val="24"/>
        </w:rPr>
        <w:t xml:space="preserve"> from their own home and survived </w:t>
      </w:r>
      <w:r w:rsidR="00C50C98" w:rsidRPr="008D59BB">
        <w:rPr>
          <w:rFonts w:ascii="Arial" w:hAnsi="Arial" w:cs="Arial"/>
          <w:sz w:val="24"/>
          <w:szCs w:val="24"/>
        </w:rPr>
        <w:t>to the point of</w:t>
      </w:r>
      <w:r w:rsidR="000412C7" w:rsidRPr="008D59BB">
        <w:rPr>
          <w:rFonts w:ascii="Arial" w:hAnsi="Arial" w:cs="Arial"/>
          <w:sz w:val="24"/>
          <w:szCs w:val="24"/>
        </w:rPr>
        <w:t xml:space="preserve"> discharge </w:t>
      </w:r>
      <w:r w:rsidR="00E31A34" w:rsidRPr="008D59BB">
        <w:rPr>
          <w:rFonts w:ascii="Arial" w:hAnsi="Arial" w:cs="Arial"/>
          <w:sz w:val="24"/>
          <w:szCs w:val="24"/>
        </w:rPr>
        <w:t xml:space="preserve">were selected </w:t>
      </w:r>
      <w:r w:rsidR="000412C7" w:rsidRPr="008D59BB">
        <w:rPr>
          <w:rFonts w:ascii="Arial" w:hAnsi="Arial" w:cs="Arial"/>
          <w:sz w:val="24"/>
          <w:szCs w:val="24"/>
        </w:rPr>
        <w:t>(</w:t>
      </w:r>
      <w:r w:rsidR="000412C7" w:rsidRPr="008D59BB">
        <w:rPr>
          <w:rFonts w:ascii="Arial" w:hAnsi="Arial" w:cs="Arial"/>
          <w:i/>
          <w:sz w:val="24"/>
          <w:szCs w:val="24"/>
        </w:rPr>
        <w:t>n</w:t>
      </w:r>
      <w:r w:rsidR="000412C7" w:rsidRPr="008D59BB">
        <w:rPr>
          <w:rFonts w:ascii="Arial" w:hAnsi="Arial" w:cs="Arial"/>
          <w:sz w:val="24"/>
          <w:szCs w:val="24"/>
        </w:rPr>
        <w:t>=943).</w:t>
      </w:r>
      <w:r w:rsidR="003A47F5" w:rsidRPr="008D59BB">
        <w:rPr>
          <w:rFonts w:ascii="Arial" w:hAnsi="Arial" w:cs="Arial"/>
          <w:sz w:val="24"/>
          <w:szCs w:val="24"/>
        </w:rPr>
        <w:t xml:space="preserve"> </w:t>
      </w:r>
    </w:p>
    <w:p w14:paraId="6AB01809" w14:textId="77777777" w:rsidR="004D17A3" w:rsidRPr="008D59BB" w:rsidRDefault="004D17A3" w:rsidP="00AD437A">
      <w:pPr>
        <w:spacing w:after="0" w:line="480" w:lineRule="auto"/>
        <w:jc w:val="both"/>
        <w:rPr>
          <w:rFonts w:ascii="Arial" w:hAnsi="Arial" w:cs="Arial"/>
          <w:sz w:val="24"/>
          <w:szCs w:val="24"/>
        </w:rPr>
      </w:pPr>
    </w:p>
    <w:p w14:paraId="0097136D" w14:textId="77777777" w:rsidR="002841CE" w:rsidRPr="008D59BB" w:rsidRDefault="00A31E1D" w:rsidP="00AD437A">
      <w:pPr>
        <w:spacing w:after="0" w:line="480" w:lineRule="auto"/>
        <w:jc w:val="both"/>
        <w:rPr>
          <w:rFonts w:ascii="Arial" w:hAnsi="Arial" w:cs="Arial"/>
          <w:b/>
          <w:sz w:val="24"/>
          <w:szCs w:val="24"/>
        </w:rPr>
      </w:pPr>
      <w:r w:rsidRPr="008D59BB">
        <w:rPr>
          <w:rFonts w:ascii="Arial" w:hAnsi="Arial" w:cs="Arial"/>
          <w:b/>
          <w:sz w:val="24"/>
          <w:szCs w:val="24"/>
        </w:rPr>
        <w:t>Association of a</w:t>
      </w:r>
      <w:r w:rsidR="002841CE" w:rsidRPr="008D59BB">
        <w:rPr>
          <w:rFonts w:ascii="Arial" w:hAnsi="Arial" w:cs="Arial"/>
          <w:b/>
          <w:sz w:val="24"/>
          <w:szCs w:val="24"/>
        </w:rPr>
        <w:t>ge and residency prior to adm</w:t>
      </w:r>
      <w:r w:rsidR="00A47ED7" w:rsidRPr="008D59BB">
        <w:rPr>
          <w:rFonts w:ascii="Arial" w:hAnsi="Arial" w:cs="Arial"/>
          <w:b/>
          <w:sz w:val="24"/>
          <w:szCs w:val="24"/>
        </w:rPr>
        <w:t>i</w:t>
      </w:r>
      <w:r w:rsidR="002841CE" w:rsidRPr="008D59BB">
        <w:rPr>
          <w:rFonts w:ascii="Arial" w:hAnsi="Arial" w:cs="Arial"/>
          <w:b/>
          <w:sz w:val="24"/>
          <w:szCs w:val="24"/>
        </w:rPr>
        <w:t xml:space="preserve">ssion </w:t>
      </w:r>
      <w:r w:rsidRPr="008D59BB">
        <w:rPr>
          <w:rFonts w:ascii="Arial" w:hAnsi="Arial" w:cs="Arial"/>
          <w:b/>
          <w:sz w:val="24"/>
          <w:szCs w:val="24"/>
        </w:rPr>
        <w:t>with</w:t>
      </w:r>
      <w:r w:rsidR="002841CE" w:rsidRPr="008D59BB">
        <w:rPr>
          <w:rFonts w:ascii="Arial" w:hAnsi="Arial" w:cs="Arial"/>
          <w:b/>
          <w:sz w:val="24"/>
          <w:szCs w:val="24"/>
        </w:rPr>
        <w:t xml:space="preserve"> nutritional status</w:t>
      </w:r>
    </w:p>
    <w:p w14:paraId="3ED0DD44" w14:textId="49D26EF5" w:rsidR="00910653" w:rsidRPr="008D59BB" w:rsidRDefault="00797351" w:rsidP="00AD437A">
      <w:pPr>
        <w:spacing w:after="0" w:line="480" w:lineRule="auto"/>
        <w:jc w:val="both"/>
        <w:rPr>
          <w:rFonts w:ascii="Arial" w:hAnsi="Arial" w:cs="Arial"/>
          <w:sz w:val="24"/>
          <w:szCs w:val="24"/>
        </w:rPr>
      </w:pPr>
      <w:r w:rsidRPr="008D59BB">
        <w:rPr>
          <w:rFonts w:ascii="Arial" w:hAnsi="Arial" w:cs="Arial"/>
          <w:sz w:val="24"/>
          <w:szCs w:val="24"/>
        </w:rPr>
        <w:t>Patients were</w:t>
      </w:r>
      <w:r w:rsidR="009E0C6B" w:rsidRPr="008D59BB">
        <w:rPr>
          <w:rFonts w:ascii="Arial" w:hAnsi="Arial" w:cs="Arial"/>
          <w:sz w:val="24"/>
          <w:szCs w:val="24"/>
        </w:rPr>
        <w:t xml:space="preserve"> aged</w:t>
      </w:r>
      <w:r w:rsidRPr="008D59BB">
        <w:rPr>
          <w:rFonts w:ascii="Arial" w:hAnsi="Arial" w:cs="Arial"/>
          <w:sz w:val="24"/>
          <w:szCs w:val="24"/>
        </w:rPr>
        <w:t xml:space="preserve"> between 60 and 100 years. O</w:t>
      </w:r>
      <w:r w:rsidR="00237BF9" w:rsidRPr="008D59BB">
        <w:rPr>
          <w:rFonts w:ascii="Arial" w:hAnsi="Arial" w:cs="Arial"/>
          <w:sz w:val="24"/>
          <w:szCs w:val="24"/>
        </w:rPr>
        <w:t xml:space="preserve">verall, </w:t>
      </w:r>
      <w:r w:rsidRPr="008D59BB">
        <w:rPr>
          <w:rFonts w:ascii="Arial" w:hAnsi="Arial" w:cs="Arial"/>
          <w:sz w:val="24"/>
          <w:szCs w:val="24"/>
        </w:rPr>
        <w:t xml:space="preserve">67.8% were well-nourished, 24.1% </w:t>
      </w:r>
      <w:r w:rsidR="00B92400" w:rsidRPr="008D59BB">
        <w:rPr>
          <w:rFonts w:ascii="Arial" w:hAnsi="Arial" w:cs="Arial"/>
          <w:sz w:val="24"/>
          <w:szCs w:val="24"/>
        </w:rPr>
        <w:t xml:space="preserve">at </w:t>
      </w:r>
      <w:r w:rsidRPr="008D59BB">
        <w:rPr>
          <w:rFonts w:ascii="Arial" w:hAnsi="Arial" w:cs="Arial"/>
          <w:sz w:val="24"/>
          <w:szCs w:val="24"/>
        </w:rPr>
        <w:t>risk of malnutrition and 8.1% malnourished</w:t>
      </w:r>
      <w:r w:rsidR="00237BF9" w:rsidRPr="008D59BB">
        <w:rPr>
          <w:rFonts w:ascii="Arial" w:hAnsi="Arial" w:cs="Arial"/>
          <w:sz w:val="24"/>
          <w:szCs w:val="24"/>
        </w:rPr>
        <w:t xml:space="preserve"> on admission</w:t>
      </w:r>
      <w:r w:rsidR="001E1A43" w:rsidRPr="008D59BB">
        <w:rPr>
          <w:rFonts w:ascii="Arial" w:hAnsi="Arial" w:cs="Arial"/>
          <w:sz w:val="24"/>
          <w:szCs w:val="24"/>
        </w:rPr>
        <w:t xml:space="preserve"> (</w:t>
      </w:r>
      <w:r w:rsidR="001E1A43" w:rsidRPr="008D59BB">
        <w:rPr>
          <w:rFonts w:ascii="Arial" w:hAnsi="Arial" w:cs="Arial"/>
          <w:b/>
          <w:sz w:val="24"/>
          <w:szCs w:val="24"/>
        </w:rPr>
        <w:t>Table 1</w:t>
      </w:r>
      <w:r w:rsidR="001E1A43" w:rsidRPr="008D59BB">
        <w:rPr>
          <w:rFonts w:ascii="Arial" w:hAnsi="Arial" w:cs="Arial"/>
          <w:sz w:val="24"/>
          <w:szCs w:val="24"/>
        </w:rPr>
        <w:t>)</w:t>
      </w:r>
      <w:r w:rsidRPr="008D59BB">
        <w:rPr>
          <w:rFonts w:ascii="Arial" w:hAnsi="Arial" w:cs="Arial"/>
          <w:sz w:val="24"/>
          <w:szCs w:val="24"/>
        </w:rPr>
        <w:t xml:space="preserve">. </w:t>
      </w:r>
      <w:r w:rsidR="001D0E42" w:rsidRPr="008D59BB">
        <w:rPr>
          <w:rFonts w:ascii="Arial" w:hAnsi="Arial" w:cs="Arial"/>
          <w:sz w:val="24"/>
          <w:szCs w:val="24"/>
        </w:rPr>
        <w:t>The r</w:t>
      </w:r>
      <w:r w:rsidR="00ED1F9F" w:rsidRPr="008D59BB">
        <w:rPr>
          <w:rFonts w:ascii="Arial" w:hAnsi="Arial" w:cs="Arial"/>
          <w:sz w:val="24"/>
          <w:szCs w:val="24"/>
        </w:rPr>
        <w:t>isk of malnutrition and malnourishment increased with age (</w:t>
      </w:r>
      <w:r w:rsidR="00ED1F9F" w:rsidRPr="008D59BB">
        <w:rPr>
          <w:rFonts w:ascii="Arial" w:hAnsi="Arial" w:cs="Arial"/>
          <w:sz w:val="24"/>
          <w:szCs w:val="24"/>
        </w:rPr>
        <w:sym w:font="Symbol" w:char="F063"/>
      </w:r>
      <w:r w:rsidR="00ED1F9F" w:rsidRPr="008D59BB">
        <w:rPr>
          <w:rFonts w:ascii="Arial" w:hAnsi="Arial" w:cs="Arial"/>
          <w:sz w:val="24"/>
          <w:szCs w:val="24"/>
          <w:vertAlign w:val="superscript"/>
        </w:rPr>
        <w:t>2</w:t>
      </w:r>
      <w:r w:rsidR="00ED1F9F" w:rsidRPr="008D59BB">
        <w:rPr>
          <w:rFonts w:ascii="Arial" w:hAnsi="Arial" w:cs="Arial"/>
          <w:sz w:val="24"/>
          <w:szCs w:val="24"/>
        </w:rPr>
        <w:t xml:space="preserve"> = 43.1, </w:t>
      </w:r>
      <w:r w:rsidR="006810D8" w:rsidRPr="008D59BB">
        <w:rPr>
          <w:rFonts w:ascii="Arial" w:hAnsi="Arial" w:cs="Arial"/>
          <w:i/>
          <w:sz w:val="24"/>
          <w:szCs w:val="24"/>
        </w:rPr>
        <w:t>p</w:t>
      </w:r>
      <w:r w:rsidR="006810D8" w:rsidRPr="008D59BB">
        <w:rPr>
          <w:rFonts w:ascii="Arial" w:hAnsi="Arial" w:cs="Arial"/>
          <w:sz w:val="24"/>
          <w:szCs w:val="24"/>
        </w:rPr>
        <w:t xml:space="preserve"> </w:t>
      </w:r>
      <w:r w:rsidR="00ED1F9F" w:rsidRPr="008D59BB">
        <w:rPr>
          <w:rFonts w:ascii="Arial" w:hAnsi="Arial" w:cs="Arial"/>
          <w:sz w:val="24"/>
          <w:szCs w:val="24"/>
        </w:rPr>
        <w:t>&lt;0.001)</w:t>
      </w:r>
      <w:r w:rsidR="004501AD" w:rsidRPr="008D59BB">
        <w:rPr>
          <w:rFonts w:ascii="Arial" w:hAnsi="Arial" w:cs="Arial"/>
          <w:sz w:val="24"/>
          <w:szCs w:val="24"/>
        </w:rPr>
        <w:t xml:space="preserve"> and with </w:t>
      </w:r>
      <w:r w:rsidR="003F48B7" w:rsidRPr="008D59BB">
        <w:rPr>
          <w:rFonts w:ascii="Arial" w:hAnsi="Arial" w:cs="Arial"/>
          <w:sz w:val="24"/>
          <w:szCs w:val="24"/>
        </w:rPr>
        <w:t>residential and nursing care</w:t>
      </w:r>
      <w:r w:rsidR="004501AD" w:rsidRPr="008D59BB">
        <w:rPr>
          <w:rFonts w:ascii="Arial" w:hAnsi="Arial" w:cs="Arial"/>
          <w:sz w:val="24"/>
          <w:szCs w:val="24"/>
        </w:rPr>
        <w:t xml:space="preserve"> (</w:t>
      </w:r>
      <w:r w:rsidR="004501AD" w:rsidRPr="008D59BB">
        <w:rPr>
          <w:rFonts w:ascii="Arial" w:hAnsi="Arial" w:cs="Arial"/>
          <w:sz w:val="24"/>
          <w:szCs w:val="24"/>
        </w:rPr>
        <w:sym w:font="Symbol" w:char="F063"/>
      </w:r>
      <w:r w:rsidR="004501AD" w:rsidRPr="008D59BB">
        <w:rPr>
          <w:rFonts w:ascii="Arial" w:hAnsi="Arial" w:cs="Arial"/>
          <w:sz w:val="24"/>
          <w:szCs w:val="24"/>
          <w:vertAlign w:val="superscript"/>
        </w:rPr>
        <w:t>2</w:t>
      </w:r>
      <w:r w:rsidR="00BC1179" w:rsidRPr="008D59BB">
        <w:rPr>
          <w:rFonts w:ascii="Arial" w:hAnsi="Arial" w:cs="Arial"/>
          <w:sz w:val="24"/>
          <w:szCs w:val="24"/>
          <w:vertAlign w:val="superscript"/>
        </w:rPr>
        <w:t xml:space="preserve"> </w:t>
      </w:r>
      <w:r w:rsidR="004501AD" w:rsidRPr="008D59BB">
        <w:rPr>
          <w:rFonts w:ascii="Arial" w:hAnsi="Arial" w:cs="Arial"/>
          <w:sz w:val="24"/>
          <w:szCs w:val="24"/>
        </w:rPr>
        <w:t>=</w:t>
      </w:r>
      <w:r w:rsidR="00BC1179" w:rsidRPr="008D59BB">
        <w:rPr>
          <w:rFonts w:ascii="Arial" w:hAnsi="Arial" w:cs="Arial"/>
          <w:sz w:val="24"/>
          <w:szCs w:val="24"/>
        </w:rPr>
        <w:t xml:space="preserve"> </w:t>
      </w:r>
      <w:r w:rsidR="004501AD" w:rsidRPr="008D59BB">
        <w:rPr>
          <w:rFonts w:ascii="Arial" w:hAnsi="Arial" w:cs="Arial"/>
          <w:sz w:val="24"/>
          <w:szCs w:val="24"/>
        </w:rPr>
        <w:t xml:space="preserve">60.5, </w:t>
      </w:r>
      <w:r w:rsidR="006810D8" w:rsidRPr="008D59BB">
        <w:rPr>
          <w:rFonts w:ascii="Arial" w:hAnsi="Arial" w:cs="Arial"/>
          <w:i/>
          <w:sz w:val="24"/>
          <w:szCs w:val="24"/>
        </w:rPr>
        <w:t>p</w:t>
      </w:r>
      <w:r w:rsidR="006810D8" w:rsidRPr="008D59BB">
        <w:rPr>
          <w:rFonts w:ascii="Arial" w:hAnsi="Arial" w:cs="Arial"/>
          <w:sz w:val="24"/>
          <w:szCs w:val="24"/>
        </w:rPr>
        <w:t xml:space="preserve"> </w:t>
      </w:r>
      <w:r w:rsidR="004501AD" w:rsidRPr="008D59BB">
        <w:rPr>
          <w:rFonts w:ascii="Arial" w:hAnsi="Arial" w:cs="Arial"/>
          <w:sz w:val="24"/>
          <w:szCs w:val="24"/>
        </w:rPr>
        <w:t>&lt;0.001)</w:t>
      </w:r>
      <w:r w:rsidR="00ED1F9F" w:rsidRPr="008D59BB">
        <w:rPr>
          <w:rFonts w:ascii="Arial" w:hAnsi="Arial" w:cs="Arial"/>
          <w:sz w:val="24"/>
          <w:szCs w:val="24"/>
        </w:rPr>
        <w:t xml:space="preserve">. </w:t>
      </w:r>
      <w:r w:rsidR="00E63EFF" w:rsidRPr="008D59BB">
        <w:rPr>
          <w:rFonts w:ascii="Arial" w:hAnsi="Arial" w:cs="Arial"/>
          <w:sz w:val="24"/>
          <w:szCs w:val="24"/>
        </w:rPr>
        <w:t>Within the 60-70yr, 70-79yr, 80-89yr and 90-103yr age bands, t</w:t>
      </w:r>
      <w:r w:rsidR="00ED1F9F" w:rsidRPr="008D59BB">
        <w:rPr>
          <w:rFonts w:ascii="Arial" w:hAnsi="Arial" w:cs="Arial"/>
          <w:sz w:val="24"/>
          <w:szCs w:val="24"/>
        </w:rPr>
        <w:t xml:space="preserve">he prevalences of risk of malnutrition were 6.7, 26.5, 24.0 and 28.5% and the corresponding </w:t>
      </w:r>
      <w:r w:rsidR="00E63EFF" w:rsidRPr="008D59BB">
        <w:rPr>
          <w:rFonts w:ascii="Arial" w:hAnsi="Arial" w:cs="Arial"/>
          <w:sz w:val="24"/>
          <w:szCs w:val="24"/>
        </w:rPr>
        <w:t>values of</w:t>
      </w:r>
      <w:r w:rsidR="00ED1F9F" w:rsidRPr="008D59BB">
        <w:rPr>
          <w:rFonts w:ascii="Arial" w:hAnsi="Arial" w:cs="Arial"/>
          <w:sz w:val="24"/>
          <w:szCs w:val="24"/>
        </w:rPr>
        <w:t xml:space="preserve"> malnourishment were 5.8, 3.6, 7.7 and 13.2% (</w:t>
      </w:r>
      <w:r w:rsidR="00ED1F9F" w:rsidRPr="008D59BB">
        <w:rPr>
          <w:rFonts w:ascii="Arial" w:hAnsi="Arial" w:cs="Arial"/>
          <w:b/>
          <w:sz w:val="24"/>
          <w:szCs w:val="24"/>
        </w:rPr>
        <w:t xml:space="preserve">Figure </w:t>
      </w:r>
      <w:r w:rsidR="00173EFE" w:rsidRPr="008D59BB">
        <w:rPr>
          <w:rFonts w:ascii="Arial" w:hAnsi="Arial" w:cs="Arial"/>
          <w:b/>
          <w:sz w:val="24"/>
          <w:szCs w:val="24"/>
        </w:rPr>
        <w:t>2</w:t>
      </w:r>
      <w:r w:rsidRPr="008D59BB">
        <w:rPr>
          <w:rFonts w:ascii="Arial" w:hAnsi="Arial" w:cs="Arial"/>
          <w:b/>
          <w:sz w:val="24"/>
          <w:szCs w:val="24"/>
        </w:rPr>
        <w:t>A</w:t>
      </w:r>
      <w:r w:rsidR="00ED1F9F" w:rsidRPr="008D59BB">
        <w:rPr>
          <w:rFonts w:ascii="Arial" w:hAnsi="Arial" w:cs="Arial"/>
          <w:sz w:val="24"/>
          <w:szCs w:val="24"/>
        </w:rPr>
        <w:t>).</w:t>
      </w:r>
      <w:r w:rsidRPr="008D59BB">
        <w:rPr>
          <w:rFonts w:ascii="Arial" w:hAnsi="Arial" w:cs="Arial"/>
          <w:sz w:val="24"/>
          <w:szCs w:val="24"/>
        </w:rPr>
        <w:t xml:space="preserve"> </w:t>
      </w:r>
      <w:r w:rsidR="004501AD" w:rsidRPr="008D59BB">
        <w:rPr>
          <w:rFonts w:ascii="Arial" w:hAnsi="Arial" w:cs="Arial"/>
          <w:sz w:val="24"/>
          <w:szCs w:val="24"/>
        </w:rPr>
        <w:t>Among those</w:t>
      </w:r>
      <w:r w:rsidR="0071750B" w:rsidRPr="008D59BB">
        <w:rPr>
          <w:rFonts w:ascii="Arial" w:hAnsi="Arial" w:cs="Arial"/>
          <w:sz w:val="24"/>
          <w:szCs w:val="24"/>
        </w:rPr>
        <w:t xml:space="preserve"> who came</w:t>
      </w:r>
      <w:r w:rsidR="00AD437A" w:rsidRPr="008D59BB">
        <w:rPr>
          <w:rFonts w:ascii="Arial" w:hAnsi="Arial" w:cs="Arial"/>
          <w:sz w:val="24"/>
          <w:szCs w:val="24"/>
        </w:rPr>
        <w:t xml:space="preserve"> from their own home, residential care </w:t>
      </w:r>
      <w:r w:rsidR="004501AD" w:rsidRPr="008D59BB">
        <w:rPr>
          <w:rFonts w:ascii="Arial" w:hAnsi="Arial" w:cs="Arial"/>
          <w:sz w:val="24"/>
          <w:szCs w:val="24"/>
        </w:rPr>
        <w:t>or</w:t>
      </w:r>
      <w:r w:rsidR="00AD437A" w:rsidRPr="008D59BB">
        <w:rPr>
          <w:rFonts w:ascii="Arial" w:hAnsi="Arial" w:cs="Arial"/>
          <w:sz w:val="24"/>
          <w:szCs w:val="24"/>
        </w:rPr>
        <w:t xml:space="preserve"> nursing care</w:t>
      </w:r>
      <w:r w:rsidR="0071750B" w:rsidRPr="008D59BB">
        <w:rPr>
          <w:rFonts w:ascii="Arial" w:hAnsi="Arial" w:cs="Arial"/>
          <w:sz w:val="24"/>
          <w:szCs w:val="24"/>
        </w:rPr>
        <w:t xml:space="preserve"> prior to admission</w:t>
      </w:r>
      <w:r w:rsidR="00AD437A" w:rsidRPr="008D59BB">
        <w:rPr>
          <w:rFonts w:ascii="Arial" w:hAnsi="Arial" w:cs="Arial"/>
          <w:sz w:val="24"/>
          <w:szCs w:val="24"/>
        </w:rPr>
        <w:t xml:space="preserve">, </w:t>
      </w:r>
      <w:r w:rsidR="004501AD" w:rsidRPr="008D59BB">
        <w:rPr>
          <w:rFonts w:ascii="Arial" w:hAnsi="Arial" w:cs="Arial"/>
          <w:sz w:val="24"/>
          <w:szCs w:val="24"/>
        </w:rPr>
        <w:t xml:space="preserve">the prevalences of the risk of malnutrition were </w:t>
      </w:r>
      <w:r w:rsidR="0084574A" w:rsidRPr="008D59BB">
        <w:rPr>
          <w:rFonts w:ascii="Arial" w:hAnsi="Arial" w:cs="Arial"/>
          <w:sz w:val="24"/>
          <w:szCs w:val="24"/>
        </w:rPr>
        <w:t xml:space="preserve">20.3, </w:t>
      </w:r>
      <w:r w:rsidR="0084574A" w:rsidRPr="008D59BB">
        <w:rPr>
          <w:rFonts w:ascii="Arial" w:hAnsi="Arial" w:cs="Arial"/>
          <w:sz w:val="24"/>
          <w:szCs w:val="24"/>
        </w:rPr>
        <w:lastRenderedPageBreak/>
        <w:t xml:space="preserve">41.7 and 40.5%, and </w:t>
      </w:r>
      <w:r w:rsidR="004501AD" w:rsidRPr="008D59BB">
        <w:rPr>
          <w:rFonts w:ascii="Arial" w:hAnsi="Arial" w:cs="Arial"/>
          <w:sz w:val="24"/>
          <w:szCs w:val="24"/>
        </w:rPr>
        <w:t xml:space="preserve">malnourishment were </w:t>
      </w:r>
      <w:r w:rsidR="00AD437A" w:rsidRPr="008D59BB">
        <w:rPr>
          <w:rFonts w:ascii="Arial" w:hAnsi="Arial" w:cs="Arial"/>
          <w:sz w:val="24"/>
          <w:szCs w:val="24"/>
        </w:rPr>
        <w:t>7.1, 10.4 and 15.5%</w:t>
      </w:r>
      <w:r w:rsidR="0084574A" w:rsidRPr="008D59BB">
        <w:rPr>
          <w:rFonts w:ascii="Arial" w:hAnsi="Arial" w:cs="Arial"/>
          <w:sz w:val="24"/>
          <w:szCs w:val="24"/>
        </w:rPr>
        <w:t>,</w:t>
      </w:r>
      <w:r w:rsidR="00AD437A" w:rsidRPr="008D59BB">
        <w:rPr>
          <w:rFonts w:ascii="Arial" w:hAnsi="Arial" w:cs="Arial"/>
          <w:sz w:val="24"/>
          <w:szCs w:val="24"/>
        </w:rPr>
        <w:t xml:space="preserve"> respectively </w:t>
      </w:r>
      <w:r w:rsidR="004F5CBC" w:rsidRPr="008D59BB">
        <w:rPr>
          <w:rFonts w:ascii="Arial" w:hAnsi="Arial" w:cs="Arial"/>
          <w:sz w:val="24"/>
          <w:szCs w:val="24"/>
        </w:rPr>
        <w:t>(</w:t>
      </w:r>
      <w:r w:rsidR="004F5CBC" w:rsidRPr="008D59BB">
        <w:rPr>
          <w:rFonts w:ascii="Arial" w:hAnsi="Arial" w:cs="Arial"/>
          <w:b/>
          <w:sz w:val="24"/>
          <w:szCs w:val="24"/>
        </w:rPr>
        <w:t xml:space="preserve">Figure </w:t>
      </w:r>
      <w:r w:rsidR="00173EFE" w:rsidRPr="008D59BB">
        <w:rPr>
          <w:rFonts w:ascii="Arial" w:hAnsi="Arial" w:cs="Arial"/>
          <w:b/>
          <w:sz w:val="24"/>
          <w:szCs w:val="24"/>
        </w:rPr>
        <w:t>2</w:t>
      </w:r>
      <w:r w:rsidRPr="008D59BB">
        <w:rPr>
          <w:rFonts w:ascii="Arial" w:hAnsi="Arial" w:cs="Arial"/>
          <w:b/>
          <w:sz w:val="24"/>
          <w:szCs w:val="24"/>
        </w:rPr>
        <w:t>B</w:t>
      </w:r>
      <w:r w:rsidR="004F5CBC" w:rsidRPr="008D59BB">
        <w:rPr>
          <w:rFonts w:ascii="Arial" w:hAnsi="Arial" w:cs="Arial"/>
          <w:sz w:val="24"/>
          <w:szCs w:val="24"/>
        </w:rPr>
        <w:t>)</w:t>
      </w:r>
      <w:r w:rsidR="00910653" w:rsidRPr="008D59BB">
        <w:rPr>
          <w:rFonts w:ascii="Arial" w:hAnsi="Arial" w:cs="Arial"/>
          <w:sz w:val="24"/>
          <w:szCs w:val="24"/>
        </w:rPr>
        <w:t>.</w:t>
      </w:r>
    </w:p>
    <w:p w14:paraId="6DC55B09" w14:textId="77777777" w:rsidR="00910653" w:rsidRPr="008D59BB" w:rsidRDefault="00910653" w:rsidP="00AD437A">
      <w:pPr>
        <w:spacing w:after="0" w:line="480" w:lineRule="auto"/>
        <w:jc w:val="both"/>
        <w:rPr>
          <w:rFonts w:ascii="Arial" w:hAnsi="Arial" w:cs="Arial"/>
          <w:sz w:val="24"/>
          <w:szCs w:val="24"/>
        </w:rPr>
      </w:pPr>
    </w:p>
    <w:p w14:paraId="47424BB3" w14:textId="77777777" w:rsidR="002841CE" w:rsidRPr="008D59BB" w:rsidRDefault="00AC5394" w:rsidP="00AD437A">
      <w:pPr>
        <w:spacing w:after="0" w:line="480" w:lineRule="auto"/>
        <w:jc w:val="both"/>
        <w:rPr>
          <w:rFonts w:ascii="Arial" w:hAnsi="Arial" w:cs="Arial"/>
          <w:b/>
          <w:sz w:val="24"/>
          <w:szCs w:val="24"/>
        </w:rPr>
      </w:pPr>
      <w:r w:rsidRPr="008D59BB">
        <w:rPr>
          <w:rFonts w:ascii="Arial" w:hAnsi="Arial" w:cs="Arial"/>
          <w:b/>
          <w:sz w:val="24"/>
          <w:szCs w:val="24"/>
        </w:rPr>
        <w:t>Association of n</w:t>
      </w:r>
      <w:r w:rsidR="002841CE" w:rsidRPr="008D59BB">
        <w:rPr>
          <w:rFonts w:ascii="Arial" w:hAnsi="Arial" w:cs="Arial"/>
          <w:b/>
          <w:sz w:val="24"/>
          <w:szCs w:val="24"/>
        </w:rPr>
        <w:t>utritional status and outcomes in hospital</w:t>
      </w:r>
    </w:p>
    <w:p w14:paraId="555EED5D" w14:textId="40757C4C" w:rsidR="00173EFE" w:rsidRPr="008D59BB" w:rsidRDefault="00BC027A" w:rsidP="00173EFE">
      <w:pPr>
        <w:spacing w:after="0" w:line="480" w:lineRule="auto"/>
        <w:jc w:val="both"/>
        <w:rPr>
          <w:rFonts w:ascii="Arial" w:hAnsi="Arial" w:cs="Arial"/>
          <w:sz w:val="24"/>
          <w:szCs w:val="24"/>
        </w:rPr>
      </w:pPr>
      <w:r w:rsidRPr="008D59BB">
        <w:rPr>
          <w:rFonts w:ascii="Arial" w:hAnsi="Arial" w:cs="Arial"/>
          <w:sz w:val="24"/>
          <w:szCs w:val="24"/>
        </w:rPr>
        <w:t xml:space="preserve">Within each </w:t>
      </w:r>
      <w:r w:rsidR="005B7EFA" w:rsidRPr="008D59BB">
        <w:rPr>
          <w:rFonts w:ascii="Arial" w:hAnsi="Arial" w:cs="Arial"/>
          <w:sz w:val="24"/>
          <w:szCs w:val="24"/>
        </w:rPr>
        <w:t xml:space="preserve">of the three </w:t>
      </w:r>
      <w:r w:rsidR="007E4D0B" w:rsidRPr="008D59BB">
        <w:rPr>
          <w:rFonts w:ascii="Arial" w:hAnsi="Arial" w:cs="Arial"/>
          <w:sz w:val="24"/>
          <w:szCs w:val="24"/>
        </w:rPr>
        <w:t xml:space="preserve">nutritional status </w:t>
      </w:r>
      <w:r w:rsidR="005B7EFA" w:rsidRPr="008D59BB">
        <w:rPr>
          <w:rFonts w:ascii="Arial" w:hAnsi="Arial" w:cs="Arial"/>
          <w:sz w:val="24"/>
          <w:szCs w:val="24"/>
        </w:rPr>
        <w:t>categories (</w:t>
      </w:r>
      <w:r w:rsidR="00173EFE" w:rsidRPr="008D59BB">
        <w:rPr>
          <w:rFonts w:ascii="Arial" w:hAnsi="Arial" w:cs="Arial"/>
          <w:sz w:val="24"/>
          <w:szCs w:val="24"/>
        </w:rPr>
        <w:t>well-nourished</w:t>
      </w:r>
      <w:r w:rsidRPr="008D59BB">
        <w:rPr>
          <w:rFonts w:ascii="Arial" w:hAnsi="Arial" w:cs="Arial"/>
          <w:sz w:val="24"/>
          <w:szCs w:val="24"/>
        </w:rPr>
        <w:t>, risk of malnutrition and malnourishment</w:t>
      </w:r>
      <w:r w:rsidR="005B7EFA" w:rsidRPr="008D59BB">
        <w:rPr>
          <w:rFonts w:ascii="Arial" w:hAnsi="Arial" w:cs="Arial"/>
          <w:sz w:val="24"/>
          <w:szCs w:val="24"/>
        </w:rPr>
        <w:t>)</w:t>
      </w:r>
      <w:r w:rsidR="007E4D0B" w:rsidRPr="008D59BB">
        <w:rPr>
          <w:rFonts w:ascii="Arial" w:hAnsi="Arial" w:cs="Arial"/>
          <w:sz w:val="24"/>
          <w:szCs w:val="24"/>
        </w:rPr>
        <w:t>, there was</w:t>
      </w:r>
      <w:r w:rsidRPr="008D59BB">
        <w:rPr>
          <w:rFonts w:ascii="Arial" w:hAnsi="Arial" w:cs="Arial"/>
          <w:sz w:val="24"/>
          <w:szCs w:val="24"/>
        </w:rPr>
        <w:t xml:space="preserve"> </w:t>
      </w:r>
      <w:r w:rsidR="007E4D0B" w:rsidRPr="008D59BB">
        <w:rPr>
          <w:rFonts w:ascii="Arial" w:hAnsi="Arial" w:cs="Arial"/>
          <w:sz w:val="24"/>
          <w:szCs w:val="24"/>
        </w:rPr>
        <w:t xml:space="preserve">a </w:t>
      </w:r>
      <w:r w:rsidRPr="008D59BB">
        <w:rPr>
          <w:rFonts w:ascii="Arial" w:hAnsi="Arial" w:cs="Arial"/>
          <w:sz w:val="24"/>
          <w:szCs w:val="24"/>
        </w:rPr>
        <w:t>significant rise in the proportions</w:t>
      </w:r>
      <w:r w:rsidR="00571228" w:rsidRPr="008D59BB">
        <w:rPr>
          <w:rFonts w:ascii="Arial" w:hAnsi="Arial" w:cs="Arial"/>
          <w:sz w:val="24"/>
          <w:szCs w:val="24"/>
        </w:rPr>
        <w:t xml:space="preserve"> of failure to mobilise within 1-day of hip surgery: 17.9, 23.7 and 28.6% (</w:t>
      </w:r>
      <w:r w:rsidR="00571228" w:rsidRPr="008D59BB">
        <w:rPr>
          <w:rFonts w:ascii="Arial" w:hAnsi="Arial" w:cs="Arial"/>
          <w:sz w:val="24"/>
          <w:szCs w:val="24"/>
        </w:rPr>
        <w:sym w:font="Symbol" w:char="F063"/>
      </w:r>
      <w:r w:rsidR="00571228" w:rsidRPr="008D59BB">
        <w:rPr>
          <w:rFonts w:ascii="Arial" w:hAnsi="Arial" w:cs="Arial"/>
          <w:sz w:val="24"/>
          <w:szCs w:val="24"/>
          <w:vertAlign w:val="superscript"/>
        </w:rPr>
        <w:t xml:space="preserve">2 </w:t>
      </w:r>
      <w:r w:rsidR="00571228" w:rsidRPr="008D59BB">
        <w:rPr>
          <w:rFonts w:ascii="Arial" w:hAnsi="Arial" w:cs="Arial"/>
          <w:sz w:val="24"/>
          <w:szCs w:val="24"/>
        </w:rPr>
        <w:t xml:space="preserve">= 8.1, </w:t>
      </w:r>
      <w:r w:rsidR="00571228" w:rsidRPr="008D59BB">
        <w:rPr>
          <w:rFonts w:ascii="Arial" w:hAnsi="Arial" w:cs="Arial"/>
          <w:i/>
          <w:sz w:val="24"/>
          <w:szCs w:val="24"/>
        </w:rPr>
        <w:t>p</w:t>
      </w:r>
      <w:r w:rsidR="00571228" w:rsidRPr="008D59BB">
        <w:rPr>
          <w:rFonts w:ascii="Arial" w:hAnsi="Arial" w:cs="Arial"/>
          <w:sz w:val="24"/>
          <w:szCs w:val="24"/>
        </w:rPr>
        <w:t xml:space="preserve"> = 0.018), </w:t>
      </w:r>
      <w:r w:rsidRPr="008D59BB">
        <w:rPr>
          <w:rFonts w:ascii="Arial" w:hAnsi="Arial" w:cs="Arial"/>
          <w:sz w:val="24"/>
          <w:szCs w:val="24"/>
        </w:rPr>
        <w:t>pressure ulcers:</w:t>
      </w:r>
      <w:r w:rsidR="00173EFE" w:rsidRPr="008D59BB">
        <w:rPr>
          <w:rFonts w:ascii="Arial" w:hAnsi="Arial" w:cs="Arial"/>
          <w:sz w:val="24"/>
          <w:szCs w:val="24"/>
        </w:rPr>
        <w:t xml:space="preserve"> </w:t>
      </w:r>
      <w:r w:rsidRPr="008D59BB">
        <w:rPr>
          <w:rFonts w:ascii="Arial" w:hAnsi="Arial" w:cs="Arial"/>
          <w:sz w:val="24"/>
          <w:szCs w:val="24"/>
        </w:rPr>
        <w:t>1.0, 1.7 and 5.0% (</w:t>
      </w:r>
      <w:r w:rsidRPr="008D59BB">
        <w:rPr>
          <w:rFonts w:ascii="Arial" w:hAnsi="Arial" w:cs="Arial"/>
          <w:sz w:val="24"/>
          <w:szCs w:val="24"/>
        </w:rPr>
        <w:sym w:font="Symbol" w:char="F063"/>
      </w:r>
      <w:r w:rsidRPr="008D59BB">
        <w:rPr>
          <w:rFonts w:ascii="Arial" w:hAnsi="Arial" w:cs="Arial"/>
          <w:sz w:val="24"/>
          <w:szCs w:val="24"/>
          <w:vertAlign w:val="superscript"/>
        </w:rPr>
        <w:t xml:space="preserve">2 </w:t>
      </w:r>
      <w:r w:rsidRPr="008D59BB">
        <w:rPr>
          <w:rFonts w:ascii="Arial" w:hAnsi="Arial" w:cs="Arial"/>
          <w:sz w:val="24"/>
          <w:szCs w:val="24"/>
        </w:rPr>
        <w:t xml:space="preserve">= 10.4, </w:t>
      </w:r>
      <w:r w:rsidRPr="008D59BB">
        <w:rPr>
          <w:rFonts w:ascii="Arial" w:hAnsi="Arial" w:cs="Arial"/>
          <w:i/>
          <w:sz w:val="24"/>
          <w:szCs w:val="24"/>
        </w:rPr>
        <w:t>p</w:t>
      </w:r>
      <w:r w:rsidRPr="008D59BB">
        <w:rPr>
          <w:rFonts w:ascii="Arial" w:hAnsi="Arial" w:cs="Arial"/>
          <w:sz w:val="24"/>
          <w:szCs w:val="24"/>
        </w:rPr>
        <w:t xml:space="preserve"> = 0.006), and </w:t>
      </w:r>
      <w:r w:rsidR="005B7EFA" w:rsidRPr="008D59BB">
        <w:rPr>
          <w:rFonts w:ascii="Arial" w:hAnsi="Arial" w:cs="Arial"/>
          <w:sz w:val="24"/>
          <w:szCs w:val="24"/>
        </w:rPr>
        <w:t xml:space="preserve">also of </w:t>
      </w:r>
      <w:r w:rsidRPr="008D59BB">
        <w:rPr>
          <w:rFonts w:ascii="Arial" w:hAnsi="Arial" w:cs="Arial"/>
          <w:sz w:val="24"/>
          <w:szCs w:val="24"/>
        </w:rPr>
        <w:t>mortality: 4.5, 6.2 and 10.1% (</w:t>
      </w:r>
      <w:r w:rsidRPr="008D59BB">
        <w:rPr>
          <w:rFonts w:ascii="Arial" w:hAnsi="Arial" w:cs="Arial"/>
          <w:sz w:val="24"/>
          <w:szCs w:val="24"/>
        </w:rPr>
        <w:sym w:font="Symbol" w:char="F063"/>
      </w:r>
      <w:r w:rsidRPr="008D59BB">
        <w:rPr>
          <w:rFonts w:ascii="Arial" w:hAnsi="Arial" w:cs="Arial"/>
          <w:sz w:val="24"/>
          <w:szCs w:val="24"/>
          <w:vertAlign w:val="superscript"/>
        </w:rPr>
        <w:t xml:space="preserve">2 </w:t>
      </w:r>
      <w:r w:rsidRPr="008D59BB">
        <w:rPr>
          <w:rFonts w:ascii="Arial" w:hAnsi="Arial" w:cs="Arial"/>
          <w:sz w:val="24"/>
          <w:szCs w:val="24"/>
        </w:rPr>
        <w:t xml:space="preserve">= 6.0, </w:t>
      </w:r>
      <w:r w:rsidRPr="008D59BB">
        <w:rPr>
          <w:rFonts w:ascii="Arial" w:hAnsi="Arial" w:cs="Arial"/>
          <w:i/>
          <w:sz w:val="24"/>
          <w:szCs w:val="24"/>
        </w:rPr>
        <w:t>p</w:t>
      </w:r>
      <w:r w:rsidRPr="008D59BB">
        <w:rPr>
          <w:rFonts w:ascii="Arial" w:hAnsi="Arial" w:cs="Arial"/>
          <w:sz w:val="24"/>
          <w:szCs w:val="24"/>
        </w:rPr>
        <w:t xml:space="preserve"> = 0.049), respectively </w:t>
      </w:r>
      <w:r w:rsidR="00173EFE" w:rsidRPr="008D59BB">
        <w:rPr>
          <w:rFonts w:ascii="Arial" w:hAnsi="Arial" w:cs="Arial"/>
          <w:sz w:val="24"/>
          <w:szCs w:val="24"/>
        </w:rPr>
        <w:t>(</w:t>
      </w:r>
      <w:r w:rsidR="00173EFE" w:rsidRPr="008D59BB">
        <w:rPr>
          <w:rFonts w:ascii="Arial" w:hAnsi="Arial" w:cs="Arial"/>
          <w:b/>
          <w:sz w:val="24"/>
          <w:szCs w:val="24"/>
        </w:rPr>
        <w:t>Figure 3</w:t>
      </w:r>
      <w:r w:rsidR="00173EFE" w:rsidRPr="008D59BB">
        <w:rPr>
          <w:rFonts w:ascii="Arial" w:hAnsi="Arial" w:cs="Arial"/>
          <w:sz w:val="24"/>
          <w:szCs w:val="24"/>
        </w:rPr>
        <w:t>).</w:t>
      </w:r>
    </w:p>
    <w:p w14:paraId="35C4F2BC" w14:textId="77777777" w:rsidR="009207F6" w:rsidRPr="008D59BB" w:rsidRDefault="009207F6" w:rsidP="00AD437A">
      <w:pPr>
        <w:spacing w:after="0" w:line="480" w:lineRule="auto"/>
        <w:jc w:val="both"/>
        <w:rPr>
          <w:rFonts w:ascii="Arial" w:hAnsi="Arial" w:cs="Arial"/>
          <w:sz w:val="24"/>
          <w:szCs w:val="24"/>
        </w:rPr>
      </w:pPr>
    </w:p>
    <w:p w14:paraId="5FA0E9FD" w14:textId="693FDCF1" w:rsidR="004F5CBC" w:rsidRPr="008D59BB" w:rsidRDefault="00910653" w:rsidP="00AD437A">
      <w:pPr>
        <w:spacing w:after="0" w:line="480" w:lineRule="auto"/>
        <w:jc w:val="both"/>
        <w:rPr>
          <w:rFonts w:ascii="Arial" w:hAnsi="Arial" w:cs="Arial"/>
          <w:sz w:val="24"/>
          <w:szCs w:val="24"/>
        </w:rPr>
      </w:pPr>
      <w:r w:rsidRPr="008D59BB">
        <w:rPr>
          <w:rFonts w:ascii="Arial" w:hAnsi="Arial" w:cs="Arial"/>
          <w:sz w:val="24"/>
          <w:szCs w:val="24"/>
        </w:rPr>
        <w:t xml:space="preserve">The </w:t>
      </w:r>
      <w:r w:rsidR="00732032" w:rsidRPr="008D59BB">
        <w:rPr>
          <w:rFonts w:ascii="Arial" w:hAnsi="Arial" w:cs="Arial"/>
          <w:sz w:val="24"/>
          <w:szCs w:val="24"/>
        </w:rPr>
        <w:t xml:space="preserve">LOS was </w:t>
      </w:r>
      <w:r w:rsidR="005B7EFA" w:rsidRPr="008D59BB">
        <w:rPr>
          <w:rFonts w:ascii="Arial" w:hAnsi="Arial" w:cs="Arial"/>
          <w:sz w:val="24"/>
          <w:szCs w:val="24"/>
        </w:rPr>
        <w:t xml:space="preserve">also </w:t>
      </w:r>
      <w:r w:rsidR="00732032" w:rsidRPr="008D59BB">
        <w:rPr>
          <w:rFonts w:ascii="Arial" w:hAnsi="Arial" w:cs="Arial"/>
          <w:sz w:val="24"/>
          <w:szCs w:val="24"/>
        </w:rPr>
        <w:t>significantly different between nutrition</w:t>
      </w:r>
      <w:r w:rsidRPr="008D59BB">
        <w:rPr>
          <w:rFonts w:ascii="Arial" w:hAnsi="Arial" w:cs="Arial"/>
          <w:sz w:val="24"/>
          <w:szCs w:val="24"/>
        </w:rPr>
        <w:t>al status (</w:t>
      </w:r>
      <w:r w:rsidRPr="008D59BB">
        <w:rPr>
          <w:rFonts w:ascii="Arial" w:hAnsi="Arial" w:cs="Arial"/>
          <w:i/>
          <w:sz w:val="24"/>
          <w:szCs w:val="24"/>
        </w:rPr>
        <w:t>F</w:t>
      </w:r>
      <w:r w:rsidRPr="008D59BB">
        <w:rPr>
          <w:rFonts w:ascii="Arial" w:hAnsi="Arial" w:cs="Arial"/>
          <w:sz w:val="24"/>
          <w:szCs w:val="24"/>
        </w:rPr>
        <w:t xml:space="preserve"> = 11.1, </w:t>
      </w:r>
      <w:r w:rsidRPr="008D59BB">
        <w:rPr>
          <w:rFonts w:ascii="Arial" w:hAnsi="Arial" w:cs="Arial"/>
          <w:i/>
          <w:sz w:val="24"/>
          <w:szCs w:val="24"/>
        </w:rPr>
        <w:t>p</w:t>
      </w:r>
      <w:r w:rsidRPr="008D59BB">
        <w:rPr>
          <w:rFonts w:ascii="Arial" w:hAnsi="Arial" w:cs="Arial"/>
          <w:sz w:val="24"/>
          <w:szCs w:val="24"/>
        </w:rPr>
        <w:t xml:space="preserve"> &lt;0.001). </w:t>
      </w:r>
      <w:r w:rsidR="00732032" w:rsidRPr="008D59BB">
        <w:rPr>
          <w:rFonts w:ascii="Arial" w:hAnsi="Arial" w:cs="Arial"/>
          <w:sz w:val="24"/>
          <w:szCs w:val="24"/>
        </w:rPr>
        <w:t xml:space="preserve">Compared with </w:t>
      </w:r>
      <w:r w:rsidRPr="008D59BB">
        <w:rPr>
          <w:rFonts w:ascii="Arial" w:hAnsi="Arial" w:cs="Arial"/>
          <w:sz w:val="24"/>
          <w:szCs w:val="24"/>
        </w:rPr>
        <w:t xml:space="preserve">the </w:t>
      </w:r>
      <w:r w:rsidR="00732032" w:rsidRPr="008D59BB">
        <w:rPr>
          <w:rFonts w:ascii="Arial" w:hAnsi="Arial" w:cs="Arial"/>
          <w:sz w:val="24"/>
          <w:szCs w:val="24"/>
        </w:rPr>
        <w:t>LOS for the well-nourished group (</w:t>
      </w:r>
      <w:r w:rsidRPr="008D59BB">
        <w:rPr>
          <w:rFonts w:ascii="Arial" w:hAnsi="Arial" w:cs="Arial"/>
          <w:sz w:val="24"/>
          <w:szCs w:val="24"/>
        </w:rPr>
        <w:t xml:space="preserve">mean </w:t>
      </w:r>
      <w:r w:rsidR="00732032" w:rsidRPr="008D59BB">
        <w:rPr>
          <w:rFonts w:ascii="Arial" w:hAnsi="Arial" w:cs="Arial"/>
          <w:sz w:val="24"/>
          <w:szCs w:val="24"/>
        </w:rPr>
        <w:t xml:space="preserve">12.5 days ±10.1), the </w:t>
      </w:r>
      <w:r w:rsidR="00345020" w:rsidRPr="008D59BB">
        <w:rPr>
          <w:rFonts w:ascii="Arial" w:hAnsi="Arial" w:cs="Arial"/>
          <w:sz w:val="24"/>
          <w:szCs w:val="24"/>
        </w:rPr>
        <w:t>LOS</w:t>
      </w:r>
      <w:r w:rsidR="00732032" w:rsidRPr="008D59BB">
        <w:rPr>
          <w:rFonts w:ascii="Arial" w:hAnsi="Arial" w:cs="Arial"/>
          <w:sz w:val="24"/>
          <w:szCs w:val="24"/>
        </w:rPr>
        <w:t xml:space="preserve"> was longer</w:t>
      </w:r>
      <w:r w:rsidR="00345020" w:rsidRPr="008D59BB">
        <w:rPr>
          <w:rFonts w:ascii="Arial" w:hAnsi="Arial" w:cs="Arial"/>
          <w:sz w:val="24"/>
          <w:szCs w:val="24"/>
        </w:rPr>
        <w:t xml:space="preserve"> </w:t>
      </w:r>
      <w:r w:rsidR="00732032" w:rsidRPr="008D59BB">
        <w:rPr>
          <w:rFonts w:ascii="Arial" w:hAnsi="Arial" w:cs="Arial"/>
          <w:sz w:val="24"/>
          <w:szCs w:val="24"/>
        </w:rPr>
        <w:t xml:space="preserve">for the </w:t>
      </w:r>
      <w:r w:rsidR="0075200D" w:rsidRPr="008D59BB">
        <w:rPr>
          <w:rFonts w:ascii="Arial" w:hAnsi="Arial" w:cs="Arial"/>
          <w:sz w:val="24"/>
          <w:szCs w:val="24"/>
        </w:rPr>
        <w:t xml:space="preserve">risk of </w:t>
      </w:r>
      <w:r w:rsidR="00732032" w:rsidRPr="008D59BB">
        <w:rPr>
          <w:rFonts w:ascii="Arial" w:hAnsi="Arial" w:cs="Arial"/>
          <w:sz w:val="24"/>
          <w:szCs w:val="24"/>
        </w:rPr>
        <w:t>malnutrition group (mean</w:t>
      </w:r>
      <w:r w:rsidR="00345020" w:rsidRPr="008D59BB">
        <w:rPr>
          <w:rFonts w:ascii="Arial" w:hAnsi="Arial" w:cs="Arial"/>
          <w:sz w:val="24"/>
          <w:szCs w:val="24"/>
        </w:rPr>
        <w:t xml:space="preserve"> </w:t>
      </w:r>
      <w:r w:rsidR="00732032" w:rsidRPr="008D59BB">
        <w:rPr>
          <w:rFonts w:ascii="Arial" w:hAnsi="Arial" w:cs="Arial"/>
          <w:sz w:val="24"/>
          <w:szCs w:val="24"/>
        </w:rPr>
        <w:t xml:space="preserve">15.5 days ±14.0) and the malnourished group (mean 15.6 days ±13.4), equating to a longer LOS in hospital by </w:t>
      </w:r>
      <w:r w:rsidR="00AD437A" w:rsidRPr="008D59BB">
        <w:rPr>
          <w:rFonts w:ascii="Arial" w:hAnsi="Arial" w:cs="Arial"/>
          <w:sz w:val="24"/>
          <w:szCs w:val="24"/>
        </w:rPr>
        <w:t>3.0</w:t>
      </w:r>
      <w:r w:rsidR="00732032" w:rsidRPr="008D59BB">
        <w:rPr>
          <w:rFonts w:ascii="Arial" w:hAnsi="Arial" w:cs="Arial"/>
          <w:sz w:val="24"/>
          <w:szCs w:val="24"/>
        </w:rPr>
        <w:t xml:space="preserve"> </w:t>
      </w:r>
      <w:r w:rsidR="00AD437A" w:rsidRPr="008D59BB">
        <w:rPr>
          <w:rFonts w:ascii="Arial" w:hAnsi="Arial" w:cs="Arial"/>
          <w:sz w:val="24"/>
          <w:szCs w:val="24"/>
        </w:rPr>
        <w:t>days (</w:t>
      </w:r>
      <w:r w:rsidR="00732032" w:rsidRPr="008D59BB">
        <w:rPr>
          <w:rFonts w:ascii="Arial" w:hAnsi="Arial" w:cs="Arial"/>
          <w:sz w:val="24"/>
          <w:szCs w:val="24"/>
        </w:rPr>
        <w:t xml:space="preserve">95% CI: </w:t>
      </w:r>
      <w:r w:rsidR="00AD437A" w:rsidRPr="008D59BB">
        <w:rPr>
          <w:rFonts w:ascii="Arial" w:hAnsi="Arial" w:cs="Arial"/>
          <w:sz w:val="24"/>
          <w:szCs w:val="24"/>
        </w:rPr>
        <w:t>1.5-4.5</w:t>
      </w:r>
      <w:r w:rsidR="00732032" w:rsidRPr="008D59BB">
        <w:rPr>
          <w:rFonts w:ascii="Arial" w:hAnsi="Arial" w:cs="Arial"/>
          <w:sz w:val="24"/>
          <w:szCs w:val="24"/>
        </w:rPr>
        <w:t xml:space="preserve"> days</w:t>
      </w:r>
      <w:r w:rsidR="00AD437A" w:rsidRPr="008D59BB">
        <w:rPr>
          <w:rFonts w:ascii="Arial" w:hAnsi="Arial" w:cs="Arial"/>
          <w:sz w:val="24"/>
          <w:szCs w:val="24"/>
        </w:rPr>
        <w:t xml:space="preserve">, </w:t>
      </w:r>
      <w:r w:rsidR="00AD437A" w:rsidRPr="008D59BB">
        <w:rPr>
          <w:rFonts w:ascii="Arial" w:hAnsi="Arial" w:cs="Arial"/>
          <w:i/>
          <w:sz w:val="24"/>
          <w:szCs w:val="24"/>
        </w:rPr>
        <w:t>p</w:t>
      </w:r>
      <w:r w:rsidR="006810D8" w:rsidRPr="008D59BB">
        <w:rPr>
          <w:rFonts w:ascii="Arial" w:hAnsi="Arial" w:cs="Arial"/>
          <w:sz w:val="24"/>
          <w:szCs w:val="24"/>
        </w:rPr>
        <w:t xml:space="preserve"> </w:t>
      </w:r>
      <w:r w:rsidR="00AD437A" w:rsidRPr="008D59BB">
        <w:rPr>
          <w:rFonts w:ascii="Arial" w:hAnsi="Arial" w:cs="Arial"/>
          <w:sz w:val="24"/>
          <w:szCs w:val="24"/>
        </w:rPr>
        <w:t>&lt;0.001) a</w:t>
      </w:r>
      <w:r w:rsidR="006810D8" w:rsidRPr="008D59BB">
        <w:rPr>
          <w:rFonts w:ascii="Arial" w:hAnsi="Arial" w:cs="Arial"/>
          <w:sz w:val="24"/>
          <w:szCs w:val="24"/>
        </w:rPr>
        <w:t>nd 3.1 days (95% CI =</w:t>
      </w:r>
      <w:r w:rsidR="00732032" w:rsidRPr="008D59BB">
        <w:rPr>
          <w:rFonts w:ascii="Arial" w:hAnsi="Arial" w:cs="Arial"/>
          <w:sz w:val="24"/>
          <w:szCs w:val="24"/>
        </w:rPr>
        <w:t xml:space="preserve"> 0.7-5.5 days, </w:t>
      </w:r>
      <w:r w:rsidR="006810D8" w:rsidRPr="008D59BB">
        <w:rPr>
          <w:rFonts w:ascii="Arial" w:hAnsi="Arial" w:cs="Arial"/>
          <w:i/>
          <w:sz w:val="24"/>
          <w:szCs w:val="24"/>
        </w:rPr>
        <w:t>p</w:t>
      </w:r>
      <w:r w:rsidR="006810D8" w:rsidRPr="008D59BB">
        <w:rPr>
          <w:rFonts w:ascii="Arial" w:hAnsi="Arial" w:cs="Arial"/>
          <w:sz w:val="24"/>
          <w:szCs w:val="24"/>
        </w:rPr>
        <w:t xml:space="preserve"> </w:t>
      </w:r>
      <w:r w:rsidR="00732032" w:rsidRPr="008D59BB">
        <w:rPr>
          <w:rFonts w:ascii="Arial" w:hAnsi="Arial" w:cs="Arial"/>
          <w:sz w:val="24"/>
          <w:szCs w:val="24"/>
        </w:rPr>
        <w:t>=</w:t>
      </w:r>
      <w:r w:rsidR="006810D8" w:rsidRPr="008D59BB">
        <w:rPr>
          <w:rFonts w:ascii="Arial" w:hAnsi="Arial" w:cs="Arial"/>
          <w:sz w:val="24"/>
          <w:szCs w:val="24"/>
        </w:rPr>
        <w:t xml:space="preserve"> </w:t>
      </w:r>
      <w:r w:rsidR="00732032" w:rsidRPr="008D59BB">
        <w:rPr>
          <w:rFonts w:ascii="Arial" w:hAnsi="Arial" w:cs="Arial"/>
          <w:sz w:val="24"/>
          <w:szCs w:val="24"/>
        </w:rPr>
        <w:t>0.003</w:t>
      </w:r>
      <w:r w:rsidR="00AD437A" w:rsidRPr="008D59BB">
        <w:rPr>
          <w:rFonts w:ascii="Arial" w:hAnsi="Arial" w:cs="Arial"/>
          <w:sz w:val="24"/>
          <w:szCs w:val="24"/>
        </w:rPr>
        <w:t>)</w:t>
      </w:r>
      <w:r w:rsidR="00732032" w:rsidRPr="008D59BB">
        <w:rPr>
          <w:rFonts w:ascii="Arial" w:hAnsi="Arial" w:cs="Arial"/>
          <w:sz w:val="24"/>
          <w:szCs w:val="24"/>
        </w:rPr>
        <w:t>, respectively</w:t>
      </w:r>
      <w:r w:rsidR="00AD437A" w:rsidRPr="008D59BB">
        <w:rPr>
          <w:rFonts w:ascii="Arial" w:hAnsi="Arial" w:cs="Arial"/>
          <w:sz w:val="24"/>
          <w:szCs w:val="24"/>
        </w:rPr>
        <w:t xml:space="preserve"> </w:t>
      </w:r>
      <w:r w:rsidR="004F5CBC" w:rsidRPr="008D59BB">
        <w:rPr>
          <w:rFonts w:ascii="Arial" w:hAnsi="Arial" w:cs="Arial"/>
          <w:sz w:val="24"/>
          <w:szCs w:val="24"/>
        </w:rPr>
        <w:t>(</w:t>
      </w:r>
      <w:r w:rsidR="004F5CBC" w:rsidRPr="008D59BB">
        <w:rPr>
          <w:rFonts w:ascii="Arial" w:hAnsi="Arial" w:cs="Arial"/>
          <w:b/>
          <w:sz w:val="24"/>
          <w:szCs w:val="24"/>
        </w:rPr>
        <w:t xml:space="preserve">Figure </w:t>
      </w:r>
      <w:r w:rsidR="00173EFE" w:rsidRPr="008D59BB">
        <w:rPr>
          <w:rFonts w:ascii="Arial" w:hAnsi="Arial" w:cs="Arial"/>
          <w:b/>
          <w:sz w:val="24"/>
          <w:szCs w:val="24"/>
        </w:rPr>
        <w:t>4</w:t>
      </w:r>
      <w:r w:rsidR="004F5CBC" w:rsidRPr="008D59BB">
        <w:rPr>
          <w:rFonts w:ascii="Arial" w:hAnsi="Arial" w:cs="Arial"/>
          <w:sz w:val="24"/>
          <w:szCs w:val="24"/>
        </w:rPr>
        <w:t>)</w:t>
      </w:r>
      <w:r w:rsidR="00AD437A" w:rsidRPr="008D59BB">
        <w:rPr>
          <w:rFonts w:ascii="Arial" w:hAnsi="Arial" w:cs="Arial"/>
          <w:sz w:val="24"/>
          <w:szCs w:val="24"/>
        </w:rPr>
        <w:t>.</w:t>
      </w:r>
      <w:r w:rsidR="003F48B7" w:rsidRPr="008D59BB">
        <w:rPr>
          <w:rFonts w:ascii="Arial" w:hAnsi="Arial" w:cs="Arial"/>
          <w:sz w:val="24"/>
          <w:szCs w:val="24"/>
        </w:rPr>
        <w:t xml:space="preserve"> There were no significant differences in LOS between </w:t>
      </w:r>
      <w:r w:rsidR="00B55AFE" w:rsidRPr="008D59BB">
        <w:rPr>
          <w:rFonts w:ascii="Arial" w:hAnsi="Arial" w:cs="Arial"/>
          <w:sz w:val="24"/>
          <w:szCs w:val="24"/>
        </w:rPr>
        <w:t xml:space="preserve">risk of </w:t>
      </w:r>
      <w:r w:rsidR="003F48B7" w:rsidRPr="008D59BB">
        <w:rPr>
          <w:rFonts w:ascii="Arial" w:hAnsi="Arial" w:cs="Arial"/>
          <w:sz w:val="24"/>
          <w:szCs w:val="24"/>
        </w:rPr>
        <w:t>malnutrition and malnourishment groups.</w:t>
      </w:r>
      <w:r w:rsidR="00AD437A" w:rsidRPr="008D59BB">
        <w:rPr>
          <w:rFonts w:ascii="Arial" w:hAnsi="Arial" w:cs="Arial"/>
          <w:sz w:val="24"/>
          <w:szCs w:val="24"/>
        </w:rPr>
        <w:t xml:space="preserve"> </w:t>
      </w:r>
    </w:p>
    <w:p w14:paraId="3B3D8AFE" w14:textId="77777777" w:rsidR="004F5CBC" w:rsidRPr="008D59BB" w:rsidRDefault="004F5CBC" w:rsidP="00AD437A">
      <w:pPr>
        <w:spacing w:after="0" w:line="480" w:lineRule="auto"/>
        <w:jc w:val="both"/>
        <w:rPr>
          <w:rFonts w:ascii="Arial" w:hAnsi="Arial" w:cs="Arial"/>
          <w:sz w:val="24"/>
          <w:szCs w:val="24"/>
        </w:rPr>
      </w:pPr>
    </w:p>
    <w:p w14:paraId="430A0452" w14:textId="2A95E998" w:rsidR="004E1061" w:rsidRPr="008D59BB" w:rsidRDefault="004F5CBC" w:rsidP="00AD437A">
      <w:pPr>
        <w:spacing w:after="0" w:line="480" w:lineRule="auto"/>
        <w:jc w:val="both"/>
        <w:rPr>
          <w:rFonts w:ascii="Arial" w:hAnsi="Arial" w:cs="Arial"/>
          <w:sz w:val="24"/>
          <w:szCs w:val="24"/>
        </w:rPr>
      </w:pPr>
      <w:r w:rsidRPr="008D59BB">
        <w:rPr>
          <w:rFonts w:ascii="Arial" w:hAnsi="Arial" w:cs="Arial"/>
          <w:b/>
          <w:sz w:val="24"/>
          <w:szCs w:val="24"/>
        </w:rPr>
        <w:t xml:space="preserve">Table </w:t>
      </w:r>
      <w:r w:rsidR="00C926AE" w:rsidRPr="008D59BB">
        <w:rPr>
          <w:rFonts w:ascii="Arial" w:hAnsi="Arial" w:cs="Arial"/>
          <w:b/>
          <w:sz w:val="24"/>
          <w:szCs w:val="24"/>
        </w:rPr>
        <w:t>2</w:t>
      </w:r>
      <w:r w:rsidRPr="008D59BB">
        <w:rPr>
          <w:rFonts w:ascii="Arial" w:hAnsi="Arial" w:cs="Arial"/>
          <w:sz w:val="24"/>
          <w:szCs w:val="24"/>
        </w:rPr>
        <w:t xml:space="preserve"> shows that</w:t>
      </w:r>
      <w:r w:rsidR="00D34053" w:rsidRPr="008D59BB">
        <w:rPr>
          <w:rFonts w:ascii="Arial" w:hAnsi="Arial" w:cs="Arial"/>
          <w:sz w:val="24"/>
          <w:szCs w:val="24"/>
        </w:rPr>
        <w:t xml:space="preserve"> compared with those considered to be well-nourished on admission,</w:t>
      </w:r>
      <w:r w:rsidRPr="008D59BB">
        <w:rPr>
          <w:rFonts w:ascii="Arial" w:hAnsi="Arial" w:cs="Arial"/>
          <w:sz w:val="24"/>
          <w:szCs w:val="24"/>
        </w:rPr>
        <w:t xml:space="preserve"> t</w:t>
      </w:r>
      <w:r w:rsidR="00AD437A" w:rsidRPr="008D59BB">
        <w:rPr>
          <w:rFonts w:ascii="Arial" w:hAnsi="Arial" w:cs="Arial"/>
          <w:sz w:val="24"/>
          <w:szCs w:val="24"/>
        </w:rPr>
        <w:t>he age</w:t>
      </w:r>
      <w:r w:rsidR="005B7EFA" w:rsidRPr="008D59BB">
        <w:rPr>
          <w:rFonts w:ascii="Arial" w:hAnsi="Arial" w:cs="Arial"/>
          <w:sz w:val="24"/>
          <w:szCs w:val="24"/>
        </w:rPr>
        <w:t>-</w:t>
      </w:r>
      <w:r w:rsidR="00AD437A" w:rsidRPr="008D59BB">
        <w:rPr>
          <w:rFonts w:ascii="Arial" w:hAnsi="Arial" w:cs="Arial"/>
          <w:sz w:val="24"/>
          <w:szCs w:val="24"/>
        </w:rPr>
        <w:t xml:space="preserve"> and </w:t>
      </w:r>
      <w:r w:rsidR="005B7EFA" w:rsidRPr="008D59BB">
        <w:rPr>
          <w:rFonts w:ascii="Arial" w:hAnsi="Arial" w:cs="Arial"/>
          <w:sz w:val="24"/>
          <w:szCs w:val="24"/>
        </w:rPr>
        <w:t>sex-</w:t>
      </w:r>
      <w:r w:rsidR="00AD437A" w:rsidRPr="008D59BB">
        <w:rPr>
          <w:rFonts w:ascii="Arial" w:hAnsi="Arial" w:cs="Arial"/>
          <w:sz w:val="24"/>
          <w:szCs w:val="24"/>
        </w:rPr>
        <w:t xml:space="preserve">adjusted risk in those with malnourishment </w:t>
      </w:r>
      <w:r w:rsidR="00571228" w:rsidRPr="008D59BB">
        <w:rPr>
          <w:rFonts w:ascii="Arial" w:hAnsi="Arial" w:cs="Arial"/>
          <w:sz w:val="24"/>
          <w:szCs w:val="24"/>
        </w:rPr>
        <w:t xml:space="preserve">for failure to mobilise within 1-day of surgery was: OR=1.64 (95%CI = 1.01-2.65, </w:t>
      </w:r>
      <w:r w:rsidR="00571228" w:rsidRPr="008D59BB">
        <w:rPr>
          <w:rFonts w:ascii="Arial" w:hAnsi="Arial" w:cs="Arial"/>
          <w:i/>
          <w:sz w:val="24"/>
          <w:szCs w:val="24"/>
        </w:rPr>
        <w:t>p</w:t>
      </w:r>
      <w:r w:rsidR="00571228" w:rsidRPr="008D59BB">
        <w:rPr>
          <w:rFonts w:ascii="Arial" w:hAnsi="Arial" w:cs="Arial"/>
          <w:sz w:val="24"/>
          <w:szCs w:val="24"/>
        </w:rPr>
        <w:t xml:space="preserve"> = 0.045); </w:t>
      </w:r>
      <w:r w:rsidR="00FF296B" w:rsidRPr="008D59BB">
        <w:rPr>
          <w:rFonts w:ascii="Arial" w:hAnsi="Arial" w:cs="Arial"/>
          <w:sz w:val="24"/>
          <w:szCs w:val="24"/>
        </w:rPr>
        <w:t xml:space="preserve">for pressure ulcers was: OR = 4.88 (95%CI = 1.53-15.60, </w:t>
      </w:r>
      <w:r w:rsidR="00FF296B" w:rsidRPr="008D59BB">
        <w:rPr>
          <w:rFonts w:ascii="Arial" w:hAnsi="Arial" w:cs="Arial"/>
          <w:i/>
          <w:sz w:val="24"/>
          <w:szCs w:val="24"/>
        </w:rPr>
        <w:t>p</w:t>
      </w:r>
      <w:r w:rsidR="00FF296B" w:rsidRPr="008D59BB">
        <w:rPr>
          <w:rFonts w:ascii="Arial" w:hAnsi="Arial" w:cs="Arial"/>
          <w:sz w:val="24"/>
          <w:szCs w:val="24"/>
        </w:rPr>
        <w:t xml:space="preserve"> = 0.007); </w:t>
      </w:r>
      <w:r w:rsidR="00AD437A" w:rsidRPr="008D59BB">
        <w:rPr>
          <w:rFonts w:ascii="Arial" w:hAnsi="Arial" w:cs="Arial"/>
          <w:sz w:val="24"/>
          <w:szCs w:val="24"/>
        </w:rPr>
        <w:t>and for inpatient mortality was: OR</w:t>
      </w:r>
      <w:r w:rsidR="009207F6" w:rsidRPr="008D59BB">
        <w:rPr>
          <w:rFonts w:ascii="Arial" w:hAnsi="Arial" w:cs="Arial"/>
          <w:sz w:val="24"/>
          <w:szCs w:val="24"/>
        </w:rPr>
        <w:t xml:space="preserve"> </w:t>
      </w:r>
      <w:r w:rsidR="00AD437A" w:rsidRPr="008D59BB">
        <w:rPr>
          <w:rFonts w:ascii="Arial" w:hAnsi="Arial" w:cs="Arial"/>
          <w:sz w:val="24"/>
          <w:szCs w:val="24"/>
        </w:rPr>
        <w:t>=</w:t>
      </w:r>
      <w:r w:rsidR="009207F6" w:rsidRPr="008D59BB">
        <w:rPr>
          <w:rFonts w:ascii="Arial" w:hAnsi="Arial" w:cs="Arial"/>
          <w:sz w:val="24"/>
          <w:szCs w:val="24"/>
        </w:rPr>
        <w:t xml:space="preserve"> </w:t>
      </w:r>
      <w:r w:rsidR="00AD437A" w:rsidRPr="008D59BB">
        <w:rPr>
          <w:rFonts w:ascii="Arial" w:hAnsi="Arial" w:cs="Arial"/>
          <w:sz w:val="24"/>
          <w:szCs w:val="24"/>
        </w:rPr>
        <w:t xml:space="preserve">2.26 (95%CI = 1.07-4.80, </w:t>
      </w:r>
      <w:r w:rsidR="006810D8" w:rsidRPr="008D59BB">
        <w:rPr>
          <w:rFonts w:ascii="Arial" w:hAnsi="Arial" w:cs="Arial"/>
          <w:i/>
          <w:sz w:val="24"/>
          <w:szCs w:val="24"/>
        </w:rPr>
        <w:t>p</w:t>
      </w:r>
      <w:r w:rsidR="009207F6" w:rsidRPr="008D59BB">
        <w:rPr>
          <w:rFonts w:ascii="Arial" w:hAnsi="Arial" w:cs="Arial"/>
          <w:sz w:val="24"/>
          <w:szCs w:val="24"/>
        </w:rPr>
        <w:t xml:space="preserve"> = 0.033). </w:t>
      </w:r>
    </w:p>
    <w:p w14:paraId="725493A7" w14:textId="77777777" w:rsidR="004E1061" w:rsidRPr="008D59BB" w:rsidRDefault="004E1061" w:rsidP="00AD437A">
      <w:pPr>
        <w:spacing w:after="0" w:line="480" w:lineRule="auto"/>
        <w:jc w:val="both"/>
        <w:rPr>
          <w:rFonts w:ascii="Arial" w:hAnsi="Arial" w:cs="Arial"/>
          <w:sz w:val="24"/>
          <w:szCs w:val="24"/>
        </w:rPr>
      </w:pPr>
    </w:p>
    <w:p w14:paraId="31B17404" w14:textId="77777777" w:rsidR="004E1061" w:rsidRPr="008D59BB" w:rsidRDefault="00AC5394" w:rsidP="00AD437A">
      <w:pPr>
        <w:spacing w:after="0" w:line="480" w:lineRule="auto"/>
        <w:jc w:val="both"/>
        <w:rPr>
          <w:rFonts w:ascii="Arial" w:hAnsi="Arial" w:cs="Arial"/>
          <w:b/>
          <w:sz w:val="24"/>
          <w:szCs w:val="24"/>
        </w:rPr>
      </w:pPr>
      <w:r w:rsidRPr="008D59BB">
        <w:rPr>
          <w:rFonts w:ascii="Arial" w:hAnsi="Arial" w:cs="Arial"/>
          <w:b/>
          <w:sz w:val="24"/>
          <w:szCs w:val="24"/>
        </w:rPr>
        <w:t>Association of n</w:t>
      </w:r>
      <w:r w:rsidR="004E1061" w:rsidRPr="008D59BB">
        <w:rPr>
          <w:rFonts w:ascii="Arial" w:hAnsi="Arial" w:cs="Arial"/>
          <w:b/>
          <w:sz w:val="24"/>
          <w:szCs w:val="24"/>
        </w:rPr>
        <w:t>utritional status and discharge destination</w:t>
      </w:r>
    </w:p>
    <w:p w14:paraId="7FBC8B26" w14:textId="77777777" w:rsidR="00AD437A" w:rsidRPr="008D59BB" w:rsidRDefault="00AD437A" w:rsidP="00AD437A">
      <w:pPr>
        <w:spacing w:after="0" w:line="480" w:lineRule="auto"/>
        <w:jc w:val="both"/>
        <w:rPr>
          <w:rFonts w:ascii="Arial" w:hAnsi="Arial" w:cs="Arial"/>
          <w:sz w:val="24"/>
          <w:szCs w:val="24"/>
        </w:rPr>
      </w:pPr>
      <w:r w:rsidRPr="008D59BB">
        <w:rPr>
          <w:rFonts w:ascii="Arial" w:hAnsi="Arial" w:cs="Arial"/>
          <w:sz w:val="24"/>
          <w:szCs w:val="24"/>
        </w:rPr>
        <w:lastRenderedPageBreak/>
        <w:t xml:space="preserve">Among the 943 patients admitted from their own home who survived to discharge, there were 4.3, 8.0 and 11.1% </w:t>
      </w:r>
      <w:r w:rsidR="009A75AB" w:rsidRPr="008D59BB">
        <w:rPr>
          <w:rFonts w:ascii="Arial" w:hAnsi="Arial" w:cs="Arial"/>
          <w:sz w:val="24"/>
          <w:szCs w:val="24"/>
        </w:rPr>
        <w:t>in</w:t>
      </w:r>
      <w:r w:rsidRPr="008D59BB">
        <w:rPr>
          <w:rFonts w:ascii="Arial" w:hAnsi="Arial" w:cs="Arial"/>
          <w:sz w:val="24"/>
          <w:szCs w:val="24"/>
        </w:rPr>
        <w:t xml:space="preserve"> </w:t>
      </w:r>
      <w:r w:rsidR="00390290" w:rsidRPr="008D59BB">
        <w:rPr>
          <w:rFonts w:ascii="Arial" w:hAnsi="Arial" w:cs="Arial"/>
          <w:sz w:val="24"/>
          <w:szCs w:val="24"/>
        </w:rPr>
        <w:t>the</w:t>
      </w:r>
      <w:r w:rsidRPr="008D59BB">
        <w:rPr>
          <w:rFonts w:ascii="Arial" w:hAnsi="Arial" w:cs="Arial"/>
          <w:sz w:val="24"/>
          <w:szCs w:val="24"/>
        </w:rPr>
        <w:t xml:space="preserve"> </w:t>
      </w:r>
      <w:r w:rsidR="00390290" w:rsidRPr="008D59BB">
        <w:rPr>
          <w:rFonts w:ascii="Arial" w:hAnsi="Arial" w:cs="Arial"/>
          <w:sz w:val="24"/>
          <w:szCs w:val="24"/>
        </w:rPr>
        <w:t>well-nourished</w:t>
      </w:r>
      <w:r w:rsidRPr="008D59BB">
        <w:rPr>
          <w:rFonts w:ascii="Arial" w:hAnsi="Arial" w:cs="Arial"/>
          <w:sz w:val="24"/>
          <w:szCs w:val="24"/>
        </w:rPr>
        <w:t xml:space="preserve">, </w:t>
      </w:r>
      <w:r w:rsidR="009A75AB" w:rsidRPr="008D59BB">
        <w:rPr>
          <w:rFonts w:ascii="Arial" w:hAnsi="Arial" w:cs="Arial"/>
          <w:sz w:val="24"/>
          <w:szCs w:val="24"/>
        </w:rPr>
        <w:t xml:space="preserve">risk of </w:t>
      </w:r>
      <w:r w:rsidRPr="008D59BB">
        <w:rPr>
          <w:rFonts w:ascii="Arial" w:hAnsi="Arial" w:cs="Arial"/>
          <w:sz w:val="24"/>
          <w:szCs w:val="24"/>
        </w:rPr>
        <w:t>malnutrition and malnourish</w:t>
      </w:r>
      <w:r w:rsidR="009A75AB" w:rsidRPr="008D59BB">
        <w:rPr>
          <w:rFonts w:ascii="Arial" w:hAnsi="Arial" w:cs="Arial"/>
          <w:sz w:val="24"/>
          <w:szCs w:val="24"/>
        </w:rPr>
        <w:t>ed</w:t>
      </w:r>
      <w:r w:rsidR="00390290" w:rsidRPr="008D59BB">
        <w:rPr>
          <w:rFonts w:ascii="Arial" w:hAnsi="Arial" w:cs="Arial"/>
          <w:sz w:val="24"/>
          <w:szCs w:val="24"/>
        </w:rPr>
        <w:t xml:space="preserve"> groups, respectively, who were</w:t>
      </w:r>
      <w:r w:rsidRPr="008D59BB">
        <w:rPr>
          <w:rFonts w:ascii="Arial" w:hAnsi="Arial" w:cs="Arial"/>
          <w:sz w:val="24"/>
          <w:szCs w:val="24"/>
        </w:rPr>
        <w:t xml:space="preserve"> discharged to residential/nursing care (</w:t>
      </w:r>
      <w:r w:rsidRPr="008D59BB">
        <w:rPr>
          <w:rFonts w:ascii="Arial" w:hAnsi="Arial" w:cs="Arial"/>
          <w:sz w:val="24"/>
          <w:szCs w:val="24"/>
        </w:rPr>
        <w:sym w:font="Symbol" w:char="F063"/>
      </w:r>
      <w:r w:rsidRPr="008D59BB">
        <w:rPr>
          <w:rFonts w:ascii="Arial" w:hAnsi="Arial" w:cs="Arial"/>
          <w:sz w:val="24"/>
          <w:szCs w:val="24"/>
          <w:vertAlign w:val="superscript"/>
        </w:rPr>
        <w:t>2</w:t>
      </w:r>
      <w:r w:rsidR="006810D8" w:rsidRPr="008D59BB">
        <w:rPr>
          <w:rFonts w:ascii="Arial" w:hAnsi="Arial" w:cs="Arial"/>
          <w:sz w:val="24"/>
          <w:szCs w:val="24"/>
          <w:vertAlign w:val="superscript"/>
        </w:rPr>
        <w:t xml:space="preserve"> </w:t>
      </w:r>
      <w:r w:rsidRPr="008D59BB">
        <w:rPr>
          <w:rFonts w:ascii="Arial" w:hAnsi="Arial" w:cs="Arial"/>
          <w:sz w:val="24"/>
          <w:szCs w:val="24"/>
        </w:rPr>
        <w:t>=</w:t>
      </w:r>
      <w:r w:rsidR="006810D8" w:rsidRPr="008D59BB">
        <w:rPr>
          <w:rFonts w:ascii="Arial" w:hAnsi="Arial" w:cs="Arial"/>
          <w:sz w:val="24"/>
          <w:szCs w:val="24"/>
        </w:rPr>
        <w:t xml:space="preserve"> </w:t>
      </w:r>
      <w:r w:rsidRPr="008D59BB">
        <w:rPr>
          <w:rFonts w:ascii="Arial" w:hAnsi="Arial" w:cs="Arial"/>
          <w:sz w:val="24"/>
          <w:szCs w:val="24"/>
        </w:rPr>
        <w:t xml:space="preserve">7.9, </w:t>
      </w:r>
      <w:r w:rsidR="006810D8" w:rsidRPr="008D59BB">
        <w:rPr>
          <w:rFonts w:ascii="Arial" w:hAnsi="Arial" w:cs="Arial"/>
          <w:i/>
          <w:sz w:val="24"/>
          <w:szCs w:val="24"/>
        </w:rPr>
        <w:t>p</w:t>
      </w:r>
      <w:r w:rsidR="006810D8" w:rsidRPr="008D59BB">
        <w:rPr>
          <w:rFonts w:ascii="Arial" w:hAnsi="Arial" w:cs="Arial"/>
          <w:sz w:val="24"/>
          <w:szCs w:val="24"/>
        </w:rPr>
        <w:t xml:space="preserve"> </w:t>
      </w:r>
      <w:r w:rsidRPr="008D59BB">
        <w:rPr>
          <w:rFonts w:ascii="Arial" w:hAnsi="Arial" w:cs="Arial"/>
          <w:sz w:val="24"/>
          <w:szCs w:val="24"/>
        </w:rPr>
        <w:t>=</w:t>
      </w:r>
      <w:r w:rsidR="006810D8" w:rsidRPr="008D59BB">
        <w:rPr>
          <w:rFonts w:ascii="Arial" w:hAnsi="Arial" w:cs="Arial"/>
          <w:sz w:val="24"/>
          <w:szCs w:val="24"/>
        </w:rPr>
        <w:t xml:space="preserve"> </w:t>
      </w:r>
      <w:r w:rsidRPr="008D59BB">
        <w:rPr>
          <w:rFonts w:ascii="Arial" w:hAnsi="Arial" w:cs="Arial"/>
          <w:sz w:val="24"/>
          <w:szCs w:val="24"/>
        </w:rPr>
        <w:t xml:space="preserve">0.019). Compared with </w:t>
      </w:r>
      <w:r w:rsidR="009A75AB" w:rsidRPr="008D59BB">
        <w:rPr>
          <w:rFonts w:ascii="Arial" w:hAnsi="Arial" w:cs="Arial"/>
          <w:sz w:val="24"/>
          <w:szCs w:val="24"/>
        </w:rPr>
        <w:t xml:space="preserve">the </w:t>
      </w:r>
      <w:r w:rsidR="00390290" w:rsidRPr="008D59BB">
        <w:rPr>
          <w:rFonts w:ascii="Arial" w:hAnsi="Arial" w:cs="Arial"/>
          <w:sz w:val="24"/>
          <w:szCs w:val="24"/>
        </w:rPr>
        <w:t>well-nourished</w:t>
      </w:r>
      <w:r w:rsidRPr="008D59BB">
        <w:rPr>
          <w:rFonts w:ascii="Arial" w:hAnsi="Arial" w:cs="Arial"/>
          <w:sz w:val="24"/>
          <w:szCs w:val="24"/>
        </w:rPr>
        <w:t xml:space="preserve"> group, the risk </w:t>
      </w:r>
      <w:r w:rsidR="009A75AB" w:rsidRPr="008D59BB">
        <w:rPr>
          <w:rFonts w:ascii="Arial" w:hAnsi="Arial" w:cs="Arial"/>
          <w:sz w:val="24"/>
          <w:szCs w:val="24"/>
        </w:rPr>
        <w:t>for a</w:t>
      </w:r>
      <w:r w:rsidRPr="008D59BB">
        <w:rPr>
          <w:rFonts w:ascii="Arial" w:hAnsi="Arial" w:cs="Arial"/>
          <w:sz w:val="24"/>
          <w:szCs w:val="24"/>
        </w:rPr>
        <w:t xml:space="preserve"> discharge to residential/nursing care was</w:t>
      </w:r>
      <w:r w:rsidR="009A75AB" w:rsidRPr="008D59BB">
        <w:rPr>
          <w:rFonts w:ascii="Arial" w:hAnsi="Arial" w:cs="Arial"/>
          <w:sz w:val="24"/>
          <w:szCs w:val="24"/>
        </w:rPr>
        <w:t xml:space="preserve"> increased by</w:t>
      </w:r>
      <w:r w:rsidRPr="008D59BB">
        <w:rPr>
          <w:rFonts w:ascii="Arial" w:hAnsi="Arial" w:cs="Arial"/>
          <w:sz w:val="24"/>
          <w:szCs w:val="24"/>
        </w:rPr>
        <w:t xml:space="preserve"> 1.93-fold (95%CI = 1.01-3.65, </w:t>
      </w:r>
      <w:r w:rsidR="006810D8" w:rsidRPr="008D59BB">
        <w:rPr>
          <w:rFonts w:ascii="Arial" w:hAnsi="Arial" w:cs="Arial"/>
          <w:i/>
          <w:sz w:val="24"/>
          <w:szCs w:val="24"/>
        </w:rPr>
        <w:t>p</w:t>
      </w:r>
      <w:r w:rsidRPr="008D59BB">
        <w:rPr>
          <w:rFonts w:ascii="Arial" w:hAnsi="Arial" w:cs="Arial"/>
          <w:sz w:val="24"/>
          <w:szCs w:val="24"/>
        </w:rPr>
        <w:t xml:space="preserve"> = 0.045) for those with </w:t>
      </w:r>
      <w:r w:rsidR="0075200D" w:rsidRPr="008D59BB">
        <w:rPr>
          <w:rFonts w:ascii="Arial" w:hAnsi="Arial" w:cs="Arial"/>
          <w:sz w:val="24"/>
          <w:szCs w:val="24"/>
        </w:rPr>
        <w:t xml:space="preserve">risk of </w:t>
      </w:r>
      <w:r w:rsidRPr="008D59BB">
        <w:rPr>
          <w:rFonts w:ascii="Arial" w:hAnsi="Arial" w:cs="Arial"/>
          <w:sz w:val="24"/>
          <w:szCs w:val="24"/>
        </w:rPr>
        <w:t xml:space="preserve">malnutrition, and </w:t>
      </w:r>
      <w:r w:rsidR="009A75AB" w:rsidRPr="008D59BB">
        <w:rPr>
          <w:rFonts w:ascii="Arial" w:hAnsi="Arial" w:cs="Arial"/>
          <w:sz w:val="24"/>
          <w:szCs w:val="24"/>
        </w:rPr>
        <w:t>by</w:t>
      </w:r>
      <w:r w:rsidRPr="008D59BB">
        <w:rPr>
          <w:rFonts w:ascii="Arial" w:hAnsi="Arial" w:cs="Arial"/>
          <w:sz w:val="24"/>
          <w:szCs w:val="24"/>
        </w:rPr>
        <w:t xml:space="preserve"> 2.76-fold (95%CI = 1.16-6.57, </w:t>
      </w:r>
      <w:r w:rsidR="006810D8" w:rsidRPr="008D59BB">
        <w:rPr>
          <w:rFonts w:ascii="Arial" w:hAnsi="Arial" w:cs="Arial"/>
          <w:i/>
          <w:sz w:val="24"/>
          <w:szCs w:val="24"/>
        </w:rPr>
        <w:t>p</w:t>
      </w:r>
      <w:r w:rsidRPr="008D59BB">
        <w:rPr>
          <w:rFonts w:ascii="Arial" w:hAnsi="Arial" w:cs="Arial"/>
          <w:sz w:val="24"/>
          <w:szCs w:val="24"/>
        </w:rPr>
        <w:t xml:space="preserve"> = 0.022) for those with malnourishment.</w:t>
      </w:r>
    </w:p>
    <w:p w14:paraId="7F333EDD" w14:textId="77777777" w:rsidR="00C15F15" w:rsidRPr="008D59BB" w:rsidRDefault="00C15F15" w:rsidP="00AD437A">
      <w:pPr>
        <w:spacing w:after="0" w:line="480" w:lineRule="auto"/>
        <w:jc w:val="both"/>
        <w:rPr>
          <w:rFonts w:ascii="Arial" w:hAnsi="Arial" w:cs="Arial"/>
          <w:sz w:val="24"/>
          <w:szCs w:val="24"/>
        </w:rPr>
      </w:pPr>
    </w:p>
    <w:p w14:paraId="6BFFB379" w14:textId="77777777" w:rsidR="00C15F15" w:rsidRPr="008D59BB" w:rsidRDefault="00C15F15" w:rsidP="00AD437A">
      <w:pPr>
        <w:spacing w:after="0" w:line="480" w:lineRule="auto"/>
        <w:jc w:val="both"/>
        <w:rPr>
          <w:rFonts w:ascii="Arial" w:hAnsi="Arial" w:cs="Arial"/>
          <w:b/>
          <w:sz w:val="24"/>
          <w:szCs w:val="24"/>
        </w:rPr>
      </w:pPr>
      <w:r w:rsidRPr="008D59BB">
        <w:rPr>
          <w:rFonts w:ascii="Arial" w:hAnsi="Arial" w:cs="Arial"/>
          <w:b/>
          <w:sz w:val="24"/>
          <w:szCs w:val="24"/>
        </w:rPr>
        <w:t>DISCUSSION</w:t>
      </w:r>
    </w:p>
    <w:p w14:paraId="0801B525" w14:textId="087105D3" w:rsidR="00FF069E" w:rsidRPr="008D59BB" w:rsidRDefault="00C15F15" w:rsidP="00FF069E">
      <w:pPr>
        <w:spacing w:after="0" w:line="480" w:lineRule="auto"/>
        <w:jc w:val="both"/>
        <w:rPr>
          <w:rFonts w:ascii="Arial" w:hAnsi="Arial" w:cs="Arial"/>
          <w:sz w:val="24"/>
          <w:szCs w:val="24"/>
        </w:rPr>
      </w:pPr>
      <w:r w:rsidRPr="008D59BB">
        <w:rPr>
          <w:rFonts w:ascii="Arial" w:hAnsi="Arial" w:cs="Arial"/>
          <w:sz w:val="24"/>
          <w:szCs w:val="24"/>
        </w:rPr>
        <w:t xml:space="preserve">In this study of older adults admitted with a hip fracture, </w:t>
      </w:r>
      <w:r w:rsidR="004F49DF" w:rsidRPr="008D59BB">
        <w:rPr>
          <w:rFonts w:ascii="Arial" w:hAnsi="Arial" w:cs="Arial"/>
          <w:sz w:val="24"/>
          <w:szCs w:val="24"/>
        </w:rPr>
        <w:t xml:space="preserve">risk of malnutrition and </w:t>
      </w:r>
      <w:r w:rsidRPr="008D59BB">
        <w:rPr>
          <w:rFonts w:ascii="Arial" w:hAnsi="Arial" w:cs="Arial"/>
          <w:sz w:val="24"/>
          <w:szCs w:val="24"/>
        </w:rPr>
        <w:t xml:space="preserve">malnourishment </w:t>
      </w:r>
      <w:r w:rsidR="00372DA1" w:rsidRPr="008D59BB">
        <w:rPr>
          <w:rFonts w:ascii="Arial" w:hAnsi="Arial" w:cs="Arial"/>
          <w:sz w:val="24"/>
          <w:szCs w:val="24"/>
        </w:rPr>
        <w:t>were</w:t>
      </w:r>
      <w:r w:rsidRPr="008D59BB">
        <w:rPr>
          <w:rFonts w:ascii="Arial" w:hAnsi="Arial" w:cs="Arial"/>
          <w:sz w:val="24"/>
          <w:szCs w:val="24"/>
        </w:rPr>
        <w:t xml:space="preserve"> mor</w:t>
      </w:r>
      <w:r w:rsidR="004F49DF" w:rsidRPr="008D59BB">
        <w:rPr>
          <w:rFonts w:ascii="Arial" w:hAnsi="Arial" w:cs="Arial"/>
          <w:sz w:val="24"/>
          <w:szCs w:val="24"/>
        </w:rPr>
        <w:t>e prevalent with increasing age and</w:t>
      </w:r>
      <w:r w:rsidRPr="008D59BB">
        <w:rPr>
          <w:rFonts w:ascii="Arial" w:hAnsi="Arial" w:cs="Arial"/>
          <w:sz w:val="24"/>
          <w:szCs w:val="24"/>
        </w:rPr>
        <w:t xml:space="preserve"> in those from residential/nursing care. </w:t>
      </w:r>
      <w:r w:rsidR="004F49DF" w:rsidRPr="008D59BB">
        <w:rPr>
          <w:rFonts w:ascii="Arial" w:hAnsi="Arial" w:cs="Arial"/>
          <w:sz w:val="24"/>
          <w:szCs w:val="24"/>
        </w:rPr>
        <w:t>More of t</w:t>
      </w:r>
      <w:r w:rsidRPr="008D59BB">
        <w:rPr>
          <w:rFonts w:ascii="Arial" w:hAnsi="Arial" w:cs="Arial"/>
          <w:sz w:val="24"/>
          <w:szCs w:val="24"/>
        </w:rPr>
        <w:t xml:space="preserve">hose identified with </w:t>
      </w:r>
      <w:r w:rsidR="004F49DF" w:rsidRPr="008D59BB">
        <w:rPr>
          <w:rFonts w:ascii="Arial" w:hAnsi="Arial" w:cs="Arial"/>
          <w:sz w:val="24"/>
          <w:szCs w:val="24"/>
        </w:rPr>
        <w:t xml:space="preserve">risk of malnutrition and </w:t>
      </w:r>
      <w:r w:rsidRPr="008D59BB">
        <w:rPr>
          <w:rFonts w:ascii="Arial" w:hAnsi="Arial" w:cs="Arial"/>
          <w:sz w:val="24"/>
          <w:szCs w:val="24"/>
        </w:rPr>
        <w:t>malnourishment failed to mobilise within 1-day after surgery,</w:t>
      </w:r>
      <w:r w:rsidR="003C6E73" w:rsidRPr="008D59BB">
        <w:rPr>
          <w:rFonts w:ascii="Arial" w:hAnsi="Arial" w:cs="Arial"/>
          <w:sz w:val="24"/>
          <w:szCs w:val="24"/>
        </w:rPr>
        <w:t xml:space="preserve"> pressure ulcers,</w:t>
      </w:r>
      <w:r w:rsidRPr="008D59BB">
        <w:rPr>
          <w:rFonts w:ascii="Arial" w:hAnsi="Arial" w:cs="Arial"/>
          <w:sz w:val="24"/>
          <w:szCs w:val="24"/>
        </w:rPr>
        <w:t xml:space="preserve"> </w:t>
      </w:r>
      <w:r w:rsidR="00372DA1" w:rsidRPr="008D59BB">
        <w:rPr>
          <w:rFonts w:ascii="Arial" w:hAnsi="Arial" w:cs="Arial"/>
          <w:sz w:val="24"/>
          <w:szCs w:val="24"/>
        </w:rPr>
        <w:t>longer</w:t>
      </w:r>
      <w:r w:rsidRPr="008D59BB">
        <w:rPr>
          <w:rFonts w:ascii="Arial" w:hAnsi="Arial" w:cs="Arial"/>
          <w:sz w:val="24"/>
          <w:szCs w:val="24"/>
        </w:rPr>
        <w:t xml:space="preserve"> </w:t>
      </w:r>
      <w:r w:rsidR="00372DA1" w:rsidRPr="008D59BB">
        <w:rPr>
          <w:rFonts w:ascii="Arial" w:hAnsi="Arial" w:cs="Arial"/>
          <w:sz w:val="24"/>
          <w:szCs w:val="24"/>
        </w:rPr>
        <w:t xml:space="preserve">LOS and </w:t>
      </w:r>
      <w:r w:rsidRPr="008D59BB">
        <w:rPr>
          <w:rFonts w:ascii="Arial" w:hAnsi="Arial" w:cs="Arial"/>
          <w:sz w:val="24"/>
          <w:szCs w:val="24"/>
        </w:rPr>
        <w:t>mortality</w:t>
      </w:r>
      <w:r w:rsidR="00372DA1" w:rsidRPr="008D59BB">
        <w:rPr>
          <w:rFonts w:ascii="Arial" w:hAnsi="Arial" w:cs="Arial"/>
          <w:sz w:val="24"/>
          <w:szCs w:val="24"/>
        </w:rPr>
        <w:t xml:space="preserve"> in hospital</w:t>
      </w:r>
      <w:r w:rsidRPr="008D59BB">
        <w:rPr>
          <w:rFonts w:ascii="Arial" w:hAnsi="Arial" w:cs="Arial"/>
          <w:sz w:val="24"/>
          <w:szCs w:val="24"/>
        </w:rPr>
        <w:t xml:space="preserve">. </w:t>
      </w:r>
      <w:r w:rsidR="00C35AE4" w:rsidRPr="008D59BB">
        <w:rPr>
          <w:rFonts w:ascii="Arial" w:hAnsi="Arial" w:cs="Arial"/>
          <w:sz w:val="24"/>
          <w:szCs w:val="24"/>
        </w:rPr>
        <w:t>Those</w:t>
      </w:r>
      <w:r w:rsidRPr="008D59BB">
        <w:rPr>
          <w:rFonts w:ascii="Arial" w:hAnsi="Arial" w:cs="Arial"/>
          <w:sz w:val="24"/>
          <w:szCs w:val="24"/>
        </w:rPr>
        <w:t xml:space="preserve"> who survived to </w:t>
      </w:r>
      <w:r w:rsidR="004F49DF" w:rsidRPr="008D59BB">
        <w:rPr>
          <w:rFonts w:ascii="Arial" w:hAnsi="Arial" w:cs="Arial"/>
          <w:sz w:val="24"/>
          <w:szCs w:val="24"/>
        </w:rPr>
        <w:t xml:space="preserve">the point of </w:t>
      </w:r>
      <w:r w:rsidRPr="008D59BB">
        <w:rPr>
          <w:rFonts w:ascii="Arial" w:hAnsi="Arial" w:cs="Arial"/>
          <w:sz w:val="24"/>
          <w:szCs w:val="24"/>
        </w:rPr>
        <w:t>discharge</w:t>
      </w:r>
      <w:r w:rsidR="00BB6E62" w:rsidRPr="008D59BB">
        <w:rPr>
          <w:rFonts w:ascii="Arial" w:hAnsi="Arial" w:cs="Arial"/>
          <w:sz w:val="24"/>
          <w:szCs w:val="24"/>
        </w:rPr>
        <w:t xml:space="preserve"> from hospital</w:t>
      </w:r>
      <w:r w:rsidRPr="008D59BB">
        <w:rPr>
          <w:rFonts w:ascii="Arial" w:hAnsi="Arial" w:cs="Arial"/>
          <w:sz w:val="24"/>
          <w:szCs w:val="24"/>
        </w:rPr>
        <w:t xml:space="preserve"> were more likely to be </w:t>
      </w:r>
      <w:r w:rsidR="00BB6E62" w:rsidRPr="008D59BB">
        <w:rPr>
          <w:rFonts w:ascii="Arial" w:hAnsi="Arial" w:cs="Arial"/>
          <w:sz w:val="24"/>
          <w:szCs w:val="24"/>
        </w:rPr>
        <w:t>transferred</w:t>
      </w:r>
      <w:r w:rsidRPr="008D59BB">
        <w:rPr>
          <w:rFonts w:ascii="Arial" w:hAnsi="Arial" w:cs="Arial"/>
          <w:sz w:val="24"/>
          <w:szCs w:val="24"/>
        </w:rPr>
        <w:t xml:space="preserve"> in a r</w:t>
      </w:r>
      <w:r w:rsidR="00C35AE4" w:rsidRPr="008D59BB">
        <w:rPr>
          <w:rFonts w:ascii="Arial" w:hAnsi="Arial" w:cs="Arial"/>
          <w:sz w:val="24"/>
          <w:szCs w:val="24"/>
        </w:rPr>
        <w:t>esidency of high level of care.</w:t>
      </w:r>
      <w:r w:rsidR="00D72BF3" w:rsidRPr="008D59BB">
        <w:rPr>
          <w:rFonts w:ascii="Arial" w:hAnsi="Arial" w:cs="Arial"/>
          <w:sz w:val="24"/>
          <w:szCs w:val="24"/>
          <w:lang w:val="en-US"/>
        </w:rPr>
        <w:t xml:space="preserve"> </w:t>
      </w:r>
    </w:p>
    <w:p w14:paraId="2F459619" w14:textId="77777777" w:rsidR="00E567EF" w:rsidRPr="008D59BB" w:rsidRDefault="00E567EF" w:rsidP="00E567EF">
      <w:pPr>
        <w:spacing w:after="0" w:line="480" w:lineRule="auto"/>
        <w:jc w:val="both"/>
        <w:rPr>
          <w:rFonts w:ascii="Arial" w:hAnsi="Arial" w:cs="Arial"/>
          <w:sz w:val="24"/>
          <w:szCs w:val="24"/>
        </w:rPr>
      </w:pPr>
    </w:p>
    <w:p w14:paraId="1B9C0C5C" w14:textId="026629C0" w:rsidR="009B280C" w:rsidRPr="008D59BB" w:rsidRDefault="00FA3418" w:rsidP="002A4A2B">
      <w:pPr>
        <w:spacing w:after="0" w:line="480" w:lineRule="auto"/>
        <w:jc w:val="both"/>
        <w:rPr>
          <w:rFonts w:ascii="Arial" w:hAnsi="Arial" w:cs="Arial"/>
          <w:sz w:val="24"/>
          <w:szCs w:val="24"/>
        </w:rPr>
      </w:pPr>
      <w:r w:rsidRPr="008D59BB">
        <w:rPr>
          <w:rFonts w:ascii="Arial" w:hAnsi="Arial" w:cs="Arial"/>
          <w:sz w:val="24"/>
          <w:szCs w:val="24"/>
        </w:rPr>
        <w:t xml:space="preserve">Nutritional status </w:t>
      </w:r>
      <w:r w:rsidR="00FE18FB" w:rsidRPr="008D59BB">
        <w:rPr>
          <w:rFonts w:ascii="Arial" w:hAnsi="Arial" w:cs="Arial"/>
          <w:sz w:val="24"/>
          <w:szCs w:val="24"/>
        </w:rPr>
        <w:t>mirrors</w:t>
      </w:r>
      <w:r w:rsidRPr="008D59BB">
        <w:rPr>
          <w:rFonts w:ascii="Arial" w:hAnsi="Arial" w:cs="Arial"/>
          <w:sz w:val="24"/>
          <w:szCs w:val="24"/>
        </w:rPr>
        <w:t xml:space="preserve"> the underlying health and well-being of an individual. </w:t>
      </w:r>
      <w:r w:rsidR="005F1943" w:rsidRPr="008D59BB">
        <w:rPr>
          <w:rFonts w:ascii="Arial" w:hAnsi="Arial" w:cs="Arial"/>
          <w:sz w:val="24"/>
          <w:szCs w:val="24"/>
        </w:rPr>
        <w:t xml:space="preserve">The present study highlights the </w:t>
      </w:r>
      <w:r w:rsidR="00E668E3" w:rsidRPr="008D59BB">
        <w:rPr>
          <w:rFonts w:ascii="Arial" w:hAnsi="Arial" w:cs="Arial"/>
          <w:sz w:val="24"/>
          <w:szCs w:val="24"/>
        </w:rPr>
        <w:t>common and persisting occurrence</w:t>
      </w:r>
      <w:r w:rsidR="005F1943" w:rsidRPr="008D59BB">
        <w:rPr>
          <w:rFonts w:ascii="Arial" w:hAnsi="Arial" w:cs="Arial"/>
          <w:sz w:val="24"/>
          <w:szCs w:val="24"/>
        </w:rPr>
        <w:t xml:space="preserve"> of inadequate nutrition and its complications</w:t>
      </w:r>
      <w:r w:rsidR="00E668E3" w:rsidRPr="008D59BB">
        <w:rPr>
          <w:rFonts w:ascii="Arial" w:hAnsi="Arial" w:cs="Arial"/>
          <w:sz w:val="24"/>
          <w:szCs w:val="24"/>
        </w:rPr>
        <w:t xml:space="preserve"> in older adults and those living in a care home,</w:t>
      </w:r>
      <w:r w:rsidR="005F1943" w:rsidRPr="008D59BB">
        <w:rPr>
          <w:rFonts w:ascii="Arial" w:hAnsi="Arial" w:cs="Arial"/>
          <w:sz w:val="24"/>
          <w:szCs w:val="24"/>
        </w:rPr>
        <w:t xml:space="preserve"> </w:t>
      </w:r>
      <w:r w:rsidR="00C469C6" w:rsidRPr="008D59BB">
        <w:rPr>
          <w:rFonts w:ascii="Arial" w:hAnsi="Arial" w:cs="Arial"/>
          <w:sz w:val="24"/>
          <w:szCs w:val="24"/>
        </w:rPr>
        <w:t>which helps</w:t>
      </w:r>
      <w:r w:rsidR="005F1943" w:rsidRPr="008D59BB">
        <w:rPr>
          <w:rFonts w:ascii="Arial" w:hAnsi="Arial" w:cs="Arial"/>
          <w:sz w:val="24"/>
          <w:szCs w:val="24"/>
        </w:rPr>
        <w:t xml:space="preserve"> raise </w:t>
      </w:r>
      <w:r w:rsidR="00C469C6" w:rsidRPr="008D59BB">
        <w:rPr>
          <w:rFonts w:ascii="Arial" w:hAnsi="Arial" w:cs="Arial"/>
          <w:sz w:val="24"/>
          <w:szCs w:val="24"/>
        </w:rPr>
        <w:t xml:space="preserve">greater </w:t>
      </w:r>
      <w:r w:rsidR="005F1943" w:rsidRPr="008D59BB">
        <w:rPr>
          <w:rFonts w:ascii="Arial" w:hAnsi="Arial" w:cs="Arial"/>
          <w:sz w:val="24"/>
          <w:szCs w:val="24"/>
        </w:rPr>
        <w:t xml:space="preserve">awareness </w:t>
      </w:r>
      <w:r w:rsidR="00E668E3" w:rsidRPr="008D59BB">
        <w:rPr>
          <w:rFonts w:ascii="Arial" w:hAnsi="Arial" w:cs="Arial"/>
          <w:sz w:val="24"/>
          <w:szCs w:val="24"/>
        </w:rPr>
        <w:t xml:space="preserve">to healthcare professionals </w:t>
      </w:r>
      <w:r w:rsidR="005F1943" w:rsidRPr="008D59BB">
        <w:rPr>
          <w:rFonts w:ascii="Arial" w:hAnsi="Arial" w:cs="Arial"/>
          <w:sz w:val="24"/>
          <w:szCs w:val="24"/>
        </w:rPr>
        <w:t xml:space="preserve">in order to prevent or minimise the risk of fractures. </w:t>
      </w:r>
      <w:r w:rsidR="009B280C" w:rsidRPr="008D59BB">
        <w:rPr>
          <w:rFonts w:ascii="Arial" w:hAnsi="Arial" w:cs="Arial"/>
          <w:sz w:val="24"/>
          <w:szCs w:val="24"/>
        </w:rPr>
        <w:t xml:space="preserve">A recent review of </w:t>
      </w:r>
      <w:r w:rsidR="003E1962" w:rsidRPr="008D59BB">
        <w:rPr>
          <w:rFonts w:ascii="Arial" w:hAnsi="Arial" w:cs="Arial"/>
          <w:sz w:val="24"/>
          <w:szCs w:val="24"/>
        </w:rPr>
        <w:t xml:space="preserve">12 studies on </w:t>
      </w:r>
      <w:r w:rsidR="009B280C" w:rsidRPr="008D59BB">
        <w:rPr>
          <w:rFonts w:ascii="Arial" w:hAnsi="Arial" w:cs="Arial"/>
          <w:sz w:val="24"/>
          <w:szCs w:val="24"/>
        </w:rPr>
        <w:t>nutritional status</w:t>
      </w:r>
      <w:r w:rsidR="0069580A" w:rsidRPr="008D59BB">
        <w:rPr>
          <w:rFonts w:ascii="Arial" w:hAnsi="Arial" w:cs="Arial"/>
          <w:sz w:val="24"/>
          <w:szCs w:val="24"/>
        </w:rPr>
        <w:t>,</w:t>
      </w:r>
      <w:r w:rsidR="00EF68A4" w:rsidRPr="008D59BB">
        <w:rPr>
          <w:rFonts w:ascii="Arial" w:hAnsi="Arial" w:cs="Arial"/>
          <w:sz w:val="24"/>
          <w:szCs w:val="24"/>
        </w:rPr>
        <w:t xml:space="preserve"> assessed by Mini-Nutritional </w:t>
      </w:r>
      <w:r w:rsidR="00594999" w:rsidRPr="008D59BB">
        <w:rPr>
          <w:rFonts w:ascii="Arial" w:hAnsi="Arial" w:cs="Arial"/>
          <w:sz w:val="24"/>
          <w:szCs w:val="24"/>
        </w:rPr>
        <w:t xml:space="preserve">Assessment (MNA) and </w:t>
      </w:r>
      <w:r w:rsidR="00537A22" w:rsidRPr="008D59BB">
        <w:rPr>
          <w:rFonts w:ascii="Arial" w:hAnsi="Arial" w:cs="Arial"/>
          <w:sz w:val="24"/>
          <w:szCs w:val="24"/>
        </w:rPr>
        <w:t>M</w:t>
      </w:r>
      <w:r w:rsidR="00594999" w:rsidRPr="008D59BB">
        <w:rPr>
          <w:rFonts w:ascii="Arial" w:hAnsi="Arial" w:cs="Arial"/>
          <w:sz w:val="24"/>
          <w:szCs w:val="24"/>
        </w:rPr>
        <w:t>NA short form (</w:t>
      </w:r>
      <w:r w:rsidR="0069580A" w:rsidRPr="008D59BB">
        <w:rPr>
          <w:rFonts w:ascii="Arial" w:hAnsi="Arial" w:cs="Arial"/>
          <w:sz w:val="24"/>
          <w:szCs w:val="24"/>
        </w:rPr>
        <w:t>M</w:t>
      </w:r>
      <w:r w:rsidR="00594999" w:rsidRPr="008D59BB">
        <w:rPr>
          <w:rFonts w:ascii="Arial" w:hAnsi="Arial" w:cs="Arial"/>
          <w:sz w:val="24"/>
          <w:szCs w:val="24"/>
        </w:rPr>
        <w:t>N</w:t>
      </w:r>
      <w:r w:rsidR="0069580A" w:rsidRPr="008D59BB">
        <w:rPr>
          <w:rFonts w:ascii="Arial" w:hAnsi="Arial" w:cs="Arial"/>
          <w:sz w:val="24"/>
          <w:szCs w:val="24"/>
        </w:rPr>
        <w:t>A-SF), showed that</w:t>
      </w:r>
      <w:r w:rsidR="009B280C" w:rsidRPr="008D59BB">
        <w:rPr>
          <w:rFonts w:ascii="Arial" w:hAnsi="Arial" w:cs="Arial"/>
          <w:sz w:val="24"/>
          <w:szCs w:val="24"/>
        </w:rPr>
        <w:t xml:space="preserve"> among patients admitted to hospital with </w:t>
      </w:r>
      <w:r w:rsidR="003E1962" w:rsidRPr="008D59BB">
        <w:rPr>
          <w:rFonts w:ascii="Arial" w:hAnsi="Arial" w:cs="Arial"/>
          <w:sz w:val="24"/>
          <w:szCs w:val="24"/>
        </w:rPr>
        <w:t xml:space="preserve">a </w:t>
      </w:r>
      <w:r w:rsidR="009B280C" w:rsidRPr="008D59BB">
        <w:rPr>
          <w:rFonts w:ascii="Arial" w:hAnsi="Arial" w:cs="Arial"/>
          <w:sz w:val="24"/>
          <w:szCs w:val="24"/>
        </w:rPr>
        <w:t xml:space="preserve">hip fracture </w:t>
      </w:r>
      <w:r w:rsidR="00237BF9" w:rsidRPr="008D59BB">
        <w:rPr>
          <w:rFonts w:ascii="Arial" w:hAnsi="Arial" w:cs="Arial"/>
          <w:sz w:val="24"/>
          <w:szCs w:val="24"/>
        </w:rPr>
        <w:t xml:space="preserve">showed </w:t>
      </w:r>
      <w:r w:rsidR="003E1962" w:rsidRPr="008D59BB">
        <w:rPr>
          <w:rFonts w:ascii="Arial" w:hAnsi="Arial" w:cs="Arial"/>
          <w:sz w:val="24"/>
          <w:szCs w:val="24"/>
        </w:rPr>
        <w:t xml:space="preserve">the </w:t>
      </w:r>
      <w:r w:rsidR="00237BF9" w:rsidRPr="008D59BB">
        <w:rPr>
          <w:rFonts w:ascii="Arial" w:hAnsi="Arial" w:cs="Arial"/>
          <w:sz w:val="24"/>
          <w:szCs w:val="24"/>
        </w:rPr>
        <w:t>average</w:t>
      </w:r>
      <w:r w:rsidR="009B280C" w:rsidRPr="008D59BB">
        <w:rPr>
          <w:rFonts w:ascii="Arial" w:hAnsi="Arial" w:cs="Arial"/>
          <w:sz w:val="24"/>
          <w:szCs w:val="24"/>
        </w:rPr>
        <w:t xml:space="preserve"> </w:t>
      </w:r>
      <w:r w:rsidR="003E1962" w:rsidRPr="008D59BB">
        <w:rPr>
          <w:rFonts w:ascii="Arial" w:hAnsi="Arial" w:cs="Arial"/>
          <w:sz w:val="24"/>
          <w:szCs w:val="24"/>
        </w:rPr>
        <w:t xml:space="preserve">prevalence </w:t>
      </w:r>
      <w:r w:rsidR="009B280C" w:rsidRPr="008D59BB">
        <w:rPr>
          <w:rFonts w:ascii="Arial" w:hAnsi="Arial" w:cs="Arial"/>
          <w:sz w:val="24"/>
          <w:szCs w:val="24"/>
        </w:rPr>
        <w:t xml:space="preserve">of risk of malnutrition </w:t>
      </w:r>
      <w:r w:rsidR="003E1962" w:rsidRPr="008D59BB">
        <w:rPr>
          <w:rFonts w:ascii="Arial" w:hAnsi="Arial" w:cs="Arial"/>
          <w:sz w:val="24"/>
          <w:szCs w:val="24"/>
        </w:rPr>
        <w:t>was</w:t>
      </w:r>
      <w:r w:rsidR="009B280C" w:rsidRPr="008D59BB">
        <w:rPr>
          <w:rFonts w:ascii="Arial" w:hAnsi="Arial" w:cs="Arial"/>
          <w:sz w:val="24"/>
          <w:szCs w:val="24"/>
        </w:rPr>
        <w:t xml:space="preserve"> 35.3% and malnourishment </w:t>
      </w:r>
      <w:r w:rsidR="003E1962" w:rsidRPr="008D59BB">
        <w:rPr>
          <w:rFonts w:ascii="Arial" w:hAnsi="Arial" w:cs="Arial"/>
          <w:sz w:val="24"/>
          <w:szCs w:val="24"/>
        </w:rPr>
        <w:t>was</w:t>
      </w:r>
      <w:r w:rsidR="009B280C" w:rsidRPr="008D59BB">
        <w:rPr>
          <w:rFonts w:ascii="Arial" w:hAnsi="Arial" w:cs="Arial"/>
          <w:sz w:val="24"/>
          <w:szCs w:val="24"/>
        </w:rPr>
        <w:t xml:space="preserve"> 18.7% </w:t>
      </w:r>
      <w:r w:rsidR="00237BF9" w:rsidRPr="008D59BB">
        <w:rPr>
          <w:rFonts w:ascii="Arial" w:hAnsi="Arial" w:cs="Arial"/>
          <w:sz w:val="24"/>
          <w:szCs w:val="24"/>
        </w:rPr>
        <w:t>[14], which are higher than our figures of</w:t>
      </w:r>
      <w:r w:rsidR="00607966" w:rsidRPr="008D59BB">
        <w:rPr>
          <w:rFonts w:ascii="Arial" w:hAnsi="Arial" w:cs="Arial"/>
          <w:sz w:val="24"/>
          <w:szCs w:val="24"/>
        </w:rPr>
        <w:t xml:space="preserve"> 24% and 8% respectively. However, the review included studies</w:t>
      </w:r>
      <w:r w:rsidR="002E0EB5" w:rsidRPr="008D59BB">
        <w:rPr>
          <w:rFonts w:ascii="Arial" w:hAnsi="Arial" w:cs="Arial"/>
          <w:sz w:val="24"/>
          <w:szCs w:val="24"/>
        </w:rPr>
        <w:t xml:space="preserve">, from </w:t>
      </w:r>
      <w:r w:rsidR="002E0EB5" w:rsidRPr="008D59BB">
        <w:rPr>
          <w:rFonts w:ascii="Arial" w:hAnsi="Arial" w:cs="Arial"/>
          <w:sz w:val="24"/>
          <w:szCs w:val="24"/>
        </w:rPr>
        <w:lastRenderedPageBreak/>
        <w:t>high income countries,</w:t>
      </w:r>
      <w:r w:rsidR="00607966" w:rsidRPr="008D59BB">
        <w:rPr>
          <w:rFonts w:ascii="Arial" w:hAnsi="Arial" w:cs="Arial"/>
          <w:sz w:val="24"/>
          <w:szCs w:val="24"/>
        </w:rPr>
        <w:t xml:space="preserve"> dating back more than a decade ago.</w:t>
      </w:r>
      <w:r w:rsidR="00D60DEC" w:rsidRPr="008D59BB">
        <w:rPr>
          <w:rFonts w:ascii="Arial" w:hAnsi="Arial" w:cs="Arial"/>
          <w:sz w:val="24"/>
          <w:szCs w:val="24"/>
        </w:rPr>
        <w:t xml:space="preserve"> The p</w:t>
      </w:r>
      <w:r w:rsidR="007A6E07" w:rsidRPr="008D59BB">
        <w:rPr>
          <w:rFonts w:ascii="Arial" w:hAnsi="Arial" w:cs="Arial"/>
          <w:sz w:val="24"/>
          <w:szCs w:val="24"/>
        </w:rPr>
        <w:t xml:space="preserve">revalence of </w:t>
      </w:r>
      <w:r w:rsidR="00D60DEC" w:rsidRPr="008D59BB">
        <w:rPr>
          <w:rFonts w:ascii="Arial" w:hAnsi="Arial" w:cs="Arial"/>
          <w:sz w:val="24"/>
          <w:szCs w:val="24"/>
        </w:rPr>
        <w:t xml:space="preserve">inadequate nutrition </w:t>
      </w:r>
      <w:r w:rsidR="004A6B46" w:rsidRPr="008D59BB">
        <w:rPr>
          <w:rFonts w:ascii="Arial" w:hAnsi="Arial" w:cs="Arial"/>
          <w:sz w:val="24"/>
          <w:szCs w:val="24"/>
        </w:rPr>
        <w:t xml:space="preserve">in individuals with a hip fracture </w:t>
      </w:r>
      <w:r w:rsidR="00D60DEC" w:rsidRPr="008D59BB">
        <w:rPr>
          <w:rFonts w:ascii="Arial" w:hAnsi="Arial" w:cs="Arial"/>
          <w:sz w:val="24"/>
          <w:szCs w:val="24"/>
        </w:rPr>
        <w:t>living in</w:t>
      </w:r>
      <w:r w:rsidR="004A6B46" w:rsidRPr="008D59BB">
        <w:rPr>
          <w:rFonts w:ascii="Arial" w:hAnsi="Arial" w:cs="Arial"/>
          <w:sz w:val="24"/>
          <w:szCs w:val="24"/>
        </w:rPr>
        <w:t xml:space="preserve"> </w:t>
      </w:r>
      <w:r w:rsidR="00D60DEC" w:rsidRPr="008D59BB">
        <w:rPr>
          <w:rFonts w:ascii="Arial" w:hAnsi="Arial" w:cs="Arial"/>
          <w:sz w:val="24"/>
          <w:szCs w:val="24"/>
        </w:rPr>
        <w:t>an institution</w:t>
      </w:r>
      <w:r w:rsidR="004A6B46" w:rsidRPr="008D59BB">
        <w:rPr>
          <w:rFonts w:ascii="Arial" w:hAnsi="Arial" w:cs="Arial"/>
          <w:sz w:val="24"/>
          <w:szCs w:val="24"/>
        </w:rPr>
        <w:t xml:space="preserve"> is less well documented. </w:t>
      </w:r>
      <w:r w:rsidR="00323276" w:rsidRPr="008D59BB">
        <w:rPr>
          <w:rFonts w:ascii="Arial" w:hAnsi="Arial" w:cs="Arial"/>
          <w:sz w:val="24"/>
          <w:szCs w:val="24"/>
        </w:rPr>
        <w:t>Using MNA to assess nutritional status, r</w:t>
      </w:r>
      <w:r w:rsidR="004A6B46" w:rsidRPr="008D59BB">
        <w:rPr>
          <w:rFonts w:ascii="Arial" w:hAnsi="Arial" w:cs="Arial"/>
          <w:sz w:val="24"/>
          <w:szCs w:val="24"/>
        </w:rPr>
        <w:t xml:space="preserve">eports on non-hip fracture studies showed that among </w:t>
      </w:r>
      <w:r w:rsidR="007A6E07" w:rsidRPr="008D59BB">
        <w:rPr>
          <w:rFonts w:ascii="Arial" w:hAnsi="Arial" w:cs="Arial"/>
          <w:sz w:val="24"/>
          <w:szCs w:val="24"/>
        </w:rPr>
        <w:t xml:space="preserve">German </w:t>
      </w:r>
      <w:r w:rsidR="005B7EFA" w:rsidRPr="008D59BB">
        <w:rPr>
          <w:rFonts w:ascii="Arial" w:hAnsi="Arial" w:cs="Arial"/>
          <w:sz w:val="24"/>
          <w:szCs w:val="24"/>
        </w:rPr>
        <w:t>home-</w:t>
      </w:r>
      <w:r w:rsidR="007A6E07" w:rsidRPr="008D59BB">
        <w:rPr>
          <w:rFonts w:ascii="Arial" w:hAnsi="Arial" w:cs="Arial"/>
          <w:sz w:val="24"/>
          <w:szCs w:val="24"/>
        </w:rPr>
        <w:t>care receivers with functional impairment</w:t>
      </w:r>
      <w:r w:rsidR="005B7EFA" w:rsidRPr="008D59BB">
        <w:rPr>
          <w:rFonts w:ascii="Arial" w:hAnsi="Arial" w:cs="Arial"/>
          <w:sz w:val="24"/>
          <w:szCs w:val="24"/>
        </w:rPr>
        <w:t>s</w:t>
      </w:r>
      <w:r w:rsidR="004A6B46" w:rsidRPr="008D59BB">
        <w:rPr>
          <w:rFonts w:ascii="Arial" w:hAnsi="Arial" w:cs="Arial"/>
          <w:sz w:val="24"/>
          <w:szCs w:val="24"/>
        </w:rPr>
        <w:t xml:space="preserve">, </w:t>
      </w:r>
      <w:r w:rsidR="007A6E07" w:rsidRPr="008D59BB">
        <w:rPr>
          <w:rFonts w:ascii="Arial" w:hAnsi="Arial" w:cs="Arial"/>
          <w:sz w:val="24"/>
          <w:szCs w:val="24"/>
        </w:rPr>
        <w:t xml:space="preserve">57% of these individuals </w:t>
      </w:r>
      <w:r w:rsidR="005B7EFA" w:rsidRPr="008D59BB">
        <w:rPr>
          <w:rFonts w:ascii="Arial" w:hAnsi="Arial" w:cs="Arial"/>
          <w:sz w:val="24"/>
          <w:szCs w:val="24"/>
        </w:rPr>
        <w:t xml:space="preserve">were at </w:t>
      </w:r>
      <w:r w:rsidR="007A6E07" w:rsidRPr="008D59BB">
        <w:rPr>
          <w:rFonts w:ascii="Arial" w:hAnsi="Arial" w:cs="Arial"/>
          <w:sz w:val="24"/>
          <w:szCs w:val="24"/>
        </w:rPr>
        <w:t xml:space="preserve">risk of malnutrition and 12% </w:t>
      </w:r>
      <w:r w:rsidR="005B7EFA" w:rsidRPr="008D59BB">
        <w:rPr>
          <w:rFonts w:ascii="Arial" w:hAnsi="Arial" w:cs="Arial"/>
          <w:sz w:val="24"/>
          <w:szCs w:val="24"/>
        </w:rPr>
        <w:t>were malnourished</w:t>
      </w:r>
      <w:r w:rsidR="00B1156F" w:rsidRPr="008D59BB">
        <w:rPr>
          <w:rFonts w:ascii="Arial" w:hAnsi="Arial" w:cs="Arial"/>
          <w:sz w:val="24"/>
          <w:szCs w:val="24"/>
        </w:rPr>
        <w:t xml:space="preserve">, </w:t>
      </w:r>
      <w:r w:rsidR="007A6E07" w:rsidRPr="008D59BB">
        <w:rPr>
          <w:rFonts w:ascii="Arial" w:hAnsi="Arial" w:cs="Arial"/>
          <w:sz w:val="24"/>
          <w:szCs w:val="24"/>
        </w:rPr>
        <w:t>[</w:t>
      </w:r>
      <w:r w:rsidR="00DE275B" w:rsidRPr="008D59BB">
        <w:rPr>
          <w:rFonts w:ascii="Arial" w:hAnsi="Arial" w:cs="Arial"/>
          <w:sz w:val="24"/>
          <w:szCs w:val="24"/>
        </w:rPr>
        <w:t>24</w:t>
      </w:r>
      <w:r w:rsidR="007A6E07" w:rsidRPr="008D59BB">
        <w:rPr>
          <w:rFonts w:ascii="Arial" w:hAnsi="Arial" w:cs="Arial"/>
          <w:sz w:val="24"/>
          <w:szCs w:val="24"/>
        </w:rPr>
        <w:t>]</w:t>
      </w:r>
      <w:r w:rsidR="005B7EFA" w:rsidRPr="008D59BB">
        <w:rPr>
          <w:rFonts w:ascii="Arial" w:hAnsi="Arial" w:cs="Arial"/>
          <w:sz w:val="24"/>
          <w:szCs w:val="24"/>
        </w:rPr>
        <w:t>.</w:t>
      </w:r>
      <w:r w:rsidR="00323276" w:rsidRPr="008D59BB">
        <w:rPr>
          <w:rFonts w:ascii="Arial" w:hAnsi="Arial" w:cs="Arial"/>
          <w:sz w:val="24"/>
          <w:szCs w:val="24"/>
        </w:rPr>
        <w:t xml:space="preserve"> </w:t>
      </w:r>
      <w:r w:rsidR="005B7EFA" w:rsidRPr="008D59BB">
        <w:rPr>
          <w:rFonts w:ascii="Arial" w:hAnsi="Arial" w:cs="Arial"/>
          <w:sz w:val="24"/>
          <w:szCs w:val="24"/>
        </w:rPr>
        <w:t>A</w:t>
      </w:r>
      <w:r w:rsidR="004A6B46" w:rsidRPr="008D59BB">
        <w:rPr>
          <w:rFonts w:ascii="Arial" w:hAnsi="Arial" w:cs="Arial"/>
          <w:sz w:val="24"/>
          <w:szCs w:val="24"/>
        </w:rPr>
        <w:t>mong</w:t>
      </w:r>
      <w:r w:rsidR="007A6E07" w:rsidRPr="008D59BB">
        <w:rPr>
          <w:rFonts w:ascii="Arial" w:hAnsi="Arial" w:cs="Arial"/>
          <w:sz w:val="24"/>
          <w:szCs w:val="24"/>
        </w:rPr>
        <w:t xml:space="preserve"> </w:t>
      </w:r>
      <w:r w:rsidR="00B97483" w:rsidRPr="008D59BB">
        <w:rPr>
          <w:rFonts w:ascii="Arial" w:hAnsi="Arial" w:cs="Arial"/>
          <w:sz w:val="24"/>
          <w:szCs w:val="24"/>
        </w:rPr>
        <w:t xml:space="preserve">Swedish older </w:t>
      </w:r>
      <w:r w:rsidR="007A6E07" w:rsidRPr="008D59BB">
        <w:rPr>
          <w:rFonts w:ascii="Arial" w:hAnsi="Arial" w:cs="Arial"/>
          <w:sz w:val="24"/>
          <w:szCs w:val="24"/>
        </w:rPr>
        <w:t>patients admitted to hospital</w:t>
      </w:r>
      <w:r w:rsidR="004A6B46" w:rsidRPr="008D59BB">
        <w:rPr>
          <w:rFonts w:ascii="Arial" w:hAnsi="Arial" w:cs="Arial"/>
          <w:sz w:val="24"/>
          <w:szCs w:val="24"/>
        </w:rPr>
        <w:t>,</w:t>
      </w:r>
      <w:r w:rsidR="00B1156F" w:rsidRPr="008D59BB">
        <w:rPr>
          <w:rFonts w:ascii="Arial" w:hAnsi="Arial" w:cs="Arial"/>
          <w:sz w:val="24"/>
          <w:szCs w:val="24"/>
        </w:rPr>
        <w:t xml:space="preserve"> </w:t>
      </w:r>
      <w:r w:rsidR="004A6B46" w:rsidRPr="008D59BB">
        <w:rPr>
          <w:rFonts w:ascii="Arial" w:hAnsi="Arial" w:cs="Arial"/>
          <w:sz w:val="24"/>
          <w:szCs w:val="24"/>
        </w:rPr>
        <w:t>the corresponding figures</w:t>
      </w:r>
      <w:r w:rsidR="007A6E07" w:rsidRPr="008D59BB">
        <w:rPr>
          <w:rFonts w:ascii="Arial" w:hAnsi="Arial" w:cs="Arial"/>
          <w:sz w:val="24"/>
          <w:szCs w:val="24"/>
        </w:rPr>
        <w:t xml:space="preserve"> </w:t>
      </w:r>
      <w:r w:rsidR="004A6B46" w:rsidRPr="008D59BB">
        <w:rPr>
          <w:rFonts w:ascii="Arial" w:hAnsi="Arial" w:cs="Arial"/>
          <w:sz w:val="24"/>
          <w:szCs w:val="24"/>
        </w:rPr>
        <w:t xml:space="preserve">were </w:t>
      </w:r>
      <w:r w:rsidR="007A6E07" w:rsidRPr="008D59BB">
        <w:rPr>
          <w:rFonts w:ascii="Arial" w:hAnsi="Arial" w:cs="Arial"/>
          <w:sz w:val="24"/>
          <w:szCs w:val="24"/>
        </w:rPr>
        <w:t>55.1% and 9.4% [</w:t>
      </w:r>
      <w:r w:rsidR="00DE275B" w:rsidRPr="008D59BB">
        <w:rPr>
          <w:rFonts w:ascii="Arial" w:hAnsi="Arial" w:cs="Arial"/>
          <w:sz w:val="24"/>
          <w:szCs w:val="24"/>
        </w:rPr>
        <w:t>25</w:t>
      </w:r>
      <w:r w:rsidR="007A6E07" w:rsidRPr="008D59BB">
        <w:rPr>
          <w:rFonts w:ascii="Arial" w:hAnsi="Arial" w:cs="Arial"/>
          <w:sz w:val="24"/>
          <w:szCs w:val="24"/>
        </w:rPr>
        <w:t xml:space="preserve">], </w:t>
      </w:r>
      <w:r w:rsidR="004A6B46" w:rsidRPr="008D59BB">
        <w:rPr>
          <w:rFonts w:ascii="Arial" w:hAnsi="Arial" w:cs="Arial"/>
          <w:sz w:val="24"/>
          <w:szCs w:val="24"/>
        </w:rPr>
        <w:t>which are similar to figures reported from a</w:t>
      </w:r>
      <w:r w:rsidR="007A6E07" w:rsidRPr="008D59BB">
        <w:rPr>
          <w:rFonts w:ascii="Arial" w:hAnsi="Arial" w:cs="Arial"/>
          <w:sz w:val="24"/>
          <w:szCs w:val="24"/>
        </w:rPr>
        <w:t xml:space="preserve"> multinational study </w:t>
      </w:r>
      <w:r w:rsidR="004A6B46" w:rsidRPr="008D59BB">
        <w:rPr>
          <w:rFonts w:ascii="Arial" w:hAnsi="Arial" w:cs="Arial"/>
          <w:sz w:val="24"/>
          <w:szCs w:val="24"/>
        </w:rPr>
        <w:t>of</w:t>
      </w:r>
      <w:r w:rsidR="007A6E07" w:rsidRPr="008D59BB">
        <w:rPr>
          <w:rFonts w:ascii="Arial" w:hAnsi="Arial" w:cs="Arial"/>
          <w:sz w:val="24"/>
          <w:szCs w:val="24"/>
        </w:rPr>
        <w:t xml:space="preserve"> 1586 </w:t>
      </w:r>
      <w:r w:rsidR="004A6B46" w:rsidRPr="008D59BB">
        <w:rPr>
          <w:rFonts w:ascii="Arial" w:hAnsi="Arial" w:cs="Arial"/>
          <w:sz w:val="24"/>
          <w:szCs w:val="24"/>
        </w:rPr>
        <w:t xml:space="preserve">older adults from nursing home of </w:t>
      </w:r>
      <w:r w:rsidR="007A6E07" w:rsidRPr="008D59BB">
        <w:rPr>
          <w:rFonts w:ascii="Arial" w:hAnsi="Arial" w:cs="Arial"/>
          <w:sz w:val="24"/>
          <w:szCs w:val="24"/>
        </w:rPr>
        <w:t>53.4% and 13.8%</w:t>
      </w:r>
      <w:r w:rsidR="00323276" w:rsidRPr="008D59BB">
        <w:rPr>
          <w:rFonts w:ascii="Arial" w:hAnsi="Arial" w:cs="Arial"/>
          <w:sz w:val="24"/>
          <w:szCs w:val="24"/>
        </w:rPr>
        <w:t>, both studies also used MNA</w:t>
      </w:r>
      <w:r w:rsidR="007A6E07" w:rsidRPr="008D59BB">
        <w:rPr>
          <w:rFonts w:ascii="Arial" w:hAnsi="Arial" w:cs="Arial"/>
          <w:sz w:val="24"/>
          <w:szCs w:val="24"/>
        </w:rPr>
        <w:t xml:space="preserve"> [</w:t>
      </w:r>
      <w:r w:rsidR="00DE275B" w:rsidRPr="008D59BB">
        <w:rPr>
          <w:rFonts w:ascii="Arial" w:hAnsi="Arial" w:cs="Arial"/>
          <w:sz w:val="24"/>
          <w:szCs w:val="24"/>
        </w:rPr>
        <w:t>26</w:t>
      </w:r>
      <w:r w:rsidR="007A6E07" w:rsidRPr="008D59BB">
        <w:rPr>
          <w:rFonts w:ascii="Arial" w:hAnsi="Arial" w:cs="Arial"/>
          <w:sz w:val="24"/>
          <w:szCs w:val="24"/>
        </w:rPr>
        <w:t>]. In comparison, the prevalence of</w:t>
      </w:r>
      <w:r w:rsidR="009B280C" w:rsidRPr="008D59BB">
        <w:rPr>
          <w:rFonts w:ascii="Arial" w:hAnsi="Arial" w:cs="Arial"/>
          <w:sz w:val="24"/>
          <w:szCs w:val="24"/>
        </w:rPr>
        <w:t xml:space="preserve"> risk of malnutrition (40.5% from residential and 41.7% </w:t>
      </w:r>
      <w:r w:rsidR="007A6E07" w:rsidRPr="008D59BB">
        <w:rPr>
          <w:rFonts w:ascii="Arial" w:hAnsi="Arial" w:cs="Arial"/>
          <w:sz w:val="24"/>
          <w:szCs w:val="24"/>
        </w:rPr>
        <w:t>from nursing care) observed in our study</w:t>
      </w:r>
      <w:r w:rsidR="009B280C" w:rsidRPr="008D59BB">
        <w:rPr>
          <w:rFonts w:ascii="Arial" w:hAnsi="Arial" w:cs="Arial"/>
          <w:sz w:val="24"/>
          <w:szCs w:val="24"/>
        </w:rPr>
        <w:t xml:space="preserve"> </w:t>
      </w:r>
      <w:r w:rsidR="007A6E07" w:rsidRPr="008D59BB">
        <w:rPr>
          <w:rFonts w:ascii="Arial" w:hAnsi="Arial" w:cs="Arial"/>
          <w:sz w:val="24"/>
          <w:szCs w:val="24"/>
        </w:rPr>
        <w:t xml:space="preserve">was lower, </w:t>
      </w:r>
      <w:r w:rsidR="009B280C" w:rsidRPr="008D59BB">
        <w:rPr>
          <w:rFonts w:ascii="Arial" w:hAnsi="Arial" w:cs="Arial"/>
          <w:sz w:val="24"/>
          <w:szCs w:val="24"/>
        </w:rPr>
        <w:t xml:space="preserve">but </w:t>
      </w:r>
      <w:r w:rsidR="007A6E07" w:rsidRPr="008D59BB">
        <w:rPr>
          <w:rFonts w:ascii="Arial" w:hAnsi="Arial" w:cs="Arial"/>
          <w:sz w:val="24"/>
          <w:szCs w:val="24"/>
        </w:rPr>
        <w:t>the prevalence</w:t>
      </w:r>
      <w:r w:rsidR="005B7EFA" w:rsidRPr="008D59BB">
        <w:rPr>
          <w:rFonts w:ascii="Arial" w:hAnsi="Arial" w:cs="Arial"/>
          <w:sz w:val="24"/>
          <w:szCs w:val="24"/>
        </w:rPr>
        <w:t xml:space="preserve"> of</w:t>
      </w:r>
      <w:r w:rsidR="007A6E07" w:rsidRPr="008D59BB">
        <w:rPr>
          <w:rFonts w:ascii="Arial" w:hAnsi="Arial" w:cs="Arial"/>
          <w:sz w:val="24"/>
          <w:szCs w:val="24"/>
        </w:rPr>
        <w:t xml:space="preserve"> malnourishment was </w:t>
      </w:r>
      <w:r w:rsidR="009B280C" w:rsidRPr="008D59BB">
        <w:rPr>
          <w:rFonts w:ascii="Arial" w:hAnsi="Arial" w:cs="Arial"/>
          <w:sz w:val="24"/>
          <w:szCs w:val="24"/>
        </w:rPr>
        <w:t xml:space="preserve">not too dissimilar </w:t>
      </w:r>
      <w:r w:rsidR="007A6E07" w:rsidRPr="008D59BB">
        <w:rPr>
          <w:rFonts w:ascii="Arial" w:hAnsi="Arial" w:cs="Arial"/>
          <w:sz w:val="24"/>
          <w:szCs w:val="24"/>
        </w:rPr>
        <w:t>(</w:t>
      </w:r>
      <w:r w:rsidR="009B280C" w:rsidRPr="008D59BB">
        <w:rPr>
          <w:rFonts w:ascii="Arial" w:hAnsi="Arial" w:cs="Arial"/>
          <w:sz w:val="24"/>
          <w:szCs w:val="24"/>
        </w:rPr>
        <w:t xml:space="preserve">10.4% </w:t>
      </w:r>
      <w:r w:rsidR="007A6E07" w:rsidRPr="008D59BB">
        <w:rPr>
          <w:rFonts w:ascii="Arial" w:hAnsi="Arial" w:cs="Arial"/>
          <w:sz w:val="24"/>
          <w:szCs w:val="24"/>
        </w:rPr>
        <w:t xml:space="preserve">from residential </w:t>
      </w:r>
      <w:r w:rsidR="009B280C" w:rsidRPr="008D59BB">
        <w:rPr>
          <w:rFonts w:ascii="Arial" w:hAnsi="Arial" w:cs="Arial"/>
          <w:sz w:val="24"/>
          <w:szCs w:val="24"/>
        </w:rPr>
        <w:t xml:space="preserve">and 15.5% </w:t>
      </w:r>
      <w:r w:rsidR="007A6E07" w:rsidRPr="008D59BB">
        <w:rPr>
          <w:rFonts w:ascii="Arial" w:hAnsi="Arial" w:cs="Arial"/>
          <w:sz w:val="24"/>
          <w:szCs w:val="24"/>
        </w:rPr>
        <w:t>from</w:t>
      </w:r>
      <w:r w:rsidR="009B280C" w:rsidRPr="008D59BB">
        <w:rPr>
          <w:rFonts w:ascii="Arial" w:hAnsi="Arial" w:cs="Arial"/>
          <w:sz w:val="24"/>
          <w:szCs w:val="24"/>
        </w:rPr>
        <w:t xml:space="preserve"> nursing care</w:t>
      </w:r>
      <w:r w:rsidR="007A6E07" w:rsidRPr="008D59BB">
        <w:rPr>
          <w:rFonts w:ascii="Arial" w:hAnsi="Arial" w:cs="Arial"/>
          <w:sz w:val="24"/>
          <w:szCs w:val="24"/>
        </w:rPr>
        <w:t>)</w:t>
      </w:r>
      <w:r w:rsidR="009B280C" w:rsidRPr="008D59BB">
        <w:rPr>
          <w:rFonts w:ascii="Arial" w:hAnsi="Arial" w:cs="Arial"/>
          <w:sz w:val="24"/>
          <w:szCs w:val="24"/>
        </w:rPr>
        <w:t>.</w:t>
      </w:r>
      <w:r w:rsidR="00237BF9" w:rsidRPr="008D59BB">
        <w:rPr>
          <w:rFonts w:ascii="Arial" w:hAnsi="Arial" w:cs="Arial"/>
          <w:sz w:val="24"/>
          <w:szCs w:val="24"/>
        </w:rPr>
        <w:t xml:space="preserve"> The observations of the association of risk of malnutrition or malnourishment with older age in our study are similar to those reported in other studies [</w:t>
      </w:r>
      <w:r w:rsidR="00DE275B" w:rsidRPr="008D59BB">
        <w:rPr>
          <w:rFonts w:ascii="Arial" w:hAnsi="Arial" w:cs="Arial"/>
          <w:sz w:val="24"/>
          <w:szCs w:val="24"/>
        </w:rPr>
        <w:t>27</w:t>
      </w:r>
      <w:r w:rsidR="00237BF9" w:rsidRPr="008D59BB">
        <w:rPr>
          <w:rFonts w:ascii="Arial" w:hAnsi="Arial" w:cs="Arial"/>
          <w:sz w:val="24"/>
          <w:szCs w:val="24"/>
        </w:rPr>
        <w:t>].</w:t>
      </w:r>
    </w:p>
    <w:p w14:paraId="4C92DFA4" w14:textId="77777777" w:rsidR="000C0263" w:rsidRPr="008D59BB" w:rsidRDefault="000C0263" w:rsidP="002A4A2B">
      <w:pPr>
        <w:spacing w:after="0" w:line="480" w:lineRule="auto"/>
        <w:jc w:val="both"/>
        <w:rPr>
          <w:rFonts w:ascii="Arial" w:hAnsi="Arial" w:cs="Arial"/>
          <w:sz w:val="24"/>
          <w:szCs w:val="24"/>
        </w:rPr>
      </w:pPr>
    </w:p>
    <w:p w14:paraId="399A7597" w14:textId="0E3E7868" w:rsidR="000C0263" w:rsidRPr="008D59BB" w:rsidRDefault="00305DF0" w:rsidP="002A4A2B">
      <w:pPr>
        <w:spacing w:after="0" w:line="480" w:lineRule="auto"/>
        <w:jc w:val="both"/>
        <w:rPr>
          <w:rFonts w:ascii="Arial" w:hAnsi="Arial" w:cs="Arial"/>
          <w:sz w:val="24"/>
          <w:szCs w:val="24"/>
        </w:rPr>
      </w:pPr>
      <w:r w:rsidRPr="008D59BB">
        <w:rPr>
          <w:rFonts w:ascii="Arial" w:hAnsi="Arial" w:cs="Arial"/>
          <w:sz w:val="24"/>
          <w:szCs w:val="24"/>
        </w:rPr>
        <w:t xml:space="preserve">Although the association between nutritional status in patients admitted with hip fracture and mortality has been </w:t>
      </w:r>
      <w:r w:rsidR="001A5EA8" w:rsidRPr="008D59BB">
        <w:rPr>
          <w:rFonts w:ascii="Arial" w:hAnsi="Arial" w:cs="Arial"/>
          <w:sz w:val="24"/>
          <w:szCs w:val="24"/>
        </w:rPr>
        <w:t>established</w:t>
      </w:r>
      <w:r w:rsidRPr="008D59BB">
        <w:rPr>
          <w:rFonts w:ascii="Arial" w:hAnsi="Arial" w:cs="Arial"/>
          <w:sz w:val="24"/>
          <w:szCs w:val="24"/>
        </w:rPr>
        <w:t xml:space="preserve"> [14], less is known about its relationship with other </w:t>
      </w:r>
      <w:r w:rsidR="001A5EA8" w:rsidRPr="008D59BB">
        <w:rPr>
          <w:rFonts w:ascii="Arial" w:hAnsi="Arial" w:cs="Arial"/>
          <w:sz w:val="24"/>
          <w:szCs w:val="24"/>
        </w:rPr>
        <w:t xml:space="preserve">clinical </w:t>
      </w:r>
      <w:r w:rsidR="00EE2D01" w:rsidRPr="008D59BB">
        <w:rPr>
          <w:rFonts w:ascii="Arial" w:hAnsi="Arial" w:cs="Arial"/>
          <w:sz w:val="24"/>
          <w:szCs w:val="24"/>
        </w:rPr>
        <w:t xml:space="preserve">outcomes. </w:t>
      </w:r>
      <w:r w:rsidR="0071048F" w:rsidRPr="008D59BB">
        <w:rPr>
          <w:rFonts w:ascii="Arial" w:hAnsi="Arial" w:cs="Arial"/>
          <w:sz w:val="24"/>
          <w:szCs w:val="24"/>
        </w:rPr>
        <w:t>The</w:t>
      </w:r>
      <w:r w:rsidR="000C0263" w:rsidRPr="008D59BB">
        <w:rPr>
          <w:rFonts w:ascii="Arial" w:hAnsi="Arial" w:cs="Arial"/>
          <w:sz w:val="24"/>
          <w:szCs w:val="24"/>
        </w:rPr>
        <w:t xml:space="preserve"> </w:t>
      </w:r>
      <w:r w:rsidR="0071048F" w:rsidRPr="008D59BB">
        <w:rPr>
          <w:rFonts w:ascii="Arial" w:hAnsi="Arial" w:cs="Arial"/>
          <w:sz w:val="24"/>
          <w:szCs w:val="24"/>
        </w:rPr>
        <w:t>findings</w:t>
      </w:r>
      <w:r w:rsidR="000C0263" w:rsidRPr="008D59BB">
        <w:rPr>
          <w:rFonts w:ascii="Arial" w:hAnsi="Arial" w:cs="Arial"/>
          <w:sz w:val="24"/>
          <w:szCs w:val="24"/>
        </w:rPr>
        <w:t xml:space="preserve"> </w:t>
      </w:r>
      <w:r w:rsidR="007A2B2C" w:rsidRPr="008D59BB">
        <w:rPr>
          <w:rFonts w:ascii="Arial" w:hAnsi="Arial" w:cs="Arial"/>
          <w:sz w:val="24"/>
          <w:szCs w:val="24"/>
        </w:rPr>
        <w:t xml:space="preserve">of this </w:t>
      </w:r>
      <w:r w:rsidR="000B06F1" w:rsidRPr="008D59BB">
        <w:rPr>
          <w:rFonts w:ascii="Arial" w:hAnsi="Arial" w:cs="Arial"/>
          <w:sz w:val="24"/>
          <w:szCs w:val="24"/>
        </w:rPr>
        <w:t xml:space="preserve">study </w:t>
      </w:r>
      <w:r w:rsidR="007A2B2C" w:rsidRPr="008D59BB">
        <w:rPr>
          <w:rFonts w:ascii="Arial" w:hAnsi="Arial" w:cs="Arial"/>
          <w:sz w:val="24"/>
          <w:szCs w:val="24"/>
        </w:rPr>
        <w:t>showing an</w:t>
      </w:r>
      <w:r w:rsidR="00E149A4" w:rsidRPr="008D59BB">
        <w:rPr>
          <w:rFonts w:ascii="Arial" w:hAnsi="Arial" w:cs="Arial"/>
          <w:sz w:val="24"/>
          <w:szCs w:val="24"/>
        </w:rPr>
        <w:t xml:space="preserve"> association of risk of </w:t>
      </w:r>
      <w:r w:rsidR="000C0263" w:rsidRPr="008D59BB">
        <w:rPr>
          <w:rFonts w:ascii="Arial" w:hAnsi="Arial" w:cs="Arial"/>
          <w:sz w:val="24"/>
          <w:szCs w:val="24"/>
        </w:rPr>
        <w:t xml:space="preserve">malnutrition or malnourishment </w:t>
      </w:r>
      <w:r w:rsidR="00E149A4" w:rsidRPr="008D59BB">
        <w:rPr>
          <w:rFonts w:ascii="Arial" w:hAnsi="Arial" w:cs="Arial"/>
          <w:sz w:val="24"/>
          <w:szCs w:val="24"/>
        </w:rPr>
        <w:t>with</w:t>
      </w:r>
      <w:r w:rsidR="000C0263" w:rsidRPr="008D59BB">
        <w:rPr>
          <w:rFonts w:ascii="Arial" w:hAnsi="Arial" w:cs="Arial"/>
          <w:sz w:val="24"/>
          <w:szCs w:val="24"/>
        </w:rPr>
        <w:t xml:space="preserve"> </w:t>
      </w:r>
      <w:r w:rsidR="001A5EA8" w:rsidRPr="008D59BB">
        <w:rPr>
          <w:rFonts w:ascii="Arial" w:hAnsi="Arial" w:cs="Arial"/>
          <w:sz w:val="24"/>
          <w:szCs w:val="24"/>
        </w:rPr>
        <w:t>a number of</w:t>
      </w:r>
      <w:r w:rsidR="000B06F1" w:rsidRPr="008D59BB">
        <w:rPr>
          <w:rFonts w:ascii="Arial" w:hAnsi="Arial" w:cs="Arial"/>
          <w:sz w:val="24"/>
          <w:szCs w:val="24"/>
        </w:rPr>
        <w:t xml:space="preserve"> </w:t>
      </w:r>
      <w:r w:rsidR="00332E8D" w:rsidRPr="008D59BB">
        <w:rPr>
          <w:rFonts w:ascii="Arial" w:hAnsi="Arial" w:cs="Arial"/>
          <w:sz w:val="24"/>
          <w:szCs w:val="24"/>
        </w:rPr>
        <w:t>complications</w:t>
      </w:r>
      <w:r w:rsidR="000B06F1" w:rsidRPr="008D59BB">
        <w:rPr>
          <w:rFonts w:ascii="Arial" w:hAnsi="Arial" w:cs="Arial"/>
          <w:sz w:val="24"/>
          <w:szCs w:val="24"/>
        </w:rPr>
        <w:t xml:space="preserve"> are in line</w:t>
      </w:r>
      <w:r w:rsidR="0071048F" w:rsidRPr="008D59BB">
        <w:rPr>
          <w:rFonts w:ascii="Arial" w:hAnsi="Arial" w:cs="Arial"/>
          <w:sz w:val="24"/>
          <w:szCs w:val="24"/>
        </w:rPr>
        <w:t xml:space="preserve"> with those of</w:t>
      </w:r>
      <w:r w:rsidR="00EE2D01" w:rsidRPr="008D59BB">
        <w:rPr>
          <w:rFonts w:ascii="Arial" w:hAnsi="Arial" w:cs="Arial"/>
          <w:sz w:val="24"/>
          <w:szCs w:val="24"/>
        </w:rPr>
        <w:t xml:space="preserve"> patients </w:t>
      </w:r>
      <w:r w:rsidR="0071048F" w:rsidRPr="008D59BB">
        <w:rPr>
          <w:rFonts w:ascii="Arial" w:hAnsi="Arial" w:cs="Arial"/>
          <w:sz w:val="24"/>
          <w:szCs w:val="24"/>
        </w:rPr>
        <w:t xml:space="preserve">admitted to hospital for general conditions other than </w:t>
      </w:r>
      <w:r w:rsidR="00EE2D01" w:rsidRPr="008D59BB">
        <w:rPr>
          <w:rFonts w:ascii="Arial" w:hAnsi="Arial" w:cs="Arial"/>
          <w:sz w:val="24"/>
          <w:szCs w:val="24"/>
        </w:rPr>
        <w:t>hip fractures</w:t>
      </w:r>
      <w:r w:rsidR="006D1367" w:rsidRPr="008D59BB">
        <w:rPr>
          <w:rFonts w:ascii="Arial" w:hAnsi="Arial" w:cs="Arial"/>
          <w:sz w:val="24"/>
          <w:szCs w:val="24"/>
        </w:rPr>
        <w:t xml:space="preserve"> </w:t>
      </w:r>
      <w:r w:rsidR="00E66F22" w:rsidRPr="008D59BB">
        <w:rPr>
          <w:rFonts w:ascii="Arial" w:hAnsi="Arial" w:cs="Arial"/>
          <w:sz w:val="24"/>
          <w:szCs w:val="24"/>
        </w:rPr>
        <w:t>[2</w:t>
      </w:r>
      <w:r w:rsidR="00AC6FCB" w:rsidRPr="008D59BB">
        <w:rPr>
          <w:rFonts w:ascii="Arial" w:hAnsi="Arial" w:cs="Arial"/>
          <w:sz w:val="24"/>
          <w:szCs w:val="24"/>
        </w:rPr>
        <w:t>5</w:t>
      </w:r>
      <w:r w:rsidR="00E66F22" w:rsidRPr="008D59BB">
        <w:rPr>
          <w:rFonts w:ascii="Arial" w:hAnsi="Arial" w:cs="Arial"/>
          <w:sz w:val="24"/>
          <w:szCs w:val="24"/>
        </w:rPr>
        <w:t xml:space="preserve">, </w:t>
      </w:r>
      <w:r w:rsidR="00DE275B" w:rsidRPr="008D59BB">
        <w:rPr>
          <w:rFonts w:ascii="Arial" w:hAnsi="Arial" w:cs="Arial"/>
          <w:sz w:val="24"/>
          <w:szCs w:val="24"/>
        </w:rPr>
        <w:t>28</w:t>
      </w:r>
      <w:r w:rsidR="00E66F22" w:rsidRPr="008D59BB">
        <w:rPr>
          <w:rFonts w:ascii="Arial" w:hAnsi="Arial" w:cs="Arial"/>
          <w:sz w:val="24"/>
          <w:szCs w:val="24"/>
        </w:rPr>
        <w:t>]</w:t>
      </w:r>
      <w:r w:rsidR="0071048F" w:rsidRPr="008D59BB">
        <w:rPr>
          <w:rFonts w:ascii="Arial" w:hAnsi="Arial" w:cs="Arial"/>
          <w:sz w:val="24"/>
          <w:szCs w:val="24"/>
        </w:rPr>
        <w:t>.</w:t>
      </w:r>
      <w:r w:rsidR="00993ECA" w:rsidRPr="008D59BB">
        <w:rPr>
          <w:rFonts w:ascii="Arial" w:hAnsi="Arial" w:cs="Arial"/>
          <w:sz w:val="24"/>
          <w:szCs w:val="24"/>
        </w:rPr>
        <w:t xml:space="preserve"> Overall, there were only 1.5% of </w:t>
      </w:r>
      <w:r w:rsidR="001A5EA8" w:rsidRPr="008D59BB">
        <w:rPr>
          <w:rFonts w:ascii="Arial" w:hAnsi="Arial" w:cs="Arial"/>
          <w:sz w:val="24"/>
          <w:szCs w:val="24"/>
        </w:rPr>
        <w:t xml:space="preserve">our </w:t>
      </w:r>
      <w:r w:rsidR="00993ECA" w:rsidRPr="008D59BB">
        <w:rPr>
          <w:rFonts w:ascii="Arial" w:hAnsi="Arial" w:cs="Arial"/>
          <w:sz w:val="24"/>
          <w:szCs w:val="24"/>
        </w:rPr>
        <w:t xml:space="preserve">patients </w:t>
      </w:r>
      <w:r w:rsidR="007A2B2C" w:rsidRPr="008D59BB">
        <w:rPr>
          <w:rFonts w:ascii="Arial" w:hAnsi="Arial" w:cs="Arial"/>
          <w:sz w:val="24"/>
          <w:szCs w:val="24"/>
        </w:rPr>
        <w:t xml:space="preserve">who </w:t>
      </w:r>
      <w:r w:rsidR="00993ECA" w:rsidRPr="008D59BB">
        <w:rPr>
          <w:rFonts w:ascii="Arial" w:hAnsi="Arial" w:cs="Arial"/>
          <w:sz w:val="24"/>
          <w:szCs w:val="24"/>
        </w:rPr>
        <w:t xml:space="preserve">developed a pressure ulcer, which is relatively </w:t>
      </w:r>
      <w:r w:rsidR="009D12B4" w:rsidRPr="008D59BB">
        <w:rPr>
          <w:rFonts w:ascii="Arial" w:hAnsi="Arial" w:cs="Arial"/>
          <w:sz w:val="24"/>
          <w:szCs w:val="24"/>
        </w:rPr>
        <w:t xml:space="preserve">low </w:t>
      </w:r>
      <w:r w:rsidR="00993ECA" w:rsidRPr="008D59BB">
        <w:rPr>
          <w:rFonts w:ascii="Arial" w:hAnsi="Arial" w:cs="Arial"/>
          <w:sz w:val="24"/>
          <w:szCs w:val="24"/>
        </w:rPr>
        <w:t xml:space="preserve">compared </w:t>
      </w:r>
      <w:r w:rsidR="009D12B4" w:rsidRPr="008D59BB">
        <w:rPr>
          <w:rFonts w:ascii="Arial" w:hAnsi="Arial" w:cs="Arial"/>
          <w:sz w:val="24"/>
          <w:szCs w:val="24"/>
        </w:rPr>
        <w:t>with</w:t>
      </w:r>
      <w:r w:rsidR="00993ECA" w:rsidRPr="008D59BB">
        <w:rPr>
          <w:rFonts w:ascii="Arial" w:hAnsi="Arial" w:cs="Arial"/>
          <w:sz w:val="24"/>
          <w:szCs w:val="24"/>
        </w:rPr>
        <w:t xml:space="preserve"> </w:t>
      </w:r>
      <w:r w:rsidR="001A5EA8" w:rsidRPr="008D59BB">
        <w:rPr>
          <w:rFonts w:ascii="Arial" w:hAnsi="Arial" w:cs="Arial"/>
          <w:sz w:val="24"/>
          <w:szCs w:val="24"/>
        </w:rPr>
        <w:t xml:space="preserve">a </w:t>
      </w:r>
      <w:r w:rsidR="009107FB" w:rsidRPr="008D59BB">
        <w:rPr>
          <w:rFonts w:ascii="Arial" w:hAnsi="Arial" w:cs="Arial"/>
          <w:sz w:val="24"/>
          <w:szCs w:val="24"/>
        </w:rPr>
        <w:t xml:space="preserve">recently </w:t>
      </w:r>
      <w:r w:rsidR="001A5EA8" w:rsidRPr="008D59BB">
        <w:rPr>
          <w:rFonts w:ascii="Arial" w:hAnsi="Arial" w:cs="Arial"/>
          <w:sz w:val="24"/>
          <w:szCs w:val="24"/>
        </w:rPr>
        <w:t>reported figure</w:t>
      </w:r>
      <w:r w:rsidR="00993ECA" w:rsidRPr="008D59BB">
        <w:rPr>
          <w:rFonts w:ascii="Arial" w:hAnsi="Arial" w:cs="Arial"/>
          <w:sz w:val="24"/>
          <w:szCs w:val="24"/>
        </w:rPr>
        <w:t xml:space="preserve"> of </w:t>
      </w:r>
      <w:r w:rsidR="009107FB" w:rsidRPr="008D59BB">
        <w:rPr>
          <w:rFonts w:ascii="Arial" w:hAnsi="Arial" w:cs="Arial"/>
          <w:sz w:val="24"/>
          <w:szCs w:val="24"/>
        </w:rPr>
        <w:t>5.2</w:t>
      </w:r>
      <w:r w:rsidR="00993ECA" w:rsidRPr="008D59BB">
        <w:rPr>
          <w:rFonts w:ascii="Arial" w:hAnsi="Arial" w:cs="Arial"/>
          <w:sz w:val="24"/>
          <w:szCs w:val="24"/>
        </w:rPr>
        <w:t xml:space="preserve">% among patients admitted with </w:t>
      </w:r>
      <w:r w:rsidR="009107FB" w:rsidRPr="008D59BB">
        <w:rPr>
          <w:rFonts w:ascii="Arial" w:hAnsi="Arial" w:cs="Arial"/>
          <w:sz w:val="24"/>
          <w:szCs w:val="24"/>
        </w:rPr>
        <w:t>a hip fracture in the US</w:t>
      </w:r>
      <w:r w:rsidR="00993ECA" w:rsidRPr="008D59BB">
        <w:rPr>
          <w:rFonts w:ascii="Arial" w:hAnsi="Arial" w:cs="Arial"/>
          <w:sz w:val="24"/>
          <w:szCs w:val="24"/>
        </w:rPr>
        <w:t xml:space="preserve"> </w:t>
      </w:r>
      <w:r w:rsidR="009107FB" w:rsidRPr="008D59BB">
        <w:rPr>
          <w:rFonts w:ascii="Arial" w:hAnsi="Arial" w:cs="Arial"/>
          <w:sz w:val="24"/>
          <w:szCs w:val="24"/>
        </w:rPr>
        <w:t>[</w:t>
      </w:r>
      <w:r w:rsidR="00DE275B" w:rsidRPr="008D59BB">
        <w:rPr>
          <w:rFonts w:ascii="Arial" w:hAnsi="Arial" w:cs="Arial"/>
          <w:sz w:val="24"/>
          <w:szCs w:val="24"/>
        </w:rPr>
        <w:t>29</w:t>
      </w:r>
      <w:r w:rsidR="009107FB" w:rsidRPr="008D59BB">
        <w:rPr>
          <w:rFonts w:ascii="Arial" w:hAnsi="Arial" w:cs="Arial"/>
          <w:sz w:val="24"/>
          <w:szCs w:val="24"/>
        </w:rPr>
        <w:t>]</w:t>
      </w:r>
      <w:r w:rsidR="00563289" w:rsidRPr="008D59BB">
        <w:rPr>
          <w:rFonts w:ascii="Arial" w:hAnsi="Arial" w:cs="Arial"/>
          <w:sz w:val="24"/>
          <w:szCs w:val="24"/>
        </w:rPr>
        <w:t xml:space="preserve">, and 12% in Europeans </w:t>
      </w:r>
      <w:r w:rsidR="009D12B4" w:rsidRPr="008D59BB">
        <w:rPr>
          <w:rFonts w:ascii="Arial" w:hAnsi="Arial" w:cs="Arial"/>
          <w:sz w:val="24"/>
          <w:szCs w:val="24"/>
        </w:rPr>
        <w:t xml:space="preserve">studied more than a decade ago </w:t>
      </w:r>
      <w:r w:rsidR="00563289" w:rsidRPr="008D59BB">
        <w:rPr>
          <w:rFonts w:ascii="Arial" w:hAnsi="Arial" w:cs="Arial"/>
          <w:sz w:val="24"/>
          <w:szCs w:val="24"/>
        </w:rPr>
        <w:t>[</w:t>
      </w:r>
      <w:r w:rsidR="00DE275B" w:rsidRPr="008D59BB">
        <w:rPr>
          <w:rFonts w:ascii="Arial" w:hAnsi="Arial" w:cs="Arial"/>
          <w:sz w:val="24"/>
          <w:szCs w:val="24"/>
        </w:rPr>
        <w:t>30</w:t>
      </w:r>
      <w:r w:rsidR="00563289" w:rsidRPr="008D59BB">
        <w:rPr>
          <w:rFonts w:ascii="Arial" w:hAnsi="Arial" w:cs="Arial"/>
          <w:sz w:val="24"/>
          <w:szCs w:val="24"/>
        </w:rPr>
        <w:t>]</w:t>
      </w:r>
      <w:r w:rsidR="00993ECA" w:rsidRPr="008D59BB">
        <w:rPr>
          <w:rFonts w:ascii="Arial" w:hAnsi="Arial" w:cs="Arial"/>
          <w:sz w:val="24"/>
          <w:szCs w:val="24"/>
        </w:rPr>
        <w:t>.</w:t>
      </w:r>
      <w:r w:rsidR="00032478" w:rsidRPr="008D59BB">
        <w:rPr>
          <w:rFonts w:ascii="Arial" w:hAnsi="Arial" w:cs="Arial"/>
          <w:sz w:val="24"/>
          <w:szCs w:val="24"/>
        </w:rPr>
        <w:t xml:space="preserve"> </w:t>
      </w:r>
      <w:r w:rsidR="00410BE0" w:rsidRPr="008D59BB">
        <w:rPr>
          <w:rFonts w:ascii="Arial" w:hAnsi="Arial" w:cs="Arial"/>
          <w:sz w:val="24"/>
          <w:szCs w:val="24"/>
        </w:rPr>
        <w:t>Our study showed the important role of nutrition and risk of pressure ulcers and is supported by evidence from a</w:t>
      </w:r>
      <w:r w:rsidR="00032478" w:rsidRPr="008D59BB">
        <w:rPr>
          <w:rFonts w:ascii="Arial" w:hAnsi="Arial" w:cs="Arial"/>
          <w:sz w:val="24"/>
          <w:szCs w:val="24"/>
        </w:rPr>
        <w:t xml:space="preserve"> small</w:t>
      </w:r>
      <w:r w:rsidR="007A2B2C" w:rsidRPr="008D59BB">
        <w:rPr>
          <w:rFonts w:ascii="Arial" w:hAnsi="Arial" w:cs="Arial"/>
          <w:sz w:val="24"/>
          <w:szCs w:val="24"/>
        </w:rPr>
        <w:t>er</w:t>
      </w:r>
      <w:r w:rsidR="00032478" w:rsidRPr="008D59BB">
        <w:rPr>
          <w:rFonts w:ascii="Arial" w:hAnsi="Arial" w:cs="Arial"/>
          <w:sz w:val="24"/>
          <w:szCs w:val="24"/>
        </w:rPr>
        <w:t xml:space="preserve"> study of older adults with </w:t>
      </w:r>
      <w:r w:rsidR="00032478" w:rsidRPr="008D59BB">
        <w:rPr>
          <w:rFonts w:ascii="Arial" w:hAnsi="Arial" w:cs="Arial"/>
          <w:sz w:val="24"/>
          <w:szCs w:val="24"/>
        </w:rPr>
        <w:lastRenderedPageBreak/>
        <w:t>dementia living in nursing home</w:t>
      </w:r>
      <w:r w:rsidR="007A2B2C" w:rsidRPr="008D59BB">
        <w:rPr>
          <w:rFonts w:ascii="Arial" w:hAnsi="Arial" w:cs="Arial"/>
          <w:sz w:val="24"/>
          <w:szCs w:val="24"/>
        </w:rPr>
        <w:t>s</w:t>
      </w:r>
      <w:r w:rsidR="00032478" w:rsidRPr="008D59BB">
        <w:rPr>
          <w:rFonts w:ascii="Arial" w:hAnsi="Arial" w:cs="Arial"/>
          <w:sz w:val="24"/>
          <w:szCs w:val="24"/>
        </w:rPr>
        <w:t xml:space="preserve"> </w:t>
      </w:r>
      <w:r w:rsidR="00410BE0" w:rsidRPr="008D59BB">
        <w:rPr>
          <w:rFonts w:ascii="Arial" w:hAnsi="Arial" w:cs="Arial"/>
          <w:sz w:val="24"/>
          <w:szCs w:val="24"/>
        </w:rPr>
        <w:t xml:space="preserve">showing </w:t>
      </w:r>
      <w:r w:rsidR="00410344" w:rsidRPr="008D59BB">
        <w:rPr>
          <w:rFonts w:ascii="Arial" w:hAnsi="Arial" w:cs="Arial"/>
          <w:sz w:val="24"/>
          <w:szCs w:val="24"/>
        </w:rPr>
        <w:t>an association of</w:t>
      </w:r>
      <w:r w:rsidR="00410BE0" w:rsidRPr="008D59BB">
        <w:rPr>
          <w:rFonts w:ascii="Arial" w:hAnsi="Arial" w:cs="Arial"/>
          <w:sz w:val="24"/>
          <w:szCs w:val="24"/>
        </w:rPr>
        <w:t xml:space="preserve"> </w:t>
      </w:r>
      <w:r w:rsidR="000B06F1" w:rsidRPr="008D59BB">
        <w:rPr>
          <w:rFonts w:ascii="Arial" w:hAnsi="Arial" w:cs="Arial"/>
          <w:sz w:val="24"/>
          <w:szCs w:val="24"/>
        </w:rPr>
        <w:t xml:space="preserve">inadequate nutrition </w:t>
      </w:r>
      <w:r w:rsidR="00410344" w:rsidRPr="008D59BB">
        <w:rPr>
          <w:rFonts w:ascii="Arial" w:hAnsi="Arial" w:cs="Arial"/>
          <w:sz w:val="24"/>
          <w:szCs w:val="24"/>
        </w:rPr>
        <w:t>with</w:t>
      </w:r>
      <w:r w:rsidR="00410BE0" w:rsidRPr="008D59BB">
        <w:rPr>
          <w:rFonts w:ascii="Arial" w:hAnsi="Arial" w:cs="Arial"/>
          <w:sz w:val="24"/>
          <w:szCs w:val="24"/>
        </w:rPr>
        <w:t xml:space="preserve"> </w:t>
      </w:r>
      <w:r w:rsidR="00032478" w:rsidRPr="008D59BB">
        <w:rPr>
          <w:rFonts w:ascii="Arial" w:hAnsi="Arial" w:cs="Arial"/>
          <w:sz w:val="24"/>
          <w:szCs w:val="24"/>
        </w:rPr>
        <w:t>increased risk of developing pressure ulcer</w:t>
      </w:r>
      <w:r w:rsidR="000B06F1" w:rsidRPr="008D59BB">
        <w:rPr>
          <w:rFonts w:ascii="Arial" w:hAnsi="Arial" w:cs="Arial"/>
          <w:sz w:val="24"/>
          <w:szCs w:val="24"/>
        </w:rPr>
        <w:t>s</w:t>
      </w:r>
      <w:r w:rsidR="00FA3418" w:rsidRPr="008D59BB">
        <w:rPr>
          <w:rFonts w:ascii="Arial" w:hAnsi="Arial" w:cs="Arial"/>
          <w:sz w:val="24"/>
          <w:szCs w:val="24"/>
        </w:rPr>
        <w:t xml:space="preserve"> [</w:t>
      </w:r>
      <w:r w:rsidR="00DE275B" w:rsidRPr="008D59BB">
        <w:rPr>
          <w:rFonts w:ascii="Arial" w:hAnsi="Arial" w:cs="Arial"/>
          <w:sz w:val="24"/>
          <w:szCs w:val="24"/>
        </w:rPr>
        <w:t>31</w:t>
      </w:r>
      <w:r w:rsidR="00FA3418" w:rsidRPr="008D59BB">
        <w:rPr>
          <w:rFonts w:ascii="Arial" w:hAnsi="Arial" w:cs="Arial"/>
          <w:sz w:val="24"/>
          <w:szCs w:val="24"/>
        </w:rPr>
        <w:t>]</w:t>
      </w:r>
      <w:r w:rsidR="00032478" w:rsidRPr="008D59BB">
        <w:rPr>
          <w:rFonts w:ascii="Arial" w:hAnsi="Arial" w:cs="Arial"/>
          <w:sz w:val="24"/>
          <w:szCs w:val="24"/>
        </w:rPr>
        <w:t>.</w:t>
      </w:r>
      <w:r w:rsidR="00594ADE" w:rsidRPr="008D59BB">
        <w:rPr>
          <w:rFonts w:ascii="Arial" w:hAnsi="Arial" w:cs="Arial"/>
          <w:sz w:val="24"/>
          <w:szCs w:val="24"/>
        </w:rPr>
        <w:t xml:space="preserve"> </w:t>
      </w:r>
      <w:r w:rsidR="0089473A" w:rsidRPr="008D59BB">
        <w:rPr>
          <w:rFonts w:ascii="Arial" w:hAnsi="Arial" w:cs="Arial"/>
          <w:sz w:val="24"/>
          <w:szCs w:val="24"/>
        </w:rPr>
        <w:t>Findings from our study are also consistent with previous observations</w:t>
      </w:r>
      <w:r w:rsidR="00064D08" w:rsidRPr="008D59BB">
        <w:rPr>
          <w:rFonts w:ascii="Arial" w:hAnsi="Arial" w:cs="Arial"/>
          <w:sz w:val="24"/>
          <w:szCs w:val="24"/>
        </w:rPr>
        <w:t xml:space="preserve"> </w:t>
      </w:r>
      <w:r w:rsidR="0089473A" w:rsidRPr="008D59BB">
        <w:rPr>
          <w:rFonts w:ascii="Arial" w:hAnsi="Arial" w:cs="Arial"/>
          <w:sz w:val="24"/>
          <w:szCs w:val="24"/>
        </w:rPr>
        <w:t>of the association of r</w:t>
      </w:r>
      <w:r w:rsidR="00121A42" w:rsidRPr="008D59BB">
        <w:rPr>
          <w:rFonts w:ascii="Arial" w:hAnsi="Arial" w:cs="Arial"/>
          <w:sz w:val="24"/>
          <w:szCs w:val="24"/>
        </w:rPr>
        <w:t xml:space="preserve">isk of malnutrition and malnourishment </w:t>
      </w:r>
      <w:r w:rsidR="00064D08" w:rsidRPr="008D59BB">
        <w:rPr>
          <w:rFonts w:ascii="Arial" w:hAnsi="Arial" w:cs="Arial"/>
          <w:sz w:val="24"/>
          <w:szCs w:val="24"/>
        </w:rPr>
        <w:t xml:space="preserve">in non-hip fracture admissions </w:t>
      </w:r>
      <w:r w:rsidR="0089473A" w:rsidRPr="008D59BB">
        <w:rPr>
          <w:rFonts w:ascii="Arial" w:hAnsi="Arial" w:cs="Arial"/>
          <w:sz w:val="24"/>
          <w:szCs w:val="24"/>
        </w:rPr>
        <w:t>with longer LOS and discharge</w:t>
      </w:r>
      <w:r w:rsidR="0071048F" w:rsidRPr="008D59BB">
        <w:rPr>
          <w:rFonts w:ascii="Arial" w:hAnsi="Arial" w:cs="Arial"/>
          <w:sz w:val="24"/>
          <w:szCs w:val="24"/>
        </w:rPr>
        <w:t xml:space="preserve"> to high level of care</w:t>
      </w:r>
      <w:r w:rsidR="00121A42" w:rsidRPr="008D59BB">
        <w:rPr>
          <w:rFonts w:ascii="Arial" w:hAnsi="Arial" w:cs="Arial"/>
          <w:sz w:val="24"/>
          <w:szCs w:val="24"/>
        </w:rPr>
        <w:t xml:space="preserve"> in a study by Neuman et al [</w:t>
      </w:r>
      <w:r w:rsidR="00DE275B" w:rsidRPr="008D59BB">
        <w:rPr>
          <w:rFonts w:ascii="Arial" w:hAnsi="Arial" w:cs="Arial"/>
          <w:sz w:val="24"/>
          <w:szCs w:val="24"/>
        </w:rPr>
        <w:t>28</w:t>
      </w:r>
      <w:r w:rsidR="00121A42" w:rsidRPr="008D59BB">
        <w:rPr>
          <w:rFonts w:ascii="Arial" w:hAnsi="Arial" w:cs="Arial"/>
          <w:sz w:val="24"/>
          <w:szCs w:val="24"/>
        </w:rPr>
        <w:t xml:space="preserve">], and </w:t>
      </w:r>
      <w:r w:rsidR="0099140E" w:rsidRPr="008D59BB">
        <w:rPr>
          <w:rFonts w:ascii="Arial" w:hAnsi="Arial" w:cs="Arial"/>
          <w:sz w:val="24"/>
          <w:szCs w:val="24"/>
        </w:rPr>
        <w:t>risk of all-cause mortality</w:t>
      </w:r>
      <w:r w:rsidR="00121A42" w:rsidRPr="008D59BB">
        <w:rPr>
          <w:rFonts w:ascii="Arial" w:hAnsi="Arial" w:cs="Arial"/>
          <w:sz w:val="24"/>
          <w:szCs w:val="24"/>
        </w:rPr>
        <w:t xml:space="preserve"> in a five year follow-up study </w:t>
      </w:r>
      <w:r w:rsidR="000D42C9" w:rsidRPr="008D59BB">
        <w:rPr>
          <w:rFonts w:ascii="Arial" w:hAnsi="Arial" w:cs="Arial"/>
          <w:sz w:val="24"/>
          <w:szCs w:val="24"/>
        </w:rPr>
        <w:t>by Söderström et al</w:t>
      </w:r>
      <w:r w:rsidR="0099140E" w:rsidRPr="008D59BB">
        <w:rPr>
          <w:rFonts w:ascii="Arial" w:hAnsi="Arial" w:cs="Arial"/>
          <w:b/>
          <w:sz w:val="24"/>
          <w:szCs w:val="24"/>
        </w:rPr>
        <w:t xml:space="preserve"> </w:t>
      </w:r>
      <w:r w:rsidR="007A47FF" w:rsidRPr="008D59BB">
        <w:rPr>
          <w:rFonts w:ascii="Arial" w:hAnsi="Arial" w:cs="Arial"/>
          <w:sz w:val="24"/>
          <w:szCs w:val="24"/>
        </w:rPr>
        <w:t>[</w:t>
      </w:r>
      <w:r w:rsidR="00DE275B" w:rsidRPr="008D59BB">
        <w:rPr>
          <w:rFonts w:ascii="Arial" w:hAnsi="Arial" w:cs="Arial"/>
          <w:sz w:val="24"/>
          <w:szCs w:val="24"/>
        </w:rPr>
        <w:t>25</w:t>
      </w:r>
      <w:r w:rsidR="007A47FF" w:rsidRPr="008D59BB">
        <w:rPr>
          <w:rFonts w:ascii="Arial" w:hAnsi="Arial" w:cs="Arial"/>
          <w:sz w:val="24"/>
          <w:szCs w:val="24"/>
        </w:rPr>
        <w:t>]</w:t>
      </w:r>
      <w:r w:rsidR="0099140E" w:rsidRPr="008D59BB">
        <w:rPr>
          <w:rFonts w:ascii="Arial" w:hAnsi="Arial" w:cs="Arial"/>
          <w:sz w:val="24"/>
          <w:szCs w:val="24"/>
        </w:rPr>
        <w:t>.</w:t>
      </w:r>
    </w:p>
    <w:p w14:paraId="759DE19E" w14:textId="77777777" w:rsidR="00C011F1" w:rsidRPr="008D59BB" w:rsidRDefault="00C011F1" w:rsidP="002A4A2B">
      <w:pPr>
        <w:spacing w:after="0" w:line="480" w:lineRule="auto"/>
        <w:jc w:val="both"/>
        <w:rPr>
          <w:rFonts w:ascii="Arial" w:hAnsi="Arial" w:cs="Arial"/>
          <w:sz w:val="24"/>
          <w:szCs w:val="24"/>
        </w:rPr>
      </w:pPr>
    </w:p>
    <w:p w14:paraId="44E55A57" w14:textId="2AB5B1C9" w:rsidR="00C011F1" w:rsidRPr="008D59BB" w:rsidRDefault="00E40048" w:rsidP="002A4A2B">
      <w:pPr>
        <w:spacing w:after="0" w:line="480" w:lineRule="auto"/>
        <w:jc w:val="both"/>
        <w:rPr>
          <w:rFonts w:ascii="Arial" w:hAnsi="Arial" w:cs="Arial"/>
          <w:sz w:val="24"/>
          <w:szCs w:val="24"/>
        </w:rPr>
      </w:pPr>
      <w:r w:rsidRPr="008D59BB">
        <w:rPr>
          <w:rFonts w:ascii="Arial" w:hAnsi="Arial" w:cs="Arial"/>
          <w:sz w:val="24"/>
          <w:szCs w:val="24"/>
        </w:rPr>
        <w:t>Observations</w:t>
      </w:r>
      <w:r w:rsidR="0071355C" w:rsidRPr="008D59BB">
        <w:rPr>
          <w:rFonts w:ascii="Arial" w:hAnsi="Arial" w:cs="Arial"/>
          <w:sz w:val="24"/>
          <w:szCs w:val="24"/>
        </w:rPr>
        <w:t xml:space="preserve"> from our study</w:t>
      </w:r>
      <w:r w:rsidR="001965E9" w:rsidRPr="008D59BB">
        <w:rPr>
          <w:rFonts w:ascii="Arial" w:hAnsi="Arial" w:cs="Arial"/>
          <w:sz w:val="24"/>
          <w:szCs w:val="24"/>
        </w:rPr>
        <w:t xml:space="preserve"> </w:t>
      </w:r>
      <w:r w:rsidRPr="008D59BB">
        <w:rPr>
          <w:rFonts w:ascii="Arial" w:hAnsi="Arial" w:cs="Arial"/>
          <w:sz w:val="24"/>
          <w:szCs w:val="24"/>
        </w:rPr>
        <w:t>suggest</w:t>
      </w:r>
      <w:r w:rsidR="001965E9" w:rsidRPr="008D59BB">
        <w:rPr>
          <w:rFonts w:ascii="Arial" w:hAnsi="Arial" w:cs="Arial"/>
          <w:sz w:val="24"/>
          <w:szCs w:val="24"/>
        </w:rPr>
        <w:t xml:space="preserve"> the need </w:t>
      </w:r>
      <w:r w:rsidR="00E64F00" w:rsidRPr="008D59BB">
        <w:rPr>
          <w:rFonts w:ascii="Arial" w:hAnsi="Arial" w:cs="Arial"/>
          <w:sz w:val="24"/>
          <w:szCs w:val="24"/>
        </w:rPr>
        <w:t>to gain</w:t>
      </w:r>
      <w:r w:rsidR="001965E9" w:rsidRPr="008D59BB">
        <w:rPr>
          <w:rFonts w:ascii="Arial" w:hAnsi="Arial" w:cs="Arial"/>
          <w:sz w:val="24"/>
          <w:szCs w:val="24"/>
        </w:rPr>
        <w:t xml:space="preserve"> further insight</w:t>
      </w:r>
      <w:r w:rsidR="009E47FF" w:rsidRPr="008D59BB">
        <w:rPr>
          <w:rFonts w:ascii="Arial" w:hAnsi="Arial" w:cs="Arial"/>
          <w:sz w:val="24"/>
          <w:szCs w:val="24"/>
        </w:rPr>
        <w:t>s</w:t>
      </w:r>
      <w:r w:rsidR="001965E9" w:rsidRPr="008D59BB">
        <w:rPr>
          <w:rFonts w:ascii="Arial" w:hAnsi="Arial" w:cs="Arial"/>
          <w:sz w:val="24"/>
          <w:szCs w:val="24"/>
        </w:rPr>
        <w:t xml:space="preserve"> into way</w:t>
      </w:r>
      <w:r w:rsidR="009E47FF" w:rsidRPr="008D59BB">
        <w:rPr>
          <w:rFonts w:ascii="Arial" w:hAnsi="Arial" w:cs="Arial"/>
          <w:sz w:val="24"/>
          <w:szCs w:val="24"/>
        </w:rPr>
        <w:t>s</w:t>
      </w:r>
      <w:r w:rsidR="001965E9" w:rsidRPr="008D59BB">
        <w:rPr>
          <w:rFonts w:ascii="Arial" w:hAnsi="Arial" w:cs="Arial"/>
          <w:sz w:val="24"/>
          <w:szCs w:val="24"/>
        </w:rPr>
        <w:t xml:space="preserve"> </w:t>
      </w:r>
      <w:r w:rsidR="00E64F00" w:rsidRPr="008D59BB">
        <w:rPr>
          <w:rFonts w:ascii="Arial" w:hAnsi="Arial" w:cs="Arial"/>
          <w:sz w:val="24"/>
          <w:szCs w:val="24"/>
        </w:rPr>
        <w:t xml:space="preserve">that </w:t>
      </w:r>
      <w:r w:rsidR="001965E9" w:rsidRPr="008D59BB">
        <w:rPr>
          <w:rFonts w:ascii="Arial" w:hAnsi="Arial" w:cs="Arial"/>
          <w:sz w:val="24"/>
          <w:szCs w:val="24"/>
        </w:rPr>
        <w:t>improve nutrition of older adults living in the community, particularly those from institutionalised residency</w:t>
      </w:r>
      <w:r w:rsidRPr="008D59BB">
        <w:rPr>
          <w:rFonts w:ascii="Arial" w:hAnsi="Arial" w:cs="Arial"/>
          <w:sz w:val="24"/>
          <w:szCs w:val="24"/>
        </w:rPr>
        <w:t>,</w:t>
      </w:r>
      <w:r w:rsidR="001965E9" w:rsidRPr="008D59BB">
        <w:rPr>
          <w:rFonts w:ascii="Arial" w:hAnsi="Arial" w:cs="Arial"/>
          <w:sz w:val="24"/>
          <w:szCs w:val="24"/>
        </w:rPr>
        <w:t xml:space="preserve"> in order to lower the risk of fractures and </w:t>
      </w:r>
      <w:r w:rsidRPr="008D59BB">
        <w:rPr>
          <w:rFonts w:ascii="Arial" w:hAnsi="Arial" w:cs="Arial"/>
          <w:sz w:val="24"/>
          <w:szCs w:val="24"/>
        </w:rPr>
        <w:t>their</w:t>
      </w:r>
      <w:r w:rsidR="001965E9" w:rsidRPr="008D59BB">
        <w:rPr>
          <w:rFonts w:ascii="Arial" w:hAnsi="Arial" w:cs="Arial"/>
          <w:sz w:val="24"/>
          <w:szCs w:val="24"/>
        </w:rPr>
        <w:t xml:space="preserve"> complications. </w:t>
      </w:r>
      <w:r w:rsidR="000D4648" w:rsidRPr="008D59BB">
        <w:rPr>
          <w:rFonts w:ascii="Arial" w:hAnsi="Arial" w:cs="Arial"/>
          <w:sz w:val="24"/>
          <w:szCs w:val="24"/>
        </w:rPr>
        <w:t xml:space="preserve">For those who </w:t>
      </w:r>
      <w:r w:rsidR="00E64F00" w:rsidRPr="008D59BB">
        <w:rPr>
          <w:rFonts w:ascii="Arial" w:hAnsi="Arial" w:cs="Arial"/>
          <w:sz w:val="24"/>
          <w:szCs w:val="24"/>
        </w:rPr>
        <w:t xml:space="preserve">were </w:t>
      </w:r>
      <w:r w:rsidR="000D4648" w:rsidRPr="008D59BB">
        <w:rPr>
          <w:rFonts w:ascii="Arial" w:hAnsi="Arial" w:cs="Arial"/>
          <w:sz w:val="24"/>
          <w:szCs w:val="24"/>
        </w:rPr>
        <w:t xml:space="preserve">admitted to hospital with a hip fracture </w:t>
      </w:r>
      <w:r w:rsidR="00E64F00" w:rsidRPr="008D59BB">
        <w:rPr>
          <w:rFonts w:ascii="Arial" w:hAnsi="Arial" w:cs="Arial"/>
          <w:sz w:val="24"/>
          <w:szCs w:val="24"/>
        </w:rPr>
        <w:t xml:space="preserve">and </w:t>
      </w:r>
      <w:r w:rsidR="000D4648" w:rsidRPr="008D59BB">
        <w:rPr>
          <w:rFonts w:ascii="Arial" w:hAnsi="Arial" w:cs="Arial"/>
          <w:sz w:val="24"/>
          <w:szCs w:val="24"/>
        </w:rPr>
        <w:t xml:space="preserve">with evidence of malnutrition or malnourishment, early nutrition support is vital for adequate supply of energy and nutrients to prevent rapid loss of muscular and skeletal mass and strength arising from extreme physical inactivity. </w:t>
      </w:r>
      <w:r w:rsidR="00C011F1" w:rsidRPr="008D59BB">
        <w:rPr>
          <w:rFonts w:ascii="Arial" w:hAnsi="Arial" w:cs="Arial"/>
          <w:sz w:val="24"/>
          <w:szCs w:val="24"/>
        </w:rPr>
        <w:t>Interventional studies have been conducted to address malnutrition or malnourishment</w:t>
      </w:r>
      <w:r w:rsidR="00C93FB1" w:rsidRPr="008D59BB">
        <w:rPr>
          <w:rFonts w:ascii="Arial" w:hAnsi="Arial" w:cs="Arial"/>
          <w:sz w:val="24"/>
          <w:szCs w:val="24"/>
        </w:rPr>
        <w:t xml:space="preserve"> and</w:t>
      </w:r>
      <w:r w:rsidR="0011522D" w:rsidRPr="008D59BB">
        <w:rPr>
          <w:rFonts w:ascii="Arial" w:hAnsi="Arial" w:cs="Arial"/>
          <w:sz w:val="24"/>
          <w:szCs w:val="24"/>
        </w:rPr>
        <w:t xml:space="preserve"> showed </w:t>
      </w:r>
      <w:r w:rsidR="00837686" w:rsidRPr="008D59BB">
        <w:rPr>
          <w:rFonts w:ascii="Arial" w:hAnsi="Arial" w:cs="Arial"/>
          <w:sz w:val="24"/>
          <w:szCs w:val="24"/>
        </w:rPr>
        <w:t>mixed results [</w:t>
      </w:r>
      <w:r w:rsidR="00DE275B" w:rsidRPr="008D59BB">
        <w:rPr>
          <w:rFonts w:ascii="Arial" w:hAnsi="Arial" w:cs="Arial"/>
          <w:sz w:val="24"/>
          <w:szCs w:val="24"/>
        </w:rPr>
        <w:t>32</w:t>
      </w:r>
      <w:r w:rsidR="00837686" w:rsidRPr="008D59BB">
        <w:rPr>
          <w:rFonts w:ascii="Arial" w:hAnsi="Arial" w:cs="Arial"/>
          <w:sz w:val="24"/>
          <w:szCs w:val="24"/>
        </w:rPr>
        <w:t xml:space="preserve">], with </w:t>
      </w:r>
      <w:r w:rsidR="0011522D" w:rsidRPr="008D59BB">
        <w:rPr>
          <w:rFonts w:ascii="Arial" w:hAnsi="Arial" w:cs="Arial"/>
          <w:sz w:val="24"/>
          <w:szCs w:val="24"/>
        </w:rPr>
        <w:t>some success</w:t>
      </w:r>
      <w:r w:rsidR="00837686" w:rsidRPr="008D59BB">
        <w:rPr>
          <w:rFonts w:ascii="Arial" w:hAnsi="Arial" w:cs="Arial"/>
          <w:sz w:val="24"/>
          <w:szCs w:val="24"/>
        </w:rPr>
        <w:t xml:space="preserve"> reported</w:t>
      </w:r>
      <w:r w:rsidR="0011522D" w:rsidRPr="008D59BB">
        <w:rPr>
          <w:rFonts w:ascii="Arial" w:hAnsi="Arial" w:cs="Arial"/>
          <w:sz w:val="24"/>
          <w:szCs w:val="24"/>
        </w:rPr>
        <w:t xml:space="preserve"> in reducing LOS in hospital </w:t>
      </w:r>
      <w:r w:rsidR="007A47FF" w:rsidRPr="008D59BB">
        <w:rPr>
          <w:rFonts w:ascii="Arial" w:hAnsi="Arial" w:cs="Arial"/>
          <w:sz w:val="24"/>
          <w:szCs w:val="24"/>
        </w:rPr>
        <w:t>[</w:t>
      </w:r>
      <w:r w:rsidR="00DE275B" w:rsidRPr="008D59BB">
        <w:rPr>
          <w:rFonts w:ascii="Arial" w:hAnsi="Arial" w:cs="Arial"/>
          <w:sz w:val="24"/>
          <w:szCs w:val="24"/>
        </w:rPr>
        <w:t>33</w:t>
      </w:r>
      <w:r w:rsidR="006F5D63" w:rsidRPr="008D59BB">
        <w:rPr>
          <w:rFonts w:ascii="Arial" w:hAnsi="Arial" w:cs="Arial"/>
          <w:sz w:val="24"/>
          <w:szCs w:val="24"/>
        </w:rPr>
        <w:t xml:space="preserve">], </w:t>
      </w:r>
      <w:r w:rsidR="0011522D" w:rsidRPr="008D59BB">
        <w:rPr>
          <w:rFonts w:ascii="Arial" w:hAnsi="Arial" w:cs="Arial"/>
          <w:sz w:val="24"/>
          <w:szCs w:val="24"/>
        </w:rPr>
        <w:t>functional recovery</w:t>
      </w:r>
      <w:r w:rsidR="006D1367" w:rsidRPr="008D59BB">
        <w:rPr>
          <w:rFonts w:ascii="Arial" w:hAnsi="Arial" w:cs="Arial"/>
          <w:sz w:val="24"/>
          <w:szCs w:val="24"/>
        </w:rPr>
        <w:t xml:space="preserve"> </w:t>
      </w:r>
      <w:r w:rsidR="007A47FF" w:rsidRPr="008D59BB">
        <w:rPr>
          <w:rFonts w:ascii="Arial" w:hAnsi="Arial" w:cs="Arial"/>
          <w:sz w:val="24"/>
          <w:szCs w:val="24"/>
        </w:rPr>
        <w:t>[</w:t>
      </w:r>
      <w:r w:rsidR="00DE275B" w:rsidRPr="008D59BB">
        <w:rPr>
          <w:rFonts w:ascii="Arial" w:hAnsi="Arial" w:cs="Arial"/>
          <w:sz w:val="24"/>
          <w:szCs w:val="24"/>
        </w:rPr>
        <w:t>34</w:t>
      </w:r>
      <w:r w:rsidR="007A47FF" w:rsidRPr="008D59BB">
        <w:rPr>
          <w:rFonts w:ascii="Arial" w:hAnsi="Arial" w:cs="Arial"/>
          <w:sz w:val="24"/>
          <w:szCs w:val="24"/>
        </w:rPr>
        <w:t>]</w:t>
      </w:r>
      <w:r w:rsidR="006F5D63" w:rsidRPr="008D59BB">
        <w:rPr>
          <w:rFonts w:ascii="Arial" w:hAnsi="Arial" w:cs="Arial"/>
          <w:sz w:val="24"/>
          <w:szCs w:val="24"/>
        </w:rPr>
        <w:t xml:space="preserve"> and </w:t>
      </w:r>
      <w:r w:rsidR="00837686" w:rsidRPr="008D59BB">
        <w:rPr>
          <w:rFonts w:ascii="Arial" w:hAnsi="Arial" w:cs="Arial"/>
          <w:sz w:val="24"/>
          <w:szCs w:val="24"/>
        </w:rPr>
        <w:t>reducing [</w:t>
      </w:r>
      <w:r w:rsidR="00DE275B" w:rsidRPr="008D59BB">
        <w:rPr>
          <w:rFonts w:ascii="Arial" w:hAnsi="Arial" w:cs="Arial"/>
          <w:sz w:val="24"/>
          <w:szCs w:val="24"/>
        </w:rPr>
        <w:t>35</w:t>
      </w:r>
      <w:r w:rsidR="00837686" w:rsidRPr="008D59BB">
        <w:rPr>
          <w:rFonts w:ascii="Arial" w:hAnsi="Arial" w:cs="Arial"/>
          <w:sz w:val="24"/>
          <w:szCs w:val="24"/>
        </w:rPr>
        <w:t xml:space="preserve">] or </w:t>
      </w:r>
      <w:r w:rsidR="006F5D63" w:rsidRPr="008D59BB">
        <w:rPr>
          <w:rFonts w:ascii="Arial" w:hAnsi="Arial" w:cs="Arial"/>
          <w:sz w:val="24"/>
          <w:szCs w:val="24"/>
        </w:rPr>
        <w:t>delaying onset and progression of pressure ulcers [</w:t>
      </w:r>
      <w:r w:rsidR="00DE275B" w:rsidRPr="008D59BB">
        <w:rPr>
          <w:rFonts w:ascii="Arial" w:hAnsi="Arial" w:cs="Arial"/>
          <w:sz w:val="24"/>
          <w:szCs w:val="24"/>
        </w:rPr>
        <w:t>36</w:t>
      </w:r>
      <w:r w:rsidR="006F5D63" w:rsidRPr="008D59BB">
        <w:rPr>
          <w:rFonts w:ascii="Arial" w:hAnsi="Arial" w:cs="Arial"/>
          <w:sz w:val="24"/>
          <w:szCs w:val="24"/>
        </w:rPr>
        <w:t>],</w:t>
      </w:r>
      <w:r w:rsidR="001A22CA" w:rsidRPr="008D59BB">
        <w:rPr>
          <w:rFonts w:ascii="Arial" w:hAnsi="Arial" w:cs="Arial"/>
          <w:sz w:val="24"/>
          <w:szCs w:val="24"/>
        </w:rPr>
        <w:t xml:space="preserve"> while some studies found little</w:t>
      </w:r>
      <w:r w:rsidR="009E47FF" w:rsidRPr="008D59BB">
        <w:rPr>
          <w:rFonts w:ascii="Arial" w:hAnsi="Arial" w:cs="Arial"/>
          <w:sz w:val="24"/>
          <w:szCs w:val="24"/>
        </w:rPr>
        <w:t xml:space="preserve"> or no</w:t>
      </w:r>
      <w:r w:rsidR="001A22CA" w:rsidRPr="008D59BB">
        <w:rPr>
          <w:rFonts w:ascii="Arial" w:hAnsi="Arial" w:cs="Arial"/>
          <w:sz w:val="24"/>
          <w:szCs w:val="24"/>
        </w:rPr>
        <w:t xml:space="preserve"> benefit</w:t>
      </w:r>
      <w:r w:rsidR="003F71EC" w:rsidRPr="008D59BB">
        <w:rPr>
          <w:rFonts w:ascii="Arial" w:hAnsi="Arial" w:cs="Arial"/>
          <w:sz w:val="24"/>
          <w:szCs w:val="24"/>
        </w:rPr>
        <w:t xml:space="preserve"> </w:t>
      </w:r>
      <w:r w:rsidR="007A47FF" w:rsidRPr="008D59BB">
        <w:rPr>
          <w:rFonts w:ascii="Arial" w:hAnsi="Arial" w:cs="Arial"/>
          <w:sz w:val="24"/>
          <w:szCs w:val="24"/>
        </w:rPr>
        <w:t>[</w:t>
      </w:r>
      <w:r w:rsidR="00DE275B" w:rsidRPr="008D59BB">
        <w:rPr>
          <w:rFonts w:ascii="Arial" w:hAnsi="Arial" w:cs="Arial"/>
          <w:sz w:val="24"/>
          <w:szCs w:val="24"/>
        </w:rPr>
        <w:t xml:space="preserve">37, </w:t>
      </w:r>
      <w:r w:rsidR="00AC6FCB" w:rsidRPr="008D59BB">
        <w:rPr>
          <w:rFonts w:ascii="Arial" w:hAnsi="Arial" w:cs="Arial"/>
          <w:sz w:val="24"/>
          <w:szCs w:val="24"/>
        </w:rPr>
        <w:t>38</w:t>
      </w:r>
      <w:r w:rsidR="007A47FF" w:rsidRPr="008D59BB">
        <w:rPr>
          <w:rFonts w:ascii="Arial" w:hAnsi="Arial" w:cs="Arial"/>
          <w:sz w:val="24"/>
          <w:szCs w:val="24"/>
        </w:rPr>
        <w:t>]</w:t>
      </w:r>
      <w:r w:rsidR="001A22CA" w:rsidRPr="008D59BB">
        <w:rPr>
          <w:rFonts w:ascii="Arial" w:hAnsi="Arial" w:cs="Arial"/>
          <w:sz w:val="24"/>
          <w:szCs w:val="24"/>
        </w:rPr>
        <w:t>, probably due to non-compliance</w:t>
      </w:r>
      <w:r w:rsidR="00E444A7" w:rsidRPr="008D59BB">
        <w:rPr>
          <w:rFonts w:ascii="Arial" w:hAnsi="Arial" w:cs="Arial"/>
          <w:sz w:val="24"/>
          <w:szCs w:val="24"/>
        </w:rPr>
        <w:t xml:space="preserve"> </w:t>
      </w:r>
      <w:r w:rsidR="007A47FF" w:rsidRPr="008D59BB">
        <w:rPr>
          <w:rFonts w:ascii="Arial" w:hAnsi="Arial" w:cs="Arial"/>
          <w:sz w:val="24"/>
          <w:szCs w:val="24"/>
        </w:rPr>
        <w:t>[</w:t>
      </w:r>
      <w:r w:rsidR="00DE275B" w:rsidRPr="008D59BB">
        <w:rPr>
          <w:rFonts w:ascii="Arial" w:hAnsi="Arial" w:cs="Arial"/>
          <w:sz w:val="24"/>
          <w:szCs w:val="24"/>
        </w:rPr>
        <w:t>37, 39</w:t>
      </w:r>
      <w:r w:rsidR="007A47FF" w:rsidRPr="008D59BB">
        <w:rPr>
          <w:rFonts w:ascii="Arial" w:hAnsi="Arial" w:cs="Arial"/>
          <w:sz w:val="24"/>
          <w:szCs w:val="24"/>
        </w:rPr>
        <w:t xml:space="preserve">] </w:t>
      </w:r>
      <w:r w:rsidR="001A22CA" w:rsidRPr="008D59BB">
        <w:rPr>
          <w:rFonts w:ascii="Arial" w:hAnsi="Arial" w:cs="Arial"/>
          <w:sz w:val="24"/>
          <w:szCs w:val="24"/>
        </w:rPr>
        <w:t xml:space="preserve">but may also be </w:t>
      </w:r>
      <w:r w:rsidR="00C93FB1" w:rsidRPr="008D59BB">
        <w:rPr>
          <w:rFonts w:ascii="Arial" w:hAnsi="Arial" w:cs="Arial"/>
          <w:sz w:val="24"/>
          <w:szCs w:val="24"/>
        </w:rPr>
        <w:t>confounded</w:t>
      </w:r>
      <w:r w:rsidR="001A22CA" w:rsidRPr="008D59BB">
        <w:rPr>
          <w:rFonts w:ascii="Arial" w:hAnsi="Arial" w:cs="Arial"/>
          <w:sz w:val="24"/>
          <w:szCs w:val="24"/>
        </w:rPr>
        <w:t xml:space="preserve"> by a </w:t>
      </w:r>
      <w:r w:rsidR="00C011F1" w:rsidRPr="008D59BB">
        <w:rPr>
          <w:rFonts w:ascii="Arial" w:hAnsi="Arial" w:cs="Arial"/>
          <w:sz w:val="24"/>
          <w:szCs w:val="24"/>
        </w:rPr>
        <w:t>number of other co-existing factors such as co-morbidities, medications and infections.</w:t>
      </w:r>
    </w:p>
    <w:p w14:paraId="5BBBAFB4" w14:textId="77777777" w:rsidR="00A367D8" w:rsidRPr="008D59BB" w:rsidRDefault="00A367D8" w:rsidP="00A367D8">
      <w:pPr>
        <w:spacing w:after="0" w:line="480" w:lineRule="auto"/>
        <w:jc w:val="both"/>
        <w:rPr>
          <w:rFonts w:ascii="Arial" w:hAnsi="Arial" w:cs="Arial"/>
          <w:sz w:val="24"/>
          <w:szCs w:val="24"/>
          <w:lang w:val="en-US"/>
        </w:rPr>
      </w:pPr>
    </w:p>
    <w:p w14:paraId="4A50810E" w14:textId="1F93A761" w:rsidR="00A367D8" w:rsidRPr="008D59BB" w:rsidRDefault="00044E36" w:rsidP="00A367D8">
      <w:pPr>
        <w:spacing w:after="0" w:line="480" w:lineRule="auto"/>
        <w:jc w:val="both"/>
        <w:rPr>
          <w:rFonts w:ascii="Arial" w:hAnsi="Arial" w:cs="Arial"/>
          <w:sz w:val="24"/>
          <w:szCs w:val="24"/>
        </w:rPr>
      </w:pPr>
      <w:r w:rsidRPr="008D59BB">
        <w:rPr>
          <w:rFonts w:ascii="Arial" w:hAnsi="Arial" w:cs="Arial"/>
          <w:sz w:val="24"/>
          <w:szCs w:val="24"/>
          <w:lang w:val="en-US"/>
        </w:rPr>
        <w:t>The relatively high prevalence of risk of malnutrition or malnourishment in the community and hospital, together with the</w:t>
      </w:r>
      <w:r w:rsidR="00EA56C9" w:rsidRPr="008D59BB">
        <w:rPr>
          <w:rFonts w:ascii="Arial" w:hAnsi="Arial" w:cs="Arial"/>
          <w:sz w:val="24"/>
          <w:szCs w:val="24"/>
          <w:lang w:val="en-US"/>
        </w:rPr>
        <w:t>ir</w:t>
      </w:r>
      <w:r w:rsidRPr="008D59BB">
        <w:rPr>
          <w:rFonts w:ascii="Arial" w:hAnsi="Arial" w:cs="Arial"/>
          <w:sz w:val="24"/>
          <w:szCs w:val="24"/>
          <w:lang w:val="en-US"/>
        </w:rPr>
        <w:t xml:space="preserve"> adverse consequences observed in</w:t>
      </w:r>
      <w:r w:rsidR="00A367D8" w:rsidRPr="008D59BB">
        <w:rPr>
          <w:rFonts w:ascii="Arial" w:hAnsi="Arial" w:cs="Arial"/>
          <w:sz w:val="24"/>
          <w:szCs w:val="24"/>
          <w:lang w:val="en-US"/>
        </w:rPr>
        <w:t xml:space="preserve"> our study</w:t>
      </w:r>
      <w:r w:rsidRPr="008D59BB">
        <w:rPr>
          <w:rFonts w:ascii="Arial" w:hAnsi="Arial" w:cs="Arial"/>
          <w:sz w:val="24"/>
          <w:szCs w:val="24"/>
          <w:lang w:val="en-US"/>
        </w:rPr>
        <w:t>, lend</w:t>
      </w:r>
      <w:r w:rsidR="00A367D8" w:rsidRPr="008D59BB">
        <w:rPr>
          <w:rFonts w:ascii="Arial" w:hAnsi="Arial" w:cs="Arial"/>
          <w:sz w:val="24"/>
          <w:szCs w:val="24"/>
        </w:rPr>
        <w:t xml:space="preserve"> support </w:t>
      </w:r>
      <w:r w:rsidRPr="008D59BB">
        <w:rPr>
          <w:rFonts w:ascii="Arial" w:hAnsi="Arial" w:cs="Arial"/>
          <w:sz w:val="24"/>
          <w:szCs w:val="24"/>
        </w:rPr>
        <w:t xml:space="preserve">for </w:t>
      </w:r>
      <w:r w:rsidR="00A367D8" w:rsidRPr="008D59BB">
        <w:rPr>
          <w:rFonts w:ascii="Arial" w:hAnsi="Arial" w:cs="Arial"/>
          <w:sz w:val="24"/>
          <w:szCs w:val="24"/>
        </w:rPr>
        <w:t>routine nutritional assessment</w:t>
      </w:r>
      <w:r w:rsidR="006B5F2F" w:rsidRPr="008D59BB">
        <w:rPr>
          <w:rFonts w:ascii="Arial" w:hAnsi="Arial" w:cs="Arial"/>
          <w:sz w:val="24"/>
          <w:szCs w:val="24"/>
        </w:rPr>
        <w:t xml:space="preserve"> of older patients admitted to hospital</w:t>
      </w:r>
      <w:r w:rsidR="00A367D8" w:rsidRPr="008D59BB">
        <w:rPr>
          <w:rFonts w:ascii="Arial" w:hAnsi="Arial" w:cs="Arial"/>
          <w:sz w:val="24"/>
          <w:szCs w:val="24"/>
        </w:rPr>
        <w:t xml:space="preserve">. </w:t>
      </w:r>
      <w:r w:rsidR="00287E20" w:rsidRPr="008D59BB">
        <w:rPr>
          <w:rFonts w:ascii="Arial" w:hAnsi="Arial" w:cs="Arial"/>
          <w:sz w:val="24"/>
          <w:szCs w:val="24"/>
        </w:rPr>
        <w:t>O</w:t>
      </w:r>
      <w:r w:rsidR="00A367D8" w:rsidRPr="008D59BB">
        <w:rPr>
          <w:rFonts w:ascii="Arial" w:hAnsi="Arial" w:cs="Arial"/>
          <w:sz w:val="24"/>
          <w:szCs w:val="24"/>
        </w:rPr>
        <w:t>ral nutritional supplement</w:t>
      </w:r>
      <w:r w:rsidR="00287E20" w:rsidRPr="008D59BB">
        <w:rPr>
          <w:rFonts w:ascii="Arial" w:hAnsi="Arial" w:cs="Arial"/>
          <w:sz w:val="24"/>
          <w:szCs w:val="24"/>
        </w:rPr>
        <w:t xml:space="preserve"> in adults</w:t>
      </w:r>
      <w:r w:rsidR="00A367D8" w:rsidRPr="008D59BB">
        <w:rPr>
          <w:rFonts w:ascii="Arial" w:hAnsi="Arial" w:cs="Arial"/>
          <w:sz w:val="24"/>
          <w:szCs w:val="24"/>
        </w:rPr>
        <w:t xml:space="preserve"> </w:t>
      </w:r>
      <w:r w:rsidR="00376281" w:rsidRPr="008D59BB">
        <w:rPr>
          <w:rFonts w:ascii="Arial" w:hAnsi="Arial" w:cs="Arial"/>
          <w:sz w:val="24"/>
          <w:szCs w:val="24"/>
        </w:rPr>
        <w:t xml:space="preserve">admitted to hospital </w:t>
      </w:r>
      <w:r w:rsidR="00287E20" w:rsidRPr="008D59BB">
        <w:rPr>
          <w:rFonts w:ascii="Arial" w:hAnsi="Arial" w:cs="Arial"/>
          <w:sz w:val="24"/>
          <w:szCs w:val="24"/>
        </w:rPr>
        <w:t xml:space="preserve">has been shown to </w:t>
      </w:r>
      <w:r w:rsidR="00A367D8" w:rsidRPr="008D59BB">
        <w:rPr>
          <w:rFonts w:ascii="Arial" w:hAnsi="Arial" w:cs="Arial"/>
          <w:sz w:val="24"/>
          <w:szCs w:val="24"/>
        </w:rPr>
        <w:lastRenderedPageBreak/>
        <w:t xml:space="preserve">reduce the </w:t>
      </w:r>
      <w:r w:rsidR="00376281" w:rsidRPr="008D59BB">
        <w:rPr>
          <w:rFonts w:ascii="Arial" w:hAnsi="Arial" w:cs="Arial"/>
          <w:sz w:val="24"/>
          <w:szCs w:val="24"/>
        </w:rPr>
        <w:t>hospital LOS</w:t>
      </w:r>
      <w:r w:rsidR="00A367D8" w:rsidRPr="008D59BB">
        <w:rPr>
          <w:rFonts w:ascii="Arial" w:hAnsi="Arial" w:cs="Arial"/>
          <w:sz w:val="24"/>
          <w:szCs w:val="24"/>
        </w:rPr>
        <w:t xml:space="preserve"> by 2.3 days, and </w:t>
      </w:r>
      <w:r w:rsidR="00376281" w:rsidRPr="008D59BB">
        <w:rPr>
          <w:rFonts w:ascii="Arial" w:hAnsi="Arial" w:cs="Arial"/>
          <w:sz w:val="24"/>
          <w:szCs w:val="24"/>
        </w:rPr>
        <w:t>30-day</w:t>
      </w:r>
      <w:r w:rsidR="00A367D8" w:rsidRPr="008D59BB">
        <w:rPr>
          <w:rFonts w:ascii="Arial" w:hAnsi="Arial" w:cs="Arial"/>
          <w:sz w:val="24"/>
          <w:szCs w:val="24"/>
        </w:rPr>
        <w:t xml:space="preserve"> readmission by 2.3% </w:t>
      </w:r>
      <w:r w:rsidR="00287E20" w:rsidRPr="008D59BB">
        <w:rPr>
          <w:rFonts w:ascii="Arial" w:hAnsi="Arial" w:cs="Arial"/>
          <w:sz w:val="24"/>
          <w:szCs w:val="24"/>
        </w:rPr>
        <w:t>[40]</w:t>
      </w:r>
      <w:r w:rsidR="00EC4F13" w:rsidRPr="008D59BB">
        <w:rPr>
          <w:rFonts w:ascii="Arial" w:hAnsi="Arial" w:cs="Arial"/>
          <w:sz w:val="24"/>
          <w:szCs w:val="24"/>
        </w:rPr>
        <w:t>, while</w:t>
      </w:r>
      <w:r w:rsidR="00A367D8" w:rsidRPr="008D59BB">
        <w:rPr>
          <w:rFonts w:ascii="Arial" w:hAnsi="Arial" w:cs="Arial"/>
          <w:sz w:val="24"/>
          <w:szCs w:val="24"/>
        </w:rPr>
        <w:t xml:space="preserve"> enteral nutrition </w:t>
      </w:r>
      <w:r w:rsidR="00EC4F13" w:rsidRPr="008D59BB">
        <w:rPr>
          <w:rFonts w:ascii="Arial" w:hAnsi="Arial" w:cs="Arial"/>
          <w:sz w:val="24"/>
          <w:szCs w:val="24"/>
        </w:rPr>
        <w:t xml:space="preserve">support for critically ill patients </w:t>
      </w:r>
      <w:r w:rsidR="00A367D8" w:rsidRPr="008D59BB">
        <w:rPr>
          <w:rFonts w:ascii="Arial" w:hAnsi="Arial" w:cs="Arial"/>
          <w:sz w:val="24"/>
          <w:szCs w:val="24"/>
        </w:rPr>
        <w:t>has been shown to reduce mortality by 56%</w:t>
      </w:r>
      <w:r w:rsidR="00EC4F13" w:rsidRPr="008D59BB">
        <w:rPr>
          <w:rFonts w:ascii="Arial" w:hAnsi="Arial" w:cs="Arial"/>
          <w:sz w:val="24"/>
          <w:szCs w:val="24"/>
        </w:rPr>
        <w:t xml:space="preserve"> [41].</w:t>
      </w:r>
      <w:r w:rsidR="00A367D8" w:rsidRPr="008D59BB">
        <w:rPr>
          <w:rFonts w:ascii="Arial" w:hAnsi="Arial" w:cs="Arial"/>
          <w:sz w:val="24"/>
          <w:szCs w:val="24"/>
        </w:rPr>
        <w:t xml:space="preserve"> </w:t>
      </w:r>
      <w:r w:rsidR="00EC4F13" w:rsidRPr="008D59BB">
        <w:rPr>
          <w:rFonts w:ascii="Arial" w:hAnsi="Arial" w:cs="Arial"/>
          <w:sz w:val="24"/>
          <w:szCs w:val="24"/>
        </w:rPr>
        <w:t>A</w:t>
      </w:r>
      <w:r w:rsidR="00A367D8" w:rsidRPr="008D59BB">
        <w:rPr>
          <w:rFonts w:ascii="Arial" w:hAnsi="Arial" w:cs="Arial"/>
          <w:sz w:val="24"/>
          <w:szCs w:val="24"/>
        </w:rPr>
        <w:t xml:space="preserve"> delay in a dysphagia screen (thus delay in nutrition support) for patients admitted with an acute stroke </w:t>
      </w:r>
      <w:r w:rsidR="00EC4F13" w:rsidRPr="008D59BB">
        <w:rPr>
          <w:rFonts w:ascii="Arial" w:hAnsi="Arial" w:cs="Arial"/>
          <w:sz w:val="24"/>
          <w:szCs w:val="24"/>
        </w:rPr>
        <w:t>was shown to associate</w:t>
      </w:r>
      <w:r w:rsidR="00A367D8" w:rsidRPr="008D59BB">
        <w:rPr>
          <w:rFonts w:ascii="Arial" w:hAnsi="Arial" w:cs="Arial"/>
          <w:sz w:val="24"/>
          <w:szCs w:val="24"/>
        </w:rPr>
        <w:t xml:space="preserve"> with a </w:t>
      </w:r>
      <w:r w:rsidR="00EC4F13" w:rsidRPr="008D59BB">
        <w:rPr>
          <w:rFonts w:ascii="Arial" w:hAnsi="Arial" w:cs="Arial"/>
          <w:sz w:val="24"/>
          <w:szCs w:val="24"/>
        </w:rPr>
        <w:t>LOS</w:t>
      </w:r>
      <w:r w:rsidR="00A367D8" w:rsidRPr="008D59BB">
        <w:rPr>
          <w:rFonts w:ascii="Arial" w:hAnsi="Arial" w:cs="Arial"/>
          <w:sz w:val="24"/>
          <w:szCs w:val="24"/>
        </w:rPr>
        <w:t xml:space="preserve"> on hyperacute stroke units, increased risk of urinary tract infection and pneumonia within seven days of admission and greater in-patient mortality</w:t>
      </w:r>
      <w:r w:rsidR="00EC4F13" w:rsidRPr="008D59BB">
        <w:rPr>
          <w:rFonts w:ascii="Arial" w:hAnsi="Arial" w:cs="Arial"/>
          <w:sz w:val="24"/>
          <w:szCs w:val="24"/>
        </w:rPr>
        <w:t xml:space="preserve"> [42]</w:t>
      </w:r>
      <w:r w:rsidR="00A367D8" w:rsidRPr="008D59BB">
        <w:rPr>
          <w:rFonts w:ascii="Arial" w:hAnsi="Arial" w:cs="Arial"/>
          <w:sz w:val="24"/>
          <w:szCs w:val="24"/>
        </w:rPr>
        <w:t>.</w:t>
      </w:r>
      <w:r w:rsidR="00B610B1" w:rsidRPr="008D59BB">
        <w:rPr>
          <w:rFonts w:ascii="Arial" w:hAnsi="Arial" w:cs="Arial"/>
          <w:sz w:val="24"/>
          <w:szCs w:val="24"/>
        </w:rPr>
        <w:t xml:space="preserve"> </w:t>
      </w:r>
      <w:r w:rsidR="006B5F2F" w:rsidRPr="008D59BB">
        <w:rPr>
          <w:rFonts w:ascii="Arial" w:hAnsi="Arial" w:cs="Arial"/>
          <w:sz w:val="24"/>
          <w:szCs w:val="24"/>
        </w:rPr>
        <w:t xml:space="preserve">More research on </w:t>
      </w:r>
      <w:r w:rsidR="007B497A" w:rsidRPr="008D59BB">
        <w:rPr>
          <w:rFonts w:ascii="Arial" w:hAnsi="Arial" w:cs="Arial"/>
          <w:sz w:val="24"/>
          <w:szCs w:val="24"/>
        </w:rPr>
        <w:t xml:space="preserve">the effect of </w:t>
      </w:r>
      <w:r w:rsidR="00B610B1" w:rsidRPr="008D59BB">
        <w:rPr>
          <w:rFonts w:ascii="Arial" w:hAnsi="Arial" w:cs="Arial"/>
          <w:sz w:val="24"/>
          <w:szCs w:val="24"/>
        </w:rPr>
        <w:t>early nutrition support for at-risk patients (</w:t>
      </w:r>
      <w:r w:rsidR="00B610B1" w:rsidRPr="008D59BB">
        <w:rPr>
          <w:rFonts w:ascii="Arial" w:hAnsi="Arial" w:cs="Arial"/>
          <w:i/>
          <w:sz w:val="24"/>
          <w:szCs w:val="24"/>
        </w:rPr>
        <w:t>e.g.</w:t>
      </w:r>
      <w:r w:rsidR="00B610B1" w:rsidRPr="008D59BB">
        <w:rPr>
          <w:rFonts w:ascii="Arial" w:hAnsi="Arial" w:cs="Arial"/>
          <w:sz w:val="24"/>
          <w:szCs w:val="24"/>
        </w:rPr>
        <w:t xml:space="preserve"> those developed a new life-changing condition such as cognitive impairment) may</w:t>
      </w:r>
      <w:r w:rsidR="007B497A" w:rsidRPr="008D59BB">
        <w:rPr>
          <w:rFonts w:ascii="Arial" w:hAnsi="Arial" w:cs="Arial"/>
          <w:sz w:val="24"/>
          <w:szCs w:val="24"/>
        </w:rPr>
        <w:t xml:space="preserve"> be</w:t>
      </w:r>
      <w:r w:rsidR="00B610B1" w:rsidRPr="008D59BB">
        <w:rPr>
          <w:rFonts w:ascii="Arial" w:hAnsi="Arial" w:cs="Arial"/>
          <w:sz w:val="24"/>
          <w:szCs w:val="24"/>
        </w:rPr>
        <w:t xml:space="preserve"> help</w:t>
      </w:r>
      <w:r w:rsidR="007B497A" w:rsidRPr="008D59BB">
        <w:rPr>
          <w:rFonts w:ascii="Arial" w:hAnsi="Arial" w:cs="Arial"/>
          <w:sz w:val="24"/>
          <w:szCs w:val="24"/>
        </w:rPr>
        <w:t xml:space="preserve">ful to see if early intervention would </w:t>
      </w:r>
      <w:r w:rsidR="00B610B1" w:rsidRPr="008D59BB">
        <w:rPr>
          <w:rFonts w:ascii="Arial" w:hAnsi="Arial" w:cs="Arial"/>
          <w:sz w:val="24"/>
          <w:szCs w:val="24"/>
        </w:rPr>
        <w:t>prevent or reduce adverse clinical outcomes.</w:t>
      </w:r>
    </w:p>
    <w:p w14:paraId="0D73C8CF" w14:textId="77777777" w:rsidR="00A367D8" w:rsidRPr="008D59BB" w:rsidRDefault="00A367D8" w:rsidP="00A367D8">
      <w:pPr>
        <w:spacing w:after="0" w:line="480" w:lineRule="auto"/>
        <w:jc w:val="both"/>
        <w:rPr>
          <w:rFonts w:ascii="Arial" w:hAnsi="Arial" w:cs="Arial"/>
          <w:sz w:val="24"/>
          <w:szCs w:val="24"/>
        </w:rPr>
      </w:pPr>
    </w:p>
    <w:p w14:paraId="5EE4EF41" w14:textId="77777777" w:rsidR="00254050" w:rsidRPr="008D59BB" w:rsidRDefault="00254050" w:rsidP="002A4A2B">
      <w:pPr>
        <w:spacing w:after="0" w:line="480" w:lineRule="auto"/>
        <w:jc w:val="both"/>
        <w:rPr>
          <w:rFonts w:ascii="Arial" w:hAnsi="Arial" w:cs="Arial"/>
          <w:b/>
          <w:sz w:val="24"/>
          <w:szCs w:val="24"/>
        </w:rPr>
      </w:pPr>
      <w:r w:rsidRPr="008D59BB">
        <w:rPr>
          <w:rFonts w:ascii="Arial" w:hAnsi="Arial" w:cs="Arial"/>
          <w:b/>
          <w:sz w:val="24"/>
          <w:szCs w:val="24"/>
        </w:rPr>
        <w:t>Limitations and strengths</w:t>
      </w:r>
    </w:p>
    <w:p w14:paraId="0FBB7864" w14:textId="4FCD67E4" w:rsidR="00C011F1" w:rsidRPr="008D59BB" w:rsidRDefault="00C011F1" w:rsidP="002A4A2B">
      <w:pPr>
        <w:spacing w:after="0" w:line="480" w:lineRule="auto"/>
        <w:jc w:val="both"/>
        <w:rPr>
          <w:rFonts w:ascii="Arial" w:hAnsi="Arial" w:cs="Arial"/>
          <w:sz w:val="24"/>
          <w:szCs w:val="24"/>
        </w:rPr>
      </w:pPr>
      <w:r w:rsidRPr="008D59BB">
        <w:rPr>
          <w:rFonts w:ascii="Arial" w:hAnsi="Arial" w:cs="Arial"/>
          <w:sz w:val="24"/>
          <w:szCs w:val="24"/>
        </w:rPr>
        <w:t xml:space="preserve">The present study has certain limitations </w:t>
      </w:r>
      <w:r w:rsidR="006F4EDC" w:rsidRPr="008D59BB">
        <w:rPr>
          <w:rFonts w:ascii="Arial" w:hAnsi="Arial" w:cs="Arial"/>
          <w:sz w:val="24"/>
          <w:szCs w:val="24"/>
        </w:rPr>
        <w:t xml:space="preserve">due to the nature </w:t>
      </w:r>
      <w:r w:rsidR="00E64F00" w:rsidRPr="008D59BB">
        <w:rPr>
          <w:rFonts w:ascii="Arial" w:hAnsi="Arial" w:cs="Arial"/>
          <w:sz w:val="24"/>
          <w:szCs w:val="24"/>
        </w:rPr>
        <w:t xml:space="preserve">of </w:t>
      </w:r>
      <w:r w:rsidR="009E47FF" w:rsidRPr="008D59BB">
        <w:rPr>
          <w:rFonts w:ascii="Arial" w:hAnsi="Arial" w:cs="Arial"/>
          <w:sz w:val="24"/>
          <w:szCs w:val="24"/>
        </w:rPr>
        <w:t>its</w:t>
      </w:r>
      <w:r w:rsidR="006F4EDC" w:rsidRPr="008D59BB">
        <w:rPr>
          <w:rFonts w:ascii="Arial" w:hAnsi="Arial" w:cs="Arial"/>
          <w:sz w:val="24"/>
          <w:szCs w:val="24"/>
        </w:rPr>
        <w:t xml:space="preserve"> study design</w:t>
      </w:r>
      <w:r w:rsidRPr="008D59BB">
        <w:rPr>
          <w:rFonts w:ascii="Arial" w:hAnsi="Arial" w:cs="Arial"/>
          <w:sz w:val="24"/>
          <w:szCs w:val="24"/>
        </w:rPr>
        <w:t xml:space="preserve">. </w:t>
      </w:r>
      <w:r w:rsidR="00C34D94" w:rsidRPr="008D59BB">
        <w:rPr>
          <w:rFonts w:ascii="Arial" w:hAnsi="Arial" w:cs="Arial"/>
          <w:sz w:val="24"/>
          <w:szCs w:val="24"/>
        </w:rPr>
        <w:t xml:space="preserve">Although </w:t>
      </w:r>
      <w:r w:rsidR="009E47FF" w:rsidRPr="008D59BB">
        <w:rPr>
          <w:rFonts w:ascii="Arial" w:hAnsi="Arial" w:cs="Arial"/>
          <w:sz w:val="24"/>
          <w:szCs w:val="24"/>
        </w:rPr>
        <w:t xml:space="preserve">risk of </w:t>
      </w:r>
      <w:r w:rsidR="00C34D94" w:rsidRPr="008D59BB">
        <w:rPr>
          <w:rFonts w:ascii="Arial" w:hAnsi="Arial" w:cs="Arial"/>
          <w:sz w:val="24"/>
          <w:szCs w:val="24"/>
        </w:rPr>
        <w:t xml:space="preserve">malnutrition or malnourishment were identified on admission and routinely treated in our centre, </w:t>
      </w:r>
      <w:r w:rsidR="009E47FF" w:rsidRPr="008D59BB">
        <w:rPr>
          <w:rFonts w:ascii="Arial" w:hAnsi="Arial" w:cs="Arial"/>
          <w:sz w:val="24"/>
          <w:szCs w:val="24"/>
        </w:rPr>
        <w:t>we did not have information on their nutritional status afterwards</w:t>
      </w:r>
      <w:r w:rsidR="00E64F00" w:rsidRPr="008D59BB">
        <w:rPr>
          <w:rFonts w:ascii="Arial" w:hAnsi="Arial" w:cs="Arial"/>
          <w:sz w:val="24"/>
          <w:szCs w:val="24"/>
        </w:rPr>
        <w:t>. However,</w:t>
      </w:r>
      <w:r w:rsidR="007B15BE" w:rsidRPr="008D59BB">
        <w:rPr>
          <w:rFonts w:ascii="Arial" w:hAnsi="Arial" w:cs="Arial"/>
          <w:sz w:val="24"/>
          <w:szCs w:val="24"/>
        </w:rPr>
        <w:t xml:space="preserve"> all those with evidence of risk of malnutrition or malnourishment were referred to dietitians</w:t>
      </w:r>
      <w:r w:rsidRPr="008D59BB">
        <w:rPr>
          <w:rFonts w:ascii="Arial" w:hAnsi="Arial" w:cs="Arial"/>
          <w:sz w:val="24"/>
          <w:szCs w:val="24"/>
        </w:rPr>
        <w:t>.</w:t>
      </w:r>
      <w:r w:rsidR="007B15BE" w:rsidRPr="008D59BB">
        <w:rPr>
          <w:rFonts w:ascii="Arial" w:hAnsi="Arial" w:cs="Arial"/>
          <w:sz w:val="24"/>
          <w:szCs w:val="24"/>
        </w:rPr>
        <w:t xml:space="preserve"> </w:t>
      </w:r>
      <w:r w:rsidR="00E64F00" w:rsidRPr="008D59BB">
        <w:rPr>
          <w:rFonts w:ascii="Arial" w:hAnsi="Arial" w:cs="Arial"/>
          <w:sz w:val="24"/>
          <w:szCs w:val="24"/>
        </w:rPr>
        <w:t xml:space="preserve">Previous </w:t>
      </w:r>
      <w:r w:rsidR="00CB7E9D" w:rsidRPr="008D59BB">
        <w:rPr>
          <w:rFonts w:ascii="Arial" w:hAnsi="Arial" w:cs="Arial"/>
          <w:sz w:val="24"/>
          <w:szCs w:val="24"/>
        </w:rPr>
        <w:t>studies</w:t>
      </w:r>
      <w:r w:rsidR="00E64F00" w:rsidRPr="008D59BB">
        <w:rPr>
          <w:rFonts w:ascii="Arial" w:hAnsi="Arial" w:cs="Arial"/>
          <w:sz w:val="24"/>
          <w:szCs w:val="24"/>
        </w:rPr>
        <w:t xml:space="preserve"> </w:t>
      </w:r>
      <w:r w:rsidR="007B15BE" w:rsidRPr="008D59BB">
        <w:rPr>
          <w:rFonts w:ascii="Arial" w:hAnsi="Arial" w:cs="Arial"/>
          <w:sz w:val="24"/>
          <w:szCs w:val="24"/>
        </w:rPr>
        <w:t>have shown that patients with malnourishment on admission</w:t>
      </w:r>
      <w:r w:rsidR="00E64F00" w:rsidRPr="008D59BB">
        <w:rPr>
          <w:rFonts w:ascii="Arial" w:hAnsi="Arial" w:cs="Arial"/>
          <w:sz w:val="24"/>
          <w:szCs w:val="24"/>
        </w:rPr>
        <w:t xml:space="preserve"> and</w:t>
      </w:r>
      <w:r w:rsidR="007B15BE" w:rsidRPr="008D59BB">
        <w:rPr>
          <w:rFonts w:ascii="Arial" w:hAnsi="Arial" w:cs="Arial"/>
          <w:sz w:val="24"/>
          <w:szCs w:val="24"/>
        </w:rPr>
        <w:t xml:space="preserve"> without nutritional support lost 5.4% of body weight</w:t>
      </w:r>
      <w:r w:rsidR="00E64F00" w:rsidRPr="008D59BB">
        <w:rPr>
          <w:rFonts w:ascii="Arial" w:hAnsi="Arial" w:cs="Arial"/>
          <w:sz w:val="24"/>
          <w:szCs w:val="24"/>
        </w:rPr>
        <w:t>,</w:t>
      </w:r>
      <w:r w:rsidR="007B15BE" w:rsidRPr="008D59BB">
        <w:rPr>
          <w:rFonts w:ascii="Arial" w:hAnsi="Arial" w:cs="Arial"/>
          <w:sz w:val="24"/>
          <w:szCs w:val="24"/>
        </w:rPr>
        <w:t xml:space="preserve"> </w:t>
      </w:r>
      <w:r w:rsidR="00E64F00" w:rsidRPr="008D59BB">
        <w:rPr>
          <w:rFonts w:ascii="Arial" w:hAnsi="Arial" w:cs="Arial"/>
          <w:sz w:val="24"/>
          <w:szCs w:val="24"/>
        </w:rPr>
        <w:t xml:space="preserve">whilst </w:t>
      </w:r>
      <w:r w:rsidR="007B15BE" w:rsidRPr="008D59BB">
        <w:rPr>
          <w:rFonts w:ascii="Arial" w:hAnsi="Arial" w:cs="Arial"/>
          <w:sz w:val="24"/>
          <w:szCs w:val="24"/>
        </w:rPr>
        <w:t>those referred for nutritional support gained 7.9%</w:t>
      </w:r>
      <w:r w:rsidRPr="008D59BB">
        <w:rPr>
          <w:rFonts w:ascii="Arial" w:hAnsi="Arial" w:cs="Arial"/>
          <w:sz w:val="24"/>
          <w:szCs w:val="24"/>
        </w:rPr>
        <w:t xml:space="preserve"> </w:t>
      </w:r>
      <w:r w:rsidR="007B15BE" w:rsidRPr="008D59BB">
        <w:rPr>
          <w:rFonts w:ascii="Arial" w:hAnsi="Arial" w:cs="Arial"/>
          <w:sz w:val="24"/>
          <w:szCs w:val="24"/>
        </w:rPr>
        <w:t>on discharge [</w:t>
      </w:r>
      <w:r w:rsidR="00DE275B" w:rsidRPr="008D59BB">
        <w:rPr>
          <w:rFonts w:ascii="Arial" w:hAnsi="Arial" w:cs="Arial"/>
          <w:sz w:val="24"/>
          <w:szCs w:val="24"/>
        </w:rPr>
        <w:t>4</w:t>
      </w:r>
      <w:r w:rsidR="00EC4F13" w:rsidRPr="008D59BB">
        <w:rPr>
          <w:rFonts w:ascii="Arial" w:hAnsi="Arial" w:cs="Arial"/>
          <w:sz w:val="24"/>
          <w:szCs w:val="24"/>
        </w:rPr>
        <w:t>3</w:t>
      </w:r>
      <w:r w:rsidR="007B15BE" w:rsidRPr="008D59BB">
        <w:rPr>
          <w:rFonts w:ascii="Arial" w:hAnsi="Arial" w:cs="Arial"/>
          <w:sz w:val="24"/>
          <w:szCs w:val="24"/>
        </w:rPr>
        <w:t xml:space="preserve">]. </w:t>
      </w:r>
      <w:r w:rsidR="00DC620D" w:rsidRPr="008D59BB">
        <w:rPr>
          <w:rFonts w:ascii="Arial" w:hAnsi="Arial" w:cs="Arial"/>
          <w:sz w:val="24"/>
          <w:szCs w:val="24"/>
        </w:rPr>
        <w:t>While only 3% of patie</w:t>
      </w:r>
      <w:r w:rsidR="005814C7" w:rsidRPr="008D59BB">
        <w:rPr>
          <w:rFonts w:ascii="Arial" w:hAnsi="Arial" w:cs="Arial"/>
          <w:sz w:val="24"/>
          <w:szCs w:val="24"/>
        </w:rPr>
        <w:t>nts in our study was on an antire</w:t>
      </w:r>
      <w:r w:rsidR="00DC620D" w:rsidRPr="008D59BB">
        <w:rPr>
          <w:rFonts w:ascii="Arial" w:hAnsi="Arial" w:cs="Arial"/>
          <w:sz w:val="24"/>
          <w:szCs w:val="24"/>
        </w:rPr>
        <w:t xml:space="preserve">sorptive treatment, 84% received </w:t>
      </w:r>
      <w:r w:rsidR="005814C7" w:rsidRPr="008D59BB">
        <w:rPr>
          <w:rFonts w:ascii="Arial" w:hAnsi="Arial" w:cs="Arial"/>
          <w:sz w:val="24"/>
          <w:szCs w:val="24"/>
        </w:rPr>
        <w:t xml:space="preserve">a </w:t>
      </w:r>
      <w:r w:rsidR="00DC620D" w:rsidRPr="008D59BB">
        <w:rPr>
          <w:rFonts w:ascii="Arial" w:hAnsi="Arial" w:cs="Arial"/>
          <w:sz w:val="24"/>
          <w:szCs w:val="24"/>
        </w:rPr>
        <w:t xml:space="preserve">new </w:t>
      </w:r>
      <w:r w:rsidR="005814C7" w:rsidRPr="008D59BB">
        <w:rPr>
          <w:rFonts w:ascii="Arial" w:hAnsi="Arial" w:cs="Arial"/>
          <w:sz w:val="24"/>
          <w:szCs w:val="24"/>
        </w:rPr>
        <w:t xml:space="preserve">antiresorptive agent </w:t>
      </w:r>
      <w:r w:rsidR="00DC620D" w:rsidRPr="008D59BB">
        <w:rPr>
          <w:rFonts w:ascii="Arial" w:hAnsi="Arial" w:cs="Arial"/>
          <w:sz w:val="24"/>
          <w:szCs w:val="24"/>
        </w:rPr>
        <w:t xml:space="preserve">while in hospital and a further 9% were being considered after discharge. </w:t>
      </w:r>
      <w:r w:rsidRPr="008D59BB">
        <w:rPr>
          <w:rFonts w:ascii="Arial" w:hAnsi="Arial" w:cs="Arial"/>
          <w:sz w:val="24"/>
          <w:szCs w:val="24"/>
        </w:rPr>
        <w:t xml:space="preserve">The strengths of the study include </w:t>
      </w:r>
      <w:r w:rsidR="006F4EDC" w:rsidRPr="008D59BB">
        <w:rPr>
          <w:rFonts w:ascii="Arial" w:hAnsi="Arial" w:cs="Arial"/>
          <w:sz w:val="24"/>
          <w:szCs w:val="24"/>
        </w:rPr>
        <w:t xml:space="preserve">its relatively large sample with </w:t>
      </w:r>
      <w:r w:rsidRPr="008D59BB">
        <w:rPr>
          <w:rFonts w:ascii="Arial" w:hAnsi="Arial" w:cs="Arial"/>
          <w:sz w:val="24"/>
          <w:szCs w:val="24"/>
        </w:rPr>
        <w:t xml:space="preserve">precise and detailed </w:t>
      </w:r>
      <w:r w:rsidR="006F4EDC" w:rsidRPr="008D59BB">
        <w:rPr>
          <w:rFonts w:ascii="Arial" w:hAnsi="Arial" w:cs="Arial"/>
          <w:sz w:val="24"/>
          <w:szCs w:val="24"/>
        </w:rPr>
        <w:t>data collected according to the</w:t>
      </w:r>
      <w:r w:rsidRPr="008D59BB">
        <w:rPr>
          <w:rFonts w:ascii="Arial" w:hAnsi="Arial" w:cs="Arial"/>
          <w:sz w:val="24"/>
          <w:szCs w:val="24"/>
        </w:rPr>
        <w:t xml:space="preserve"> national guidelines [1</w:t>
      </w:r>
      <w:r w:rsidR="00EA16FD" w:rsidRPr="008D59BB">
        <w:rPr>
          <w:rFonts w:ascii="Arial" w:hAnsi="Arial" w:cs="Arial"/>
          <w:sz w:val="24"/>
          <w:szCs w:val="24"/>
        </w:rPr>
        <w:t>3</w:t>
      </w:r>
      <w:r w:rsidRPr="008D59BB">
        <w:rPr>
          <w:rFonts w:ascii="Arial" w:hAnsi="Arial" w:cs="Arial"/>
          <w:sz w:val="24"/>
          <w:szCs w:val="24"/>
        </w:rPr>
        <w:t>-1</w:t>
      </w:r>
      <w:r w:rsidR="00EA16FD" w:rsidRPr="008D59BB">
        <w:rPr>
          <w:rFonts w:ascii="Arial" w:hAnsi="Arial" w:cs="Arial"/>
          <w:sz w:val="24"/>
          <w:szCs w:val="24"/>
        </w:rPr>
        <w:t>5</w:t>
      </w:r>
      <w:r w:rsidR="00393A2F" w:rsidRPr="008D59BB">
        <w:rPr>
          <w:rFonts w:ascii="Arial" w:hAnsi="Arial" w:cs="Arial"/>
          <w:sz w:val="24"/>
          <w:szCs w:val="24"/>
        </w:rPr>
        <w:t>].</w:t>
      </w:r>
      <w:r w:rsidR="00FA3418" w:rsidRPr="008D59BB">
        <w:rPr>
          <w:rFonts w:ascii="Arial" w:hAnsi="Arial" w:cs="Arial"/>
          <w:sz w:val="24"/>
          <w:szCs w:val="24"/>
        </w:rPr>
        <w:t xml:space="preserve"> We used the </w:t>
      </w:r>
      <w:r w:rsidR="009B3035" w:rsidRPr="008D59BB">
        <w:rPr>
          <w:rFonts w:ascii="Arial" w:hAnsi="Arial" w:cs="Arial"/>
          <w:sz w:val="24"/>
          <w:szCs w:val="24"/>
        </w:rPr>
        <w:t>MUST</w:t>
      </w:r>
      <w:r w:rsidR="00FA3418" w:rsidRPr="008D59BB">
        <w:rPr>
          <w:rFonts w:ascii="Arial" w:hAnsi="Arial" w:cs="Arial"/>
          <w:sz w:val="24"/>
          <w:szCs w:val="24"/>
        </w:rPr>
        <w:t xml:space="preserve"> protocol</w:t>
      </w:r>
      <w:r w:rsidR="009B3035" w:rsidRPr="008D59BB">
        <w:rPr>
          <w:rFonts w:ascii="Arial" w:hAnsi="Arial" w:cs="Arial"/>
          <w:sz w:val="24"/>
          <w:szCs w:val="24"/>
        </w:rPr>
        <w:t xml:space="preserve"> because it</w:t>
      </w:r>
      <w:r w:rsidR="001D2133" w:rsidRPr="008D59BB">
        <w:rPr>
          <w:rFonts w:ascii="Arial" w:hAnsi="Arial" w:cs="Arial"/>
          <w:sz w:val="24"/>
          <w:szCs w:val="24"/>
        </w:rPr>
        <w:t xml:space="preserve"> was selected by the Royal College of Physicians for the NHFD Audit Programme for its</w:t>
      </w:r>
      <w:r w:rsidR="00FA3418" w:rsidRPr="008D59BB">
        <w:rPr>
          <w:rFonts w:ascii="Arial" w:hAnsi="Arial" w:cs="Arial"/>
          <w:sz w:val="24"/>
          <w:szCs w:val="24"/>
        </w:rPr>
        <w:t xml:space="preserve"> </w:t>
      </w:r>
      <w:r w:rsidR="00E64F00" w:rsidRPr="008D59BB">
        <w:rPr>
          <w:rFonts w:ascii="Arial" w:hAnsi="Arial" w:cs="Arial"/>
          <w:sz w:val="24"/>
          <w:szCs w:val="24"/>
        </w:rPr>
        <w:t>well-</w:t>
      </w:r>
      <w:r w:rsidR="00FA3418" w:rsidRPr="008D59BB">
        <w:rPr>
          <w:rFonts w:ascii="Arial" w:hAnsi="Arial" w:cs="Arial"/>
          <w:sz w:val="24"/>
          <w:szCs w:val="24"/>
        </w:rPr>
        <w:t>validated and widely applied in clinical practice for assessing nutritional status [2</w:t>
      </w:r>
      <w:r w:rsidR="00B60591" w:rsidRPr="008D59BB">
        <w:rPr>
          <w:rFonts w:ascii="Arial" w:hAnsi="Arial" w:cs="Arial"/>
          <w:sz w:val="24"/>
          <w:szCs w:val="24"/>
        </w:rPr>
        <w:t>1</w:t>
      </w:r>
      <w:r w:rsidR="00FA3418" w:rsidRPr="008D59BB">
        <w:rPr>
          <w:rFonts w:ascii="Arial" w:hAnsi="Arial" w:cs="Arial"/>
          <w:sz w:val="24"/>
          <w:szCs w:val="24"/>
        </w:rPr>
        <w:t xml:space="preserve">], and has been shown to be comparable with other </w:t>
      </w:r>
      <w:r w:rsidR="00FA3418" w:rsidRPr="008D59BB">
        <w:rPr>
          <w:rFonts w:ascii="Arial" w:hAnsi="Arial" w:cs="Arial"/>
          <w:sz w:val="24"/>
          <w:szCs w:val="24"/>
        </w:rPr>
        <w:lastRenderedPageBreak/>
        <w:t>nutritional assessment tools [</w:t>
      </w:r>
      <w:r w:rsidR="00DE275B" w:rsidRPr="008D59BB">
        <w:rPr>
          <w:rFonts w:ascii="Arial" w:hAnsi="Arial" w:cs="Arial"/>
          <w:sz w:val="24"/>
          <w:szCs w:val="24"/>
        </w:rPr>
        <w:t>4</w:t>
      </w:r>
      <w:r w:rsidR="00EC4F13" w:rsidRPr="008D59BB">
        <w:rPr>
          <w:rFonts w:ascii="Arial" w:hAnsi="Arial" w:cs="Arial"/>
          <w:sz w:val="24"/>
          <w:szCs w:val="24"/>
        </w:rPr>
        <w:t>4</w:t>
      </w:r>
      <w:r w:rsidR="00FA3418" w:rsidRPr="008D59BB">
        <w:rPr>
          <w:rFonts w:ascii="Arial" w:hAnsi="Arial" w:cs="Arial"/>
          <w:sz w:val="24"/>
          <w:szCs w:val="24"/>
        </w:rPr>
        <w:t>].</w:t>
      </w:r>
      <w:r w:rsidR="001D2133" w:rsidRPr="008D59BB">
        <w:rPr>
          <w:rFonts w:ascii="Arial" w:hAnsi="Arial" w:cs="Arial"/>
          <w:sz w:val="24"/>
          <w:szCs w:val="24"/>
        </w:rPr>
        <w:t xml:space="preserve"> </w:t>
      </w:r>
      <w:r w:rsidR="009B3035" w:rsidRPr="008D59BB">
        <w:rPr>
          <w:rFonts w:ascii="Arial" w:hAnsi="Arial" w:cs="Arial"/>
          <w:sz w:val="24"/>
          <w:szCs w:val="24"/>
          <w:lang w:val="en-US"/>
        </w:rPr>
        <w:t xml:space="preserve">There exist a number of </w:t>
      </w:r>
      <w:r w:rsidR="00F5198E" w:rsidRPr="008D59BB">
        <w:rPr>
          <w:rFonts w:ascii="Arial" w:hAnsi="Arial" w:cs="Arial"/>
          <w:sz w:val="24"/>
          <w:szCs w:val="24"/>
          <w:lang w:val="en-US"/>
        </w:rPr>
        <w:t xml:space="preserve">other </w:t>
      </w:r>
      <w:r w:rsidR="009B3035" w:rsidRPr="008D59BB">
        <w:rPr>
          <w:rFonts w:ascii="Arial" w:hAnsi="Arial" w:cs="Arial"/>
          <w:sz w:val="24"/>
          <w:szCs w:val="24"/>
          <w:lang w:val="en-US"/>
        </w:rPr>
        <w:t>methods for assessing nutritional status</w:t>
      </w:r>
      <w:r w:rsidR="00F5198E" w:rsidRPr="008D59BB">
        <w:rPr>
          <w:rFonts w:ascii="Arial" w:hAnsi="Arial" w:cs="Arial"/>
          <w:sz w:val="24"/>
          <w:szCs w:val="24"/>
          <w:lang w:val="en-US"/>
        </w:rPr>
        <w:t>,</w:t>
      </w:r>
      <w:r w:rsidR="009B3035" w:rsidRPr="008D59BB">
        <w:rPr>
          <w:rFonts w:ascii="Arial" w:hAnsi="Arial" w:cs="Arial"/>
          <w:sz w:val="24"/>
          <w:szCs w:val="24"/>
          <w:lang w:val="en-US"/>
        </w:rPr>
        <w:t xml:space="preserve"> including </w:t>
      </w:r>
      <w:r w:rsidR="009B3035" w:rsidRPr="008D59BB">
        <w:rPr>
          <w:rFonts w:ascii="Arial" w:hAnsi="Arial" w:cs="Arial"/>
          <w:sz w:val="24"/>
          <w:szCs w:val="24"/>
        </w:rPr>
        <w:t>the Mini Nutritional Assessment instrument (</w:t>
      </w:r>
      <w:r w:rsidR="009B3035" w:rsidRPr="008D59BB">
        <w:rPr>
          <w:rFonts w:ascii="Arial" w:hAnsi="Arial" w:cs="Arial"/>
          <w:sz w:val="24"/>
          <w:szCs w:val="24"/>
          <w:lang w:val="en-US"/>
        </w:rPr>
        <w:t xml:space="preserve">MNA-SF) which is an effective tool for screening the nutritional status of geriatrics across settings. However, MUST and Nutrition Risk Screening (NRS-2002) proposed by </w:t>
      </w:r>
      <w:r w:rsidR="00F5198E" w:rsidRPr="008D59BB">
        <w:rPr>
          <w:rFonts w:ascii="Arial" w:hAnsi="Arial" w:cs="Arial"/>
          <w:sz w:val="24"/>
          <w:szCs w:val="24"/>
          <w:lang w:val="en-US"/>
        </w:rPr>
        <w:t>the European Society for Clinical Nutrition and Metabolism</w:t>
      </w:r>
      <w:r w:rsidR="00372E4B" w:rsidRPr="008D59BB">
        <w:rPr>
          <w:rFonts w:ascii="Arial" w:hAnsi="Arial" w:cs="Arial"/>
          <w:sz w:val="24"/>
          <w:szCs w:val="24"/>
          <w:lang w:val="en-US"/>
        </w:rPr>
        <w:t xml:space="preserve"> (ESPEN</w:t>
      </w:r>
      <w:r w:rsidR="00F5198E" w:rsidRPr="008D59BB">
        <w:rPr>
          <w:rFonts w:ascii="Arial" w:hAnsi="Arial" w:cs="Arial"/>
          <w:sz w:val="24"/>
          <w:szCs w:val="24"/>
          <w:lang w:val="en-US"/>
        </w:rPr>
        <w:t xml:space="preserve">) </w:t>
      </w:r>
      <w:r w:rsidR="009B3035" w:rsidRPr="008D59BB">
        <w:rPr>
          <w:rFonts w:ascii="Arial" w:hAnsi="Arial" w:cs="Arial"/>
          <w:sz w:val="24"/>
          <w:szCs w:val="24"/>
          <w:lang w:val="en-US"/>
        </w:rPr>
        <w:t>for the hospital setting are applicable to all hospital patients, irrespective of age [21].</w:t>
      </w:r>
    </w:p>
    <w:p w14:paraId="26065DC2" w14:textId="77777777" w:rsidR="00393A2F" w:rsidRPr="008D59BB" w:rsidRDefault="00393A2F" w:rsidP="002A4A2B">
      <w:pPr>
        <w:spacing w:after="0" w:line="480" w:lineRule="auto"/>
        <w:jc w:val="both"/>
        <w:rPr>
          <w:rFonts w:ascii="Arial" w:hAnsi="Arial" w:cs="Arial"/>
          <w:sz w:val="24"/>
          <w:szCs w:val="24"/>
        </w:rPr>
      </w:pPr>
    </w:p>
    <w:p w14:paraId="5D47B59D" w14:textId="77777777" w:rsidR="00413A94" w:rsidRPr="008D59BB" w:rsidRDefault="00143EA0" w:rsidP="00413A94">
      <w:pPr>
        <w:spacing w:after="0" w:line="480" w:lineRule="auto"/>
        <w:jc w:val="both"/>
        <w:rPr>
          <w:rFonts w:ascii="Arial" w:hAnsi="Arial" w:cs="Arial"/>
          <w:sz w:val="24"/>
          <w:szCs w:val="24"/>
        </w:rPr>
      </w:pPr>
      <w:r w:rsidRPr="008D59BB">
        <w:rPr>
          <w:rFonts w:ascii="Arial" w:hAnsi="Arial" w:cs="Arial"/>
          <w:sz w:val="24"/>
          <w:szCs w:val="24"/>
        </w:rPr>
        <w:t>In conclusion, inadequate nutrition is common in p</w:t>
      </w:r>
      <w:r w:rsidR="00393A2F" w:rsidRPr="008D59BB">
        <w:rPr>
          <w:rFonts w:ascii="Arial" w:hAnsi="Arial" w:cs="Arial"/>
          <w:sz w:val="24"/>
          <w:szCs w:val="24"/>
        </w:rPr>
        <w:t>atients admitted to hospital with a hip fracture from residential/nursing</w:t>
      </w:r>
      <w:r w:rsidR="00E64F00" w:rsidRPr="008D59BB">
        <w:rPr>
          <w:rFonts w:ascii="Arial" w:hAnsi="Arial" w:cs="Arial"/>
          <w:sz w:val="24"/>
          <w:szCs w:val="24"/>
        </w:rPr>
        <w:t>,</w:t>
      </w:r>
      <w:r w:rsidR="00393A2F" w:rsidRPr="008D59BB">
        <w:rPr>
          <w:rFonts w:ascii="Arial" w:hAnsi="Arial" w:cs="Arial"/>
          <w:sz w:val="24"/>
          <w:szCs w:val="24"/>
        </w:rPr>
        <w:t xml:space="preserve"> </w:t>
      </w:r>
      <w:r w:rsidRPr="008D59BB">
        <w:rPr>
          <w:rFonts w:ascii="Arial" w:hAnsi="Arial" w:cs="Arial"/>
          <w:sz w:val="24"/>
          <w:szCs w:val="24"/>
        </w:rPr>
        <w:t>which in turn predisposes patients to a number of complications.</w:t>
      </w:r>
      <w:r w:rsidR="00393A2F" w:rsidRPr="008D59BB">
        <w:rPr>
          <w:rFonts w:ascii="Arial" w:hAnsi="Arial" w:cs="Arial"/>
          <w:sz w:val="24"/>
          <w:szCs w:val="24"/>
        </w:rPr>
        <w:t xml:space="preserve"> More research on nutritional support should be directed in this group to </w:t>
      </w:r>
      <w:r w:rsidR="00112655" w:rsidRPr="008D59BB">
        <w:rPr>
          <w:rFonts w:ascii="Arial" w:hAnsi="Arial" w:cs="Arial"/>
          <w:sz w:val="24"/>
          <w:szCs w:val="24"/>
        </w:rPr>
        <w:t xml:space="preserve">prevent </w:t>
      </w:r>
      <w:r w:rsidRPr="008D59BB">
        <w:rPr>
          <w:rFonts w:ascii="Arial" w:hAnsi="Arial" w:cs="Arial"/>
          <w:sz w:val="24"/>
          <w:szCs w:val="24"/>
        </w:rPr>
        <w:t xml:space="preserve">or minimise </w:t>
      </w:r>
      <w:r w:rsidR="00112655" w:rsidRPr="008D59BB">
        <w:rPr>
          <w:rFonts w:ascii="Arial" w:hAnsi="Arial" w:cs="Arial"/>
          <w:sz w:val="24"/>
          <w:szCs w:val="24"/>
        </w:rPr>
        <w:t>hip fractures</w:t>
      </w:r>
      <w:r w:rsidR="00393A2F" w:rsidRPr="008D59BB">
        <w:rPr>
          <w:rFonts w:ascii="Arial" w:hAnsi="Arial" w:cs="Arial"/>
          <w:sz w:val="24"/>
          <w:szCs w:val="24"/>
        </w:rPr>
        <w:t>.</w:t>
      </w:r>
      <w:r w:rsidR="00413A94" w:rsidRPr="008D59BB">
        <w:rPr>
          <w:rFonts w:ascii="Arial" w:hAnsi="Arial" w:cs="Arial"/>
          <w:sz w:val="24"/>
          <w:szCs w:val="24"/>
        </w:rPr>
        <w:br w:type="page"/>
      </w:r>
    </w:p>
    <w:p w14:paraId="3D00499B" w14:textId="1F57A054" w:rsidR="009A42DC" w:rsidRPr="008D59BB" w:rsidRDefault="009A42DC" w:rsidP="00F56354">
      <w:pPr>
        <w:spacing w:after="0" w:line="480" w:lineRule="auto"/>
        <w:jc w:val="both"/>
        <w:rPr>
          <w:rFonts w:ascii="Arial" w:hAnsi="Arial" w:cs="Arial"/>
          <w:sz w:val="24"/>
          <w:szCs w:val="24"/>
        </w:rPr>
      </w:pPr>
      <w:r w:rsidRPr="008D59BB">
        <w:rPr>
          <w:rFonts w:ascii="Arial" w:hAnsi="Arial" w:cs="Arial"/>
          <w:b/>
          <w:sz w:val="24"/>
          <w:szCs w:val="24"/>
        </w:rPr>
        <w:lastRenderedPageBreak/>
        <w:t>Acknowledgements</w:t>
      </w:r>
      <w:r w:rsidRPr="008D59BB">
        <w:rPr>
          <w:rFonts w:ascii="Arial" w:hAnsi="Arial" w:cs="Arial"/>
          <w:sz w:val="24"/>
          <w:szCs w:val="24"/>
        </w:rPr>
        <w:t xml:space="preserve"> We are grateful to all patients who participated in this NHFD Audit Programme</w:t>
      </w:r>
      <w:r w:rsidR="00230168" w:rsidRPr="008D59BB">
        <w:rPr>
          <w:rFonts w:ascii="Arial" w:hAnsi="Arial" w:cs="Arial"/>
          <w:sz w:val="24"/>
          <w:szCs w:val="24"/>
        </w:rPr>
        <w:t xml:space="preserve"> and hospital staff who provided clinical care and support to patients throughout their hospital stay</w:t>
      </w:r>
      <w:r w:rsidRPr="008D59BB">
        <w:rPr>
          <w:rFonts w:ascii="Arial" w:hAnsi="Arial" w:cs="Arial"/>
          <w:sz w:val="24"/>
          <w:szCs w:val="24"/>
        </w:rPr>
        <w:t>.</w:t>
      </w:r>
    </w:p>
    <w:p w14:paraId="2DA18140" w14:textId="77777777" w:rsidR="0007176C" w:rsidRPr="008D59BB" w:rsidRDefault="0007176C" w:rsidP="00F56354">
      <w:pPr>
        <w:spacing w:after="0" w:line="480" w:lineRule="auto"/>
        <w:jc w:val="both"/>
        <w:rPr>
          <w:rFonts w:ascii="Arial" w:hAnsi="Arial" w:cs="Arial"/>
          <w:sz w:val="24"/>
          <w:szCs w:val="24"/>
        </w:rPr>
      </w:pPr>
    </w:p>
    <w:p w14:paraId="4731B9C1" w14:textId="79792141" w:rsidR="0007176C" w:rsidRPr="008D59BB" w:rsidRDefault="00533DA7" w:rsidP="00F56354">
      <w:pPr>
        <w:spacing w:after="0" w:line="480" w:lineRule="auto"/>
        <w:jc w:val="both"/>
        <w:rPr>
          <w:rFonts w:ascii="Arial" w:hAnsi="Arial" w:cs="Arial"/>
          <w:sz w:val="24"/>
          <w:szCs w:val="24"/>
        </w:rPr>
      </w:pPr>
      <w:r w:rsidRPr="008D59BB">
        <w:rPr>
          <w:rFonts w:ascii="Arial" w:hAnsi="Arial" w:cs="Arial"/>
          <w:b/>
          <w:sz w:val="24"/>
          <w:szCs w:val="24"/>
        </w:rPr>
        <w:t>Author c</w:t>
      </w:r>
      <w:r w:rsidR="009A42DC" w:rsidRPr="008D59BB">
        <w:rPr>
          <w:rFonts w:ascii="Arial" w:hAnsi="Arial" w:cs="Arial"/>
          <w:b/>
          <w:sz w:val="24"/>
          <w:szCs w:val="24"/>
        </w:rPr>
        <w:t xml:space="preserve">ontributions </w:t>
      </w:r>
      <w:r w:rsidR="0007176C" w:rsidRPr="008D59BB">
        <w:rPr>
          <w:rFonts w:ascii="Arial" w:hAnsi="Arial" w:cs="Arial"/>
          <w:sz w:val="24"/>
          <w:szCs w:val="24"/>
        </w:rPr>
        <w:t xml:space="preserve">TSH reviewed the topic related literature and </w:t>
      </w:r>
      <w:r w:rsidR="00B20D31" w:rsidRPr="008D59BB">
        <w:rPr>
          <w:rFonts w:ascii="Arial" w:hAnsi="Arial" w:cs="Arial"/>
          <w:sz w:val="24"/>
          <w:szCs w:val="24"/>
        </w:rPr>
        <w:t>conceived the original idea</w:t>
      </w:r>
      <w:r w:rsidR="0007176C" w:rsidRPr="008D59BB">
        <w:rPr>
          <w:rFonts w:ascii="Arial" w:hAnsi="Arial" w:cs="Arial"/>
          <w:sz w:val="24"/>
          <w:szCs w:val="24"/>
        </w:rPr>
        <w:t>. KY and RL performed the study coordination and data collection. TSH wrote the first draft, analysed, interpreted the data and revised the manuscript. CHF and DF edited the manuscript. All authors checked, interpreted</w:t>
      </w:r>
      <w:r w:rsidR="00ED19F1" w:rsidRPr="008D59BB">
        <w:rPr>
          <w:rFonts w:ascii="Arial" w:hAnsi="Arial" w:cs="Arial"/>
          <w:sz w:val="24"/>
          <w:szCs w:val="24"/>
        </w:rPr>
        <w:t xml:space="preserve"> the</w:t>
      </w:r>
      <w:r w:rsidR="0007176C" w:rsidRPr="008D59BB">
        <w:rPr>
          <w:rFonts w:ascii="Arial" w:hAnsi="Arial" w:cs="Arial"/>
          <w:sz w:val="24"/>
          <w:szCs w:val="24"/>
        </w:rPr>
        <w:t xml:space="preserve"> results and approved the final version.</w:t>
      </w:r>
    </w:p>
    <w:p w14:paraId="44EE013C" w14:textId="77777777" w:rsidR="0007176C" w:rsidRPr="008D59BB" w:rsidRDefault="0007176C" w:rsidP="00F56354">
      <w:pPr>
        <w:spacing w:after="0" w:line="480" w:lineRule="auto"/>
        <w:jc w:val="both"/>
        <w:rPr>
          <w:rFonts w:ascii="Arial" w:hAnsi="Arial" w:cs="Arial"/>
          <w:b/>
          <w:sz w:val="24"/>
          <w:szCs w:val="24"/>
        </w:rPr>
      </w:pPr>
    </w:p>
    <w:p w14:paraId="664A830C" w14:textId="3561758B" w:rsidR="001D25C0" w:rsidRPr="008D59BB" w:rsidRDefault="009A42DC" w:rsidP="00F56354">
      <w:pPr>
        <w:spacing w:after="0" w:line="480" w:lineRule="auto"/>
        <w:jc w:val="both"/>
        <w:rPr>
          <w:rFonts w:ascii="Arial" w:hAnsi="Arial" w:cs="Arial"/>
          <w:b/>
          <w:bCs/>
          <w:sz w:val="24"/>
          <w:szCs w:val="24"/>
        </w:rPr>
      </w:pPr>
      <w:r w:rsidRPr="008D59BB">
        <w:rPr>
          <w:rFonts w:ascii="Arial" w:hAnsi="Arial" w:cs="Arial"/>
          <w:b/>
          <w:bCs/>
          <w:sz w:val="24"/>
          <w:szCs w:val="24"/>
        </w:rPr>
        <w:t>Compliance with ethical standards</w:t>
      </w:r>
      <w:r w:rsidR="00254731" w:rsidRPr="008D59BB">
        <w:rPr>
          <w:rFonts w:ascii="Arial" w:hAnsi="Arial" w:cs="Arial"/>
          <w:b/>
          <w:bCs/>
          <w:sz w:val="24"/>
          <w:szCs w:val="24"/>
        </w:rPr>
        <w:t xml:space="preserve"> </w:t>
      </w:r>
      <w:r w:rsidR="00413A94" w:rsidRPr="008D59BB">
        <w:rPr>
          <w:rFonts w:ascii="Arial" w:hAnsi="Arial" w:cs="Arial"/>
          <w:sz w:val="24"/>
          <w:szCs w:val="24"/>
        </w:rPr>
        <w:t xml:space="preserve">The authors declare </w:t>
      </w:r>
      <w:r w:rsidRPr="008D59BB">
        <w:rPr>
          <w:rFonts w:ascii="Arial" w:hAnsi="Arial" w:cs="Arial"/>
          <w:sz w:val="24"/>
          <w:szCs w:val="24"/>
        </w:rPr>
        <w:t>that they have no conﬂict</w:t>
      </w:r>
      <w:r w:rsidR="001D25C0" w:rsidRPr="008D59BB">
        <w:rPr>
          <w:rFonts w:ascii="Arial" w:hAnsi="Arial" w:cs="Arial"/>
          <w:sz w:val="24"/>
          <w:szCs w:val="24"/>
        </w:rPr>
        <w:t xml:space="preserve"> of interest.</w:t>
      </w:r>
      <w:r w:rsidR="001D25C0" w:rsidRPr="008D59BB">
        <w:rPr>
          <w:rFonts w:ascii="Arial" w:hAnsi="Arial" w:cs="Arial"/>
          <w:b/>
          <w:bCs/>
          <w:sz w:val="24"/>
          <w:szCs w:val="24"/>
        </w:rPr>
        <w:br w:type="page"/>
      </w:r>
    </w:p>
    <w:p w14:paraId="3F3E8F59" w14:textId="44D624B1" w:rsidR="00CA7784" w:rsidRPr="008D59BB" w:rsidRDefault="00CA7784" w:rsidP="00CA7784">
      <w:pPr>
        <w:spacing w:after="0" w:line="480" w:lineRule="auto"/>
        <w:jc w:val="both"/>
        <w:rPr>
          <w:rFonts w:ascii="Arial" w:hAnsi="Arial" w:cs="Arial"/>
          <w:b/>
          <w:sz w:val="24"/>
          <w:szCs w:val="24"/>
        </w:rPr>
      </w:pPr>
      <w:r w:rsidRPr="008D59BB">
        <w:rPr>
          <w:rFonts w:ascii="Arial" w:hAnsi="Arial" w:cs="Arial"/>
          <w:b/>
          <w:sz w:val="24"/>
          <w:szCs w:val="24"/>
        </w:rPr>
        <w:lastRenderedPageBreak/>
        <w:t>REFERENCES</w:t>
      </w:r>
    </w:p>
    <w:p w14:paraId="5E0E244B" w14:textId="1CB3F84A" w:rsidR="00CA7784" w:rsidRPr="008D59BB" w:rsidRDefault="00CA7784" w:rsidP="00CA7784">
      <w:pPr>
        <w:pStyle w:val="ListParagraph"/>
        <w:numPr>
          <w:ilvl w:val="0"/>
          <w:numId w:val="3"/>
        </w:numPr>
        <w:spacing w:after="0" w:line="480" w:lineRule="auto"/>
        <w:ind w:left="426" w:hanging="426"/>
        <w:jc w:val="both"/>
        <w:rPr>
          <w:rFonts w:ascii="Arial" w:hAnsi="Arial" w:cs="Arial"/>
          <w:sz w:val="24"/>
          <w:szCs w:val="24"/>
        </w:rPr>
      </w:pPr>
      <w:r w:rsidRPr="008D59BB">
        <w:rPr>
          <w:rFonts w:ascii="Arial" w:hAnsi="Arial" w:cs="Arial"/>
          <w:sz w:val="24"/>
          <w:szCs w:val="24"/>
        </w:rPr>
        <w:t>Veronese N, Maggi S</w:t>
      </w:r>
      <w:r w:rsidR="00985380" w:rsidRPr="008D59BB">
        <w:rPr>
          <w:rFonts w:ascii="Arial" w:hAnsi="Arial" w:cs="Arial"/>
          <w:sz w:val="24"/>
          <w:szCs w:val="24"/>
        </w:rPr>
        <w:t>.</w:t>
      </w:r>
      <w:r w:rsidRPr="008D59BB">
        <w:rPr>
          <w:rFonts w:ascii="Arial" w:hAnsi="Arial" w:cs="Arial"/>
          <w:sz w:val="24"/>
          <w:szCs w:val="24"/>
        </w:rPr>
        <w:t xml:space="preserve"> Epidemiology and social costs of hip fracture. Injury. </w:t>
      </w:r>
      <w:r w:rsidR="00985380" w:rsidRPr="008D59BB">
        <w:rPr>
          <w:rFonts w:ascii="Arial" w:hAnsi="Arial" w:cs="Arial"/>
          <w:sz w:val="24"/>
          <w:szCs w:val="24"/>
        </w:rPr>
        <w:t xml:space="preserve">2018; </w:t>
      </w:r>
      <w:r w:rsidRPr="008D59BB">
        <w:rPr>
          <w:rFonts w:ascii="Arial" w:hAnsi="Arial" w:cs="Arial"/>
          <w:sz w:val="24"/>
          <w:szCs w:val="24"/>
        </w:rPr>
        <w:t>49</w:t>
      </w:r>
      <w:r w:rsidR="00985380" w:rsidRPr="008D59BB">
        <w:rPr>
          <w:rFonts w:ascii="Arial" w:hAnsi="Arial" w:cs="Arial"/>
          <w:sz w:val="24"/>
          <w:szCs w:val="24"/>
        </w:rPr>
        <w:t xml:space="preserve">: </w:t>
      </w:r>
      <w:r w:rsidRPr="008D59BB">
        <w:rPr>
          <w:rFonts w:ascii="Arial" w:hAnsi="Arial" w:cs="Arial"/>
          <w:sz w:val="24"/>
          <w:szCs w:val="24"/>
        </w:rPr>
        <w:t>1458-1460.</w:t>
      </w:r>
    </w:p>
    <w:p w14:paraId="5F933EB7" w14:textId="6993DB6E" w:rsidR="00CA7784" w:rsidRPr="008D59BB" w:rsidRDefault="00CA7784" w:rsidP="00CA7784">
      <w:pPr>
        <w:pStyle w:val="ListParagraph"/>
        <w:numPr>
          <w:ilvl w:val="0"/>
          <w:numId w:val="3"/>
        </w:numPr>
        <w:spacing w:after="0" w:line="480" w:lineRule="auto"/>
        <w:ind w:left="426" w:hanging="426"/>
        <w:jc w:val="both"/>
        <w:rPr>
          <w:rFonts w:ascii="Arial" w:hAnsi="Arial" w:cs="Arial"/>
          <w:sz w:val="24"/>
          <w:szCs w:val="24"/>
        </w:rPr>
      </w:pPr>
      <w:r w:rsidRPr="008D59BB">
        <w:rPr>
          <w:rFonts w:ascii="Arial" w:hAnsi="Arial" w:cs="Arial"/>
          <w:sz w:val="24"/>
          <w:szCs w:val="24"/>
          <w:shd w:val="clear" w:color="auto" w:fill="FFFFFF"/>
        </w:rPr>
        <w:t>Rapp K, Büchele G, Dreinhöfer K, Bücking B, Becker C, Benzinger P</w:t>
      </w:r>
      <w:r w:rsidR="00985380" w:rsidRPr="008D59BB">
        <w:rPr>
          <w:rFonts w:ascii="Arial" w:hAnsi="Arial" w:cs="Arial"/>
          <w:sz w:val="24"/>
          <w:szCs w:val="24"/>
          <w:shd w:val="clear" w:color="auto" w:fill="FFFFFF"/>
        </w:rPr>
        <w:t>.</w:t>
      </w:r>
      <w:r w:rsidRPr="008D59BB">
        <w:rPr>
          <w:rFonts w:ascii="Arial" w:hAnsi="Arial" w:cs="Arial"/>
          <w:sz w:val="24"/>
          <w:szCs w:val="24"/>
          <w:shd w:val="clear" w:color="auto" w:fill="FFFFFF"/>
        </w:rPr>
        <w:t xml:space="preserve"> Epidemiology of hip fractures. Z Gerontol Geriatr. </w:t>
      </w:r>
      <w:r w:rsidR="00985380" w:rsidRPr="008D59BB">
        <w:rPr>
          <w:rFonts w:ascii="Arial" w:hAnsi="Arial" w:cs="Arial"/>
          <w:sz w:val="24"/>
          <w:szCs w:val="24"/>
          <w:shd w:val="clear" w:color="auto" w:fill="FFFFFF"/>
        </w:rPr>
        <w:t xml:space="preserve">2019; </w:t>
      </w:r>
      <w:r w:rsidRPr="008D59BB">
        <w:rPr>
          <w:rFonts w:ascii="Arial" w:hAnsi="Arial" w:cs="Arial"/>
          <w:sz w:val="24"/>
          <w:szCs w:val="24"/>
          <w:shd w:val="clear" w:color="auto" w:fill="FFFFFF"/>
        </w:rPr>
        <w:t>52</w:t>
      </w:r>
      <w:r w:rsidR="00985380" w:rsidRPr="008D59BB">
        <w:rPr>
          <w:rFonts w:ascii="Arial" w:hAnsi="Arial" w:cs="Arial"/>
          <w:sz w:val="24"/>
          <w:szCs w:val="24"/>
          <w:shd w:val="clear" w:color="auto" w:fill="FFFFFF"/>
        </w:rPr>
        <w:t xml:space="preserve">: </w:t>
      </w:r>
      <w:r w:rsidRPr="008D59BB">
        <w:rPr>
          <w:rFonts w:ascii="Arial" w:hAnsi="Arial" w:cs="Arial"/>
          <w:sz w:val="24"/>
          <w:szCs w:val="24"/>
          <w:shd w:val="clear" w:color="auto" w:fill="FFFFFF"/>
        </w:rPr>
        <w:t>10-16.</w:t>
      </w:r>
    </w:p>
    <w:p w14:paraId="2ED9DAC8" w14:textId="550645C3" w:rsidR="00CA7784" w:rsidRPr="008D59BB" w:rsidRDefault="00CA7784" w:rsidP="00CA7784">
      <w:pPr>
        <w:pStyle w:val="ListParagraph"/>
        <w:numPr>
          <w:ilvl w:val="0"/>
          <w:numId w:val="3"/>
        </w:numPr>
        <w:spacing w:after="0" w:line="480" w:lineRule="auto"/>
        <w:ind w:left="426" w:hanging="426"/>
        <w:jc w:val="both"/>
        <w:rPr>
          <w:rFonts w:ascii="Arial" w:hAnsi="Arial" w:cs="Arial"/>
          <w:sz w:val="24"/>
          <w:szCs w:val="24"/>
        </w:rPr>
      </w:pPr>
      <w:r w:rsidRPr="008D59BB">
        <w:rPr>
          <w:rFonts w:ascii="Arial" w:hAnsi="Arial" w:cs="Arial"/>
          <w:sz w:val="24"/>
          <w:szCs w:val="24"/>
        </w:rPr>
        <w:t>Hagen G, Magnussen J, Tell G, Omsland T</w:t>
      </w:r>
      <w:r w:rsidR="00985380" w:rsidRPr="008D59BB">
        <w:rPr>
          <w:rFonts w:ascii="Arial" w:hAnsi="Arial" w:cs="Arial"/>
          <w:sz w:val="24"/>
          <w:szCs w:val="24"/>
        </w:rPr>
        <w:t>.</w:t>
      </w:r>
      <w:r w:rsidRPr="008D59BB">
        <w:rPr>
          <w:rFonts w:ascii="Arial" w:hAnsi="Arial" w:cs="Arial"/>
          <w:sz w:val="24"/>
          <w:szCs w:val="24"/>
        </w:rPr>
        <w:t xml:space="preserve"> Estimating the future burden of hip fractures in Norway. A NOREPOS study. Bone. </w:t>
      </w:r>
      <w:r w:rsidR="00985380" w:rsidRPr="008D59BB">
        <w:rPr>
          <w:rFonts w:ascii="Arial" w:hAnsi="Arial" w:cs="Arial"/>
          <w:sz w:val="24"/>
          <w:szCs w:val="24"/>
        </w:rPr>
        <w:t xml:space="preserve">2020; </w:t>
      </w:r>
      <w:r w:rsidRPr="008D59BB">
        <w:rPr>
          <w:rFonts w:ascii="Arial" w:hAnsi="Arial" w:cs="Arial"/>
          <w:sz w:val="24"/>
          <w:szCs w:val="24"/>
        </w:rPr>
        <w:t>131</w:t>
      </w:r>
      <w:r w:rsidR="00985380" w:rsidRPr="008D59BB">
        <w:rPr>
          <w:rFonts w:ascii="Arial" w:hAnsi="Arial" w:cs="Arial"/>
          <w:sz w:val="24"/>
          <w:szCs w:val="24"/>
        </w:rPr>
        <w:t xml:space="preserve">: </w:t>
      </w:r>
      <w:r w:rsidRPr="008D59BB">
        <w:rPr>
          <w:rFonts w:ascii="Arial" w:hAnsi="Arial" w:cs="Arial"/>
          <w:sz w:val="24"/>
          <w:szCs w:val="24"/>
        </w:rPr>
        <w:t>115156.</w:t>
      </w:r>
      <w:r w:rsidRPr="008D59BB">
        <w:rPr>
          <w:rStyle w:val="Hyperlink"/>
          <w:rFonts w:ascii="Arial" w:hAnsi="Arial" w:cs="Arial"/>
          <w:color w:val="auto"/>
          <w:sz w:val="24"/>
          <w:szCs w:val="24"/>
          <w:u w:val="none"/>
        </w:rPr>
        <w:t xml:space="preserve"> </w:t>
      </w:r>
      <w:hyperlink r:id="rId9" w:history="1">
        <w:r w:rsidRPr="008D59BB">
          <w:rPr>
            <w:rStyle w:val="Hyperlink"/>
            <w:rFonts w:ascii="Arial" w:hAnsi="Arial" w:cs="Arial"/>
            <w:color w:val="auto"/>
            <w:sz w:val="24"/>
            <w:szCs w:val="24"/>
            <w:u w:val="none"/>
          </w:rPr>
          <w:t>https</w:t>
        </w:r>
        <w:r w:rsidR="00985380" w:rsidRPr="008D59BB">
          <w:rPr>
            <w:rStyle w:val="Hyperlink"/>
            <w:rFonts w:ascii="Arial" w:hAnsi="Arial" w:cs="Arial"/>
            <w:color w:val="auto"/>
            <w:sz w:val="24"/>
            <w:szCs w:val="24"/>
            <w:u w:val="none"/>
          </w:rPr>
          <w:t xml:space="preserve">: </w:t>
        </w:r>
        <w:r w:rsidRPr="008D59BB">
          <w:rPr>
            <w:rStyle w:val="Hyperlink"/>
            <w:rFonts w:ascii="Arial" w:hAnsi="Arial" w:cs="Arial"/>
            <w:color w:val="auto"/>
            <w:sz w:val="24"/>
            <w:szCs w:val="24"/>
            <w:u w:val="none"/>
          </w:rPr>
          <w:t>//doi.org/10.1016/j.bone.2019.115156</w:t>
        </w:r>
      </w:hyperlink>
    </w:p>
    <w:p w14:paraId="76AAFE7F" w14:textId="130C18A8" w:rsidR="00CA7784" w:rsidRPr="008D59BB" w:rsidRDefault="00CA7784" w:rsidP="00CA7784">
      <w:pPr>
        <w:pStyle w:val="NormalWeb"/>
        <w:numPr>
          <w:ilvl w:val="0"/>
          <w:numId w:val="3"/>
        </w:numPr>
        <w:shd w:val="clear" w:color="auto" w:fill="FFFFFF"/>
        <w:spacing w:before="0" w:beforeAutospacing="0" w:after="0" w:afterAutospacing="0" w:line="480" w:lineRule="auto"/>
        <w:ind w:left="426" w:hanging="426"/>
        <w:jc w:val="both"/>
        <w:rPr>
          <w:rFonts w:ascii="Arial" w:hAnsi="Arial" w:cs="Arial"/>
        </w:rPr>
      </w:pPr>
      <w:r w:rsidRPr="008D59BB">
        <w:rPr>
          <w:rFonts w:ascii="Arial" w:hAnsi="Arial" w:cs="Arial"/>
        </w:rPr>
        <w:t>Greenspan SL, Myers ER, Kiel DP, Parker RA, Hayes WC, Resnick NM</w:t>
      </w:r>
      <w:r w:rsidR="00985380" w:rsidRPr="008D59BB">
        <w:rPr>
          <w:rFonts w:ascii="Arial" w:hAnsi="Arial" w:cs="Arial"/>
        </w:rPr>
        <w:t>.</w:t>
      </w:r>
      <w:r w:rsidRPr="008D59BB">
        <w:rPr>
          <w:rFonts w:ascii="Arial" w:hAnsi="Arial" w:cs="Arial"/>
        </w:rPr>
        <w:t xml:space="preserve"> Fall direction, bone mineral density, and function</w:t>
      </w:r>
      <w:r w:rsidR="00985380" w:rsidRPr="008D59BB">
        <w:rPr>
          <w:rFonts w:ascii="Arial" w:hAnsi="Arial" w:cs="Arial"/>
        </w:rPr>
        <w:t xml:space="preserve">: </w:t>
      </w:r>
      <w:r w:rsidRPr="008D59BB">
        <w:rPr>
          <w:rFonts w:ascii="Arial" w:hAnsi="Arial" w:cs="Arial"/>
        </w:rPr>
        <w:t xml:space="preserve">risk factors for hip fracture in frail nursing home elderly. Am J Med. </w:t>
      </w:r>
      <w:r w:rsidR="00985380" w:rsidRPr="008D59BB">
        <w:rPr>
          <w:rFonts w:ascii="Arial" w:hAnsi="Arial" w:cs="Arial"/>
        </w:rPr>
        <w:t xml:space="preserve">1998; </w:t>
      </w:r>
      <w:r w:rsidRPr="008D59BB">
        <w:rPr>
          <w:rFonts w:ascii="Arial" w:hAnsi="Arial" w:cs="Arial"/>
        </w:rPr>
        <w:t>104</w:t>
      </w:r>
      <w:r w:rsidR="00985380" w:rsidRPr="008D59BB">
        <w:rPr>
          <w:rFonts w:ascii="Arial" w:hAnsi="Arial" w:cs="Arial"/>
        </w:rPr>
        <w:t xml:space="preserve">: </w:t>
      </w:r>
      <w:r w:rsidRPr="008D59BB">
        <w:rPr>
          <w:rFonts w:ascii="Arial" w:hAnsi="Arial" w:cs="Arial"/>
        </w:rPr>
        <w:t>539-545.</w:t>
      </w:r>
    </w:p>
    <w:p w14:paraId="18F25828" w14:textId="614E056A" w:rsidR="00CA7784" w:rsidRPr="008D59BB" w:rsidRDefault="00CA7784" w:rsidP="00CA7784">
      <w:pPr>
        <w:pStyle w:val="NormalWeb"/>
        <w:numPr>
          <w:ilvl w:val="0"/>
          <w:numId w:val="3"/>
        </w:numPr>
        <w:shd w:val="clear" w:color="auto" w:fill="FFFFFF"/>
        <w:spacing w:before="0" w:beforeAutospacing="0" w:after="0" w:afterAutospacing="0" w:line="480" w:lineRule="auto"/>
        <w:ind w:left="426" w:hanging="426"/>
        <w:jc w:val="both"/>
        <w:rPr>
          <w:rFonts w:ascii="Arial" w:hAnsi="Arial" w:cs="Arial"/>
        </w:rPr>
      </w:pPr>
      <w:r w:rsidRPr="008D59BB">
        <w:rPr>
          <w:rFonts w:ascii="Arial" w:hAnsi="Arial" w:cs="Arial"/>
        </w:rPr>
        <w:t>Gregg EW, Pereira MA, Caspersen CJ</w:t>
      </w:r>
      <w:r w:rsidR="00985380" w:rsidRPr="008D59BB">
        <w:rPr>
          <w:rFonts w:ascii="Arial" w:hAnsi="Arial" w:cs="Arial"/>
        </w:rPr>
        <w:t>.</w:t>
      </w:r>
      <w:r w:rsidRPr="008D59BB">
        <w:rPr>
          <w:rFonts w:ascii="Arial" w:hAnsi="Arial" w:cs="Arial"/>
        </w:rPr>
        <w:t xml:space="preserve"> Physical activity, falls, and fractures among older adults</w:t>
      </w:r>
      <w:r w:rsidR="00985380" w:rsidRPr="008D59BB">
        <w:rPr>
          <w:rFonts w:ascii="Arial" w:hAnsi="Arial" w:cs="Arial"/>
        </w:rPr>
        <w:t xml:space="preserve">: </w:t>
      </w:r>
      <w:r w:rsidRPr="008D59BB">
        <w:rPr>
          <w:rFonts w:ascii="Arial" w:hAnsi="Arial" w:cs="Arial"/>
        </w:rPr>
        <w:t xml:space="preserve">a review of the epidemiologic evidence. J Am Geriatr Soc. </w:t>
      </w:r>
      <w:r w:rsidR="00985380" w:rsidRPr="008D59BB">
        <w:rPr>
          <w:rFonts w:ascii="Arial" w:hAnsi="Arial" w:cs="Arial"/>
        </w:rPr>
        <w:t xml:space="preserve">2000; </w:t>
      </w:r>
      <w:r w:rsidRPr="008D59BB">
        <w:rPr>
          <w:rFonts w:ascii="Arial" w:hAnsi="Arial" w:cs="Arial"/>
        </w:rPr>
        <w:t>48</w:t>
      </w:r>
      <w:r w:rsidR="00985380" w:rsidRPr="008D59BB">
        <w:rPr>
          <w:rFonts w:ascii="Arial" w:hAnsi="Arial" w:cs="Arial"/>
        </w:rPr>
        <w:t xml:space="preserve">: </w:t>
      </w:r>
      <w:r w:rsidRPr="008D59BB">
        <w:rPr>
          <w:rFonts w:ascii="Arial" w:hAnsi="Arial" w:cs="Arial"/>
        </w:rPr>
        <w:t>883-893.</w:t>
      </w:r>
    </w:p>
    <w:p w14:paraId="242CC07D" w14:textId="70BD91CD" w:rsidR="00CA7784" w:rsidRPr="008D59BB" w:rsidRDefault="00CA7784" w:rsidP="00CA7784">
      <w:pPr>
        <w:pStyle w:val="ListParagraph"/>
        <w:numPr>
          <w:ilvl w:val="0"/>
          <w:numId w:val="3"/>
        </w:numPr>
        <w:spacing w:after="0" w:line="480" w:lineRule="auto"/>
        <w:ind w:left="426" w:hanging="426"/>
        <w:jc w:val="both"/>
        <w:rPr>
          <w:rFonts w:ascii="Arial" w:hAnsi="Arial" w:cs="Arial"/>
          <w:sz w:val="24"/>
          <w:szCs w:val="24"/>
        </w:rPr>
      </w:pPr>
      <w:r w:rsidRPr="008D59BB">
        <w:rPr>
          <w:rFonts w:ascii="Arial" w:hAnsi="Arial" w:cs="Arial"/>
          <w:sz w:val="24"/>
          <w:szCs w:val="24"/>
        </w:rPr>
        <w:t>Cannarella R, Barbagallo F, Condorelli RA, Aversa A, La Vignera S, Calogero AE</w:t>
      </w:r>
      <w:r w:rsidR="00985380" w:rsidRPr="008D59BB">
        <w:rPr>
          <w:rFonts w:ascii="Arial" w:hAnsi="Arial" w:cs="Arial"/>
          <w:sz w:val="24"/>
          <w:szCs w:val="24"/>
        </w:rPr>
        <w:t>.</w:t>
      </w:r>
      <w:r w:rsidRPr="008D59BB">
        <w:rPr>
          <w:rFonts w:ascii="Arial" w:hAnsi="Arial" w:cs="Arial"/>
          <w:sz w:val="24"/>
          <w:szCs w:val="24"/>
        </w:rPr>
        <w:t xml:space="preserve"> Osteoporosis from an endocrine perspective</w:t>
      </w:r>
      <w:r w:rsidR="00985380" w:rsidRPr="008D59BB">
        <w:rPr>
          <w:rFonts w:ascii="Arial" w:hAnsi="Arial" w:cs="Arial"/>
          <w:sz w:val="24"/>
          <w:szCs w:val="24"/>
        </w:rPr>
        <w:t xml:space="preserve">: </w:t>
      </w:r>
      <w:r w:rsidRPr="008D59BB">
        <w:rPr>
          <w:rFonts w:ascii="Arial" w:hAnsi="Arial" w:cs="Arial"/>
          <w:sz w:val="24"/>
          <w:szCs w:val="24"/>
        </w:rPr>
        <w:t xml:space="preserve">the role of hormonal changes in the elderly. J Clin Med. </w:t>
      </w:r>
      <w:r w:rsidR="00985380" w:rsidRPr="008D59BB">
        <w:rPr>
          <w:rFonts w:ascii="Arial" w:hAnsi="Arial" w:cs="Arial"/>
          <w:sz w:val="24"/>
          <w:szCs w:val="24"/>
        </w:rPr>
        <w:t xml:space="preserve">2019; </w:t>
      </w:r>
      <w:r w:rsidRPr="008D59BB">
        <w:rPr>
          <w:rFonts w:ascii="Arial" w:hAnsi="Arial" w:cs="Arial"/>
          <w:sz w:val="24"/>
          <w:szCs w:val="24"/>
        </w:rPr>
        <w:t>8</w:t>
      </w:r>
      <w:r w:rsidR="00985380" w:rsidRPr="008D59BB">
        <w:rPr>
          <w:rFonts w:ascii="Arial" w:hAnsi="Arial" w:cs="Arial"/>
          <w:sz w:val="24"/>
          <w:szCs w:val="24"/>
        </w:rPr>
        <w:t xml:space="preserve">: </w:t>
      </w:r>
      <w:r w:rsidRPr="008D59BB">
        <w:rPr>
          <w:rFonts w:ascii="Arial" w:hAnsi="Arial" w:cs="Arial"/>
          <w:sz w:val="24"/>
          <w:szCs w:val="24"/>
        </w:rPr>
        <w:t>1564. Doi</w:t>
      </w:r>
      <w:r w:rsidR="00985380" w:rsidRPr="008D59BB">
        <w:rPr>
          <w:rFonts w:ascii="Arial" w:hAnsi="Arial" w:cs="Arial"/>
          <w:sz w:val="24"/>
          <w:szCs w:val="24"/>
        </w:rPr>
        <w:t xml:space="preserve">: </w:t>
      </w:r>
      <w:r w:rsidRPr="008D59BB">
        <w:rPr>
          <w:rFonts w:ascii="Arial" w:hAnsi="Arial" w:cs="Arial"/>
          <w:sz w:val="24"/>
          <w:szCs w:val="24"/>
        </w:rPr>
        <w:t>10.3390/jcm8101564</w:t>
      </w:r>
    </w:p>
    <w:p w14:paraId="63E13999" w14:textId="34DEDFA9" w:rsidR="00CA7784" w:rsidRPr="008D59BB" w:rsidRDefault="00CA7784" w:rsidP="00CA7784">
      <w:pPr>
        <w:pStyle w:val="ListParagraph"/>
        <w:numPr>
          <w:ilvl w:val="0"/>
          <w:numId w:val="3"/>
        </w:numPr>
        <w:spacing w:after="0" w:line="480" w:lineRule="auto"/>
        <w:ind w:left="426" w:hanging="426"/>
        <w:jc w:val="both"/>
        <w:rPr>
          <w:rFonts w:ascii="Arial" w:hAnsi="Arial" w:cs="Arial"/>
          <w:sz w:val="24"/>
          <w:szCs w:val="24"/>
        </w:rPr>
      </w:pPr>
      <w:r w:rsidRPr="008D59BB">
        <w:rPr>
          <w:rFonts w:ascii="Arial" w:hAnsi="Arial" w:cs="Arial"/>
          <w:sz w:val="24"/>
          <w:szCs w:val="24"/>
        </w:rPr>
        <w:t>Ensrud KE, Ewing SK, Cawthon PM, Fink HA, Taylor BC, Cauley JA, Dam TT, Marshall LM, Orwoll ES, Cummings SR, Osteoporotic Fractures in Men Research Group</w:t>
      </w:r>
      <w:r w:rsidR="00985380" w:rsidRPr="008D59BB">
        <w:rPr>
          <w:rFonts w:ascii="Arial" w:hAnsi="Arial" w:cs="Arial"/>
          <w:sz w:val="24"/>
          <w:szCs w:val="24"/>
        </w:rPr>
        <w:t>.</w:t>
      </w:r>
      <w:r w:rsidRPr="008D59BB">
        <w:rPr>
          <w:rFonts w:ascii="Arial" w:hAnsi="Arial" w:cs="Arial"/>
          <w:sz w:val="24"/>
          <w:szCs w:val="24"/>
        </w:rPr>
        <w:t xml:space="preserve"> A comparison of frailty indexes for the prediction of falls, disability, fractures, and mortality in older men. J Am Geriatr Soc. </w:t>
      </w:r>
      <w:r w:rsidR="00985380" w:rsidRPr="008D59BB">
        <w:rPr>
          <w:rFonts w:ascii="Arial" w:hAnsi="Arial" w:cs="Arial"/>
          <w:sz w:val="24"/>
          <w:szCs w:val="24"/>
        </w:rPr>
        <w:t xml:space="preserve">2009; </w:t>
      </w:r>
      <w:r w:rsidRPr="008D59BB">
        <w:rPr>
          <w:rFonts w:ascii="Arial" w:hAnsi="Arial" w:cs="Arial"/>
          <w:sz w:val="24"/>
          <w:szCs w:val="24"/>
        </w:rPr>
        <w:t>57</w:t>
      </w:r>
      <w:r w:rsidR="00985380" w:rsidRPr="008D59BB">
        <w:rPr>
          <w:rFonts w:ascii="Arial" w:hAnsi="Arial" w:cs="Arial"/>
          <w:sz w:val="24"/>
          <w:szCs w:val="24"/>
        </w:rPr>
        <w:t xml:space="preserve">: </w:t>
      </w:r>
      <w:r w:rsidRPr="008D59BB">
        <w:rPr>
          <w:rFonts w:ascii="Arial" w:hAnsi="Arial" w:cs="Arial"/>
          <w:sz w:val="24"/>
          <w:szCs w:val="24"/>
        </w:rPr>
        <w:t>492-498.</w:t>
      </w:r>
    </w:p>
    <w:p w14:paraId="526B99A4" w14:textId="2036846C" w:rsidR="00CA7784" w:rsidRPr="008D59BB" w:rsidRDefault="00CA7784" w:rsidP="00CA7784">
      <w:pPr>
        <w:pStyle w:val="NormalWeb"/>
        <w:numPr>
          <w:ilvl w:val="0"/>
          <w:numId w:val="3"/>
        </w:numPr>
        <w:shd w:val="clear" w:color="auto" w:fill="FFFFFF"/>
        <w:spacing w:before="0" w:beforeAutospacing="0" w:after="0" w:afterAutospacing="0" w:line="480" w:lineRule="auto"/>
        <w:ind w:left="426" w:hanging="426"/>
        <w:jc w:val="both"/>
        <w:rPr>
          <w:rFonts w:ascii="Arial" w:hAnsi="Arial" w:cs="Arial"/>
        </w:rPr>
      </w:pPr>
      <w:r w:rsidRPr="008D59BB">
        <w:rPr>
          <w:rFonts w:ascii="Arial" w:hAnsi="Arial" w:cs="Arial"/>
        </w:rPr>
        <w:t>Lord SR, Ward JA, Williams P, Anstey KJ</w:t>
      </w:r>
      <w:r w:rsidR="00985380" w:rsidRPr="008D59BB">
        <w:rPr>
          <w:rFonts w:ascii="Arial" w:hAnsi="Arial" w:cs="Arial"/>
        </w:rPr>
        <w:t>.</w:t>
      </w:r>
      <w:r w:rsidRPr="008D59BB">
        <w:rPr>
          <w:rFonts w:ascii="Arial" w:hAnsi="Arial" w:cs="Arial"/>
        </w:rPr>
        <w:t xml:space="preserve"> An epidemiological study of falls in older community</w:t>
      </w:r>
      <w:r w:rsidRPr="008D59BB">
        <w:rPr>
          <w:rFonts w:ascii="Cambria Math" w:hAnsi="Cambria Math" w:cs="Cambria Math"/>
        </w:rPr>
        <w:t>‐</w:t>
      </w:r>
      <w:r w:rsidRPr="008D59BB">
        <w:rPr>
          <w:rFonts w:ascii="Arial" w:hAnsi="Arial" w:cs="Arial"/>
        </w:rPr>
        <w:t>dwelling women</w:t>
      </w:r>
      <w:r w:rsidR="00985380" w:rsidRPr="008D59BB">
        <w:rPr>
          <w:rFonts w:ascii="Arial" w:hAnsi="Arial" w:cs="Arial"/>
        </w:rPr>
        <w:t xml:space="preserve">: </w:t>
      </w:r>
      <w:r w:rsidRPr="008D59BB">
        <w:rPr>
          <w:rFonts w:ascii="Arial" w:hAnsi="Arial" w:cs="Arial"/>
        </w:rPr>
        <w:t xml:space="preserve">the Randwick falls and fractures study. Aust J Public Health. </w:t>
      </w:r>
      <w:r w:rsidR="00985380" w:rsidRPr="008D59BB">
        <w:rPr>
          <w:rFonts w:ascii="Arial" w:hAnsi="Arial" w:cs="Arial"/>
        </w:rPr>
        <w:t xml:space="preserve">1993; </w:t>
      </w:r>
      <w:r w:rsidRPr="008D59BB">
        <w:rPr>
          <w:rFonts w:ascii="Arial" w:hAnsi="Arial" w:cs="Arial"/>
        </w:rPr>
        <w:t>17</w:t>
      </w:r>
      <w:r w:rsidR="00985380" w:rsidRPr="008D59BB">
        <w:rPr>
          <w:rFonts w:ascii="Arial" w:hAnsi="Arial" w:cs="Arial"/>
        </w:rPr>
        <w:t xml:space="preserve">: </w:t>
      </w:r>
      <w:r w:rsidRPr="008D59BB">
        <w:rPr>
          <w:rFonts w:ascii="Arial" w:hAnsi="Arial" w:cs="Arial"/>
        </w:rPr>
        <w:t>240-245.</w:t>
      </w:r>
    </w:p>
    <w:p w14:paraId="04F21A79" w14:textId="52E443D2" w:rsidR="00CA7784" w:rsidRPr="008D59BB" w:rsidRDefault="00CA7784" w:rsidP="00CA7784">
      <w:pPr>
        <w:pStyle w:val="NormalWeb"/>
        <w:numPr>
          <w:ilvl w:val="0"/>
          <w:numId w:val="3"/>
        </w:numPr>
        <w:shd w:val="clear" w:color="auto" w:fill="FFFFFF"/>
        <w:spacing w:before="0" w:beforeAutospacing="0" w:after="0" w:afterAutospacing="0" w:line="480" w:lineRule="auto"/>
        <w:ind w:left="426" w:hanging="426"/>
        <w:jc w:val="both"/>
        <w:rPr>
          <w:rFonts w:ascii="Arial" w:hAnsi="Arial" w:cs="Arial"/>
        </w:rPr>
      </w:pPr>
      <w:r w:rsidRPr="008D59BB">
        <w:rPr>
          <w:rFonts w:ascii="Arial" w:hAnsi="Arial" w:cs="Arial"/>
        </w:rPr>
        <w:lastRenderedPageBreak/>
        <w:t>Buchner DM, Larson EB</w:t>
      </w:r>
      <w:r w:rsidR="00985380" w:rsidRPr="008D59BB">
        <w:rPr>
          <w:rFonts w:ascii="Arial" w:hAnsi="Arial" w:cs="Arial"/>
        </w:rPr>
        <w:t>.</w:t>
      </w:r>
      <w:r w:rsidRPr="008D59BB">
        <w:rPr>
          <w:rFonts w:ascii="Arial" w:hAnsi="Arial" w:cs="Arial"/>
        </w:rPr>
        <w:t xml:space="preserve"> Falls and fractures in patients with Alzheimer-type dementia. JAMA. </w:t>
      </w:r>
      <w:r w:rsidR="00985380" w:rsidRPr="008D59BB">
        <w:rPr>
          <w:rFonts w:ascii="Arial" w:hAnsi="Arial" w:cs="Arial"/>
        </w:rPr>
        <w:t xml:space="preserve">1987; </w:t>
      </w:r>
      <w:r w:rsidRPr="008D59BB">
        <w:rPr>
          <w:rFonts w:ascii="Arial" w:hAnsi="Arial" w:cs="Arial"/>
        </w:rPr>
        <w:t>257</w:t>
      </w:r>
      <w:r w:rsidR="00985380" w:rsidRPr="008D59BB">
        <w:rPr>
          <w:rFonts w:ascii="Arial" w:hAnsi="Arial" w:cs="Arial"/>
        </w:rPr>
        <w:t xml:space="preserve">: </w:t>
      </w:r>
      <w:r w:rsidRPr="008D59BB">
        <w:rPr>
          <w:rFonts w:ascii="Arial" w:hAnsi="Arial" w:cs="Arial"/>
        </w:rPr>
        <w:t>1492-1495.</w:t>
      </w:r>
    </w:p>
    <w:p w14:paraId="56EE4B07" w14:textId="24C53726" w:rsidR="00CA7784" w:rsidRPr="008D59BB" w:rsidRDefault="00CA7784" w:rsidP="00CA7784">
      <w:pPr>
        <w:pStyle w:val="NormalWeb"/>
        <w:numPr>
          <w:ilvl w:val="0"/>
          <w:numId w:val="3"/>
        </w:numPr>
        <w:shd w:val="clear" w:color="auto" w:fill="FFFFFF"/>
        <w:spacing w:before="0" w:beforeAutospacing="0" w:after="0" w:afterAutospacing="0" w:line="480" w:lineRule="auto"/>
        <w:ind w:left="426" w:hanging="426"/>
        <w:jc w:val="both"/>
        <w:rPr>
          <w:rFonts w:ascii="Arial" w:hAnsi="Arial" w:cs="Arial"/>
        </w:rPr>
      </w:pPr>
      <w:r w:rsidRPr="008D59BB">
        <w:rPr>
          <w:rFonts w:ascii="Arial" w:hAnsi="Arial" w:cs="Arial"/>
        </w:rPr>
        <w:t>Tromp AM, Smit JH, Deeg DJ, Bouter LM, Lips PT</w:t>
      </w:r>
      <w:r w:rsidR="00985380" w:rsidRPr="008D59BB">
        <w:rPr>
          <w:rFonts w:ascii="Arial" w:hAnsi="Arial" w:cs="Arial"/>
        </w:rPr>
        <w:t>.</w:t>
      </w:r>
      <w:r w:rsidRPr="008D59BB">
        <w:rPr>
          <w:rFonts w:ascii="Arial" w:hAnsi="Arial" w:cs="Arial"/>
        </w:rPr>
        <w:t xml:space="preserve"> Predictors for falls and fractures in the Longitudinal Aging Study Amsterdam. J Bone Miner Res. </w:t>
      </w:r>
      <w:r w:rsidR="00985380" w:rsidRPr="008D59BB">
        <w:rPr>
          <w:rFonts w:ascii="Arial" w:hAnsi="Arial" w:cs="Arial"/>
        </w:rPr>
        <w:t xml:space="preserve">1998; </w:t>
      </w:r>
      <w:r w:rsidRPr="008D59BB">
        <w:rPr>
          <w:rFonts w:ascii="Arial" w:hAnsi="Arial" w:cs="Arial"/>
        </w:rPr>
        <w:t>13</w:t>
      </w:r>
      <w:r w:rsidR="00985380" w:rsidRPr="008D59BB">
        <w:rPr>
          <w:rFonts w:ascii="Arial" w:hAnsi="Arial" w:cs="Arial"/>
        </w:rPr>
        <w:t xml:space="preserve">: </w:t>
      </w:r>
      <w:r w:rsidRPr="008D59BB">
        <w:rPr>
          <w:rFonts w:ascii="Arial" w:hAnsi="Arial" w:cs="Arial"/>
        </w:rPr>
        <w:t>1932-1939.</w:t>
      </w:r>
    </w:p>
    <w:p w14:paraId="0EC138CB" w14:textId="2D543A89" w:rsidR="00CA7784" w:rsidRPr="008D59BB" w:rsidRDefault="00CA7784" w:rsidP="00CA7784">
      <w:pPr>
        <w:pStyle w:val="ListParagraph"/>
        <w:numPr>
          <w:ilvl w:val="0"/>
          <w:numId w:val="3"/>
        </w:numPr>
        <w:spacing w:after="0" w:line="480" w:lineRule="auto"/>
        <w:ind w:left="426" w:hanging="426"/>
        <w:jc w:val="both"/>
        <w:rPr>
          <w:rFonts w:ascii="Arial" w:hAnsi="Arial" w:cs="Arial"/>
          <w:sz w:val="24"/>
          <w:szCs w:val="24"/>
        </w:rPr>
      </w:pPr>
      <w:r w:rsidRPr="008D59BB">
        <w:rPr>
          <w:rFonts w:ascii="Arial" w:hAnsi="Arial" w:cs="Arial"/>
          <w:sz w:val="24"/>
          <w:szCs w:val="24"/>
        </w:rPr>
        <w:t>Rhoads J, Clayman A, Nelson S</w:t>
      </w:r>
      <w:r w:rsidR="00985380" w:rsidRPr="008D59BB">
        <w:rPr>
          <w:rFonts w:ascii="Arial" w:hAnsi="Arial" w:cs="Arial"/>
          <w:sz w:val="24"/>
          <w:szCs w:val="24"/>
        </w:rPr>
        <w:t>.</w:t>
      </w:r>
      <w:r w:rsidRPr="008D59BB">
        <w:rPr>
          <w:rFonts w:ascii="Arial" w:hAnsi="Arial" w:cs="Arial"/>
          <w:sz w:val="24"/>
          <w:szCs w:val="24"/>
        </w:rPr>
        <w:t xml:space="preserve"> The relationship of urinary tract infections and falls in a nursing home. Director. </w:t>
      </w:r>
      <w:r w:rsidR="00985380" w:rsidRPr="008D59BB">
        <w:rPr>
          <w:rFonts w:ascii="Arial" w:hAnsi="Arial" w:cs="Arial"/>
          <w:sz w:val="24"/>
          <w:szCs w:val="24"/>
        </w:rPr>
        <w:t xml:space="preserve">2007; </w:t>
      </w:r>
      <w:r w:rsidRPr="008D59BB">
        <w:rPr>
          <w:rFonts w:ascii="Arial" w:hAnsi="Arial" w:cs="Arial"/>
          <w:sz w:val="24"/>
          <w:szCs w:val="24"/>
        </w:rPr>
        <w:t>15</w:t>
      </w:r>
      <w:r w:rsidR="00985380" w:rsidRPr="008D59BB">
        <w:rPr>
          <w:rFonts w:ascii="Arial" w:hAnsi="Arial" w:cs="Arial"/>
          <w:sz w:val="24"/>
          <w:szCs w:val="24"/>
        </w:rPr>
        <w:t xml:space="preserve">: </w:t>
      </w:r>
      <w:r w:rsidRPr="008D59BB">
        <w:rPr>
          <w:rFonts w:ascii="Arial" w:hAnsi="Arial" w:cs="Arial"/>
          <w:sz w:val="24"/>
          <w:szCs w:val="24"/>
        </w:rPr>
        <w:t>22-26.</w:t>
      </w:r>
    </w:p>
    <w:p w14:paraId="25AC70C8" w14:textId="761F7F08" w:rsidR="00CA7784" w:rsidRPr="008D59BB" w:rsidRDefault="00CA7784" w:rsidP="00CA7784">
      <w:pPr>
        <w:pStyle w:val="ListParagraph"/>
        <w:numPr>
          <w:ilvl w:val="0"/>
          <w:numId w:val="3"/>
        </w:numPr>
        <w:spacing w:after="0" w:line="480" w:lineRule="auto"/>
        <w:ind w:left="426" w:hanging="426"/>
        <w:jc w:val="both"/>
        <w:rPr>
          <w:rFonts w:ascii="Arial" w:hAnsi="Arial" w:cs="Arial"/>
          <w:sz w:val="24"/>
          <w:szCs w:val="24"/>
        </w:rPr>
      </w:pPr>
      <w:r w:rsidRPr="008D59BB">
        <w:rPr>
          <w:rFonts w:ascii="Arial" w:hAnsi="Arial" w:cs="Arial"/>
          <w:sz w:val="24"/>
          <w:szCs w:val="24"/>
        </w:rPr>
        <w:t>Pigłowska M, Kostka J, Kostka T</w:t>
      </w:r>
      <w:r w:rsidR="00985380" w:rsidRPr="008D59BB">
        <w:rPr>
          <w:rFonts w:ascii="Arial" w:hAnsi="Arial" w:cs="Arial"/>
          <w:sz w:val="24"/>
          <w:szCs w:val="24"/>
        </w:rPr>
        <w:t>.</w:t>
      </w:r>
      <w:r w:rsidRPr="008D59BB">
        <w:rPr>
          <w:rFonts w:ascii="Arial" w:hAnsi="Arial" w:cs="Arial"/>
          <w:sz w:val="24"/>
          <w:szCs w:val="24"/>
        </w:rPr>
        <w:t xml:space="preserve"> Association between respiratory tract infections and incidence of falls in nursing home residents. Pol Arch Med Wewn. </w:t>
      </w:r>
      <w:r w:rsidR="00985380" w:rsidRPr="008D59BB">
        <w:rPr>
          <w:rFonts w:ascii="Arial" w:hAnsi="Arial" w:cs="Arial"/>
          <w:sz w:val="24"/>
          <w:szCs w:val="24"/>
        </w:rPr>
        <w:t xml:space="preserve">2013; </w:t>
      </w:r>
      <w:r w:rsidRPr="008D59BB">
        <w:rPr>
          <w:rFonts w:ascii="Arial" w:hAnsi="Arial" w:cs="Arial"/>
          <w:sz w:val="24"/>
          <w:szCs w:val="24"/>
        </w:rPr>
        <w:t>123</w:t>
      </w:r>
      <w:r w:rsidR="00985380" w:rsidRPr="008D59BB">
        <w:rPr>
          <w:rFonts w:ascii="Arial" w:hAnsi="Arial" w:cs="Arial"/>
          <w:sz w:val="24"/>
          <w:szCs w:val="24"/>
        </w:rPr>
        <w:t xml:space="preserve">: </w:t>
      </w:r>
      <w:r w:rsidRPr="008D59BB">
        <w:rPr>
          <w:rFonts w:ascii="Arial" w:hAnsi="Arial" w:cs="Arial"/>
          <w:sz w:val="24"/>
          <w:szCs w:val="24"/>
        </w:rPr>
        <w:t>371-377.</w:t>
      </w:r>
    </w:p>
    <w:p w14:paraId="636F6280" w14:textId="49A594CD" w:rsidR="00CA7784" w:rsidRPr="008D59BB" w:rsidRDefault="00CA7784" w:rsidP="00CA7784">
      <w:pPr>
        <w:pStyle w:val="ListParagraph"/>
        <w:numPr>
          <w:ilvl w:val="0"/>
          <w:numId w:val="3"/>
        </w:numPr>
        <w:spacing w:after="0" w:line="480" w:lineRule="auto"/>
        <w:ind w:left="426" w:hanging="426"/>
        <w:jc w:val="both"/>
        <w:rPr>
          <w:rFonts w:ascii="Arial" w:hAnsi="Arial" w:cs="Arial"/>
          <w:sz w:val="24"/>
          <w:szCs w:val="24"/>
        </w:rPr>
      </w:pPr>
      <w:r w:rsidRPr="008D59BB">
        <w:rPr>
          <w:rFonts w:ascii="Arial" w:hAnsi="Arial" w:cs="Arial"/>
          <w:sz w:val="24"/>
          <w:szCs w:val="24"/>
        </w:rPr>
        <w:t>Verlaan S, Ligthart-Melis GC, Wijers SL, Cederholm T, Maier AB, de van der Schueren MA</w:t>
      </w:r>
      <w:r w:rsidR="00985380" w:rsidRPr="008D59BB">
        <w:rPr>
          <w:rFonts w:ascii="Arial" w:hAnsi="Arial" w:cs="Arial"/>
          <w:sz w:val="24"/>
          <w:szCs w:val="24"/>
        </w:rPr>
        <w:t>.</w:t>
      </w:r>
      <w:r w:rsidRPr="008D59BB">
        <w:rPr>
          <w:rFonts w:ascii="Arial" w:hAnsi="Arial" w:cs="Arial"/>
          <w:sz w:val="24"/>
          <w:szCs w:val="24"/>
        </w:rPr>
        <w:t xml:space="preserve"> High prevalence of physical frailty among community-dwelling malnourished older adults–a systematic review and meta-analysis. J Am Med Dir Assoc. </w:t>
      </w:r>
      <w:r w:rsidR="00985380" w:rsidRPr="008D59BB">
        <w:rPr>
          <w:rFonts w:ascii="Arial" w:hAnsi="Arial" w:cs="Arial"/>
          <w:sz w:val="24"/>
          <w:szCs w:val="24"/>
        </w:rPr>
        <w:t xml:space="preserve">2017; </w:t>
      </w:r>
      <w:r w:rsidRPr="008D59BB">
        <w:rPr>
          <w:rFonts w:ascii="Arial" w:hAnsi="Arial" w:cs="Arial"/>
          <w:sz w:val="24"/>
          <w:szCs w:val="24"/>
        </w:rPr>
        <w:t>18</w:t>
      </w:r>
      <w:r w:rsidR="00985380" w:rsidRPr="008D59BB">
        <w:rPr>
          <w:rFonts w:ascii="Arial" w:hAnsi="Arial" w:cs="Arial"/>
          <w:sz w:val="24"/>
          <w:szCs w:val="24"/>
        </w:rPr>
        <w:t xml:space="preserve">: </w:t>
      </w:r>
      <w:r w:rsidRPr="008D59BB">
        <w:rPr>
          <w:rFonts w:ascii="Arial" w:hAnsi="Arial" w:cs="Arial"/>
          <w:sz w:val="24"/>
          <w:szCs w:val="24"/>
        </w:rPr>
        <w:t>374-382.</w:t>
      </w:r>
    </w:p>
    <w:p w14:paraId="4322AB08" w14:textId="6E06766E" w:rsidR="00CA7784" w:rsidRPr="008D59BB" w:rsidRDefault="00CA7784" w:rsidP="00CA7784">
      <w:pPr>
        <w:pStyle w:val="ListParagraph"/>
        <w:numPr>
          <w:ilvl w:val="0"/>
          <w:numId w:val="3"/>
        </w:numPr>
        <w:spacing w:after="0" w:line="480" w:lineRule="auto"/>
        <w:ind w:left="426" w:hanging="426"/>
        <w:jc w:val="both"/>
        <w:rPr>
          <w:rFonts w:ascii="Arial" w:hAnsi="Arial" w:cs="Arial"/>
          <w:sz w:val="24"/>
          <w:szCs w:val="24"/>
        </w:rPr>
      </w:pPr>
      <w:r w:rsidRPr="008D59BB">
        <w:rPr>
          <w:rFonts w:ascii="Arial" w:hAnsi="Arial" w:cs="Arial"/>
          <w:sz w:val="24"/>
          <w:szCs w:val="24"/>
        </w:rPr>
        <w:t>Malafarina V, Reginster JY, Cabrerizo S, Bruyère O, Kanis JA, Martinez JA, Zulet M</w:t>
      </w:r>
      <w:r w:rsidR="00985380" w:rsidRPr="008D59BB">
        <w:rPr>
          <w:rFonts w:ascii="Arial" w:hAnsi="Arial" w:cs="Arial"/>
          <w:sz w:val="24"/>
          <w:szCs w:val="24"/>
        </w:rPr>
        <w:t>.</w:t>
      </w:r>
      <w:r w:rsidRPr="008D59BB">
        <w:rPr>
          <w:rFonts w:ascii="Arial" w:hAnsi="Arial" w:cs="Arial"/>
          <w:sz w:val="24"/>
          <w:szCs w:val="24"/>
        </w:rPr>
        <w:t xml:space="preserve"> Nutritional status and nutritional treatment are related to outcomes and mortality in older adults with hip fracture. Nutrients. </w:t>
      </w:r>
      <w:r w:rsidR="00985380" w:rsidRPr="008D59BB">
        <w:rPr>
          <w:rFonts w:ascii="Arial" w:hAnsi="Arial" w:cs="Arial"/>
          <w:sz w:val="24"/>
          <w:szCs w:val="24"/>
        </w:rPr>
        <w:t xml:space="preserve">2018; </w:t>
      </w:r>
      <w:r w:rsidRPr="008D59BB">
        <w:rPr>
          <w:rFonts w:ascii="Arial" w:hAnsi="Arial" w:cs="Arial"/>
          <w:sz w:val="24"/>
          <w:szCs w:val="24"/>
        </w:rPr>
        <w:t>10</w:t>
      </w:r>
      <w:r w:rsidR="00985380" w:rsidRPr="008D59BB">
        <w:rPr>
          <w:rFonts w:ascii="Arial" w:hAnsi="Arial" w:cs="Arial"/>
          <w:sz w:val="24"/>
          <w:szCs w:val="24"/>
        </w:rPr>
        <w:t xml:space="preserve">: </w:t>
      </w:r>
      <w:r w:rsidRPr="008D59BB">
        <w:rPr>
          <w:rFonts w:ascii="Arial" w:hAnsi="Arial" w:cs="Arial"/>
          <w:sz w:val="24"/>
          <w:szCs w:val="24"/>
        </w:rPr>
        <w:t>555.</w:t>
      </w:r>
    </w:p>
    <w:p w14:paraId="24082647" w14:textId="07A6CBE8" w:rsidR="00CA7784" w:rsidRPr="008D59BB" w:rsidRDefault="00CA7784" w:rsidP="00CA7784">
      <w:pPr>
        <w:pStyle w:val="NormalWeb"/>
        <w:numPr>
          <w:ilvl w:val="0"/>
          <w:numId w:val="3"/>
        </w:numPr>
        <w:shd w:val="clear" w:color="auto" w:fill="FFFFFF"/>
        <w:spacing w:before="0" w:beforeAutospacing="0" w:after="0" w:afterAutospacing="0" w:line="480" w:lineRule="auto"/>
        <w:ind w:left="426" w:hanging="426"/>
        <w:jc w:val="both"/>
        <w:rPr>
          <w:rFonts w:ascii="Arial" w:hAnsi="Arial" w:cs="Arial"/>
        </w:rPr>
      </w:pPr>
      <w:r w:rsidRPr="008D59BB">
        <w:rPr>
          <w:rFonts w:ascii="Arial" w:hAnsi="Arial" w:cs="Arial"/>
        </w:rPr>
        <w:t>Koren-Hakim T, Weiss A, Hershkovitz A, Otzrateni I, Grosman B, Frishman S, Salai M, Beloosesky Y</w:t>
      </w:r>
      <w:r w:rsidR="00985380" w:rsidRPr="008D59BB">
        <w:rPr>
          <w:rFonts w:ascii="Arial" w:hAnsi="Arial" w:cs="Arial"/>
        </w:rPr>
        <w:t>.</w:t>
      </w:r>
      <w:r w:rsidRPr="008D59BB">
        <w:rPr>
          <w:rFonts w:ascii="Arial" w:hAnsi="Arial" w:cs="Arial"/>
        </w:rPr>
        <w:t xml:space="preserve"> The relationship between nutritional status of hip fracture operated elderly patients and their functioning, comorbidity and outcome. Clin Nutr. </w:t>
      </w:r>
      <w:r w:rsidR="00985380" w:rsidRPr="008D59BB">
        <w:rPr>
          <w:rFonts w:ascii="Arial" w:hAnsi="Arial" w:cs="Arial"/>
        </w:rPr>
        <w:t xml:space="preserve">2012; </w:t>
      </w:r>
      <w:r w:rsidRPr="008D59BB">
        <w:rPr>
          <w:rFonts w:ascii="Arial" w:hAnsi="Arial" w:cs="Arial"/>
        </w:rPr>
        <w:t>31</w:t>
      </w:r>
      <w:r w:rsidR="00985380" w:rsidRPr="008D59BB">
        <w:rPr>
          <w:rFonts w:ascii="Arial" w:hAnsi="Arial" w:cs="Arial"/>
        </w:rPr>
        <w:t xml:space="preserve">: </w:t>
      </w:r>
      <w:r w:rsidRPr="008D59BB">
        <w:rPr>
          <w:rFonts w:ascii="Arial" w:hAnsi="Arial" w:cs="Arial"/>
        </w:rPr>
        <w:t>917-921.</w:t>
      </w:r>
    </w:p>
    <w:p w14:paraId="67B1397F" w14:textId="1F8DBD2E" w:rsidR="00CA7784" w:rsidRPr="008D59BB" w:rsidRDefault="00CA7784" w:rsidP="00CA7784">
      <w:pPr>
        <w:pStyle w:val="ListParagraph"/>
        <w:numPr>
          <w:ilvl w:val="0"/>
          <w:numId w:val="3"/>
        </w:numPr>
        <w:spacing w:after="0" w:line="480" w:lineRule="auto"/>
        <w:ind w:left="426" w:hanging="426"/>
        <w:jc w:val="both"/>
        <w:rPr>
          <w:rFonts w:ascii="Arial" w:hAnsi="Arial" w:cs="Arial"/>
          <w:sz w:val="24"/>
          <w:szCs w:val="24"/>
        </w:rPr>
      </w:pPr>
      <w:r w:rsidRPr="008D59BB">
        <w:rPr>
          <w:rFonts w:ascii="Arial" w:hAnsi="Arial" w:cs="Arial"/>
          <w:sz w:val="24"/>
          <w:szCs w:val="24"/>
        </w:rPr>
        <w:t>Goisser S, Schrader E, Singler K, Bertsch T, Gefeller O, Biber R, Bail HJ, Sieber CC, Volkert D</w:t>
      </w:r>
      <w:r w:rsidR="00985380" w:rsidRPr="008D59BB">
        <w:rPr>
          <w:rFonts w:ascii="Arial" w:hAnsi="Arial" w:cs="Arial"/>
          <w:sz w:val="24"/>
          <w:szCs w:val="24"/>
        </w:rPr>
        <w:t>.</w:t>
      </w:r>
      <w:r w:rsidRPr="008D59BB">
        <w:rPr>
          <w:rFonts w:ascii="Arial" w:hAnsi="Arial" w:cs="Arial"/>
          <w:sz w:val="24"/>
          <w:szCs w:val="24"/>
        </w:rPr>
        <w:t xml:space="preserve"> Malnutrition according to mini nutritional assessment is associated with severe functional impairment in geriatric patients before and up to 6 months after hip fracture. J Am Med Dir Assoc. </w:t>
      </w:r>
      <w:r w:rsidR="00985380" w:rsidRPr="008D59BB">
        <w:rPr>
          <w:rFonts w:ascii="Arial" w:hAnsi="Arial" w:cs="Arial"/>
          <w:sz w:val="24"/>
          <w:szCs w:val="24"/>
        </w:rPr>
        <w:t xml:space="preserve">2015; </w:t>
      </w:r>
      <w:r w:rsidRPr="008D59BB">
        <w:rPr>
          <w:rFonts w:ascii="Arial" w:hAnsi="Arial" w:cs="Arial"/>
          <w:sz w:val="24"/>
          <w:szCs w:val="24"/>
        </w:rPr>
        <w:t>16</w:t>
      </w:r>
      <w:r w:rsidR="00985380" w:rsidRPr="008D59BB">
        <w:rPr>
          <w:rFonts w:ascii="Arial" w:hAnsi="Arial" w:cs="Arial"/>
          <w:sz w:val="24"/>
          <w:szCs w:val="24"/>
        </w:rPr>
        <w:t xml:space="preserve">: </w:t>
      </w:r>
      <w:r w:rsidRPr="008D59BB">
        <w:rPr>
          <w:rFonts w:ascii="Arial" w:hAnsi="Arial" w:cs="Arial"/>
          <w:sz w:val="24"/>
          <w:szCs w:val="24"/>
        </w:rPr>
        <w:t>661-667.</w:t>
      </w:r>
    </w:p>
    <w:p w14:paraId="14F7B6D3" w14:textId="4A1B6303" w:rsidR="00CA7784" w:rsidRPr="008D59BB" w:rsidRDefault="00CA7784" w:rsidP="00CA7784">
      <w:pPr>
        <w:pStyle w:val="NormalWeb"/>
        <w:numPr>
          <w:ilvl w:val="0"/>
          <w:numId w:val="3"/>
        </w:numPr>
        <w:shd w:val="clear" w:color="auto" w:fill="FFFFFF"/>
        <w:spacing w:before="0" w:beforeAutospacing="0" w:after="0" w:afterAutospacing="0" w:line="480" w:lineRule="auto"/>
        <w:ind w:left="426" w:hanging="426"/>
        <w:jc w:val="both"/>
        <w:rPr>
          <w:rFonts w:ascii="Arial" w:hAnsi="Arial" w:cs="Arial"/>
        </w:rPr>
      </w:pPr>
      <w:r w:rsidRPr="008D59BB">
        <w:rPr>
          <w:rFonts w:ascii="Arial" w:hAnsi="Arial" w:cs="Arial"/>
        </w:rPr>
        <w:lastRenderedPageBreak/>
        <w:t>Lisk R, Uddin M, Parbhoo A, Yeong K, Fluck D, Sharma P, Lean ME, Han TS</w:t>
      </w:r>
      <w:r w:rsidR="00985380" w:rsidRPr="008D59BB">
        <w:rPr>
          <w:rFonts w:ascii="Arial" w:hAnsi="Arial" w:cs="Arial"/>
        </w:rPr>
        <w:t>.</w:t>
      </w:r>
      <w:r w:rsidRPr="008D59BB">
        <w:rPr>
          <w:rFonts w:ascii="Arial" w:hAnsi="Arial" w:cs="Arial"/>
        </w:rPr>
        <w:t xml:space="preserve"> Predictive model of length of stay in hospital among older patients. Aging Clin Exp Res. </w:t>
      </w:r>
      <w:r w:rsidR="00985380" w:rsidRPr="008D59BB">
        <w:rPr>
          <w:rFonts w:ascii="Arial" w:hAnsi="Arial" w:cs="Arial"/>
        </w:rPr>
        <w:t xml:space="preserve">2019; </w:t>
      </w:r>
      <w:r w:rsidRPr="008D59BB">
        <w:rPr>
          <w:rFonts w:ascii="Arial" w:hAnsi="Arial" w:cs="Arial"/>
        </w:rPr>
        <w:t>31</w:t>
      </w:r>
      <w:r w:rsidR="00985380" w:rsidRPr="008D59BB">
        <w:rPr>
          <w:rFonts w:ascii="Arial" w:hAnsi="Arial" w:cs="Arial"/>
        </w:rPr>
        <w:t xml:space="preserve">: </w:t>
      </w:r>
      <w:r w:rsidRPr="008D59BB">
        <w:rPr>
          <w:rFonts w:ascii="Arial" w:hAnsi="Arial" w:cs="Arial"/>
        </w:rPr>
        <w:t>993-999.</w:t>
      </w:r>
    </w:p>
    <w:p w14:paraId="7E2D6F86" w14:textId="2A207572" w:rsidR="00CA7784" w:rsidRPr="008D59BB" w:rsidRDefault="00CA7784" w:rsidP="00CA7784">
      <w:pPr>
        <w:pStyle w:val="NormalWeb"/>
        <w:numPr>
          <w:ilvl w:val="0"/>
          <w:numId w:val="3"/>
        </w:numPr>
        <w:shd w:val="clear" w:color="auto" w:fill="FFFFFF"/>
        <w:spacing w:before="0" w:beforeAutospacing="0" w:after="0" w:afterAutospacing="0" w:line="480" w:lineRule="auto"/>
        <w:ind w:left="426" w:hanging="426"/>
        <w:jc w:val="both"/>
        <w:rPr>
          <w:rFonts w:ascii="Arial" w:hAnsi="Arial" w:cs="Arial"/>
        </w:rPr>
      </w:pPr>
      <w:r w:rsidRPr="008D59BB">
        <w:rPr>
          <w:rFonts w:ascii="Arial" w:hAnsi="Arial" w:cs="Arial"/>
        </w:rPr>
        <w:t>Lisk R, Yeong K, Enwere P, Jenkinson J, Robin J, Irvin-Sellers M, Fluck D, Osmani A, Sharmin R, Sharma P, Fry CH, Han TS</w:t>
      </w:r>
      <w:r w:rsidR="00985380" w:rsidRPr="008D59BB">
        <w:rPr>
          <w:rFonts w:ascii="Arial" w:hAnsi="Arial" w:cs="Arial"/>
        </w:rPr>
        <w:t>.</w:t>
      </w:r>
      <w:r w:rsidRPr="008D59BB">
        <w:rPr>
          <w:rFonts w:ascii="Arial" w:hAnsi="Arial" w:cs="Arial"/>
        </w:rPr>
        <w:t xml:space="preserve"> </w:t>
      </w:r>
      <w:r w:rsidR="00D6648C" w:rsidRPr="008D59BB">
        <w:rPr>
          <w:rFonts w:ascii="Arial" w:hAnsi="Arial" w:cs="Arial"/>
        </w:rPr>
        <w:t>Associations of 4AT with mobility, length of stay and mortality in hospital and discharge destination among patients admitted with hip fractures</w:t>
      </w:r>
      <w:r w:rsidRPr="008D59BB">
        <w:rPr>
          <w:rFonts w:ascii="Arial" w:hAnsi="Arial" w:cs="Arial"/>
        </w:rPr>
        <w:t>. Age Ageing</w:t>
      </w:r>
      <w:r w:rsidR="00985380" w:rsidRPr="008D59BB">
        <w:rPr>
          <w:rFonts w:ascii="Arial" w:hAnsi="Arial" w:cs="Arial"/>
        </w:rPr>
        <w:t xml:space="preserve">; 2020; </w:t>
      </w:r>
      <w:r w:rsidRPr="008D59BB">
        <w:rPr>
          <w:rFonts w:ascii="Arial" w:hAnsi="Arial" w:cs="Arial"/>
        </w:rPr>
        <w:t>49</w:t>
      </w:r>
      <w:r w:rsidR="00985380" w:rsidRPr="008D59BB">
        <w:rPr>
          <w:rFonts w:ascii="Arial" w:hAnsi="Arial" w:cs="Arial"/>
        </w:rPr>
        <w:t xml:space="preserve">: </w:t>
      </w:r>
      <w:r w:rsidRPr="008D59BB">
        <w:rPr>
          <w:rFonts w:ascii="Arial" w:hAnsi="Arial" w:cs="Arial"/>
        </w:rPr>
        <w:t>411-417.</w:t>
      </w:r>
    </w:p>
    <w:p w14:paraId="301C74B2" w14:textId="042B5C65" w:rsidR="00CA7784" w:rsidRPr="008D59BB" w:rsidRDefault="00CA7784" w:rsidP="00CA7784">
      <w:pPr>
        <w:pStyle w:val="ListParagraph"/>
        <w:numPr>
          <w:ilvl w:val="0"/>
          <w:numId w:val="3"/>
        </w:numPr>
        <w:spacing w:after="0" w:line="480" w:lineRule="auto"/>
        <w:ind w:left="426" w:hanging="426"/>
        <w:jc w:val="both"/>
        <w:rPr>
          <w:rFonts w:ascii="Arial" w:hAnsi="Arial" w:cs="Arial"/>
          <w:sz w:val="24"/>
          <w:szCs w:val="24"/>
        </w:rPr>
      </w:pPr>
      <w:r w:rsidRPr="008D59BB">
        <w:rPr>
          <w:rFonts w:ascii="Arial" w:hAnsi="Arial" w:cs="Arial"/>
          <w:sz w:val="24"/>
          <w:szCs w:val="24"/>
        </w:rPr>
        <w:t xml:space="preserve">Royal College of Physicians. National Hip Fracture Database annual report 2017. RCP, London (2017) </w:t>
      </w:r>
      <w:hyperlink r:id="rId10" w:history="1">
        <w:r w:rsidRPr="008D59BB">
          <w:rPr>
            <w:rStyle w:val="Hyperlink"/>
            <w:rFonts w:ascii="Arial" w:hAnsi="Arial" w:cs="Arial"/>
            <w:color w:val="auto"/>
            <w:sz w:val="24"/>
            <w:szCs w:val="24"/>
            <w:u w:val="none"/>
          </w:rPr>
          <w:t>http</w:t>
        </w:r>
        <w:r w:rsidR="00985380" w:rsidRPr="008D59BB">
          <w:rPr>
            <w:rStyle w:val="Hyperlink"/>
            <w:rFonts w:ascii="Arial" w:hAnsi="Arial" w:cs="Arial"/>
            <w:color w:val="auto"/>
            <w:sz w:val="24"/>
            <w:szCs w:val="24"/>
            <w:u w:val="none"/>
          </w:rPr>
          <w:t xml:space="preserve">: </w:t>
        </w:r>
        <w:r w:rsidRPr="008D59BB">
          <w:rPr>
            <w:rStyle w:val="Hyperlink"/>
            <w:rFonts w:ascii="Arial" w:hAnsi="Arial" w:cs="Arial"/>
            <w:color w:val="auto"/>
            <w:sz w:val="24"/>
            <w:szCs w:val="24"/>
            <w:u w:val="none"/>
          </w:rPr>
          <w:t>//www</w:t>
        </w:r>
      </w:hyperlink>
      <w:r w:rsidRPr="008D59BB">
        <w:rPr>
          <w:rFonts w:ascii="Arial" w:hAnsi="Arial" w:cs="Arial"/>
          <w:sz w:val="24"/>
          <w:szCs w:val="24"/>
        </w:rPr>
        <w:t>.nhfd.co.uk/. Accessed 1 February 2019.</w:t>
      </w:r>
    </w:p>
    <w:p w14:paraId="4EB5A4CF" w14:textId="03E5520C" w:rsidR="00CA7784" w:rsidRPr="008D59BB" w:rsidRDefault="00CA7784" w:rsidP="00CA7784">
      <w:pPr>
        <w:pStyle w:val="ListParagraph"/>
        <w:numPr>
          <w:ilvl w:val="0"/>
          <w:numId w:val="3"/>
        </w:numPr>
        <w:spacing w:after="0" w:line="480" w:lineRule="auto"/>
        <w:ind w:left="426" w:hanging="426"/>
        <w:jc w:val="both"/>
        <w:rPr>
          <w:rStyle w:val="Hyperlink"/>
          <w:rFonts w:ascii="Arial" w:hAnsi="Arial" w:cs="Arial"/>
          <w:color w:val="auto"/>
          <w:sz w:val="24"/>
          <w:szCs w:val="24"/>
          <w:u w:val="none"/>
        </w:rPr>
      </w:pPr>
      <w:r w:rsidRPr="008D59BB">
        <w:rPr>
          <w:rFonts w:ascii="Arial" w:hAnsi="Arial" w:cs="Arial"/>
          <w:sz w:val="24"/>
          <w:szCs w:val="24"/>
        </w:rPr>
        <w:t xml:space="preserve">National Hip Fracture Database National report 2013. Prepared on behalf of the Clinical Effectiveness and Evaluation Unit at the Royal College of Physicians. </w:t>
      </w:r>
      <w:hyperlink r:id="rId11" w:history="1">
        <w:r w:rsidRPr="008D59BB">
          <w:rPr>
            <w:rStyle w:val="Hyperlink"/>
            <w:rFonts w:ascii="Arial" w:hAnsi="Arial" w:cs="Arial"/>
            <w:color w:val="auto"/>
            <w:sz w:val="24"/>
            <w:szCs w:val="24"/>
            <w:u w:val="none"/>
          </w:rPr>
          <w:t>https</w:t>
        </w:r>
        <w:r w:rsidR="00985380" w:rsidRPr="008D59BB">
          <w:rPr>
            <w:rStyle w:val="Hyperlink"/>
            <w:rFonts w:ascii="Arial" w:hAnsi="Arial" w:cs="Arial"/>
            <w:color w:val="auto"/>
            <w:sz w:val="24"/>
            <w:szCs w:val="24"/>
            <w:u w:val="none"/>
          </w:rPr>
          <w:t xml:space="preserve">: </w:t>
        </w:r>
        <w:r w:rsidRPr="008D59BB">
          <w:rPr>
            <w:rStyle w:val="Hyperlink"/>
            <w:rFonts w:ascii="Arial" w:hAnsi="Arial" w:cs="Arial"/>
            <w:color w:val="auto"/>
            <w:sz w:val="24"/>
            <w:szCs w:val="24"/>
            <w:u w:val="none"/>
          </w:rPr>
          <w:t>//www.nhfd.co.uk/20/hipfractureR.nsf/0/CA920122A244F2ED802579C900553993/$file/NHFD%20Report%202013.pdf</w:t>
        </w:r>
      </w:hyperlink>
    </w:p>
    <w:p w14:paraId="2980725E" w14:textId="18608DC4" w:rsidR="00CA7784" w:rsidRPr="008D59BB" w:rsidRDefault="00CA7784" w:rsidP="00CA7784">
      <w:pPr>
        <w:pStyle w:val="NormalWeb"/>
        <w:numPr>
          <w:ilvl w:val="0"/>
          <w:numId w:val="3"/>
        </w:numPr>
        <w:shd w:val="clear" w:color="auto" w:fill="FFFFFF"/>
        <w:spacing w:before="0" w:beforeAutospacing="0" w:after="0" w:afterAutospacing="0" w:line="480" w:lineRule="auto"/>
        <w:ind w:left="426" w:hanging="426"/>
        <w:jc w:val="both"/>
        <w:rPr>
          <w:rFonts w:ascii="Arial" w:hAnsi="Arial" w:cs="Arial"/>
        </w:rPr>
      </w:pPr>
      <w:r w:rsidRPr="008D59BB">
        <w:rPr>
          <w:rFonts w:ascii="Arial" w:hAnsi="Arial" w:cs="Arial"/>
        </w:rPr>
        <w:t>Kondrup JE, Allison SP, Elia M, Vellas B, Plauth M. ESPEN guidelines for nutrition screening 2002</w:t>
      </w:r>
      <w:r w:rsidR="00985380" w:rsidRPr="008D59BB">
        <w:rPr>
          <w:rFonts w:ascii="Arial" w:hAnsi="Arial" w:cs="Arial"/>
        </w:rPr>
        <w:t>.</w:t>
      </w:r>
      <w:r w:rsidRPr="008D59BB">
        <w:rPr>
          <w:rFonts w:ascii="Arial" w:hAnsi="Arial" w:cs="Arial"/>
        </w:rPr>
        <w:t xml:space="preserve"> Clin Nutr.</w:t>
      </w:r>
      <w:r w:rsidR="006D1367" w:rsidRPr="008D59BB">
        <w:rPr>
          <w:rFonts w:ascii="Arial" w:hAnsi="Arial" w:cs="Arial"/>
        </w:rPr>
        <w:t xml:space="preserve"> </w:t>
      </w:r>
      <w:r w:rsidR="00985380" w:rsidRPr="008D59BB">
        <w:rPr>
          <w:rFonts w:ascii="Arial" w:hAnsi="Arial" w:cs="Arial"/>
        </w:rPr>
        <w:t xml:space="preserve">2003; </w:t>
      </w:r>
      <w:r w:rsidRPr="008D59BB">
        <w:rPr>
          <w:rFonts w:ascii="Arial" w:hAnsi="Arial" w:cs="Arial"/>
        </w:rPr>
        <w:t>22</w:t>
      </w:r>
      <w:r w:rsidR="00985380" w:rsidRPr="008D59BB">
        <w:rPr>
          <w:rFonts w:ascii="Arial" w:hAnsi="Arial" w:cs="Arial"/>
        </w:rPr>
        <w:t xml:space="preserve">: </w:t>
      </w:r>
      <w:r w:rsidRPr="008D59BB">
        <w:rPr>
          <w:rFonts w:ascii="Arial" w:hAnsi="Arial" w:cs="Arial"/>
        </w:rPr>
        <w:t>415-421.</w:t>
      </w:r>
    </w:p>
    <w:p w14:paraId="3FB03978" w14:textId="431B477E" w:rsidR="00CA7784" w:rsidRPr="008D59BB" w:rsidRDefault="00CA7784" w:rsidP="00CA7784">
      <w:pPr>
        <w:pStyle w:val="ListParagraph"/>
        <w:numPr>
          <w:ilvl w:val="0"/>
          <w:numId w:val="3"/>
        </w:numPr>
        <w:spacing w:after="0" w:line="480" w:lineRule="auto"/>
        <w:ind w:left="426" w:hanging="426"/>
        <w:jc w:val="both"/>
        <w:rPr>
          <w:rStyle w:val="Hyperlink"/>
          <w:rFonts w:ascii="Arial" w:hAnsi="Arial" w:cs="Arial"/>
          <w:color w:val="auto"/>
          <w:sz w:val="24"/>
          <w:szCs w:val="24"/>
          <w:u w:val="none"/>
        </w:rPr>
      </w:pPr>
      <w:r w:rsidRPr="008D59BB">
        <w:rPr>
          <w:rStyle w:val="Hyperlink"/>
          <w:rFonts w:ascii="Arial" w:hAnsi="Arial" w:cs="Arial"/>
          <w:color w:val="auto"/>
          <w:sz w:val="24"/>
          <w:szCs w:val="24"/>
          <w:u w:val="none"/>
        </w:rPr>
        <w:t>NICE quality standard QS16 (updated in 2016)</w:t>
      </w:r>
    </w:p>
    <w:p w14:paraId="4C7EF8F1" w14:textId="77777777" w:rsidR="00177350" w:rsidRPr="008D59BB" w:rsidRDefault="00177350" w:rsidP="00177350">
      <w:pPr>
        <w:pStyle w:val="ListParagraph"/>
        <w:numPr>
          <w:ilvl w:val="0"/>
          <w:numId w:val="3"/>
        </w:numPr>
        <w:spacing w:after="0" w:line="480" w:lineRule="auto"/>
        <w:ind w:left="426" w:hanging="426"/>
        <w:jc w:val="both"/>
        <w:rPr>
          <w:rFonts w:ascii="Arial" w:hAnsi="Arial" w:cs="Arial"/>
          <w:sz w:val="24"/>
          <w:szCs w:val="24"/>
        </w:rPr>
      </w:pPr>
      <w:r w:rsidRPr="008D59BB">
        <w:rPr>
          <w:rFonts w:ascii="Arial" w:hAnsi="Arial" w:cs="Arial"/>
          <w:sz w:val="24"/>
          <w:szCs w:val="24"/>
          <w:shd w:val="clear" w:color="auto" w:fill="FFFFFF"/>
        </w:rPr>
        <w:t xml:space="preserve">Pourhoseingholi MA, Vahedi M, Rahimzadeh M. Sample size calculation in medical studies. </w:t>
      </w:r>
      <w:r w:rsidRPr="008D59BB">
        <w:rPr>
          <w:rFonts w:ascii="Arial" w:hAnsi="Arial" w:cs="Arial"/>
          <w:sz w:val="24"/>
          <w:szCs w:val="24"/>
        </w:rPr>
        <w:t>Gastroenterol Hepatol Bed Bench</w:t>
      </w:r>
      <w:r w:rsidRPr="008D59BB">
        <w:rPr>
          <w:rFonts w:ascii="Arial" w:hAnsi="Arial" w:cs="Arial"/>
          <w:sz w:val="24"/>
          <w:szCs w:val="24"/>
          <w:shd w:val="clear" w:color="auto" w:fill="FFFFFF"/>
        </w:rPr>
        <w:t>. 2013;6:14-17.</w:t>
      </w:r>
    </w:p>
    <w:p w14:paraId="669988B5" w14:textId="6D5F87AC" w:rsidR="00CA7784" w:rsidRPr="008D59BB" w:rsidRDefault="00CA7784" w:rsidP="00CA7784">
      <w:pPr>
        <w:pStyle w:val="ListParagraph"/>
        <w:numPr>
          <w:ilvl w:val="0"/>
          <w:numId w:val="3"/>
        </w:numPr>
        <w:spacing w:after="0" w:line="480" w:lineRule="auto"/>
        <w:ind w:left="426" w:hanging="426"/>
        <w:jc w:val="both"/>
        <w:rPr>
          <w:rFonts w:ascii="Arial" w:hAnsi="Arial" w:cs="Arial"/>
          <w:sz w:val="24"/>
          <w:szCs w:val="24"/>
        </w:rPr>
      </w:pPr>
      <w:r w:rsidRPr="008D59BB">
        <w:rPr>
          <w:rFonts w:ascii="Arial" w:hAnsi="Arial" w:cs="Arial"/>
          <w:sz w:val="24"/>
          <w:szCs w:val="24"/>
        </w:rPr>
        <w:t>Kiesswetter E, Pohlhausen S, Uhlig K, Diekmann R, Lesser S, Heseker H, Stehle P, Sieber CC, Volkert D</w:t>
      </w:r>
      <w:r w:rsidR="00985380" w:rsidRPr="008D59BB">
        <w:rPr>
          <w:rFonts w:ascii="Arial" w:hAnsi="Arial" w:cs="Arial"/>
          <w:sz w:val="24"/>
          <w:szCs w:val="24"/>
        </w:rPr>
        <w:t>.</w:t>
      </w:r>
      <w:r w:rsidRPr="008D59BB">
        <w:rPr>
          <w:rFonts w:ascii="Arial" w:hAnsi="Arial" w:cs="Arial"/>
          <w:sz w:val="24"/>
          <w:szCs w:val="24"/>
        </w:rPr>
        <w:t xml:space="preserve"> Malnutrition is related to functional impairment in older adults receiving home care. J Nutr Health Aging. </w:t>
      </w:r>
      <w:r w:rsidR="00985380" w:rsidRPr="008D59BB">
        <w:rPr>
          <w:rFonts w:ascii="Arial" w:hAnsi="Arial" w:cs="Arial"/>
          <w:sz w:val="24"/>
          <w:szCs w:val="24"/>
        </w:rPr>
        <w:t xml:space="preserve">2013; </w:t>
      </w:r>
      <w:r w:rsidRPr="008D59BB">
        <w:rPr>
          <w:rFonts w:ascii="Arial" w:hAnsi="Arial" w:cs="Arial"/>
          <w:sz w:val="24"/>
          <w:szCs w:val="24"/>
        </w:rPr>
        <w:t>17</w:t>
      </w:r>
      <w:r w:rsidR="00985380" w:rsidRPr="008D59BB">
        <w:rPr>
          <w:rFonts w:ascii="Arial" w:hAnsi="Arial" w:cs="Arial"/>
          <w:sz w:val="24"/>
          <w:szCs w:val="24"/>
        </w:rPr>
        <w:t xml:space="preserve">: </w:t>
      </w:r>
      <w:r w:rsidRPr="008D59BB">
        <w:rPr>
          <w:rFonts w:ascii="Arial" w:hAnsi="Arial" w:cs="Arial"/>
          <w:sz w:val="24"/>
          <w:szCs w:val="24"/>
        </w:rPr>
        <w:t>345-350.</w:t>
      </w:r>
    </w:p>
    <w:p w14:paraId="2B1E78F9" w14:textId="5608A43E" w:rsidR="00CA7784" w:rsidRPr="008D59BB" w:rsidRDefault="00CA7784" w:rsidP="00CA7784">
      <w:pPr>
        <w:pStyle w:val="ListParagraph"/>
        <w:numPr>
          <w:ilvl w:val="0"/>
          <w:numId w:val="3"/>
        </w:numPr>
        <w:spacing w:after="0" w:line="480" w:lineRule="auto"/>
        <w:ind w:left="426" w:hanging="426"/>
        <w:jc w:val="both"/>
        <w:rPr>
          <w:rFonts w:ascii="Arial" w:hAnsi="Arial" w:cs="Arial"/>
          <w:sz w:val="24"/>
          <w:szCs w:val="24"/>
        </w:rPr>
      </w:pPr>
      <w:r w:rsidRPr="008D59BB">
        <w:rPr>
          <w:rFonts w:ascii="Arial" w:hAnsi="Arial" w:cs="Arial"/>
          <w:sz w:val="24"/>
          <w:szCs w:val="24"/>
        </w:rPr>
        <w:t>Söderström L, Rosenblad A, Adolfsson ET, Bergkvist L</w:t>
      </w:r>
      <w:r w:rsidR="00985380" w:rsidRPr="008D59BB">
        <w:rPr>
          <w:rFonts w:ascii="Arial" w:hAnsi="Arial" w:cs="Arial"/>
          <w:sz w:val="24"/>
          <w:szCs w:val="24"/>
        </w:rPr>
        <w:t>.</w:t>
      </w:r>
      <w:r w:rsidRPr="008D59BB">
        <w:rPr>
          <w:rFonts w:ascii="Arial" w:hAnsi="Arial" w:cs="Arial"/>
          <w:sz w:val="24"/>
          <w:szCs w:val="24"/>
        </w:rPr>
        <w:t xml:space="preserve"> Malnutrition is associated with increased mortality in older adults regardless of the cause of death. Br J Nutr. </w:t>
      </w:r>
      <w:r w:rsidR="00985380" w:rsidRPr="008D59BB">
        <w:rPr>
          <w:rFonts w:ascii="Arial" w:hAnsi="Arial" w:cs="Arial"/>
          <w:sz w:val="24"/>
          <w:szCs w:val="24"/>
        </w:rPr>
        <w:t xml:space="preserve">2017; </w:t>
      </w:r>
      <w:r w:rsidRPr="008D59BB">
        <w:rPr>
          <w:rFonts w:ascii="Arial" w:hAnsi="Arial" w:cs="Arial"/>
          <w:sz w:val="24"/>
          <w:szCs w:val="24"/>
        </w:rPr>
        <w:t>117</w:t>
      </w:r>
      <w:r w:rsidR="00985380" w:rsidRPr="008D59BB">
        <w:rPr>
          <w:rFonts w:ascii="Arial" w:hAnsi="Arial" w:cs="Arial"/>
          <w:sz w:val="24"/>
          <w:szCs w:val="24"/>
        </w:rPr>
        <w:t xml:space="preserve">: </w:t>
      </w:r>
      <w:r w:rsidRPr="008D59BB">
        <w:rPr>
          <w:rFonts w:ascii="Arial" w:hAnsi="Arial" w:cs="Arial"/>
          <w:sz w:val="24"/>
          <w:szCs w:val="24"/>
        </w:rPr>
        <w:t>532-540.</w:t>
      </w:r>
    </w:p>
    <w:p w14:paraId="4B13AD8A" w14:textId="59140C16" w:rsidR="00CA7784" w:rsidRPr="008D59BB" w:rsidRDefault="00CA7784" w:rsidP="00CA7784">
      <w:pPr>
        <w:pStyle w:val="ListParagraph"/>
        <w:numPr>
          <w:ilvl w:val="0"/>
          <w:numId w:val="3"/>
        </w:numPr>
        <w:spacing w:after="0" w:line="480" w:lineRule="auto"/>
        <w:ind w:left="426" w:hanging="426"/>
        <w:jc w:val="both"/>
        <w:rPr>
          <w:rFonts w:ascii="Arial" w:hAnsi="Arial" w:cs="Arial"/>
          <w:sz w:val="24"/>
          <w:szCs w:val="24"/>
        </w:rPr>
      </w:pPr>
      <w:r w:rsidRPr="008D59BB">
        <w:rPr>
          <w:rFonts w:ascii="Arial" w:hAnsi="Arial" w:cs="Arial"/>
          <w:sz w:val="24"/>
          <w:szCs w:val="24"/>
        </w:rPr>
        <w:lastRenderedPageBreak/>
        <w:t>Kaiser MJ, Bauer JM, Rämsch C, Uter W, Guigoz Y, Cederholm T, Thomas DR, Anthony PS, Charlton KE, Maggio M, Tsai AC</w:t>
      </w:r>
      <w:r w:rsidR="00985380" w:rsidRPr="008D59BB">
        <w:rPr>
          <w:rFonts w:ascii="Arial" w:hAnsi="Arial" w:cs="Arial"/>
          <w:sz w:val="24"/>
          <w:szCs w:val="24"/>
        </w:rPr>
        <w:t>.</w:t>
      </w:r>
      <w:r w:rsidRPr="008D59BB">
        <w:rPr>
          <w:rFonts w:ascii="Arial" w:hAnsi="Arial" w:cs="Arial"/>
          <w:sz w:val="24"/>
          <w:szCs w:val="24"/>
        </w:rPr>
        <w:t xml:space="preserve"> Frequency of malnutrition in older adults</w:t>
      </w:r>
      <w:r w:rsidR="00985380" w:rsidRPr="008D59BB">
        <w:rPr>
          <w:rFonts w:ascii="Arial" w:hAnsi="Arial" w:cs="Arial"/>
          <w:sz w:val="24"/>
          <w:szCs w:val="24"/>
        </w:rPr>
        <w:t xml:space="preserve">: </w:t>
      </w:r>
      <w:r w:rsidRPr="008D59BB">
        <w:rPr>
          <w:rFonts w:ascii="Arial" w:hAnsi="Arial" w:cs="Arial"/>
          <w:sz w:val="24"/>
          <w:szCs w:val="24"/>
        </w:rPr>
        <w:t xml:space="preserve">a multinational perspective using the mini nutritional assessment. J Am Geriatr Soc. </w:t>
      </w:r>
      <w:r w:rsidR="00985380" w:rsidRPr="008D59BB">
        <w:rPr>
          <w:rFonts w:ascii="Arial" w:hAnsi="Arial" w:cs="Arial"/>
          <w:sz w:val="24"/>
          <w:szCs w:val="24"/>
        </w:rPr>
        <w:t xml:space="preserve">2010; </w:t>
      </w:r>
      <w:r w:rsidRPr="008D59BB">
        <w:rPr>
          <w:rFonts w:ascii="Arial" w:hAnsi="Arial" w:cs="Arial"/>
          <w:sz w:val="24"/>
          <w:szCs w:val="24"/>
        </w:rPr>
        <w:t>58</w:t>
      </w:r>
      <w:r w:rsidR="00985380" w:rsidRPr="008D59BB">
        <w:rPr>
          <w:rFonts w:ascii="Arial" w:hAnsi="Arial" w:cs="Arial"/>
          <w:sz w:val="24"/>
          <w:szCs w:val="24"/>
        </w:rPr>
        <w:t xml:space="preserve">: </w:t>
      </w:r>
      <w:r w:rsidRPr="008D59BB">
        <w:rPr>
          <w:rFonts w:ascii="Arial" w:hAnsi="Arial" w:cs="Arial"/>
          <w:sz w:val="24"/>
          <w:szCs w:val="24"/>
        </w:rPr>
        <w:t>1734-1738.</w:t>
      </w:r>
    </w:p>
    <w:p w14:paraId="4CF5731B" w14:textId="08694B50" w:rsidR="00CA7784" w:rsidRPr="008D59BB" w:rsidRDefault="00CA7784" w:rsidP="00CA7784">
      <w:pPr>
        <w:pStyle w:val="ListParagraph"/>
        <w:numPr>
          <w:ilvl w:val="0"/>
          <w:numId w:val="3"/>
        </w:numPr>
        <w:spacing w:after="0" w:line="480" w:lineRule="auto"/>
        <w:ind w:left="426" w:hanging="426"/>
        <w:jc w:val="both"/>
        <w:rPr>
          <w:rFonts w:ascii="Arial" w:hAnsi="Arial" w:cs="Arial"/>
          <w:sz w:val="24"/>
          <w:szCs w:val="24"/>
        </w:rPr>
      </w:pPr>
      <w:r w:rsidRPr="008D59BB">
        <w:rPr>
          <w:rFonts w:ascii="Arial" w:hAnsi="Arial" w:cs="Arial"/>
          <w:sz w:val="24"/>
          <w:szCs w:val="24"/>
        </w:rPr>
        <w:t>Chavarro-Carvajal D, Reyes-Ortiz C, Samper-Ternent R, Arciniegas AJ, Gutierrez CC</w:t>
      </w:r>
      <w:r w:rsidR="00985380" w:rsidRPr="008D59BB">
        <w:rPr>
          <w:rFonts w:ascii="Arial" w:hAnsi="Arial" w:cs="Arial"/>
          <w:sz w:val="24"/>
          <w:szCs w:val="24"/>
        </w:rPr>
        <w:t>.</w:t>
      </w:r>
      <w:r w:rsidRPr="008D59BB">
        <w:rPr>
          <w:rFonts w:ascii="Arial" w:hAnsi="Arial" w:cs="Arial"/>
          <w:sz w:val="24"/>
          <w:szCs w:val="24"/>
        </w:rPr>
        <w:t xml:space="preserve"> Nutritional assessment and factors associated to malnutrition in older adults</w:t>
      </w:r>
      <w:r w:rsidR="00985380" w:rsidRPr="008D59BB">
        <w:rPr>
          <w:rFonts w:ascii="Arial" w:hAnsi="Arial" w:cs="Arial"/>
          <w:sz w:val="24"/>
          <w:szCs w:val="24"/>
        </w:rPr>
        <w:t xml:space="preserve">: </w:t>
      </w:r>
      <w:r w:rsidRPr="008D59BB">
        <w:rPr>
          <w:rFonts w:ascii="Arial" w:hAnsi="Arial" w:cs="Arial"/>
          <w:sz w:val="24"/>
          <w:szCs w:val="24"/>
        </w:rPr>
        <w:t xml:space="preserve">a cross-sectional study in Bogotá, Colombia. J Aging Health. </w:t>
      </w:r>
      <w:r w:rsidR="00985380" w:rsidRPr="008D59BB">
        <w:rPr>
          <w:rFonts w:ascii="Arial" w:hAnsi="Arial" w:cs="Arial"/>
          <w:sz w:val="24"/>
          <w:szCs w:val="24"/>
        </w:rPr>
        <w:t xml:space="preserve">2015; </w:t>
      </w:r>
      <w:r w:rsidRPr="008D59BB">
        <w:rPr>
          <w:rFonts w:ascii="Arial" w:hAnsi="Arial" w:cs="Arial"/>
          <w:sz w:val="24"/>
          <w:szCs w:val="24"/>
        </w:rPr>
        <w:t>27</w:t>
      </w:r>
      <w:r w:rsidR="00985380" w:rsidRPr="008D59BB">
        <w:rPr>
          <w:rFonts w:ascii="Arial" w:hAnsi="Arial" w:cs="Arial"/>
          <w:sz w:val="24"/>
          <w:szCs w:val="24"/>
        </w:rPr>
        <w:t xml:space="preserve">: </w:t>
      </w:r>
      <w:r w:rsidRPr="008D59BB">
        <w:rPr>
          <w:rFonts w:ascii="Arial" w:hAnsi="Arial" w:cs="Arial"/>
          <w:sz w:val="24"/>
          <w:szCs w:val="24"/>
        </w:rPr>
        <w:t>304-319.</w:t>
      </w:r>
    </w:p>
    <w:p w14:paraId="7F4DA2D4" w14:textId="3F860277" w:rsidR="00CA7784" w:rsidRPr="008D59BB" w:rsidRDefault="00CA7784" w:rsidP="00CA7784">
      <w:pPr>
        <w:pStyle w:val="NormalWeb"/>
        <w:numPr>
          <w:ilvl w:val="0"/>
          <w:numId w:val="3"/>
        </w:numPr>
        <w:shd w:val="clear" w:color="auto" w:fill="FFFFFF"/>
        <w:spacing w:before="0" w:beforeAutospacing="0" w:after="0" w:afterAutospacing="0" w:line="480" w:lineRule="auto"/>
        <w:ind w:left="426" w:hanging="426"/>
        <w:jc w:val="both"/>
        <w:rPr>
          <w:rFonts w:ascii="Arial" w:hAnsi="Arial" w:cs="Arial"/>
        </w:rPr>
      </w:pPr>
      <w:r w:rsidRPr="008D59BB">
        <w:rPr>
          <w:rFonts w:ascii="Arial" w:hAnsi="Arial" w:cs="Arial"/>
        </w:rPr>
        <w:t>Neumann SA, Miller MD, Daniels L, Crotty M</w:t>
      </w:r>
      <w:r w:rsidR="00985380" w:rsidRPr="008D59BB">
        <w:rPr>
          <w:rFonts w:ascii="Arial" w:hAnsi="Arial" w:cs="Arial"/>
        </w:rPr>
        <w:t>.</w:t>
      </w:r>
      <w:r w:rsidRPr="008D59BB">
        <w:rPr>
          <w:rFonts w:ascii="Arial" w:hAnsi="Arial" w:cs="Arial"/>
        </w:rPr>
        <w:t xml:space="preserve"> Nutritional status and clinical outcomes of older patients in rehabilitation. J Hum Nutr Diet. </w:t>
      </w:r>
      <w:r w:rsidR="00985380" w:rsidRPr="008D59BB">
        <w:rPr>
          <w:rFonts w:ascii="Arial" w:hAnsi="Arial" w:cs="Arial"/>
        </w:rPr>
        <w:t xml:space="preserve">2005; </w:t>
      </w:r>
      <w:r w:rsidRPr="008D59BB">
        <w:rPr>
          <w:rFonts w:ascii="Arial" w:hAnsi="Arial" w:cs="Arial"/>
        </w:rPr>
        <w:t>18</w:t>
      </w:r>
      <w:r w:rsidR="00985380" w:rsidRPr="008D59BB">
        <w:rPr>
          <w:rFonts w:ascii="Arial" w:hAnsi="Arial" w:cs="Arial"/>
        </w:rPr>
        <w:t xml:space="preserve">: </w:t>
      </w:r>
      <w:r w:rsidRPr="008D59BB">
        <w:rPr>
          <w:rFonts w:ascii="Arial" w:hAnsi="Arial" w:cs="Arial"/>
        </w:rPr>
        <w:t>129-136.</w:t>
      </w:r>
    </w:p>
    <w:p w14:paraId="606C9EEB" w14:textId="4E48A716" w:rsidR="00CA7784" w:rsidRPr="008D59BB" w:rsidRDefault="00CA7784" w:rsidP="00CA7784">
      <w:pPr>
        <w:pStyle w:val="NormalWeb"/>
        <w:numPr>
          <w:ilvl w:val="0"/>
          <w:numId w:val="3"/>
        </w:numPr>
        <w:shd w:val="clear" w:color="auto" w:fill="FFFFFF"/>
        <w:spacing w:before="0" w:beforeAutospacing="0" w:after="0" w:afterAutospacing="0" w:line="480" w:lineRule="auto"/>
        <w:ind w:left="426" w:hanging="426"/>
        <w:jc w:val="both"/>
        <w:rPr>
          <w:rFonts w:ascii="Arial" w:hAnsi="Arial" w:cs="Arial"/>
        </w:rPr>
      </w:pPr>
      <w:r w:rsidRPr="008D59BB">
        <w:rPr>
          <w:rFonts w:ascii="Arial" w:hAnsi="Arial" w:cs="Arial"/>
        </w:rPr>
        <w:t>Galivanche AR, Kebaish KJ, Adrados M, Ottesen TD, Varthi AG, Rubin LE, Grauer JN</w:t>
      </w:r>
      <w:r w:rsidR="00985380" w:rsidRPr="008D59BB">
        <w:rPr>
          <w:rFonts w:ascii="Arial" w:hAnsi="Arial" w:cs="Arial"/>
        </w:rPr>
        <w:t>.</w:t>
      </w:r>
      <w:r w:rsidRPr="008D59BB">
        <w:rPr>
          <w:rFonts w:ascii="Arial" w:hAnsi="Arial" w:cs="Arial"/>
        </w:rPr>
        <w:t xml:space="preserve"> Postoperative Pressure Ulcers After Geriatric Hip Fracture Surgery Are Predicted by Defined Preoperative Comorbidities and Postoperative Complications. JAAOS-Journal of the American Academy of Orthopaedic Surgeons. </w:t>
      </w:r>
      <w:r w:rsidR="00985380" w:rsidRPr="008D59BB">
        <w:rPr>
          <w:rFonts w:ascii="Arial" w:hAnsi="Arial" w:cs="Arial"/>
        </w:rPr>
        <w:t xml:space="preserve">2020; </w:t>
      </w:r>
      <w:r w:rsidRPr="008D59BB">
        <w:rPr>
          <w:rFonts w:ascii="Arial" w:hAnsi="Arial" w:cs="Arial"/>
        </w:rPr>
        <w:t>28</w:t>
      </w:r>
      <w:r w:rsidR="00985380" w:rsidRPr="008D59BB">
        <w:rPr>
          <w:rFonts w:ascii="Arial" w:hAnsi="Arial" w:cs="Arial"/>
        </w:rPr>
        <w:t xml:space="preserve">: </w:t>
      </w:r>
      <w:r w:rsidRPr="008D59BB">
        <w:rPr>
          <w:rFonts w:ascii="Arial" w:hAnsi="Arial" w:cs="Arial"/>
        </w:rPr>
        <w:t>342-351.</w:t>
      </w:r>
    </w:p>
    <w:p w14:paraId="4219799C" w14:textId="07BBFA1E" w:rsidR="00CA7784" w:rsidRPr="008D59BB" w:rsidRDefault="00CA7784" w:rsidP="00CA7784">
      <w:pPr>
        <w:pStyle w:val="NormalWeb"/>
        <w:numPr>
          <w:ilvl w:val="0"/>
          <w:numId w:val="3"/>
        </w:numPr>
        <w:shd w:val="clear" w:color="auto" w:fill="FFFFFF"/>
        <w:spacing w:before="0" w:beforeAutospacing="0" w:after="0" w:afterAutospacing="0" w:line="480" w:lineRule="auto"/>
        <w:ind w:left="426" w:hanging="426"/>
        <w:jc w:val="both"/>
        <w:rPr>
          <w:rFonts w:ascii="Arial" w:hAnsi="Arial" w:cs="Arial"/>
        </w:rPr>
      </w:pPr>
      <w:r w:rsidRPr="008D59BB">
        <w:rPr>
          <w:rFonts w:ascii="Arial" w:hAnsi="Arial" w:cs="Arial"/>
        </w:rPr>
        <w:t>Lindholm C, Sterner E, Romanelli M, Pina E, Torra y Bou J, Hietanen H, Iivanainen A, Gunningberg L, Hommel A, Klang B, Dealey C</w:t>
      </w:r>
      <w:r w:rsidR="00985380" w:rsidRPr="008D59BB">
        <w:rPr>
          <w:rFonts w:ascii="Arial" w:hAnsi="Arial" w:cs="Arial"/>
        </w:rPr>
        <w:t>.</w:t>
      </w:r>
      <w:r w:rsidRPr="008D59BB">
        <w:rPr>
          <w:rFonts w:ascii="Arial" w:hAnsi="Arial" w:cs="Arial"/>
        </w:rPr>
        <w:t xml:space="preserve"> Hip fracture and pressure ulcers–the Pan</w:t>
      </w:r>
      <w:r w:rsidRPr="008D59BB">
        <w:rPr>
          <w:rFonts w:ascii="Cambria Math" w:hAnsi="Cambria Math" w:cs="Cambria Math"/>
        </w:rPr>
        <w:t>‐</w:t>
      </w:r>
      <w:r w:rsidRPr="008D59BB">
        <w:rPr>
          <w:rFonts w:ascii="Arial" w:hAnsi="Arial" w:cs="Arial"/>
        </w:rPr>
        <w:t xml:space="preserve">European Pressure Ulcer Study–intrinsic and extrinsic risk factors. International wound journal. </w:t>
      </w:r>
      <w:r w:rsidR="00985380" w:rsidRPr="008D59BB">
        <w:rPr>
          <w:rFonts w:ascii="Arial" w:hAnsi="Arial" w:cs="Arial"/>
        </w:rPr>
        <w:t xml:space="preserve">2008; </w:t>
      </w:r>
      <w:r w:rsidRPr="008D59BB">
        <w:rPr>
          <w:rFonts w:ascii="Arial" w:hAnsi="Arial" w:cs="Arial"/>
        </w:rPr>
        <w:t>5</w:t>
      </w:r>
      <w:r w:rsidR="00985380" w:rsidRPr="008D59BB">
        <w:rPr>
          <w:rFonts w:ascii="Arial" w:hAnsi="Arial" w:cs="Arial"/>
        </w:rPr>
        <w:t xml:space="preserve">: </w:t>
      </w:r>
      <w:r w:rsidRPr="008D59BB">
        <w:rPr>
          <w:rFonts w:ascii="Arial" w:hAnsi="Arial" w:cs="Arial"/>
        </w:rPr>
        <w:t>315-328.</w:t>
      </w:r>
    </w:p>
    <w:p w14:paraId="665B2026" w14:textId="5D011348" w:rsidR="00CA7784" w:rsidRPr="008D59BB" w:rsidRDefault="00CA7784" w:rsidP="00CA7784">
      <w:pPr>
        <w:pStyle w:val="NormalWeb"/>
        <w:numPr>
          <w:ilvl w:val="0"/>
          <w:numId w:val="3"/>
        </w:numPr>
        <w:shd w:val="clear" w:color="auto" w:fill="FFFFFF"/>
        <w:spacing w:before="0" w:beforeAutospacing="0" w:after="0" w:afterAutospacing="0" w:line="480" w:lineRule="auto"/>
        <w:ind w:left="426" w:hanging="426"/>
        <w:jc w:val="both"/>
        <w:rPr>
          <w:rFonts w:ascii="Arial" w:hAnsi="Arial" w:cs="Arial"/>
        </w:rPr>
      </w:pPr>
      <w:r w:rsidRPr="008D59BB">
        <w:rPr>
          <w:rFonts w:ascii="Arial" w:hAnsi="Arial" w:cs="Arial"/>
        </w:rPr>
        <w:t>Jones A, Pope J, Anguah KO, Erickson D</w:t>
      </w:r>
      <w:r w:rsidR="00985380" w:rsidRPr="008D59BB">
        <w:rPr>
          <w:rFonts w:ascii="Arial" w:hAnsi="Arial" w:cs="Arial"/>
        </w:rPr>
        <w:t>.</w:t>
      </w:r>
      <w:r w:rsidRPr="008D59BB">
        <w:rPr>
          <w:rFonts w:ascii="Arial" w:hAnsi="Arial" w:cs="Arial"/>
        </w:rPr>
        <w:t xml:space="preserve"> Mini Nutritional Assessment Score as a potential predictor of pressure ulcers in elderly nursing home patients with dementia. Topics in Clinical Nutrition. </w:t>
      </w:r>
      <w:r w:rsidR="00985380" w:rsidRPr="008D59BB">
        <w:rPr>
          <w:rFonts w:ascii="Arial" w:hAnsi="Arial" w:cs="Arial"/>
        </w:rPr>
        <w:t xml:space="preserve">2020; </w:t>
      </w:r>
      <w:r w:rsidRPr="008D59BB">
        <w:rPr>
          <w:rFonts w:ascii="Arial" w:hAnsi="Arial" w:cs="Arial"/>
        </w:rPr>
        <w:t>35</w:t>
      </w:r>
      <w:r w:rsidR="00985380" w:rsidRPr="008D59BB">
        <w:rPr>
          <w:rFonts w:ascii="Arial" w:hAnsi="Arial" w:cs="Arial"/>
        </w:rPr>
        <w:t xml:space="preserve">: </w:t>
      </w:r>
      <w:r w:rsidRPr="008D59BB">
        <w:rPr>
          <w:rFonts w:ascii="Arial" w:hAnsi="Arial" w:cs="Arial"/>
        </w:rPr>
        <w:t>42-49.</w:t>
      </w:r>
    </w:p>
    <w:p w14:paraId="50ED40C6" w14:textId="724D50A5" w:rsidR="00CA7784" w:rsidRPr="008D59BB" w:rsidRDefault="00CA7784" w:rsidP="00CA7784">
      <w:pPr>
        <w:pStyle w:val="NormalWeb"/>
        <w:numPr>
          <w:ilvl w:val="0"/>
          <w:numId w:val="3"/>
        </w:numPr>
        <w:shd w:val="clear" w:color="auto" w:fill="FFFFFF"/>
        <w:spacing w:before="0" w:beforeAutospacing="0" w:after="0" w:afterAutospacing="0" w:line="480" w:lineRule="auto"/>
        <w:ind w:left="426" w:hanging="426"/>
        <w:jc w:val="both"/>
        <w:rPr>
          <w:rFonts w:ascii="Arial" w:hAnsi="Arial" w:cs="Arial"/>
        </w:rPr>
      </w:pPr>
      <w:r w:rsidRPr="008D59BB">
        <w:rPr>
          <w:rFonts w:ascii="Arial" w:hAnsi="Arial" w:cs="Arial"/>
        </w:rPr>
        <w:t>Hedström M, Ljungqvist O, Cederholm T</w:t>
      </w:r>
      <w:r w:rsidR="00985380" w:rsidRPr="008D59BB">
        <w:rPr>
          <w:rFonts w:ascii="Arial" w:hAnsi="Arial" w:cs="Arial"/>
        </w:rPr>
        <w:t>.</w:t>
      </w:r>
      <w:r w:rsidRPr="008D59BB">
        <w:rPr>
          <w:rFonts w:ascii="Arial" w:hAnsi="Arial" w:cs="Arial"/>
        </w:rPr>
        <w:t xml:space="preserve"> Metabolism and catabolism in hip fracture patients nutritional and anabolic intervention—a review. Acta Orthopaedica. </w:t>
      </w:r>
      <w:r w:rsidR="00985380" w:rsidRPr="008D59BB">
        <w:rPr>
          <w:rFonts w:ascii="Arial" w:hAnsi="Arial" w:cs="Arial"/>
        </w:rPr>
        <w:t xml:space="preserve">2006; </w:t>
      </w:r>
      <w:r w:rsidRPr="008D59BB">
        <w:rPr>
          <w:rFonts w:ascii="Arial" w:hAnsi="Arial" w:cs="Arial"/>
        </w:rPr>
        <w:t>77</w:t>
      </w:r>
      <w:r w:rsidR="00985380" w:rsidRPr="008D59BB">
        <w:rPr>
          <w:rFonts w:ascii="Arial" w:hAnsi="Arial" w:cs="Arial"/>
        </w:rPr>
        <w:t xml:space="preserve">: </w:t>
      </w:r>
      <w:r w:rsidRPr="008D59BB">
        <w:rPr>
          <w:rFonts w:ascii="Arial" w:hAnsi="Arial" w:cs="Arial"/>
        </w:rPr>
        <w:t>741-747.</w:t>
      </w:r>
    </w:p>
    <w:p w14:paraId="38DAC625" w14:textId="0FD9D0A6" w:rsidR="00CA7784" w:rsidRPr="008D59BB" w:rsidRDefault="00CA7784" w:rsidP="00CA7784">
      <w:pPr>
        <w:pStyle w:val="ListParagraph"/>
        <w:numPr>
          <w:ilvl w:val="0"/>
          <w:numId w:val="3"/>
        </w:numPr>
        <w:spacing w:after="0" w:line="480" w:lineRule="auto"/>
        <w:ind w:left="426" w:hanging="426"/>
        <w:jc w:val="both"/>
        <w:rPr>
          <w:rFonts w:ascii="Arial" w:hAnsi="Arial" w:cs="Arial"/>
          <w:sz w:val="24"/>
          <w:szCs w:val="24"/>
        </w:rPr>
      </w:pPr>
      <w:r w:rsidRPr="008D59BB">
        <w:rPr>
          <w:rFonts w:ascii="Arial" w:hAnsi="Arial" w:cs="Arial"/>
          <w:sz w:val="24"/>
          <w:szCs w:val="24"/>
        </w:rPr>
        <w:lastRenderedPageBreak/>
        <w:t>Bell JJ, Bauer JD, Capra S, Pulle RC</w:t>
      </w:r>
      <w:r w:rsidR="00985380" w:rsidRPr="008D59BB">
        <w:rPr>
          <w:rFonts w:ascii="Arial" w:hAnsi="Arial" w:cs="Arial"/>
          <w:sz w:val="24"/>
          <w:szCs w:val="24"/>
        </w:rPr>
        <w:t>.</w:t>
      </w:r>
      <w:r w:rsidRPr="008D59BB">
        <w:rPr>
          <w:rFonts w:ascii="Arial" w:hAnsi="Arial" w:cs="Arial"/>
          <w:sz w:val="24"/>
          <w:szCs w:val="24"/>
        </w:rPr>
        <w:t xml:space="preserve"> Multidisciplinary, multi-modal nutritional care in acute hip fracture inpatients–results of a pragmatic intervention. Clin Nutr. </w:t>
      </w:r>
      <w:r w:rsidR="00985380" w:rsidRPr="008D59BB">
        <w:rPr>
          <w:rFonts w:ascii="Arial" w:hAnsi="Arial" w:cs="Arial"/>
          <w:sz w:val="24"/>
          <w:szCs w:val="24"/>
        </w:rPr>
        <w:t xml:space="preserve">2014; </w:t>
      </w:r>
      <w:r w:rsidRPr="008D59BB">
        <w:rPr>
          <w:rFonts w:ascii="Arial" w:hAnsi="Arial" w:cs="Arial"/>
          <w:sz w:val="24"/>
          <w:szCs w:val="24"/>
        </w:rPr>
        <w:t>33</w:t>
      </w:r>
      <w:r w:rsidR="00985380" w:rsidRPr="008D59BB">
        <w:rPr>
          <w:rFonts w:ascii="Arial" w:hAnsi="Arial" w:cs="Arial"/>
          <w:sz w:val="24"/>
          <w:szCs w:val="24"/>
        </w:rPr>
        <w:t xml:space="preserve">: </w:t>
      </w:r>
      <w:r w:rsidRPr="008D59BB">
        <w:rPr>
          <w:rFonts w:ascii="Arial" w:hAnsi="Arial" w:cs="Arial"/>
          <w:sz w:val="24"/>
          <w:szCs w:val="24"/>
        </w:rPr>
        <w:t>1101-1107.</w:t>
      </w:r>
    </w:p>
    <w:p w14:paraId="3BF04798" w14:textId="67C8E3E0" w:rsidR="00CA7784" w:rsidRPr="008D59BB" w:rsidRDefault="00CA7784" w:rsidP="00CA7784">
      <w:pPr>
        <w:pStyle w:val="NormalWeb"/>
        <w:numPr>
          <w:ilvl w:val="0"/>
          <w:numId w:val="3"/>
        </w:numPr>
        <w:shd w:val="clear" w:color="auto" w:fill="FFFFFF"/>
        <w:spacing w:before="0" w:beforeAutospacing="0" w:after="0" w:afterAutospacing="0" w:line="480" w:lineRule="auto"/>
        <w:ind w:left="426" w:hanging="426"/>
        <w:jc w:val="both"/>
        <w:rPr>
          <w:rFonts w:ascii="Arial" w:hAnsi="Arial" w:cs="Arial"/>
        </w:rPr>
      </w:pPr>
      <w:r w:rsidRPr="008D59BB">
        <w:rPr>
          <w:rFonts w:ascii="Arial" w:hAnsi="Arial" w:cs="Arial"/>
        </w:rPr>
        <w:t>Li HJ, Cheng HS, Liang J, Wu CC, Shyu YI</w:t>
      </w:r>
      <w:r w:rsidR="00985380" w:rsidRPr="008D59BB">
        <w:rPr>
          <w:rFonts w:ascii="Arial" w:hAnsi="Arial" w:cs="Arial"/>
        </w:rPr>
        <w:t>.</w:t>
      </w:r>
      <w:r w:rsidRPr="008D59BB">
        <w:rPr>
          <w:rFonts w:ascii="Arial" w:hAnsi="Arial" w:cs="Arial"/>
        </w:rPr>
        <w:t xml:space="preserve"> Functional recovery of older people with hip fracture</w:t>
      </w:r>
      <w:r w:rsidR="00985380" w:rsidRPr="008D59BB">
        <w:rPr>
          <w:rFonts w:ascii="Arial" w:hAnsi="Arial" w:cs="Arial"/>
        </w:rPr>
        <w:t xml:space="preserve">: </w:t>
      </w:r>
      <w:r w:rsidRPr="008D59BB">
        <w:rPr>
          <w:rFonts w:ascii="Arial" w:hAnsi="Arial" w:cs="Arial"/>
        </w:rPr>
        <w:t xml:space="preserve">does malnutrition make a difference?. J Adv Nurs. </w:t>
      </w:r>
      <w:r w:rsidR="00985380" w:rsidRPr="008D59BB">
        <w:rPr>
          <w:rFonts w:ascii="Arial" w:hAnsi="Arial" w:cs="Arial"/>
        </w:rPr>
        <w:t xml:space="preserve">2013; </w:t>
      </w:r>
      <w:r w:rsidRPr="008D59BB">
        <w:rPr>
          <w:rFonts w:ascii="Arial" w:hAnsi="Arial" w:cs="Arial"/>
        </w:rPr>
        <w:t>69</w:t>
      </w:r>
      <w:r w:rsidR="00985380" w:rsidRPr="008D59BB">
        <w:rPr>
          <w:rFonts w:ascii="Arial" w:hAnsi="Arial" w:cs="Arial"/>
        </w:rPr>
        <w:t xml:space="preserve">: </w:t>
      </w:r>
      <w:r w:rsidRPr="008D59BB">
        <w:rPr>
          <w:rFonts w:ascii="Arial" w:hAnsi="Arial" w:cs="Arial"/>
        </w:rPr>
        <w:t>1691-1703.</w:t>
      </w:r>
    </w:p>
    <w:p w14:paraId="0BF75702" w14:textId="59A577E4" w:rsidR="00CA7784" w:rsidRPr="008D59BB" w:rsidRDefault="00CA7784" w:rsidP="00CA7784">
      <w:pPr>
        <w:pStyle w:val="NormalWeb"/>
        <w:numPr>
          <w:ilvl w:val="0"/>
          <w:numId w:val="3"/>
        </w:numPr>
        <w:shd w:val="clear" w:color="auto" w:fill="FFFFFF"/>
        <w:spacing w:before="0" w:beforeAutospacing="0" w:after="0" w:afterAutospacing="0" w:line="480" w:lineRule="auto"/>
        <w:ind w:left="426" w:hanging="426"/>
        <w:jc w:val="both"/>
        <w:rPr>
          <w:rFonts w:ascii="Arial" w:hAnsi="Arial" w:cs="Arial"/>
        </w:rPr>
      </w:pPr>
      <w:r w:rsidRPr="008D59BB">
        <w:rPr>
          <w:rFonts w:ascii="Arial" w:hAnsi="Arial" w:cs="Arial"/>
        </w:rPr>
        <w:t>Gunnarsson AK, Lönn K, Gunningberg</w:t>
      </w:r>
      <w:r w:rsidR="006D1367" w:rsidRPr="008D59BB">
        <w:rPr>
          <w:rFonts w:ascii="Arial" w:hAnsi="Arial" w:cs="Arial"/>
        </w:rPr>
        <w:t xml:space="preserve"> </w:t>
      </w:r>
      <w:r w:rsidRPr="008D59BB">
        <w:rPr>
          <w:rFonts w:ascii="Arial" w:hAnsi="Arial" w:cs="Arial"/>
        </w:rPr>
        <w:t>L</w:t>
      </w:r>
      <w:r w:rsidR="00985380" w:rsidRPr="008D59BB">
        <w:rPr>
          <w:rFonts w:ascii="Arial" w:hAnsi="Arial" w:cs="Arial"/>
        </w:rPr>
        <w:t>.</w:t>
      </w:r>
      <w:r w:rsidRPr="008D59BB">
        <w:rPr>
          <w:rFonts w:ascii="Arial" w:hAnsi="Arial" w:cs="Arial"/>
        </w:rPr>
        <w:t xml:space="preserve"> Does nutritional intervention for patients with hip fractures reduce postoperative complications and improve rehabilitation?. Journal of Clinical Nursing. </w:t>
      </w:r>
      <w:r w:rsidR="00985380" w:rsidRPr="008D59BB">
        <w:rPr>
          <w:rFonts w:ascii="Arial" w:hAnsi="Arial" w:cs="Arial"/>
        </w:rPr>
        <w:t xml:space="preserve">2009; </w:t>
      </w:r>
      <w:r w:rsidRPr="008D59BB">
        <w:rPr>
          <w:rFonts w:ascii="Arial" w:hAnsi="Arial" w:cs="Arial"/>
        </w:rPr>
        <w:t>18</w:t>
      </w:r>
      <w:r w:rsidR="00985380" w:rsidRPr="008D59BB">
        <w:rPr>
          <w:rFonts w:ascii="Arial" w:hAnsi="Arial" w:cs="Arial"/>
        </w:rPr>
        <w:t xml:space="preserve">: </w:t>
      </w:r>
      <w:r w:rsidRPr="008D59BB">
        <w:rPr>
          <w:rFonts w:ascii="Arial" w:hAnsi="Arial" w:cs="Arial"/>
        </w:rPr>
        <w:t>1325-1333.</w:t>
      </w:r>
    </w:p>
    <w:p w14:paraId="2AD19177" w14:textId="4D3616A9" w:rsidR="00CA7784" w:rsidRPr="008D59BB" w:rsidRDefault="00CA7784" w:rsidP="00CA7784">
      <w:pPr>
        <w:pStyle w:val="NormalWeb"/>
        <w:numPr>
          <w:ilvl w:val="0"/>
          <w:numId w:val="3"/>
        </w:numPr>
        <w:shd w:val="clear" w:color="auto" w:fill="FFFFFF"/>
        <w:spacing w:before="0" w:beforeAutospacing="0" w:after="0" w:afterAutospacing="0" w:line="480" w:lineRule="auto"/>
        <w:ind w:left="426" w:hanging="426"/>
        <w:jc w:val="both"/>
        <w:rPr>
          <w:rFonts w:ascii="Arial" w:hAnsi="Arial" w:cs="Arial"/>
        </w:rPr>
      </w:pPr>
      <w:r w:rsidRPr="008D59BB">
        <w:rPr>
          <w:rFonts w:ascii="Arial" w:hAnsi="Arial" w:cs="Arial"/>
        </w:rPr>
        <w:t>Houwing RH, Rozendaal M, Wouters-Wesseling W, Beulens JW, Buskens E, Haalboom JR</w:t>
      </w:r>
      <w:r w:rsidR="00985380" w:rsidRPr="008D59BB">
        <w:rPr>
          <w:rFonts w:ascii="Arial" w:hAnsi="Arial" w:cs="Arial"/>
        </w:rPr>
        <w:t>.</w:t>
      </w:r>
      <w:r w:rsidRPr="008D59BB">
        <w:rPr>
          <w:rFonts w:ascii="Arial" w:hAnsi="Arial" w:cs="Arial"/>
        </w:rPr>
        <w:t xml:space="preserve"> A randomised, double-blind assessment of the effect of nutritional supplementation on the prevention of pressure ulcers in hip-fracture patients. Clin Nutr. </w:t>
      </w:r>
      <w:r w:rsidR="00985380" w:rsidRPr="008D59BB">
        <w:rPr>
          <w:rFonts w:ascii="Arial" w:hAnsi="Arial" w:cs="Arial"/>
        </w:rPr>
        <w:t xml:space="preserve">2003; </w:t>
      </w:r>
      <w:r w:rsidRPr="008D59BB">
        <w:rPr>
          <w:rFonts w:ascii="Arial" w:hAnsi="Arial" w:cs="Arial"/>
        </w:rPr>
        <w:t>22</w:t>
      </w:r>
      <w:r w:rsidR="00985380" w:rsidRPr="008D59BB">
        <w:rPr>
          <w:rFonts w:ascii="Arial" w:hAnsi="Arial" w:cs="Arial"/>
        </w:rPr>
        <w:t xml:space="preserve">: </w:t>
      </w:r>
      <w:r w:rsidRPr="008D59BB">
        <w:rPr>
          <w:rFonts w:ascii="Arial" w:hAnsi="Arial" w:cs="Arial"/>
        </w:rPr>
        <w:t>401-405.</w:t>
      </w:r>
    </w:p>
    <w:p w14:paraId="44C63C60" w14:textId="1A1B1130" w:rsidR="00CA7784" w:rsidRPr="008D59BB" w:rsidRDefault="00CA7784" w:rsidP="00CA7784">
      <w:pPr>
        <w:pStyle w:val="ListParagraph"/>
        <w:numPr>
          <w:ilvl w:val="0"/>
          <w:numId w:val="3"/>
        </w:numPr>
        <w:spacing w:after="0" w:line="480" w:lineRule="auto"/>
        <w:ind w:left="426" w:hanging="426"/>
        <w:jc w:val="both"/>
        <w:rPr>
          <w:rFonts w:ascii="Arial" w:hAnsi="Arial" w:cs="Arial"/>
          <w:sz w:val="24"/>
          <w:szCs w:val="24"/>
        </w:rPr>
      </w:pPr>
      <w:r w:rsidRPr="008D59BB">
        <w:rPr>
          <w:rFonts w:ascii="Arial" w:hAnsi="Arial" w:cs="Arial"/>
          <w:sz w:val="24"/>
          <w:szCs w:val="24"/>
        </w:rPr>
        <w:t>Espaulella J, Guyer H, Diaz-Escriu F, Mellado-Navas JA, Castells MO, Pladevall MA</w:t>
      </w:r>
      <w:r w:rsidR="00985380" w:rsidRPr="008D59BB">
        <w:rPr>
          <w:rFonts w:ascii="Arial" w:hAnsi="Arial" w:cs="Arial"/>
          <w:sz w:val="24"/>
          <w:szCs w:val="24"/>
        </w:rPr>
        <w:t>.</w:t>
      </w:r>
      <w:r w:rsidRPr="008D59BB">
        <w:rPr>
          <w:rFonts w:ascii="Arial" w:hAnsi="Arial" w:cs="Arial"/>
          <w:sz w:val="24"/>
          <w:szCs w:val="24"/>
        </w:rPr>
        <w:t xml:space="preserve"> Nutritional supplementation of elderly hip fracture patients. A randomized, double-blind, placebo-controlled trial. Age Ageing. </w:t>
      </w:r>
      <w:r w:rsidR="00985380" w:rsidRPr="008D59BB">
        <w:rPr>
          <w:rFonts w:ascii="Arial" w:hAnsi="Arial" w:cs="Arial"/>
          <w:sz w:val="24"/>
          <w:szCs w:val="24"/>
        </w:rPr>
        <w:t xml:space="preserve">2000; </w:t>
      </w:r>
      <w:r w:rsidRPr="008D59BB">
        <w:rPr>
          <w:rFonts w:ascii="Arial" w:hAnsi="Arial" w:cs="Arial"/>
          <w:sz w:val="24"/>
          <w:szCs w:val="24"/>
        </w:rPr>
        <w:t>29</w:t>
      </w:r>
      <w:r w:rsidR="00985380" w:rsidRPr="008D59BB">
        <w:rPr>
          <w:rFonts w:ascii="Arial" w:hAnsi="Arial" w:cs="Arial"/>
          <w:sz w:val="24"/>
          <w:szCs w:val="24"/>
        </w:rPr>
        <w:t xml:space="preserve">: </w:t>
      </w:r>
      <w:r w:rsidRPr="008D59BB">
        <w:rPr>
          <w:rFonts w:ascii="Arial" w:hAnsi="Arial" w:cs="Arial"/>
          <w:sz w:val="24"/>
          <w:szCs w:val="24"/>
        </w:rPr>
        <w:t>425-431.</w:t>
      </w:r>
    </w:p>
    <w:p w14:paraId="040706EB" w14:textId="091C5E89" w:rsidR="00CA7784" w:rsidRPr="008D59BB" w:rsidRDefault="00CA7784" w:rsidP="00CA7784">
      <w:pPr>
        <w:pStyle w:val="ListParagraph"/>
        <w:numPr>
          <w:ilvl w:val="0"/>
          <w:numId w:val="3"/>
        </w:numPr>
        <w:spacing w:after="0" w:line="480" w:lineRule="auto"/>
        <w:ind w:left="426" w:hanging="426"/>
        <w:jc w:val="both"/>
        <w:rPr>
          <w:rFonts w:ascii="Arial" w:hAnsi="Arial" w:cs="Arial"/>
          <w:sz w:val="24"/>
          <w:szCs w:val="24"/>
        </w:rPr>
      </w:pPr>
      <w:r w:rsidRPr="008D59BB">
        <w:rPr>
          <w:rFonts w:ascii="Arial" w:hAnsi="Arial" w:cs="Arial"/>
          <w:sz w:val="24"/>
          <w:szCs w:val="24"/>
        </w:rPr>
        <w:t>Bruce D, Laurance I, McGuiness M, Ridley M, Goldswain P</w:t>
      </w:r>
      <w:r w:rsidR="00985380" w:rsidRPr="008D59BB">
        <w:rPr>
          <w:rFonts w:ascii="Arial" w:hAnsi="Arial" w:cs="Arial"/>
          <w:sz w:val="24"/>
          <w:szCs w:val="24"/>
        </w:rPr>
        <w:t>.</w:t>
      </w:r>
      <w:r w:rsidRPr="008D59BB">
        <w:rPr>
          <w:rFonts w:ascii="Arial" w:hAnsi="Arial" w:cs="Arial"/>
          <w:sz w:val="24"/>
          <w:szCs w:val="24"/>
        </w:rPr>
        <w:t xml:space="preserve"> Nutritional supplements after hip fracture</w:t>
      </w:r>
      <w:r w:rsidR="00985380" w:rsidRPr="008D59BB">
        <w:rPr>
          <w:rFonts w:ascii="Arial" w:hAnsi="Arial" w:cs="Arial"/>
          <w:sz w:val="24"/>
          <w:szCs w:val="24"/>
        </w:rPr>
        <w:t xml:space="preserve">: </w:t>
      </w:r>
      <w:r w:rsidRPr="008D59BB">
        <w:rPr>
          <w:rFonts w:ascii="Arial" w:hAnsi="Arial" w:cs="Arial"/>
          <w:sz w:val="24"/>
          <w:szCs w:val="24"/>
        </w:rPr>
        <w:t xml:space="preserve">poor compliance limits effectiveness. Clin Nutr. </w:t>
      </w:r>
      <w:r w:rsidR="00985380" w:rsidRPr="008D59BB">
        <w:rPr>
          <w:rFonts w:ascii="Arial" w:hAnsi="Arial" w:cs="Arial"/>
          <w:sz w:val="24"/>
          <w:szCs w:val="24"/>
        </w:rPr>
        <w:t xml:space="preserve">2003; </w:t>
      </w:r>
      <w:r w:rsidRPr="008D59BB">
        <w:rPr>
          <w:rFonts w:ascii="Arial" w:hAnsi="Arial" w:cs="Arial"/>
          <w:sz w:val="24"/>
          <w:szCs w:val="24"/>
        </w:rPr>
        <w:t>22</w:t>
      </w:r>
      <w:r w:rsidR="00985380" w:rsidRPr="008D59BB">
        <w:rPr>
          <w:rFonts w:ascii="Arial" w:hAnsi="Arial" w:cs="Arial"/>
          <w:sz w:val="24"/>
          <w:szCs w:val="24"/>
        </w:rPr>
        <w:t xml:space="preserve">: </w:t>
      </w:r>
      <w:r w:rsidRPr="008D59BB">
        <w:rPr>
          <w:rFonts w:ascii="Arial" w:hAnsi="Arial" w:cs="Arial"/>
          <w:sz w:val="24"/>
          <w:szCs w:val="24"/>
        </w:rPr>
        <w:t>497-500.</w:t>
      </w:r>
    </w:p>
    <w:p w14:paraId="1CA12942" w14:textId="45520DF1" w:rsidR="00CA7784" w:rsidRPr="008D59BB" w:rsidRDefault="00CA7784" w:rsidP="00CA7784">
      <w:pPr>
        <w:pStyle w:val="ListParagraph"/>
        <w:numPr>
          <w:ilvl w:val="0"/>
          <w:numId w:val="3"/>
        </w:numPr>
        <w:spacing w:after="0" w:line="480" w:lineRule="auto"/>
        <w:ind w:left="426" w:hanging="426"/>
        <w:jc w:val="both"/>
        <w:rPr>
          <w:rFonts w:ascii="Arial" w:hAnsi="Arial" w:cs="Arial"/>
          <w:sz w:val="24"/>
          <w:szCs w:val="24"/>
        </w:rPr>
      </w:pPr>
      <w:r w:rsidRPr="008D59BB">
        <w:rPr>
          <w:rFonts w:ascii="Arial" w:hAnsi="Arial" w:cs="Arial"/>
          <w:sz w:val="24"/>
          <w:szCs w:val="24"/>
        </w:rPr>
        <w:t>Lawson RM, Doshi MK, Ingoe LE, Colligan JM, Barton JR, Cobden I</w:t>
      </w:r>
      <w:r w:rsidR="00985380" w:rsidRPr="008D59BB">
        <w:rPr>
          <w:rFonts w:ascii="Arial" w:hAnsi="Arial" w:cs="Arial"/>
          <w:sz w:val="24"/>
          <w:szCs w:val="24"/>
        </w:rPr>
        <w:t>.</w:t>
      </w:r>
      <w:r w:rsidRPr="008D59BB">
        <w:rPr>
          <w:rFonts w:ascii="Arial" w:hAnsi="Arial" w:cs="Arial"/>
          <w:sz w:val="24"/>
          <w:szCs w:val="24"/>
        </w:rPr>
        <w:t xml:space="preserve"> Compliance of orthopaedic patients with postoperative oral nutritional supplementation. Clin Nutr. </w:t>
      </w:r>
      <w:r w:rsidR="00985380" w:rsidRPr="008D59BB">
        <w:rPr>
          <w:rFonts w:ascii="Arial" w:hAnsi="Arial" w:cs="Arial"/>
          <w:sz w:val="24"/>
          <w:szCs w:val="24"/>
        </w:rPr>
        <w:t xml:space="preserve">2000; </w:t>
      </w:r>
      <w:r w:rsidRPr="008D59BB">
        <w:rPr>
          <w:rFonts w:ascii="Arial" w:hAnsi="Arial" w:cs="Arial"/>
          <w:sz w:val="24"/>
          <w:szCs w:val="24"/>
        </w:rPr>
        <w:t>19</w:t>
      </w:r>
      <w:r w:rsidR="00985380" w:rsidRPr="008D59BB">
        <w:rPr>
          <w:rFonts w:ascii="Arial" w:hAnsi="Arial" w:cs="Arial"/>
          <w:sz w:val="24"/>
          <w:szCs w:val="24"/>
        </w:rPr>
        <w:t xml:space="preserve">: </w:t>
      </w:r>
      <w:r w:rsidRPr="008D59BB">
        <w:rPr>
          <w:rFonts w:ascii="Arial" w:hAnsi="Arial" w:cs="Arial"/>
          <w:sz w:val="24"/>
          <w:szCs w:val="24"/>
        </w:rPr>
        <w:t>171-175.</w:t>
      </w:r>
    </w:p>
    <w:p w14:paraId="0193FA77" w14:textId="0BA53FD1" w:rsidR="00576C5E" w:rsidRPr="008D59BB" w:rsidRDefault="00576C5E" w:rsidP="00576C5E">
      <w:pPr>
        <w:pStyle w:val="NormalWeb"/>
        <w:numPr>
          <w:ilvl w:val="0"/>
          <w:numId w:val="3"/>
        </w:numPr>
        <w:shd w:val="clear" w:color="auto" w:fill="FFFFFF"/>
        <w:spacing w:before="0" w:beforeAutospacing="0" w:after="0" w:afterAutospacing="0" w:line="480" w:lineRule="auto"/>
        <w:ind w:left="425" w:hanging="425"/>
        <w:jc w:val="both"/>
        <w:rPr>
          <w:rFonts w:ascii="Arial" w:hAnsi="Arial" w:cs="Arial"/>
        </w:rPr>
      </w:pPr>
      <w:r w:rsidRPr="008D59BB">
        <w:rPr>
          <w:rFonts w:ascii="Arial" w:hAnsi="Arial" w:cs="Arial"/>
        </w:rPr>
        <w:t>Philipson TJ, Snider JT, Lakdawalla DN, Stryckman B, Goldman DP. Impact of oral nutritional supplementation on hospital outcomes. Am J Manag Care. 2013; 19: 121-128.</w:t>
      </w:r>
    </w:p>
    <w:p w14:paraId="24FC5756" w14:textId="3C3233AB" w:rsidR="00576C5E" w:rsidRPr="008D59BB" w:rsidRDefault="00576C5E" w:rsidP="00576C5E">
      <w:pPr>
        <w:pStyle w:val="NormalWeb"/>
        <w:numPr>
          <w:ilvl w:val="0"/>
          <w:numId w:val="3"/>
        </w:numPr>
        <w:shd w:val="clear" w:color="auto" w:fill="FFFFFF"/>
        <w:spacing w:before="0" w:beforeAutospacing="0" w:after="0" w:afterAutospacing="0" w:line="480" w:lineRule="auto"/>
        <w:ind w:left="425" w:hanging="425"/>
        <w:jc w:val="both"/>
        <w:rPr>
          <w:rFonts w:ascii="Arial" w:hAnsi="Arial" w:cs="Arial"/>
        </w:rPr>
      </w:pPr>
      <w:r w:rsidRPr="008D59BB">
        <w:rPr>
          <w:rFonts w:ascii="Arial" w:hAnsi="Arial" w:cs="Arial"/>
        </w:rPr>
        <w:lastRenderedPageBreak/>
        <w:t>Barr J, Hecht M, Flavin KE, Khorana A, Gould MK. Outcomes in critically ill patients before and after the implementation of an evidence-based nutritional management protocol. Chest. 2004; 125; 1446-1457.</w:t>
      </w:r>
    </w:p>
    <w:p w14:paraId="2C983CF7" w14:textId="57FF7CF6" w:rsidR="007A142E" w:rsidRPr="008D59BB" w:rsidRDefault="007A142E" w:rsidP="00576C5E">
      <w:pPr>
        <w:pStyle w:val="NormalWeb"/>
        <w:numPr>
          <w:ilvl w:val="0"/>
          <w:numId w:val="3"/>
        </w:numPr>
        <w:shd w:val="clear" w:color="auto" w:fill="FFFFFF"/>
        <w:spacing w:before="0" w:beforeAutospacing="0" w:after="0" w:afterAutospacing="0" w:line="480" w:lineRule="auto"/>
        <w:ind w:left="425" w:hanging="425"/>
        <w:jc w:val="both"/>
        <w:rPr>
          <w:rFonts w:ascii="Arial" w:hAnsi="Arial" w:cs="Arial"/>
        </w:rPr>
      </w:pPr>
      <w:r w:rsidRPr="008D59BB">
        <w:rPr>
          <w:rFonts w:ascii="Arial" w:hAnsi="Arial" w:cs="Arial"/>
        </w:rPr>
        <w:t>Han TS, Lean ME, Fluck D, Affley B, Gulli G, Patel T, Barrett C, Kakar P, Sharma S, Sharma P. Impact of delay in early swallow screening on pneumonia, length of stay in hospital, disability and mortality in acute stroke patients. Eur J Clin Nutr. 2018; 72:1548-1554.</w:t>
      </w:r>
    </w:p>
    <w:p w14:paraId="6DB8922E" w14:textId="763B4AFC" w:rsidR="00CA7784" w:rsidRPr="008D59BB" w:rsidRDefault="00CA7784" w:rsidP="00CA7784">
      <w:pPr>
        <w:pStyle w:val="ListParagraph"/>
        <w:numPr>
          <w:ilvl w:val="0"/>
          <w:numId w:val="3"/>
        </w:numPr>
        <w:spacing w:after="0" w:line="480" w:lineRule="auto"/>
        <w:ind w:left="426" w:hanging="426"/>
        <w:jc w:val="both"/>
        <w:rPr>
          <w:rFonts w:ascii="Arial" w:hAnsi="Arial" w:cs="Arial"/>
          <w:sz w:val="24"/>
          <w:szCs w:val="24"/>
        </w:rPr>
      </w:pPr>
      <w:r w:rsidRPr="008D59BB">
        <w:rPr>
          <w:rFonts w:ascii="Arial" w:hAnsi="Arial" w:cs="Arial"/>
          <w:sz w:val="24"/>
          <w:szCs w:val="24"/>
        </w:rPr>
        <w:t>McWhirter JP, Pennington CR. Incidence and recognition of malnutrition in hospital. BMJ. 1994</w:t>
      </w:r>
      <w:r w:rsidR="00985380" w:rsidRPr="008D59BB">
        <w:rPr>
          <w:rFonts w:ascii="Arial" w:hAnsi="Arial" w:cs="Arial"/>
          <w:sz w:val="24"/>
          <w:szCs w:val="24"/>
        </w:rPr>
        <w:t xml:space="preserve">; </w:t>
      </w:r>
      <w:r w:rsidRPr="008D59BB">
        <w:rPr>
          <w:rFonts w:ascii="Arial" w:hAnsi="Arial" w:cs="Arial"/>
          <w:sz w:val="24"/>
          <w:szCs w:val="24"/>
        </w:rPr>
        <w:t>308</w:t>
      </w:r>
      <w:r w:rsidR="00985380" w:rsidRPr="008D59BB">
        <w:rPr>
          <w:rFonts w:ascii="Arial" w:hAnsi="Arial" w:cs="Arial"/>
          <w:sz w:val="24"/>
          <w:szCs w:val="24"/>
        </w:rPr>
        <w:t xml:space="preserve">: </w:t>
      </w:r>
      <w:r w:rsidRPr="008D59BB">
        <w:rPr>
          <w:rFonts w:ascii="Arial" w:hAnsi="Arial" w:cs="Arial"/>
          <w:sz w:val="24"/>
          <w:szCs w:val="24"/>
        </w:rPr>
        <w:t>945-948.</w:t>
      </w:r>
      <w:r w:rsidRPr="008D59BB">
        <w:rPr>
          <w:rFonts w:ascii="Arial" w:hAnsi="Arial" w:cs="Arial"/>
        </w:rPr>
        <w:t xml:space="preserve"> </w:t>
      </w:r>
    </w:p>
    <w:p w14:paraId="51F62472" w14:textId="56E0BB4E" w:rsidR="00413A94" w:rsidRPr="008D59BB" w:rsidRDefault="00CA7784" w:rsidP="003D0BA3">
      <w:pPr>
        <w:pStyle w:val="NormalWeb"/>
        <w:numPr>
          <w:ilvl w:val="0"/>
          <w:numId w:val="3"/>
        </w:numPr>
        <w:shd w:val="clear" w:color="auto" w:fill="FFFFFF"/>
        <w:spacing w:before="0" w:beforeAutospacing="0" w:after="0" w:afterAutospacing="0" w:line="480" w:lineRule="auto"/>
        <w:ind w:left="426" w:hanging="426"/>
        <w:jc w:val="both"/>
        <w:rPr>
          <w:rFonts w:ascii="Arial" w:hAnsi="Arial" w:cs="Arial"/>
        </w:rPr>
      </w:pPr>
      <w:r w:rsidRPr="008D59BB">
        <w:rPr>
          <w:rFonts w:ascii="Arial" w:hAnsi="Arial" w:cs="Arial"/>
        </w:rPr>
        <w:t>Koren-Hakim T, Weiss A, Hershkovitz A, Otzrateni I, Anbar R, Nevo RF, Schlesinger A, Frishman S, Salai M, Beloosesky Y</w:t>
      </w:r>
      <w:r w:rsidR="00985380" w:rsidRPr="008D59BB">
        <w:rPr>
          <w:rFonts w:ascii="Arial" w:hAnsi="Arial" w:cs="Arial"/>
        </w:rPr>
        <w:t>.</w:t>
      </w:r>
      <w:r w:rsidRPr="008D59BB">
        <w:rPr>
          <w:rFonts w:ascii="Arial" w:hAnsi="Arial" w:cs="Arial"/>
        </w:rPr>
        <w:t xml:space="preserve"> Comparing the adequacy of the MNA-SF, NRS-2002 and MUST nutritional tools in assessing malnutrition in hip fracture operated elderly patients. Clin Nutr. </w:t>
      </w:r>
      <w:r w:rsidR="00985380" w:rsidRPr="008D59BB">
        <w:rPr>
          <w:rFonts w:ascii="Arial" w:hAnsi="Arial" w:cs="Arial"/>
        </w:rPr>
        <w:t xml:space="preserve">2016; </w:t>
      </w:r>
      <w:r w:rsidRPr="008D59BB">
        <w:rPr>
          <w:rFonts w:ascii="Arial" w:hAnsi="Arial" w:cs="Arial"/>
        </w:rPr>
        <w:t>35</w:t>
      </w:r>
      <w:r w:rsidR="00985380" w:rsidRPr="008D59BB">
        <w:rPr>
          <w:rFonts w:ascii="Arial" w:hAnsi="Arial" w:cs="Arial"/>
        </w:rPr>
        <w:t xml:space="preserve">: </w:t>
      </w:r>
      <w:r w:rsidRPr="008D59BB">
        <w:rPr>
          <w:rFonts w:ascii="Arial" w:hAnsi="Arial" w:cs="Arial"/>
        </w:rPr>
        <w:t>1053-1058.</w:t>
      </w:r>
      <w:r w:rsidR="00413A94" w:rsidRPr="008D59BB">
        <w:rPr>
          <w:rFonts w:ascii="Arial" w:hAnsi="Arial" w:cs="Arial"/>
        </w:rPr>
        <w:br w:type="page"/>
      </w:r>
    </w:p>
    <w:p w14:paraId="6AE0FD2E" w14:textId="37178E42" w:rsidR="00413A94" w:rsidRPr="008D59BB" w:rsidRDefault="00413A94" w:rsidP="00B47515">
      <w:pPr>
        <w:pStyle w:val="NormalWeb"/>
        <w:tabs>
          <w:tab w:val="left" w:pos="975"/>
        </w:tabs>
        <w:spacing w:before="0" w:beforeAutospacing="0" w:after="0" w:afterAutospacing="0" w:line="480" w:lineRule="auto"/>
        <w:jc w:val="both"/>
        <w:rPr>
          <w:rFonts w:ascii="Arial" w:hAnsi="Arial" w:cs="Arial"/>
          <w:b/>
          <w:bCs/>
        </w:rPr>
      </w:pPr>
      <w:r w:rsidRPr="008D59BB">
        <w:rPr>
          <w:rFonts w:ascii="Arial" w:hAnsi="Arial" w:cs="Arial"/>
          <w:b/>
          <w:bCs/>
        </w:rPr>
        <w:lastRenderedPageBreak/>
        <w:t>LEGEND</w:t>
      </w:r>
      <w:r w:rsidR="00CB7E9D" w:rsidRPr="008D59BB">
        <w:rPr>
          <w:rFonts w:ascii="Arial" w:hAnsi="Arial" w:cs="Arial"/>
          <w:b/>
          <w:bCs/>
        </w:rPr>
        <w:t>S</w:t>
      </w:r>
    </w:p>
    <w:p w14:paraId="545DD0C2" w14:textId="77777777" w:rsidR="00B47515" w:rsidRPr="008D59BB" w:rsidRDefault="00B47515" w:rsidP="00B47515">
      <w:pPr>
        <w:spacing w:after="0" w:line="480" w:lineRule="auto"/>
        <w:jc w:val="both"/>
        <w:rPr>
          <w:rFonts w:ascii="Arial" w:hAnsi="Arial" w:cs="Arial"/>
          <w:sz w:val="24"/>
          <w:szCs w:val="24"/>
        </w:rPr>
      </w:pPr>
      <w:r w:rsidRPr="008D59BB">
        <w:rPr>
          <w:rFonts w:ascii="Arial" w:hAnsi="Arial" w:cs="Arial"/>
          <w:b/>
          <w:sz w:val="24"/>
          <w:szCs w:val="24"/>
        </w:rPr>
        <w:t xml:space="preserve">Figure 1. </w:t>
      </w:r>
      <w:r w:rsidRPr="008D59BB">
        <w:rPr>
          <w:rFonts w:ascii="Arial" w:hAnsi="Arial" w:cs="Arial"/>
          <w:sz w:val="24"/>
          <w:szCs w:val="24"/>
        </w:rPr>
        <w:t>Flow chart showing the distribution of patients before, during and after hospitalisation.</w:t>
      </w:r>
    </w:p>
    <w:p w14:paraId="2E1E96D7" w14:textId="77777777" w:rsidR="00B47515" w:rsidRPr="008D59BB" w:rsidRDefault="00B47515" w:rsidP="00B47515">
      <w:pPr>
        <w:spacing w:after="0" w:line="480" w:lineRule="auto"/>
        <w:jc w:val="both"/>
        <w:rPr>
          <w:rFonts w:ascii="Arial" w:hAnsi="Arial" w:cs="Arial"/>
          <w:sz w:val="24"/>
          <w:szCs w:val="24"/>
        </w:rPr>
      </w:pPr>
    </w:p>
    <w:p w14:paraId="668D9350" w14:textId="77777777" w:rsidR="00B47515" w:rsidRPr="008D59BB" w:rsidRDefault="00B47515" w:rsidP="00B47515">
      <w:pPr>
        <w:spacing w:after="0" w:line="480" w:lineRule="auto"/>
        <w:jc w:val="both"/>
        <w:rPr>
          <w:rFonts w:ascii="Arial" w:hAnsi="Arial" w:cs="Arial"/>
          <w:sz w:val="24"/>
          <w:szCs w:val="24"/>
        </w:rPr>
      </w:pPr>
      <w:r w:rsidRPr="008D59BB">
        <w:rPr>
          <w:rFonts w:ascii="Arial" w:hAnsi="Arial" w:cs="Arial"/>
          <w:b/>
          <w:sz w:val="24"/>
          <w:szCs w:val="24"/>
        </w:rPr>
        <w:t>Figure 2.</w:t>
      </w:r>
      <w:r w:rsidRPr="008D59BB">
        <w:rPr>
          <w:rFonts w:ascii="Arial" w:hAnsi="Arial" w:cs="Arial"/>
          <w:sz w:val="24"/>
          <w:szCs w:val="24"/>
        </w:rPr>
        <w:t xml:space="preserve"> Prevalence of patients at risk of malnutrition (open bars) or malnourishment (solid bars) on admission to hospital with a hip fracture according to age (</w:t>
      </w:r>
      <w:r w:rsidRPr="008D59BB">
        <w:rPr>
          <w:rFonts w:ascii="Arial" w:hAnsi="Arial" w:cs="Arial"/>
          <w:b/>
          <w:sz w:val="24"/>
          <w:szCs w:val="24"/>
        </w:rPr>
        <w:t>A</w:t>
      </w:r>
      <w:r w:rsidRPr="008D59BB">
        <w:rPr>
          <w:rFonts w:ascii="Arial" w:hAnsi="Arial" w:cs="Arial"/>
          <w:sz w:val="24"/>
          <w:szCs w:val="24"/>
        </w:rPr>
        <w:t>) and residency prior to admission (</w:t>
      </w:r>
      <w:r w:rsidRPr="008D59BB">
        <w:rPr>
          <w:rFonts w:ascii="Arial" w:hAnsi="Arial" w:cs="Arial"/>
          <w:b/>
          <w:sz w:val="24"/>
          <w:szCs w:val="24"/>
        </w:rPr>
        <w:t>B</w:t>
      </w:r>
      <w:r w:rsidRPr="008D59BB">
        <w:rPr>
          <w:rFonts w:ascii="Arial" w:hAnsi="Arial" w:cs="Arial"/>
          <w:sz w:val="24"/>
          <w:szCs w:val="24"/>
        </w:rPr>
        <w:t>).</w:t>
      </w:r>
    </w:p>
    <w:p w14:paraId="605962C4" w14:textId="77777777" w:rsidR="00B47515" w:rsidRPr="008D59BB" w:rsidRDefault="00B47515" w:rsidP="00B47515">
      <w:pPr>
        <w:spacing w:after="0" w:line="480" w:lineRule="auto"/>
        <w:jc w:val="both"/>
        <w:rPr>
          <w:rFonts w:ascii="Arial" w:hAnsi="Arial" w:cs="Arial"/>
          <w:sz w:val="24"/>
          <w:szCs w:val="24"/>
        </w:rPr>
      </w:pPr>
    </w:p>
    <w:p w14:paraId="602ED8F6" w14:textId="77777777" w:rsidR="00B47515" w:rsidRPr="008D59BB" w:rsidRDefault="00B47515" w:rsidP="00B47515">
      <w:pPr>
        <w:spacing w:after="0" w:line="480" w:lineRule="auto"/>
        <w:jc w:val="both"/>
        <w:rPr>
          <w:rFonts w:ascii="Arial" w:hAnsi="Arial" w:cs="Arial"/>
          <w:sz w:val="24"/>
          <w:szCs w:val="24"/>
        </w:rPr>
      </w:pPr>
      <w:r w:rsidRPr="008D59BB">
        <w:rPr>
          <w:rFonts w:ascii="Arial" w:hAnsi="Arial" w:cs="Arial"/>
          <w:b/>
          <w:sz w:val="24"/>
          <w:szCs w:val="24"/>
        </w:rPr>
        <w:t xml:space="preserve">Figure 3. </w:t>
      </w:r>
      <w:r w:rsidRPr="008D59BB">
        <w:rPr>
          <w:rFonts w:ascii="Arial" w:hAnsi="Arial" w:cs="Arial"/>
          <w:sz w:val="24"/>
          <w:szCs w:val="24"/>
        </w:rPr>
        <w:t>Proportions of patients with pressure ulcers, failure to mobilise within 1-day after hip surgery, and mortality according to nutritional status: white bars indicate well-nourished, grey bars indicate risk of malnutrition, and black bars indicate malnourishment.</w:t>
      </w:r>
    </w:p>
    <w:p w14:paraId="00463475" w14:textId="77777777" w:rsidR="00B47515" w:rsidRPr="008D59BB" w:rsidRDefault="00B47515" w:rsidP="00B47515">
      <w:pPr>
        <w:spacing w:after="0" w:line="480" w:lineRule="auto"/>
        <w:jc w:val="both"/>
        <w:rPr>
          <w:rFonts w:ascii="Arial" w:hAnsi="Arial" w:cs="Arial"/>
          <w:sz w:val="24"/>
          <w:szCs w:val="24"/>
        </w:rPr>
      </w:pPr>
    </w:p>
    <w:p w14:paraId="0A95D8EA" w14:textId="5C4A9348" w:rsidR="001B7EAC" w:rsidRPr="008D59BB" w:rsidRDefault="00B47515" w:rsidP="00B47515">
      <w:pPr>
        <w:autoSpaceDE w:val="0"/>
        <w:autoSpaceDN w:val="0"/>
        <w:adjustRightInd w:val="0"/>
        <w:spacing w:after="0" w:line="480" w:lineRule="auto"/>
        <w:jc w:val="both"/>
        <w:rPr>
          <w:rFonts w:ascii="Arial" w:hAnsi="Arial" w:cs="Arial"/>
          <w:sz w:val="24"/>
          <w:szCs w:val="24"/>
        </w:rPr>
      </w:pPr>
      <w:r w:rsidRPr="008D59BB">
        <w:rPr>
          <w:rFonts w:ascii="Arial" w:hAnsi="Arial" w:cs="Arial"/>
          <w:b/>
          <w:sz w:val="24"/>
          <w:szCs w:val="24"/>
        </w:rPr>
        <w:t>Figure 4.</w:t>
      </w:r>
      <w:r w:rsidRPr="008D59BB">
        <w:rPr>
          <w:rFonts w:ascii="Arial" w:hAnsi="Arial" w:cs="Arial"/>
          <w:sz w:val="24"/>
          <w:szCs w:val="24"/>
        </w:rPr>
        <w:t xml:space="preserve"> Length of stay in hospital among individuals with different nutritional status.</w:t>
      </w:r>
    </w:p>
    <w:p w14:paraId="34010E85" w14:textId="77777777" w:rsidR="001B7EAC" w:rsidRPr="008D59BB" w:rsidRDefault="001B7EAC">
      <w:pPr>
        <w:rPr>
          <w:rFonts w:ascii="Arial" w:hAnsi="Arial" w:cs="Arial"/>
          <w:sz w:val="24"/>
          <w:szCs w:val="24"/>
        </w:rPr>
      </w:pPr>
      <w:r w:rsidRPr="008D59BB">
        <w:rPr>
          <w:rFonts w:ascii="Arial" w:hAnsi="Arial" w:cs="Arial"/>
          <w:sz w:val="24"/>
          <w:szCs w:val="24"/>
        </w:rPr>
        <w:br w:type="page"/>
      </w:r>
    </w:p>
    <w:p w14:paraId="2796C43B" w14:textId="77777777" w:rsidR="001B7EAC" w:rsidRPr="008D59BB" w:rsidRDefault="001B7EAC" w:rsidP="001B7EAC">
      <w:pPr>
        <w:spacing w:after="0" w:line="480" w:lineRule="auto"/>
        <w:jc w:val="both"/>
        <w:rPr>
          <w:rFonts w:ascii="Arial" w:hAnsi="Arial" w:cs="Arial"/>
          <w:sz w:val="24"/>
          <w:szCs w:val="24"/>
        </w:rPr>
      </w:pPr>
      <w:r w:rsidRPr="008D59BB">
        <w:rPr>
          <w:rFonts w:ascii="Arial" w:hAnsi="Arial" w:cs="Arial"/>
          <w:b/>
          <w:sz w:val="24"/>
          <w:szCs w:val="24"/>
        </w:rPr>
        <w:lastRenderedPageBreak/>
        <w:t>Table 1.</w:t>
      </w:r>
      <w:r w:rsidRPr="008D59BB">
        <w:rPr>
          <w:rFonts w:ascii="Arial" w:hAnsi="Arial" w:cs="Arial"/>
          <w:sz w:val="24"/>
          <w:szCs w:val="24"/>
        </w:rPr>
        <w:t xml:space="preserve"> Characteristics of 1239 of older adults aged 60-100 years admitted with hip fractures.</w:t>
      </w:r>
    </w:p>
    <w:tbl>
      <w:tblPr>
        <w:tblStyle w:val="TableGrid"/>
        <w:tblW w:w="9072" w:type="dxa"/>
        <w:tblInd w:w="-5" w:type="dxa"/>
        <w:tblLook w:val="04A0" w:firstRow="1" w:lastRow="0" w:firstColumn="1" w:lastColumn="0" w:noHBand="0" w:noVBand="1"/>
      </w:tblPr>
      <w:tblGrid>
        <w:gridCol w:w="6379"/>
        <w:gridCol w:w="2693"/>
      </w:tblGrid>
      <w:tr w:rsidR="001B7EAC" w:rsidRPr="008D59BB" w14:paraId="7F826C38" w14:textId="77777777" w:rsidTr="00874334">
        <w:tc>
          <w:tcPr>
            <w:tcW w:w="6379" w:type="dxa"/>
          </w:tcPr>
          <w:p w14:paraId="5DF2E2F3" w14:textId="77777777" w:rsidR="001B7EAC" w:rsidRPr="008D59BB" w:rsidRDefault="001B7EAC" w:rsidP="00874334">
            <w:pPr>
              <w:spacing w:line="480" w:lineRule="auto"/>
              <w:rPr>
                <w:rFonts w:ascii="Arial" w:hAnsi="Arial" w:cs="Arial"/>
                <w:sz w:val="24"/>
                <w:szCs w:val="24"/>
              </w:rPr>
            </w:pPr>
          </w:p>
        </w:tc>
        <w:tc>
          <w:tcPr>
            <w:tcW w:w="2693" w:type="dxa"/>
          </w:tcPr>
          <w:p w14:paraId="49F9641C" w14:textId="77777777" w:rsidR="001B7EAC" w:rsidRPr="008D59BB" w:rsidRDefault="001B7EAC" w:rsidP="00874334">
            <w:pPr>
              <w:spacing w:line="480" w:lineRule="auto"/>
              <w:jc w:val="both"/>
              <w:rPr>
                <w:rFonts w:ascii="Arial" w:hAnsi="Arial" w:cs="Arial"/>
                <w:sz w:val="24"/>
                <w:szCs w:val="24"/>
              </w:rPr>
            </w:pPr>
            <w:r w:rsidRPr="008D59BB">
              <w:rPr>
                <w:rFonts w:ascii="Arial" w:hAnsi="Arial" w:cs="Arial"/>
                <w:b/>
                <w:sz w:val="24"/>
                <w:szCs w:val="24"/>
              </w:rPr>
              <w:t>Mean ±SD</w:t>
            </w:r>
          </w:p>
        </w:tc>
      </w:tr>
      <w:tr w:rsidR="001B7EAC" w:rsidRPr="008D59BB" w14:paraId="0ECE6495" w14:textId="77777777" w:rsidTr="00874334">
        <w:tc>
          <w:tcPr>
            <w:tcW w:w="6379" w:type="dxa"/>
          </w:tcPr>
          <w:p w14:paraId="497EAFAE" w14:textId="77777777" w:rsidR="001B7EAC" w:rsidRPr="008D59BB" w:rsidRDefault="001B7EAC" w:rsidP="00874334">
            <w:pPr>
              <w:spacing w:line="480" w:lineRule="auto"/>
              <w:rPr>
                <w:rFonts w:ascii="Arial" w:hAnsi="Arial" w:cs="Arial"/>
                <w:sz w:val="24"/>
                <w:szCs w:val="24"/>
              </w:rPr>
            </w:pPr>
            <w:r w:rsidRPr="008D59BB">
              <w:rPr>
                <w:rFonts w:ascii="Arial" w:hAnsi="Arial" w:cs="Arial"/>
                <w:sz w:val="24"/>
                <w:szCs w:val="24"/>
              </w:rPr>
              <w:t>Age (years)</w:t>
            </w:r>
          </w:p>
        </w:tc>
        <w:tc>
          <w:tcPr>
            <w:tcW w:w="2693" w:type="dxa"/>
          </w:tcPr>
          <w:p w14:paraId="1C26927C" w14:textId="77777777" w:rsidR="001B7EAC" w:rsidRPr="008D59BB" w:rsidRDefault="001B7EAC" w:rsidP="00874334">
            <w:pPr>
              <w:spacing w:line="480" w:lineRule="auto"/>
              <w:ind w:left="204"/>
              <w:jc w:val="both"/>
              <w:rPr>
                <w:rFonts w:ascii="Arial" w:hAnsi="Arial" w:cs="Arial"/>
                <w:sz w:val="24"/>
                <w:szCs w:val="24"/>
              </w:rPr>
            </w:pPr>
            <w:r w:rsidRPr="008D59BB">
              <w:rPr>
                <w:rFonts w:ascii="Arial" w:hAnsi="Arial" w:cs="Arial"/>
                <w:sz w:val="24"/>
                <w:szCs w:val="24"/>
              </w:rPr>
              <w:t>83.8 ±8.6</w:t>
            </w:r>
          </w:p>
        </w:tc>
      </w:tr>
      <w:tr w:rsidR="001B7EAC" w:rsidRPr="008D59BB" w14:paraId="37F70916" w14:textId="77777777" w:rsidTr="00874334">
        <w:tc>
          <w:tcPr>
            <w:tcW w:w="6379" w:type="dxa"/>
          </w:tcPr>
          <w:p w14:paraId="1EF57130" w14:textId="77777777" w:rsidR="001B7EAC" w:rsidRPr="008D59BB" w:rsidRDefault="001B7EAC" w:rsidP="00874334">
            <w:pPr>
              <w:spacing w:line="480" w:lineRule="auto"/>
              <w:rPr>
                <w:rFonts w:ascii="Arial" w:hAnsi="Arial" w:cs="Arial"/>
                <w:sz w:val="24"/>
                <w:szCs w:val="24"/>
              </w:rPr>
            </w:pPr>
            <w:r w:rsidRPr="008D59BB">
              <w:rPr>
                <w:rFonts w:ascii="Arial" w:hAnsi="Arial" w:cs="Arial"/>
                <w:sz w:val="24"/>
                <w:szCs w:val="24"/>
              </w:rPr>
              <w:t>Length of stay in hospital (days)</w:t>
            </w:r>
          </w:p>
        </w:tc>
        <w:tc>
          <w:tcPr>
            <w:tcW w:w="2693" w:type="dxa"/>
          </w:tcPr>
          <w:p w14:paraId="4903F5BC" w14:textId="77777777" w:rsidR="001B7EAC" w:rsidRPr="008D59BB" w:rsidRDefault="001B7EAC" w:rsidP="00874334">
            <w:pPr>
              <w:spacing w:line="480" w:lineRule="auto"/>
              <w:ind w:left="204"/>
              <w:jc w:val="both"/>
              <w:rPr>
                <w:rFonts w:ascii="Arial" w:hAnsi="Arial" w:cs="Arial"/>
                <w:sz w:val="24"/>
                <w:szCs w:val="24"/>
              </w:rPr>
            </w:pPr>
            <w:r w:rsidRPr="008D59BB">
              <w:rPr>
                <w:rFonts w:ascii="Arial" w:hAnsi="Arial" w:cs="Arial"/>
                <w:sz w:val="24"/>
                <w:szCs w:val="24"/>
              </w:rPr>
              <w:t>13.5 ±11.5</w:t>
            </w:r>
          </w:p>
        </w:tc>
      </w:tr>
      <w:tr w:rsidR="001B7EAC" w:rsidRPr="008D59BB" w14:paraId="472CDC8E" w14:textId="77777777" w:rsidTr="00874334">
        <w:tc>
          <w:tcPr>
            <w:tcW w:w="6379" w:type="dxa"/>
          </w:tcPr>
          <w:p w14:paraId="1B245807" w14:textId="77777777" w:rsidR="001B7EAC" w:rsidRPr="008D59BB" w:rsidRDefault="001B7EAC" w:rsidP="00874334">
            <w:pPr>
              <w:spacing w:line="480" w:lineRule="auto"/>
              <w:rPr>
                <w:rFonts w:ascii="Arial" w:hAnsi="Arial" w:cs="Arial"/>
                <w:sz w:val="24"/>
                <w:szCs w:val="24"/>
              </w:rPr>
            </w:pPr>
          </w:p>
        </w:tc>
        <w:tc>
          <w:tcPr>
            <w:tcW w:w="2693" w:type="dxa"/>
          </w:tcPr>
          <w:p w14:paraId="5C51BF83" w14:textId="77777777" w:rsidR="001B7EAC" w:rsidRPr="008D59BB" w:rsidRDefault="001B7EAC" w:rsidP="00874334">
            <w:pPr>
              <w:spacing w:line="480" w:lineRule="auto"/>
              <w:jc w:val="both"/>
              <w:rPr>
                <w:rFonts w:ascii="Arial" w:hAnsi="Arial" w:cs="Arial"/>
                <w:b/>
                <w:sz w:val="24"/>
                <w:szCs w:val="24"/>
              </w:rPr>
            </w:pPr>
            <w:r w:rsidRPr="008D59BB">
              <w:rPr>
                <w:rFonts w:ascii="Arial" w:hAnsi="Arial" w:cs="Arial"/>
                <w:b/>
                <w:sz w:val="24"/>
                <w:szCs w:val="24"/>
              </w:rPr>
              <w:t>Median (IQR)</w:t>
            </w:r>
          </w:p>
        </w:tc>
      </w:tr>
      <w:tr w:rsidR="001B7EAC" w:rsidRPr="008D59BB" w14:paraId="7209AEAD" w14:textId="77777777" w:rsidTr="00874334">
        <w:tc>
          <w:tcPr>
            <w:tcW w:w="6379" w:type="dxa"/>
          </w:tcPr>
          <w:p w14:paraId="1F1616DE" w14:textId="77777777" w:rsidR="001B7EAC" w:rsidRPr="008D59BB" w:rsidRDefault="001B7EAC" w:rsidP="00874334">
            <w:pPr>
              <w:spacing w:line="480" w:lineRule="auto"/>
              <w:rPr>
                <w:rFonts w:ascii="Arial" w:hAnsi="Arial" w:cs="Arial"/>
                <w:sz w:val="24"/>
                <w:szCs w:val="24"/>
              </w:rPr>
            </w:pPr>
            <w:r w:rsidRPr="008D59BB">
              <w:rPr>
                <w:rFonts w:ascii="Arial" w:hAnsi="Arial" w:cs="Arial"/>
                <w:sz w:val="24"/>
                <w:szCs w:val="24"/>
              </w:rPr>
              <w:t>Abbreviated mental test score</w:t>
            </w:r>
          </w:p>
        </w:tc>
        <w:tc>
          <w:tcPr>
            <w:tcW w:w="2693" w:type="dxa"/>
          </w:tcPr>
          <w:p w14:paraId="2D780FFA" w14:textId="77777777" w:rsidR="001B7EAC" w:rsidRPr="008D59BB" w:rsidRDefault="001B7EAC" w:rsidP="00874334">
            <w:pPr>
              <w:spacing w:line="480" w:lineRule="auto"/>
              <w:ind w:left="204"/>
              <w:jc w:val="both"/>
              <w:rPr>
                <w:rFonts w:ascii="Arial" w:hAnsi="Arial" w:cs="Arial"/>
                <w:sz w:val="24"/>
                <w:szCs w:val="24"/>
              </w:rPr>
            </w:pPr>
            <w:r w:rsidRPr="008D59BB">
              <w:rPr>
                <w:rFonts w:ascii="Arial" w:hAnsi="Arial" w:cs="Arial"/>
                <w:sz w:val="24"/>
                <w:szCs w:val="24"/>
              </w:rPr>
              <w:t>9 (6-10)</w:t>
            </w:r>
          </w:p>
        </w:tc>
      </w:tr>
      <w:tr w:rsidR="001B7EAC" w:rsidRPr="008D59BB" w14:paraId="46131CF1" w14:textId="77777777" w:rsidTr="00874334">
        <w:tc>
          <w:tcPr>
            <w:tcW w:w="6379" w:type="dxa"/>
          </w:tcPr>
          <w:p w14:paraId="787F2046" w14:textId="77777777" w:rsidR="001B7EAC" w:rsidRPr="008D59BB" w:rsidRDefault="001B7EAC" w:rsidP="00874334">
            <w:pPr>
              <w:spacing w:line="480" w:lineRule="auto"/>
              <w:rPr>
                <w:rFonts w:ascii="Arial" w:hAnsi="Arial" w:cs="Arial"/>
                <w:sz w:val="24"/>
                <w:szCs w:val="24"/>
              </w:rPr>
            </w:pPr>
          </w:p>
        </w:tc>
        <w:tc>
          <w:tcPr>
            <w:tcW w:w="2693" w:type="dxa"/>
          </w:tcPr>
          <w:p w14:paraId="40062054" w14:textId="77777777" w:rsidR="001B7EAC" w:rsidRPr="008D59BB" w:rsidRDefault="001B7EAC" w:rsidP="00874334">
            <w:pPr>
              <w:spacing w:line="480" w:lineRule="auto"/>
              <w:ind w:left="5"/>
              <w:jc w:val="both"/>
              <w:rPr>
                <w:rFonts w:ascii="Arial" w:hAnsi="Arial" w:cs="Arial"/>
                <w:b/>
                <w:sz w:val="24"/>
                <w:szCs w:val="24"/>
              </w:rPr>
            </w:pPr>
            <w:r w:rsidRPr="008D59BB">
              <w:rPr>
                <w:rFonts w:ascii="Arial" w:hAnsi="Arial" w:cs="Arial"/>
                <w:b/>
                <w:sz w:val="24"/>
                <w:szCs w:val="24"/>
              </w:rPr>
              <w:t>Proportion (%)</w:t>
            </w:r>
          </w:p>
        </w:tc>
      </w:tr>
      <w:tr w:rsidR="001B7EAC" w:rsidRPr="008D59BB" w14:paraId="02694772" w14:textId="77777777" w:rsidTr="00874334">
        <w:tc>
          <w:tcPr>
            <w:tcW w:w="6379" w:type="dxa"/>
          </w:tcPr>
          <w:p w14:paraId="664A2F00" w14:textId="77777777" w:rsidR="001B7EAC" w:rsidRPr="008D59BB" w:rsidRDefault="001B7EAC" w:rsidP="00874334">
            <w:pPr>
              <w:spacing w:line="480" w:lineRule="auto"/>
              <w:rPr>
                <w:rFonts w:ascii="Arial" w:hAnsi="Arial" w:cs="Arial"/>
                <w:sz w:val="24"/>
                <w:szCs w:val="24"/>
              </w:rPr>
            </w:pPr>
            <w:r w:rsidRPr="008D59BB">
              <w:rPr>
                <w:rFonts w:ascii="Arial" w:hAnsi="Arial" w:cs="Arial"/>
                <w:sz w:val="24"/>
                <w:szCs w:val="24"/>
              </w:rPr>
              <w:t>Sex distribution (women: men)</w:t>
            </w:r>
          </w:p>
        </w:tc>
        <w:tc>
          <w:tcPr>
            <w:tcW w:w="2693" w:type="dxa"/>
          </w:tcPr>
          <w:p w14:paraId="46FA10F4" w14:textId="77777777" w:rsidR="001B7EAC" w:rsidRPr="008D59BB" w:rsidRDefault="001B7EAC" w:rsidP="00874334">
            <w:pPr>
              <w:spacing w:line="480" w:lineRule="auto"/>
              <w:ind w:left="204"/>
              <w:jc w:val="both"/>
              <w:rPr>
                <w:rFonts w:ascii="Arial" w:hAnsi="Arial" w:cs="Arial"/>
                <w:sz w:val="24"/>
                <w:szCs w:val="24"/>
              </w:rPr>
            </w:pPr>
            <w:r w:rsidRPr="008D59BB">
              <w:rPr>
                <w:rFonts w:ascii="Arial" w:hAnsi="Arial" w:cs="Arial"/>
                <w:sz w:val="24"/>
                <w:szCs w:val="24"/>
              </w:rPr>
              <w:t>71.8: 28.2</w:t>
            </w:r>
          </w:p>
        </w:tc>
      </w:tr>
      <w:tr w:rsidR="001B7EAC" w:rsidRPr="008D59BB" w14:paraId="49DEC215" w14:textId="77777777" w:rsidTr="00874334">
        <w:tc>
          <w:tcPr>
            <w:tcW w:w="6379" w:type="dxa"/>
          </w:tcPr>
          <w:p w14:paraId="1BE69BFC" w14:textId="77777777" w:rsidR="001B7EAC" w:rsidRPr="008D59BB" w:rsidRDefault="001B7EAC" w:rsidP="00874334">
            <w:pPr>
              <w:spacing w:line="480" w:lineRule="auto"/>
              <w:rPr>
                <w:rFonts w:ascii="Arial" w:hAnsi="Arial" w:cs="Arial"/>
                <w:sz w:val="24"/>
                <w:szCs w:val="24"/>
              </w:rPr>
            </w:pPr>
            <w:r w:rsidRPr="008D59BB">
              <w:rPr>
                <w:rFonts w:ascii="Arial" w:hAnsi="Arial" w:cs="Arial"/>
                <w:sz w:val="24"/>
                <w:szCs w:val="24"/>
              </w:rPr>
              <w:t>Residence before admission</w:t>
            </w:r>
          </w:p>
        </w:tc>
        <w:tc>
          <w:tcPr>
            <w:tcW w:w="2693" w:type="dxa"/>
          </w:tcPr>
          <w:p w14:paraId="78FAD588" w14:textId="77777777" w:rsidR="001B7EAC" w:rsidRPr="008D59BB" w:rsidRDefault="001B7EAC" w:rsidP="00874334">
            <w:pPr>
              <w:spacing w:line="480" w:lineRule="auto"/>
              <w:ind w:left="204"/>
              <w:jc w:val="both"/>
              <w:rPr>
                <w:rFonts w:ascii="Arial" w:hAnsi="Arial" w:cs="Arial"/>
                <w:sz w:val="24"/>
                <w:szCs w:val="24"/>
              </w:rPr>
            </w:pPr>
          </w:p>
        </w:tc>
      </w:tr>
      <w:tr w:rsidR="001B7EAC" w:rsidRPr="008D59BB" w14:paraId="6F0EB73A" w14:textId="77777777" w:rsidTr="00874334">
        <w:tc>
          <w:tcPr>
            <w:tcW w:w="6379" w:type="dxa"/>
          </w:tcPr>
          <w:p w14:paraId="01C88D41" w14:textId="77777777" w:rsidR="001B7EAC" w:rsidRPr="008D59BB" w:rsidRDefault="001B7EAC" w:rsidP="00874334">
            <w:pPr>
              <w:spacing w:line="480" w:lineRule="auto"/>
              <w:ind w:left="175"/>
              <w:rPr>
                <w:rFonts w:ascii="Arial" w:hAnsi="Arial" w:cs="Arial"/>
                <w:sz w:val="24"/>
                <w:szCs w:val="24"/>
              </w:rPr>
            </w:pPr>
            <w:r w:rsidRPr="008D59BB">
              <w:rPr>
                <w:rFonts w:ascii="Arial" w:hAnsi="Arial" w:cs="Arial"/>
                <w:sz w:val="24"/>
                <w:szCs w:val="24"/>
              </w:rPr>
              <w:t>Own home: residential care: nursing care</w:t>
            </w:r>
          </w:p>
        </w:tc>
        <w:tc>
          <w:tcPr>
            <w:tcW w:w="2693" w:type="dxa"/>
          </w:tcPr>
          <w:p w14:paraId="05DFA021" w14:textId="77777777" w:rsidR="001B7EAC" w:rsidRPr="008D59BB" w:rsidRDefault="001B7EAC" w:rsidP="00874334">
            <w:pPr>
              <w:spacing w:line="480" w:lineRule="auto"/>
              <w:ind w:left="204"/>
              <w:jc w:val="both"/>
              <w:rPr>
                <w:rFonts w:ascii="Arial" w:hAnsi="Arial" w:cs="Arial"/>
                <w:sz w:val="24"/>
                <w:szCs w:val="24"/>
              </w:rPr>
            </w:pPr>
            <w:r w:rsidRPr="008D59BB">
              <w:rPr>
                <w:rFonts w:ascii="Arial" w:hAnsi="Arial" w:cs="Arial"/>
                <w:sz w:val="24"/>
                <w:szCs w:val="24"/>
              </w:rPr>
              <w:t>81.6: 11.6: 6.8</w:t>
            </w:r>
          </w:p>
        </w:tc>
      </w:tr>
      <w:tr w:rsidR="001B7EAC" w:rsidRPr="008D59BB" w14:paraId="1ED78384" w14:textId="77777777" w:rsidTr="00874334">
        <w:tc>
          <w:tcPr>
            <w:tcW w:w="6379" w:type="dxa"/>
          </w:tcPr>
          <w:p w14:paraId="22982778" w14:textId="77777777" w:rsidR="001B7EAC" w:rsidRPr="008D59BB" w:rsidRDefault="001B7EAC" w:rsidP="00874334">
            <w:pPr>
              <w:spacing w:line="480" w:lineRule="auto"/>
              <w:rPr>
                <w:rFonts w:ascii="Arial" w:hAnsi="Arial" w:cs="Arial"/>
                <w:sz w:val="24"/>
                <w:szCs w:val="24"/>
              </w:rPr>
            </w:pPr>
            <w:r w:rsidRPr="008D59BB">
              <w:rPr>
                <w:rFonts w:ascii="Arial" w:hAnsi="Arial" w:cs="Arial"/>
                <w:sz w:val="24"/>
                <w:szCs w:val="24"/>
              </w:rPr>
              <w:t>Mobility within 1-day after hip surgery</w:t>
            </w:r>
          </w:p>
        </w:tc>
        <w:tc>
          <w:tcPr>
            <w:tcW w:w="2693" w:type="dxa"/>
          </w:tcPr>
          <w:p w14:paraId="422EF771" w14:textId="77777777" w:rsidR="001B7EAC" w:rsidRPr="008D59BB" w:rsidRDefault="001B7EAC" w:rsidP="00874334">
            <w:pPr>
              <w:spacing w:line="480" w:lineRule="auto"/>
              <w:ind w:left="204"/>
              <w:jc w:val="both"/>
              <w:rPr>
                <w:rFonts w:ascii="Arial" w:hAnsi="Arial" w:cs="Arial"/>
                <w:sz w:val="24"/>
                <w:szCs w:val="24"/>
              </w:rPr>
            </w:pPr>
          </w:p>
        </w:tc>
      </w:tr>
      <w:tr w:rsidR="001B7EAC" w:rsidRPr="008D59BB" w14:paraId="23DB5E0B" w14:textId="77777777" w:rsidTr="00874334">
        <w:tc>
          <w:tcPr>
            <w:tcW w:w="6379" w:type="dxa"/>
          </w:tcPr>
          <w:p w14:paraId="4CDD3425" w14:textId="77777777" w:rsidR="001B7EAC" w:rsidRPr="008D59BB" w:rsidRDefault="001B7EAC" w:rsidP="00874334">
            <w:pPr>
              <w:spacing w:line="480" w:lineRule="auto"/>
              <w:ind w:left="176"/>
              <w:rPr>
                <w:rFonts w:ascii="Arial" w:hAnsi="Arial" w:cs="Arial"/>
                <w:sz w:val="24"/>
                <w:szCs w:val="24"/>
              </w:rPr>
            </w:pPr>
            <w:r w:rsidRPr="008D59BB">
              <w:rPr>
                <w:rFonts w:ascii="Arial" w:hAnsi="Arial" w:cs="Arial"/>
                <w:sz w:val="24"/>
                <w:szCs w:val="24"/>
              </w:rPr>
              <w:t>Able to mobilise: failure to mobilise</w:t>
            </w:r>
          </w:p>
        </w:tc>
        <w:tc>
          <w:tcPr>
            <w:tcW w:w="2693" w:type="dxa"/>
          </w:tcPr>
          <w:p w14:paraId="5D265D6F" w14:textId="77777777" w:rsidR="001B7EAC" w:rsidRPr="008D59BB" w:rsidRDefault="001B7EAC" w:rsidP="00874334">
            <w:pPr>
              <w:spacing w:line="480" w:lineRule="auto"/>
              <w:ind w:left="204"/>
              <w:jc w:val="both"/>
              <w:rPr>
                <w:rFonts w:ascii="Arial" w:hAnsi="Arial" w:cs="Arial"/>
                <w:sz w:val="24"/>
                <w:szCs w:val="24"/>
              </w:rPr>
            </w:pPr>
            <w:r w:rsidRPr="008D59BB">
              <w:rPr>
                <w:rFonts w:ascii="Arial" w:hAnsi="Arial" w:cs="Arial"/>
                <w:sz w:val="24"/>
                <w:szCs w:val="24"/>
              </w:rPr>
              <w:t>88.0: 22.0</w:t>
            </w:r>
          </w:p>
        </w:tc>
      </w:tr>
      <w:tr w:rsidR="001B7EAC" w:rsidRPr="008D59BB" w14:paraId="181468BE" w14:textId="77777777" w:rsidTr="00874334">
        <w:tc>
          <w:tcPr>
            <w:tcW w:w="6379" w:type="dxa"/>
          </w:tcPr>
          <w:p w14:paraId="31B382FF" w14:textId="77777777" w:rsidR="001B7EAC" w:rsidRPr="008D59BB" w:rsidRDefault="001B7EAC" w:rsidP="00874334">
            <w:pPr>
              <w:spacing w:line="480" w:lineRule="auto"/>
              <w:rPr>
                <w:rFonts w:ascii="Arial" w:hAnsi="Arial" w:cs="Arial"/>
                <w:sz w:val="24"/>
                <w:szCs w:val="24"/>
              </w:rPr>
            </w:pPr>
            <w:r w:rsidRPr="008D59BB">
              <w:rPr>
                <w:rFonts w:ascii="Arial" w:hAnsi="Arial" w:cs="Arial"/>
                <w:sz w:val="24"/>
                <w:szCs w:val="24"/>
              </w:rPr>
              <w:t>Pressure ulcers acquired in hospital</w:t>
            </w:r>
          </w:p>
        </w:tc>
        <w:tc>
          <w:tcPr>
            <w:tcW w:w="2693" w:type="dxa"/>
          </w:tcPr>
          <w:p w14:paraId="4EB5308D" w14:textId="77777777" w:rsidR="001B7EAC" w:rsidRPr="008D59BB" w:rsidRDefault="001B7EAC" w:rsidP="00874334">
            <w:pPr>
              <w:spacing w:line="480" w:lineRule="auto"/>
              <w:ind w:left="204"/>
              <w:jc w:val="both"/>
              <w:rPr>
                <w:rFonts w:ascii="Arial" w:hAnsi="Arial" w:cs="Arial"/>
                <w:sz w:val="24"/>
                <w:szCs w:val="24"/>
              </w:rPr>
            </w:pPr>
            <w:r w:rsidRPr="008D59BB">
              <w:rPr>
                <w:rFonts w:ascii="Arial" w:hAnsi="Arial" w:cs="Arial"/>
                <w:sz w:val="24"/>
                <w:szCs w:val="24"/>
              </w:rPr>
              <w:t>1.5</w:t>
            </w:r>
          </w:p>
        </w:tc>
      </w:tr>
      <w:tr w:rsidR="001B7EAC" w:rsidRPr="008D59BB" w14:paraId="5A2A1CA0" w14:textId="77777777" w:rsidTr="00874334">
        <w:tc>
          <w:tcPr>
            <w:tcW w:w="6379" w:type="dxa"/>
          </w:tcPr>
          <w:p w14:paraId="6202FA7E" w14:textId="77777777" w:rsidR="001B7EAC" w:rsidRPr="008D59BB" w:rsidRDefault="001B7EAC" w:rsidP="00874334">
            <w:pPr>
              <w:spacing w:line="480" w:lineRule="auto"/>
              <w:rPr>
                <w:rFonts w:ascii="Arial" w:hAnsi="Arial" w:cs="Arial"/>
                <w:sz w:val="24"/>
                <w:szCs w:val="24"/>
              </w:rPr>
            </w:pPr>
            <w:r w:rsidRPr="008D59BB">
              <w:rPr>
                <w:rFonts w:ascii="Arial" w:hAnsi="Arial" w:cs="Arial"/>
                <w:sz w:val="24"/>
                <w:szCs w:val="24"/>
              </w:rPr>
              <w:t>Death in hospital</w:t>
            </w:r>
          </w:p>
        </w:tc>
        <w:tc>
          <w:tcPr>
            <w:tcW w:w="2693" w:type="dxa"/>
          </w:tcPr>
          <w:p w14:paraId="275099D4" w14:textId="77777777" w:rsidR="001B7EAC" w:rsidRPr="008D59BB" w:rsidRDefault="001B7EAC" w:rsidP="00874334">
            <w:pPr>
              <w:spacing w:line="480" w:lineRule="auto"/>
              <w:ind w:left="204"/>
              <w:jc w:val="both"/>
              <w:rPr>
                <w:rFonts w:ascii="Arial" w:hAnsi="Arial" w:cs="Arial"/>
                <w:sz w:val="24"/>
                <w:szCs w:val="24"/>
              </w:rPr>
            </w:pPr>
            <w:r w:rsidRPr="008D59BB">
              <w:rPr>
                <w:rFonts w:ascii="Arial" w:hAnsi="Arial" w:cs="Arial"/>
                <w:sz w:val="24"/>
                <w:szCs w:val="24"/>
              </w:rPr>
              <w:t>5.2</w:t>
            </w:r>
          </w:p>
        </w:tc>
      </w:tr>
      <w:tr w:rsidR="001B7EAC" w:rsidRPr="008D59BB" w14:paraId="149B3806" w14:textId="77777777" w:rsidTr="00874334">
        <w:tc>
          <w:tcPr>
            <w:tcW w:w="6379" w:type="dxa"/>
          </w:tcPr>
          <w:p w14:paraId="1C991253" w14:textId="77777777" w:rsidR="001B7EAC" w:rsidRPr="008D59BB" w:rsidRDefault="001B7EAC" w:rsidP="00874334">
            <w:pPr>
              <w:spacing w:line="480" w:lineRule="auto"/>
              <w:rPr>
                <w:rFonts w:ascii="Arial" w:hAnsi="Arial" w:cs="Arial"/>
                <w:sz w:val="24"/>
                <w:szCs w:val="24"/>
              </w:rPr>
            </w:pPr>
            <w:r w:rsidRPr="008D59BB">
              <w:rPr>
                <w:rFonts w:ascii="Arial" w:hAnsi="Arial" w:cs="Arial"/>
                <w:sz w:val="24"/>
                <w:szCs w:val="24"/>
              </w:rPr>
              <w:t>Nutritional status on admission</w:t>
            </w:r>
          </w:p>
        </w:tc>
        <w:tc>
          <w:tcPr>
            <w:tcW w:w="2693" w:type="dxa"/>
          </w:tcPr>
          <w:p w14:paraId="3760B8B8" w14:textId="77777777" w:rsidR="001B7EAC" w:rsidRPr="008D59BB" w:rsidRDefault="001B7EAC" w:rsidP="00874334">
            <w:pPr>
              <w:spacing w:line="480" w:lineRule="auto"/>
              <w:ind w:left="204"/>
              <w:jc w:val="both"/>
              <w:rPr>
                <w:rFonts w:ascii="Arial" w:hAnsi="Arial" w:cs="Arial"/>
                <w:sz w:val="24"/>
                <w:szCs w:val="24"/>
              </w:rPr>
            </w:pPr>
          </w:p>
        </w:tc>
      </w:tr>
      <w:tr w:rsidR="001B7EAC" w:rsidRPr="008D59BB" w14:paraId="2DBA58C1" w14:textId="77777777" w:rsidTr="00874334">
        <w:tc>
          <w:tcPr>
            <w:tcW w:w="6379" w:type="dxa"/>
          </w:tcPr>
          <w:p w14:paraId="21C0F51B" w14:textId="77777777" w:rsidR="001B7EAC" w:rsidRPr="008D59BB" w:rsidRDefault="001B7EAC" w:rsidP="00874334">
            <w:pPr>
              <w:spacing w:line="480" w:lineRule="auto"/>
              <w:ind w:left="176"/>
              <w:rPr>
                <w:rFonts w:ascii="Arial" w:hAnsi="Arial" w:cs="Arial"/>
                <w:sz w:val="24"/>
                <w:szCs w:val="24"/>
              </w:rPr>
            </w:pPr>
            <w:r w:rsidRPr="008D59BB">
              <w:rPr>
                <w:rFonts w:ascii="Arial" w:hAnsi="Arial" w:cs="Arial"/>
                <w:sz w:val="24"/>
                <w:szCs w:val="24"/>
              </w:rPr>
              <w:t xml:space="preserve"> Well nourished: risk of malnutrition: malnourished</w:t>
            </w:r>
          </w:p>
        </w:tc>
        <w:tc>
          <w:tcPr>
            <w:tcW w:w="2693" w:type="dxa"/>
          </w:tcPr>
          <w:p w14:paraId="0287C5C2" w14:textId="77777777" w:rsidR="001B7EAC" w:rsidRPr="008D59BB" w:rsidRDefault="001B7EAC" w:rsidP="00874334">
            <w:pPr>
              <w:spacing w:line="480" w:lineRule="auto"/>
              <w:ind w:left="204"/>
              <w:jc w:val="both"/>
              <w:rPr>
                <w:rFonts w:ascii="Arial" w:hAnsi="Arial" w:cs="Arial"/>
                <w:sz w:val="24"/>
                <w:szCs w:val="24"/>
              </w:rPr>
            </w:pPr>
            <w:r w:rsidRPr="008D59BB">
              <w:rPr>
                <w:rFonts w:ascii="Arial" w:hAnsi="Arial" w:cs="Arial"/>
                <w:sz w:val="24"/>
                <w:szCs w:val="24"/>
              </w:rPr>
              <w:t>67.8: 24.1: 8.1</w:t>
            </w:r>
          </w:p>
        </w:tc>
      </w:tr>
      <w:tr w:rsidR="001B7EAC" w:rsidRPr="008D59BB" w14:paraId="3C758B88" w14:textId="77777777" w:rsidTr="00874334">
        <w:tc>
          <w:tcPr>
            <w:tcW w:w="6379" w:type="dxa"/>
          </w:tcPr>
          <w:p w14:paraId="60EB9D36" w14:textId="77777777" w:rsidR="001B7EAC" w:rsidRPr="008D59BB" w:rsidRDefault="001B7EAC" w:rsidP="00874334">
            <w:pPr>
              <w:spacing w:line="480" w:lineRule="auto"/>
              <w:rPr>
                <w:rFonts w:ascii="Arial" w:hAnsi="Arial" w:cs="Arial"/>
                <w:sz w:val="24"/>
                <w:szCs w:val="24"/>
              </w:rPr>
            </w:pPr>
            <w:r w:rsidRPr="008D59BB">
              <w:rPr>
                <w:rFonts w:ascii="Arial" w:hAnsi="Arial" w:cs="Arial"/>
                <w:sz w:val="24"/>
                <w:szCs w:val="24"/>
              </w:rPr>
              <w:t>Specialist falls assessment</w:t>
            </w:r>
          </w:p>
        </w:tc>
        <w:tc>
          <w:tcPr>
            <w:tcW w:w="2693" w:type="dxa"/>
          </w:tcPr>
          <w:p w14:paraId="49FAFAD5" w14:textId="77777777" w:rsidR="001B7EAC" w:rsidRPr="008D59BB" w:rsidRDefault="001B7EAC" w:rsidP="00874334">
            <w:pPr>
              <w:spacing w:line="480" w:lineRule="auto"/>
              <w:ind w:left="204"/>
              <w:jc w:val="both"/>
              <w:rPr>
                <w:rFonts w:ascii="Arial" w:hAnsi="Arial" w:cs="Arial"/>
                <w:sz w:val="24"/>
                <w:szCs w:val="24"/>
              </w:rPr>
            </w:pPr>
            <w:r w:rsidRPr="008D59BB">
              <w:rPr>
                <w:rFonts w:ascii="Arial" w:hAnsi="Arial" w:cs="Arial"/>
                <w:sz w:val="24"/>
                <w:szCs w:val="24"/>
              </w:rPr>
              <w:t>99.4</w:t>
            </w:r>
          </w:p>
        </w:tc>
      </w:tr>
      <w:tr w:rsidR="001B7EAC" w:rsidRPr="008D59BB" w14:paraId="23441010" w14:textId="77777777" w:rsidTr="00874334">
        <w:tc>
          <w:tcPr>
            <w:tcW w:w="6379" w:type="dxa"/>
          </w:tcPr>
          <w:p w14:paraId="0476A532" w14:textId="77777777" w:rsidR="001B7EAC" w:rsidRPr="008D59BB" w:rsidRDefault="001B7EAC" w:rsidP="00874334">
            <w:pPr>
              <w:spacing w:line="480" w:lineRule="auto"/>
              <w:rPr>
                <w:rFonts w:ascii="Arial" w:hAnsi="Arial" w:cs="Arial"/>
                <w:sz w:val="24"/>
                <w:szCs w:val="24"/>
              </w:rPr>
            </w:pPr>
            <w:r w:rsidRPr="008D59BB">
              <w:rPr>
                <w:rFonts w:ascii="Arial" w:hAnsi="Arial" w:cs="Arial"/>
                <w:sz w:val="24"/>
                <w:szCs w:val="24"/>
              </w:rPr>
              <w:t>Physiotherapist assessment</w:t>
            </w:r>
          </w:p>
        </w:tc>
        <w:tc>
          <w:tcPr>
            <w:tcW w:w="2693" w:type="dxa"/>
          </w:tcPr>
          <w:p w14:paraId="56AC18E6" w14:textId="77777777" w:rsidR="001B7EAC" w:rsidRPr="008D59BB" w:rsidRDefault="001B7EAC" w:rsidP="00874334">
            <w:pPr>
              <w:spacing w:line="480" w:lineRule="auto"/>
              <w:ind w:left="204"/>
              <w:jc w:val="both"/>
              <w:rPr>
                <w:rFonts w:ascii="Arial" w:hAnsi="Arial" w:cs="Arial"/>
                <w:sz w:val="24"/>
                <w:szCs w:val="24"/>
              </w:rPr>
            </w:pPr>
            <w:r w:rsidRPr="008D59BB">
              <w:rPr>
                <w:rFonts w:ascii="Arial" w:hAnsi="Arial" w:cs="Arial"/>
                <w:sz w:val="24"/>
                <w:szCs w:val="24"/>
              </w:rPr>
              <w:t>96.5</w:t>
            </w:r>
          </w:p>
        </w:tc>
      </w:tr>
    </w:tbl>
    <w:p w14:paraId="05290DDB" w14:textId="77777777" w:rsidR="001B7EAC" w:rsidRPr="008D59BB" w:rsidRDefault="001B7EAC" w:rsidP="001B7EAC">
      <w:pPr>
        <w:spacing w:after="0" w:line="480" w:lineRule="auto"/>
        <w:rPr>
          <w:rFonts w:ascii="Arial" w:hAnsi="Arial" w:cs="Arial"/>
          <w:sz w:val="24"/>
          <w:szCs w:val="24"/>
        </w:rPr>
      </w:pPr>
      <w:r w:rsidRPr="008D59BB">
        <w:rPr>
          <w:rFonts w:ascii="Arial" w:hAnsi="Arial" w:cs="Arial"/>
          <w:sz w:val="24"/>
          <w:szCs w:val="24"/>
        </w:rPr>
        <w:t>SD, standard deviation; IQR, interquartile range.</w:t>
      </w:r>
    </w:p>
    <w:p w14:paraId="4608D7C6" w14:textId="13054E72" w:rsidR="001B7EAC" w:rsidRPr="008D59BB" w:rsidRDefault="001B7EAC">
      <w:pPr>
        <w:rPr>
          <w:rFonts w:ascii="Arial" w:hAnsi="Arial" w:cs="Arial"/>
          <w:sz w:val="24"/>
          <w:szCs w:val="24"/>
        </w:rPr>
      </w:pPr>
      <w:r w:rsidRPr="008D59BB">
        <w:rPr>
          <w:rFonts w:ascii="Arial" w:hAnsi="Arial" w:cs="Arial"/>
          <w:sz w:val="24"/>
          <w:szCs w:val="24"/>
        </w:rPr>
        <w:br w:type="page"/>
      </w:r>
    </w:p>
    <w:p w14:paraId="25B0F77F" w14:textId="77777777" w:rsidR="001B7EAC" w:rsidRPr="008D59BB" w:rsidRDefault="001B7EAC" w:rsidP="00B47515">
      <w:pPr>
        <w:autoSpaceDE w:val="0"/>
        <w:autoSpaceDN w:val="0"/>
        <w:adjustRightInd w:val="0"/>
        <w:spacing w:after="0" w:line="480" w:lineRule="auto"/>
        <w:jc w:val="both"/>
        <w:rPr>
          <w:rFonts w:ascii="Arial" w:hAnsi="Arial" w:cs="Arial"/>
          <w:sz w:val="24"/>
          <w:szCs w:val="24"/>
        </w:rPr>
        <w:sectPr w:rsidR="001B7EAC" w:rsidRPr="008D59BB" w:rsidSect="001B7EAC">
          <w:headerReference w:type="default" r:id="rId12"/>
          <w:pgSz w:w="11906" w:h="16838"/>
          <w:pgMar w:top="1440" w:right="1440" w:bottom="1440" w:left="1440" w:header="709" w:footer="709" w:gutter="0"/>
          <w:cols w:space="708"/>
          <w:docGrid w:linePitch="360"/>
        </w:sectPr>
      </w:pPr>
    </w:p>
    <w:p w14:paraId="11139064" w14:textId="77777777" w:rsidR="001B7EAC" w:rsidRPr="008D59BB" w:rsidRDefault="001B7EAC" w:rsidP="001B7EAC">
      <w:pPr>
        <w:spacing w:after="0" w:line="480" w:lineRule="auto"/>
        <w:rPr>
          <w:rFonts w:ascii="Arial" w:hAnsi="Arial" w:cs="Arial"/>
          <w:sz w:val="24"/>
          <w:szCs w:val="24"/>
        </w:rPr>
      </w:pPr>
      <w:r w:rsidRPr="008D59BB">
        <w:rPr>
          <w:rFonts w:ascii="Arial" w:hAnsi="Arial" w:cs="Arial"/>
          <w:b/>
          <w:sz w:val="24"/>
          <w:szCs w:val="24"/>
        </w:rPr>
        <w:lastRenderedPageBreak/>
        <w:t>Table 2.</w:t>
      </w:r>
      <w:r w:rsidRPr="008D59BB">
        <w:rPr>
          <w:rFonts w:ascii="Arial" w:hAnsi="Arial" w:cs="Arial"/>
          <w:sz w:val="24"/>
          <w:szCs w:val="24"/>
        </w:rPr>
        <w:t xml:space="preserve"> Rates and risk of failure to mobilise within 1-day after hip surgery, pressure ulcers and death in hospital, and discharge to residential/nursing care.</w:t>
      </w:r>
    </w:p>
    <w:tbl>
      <w:tblPr>
        <w:tblStyle w:val="TableGrid"/>
        <w:tblW w:w="14794" w:type="dxa"/>
        <w:tblInd w:w="-431" w:type="dxa"/>
        <w:tblLook w:val="04A0" w:firstRow="1" w:lastRow="0" w:firstColumn="1" w:lastColumn="0" w:noHBand="0" w:noVBand="1"/>
      </w:tblPr>
      <w:tblGrid>
        <w:gridCol w:w="5104"/>
        <w:gridCol w:w="1984"/>
        <w:gridCol w:w="1103"/>
        <w:gridCol w:w="1636"/>
        <w:gridCol w:w="1112"/>
        <w:gridCol w:w="1103"/>
        <w:gridCol w:w="1640"/>
        <w:gridCol w:w="1112"/>
      </w:tblGrid>
      <w:tr w:rsidR="001B7EAC" w:rsidRPr="008D59BB" w14:paraId="1712EFD2" w14:textId="77777777" w:rsidTr="00874334">
        <w:tc>
          <w:tcPr>
            <w:tcW w:w="5104" w:type="dxa"/>
          </w:tcPr>
          <w:p w14:paraId="36970A38" w14:textId="77777777" w:rsidR="001B7EAC" w:rsidRPr="008D59BB" w:rsidRDefault="001B7EAC" w:rsidP="00874334">
            <w:pPr>
              <w:spacing w:line="480" w:lineRule="auto"/>
              <w:rPr>
                <w:rFonts w:ascii="Arial" w:hAnsi="Arial" w:cs="Arial"/>
                <w:b/>
              </w:rPr>
            </w:pPr>
          </w:p>
        </w:tc>
        <w:tc>
          <w:tcPr>
            <w:tcW w:w="1984" w:type="dxa"/>
          </w:tcPr>
          <w:p w14:paraId="5B6FE188" w14:textId="77777777" w:rsidR="001B7EAC" w:rsidRPr="008D59BB" w:rsidRDefault="001B7EAC" w:rsidP="00874334">
            <w:pPr>
              <w:spacing w:line="480" w:lineRule="auto"/>
              <w:jc w:val="center"/>
              <w:rPr>
                <w:rFonts w:ascii="Arial" w:hAnsi="Arial" w:cs="Arial"/>
              </w:rPr>
            </w:pPr>
            <w:r w:rsidRPr="008D59BB">
              <w:rPr>
                <w:rFonts w:ascii="Arial" w:hAnsi="Arial" w:cs="Arial"/>
              </w:rPr>
              <w:t>Well-nourished</w:t>
            </w:r>
          </w:p>
          <w:p w14:paraId="6E2BFA6A" w14:textId="77777777" w:rsidR="001B7EAC" w:rsidRPr="008D59BB" w:rsidRDefault="001B7EAC" w:rsidP="00874334">
            <w:pPr>
              <w:spacing w:line="480" w:lineRule="auto"/>
              <w:jc w:val="center"/>
              <w:rPr>
                <w:rFonts w:ascii="Arial" w:hAnsi="Arial" w:cs="Arial"/>
                <w:b/>
                <w:sz w:val="24"/>
                <w:szCs w:val="24"/>
              </w:rPr>
            </w:pPr>
            <w:r w:rsidRPr="008D59BB">
              <w:rPr>
                <w:rFonts w:ascii="Arial" w:hAnsi="Arial" w:cs="Arial"/>
              </w:rPr>
              <w:t>(n=840)*</w:t>
            </w:r>
            <w:r w:rsidRPr="008D59BB">
              <w:rPr>
                <w:rFonts w:ascii="Arial" w:hAnsi="Arial" w:cs="Arial"/>
                <w:vertAlign w:val="superscript"/>
              </w:rPr>
              <w:sym w:font="Wingdings 2" w:char="F085"/>
            </w:r>
          </w:p>
        </w:tc>
        <w:tc>
          <w:tcPr>
            <w:tcW w:w="3851" w:type="dxa"/>
            <w:gridSpan w:val="3"/>
          </w:tcPr>
          <w:p w14:paraId="2832B6CF" w14:textId="77777777" w:rsidR="001B7EAC" w:rsidRPr="008D59BB" w:rsidRDefault="001B7EAC" w:rsidP="00874334">
            <w:pPr>
              <w:spacing w:line="480" w:lineRule="auto"/>
              <w:jc w:val="center"/>
              <w:rPr>
                <w:rFonts w:ascii="Arial" w:hAnsi="Arial" w:cs="Arial"/>
              </w:rPr>
            </w:pPr>
          </w:p>
          <w:p w14:paraId="3C9BF83E" w14:textId="77777777" w:rsidR="001B7EAC" w:rsidRPr="008D59BB" w:rsidRDefault="001B7EAC" w:rsidP="00874334">
            <w:pPr>
              <w:spacing w:line="480" w:lineRule="auto"/>
              <w:jc w:val="center"/>
              <w:rPr>
                <w:rFonts w:ascii="Arial" w:hAnsi="Arial" w:cs="Arial"/>
                <w:b/>
                <w:i/>
                <w:sz w:val="24"/>
                <w:szCs w:val="24"/>
              </w:rPr>
            </w:pPr>
            <w:r w:rsidRPr="008D59BB">
              <w:rPr>
                <w:rFonts w:ascii="Arial" w:hAnsi="Arial" w:cs="Arial"/>
              </w:rPr>
              <w:t>Risk of malnutrition (n = 299)</w:t>
            </w:r>
            <w:r w:rsidRPr="008D59BB">
              <w:rPr>
                <w:rFonts w:ascii="Arial" w:hAnsi="Arial" w:cs="Arial"/>
                <w:vertAlign w:val="superscript"/>
              </w:rPr>
              <w:sym w:font="Wingdings 2" w:char="F085"/>
            </w:r>
          </w:p>
        </w:tc>
        <w:tc>
          <w:tcPr>
            <w:tcW w:w="3855" w:type="dxa"/>
            <w:gridSpan w:val="3"/>
          </w:tcPr>
          <w:p w14:paraId="468F4295" w14:textId="77777777" w:rsidR="001B7EAC" w:rsidRPr="008D59BB" w:rsidRDefault="001B7EAC" w:rsidP="00874334">
            <w:pPr>
              <w:spacing w:line="480" w:lineRule="auto"/>
              <w:jc w:val="center"/>
              <w:rPr>
                <w:rFonts w:ascii="Arial" w:hAnsi="Arial" w:cs="Arial"/>
              </w:rPr>
            </w:pPr>
          </w:p>
          <w:p w14:paraId="00FA22BA" w14:textId="77777777" w:rsidR="001B7EAC" w:rsidRPr="008D59BB" w:rsidRDefault="001B7EAC" w:rsidP="00874334">
            <w:pPr>
              <w:spacing w:line="480" w:lineRule="auto"/>
              <w:jc w:val="center"/>
              <w:rPr>
                <w:rFonts w:ascii="Arial" w:hAnsi="Arial" w:cs="Arial"/>
                <w:b/>
                <w:i/>
                <w:sz w:val="24"/>
                <w:szCs w:val="24"/>
              </w:rPr>
            </w:pPr>
            <w:r w:rsidRPr="008D59BB">
              <w:rPr>
                <w:rFonts w:ascii="Arial" w:hAnsi="Arial" w:cs="Arial"/>
              </w:rPr>
              <w:t>Malnourishment (n = 100)</w:t>
            </w:r>
            <w:r w:rsidRPr="008D59BB">
              <w:rPr>
                <w:rFonts w:ascii="Arial" w:hAnsi="Arial" w:cs="Arial"/>
                <w:vertAlign w:val="superscript"/>
              </w:rPr>
              <w:sym w:font="Wingdings 2" w:char="F085"/>
            </w:r>
          </w:p>
        </w:tc>
      </w:tr>
      <w:tr w:rsidR="001B7EAC" w:rsidRPr="008D59BB" w14:paraId="10ACB852" w14:textId="77777777" w:rsidTr="00874334">
        <w:tc>
          <w:tcPr>
            <w:tcW w:w="5104" w:type="dxa"/>
          </w:tcPr>
          <w:p w14:paraId="4C87123F" w14:textId="77777777" w:rsidR="001B7EAC" w:rsidRPr="008D59BB" w:rsidRDefault="001B7EAC" w:rsidP="00874334">
            <w:pPr>
              <w:spacing w:line="480" w:lineRule="auto"/>
              <w:rPr>
                <w:rFonts w:ascii="Arial" w:hAnsi="Arial" w:cs="Arial"/>
                <w:sz w:val="24"/>
                <w:szCs w:val="24"/>
              </w:rPr>
            </w:pPr>
            <w:r w:rsidRPr="008D59BB">
              <w:rPr>
                <w:rFonts w:ascii="Arial" w:hAnsi="Arial" w:cs="Arial"/>
                <w:b/>
              </w:rPr>
              <w:t>Model 1: Unadjusted</w:t>
            </w:r>
          </w:p>
        </w:tc>
        <w:tc>
          <w:tcPr>
            <w:tcW w:w="1984" w:type="dxa"/>
          </w:tcPr>
          <w:p w14:paraId="74D3E0C0" w14:textId="77777777" w:rsidR="001B7EAC" w:rsidRPr="008D59BB" w:rsidRDefault="001B7EAC" w:rsidP="00874334">
            <w:pPr>
              <w:spacing w:line="480" w:lineRule="auto"/>
              <w:jc w:val="center"/>
              <w:rPr>
                <w:rFonts w:ascii="Arial" w:hAnsi="Arial" w:cs="Arial"/>
                <w:b/>
                <w:sz w:val="24"/>
                <w:szCs w:val="24"/>
              </w:rPr>
            </w:pPr>
            <w:r w:rsidRPr="008D59BB">
              <w:rPr>
                <w:rFonts w:ascii="Arial" w:hAnsi="Arial" w:cs="Arial"/>
                <w:b/>
                <w:sz w:val="24"/>
                <w:szCs w:val="24"/>
              </w:rPr>
              <w:t>OR</w:t>
            </w:r>
          </w:p>
        </w:tc>
        <w:tc>
          <w:tcPr>
            <w:tcW w:w="1103" w:type="dxa"/>
          </w:tcPr>
          <w:p w14:paraId="7F621072" w14:textId="77777777" w:rsidR="001B7EAC" w:rsidRPr="008D59BB" w:rsidRDefault="001B7EAC" w:rsidP="00874334">
            <w:pPr>
              <w:spacing w:line="480" w:lineRule="auto"/>
              <w:jc w:val="center"/>
              <w:rPr>
                <w:rFonts w:ascii="Arial" w:hAnsi="Arial" w:cs="Arial"/>
                <w:b/>
                <w:sz w:val="24"/>
                <w:szCs w:val="24"/>
              </w:rPr>
            </w:pPr>
            <w:r w:rsidRPr="008D59BB">
              <w:rPr>
                <w:rFonts w:ascii="Arial" w:hAnsi="Arial" w:cs="Arial"/>
                <w:b/>
                <w:sz w:val="24"/>
                <w:szCs w:val="24"/>
              </w:rPr>
              <w:t>OR</w:t>
            </w:r>
          </w:p>
        </w:tc>
        <w:tc>
          <w:tcPr>
            <w:tcW w:w="1636" w:type="dxa"/>
          </w:tcPr>
          <w:p w14:paraId="701DD86D" w14:textId="77777777" w:rsidR="001B7EAC" w:rsidRPr="008D59BB" w:rsidRDefault="001B7EAC" w:rsidP="00874334">
            <w:pPr>
              <w:spacing w:line="480" w:lineRule="auto"/>
              <w:jc w:val="center"/>
              <w:rPr>
                <w:rFonts w:ascii="Arial" w:hAnsi="Arial" w:cs="Arial"/>
                <w:b/>
                <w:sz w:val="24"/>
                <w:szCs w:val="24"/>
              </w:rPr>
            </w:pPr>
            <w:r w:rsidRPr="008D59BB">
              <w:rPr>
                <w:rFonts w:ascii="Arial" w:hAnsi="Arial" w:cs="Arial"/>
                <w:b/>
                <w:sz w:val="24"/>
                <w:szCs w:val="24"/>
              </w:rPr>
              <w:t>95% CI</w:t>
            </w:r>
          </w:p>
        </w:tc>
        <w:tc>
          <w:tcPr>
            <w:tcW w:w="1112" w:type="dxa"/>
          </w:tcPr>
          <w:p w14:paraId="4404C6E8" w14:textId="77777777" w:rsidR="001B7EAC" w:rsidRPr="008D59BB" w:rsidRDefault="001B7EAC" w:rsidP="00874334">
            <w:pPr>
              <w:spacing w:line="480" w:lineRule="auto"/>
              <w:jc w:val="center"/>
              <w:rPr>
                <w:rFonts w:ascii="Arial" w:hAnsi="Arial" w:cs="Arial"/>
                <w:b/>
                <w:i/>
                <w:sz w:val="24"/>
                <w:szCs w:val="24"/>
              </w:rPr>
            </w:pPr>
            <w:r w:rsidRPr="008D59BB">
              <w:rPr>
                <w:rFonts w:ascii="Arial" w:hAnsi="Arial" w:cs="Arial"/>
                <w:b/>
                <w:i/>
                <w:sz w:val="24"/>
                <w:szCs w:val="24"/>
              </w:rPr>
              <w:t>p</w:t>
            </w:r>
          </w:p>
        </w:tc>
        <w:tc>
          <w:tcPr>
            <w:tcW w:w="1103" w:type="dxa"/>
          </w:tcPr>
          <w:p w14:paraId="064F8F1F" w14:textId="77777777" w:rsidR="001B7EAC" w:rsidRPr="008D59BB" w:rsidRDefault="001B7EAC" w:rsidP="00874334">
            <w:pPr>
              <w:spacing w:line="480" w:lineRule="auto"/>
              <w:jc w:val="center"/>
              <w:rPr>
                <w:rFonts w:ascii="Arial" w:hAnsi="Arial" w:cs="Arial"/>
                <w:b/>
                <w:sz w:val="24"/>
                <w:szCs w:val="24"/>
              </w:rPr>
            </w:pPr>
            <w:r w:rsidRPr="008D59BB">
              <w:rPr>
                <w:rFonts w:ascii="Arial" w:hAnsi="Arial" w:cs="Arial"/>
                <w:b/>
                <w:sz w:val="24"/>
                <w:szCs w:val="24"/>
              </w:rPr>
              <w:t>OR</w:t>
            </w:r>
          </w:p>
        </w:tc>
        <w:tc>
          <w:tcPr>
            <w:tcW w:w="1640" w:type="dxa"/>
          </w:tcPr>
          <w:p w14:paraId="35324DC3" w14:textId="77777777" w:rsidR="001B7EAC" w:rsidRPr="008D59BB" w:rsidRDefault="001B7EAC" w:rsidP="00874334">
            <w:pPr>
              <w:spacing w:line="480" w:lineRule="auto"/>
              <w:jc w:val="center"/>
              <w:rPr>
                <w:rFonts w:ascii="Arial" w:hAnsi="Arial" w:cs="Arial"/>
                <w:b/>
                <w:sz w:val="24"/>
                <w:szCs w:val="24"/>
              </w:rPr>
            </w:pPr>
            <w:r w:rsidRPr="008D59BB">
              <w:rPr>
                <w:rFonts w:ascii="Arial" w:hAnsi="Arial" w:cs="Arial"/>
                <w:b/>
                <w:sz w:val="24"/>
                <w:szCs w:val="24"/>
              </w:rPr>
              <w:t>95% CI</w:t>
            </w:r>
          </w:p>
        </w:tc>
        <w:tc>
          <w:tcPr>
            <w:tcW w:w="1112" w:type="dxa"/>
          </w:tcPr>
          <w:p w14:paraId="65DDFFD7" w14:textId="77777777" w:rsidR="001B7EAC" w:rsidRPr="008D59BB" w:rsidRDefault="001B7EAC" w:rsidP="00874334">
            <w:pPr>
              <w:spacing w:line="480" w:lineRule="auto"/>
              <w:jc w:val="center"/>
              <w:rPr>
                <w:rFonts w:ascii="Arial" w:hAnsi="Arial" w:cs="Arial"/>
                <w:b/>
                <w:i/>
                <w:sz w:val="24"/>
                <w:szCs w:val="24"/>
              </w:rPr>
            </w:pPr>
            <w:r w:rsidRPr="008D59BB">
              <w:rPr>
                <w:rFonts w:ascii="Arial" w:hAnsi="Arial" w:cs="Arial"/>
                <w:b/>
                <w:i/>
                <w:sz w:val="24"/>
                <w:szCs w:val="24"/>
              </w:rPr>
              <w:t>p</w:t>
            </w:r>
          </w:p>
        </w:tc>
      </w:tr>
      <w:tr w:rsidR="001B7EAC" w:rsidRPr="008D59BB" w14:paraId="096B503D" w14:textId="77777777" w:rsidTr="00874334">
        <w:tc>
          <w:tcPr>
            <w:tcW w:w="5104" w:type="dxa"/>
          </w:tcPr>
          <w:p w14:paraId="4D27D3C4" w14:textId="77777777" w:rsidR="001B7EAC" w:rsidRPr="008D59BB" w:rsidRDefault="001B7EAC" w:rsidP="00874334">
            <w:pPr>
              <w:spacing w:line="480" w:lineRule="auto"/>
              <w:ind w:left="175"/>
              <w:rPr>
                <w:rFonts w:ascii="Arial" w:hAnsi="Arial" w:cs="Arial"/>
                <w:sz w:val="24"/>
                <w:szCs w:val="24"/>
              </w:rPr>
            </w:pPr>
            <w:r w:rsidRPr="008D59BB">
              <w:rPr>
                <w:rFonts w:ascii="Arial" w:hAnsi="Arial" w:cs="Arial"/>
                <w:sz w:val="24"/>
                <w:szCs w:val="24"/>
              </w:rPr>
              <w:t>Failure to mobilise within 1-day of surgery</w:t>
            </w:r>
          </w:p>
        </w:tc>
        <w:tc>
          <w:tcPr>
            <w:tcW w:w="1984" w:type="dxa"/>
          </w:tcPr>
          <w:p w14:paraId="0BF3E5F7"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w:t>
            </w:r>
          </w:p>
        </w:tc>
        <w:tc>
          <w:tcPr>
            <w:tcW w:w="1103" w:type="dxa"/>
          </w:tcPr>
          <w:p w14:paraId="26C9ED74"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1.43</w:t>
            </w:r>
          </w:p>
        </w:tc>
        <w:tc>
          <w:tcPr>
            <w:tcW w:w="1636" w:type="dxa"/>
          </w:tcPr>
          <w:p w14:paraId="2BA741E0"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1.04-1.97</w:t>
            </w:r>
          </w:p>
        </w:tc>
        <w:tc>
          <w:tcPr>
            <w:tcW w:w="1112" w:type="dxa"/>
          </w:tcPr>
          <w:p w14:paraId="4A96F3D5"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0.028</w:t>
            </w:r>
          </w:p>
        </w:tc>
        <w:tc>
          <w:tcPr>
            <w:tcW w:w="1103" w:type="dxa"/>
          </w:tcPr>
          <w:p w14:paraId="1C151AD5"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1.70</w:t>
            </w:r>
          </w:p>
        </w:tc>
        <w:tc>
          <w:tcPr>
            <w:tcW w:w="1640" w:type="dxa"/>
          </w:tcPr>
          <w:p w14:paraId="70B318CB"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1.06-2.74</w:t>
            </w:r>
          </w:p>
        </w:tc>
        <w:tc>
          <w:tcPr>
            <w:tcW w:w="1112" w:type="dxa"/>
          </w:tcPr>
          <w:p w14:paraId="21CB2586"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0.028</w:t>
            </w:r>
          </w:p>
        </w:tc>
      </w:tr>
      <w:tr w:rsidR="001B7EAC" w:rsidRPr="008D59BB" w14:paraId="140E02B3" w14:textId="77777777" w:rsidTr="00874334">
        <w:tc>
          <w:tcPr>
            <w:tcW w:w="5104" w:type="dxa"/>
          </w:tcPr>
          <w:p w14:paraId="74F1DD5E" w14:textId="77777777" w:rsidR="001B7EAC" w:rsidRPr="008D59BB" w:rsidRDefault="001B7EAC" w:rsidP="00874334">
            <w:pPr>
              <w:spacing w:line="480" w:lineRule="auto"/>
              <w:ind w:left="175"/>
              <w:rPr>
                <w:rFonts w:ascii="Arial" w:hAnsi="Arial" w:cs="Arial"/>
                <w:sz w:val="24"/>
                <w:szCs w:val="24"/>
              </w:rPr>
            </w:pPr>
            <w:r w:rsidRPr="008D59BB">
              <w:rPr>
                <w:rFonts w:ascii="Arial" w:hAnsi="Arial" w:cs="Arial"/>
                <w:sz w:val="24"/>
                <w:szCs w:val="24"/>
              </w:rPr>
              <w:t>Pressure ulcers in hospital</w:t>
            </w:r>
          </w:p>
        </w:tc>
        <w:tc>
          <w:tcPr>
            <w:tcW w:w="1984" w:type="dxa"/>
          </w:tcPr>
          <w:p w14:paraId="7DC65B9A"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w:t>
            </w:r>
          </w:p>
        </w:tc>
        <w:tc>
          <w:tcPr>
            <w:tcW w:w="1103" w:type="dxa"/>
          </w:tcPr>
          <w:p w14:paraId="3DB517E9"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1.77</w:t>
            </w:r>
          </w:p>
        </w:tc>
        <w:tc>
          <w:tcPr>
            <w:tcW w:w="1636" w:type="dxa"/>
          </w:tcPr>
          <w:p w14:paraId="67630DF3"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0.57-5.45</w:t>
            </w:r>
          </w:p>
        </w:tc>
        <w:tc>
          <w:tcPr>
            <w:tcW w:w="1112" w:type="dxa"/>
          </w:tcPr>
          <w:p w14:paraId="5E1B07FB"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0.321</w:t>
            </w:r>
          </w:p>
        </w:tc>
        <w:tc>
          <w:tcPr>
            <w:tcW w:w="1103" w:type="dxa"/>
          </w:tcPr>
          <w:p w14:paraId="4E0E06D1"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5.47</w:t>
            </w:r>
          </w:p>
        </w:tc>
        <w:tc>
          <w:tcPr>
            <w:tcW w:w="1640" w:type="dxa"/>
          </w:tcPr>
          <w:p w14:paraId="0B286994"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1.76-17.07</w:t>
            </w:r>
          </w:p>
        </w:tc>
        <w:tc>
          <w:tcPr>
            <w:tcW w:w="1112" w:type="dxa"/>
          </w:tcPr>
          <w:p w14:paraId="28670A97"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0.003</w:t>
            </w:r>
          </w:p>
        </w:tc>
      </w:tr>
      <w:tr w:rsidR="001B7EAC" w:rsidRPr="008D59BB" w14:paraId="186D5EEF" w14:textId="77777777" w:rsidTr="00874334">
        <w:tc>
          <w:tcPr>
            <w:tcW w:w="5104" w:type="dxa"/>
          </w:tcPr>
          <w:p w14:paraId="788A3735" w14:textId="77777777" w:rsidR="001B7EAC" w:rsidRPr="008D59BB" w:rsidRDefault="001B7EAC" w:rsidP="00874334">
            <w:pPr>
              <w:spacing w:line="480" w:lineRule="auto"/>
              <w:ind w:left="175"/>
              <w:rPr>
                <w:rFonts w:ascii="Arial" w:hAnsi="Arial" w:cs="Arial"/>
                <w:i/>
                <w:sz w:val="24"/>
                <w:szCs w:val="24"/>
              </w:rPr>
            </w:pPr>
            <w:r w:rsidRPr="008D59BB">
              <w:rPr>
                <w:rFonts w:ascii="Arial" w:hAnsi="Arial" w:cs="Arial"/>
                <w:sz w:val="24"/>
                <w:szCs w:val="24"/>
              </w:rPr>
              <w:t>Death in hospital</w:t>
            </w:r>
          </w:p>
        </w:tc>
        <w:tc>
          <w:tcPr>
            <w:tcW w:w="1984" w:type="dxa"/>
          </w:tcPr>
          <w:p w14:paraId="6974F692"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w:t>
            </w:r>
          </w:p>
        </w:tc>
        <w:tc>
          <w:tcPr>
            <w:tcW w:w="1103" w:type="dxa"/>
          </w:tcPr>
          <w:p w14:paraId="472424DE"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1.40</w:t>
            </w:r>
          </w:p>
        </w:tc>
        <w:tc>
          <w:tcPr>
            <w:tcW w:w="1636" w:type="dxa"/>
          </w:tcPr>
          <w:p w14:paraId="50A72CB8"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0.79-2.51</w:t>
            </w:r>
          </w:p>
        </w:tc>
        <w:tc>
          <w:tcPr>
            <w:tcW w:w="1112" w:type="dxa"/>
          </w:tcPr>
          <w:p w14:paraId="386B610A"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0.251</w:t>
            </w:r>
          </w:p>
        </w:tc>
        <w:tc>
          <w:tcPr>
            <w:tcW w:w="1103" w:type="dxa"/>
          </w:tcPr>
          <w:p w14:paraId="0A76A071"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2.39</w:t>
            </w:r>
          </w:p>
        </w:tc>
        <w:tc>
          <w:tcPr>
            <w:tcW w:w="1640" w:type="dxa"/>
          </w:tcPr>
          <w:p w14:paraId="03F5C06F"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1.15-4.98</w:t>
            </w:r>
          </w:p>
        </w:tc>
        <w:tc>
          <w:tcPr>
            <w:tcW w:w="1112" w:type="dxa"/>
          </w:tcPr>
          <w:p w14:paraId="05E40A57"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0.019</w:t>
            </w:r>
          </w:p>
        </w:tc>
      </w:tr>
      <w:tr w:rsidR="001B7EAC" w:rsidRPr="008D59BB" w14:paraId="56E9A10E" w14:textId="77777777" w:rsidTr="00874334">
        <w:tc>
          <w:tcPr>
            <w:tcW w:w="5104" w:type="dxa"/>
          </w:tcPr>
          <w:p w14:paraId="36DFBA8F" w14:textId="77777777" w:rsidR="001B7EAC" w:rsidRPr="008D59BB" w:rsidRDefault="001B7EAC" w:rsidP="00874334">
            <w:pPr>
              <w:spacing w:line="480" w:lineRule="auto"/>
              <w:ind w:left="175"/>
              <w:rPr>
                <w:rFonts w:ascii="Arial" w:hAnsi="Arial" w:cs="Arial"/>
                <w:sz w:val="24"/>
                <w:szCs w:val="24"/>
              </w:rPr>
            </w:pPr>
            <w:r w:rsidRPr="008D59BB">
              <w:rPr>
                <w:rFonts w:ascii="Arial" w:hAnsi="Arial" w:cs="Arial"/>
                <w:sz w:val="24"/>
                <w:szCs w:val="24"/>
              </w:rPr>
              <w:t>Discharge to residential/nursing care</w:t>
            </w:r>
          </w:p>
        </w:tc>
        <w:tc>
          <w:tcPr>
            <w:tcW w:w="1984" w:type="dxa"/>
          </w:tcPr>
          <w:p w14:paraId="4004E195"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w:t>
            </w:r>
          </w:p>
        </w:tc>
        <w:tc>
          <w:tcPr>
            <w:tcW w:w="1103" w:type="dxa"/>
          </w:tcPr>
          <w:p w14:paraId="164EDE9C"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1.93</w:t>
            </w:r>
          </w:p>
        </w:tc>
        <w:tc>
          <w:tcPr>
            <w:tcW w:w="1636" w:type="dxa"/>
          </w:tcPr>
          <w:p w14:paraId="6ABEB31A"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1.01-3.65</w:t>
            </w:r>
          </w:p>
        </w:tc>
        <w:tc>
          <w:tcPr>
            <w:tcW w:w="1112" w:type="dxa"/>
          </w:tcPr>
          <w:p w14:paraId="30E9E1A2"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0.045</w:t>
            </w:r>
          </w:p>
        </w:tc>
        <w:tc>
          <w:tcPr>
            <w:tcW w:w="1103" w:type="dxa"/>
          </w:tcPr>
          <w:p w14:paraId="1781E0FD"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2.76</w:t>
            </w:r>
          </w:p>
        </w:tc>
        <w:tc>
          <w:tcPr>
            <w:tcW w:w="1640" w:type="dxa"/>
          </w:tcPr>
          <w:p w14:paraId="6CA11B48"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1.16-6.57</w:t>
            </w:r>
          </w:p>
        </w:tc>
        <w:tc>
          <w:tcPr>
            <w:tcW w:w="1112" w:type="dxa"/>
          </w:tcPr>
          <w:p w14:paraId="7BA07D08"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0.022</w:t>
            </w:r>
          </w:p>
        </w:tc>
      </w:tr>
      <w:tr w:rsidR="001B7EAC" w:rsidRPr="008D59BB" w14:paraId="7F1AAEE8" w14:textId="77777777" w:rsidTr="00874334">
        <w:tc>
          <w:tcPr>
            <w:tcW w:w="5104" w:type="dxa"/>
          </w:tcPr>
          <w:p w14:paraId="5BD46762" w14:textId="77777777" w:rsidR="001B7EAC" w:rsidRPr="008D59BB" w:rsidRDefault="001B7EAC" w:rsidP="00874334">
            <w:pPr>
              <w:spacing w:line="480" w:lineRule="auto"/>
              <w:rPr>
                <w:rFonts w:ascii="Arial" w:hAnsi="Arial" w:cs="Arial"/>
                <w:b/>
                <w:sz w:val="24"/>
                <w:szCs w:val="24"/>
              </w:rPr>
            </w:pPr>
            <w:r w:rsidRPr="008D59BB">
              <w:rPr>
                <w:rFonts w:ascii="Arial" w:hAnsi="Arial" w:cs="Arial"/>
                <w:b/>
                <w:sz w:val="24"/>
                <w:szCs w:val="24"/>
              </w:rPr>
              <w:t>Model 2: Age and sex adjusted</w:t>
            </w:r>
          </w:p>
        </w:tc>
        <w:tc>
          <w:tcPr>
            <w:tcW w:w="1984" w:type="dxa"/>
          </w:tcPr>
          <w:p w14:paraId="7E8EF782" w14:textId="77777777" w:rsidR="001B7EAC" w:rsidRPr="008D59BB" w:rsidRDefault="001B7EAC" w:rsidP="00874334">
            <w:pPr>
              <w:spacing w:line="480" w:lineRule="auto"/>
              <w:jc w:val="center"/>
              <w:rPr>
                <w:rFonts w:ascii="Arial" w:hAnsi="Arial" w:cs="Arial"/>
                <w:sz w:val="24"/>
                <w:szCs w:val="24"/>
              </w:rPr>
            </w:pPr>
          </w:p>
        </w:tc>
        <w:tc>
          <w:tcPr>
            <w:tcW w:w="1103" w:type="dxa"/>
          </w:tcPr>
          <w:p w14:paraId="4DBA3F6B" w14:textId="77777777" w:rsidR="001B7EAC" w:rsidRPr="008D59BB" w:rsidRDefault="001B7EAC" w:rsidP="00874334">
            <w:pPr>
              <w:spacing w:line="480" w:lineRule="auto"/>
              <w:jc w:val="center"/>
              <w:rPr>
                <w:rFonts w:ascii="Arial" w:hAnsi="Arial" w:cs="Arial"/>
                <w:sz w:val="24"/>
                <w:szCs w:val="24"/>
              </w:rPr>
            </w:pPr>
          </w:p>
        </w:tc>
        <w:tc>
          <w:tcPr>
            <w:tcW w:w="1636" w:type="dxa"/>
          </w:tcPr>
          <w:p w14:paraId="7D1FDC2F" w14:textId="77777777" w:rsidR="001B7EAC" w:rsidRPr="008D59BB" w:rsidRDefault="001B7EAC" w:rsidP="00874334">
            <w:pPr>
              <w:spacing w:line="480" w:lineRule="auto"/>
              <w:jc w:val="center"/>
              <w:rPr>
                <w:rFonts w:ascii="Arial" w:hAnsi="Arial" w:cs="Arial"/>
                <w:sz w:val="24"/>
                <w:szCs w:val="24"/>
              </w:rPr>
            </w:pPr>
          </w:p>
        </w:tc>
        <w:tc>
          <w:tcPr>
            <w:tcW w:w="1112" w:type="dxa"/>
          </w:tcPr>
          <w:p w14:paraId="4A4F01FE" w14:textId="77777777" w:rsidR="001B7EAC" w:rsidRPr="008D59BB" w:rsidRDefault="001B7EAC" w:rsidP="00874334">
            <w:pPr>
              <w:spacing w:line="480" w:lineRule="auto"/>
              <w:jc w:val="center"/>
              <w:rPr>
                <w:rFonts w:ascii="Arial" w:hAnsi="Arial" w:cs="Arial"/>
                <w:sz w:val="24"/>
                <w:szCs w:val="24"/>
              </w:rPr>
            </w:pPr>
          </w:p>
        </w:tc>
        <w:tc>
          <w:tcPr>
            <w:tcW w:w="1103" w:type="dxa"/>
          </w:tcPr>
          <w:p w14:paraId="540C3E1F" w14:textId="77777777" w:rsidR="001B7EAC" w:rsidRPr="008D59BB" w:rsidRDefault="001B7EAC" w:rsidP="00874334">
            <w:pPr>
              <w:spacing w:line="480" w:lineRule="auto"/>
              <w:jc w:val="center"/>
              <w:rPr>
                <w:rFonts w:ascii="Arial" w:hAnsi="Arial" w:cs="Arial"/>
                <w:sz w:val="24"/>
                <w:szCs w:val="24"/>
              </w:rPr>
            </w:pPr>
          </w:p>
        </w:tc>
        <w:tc>
          <w:tcPr>
            <w:tcW w:w="1640" w:type="dxa"/>
          </w:tcPr>
          <w:p w14:paraId="74B804B9" w14:textId="77777777" w:rsidR="001B7EAC" w:rsidRPr="008D59BB" w:rsidRDefault="001B7EAC" w:rsidP="00874334">
            <w:pPr>
              <w:spacing w:line="480" w:lineRule="auto"/>
              <w:jc w:val="center"/>
              <w:rPr>
                <w:rFonts w:ascii="Arial" w:hAnsi="Arial" w:cs="Arial"/>
                <w:sz w:val="24"/>
                <w:szCs w:val="24"/>
              </w:rPr>
            </w:pPr>
          </w:p>
        </w:tc>
        <w:tc>
          <w:tcPr>
            <w:tcW w:w="1112" w:type="dxa"/>
          </w:tcPr>
          <w:p w14:paraId="529A28C3" w14:textId="77777777" w:rsidR="001B7EAC" w:rsidRPr="008D59BB" w:rsidRDefault="001B7EAC" w:rsidP="00874334">
            <w:pPr>
              <w:spacing w:line="480" w:lineRule="auto"/>
              <w:jc w:val="center"/>
              <w:rPr>
                <w:rFonts w:ascii="Arial" w:hAnsi="Arial" w:cs="Arial"/>
                <w:sz w:val="24"/>
                <w:szCs w:val="24"/>
              </w:rPr>
            </w:pPr>
          </w:p>
        </w:tc>
      </w:tr>
      <w:tr w:rsidR="001B7EAC" w:rsidRPr="008D59BB" w14:paraId="41BED3FF" w14:textId="77777777" w:rsidTr="00874334">
        <w:tc>
          <w:tcPr>
            <w:tcW w:w="5104" w:type="dxa"/>
          </w:tcPr>
          <w:p w14:paraId="3DB4F3F7" w14:textId="77777777" w:rsidR="001B7EAC" w:rsidRPr="008D59BB" w:rsidRDefault="001B7EAC" w:rsidP="00874334">
            <w:pPr>
              <w:spacing w:line="480" w:lineRule="auto"/>
              <w:ind w:left="175"/>
              <w:rPr>
                <w:rFonts w:ascii="Arial" w:hAnsi="Arial" w:cs="Arial"/>
                <w:sz w:val="24"/>
                <w:szCs w:val="24"/>
              </w:rPr>
            </w:pPr>
            <w:r w:rsidRPr="008D59BB">
              <w:rPr>
                <w:rFonts w:ascii="Arial" w:hAnsi="Arial" w:cs="Arial"/>
                <w:sz w:val="24"/>
                <w:szCs w:val="24"/>
              </w:rPr>
              <w:t>Failure to mobilise within 1-day of surgery</w:t>
            </w:r>
          </w:p>
        </w:tc>
        <w:tc>
          <w:tcPr>
            <w:tcW w:w="1984" w:type="dxa"/>
          </w:tcPr>
          <w:p w14:paraId="620023F8"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w:t>
            </w:r>
          </w:p>
        </w:tc>
        <w:tc>
          <w:tcPr>
            <w:tcW w:w="1103" w:type="dxa"/>
          </w:tcPr>
          <w:p w14:paraId="3A70C7BF"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1.42</w:t>
            </w:r>
          </w:p>
        </w:tc>
        <w:tc>
          <w:tcPr>
            <w:tcW w:w="1636" w:type="dxa"/>
          </w:tcPr>
          <w:p w14:paraId="13ABBE62"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1.03-1.96</w:t>
            </w:r>
          </w:p>
        </w:tc>
        <w:tc>
          <w:tcPr>
            <w:tcW w:w="1112" w:type="dxa"/>
          </w:tcPr>
          <w:p w14:paraId="3EB380D4"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0.033</w:t>
            </w:r>
          </w:p>
        </w:tc>
        <w:tc>
          <w:tcPr>
            <w:tcW w:w="1103" w:type="dxa"/>
          </w:tcPr>
          <w:p w14:paraId="07622CF2"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1.64</w:t>
            </w:r>
          </w:p>
        </w:tc>
        <w:tc>
          <w:tcPr>
            <w:tcW w:w="1640" w:type="dxa"/>
          </w:tcPr>
          <w:p w14:paraId="5C62F0EA"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1.01-2.65</w:t>
            </w:r>
          </w:p>
        </w:tc>
        <w:tc>
          <w:tcPr>
            <w:tcW w:w="1112" w:type="dxa"/>
          </w:tcPr>
          <w:p w14:paraId="5AC13944"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0.045</w:t>
            </w:r>
          </w:p>
        </w:tc>
      </w:tr>
      <w:tr w:rsidR="001B7EAC" w:rsidRPr="008D59BB" w14:paraId="5AD9A3BF" w14:textId="77777777" w:rsidTr="00874334">
        <w:tc>
          <w:tcPr>
            <w:tcW w:w="5104" w:type="dxa"/>
          </w:tcPr>
          <w:p w14:paraId="50D7C5DC" w14:textId="77777777" w:rsidR="001B7EAC" w:rsidRPr="008D59BB" w:rsidRDefault="001B7EAC" w:rsidP="00874334">
            <w:pPr>
              <w:spacing w:line="480" w:lineRule="auto"/>
              <w:ind w:left="175"/>
              <w:rPr>
                <w:rFonts w:ascii="Arial" w:hAnsi="Arial" w:cs="Arial"/>
                <w:sz w:val="24"/>
                <w:szCs w:val="24"/>
              </w:rPr>
            </w:pPr>
            <w:r w:rsidRPr="008D59BB">
              <w:rPr>
                <w:rFonts w:ascii="Arial" w:hAnsi="Arial" w:cs="Arial"/>
                <w:sz w:val="24"/>
                <w:szCs w:val="24"/>
              </w:rPr>
              <w:t>Pressure ulcers in hospital</w:t>
            </w:r>
          </w:p>
        </w:tc>
        <w:tc>
          <w:tcPr>
            <w:tcW w:w="1984" w:type="dxa"/>
          </w:tcPr>
          <w:p w14:paraId="00CE7C2A"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w:t>
            </w:r>
          </w:p>
        </w:tc>
        <w:tc>
          <w:tcPr>
            <w:tcW w:w="1103" w:type="dxa"/>
          </w:tcPr>
          <w:p w14:paraId="0C7E18AC"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1.70</w:t>
            </w:r>
          </w:p>
        </w:tc>
        <w:tc>
          <w:tcPr>
            <w:tcW w:w="1636" w:type="dxa"/>
          </w:tcPr>
          <w:p w14:paraId="5C8547EA"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0.55-5.26</w:t>
            </w:r>
          </w:p>
        </w:tc>
        <w:tc>
          <w:tcPr>
            <w:tcW w:w="1112" w:type="dxa"/>
          </w:tcPr>
          <w:p w14:paraId="0024C1A7"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0.360</w:t>
            </w:r>
          </w:p>
        </w:tc>
        <w:tc>
          <w:tcPr>
            <w:tcW w:w="1103" w:type="dxa"/>
          </w:tcPr>
          <w:p w14:paraId="1D25D32D"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4.88</w:t>
            </w:r>
          </w:p>
        </w:tc>
        <w:tc>
          <w:tcPr>
            <w:tcW w:w="1640" w:type="dxa"/>
          </w:tcPr>
          <w:p w14:paraId="4F231EF8"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1.53-15.60</w:t>
            </w:r>
          </w:p>
        </w:tc>
        <w:tc>
          <w:tcPr>
            <w:tcW w:w="1112" w:type="dxa"/>
          </w:tcPr>
          <w:p w14:paraId="1167EC1C"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0.007</w:t>
            </w:r>
          </w:p>
        </w:tc>
      </w:tr>
      <w:tr w:rsidR="001B7EAC" w:rsidRPr="008D59BB" w14:paraId="478D5E4B" w14:textId="77777777" w:rsidTr="00874334">
        <w:tc>
          <w:tcPr>
            <w:tcW w:w="5104" w:type="dxa"/>
          </w:tcPr>
          <w:p w14:paraId="6A6BAB5A" w14:textId="77777777" w:rsidR="001B7EAC" w:rsidRPr="008D59BB" w:rsidRDefault="001B7EAC" w:rsidP="00874334">
            <w:pPr>
              <w:spacing w:line="480" w:lineRule="auto"/>
              <w:ind w:left="175"/>
              <w:rPr>
                <w:rFonts w:ascii="Arial" w:hAnsi="Arial" w:cs="Arial"/>
                <w:i/>
                <w:sz w:val="24"/>
                <w:szCs w:val="24"/>
              </w:rPr>
            </w:pPr>
            <w:r w:rsidRPr="008D59BB">
              <w:rPr>
                <w:rFonts w:ascii="Arial" w:hAnsi="Arial" w:cs="Arial"/>
                <w:sz w:val="24"/>
                <w:szCs w:val="24"/>
              </w:rPr>
              <w:t>Death in hospital</w:t>
            </w:r>
          </w:p>
        </w:tc>
        <w:tc>
          <w:tcPr>
            <w:tcW w:w="1984" w:type="dxa"/>
          </w:tcPr>
          <w:p w14:paraId="3F999B26"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w:t>
            </w:r>
          </w:p>
        </w:tc>
        <w:tc>
          <w:tcPr>
            <w:tcW w:w="1103" w:type="dxa"/>
          </w:tcPr>
          <w:p w14:paraId="02E1D986"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1.43</w:t>
            </w:r>
          </w:p>
        </w:tc>
        <w:tc>
          <w:tcPr>
            <w:tcW w:w="1636" w:type="dxa"/>
          </w:tcPr>
          <w:p w14:paraId="2D629F8E"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0.80-2.58</w:t>
            </w:r>
          </w:p>
        </w:tc>
        <w:tc>
          <w:tcPr>
            <w:tcW w:w="1112" w:type="dxa"/>
          </w:tcPr>
          <w:p w14:paraId="3B8FD511"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0.230</w:t>
            </w:r>
          </w:p>
        </w:tc>
        <w:tc>
          <w:tcPr>
            <w:tcW w:w="1103" w:type="dxa"/>
          </w:tcPr>
          <w:p w14:paraId="17EDCCC9"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 xml:space="preserve">2.26 </w:t>
            </w:r>
          </w:p>
        </w:tc>
        <w:tc>
          <w:tcPr>
            <w:tcW w:w="1640" w:type="dxa"/>
          </w:tcPr>
          <w:p w14:paraId="18D60C2B"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1.07-4.80</w:t>
            </w:r>
          </w:p>
        </w:tc>
        <w:tc>
          <w:tcPr>
            <w:tcW w:w="1112" w:type="dxa"/>
          </w:tcPr>
          <w:p w14:paraId="669D9C98"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0.033</w:t>
            </w:r>
          </w:p>
        </w:tc>
      </w:tr>
      <w:tr w:rsidR="001B7EAC" w:rsidRPr="008D59BB" w14:paraId="2D3C9259" w14:textId="77777777" w:rsidTr="00874334">
        <w:tc>
          <w:tcPr>
            <w:tcW w:w="5104" w:type="dxa"/>
          </w:tcPr>
          <w:p w14:paraId="15672C61" w14:textId="77777777" w:rsidR="001B7EAC" w:rsidRPr="008D59BB" w:rsidRDefault="001B7EAC" w:rsidP="00874334">
            <w:pPr>
              <w:spacing w:line="480" w:lineRule="auto"/>
              <w:ind w:left="175"/>
              <w:rPr>
                <w:rFonts w:ascii="Arial" w:hAnsi="Arial" w:cs="Arial"/>
                <w:sz w:val="24"/>
                <w:szCs w:val="24"/>
              </w:rPr>
            </w:pPr>
            <w:r w:rsidRPr="008D59BB">
              <w:rPr>
                <w:rFonts w:ascii="Arial" w:hAnsi="Arial" w:cs="Arial"/>
                <w:sz w:val="24"/>
                <w:szCs w:val="24"/>
              </w:rPr>
              <w:t>Discharge to residential/nursing care</w:t>
            </w:r>
          </w:p>
        </w:tc>
        <w:tc>
          <w:tcPr>
            <w:tcW w:w="1984" w:type="dxa"/>
          </w:tcPr>
          <w:p w14:paraId="321E4381"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w:t>
            </w:r>
          </w:p>
        </w:tc>
        <w:tc>
          <w:tcPr>
            <w:tcW w:w="1103" w:type="dxa"/>
          </w:tcPr>
          <w:p w14:paraId="4E108387"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1.66</w:t>
            </w:r>
          </w:p>
        </w:tc>
        <w:tc>
          <w:tcPr>
            <w:tcW w:w="1636" w:type="dxa"/>
          </w:tcPr>
          <w:p w14:paraId="6A92BFD0"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0.87-3.20</w:t>
            </w:r>
          </w:p>
        </w:tc>
        <w:tc>
          <w:tcPr>
            <w:tcW w:w="1112" w:type="dxa"/>
          </w:tcPr>
          <w:p w14:paraId="1AD56C60"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0.128</w:t>
            </w:r>
          </w:p>
        </w:tc>
        <w:tc>
          <w:tcPr>
            <w:tcW w:w="1103" w:type="dxa"/>
          </w:tcPr>
          <w:p w14:paraId="08AB623D"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2.10</w:t>
            </w:r>
          </w:p>
        </w:tc>
        <w:tc>
          <w:tcPr>
            <w:tcW w:w="1640" w:type="dxa"/>
          </w:tcPr>
          <w:p w14:paraId="31E47CF4"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0.87-5.06</w:t>
            </w:r>
          </w:p>
        </w:tc>
        <w:tc>
          <w:tcPr>
            <w:tcW w:w="1112" w:type="dxa"/>
          </w:tcPr>
          <w:p w14:paraId="259A585C" w14:textId="77777777" w:rsidR="001B7EAC" w:rsidRPr="008D59BB" w:rsidRDefault="001B7EAC" w:rsidP="00874334">
            <w:pPr>
              <w:spacing w:line="480" w:lineRule="auto"/>
              <w:jc w:val="center"/>
              <w:rPr>
                <w:rFonts w:ascii="Arial" w:hAnsi="Arial" w:cs="Arial"/>
                <w:sz w:val="24"/>
                <w:szCs w:val="24"/>
              </w:rPr>
            </w:pPr>
            <w:r w:rsidRPr="008D59BB">
              <w:rPr>
                <w:rFonts w:ascii="Arial" w:hAnsi="Arial" w:cs="Arial"/>
                <w:sz w:val="24"/>
                <w:szCs w:val="24"/>
              </w:rPr>
              <w:t>0.099</w:t>
            </w:r>
          </w:p>
        </w:tc>
      </w:tr>
    </w:tbl>
    <w:p w14:paraId="07C71A68" w14:textId="77777777" w:rsidR="001B7EAC" w:rsidRPr="008D59BB" w:rsidRDefault="001B7EAC" w:rsidP="001B7EAC">
      <w:pPr>
        <w:spacing w:after="0" w:line="480" w:lineRule="auto"/>
        <w:jc w:val="both"/>
        <w:rPr>
          <w:rFonts w:ascii="Arial" w:hAnsi="Arial" w:cs="Arial"/>
          <w:sz w:val="24"/>
          <w:szCs w:val="24"/>
        </w:rPr>
      </w:pPr>
      <w:r w:rsidRPr="008D59BB">
        <w:rPr>
          <w:rFonts w:ascii="Arial" w:hAnsi="Arial" w:cs="Arial"/>
          <w:sz w:val="24"/>
          <w:szCs w:val="24"/>
        </w:rPr>
        <w:t xml:space="preserve">*Reference group; </w:t>
      </w:r>
      <w:r w:rsidRPr="008D59BB">
        <w:rPr>
          <w:rFonts w:ascii="Arial" w:hAnsi="Arial" w:cs="Arial"/>
          <w:vertAlign w:val="superscript"/>
        </w:rPr>
        <w:sym w:font="Wingdings 2" w:char="F085"/>
      </w:r>
      <w:r w:rsidRPr="008D59BB">
        <w:rPr>
          <w:rFonts w:ascii="Arial" w:hAnsi="Arial" w:cs="Arial"/>
          <w:sz w:val="24"/>
          <w:szCs w:val="24"/>
        </w:rPr>
        <w:t>For analysis of discharge to residential/nursing care, only those admitted from own home were selected (n = 943): Well-nourished = 693, risk of malnutrition = 187, malnourished = 63.</w:t>
      </w:r>
    </w:p>
    <w:p w14:paraId="578F6185" w14:textId="77777777" w:rsidR="001B7EAC" w:rsidRPr="008D59BB" w:rsidRDefault="001B7EAC" w:rsidP="001B7EAC">
      <w:pPr>
        <w:rPr>
          <w:rFonts w:ascii="Arial" w:hAnsi="Arial" w:cs="Arial"/>
          <w:b/>
          <w:sz w:val="24"/>
          <w:szCs w:val="24"/>
        </w:rPr>
        <w:sectPr w:rsidR="001B7EAC" w:rsidRPr="008D59BB" w:rsidSect="00DB1C9A">
          <w:headerReference w:type="default" r:id="rId13"/>
          <w:pgSz w:w="16838" w:h="11906" w:orient="landscape"/>
          <w:pgMar w:top="1440" w:right="1440" w:bottom="1440" w:left="1440" w:header="709" w:footer="709" w:gutter="0"/>
          <w:cols w:space="708"/>
          <w:docGrid w:linePitch="360"/>
        </w:sectPr>
      </w:pPr>
    </w:p>
    <w:p w14:paraId="14F60AC8" w14:textId="1795594B" w:rsidR="001B7EAC" w:rsidRPr="008D59BB" w:rsidRDefault="001B7EAC" w:rsidP="001B7EAC">
      <w:pPr>
        <w:rPr>
          <w:rFonts w:ascii="Arial" w:hAnsi="Arial" w:cs="Arial"/>
          <w:sz w:val="24"/>
          <w:szCs w:val="24"/>
        </w:rPr>
      </w:pPr>
      <w:r w:rsidRPr="008D59BB">
        <w:rPr>
          <w:rFonts w:ascii="Arial" w:hAnsi="Arial" w:cs="Arial"/>
          <w:b/>
          <w:sz w:val="24"/>
          <w:szCs w:val="24"/>
        </w:rPr>
        <w:lastRenderedPageBreak/>
        <w:t>Figure 1.</w:t>
      </w:r>
    </w:p>
    <w:p w14:paraId="3E086955" w14:textId="77777777" w:rsidR="001B7EAC" w:rsidRPr="008D59BB" w:rsidRDefault="001B7EAC" w:rsidP="001B7EAC">
      <w:pPr>
        <w:rPr>
          <w:rFonts w:ascii="Arial" w:hAnsi="Arial" w:cs="Arial"/>
          <w:sz w:val="24"/>
          <w:szCs w:val="24"/>
        </w:rPr>
      </w:pPr>
      <w:r w:rsidRPr="008D59BB">
        <w:rPr>
          <w:rFonts w:ascii="Arial" w:hAnsi="Arial" w:cs="Arial"/>
          <w:noProof/>
          <w:sz w:val="24"/>
          <w:szCs w:val="24"/>
          <w:lang w:eastAsia="en-GB"/>
        </w:rPr>
        <w:drawing>
          <wp:inline distT="0" distB="0" distL="0" distR="0" wp14:anchorId="7F3F25E0" wp14:editId="349D0BDF">
            <wp:extent cx="5760000" cy="357509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00" cy="3575095"/>
                    </a:xfrm>
                    <a:prstGeom prst="rect">
                      <a:avLst/>
                    </a:prstGeom>
                    <a:noFill/>
                  </pic:spPr>
                </pic:pic>
              </a:graphicData>
            </a:graphic>
          </wp:inline>
        </w:drawing>
      </w:r>
    </w:p>
    <w:p w14:paraId="63BDB114" w14:textId="77777777" w:rsidR="001B7EAC" w:rsidRPr="008D59BB" w:rsidRDefault="001B7EAC" w:rsidP="001B7EAC">
      <w:pPr>
        <w:rPr>
          <w:rFonts w:ascii="Arial" w:hAnsi="Arial" w:cs="Arial"/>
          <w:sz w:val="24"/>
          <w:szCs w:val="24"/>
        </w:rPr>
      </w:pPr>
    </w:p>
    <w:p w14:paraId="4D9F349E" w14:textId="07DD297B" w:rsidR="001B7EAC" w:rsidRPr="008D59BB" w:rsidRDefault="001B7EAC">
      <w:pPr>
        <w:rPr>
          <w:rFonts w:ascii="Arial" w:hAnsi="Arial" w:cs="Arial"/>
          <w:sz w:val="24"/>
          <w:szCs w:val="24"/>
        </w:rPr>
      </w:pPr>
      <w:r w:rsidRPr="008D59BB">
        <w:rPr>
          <w:rFonts w:ascii="Arial" w:hAnsi="Arial" w:cs="Arial"/>
          <w:sz w:val="24"/>
          <w:szCs w:val="24"/>
        </w:rPr>
        <w:br w:type="page"/>
      </w:r>
    </w:p>
    <w:p w14:paraId="329D0BE6" w14:textId="77777777" w:rsidR="001B7EAC" w:rsidRPr="008D59BB" w:rsidRDefault="001B7EAC" w:rsidP="001B7EAC">
      <w:pPr>
        <w:jc w:val="both"/>
        <w:rPr>
          <w:rFonts w:ascii="Arial" w:hAnsi="Arial" w:cs="Arial"/>
          <w:sz w:val="24"/>
          <w:szCs w:val="24"/>
        </w:rPr>
      </w:pPr>
      <w:r w:rsidRPr="008D59BB">
        <w:rPr>
          <w:rFonts w:ascii="Arial" w:hAnsi="Arial" w:cs="Arial"/>
          <w:b/>
          <w:sz w:val="24"/>
          <w:szCs w:val="24"/>
        </w:rPr>
        <w:lastRenderedPageBreak/>
        <w:t>Figure 2.</w:t>
      </w:r>
    </w:p>
    <w:p w14:paraId="4DDE5590" w14:textId="77777777" w:rsidR="001B7EAC" w:rsidRPr="008D59BB" w:rsidRDefault="001B7EAC" w:rsidP="001B7EAC">
      <w:pPr>
        <w:jc w:val="center"/>
        <w:rPr>
          <w:rFonts w:ascii="Arial" w:hAnsi="Arial" w:cs="Arial"/>
          <w:sz w:val="24"/>
          <w:szCs w:val="24"/>
        </w:rPr>
      </w:pPr>
      <w:r w:rsidRPr="008D59BB">
        <w:rPr>
          <w:rFonts w:ascii="Arial" w:hAnsi="Arial" w:cs="Arial"/>
          <w:sz w:val="24"/>
          <w:szCs w:val="24"/>
        </w:rPr>
        <w:t>(</w:t>
      </w:r>
      <w:r w:rsidRPr="008D59BB">
        <w:rPr>
          <w:rFonts w:ascii="Arial" w:hAnsi="Arial" w:cs="Arial"/>
          <w:b/>
          <w:sz w:val="24"/>
          <w:szCs w:val="24"/>
        </w:rPr>
        <w:t>A</w:t>
      </w:r>
      <w:r w:rsidRPr="008D59BB">
        <w:rPr>
          <w:rFonts w:ascii="Arial" w:hAnsi="Arial" w:cs="Arial"/>
          <w:sz w:val="24"/>
          <w:szCs w:val="24"/>
        </w:rPr>
        <w:t>)</w:t>
      </w:r>
    </w:p>
    <w:p w14:paraId="65855B70" w14:textId="77777777" w:rsidR="001B7EAC" w:rsidRPr="008D59BB" w:rsidRDefault="001B7EAC" w:rsidP="001B7EAC">
      <w:pPr>
        <w:jc w:val="center"/>
        <w:rPr>
          <w:rFonts w:ascii="Arial" w:hAnsi="Arial" w:cs="Arial"/>
          <w:b/>
          <w:sz w:val="24"/>
          <w:szCs w:val="24"/>
        </w:rPr>
      </w:pPr>
      <w:r w:rsidRPr="008D59BB">
        <w:rPr>
          <w:rFonts w:ascii="Arial" w:hAnsi="Arial" w:cs="Arial"/>
          <w:b/>
          <w:noProof/>
          <w:sz w:val="24"/>
          <w:szCs w:val="24"/>
          <w:lang w:eastAsia="en-GB"/>
        </w:rPr>
        <w:drawing>
          <wp:inline distT="0" distB="0" distL="0" distR="0" wp14:anchorId="046C970F" wp14:editId="54EBBCC4">
            <wp:extent cx="4320000" cy="3461362"/>
            <wp:effectExtent l="0" t="0" r="4445"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5"/>
                    <a:stretch>
                      <a:fillRect/>
                    </a:stretch>
                  </pic:blipFill>
                  <pic:spPr>
                    <a:xfrm>
                      <a:off x="0" y="0"/>
                      <a:ext cx="4320000" cy="3461362"/>
                    </a:xfrm>
                    <a:prstGeom prst="rect">
                      <a:avLst/>
                    </a:prstGeom>
                  </pic:spPr>
                </pic:pic>
              </a:graphicData>
            </a:graphic>
          </wp:inline>
        </w:drawing>
      </w:r>
    </w:p>
    <w:p w14:paraId="4811C7A1" w14:textId="77777777" w:rsidR="001B7EAC" w:rsidRPr="008D59BB" w:rsidRDefault="001B7EAC" w:rsidP="001B7EAC">
      <w:pPr>
        <w:jc w:val="center"/>
        <w:rPr>
          <w:rFonts w:ascii="Arial" w:hAnsi="Arial" w:cs="Arial"/>
          <w:b/>
          <w:sz w:val="24"/>
          <w:szCs w:val="24"/>
        </w:rPr>
      </w:pPr>
      <w:r w:rsidRPr="008D59BB">
        <w:rPr>
          <w:rFonts w:ascii="Arial" w:hAnsi="Arial" w:cs="Arial"/>
          <w:sz w:val="24"/>
          <w:szCs w:val="24"/>
        </w:rPr>
        <w:t>(</w:t>
      </w:r>
      <w:r w:rsidRPr="008D59BB">
        <w:rPr>
          <w:rFonts w:ascii="Arial" w:hAnsi="Arial" w:cs="Arial"/>
          <w:b/>
          <w:sz w:val="24"/>
          <w:szCs w:val="24"/>
        </w:rPr>
        <w:t>B</w:t>
      </w:r>
      <w:r w:rsidRPr="008D59BB">
        <w:rPr>
          <w:rFonts w:ascii="Arial" w:hAnsi="Arial" w:cs="Arial"/>
          <w:sz w:val="24"/>
          <w:szCs w:val="24"/>
        </w:rPr>
        <w:t>)</w:t>
      </w:r>
    </w:p>
    <w:p w14:paraId="6D245390" w14:textId="77777777" w:rsidR="001B7EAC" w:rsidRPr="008D59BB" w:rsidRDefault="001B7EAC" w:rsidP="001B7EAC">
      <w:pPr>
        <w:jc w:val="center"/>
        <w:rPr>
          <w:rFonts w:ascii="Arial" w:hAnsi="Arial" w:cs="Arial"/>
          <w:sz w:val="24"/>
          <w:szCs w:val="24"/>
        </w:rPr>
      </w:pPr>
      <w:r w:rsidRPr="008D59BB">
        <w:rPr>
          <w:rFonts w:ascii="Arial" w:hAnsi="Arial" w:cs="Arial"/>
          <w:noProof/>
          <w:sz w:val="24"/>
          <w:szCs w:val="24"/>
          <w:lang w:eastAsia="en-GB"/>
        </w:rPr>
        <w:drawing>
          <wp:inline distT="0" distB="0" distL="0" distR="0" wp14:anchorId="72B58C62" wp14:editId="39D77BFF">
            <wp:extent cx="4320000" cy="3461495"/>
            <wp:effectExtent l="0" t="0" r="444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0000" cy="3461495"/>
                    </a:xfrm>
                    <a:prstGeom prst="rect">
                      <a:avLst/>
                    </a:prstGeom>
                    <a:noFill/>
                  </pic:spPr>
                </pic:pic>
              </a:graphicData>
            </a:graphic>
          </wp:inline>
        </w:drawing>
      </w:r>
    </w:p>
    <w:p w14:paraId="25A6A09E" w14:textId="77777777" w:rsidR="001B7EAC" w:rsidRPr="008D59BB" w:rsidRDefault="001B7EAC" w:rsidP="001B7EAC"/>
    <w:p w14:paraId="4A8D0164" w14:textId="1ABCAACC" w:rsidR="001B7EAC" w:rsidRPr="008D59BB" w:rsidRDefault="001B7EAC">
      <w:pPr>
        <w:rPr>
          <w:rFonts w:ascii="Arial" w:hAnsi="Arial" w:cs="Arial"/>
          <w:sz w:val="24"/>
          <w:szCs w:val="24"/>
        </w:rPr>
      </w:pPr>
      <w:r w:rsidRPr="008D59BB">
        <w:rPr>
          <w:rFonts w:ascii="Arial" w:hAnsi="Arial" w:cs="Arial"/>
          <w:sz w:val="24"/>
          <w:szCs w:val="24"/>
        </w:rPr>
        <w:br w:type="page"/>
      </w:r>
    </w:p>
    <w:p w14:paraId="52BDED24" w14:textId="77777777" w:rsidR="001B7EAC" w:rsidRPr="008D59BB" w:rsidRDefault="001B7EAC" w:rsidP="001B7EAC">
      <w:pPr>
        <w:jc w:val="both"/>
        <w:rPr>
          <w:rFonts w:ascii="Arial" w:hAnsi="Arial" w:cs="Arial"/>
          <w:sz w:val="24"/>
          <w:szCs w:val="24"/>
        </w:rPr>
      </w:pPr>
      <w:r w:rsidRPr="008D59BB">
        <w:rPr>
          <w:rFonts w:ascii="Arial" w:hAnsi="Arial" w:cs="Arial"/>
          <w:b/>
          <w:sz w:val="24"/>
          <w:szCs w:val="24"/>
        </w:rPr>
        <w:lastRenderedPageBreak/>
        <w:t>Figure 3.</w:t>
      </w:r>
    </w:p>
    <w:p w14:paraId="5B3F6627" w14:textId="77777777" w:rsidR="001B7EAC" w:rsidRPr="008D59BB" w:rsidRDefault="001B7EAC" w:rsidP="001B7EAC">
      <w:pPr>
        <w:jc w:val="center"/>
        <w:rPr>
          <w:rFonts w:ascii="Arial" w:hAnsi="Arial" w:cs="Arial"/>
          <w:b/>
          <w:sz w:val="24"/>
          <w:szCs w:val="24"/>
        </w:rPr>
      </w:pPr>
      <w:r w:rsidRPr="008D59BB">
        <w:rPr>
          <w:rFonts w:ascii="Arial" w:hAnsi="Arial" w:cs="Arial"/>
          <w:b/>
          <w:noProof/>
          <w:sz w:val="24"/>
          <w:szCs w:val="24"/>
          <w:lang w:eastAsia="en-GB"/>
        </w:rPr>
        <w:drawing>
          <wp:inline distT="0" distB="0" distL="0" distR="0" wp14:anchorId="2A3ECB79" wp14:editId="4610AA9D">
            <wp:extent cx="5760000" cy="46153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00" cy="4615326"/>
                    </a:xfrm>
                    <a:prstGeom prst="rect">
                      <a:avLst/>
                    </a:prstGeom>
                    <a:noFill/>
                  </pic:spPr>
                </pic:pic>
              </a:graphicData>
            </a:graphic>
          </wp:inline>
        </w:drawing>
      </w:r>
    </w:p>
    <w:p w14:paraId="52F120AF" w14:textId="086E11B8" w:rsidR="001B7EAC" w:rsidRPr="008D59BB" w:rsidRDefault="001B7EAC">
      <w:pPr>
        <w:rPr>
          <w:rFonts w:ascii="Arial" w:hAnsi="Arial" w:cs="Arial"/>
          <w:sz w:val="24"/>
          <w:szCs w:val="24"/>
        </w:rPr>
      </w:pPr>
      <w:r w:rsidRPr="008D59BB">
        <w:rPr>
          <w:rFonts w:ascii="Arial" w:hAnsi="Arial" w:cs="Arial"/>
          <w:sz w:val="24"/>
          <w:szCs w:val="24"/>
        </w:rPr>
        <w:br w:type="page"/>
      </w:r>
    </w:p>
    <w:p w14:paraId="570246F8" w14:textId="77777777" w:rsidR="001B7EAC" w:rsidRPr="008D59BB" w:rsidRDefault="001B7EAC" w:rsidP="001B7EAC">
      <w:pPr>
        <w:autoSpaceDE w:val="0"/>
        <w:autoSpaceDN w:val="0"/>
        <w:adjustRightInd w:val="0"/>
        <w:spacing w:after="0" w:line="400" w:lineRule="atLeast"/>
        <w:jc w:val="both"/>
        <w:rPr>
          <w:rFonts w:ascii="Arial" w:hAnsi="Arial" w:cs="Arial"/>
          <w:sz w:val="24"/>
          <w:szCs w:val="24"/>
        </w:rPr>
      </w:pPr>
      <w:r w:rsidRPr="008D59BB">
        <w:rPr>
          <w:rFonts w:ascii="Arial" w:hAnsi="Arial" w:cs="Arial"/>
          <w:b/>
          <w:sz w:val="24"/>
          <w:szCs w:val="24"/>
        </w:rPr>
        <w:lastRenderedPageBreak/>
        <w:t>Figure 4.</w:t>
      </w:r>
    </w:p>
    <w:p w14:paraId="0D697D53" w14:textId="77777777" w:rsidR="001B7EAC" w:rsidRPr="008D59BB" w:rsidRDefault="001B7EAC" w:rsidP="001B7EAC">
      <w:pPr>
        <w:autoSpaceDE w:val="0"/>
        <w:autoSpaceDN w:val="0"/>
        <w:adjustRightInd w:val="0"/>
        <w:spacing w:after="0" w:line="400" w:lineRule="atLeast"/>
        <w:jc w:val="both"/>
        <w:rPr>
          <w:rFonts w:ascii="Arial" w:hAnsi="Arial" w:cs="Arial"/>
          <w:sz w:val="24"/>
          <w:szCs w:val="24"/>
        </w:rPr>
      </w:pPr>
    </w:p>
    <w:p w14:paraId="22F99BD7" w14:textId="77777777" w:rsidR="001B7EAC" w:rsidRPr="008D78D1" w:rsidRDefault="001B7EAC" w:rsidP="001B7EAC">
      <w:pPr>
        <w:autoSpaceDE w:val="0"/>
        <w:autoSpaceDN w:val="0"/>
        <w:adjustRightInd w:val="0"/>
        <w:spacing w:after="0" w:line="400" w:lineRule="atLeast"/>
        <w:jc w:val="center"/>
        <w:rPr>
          <w:rFonts w:ascii="Arial" w:hAnsi="Arial" w:cs="Arial"/>
          <w:sz w:val="24"/>
          <w:szCs w:val="24"/>
        </w:rPr>
      </w:pPr>
      <w:r w:rsidRPr="008D59BB">
        <w:rPr>
          <w:rFonts w:ascii="Arial" w:hAnsi="Arial" w:cs="Arial"/>
          <w:noProof/>
          <w:sz w:val="24"/>
          <w:szCs w:val="24"/>
          <w:lang w:eastAsia="en-GB"/>
        </w:rPr>
        <w:drawing>
          <wp:inline distT="0" distB="0" distL="0" distR="0" wp14:anchorId="0B8BCC18" wp14:editId="0D215BE9">
            <wp:extent cx="5760000" cy="46153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00" cy="4615326"/>
                    </a:xfrm>
                    <a:prstGeom prst="rect">
                      <a:avLst/>
                    </a:prstGeom>
                    <a:noFill/>
                  </pic:spPr>
                </pic:pic>
              </a:graphicData>
            </a:graphic>
          </wp:inline>
        </w:drawing>
      </w:r>
    </w:p>
    <w:p w14:paraId="5CDC53E8" w14:textId="77777777" w:rsidR="001B7EAC" w:rsidRPr="00D92743" w:rsidRDefault="001B7EAC" w:rsidP="001B7EAC"/>
    <w:p w14:paraId="01AA7AAB" w14:textId="77777777" w:rsidR="009541A5" w:rsidRPr="00C326B6" w:rsidRDefault="009541A5" w:rsidP="00B47515">
      <w:pPr>
        <w:autoSpaceDE w:val="0"/>
        <w:autoSpaceDN w:val="0"/>
        <w:adjustRightInd w:val="0"/>
        <w:spacing w:after="0" w:line="480" w:lineRule="auto"/>
        <w:jc w:val="both"/>
        <w:rPr>
          <w:rFonts w:ascii="Arial" w:hAnsi="Arial" w:cs="Arial"/>
          <w:sz w:val="24"/>
          <w:szCs w:val="24"/>
        </w:rPr>
      </w:pPr>
    </w:p>
    <w:sectPr w:rsidR="009541A5" w:rsidRPr="00C326B6" w:rsidSect="001B7EAC">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56CB" w16cex:dateUtc="2020-05-25T13:38:00Z"/>
  <w16cex:commentExtensible w16cex:durableId="22765740" w16cex:dateUtc="2020-05-25T13:40:00Z"/>
  <w16cex:commentExtensible w16cex:durableId="22765826" w16cex:dateUtc="2020-05-25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F7C3B5" w16cid:durableId="227656CB"/>
  <w16cid:commentId w16cid:paraId="4F1BC700" w16cid:durableId="22765740"/>
  <w16cid:commentId w16cid:paraId="77AE3971" w16cid:durableId="227658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4E2E4" w14:textId="77777777" w:rsidR="00507CCF" w:rsidRDefault="00507CCF" w:rsidP="00110225">
      <w:pPr>
        <w:spacing w:after="0" w:line="240" w:lineRule="auto"/>
      </w:pPr>
      <w:r>
        <w:separator/>
      </w:r>
    </w:p>
  </w:endnote>
  <w:endnote w:type="continuationSeparator" w:id="0">
    <w:p w14:paraId="1231BC36" w14:textId="77777777" w:rsidR="00507CCF" w:rsidRDefault="00507CCF" w:rsidP="0011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AB2E4" w14:textId="77777777" w:rsidR="00507CCF" w:rsidRDefault="00507CCF" w:rsidP="00110225">
      <w:pPr>
        <w:spacing w:after="0" w:line="240" w:lineRule="auto"/>
      </w:pPr>
      <w:r>
        <w:separator/>
      </w:r>
    </w:p>
  </w:footnote>
  <w:footnote w:type="continuationSeparator" w:id="0">
    <w:p w14:paraId="4ABBAD27" w14:textId="77777777" w:rsidR="00507CCF" w:rsidRDefault="00507CCF" w:rsidP="00110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373253"/>
      <w:docPartObj>
        <w:docPartGallery w:val="Page Numbers (Top of Page)"/>
        <w:docPartUnique/>
      </w:docPartObj>
    </w:sdtPr>
    <w:sdtEndPr>
      <w:rPr>
        <w:noProof/>
      </w:rPr>
    </w:sdtEndPr>
    <w:sdtContent>
      <w:p w14:paraId="38BCB15A" w14:textId="42765C8B" w:rsidR="00E673A8" w:rsidRDefault="00E673A8">
        <w:pPr>
          <w:pStyle w:val="Header"/>
          <w:jc w:val="right"/>
        </w:pPr>
        <w:r>
          <w:fldChar w:fldCharType="begin"/>
        </w:r>
        <w:r>
          <w:instrText xml:space="preserve"> PAGE   \* MERGEFORMAT </w:instrText>
        </w:r>
        <w:r>
          <w:fldChar w:fldCharType="separate"/>
        </w:r>
        <w:r w:rsidR="00D31053">
          <w:rPr>
            <w:noProof/>
          </w:rPr>
          <w:t>1</w:t>
        </w:r>
        <w:r>
          <w:rPr>
            <w:noProof/>
          </w:rPr>
          <w:fldChar w:fldCharType="end"/>
        </w:r>
      </w:p>
    </w:sdtContent>
  </w:sdt>
  <w:p w14:paraId="73D5D331" w14:textId="77777777" w:rsidR="00E673A8" w:rsidRDefault="00E67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CB27D" w14:textId="77777777" w:rsidR="00110225" w:rsidRDefault="00110225">
    <w:pPr>
      <w:pStyle w:val="Header"/>
      <w:jc w:val="right"/>
    </w:pPr>
  </w:p>
  <w:p w14:paraId="256853C8" w14:textId="77777777" w:rsidR="00110225" w:rsidRDefault="00110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E354C"/>
    <w:multiLevelType w:val="hybridMultilevel"/>
    <w:tmpl w:val="C03EA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9C6A33"/>
    <w:multiLevelType w:val="hybridMultilevel"/>
    <w:tmpl w:val="002CD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D22893"/>
    <w:multiLevelType w:val="hybridMultilevel"/>
    <w:tmpl w:val="AD809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79"/>
    <w:rsid w:val="00003B46"/>
    <w:rsid w:val="000053A4"/>
    <w:rsid w:val="00005AEB"/>
    <w:rsid w:val="000220CF"/>
    <w:rsid w:val="00026A55"/>
    <w:rsid w:val="0003019B"/>
    <w:rsid w:val="00032478"/>
    <w:rsid w:val="00033BCD"/>
    <w:rsid w:val="00036F5E"/>
    <w:rsid w:val="000412C7"/>
    <w:rsid w:val="00041854"/>
    <w:rsid w:val="00044E36"/>
    <w:rsid w:val="00055189"/>
    <w:rsid w:val="00064D08"/>
    <w:rsid w:val="000659B0"/>
    <w:rsid w:val="00066AC8"/>
    <w:rsid w:val="0007176C"/>
    <w:rsid w:val="00072081"/>
    <w:rsid w:val="000771C7"/>
    <w:rsid w:val="00084CCF"/>
    <w:rsid w:val="000938AD"/>
    <w:rsid w:val="000A1179"/>
    <w:rsid w:val="000A31E1"/>
    <w:rsid w:val="000B06F1"/>
    <w:rsid w:val="000B2F9C"/>
    <w:rsid w:val="000C0263"/>
    <w:rsid w:val="000C0742"/>
    <w:rsid w:val="000D3AF4"/>
    <w:rsid w:val="000D42C9"/>
    <w:rsid w:val="000D4648"/>
    <w:rsid w:val="000E7EE3"/>
    <w:rsid w:val="000F2330"/>
    <w:rsid w:val="000F6A0A"/>
    <w:rsid w:val="001018EB"/>
    <w:rsid w:val="00110225"/>
    <w:rsid w:val="0011044E"/>
    <w:rsid w:val="00112655"/>
    <w:rsid w:val="0011522D"/>
    <w:rsid w:val="00115A58"/>
    <w:rsid w:val="00121A42"/>
    <w:rsid w:val="00122F2E"/>
    <w:rsid w:val="00143EA0"/>
    <w:rsid w:val="00155CA7"/>
    <w:rsid w:val="00173EFE"/>
    <w:rsid w:val="00177350"/>
    <w:rsid w:val="00185A36"/>
    <w:rsid w:val="001952F7"/>
    <w:rsid w:val="001965E9"/>
    <w:rsid w:val="00197726"/>
    <w:rsid w:val="001979D9"/>
    <w:rsid w:val="001A0579"/>
    <w:rsid w:val="001A22CA"/>
    <w:rsid w:val="001A5EA8"/>
    <w:rsid w:val="001B7286"/>
    <w:rsid w:val="001B7EAC"/>
    <w:rsid w:val="001C239E"/>
    <w:rsid w:val="001D0E42"/>
    <w:rsid w:val="001D2133"/>
    <w:rsid w:val="001D25C0"/>
    <w:rsid w:val="001D2C92"/>
    <w:rsid w:val="001D721F"/>
    <w:rsid w:val="001D7A11"/>
    <w:rsid w:val="001E03E1"/>
    <w:rsid w:val="001E1A43"/>
    <w:rsid w:val="001E2B47"/>
    <w:rsid w:val="001E6CFA"/>
    <w:rsid w:val="001E70D3"/>
    <w:rsid w:val="001F5C64"/>
    <w:rsid w:val="002100C2"/>
    <w:rsid w:val="00213961"/>
    <w:rsid w:val="00214EA0"/>
    <w:rsid w:val="00217F9A"/>
    <w:rsid w:val="002276E1"/>
    <w:rsid w:val="00227E0B"/>
    <w:rsid w:val="00230168"/>
    <w:rsid w:val="0023365F"/>
    <w:rsid w:val="00237BF9"/>
    <w:rsid w:val="00246A71"/>
    <w:rsid w:val="00250A48"/>
    <w:rsid w:val="00252272"/>
    <w:rsid w:val="00254050"/>
    <w:rsid w:val="00254731"/>
    <w:rsid w:val="0026631C"/>
    <w:rsid w:val="00270EF9"/>
    <w:rsid w:val="002841CE"/>
    <w:rsid w:val="00287E20"/>
    <w:rsid w:val="002A4A2B"/>
    <w:rsid w:val="002A5F6C"/>
    <w:rsid w:val="002B4309"/>
    <w:rsid w:val="002B5C60"/>
    <w:rsid w:val="002C6CD8"/>
    <w:rsid w:val="002C75FC"/>
    <w:rsid w:val="002D09EB"/>
    <w:rsid w:val="002D0A27"/>
    <w:rsid w:val="002D19AE"/>
    <w:rsid w:val="002D2647"/>
    <w:rsid w:val="002D3EFC"/>
    <w:rsid w:val="002D4093"/>
    <w:rsid w:val="002E0EB5"/>
    <w:rsid w:val="002F0D26"/>
    <w:rsid w:val="002F36F3"/>
    <w:rsid w:val="002F6C27"/>
    <w:rsid w:val="00303A85"/>
    <w:rsid w:val="003055F4"/>
    <w:rsid w:val="00305DF0"/>
    <w:rsid w:val="00306FA7"/>
    <w:rsid w:val="00312494"/>
    <w:rsid w:val="00312A37"/>
    <w:rsid w:val="003130DC"/>
    <w:rsid w:val="003200C0"/>
    <w:rsid w:val="00321F11"/>
    <w:rsid w:val="00323276"/>
    <w:rsid w:val="00323BEB"/>
    <w:rsid w:val="00324425"/>
    <w:rsid w:val="003309F6"/>
    <w:rsid w:val="00332E8D"/>
    <w:rsid w:val="00341325"/>
    <w:rsid w:val="00342FE0"/>
    <w:rsid w:val="00344759"/>
    <w:rsid w:val="00345020"/>
    <w:rsid w:val="00352924"/>
    <w:rsid w:val="00355AE6"/>
    <w:rsid w:val="00364FE6"/>
    <w:rsid w:val="00367938"/>
    <w:rsid w:val="00371C81"/>
    <w:rsid w:val="00372DA1"/>
    <w:rsid w:val="00372E4B"/>
    <w:rsid w:val="00376281"/>
    <w:rsid w:val="00382158"/>
    <w:rsid w:val="00390290"/>
    <w:rsid w:val="00393A2F"/>
    <w:rsid w:val="0039792F"/>
    <w:rsid w:val="003A3C44"/>
    <w:rsid w:val="003A47F5"/>
    <w:rsid w:val="003B0E64"/>
    <w:rsid w:val="003B6606"/>
    <w:rsid w:val="003C02DB"/>
    <w:rsid w:val="003C1A42"/>
    <w:rsid w:val="003C6E73"/>
    <w:rsid w:val="003D0BA3"/>
    <w:rsid w:val="003D1039"/>
    <w:rsid w:val="003E183B"/>
    <w:rsid w:val="003E1962"/>
    <w:rsid w:val="003E41FA"/>
    <w:rsid w:val="003F48B7"/>
    <w:rsid w:val="003F544D"/>
    <w:rsid w:val="003F5E02"/>
    <w:rsid w:val="003F71EC"/>
    <w:rsid w:val="0040265D"/>
    <w:rsid w:val="00410344"/>
    <w:rsid w:val="00410BE0"/>
    <w:rsid w:val="00413A94"/>
    <w:rsid w:val="00420473"/>
    <w:rsid w:val="00422E6B"/>
    <w:rsid w:val="00426B78"/>
    <w:rsid w:val="00427583"/>
    <w:rsid w:val="0043068A"/>
    <w:rsid w:val="00431D7C"/>
    <w:rsid w:val="00435350"/>
    <w:rsid w:val="00435526"/>
    <w:rsid w:val="004437E3"/>
    <w:rsid w:val="00445F85"/>
    <w:rsid w:val="004501AD"/>
    <w:rsid w:val="00453D8D"/>
    <w:rsid w:val="00456E6E"/>
    <w:rsid w:val="004571CB"/>
    <w:rsid w:val="004759DB"/>
    <w:rsid w:val="00485125"/>
    <w:rsid w:val="00490D37"/>
    <w:rsid w:val="004A6B46"/>
    <w:rsid w:val="004B12F9"/>
    <w:rsid w:val="004B3BC3"/>
    <w:rsid w:val="004D17A3"/>
    <w:rsid w:val="004D35C1"/>
    <w:rsid w:val="004D6E2B"/>
    <w:rsid w:val="004E1061"/>
    <w:rsid w:val="004F1B00"/>
    <w:rsid w:val="004F49DF"/>
    <w:rsid w:val="004F5CBC"/>
    <w:rsid w:val="004F7780"/>
    <w:rsid w:val="00506FC5"/>
    <w:rsid w:val="00507CCF"/>
    <w:rsid w:val="005276A8"/>
    <w:rsid w:val="00533DA7"/>
    <w:rsid w:val="00537A22"/>
    <w:rsid w:val="00541076"/>
    <w:rsid w:val="005449DE"/>
    <w:rsid w:val="00545F58"/>
    <w:rsid w:val="00547252"/>
    <w:rsid w:val="00547577"/>
    <w:rsid w:val="005511D6"/>
    <w:rsid w:val="00556070"/>
    <w:rsid w:val="00557892"/>
    <w:rsid w:val="00557ACD"/>
    <w:rsid w:val="00563289"/>
    <w:rsid w:val="005657B0"/>
    <w:rsid w:val="0057039D"/>
    <w:rsid w:val="00571228"/>
    <w:rsid w:val="00576C5E"/>
    <w:rsid w:val="005814C7"/>
    <w:rsid w:val="00587A12"/>
    <w:rsid w:val="00594999"/>
    <w:rsid w:val="00594ADE"/>
    <w:rsid w:val="005A30C9"/>
    <w:rsid w:val="005B3915"/>
    <w:rsid w:val="005B7EFA"/>
    <w:rsid w:val="005D3D1E"/>
    <w:rsid w:val="005D5498"/>
    <w:rsid w:val="005D6090"/>
    <w:rsid w:val="005F1943"/>
    <w:rsid w:val="00601985"/>
    <w:rsid w:val="00604F18"/>
    <w:rsid w:val="006075CF"/>
    <w:rsid w:val="00607966"/>
    <w:rsid w:val="00616AA6"/>
    <w:rsid w:val="006176D5"/>
    <w:rsid w:val="00624917"/>
    <w:rsid w:val="0062622B"/>
    <w:rsid w:val="00633639"/>
    <w:rsid w:val="00634A95"/>
    <w:rsid w:val="00647508"/>
    <w:rsid w:val="0064785D"/>
    <w:rsid w:val="0066609D"/>
    <w:rsid w:val="0067070A"/>
    <w:rsid w:val="006810D8"/>
    <w:rsid w:val="00684590"/>
    <w:rsid w:val="006923F7"/>
    <w:rsid w:val="00694141"/>
    <w:rsid w:val="0069580A"/>
    <w:rsid w:val="00696513"/>
    <w:rsid w:val="006A0DD0"/>
    <w:rsid w:val="006A1C5B"/>
    <w:rsid w:val="006A315B"/>
    <w:rsid w:val="006B5F2F"/>
    <w:rsid w:val="006B61C1"/>
    <w:rsid w:val="006B62B8"/>
    <w:rsid w:val="006C1097"/>
    <w:rsid w:val="006C6FC9"/>
    <w:rsid w:val="006D1367"/>
    <w:rsid w:val="006E659A"/>
    <w:rsid w:val="006F14D5"/>
    <w:rsid w:val="006F469C"/>
    <w:rsid w:val="006F4EDC"/>
    <w:rsid w:val="006F598D"/>
    <w:rsid w:val="006F5D63"/>
    <w:rsid w:val="007068AC"/>
    <w:rsid w:val="0071048F"/>
    <w:rsid w:val="007126D9"/>
    <w:rsid w:val="0071355C"/>
    <w:rsid w:val="00714561"/>
    <w:rsid w:val="0071750B"/>
    <w:rsid w:val="007222CE"/>
    <w:rsid w:val="00731EB3"/>
    <w:rsid w:val="00732032"/>
    <w:rsid w:val="00733465"/>
    <w:rsid w:val="00736571"/>
    <w:rsid w:val="00736BA8"/>
    <w:rsid w:val="00737C91"/>
    <w:rsid w:val="0074378D"/>
    <w:rsid w:val="0075200D"/>
    <w:rsid w:val="00755F8C"/>
    <w:rsid w:val="00760E02"/>
    <w:rsid w:val="00761F4B"/>
    <w:rsid w:val="00771309"/>
    <w:rsid w:val="00786AD4"/>
    <w:rsid w:val="00787718"/>
    <w:rsid w:val="00791032"/>
    <w:rsid w:val="00794F85"/>
    <w:rsid w:val="00797351"/>
    <w:rsid w:val="007A142E"/>
    <w:rsid w:val="007A2B2C"/>
    <w:rsid w:val="007A47FF"/>
    <w:rsid w:val="007A5807"/>
    <w:rsid w:val="007A6E07"/>
    <w:rsid w:val="007B15BE"/>
    <w:rsid w:val="007B497A"/>
    <w:rsid w:val="007B5A21"/>
    <w:rsid w:val="007D37CD"/>
    <w:rsid w:val="007D3AAE"/>
    <w:rsid w:val="007D451C"/>
    <w:rsid w:val="007D48E6"/>
    <w:rsid w:val="007E0AE0"/>
    <w:rsid w:val="007E228E"/>
    <w:rsid w:val="007E4D0B"/>
    <w:rsid w:val="007E5DE0"/>
    <w:rsid w:val="007F0375"/>
    <w:rsid w:val="007F236D"/>
    <w:rsid w:val="007F72FB"/>
    <w:rsid w:val="00802443"/>
    <w:rsid w:val="00802E2A"/>
    <w:rsid w:val="008115D1"/>
    <w:rsid w:val="00811989"/>
    <w:rsid w:val="0081749A"/>
    <w:rsid w:val="00832B55"/>
    <w:rsid w:val="00837686"/>
    <w:rsid w:val="00840667"/>
    <w:rsid w:val="0084574A"/>
    <w:rsid w:val="008461C7"/>
    <w:rsid w:val="00847FD5"/>
    <w:rsid w:val="00860486"/>
    <w:rsid w:val="0086146E"/>
    <w:rsid w:val="00863C5B"/>
    <w:rsid w:val="0086432C"/>
    <w:rsid w:val="008728BE"/>
    <w:rsid w:val="00873CB8"/>
    <w:rsid w:val="00875273"/>
    <w:rsid w:val="00882549"/>
    <w:rsid w:val="0088584C"/>
    <w:rsid w:val="0089473A"/>
    <w:rsid w:val="008956A8"/>
    <w:rsid w:val="008A1076"/>
    <w:rsid w:val="008A1299"/>
    <w:rsid w:val="008A57EC"/>
    <w:rsid w:val="008A73D8"/>
    <w:rsid w:val="008A7949"/>
    <w:rsid w:val="008B039B"/>
    <w:rsid w:val="008B565A"/>
    <w:rsid w:val="008B58B1"/>
    <w:rsid w:val="008B6F76"/>
    <w:rsid w:val="008B777E"/>
    <w:rsid w:val="008C1C08"/>
    <w:rsid w:val="008C40FA"/>
    <w:rsid w:val="008C5EE3"/>
    <w:rsid w:val="008D06D9"/>
    <w:rsid w:val="008D2358"/>
    <w:rsid w:val="008D59BB"/>
    <w:rsid w:val="008D78D1"/>
    <w:rsid w:val="008D7AC3"/>
    <w:rsid w:val="008D7B35"/>
    <w:rsid w:val="008E1044"/>
    <w:rsid w:val="008E2CAA"/>
    <w:rsid w:val="0090698B"/>
    <w:rsid w:val="00906DB8"/>
    <w:rsid w:val="00910653"/>
    <w:rsid w:val="009107FB"/>
    <w:rsid w:val="00911B8F"/>
    <w:rsid w:val="00916579"/>
    <w:rsid w:val="00917EE7"/>
    <w:rsid w:val="009207F6"/>
    <w:rsid w:val="009219C5"/>
    <w:rsid w:val="00931998"/>
    <w:rsid w:val="009359EF"/>
    <w:rsid w:val="00936642"/>
    <w:rsid w:val="009476F8"/>
    <w:rsid w:val="00950665"/>
    <w:rsid w:val="00952EC0"/>
    <w:rsid w:val="009541A5"/>
    <w:rsid w:val="00955B61"/>
    <w:rsid w:val="00960BD9"/>
    <w:rsid w:val="009806E4"/>
    <w:rsid w:val="00984FA5"/>
    <w:rsid w:val="00985380"/>
    <w:rsid w:val="0099140E"/>
    <w:rsid w:val="00992475"/>
    <w:rsid w:val="00993ECA"/>
    <w:rsid w:val="009A42DC"/>
    <w:rsid w:val="009A75AB"/>
    <w:rsid w:val="009B280C"/>
    <w:rsid w:val="009B3035"/>
    <w:rsid w:val="009B6038"/>
    <w:rsid w:val="009C4B21"/>
    <w:rsid w:val="009D09EE"/>
    <w:rsid w:val="009D105C"/>
    <w:rsid w:val="009D12B4"/>
    <w:rsid w:val="009D12C0"/>
    <w:rsid w:val="009E0C6B"/>
    <w:rsid w:val="009E20BB"/>
    <w:rsid w:val="009E47FF"/>
    <w:rsid w:val="009E5CFB"/>
    <w:rsid w:val="009F5EB0"/>
    <w:rsid w:val="009F6673"/>
    <w:rsid w:val="00A04617"/>
    <w:rsid w:val="00A058BA"/>
    <w:rsid w:val="00A16446"/>
    <w:rsid w:val="00A24C30"/>
    <w:rsid w:val="00A31E1D"/>
    <w:rsid w:val="00A3671B"/>
    <w:rsid w:val="00A367D8"/>
    <w:rsid w:val="00A37912"/>
    <w:rsid w:val="00A42E2F"/>
    <w:rsid w:val="00A441F8"/>
    <w:rsid w:val="00A4422E"/>
    <w:rsid w:val="00A47ED7"/>
    <w:rsid w:val="00A5046C"/>
    <w:rsid w:val="00A5131A"/>
    <w:rsid w:val="00A52A8E"/>
    <w:rsid w:val="00A54819"/>
    <w:rsid w:val="00A5561A"/>
    <w:rsid w:val="00A6021F"/>
    <w:rsid w:val="00A762C1"/>
    <w:rsid w:val="00A86772"/>
    <w:rsid w:val="00A90D22"/>
    <w:rsid w:val="00AB4CB3"/>
    <w:rsid w:val="00AB7F14"/>
    <w:rsid w:val="00AC5394"/>
    <w:rsid w:val="00AC6FCB"/>
    <w:rsid w:val="00AD437A"/>
    <w:rsid w:val="00AE2EC4"/>
    <w:rsid w:val="00AE30A3"/>
    <w:rsid w:val="00AE4F8A"/>
    <w:rsid w:val="00AF0784"/>
    <w:rsid w:val="00AF6A78"/>
    <w:rsid w:val="00B06102"/>
    <w:rsid w:val="00B1156F"/>
    <w:rsid w:val="00B131B9"/>
    <w:rsid w:val="00B20D31"/>
    <w:rsid w:val="00B20D74"/>
    <w:rsid w:val="00B21D32"/>
    <w:rsid w:val="00B21EF3"/>
    <w:rsid w:val="00B25AD6"/>
    <w:rsid w:val="00B307E8"/>
    <w:rsid w:val="00B30809"/>
    <w:rsid w:val="00B40B7A"/>
    <w:rsid w:val="00B4705B"/>
    <w:rsid w:val="00B47515"/>
    <w:rsid w:val="00B53A20"/>
    <w:rsid w:val="00B55AFE"/>
    <w:rsid w:val="00B60591"/>
    <w:rsid w:val="00B610B1"/>
    <w:rsid w:val="00B63E92"/>
    <w:rsid w:val="00B65DE3"/>
    <w:rsid w:val="00B76969"/>
    <w:rsid w:val="00B76E44"/>
    <w:rsid w:val="00B813B0"/>
    <w:rsid w:val="00B833E2"/>
    <w:rsid w:val="00B8629D"/>
    <w:rsid w:val="00B92400"/>
    <w:rsid w:val="00B95255"/>
    <w:rsid w:val="00B97483"/>
    <w:rsid w:val="00BA3CE4"/>
    <w:rsid w:val="00BB2621"/>
    <w:rsid w:val="00BB6183"/>
    <w:rsid w:val="00BB61E6"/>
    <w:rsid w:val="00BB6E62"/>
    <w:rsid w:val="00BC027A"/>
    <w:rsid w:val="00BC1179"/>
    <w:rsid w:val="00BC332E"/>
    <w:rsid w:val="00BC51A3"/>
    <w:rsid w:val="00BD759E"/>
    <w:rsid w:val="00BE0D7F"/>
    <w:rsid w:val="00BF0D98"/>
    <w:rsid w:val="00BF3167"/>
    <w:rsid w:val="00C005E0"/>
    <w:rsid w:val="00C011F1"/>
    <w:rsid w:val="00C0123B"/>
    <w:rsid w:val="00C04361"/>
    <w:rsid w:val="00C15401"/>
    <w:rsid w:val="00C15F15"/>
    <w:rsid w:val="00C167AC"/>
    <w:rsid w:val="00C229B7"/>
    <w:rsid w:val="00C30ACF"/>
    <w:rsid w:val="00C326B6"/>
    <w:rsid w:val="00C3476F"/>
    <w:rsid w:val="00C34D94"/>
    <w:rsid w:val="00C35AE4"/>
    <w:rsid w:val="00C40A0F"/>
    <w:rsid w:val="00C412AA"/>
    <w:rsid w:val="00C469C6"/>
    <w:rsid w:val="00C473CC"/>
    <w:rsid w:val="00C50C98"/>
    <w:rsid w:val="00C53A4F"/>
    <w:rsid w:val="00C561A3"/>
    <w:rsid w:val="00C625F6"/>
    <w:rsid w:val="00C75360"/>
    <w:rsid w:val="00C75596"/>
    <w:rsid w:val="00C7607F"/>
    <w:rsid w:val="00C83AE2"/>
    <w:rsid w:val="00C926AE"/>
    <w:rsid w:val="00C93FB1"/>
    <w:rsid w:val="00CA7784"/>
    <w:rsid w:val="00CB72C5"/>
    <w:rsid w:val="00CB73FA"/>
    <w:rsid w:val="00CB7E9D"/>
    <w:rsid w:val="00CC636D"/>
    <w:rsid w:val="00CD1B5B"/>
    <w:rsid w:val="00CD3752"/>
    <w:rsid w:val="00CD780F"/>
    <w:rsid w:val="00CE5603"/>
    <w:rsid w:val="00CE6C4C"/>
    <w:rsid w:val="00CE72AD"/>
    <w:rsid w:val="00CF0739"/>
    <w:rsid w:val="00CF401C"/>
    <w:rsid w:val="00CF67D2"/>
    <w:rsid w:val="00D04459"/>
    <w:rsid w:val="00D1636D"/>
    <w:rsid w:val="00D23B16"/>
    <w:rsid w:val="00D31053"/>
    <w:rsid w:val="00D34053"/>
    <w:rsid w:val="00D37A6E"/>
    <w:rsid w:val="00D450A8"/>
    <w:rsid w:val="00D55D74"/>
    <w:rsid w:val="00D60DEC"/>
    <w:rsid w:val="00D6648C"/>
    <w:rsid w:val="00D72BF3"/>
    <w:rsid w:val="00D74C19"/>
    <w:rsid w:val="00D85CB3"/>
    <w:rsid w:val="00D86453"/>
    <w:rsid w:val="00D90653"/>
    <w:rsid w:val="00D90742"/>
    <w:rsid w:val="00DA3AFA"/>
    <w:rsid w:val="00DC087A"/>
    <w:rsid w:val="00DC620D"/>
    <w:rsid w:val="00DD0F66"/>
    <w:rsid w:val="00DD2A8F"/>
    <w:rsid w:val="00DE275B"/>
    <w:rsid w:val="00DE7F7C"/>
    <w:rsid w:val="00DF130C"/>
    <w:rsid w:val="00DF703B"/>
    <w:rsid w:val="00E01BAD"/>
    <w:rsid w:val="00E02661"/>
    <w:rsid w:val="00E04FF2"/>
    <w:rsid w:val="00E077F3"/>
    <w:rsid w:val="00E10542"/>
    <w:rsid w:val="00E124A4"/>
    <w:rsid w:val="00E12A61"/>
    <w:rsid w:val="00E1342E"/>
    <w:rsid w:val="00E149A4"/>
    <w:rsid w:val="00E15D17"/>
    <w:rsid w:val="00E20CD9"/>
    <w:rsid w:val="00E224A7"/>
    <w:rsid w:val="00E264A5"/>
    <w:rsid w:val="00E31A34"/>
    <w:rsid w:val="00E40048"/>
    <w:rsid w:val="00E42BE8"/>
    <w:rsid w:val="00E4349E"/>
    <w:rsid w:val="00E444A7"/>
    <w:rsid w:val="00E509D1"/>
    <w:rsid w:val="00E52EBF"/>
    <w:rsid w:val="00E567EF"/>
    <w:rsid w:val="00E6042B"/>
    <w:rsid w:val="00E62BB7"/>
    <w:rsid w:val="00E63EFF"/>
    <w:rsid w:val="00E64F00"/>
    <w:rsid w:val="00E668E3"/>
    <w:rsid w:val="00E66ECC"/>
    <w:rsid w:val="00E66F22"/>
    <w:rsid w:val="00E673A8"/>
    <w:rsid w:val="00E753BF"/>
    <w:rsid w:val="00E756D8"/>
    <w:rsid w:val="00E75D62"/>
    <w:rsid w:val="00E901A1"/>
    <w:rsid w:val="00E90812"/>
    <w:rsid w:val="00E90F79"/>
    <w:rsid w:val="00E96635"/>
    <w:rsid w:val="00EA16FD"/>
    <w:rsid w:val="00EA56C9"/>
    <w:rsid w:val="00EA69B2"/>
    <w:rsid w:val="00EB2AF4"/>
    <w:rsid w:val="00EC253D"/>
    <w:rsid w:val="00EC4F13"/>
    <w:rsid w:val="00EC735D"/>
    <w:rsid w:val="00ED19F1"/>
    <w:rsid w:val="00ED1F9F"/>
    <w:rsid w:val="00ED26E0"/>
    <w:rsid w:val="00ED3B2E"/>
    <w:rsid w:val="00EE2D01"/>
    <w:rsid w:val="00EE41C4"/>
    <w:rsid w:val="00EE65A5"/>
    <w:rsid w:val="00EF0C4B"/>
    <w:rsid w:val="00EF68A4"/>
    <w:rsid w:val="00F033D5"/>
    <w:rsid w:val="00F072B3"/>
    <w:rsid w:val="00F12D21"/>
    <w:rsid w:val="00F130F4"/>
    <w:rsid w:val="00F20073"/>
    <w:rsid w:val="00F208FB"/>
    <w:rsid w:val="00F21C86"/>
    <w:rsid w:val="00F21D0A"/>
    <w:rsid w:val="00F232BA"/>
    <w:rsid w:val="00F23F45"/>
    <w:rsid w:val="00F4178C"/>
    <w:rsid w:val="00F4490E"/>
    <w:rsid w:val="00F5198E"/>
    <w:rsid w:val="00F546A0"/>
    <w:rsid w:val="00F56354"/>
    <w:rsid w:val="00F62B0B"/>
    <w:rsid w:val="00F62EA5"/>
    <w:rsid w:val="00F64585"/>
    <w:rsid w:val="00F6594D"/>
    <w:rsid w:val="00F7127A"/>
    <w:rsid w:val="00F714E2"/>
    <w:rsid w:val="00F8666C"/>
    <w:rsid w:val="00F93B25"/>
    <w:rsid w:val="00F95EE6"/>
    <w:rsid w:val="00F95F1B"/>
    <w:rsid w:val="00FA14C6"/>
    <w:rsid w:val="00FA3418"/>
    <w:rsid w:val="00FC7565"/>
    <w:rsid w:val="00FD696E"/>
    <w:rsid w:val="00FE18FB"/>
    <w:rsid w:val="00FE7689"/>
    <w:rsid w:val="00FF069E"/>
    <w:rsid w:val="00FF0C94"/>
    <w:rsid w:val="00FF296B"/>
    <w:rsid w:val="00FF64D3"/>
    <w:rsid w:val="00FF6D77"/>
    <w:rsid w:val="00FF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5A0BD"/>
  <w15:docId w15:val="{75A2B693-2CA2-455F-AAB3-6E8FE6D6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41FA"/>
    <w:rPr>
      <w:color w:val="0000FF"/>
      <w:u w:val="single"/>
    </w:rPr>
  </w:style>
  <w:style w:type="paragraph" w:customStyle="1" w:styleId="Body">
    <w:name w:val="Body"/>
    <w:rsid w:val="003E41FA"/>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NormalWeb">
    <w:name w:val="Normal (Web)"/>
    <w:basedOn w:val="Normal"/>
    <w:uiPriority w:val="99"/>
    <w:unhideWhenUsed/>
    <w:rsid w:val="001D72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0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25"/>
  </w:style>
  <w:style w:type="paragraph" w:styleId="Footer">
    <w:name w:val="footer"/>
    <w:basedOn w:val="Normal"/>
    <w:link w:val="FooterChar"/>
    <w:uiPriority w:val="99"/>
    <w:unhideWhenUsed/>
    <w:rsid w:val="00110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225"/>
  </w:style>
  <w:style w:type="character" w:styleId="LineNumber">
    <w:name w:val="line number"/>
    <w:basedOn w:val="DefaultParagraphFont"/>
    <w:uiPriority w:val="99"/>
    <w:semiHidden/>
    <w:unhideWhenUsed/>
    <w:rsid w:val="00110225"/>
  </w:style>
  <w:style w:type="paragraph" w:styleId="ListParagraph">
    <w:name w:val="List Paragraph"/>
    <w:basedOn w:val="Normal"/>
    <w:uiPriority w:val="34"/>
    <w:qFormat/>
    <w:rsid w:val="00C30ACF"/>
    <w:pPr>
      <w:ind w:left="720"/>
      <w:contextualSpacing/>
    </w:pPr>
  </w:style>
  <w:style w:type="paragraph" w:styleId="BalloonText">
    <w:name w:val="Balloon Text"/>
    <w:basedOn w:val="Normal"/>
    <w:link w:val="BalloonTextChar"/>
    <w:uiPriority w:val="99"/>
    <w:semiHidden/>
    <w:unhideWhenUsed/>
    <w:rsid w:val="00EC73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735D"/>
    <w:rPr>
      <w:rFonts w:ascii="Times New Roman" w:hAnsi="Times New Roman" w:cs="Times New Roman"/>
      <w:sz w:val="18"/>
      <w:szCs w:val="18"/>
    </w:rPr>
  </w:style>
  <w:style w:type="paragraph" w:styleId="Revision">
    <w:name w:val="Revision"/>
    <w:hidden/>
    <w:uiPriority w:val="99"/>
    <w:semiHidden/>
    <w:rsid w:val="007F236D"/>
    <w:pPr>
      <w:spacing w:after="0" w:line="240" w:lineRule="auto"/>
    </w:pPr>
  </w:style>
  <w:style w:type="character" w:styleId="CommentReference">
    <w:name w:val="annotation reference"/>
    <w:basedOn w:val="DefaultParagraphFont"/>
    <w:uiPriority w:val="99"/>
    <w:semiHidden/>
    <w:unhideWhenUsed/>
    <w:rsid w:val="007F236D"/>
    <w:rPr>
      <w:sz w:val="16"/>
      <w:szCs w:val="16"/>
    </w:rPr>
  </w:style>
  <w:style w:type="paragraph" w:styleId="CommentText">
    <w:name w:val="annotation text"/>
    <w:basedOn w:val="Normal"/>
    <w:link w:val="CommentTextChar"/>
    <w:uiPriority w:val="99"/>
    <w:semiHidden/>
    <w:unhideWhenUsed/>
    <w:rsid w:val="007F236D"/>
    <w:pPr>
      <w:spacing w:line="240" w:lineRule="auto"/>
    </w:pPr>
    <w:rPr>
      <w:sz w:val="20"/>
      <w:szCs w:val="20"/>
    </w:rPr>
  </w:style>
  <w:style w:type="character" w:customStyle="1" w:styleId="CommentTextChar">
    <w:name w:val="Comment Text Char"/>
    <w:basedOn w:val="DefaultParagraphFont"/>
    <w:link w:val="CommentText"/>
    <w:uiPriority w:val="99"/>
    <w:semiHidden/>
    <w:rsid w:val="007F236D"/>
    <w:rPr>
      <w:sz w:val="20"/>
      <w:szCs w:val="20"/>
    </w:rPr>
  </w:style>
  <w:style w:type="paragraph" w:styleId="CommentSubject">
    <w:name w:val="annotation subject"/>
    <w:basedOn w:val="CommentText"/>
    <w:next w:val="CommentText"/>
    <w:link w:val="CommentSubjectChar"/>
    <w:uiPriority w:val="99"/>
    <w:semiHidden/>
    <w:unhideWhenUsed/>
    <w:rsid w:val="007F236D"/>
    <w:rPr>
      <w:b/>
      <w:bCs/>
    </w:rPr>
  </w:style>
  <w:style w:type="character" w:customStyle="1" w:styleId="CommentSubjectChar">
    <w:name w:val="Comment Subject Char"/>
    <w:basedOn w:val="CommentTextChar"/>
    <w:link w:val="CommentSubject"/>
    <w:uiPriority w:val="99"/>
    <w:semiHidden/>
    <w:rsid w:val="007F236D"/>
    <w:rPr>
      <w:b/>
      <w:bCs/>
      <w:sz w:val="20"/>
      <w:szCs w:val="20"/>
    </w:rPr>
  </w:style>
  <w:style w:type="character" w:styleId="PlaceholderText">
    <w:name w:val="Placeholder Text"/>
    <w:basedOn w:val="DefaultParagraphFont"/>
    <w:uiPriority w:val="99"/>
    <w:semiHidden/>
    <w:rsid w:val="00036F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ng.han@rhul.ac.uk" TargetMode="Externa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fd.co.uk/20/hipfractureR.nsf/0/CA920122A244F2ED802579C900553993/$file/NHFD%20Report%202013.pdf"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8/08/relationships/commentsExtensible" Target="commentsExtensible.xml"/><Relationship Id="rId10" Type="http://schemas.openxmlformats.org/officeDocument/2006/relationships/hyperlink" Target="http://ww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j.bone.2019.115156"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6CC29D1-0D66-4F1C-8E7F-FA4CE288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5069</Words>
  <Characters>28897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ASPH NHS Foundation Trust</Company>
  <LinksUpToDate>false</LinksUpToDate>
  <CharactersWithSpaces>33899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Revan, Jade</cp:lastModifiedBy>
  <cp:revision>2</cp:revision>
  <dcterms:created xsi:type="dcterms:W3CDTF">2020-10-16T16:23:00Z</dcterms:created>
  <dcterms:modified xsi:type="dcterms:W3CDTF">2020-10-16T16:23:00Z</dcterms:modified>
</cp:coreProperties>
</file>