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BF7D6" w14:textId="2C77E073" w:rsidR="00CF09F8" w:rsidRPr="008119FA" w:rsidRDefault="003D448C" w:rsidP="00C8447F">
      <w:pPr>
        <w:pStyle w:val="Heading1"/>
        <w:spacing w:after="240" w:line="480" w:lineRule="auto"/>
        <w:rPr>
          <w:sz w:val="28"/>
          <w:szCs w:val="30"/>
        </w:rPr>
      </w:pPr>
      <w:r w:rsidRPr="008119FA">
        <w:rPr>
          <w:sz w:val="28"/>
          <w:szCs w:val="30"/>
        </w:rPr>
        <w:t xml:space="preserve">Exploring </w:t>
      </w:r>
      <w:r w:rsidR="003D2836" w:rsidRPr="008119FA">
        <w:rPr>
          <w:sz w:val="28"/>
          <w:szCs w:val="30"/>
        </w:rPr>
        <w:t xml:space="preserve">Future </w:t>
      </w:r>
      <w:r w:rsidR="003D4352" w:rsidRPr="008119FA">
        <w:rPr>
          <w:sz w:val="28"/>
          <w:szCs w:val="30"/>
        </w:rPr>
        <w:t xml:space="preserve">Challenges </w:t>
      </w:r>
      <w:r w:rsidR="00232A54" w:rsidRPr="008119FA">
        <w:rPr>
          <w:sz w:val="28"/>
          <w:szCs w:val="30"/>
        </w:rPr>
        <w:t>for</w:t>
      </w:r>
      <w:r w:rsidR="00CF09F8" w:rsidRPr="008119FA">
        <w:rPr>
          <w:sz w:val="28"/>
          <w:szCs w:val="30"/>
        </w:rPr>
        <w:t xml:space="preserve"> Big Data</w:t>
      </w:r>
      <w:r w:rsidR="00083704" w:rsidRPr="008119FA">
        <w:rPr>
          <w:sz w:val="28"/>
          <w:szCs w:val="30"/>
        </w:rPr>
        <w:t xml:space="preserve"> in </w:t>
      </w:r>
      <w:r w:rsidR="00CF09F8" w:rsidRPr="008119FA">
        <w:rPr>
          <w:sz w:val="28"/>
          <w:szCs w:val="30"/>
        </w:rPr>
        <w:t>the Humanitarian Domain</w:t>
      </w:r>
    </w:p>
    <w:p w14:paraId="76743EA8" w14:textId="77777777" w:rsidR="00FC65D6" w:rsidRPr="00A5386A" w:rsidRDefault="00FC65D6" w:rsidP="00FC65D6">
      <w:pPr>
        <w:pStyle w:val="Authornames"/>
        <w:rPr>
          <w:sz w:val="26"/>
          <w:szCs w:val="26"/>
        </w:rPr>
      </w:pPr>
      <w:r w:rsidRPr="005B3A24">
        <w:rPr>
          <w:sz w:val="26"/>
          <w:szCs w:val="26"/>
        </w:rPr>
        <w:t>David Bell</w:t>
      </w:r>
      <w:r>
        <w:rPr>
          <w:sz w:val="26"/>
          <w:szCs w:val="26"/>
        </w:rPr>
        <w:t xml:space="preserve"> </w:t>
      </w:r>
      <w:proofErr w:type="gramStart"/>
      <w:r w:rsidRPr="005B3A24">
        <w:rPr>
          <w:sz w:val="26"/>
          <w:szCs w:val="26"/>
          <w:vertAlign w:val="superscript"/>
        </w:rPr>
        <w:t>a</w:t>
      </w:r>
      <w:r>
        <w:rPr>
          <w:sz w:val="26"/>
          <w:szCs w:val="26"/>
          <w:vertAlign w:val="superscript"/>
        </w:rPr>
        <w:t>,</w:t>
      </w:r>
      <w:r w:rsidRPr="005B3A24">
        <w:rPr>
          <w:sz w:val="26"/>
          <w:szCs w:val="26"/>
          <w:vertAlign w:val="superscript"/>
        </w:rPr>
        <w:t>*</w:t>
      </w:r>
      <w:proofErr w:type="gramEnd"/>
      <w:r w:rsidRPr="005B3A24">
        <w:rPr>
          <w:sz w:val="26"/>
          <w:szCs w:val="26"/>
        </w:rPr>
        <w:t xml:space="preserve">, Mark </w:t>
      </w:r>
      <w:proofErr w:type="spellStart"/>
      <w:r w:rsidRPr="005B3A24">
        <w:rPr>
          <w:sz w:val="26"/>
          <w:szCs w:val="26"/>
        </w:rPr>
        <w:t>Lycett</w:t>
      </w:r>
      <w:r>
        <w:rPr>
          <w:sz w:val="26"/>
          <w:szCs w:val="26"/>
          <w:vertAlign w:val="superscript"/>
        </w:rPr>
        <w:t>b</w:t>
      </w:r>
      <w:proofErr w:type="spellEnd"/>
      <w:r w:rsidRPr="005B3A24">
        <w:rPr>
          <w:sz w:val="26"/>
          <w:szCs w:val="26"/>
        </w:rPr>
        <w:t xml:space="preserve">, Alaa </w:t>
      </w:r>
      <w:proofErr w:type="spellStart"/>
      <w:r w:rsidRPr="005B3A24">
        <w:rPr>
          <w:sz w:val="26"/>
          <w:szCs w:val="26"/>
        </w:rPr>
        <w:t>Marshan</w:t>
      </w:r>
      <w:r w:rsidRPr="005B3A24">
        <w:rPr>
          <w:sz w:val="26"/>
          <w:szCs w:val="26"/>
          <w:vertAlign w:val="superscript"/>
        </w:rPr>
        <w:t>a</w:t>
      </w:r>
      <w:proofErr w:type="spellEnd"/>
      <w:r>
        <w:rPr>
          <w:sz w:val="26"/>
          <w:szCs w:val="26"/>
        </w:rPr>
        <w:t xml:space="preserve">, </w:t>
      </w:r>
      <w:r w:rsidRPr="005B3A24">
        <w:rPr>
          <w:sz w:val="26"/>
          <w:szCs w:val="26"/>
        </w:rPr>
        <w:t xml:space="preserve">Asmat </w:t>
      </w:r>
      <w:proofErr w:type="spellStart"/>
      <w:r w:rsidRPr="005B3A24">
        <w:rPr>
          <w:sz w:val="26"/>
          <w:szCs w:val="26"/>
        </w:rPr>
        <w:t>Monaghan</w:t>
      </w:r>
      <w:r>
        <w:rPr>
          <w:sz w:val="26"/>
          <w:szCs w:val="26"/>
          <w:vertAlign w:val="superscript"/>
        </w:rPr>
        <w:t>b</w:t>
      </w:r>
      <w:proofErr w:type="spellEnd"/>
    </w:p>
    <w:p w14:paraId="64949CAE" w14:textId="77777777" w:rsidR="00FC65D6" w:rsidRDefault="00FC65D6" w:rsidP="00FC65D6">
      <w:pPr>
        <w:pStyle w:val="Affiliation"/>
        <w:spacing w:before="0"/>
        <w:rPr>
          <w:sz w:val="22"/>
          <w:szCs w:val="22"/>
        </w:rPr>
      </w:pPr>
    </w:p>
    <w:p w14:paraId="344B9D8C" w14:textId="77777777" w:rsidR="00FC65D6" w:rsidRDefault="00FC65D6" w:rsidP="00FC65D6">
      <w:pPr>
        <w:pStyle w:val="Affiliation"/>
        <w:spacing w:before="0"/>
      </w:pPr>
      <w:r w:rsidRPr="006B713F">
        <w:rPr>
          <w:sz w:val="32"/>
          <w:szCs w:val="32"/>
          <w:vertAlign w:val="superscript"/>
        </w:rPr>
        <w:t>a</w:t>
      </w:r>
      <w:r w:rsidRPr="006B713F">
        <w:rPr>
          <w:vertAlign w:val="superscript"/>
        </w:rPr>
        <w:t xml:space="preserve"> </w:t>
      </w:r>
      <w:r w:rsidRPr="006B713F">
        <w:t xml:space="preserve">Department of Computer Science, Brunel University London, </w:t>
      </w:r>
      <w:r>
        <w:t>Uxbridge,</w:t>
      </w:r>
      <w:r w:rsidRPr="00B4074A">
        <w:t xml:space="preserve"> </w:t>
      </w:r>
      <w:r>
        <w:t xml:space="preserve">UB8 3PH, </w:t>
      </w:r>
      <w:r w:rsidRPr="006B713F">
        <w:t>U</w:t>
      </w:r>
      <w:r>
        <w:t xml:space="preserve">nited </w:t>
      </w:r>
      <w:r w:rsidRPr="006B713F">
        <w:t>K</w:t>
      </w:r>
      <w:r>
        <w:t>ingdom; emails:</w:t>
      </w:r>
    </w:p>
    <w:p w14:paraId="53E7D1A2" w14:textId="77777777" w:rsidR="00FC65D6" w:rsidRPr="00B4074A" w:rsidRDefault="00AA525D" w:rsidP="00FC65D6">
      <w:pPr>
        <w:pStyle w:val="Affiliation"/>
        <w:spacing w:before="0"/>
        <w:rPr>
          <w:rStyle w:val="Hyperlink"/>
          <w:rFonts w:eastAsiaTheme="majorEastAsia"/>
        </w:rPr>
      </w:pPr>
      <w:hyperlink r:id="rId8" w:history="1">
        <w:r w:rsidR="00FC65D6" w:rsidRPr="00B4074A">
          <w:rPr>
            <w:rStyle w:val="Hyperlink"/>
            <w:rFonts w:eastAsiaTheme="majorEastAsia"/>
          </w:rPr>
          <w:t>david.bell@brunel.ac.uk</w:t>
        </w:r>
      </w:hyperlink>
      <w:r w:rsidR="00FC65D6">
        <w:rPr>
          <w:rStyle w:val="Hyperlink"/>
          <w:rFonts w:eastAsiaTheme="majorEastAsia"/>
        </w:rPr>
        <w:t xml:space="preserve"> </w:t>
      </w:r>
      <w:r w:rsidR="00FC65D6">
        <w:rPr>
          <w:i w:val="0"/>
        </w:rPr>
        <w:t>(</w:t>
      </w:r>
      <w:r w:rsidR="00FC65D6" w:rsidRPr="006B713F">
        <w:rPr>
          <w:sz w:val="22"/>
          <w:szCs w:val="22"/>
        </w:rPr>
        <w:t>*corresponding author</w:t>
      </w:r>
      <w:r w:rsidR="00FC65D6">
        <w:rPr>
          <w:i w:val="0"/>
        </w:rPr>
        <w:t xml:space="preserve">) </w:t>
      </w:r>
      <w:r w:rsidR="00FC65D6" w:rsidRPr="00C1290F">
        <w:rPr>
          <w:sz w:val="22"/>
          <w:szCs w:val="22"/>
        </w:rPr>
        <w:t>(</w:t>
      </w:r>
      <w:r w:rsidR="00FC65D6" w:rsidRPr="00C1290F">
        <w:rPr>
          <w:b/>
          <w:bCs/>
          <w:sz w:val="22"/>
          <w:szCs w:val="22"/>
        </w:rPr>
        <w:t>Tel:</w:t>
      </w:r>
      <w:r w:rsidR="00FC65D6" w:rsidRPr="00C1290F">
        <w:rPr>
          <w:sz w:val="22"/>
          <w:szCs w:val="22"/>
        </w:rPr>
        <w:t xml:space="preserve"> +44 (0)1895 265845)</w:t>
      </w:r>
    </w:p>
    <w:p w14:paraId="7F622284" w14:textId="77777777" w:rsidR="00FC65D6" w:rsidRDefault="00AA525D" w:rsidP="00FC65D6">
      <w:pPr>
        <w:pStyle w:val="Affiliation"/>
        <w:spacing w:before="0"/>
        <w:rPr>
          <w:i w:val="0"/>
        </w:rPr>
      </w:pPr>
      <w:hyperlink r:id="rId9" w:history="1">
        <w:r w:rsidR="00FC65D6" w:rsidRPr="00B4074A">
          <w:rPr>
            <w:rStyle w:val="Hyperlink"/>
            <w:rFonts w:eastAsiaTheme="majorEastAsia"/>
          </w:rPr>
          <w:t>alaa.marshan@brunel.ac.uk</w:t>
        </w:r>
      </w:hyperlink>
      <w:r w:rsidR="00FC65D6">
        <w:rPr>
          <w:i w:val="0"/>
        </w:rPr>
        <w:t xml:space="preserve">  </w:t>
      </w:r>
    </w:p>
    <w:p w14:paraId="72D32D04" w14:textId="77777777" w:rsidR="00FC65D6" w:rsidRDefault="00FC65D6" w:rsidP="00FC65D6">
      <w:pPr>
        <w:pStyle w:val="Affiliation"/>
        <w:spacing w:before="0"/>
        <w:rPr>
          <w:sz w:val="32"/>
          <w:szCs w:val="32"/>
          <w:vertAlign w:val="superscript"/>
        </w:rPr>
      </w:pPr>
    </w:p>
    <w:p w14:paraId="2A72F774" w14:textId="77777777" w:rsidR="00FC65D6" w:rsidRDefault="00FC65D6" w:rsidP="00FC65D6">
      <w:pPr>
        <w:pStyle w:val="Affiliation"/>
        <w:spacing w:before="0"/>
      </w:pPr>
      <w:r>
        <w:rPr>
          <w:sz w:val="32"/>
          <w:szCs w:val="32"/>
          <w:vertAlign w:val="superscript"/>
        </w:rPr>
        <w:t>b</w:t>
      </w:r>
      <w:r w:rsidRPr="006B713F">
        <w:t xml:space="preserve"> School of Management, Royal Holloway, University of London,</w:t>
      </w:r>
      <w:r>
        <w:t xml:space="preserve"> Egham Hill, Egham,</w:t>
      </w:r>
      <w:r>
        <w:br/>
        <w:t>Surrey, TW20 0EX,</w:t>
      </w:r>
      <w:r w:rsidRPr="006B713F">
        <w:t xml:space="preserve"> U</w:t>
      </w:r>
      <w:r>
        <w:t xml:space="preserve">nited </w:t>
      </w:r>
      <w:r w:rsidRPr="006B713F">
        <w:t>K</w:t>
      </w:r>
      <w:r>
        <w:t>ingdom; emails:</w:t>
      </w:r>
    </w:p>
    <w:p w14:paraId="178BE081" w14:textId="77777777" w:rsidR="00FC65D6" w:rsidRDefault="00AA525D" w:rsidP="00FC65D6">
      <w:pPr>
        <w:pStyle w:val="Affiliation"/>
        <w:spacing w:before="0"/>
      </w:pPr>
      <w:hyperlink r:id="rId10" w:history="1">
        <w:r w:rsidR="00FC65D6" w:rsidRPr="00AA1422">
          <w:rPr>
            <w:rStyle w:val="Hyperlink"/>
            <w:rFonts w:eastAsiaTheme="majorEastAsia"/>
          </w:rPr>
          <w:t>mark.lycett@rhul.ac.uk</w:t>
        </w:r>
      </w:hyperlink>
    </w:p>
    <w:p w14:paraId="6C3073A7" w14:textId="77777777" w:rsidR="00FC65D6" w:rsidRDefault="00AA525D" w:rsidP="00FC65D6">
      <w:pPr>
        <w:pStyle w:val="Affiliation"/>
        <w:spacing w:before="0"/>
        <w:rPr>
          <w:rFonts w:eastAsiaTheme="majorEastAsia"/>
        </w:rPr>
      </w:pPr>
      <w:hyperlink r:id="rId11" w:history="1">
        <w:r w:rsidR="00FC65D6" w:rsidRPr="00CE70E6">
          <w:rPr>
            <w:rStyle w:val="Hyperlink"/>
            <w:rFonts w:eastAsiaTheme="majorEastAsia"/>
          </w:rPr>
          <w:t>asmat.monaghan@rhul.ac.uk</w:t>
        </w:r>
      </w:hyperlink>
    </w:p>
    <w:p w14:paraId="0F1A13BF" w14:textId="77777777" w:rsidR="00FC65D6" w:rsidRDefault="00FC65D6" w:rsidP="00E2564C">
      <w:pPr>
        <w:pStyle w:val="Text01"/>
      </w:pPr>
    </w:p>
    <w:p w14:paraId="6CEF9EF0" w14:textId="0803A693" w:rsidR="00CF09F8" w:rsidRPr="001365B0" w:rsidRDefault="00CF09F8" w:rsidP="00C8447F">
      <w:pPr>
        <w:pStyle w:val="Heading2"/>
      </w:pPr>
      <w:r w:rsidRPr="001365B0">
        <w:t>Abstract</w:t>
      </w:r>
      <w:r w:rsidR="000E485C">
        <w:t xml:space="preserve"> </w:t>
      </w:r>
    </w:p>
    <w:p w14:paraId="3FB140FE" w14:textId="74393839" w:rsidR="00CF09F8" w:rsidRDefault="00D849CD" w:rsidP="004B4F6B">
      <w:pPr>
        <w:pStyle w:val="Text01"/>
        <w:rPr>
          <w:szCs w:val="24"/>
        </w:rPr>
      </w:pPr>
      <w:r w:rsidRPr="00203940">
        <w:rPr>
          <w:szCs w:val="24"/>
        </w:rPr>
        <w:t>This paper examines the</w:t>
      </w:r>
      <w:r w:rsidR="000E485C" w:rsidRPr="00203940">
        <w:rPr>
          <w:szCs w:val="24"/>
        </w:rPr>
        <w:t xml:space="preserve"> challenges of </w:t>
      </w:r>
      <w:r w:rsidR="00147E3E" w:rsidRPr="00203940">
        <w:rPr>
          <w:szCs w:val="24"/>
        </w:rPr>
        <w:t>leveraging</w:t>
      </w:r>
      <w:r w:rsidR="003F1D22">
        <w:rPr>
          <w:szCs w:val="24"/>
        </w:rPr>
        <w:t xml:space="preserve"> </w:t>
      </w:r>
      <w:r w:rsidRPr="00203940">
        <w:rPr>
          <w:szCs w:val="24"/>
        </w:rPr>
        <w:t xml:space="preserve">big data in the humanitarian sector </w:t>
      </w:r>
      <w:r w:rsidR="00147E3E" w:rsidRPr="00203940">
        <w:rPr>
          <w:szCs w:val="24"/>
        </w:rPr>
        <w:t>in support of</w:t>
      </w:r>
      <w:r w:rsidRPr="00203940">
        <w:rPr>
          <w:szCs w:val="24"/>
        </w:rPr>
        <w:t xml:space="preserve"> </w:t>
      </w:r>
      <w:r w:rsidR="001835F7" w:rsidRPr="00203940">
        <w:rPr>
          <w:szCs w:val="24"/>
        </w:rPr>
        <w:t>UN</w:t>
      </w:r>
      <w:r w:rsidRPr="00203940">
        <w:rPr>
          <w:szCs w:val="24"/>
        </w:rPr>
        <w:t xml:space="preserve"> Sustainable Development Go</w:t>
      </w:r>
      <w:r w:rsidR="00882F3A" w:rsidRPr="00203940">
        <w:rPr>
          <w:szCs w:val="24"/>
        </w:rPr>
        <w:t>al 17</w:t>
      </w:r>
      <w:r w:rsidR="009A2EED" w:rsidRPr="00203940">
        <w:rPr>
          <w:szCs w:val="24"/>
        </w:rPr>
        <w:t xml:space="preserve"> </w:t>
      </w:r>
      <w:r w:rsidR="00882F3A" w:rsidRPr="00203940">
        <w:rPr>
          <w:szCs w:val="24"/>
        </w:rPr>
        <w:t>“</w:t>
      </w:r>
      <w:r w:rsidR="00882F3A" w:rsidRPr="00203940">
        <w:rPr>
          <w:i/>
          <w:iCs/>
          <w:szCs w:val="24"/>
        </w:rPr>
        <w:t>Partnerships for the Goals</w:t>
      </w:r>
      <w:r w:rsidR="00882F3A" w:rsidRPr="00203940">
        <w:rPr>
          <w:szCs w:val="24"/>
        </w:rPr>
        <w:t>”</w:t>
      </w:r>
      <w:r w:rsidRPr="00203940">
        <w:rPr>
          <w:szCs w:val="24"/>
        </w:rPr>
        <w:t xml:space="preserve">.  </w:t>
      </w:r>
      <w:r w:rsidR="00CF09F8" w:rsidRPr="00203940">
        <w:rPr>
          <w:szCs w:val="24"/>
        </w:rPr>
        <w:t xml:space="preserve">The full promise of Big Data is underpinned by a tacit assumption that the heterogeneous ‘exhaust trail’ of data </w:t>
      </w:r>
      <w:r w:rsidR="003A7616" w:rsidRPr="00203940">
        <w:rPr>
          <w:szCs w:val="24"/>
        </w:rPr>
        <w:t xml:space="preserve">is </w:t>
      </w:r>
      <w:r w:rsidR="00CF09F8" w:rsidRPr="00203940">
        <w:rPr>
          <w:szCs w:val="24"/>
        </w:rPr>
        <w:t>contextually relevant and sufficiently granu</w:t>
      </w:r>
      <w:r w:rsidR="000E485C" w:rsidRPr="00203940">
        <w:rPr>
          <w:szCs w:val="24"/>
        </w:rPr>
        <w:t>lar to be mined for value</w:t>
      </w:r>
      <w:r w:rsidR="00696666" w:rsidRPr="00203940">
        <w:rPr>
          <w:szCs w:val="24"/>
        </w:rPr>
        <w:t>. T</w:t>
      </w:r>
      <w:r w:rsidR="00147E3E" w:rsidRPr="00203940">
        <w:rPr>
          <w:szCs w:val="24"/>
        </w:rPr>
        <w:t>his</w:t>
      </w:r>
      <w:r w:rsidR="00CF09F8" w:rsidRPr="00203940">
        <w:rPr>
          <w:szCs w:val="24"/>
        </w:rPr>
        <w:t xml:space="preserve"> promise</w:t>
      </w:r>
      <w:r w:rsidR="00147E3E" w:rsidRPr="00203940">
        <w:rPr>
          <w:szCs w:val="24"/>
        </w:rPr>
        <w:t>, however,</w:t>
      </w:r>
      <w:r w:rsidR="00CF09F8" w:rsidRPr="00203940">
        <w:rPr>
          <w:szCs w:val="24"/>
        </w:rPr>
        <w:t xml:space="preserve"> relies </w:t>
      </w:r>
      <w:r w:rsidR="00696666" w:rsidRPr="00203940">
        <w:rPr>
          <w:szCs w:val="24"/>
        </w:rPr>
        <w:t>on relationality</w:t>
      </w:r>
      <w:r w:rsidR="00CA161B">
        <w:rPr>
          <w:szCs w:val="24"/>
        </w:rPr>
        <w:t xml:space="preserve"> – that </w:t>
      </w:r>
      <w:r w:rsidR="007776FC" w:rsidRPr="00203940">
        <w:rPr>
          <w:color w:val="000000"/>
          <w:szCs w:val="24"/>
          <w:shd w:val="clear" w:color="auto" w:fill="FFFFFF"/>
        </w:rPr>
        <w:t>patterns can be derived from combining different pieces of data</w:t>
      </w:r>
      <w:r w:rsidR="007E3067">
        <w:rPr>
          <w:szCs w:val="24"/>
        </w:rPr>
        <w:t xml:space="preserve"> that</w:t>
      </w:r>
      <w:r w:rsidR="00CC21D1">
        <w:rPr>
          <w:szCs w:val="24"/>
        </w:rPr>
        <w:t xml:space="preserve"> are </w:t>
      </w:r>
      <w:r w:rsidR="00696666" w:rsidRPr="00203940">
        <w:rPr>
          <w:szCs w:val="24"/>
        </w:rPr>
        <w:t xml:space="preserve">of corresponding </w:t>
      </w:r>
      <w:r w:rsidR="00B07E62" w:rsidRPr="00203940">
        <w:rPr>
          <w:szCs w:val="24"/>
        </w:rPr>
        <w:t xml:space="preserve">detail or </w:t>
      </w:r>
      <w:r w:rsidR="00CC21D1">
        <w:rPr>
          <w:szCs w:val="24"/>
        </w:rPr>
        <w:t xml:space="preserve">that there are </w:t>
      </w:r>
      <w:r w:rsidR="00B07E62" w:rsidRPr="00203940">
        <w:rPr>
          <w:szCs w:val="24"/>
        </w:rPr>
        <w:t xml:space="preserve">effective mechanisms </w:t>
      </w:r>
      <w:r w:rsidR="00696666" w:rsidRPr="00203940">
        <w:rPr>
          <w:szCs w:val="24"/>
        </w:rPr>
        <w:t>to resolve</w:t>
      </w:r>
      <w:r w:rsidR="00B07E62" w:rsidRPr="00203940">
        <w:rPr>
          <w:szCs w:val="24"/>
        </w:rPr>
        <w:t xml:space="preserve"> differences in </w:t>
      </w:r>
      <w:r w:rsidR="00696666" w:rsidRPr="00203940">
        <w:rPr>
          <w:szCs w:val="24"/>
        </w:rPr>
        <w:t>detail</w:t>
      </w:r>
      <w:r w:rsidR="00B07E62" w:rsidRPr="00203940">
        <w:rPr>
          <w:szCs w:val="24"/>
        </w:rPr>
        <w:t xml:space="preserve">. </w:t>
      </w:r>
      <w:r w:rsidR="00985CEA">
        <w:rPr>
          <w:szCs w:val="24"/>
        </w:rPr>
        <w:t>Here,</w:t>
      </w:r>
      <w:r w:rsidR="009D7FB7" w:rsidRPr="00203940">
        <w:rPr>
          <w:szCs w:val="24"/>
        </w:rPr>
        <w:t xml:space="preserve"> we </w:t>
      </w:r>
      <w:r w:rsidR="002C6F6B">
        <w:rPr>
          <w:szCs w:val="24"/>
        </w:rPr>
        <w:t>present</w:t>
      </w:r>
      <w:r w:rsidR="009D7FB7" w:rsidRPr="00203940">
        <w:rPr>
          <w:szCs w:val="24"/>
        </w:rPr>
        <w:t xml:space="preserve"> </w:t>
      </w:r>
      <w:r w:rsidR="00696666" w:rsidRPr="00203940">
        <w:rPr>
          <w:szCs w:val="24"/>
        </w:rPr>
        <w:t xml:space="preserve">empirical work integrating eight heterogeneous datasets from the humanitarian domain </w:t>
      </w:r>
      <w:r w:rsidR="009D7FB7" w:rsidRPr="00203940">
        <w:rPr>
          <w:szCs w:val="24"/>
        </w:rPr>
        <w:t xml:space="preserve">to </w:t>
      </w:r>
      <w:r w:rsidR="00696666" w:rsidRPr="00203940">
        <w:rPr>
          <w:szCs w:val="24"/>
        </w:rPr>
        <w:t xml:space="preserve">provide evidence of the </w:t>
      </w:r>
      <w:r w:rsidR="004511E0" w:rsidRPr="00203940">
        <w:rPr>
          <w:szCs w:val="24"/>
        </w:rPr>
        <w:t xml:space="preserve">inherent challenge of </w:t>
      </w:r>
      <w:r w:rsidR="00696666" w:rsidRPr="00203940">
        <w:rPr>
          <w:szCs w:val="24"/>
        </w:rPr>
        <w:t xml:space="preserve">complexity </w:t>
      </w:r>
      <w:r w:rsidR="004511E0" w:rsidRPr="00203940">
        <w:rPr>
          <w:szCs w:val="24"/>
        </w:rPr>
        <w:t>resulting from</w:t>
      </w:r>
      <w:r w:rsidR="00696666" w:rsidRPr="00203940">
        <w:rPr>
          <w:szCs w:val="24"/>
        </w:rPr>
        <w:t xml:space="preserve"> diffe</w:t>
      </w:r>
      <w:r w:rsidR="004511E0" w:rsidRPr="00203940">
        <w:rPr>
          <w:szCs w:val="24"/>
        </w:rPr>
        <w:t>ring levels of data granularity. In clarifying this</w:t>
      </w:r>
      <w:r w:rsidR="00CF09F8" w:rsidRPr="00203940">
        <w:rPr>
          <w:szCs w:val="24"/>
        </w:rPr>
        <w:t xml:space="preserve"> challenge, we explore the reasons why it is manifest, discuss strategies for addressing it and</w:t>
      </w:r>
      <w:r w:rsidR="009D7FB7" w:rsidRPr="00203940">
        <w:rPr>
          <w:szCs w:val="24"/>
        </w:rPr>
        <w:t xml:space="preserve">, as our principal contribution, </w:t>
      </w:r>
      <w:r w:rsidR="00CF09F8" w:rsidRPr="00203940">
        <w:rPr>
          <w:szCs w:val="24"/>
        </w:rPr>
        <w:t xml:space="preserve">identify </w:t>
      </w:r>
      <w:r w:rsidR="00B07E62" w:rsidRPr="00203940">
        <w:rPr>
          <w:szCs w:val="24"/>
        </w:rPr>
        <w:t>five propositions to guide future research</w:t>
      </w:r>
      <w:r w:rsidR="00CF09F8" w:rsidRPr="00203940">
        <w:rPr>
          <w:szCs w:val="24"/>
        </w:rPr>
        <w:t>.</w:t>
      </w:r>
    </w:p>
    <w:p w14:paraId="588B0B28" w14:textId="77777777" w:rsidR="00FC65D6" w:rsidRPr="00FC65D6" w:rsidRDefault="00FC65D6" w:rsidP="00FC65D6">
      <w:pPr>
        <w:spacing w:before="100" w:beforeAutospacing="1" w:after="100" w:afterAutospacing="1"/>
        <w:rPr>
          <w:rFonts w:cstheme="minorHAnsi"/>
          <w:bCs/>
          <w:sz w:val="24"/>
          <w:szCs w:val="24"/>
        </w:rPr>
      </w:pPr>
      <w:r w:rsidRPr="00FC65D6">
        <w:rPr>
          <w:rFonts w:asciiTheme="majorHAnsi" w:eastAsiaTheme="majorEastAsia" w:hAnsiTheme="majorHAnsi" w:cstheme="majorBidi"/>
          <w:b/>
          <w:color w:val="7F7F7F" w:themeColor="text1" w:themeTint="80"/>
          <w:sz w:val="26"/>
          <w:szCs w:val="26"/>
        </w:rPr>
        <w:t>Keywords:</w:t>
      </w:r>
      <w:r w:rsidRPr="006B713F">
        <w:rPr>
          <w:rFonts w:ascii="Times New Roman" w:hAnsi="Times New Roman" w:cs="Times New Roman"/>
        </w:rPr>
        <w:t xml:space="preserve"> </w:t>
      </w:r>
      <w:r w:rsidRPr="00FC65D6">
        <w:rPr>
          <w:rFonts w:cstheme="minorHAnsi"/>
          <w:bCs/>
          <w:sz w:val="24"/>
          <w:szCs w:val="24"/>
        </w:rPr>
        <w:t>Big Data; Veracity; Granularity, Heterogeneous Datasets, Humanitarian, Value</w:t>
      </w:r>
    </w:p>
    <w:p w14:paraId="54E68A01" w14:textId="77777777" w:rsidR="00FC65D6" w:rsidRDefault="00FC65D6" w:rsidP="00FC65D6">
      <w:pPr>
        <w:pStyle w:val="Text01"/>
      </w:pPr>
    </w:p>
    <w:p w14:paraId="2E75C4CA" w14:textId="77777777" w:rsidR="00FC65D6" w:rsidRDefault="00FC65D6" w:rsidP="00FC65D6">
      <w:pPr>
        <w:pStyle w:val="Title"/>
        <w:pageBreakBefore/>
      </w:pPr>
    </w:p>
    <w:p w14:paraId="2C5A5A9D" w14:textId="77777777" w:rsidR="00FC65D6" w:rsidRDefault="00FC65D6" w:rsidP="00FC65D6">
      <w:pPr>
        <w:pStyle w:val="Title"/>
      </w:pPr>
    </w:p>
    <w:p w14:paraId="070009DD" w14:textId="77777777" w:rsidR="00FC65D6" w:rsidRDefault="00FC65D6" w:rsidP="00FC65D6">
      <w:pPr>
        <w:pStyle w:val="Title"/>
      </w:pPr>
    </w:p>
    <w:p w14:paraId="06F68C31" w14:textId="77777777" w:rsidR="00FC65D6" w:rsidRDefault="00FC65D6" w:rsidP="00FC65D6">
      <w:pPr>
        <w:pStyle w:val="Title"/>
      </w:pPr>
    </w:p>
    <w:p w14:paraId="5E9AA1D0" w14:textId="77777777" w:rsidR="00FC65D6" w:rsidRDefault="00FC65D6" w:rsidP="00FC65D6">
      <w:pPr>
        <w:pStyle w:val="Title"/>
      </w:pPr>
    </w:p>
    <w:p w14:paraId="1528780C" w14:textId="77777777" w:rsidR="00FC65D6" w:rsidRDefault="00FC65D6" w:rsidP="00FC65D6">
      <w:pPr>
        <w:pStyle w:val="Title"/>
      </w:pPr>
    </w:p>
    <w:p w14:paraId="1AF7066F" w14:textId="77777777" w:rsidR="00FC65D6" w:rsidRDefault="00FC65D6" w:rsidP="00FC65D6">
      <w:pPr>
        <w:pStyle w:val="Title"/>
      </w:pPr>
    </w:p>
    <w:p w14:paraId="588D7635" w14:textId="77777777" w:rsidR="00FC65D6" w:rsidRDefault="00FC65D6" w:rsidP="00FC65D6">
      <w:pPr>
        <w:pStyle w:val="Title"/>
      </w:pPr>
    </w:p>
    <w:p w14:paraId="6C1A1282" w14:textId="11BE9CAE" w:rsidR="00FC65D6" w:rsidRPr="00FC65D6" w:rsidRDefault="00FC65D6" w:rsidP="00FC65D6">
      <w:pPr>
        <w:pStyle w:val="Title"/>
        <w:spacing w:line="276" w:lineRule="auto"/>
        <w:rPr>
          <w:rFonts w:asciiTheme="minorHAnsi" w:hAnsiTheme="minorHAnsi" w:cstheme="minorHAnsi"/>
          <w:b/>
          <w:bCs/>
          <w:sz w:val="56"/>
          <w:szCs w:val="56"/>
        </w:rPr>
      </w:pPr>
      <w:r w:rsidRPr="00FC65D6">
        <w:rPr>
          <w:rFonts w:asciiTheme="minorHAnsi" w:hAnsiTheme="minorHAnsi" w:cstheme="minorHAnsi"/>
          <w:b/>
          <w:bCs/>
          <w:sz w:val="56"/>
          <w:szCs w:val="56"/>
        </w:rPr>
        <w:t>Exploring Future Challenges for Big Data in the Humanitarian Domain</w:t>
      </w:r>
    </w:p>
    <w:p w14:paraId="522EE528" w14:textId="1AD7115A" w:rsidR="00FC65D6" w:rsidRDefault="00FC65D6" w:rsidP="004B4F6B">
      <w:pPr>
        <w:pStyle w:val="Text01"/>
        <w:rPr>
          <w:szCs w:val="24"/>
        </w:rPr>
      </w:pPr>
    </w:p>
    <w:p w14:paraId="47C16BA2" w14:textId="77777777" w:rsidR="00FC65D6" w:rsidRDefault="00FC65D6" w:rsidP="004B4F6B">
      <w:pPr>
        <w:pStyle w:val="Text01"/>
        <w:rPr>
          <w:szCs w:val="24"/>
        </w:rPr>
      </w:pPr>
    </w:p>
    <w:p w14:paraId="5941884C" w14:textId="77777777" w:rsidR="00FC65D6" w:rsidRPr="008119FA" w:rsidRDefault="00FC65D6" w:rsidP="00FC65D6">
      <w:pPr>
        <w:pStyle w:val="Heading1"/>
        <w:pageBreakBefore/>
        <w:spacing w:after="240" w:line="480" w:lineRule="auto"/>
        <w:rPr>
          <w:sz w:val="28"/>
          <w:szCs w:val="30"/>
        </w:rPr>
      </w:pPr>
      <w:r w:rsidRPr="008119FA">
        <w:rPr>
          <w:sz w:val="28"/>
          <w:szCs w:val="30"/>
        </w:rPr>
        <w:lastRenderedPageBreak/>
        <w:t>Exploring Future Challenges for Big Data in the Humanitarian Domain</w:t>
      </w:r>
    </w:p>
    <w:p w14:paraId="0E172805" w14:textId="24649703" w:rsidR="00CF09F8" w:rsidRPr="001365B0" w:rsidRDefault="00CF09F8" w:rsidP="004B4F6B">
      <w:pPr>
        <w:pStyle w:val="Heading2"/>
      </w:pPr>
      <w:r w:rsidRPr="001365B0">
        <w:t>Introduction</w:t>
      </w:r>
      <w:r w:rsidR="00C53351">
        <w:t xml:space="preserve"> </w:t>
      </w:r>
    </w:p>
    <w:p w14:paraId="78414113" w14:textId="15639B39" w:rsidR="00F908C2" w:rsidRDefault="002F6BAE" w:rsidP="004B4F6B">
      <w:pPr>
        <w:pStyle w:val="Text01"/>
      </w:pPr>
      <w:r>
        <w:t xml:space="preserve">Aid is typically perceived to be of two </w:t>
      </w:r>
      <w:r w:rsidR="00B23599">
        <w:t xml:space="preserve">basic </w:t>
      </w:r>
      <w:r>
        <w:t xml:space="preserve">types, development aid and humanitarian aid. </w:t>
      </w:r>
      <w:r w:rsidR="002E0568">
        <w:t>D</w:t>
      </w:r>
      <w:r w:rsidR="00072F7D">
        <w:t xml:space="preserve">evelopment </w:t>
      </w:r>
      <w:r w:rsidR="002E0568">
        <w:t>aid concentrates</w:t>
      </w:r>
      <w:r w:rsidR="00072F7D">
        <w:t xml:space="preserve"> on systematic change over the long-term</w:t>
      </w:r>
      <w:r w:rsidR="006C6530">
        <w:t xml:space="preserve"> in support of developing countries. </w:t>
      </w:r>
      <w:r w:rsidR="00105A67">
        <w:t>In contrast, humanitarian aid</w:t>
      </w:r>
      <w:r w:rsidR="00072F7D">
        <w:t xml:space="preserve"> </w:t>
      </w:r>
      <w:r w:rsidR="00105A67">
        <w:t xml:space="preserve">concentrates on </w:t>
      </w:r>
      <w:proofErr w:type="gramStart"/>
      <w:r w:rsidR="00105A67">
        <w:t xml:space="preserve">providing </w:t>
      </w:r>
      <w:r w:rsidR="00717033">
        <w:t>highly</w:t>
      </w:r>
      <w:proofErr w:type="gramEnd"/>
      <w:r w:rsidR="00717033">
        <w:t xml:space="preserve"> </w:t>
      </w:r>
      <w:r w:rsidR="002A3E19">
        <w:t xml:space="preserve">time-sensitive and </w:t>
      </w:r>
      <w:r w:rsidR="00072F7D">
        <w:t xml:space="preserve">context-driven </w:t>
      </w:r>
      <w:r w:rsidR="00C06FF7">
        <w:t>assistance</w:t>
      </w:r>
      <w:r w:rsidR="00717033">
        <w:t xml:space="preserve"> </w:t>
      </w:r>
      <w:r w:rsidR="00C06FF7">
        <w:t>to address</w:t>
      </w:r>
      <w:r w:rsidR="006C6530">
        <w:t xml:space="preserve"> the </w:t>
      </w:r>
      <w:r w:rsidR="00717033">
        <w:t>urgent</w:t>
      </w:r>
      <w:r w:rsidR="00072F7D">
        <w:t xml:space="preserve"> needs</w:t>
      </w:r>
      <w:r w:rsidR="00564144">
        <w:t xml:space="preserve"> of those affected by </w:t>
      </w:r>
      <w:r w:rsidR="006C6530">
        <w:t>disaster</w:t>
      </w:r>
      <w:r w:rsidR="00072F7D">
        <w:t xml:space="preserve">. </w:t>
      </w:r>
      <w:r w:rsidR="009D7FB7">
        <w:t>T</w:t>
      </w:r>
      <w:r w:rsidR="00105A67">
        <w:t xml:space="preserve">his </w:t>
      </w:r>
      <w:r w:rsidR="00344459">
        <w:t xml:space="preserve">distinction </w:t>
      </w:r>
      <w:r w:rsidR="00F908C2">
        <w:t xml:space="preserve">is </w:t>
      </w:r>
      <w:r w:rsidR="003109DD">
        <w:t xml:space="preserve">increasingly </w:t>
      </w:r>
      <w:r w:rsidR="00F908C2">
        <w:t xml:space="preserve">challenged. </w:t>
      </w:r>
      <w:r w:rsidR="00D82520">
        <w:t>From a practice perspective</w:t>
      </w:r>
      <w:r w:rsidR="00F908C2">
        <w:t>,</w:t>
      </w:r>
      <w:r w:rsidR="00B74D93">
        <w:t xml:space="preserve"> </w:t>
      </w:r>
      <w:r w:rsidR="00D82520">
        <w:t xml:space="preserve">for example, </w:t>
      </w:r>
      <w:r w:rsidR="00173CBD">
        <w:t>humanitarian actors</w:t>
      </w:r>
      <w:r w:rsidR="004C0AF1">
        <w:t xml:space="preserve"> </w:t>
      </w:r>
      <w:r w:rsidR="00F908C2">
        <w:t xml:space="preserve">often </w:t>
      </w:r>
      <w:r w:rsidR="004C0AF1">
        <w:t>extend the boun</w:t>
      </w:r>
      <w:r w:rsidR="002E0165">
        <w:t xml:space="preserve">daries of </w:t>
      </w:r>
      <w:r w:rsidR="004C0AF1">
        <w:t xml:space="preserve">post emergency </w:t>
      </w:r>
      <w:r w:rsidR="002E0165">
        <w:t>aid</w:t>
      </w:r>
      <w:r w:rsidR="006C6530">
        <w:t xml:space="preserve"> </w:t>
      </w:r>
      <w:r w:rsidR="006C6530" w:rsidRPr="00E93ACA">
        <w:t>–</w:t>
      </w:r>
      <w:r w:rsidR="002E0165" w:rsidRPr="00E93ACA">
        <w:t xml:space="preserve"> </w:t>
      </w:r>
      <w:r w:rsidR="00105A67">
        <w:t xml:space="preserve">potentially </w:t>
      </w:r>
      <w:r w:rsidR="00F908C2">
        <w:t>me</w:t>
      </w:r>
      <w:r w:rsidR="00D82520">
        <w:t>rging</w:t>
      </w:r>
      <w:r w:rsidR="00F908C2">
        <w:t xml:space="preserve"> </w:t>
      </w:r>
      <w:r w:rsidR="004C0AF1">
        <w:t xml:space="preserve">the </w:t>
      </w:r>
      <w:r w:rsidR="00340CEA">
        <w:t xml:space="preserve">original intent and the ultimate application of the aid provided </w:t>
      </w:r>
      <w:r w:rsidR="007B38E7">
        <w:fldChar w:fldCharType="begin" w:fldLock="1"/>
      </w:r>
      <w:r w:rsidR="002A3E19">
        <w:instrText>ADDIN CSL_CITATION {"citationItems":[{"id":"ITEM-1","itemData":{"author":[{"dropping-particle":"","family":"Buchanan-Smith","given":"Margie","non-dropping-particle":"","parse-names":false,"suffix":""},{"dropping-particle":"","family":"Fabbri","given":"Paola","non-dropping-particle":"","parse-names":false,"suffix":""}],"container-title":"Tsunami Evaluation Coalition","editor":[{"dropping-particle":"","family":"Coalition","given":"Tsunami Evaluation","non-dropping-particle":"","parse-names":false,"suffix":""}],"id":"ITEM-1","issued":{"date-parts":[["2005"]]},"number-of-pages":"50 pages","title":"Linking relief, rehabilitation and development. A review of the debate","type":"report"},"uris":["http://www.mendeley.com/documents/?uuid=a0a39336-5c96-4cf7-aad9-2789b0665ffc"]},{"id":"ITEM-2","itemData":{"ISBN":"978-0199544462","author":[{"dropping-particle":"","family":"Riddell","given":"Roger C","non-dropping-particle":"","parse-names":false,"suffix":""}],"chapter-number":"18","container-title":"Does Foreign Aid Really Work?","id":"ITEM-2","issued":{"date-parts":[["2008"]]},"note":"Amazon Summary\n\n&amp;quot;Foreign aid is now a $100bn business and is expanding more rapidly today than it has for a generation. But does it work? Indeed, is it needed at all?\nOther attempts to answer these important questions have been dominated by a focus on the impact of official aid provided by governments. But today possibly as much as 30 percent of aid is provided by Non-Governmental Organizations (NGOs), and over 10 percent is provided as emergency assistance.\nIn this first-ever attempt to provide an overall assessment of aid, Roger Riddell presents a rigorous but highly readable account of aid, warts and all. Does Foreign Aid Really Work? sets out the evidence and exposes the instances where aid has failed and explains why. The book also examines the way that politics distorts aid, and disentangles the moral and ethical assumptions that lie behind the belief that aid does good. The book concludes by detailing the practical ways that aid needs to change if it is to be the effective force for good that its providers claim it is.&amp;quot;","page":"311-324","publisher":"Oxford University Press","publisher-place":"Oxford, United Kingdom","title":"The growth of emergencies and the humanitarian response","type":"chapter"},"uris":["http://www.mendeley.com/documents/?uuid=8325730b-1ee7-43b0-88ba-d11a96b1f40d"]}],"mendeley":{"formattedCitation":"(Buchanan-Smith &amp; Fabbri, 2005; Riddell, 2008)","plainTextFormattedCitation":"(Buchanan-Smith &amp; Fabbri, 2005; Riddell, 2008)","previouslyFormattedCitation":"(Buchanan-Smith &amp; Fabbri, 2005; Riddell, 2008)"},"properties":{"noteIndex":0},"schema":"https://github.com/citation-style-language/schema/raw/master/csl-citation.json"}</w:instrText>
      </w:r>
      <w:r w:rsidR="007B38E7">
        <w:fldChar w:fldCharType="separate"/>
      </w:r>
      <w:r w:rsidR="007B38E7" w:rsidRPr="007B38E7">
        <w:rPr>
          <w:noProof/>
        </w:rPr>
        <w:t>(Buchanan-Smith &amp; Fabbri, 2005; Riddell, 2008)</w:t>
      </w:r>
      <w:r w:rsidR="007B38E7">
        <w:fldChar w:fldCharType="end"/>
      </w:r>
      <w:r w:rsidR="00717033">
        <w:t xml:space="preserve">. </w:t>
      </w:r>
      <w:r w:rsidR="00F908C2">
        <w:t>From a policy perspective</w:t>
      </w:r>
      <w:r w:rsidR="003109DD">
        <w:t xml:space="preserve">, </w:t>
      </w:r>
      <w:r w:rsidR="00B74D93">
        <w:t xml:space="preserve">the United Nations General Assembly </w:t>
      </w:r>
      <w:r w:rsidR="00F908C2">
        <w:t xml:space="preserve">has </w:t>
      </w:r>
      <w:r w:rsidR="00B74D93">
        <w:t xml:space="preserve">established 17 interconnected United Nations Sustainable Development Goals (UNSDGs) </w:t>
      </w:r>
      <w:r w:rsidR="00564144">
        <w:t>to</w:t>
      </w:r>
      <w:r w:rsidR="00B74D93">
        <w:t xml:space="preserve"> extend global efforts beyond the </w:t>
      </w:r>
      <w:r w:rsidR="00437DBD">
        <w:t>flow</w:t>
      </w:r>
      <w:r w:rsidR="00B74D93">
        <w:t xml:space="preserve"> of aid </w:t>
      </w:r>
      <w:r w:rsidR="00B74D93">
        <w:fldChar w:fldCharType="begin" w:fldLock="1"/>
      </w:r>
      <w:r w:rsidR="00B5326B">
        <w:instrText>ADDIN CSL_CITATION {"citationItems":[{"id":"ITEM-1","itemData":{"URL":"https://www.un.org/sustainabledevelopment/","accessed":{"date-parts":[["2019","5","19"]]},"author":[{"dropping-particle":"","family":"United Nations","given":"","non-dropping-particle":"","parse-names":false,"suffix":""}],"container-title":"UNSDG","editor":[{"dropping-particle":"","family":"United Nations","given":"","non-dropping-particle":"","parse-names":false,"suffix":""}],"id":"ITEM-1","issued":{"date-parts":[["2015"]]},"title":"Sustainable Development Goals","type":"webpage"},"uris":["http://www.mendeley.com/documents/?uuid=299c2bce-fce2-46a4-ae19-46eff425faa4"]}],"mendeley":{"formattedCitation":"(United Nations, 2015c)","plainTextFormattedCitation":"(United Nations, 2015c)","previouslyFormattedCitation":"(United Nations, 2015c)"},"properties":{"noteIndex":0},"schema":"https://github.com/citation-style-language/schema/raw/master/csl-citation.json"}</w:instrText>
      </w:r>
      <w:r w:rsidR="00B74D93">
        <w:fldChar w:fldCharType="separate"/>
      </w:r>
      <w:r w:rsidR="00104B5B" w:rsidRPr="00104B5B">
        <w:rPr>
          <w:noProof/>
        </w:rPr>
        <w:t>(United Nations, 2015c)</w:t>
      </w:r>
      <w:r w:rsidR="00B74D93">
        <w:fldChar w:fldCharType="end"/>
      </w:r>
      <w:r w:rsidR="00B74D93">
        <w:t xml:space="preserve">. Inherent in these goals is a </w:t>
      </w:r>
      <w:r w:rsidR="00564144">
        <w:t xml:space="preserve">need for </w:t>
      </w:r>
      <w:r w:rsidR="00B74D93">
        <w:t>joined-up thinking</w:t>
      </w:r>
      <w:r w:rsidR="00564144">
        <w:t xml:space="preserve">, </w:t>
      </w:r>
      <w:r w:rsidR="00B74D93">
        <w:t xml:space="preserve">made explicit by UNSDG 17 </w:t>
      </w:r>
      <w:r w:rsidR="00B74D93" w:rsidRPr="00833958">
        <w:t>“</w:t>
      </w:r>
      <w:r w:rsidR="00B74D93" w:rsidRPr="00011646">
        <w:rPr>
          <w:i/>
        </w:rPr>
        <w:t>Partnerships for the Goals</w:t>
      </w:r>
      <w:r w:rsidR="00B74D93" w:rsidRPr="00833958">
        <w:t>”</w:t>
      </w:r>
      <w:r w:rsidR="00B74D93">
        <w:t xml:space="preserve"> </w:t>
      </w:r>
      <w:r w:rsidR="00B74D93">
        <w:fldChar w:fldCharType="begin" w:fldLock="1"/>
      </w:r>
      <w:r w:rsidR="00B5326B">
        <w:instrText>ADDIN CSL_CITATION {"citationItems":[{"id":"ITEM-1","itemData":{"URL":"https://sustainabledevelopment.un.org/sdg17","accessed":{"date-parts":[["2019","5","19"]]},"author":[{"dropping-particle":"","family":"United Nations","given":"","non-dropping-particle":"","parse-names":false,"suffix":""}],"container-title":"United Nations","editor":[{"dropping-particle":"","family":"United Nations","given":"","non-dropping-particle":"","parse-names":false,"suffix":""}],"id":"ITEM-1","issued":{"date-parts":[["2015"]]},"publisher-place":"On-line","title":"Sustainable Development Goal 17: Partnerships for the Goals","type":"webpage"},"uris":["http://www.mendeley.com/documents/?uuid=0df4209a-6da8-4ee4-880a-a1a84f81c70c"]}],"mendeley":{"formattedCitation":"(United Nations, 2015b)","plainTextFormattedCitation":"(United Nations, 2015b)","previouslyFormattedCitation":"(United Nations, 2015b)"},"properties":{"noteIndex":0},"schema":"https://github.com/citation-style-language/schema/raw/master/csl-citation.json"}</w:instrText>
      </w:r>
      <w:r w:rsidR="00B74D93">
        <w:fldChar w:fldCharType="separate"/>
      </w:r>
      <w:r w:rsidR="00104B5B" w:rsidRPr="00104B5B">
        <w:rPr>
          <w:noProof/>
        </w:rPr>
        <w:t>(United Nations, 2015b)</w:t>
      </w:r>
      <w:r w:rsidR="00B74D93">
        <w:fldChar w:fldCharType="end"/>
      </w:r>
      <w:r w:rsidR="00F908C2">
        <w:t xml:space="preserve">, which </w:t>
      </w:r>
      <w:r w:rsidR="00B74D93">
        <w:t xml:space="preserve">further blurs the line between development aid and </w:t>
      </w:r>
      <w:r w:rsidR="00A576DE">
        <w:t>humanitarian</w:t>
      </w:r>
      <w:r w:rsidR="00B74D93">
        <w:t xml:space="preserve"> aid</w:t>
      </w:r>
      <w:r w:rsidR="00D82520">
        <w:t>. A</w:t>
      </w:r>
      <w:r w:rsidR="00EC42EA">
        <w:t xml:space="preserve">s </w:t>
      </w:r>
      <w:r w:rsidR="00D82520">
        <w:t xml:space="preserve">noted </w:t>
      </w:r>
      <w:r w:rsidR="00EC42EA">
        <w:t xml:space="preserve">by </w:t>
      </w:r>
      <w:r w:rsidR="00F908C2">
        <w:t xml:space="preserve">the </w:t>
      </w:r>
      <w:r w:rsidR="00EC42EA">
        <w:t>UN Secretary General</w:t>
      </w:r>
      <w:r w:rsidR="00F908C2">
        <w:t xml:space="preserve"> </w:t>
      </w:r>
      <w:r w:rsidR="00F60354">
        <w:t>– “</w:t>
      </w:r>
      <w:r w:rsidR="00F60354" w:rsidRPr="0009361B">
        <w:t>Humanitarian actors need to move beyond repeatedly carrying out short-term interventions year after year towards contributing to the achievement of longer-term development results”</w:t>
      </w:r>
      <w:r w:rsidR="007917F0">
        <w:t xml:space="preserve"> </w:t>
      </w:r>
      <w:r w:rsidR="00F17972">
        <w:fldChar w:fldCharType="begin" w:fldLock="1"/>
      </w:r>
      <w:r w:rsidR="00F619D9">
        <w:instrText>ADDIN CSL_CITATION {"citationItems":[{"id":"ITEM-1","itemData":{"author":[{"dropping-particle":"","family":"Ki-moon","given":"Ban","non-dropping-particle":"","parse-names":false,"suffix":""}],"container-title":"World Humanitarian Summit","id":"ITEM-1","issued":{"date-parts":[["2016"]]},"number-of-pages":"62","publisher-place":"New York","title":"One humanity: Shared responsibility (Report of the Secretary-General for the World Humanitarian Summit)","type":"report"},"uris":["http://www.mendeley.com/documents/?uuid=c8f29af3-4680-4961-ae91-7362c0e66c48"]}],"mendeley":{"formattedCitation":"(Ki-moon, 2016)","manualFormatting":"(Ki-moon, 2016 p. 32)","plainTextFormattedCitation":"(Ki-moon, 2016)","previouslyFormattedCitation":"(Ki-moon, 2016)"},"properties":{"noteIndex":0},"schema":"https://github.com/citation-style-language/schema/raw/master/csl-citation.json"}</w:instrText>
      </w:r>
      <w:r w:rsidR="00F17972">
        <w:fldChar w:fldCharType="separate"/>
      </w:r>
      <w:r w:rsidR="00F17972" w:rsidRPr="00F17972">
        <w:rPr>
          <w:noProof/>
        </w:rPr>
        <w:t>(Ki-moon, 2016</w:t>
      </w:r>
      <w:r w:rsidR="00F619D9">
        <w:rPr>
          <w:noProof/>
        </w:rPr>
        <w:t xml:space="preserve"> </w:t>
      </w:r>
      <w:r w:rsidR="00F619D9" w:rsidRPr="00510739">
        <w:rPr>
          <w:noProof/>
        </w:rPr>
        <w:t>p. 32</w:t>
      </w:r>
      <w:r w:rsidR="00F17972" w:rsidRPr="00F17972">
        <w:rPr>
          <w:noProof/>
        </w:rPr>
        <w:t>)</w:t>
      </w:r>
      <w:r w:rsidR="00F17972">
        <w:fldChar w:fldCharType="end"/>
      </w:r>
      <w:r w:rsidR="007917F0">
        <w:t>. This is</w:t>
      </w:r>
      <w:r w:rsidR="00A576DE">
        <w:t xml:space="preserve"> a</w:t>
      </w:r>
      <w:r w:rsidR="00B74D93">
        <w:t xml:space="preserve"> direction of travel that is </w:t>
      </w:r>
      <w:r w:rsidR="00B85648">
        <w:t>promoted by some</w:t>
      </w:r>
      <w:r w:rsidR="00F17972">
        <w:t xml:space="preserve"> </w:t>
      </w:r>
      <w:r w:rsidR="00F17972">
        <w:fldChar w:fldCharType="begin" w:fldLock="1"/>
      </w:r>
      <w:r w:rsidR="00877D84">
        <w:instrText>ADDIN CSL_CITATION {"citationItems":[{"id":"ITEM-1","itemData":{"URL":"https://news.un.org/en/story/2018/12/1028421","accessed":{"date-parts":[["2019","5","19"]]},"author":[{"dropping-particle":"","family":"UN News","given":"","non-dropping-particle":"","parse-names":false,"suffix":""}],"container-title":"UN News","id":"ITEM-1","issued":{"date-parts":[["2018"]]},"note":"Ashley Gilbertson is not the author - this is the UNICEF photographer who took the picture that was excluded","publisher":"United Nations","publisher-place":"On-line","title":"‘Fire-fighting approach’ to humanitarian aid ‘not sustainable’","type":"webpage"},"uris":["http://www.mendeley.com/documents/?uuid=f7683f81-6691-4cbd-9ea6-bc3ade374104"]},{"id":"ITEM-2","itemData":{"author":[{"dropping-particle":"","family":"Grogan","given":"Brian","non-dropping-particle":"","parse-names":false,"suffix":""},{"dropping-particle":"","family":"Strohmeyer","given":"Hansjoerg","non-dropping-particle":"","parse-names":false,"suffix":""}],"editor":[{"dropping-particle":"","family":"OCHA Policy Analysis and Innovation Section","given":"Policy Development and Studies Branch","non-dropping-particle":"","parse-names":false,"suffix":""}],"id":"ITEM-2","issued":{"date-parts":[["2016"]]},"number-of-pages":"94","publisher-place":"On-line","title":"Leaving No One Behind","type":"report"},"uris":["http://www.mendeley.com/documents/?uuid=9c7937b0-45c5-4c38-8e7f-2c43386a5630"]}],"mendeley":{"formattedCitation":"(Grogan &amp; Strohmeyer, 2016; UN News, 2018)","plainTextFormattedCitation":"(Grogan &amp; Strohmeyer, 2016; UN News, 2018)","previouslyFormattedCitation":"(Grogan &amp; Strohmeyer, 2016; UN News, 2018)"},"properties":{"noteIndex":0},"schema":"https://github.com/citation-style-language/schema/raw/master/csl-citation.json"}</w:instrText>
      </w:r>
      <w:r w:rsidR="00F17972">
        <w:fldChar w:fldCharType="separate"/>
      </w:r>
      <w:r w:rsidR="00F17972" w:rsidRPr="00F17972">
        <w:rPr>
          <w:noProof/>
        </w:rPr>
        <w:t>(Grogan &amp; Strohmeyer, 2016; UN News, 2018)</w:t>
      </w:r>
      <w:r w:rsidR="00F17972">
        <w:fldChar w:fldCharType="end"/>
      </w:r>
      <w:r w:rsidR="009E04EC">
        <w:t xml:space="preserve"> and</w:t>
      </w:r>
      <w:r w:rsidR="00B85648">
        <w:t xml:space="preserve"> viewed with trepidation by others </w:t>
      </w:r>
      <w:r w:rsidR="00F17972">
        <w:fldChar w:fldCharType="begin" w:fldLock="1"/>
      </w:r>
      <w:r w:rsidR="002539D6">
        <w:instrText>ADDIN CSL_CITATION {"citationItems":[{"id":"ITEM-1","itemData":{"author":[{"dropping-particle":"","family":"DuBois","given":"Marc","non-dropping-particle":"","parse-names":false,"suffix":""}],"container-title":"The Guardian","id":"ITEM-1","issued":{"date-parts":[["2016"]]},"publisher":"The Guardian","publisher-place":"On-line","title":"Don't blur the lines between development and humanitarian work ","type":"article-newspaper"},"uris":["http://www.mendeley.com/documents/?uuid=fb1be78b-fb44-4beb-85ec-dc1e93fdbc7b"]}],"mendeley":{"formattedCitation":"(DuBois, 2016)","plainTextFormattedCitation":"(DuBois, 2016)","previouslyFormattedCitation":"(DuBois, 2016)"},"properties":{"noteIndex":0},"schema":"https://github.com/citation-style-language/schema/raw/master/csl-citation.json"}</w:instrText>
      </w:r>
      <w:r w:rsidR="00F17972">
        <w:fldChar w:fldCharType="separate"/>
      </w:r>
      <w:r w:rsidR="00877D84" w:rsidRPr="00877D84">
        <w:rPr>
          <w:noProof/>
        </w:rPr>
        <w:t>(DuBois, 2016)</w:t>
      </w:r>
      <w:r w:rsidR="00F17972">
        <w:fldChar w:fldCharType="end"/>
      </w:r>
      <w:r w:rsidR="00F17972">
        <w:t>.</w:t>
      </w:r>
      <w:r w:rsidR="00A576DE">
        <w:t xml:space="preserve"> </w:t>
      </w:r>
    </w:p>
    <w:p w14:paraId="758304A9" w14:textId="462A6556" w:rsidR="00587BDF" w:rsidRDefault="004B31B0" w:rsidP="004B4F6B">
      <w:pPr>
        <w:pStyle w:val="Text01"/>
      </w:pPr>
      <w:r>
        <w:t>Implicit in</w:t>
      </w:r>
      <w:r w:rsidR="00437DBD">
        <w:t xml:space="preserve"> t</w:t>
      </w:r>
      <w:r w:rsidR="002539D6">
        <w:t xml:space="preserve">he drive to meet </w:t>
      </w:r>
      <w:r w:rsidR="00D82520">
        <w:t>policy goals</w:t>
      </w:r>
      <w:r w:rsidR="002539D6">
        <w:t xml:space="preserve"> </w:t>
      </w:r>
      <w:r>
        <w:t>is an</w:t>
      </w:r>
      <w:r w:rsidR="002539D6">
        <w:t xml:space="preserve"> imperative for "quality, </w:t>
      </w:r>
      <w:r w:rsidR="002539D6" w:rsidRPr="00497B37">
        <w:t>accessible, timely and reliable dis-aggregated data</w:t>
      </w:r>
      <w:r w:rsidR="002539D6">
        <w:t xml:space="preserve">” </w:t>
      </w:r>
      <w:r w:rsidR="002539D6">
        <w:fldChar w:fldCharType="begin" w:fldLock="1"/>
      </w:r>
      <w:r w:rsidR="00B5326B">
        <w:instrText>ADDIN CSL_CITATION {"citationItems":[{"id":"ITEM-1","itemData":{"URL":"https://www.un.org/sustainabledevelopment/","accessed":{"date-parts":[["2019","5","19"]]},"author":[{"dropping-particle":"","family":"United Nations","given":"","non-dropping-particle":"","parse-names":false,"suffix":""}],"container-title":"UNSDG","editor":[{"dropping-particle":"","family":"United Nations","given":"","non-dropping-particle":"","parse-names":false,"suffix":""}],"id":"ITEM-1","issued":{"date-parts":[["2015"]]},"title":"Sustainable Development Goals","type":"webpage"},"suffix":" Para. 48","uris":["http://www.mendeley.com/documents/?uuid=299c2bce-fce2-46a4-ae19-46eff425faa4"]}],"mendeley":{"formattedCitation":"(United Nations, 2015c Para. 48)","plainTextFormattedCitation":"(United Nations, 2015c Para. 48)","previouslyFormattedCitation":"(United Nations, 2015c Para. 48)"},"properties":{"noteIndex":0},"schema":"https://github.com/citation-style-language/schema/raw/master/csl-citation.json"}</w:instrText>
      </w:r>
      <w:r w:rsidR="002539D6">
        <w:fldChar w:fldCharType="separate"/>
      </w:r>
      <w:r w:rsidR="00104B5B" w:rsidRPr="00104B5B">
        <w:rPr>
          <w:noProof/>
        </w:rPr>
        <w:t>(United Nations, 2015c Para. 48)</w:t>
      </w:r>
      <w:r w:rsidR="002539D6">
        <w:fldChar w:fldCharType="end"/>
      </w:r>
      <w:r w:rsidR="00D82520">
        <w:t xml:space="preserve">. </w:t>
      </w:r>
      <w:r w:rsidR="009D7FB7">
        <w:t>T</w:t>
      </w:r>
      <w:r w:rsidR="00510EC2">
        <w:t>he UN Secretary General’s Report to the 2016 World Humanitarian Summit</w:t>
      </w:r>
      <w:r w:rsidR="00DF0CD9">
        <w:t xml:space="preserve"> repeatedly </w:t>
      </w:r>
      <w:r w:rsidR="00DF0CD9" w:rsidRPr="00DF0CD9">
        <w:t>stresses the importance of systematically tracking and collecting reliable data with deference to privacy as well as the need to securely collate and analyse said data</w:t>
      </w:r>
      <w:r w:rsidR="00DF0CD9">
        <w:t xml:space="preserve"> </w:t>
      </w:r>
      <w:r w:rsidR="00DF0CD9">
        <w:fldChar w:fldCharType="begin" w:fldLock="1"/>
      </w:r>
      <w:r w:rsidR="009A31B6">
        <w:instrText>ADDIN CSL_CITATION {"citationItems":[{"id":"ITEM-1","itemData":{"author":[{"dropping-particle":"","family":"Ki-moon","given":"Ban","non-dropping-particle":"","parse-names":false,"suffix":""}],"container-title":"World Humanitarian Summit","id":"ITEM-1","issued":{"date-parts":[["2016"]]},"number-of-pages":"62","publisher-place":"New York","title":"One humanity: Shared responsibility (Report of the Secretary-General for the World Humanitarian Summit)","type":"report"},"suffix":" Paragraphs 58, 60, 80, 93, 120, 122–124, 128, 137, 150, 156 and Annexe pages 52, 56, 57–59","uris":["http://www.mendeley.com/documents/?uuid=c8f29af3-4680-4961-ae91-7362c0e66c48"]}],"mendeley":{"formattedCitation":"(Ki-moon, 2016 Paragraphs 58, 60, 80, 93, 120, 122–124, 128, 137, 150, 156 and Annexe pages 52, 56, 57–59)","plainTextFormattedCitation":"(Ki-moon, 2016 Paragraphs 58, 60, 80, 93, 120, 122–124, 128, 137, 150, 156 and Annexe pages 52, 56, 57–59)","previouslyFormattedCitation":"(Ki-moon, 2016 Paragraphs 58, 60, 80, 93, 120, 122–124, 128, 137, 150, 156 and Annexe pages 52, 56, 57–59)"},"properties":{"noteIndex":0},"schema":"https://github.com/citation-style-language/schema/raw/master/csl-citation.json"}</w:instrText>
      </w:r>
      <w:r w:rsidR="00DF0CD9">
        <w:fldChar w:fldCharType="separate"/>
      </w:r>
      <w:r w:rsidR="00095A72" w:rsidRPr="00095A72">
        <w:rPr>
          <w:noProof/>
        </w:rPr>
        <w:t>(Ki-moon, 2016 Paragraphs 58, 60, 80, 93, 120, 122–124, 128, 137, 150, 156 and Annexe pages 52, 56, 57–59)</w:t>
      </w:r>
      <w:r w:rsidR="00DF0CD9">
        <w:fldChar w:fldCharType="end"/>
      </w:r>
      <w:r w:rsidR="00136279">
        <w:t>.</w:t>
      </w:r>
      <w:r w:rsidR="00D9475E">
        <w:t xml:space="preserve"> </w:t>
      </w:r>
      <w:r w:rsidR="00095A72">
        <w:t xml:space="preserve">In practice, </w:t>
      </w:r>
      <w:r w:rsidR="009D7FB7">
        <w:t xml:space="preserve">however, </w:t>
      </w:r>
      <w:r w:rsidR="00095A72">
        <w:t>such imperatives present significant challenges that</w:t>
      </w:r>
      <w:r w:rsidR="009D7FB7">
        <w:t xml:space="preserve"> </w:t>
      </w:r>
      <w:r w:rsidR="00095A72">
        <w:t xml:space="preserve">hinge around how to extract </w:t>
      </w:r>
      <w:r w:rsidR="00095A72" w:rsidRPr="0063636A">
        <w:rPr>
          <w:i/>
          <w:iCs/>
        </w:rPr>
        <w:t>value</w:t>
      </w:r>
      <w:r w:rsidR="00095A72">
        <w:t xml:space="preserve"> from big data. In recognising such challenges, UNSDG targets 17.18 and 17.19 note the need for capacity building re (big) data, monitoring and accountability </w:t>
      </w:r>
      <w:r w:rsidR="00095A72">
        <w:fldChar w:fldCharType="begin" w:fldLock="1"/>
      </w:r>
      <w:r w:rsidR="00B5326B">
        <w:instrText>ADDIN CSL_CITATION {"citationItems":[{"id":"ITEM-1","itemData":{"URL":"https://sustainabledevelopment.un.org/sdg17","accessed":{"date-parts":[["2019","5","19"]]},"author":[{"dropping-particle":"","family":"United Nations","given":"","non-dropping-particle":"","parse-names":false,"suffix":""}],"container-title":"United Nations","editor":[{"dropping-particle":"","family":"United Nations","given":"","non-dropping-particle":"","parse-names":false,"suffix":""}],"id":"ITEM-1","issued":{"date-parts":[["2015"]]},"publisher-place":"On-line","title":"Sustainable Development Goal 17: Partnerships for the Goals","type":"webpage"},"uris":["http://www.mendeley.com/documents/?uuid=0df4209a-6da8-4ee4-880a-a1a84f81c70c"]}],"mendeley":{"formattedCitation":"(United Nations, 2015b)","plainTextFormattedCitation":"(United Nations, 2015b)","previouslyFormattedCitation":"(United Nations, 2015b)"},"properties":{"noteIndex":0},"schema":"https://github.com/citation-style-language/schema/raw/master/csl-citation.json"}</w:instrText>
      </w:r>
      <w:r w:rsidR="00095A72">
        <w:fldChar w:fldCharType="separate"/>
      </w:r>
      <w:r w:rsidR="00104B5B" w:rsidRPr="00104B5B">
        <w:rPr>
          <w:noProof/>
        </w:rPr>
        <w:t>(United Nations, 2015b)</w:t>
      </w:r>
      <w:r w:rsidR="00095A72">
        <w:fldChar w:fldCharType="end"/>
      </w:r>
      <w:r w:rsidR="00095A72">
        <w:t xml:space="preserve">. </w:t>
      </w:r>
      <w:r w:rsidR="00082E51">
        <w:t xml:space="preserve">Furthermore, </w:t>
      </w:r>
      <w:r w:rsidR="00D82520">
        <w:t xml:space="preserve">and importantly, </w:t>
      </w:r>
      <w:r w:rsidR="00034C57">
        <w:t xml:space="preserve">the UNSDG push </w:t>
      </w:r>
      <w:r w:rsidR="00D82520">
        <w:t>on</w:t>
      </w:r>
      <w:r w:rsidR="00082E51">
        <w:t xml:space="preserve"> data </w:t>
      </w:r>
      <w:r w:rsidR="00095A72">
        <w:t xml:space="preserve">represents </w:t>
      </w:r>
      <w:r w:rsidR="00F85382">
        <w:t xml:space="preserve">a </w:t>
      </w:r>
      <w:r w:rsidR="0019153F">
        <w:t xml:space="preserve">tacit </w:t>
      </w:r>
      <w:r w:rsidR="00034C57">
        <w:lastRenderedPageBreak/>
        <w:t>acknowledgement that</w:t>
      </w:r>
      <w:r w:rsidR="0019153F">
        <w:t xml:space="preserve"> joined-up </w:t>
      </w:r>
      <w:r w:rsidR="006469E9" w:rsidRPr="006469E9">
        <w:rPr>
          <w:i/>
        </w:rPr>
        <w:t>thinking</w:t>
      </w:r>
      <w:r w:rsidR="006469E9">
        <w:t xml:space="preserve"> </w:t>
      </w:r>
      <w:r w:rsidR="00F85382">
        <w:t>needs</w:t>
      </w:r>
      <w:r w:rsidR="0019153F">
        <w:t xml:space="preserve"> joined-up </w:t>
      </w:r>
      <w:r w:rsidR="0019153F" w:rsidRPr="006469E9">
        <w:rPr>
          <w:i/>
        </w:rPr>
        <w:t>data</w:t>
      </w:r>
      <w:r w:rsidR="006469E9">
        <w:t xml:space="preserve"> </w:t>
      </w:r>
      <w:r w:rsidR="006469E9">
        <w:fldChar w:fldCharType="begin" w:fldLock="1"/>
      </w:r>
      <w:r w:rsidR="00DA0DBE">
        <w:instrText>ADDIN CSL_CITATION {"citationItems":[{"id":"ITEM-1","itemData":{"URL":"https://undg.org/silofighters_blog/joining-up-data-in-the-humanitarian-development-nexus-why-does-it-matter/","accessed":{"date-parts":[["2019","5","19"]]},"author":[{"dropping-particle":"","family":"Lisowska","given":"Beata","non-dropping-particle":"","parse-names":false,"suffix":""}],"container-title":"Silo Fighters","editor":[{"dropping-particle":"","family":"U N Sustainable Development Goals","given":"","non-dropping-particle":"","parse-names":false,"suffix":""}],"id":"ITEM-1","issued":{"date-parts":[["2017"]]},"language":"English","publisher":"UNHCR","publisher-place":"Geneva, Switzerland","title":"Joining up data in the humanitarian–development nexus: Why does it matter?","type":"webpage"},"uris":["http://www.mendeley.com/documents/?uuid=1be26945-c123-40e7-a352-7ede4e1d16c2"]},{"id":"ITEM-2","itemData":{"URL":"https://opendatawatch.com/blog/what-are-the-principles-of-joined-up-data/","accessed":{"date-parts":[["2019","5","19"]]},"author":[{"dropping-particle":"","family":"Orrell","given":"Tom","non-dropping-particle":"","parse-names":false,"suffix":""},{"dropping-particle":"","family":"Lisowska","given":"Beata","non-dropping-particle":"","parse-names":false,"suffix":""}],"container-title":"Open Data Watch","editor":[{"dropping-particle":"","family":"Open Data Watch","given":"","non-dropping-particle":"","parse-names":false,"suffix":""}],"id":"ITEM-2","issue":"2019-05-19","issued":{"date-parts":[["2017"]]},"publisher":"Open Data Watch","publisher-place":"On-line","title":"What are the principles of joined-up data?","type":"webpage"},"uris":["http://www.mendeley.com/documents/?uuid=1903536a-be06-4ae2-ab84-b7a7543cd60c"]}],"mendeley":{"formattedCitation":"(Lisowska, 2017; Orrell &amp; Lisowska, 2017)","plainTextFormattedCitation":"(Lisowska, 2017; Orrell &amp; Lisowska, 2017)","previouslyFormattedCitation":"(Lisowska, 2017; Orrell &amp; Lisowska, 2017)"},"properties":{"noteIndex":0},"schema":"https://github.com/citation-style-language/schema/raw/master/csl-citation.json"}</w:instrText>
      </w:r>
      <w:r w:rsidR="006469E9">
        <w:fldChar w:fldCharType="separate"/>
      </w:r>
      <w:r w:rsidR="00EC42EA" w:rsidRPr="00EC42EA">
        <w:rPr>
          <w:noProof/>
        </w:rPr>
        <w:t>(Lisowska, 2017; Orrell &amp; Lisowska, 2017)</w:t>
      </w:r>
      <w:r w:rsidR="006469E9">
        <w:fldChar w:fldCharType="end"/>
      </w:r>
      <w:r w:rsidR="00EC42EA">
        <w:t>.</w:t>
      </w:r>
      <w:r w:rsidR="00587BDF">
        <w:t xml:space="preserve"> Here there is a recognition that </w:t>
      </w:r>
      <w:r w:rsidR="00DA0DBE">
        <w:t xml:space="preserve">the spectrum of </w:t>
      </w:r>
      <w:r w:rsidR="00F85382">
        <w:t xml:space="preserve">domain </w:t>
      </w:r>
      <w:r w:rsidR="00DA0DBE">
        <w:t>sources will be of significant variety, volume and/or velocity</w:t>
      </w:r>
      <w:r w:rsidR="006341BE">
        <w:t xml:space="preserve"> </w:t>
      </w:r>
      <w:r w:rsidR="00DA0DBE">
        <w:t>– i.e.</w:t>
      </w:r>
      <w:r w:rsidR="009D7FB7">
        <w:t>,</w:t>
      </w:r>
      <w:r w:rsidR="00DA0DBE">
        <w:t xml:space="preserve"> ‘big data’ </w:t>
      </w:r>
      <w:r w:rsidR="00DA0DBE">
        <w:fldChar w:fldCharType="begin" w:fldLock="1"/>
      </w:r>
      <w:r w:rsidR="00B5326B">
        <w:instrText>ADDIN CSL_CITATION {"citationItems":[{"id":"ITEM-1","itemData":{"author":[{"dropping-particle":"","family":"Laney","given":"Doug","non-dropping-particle":"","parse-names":false,"suffix":""}],"container-title":"Application Delivery Strategies","editor":[{"dropping-particle":"","family":"Group","given":"Meta","non-dropping-particle":"","parse-names":false,"suffix":""}],"id":"ITEM-1","issued":{"date-parts":[["2001"]]},"publisher":"Meta Group","title":"3D Data Management: Controlling Data Volume, Velocity, and Variety","type":"report","volume":"949"},"uris":["http://www.mendeley.com/documents/?uuid=0546ee0e-78b3-44fa-9495-753f6a1b7045"]},{"id":"ITEM-2","itemData":{"author":[{"dropping-particle":"","family":"United Nations","given":"","non-dropping-particle":"","parse-names":false,"suffix":""}],"container-title":"Resolution adopted by the General Assembly","id":"ITEM-2","issued":{"date-parts":[["2015"]]},"publisher":"United Nations General Assembly","publisher-place":"New York","title":"Transforming our world: The 2030 agenda for sustainable development","type":"report"},"uris":["http://www.mendeley.com/documents/?uuid=01e911f6-7ffc-4718-80d9-55cb82085348"]}],"mendeley":{"formattedCitation":"(Laney, 2001; United Nations, 2015d)","plainTextFormattedCitation":"(Laney, 2001; United Nations, 2015d)","previouslyFormattedCitation":"(Laney, 2001; United Nations, 2015d)"},"properties":{"noteIndex":0},"schema":"https://github.com/citation-style-language/schema/raw/master/csl-citation.json"}</w:instrText>
      </w:r>
      <w:r w:rsidR="00DA0DBE">
        <w:fldChar w:fldCharType="separate"/>
      </w:r>
      <w:r w:rsidR="00104B5B" w:rsidRPr="00104B5B">
        <w:rPr>
          <w:noProof/>
        </w:rPr>
        <w:t>(Laney, 2001; United Nations, 2015d)</w:t>
      </w:r>
      <w:r w:rsidR="00DA0DBE">
        <w:fldChar w:fldCharType="end"/>
      </w:r>
      <w:r w:rsidR="00DA0DBE">
        <w:t>.</w:t>
      </w:r>
      <w:r w:rsidR="00C53351">
        <w:t xml:space="preserve"> </w:t>
      </w:r>
    </w:p>
    <w:p w14:paraId="6D0B71B4" w14:textId="5E21810B" w:rsidR="00CF09F8" w:rsidRPr="001365B0" w:rsidRDefault="00497B37" w:rsidP="004B4F6B">
      <w:pPr>
        <w:pStyle w:val="Text01"/>
      </w:pPr>
      <w:r>
        <w:t xml:space="preserve">In learning from industrial work in this area, studies note that </w:t>
      </w:r>
      <w:r w:rsidR="00AE1FA3">
        <w:t>a</w:t>
      </w:r>
      <w:r w:rsidR="00CF09F8" w:rsidRPr="001365B0">
        <w:t xml:space="preserve"> p</w:t>
      </w:r>
      <w:r w:rsidR="00CA0CE2">
        <w:t xml:space="preserve">rimary barrier to achieving </w:t>
      </w:r>
      <w:r w:rsidR="00CF09F8" w:rsidRPr="001365B0">
        <w:t xml:space="preserve">value </w:t>
      </w:r>
      <w:r w:rsidR="00AE1FA3">
        <w:t xml:space="preserve">stems from a naive assumption </w:t>
      </w:r>
      <w:r w:rsidR="00CF09F8" w:rsidRPr="001365B0">
        <w:t xml:space="preserve">that instrumentation alone is </w:t>
      </w:r>
      <w:r w:rsidR="00102B80">
        <w:t xml:space="preserve">sufficient </w:t>
      </w:r>
      <w:r w:rsidR="00CF09F8" w:rsidRPr="001365B0">
        <w:t>to deliver value</w:t>
      </w:r>
      <w:r>
        <w:t xml:space="preserve"> </w:t>
      </w:r>
      <w:r>
        <w:fldChar w:fldCharType="begin" w:fldLock="1"/>
      </w:r>
      <w:r w:rsidR="00036BBA">
        <w:instrText>ADDIN CSL_CITATION {"citationItems":[{"id":"ITEM-1","itemData":{"DOI":"10.0000/PMID57750728","ISBN":"15329194","ISSN":"15329194","PMID":"57750728","author":[{"dropping-particle":"","family":"Lavalle","given":"Steve","non-dropping-particle":"","parse-names":false,"suffix":""},{"dropping-particle":"","family":"Lesser","given":"Eric","non-dropping-particle":"","parse-names":false,"suffix":""},{"dropping-particle":"","family":"Shockley","given":"Rebecca","non-dropping-particle":"","parse-names":false,"suffix":""},{"dropping-particle":"","family":"Hopkins","given":"Michael S","non-dropping-particle":"","parse-names":false,"suffix":""},{"dropping-particle":"","family":"Kruschwitz","given":"Nina","non-dropping-particle":"","parse-names":false,"suffix":""}],"container-title":"MIT Sloan Management Review","id":"ITEM-1","issue":"52205","issued":{"date-parts":[["2011"]]},"title":"Big Data, Analytics and the Path From Insights to Value","type":"article-journal"},"uris":["http://www.mendeley.com/documents/?uuid=043da832-330a-4b1d-83b4-fe821cdfffa9"]}],"mendeley":{"formattedCitation":"(Lavalle et al., 2011)","plainTextFormattedCitation":"(Lavalle et al., 2011)","previouslyFormattedCitation":"(Lavalle et al., 2011)"},"properties":{"noteIndex":0},"schema":"https://github.com/citation-style-language/schema/raw/master/csl-citation.json"}</w:instrText>
      </w:r>
      <w:r>
        <w:fldChar w:fldCharType="separate"/>
      </w:r>
      <w:r w:rsidR="00036BBA" w:rsidRPr="00036BBA">
        <w:rPr>
          <w:noProof/>
        </w:rPr>
        <w:t>(Lavalle et al., 2011)</w:t>
      </w:r>
      <w:r>
        <w:fldChar w:fldCharType="end"/>
      </w:r>
      <w:r w:rsidR="00CF09F8" w:rsidRPr="001365B0">
        <w:t>.</w:t>
      </w:r>
      <w:r w:rsidR="009D7FB7">
        <w:t xml:space="preserve"> T</w:t>
      </w:r>
      <w:r w:rsidR="00CF09F8" w:rsidRPr="001365B0">
        <w:t>he value of data and analytics as strategic assets that can help organizations achieve their goals “depends on the questions that leaders ask and the capabilities they are looking to cultivate</w:t>
      </w:r>
      <w:r w:rsidR="004E1457">
        <w:t>”</w:t>
      </w:r>
      <w:r>
        <w:t xml:space="preserve"> </w:t>
      </w:r>
      <w:r>
        <w:fldChar w:fldCharType="begin" w:fldLock="1"/>
      </w:r>
      <w:r w:rsidR="00D12908">
        <w:instrText>ADDIN CSL_CITATION {"citationItems":[{"id":"ITEM-1","itemData":{"DOI":"10.0000/PMID57750728","ISBN":"15329194","ISSN":"15329194","PMID":"57750728","author":[{"dropping-particle":"","family":"Lavalle","given":"Steve","non-dropping-particle":"","parse-names":false,"suffix":""},{"dropping-particle":"","family":"Lesser","given":"Eric","non-dropping-particle":"","parse-names":false,"suffix":""},{"dropping-particle":"","family":"Shockley","given":"Rebecca","non-dropping-particle":"","parse-names":false,"suffix":""},{"dropping-particle":"","family":"Hopkins","given":"Michael S","non-dropping-particle":"","parse-names":false,"suffix":""},{"dropping-particle":"","family":"Kruschwitz","given":"Nina","non-dropping-particle":"","parse-names":false,"suffix":""}],"container-title":"MIT Sloan Management Review","id":"ITEM-1","issue":"52205","issued":{"date-parts":[["2011"]]},"title":"Big Data, Analytics and the Path From Insights to Value","type":"article-journal"},"uris":["http://www.mendeley.com/documents/?uuid=043da832-330a-4b1d-83b4-fe821cdfffa9"]}],"mendeley":{"formattedCitation":"(Lavalle et al., 2011)","plainTextFormattedCitation":"(Lavalle et al., 2011)","previouslyFormattedCitation":"(Lavalle et al., 2011)"},"properties":{"noteIndex":0},"schema":"https://github.com/citation-style-language/schema/raw/master/csl-citation.json"}</w:instrText>
      </w:r>
      <w:r>
        <w:fldChar w:fldCharType="separate"/>
      </w:r>
      <w:r w:rsidR="008169F9" w:rsidRPr="008169F9">
        <w:rPr>
          <w:noProof/>
        </w:rPr>
        <w:t>(Lavalle et al., 2011)</w:t>
      </w:r>
      <w:r>
        <w:fldChar w:fldCharType="end"/>
      </w:r>
      <w:r w:rsidR="00CF09F8" w:rsidRPr="001365B0">
        <w:t>. The causal link between analytics and value concepts such as organizational performance is neither clear nor straightforward and this is an issue that has attracted increasing attention</w:t>
      </w:r>
      <w:r w:rsidR="0004533F">
        <w:t xml:space="preserve"> </w:t>
      </w:r>
      <w:r w:rsidR="0004533F">
        <w:fldChar w:fldCharType="begin" w:fldLock="1"/>
      </w:r>
      <w:r w:rsidR="00036BBA">
        <w:instrText>ADDIN CSL_CITATION {"citationItems":[{"id":"ITEM-1","itemData":{"DOI":"10.1007/s10842-014-0190-4","ISSN":"15737012","abstract":"'Big data'-the collection of vast quantities of data about individual behavior via online, mobile, and other data-driven services-has been heralded as the agent of a third industrial revolution-one with raw materials measured in bits, rather than tons of steel or barrels of oil. Yet the industrial revolution transformed not just how firms made things, but the fundamental approach to value creation in industrial economies. To date, big data has not achieved this distinction. Instead, today's successful big data business models largely use data to scale old modes of value creation, rather than invent new ones altogether. Moreover, today's big data cannot deliver the promised revolution. In this way, today's big data landscape resembles the early phases of the first industrial revolution, rather than the culmination of the second a century later. Realizing the second big data revolution will require fundamentally different kinds of data, different innovations, and different business models than those seen to date. That fact has profound consequences for the kinds of investments and innovations firms must seek, and the economic, political, and social consequences that those innovations portend. [ABSTRACT FROM AUTHOR]","author":[{"dropping-particle":"","family":"Huberty","given":"Mark","non-dropping-particle":"","parse-names":false,"suffix":""}],"container-title":"Journal of Industry, Competition and Trade","id":"ITEM-1","issue":"1","issued":{"date-parts":[["2015"]]},"page":"35-47","title":"Awaiting the Second Big Data Revolution: From Digital Noise to Value Creation","type":"article-journal","volume":"15"},"uris":["http://www.mendeley.com/documents/?uuid=fa390f69-8db0-4b6d-96b8-d2a20044ba16"]},{"id":"ITEM-2","itemData":{"DOI":"10.1057/ejis.2014.17","ISSN":"0960-085X","abstract":"Much attention is currently being paid in both the academic and practitioner literatures to the value that organisations could create through the use of big data and business analytics (Gillon  +Italic et al -Italic  , 2012; Mithas   , 2013). For instance, Chen    (2012, p. 1166-1168) suggest that business analytics and related technologies can help organisations to 'better understand its business and markets' and 'leverage opportunities presented by abundant data and domain-specific analytics'. Similarly, LaValle    (2011, p. 22) report that top-performing organisations 'make decisions based on rigorous analysis at more than double the rate of lower performing organisations' and that in such organisations analytic insight is being used to 'guide both future strategies and day-to-day operations'. We argue here that while there is some evidence that investments in business analytics can create value, the thesis that 'business analytics leads to value' needs deeper analysis. In particular, we argue here that the roles of organisational decision-making processes, including resource allocation processes and resource orchestration processes (Helfat  +Italic et al -Italic  , 2007; Teece, 2009), need to be better understood in order to understand how organisations can create value from the use of business analytics. Specifically, we propose that the first-order effects of business analytics are likely to be on decision-making processes and that improvements in organisational performance are likely to be an outcome of superior decision-making processes enabled by business analytics.","author":[{"dropping-particle":"","family":"Sharma","given":"Rajeev","non-dropping-particle":"","parse-names":false,"suffix":""},{"dropping-particle":"","family":"Mithas","given":"Sunil","non-dropping-particle":"","parse-names":false,"suffix":""},{"dropping-particle":"","family":"Kankanhalli","given":"Atreyi","non-dropping-particle":"","parse-names":false,"suffix":""}],"container-title":"European Journal of Information Systems","id":"ITEM-2","issue":"4","issued":{"date-parts":[["2014"]]},"page":"433-441","title":"Transforming decision-making processes: a research agenda for understanding the impact of business analytics on organisations","type":"article-journal","volume":"23"},"uris":["http://www.mendeley.com/documents/?uuid=7630724d-0f0e-42cc-9dca-e98a2d165672"]},{"id":"ITEM-3","itemData":{"ISBN":"1387-3326","author":[{"dropping-particle":"","family":"Popovič","given":"Aleš","non-dropping-particle":"","parse-names":false,"suffix":""},{"dropping-particle":"","family":"Hackney","given":"Ray","non-dropping-particle":"","parse-names":false,"suffix":""},{"dropping-particle":"","family":"Tassabehji","given":"Rana","non-dropping-particle":"","parse-names":false,"suffix":""},{"dropping-particle":"","family":"Castelli","given":"Mauro","non-dropping-particle":"","parse-names":false,"suffix":""}],"container-title":"Information Systems Frontiers","id":"ITEM-3","issue":"2","issued":{"date-parts":[["2018"]]},"page":"209-222","publisher":"Springer","title":"The impact of big data analytics on firms’ high value business performance","type":"article-journal","volume":"20"},"uris":["http://www.mendeley.com/documents/?uuid=0392b8eb-cf6d-47ce-a7ef-a5bcc8315dc4"]}],"mendeley":{"formattedCitation":"(Huberty, 2015; Popovič et al., 2018; Sharma et al., 2014)","manualFormatting":"(e.g., Huberty, 2015; Popovič et al., 2018; Sharma et al., 2014)","plainTextFormattedCitation":"(Huberty, 2015; Popovič et al., 2018; Sharma et al., 2014)","previouslyFormattedCitation":"(Huberty, 2015; Popovič et al., 2018; Sharma et al., 2014)"},"properties":{"noteIndex":0},"schema":"https://github.com/citation-style-language/schema/raw/master/csl-citation.json"}</w:instrText>
      </w:r>
      <w:r w:rsidR="0004533F">
        <w:fldChar w:fldCharType="separate"/>
      </w:r>
      <w:r w:rsidR="0004533F" w:rsidRPr="0004533F">
        <w:rPr>
          <w:noProof/>
        </w:rPr>
        <w:t>(</w:t>
      </w:r>
      <w:r w:rsidR="0004533F">
        <w:rPr>
          <w:noProof/>
        </w:rPr>
        <w:t xml:space="preserve">e.g., </w:t>
      </w:r>
      <w:r w:rsidR="0004533F" w:rsidRPr="0004533F">
        <w:rPr>
          <w:noProof/>
        </w:rPr>
        <w:t>Huberty, 2015; Popovič et al., 2018; Sharma et al., 2014)</w:t>
      </w:r>
      <w:r w:rsidR="0004533F">
        <w:fldChar w:fldCharType="end"/>
      </w:r>
      <w:r w:rsidR="00CF09F8" w:rsidRPr="001365B0">
        <w:t>.</w:t>
      </w:r>
      <w:r w:rsidR="00692A77">
        <w:t xml:space="preserve"> </w:t>
      </w:r>
      <w:r w:rsidR="00C53351">
        <w:t>A</w:t>
      </w:r>
      <w:r w:rsidR="00CF09F8" w:rsidRPr="001365B0">
        <w:t>ddressing this link,</w:t>
      </w:r>
      <w:r w:rsidR="004F3DD6" w:rsidRPr="001365B0">
        <w:t xml:space="preserve"> </w:t>
      </w:r>
      <w:r w:rsidR="004F3DD6" w:rsidRPr="001365B0">
        <w:fldChar w:fldCharType="begin" w:fldLock="1"/>
      </w:r>
      <w:r w:rsidR="00C902C2" w:rsidRPr="001365B0">
        <w:instrText>ADDIN CSL_CITATION {"citationItems":[{"id":"ITEM-1","itemData":{"DOI":"10.1057/ejis.2014.17","ISSN":"0960-085X","abstract":"Much attention is currently being paid in both the academic and practitioner literatures to the value that organisations could create through the use of big data and business analytics (Gillon  +Italic et al -Italic  , 2012; Mithas   , 2013). For instance, Chen    (2012, p. 1166-1168) suggest that business analytics and related technologies can help organisations to 'better understand its business and markets' and 'leverage opportunities presented by abundant data and domain-specific analytics'. Similarly, LaValle    (2011, p. 22) report that top-performing organisations 'make decisions based on rigorous analysis at more than double the rate of lower performing organisations' and that in such organisations analytic insight is being used to 'guide both future strategies and day-to-day operations'. We argue here that while there is some evidence that investments in business analytics can create value, the thesis that 'business analytics leads to value' needs deeper analysis. In particular, we argue here that the roles of organisational decision-making processes, including resource allocation processes and resource orchestration processes (Helfat  +Italic et al -Italic  , 2007; Teece, 2009), need to be better understood in order to understand how organisations can create value from the use of business analytics. Specifically, we propose that the first-order effects of business analytics are likely to be on decision-making processes and that improvements in organisational performance are likely to be an outcome of superior decision-making processes enabled by business analytics.","author":[{"dropping-particle":"","family":"Sharma","given":"Rajeev","non-dropping-particle":"","parse-names":false,"suffix":""},{"dropping-particle":"","family":"Mithas","given":"Sunil","non-dropping-particle":"","parse-names":false,"suffix":""},{"dropping-particle":"","family":"Kankanhalli","given":"Atreyi","non-dropping-particle":"","parse-names":false,"suffix":""}],"container-title":"European Journal of Information Systems","id":"ITEM-1","issue":"4","issued":{"date-parts":[["2014"]]},"page":"433-441","title":"Transforming decision-making processes: a research agenda for understanding the impact of business analytics on organisations","type":"article-journal","volume":"23"},"uris":["http://www.mendeley.com/documents/?uuid=7630724d-0f0e-42cc-9dca-e98a2d165672"]}],"mendeley":{"formattedCitation":"(Sharma et al., 2014)","manualFormatting":"Sharma, Mithas, &amp; Kankanhalli (2014)","plainTextFormattedCitation":"(Sharma et al., 2014)","previouslyFormattedCitation":"(Sharma et al., 2014)"},"properties":{"noteIndex":0},"schema":"https://github.com/citation-style-language/schema/raw/master/csl-citation.json"}</w:instrText>
      </w:r>
      <w:r w:rsidR="004F3DD6" w:rsidRPr="001365B0">
        <w:fldChar w:fldCharType="separate"/>
      </w:r>
      <w:r w:rsidR="004F3DD6" w:rsidRPr="001365B0">
        <w:rPr>
          <w:noProof/>
        </w:rPr>
        <w:t>Sharma, Mithas, &amp; Kankanhalli (2014)</w:t>
      </w:r>
      <w:r w:rsidR="004F3DD6" w:rsidRPr="001365B0">
        <w:fldChar w:fldCharType="end"/>
      </w:r>
      <w:r w:rsidR="00CF09F8" w:rsidRPr="001365B0">
        <w:t xml:space="preserve"> make several important observations. First, they question an (implicit) assumption in the extant analytics literature that organizations can function as they did before – proposing that decision </w:t>
      </w:r>
      <w:proofErr w:type="gramStart"/>
      <w:r w:rsidR="00CF09F8" w:rsidRPr="001365B0">
        <w:t>making</w:t>
      </w:r>
      <w:proofErr w:type="gramEnd"/>
      <w:r w:rsidR="00CF09F8" w:rsidRPr="001365B0">
        <w:t xml:space="preserve"> and resource allocation processes will need to transform if organizational performance is to benefit from analytics. </w:t>
      </w:r>
      <w:r w:rsidR="00AE1FA3">
        <w:t>This is a point that is strongly echoed in Goal 17</w:t>
      </w:r>
      <w:r w:rsidR="00C70F54">
        <w:t xml:space="preserve"> </w:t>
      </w:r>
      <w:r w:rsidR="00C70F54">
        <w:fldChar w:fldCharType="begin" w:fldLock="1"/>
      </w:r>
      <w:r w:rsidR="00B5326B">
        <w:instrText>ADDIN CSL_CITATION {"citationItems":[{"id":"ITEM-1","itemData":{"URL":"https://sustainabledevelopment.un.org/sdg17","accessed":{"date-parts":[["2019","5","19"]]},"author":[{"dropping-particle":"","family":"United Nations","given":"","non-dropping-particle":"","parse-names":false,"suffix":""}],"container-title":"United Nations","editor":[{"dropping-particle":"","family":"United Nations","given":"","non-dropping-particle":"","parse-names":false,"suffix":""}],"id":"ITEM-1","issued":{"date-parts":[["2015"]]},"publisher-place":"On-line","title":"Sustainable Development Goal 17: Partnerships for the Goals","type":"webpage"},"uris":["http://www.mendeley.com/documents/?uuid=0df4209a-6da8-4ee4-880a-a1a84f81c70c"]}],"mendeley":{"formattedCitation":"(United Nations, 2015b)","plainTextFormattedCitation":"(United Nations, 2015b)","previouslyFormattedCitation":"(United Nations, 2015b)"},"properties":{"noteIndex":0},"schema":"https://github.com/citation-style-language/schema/raw/master/csl-citation.json"}</w:instrText>
      </w:r>
      <w:r w:rsidR="00C70F54">
        <w:fldChar w:fldCharType="separate"/>
      </w:r>
      <w:r w:rsidR="00104B5B" w:rsidRPr="00104B5B">
        <w:rPr>
          <w:noProof/>
        </w:rPr>
        <w:t>(United Nations, 2015b)</w:t>
      </w:r>
      <w:r w:rsidR="00C70F54">
        <w:fldChar w:fldCharType="end"/>
      </w:r>
      <w:r w:rsidR="00AE1FA3">
        <w:t xml:space="preserve">. </w:t>
      </w:r>
      <w:r w:rsidR="00CF09F8" w:rsidRPr="001365B0">
        <w:t xml:space="preserve">Second, they propose that insight does not emerge mechanically from the analytical </w:t>
      </w:r>
      <w:r w:rsidR="001C5334" w:rsidRPr="001365B0">
        <w:t>process;</w:t>
      </w:r>
      <w:r w:rsidR="00CF09F8" w:rsidRPr="001365B0">
        <w:t xml:space="preserve"> rather it comes from an active process of engagement. Third, they propose that the pathway between insight and action is not obvious, involving creative, </w:t>
      </w:r>
      <w:proofErr w:type="gramStart"/>
      <w:r w:rsidR="00CF09F8" w:rsidRPr="001365B0">
        <w:t>contextual</w:t>
      </w:r>
      <w:proofErr w:type="gramEnd"/>
      <w:r w:rsidR="00CF09F8" w:rsidRPr="001365B0">
        <w:t xml:space="preserve"> and psychological factors in many instances. Last, they question a strong belief in the literature that, if the quality of decisions can be improved by analytics, then deriving value from those decisions is trivial – here uncertainties of successfully implementing decisions and of the success of strategic actions are raised.</w:t>
      </w:r>
    </w:p>
    <w:p w14:paraId="43B7CD0B" w14:textId="19994F0B" w:rsidR="00CF09F8" w:rsidRPr="001365B0" w:rsidRDefault="00B4191F" w:rsidP="004B4F6B">
      <w:pPr>
        <w:pStyle w:val="Text01"/>
      </w:pPr>
      <w:r>
        <w:t xml:space="preserve">Underpinning these issues, however, is another that </w:t>
      </w:r>
      <w:r w:rsidR="00A61E0C">
        <w:t xml:space="preserve">concerns the heterogeneous nature of big data – </w:t>
      </w:r>
      <w:r w:rsidR="00A61E0C" w:rsidRPr="001365B0">
        <w:t xml:space="preserve">its generation and sharing mechanisms challenge the technical and expertise-based models that have evolved to guide data practices and organisational intelligence to-date </w:t>
      </w:r>
      <w:r w:rsidR="00A61E0C" w:rsidRPr="001365B0">
        <w:fldChar w:fldCharType="begin" w:fldLock="1"/>
      </w:r>
      <w:r w:rsidR="00A61E0C" w:rsidRPr="001365B0">
        <w:instrText>ADDIN CSL_CITATION {"citationItems":[{"id":"ITEM-1","itemData":{"DOI":"10.1057/jit.2014.17","ISSN":"14664437","abstract":"Big data and the mechanisms by which it is produced and disseminated introduce important changes in the ways information is generated and made relevant for organizations. Big data often represents miscellaneous records of the whereabouts of large and shifting online crowds. It is frequently agnostic, in the sense of being produced for generic purposes or purposes different from those sought by big data crunching. It is based on varying formats and modes of communication (e.g., texts, image and sound), raising severe problems of semiotic translation and meaning compatibility. Crucially, the usefulness of big data rests on their steady updatability, a condition that reduces the time span within which this data is useful or relevant. Jointly, these attributes challenge established rules of strategy making as these are manifested in the canons of procuring structured information of lasting value that addresses specific and long-term organizational objectives. The developments underlying big data thus seem to carry important implications for strategy making, and the data and information practices with which strategy has been associated. We conclude by placing the understanding of these changes within the wider social and institutional context of longstanding data practices and the significance they carry for management and organizations.","author":[{"dropping-particle":"","family":"Constantiou","given":"Ioanna D.","non-dropping-particle":"","parse-names":false,"suffix":""},{"dropping-particle":"","family":"Kallinikos","given":"Jannis","non-dropping-particle":"","parse-names":false,"suffix":""}],"container-title":"Journal of Information Technology","id":"ITEM-1","issue":"1","issued":{"date-parts":[["2015"]]},"page":"44-57","title":"New games, new rules: Big data and the changing context of strategy","type":"article-journal","volume":"30"},"uris":["http://www.mendeley.com/documents/?uuid=cbb9dabb-140f-4fd2-ac5b-9b4eaee122d2"]}],"mendeley":{"formattedCitation":"(Constantiou &amp; Kallinikos, 2015)","plainTextFormattedCitation":"(Constantiou &amp; Kallinikos, 2015)","previouslyFormattedCitation":"(Constantiou &amp; Kallinikos, 2015)"},"properties":{"noteIndex":0},"schema":"https://github.com/citation-style-language/schema/raw/master/csl-citation.json"}</w:instrText>
      </w:r>
      <w:r w:rsidR="00A61E0C" w:rsidRPr="001365B0">
        <w:fldChar w:fldCharType="separate"/>
      </w:r>
      <w:r w:rsidR="00A61E0C" w:rsidRPr="001365B0">
        <w:rPr>
          <w:noProof/>
        </w:rPr>
        <w:t>(Constantiou &amp; Kallinikos, 2015)</w:t>
      </w:r>
      <w:r w:rsidR="00A61E0C" w:rsidRPr="001365B0">
        <w:fldChar w:fldCharType="end"/>
      </w:r>
      <w:r w:rsidR="00A61E0C">
        <w:t xml:space="preserve">. Mismatches in granularity (level of detail) and the inability to predict a priori what </w:t>
      </w:r>
      <w:r w:rsidR="00E913E6">
        <w:t>data assets/</w:t>
      </w:r>
      <w:r w:rsidR="00A61E0C">
        <w:t>resources may have to be integrated to answer certain questions significantly muddy the analytical picture</w:t>
      </w:r>
      <w:r w:rsidR="00113C27">
        <w:t xml:space="preserve"> </w:t>
      </w:r>
      <w:r w:rsidR="00317A2D">
        <w:fldChar w:fldCharType="begin" w:fldLock="1"/>
      </w:r>
      <w:r w:rsidR="00BC3FD5">
        <w:instrText>ADDIN CSL_CITATION {"citationItems":[{"id":"ITEM-1","itemData":{"DOI":"10.5861/ijrsc.2012.209","ISSN":"2243-772X","abstract":"Big data is a disruptive force that will affect organizations across industries, sectors and economies. Through better analysis of the large volume of data that are becoming available, there is the potential for making faster advances in many scientific domains and improving the profitability of many enterprises. This paper examines the main challenges and issues that will have to be addressed to capture the full potential of big data. Additionally, we propose some initiatives and good practices that will help companies in the transition process for the big data analysis.","author":[{"dropping-particle":"","family":"Almeida","given":"Fernando Luís Ferreira","non-dropping-particle":"","parse-names":false,"suffix":""},{"dropping-particle":"","family":"Calistru","given":"Catalin","non-dropping-particle":"","parse-names":false,"suffix":""}],"container-title":"International Journal of Research Studies in Computing","id":"ITEM-1","issue":"1","issued":{"date-parts":[["2012"]]},"page":"11-20","title":"The main challenges and issues of big data management","type":"article-journal","volume":"2"},"uris":["http://www.mendeley.com/documents/?uuid=c3294e4c-c4d3-48c7-8e2b-7f22e20f7160"]},{"id":"ITEM-2","itemData":{"DOI":"10.1016/j.jbusres.2016.08.001","ISSN":"01482963","abstract":"Big Data (BD), with their potential to ascertain valued insights for enhanced decision-making process, have recently attracted substantial interest from both academics and practitioners. Big Data Analytics (BDA) is increasingly becoming a trending practice that many organizations are adopting with the purpose of constructing valuable information from BD. The analytics process, including the deployment and use of BDA tools, is seen by organizations as a tool to improve operational efficiency though it has strategic potential, drive new revenue streams and gain competitive advantages over business rivals. However, there are different types of analytic applications to consider. Therefore, prior to hasty use and buying costly BD tools, there is a need for organizations to first understand the BDA landscape. Given the significant nature of the BD and BDA, this paper presents a state-of-the-art review that presents a holistic view of the BD challenges and BDA methods theorized/proposed/employed by organizations to help others understand this landscape with the objective of making robust investment decisions. In doing so, systematically analysing and synthesizing the extant research published on BD and BDA area. More specifically, the authors seek to answer the following two principal questions: Q1 – What are the different types of BD challenges theorized/proposed/confronted by organizations? and Q2 – What are the different types of BDA methods theorized/proposed/employed to overcome BD challenges?. This systematic literature review (SLR) is carried out through observing and understanding the past trends and extant patterns/themes in the BDA research area, evaluating contributions, summarizing knowledge, thereby identifying limitations, implications and potential further research avenues to support the academic community in exploring research themes/patterns. Thus, to trace the implementation of BD strategies, a profiling method is employed to analyze articles (published in English-speaking peer-reviewed journals between 1996 and 2015) extracted from the Scopus database. The analysis presented in this paper has identified relevant BD research studies that have contributed both conceptually and empirically to the expansion and accrual of intellectual wealth to the BDA in technology and organizational resource management discipline.","author":[{"dropping-particle":"","family":"Sivarajah","given":"Uthayasankar","non-dropping-particle":"","parse-names":false,"suffix":""},{"dropping-particle":"","family":"Kamal","given":"Muhammad Mustafa","non-dropping-particle":"","parse-names":false,"suffix":""},{"dropping-particle":"","family":"Irani","given":"Zahir","non-dropping-particle":"","parse-names":false,"suffix":""},{"dropping-particle":"","family":"Weerakkody","given":"Vishanth","non-dropping-particle":"","parse-names":false,"suffix":""}],"container-title":"Journal of Business Research","id":"ITEM-2","issued":{"date-parts":[["2017"]]},"page":"263-286","publisher":"The Authors","title":"Critical analysis of Big Data challenges and analytical methods","type":"article-journal","volume":"70"},"uris":["http://www.mendeley.com/documents/?uuid=9e75b098-cc16-4b46-8346-4ff2ac7e0616"]}],"mendeley":{"formattedCitation":"(Almeida &amp; Calistru, 2012; Sivarajah et al., 2017)","plainTextFormattedCitation":"(Almeida &amp; Calistru, 2012; Sivarajah et al., 2017)","previouslyFormattedCitation":"(Almeida &amp; Calistru, 2012; Sivarajah et al., 2017)"},"properties":{"noteIndex":0},"schema":"https://github.com/citation-style-language/schema/raw/master/csl-citation.json"}</w:instrText>
      </w:r>
      <w:r w:rsidR="00317A2D">
        <w:fldChar w:fldCharType="separate"/>
      </w:r>
      <w:r w:rsidR="00317A2D" w:rsidRPr="00317A2D">
        <w:rPr>
          <w:noProof/>
        </w:rPr>
        <w:t>(Almeida &amp; Calistru, 2012; Sivarajah et al., 2017)</w:t>
      </w:r>
      <w:r w:rsidR="00317A2D">
        <w:fldChar w:fldCharType="end"/>
      </w:r>
      <w:r w:rsidR="00317A2D">
        <w:t xml:space="preserve">. </w:t>
      </w:r>
      <w:r w:rsidR="00CF09F8" w:rsidRPr="001365B0">
        <w:t xml:space="preserve">In concentrating on value as an important outcome of </w:t>
      </w:r>
      <w:r>
        <w:t>(b</w:t>
      </w:r>
      <w:r w:rsidR="00CF09F8" w:rsidRPr="001365B0">
        <w:t>ig</w:t>
      </w:r>
      <w:r>
        <w:t>)</w:t>
      </w:r>
      <w:r w:rsidR="00CF09F8" w:rsidRPr="001365B0">
        <w:t xml:space="preserve"> </w:t>
      </w:r>
      <w:r>
        <w:t>d</w:t>
      </w:r>
      <w:r w:rsidR="00CF09F8" w:rsidRPr="001365B0">
        <w:t xml:space="preserve">ata analytics, we </w:t>
      </w:r>
      <w:r w:rsidR="00E913E6">
        <w:t xml:space="preserve">critically </w:t>
      </w:r>
      <w:r w:rsidR="00CF09F8" w:rsidRPr="001365B0">
        <w:t xml:space="preserve">explore the intersection between the points raised above – </w:t>
      </w:r>
      <w:r w:rsidR="00E913E6">
        <w:t xml:space="preserve">in essence </w:t>
      </w:r>
      <w:r w:rsidR="00E913E6">
        <w:lastRenderedPageBreak/>
        <w:t xml:space="preserve">to answer the question of </w:t>
      </w:r>
      <w:r w:rsidR="00E913E6" w:rsidRPr="00E913E6">
        <w:rPr>
          <w:i/>
          <w:iCs/>
        </w:rPr>
        <w:t>how does the vision of (big) data analytics translate to practice in the humanitarian domain</w:t>
      </w:r>
      <w:r w:rsidR="00E913E6">
        <w:t xml:space="preserve">. The UDSDG and policy on data makes strong demands in this regard and it is important to examine how and where the state-of-the-art falls short. </w:t>
      </w:r>
      <w:r w:rsidR="00CF09F8" w:rsidRPr="001365B0">
        <w:t xml:space="preserve">In doing this, the paper is structured as follows. First, we review the big data literature with a particular focus on the causal link between instrumentation, </w:t>
      </w:r>
      <w:proofErr w:type="gramStart"/>
      <w:r w:rsidR="00CF09F8" w:rsidRPr="001365B0">
        <w:t>analytics</w:t>
      </w:r>
      <w:proofErr w:type="gramEnd"/>
      <w:r w:rsidR="00CF09F8" w:rsidRPr="001365B0">
        <w:t xml:space="preserve"> and </w:t>
      </w:r>
      <w:r w:rsidR="00824132">
        <w:t>humanitarian</w:t>
      </w:r>
      <w:r w:rsidR="00CF09F8" w:rsidRPr="001365B0">
        <w:t xml:space="preserve"> </w:t>
      </w:r>
      <w:r w:rsidR="00824132">
        <w:t>‘</w:t>
      </w:r>
      <w:r w:rsidR="00CF09F8" w:rsidRPr="001365B0">
        <w:t>value</w:t>
      </w:r>
      <w:r w:rsidR="00824132">
        <w:t>’</w:t>
      </w:r>
      <w:r w:rsidR="00CF09F8" w:rsidRPr="001365B0">
        <w:t xml:space="preserve">.  Second, we explore that causal link empirically via the synthesis of </w:t>
      </w:r>
      <w:r w:rsidR="00E913E6">
        <w:t>eight heterogeneous</w:t>
      </w:r>
      <w:r w:rsidR="00CF09F8" w:rsidRPr="001365B0">
        <w:t xml:space="preserve"> data sets from the humanitarian aid domain. We do th</w:t>
      </w:r>
      <w:r w:rsidR="00E913E6">
        <w:t>i</w:t>
      </w:r>
      <w:r w:rsidR="00CF09F8" w:rsidRPr="001365B0">
        <w:t xml:space="preserve">s to illustrate the issues that arise from a lack of attention to </w:t>
      </w:r>
      <w:r w:rsidR="00824132">
        <w:t xml:space="preserve">the need for heterogeneous data integration </w:t>
      </w:r>
      <w:r w:rsidR="00CF09F8" w:rsidRPr="001365B0">
        <w:t xml:space="preserve">and the resulting effect that has on the questions that can be asked of such data and subsequent limitation on value. Last, we discuss how the </w:t>
      </w:r>
      <w:r w:rsidR="005430A3">
        <w:t>issues we identify</w:t>
      </w:r>
      <w:r w:rsidR="00CF09F8" w:rsidRPr="001365B0">
        <w:t xml:space="preserve"> can be addressed, presenting a call to arms </w:t>
      </w:r>
      <w:r w:rsidR="00EE7DF0">
        <w:t xml:space="preserve">through </w:t>
      </w:r>
      <w:r w:rsidR="00A5158B">
        <w:t>five</w:t>
      </w:r>
      <w:r w:rsidR="00EE7DF0">
        <w:t xml:space="preserve"> propositions that form the basis of a</w:t>
      </w:r>
      <w:r w:rsidR="005430A3">
        <w:t xml:space="preserve">n </w:t>
      </w:r>
      <w:r w:rsidR="00CF09F8" w:rsidRPr="001365B0">
        <w:t>agenda</w:t>
      </w:r>
      <w:r w:rsidR="005430A3">
        <w:t xml:space="preserve"> for future research</w:t>
      </w:r>
      <w:r w:rsidR="00CF09F8" w:rsidRPr="001365B0">
        <w:t>.</w:t>
      </w:r>
      <w:r w:rsidR="003E0A5F">
        <w:t xml:space="preserve"> It is this call to arms, firmly based in issues arising from our empirical </w:t>
      </w:r>
      <w:r w:rsidR="008119FA">
        <w:t>work that</w:t>
      </w:r>
      <w:r w:rsidR="003E0A5F">
        <w:t xml:space="preserve"> provides the principal contribution of the work.</w:t>
      </w:r>
    </w:p>
    <w:p w14:paraId="7D41EC8B" w14:textId="42020CA8" w:rsidR="00CF09F8" w:rsidRPr="001365B0" w:rsidRDefault="00CF09F8" w:rsidP="004B4F6B">
      <w:pPr>
        <w:pStyle w:val="Heading2"/>
      </w:pPr>
      <w:r w:rsidRPr="001365B0">
        <w:t>The Concept of Value in ‘Big’ Data</w:t>
      </w:r>
      <w:r w:rsidR="00202B99">
        <w:t xml:space="preserve"> </w:t>
      </w:r>
    </w:p>
    <w:p w14:paraId="27E55F63" w14:textId="50C555FC" w:rsidR="00CF09F8" w:rsidRPr="001365B0" w:rsidRDefault="00CF09F8" w:rsidP="004B4F6B">
      <w:pPr>
        <w:pStyle w:val="Text01"/>
      </w:pPr>
      <w:r w:rsidRPr="001365B0">
        <w:t>In 2010, The Economist noted that data are becoming the ‘new raw material of business: an economic input almost on a par with capital and labour’</w:t>
      </w:r>
      <w:r w:rsidR="004F3DD6" w:rsidRPr="001365B0">
        <w:t xml:space="preserve"> </w:t>
      </w:r>
      <w:r w:rsidR="004F3DD6" w:rsidRPr="001365B0">
        <w:fldChar w:fldCharType="begin" w:fldLock="1"/>
      </w:r>
      <w:r w:rsidR="004F3DD6" w:rsidRPr="001365B0">
        <w:instrText>ADDIN CSL_CITATION {"citationItems":[{"id":"ITEM-1","itemData":{"author":[{"dropping-particle":"","family":"The Economist","given":"","non-dropping-particle":"","parse-names":false,"suffix":""}],"id":"ITEM-1","issued":{"date-parts":[["2010"]]},"number-of-pages":"1-13","title":"Data , data everywhere","type":"report"},"uris":["http://www.mendeley.com/documents/?uuid=61de974c-ca09-49bf-b90f-dc226ab91143"]}],"mendeley":{"formattedCitation":"(The Economist, 2010)","plainTextFormattedCitation":"(The Economist, 2010)","previouslyFormattedCitation":"(The Economist, 2010)"},"properties":{"noteIndex":0},"schema":"https://github.com/citation-style-language/schema/raw/master/csl-citation.json"}</w:instrText>
      </w:r>
      <w:r w:rsidR="004F3DD6" w:rsidRPr="001365B0">
        <w:fldChar w:fldCharType="separate"/>
      </w:r>
      <w:r w:rsidR="004F3DD6" w:rsidRPr="001365B0">
        <w:rPr>
          <w:noProof/>
        </w:rPr>
        <w:t>(The Economist, 2010)</w:t>
      </w:r>
      <w:r w:rsidR="004F3DD6" w:rsidRPr="001365B0">
        <w:fldChar w:fldCharType="end"/>
      </w:r>
      <w:r w:rsidRPr="001365B0">
        <w:t>. This was an observation on both the inexorable rise in the volume of data being generated and the potential of this data to do things that could not previously be done – unlocking new sources of economic and social value, providing fresh scientific insights and holding governments to account in doing so for example. The potential for ‘big data’ to generate value across a multitude of domains is echoed in management reports that argue it to be a key basis for competition – providing the foundation for ongoing productivity, innovation and competitiveness</w:t>
      </w:r>
      <w:r w:rsidR="00D445B4">
        <w:t xml:space="preserve"> </w:t>
      </w:r>
      <w:r w:rsidR="00D445B4">
        <w:fldChar w:fldCharType="begin" w:fldLock="1"/>
      </w:r>
      <w:r w:rsidR="00D445B4">
        <w:instrText>ADDIN CSL_CITATION {"citationItems":[{"id":"ITEM-1","itemData":{"author":[{"dropping-particle":"","family":"Manyika","given":"James","non-dropping-particle":"","parse-names":false,"suffix":""},{"dropping-particle":"","family":"Chui","given":"Michael","non-dropping-particle":"","parse-names":false,"suffix":""},{"dropping-particle":"","family":"Brown","given":"Brad","non-dropping-particle":"","parse-names":false,"suffix":""},{"dropping-particle":"","family":"Bughin","given":"Jacques","non-dropping-particle":"","parse-names":false,"suffix":""},{"dropping-particle":"","family":"Dobbs","given":"Richard","non-dropping-particle":"","parse-names":false,"suffix":""},{"dropping-particle":"","family":"Roxburgh","given":"Charles","non-dropping-particle":"","parse-names":false,"suffix":""},{"dropping-particle":"","family":"Byers","given":"Angela Hung","non-dropping-particle":"","parse-names":false,"suffix":""}],"editor":[{"dropping-particle":"","family":"Institute","given":"McKinsey Global","non-dropping-particle":"","parse-names":false,"suffix":""}],"id":"ITEM-1","issued":{"date-parts":[["2011"]]},"number-of-pages":"156 pages","publisher":"McKinsey Global Institute","title":"Big Data: the next frontier for innovation, competition, and productivity","type":"report"},"uris":["http://www.mendeley.com/documents/?uuid=6a4b1fb7-89b0-4e5b-a6af-e591a063825e"]}],"mendeley":{"formattedCitation":"(Manyika et al., 2011)","plainTextFormattedCitation":"(Manyika et al., 2011)","previouslyFormattedCitation":"(Manyika et al., 2011)"},"properties":{"noteIndex":0},"schema":"https://github.com/citation-style-language/schema/raw/master/csl-citation.json"}</w:instrText>
      </w:r>
      <w:r w:rsidR="00D445B4">
        <w:fldChar w:fldCharType="separate"/>
      </w:r>
      <w:r w:rsidR="00D445B4" w:rsidRPr="00D445B4">
        <w:rPr>
          <w:noProof/>
        </w:rPr>
        <w:t>(Manyika et al., 2011)</w:t>
      </w:r>
      <w:r w:rsidR="00D445B4">
        <w:fldChar w:fldCharType="end"/>
      </w:r>
      <w:r w:rsidR="00D445B4">
        <w:t xml:space="preserve">. </w:t>
      </w:r>
      <w:r w:rsidRPr="001365B0">
        <w:t>Industry interest and investment in big data technologies and skills has been significant as a consequence and, concomitantly, there has been an exponential rise in publications related to big data</w:t>
      </w:r>
      <w:r w:rsidR="004F3DD6" w:rsidRPr="001365B0">
        <w:t xml:space="preserve"> </w:t>
      </w:r>
      <w:r w:rsidR="004F3DD6" w:rsidRPr="001365B0">
        <w:fldChar w:fldCharType="begin" w:fldLock="1"/>
      </w:r>
      <w:r w:rsidR="00921493" w:rsidRPr="001365B0">
        <w:instrText>ADDIN CSL_CITATION {"citationItems":[{"id":"ITEM-1","itemData":{"DOI":"10.1002/asi.23294","ISSN":"23301643","abstract":"The recent interest in Big Data has generated a broad range of new academic, corporate, and policy practices along with an evolving debate amongst its proponents, detractors, and skeptics. While the practices draw on a common set of tools, techniques, and technologies, most contributions to the debate come either from a particular disciplinary perspective or with an eye on a domain-specific issue. A close examination of these contributions reveals a set of common problematics that arise in various guises in different places. It also demonstrates the need for a critical synthesis of the conceptual and practical dilemmas surrounding Big Data. The purpose of this article is to provide such a synthesis by drawing on relevant writings in the sciences, humanities, policy, and trade literature. In bringing these diverse literatures together, we aim to shed light on the common underlying issues that concern and affect all of these areas. By contextualizing the phenomenon of Big Data within larger socio-economic developments, we also seek to provide a broader understanding of its drivers, barriers, and challenges. This approach allows us to identify attributes of Big Data that need to receive more attention — autonomy, opacity, and generativity, disparity, and futurity — leading to questions and ideas for moving beyond dilemmas.","author":[{"dropping-particle":"","family":"Ekbia","given":"Hamid","non-dropping-particle":"","parse-names":false,"suffix":""},{"dropping-particle":"","family":"Mattioli","given":"Michael","non-dropping-particle":"","parse-names":false,"suffix":""},{"dropping-particle":"","family":"Kouper","given":"Inna","non-dropping-particle":"","parse-names":false,"suffix":""},{"dropping-particle":"","family":"Arave","given":"G.","non-dropping-particle":"","parse-names":false,"suffix":""},{"dropping-particle":"","family":"Ghazinejad","given":"Ali","non-dropping-particle":"","parse-names":false,"suffix":""},{"dropping-particle":"","family":"Bowman","given":"Timothy","non-dropping-particle":"","parse-names":false,"suffix":""},{"dropping-particle":"","family":"Suri","given":"Venkata Ratandeep","non-dropping-particle":"","parse-names":false,"suffix":""},{"dropping-particle":"","family":"Tsou","given":"Andrew","non-dropping-particle":"","parse-names":false,"suffix":""},{"dropping-particle":"","family":"Weingart","given":"Scott","non-dropping-particle":"","parse-names":false,"suffix":""},{"dropping-particle":"","family":"Sugimoto","given":"Cassidy R.","non-dropping-particle":"","parse-names":false,"suffix":""}],"container-title":"Journal of the Association for Information Science and Technology","id":"ITEM-1","issue":"8","issued":{"date-parts":[["2015"]]},"page":"1523-1545","title":"Big data, bigger dilemmas: A critical review","type":"article-journal","volume":"66"},"uris":["http://www.mendeley.com/documents/?uuid=e6411ec3-c592-4b99-8bfe-8762ac8763f8"]}],"mendeley":{"formattedCitation":"(Ekbia et al., 2015)","manualFormatting":"(see Ekbia et al., 2015)","plainTextFormattedCitation":"(Ekbia et al., 2015)","previouslyFormattedCitation":"(Ekbia et al., 2015)"},"properties":{"noteIndex":0},"schema":"https://github.com/citation-style-language/schema/raw/master/csl-citation.json"}</w:instrText>
      </w:r>
      <w:r w:rsidR="004F3DD6" w:rsidRPr="001365B0">
        <w:fldChar w:fldCharType="separate"/>
      </w:r>
      <w:r w:rsidR="004F3DD6" w:rsidRPr="001365B0">
        <w:rPr>
          <w:noProof/>
        </w:rPr>
        <w:t>(see Ekbia et al., 2015)</w:t>
      </w:r>
      <w:r w:rsidR="004F3DD6" w:rsidRPr="001365B0">
        <w:fldChar w:fldCharType="end"/>
      </w:r>
      <w:r w:rsidRPr="001365B0">
        <w:t>.</w:t>
      </w:r>
    </w:p>
    <w:p w14:paraId="25891C7A" w14:textId="7462A713" w:rsidR="00CF09F8" w:rsidRPr="001365B0" w:rsidRDefault="00CF09F8" w:rsidP="004B4F6B">
      <w:pPr>
        <w:pStyle w:val="Text01"/>
      </w:pPr>
      <w:r w:rsidRPr="001365B0">
        <w:t xml:space="preserve">Rather than having a concrete definition – the understanding of big data revolves around its characteristics (the so called ‘V’s), which </w:t>
      </w:r>
      <w:r w:rsidR="00634CD3">
        <w:t xml:space="preserve">have expanded to </w:t>
      </w:r>
      <w:r w:rsidRPr="001365B0">
        <w:t xml:space="preserve">include volume, velocity, variety, veracity, value, visibility, viability and variability </w:t>
      </w:r>
      <w:r w:rsidR="00035315" w:rsidRPr="001365B0">
        <w:fldChar w:fldCharType="begin" w:fldLock="1"/>
      </w:r>
      <w:r w:rsidR="00036BBA">
        <w:instrText>ADDIN CSL_CITATION {"citationItems":[{"id":"ITEM-1","itemData":{"URL":"http://www.informationweek.com/big-data/big-data-analytics/big-data-avoid-wanna-v-confusion/d/d-id/1111077","accessed":{"date-parts":[["2017","3","3"]]},"author":[{"dropping-particle":"","family":"Grimes","given":"Seth","non-dropping-particle":"","parse-names":false,"suffix":""}],"container-title":"InformationWeek","editor":[{"dropping-particle":"","family":"Week","given":"Information","non-dropping-particle":"","parse-names":false,"suffix":""}],"id":"ITEM-1","issue":"8 August 2013","issued":{"date-parts":[["2013"]]},"language":"English","publisher":"Information Week","publisher-place":"On-line","title":"Big Data: Avoid 'Wanna V' Confusion","type":"webpage"},"uris":["http://www.mendeley.com/documents/?uuid=b98db55f-0ac1-4a4b-ac9d-3405c63c6c0b"]},{"id":"ITEM-2","itemData":{"author":[{"dropping-particle":"","family":"Laney","given":"Doug","non-dropping-particle":"","parse-names":false,"suffix":""}],"container-title":"Application Delivery Strategies","editor":[{"dropping-particle":"","family":"Group","given":"Meta","non-dropping-particle":"","parse-names":false,"suffix":""}],"id":"ITEM-2","issued":{"date-parts":[["2001"]]},"publisher":"Meta Group","title":"3D Data Management: Controlling Data Volume, Velocity, and Variety","type":"report","volume":"949"},"uris":["http://www.mendeley.com/documents/?uuid=0546ee0e-78b3-44fa-9495-753f6a1b7045"]},{"id":"ITEM-3","itemData":{"URL":"http://blogs.gartner.com/doug-laney/deja-vvvue-others-claiming-gartners-volume-velocity-variety-construct-for-big-data/","accessed":{"date-parts":[["2017","3","1"]]},"author":[{"dropping-particle":"","family":"Laney","given":"Doug","non-dropping-particle":"","parse-names":false,"suffix":""}],"container-title":"Gartner Blog Network","editor":[{"dropping-particle":"","family":"Gartner","given":"","non-dropping-particle":"","parse-names":false,"suffix":""}],"id":"ITEM-3","issue":"01 March 2017","issued":{"date-parts":[["2012"]]},"language":"English","page":"Gartner Blog Network - Doug Laney decrying the peo","publisher":"Gartner","publisher-place":"On-line","title":"Deja VVVu: Others Claiming Gartner’s Construct for Big Data","type":"webpage","volume":"2017"},"uris":["http://www.mendeley.com/documents/?uuid=c914fa5f-38ef-4802-81f2-76e71f188661"]},{"id":"ITEM-4","itemData":{"URL":"http://blogs.gartner.com/doug-laney/batman-on-big-data/","accessed":{"date-parts":[["2017","3","1"]]},"author":[{"dropping-particle":"","family":"Laney","given":"Doug","non-dropping-particle":"","parse-names":false,"suffix":""}],"container-title":"Gartner Blog Network","editor":[{"dropping-particle":"","family":"Gartner","given":"","non-dropping-particle":"","parse-names":false,"suffix":""}],"id":"ITEM-4","issue":"01 Mar 2017","issued":{"date-parts":[["2013"]]},"language":"English","page":"Gartner Blog Network - Entry by Doug Laney (of 3V","publisher":"Gartner","publisher-place":"On-line","title":"Batman on Big Data","type":"webpage","volume":"2017"},"uris":["http://www.mendeley.com/documents/?uuid=d24a5898-5376-412e-8959-9c29b98ba2bb"]},{"id":"ITEM-5","itemData":{"URL":"http://www.ibmbigdatahub.com/infographic/four-vs-big-data","accessed":{"date-parts":[["2014","5","12"]]},"author":[{"dropping-particle":"","family":"IBM","given":"","non-dropping-particle":"","parse-names":false,"suffix":""}],"container-title":"IBM Big Data &amp; Analytics Hub","editor":[{"dropping-particle":"","family":"IBM Big Data &amp; Analytics Hub","given":"","non-dropping-particle":"","parse-names":false,"suffix":""}],"id":"ITEM-5","issued":{"date-parts":[["2013"]]},"language":"English","publisher":"IBM Big Data &amp; Analytics Hub","publisher-place":"On-line","title":"The Four V's of Big Data","type":"webpage","volume":"2014"},"uris":["http://www.mendeley.com/documents/?uuid=a03bf8eb-0733-4005-91cb-97b8138723bf"]},{"id":"ITEM-6","itemData":{"DOI":"10.1109/icdmic.2014.6954229","abstract":"Big Data is a collection of datasets containing massive amount of data in the range of zettabytes and yottabytes. Organizations are facing difficulties in manipulating and managing this massive data as existing traditional database and software techniques are unable to process and analyze voluminous data. Dealing with Big Data requires new tools and techniques that can extract valuable information using some analytic process. Volume, Variety, Velocity, Value, Veracity, Variability and Complexity are attributes associated with Big Data in various works in the literature. In this paper, we briefly describe these existing attributes and also propose to add Viability, Cost and Consistency as new attributes to this set. This paper also discusses existing tools and techniques associated with Big Data. Fleet management is an evolving application of GPS data. It is taken as a case study in this work to illustrate various attributes of Big Data. This paper also presents the implementation of a sorting problem by varying Hadoop cluster sizes for the GPS data.","author":[{"dropping-particle":"","family":"Bedi","given":"P","non-dropping-particle":"","parse-names":false,"suffix":""},{"dropping-particle":"","family":"Jindal","given":"V","non-dropping-particle":"","parse-names":false,"suffix":""},{"dropping-particle":"","family":"Gautam","given":"A","non-dropping-particle":"","parse-names":false,"suffix":""}],"container-title":"2014 International Conference on Data Mining and Intelligent Computing (ICDMIC)","id":"ITEM-6","issued":{"date-parts":[["2014"]]},"page":"1-7","title":"Beginning with big data simplified","type":"paper-conference"},"uris":["http://www.mendeley.com/documents/?uuid=1d296bc4-2559-4bdd-81ba-f4d49d75ae4e"]},{"id":"ITEM-7","itemData":{"DOI":"10.1177/0266382112470412","ISBN":"0266-3821","abstract":"Whilst organizations accept that effective information management (IM) is now crucial to information/knowledge worker productivity and organizational performance, the continued dramatic growth in information volumes has not been accompanied by increased information management capability. This is the case for both data and unstructured information. At the same time the consumerization of technology, growth in social media, and expectations of the work environment are resulting in pressure on IT and IM functions to deliver information and information tools via multiple channels/devices and simple interfaces. This article charts the evolution of views on the digital workplace and the drivers that now render this an essential strategic direction for organizations. The desirable features of the digital workplace can be achieved now through integration of four technologies ? mobile; big data; cloud computing and search-based applications ? and with a focus on developing for the mobile environment. Providing this environment could transform the way in which work is accomplished both in terms of individual and organizational productivity and competitiveness. Understanding organizations through an ethnological and cultural perspective will be essential to the design and management of this transformation.","author":[{"dropping-particle":"","family":"White","given":"Martin","non-dropping-particle":"","parse-names":false,"suffix":""}],"container-title":"Business Information Review","id":"ITEM-7","issue":"4","issued":{"date-parts":[["2012"]]},"page":"205-214","publisher":"SAGE Publications Ltd","title":"Digital workplaces: Vision and reality","type":"article-journal","volume":"29"},"uris":["http://www.mendeley.com/documents/?uuid=552bf5ee-300f-4233-88de-7db06ea87fa3"]}],"mendeley":{"formattedCitation":"(Bedi et al., 2014; Grimes, 2013; IBM, 2013; Laney, 2001, 2012, 2013; White, 2012)","plainTextFormattedCitation":"(Bedi et al., 2014; Grimes, 2013; IBM, 2013; Laney, 2001, 2012, 2013; White, 2012)","previouslyFormattedCitation":"(Bedi et al., 2014; Grimes, 2013; IBM, 2013; Laney, 2001, 2012, 2013; White, 2012)"},"properties":{"noteIndex":0},"schema":"https://github.com/citation-style-language/schema/raw/master/csl-citation.json"}</w:instrText>
      </w:r>
      <w:r w:rsidR="00035315" w:rsidRPr="001365B0">
        <w:fldChar w:fldCharType="separate"/>
      </w:r>
      <w:r w:rsidR="00036BBA" w:rsidRPr="00036BBA">
        <w:rPr>
          <w:noProof/>
        </w:rPr>
        <w:t>(Bedi et al., 2014; Grimes, 2013; IBM, 2013; Laney, 2001, 2012, 2013; White, 2012)</w:t>
      </w:r>
      <w:r w:rsidR="00035315" w:rsidRPr="001365B0">
        <w:fldChar w:fldCharType="end"/>
      </w:r>
      <w:r w:rsidR="0062718E" w:rsidRPr="001365B0">
        <w:t>.</w:t>
      </w:r>
      <w:r w:rsidRPr="001365B0">
        <w:t xml:space="preserve"> While all characteristics are arguably important, value has been highlighted as a key concern. From a business perspective, this concern is targeted at the conversion process between big data (and its associated technologies) and </w:t>
      </w:r>
      <w:r w:rsidRPr="001365B0">
        <w:lastRenderedPageBreak/>
        <w:t>improved firm performance – proceeding on the assumption that big data adds value indirectly</w:t>
      </w:r>
      <w:r w:rsidR="004F3DD6" w:rsidRPr="001365B0">
        <w:t xml:space="preserve"> </w:t>
      </w:r>
      <w:r w:rsidR="00F94772" w:rsidRPr="001365B0">
        <w:fldChar w:fldCharType="begin" w:fldLock="1"/>
      </w:r>
      <w:r w:rsidR="00101760">
        <w:instrText>ADDIN CSL_CITATION {"citationItems":[{"id":"ITEM-1","itemData":{"DOI":"http://dx.doi.org/10.1108/MRR-09-2015-0216","ISBN":"0001253111116","ISSN":"0264-0473","PMID":"42012058","abstract":"Porras, Jari","author":[{"dropping-particle":"","family":"Ylijoki","given":"Ossi","non-dropping-particle":"","parse-names":false,"suffix":""}],"container-title":"Business Process Management Journal","id":"ITEM-1","issue":"1","issued":{"date-parts":[["2018"]]},"page":"69–91","title":"A recipe for big data value creation","type":"article-journal","volume":"4"},"uris":["http://www.mendeley.com/documents/?uuid=74e53122-fbd1-48db-9e12-3a5025b54d41"]}],"mendeley":{"formattedCitation":"(Ylijoki, 2018)","plainTextFormattedCitation":"(Ylijoki, 2018)","previouslyFormattedCitation":"(Ylijoki, 2018)"},"properties":{"noteIndex":0},"schema":"https://github.com/citation-style-language/schema/raw/master/csl-citation.json"}</w:instrText>
      </w:r>
      <w:r w:rsidR="00F94772" w:rsidRPr="001365B0">
        <w:fldChar w:fldCharType="separate"/>
      </w:r>
      <w:r w:rsidR="003E6C4E" w:rsidRPr="003E6C4E">
        <w:rPr>
          <w:noProof/>
        </w:rPr>
        <w:t>(Ylijoki, 2018)</w:t>
      </w:r>
      <w:r w:rsidR="00F94772" w:rsidRPr="001365B0">
        <w:fldChar w:fldCharType="end"/>
      </w:r>
      <w:r w:rsidRPr="001365B0">
        <w:t xml:space="preserve">. The insight from early studies examining this phenomena clearly connected (effective) analytics with performance – with top performing respondents proposing that it was their use of data and analytics that provided a key differentiator with industry competitors </w:t>
      </w:r>
      <w:r w:rsidR="00D445B4">
        <w:fldChar w:fldCharType="begin" w:fldLock="1"/>
      </w:r>
      <w:r w:rsidR="00BC3C00">
        <w:instrText>ADDIN CSL_CITATION {"citationItems":[{"id":"ITEM-1","itemData":{"DOI":"10.0000/PMID57750728","ISBN":"15329194","ISSN":"15329194","PMID":"57750728","author":[{"dropping-particle":"","family":"Lavalle","given":"Steve","non-dropping-particle":"","parse-names":false,"suffix":""},{"dropping-particle":"","family":"Lesser","given":"Eric","non-dropping-particle":"","parse-names":false,"suffix":""},{"dropping-particle":"","family":"Shockley","given":"Rebecca","non-dropping-particle":"","parse-names":false,"suffix":""},{"dropping-particle":"","family":"Hopkins","given":"Michael S","non-dropping-particle":"","parse-names":false,"suffix":""},{"dropping-particle":"","family":"Kruschwitz","given":"Nina","non-dropping-particle":"","parse-names":false,"suffix":""}],"container-title":"MIT Sloan Management Review","id":"ITEM-1","issue":"52205","issued":{"date-parts":[["2011"]]},"title":"Big Data, Analytics and the Path From Insights to Value","type":"article-journal"},"uris":["http://www.mendeley.com/documents/?uuid=043da832-330a-4b1d-83b4-fe821cdfffa9"]}],"mendeley":{"formattedCitation":"(Lavalle et al., 2011)","plainTextFormattedCitation":"(Lavalle et al., 2011)","previouslyFormattedCitation":"(Lavalle et al., 2011)"},"properties":{"noteIndex":0},"schema":"https://github.com/citation-style-language/schema/raw/master/csl-citation.json"}</w:instrText>
      </w:r>
      <w:r w:rsidR="00D445B4">
        <w:fldChar w:fldCharType="separate"/>
      </w:r>
      <w:r w:rsidR="00D445B4" w:rsidRPr="00D445B4">
        <w:rPr>
          <w:noProof/>
        </w:rPr>
        <w:t>(Lavalle et al., 2011)</w:t>
      </w:r>
      <w:r w:rsidR="00D445B4">
        <w:fldChar w:fldCharType="end"/>
      </w:r>
      <w:r w:rsidR="00D445B4">
        <w:t>.</w:t>
      </w:r>
      <w:r w:rsidRPr="001365B0">
        <w:t xml:space="preserve"> Findings here </w:t>
      </w:r>
      <w:r w:rsidRPr="00B566C1">
        <w:t>(ibid)</w:t>
      </w:r>
      <w:r w:rsidRPr="001365B0">
        <w:t xml:space="preserve"> were that top performers (as defined): (a) Made decisions based on rigorous analysis; (b) were twice as likely to use analytics to guide future strategies than poor performers; and (c) were twice as likely to use analytics to guide day-to-day-operations than poor performers. In the extant literature, the way in which value manifests itself includes improved product development and faster time-to-market cycles in product/service innovation cycles</w:t>
      </w:r>
      <w:r w:rsidR="00001FD8" w:rsidRPr="001365B0">
        <w:t xml:space="preserve"> </w:t>
      </w:r>
      <w:r w:rsidR="00D445B4">
        <w:fldChar w:fldCharType="begin" w:fldLock="1"/>
      </w:r>
      <w:r w:rsidR="00D445B4">
        <w:instrText>ADDIN CSL_CITATION {"citationItems":[{"id":"ITEM-1","itemData":{"author":[{"dropping-particle":"","family":"Manyika","given":"James","non-dropping-particle":"","parse-names":false,"suffix":""},{"dropping-particle":"","family":"Chui","given":"Michael","non-dropping-particle":"","parse-names":false,"suffix":""},{"dropping-particle":"","family":"Brown","given":"Brad","non-dropping-particle":"","parse-names":false,"suffix":""},{"dropping-particle":"","family":"Bughin","given":"Jacques","non-dropping-particle":"","parse-names":false,"suffix":""},{"dropping-particle":"","family":"Dobbs","given":"Richard","non-dropping-particle":"","parse-names":false,"suffix":""},{"dropping-particle":"","family":"Roxburgh","given":"Charles","non-dropping-particle":"","parse-names":false,"suffix":""},{"dropping-particle":"","family":"Byers","given":"Angela Hung","non-dropping-particle":"","parse-names":false,"suffix":""}],"editor":[{"dropping-particle":"","family":"Institute","given":"McKinsey Global","non-dropping-particle":"","parse-names":false,"suffix":""}],"id":"ITEM-1","issued":{"date-parts":[["2011"]]},"number-of-pages":"156 pages","publisher":"McKinsey Global Institute","title":"Big Data: the next frontier for innovation, competition, and productivity","type":"report"},"uris":["http://www.mendeley.com/documents/?uuid=6a4b1fb7-89b0-4e5b-a6af-e591a063825e"]}],"mendeley":{"formattedCitation":"(Manyika et al., 2011)","plainTextFormattedCitation":"(Manyika et al., 2011)","previouslyFormattedCitation":"(Manyika et al., 2011)"},"properties":{"noteIndex":0},"schema":"https://github.com/citation-style-language/schema/raw/master/csl-citation.json"}</w:instrText>
      </w:r>
      <w:r w:rsidR="00D445B4">
        <w:fldChar w:fldCharType="separate"/>
      </w:r>
      <w:r w:rsidR="00D445B4" w:rsidRPr="00D445B4">
        <w:rPr>
          <w:noProof/>
        </w:rPr>
        <w:t>(Manyika et al., 2011)</w:t>
      </w:r>
      <w:r w:rsidR="00D445B4">
        <w:fldChar w:fldCharType="end"/>
      </w:r>
      <w:r w:rsidR="005C2711">
        <w:t>;</w:t>
      </w:r>
      <w:r w:rsidRPr="001365B0">
        <w:t xml:space="preserve"> inventory accuracy</w:t>
      </w:r>
      <w:r w:rsidR="00BC3C00">
        <w:t xml:space="preserve"> </w:t>
      </w:r>
      <w:r w:rsidR="005C2711">
        <w:fldChar w:fldCharType="begin" w:fldLock="1"/>
      </w:r>
      <w:r w:rsidR="00036BBA">
        <w:instrText>ADDIN CSL_CITATION {"citationItems":[{"id":"ITEM-1","itemData":{"DOI":"10.1108/imds-07-2014-0212","ISBN":"0263-5577","abstract":"Purpose ? The purpose of this paper is to assess the business value of in-memory computing (IMC) technology by analyzing its organizational impact in different application scenarios. Design/methodology/approach ? This research applies a multiple-case study methodology analyzing five cases of IMC application scenarios in five large European industrial and service-sector companies. Findings ? Results show that IMC can deliver business value in various applications ranging from advanced analytic insights to support of real-time processes. This enables higher-level organizational advantages like data-driven decision making, superior transparency of operations, and experience with Big Data technology. The findings are summarized in a business value generation model which captures the business benefits along with preceding enabling changes in the organizational environment. Practical implications ? Results aid managers in identifying different application scenarios where IMC technology may generate value for their organizations from business and IT management perspectives. The research also sheds light on the socio-technical factors that influence the likelihood of success or failure of IMC initiatives. Originality/value ? This research is among the first to model the business value creation process of in-memory technology based on insights from multiple implemented applications in different industries.","author":[{"dropping-particle":"","family":"Bärenfänger","given":"Rieke","non-dropping-particle":"","parse-names":false,"suffix":""},{"dropping-particle":"","family":"Otto","given":"Boris","non-dropping-particle":"","parse-names":false,"suffix":""},{"dropping-particle":"","family":"Österle","given":"Hubert","non-dropping-particle":"","parse-names":false,"suffix":""}],"container-title":"Industrial Management &amp; Data Systems","id":"ITEM-1","issue":"9","issued":{"date-parts":[["2014"]]},"page":"1396-1414","publisher":"Emerald","title":"Business value of in-memory technology – multiple-case study insights","type":"article-journal","volume":"114"},"uris":["http://www.mendeley.com/documents/?uuid=11cc4333-7d55-4ced-9ed0-2ad741de4da7"]}],"mendeley":{"formattedCitation":"(Bärenfänger et al., 2014)","plainTextFormattedCitation":"(Bärenfänger et al., 2014)","previouslyFormattedCitation":"(Bärenfänger et al., 2014)"},"properties":{"noteIndex":0},"schema":"https://github.com/citation-style-language/schema/raw/master/csl-citation.json"}</w:instrText>
      </w:r>
      <w:r w:rsidR="005C2711">
        <w:fldChar w:fldCharType="separate"/>
      </w:r>
      <w:r w:rsidR="00036BBA" w:rsidRPr="00036BBA">
        <w:rPr>
          <w:noProof/>
        </w:rPr>
        <w:t>(Bärenfänger et al., 2014)</w:t>
      </w:r>
      <w:r w:rsidR="005C2711">
        <w:fldChar w:fldCharType="end"/>
      </w:r>
      <w:r w:rsidR="005C2711">
        <w:t>;</w:t>
      </w:r>
      <w:r w:rsidRPr="001365B0">
        <w:t xml:space="preserve"> delivery accuracy</w:t>
      </w:r>
      <w:r w:rsidR="005C2711">
        <w:t xml:space="preserve"> </w:t>
      </w:r>
      <w:r w:rsidR="005C2711">
        <w:fldChar w:fldCharType="begin" w:fldLock="1"/>
      </w:r>
      <w:r w:rsidR="0030723E">
        <w:instrText>ADDIN CSL_CITATION {"citationItems":[{"id":"ITEM-1","itemData":{"DOI":"https://doi.org/10.1016/j.ijpe.2014.12.032","ISBN":"0925-5273","abstract":"Currently many organizations are in the process of implementing Big Data related projects in order to extract meaningful insights from their data for better decision making. Though there are various frameworks postulating the best practices which should be adopted while implementing analytics projects, they do not cater to the complexities associated with a Big Data project. In this paper our goal is two-fold: to develop a new framework that can provide organizations a holistic roadmap in conceptualizing, planning and successfully implementing Big Data projects and to validate this framework through our observation of a descriptive case study of an organization that has implemented such a project. Although the manufacturing sector has been slow in incorporating analytics in their strategic decision making, the situation is changing with increasing use of analytics for product development, operations and logistics. We explore the Big Data project at a manufacturing company, Ramco Cements Limited, India, describe the system developed by them and highlight the benefits accrued from it. We investigate the entire process by which the project is implemented using the lens of our proposed framework. Our results reveal that a clear understanding of the business problem, a detailed and well planned step-by-step project map, a cross functional project team, adoption of innovative visualization techniques, patronage and active involvement of top management and a culture of data driven decision making are essential for the success of a Big Data project.","author":[{"dropping-particle":"","family":"Dutta","given":"Debprotim","non-dropping-particle":"","parse-names":false,"suffix":""},{"dropping-particle":"","family":"Bose","given":"Indranil","non-dropping-particle":"","parse-names":false,"suffix":""}],"container-title":"International Journal of Production Economics","id":"ITEM-1","issued":{"date-parts":[["2015"]]},"page":"293-306","title":"Managing a Big Data project: The case of Ramco Cements Limited","type":"article-journal","volume":"165"},"uris":["http://www.mendeley.com/documents/?uuid=edd283d8-7da1-4d0b-928f-cc0ac6a45e42"]}],"mendeley":{"formattedCitation":"(Dutta &amp; Bose, 2015)","plainTextFormattedCitation":"(Dutta &amp; Bose, 2015)","previouslyFormattedCitation":"(Dutta &amp; Bose, 2015)"},"properties":{"noteIndex":0},"schema":"https://github.com/citation-style-language/schema/raw/master/csl-citation.json"}</w:instrText>
      </w:r>
      <w:r w:rsidR="005C2711">
        <w:fldChar w:fldCharType="separate"/>
      </w:r>
      <w:r w:rsidR="005C2711" w:rsidRPr="005C2711">
        <w:rPr>
          <w:noProof/>
        </w:rPr>
        <w:t>(Dutta &amp; Bose, 2015)</w:t>
      </w:r>
      <w:r w:rsidR="005C2711">
        <w:fldChar w:fldCharType="end"/>
      </w:r>
      <w:r w:rsidR="005C2711">
        <w:t xml:space="preserve">; </w:t>
      </w:r>
      <w:r w:rsidR="00317A2D">
        <w:t>improved customer r</w:t>
      </w:r>
      <w:r w:rsidRPr="001365B0">
        <w:t>elationshi</w:t>
      </w:r>
      <w:r w:rsidR="00317A2D">
        <w:t>p m</w:t>
      </w:r>
      <w:r w:rsidRPr="001365B0">
        <w:t>anagement</w:t>
      </w:r>
      <w:r w:rsidR="001D0112" w:rsidRPr="001365B0">
        <w:t xml:space="preserve"> </w:t>
      </w:r>
      <w:r w:rsidR="001D0112" w:rsidRPr="001365B0">
        <w:fldChar w:fldCharType="begin" w:fldLock="1"/>
      </w:r>
      <w:r w:rsidR="002D1ED6">
        <w:instrText>ADDIN CSL_CITATION {"citationItems":[{"id":"ITEM-1","itemData":{"ISSN":"0017-8012","PMID":"23074865","abstract":"Exploiting vast new flows of information can radically improve your company's performance. But first you'll have to change your decision-making culture.","author":[{"dropping-particle":"","family":"McAfee","given":"Andrew","non-dropping-particle":"","parse-names":false,"suffix":""},{"dropping-particle":"","family":"Brynjolfsson","given":"Erik","non-dropping-particle":"","parse-names":false,"suffix":""}],"container-title":"Harvard Business Review","id":"ITEM-1","issue":"October","issued":{"date-parts":[["2012"]]},"page":"1-12","title":"Big Data : The Management Revolution","type":"article-journal"},"uris":["http://www.mendeley.com/documents/?uuid=ed3fbc3c-4115-4911-bcf3-1225fc055934"]}],"mendeley":{"formattedCitation":"(McAfee &amp; Brynjolfsson, 2012)","plainTextFormattedCitation":"(McAfee &amp; Brynjolfsson, 2012)","previouslyFormattedCitation":"(McAfee &amp; Brynjolfsson, 2012)"},"properties":{"noteIndex":0},"schema":"https://github.com/citation-style-language/schema/raw/master/csl-citation.json"}</w:instrText>
      </w:r>
      <w:r w:rsidR="001D0112" w:rsidRPr="001365B0">
        <w:fldChar w:fldCharType="separate"/>
      </w:r>
      <w:r w:rsidR="00C606BA" w:rsidRPr="00C606BA">
        <w:rPr>
          <w:noProof/>
        </w:rPr>
        <w:t>(McAfee &amp; Brynjolfsson, 2012)</w:t>
      </w:r>
      <w:r w:rsidR="001D0112" w:rsidRPr="001365B0">
        <w:fldChar w:fldCharType="end"/>
      </w:r>
      <w:r w:rsidRPr="001365B0">
        <w:t>.</w:t>
      </w:r>
    </w:p>
    <w:p w14:paraId="3C3D1AD1" w14:textId="33BCFBB3" w:rsidR="00D1437F" w:rsidRPr="001365B0" w:rsidRDefault="00941A91" w:rsidP="004B4F6B">
      <w:pPr>
        <w:pStyle w:val="Text01"/>
      </w:pPr>
      <w:r w:rsidRPr="001365B0">
        <w:t>I</w:t>
      </w:r>
      <w:r w:rsidR="00F76A7A" w:rsidRPr="001365B0">
        <w:t xml:space="preserve">n the world of commerce, </w:t>
      </w:r>
      <w:r w:rsidRPr="001365B0">
        <w:t xml:space="preserve">the perception of </w:t>
      </w:r>
      <w:r w:rsidR="00F76A7A" w:rsidRPr="001365B0">
        <w:t xml:space="preserve">value </w:t>
      </w:r>
      <w:r w:rsidRPr="001365B0">
        <w:t xml:space="preserve">from analytics </w:t>
      </w:r>
      <w:r w:rsidR="00F76A7A" w:rsidRPr="001365B0">
        <w:t xml:space="preserve">is ultimately </w:t>
      </w:r>
      <w:r w:rsidRPr="001365B0">
        <w:t>linked to the continued viability and success of a commercial entity</w:t>
      </w:r>
      <w:r w:rsidR="000937B8" w:rsidRPr="001365B0">
        <w:t xml:space="preserve"> </w:t>
      </w:r>
      <w:r w:rsidR="000937B8" w:rsidRPr="001365B0">
        <w:fldChar w:fldCharType="begin" w:fldLock="1"/>
      </w:r>
      <w:r w:rsidR="007A4ED5">
        <w:instrText>ADDIN CSL_CITATION {"citationItems":[{"id":"ITEM-1","itemData":{"DOI":"10.1057/ejis.2014.17","ISSN":"0960-085X","abstract":"Much attention is currently being paid in both the academic and practitioner literatures to the value that organisations could create through the use of big data and business analytics (Gillon  +Italic et al -Italic  , 2012; Mithas   , 2013). For instance, Chen    (2012, p. 1166-1168) suggest that business analytics and related technologies can help organisations to 'better understand its business and markets' and 'leverage opportunities presented by abundant data and domain-specific analytics'. Similarly, LaValle    (2011, p. 22) report that top-performing organisations 'make decisions based on rigorous analysis at more than double the rate of lower performing organisations' and that in such organisations analytic insight is being used to 'guide both future strategies and day-to-day operations'. We argue here that while there is some evidence that investments in business analytics can create value, the thesis that 'business analytics leads to value' needs deeper analysis. In particular, we argue here that the roles of organisational decision-making processes, including resource allocation processes and resource orchestration processes (Helfat  +Italic et al -Italic  , 2007; Teece, 2009), need to be better understood in order to understand how organisations can create value from the use of business analytics. Specifically, we propose that the first-order effects of business analytics are likely to be on decision-making processes and that improvements in organisational performance are likely to be an outcome of superior decision-making processes enabled by business analytics.","author":[{"dropping-particle":"","family":"Sharma","given":"Rajeev","non-dropping-particle":"","parse-names":false,"suffix":""},{"dropping-particle":"","family":"Mithas","given":"Sunil","non-dropping-particle":"","parse-names":false,"suffix":""},{"dropping-particle":"","family":"Kankanhalli","given":"Atreyi","non-dropping-particle":"","parse-names":false,"suffix":""}],"container-title":"European Journal of Information Systems","id":"ITEM-1","issue":"4","issued":{"date-parts":[["2014"]]},"page":"433-441","title":"Transforming decision-making processes: a research agenda for understanding the impact of business analytics on organisations","type":"article-journal","volume":"23"},"uris":["http://www.mendeley.com/documents/?uuid=7630724d-0f0e-42cc-9dca-e98a2d165672"]},{"id":"ITEM-2","itemData":{"abstract":"Business intelligence and analytics (BI&amp;A) has emerged as an important area of study for both practitioners and researchers, reflecting the magnitude and impact of data-related problems to be solved in contemporary business organizations. This introduction to the MIS Quarterly Special Issue on Business Intelligence Research first provides a framework that identifies the evolution, applications, and emerging research areas of BI&amp;A. BI&amp;A 1.0, BI&amp;A 2.0, and BI&amp;A 3.0 are defined and described in terms of their key characteristics and capabilities. Current research in BI&amp;A is analyzed and challenges and opportunities associated with BI&amp;A research and education are identified. We also report a bibliometric study of critical BI&amp;A publications, researchers, and research topics based on more than a decade of related academic and industry publications. Finally, the six articles that comprise this special issue are introduced and characterized in terms of the proposed BI&amp;A research framework.","author":[{"dropping-particle":"","family":"Chen","given":"Hsinchun","non-dropping-particle":"","parse-names":false,"suffix":""},{"dropping-particle":"","family":"Chiang","given":"Roger H L","non-dropping-particle":"","parse-names":false,"suffix":""},{"dropping-particle":"","family":"Storey","given":"Veda C","non-dropping-particle":"","parse-names":false,"suffix":""},{"dropping-particle":"","family":"Robinson","given":"J Mack","non-dropping-particle":"","parse-names":false,"suffix":""}],"container-title":"MIS Quarterly","id":"ITEM-2","issue":"4","issued":{"date-parts":[["2012"]]},"page":"1165-1188","title":"Business Intelligence and Analytics: From Big Data To Big Impact","type":"article-journal","volume":"36"},"uris":["http://www.mendeley.com/documents/?uuid=7b3182df-ac83-4436-8385-335c6f690581"]}],"mendeley":{"formattedCitation":"(H. Chen et al., 2012; Sharma et al., 2014)","plainTextFormattedCitation":"(H. Chen et al., 2012; Sharma et al., 2014)","previouslyFormattedCitation":"(H. Chen et al., 2012; Sharma et al., 2014)"},"properties":{"noteIndex":0},"schema":"https://github.com/citation-style-language/schema/raw/master/csl-citation.json"}</w:instrText>
      </w:r>
      <w:r w:rsidR="000937B8" w:rsidRPr="001365B0">
        <w:fldChar w:fldCharType="separate"/>
      </w:r>
      <w:r w:rsidR="00C40B25" w:rsidRPr="00C40B25">
        <w:rPr>
          <w:noProof/>
        </w:rPr>
        <w:t>(H. Chen et al., 2012; Sharma et al., 2014)</w:t>
      </w:r>
      <w:r w:rsidR="000937B8" w:rsidRPr="001365B0">
        <w:fldChar w:fldCharType="end"/>
      </w:r>
      <w:r w:rsidRPr="001365B0">
        <w:t xml:space="preserve">. </w:t>
      </w:r>
      <w:r w:rsidR="000C1897" w:rsidRPr="001365B0">
        <w:t xml:space="preserve">In </w:t>
      </w:r>
      <w:r w:rsidR="00D1437F" w:rsidRPr="001365B0">
        <w:t xml:space="preserve">the </w:t>
      </w:r>
      <w:r w:rsidR="000C1897" w:rsidRPr="001365B0">
        <w:t>humanitarian aid sector</w:t>
      </w:r>
      <w:r w:rsidR="00634CD3">
        <w:t>,</w:t>
      </w:r>
      <w:r w:rsidR="000C1897" w:rsidRPr="001365B0">
        <w:t xml:space="preserve"> </w:t>
      </w:r>
      <w:r w:rsidR="00D1437F" w:rsidRPr="001365B0">
        <w:t>however</w:t>
      </w:r>
      <w:r w:rsidR="00634CD3">
        <w:t>,</w:t>
      </w:r>
      <w:r w:rsidR="00E93C32" w:rsidRPr="001365B0">
        <w:t xml:space="preserve"> the</w:t>
      </w:r>
      <w:r w:rsidR="000C1897" w:rsidRPr="001365B0">
        <w:t xml:space="preserve"> value</w:t>
      </w:r>
      <w:r w:rsidR="00E93C32" w:rsidRPr="001365B0">
        <w:t xml:space="preserve"> proposition of big data</w:t>
      </w:r>
      <w:r w:rsidR="000C1897" w:rsidRPr="001365B0">
        <w:t xml:space="preserve"> is inextricably </w:t>
      </w:r>
      <w:r w:rsidR="00D1437F" w:rsidRPr="001365B0">
        <w:t>linked</w:t>
      </w:r>
      <w:r w:rsidR="000C1897" w:rsidRPr="001365B0">
        <w:t xml:space="preserve"> to human survival and well</w:t>
      </w:r>
      <w:r w:rsidR="001F15AB" w:rsidRPr="001365B0">
        <w:t xml:space="preserve">-being </w:t>
      </w:r>
      <w:r w:rsidR="00C906C9" w:rsidRPr="001365B0">
        <w:fldChar w:fldCharType="begin" w:fldLock="1"/>
      </w:r>
      <w:r w:rsidR="00D1437F" w:rsidRPr="001365B0">
        <w:instrText>ADDIN CSL_CITATION {"citationItems":[{"id":"ITEM-1","itemData":{"URL":"https://borgenproject.org/digital-humanitarianism/","author":[{"dropping-particle":"","family":"Kamper","given":"Helena","non-dropping-particle":"","parse-names":false,"suffix":""}],"id":"ITEM-1","issue":"2019-03-31","issued":{"date-parts":[["2019"]]},"publisher":"The Borgen Project","publisher-place":"On-line","title":"Digital Humanitarianism: Using Big Data","type":"webpage","volume":"2019"},"uris":["http://www.mendeley.com/documents/?uuid=77fa20e0-36f8-4701-b6b0-64ba36a466da"]},{"id":"ITEM-2","itemData":{"URL":"https://www.brookings.edu/blog/techtank/2015/02/19/digital-humanitarians-big-data-and-disaster-response/","author":[{"dropping-particle":"","family":"Meier","given":"Patrick","non-dropping-particle":"","parse-names":false,"suffix":""}],"container-title":"The Brookings Institution","editor":[{"dropping-particle":"","family":"Institution","given":"The Brookings","non-dropping-particle":"","parse-names":false,"suffix":""}],"id":"ITEM-2","issue":"2019-03-31","issued":{"date-parts":[["2015"]]},"publisher":"The Brookings Institution","publisher-place":"On-line","title":"Digital humanitarians, big data and disaster response","type":"webpage","volume":"2019"},"uris":["http://www.mendeley.com/documents/?uuid=6135ef71-6ea6-4395-8b28-93a4f3e0791e"]}],"mendeley":{"formattedCitation":"(Kamper, 2019; Meier, 2015)","plainTextFormattedCitation":"(Kamper, 2019; Meier, 2015)","previouslyFormattedCitation":"(Kamper, 2019; Meier, 2015)"},"properties":{"noteIndex":0},"schema":"https://github.com/citation-style-language/schema/raw/master/csl-citation.json"}</w:instrText>
      </w:r>
      <w:r w:rsidR="00C906C9" w:rsidRPr="001365B0">
        <w:fldChar w:fldCharType="separate"/>
      </w:r>
      <w:r w:rsidR="000C1897" w:rsidRPr="001365B0">
        <w:rPr>
          <w:noProof/>
        </w:rPr>
        <w:t>(Kamper, 2019; Meier, 2015)</w:t>
      </w:r>
      <w:r w:rsidR="00C906C9" w:rsidRPr="001365B0">
        <w:fldChar w:fldCharType="end"/>
      </w:r>
      <w:r w:rsidR="00740B0F" w:rsidRPr="001365B0">
        <w:t>.</w:t>
      </w:r>
      <w:r w:rsidR="00C906C9" w:rsidRPr="001365B0">
        <w:t xml:space="preserve"> </w:t>
      </w:r>
      <w:r w:rsidR="000C1897" w:rsidRPr="001365B0">
        <w:t>In this sector, amongst other value-laden possibilities</w:t>
      </w:r>
      <w:r w:rsidR="00E56693" w:rsidRPr="001365B0">
        <w:t>,</w:t>
      </w:r>
      <w:r w:rsidR="001F15AB" w:rsidRPr="001365B0">
        <w:t xml:space="preserve"> </w:t>
      </w:r>
      <w:r w:rsidR="00BC79F4" w:rsidRPr="001365B0">
        <w:t>big data</w:t>
      </w:r>
      <w:r w:rsidR="00D1437F" w:rsidRPr="001365B0">
        <w:t xml:space="preserve"> </w:t>
      </w:r>
      <w:r w:rsidR="00BC79F4" w:rsidRPr="001365B0">
        <w:t xml:space="preserve">analytics </w:t>
      </w:r>
      <w:r w:rsidR="001365B0">
        <w:t>is seen as</w:t>
      </w:r>
      <w:r w:rsidR="00D45DC7" w:rsidRPr="001365B0">
        <w:t xml:space="preserve"> offer</w:t>
      </w:r>
      <w:r w:rsidR="001365B0">
        <w:t>ing</w:t>
      </w:r>
      <w:r w:rsidR="00D45DC7" w:rsidRPr="001365B0">
        <w:t xml:space="preserve"> the </w:t>
      </w:r>
      <w:r w:rsidR="001F15AB" w:rsidRPr="001365B0">
        <w:t xml:space="preserve">means </w:t>
      </w:r>
      <w:r w:rsidR="00D45DC7" w:rsidRPr="001365B0">
        <w:t>to</w:t>
      </w:r>
      <w:r w:rsidR="00D1437F" w:rsidRPr="001365B0">
        <w:t xml:space="preserve"> overcom</w:t>
      </w:r>
      <w:r w:rsidR="00D45DC7" w:rsidRPr="001365B0">
        <w:t>e</w:t>
      </w:r>
      <w:r w:rsidR="00D1437F" w:rsidRPr="001365B0">
        <w:t xml:space="preserve"> inherent </w:t>
      </w:r>
      <w:r w:rsidR="001F15AB" w:rsidRPr="001365B0">
        <w:t>weaknesses in</w:t>
      </w:r>
      <w:r w:rsidR="00D1437F" w:rsidRPr="001365B0">
        <w:t xml:space="preserve"> humanitarian </w:t>
      </w:r>
      <w:r w:rsidR="001F15AB" w:rsidRPr="001365B0">
        <w:t xml:space="preserve">aid </w:t>
      </w:r>
      <w:r w:rsidR="00D1437F" w:rsidRPr="001365B0">
        <w:t>supply chains by improving</w:t>
      </w:r>
      <w:r w:rsidR="00663310" w:rsidRPr="001365B0">
        <w:t xml:space="preserve"> </w:t>
      </w:r>
      <w:r w:rsidR="00D1437F" w:rsidRPr="001365B0">
        <w:t>visibility and coordination</w:t>
      </w:r>
      <w:r w:rsidR="00663310" w:rsidRPr="001365B0">
        <w:t xml:space="preserve"> </w:t>
      </w:r>
      <w:r w:rsidR="00D45DC7" w:rsidRPr="001365B0">
        <w:t>and</w:t>
      </w:r>
      <w:r w:rsidR="00663310" w:rsidRPr="001365B0">
        <w:t xml:space="preserve"> </w:t>
      </w:r>
      <w:r w:rsidR="00D45DC7" w:rsidRPr="001365B0">
        <w:t>thereby yielding the</w:t>
      </w:r>
      <w:r w:rsidR="001F15AB" w:rsidRPr="001365B0">
        <w:t xml:space="preserve"> intrinsic</w:t>
      </w:r>
      <w:r w:rsidR="00B31B84" w:rsidRPr="001365B0">
        <w:t xml:space="preserve"> value </w:t>
      </w:r>
      <w:r w:rsidR="00D45DC7" w:rsidRPr="001365B0">
        <w:t>of</w:t>
      </w:r>
      <w:r w:rsidR="001F15AB" w:rsidRPr="001365B0">
        <w:t xml:space="preserve"> </w:t>
      </w:r>
      <w:r w:rsidR="00D45DC7" w:rsidRPr="001365B0">
        <w:t xml:space="preserve">saving lives and </w:t>
      </w:r>
      <w:r w:rsidR="001F15AB" w:rsidRPr="001365B0">
        <w:t>reducing</w:t>
      </w:r>
      <w:r w:rsidR="00D45DC7" w:rsidRPr="001365B0">
        <w:t xml:space="preserve"> the suffering of </w:t>
      </w:r>
      <w:r w:rsidR="00B31B84" w:rsidRPr="001365B0">
        <w:t>survivors</w:t>
      </w:r>
      <w:r w:rsidR="00D1437F" w:rsidRPr="001365B0">
        <w:t xml:space="preserve"> </w:t>
      </w:r>
      <w:r w:rsidR="00D1437F" w:rsidRPr="001365B0">
        <w:fldChar w:fldCharType="begin" w:fldLock="1"/>
      </w:r>
      <w:r w:rsidR="00E56693" w:rsidRPr="001365B0">
        <w:instrText>ADDIN CSL_CITATION {"citationItems":[{"id":"ITEM-1","itemData":{"DOI":"10.1108/ijlm-02-2017-0039","ISBN":"0957-4093","abstract":"Purpose The purpose of this paper is to understand how big data and predictive analytics (BDPA), as an organizational capability, can improve both visibility and coordination in humanitarian supply chains. Design/methodology/approach The authors conceptualize a research model grounded in contingent resource-based view where the authors propose that BDPA capabilities affect visibility and coordination under the moderating effect of swift trust. Using ordinary least squares regression, the authors test the hypotheses using survey data collected from informants at 205 international non-government organizations. Findings The results indicate that BDPA has a significant influence on visibility and coordination. Further, the results suggest that swift trust does not have an amplifying effect on the relationships between BDPA and visibility and coordination. However, the mediation test suggests that swift trust acts as a mediating construct. Hence, the authors argue that swift trust is not the condition for improving coordination among the actors in humanitarian supply chains. Research limitations/implications The major limitation of the study is that the authors have used cross-sectional survey data to test the research hypotheses. Following Guide and Ketokivi (2015), the authors present arguments on how to address the limitations of cross-sectional data or use of longitudinal data that can address common method bias or endogeneity-related problems. Practical implications Managers can use this framework to understand: first, how organizational resources can be used to create BDPA, and second, how BDPA can help build swift trust and be used to improve visibility and coordination in the humanitarian supply chain. Originality/value This is the first research that has empirically tested the anecdotal and conceptual evidence. The findings make notable contributions to existing humanitarian supply chain literature and may be useful to managers who are contemplating the use of BDPA to improve disaster-relief-related activities.","author":[{"dropping-particle":"","family":"Dubey","given":"Rameshwar","non-dropping-particle":"","parse-names":false,"suffix":""},{"dropping-particle":"","family":"Luo","given":"Zongwei","non-dropping-particle":"","parse-names":false,"suffix":""},{"dropping-particle":"","family":"Gunasekaran","given":"Angappa","non-dropping-particle":"","parse-names":false,"suffix":""},{"dropping-particle":"","family":"Akter","given":"Shahriar","non-dropping-particle":"","parse-names":false,"suffix":""},{"dropping-particle":"","family":"Hazen","given":"Benjamin T","non-dropping-particle":"","parse-names":false,"suffix":""},{"dropping-particle":"","family":"Douglas","given":"Matthew A","non-dropping-particle":"","parse-names":false,"suffix":""}],"container-title":"The International Journal of Logistics Management","id":"ITEM-1","issue":"2","issued":{"date-parts":[["2018"]]},"page":"485-512","publisher":"Emerald","title":"Big data and predictive analytics in humanitarian supply chains: Enabling visibility and coordination in the presence of swift trust","type":"article-journal","volume":"29"},"uris":["http://www.mendeley.com/documents/?uuid=6cc61482-69ed-4c51-a0d2-a70326eaf133"]}],"mendeley":{"formattedCitation":"(Dubey et al., 2018)","plainTextFormattedCitation":"(Dubey et al., 2018)","previouslyFormattedCitation":"(Dubey et al., 2018)"},"properties":{"noteIndex":0},"schema":"https://github.com/citation-style-language/schema/raw/master/csl-citation.json"}</w:instrText>
      </w:r>
      <w:r w:rsidR="00D1437F" w:rsidRPr="001365B0">
        <w:fldChar w:fldCharType="separate"/>
      </w:r>
      <w:r w:rsidR="00D1437F" w:rsidRPr="001365B0">
        <w:rPr>
          <w:noProof/>
        </w:rPr>
        <w:t>(Dubey et al., 2018)</w:t>
      </w:r>
      <w:r w:rsidR="00D1437F" w:rsidRPr="001365B0">
        <w:fldChar w:fldCharType="end"/>
      </w:r>
      <w:r w:rsidR="00B31B84" w:rsidRPr="001365B0">
        <w:t xml:space="preserve">. </w:t>
      </w:r>
      <w:r w:rsidR="00D45DC7" w:rsidRPr="001365B0">
        <w:t>Additionally, b</w:t>
      </w:r>
      <w:r w:rsidR="0076484A" w:rsidRPr="001365B0">
        <w:t>efore, during and after a crisis event</w:t>
      </w:r>
      <w:r w:rsidR="00111688">
        <w:t>,</w:t>
      </w:r>
      <w:r w:rsidR="0076484A" w:rsidRPr="001365B0">
        <w:t xml:space="preserve"> </w:t>
      </w:r>
      <w:r w:rsidR="00663310" w:rsidRPr="001365B0">
        <w:t>big data analytics</w:t>
      </w:r>
      <w:r w:rsidR="001F15AB" w:rsidRPr="001365B0">
        <w:t xml:space="preserve"> </w:t>
      </w:r>
      <w:r w:rsidR="00D45DC7" w:rsidRPr="001365B0">
        <w:t>holds</w:t>
      </w:r>
      <w:r w:rsidR="001F15AB" w:rsidRPr="001365B0">
        <w:t xml:space="preserve"> the promise of </w:t>
      </w:r>
      <w:r w:rsidR="0076484A" w:rsidRPr="001365B0">
        <w:t xml:space="preserve">descriptive (e.g. crises mapping), prescriptive (e.g. routing) and predictive (e.g. shelter planning) solutions across </w:t>
      </w:r>
      <w:r w:rsidR="00E56693" w:rsidRPr="001365B0">
        <w:t xml:space="preserve">humanitarian </w:t>
      </w:r>
      <w:r w:rsidR="00D45DC7" w:rsidRPr="001365B0">
        <w:t xml:space="preserve">operations </w:t>
      </w:r>
      <w:r w:rsidR="00E56693" w:rsidRPr="001365B0">
        <w:fldChar w:fldCharType="begin" w:fldLock="1"/>
      </w:r>
      <w:r w:rsidR="00F94006">
        <w:instrText>ADDIN CSL_CITATION {"citationItems":[{"id":"ITEM-1","itemData":{"DOI":"10.1111/poms.12840","ISBN":"1059-1478","abstract":"There has been a significant increase in the scale and scope of humanitarian efforts over the last decade. Humanitarian operations need to be?rapid, impactful, sustained, and efficient (RISE). Big data offers many opportunities to enable RISE humanitarian operations. In this study, we introduce the role of big data in humanitarian settings and discuss data streams which could be utilized to develop descriptive, prescriptive, and predictive models to significantly impact the lives of people in need.","author":[{"dropping-particle":"","family":"Swaminathan","given":"Jayashankar M","non-dropping-particle":"","parse-names":false,"suffix":""}],"container-title":"Production and Operations Management","id":"ITEM-1","issue":"9","issued":{"date-parts":[["2018"]]},"page":"1696-1700","publisher":"John Wiley &amp; Sons, Ltd (10.1111)","title":"Big Data Analytics for Rapid, Impactful, Sustained, and Efficient (RISE) Humanitarian Operations","type":"article-journal","volume":"27"},"uris":["http://www.mendeley.com/documents/?uuid=cd41d833-8104-4243-bf40-3ce11a8cc3ef"]},{"id":"ITEM-2","itemData":{"ISBN":"1479924024","author":[{"dropping-particle":"","family":"Lycett","given":"Mark","non-dropping-particle":"","parse-names":false,"suffix":""},{"dropping-particle":"","family":"Monaghan","given":"Asmat","non-dropping-particle":"","parse-names":false,"suffix":""}],"id":"ITEM-2","issued":{"date-parts":[["2013"]]},"page":"432-437","publisher":"IEEE","title":"Big data and humanitarian supply networks: Can Big Data give voice to the voiceless?","type":"paper-conference"},"uris":["http://www.mendeley.com/documents/?uuid=fa42d01b-39b4-470f-9395-25774349747b"]}],"mendeley":{"formattedCitation":"(Lycett &amp; Monaghan, 2013; Swaminathan, 2018)","plainTextFormattedCitation":"(Lycett &amp; Monaghan, 2013; Swaminathan, 2018)","previouslyFormattedCitation":"(Lycett &amp; Monaghan, 2013; Swaminathan, 2018)"},"properties":{"noteIndex":0},"schema":"https://github.com/citation-style-language/schema/raw/master/csl-citation.json"}</w:instrText>
      </w:r>
      <w:r w:rsidR="00E56693" w:rsidRPr="001365B0">
        <w:fldChar w:fldCharType="separate"/>
      </w:r>
      <w:r w:rsidR="00D00F18" w:rsidRPr="00D00F18">
        <w:rPr>
          <w:noProof/>
        </w:rPr>
        <w:t>(Lycett &amp; Monaghan, 2013; Swaminathan, 2018)</w:t>
      </w:r>
      <w:r w:rsidR="00E56693" w:rsidRPr="001365B0">
        <w:fldChar w:fldCharType="end"/>
      </w:r>
      <w:r w:rsidR="00E56693" w:rsidRPr="001365B0">
        <w:t>.</w:t>
      </w:r>
      <w:r w:rsidR="0076484A" w:rsidRPr="001365B0">
        <w:t xml:space="preserve"> </w:t>
      </w:r>
      <w:r w:rsidR="001365B0">
        <w:t>None</w:t>
      </w:r>
      <w:r w:rsidR="00D45DC7" w:rsidRPr="001365B0">
        <w:t>theless, w</w:t>
      </w:r>
      <w:r w:rsidR="0076484A" w:rsidRPr="001365B0">
        <w:t>hile the value dimension of business analytics may be anchored to human needs</w:t>
      </w:r>
      <w:r w:rsidR="00663310" w:rsidRPr="001365B0">
        <w:t xml:space="preserve"> </w:t>
      </w:r>
      <w:r w:rsidR="0076484A" w:rsidRPr="001365B0">
        <w:t xml:space="preserve">in the </w:t>
      </w:r>
      <w:r w:rsidR="00663310" w:rsidRPr="001365B0">
        <w:t>humanitarian domain,</w:t>
      </w:r>
      <w:r w:rsidR="0076484A" w:rsidRPr="001365B0">
        <w:t xml:space="preserve"> the </w:t>
      </w:r>
      <w:r w:rsidR="00663310" w:rsidRPr="001365B0">
        <w:t xml:space="preserve">underlying concepts, </w:t>
      </w:r>
      <w:r w:rsidR="0076484A" w:rsidRPr="001365B0">
        <w:t>constructs</w:t>
      </w:r>
      <w:r w:rsidR="00D45DC7" w:rsidRPr="001365B0">
        <w:t xml:space="preserve">, </w:t>
      </w:r>
      <w:r w:rsidR="00663310" w:rsidRPr="001365B0">
        <w:t>paradigms</w:t>
      </w:r>
      <w:r w:rsidR="0076484A" w:rsidRPr="001365B0">
        <w:t xml:space="preserve"> </w:t>
      </w:r>
      <w:r w:rsidR="00D45DC7" w:rsidRPr="001365B0">
        <w:t xml:space="preserve">and </w:t>
      </w:r>
      <w:r w:rsidR="001C5334" w:rsidRPr="001365B0">
        <w:t>limitations</w:t>
      </w:r>
      <w:r w:rsidR="00D45DC7" w:rsidRPr="001365B0">
        <w:t xml:space="preserve"> </w:t>
      </w:r>
      <w:r w:rsidR="0076484A" w:rsidRPr="001365B0">
        <w:t>of business analytics remain applicable</w:t>
      </w:r>
      <w:r w:rsidR="00D45DC7" w:rsidRPr="001365B0">
        <w:t xml:space="preserve"> </w:t>
      </w:r>
      <w:r w:rsidR="00D45DC7" w:rsidRPr="001365B0">
        <w:fldChar w:fldCharType="begin" w:fldLock="1"/>
      </w:r>
      <w:r w:rsidR="00D45DC7" w:rsidRPr="001365B0">
        <w:instrText>ADDIN CSL_CITATION {"citationItems":[{"id":"ITEM-1","itemData":{"DOI":"10.1016/j.ijinfomgt.2014.10.007","ISSN":"02684012","abstract":"Size is the first, and at times, the only dimension that leaps out at the mention of big data. This paper attempts to offer a broader definition of big data that captures its other unique and defining characteristics. The rapid evolution and adoption of big data by industry has leapfrogged the discourse to popular outlets, forcing the academic press to catch up. Academic journals in numerous disciplines, which will benefit from a relevant discussion of big data, have yet to cover the topic. This paper presents a consolidated description of big data by integrating definitions from practitioners and academics. The paper's primary focus is on the analytic methods used for big data. A particular distinguishing feature of this paper is its focus on analytics related to unstructured data, which constitute 95% of big data. This paper highlights the need to develop appropriate and efficient analytical methods to leverage massive volumes of heterogeneous data in unstructured text, audio, and video formats. This paper also reinforces the need to devise new tools for predictive analytics for structured big data. The statistical methods in practice were devised to infer from sample data. The heterogeneity, noise, and the massive size of structured big data calls for developing computationally efficient algorithms that may avoid big data pitfalls, such as spurious correlation.","author":[{"dropping-particle":"","family":"Gandomi","given":"Amir","non-dropping-particle":"","parse-names":false,"suffix":""},{"dropping-particle":"","family":"Haider","given":"Murtaza","non-dropping-particle":"","parse-names":false,"suffix":""}],"container-title":"International Journal of Information Management","id":"ITEM-1","issue":"2","issued":{"date-parts":[["2015"]]},"page":"137-144","publisher":"Elsevier Ltd","title":"Beyond the hype: Big data concepts, methods, and analytics","type":"article-journal","volume":"35"},"uris":["http://www.mendeley.com/documents/?uuid=b0c4a607-8c8f-4d4d-b110-99f467051c48"]},{"id":"ITEM-2","itemData":{"DOI":"10.1057/ejis.2014.17","ISSN":"0960-085X","abstract":"Much attention is currently being paid in both the academic and practitioner literatures to the value that organisations could create through the use of big data and business analytics (Gillon  +Italic et al -Italic  , 2012; Mithas   , 2013). For instance, Chen    (2012, p. 1166-1168) suggest that business analytics and related technologies can help organisations to 'better understand its business and markets' and 'leverage opportunities presented by abundant data and domain-specific analytics'. Similarly, LaValle    (2011, p. 22) report that top-performing organisations 'make decisions based on rigorous analysis at more than double the rate of lower performing organisations' and that in such organisations analytic insight is being used to 'guide both future strategies and day-to-day operations'. We argue here that while there is some evidence that investments in business analytics can create value, the thesis that 'business analytics leads to value' needs deeper analysis. In particular, we argue here that the roles of organisational decision-making processes, including resource allocation processes and resource orchestration processes (Helfat  +Italic et al -Italic  , 2007; Teece, 2009), need to be better understood in order to understand how organisations can create value from the use of business analytics. Specifically, we propose that the first-order effects of business analytics are likely to be on decision-making processes and that improvements in organisational performance are likely to be an outcome of superior decision-making processes enabled by business analytics.","author":[{"dropping-particle":"","family":"Sharma","given":"Rajeev","non-dropping-particle":"","parse-names":false,"suffix":""},{"dropping-particle":"","family":"Mithas","given":"Sunil","non-dropping-particle":"","parse-names":false,"suffix":""},{"dropping-particle":"","family":"Kankanhalli","given":"Atreyi","non-dropping-particle":"","parse-names":false,"suffix":""}],"container-title":"European Journal of Information Systems","id":"ITEM-2","issue":"4","issued":{"date-parts":[["2014"]]},"page":"433-441","title":"Transforming decision-making processes: a research agenda for understanding the impact of business analytics on organisations","type":"article-journal","volume":"23"},"uris":["http://www.mendeley.com/documents/?uuid=7630724d-0f0e-42cc-9dca-e98a2d165672"]}],"mendeley":{"formattedCitation":"(Gandomi &amp; Haider, 2015; Sharma et al., 2014)","plainTextFormattedCitation":"(Gandomi &amp; Haider, 2015; Sharma et al., 2014)","previouslyFormattedCitation":"(Gandomi &amp; Haider, 2015; Sharma et al., 2014)"},"properties":{"noteIndex":0},"schema":"https://github.com/citation-style-language/schema/raw/master/csl-citation.json"}</w:instrText>
      </w:r>
      <w:r w:rsidR="00D45DC7" w:rsidRPr="001365B0">
        <w:fldChar w:fldCharType="separate"/>
      </w:r>
      <w:r w:rsidR="00D45DC7" w:rsidRPr="001365B0">
        <w:rPr>
          <w:noProof/>
        </w:rPr>
        <w:t>(Gandomi &amp; Haider, 2015; Sharma et al., 2014)</w:t>
      </w:r>
      <w:r w:rsidR="00D45DC7" w:rsidRPr="001365B0">
        <w:fldChar w:fldCharType="end"/>
      </w:r>
      <w:r w:rsidR="0076484A" w:rsidRPr="001365B0">
        <w:t xml:space="preserve">. </w:t>
      </w:r>
    </w:p>
    <w:p w14:paraId="1816410D" w14:textId="5D1AA6D3" w:rsidR="00CF09F8" w:rsidRPr="001365B0" w:rsidRDefault="00CF09F8" w:rsidP="004B4F6B">
      <w:pPr>
        <w:pStyle w:val="Text01"/>
      </w:pPr>
      <w:r w:rsidRPr="001365B0">
        <w:t xml:space="preserve">Researchers have suggested that business analytics can help </w:t>
      </w:r>
      <w:r w:rsidR="000601F8">
        <w:t>organis</w:t>
      </w:r>
      <w:r w:rsidR="001365B0" w:rsidRPr="001365B0">
        <w:t>ations</w:t>
      </w:r>
      <w:r w:rsidRPr="001365B0">
        <w:t xml:space="preserve"> to better compete in the marketplace by understanding its needs and leveraging opportunities </w:t>
      </w:r>
      <w:r w:rsidR="00D54361">
        <w:t>e</w:t>
      </w:r>
      <w:r w:rsidRPr="001365B0">
        <w:t>mbedded in large amount of data to make fast and informed decisions</w:t>
      </w:r>
      <w:r w:rsidR="001D0112" w:rsidRPr="001365B0">
        <w:t xml:space="preserve"> </w:t>
      </w:r>
      <w:r w:rsidR="008F3178" w:rsidRPr="001365B0">
        <w:fldChar w:fldCharType="begin" w:fldLock="1"/>
      </w:r>
      <w:r w:rsidR="007A4ED5">
        <w:instrText>ADDIN CSL_CITATION {"citationItems":[{"id":"ITEM-1","itemData":{"abstract":"Business intelligence and analytics (BI&amp;A) has emerged as an important area of study for both practitioners and researchers, reflecting the magnitude and impact of data-related problems to be solved in contemporary business organizations. This introduction to the MIS Quarterly Special Issue on Business Intelligence Research first provides a framework that identifies the evolution, applications, and emerging research areas of BI&amp;A. BI&amp;A 1.0, BI&amp;A 2.0, and BI&amp;A 3.0 are defined and described in terms of their key characteristics and capabilities. Current research in BI&amp;A is analyzed and challenges and opportunities associated with BI&amp;A research and education are identified. We also report a bibliometric study of critical BI&amp;A publications, researchers, and research topics based on more than a decade of related academic and industry publications. Finally, the six articles that comprise this special issue are introduced and characterized in terms of the proposed BI&amp;A research framework.","author":[{"dropping-particle":"","family":"Chen","given":"Hsinchun","non-dropping-particle":"","parse-names":false,"suffix":""},{"dropping-particle":"","family":"Chiang","given":"Roger H L","non-dropping-particle":"","parse-names":false,"suffix":""},{"dropping-particle":"","family":"Storey","given":"Veda C","non-dropping-particle":"","parse-names":false,"suffix":""},{"dropping-particle":"","family":"Robinson","given":"J Mack","non-dropping-particle":"","parse-names":false,"suffix":""}],"container-title":"MIS Quarterly","id":"ITEM-1","issue":"4","issued":{"date-parts":[["2012"]]},"page":"1165-1188","title":"Business Intelligence and Analytics: From Big Data To Big Impact","type":"article-journal","volume":"36"},"uris":["http://www.mendeley.com/documents/?uuid=7b3182df-ac83-4436-8385-335c6f690581"]},{"id":"ITEM-2","itemData":{"DOI":"10.0000/PMID57750728","ISBN":"15329194","ISSN":"15329194","PMID":"57750728","author":[{"dropping-particle":"","family":"Lavalle","given":"Steve","non-dropping-particle":"","parse-names":false,"suffix":""},{"dropping-particle":"","family":"Lesser","given":"Eric","non-dropping-particle":"","parse-names":false,"suffix":""},{"dropping-particle":"","family":"Shockley","given":"Rebecca","non-dropping-particle":"","parse-names":false,"suffix":""},{"dropping-particle":"","family":"Hopkins","given":"Michael S","non-dropping-particle":"","parse-names":false,"suffix":""},{"dropping-particle":"","family":"Kruschwitz","given":"Nina","non-dropping-particle":"","parse-names":false,"suffix":""}],"container-title":"MIT Sloan Management Review","id":"ITEM-2","issue":"52205","issued":{"date-parts":[["2011"]]},"title":"Big Data, Analytics and the Path From Insights to Value","type":"article-journal"},"uris":["http://www.mendeley.com/documents/?uuid=043da832-330a-4b1d-83b4-fe821cdfffa9"]}],"mendeley":{"formattedCitation":"(H. Chen et al., 2012; Lavalle et al., 2011)","plainTextFormattedCitation":"(H. Chen et al., 2012; Lavalle et al., 2011)","previouslyFormattedCitation":"(H. Chen et al., 2012; Lavalle et al., 2011)"},"properties":{"noteIndex":0},"schema":"https://github.com/citation-style-language/schema/raw/master/csl-citation.json"}</w:instrText>
      </w:r>
      <w:r w:rsidR="008F3178" w:rsidRPr="001365B0">
        <w:fldChar w:fldCharType="separate"/>
      </w:r>
      <w:r w:rsidR="00C40B25" w:rsidRPr="00C40B25">
        <w:rPr>
          <w:noProof/>
        </w:rPr>
        <w:t>(H. Chen et al., 2012; Lavalle et al., 2011)</w:t>
      </w:r>
      <w:r w:rsidR="008F3178" w:rsidRPr="001365B0">
        <w:fldChar w:fldCharType="end"/>
      </w:r>
      <w:r w:rsidRPr="001365B0">
        <w:t xml:space="preserve">. Studies have also noted, however, that the causal link between analytics and value concepts such as organizational performance is neither clear nor </w:t>
      </w:r>
      <w:r w:rsidRPr="001365B0">
        <w:lastRenderedPageBreak/>
        <w:t>straightforward. As noted in the introduction,</w:t>
      </w:r>
      <w:r w:rsidR="008F3178" w:rsidRPr="001365B0">
        <w:t xml:space="preserve"> </w:t>
      </w:r>
      <w:r w:rsidR="008F3178" w:rsidRPr="001365B0">
        <w:fldChar w:fldCharType="begin" w:fldLock="1"/>
      </w:r>
      <w:r w:rsidR="00921493" w:rsidRPr="001365B0">
        <w:instrText>ADDIN CSL_CITATION {"citationItems":[{"id":"ITEM-1","itemData":{"DOI":"10.1057/ejis.2014.17","ISSN":"0960-085X","abstract":"Much attention is currently being paid in both the academic and practitioner literatures to the value that organisations could create through the use of big data and business analytics (Gillon  +Italic et al -Italic  , 2012; Mithas   , 2013). For instance, Chen    (2012, p. 1166-1168) suggest that business analytics and related technologies can help organisations to 'better understand its business and markets' and 'leverage opportunities presented by abundant data and domain-specific analytics'. Similarly, LaValle    (2011, p. 22) report that top-performing organisations 'make decisions based on rigorous analysis at more than double the rate of lower performing organisations' and that in such organisations analytic insight is being used to 'guide both future strategies and day-to-day operations'. We argue here that while there is some evidence that investments in business analytics can create value, the thesis that 'business analytics leads to value' needs deeper analysis. In particular, we argue here that the roles of organisational decision-making processes, including resource allocation processes and resource orchestration processes (Helfat  +Italic et al -Italic  , 2007; Teece, 2009), need to be better understood in order to understand how organisations can create value from the use of business analytics. Specifically, we propose that the first-order effects of business analytics are likely to be on decision-making processes and that improvements in organisational performance are likely to be an outcome of superior decision-making processes enabled by business analytics.","author":[{"dropping-particle":"","family":"Sharma","given":"Rajeev","non-dropping-particle":"","parse-names":false,"suffix":""},{"dropping-particle":"","family":"Mithas","given":"Sunil","non-dropping-particle":"","parse-names":false,"suffix":""},{"dropping-particle":"","family":"Kankanhalli","given":"Atreyi","non-dropping-particle":"","parse-names":false,"suffix":""}],"container-title":"European Journal of Information Systems","id":"ITEM-1","issue":"4","issued":{"date-parts":[["2014"]]},"page":"433-441","title":"Transforming decision-making processes: a research agenda for understanding the impact of business analytics on organisations","type":"article-journal","volume":"23"},"uris":["http://www.mendeley.com/documents/?uuid=7630724d-0f0e-42cc-9dca-e98a2d165672"]}],"mendeley":{"formattedCitation":"(Sharma et al., 2014)","manualFormatting":"Sharma et al. (2014)","plainTextFormattedCitation":"(Sharma et al., 2014)","previouslyFormattedCitation":"(Sharma et al., 2014)"},"properties":{"noteIndex":0},"schema":"https://github.com/citation-style-language/schema/raw/master/csl-citation.json"}</w:instrText>
      </w:r>
      <w:r w:rsidR="008F3178" w:rsidRPr="001365B0">
        <w:fldChar w:fldCharType="separate"/>
      </w:r>
      <w:r w:rsidR="008F3178" w:rsidRPr="001365B0">
        <w:rPr>
          <w:noProof/>
        </w:rPr>
        <w:t>Sharma et al. (2014)</w:t>
      </w:r>
      <w:r w:rsidR="008F3178" w:rsidRPr="001365B0">
        <w:fldChar w:fldCharType="end"/>
      </w:r>
      <w:r w:rsidRPr="001365B0">
        <w:t xml:space="preserve"> argue that business performance gains are not a direct result of business analytics: Instead, value is an outcome of the decisions that are based on meaningful insights that can be generated from data</w:t>
      </w:r>
      <w:r w:rsidR="008F3178" w:rsidRPr="001365B0">
        <w:t xml:space="preserve"> </w:t>
      </w:r>
      <w:r w:rsidR="008F3178" w:rsidRPr="001365B0">
        <w:fldChar w:fldCharType="begin" w:fldLock="1"/>
      </w:r>
      <w:r w:rsidR="00C906C9" w:rsidRPr="001365B0">
        <w:instrText>ADDIN CSL_CITATION {"citationItems":[{"id":"ITEM-1","itemData":{"DOI":"10.1016/j.ijinfomgt.2014.10.007","ISSN":"02684012","abstract":"Size is the first, and at times, the only dimension that leaps out at the mention of big data. This paper attempts to offer a broader definition of big data that captures its other unique and defining characteristics. The rapid evolution and adoption of big data by industry has leapfrogged the discourse to popular outlets, forcing the academic press to catch up. Academic journals in numerous disciplines, which will benefit from a relevant discussion of big data, have yet to cover the topic. This paper presents a consolidated description of big data by integrating definitions from practitioners and academics. The paper's primary focus is on the analytic methods used for big data. A particular distinguishing feature of this paper is its focus on analytics related to unstructured data, which constitute 95% of big data. This paper highlights the need to develop appropriate and efficient analytical methods to leverage massive volumes of heterogeneous data in unstructured text, audio, and video formats. This paper also reinforces the need to devise new tools for predictive analytics for structured big data. The statistical methods in practice were devised to infer from sample data. The heterogeneity, noise, and the massive size of structured big data calls for developing computationally efficient algorithms that may avoid big data pitfalls, such as spurious correlation.","author":[{"dropping-particle":"","family":"Gandomi","given":"Amir","non-dropping-particle":"","parse-names":false,"suffix":""},{"dropping-particle":"","family":"Haider","given":"Murtaza","non-dropping-particle":"","parse-names":false,"suffix":""}],"container-title":"International Journal of Information Management","id":"ITEM-1","issue":"2","issued":{"date-parts":[["2015"]]},"page":"137-144","publisher":"Elsevier Ltd","title":"Beyond the hype: Big data concepts, methods, and analytics","type":"article-journal","volume":"35"},"uris":["http://www.mendeley.com/documents/?uuid=b0c4a607-8c8f-4d4d-b110-99f467051c48"]},{"id":"ITEM-2","itemData":{"DOI":"10.1057/ejis.2014.17","ISSN":"0960-085X","abstract":"Much attention is currently being paid in both the academic and practitioner literatures to the value that organisations could create through the use of big data and business analytics (Gillon  +Italic et al -Italic  , 2012; Mithas   , 2013). For instance, Chen    (2012, p. 1166-1168) suggest that business analytics and related technologies can help organisations to 'better understand its business and markets' and 'leverage opportunities presented by abundant data and domain-specific analytics'. Similarly, LaValle    (2011, p. 22) report that top-performing organisations 'make decisions based on rigorous analysis at more than double the rate of lower performing organisations' and that in such organisations analytic insight is being used to 'guide both future strategies and day-to-day operations'. We argue here that while there is some evidence that investments in business analytics can create value, the thesis that 'business analytics leads to value' needs deeper analysis. In particular, we argue here that the roles of organisational decision-making processes, including resource allocation processes and resource orchestration processes (Helfat  +Italic et al -Italic  , 2007; Teece, 2009), need to be better understood in order to understand how organisations can create value from the use of business analytics. Specifically, we propose that the first-order effects of business analytics are likely to be on decision-making processes and that improvements in organisational performance are likely to be an outcome of superior decision-making processes enabled by business analytics.","author":[{"dropping-particle":"","family":"Sharma","given":"Rajeev","non-dropping-particle":"","parse-names":false,"suffix":""},{"dropping-particle":"","family":"Mithas","given":"Sunil","non-dropping-particle":"","parse-names":false,"suffix":""},{"dropping-particle":"","family":"Kankanhalli","given":"Atreyi","non-dropping-particle":"","parse-names":false,"suffix":""}],"container-title":"European Journal of Information Systems","id":"ITEM-2","issue":"4","issued":{"date-parts":[["2014"]]},"page":"433-441","title":"Transforming decision-making processes: a research agenda for understanding the impact of business analytics on organisations","type":"article-journal","volume":"23"},"uris":["http://www.mendeley.com/documents/?uuid=7630724d-0f0e-42cc-9dca-e98a2d165672"]}],"mendeley":{"formattedCitation":"(Gandomi &amp; Haider, 2015; Sharma et al., 2014)","plainTextFormattedCitation":"(Gandomi &amp; Haider, 2015; Sharma et al., 2014)","previouslyFormattedCitation":"(Gandomi &amp; Haider, 2015; Sharma et al., 2014)"},"properties":{"noteIndex":0},"schema":"https://github.com/citation-style-language/schema/raw/master/csl-citation.json"}</w:instrText>
      </w:r>
      <w:r w:rsidR="008F3178" w:rsidRPr="001365B0">
        <w:fldChar w:fldCharType="separate"/>
      </w:r>
      <w:r w:rsidR="00921493" w:rsidRPr="001365B0">
        <w:rPr>
          <w:noProof/>
        </w:rPr>
        <w:t>(Gandomi &amp; Haider, 2015; Sharma et al., 2014)</w:t>
      </w:r>
      <w:r w:rsidR="008F3178" w:rsidRPr="001365B0">
        <w:fldChar w:fldCharType="end"/>
      </w:r>
      <w:r w:rsidRPr="001365B0">
        <w:t>: Perhaps, more properly, it is the actions resulting from such decisions. The impediments to direct performance gain are many, including: Developing organisational strategy appropriate to big data</w:t>
      </w:r>
      <w:r w:rsidR="008F3178" w:rsidRPr="001365B0">
        <w:t xml:space="preserve"> </w:t>
      </w:r>
      <w:r w:rsidR="008F3178" w:rsidRPr="001365B0">
        <w:fldChar w:fldCharType="begin" w:fldLock="1"/>
      </w:r>
      <w:r w:rsidR="00B25433">
        <w:instrText>ADDIN CSL_CITATION {"citationItems":[{"id":"ITEM-1","itemData":{"DOI":"10.1057/jit.2014.17","ISSN":"14664437","abstract":"Big data and the mechanisms by which it is produced and disseminated introduce important changes in the ways information is generated and made relevant for organizations. Big data often represents miscellaneous records of the whereabouts of large and shifting online crowds. It is frequently agnostic, in the sense of being produced for generic purposes or purposes different from those sought by big data crunching. It is based on varying formats and modes of communication (e.g., texts, image and sound), raising severe problems of semiotic translation and meaning compatibility. Crucially, the usefulness of big data rests on their steady updatability, a condition that reduces the time span within which this data is useful or relevant. Jointly, these attributes challenge established rules of strategy making as these are manifested in the canons of procuring structured information of lasting value that addresses specific and long-term organizational objectives. The developments underlying big data thus seem to carry important implications for strategy making, and the data and information practices with which strategy has been associated. We conclude by placing the understanding of these changes within the wider social and institutional context of longstanding data practices and the significance they carry for management and organizations.","author":[{"dropping-particle":"","family":"Constantiou","given":"Ioanna D.","non-dropping-particle":"","parse-names":false,"suffix":""},{"dropping-particle":"","family":"Kallinikos","given":"Jannis","non-dropping-particle":"","parse-names":false,"suffix":""}],"container-title":"Journal of Information Technology","id":"ITEM-1","issue":"1","issued":{"date-parts":[["2015"]]},"page":"44-57","title":"New games, new rules: Big data and the changing context of strategy","type":"article-journal","volume":"30"},"uris":["http://www.mendeley.com/documents/?uuid=cbb9dabb-140f-4fd2-ac5b-9b4eaee122d2"]},{"id":"ITEM-2","itemData":{"DOI":"10.1016/j.ijinfomgt.2014.10.007","ISSN":"02684012","abstract":"Size is the first, and at times, the only dimension that leaps out at the mention of big data. This paper attempts to offer a broader definition of big data that captures its other unique and defining characteristics. The rapid evolution and adoption of big data by industry has leapfrogged the discourse to popular outlets, forcing the academic press to catch up. Academic journals in numerous disciplines, which will benefit from a relevant discussion of big data, have yet to cover the topic. This paper presents a consolidated description of big data by integrating definitions from practitioners and academics. The paper's primary focus is on the analytic methods used for big data. A particular distinguishing feature of this paper is its focus on analytics related to unstructured data, which constitute 95% of big data. This paper highlights the need to develop appropriate and efficient analytical methods to leverage massive volumes of heterogeneous data in unstructured text, audio, and video formats. This paper also reinforces the need to devise new tools for predictive analytics for structured big data. The statistical methods in practice were devised to infer from sample data. The heterogeneity, noise, and the massive size of structured big data calls for developing computationally efficient algorithms that may avoid big data pitfalls, such as spurious correlation.","author":[{"dropping-particle":"","family":"Gandomi","given":"Amir","non-dropping-particle":"","parse-names":false,"suffix":""},{"dropping-particle":"","family":"Haider","given":"Murtaza","non-dropping-particle":"","parse-names":false,"suffix":""}],"container-title":"International Journal of Information Management","id":"ITEM-2","issue":"2","issued":{"date-parts":[["2015"]]},"page":"137-144","publisher":"Elsevier Ltd","title":"Beyond the hype: Big data concepts, methods, and analytics","type":"article-journal","volume":"35"},"uris":["http://www.mendeley.com/documents/?uuid=b0c4a607-8c8f-4d4d-b110-99f467051c48"]},{"id":"ITEM-3","itemData":{"DOI":"10.1007/978-3-642-39736-3","ISBN":"978-3-642-39735-6","abstract":"Recent activities in attacks on automated teller machines have shown a sophistication that has grown to a degree, where it is not always technically possible to prevent the attack. This paper describes an approach for anomaly and attack detection for ATMs. The approach works on multiple levels. First, we use sensor fusion on the low-level hardware sensors to get robust information about the device state. Second, we use a new model-based and self-learning anomaly detection method on the diagnosis data of all ATM devices to robustly detect anomalies in the system that might indicate an attack on the machine.","author":[{"dropping-particle":"","family":"Elgendy","given":"Nada","non-dropping-particle":"","parse-names":false,"suffix":""},{"dropping-particle":"","family":"Elragal","given":"Ahmed","non-dropping-particle":"","parse-names":false,"suffix":""}],"container-title":"Proceedings of the14th Industrial Conference, ICDM","id":"ITEM-3","issued":{"date-parts":[["2014"]]},"publisher":"Springer International Publishing","publisher-place":"St. Petersburg, Russia","title":"Advances in Data Mining. Applications and Theoretical Aspects","type":"paper-conference","volume":"7987"},"uris":["http://www.mendeley.com/documents/?uuid=9e95db7f-e380-4ea5-8c7e-2090cab01269"]},{"id":"ITEM-4","itemData":{"DOI":"10.1007/s10916-016-0565-7","ISBN":"0148-5598","ISSN":"0743-7315","PMID":"19757261","abstract":"Content for this paper is excerpted directly from the IDC iView \"Extracting Value from Chaos,\" June 2011, sponsored by EMC. The multimedia content can be viewed at http://www.emc.com/digitaluniverse.","author":[{"dropping-particle":"","family":"Gantz","given":"John","non-dropping-particle":"","parse-names":false,"suffix":""},{"dropping-particle":"","family":"Reinsel","given":"David","non-dropping-particle":"","parse-names":false,"suffix":""}],"container-title":"IDC iView","id":"ITEM-4","issue":"June","issued":{"date-parts":[["2011"]]},"page":"1-12","title":"Extracting Value from Chaos State of the Universe","type":"article-journal"},"uris":["http://www.mendeley.com/documents/?uuid=dfdbb20a-5b08-43d8-a642-b3cf4f3d851d"]}],"mendeley":{"formattedCitation":"(Constantiou &amp; Kallinikos, 2015; Elgendy &amp; Elragal, 2014; Gandomi &amp; Haider, 2015; Gantz &amp; Reinsel, 2011)","plainTextFormattedCitation":"(Constantiou &amp; Kallinikos, 2015; Elgendy &amp; Elragal, 2014; Gandomi &amp; Haider, 2015; Gantz &amp; Reinsel, 2011)","previouslyFormattedCitation":"(Constantiou &amp; Kallinikos, 2015; Elgendy &amp; Elragal, 2014; Gandomi &amp; Haider, 2015; Gantz &amp; Reinsel, 2011)"},"properties":{"noteIndex":0},"schema":"https://github.com/citation-style-language/schema/raw/master/csl-citation.json"}</w:instrText>
      </w:r>
      <w:r w:rsidR="008F3178" w:rsidRPr="001365B0">
        <w:fldChar w:fldCharType="separate"/>
      </w:r>
      <w:r w:rsidR="00B25433" w:rsidRPr="00B25433">
        <w:rPr>
          <w:noProof/>
        </w:rPr>
        <w:t>(Constantiou &amp; Kallinikos, 2015; Elgendy &amp; Elragal, 2014; Gandomi &amp; Haider, 2015; Gantz &amp; Reinsel, 2011)</w:t>
      </w:r>
      <w:r w:rsidR="008F3178" w:rsidRPr="001365B0">
        <w:fldChar w:fldCharType="end"/>
      </w:r>
      <w:r w:rsidRPr="001365B0">
        <w:t>; organisational social capital and dynamic capabilities</w:t>
      </w:r>
      <w:r w:rsidR="008F3178" w:rsidRPr="001365B0">
        <w:t xml:space="preserve"> </w:t>
      </w:r>
      <w:r w:rsidR="008F3178" w:rsidRPr="001365B0">
        <w:fldChar w:fldCharType="begin" w:fldLock="1"/>
      </w:r>
      <w:r w:rsidR="00C906C9" w:rsidRPr="001365B0">
        <w:instrText>ADDIN CSL_CITATION {"citationItems":[{"id":"ITEM-1","itemData":{"DOI":"10.1002/smj.327","ISSN":"01432095","abstract":"Who reaps the fruits of a dynamic capability? We argue that while social capital is essential for the acquisition, integration, and release of resources at the core of a dynamic capability, actors can also use social capital for personal gain. Thus, social capital may be a key to understanding both rent generation and rent appropriation. Even when causal ambiguity obscures individual contributions, theymay use their social capital to establish credible claims on the rent. Specifically, employees who occupy structural holes, span organizational boundaries, or who are highly central may be most able to appropriate rent because their social capital grants credibility to their claims. Rent that is appropriated in this way may be unobservable in performance measures that fail to distinguish normal compensation from rent. We contribute by identifying the specific role of social capital in a dynamic capability and linking social capital to rent appropriation patterns.","author":[{"dropping-particle":"","family":"Blyler","given":"Maureen","non-dropping-particle":"","parse-names":false,"suffix":""},{"dropping-particle":"","family":"Coff","given":"Russell W.","non-dropping-particle":"","parse-names":false,"suffix":""}],"container-title":"Strategic Management Journal","id":"ITEM-1","issue":"7","issued":{"date-parts":[["2003"]]},"page":"677-686","title":"Dynamic capabilities, social capital, and rent appropriation: Ties that split pies","type":"article-journal","volume":"24"},"uris":["http://www.mendeley.com/documents/?uuid=3157d07d-d5c0-411e-b3e2-45f45e72d35e"]}],"mendeley":{"formattedCitation":"(Blyler &amp; Coff, 2003)","plainTextFormattedCitation":"(Blyler &amp; Coff, 2003)","previouslyFormattedCitation":"(Blyler &amp; Coff, 2003)"},"properties":{"noteIndex":0},"schema":"https://github.com/citation-style-language/schema/raw/master/csl-citation.json"}</w:instrText>
      </w:r>
      <w:r w:rsidR="008F3178" w:rsidRPr="001365B0">
        <w:fldChar w:fldCharType="separate"/>
      </w:r>
      <w:r w:rsidR="00921493" w:rsidRPr="001365B0">
        <w:rPr>
          <w:noProof/>
        </w:rPr>
        <w:t>(Blyler &amp; Coff, 2003)</w:t>
      </w:r>
      <w:r w:rsidR="008F3178" w:rsidRPr="001365B0">
        <w:fldChar w:fldCharType="end"/>
      </w:r>
      <w:r w:rsidRPr="001365B0">
        <w:t>; the quality of decision making</w:t>
      </w:r>
      <w:r w:rsidR="008F3178" w:rsidRPr="001365B0">
        <w:t xml:space="preserve"> </w:t>
      </w:r>
      <w:r w:rsidR="008F3178" w:rsidRPr="001365B0">
        <w:fldChar w:fldCharType="begin" w:fldLock="1"/>
      </w:r>
      <w:r w:rsidR="00921493" w:rsidRPr="001365B0">
        <w:instrText>ADDIN CSL_CITATION {"citationItems":[{"id":"ITEM-1","itemData":{"DOI":"10.1057/ejis.2014.17","ISSN":"0960-085X","abstract":"Much attention is currently being paid in both the academic and practitioner literatures to the value that organisations could create through the use of big data and business analytics (Gillon  +Italic et al -Italic  , 2012; Mithas   , 2013). For instance, Chen    (2012, p. 1166-1168) suggest that business analytics and related technologies can help organisations to 'better understand its business and markets' and 'leverage opportunities presented by abundant data and domain-specific analytics'. Similarly, LaValle    (2011, p. 22) report that top-performing organisations 'make decisions based on rigorous analysis at more than double the rate of lower performing organisations' and that in such organisations analytic insight is being used to 'guide both future strategies and day-to-day operations'. We argue here that while there is some evidence that investments in business analytics can create value, the thesis that 'business analytics leads to value' needs deeper analysis. In particular, we argue here that the roles of organisational decision-making processes, including resource allocation processes and resource orchestration processes (Helfat  +Italic et al -Italic  , 2007; Teece, 2009), need to be better understood in order to understand how organisations can create value from the use of business analytics. Specifically, we propose that the first-order effects of business analytics are likely to be on decision-making processes and that improvements in organisational performance are likely to be an outcome of superior decision-making processes enabled by business analytics.","author":[{"dropping-particle":"","family":"Sharma","given":"Rajeev","non-dropping-particle":"","parse-names":false,"suffix":""},{"dropping-particle":"","family":"Mithas","given":"Sunil","non-dropping-particle":"","parse-names":false,"suffix":""},{"dropping-particle":"","family":"Kankanhalli","given":"Atreyi","non-dropping-particle":"","parse-names":false,"suffix":""}],"container-title":"European Journal of Information Systems","id":"ITEM-1","issue":"4","issued":{"date-parts":[["2014"]]},"page":"433-441","title":"Transforming decision-making processes: a research agenda for understanding the impact of business analytics on organisations","type":"article-journal","volume":"23"},"uris":["http://www.mendeley.com/documents/?uuid=7630724d-0f0e-42cc-9dca-e98a2d165672"]}],"mendeley":{"formattedCitation":"(Sharma et al., 2014)","plainTextFormattedCitation":"(Sharma et al., 2014)","previouslyFormattedCitation":"(Sharma et al., 2014)"},"properties":{"noteIndex":0},"schema":"https://github.com/citation-style-language/schema/raw/master/csl-citation.json"}</w:instrText>
      </w:r>
      <w:r w:rsidR="008F3178" w:rsidRPr="001365B0">
        <w:fldChar w:fldCharType="separate"/>
      </w:r>
      <w:r w:rsidR="00921493" w:rsidRPr="001365B0">
        <w:rPr>
          <w:noProof/>
        </w:rPr>
        <w:t>(Sharma et al., 2014)</w:t>
      </w:r>
      <w:r w:rsidR="008F3178" w:rsidRPr="001365B0">
        <w:fldChar w:fldCharType="end"/>
      </w:r>
      <w:r w:rsidRPr="001365B0">
        <w:t>; data quality</w:t>
      </w:r>
      <w:r w:rsidR="008F3178" w:rsidRPr="001365B0">
        <w:t xml:space="preserve"> </w:t>
      </w:r>
      <w:r w:rsidR="008F3178" w:rsidRPr="001365B0">
        <w:fldChar w:fldCharType="begin" w:fldLock="1"/>
      </w:r>
      <w:r w:rsidR="00036BBA">
        <w:instrText>ADDIN CSL_CITATION {"citationItems":[{"id":"ITEM-1","itemData":{"DOI":"10.1016/j.ijpe.2017.08.022","ISSN":"09255273","abstract":"As information technology (IT) proliferates across functional units, manufacturers that lack a coherent strategy for integrating, standardizing and leveraging their IT resources and capabilities are more likely to end up with fragmented systems that do not properly support business processes and hinder performance. One strategic approach to facilitating standardization and integration among IT resources is enterprise architecture (EA). As the representation of an enterprise's business processes and IT systems, EA underpins decisions relating to data, applications, IT infrastructure (technical and human), and management responsibilities in order to inform business strategies that enable organizations to accomplish their business objectives. In this research, we leverage competence-based theory to introduce EA strategic orientation and EA assimilation as dynamic and operational capabilities, respectively. Data collected from 190 manufacturers and seemingly unrelated regression are used to test hypotheses related to a nomological network consisting of EA strategic orientation, EA assimilation, agility and firm performance. The findings suggest that EA-based capabilities can enhance agility, and indirectly increase firm performance. As the first study to assess the value of EA from a non-IT-centric perspective, this work serves as a pivot point for examining the reach and range of EAbased capabilities, particularly in operations management. The findings provide operations and IT managers with evidence of how enterprise IT initiatives are ultimately linked to firm performance by way of EA-based capabilities.","author":[{"dropping-particle":"","family":"Hazen","given":"Benjamin T.","non-dropping-particle":"","parse-names":false,"suffix":""},{"dropping-particle":"V.","family":"Bradley","given":"Randy","non-dropping-particle":"","parse-names":false,"suffix":""},{"dropping-particle":"","family":"Bell","given":"John E.","non-dropping-particle":"","parse-names":false,"suffix":""},{"dropping-particle":"","family":"In","given":"Joonhwan","non-dropping-particle":"","parse-names":false,"suffix":""},{"dropping-particle":"","family":"Byrd","given":"Terry A.","non-dropping-particle":"","parse-names":false,"suffix":""}],"container-title":"International Journal of Production Economics","id":"ITEM-1","issue":"July","issued":{"date-parts":[["2017"]]},"page":"566-577","publisher":"Elsevier Ltd","title":"Enterprise architecture: A competence-based approach to achieving agility and firm performance","type":"article-journal","volume":"193"},"uris":["http://www.mendeley.com/documents/?uuid=38d26728-0a83-4442-a280-8f9aef0026c8"]},{"id":"ITEM-2","itemData":{"DOI":"10.1016/j.ejor.2017.02.023","ISSN":"03772217","abstract":"The popularity of big data and business analytics has increased tremendously in the last decade and a key challenge for organizations is in understanding how to leverage them to create business value. However, while the literature acknowledges the importance of these topics little work has addressed them from the organization's point of view. This paper investigates the challenges faced by organizational managers seeking to become more data and information-driven in order to create value. Empirical research comprised a mixed methods approach using (1) a Delphi study with practitioners through various forums and (2) interviews with business analytics managers in three case organizations. The case studies reinforced the Delphi findings and highlighted several challenge focal areas: organizations need a clear data and analytics strategy, the right people to effect a data-driven cultural change, and to consider data and information ethics when using data for competitive advantage. Further, becoming data-driven is not merely a technical issue and demands that organizations firstly organize their business analytics departments to comprise business analysts, data scientists, and IT personnel, and secondly align that business analytics capability with their business strategy in order to tackle the analytics challenge in a systemic and joined-up way. As a result, this paper presents a business analytics ecosystem for organizations that contributes to the body of scholarly knowledge by identifying key business areas and functions to address to achieve this transformation.","author":[{"dropping-particle":"","family":"Vidgen","given":"Richard","non-dropping-particle":"","parse-names":false,"suffix":""},{"dropping-particle":"","family":"Shaw","given":"Sarah","non-dropping-particle":"","parse-names":false,"suffix":""},{"dropping-particle":"","family":"Grant","given":"David B.","non-dropping-particle":"","parse-names":false,"suffix":""}],"container-title":"European Journal of Operational Research","id":"ITEM-2","issue":"2","issued":{"date-parts":[["2017"]]},"page":"626-639","title":"Management challenges in creating value from business analytics","type":"article-journal","volume":"261"},"uris":["http://www.mendeley.com/documents/?uuid=000b6ef6-b73e-44df-b9ff-094d46bbd0b1"]},{"id":"ITEM-3","itemData":{"DOI":"10.1016/j.future.2015.11.024","ISSN":"0167739X","abstract":"Beyond the hype of Big Data, something within business intelligence projects is indeed changing. This is mainly because Big Data is not only about data, but also about a complete conceptual and technological stack including raw and processed data, storage, ways of managing data, processing and analytics. A challenge that becomes even trickier is the management of the quality of the data in Big Data environments. More than ever before the need for assessing the Quality-in-Use gains importance since the real contribution–business value–of data can be only estimated in its context of use. Although there exists different Data Quality models for assessing the quality of regular data, none of them has been adapted to Big Data. To fill this gap, we propose the “3As Data Quality-in-Use model”, which is composed of three Data Quality characteristics for assessing the levels of Data Quality-in-Use in Big Data projects: Contextual Adequacy, Operational Adequacy and Temporal Adequacy. The model can be integrated into any sort of Big Data project, as it is independent of any pre-conditions or technologies. The paper shows the way to use the model with a working example. The model accomplishes every challenge related to Data Quality program aimed for Big Data. The main conclusion is that the model can be used as an appropriate way to obtain the Quality-in-Use levels of the input data of the Big Data analysis, and those levels can be understood as indicators of trustworthiness and soundness of the results of the Big Data analysis.","author":[{"dropping-particle":"","family":"Merino","given":"Jorge","non-dropping-particle":"","parse-names":false,"suffix":""},{"dropping-particle":"","family":"Caballero","given":"Ismael","non-dropping-particle":"","parse-names":false,"suffix":""},{"dropping-particle":"","family":"Rivas","given":"Bibiano","non-dropping-particle":"","parse-names":false,"suffix":""},{"dropping-particle":"","family":"Serrano","given":"Manuel","non-dropping-particle":"","parse-names":false,"suffix":""},{"dropping-particle":"","family":"Piattini","given":"Mario","non-dropping-particle":"","parse-names":false,"suffix":""}],"container-title":"Future Generation Computer Systems","id":"ITEM-3","issued":{"date-parts":[["2016"]]},"page":"123-130","publisher":"Elsevier B.V.","title":"A Data Quality in Use model for Big Data","type":"article-journal","volume":"63"},"uris":["http://www.mendeley.com/documents/?uuid=d55f86ff-c674-408b-8211-9cfa358bff95"]}],"mendeley":{"formattedCitation":"(Hazen et al., 2017; Merino et al., 2016; Vidgen et al., 2017)","plainTextFormattedCitation":"(Hazen et al., 2017; Merino et al., 2016; Vidgen et al., 2017)","previouslyFormattedCitation":"(Hazen et al., 2017; Merino et al., 2016; Vidgen et al., 2017)"},"properties":{"noteIndex":0},"schema":"https://github.com/citation-style-language/schema/raw/master/csl-citation.json"}</w:instrText>
      </w:r>
      <w:r w:rsidR="008F3178" w:rsidRPr="001365B0">
        <w:fldChar w:fldCharType="separate"/>
      </w:r>
      <w:r w:rsidR="00036BBA" w:rsidRPr="00036BBA">
        <w:rPr>
          <w:noProof/>
        </w:rPr>
        <w:t>(Hazen et al., 2017; Merino et al., 2016; Vidgen et al., 2017)</w:t>
      </w:r>
      <w:r w:rsidR="008F3178" w:rsidRPr="001365B0">
        <w:fldChar w:fldCharType="end"/>
      </w:r>
      <w:r w:rsidRPr="001365B0">
        <w:t xml:space="preserve"> and data maturity</w:t>
      </w:r>
      <w:r w:rsidR="008F3178" w:rsidRPr="001365B0">
        <w:t xml:space="preserve"> </w:t>
      </w:r>
      <w:r w:rsidR="008F3178" w:rsidRPr="001365B0">
        <w:fldChar w:fldCharType="begin" w:fldLock="1"/>
      </w:r>
      <w:r w:rsidR="00036BBA">
        <w:instrText>ADDIN CSL_CITATION {"citationItems":[{"id":"ITEM-1","itemData":{"abstract":"Based on four case studies and a follow-up survey, we have identifiied the key success factors for realizing value from DDS (digital data stream) investments. But managers need to pay attention to the combinations of success factors. A key fiinding is that value realization is improved when the agility of the resource allocation process is appropriate for the levels both of DDS platform maturity and of commitment from datadriven top management. We present a four-step sequence and a decision framework for putting the optimum combination of success factors in place.","author":[{"dropping-particle":"","family":"Anand","given":"A.","non-dropping-particle":"","parse-names":false,"suffix":""},{"dropping-particle":"","family":"Coltman","given":"T.","non-dropping-particle":"","parse-names":false,"suffix":""},{"dropping-particle":"","family":"Sharma","given":"R.","non-dropping-particle":"","parse-names":false,"suffix":""}],"container-title":"MIS Quarterly Executive","id":"ITEM-1","issue":"4","issued":{"date-parts":[["2016"]]},"page":"259-277","title":"Four steps to realizing business value from digital data streams","type":"article-journal","volume":"15"},"uris":["http://www.mendeley.com/documents/?uuid=f35e3bfb-ca94-4ce3-b213-541a5afe2b1a"]},{"id":"ITEM-2","itemData":{"DOI":"10.1108/IMDS-07-2014-0202","ISBN":"1220150495","author":[{"dropping-particle":"","family":"Comuzzi","given":"Marco","non-dropping-particle":"","parse-names":false,"suffix":""},{"dropping-particle":"","family":"Patel","given":"Anit","non-dropping-particle":"","parse-names":false,"suffix":""}],"container-title":"IMDS 116,8 1468 Received 9 December 2015 Revised 25 February 2016 29 March 2016 Accepted 30 March 2016 How organisations leverage Big Data: a maturity model Marco Comuzzi School of Management Engineering, Ulsan National Institute of Science and Technology","id":"ITEM-2","issue":"8","issued":{"date-parts":[["2016"]]},"page":"1468-1492","title":"How organisations leverage Big Data: a maturity model","type":"article-journal","volume":"116"},"uris":["http://www.mendeley.com/documents/?uuid=46671990-aad4-4820-970c-81b17e61ed9a"]}],"mendeley":{"formattedCitation":"(Anand et al., 2016; Comuzzi &amp; Patel, 2016)","plainTextFormattedCitation":"(Anand et al., 2016; Comuzzi &amp; Patel, 2016)","previouslyFormattedCitation":"(Anand et al., 2016; Comuzzi &amp; Patel, 2016)"},"properties":{"noteIndex":0},"schema":"https://github.com/citation-style-language/schema/raw/master/csl-citation.json"}</w:instrText>
      </w:r>
      <w:r w:rsidR="008F3178" w:rsidRPr="001365B0">
        <w:fldChar w:fldCharType="separate"/>
      </w:r>
      <w:r w:rsidR="00036BBA" w:rsidRPr="00036BBA">
        <w:rPr>
          <w:noProof/>
        </w:rPr>
        <w:t>(Anand et al., 2016; Comuzzi &amp; Patel, 2016)</w:t>
      </w:r>
      <w:r w:rsidR="008F3178" w:rsidRPr="001365B0">
        <w:fldChar w:fldCharType="end"/>
      </w:r>
      <w:r w:rsidRPr="001365B0">
        <w:t xml:space="preserve">; resource availability </w:t>
      </w:r>
      <w:r w:rsidR="00FC2E0C" w:rsidRPr="001365B0">
        <w:fldChar w:fldCharType="begin" w:fldLock="1"/>
      </w:r>
      <w:r w:rsidR="00036BBA">
        <w:instrText>ADDIN CSL_CITATION {"citationItems":[{"id":"ITEM-1","itemData":{"DOI":"10.1016/j.jbusres.2016.08.007","ISSN":"01482963","abstract":"Organizations are looking for ways to harness the power of big data (BD) to improve their decision making. Despite its significance the effects of BD on decision-making quality has been given scant attention in the literature. In this paper factors influencing decision-making based on BD are identified using a case study. BD is collected from different sources that have various data qualities and are processed by various organizational entities resulting in the creation of a big data chain. The veracity (manipulation, noise), variety (heterogeneity of data) and velocity (constantly changing data sources) amplified by the size of big data calls for relational and contractual governance mechanisms to ensure BD quality and being able to contextualize data. The case study reveals that taking advantage of big data is an evolutionary process in which the gradually understanding of the potential of big data and the routinization of processes plays a crucial role.","author":[{"dropping-particle":"","family":"Janssen","given":"Marijn","non-dropping-particle":"","parse-names":false,"suffix":""},{"dropping-particle":"","family":"Voort","given":"Haiko","non-dropping-particle":"van der","parse-names":false,"suffix":""},{"dropping-particle":"","family":"Wahyudi","given":"Agung","non-dropping-particle":"","parse-names":false,"suffix":""}],"container-title":"Journal of Business Research","id":"ITEM-1","issued":{"date-parts":[["2017"]]},"page":"338-345","publisher":"Elsevier Inc.","title":"Factors influencing big data decision-making quality","type":"article-journal","volume":"70"},"uris":["http://www.mendeley.com/documents/?uuid=d610365e-de36-48c8-8026-f731fe666ad4"]},{"id":"ITEM-2","itemData":{"ISBN":"9781848725812","author":[{"dropping-particle":"","family":"Davenport","given":"Thomas","non-dropping-particle":"","parse-names":false,"suffix":""}],"id":"ITEM-2","issued":{"date-parts":[["2014"]]},"publisher":"Harvard Business Review Press","publisher-place":"Boston, MA","title":"Big Data at Work: Dispelling the Myths, Uncovering the Opportunities","type":"book"},"uris":["http://www.mendeley.com/documents/?uuid=0e78f20c-caa0-4088-a49e-9b7d51d250b0"]}],"mendeley":{"formattedCitation":"(T. Davenport, 2014; Janssen et al., 2017)","plainTextFormattedCitation":"(T. Davenport, 2014; Janssen et al., 2017)","previouslyFormattedCitation":"(T. Davenport, 2014; Janssen et al., 2017)"},"properties":{"noteIndex":0},"schema":"https://github.com/citation-style-language/schema/raw/master/csl-citation.json"}</w:instrText>
      </w:r>
      <w:r w:rsidR="00FC2E0C" w:rsidRPr="001365B0">
        <w:fldChar w:fldCharType="separate"/>
      </w:r>
      <w:r w:rsidR="00036BBA" w:rsidRPr="00036BBA">
        <w:rPr>
          <w:noProof/>
        </w:rPr>
        <w:t>(T. Davenport, 2014; Janssen et al., 2017)</w:t>
      </w:r>
      <w:r w:rsidR="00FC2E0C" w:rsidRPr="001365B0">
        <w:fldChar w:fldCharType="end"/>
      </w:r>
      <w:r w:rsidRPr="001365B0">
        <w:t xml:space="preserve">; </w:t>
      </w:r>
      <w:r w:rsidR="001365B0" w:rsidRPr="001365B0">
        <w:t>organizational</w:t>
      </w:r>
      <w:r w:rsidRPr="001365B0">
        <w:t xml:space="preserve"> culture</w:t>
      </w:r>
      <w:r w:rsidR="00026C35" w:rsidRPr="001365B0">
        <w:t xml:space="preserve"> </w:t>
      </w:r>
      <w:r w:rsidR="00026C35" w:rsidRPr="001365B0">
        <w:fldChar w:fldCharType="begin" w:fldLock="1"/>
      </w:r>
      <w:r w:rsidR="00C906C9" w:rsidRPr="001365B0">
        <w:instrText>ADDIN CSL_CITATION {"citationItems":[{"id":"ITEM-1","itemData":{"abstract":"Based on four case studies and a follow-up survey, we have identifiied the key success factors for realizing value from DDS (digital data stream) investments. But managers need to pay attention to the combinations of success factors. A key fiinding is that value realization is improved when the agility of the resource allocation process is appropriate for the levels both of DDS platform maturity and of commitment from datadriven top management. We present a four-step sequence and a decision framework for putting the optimum combination of success factors in place.","author":[{"dropping-particle":"","family":"Anand","given":"A.","non-dropping-particle":"","parse-names":false,"suffix":""},{"dropping-particle":"","family":"Coltman","given":"T.","non-dropping-particle":"","parse-names":false,"suffix":""},{"dropping-particle":"","family":"Sharma","given":"R.","non-dropping-particle":"","parse-names":false,"suffix":""}],"container-title":"MIS Quarterly Executive","id":"ITEM-1","issue":"4","issued":{"date-parts":[["2016"]]},"page":"259-277","title":"Four steps to realizing business value from digital data streams","type":"article-journal","volume":"15"},"uris":["http://www.mendeley.com/documents/?uuid=f35e3bfb-ca94-4ce3-b213-541a5afe2b1a"]},{"id":"ITEM-2","itemData":{"DOI":"10.1016/j.indmarman.2014.08.003","ISSN":"00198501","abstract":"Radical innovation (RI) barriers are a complex phenomenon on which our understanding remains rather limited. Through a systematic analytical review on the extant research on RI barriers comprising a content analysis of 103 articles, this study develops a classification of barriers covering external barriers grouped by firms' influence potential, and internal barriers grouped by, for example, distinct RI competences. External barriers related to customer resistance and an undeveloped network and ecosystem, and the internal barrier relating to restrictive mindset have the widest influence. The results reveal that innovation barriers do not differ between radical innovations with different degrees of novelty, but that they vary according to the characteristics of firms, markets, and along the innovation process. This article contributes by generating an integrative framework of RI barriers, providing several propositions for further research, and developing implications for overcoming the barriers.","author":[{"dropping-particle":"","family":"Sandberg","given":"Birgitta","non-dropping-particle":"","parse-names":false,"suffix":""},{"dropping-particle":"","family":"Aarikka-Stenroos","given":"Leena","non-dropping-particle":"","parse-names":false,"suffix":""}],"container-title":"Industrial Marketing Management","id":"ITEM-2","issue":"8","issued":{"date-parts":[["2014"]]},"page":"1293-1305","publisher":"Elsevier Inc.","title":"What makes it so difficult? A systematic review on barriers to radical innovation","type":"article-journal","volume":"43"},"uris":["http://www.mendeley.com/documents/?uuid=100a57e5-df91-425a-b9fb-88b925527aa7"]}],"mendeley":{"formattedCitation":"(Anand et al., 2016; Sandberg &amp; Aarikka-Stenroos, 2014)","plainTextFormattedCitation":"(Anand et al., 2016; Sandberg &amp; Aarikka-Stenroos, 2014)","previouslyFormattedCitation":"(Anand et al., 2016; Sandberg &amp; Aarikka-Stenroos, 2014)"},"properties":{"noteIndex":0},"schema":"https://github.com/citation-style-language/schema/raw/master/csl-citation.json"}</w:instrText>
      </w:r>
      <w:r w:rsidR="00026C35" w:rsidRPr="001365B0">
        <w:fldChar w:fldCharType="separate"/>
      </w:r>
      <w:r w:rsidR="00921493" w:rsidRPr="001365B0">
        <w:rPr>
          <w:noProof/>
        </w:rPr>
        <w:t>(Anand et al., 2016; Sandberg &amp; Aarikka-Stenroos, 2014)</w:t>
      </w:r>
      <w:r w:rsidR="00026C35" w:rsidRPr="001365B0">
        <w:fldChar w:fldCharType="end"/>
      </w:r>
      <w:r w:rsidRPr="001365B0">
        <w:t>; privacy and security concerns</w:t>
      </w:r>
      <w:r w:rsidR="00263B70" w:rsidRPr="001365B0">
        <w:t xml:space="preserve"> </w:t>
      </w:r>
      <w:r w:rsidR="00263B70" w:rsidRPr="001365B0">
        <w:fldChar w:fldCharType="begin" w:fldLock="1"/>
      </w:r>
      <w:r w:rsidR="00911ABC" w:rsidRPr="001365B0">
        <w:instrText>ADDIN CSL_CITATION {"citationItems":[{"id":"ITEM-1","itemData":{"DOI":"10.1016/j.jsis.2015.02.001","ISSN":"09638687","abstract":"Abstract Today, digital data are captured through a variety of devices that have the ability to monitor the minutiae of an individual's everyday life. These data are often processed by algorithms, which support (or drive) decisions (termed 'algorithmic decision-making' in this article). While the strategic value of these data (and subsequent analysis) for businesses is unquestionable, the implications for individuals and wider society are less clear. Therefore, in this Viewpoint article we aim to shed light on the tension between businesses - that increasingly profile customers and personalize products and services - and individuals, who, as McAfee and Brynjolfsson (2012, p. 5) suggest, are 'walking data generators' but are often unaware of how the data they produce are being used, and by whom and with what consequences. Issues associated with privacy, control and dependence arise, suggesting that social and ethical concerns related to the way business is strategically exploiting digitized technologies that increasingly support our everyday activities should be brought to the fore and thoughtfully discussed. In this article we aim to lay a foundation for this discussion in the IS community and beyond.","author":[{"dropping-particle":"","family":"Newell","given":"Sue","non-dropping-particle":"","parse-names":false,"suffix":""},{"dropping-particle":"","family":"Marabelli","given":"Marco","non-dropping-particle":"","parse-names":false,"suffix":""}],"container-title":"Journal of Strategic Information Systems","id":"ITEM-1","issue":"1","issued":{"date-parts":[["2015"]]},"page":"3-14","publisher":"Elsevier B.V.","title":"Strategic opportunities (and challenges) of algorithmic decision-making: A call for action on the long-term societal effects of 'datification'","type":"article-journal","volume":"24"},"uris":["http://www.mendeley.com/documents/?uuid=aae31353-eb58-4368-825f-af0da2784b59"]},{"id":"ITEM-2","itemData":{"DOI":"10.1111/isj.12088","ISBN":"13501917","PMID":"111872724","abstract":"The 'big data' literature, academic as well as professional, has a very strong focus on opportunities. Far less attention has been paid to the threats that arise from repurposing data, consolidating data from multiple sources, applying analytical tools to the resulting collections, drawing inferences, and acting on them. On the basis of a review of quality factors in 'big data' and 'big data analytics', illustrated by means of scenario analysis, this paper draws attention to the moral and legal responsibility of computing researchers and professionals to temper their excitement, and apply reality checks to their promotional activities. [ABSTRACT FROM AUTHOR] Copyright of Information Systems Journal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Abstracts.)","author":[{"dropping-particle":"","family":"Clarke","given":"Roger","non-dropping-particle":"","parse-names":false,"suffix":""}],"container-title":"Information Systems Journal","id":"ITEM-2","issue":"1","issued":{"date-parts":[["2016"]]},"note":"Clarke, Roger 1,2,3; Affiliations: 1: Xamax Consultancy Pty Ltd; 2: Research School of Computer Science, ANU; 3: UNSW Law; Issue Info: Jan2016, Vol. 26 Issue 1, p77; Thesaurus Term: Software analytics; Thesaurus Term: Information technology industry; Subject Term: Big data; Subject Term: Data quality; Subject Term: Social impact assessment; Subject Term: Information storage &amp;amp; retrieval systems -- Periodicals; Author-Supplied Keyword: data quality; Author-Supplied Keyword: decision quality; Author-Supplied Keyword: impact assessment; Author-Supplied Keyword: scenario analysis; Number of Pages: 14p; Illustrations: 2 Charts; Document Type: Article","page":"77-90","publisher":"Wiley-Blackwell","title":"Big data, big risks","type":"article-journal","volume":"26"},"uris":["http://www.mendeley.com/documents/?uuid=c5b05beb-288f-4922-bdbe-b127b4e0ccf1"]}],"mendeley":{"formattedCitation":"(Clarke, 2016; Newell &amp; Marabelli, 2015)","plainTextFormattedCitation":"(Clarke, 2016; Newell &amp; Marabelli, 2015)","previouslyFormattedCitation":"(Clarke, 2016; Newell &amp; Marabelli, 2015)"},"properties":{"noteIndex":0},"schema":"https://github.com/citation-style-language/schema/raw/master/csl-citation.json"}</w:instrText>
      </w:r>
      <w:r w:rsidR="00263B70" w:rsidRPr="001365B0">
        <w:fldChar w:fldCharType="separate"/>
      </w:r>
      <w:r w:rsidR="00911ABC" w:rsidRPr="001365B0">
        <w:rPr>
          <w:noProof/>
        </w:rPr>
        <w:t>(Clarke, 2016; Newell &amp; Marabelli, 2015)</w:t>
      </w:r>
      <w:r w:rsidR="00263B70" w:rsidRPr="001365B0">
        <w:fldChar w:fldCharType="end"/>
      </w:r>
      <w:r w:rsidRPr="001365B0">
        <w:t>; and regulations</w:t>
      </w:r>
      <w:r w:rsidR="00263B70" w:rsidRPr="001365B0">
        <w:t xml:space="preserve"> </w:t>
      </w:r>
      <w:r w:rsidR="00263B70" w:rsidRPr="001365B0">
        <w:fldChar w:fldCharType="begin" w:fldLock="1"/>
      </w:r>
      <w:r w:rsidR="00036BBA">
        <w:instrText>ADDIN CSL_CITATION {"citationItems":[{"id":"ITEM-1","itemData":{"DOI":"10.1016/j.clsr.2014.01.009","author":[{"dropping-particle":"","family":"Truyens","given":"Maarten","non-dropping-particle":"","parse-names":false,"suffix":""},{"dropping-particle":"Van","family":"Eecke","given":"Patrick","non-dropping-particle":"","parse-names":false,"suffix":""}],"container-title":"Computer Law &amp; Security Review","id":"ITEM-1","issue":"2","issued":{"date-parts":[["2014"]]},"page":"153-170","title":"Legal aspects of text mining","type":"article-journal","volume":"30"},"uris":["http://www.mendeley.com/documents/?uuid=5814217d-f8e0-457c-b6b8-a089bdf3e79d"]},{"id":"ITEM-2","itemData":{"DOI":"10.1002/1944-2866.POI330","ISSN":"19442866","abstract":"There is a great deal of enthusiasm about the prospects for Big Data held in health care systems around the world. Health care appears to offer the ideal combination of circumstances for its exploitation, with a need to improve productivity on the one hand and the availability of data that can be used to identify opportunities for improvement on the other. The enthusiasm rests on two assumptions. First, that the data sets held by hospitals and other organizations, and the technological infrastructure needed for their acquisition, storage, and manipulation, are up to the task. Second, that organizations outside health care systems will be able to access detailed datasets. We argue that both assumptions can be challenged. The article uses the example of the National Health Service in England to identify data, technology, and information governance challenges. The public acceptability of third party access to detailed health care datasets is, at best, unclear.","author":[{"dropping-particle":"","family":"Keen","given":"Justin","non-dropping-particle":"","parse-names":false,"suffix":""},{"dropping-particle":"","family":"Calinescu","given":"Radu","non-dropping-particle":"","parse-names":false,"suffix":""},{"dropping-particle":"","family":"Paige","given":"Richard","non-dropping-particle":"","parse-names":false,"suffix":""},{"dropping-particle":"","family":"Rooksby","given":"John","non-dropping-particle":"","parse-names":false,"suffix":""}],"container-title":"Policy and Internet","id":"ITEM-2","issue":"2","issued":{"date-parts":[["2013"]]},"page":"228-243","title":"Big data + politics = open data: The case of health care data in England","type":"article-journal","volume":"5"},"uris":["http://www.mendeley.com/documents/?uuid=17feca03-46d9-49a0-838e-04d20a10cb20"]}],"mendeley":{"formattedCitation":"(Keen et al., 2013; Truyens &amp; Eecke, 2014)","plainTextFormattedCitation":"(Keen et al., 2013; Truyens &amp; Eecke, 2014)","previouslyFormattedCitation":"(Keen et al., 2013; Truyens &amp; Eecke, 2014)"},"properties":{"noteIndex":0},"schema":"https://github.com/citation-style-language/schema/raw/master/csl-citation.json"}</w:instrText>
      </w:r>
      <w:r w:rsidR="00263B70" w:rsidRPr="001365B0">
        <w:fldChar w:fldCharType="separate"/>
      </w:r>
      <w:r w:rsidR="00036BBA" w:rsidRPr="00036BBA">
        <w:rPr>
          <w:noProof/>
        </w:rPr>
        <w:t>(Keen et al., 2013; Truyens &amp; Eecke, 2014)</w:t>
      </w:r>
      <w:r w:rsidR="00263B70" w:rsidRPr="001365B0">
        <w:fldChar w:fldCharType="end"/>
      </w:r>
      <w:r w:rsidRPr="001365B0">
        <w:t xml:space="preserve">. </w:t>
      </w:r>
    </w:p>
    <w:p w14:paraId="28CA4333" w14:textId="2EFD6B89" w:rsidR="00CF09F8" w:rsidRPr="001365B0" w:rsidRDefault="00CF09F8" w:rsidP="004B4F6B">
      <w:pPr>
        <w:pStyle w:val="Text01"/>
      </w:pPr>
      <w:r w:rsidRPr="001365B0">
        <w:t>These nuances of transforming data into value are developed as a process model by</w:t>
      </w:r>
      <w:r w:rsidR="00263B70" w:rsidRPr="001365B0">
        <w:t xml:space="preserve"> </w:t>
      </w:r>
      <w:r w:rsidR="00263B70" w:rsidRPr="001365B0">
        <w:fldChar w:fldCharType="begin" w:fldLock="1"/>
      </w:r>
      <w:r w:rsidR="00101760">
        <w:instrText>ADDIN CSL_CITATION {"citationItems":[{"id":"ITEM-1","itemData":{"DOI":"http://dx.doi.org/10.1108/MRR-09-2015-0216","ISBN":"0001253111116","ISSN":"0264-0473","PMID":"42012058","abstract":"Porras, Jari","author":[{"dropping-particle":"","family":"Ylijoki","given":"Ossi","non-dropping-particle":"","parse-names":false,"suffix":""}],"container-title":"Business Process Management Journal","id":"ITEM-1","issue":"1","issued":{"date-parts":[["2018"]]},"page":"69–91","title":"A recipe for big data value creation","type":"article-journal","volume":"4"},"uris":["http://www.mendeley.com/documents/?uuid=74e53122-fbd1-48db-9e12-3a5025b54d41"]}],"mendeley":{"formattedCitation":"(Ylijoki, 2018)","manualFormatting":"Ylijoki and Porras (2018)","plainTextFormattedCitation":"(Ylijoki, 2018)","previouslyFormattedCitation":"(Ylijoki, 2018)"},"properties":{"noteIndex":0},"schema":"https://github.com/citation-style-language/schema/raw/master/csl-citation.json"}</w:instrText>
      </w:r>
      <w:r w:rsidR="00263B70" w:rsidRPr="001365B0">
        <w:fldChar w:fldCharType="separate"/>
      </w:r>
      <w:r w:rsidR="00263B70" w:rsidRPr="001365B0">
        <w:rPr>
          <w:noProof/>
        </w:rPr>
        <w:t>Ylijoki and Porras (2018)</w:t>
      </w:r>
      <w:r w:rsidR="00263B70" w:rsidRPr="001365B0">
        <w:fldChar w:fldCharType="end"/>
      </w:r>
      <w:r w:rsidRPr="001365B0">
        <w:t xml:space="preserve">, to better explain how big data can be transformed into economic value (see </w:t>
      </w:r>
      <w:r w:rsidR="003B32B0" w:rsidRPr="001365B0">
        <w:fldChar w:fldCharType="begin"/>
      </w:r>
      <w:r w:rsidR="003B32B0" w:rsidRPr="001365B0">
        <w:instrText xml:space="preserve"> REF _Ref6929381 \h </w:instrText>
      </w:r>
      <w:r w:rsidR="00E72864">
        <w:instrText xml:space="preserve"> \* MERGEFORMAT </w:instrText>
      </w:r>
      <w:r w:rsidR="003B32B0" w:rsidRPr="001365B0">
        <w:fldChar w:fldCharType="separate"/>
      </w:r>
      <w:r w:rsidR="00BA1A2B" w:rsidRPr="001365B0">
        <w:t xml:space="preserve">Figure </w:t>
      </w:r>
      <w:r w:rsidR="00BA1A2B">
        <w:t>1</w:t>
      </w:r>
      <w:r w:rsidR="003B32B0" w:rsidRPr="001365B0">
        <w:fldChar w:fldCharType="end"/>
      </w:r>
      <w:r w:rsidRPr="001365B0">
        <w:t>). The model is founded in the observation that, with the exception of value measurement, data meets the International Financial Reporting Standard (IFRS) criteria for an intangible asset – in that data are ‘identifiable, non-monetary, non-physical, potentially valuable resources that a firm produces or harvests from different sources’</w:t>
      </w:r>
      <w:r w:rsidR="008169F9">
        <w:t xml:space="preserve"> </w:t>
      </w:r>
      <w:r w:rsidR="00D12908">
        <w:fldChar w:fldCharType="begin" w:fldLock="1"/>
      </w:r>
      <w:r w:rsidR="00C40B25">
        <w:instrText>ADDIN CSL_CITATION {"citationItems":[{"id":"ITEM-1","itemData":{"DOI":"http://dx.doi.org/10.1108/MRR-09-2015-0216","ISBN":"0001253111116","ISSN":"0264-0473","PMID":"42012058","abstract":"Porras, Jari","author":[{"dropping-particle":"","family":"Ylijoki","given":"Ossi","non-dropping-particle":"","parse-names":false,"suffix":""}],"container-title":"Business Process Management Journal","id":"ITEM-1","issue":"1","issued":{"date-parts":[["2018"]]},"page":"69–91","title":"A recipe for big data value creation","type":"article-journal","volume":"4"},"uris":["http://www.mendeley.com/documents/?uuid=74e53122-fbd1-48db-9e12-3a5025b54d41"]}],"mendeley":{"formattedCitation":"(Ylijoki, 2018)","manualFormatting":"(Ylijoki, 2018 p.73)","plainTextFormattedCitation":"(Ylijoki, 2018)","previouslyFormattedCitation":"(Ylijoki, 2018)"},"properties":{"noteIndex":0},"schema":"https://github.com/citation-style-language/schema/raw/master/csl-citation.json"}</w:instrText>
      </w:r>
      <w:r w:rsidR="00D12908">
        <w:fldChar w:fldCharType="separate"/>
      </w:r>
      <w:r w:rsidR="00D12908" w:rsidRPr="00D12908">
        <w:rPr>
          <w:noProof/>
        </w:rPr>
        <w:t>(Ylijoki, 2018</w:t>
      </w:r>
      <w:r w:rsidR="00D12908">
        <w:rPr>
          <w:noProof/>
        </w:rPr>
        <w:t xml:space="preserve"> p.73</w:t>
      </w:r>
      <w:r w:rsidR="00D12908" w:rsidRPr="00D12908">
        <w:rPr>
          <w:noProof/>
        </w:rPr>
        <w:t>)</w:t>
      </w:r>
      <w:r w:rsidR="00D12908">
        <w:fldChar w:fldCharType="end"/>
      </w:r>
      <w:r w:rsidRPr="001365B0">
        <w:t>. The four key sub-processes in this model are as follows:</w:t>
      </w:r>
    </w:p>
    <w:p w14:paraId="7280CD32" w14:textId="4B3C0C3E" w:rsidR="00CF09F8" w:rsidRPr="001365B0" w:rsidRDefault="00CF09F8" w:rsidP="004B4F6B">
      <w:pPr>
        <w:pStyle w:val="List01"/>
      </w:pPr>
      <w:r w:rsidRPr="00E72864">
        <w:rPr>
          <w:u w:val="single"/>
        </w:rPr>
        <w:t>Asset creation process</w:t>
      </w:r>
      <w:r w:rsidRPr="001365B0">
        <w:t>. This sub-process refers to what</w:t>
      </w:r>
      <w:r w:rsidR="00263B70" w:rsidRPr="001365B0">
        <w:t xml:space="preserve"> </w:t>
      </w:r>
      <w:r w:rsidR="00263B70" w:rsidRPr="001365B0">
        <w:fldChar w:fldCharType="begin" w:fldLock="1"/>
      </w:r>
      <w:r w:rsidR="00263B70" w:rsidRPr="001365B0">
        <w:instrText>ADDIN CSL_CITATION {"citationItems":[{"id":"ITEM-1","itemData":{"DOI":"10.1057/ejis.2013.10","ISSN":"0960-085X","abstract":"Business Intelligence (BI) is a topic of growing importance for both industry and academia. Though still viewed from its technology roots, it is slowly broadening to encompass the data infrastructure, applications, tools and best practices related required for the effective capture, representation and delivery of data to inform decision‐making and action. The lines between enterprise and social intelligence are also becoming increasingly blurred, as action from decision‐making is oriented at influencing people’s (future) behaviour. From an industry perspective, BI is consequently seen as a fruitful foundation for innovation, competition and productivity. From an academic perspective, the richness and importance of the area for research is becoming increasingly apparent (Chen et al, 2012; Sharma et al, Forthcoming) .","author":[{"dropping-particle":"","family":"Lycett","given":"Mark","non-dropping-particle":"","parse-names":false,"suffix":""}],"container-title":"European Journal of Information Systems","id":"ITEM-1","issue":"4","issued":{"date-parts":[["2013"]]},"page":"381-386","title":"‘Datafication’: making sense of (big) data in a complex world","type":"article-journal","volume":"22"},"uris":["http://www.mendeley.com/documents/?uuid=75e926d2-b5bd-49f8-bf2f-eef659b235fc"]}],"mendeley":{"formattedCitation":"(Lycett, 2013)","manualFormatting":"Lycett (2013)","plainTextFormattedCitation":"(Lycett, 2013)","previouslyFormattedCitation":"(Lycett, 2013)"},"properties":{"noteIndex":0},"schema":"https://github.com/citation-style-language/schema/raw/master/csl-citation.json"}</w:instrText>
      </w:r>
      <w:r w:rsidR="00263B70" w:rsidRPr="001365B0">
        <w:fldChar w:fldCharType="separate"/>
      </w:r>
      <w:r w:rsidR="00263B70" w:rsidRPr="001365B0">
        <w:rPr>
          <w:noProof/>
        </w:rPr>
        <w:t>Lycett (2013)</w:t>
      </w:r>
      <w:r w:rsidR="00263B70" w:rsidRPr="001365B0">
        <w:fldChar w:fldCharType="end"/>
      </w:r>
      <w:r w:rsidRPr="001365B0">
        <w:t xml:space="preserve"> discusses as the dematerialisation aspect of datafication – essentially, the ability to separate the informational aspect of an asset/resource and its use in context from the physical world. Data are not objectively ‘out there’ and harvesting them is not quite the same as picking fruit from trees – thus the conceptualisation and codification of data is important (e.g., via </w:t>
      </w:r>
      <w:r w:rsidR="00FD432F">
        <w:t>schemas</w:t>
      </w:r>
      <w:r w:rsidRPr="001365B0">
        <w:t xml:space="preserve">), including metadata aspects such time and location that relate to contextualisation </w:t>
      </w:r>
      <w:r w:rsidR="00BC3FD5">
        <w:fldChar w:fldCharType="begin" w:fldLock="1"/>
      </w:r>
      <w:r w:rsidR="00166F90">
        <w:instrText>ADDIN CSL_CITATION {"citationItems":[{"id":"ITEM-1","itemData":{"ISBN":"1540-1960","author":[{"dropping-particle":"","family":"Piccoli","given":"Gabriele","non-dropping-particle":"","parse-names":false,"suffix":""},{"dropping-particle":"","family":"Pigni","given":"Federico","non-dropping-particle":"","parse-names":false,"suffix":""}],"container-title":"MIS Quarterly Executive","id":"ITEM-1","issue":"1","issued":{"date-parts":[["2013"]]},"title":"Harvesting external data: The potential of digital data streams","type":"article-journal","volume":"12"},"uris":["http://www.mendeley.com/documents/?uuid=38c835c9-aa4b-4a4b-afc0-4f3f9ddde1fe"]}],"mendeley":{"formattedCitation":"(Piccoli &amp; Pigni, 2013)","plainTextFormattedCitation":"(Piccoli &amp; Pigni, 2013)","previouslyFormattedCitation":"(Piccoli &amp; Pigni, 2013)"},"properties":{"noteIndex":0},"schema":"https://github.com/citation-style-language/schema/raw/master/csl-citation.json"}</w:instrText>
      </w:r>
      <w:r w:rsidR="00BC3FD5">
        <w:fldChar w:fldCharType="separate"/>
      </w:r>
      <w:r w:rsidR="00BC3FD5" w:rsidRPr="00BC3FD5">
        <w:rPr>
          <w:noProof/>
        </w:rPr>
        <w:t>(Piccoli &amp; Pigni, 2013)</w:t>
      </w:r>
      <w:r w:rsidR="00BC3FD5">
        <w:fldChar w:fldCharType="end"/>
      </w:r>
      <w:r w:rsidR="00BC3FD5">
        <w:t>.</w:t>
      </w:r>
      <w:r w:rsidRPr="001365B0">
        <w:t xml:space="preserve"> </w:t>
      </w:r>
    </w:p>
    <w:p w14:paraId="524CF6EA" w14:textId="18634FB8" w:rsidR="00CF09F8" w:rsidRPr="001365B0" w:rsidRDefault="00CF09F8" w:rsidP="004B4F6B">
      <w:pPr>
        <w:pStyle w:val="List01"/>
      </w:pPr>
      <w:r w:rsidRPr="00E72864">
        <w:rPr>
          <w:u w:val="single"/>
        </w:rPr>
        <w:t>Capability creation process</w:t>
      </w:r>
      <w:r w:rsidRPr="001365B0">
        <w:t xml:space="preserve">. This sub-process refers to the need to develop resources and capabilities that (dynamically) support the data asset creation. First, via investment in supporting technology assets (e.g., infrastructure) that help automate dematerialisation and the storage of resulting data assets spanning data cleansing, </w:t>
      </w:r>
      <w:proofErr w:type="gramStart"/>
      <w:r w:rsidRPr="001365B0">
        <w:lastRenderedPageBreak/>
        <w:t>storage</w:t>
      </w:r>
      <w:proofErr w:type="gramEnd"/>
      <w:r w:rsidRPr="001365B0">
        <w:t xml:space="preserve"> and distribution for example. Second, developing human-centric analytic capabilities (which may be embedded in algorithmic implementation) that are important in turning information into knowledge </w:t>
      </w:r>
      <w:r w:rsidR="00263B70" w:rsidRPr="001365B0">
        <w:fldChar w:fldCharType="begin" w:fldLock="1"/>
      </w:r>
      <w:r w:rsidR="00036BBA">
        <w:instrText>ADDIN CSL_CITATION {"citationItems":[{"id":"ITEM-1","itemData":{"DOI":"10.2307/23043496","ISSN":"02767783","abstract":"How do information technology capabilities contribute to firm performance? This study develops a conceptual model linking IT-enabled information management capability with three important organizational capabilities (customer management capability, process management capability, and performance management capability). We argue that these three capabilities mediate the relationship between information management capability and firm performance. We use a rare archival data set from a conglomerate business group that had adopted a model of performance excellence for organizational transformation based on the Baldrige criteria. This data set contains actual scores from high quality assessments of firms and intraorganizational units of the conglomerate, and hence provides unobtrusive measures of the key constructs to validate our conceptual model. We find that information management capability plays an important role in developing other firm capabilities for customer management, process management, and performance management. In turn, these capabilities favorably influence customer, financial, human resources, and organizational effectiveness measures of firm performance. Among key managerial implications, senior leaders must focus on creating necessary conditions for developing IT infrastructure and information management capability because they play a foundational role in building other capabilities far improved firm performance. The Baldrige model also needs some changes to more explicitly acknowledge the role and importance of information management capability so that senior leaders know where to begin in their journey toward business excellence.","author":[{"dropping-particle":"","family":"Mithas","given":"","non-dropping-particle":"","parse-names":false,"suffix":""},{"dropping-particle":"","family":"Ramasubbu","given":"","non-dropping-particle":"","parse-names":false,"suffix":""},{"dropping-particle":"","family":"Sambamurthy","given":"","non-dropping-particle":"","parse-names":false,"suffix":""}],"container-title":"MIS Quarterly","id":"ITEM-1","issue":"1","issued":{"date-parts":[["2011"]]},"page":"237-256","title":"How Information Management Capability Influences Firm Performance","type":"article-journal","volume":"35"},"uris":["http://www.mendeley.com/documents/?uuid=157e38de-e8d7-4b38-9513-c26713d24df3"]}],"mendeley":{"formattedCitation":"(Mithas et al., 2011)","plainTextFormattedCitation":"(Mithas et al., 2011)","previouslyFormattedCitation":"(Mithas et al., 2011)"},"properties":{"noteIndex":0},"schema":"https://github.com/citation-style-language/schema/raw/master/csl-citation.json"}</w:instrText>
      </w:r>
      <w:r w:rsidR="00263B70" w:rsidRPr="001365B0">
        <w:fldChar w:fldCharType="separate"/>
      </w:r>
      <w:r w:rsidR="00036BBA" w:rsidRPr="00036BBA">
        <w:rPr>
          <w:noProof/>
        </w:rPr>
        <w:t>(Mithas et al., 2011)</w:t>
      </w:r>
      <w:r w:rsidR="00263B70" w:rsidRPr="001365B0">
        <w:fldChar w:fldCharType="end"/>
      </w:r>
      <w:r w:rsidRPr="001365B0">
        <w:t>. Third, developing innovation capabilities</w:t>
      </w:r>
      <w:r w:rsidR="00263B70" w:rsidRPr="001365B0">
        <w:t xml:space="preserve"> </w:t>
      </w:r>
      <w:r w:rsidR="00263B70" w:rsidRPr="001365B0">
        <w:fldChar w:fldCharType="begin" w:fldLock="1"/>
      </w:r>
      <w:r w:rsidR="00036BBA">
        <w:instrText>ADDIN CSL_CITATION {"citationItems":[{"id":"ITEM-1","itemData":{"abstract":"How do I find innovative people for my organization? And how can I become more innovative myself? These are questions that stump most senior executives, who know that the ability to innovate is the secret sauce of business success. Perhaps for this reason most of us stand in awe of the work of visionary entrepreneurs such as Apple's Steve Jobs, Amazon's Jeff Bezos, eBay's Pierre Omidyar, and P&amp;G's A.G. Lafley. How do these individuals come up with groundbreaking new ideas? In this article, Dyer, of Brigham Young University; Gregersen, of Insead; and Christensen, of Harvard Business School, reveal how innovative entrepreneurs differ from typical executives. Their study demonstrates that five discovery skills distinguish the most creative executives: Associating helps them discover new directions by making connections among seemingly unrelated questions, problems, or ideas. Questioning allows innovators to break out of the status quo and consider new ideas. Through observing, innovators carefully and consistently look out for small behavioral details - in the activities of customers, suppliers, and other companies - to gain insights about new ways of doing things. In experimenting, they relentlessly try on new experiences and explore the world. And through networking with diverse individuals from an array of backgrounds, they gain radically different perspectives.","author":[{"dropping-particle":"","family":"Dyer","given":"Jeffrey H","non-dropping-particle":"","parse-names":false,"suffix":""},{"dropping-particle":"","family":"Gregersen","given":"Hal B","non-dropping-particle":"","parse-names":false,"suffix":""},{"dropping-particle":"","family":"Christensen","given":"Clayton M","non-dropping-particle":"","parse-names":false,"suffix":""}],"container-title":"Harvard Business Review","id":"ITEM-1","issue":"December","issued":{"date-parts":[["2009"]]},"page":"1-9","title":"The Innovator’s DNA","type":"article-journal"},"uris":["http://www.mendeley.com/documents/?uuid=d92b3f59-6525-4759-961b-6999021db87e"]}],"mendeley":{"formattedCitation":"(Dyer et al., 2009)","plainTextFormattedCitation":"(Dyer et al., 2009)","previouslyFormattedCitation":"(Dyer et al., 2009)"},"properties":{"noteIndex":0},"schema":"https://github.com/citation-style-language/schema/raw/master/csl-citation.json"}</w:instrText>
      </w:r>
      <w:r w:rsidR="00263B70" w:rsidRPr="001365B0">
        <w:fldChar w:fldCharType="separate"/>
      </w:r>
      <w:r w:rsidR="00036BBA" w:rsidRPr="00036BBA">
        <w:rPr>
          <w:noProof/>
        </w:rPr>
        <w:t>(Dyer et al., 2009)</w:t>
      </w:r>
      <w:r w:rsidR="00263B70" w:rsidRPr="001365B0">
        <w:fldChar w:fldCharType="end"/>
      </w:r>
      <w:r w:rsidRPr="001365B0">
        <w:t xml:space="preserve"> to provide the conditions necessary for effective digital transformation, including aspects such as information management, governance</w:t>
      </w:r>
      <w:r w:rsidRPr="00E72864">
        <w:rPr>
          <w:rFonts w:ascii="Arial" w:hAnsi="Arial" w:cs="Arial"/>
          <w:sz w:val="20"/>
        </w:rPr>
        <w:t>, dynamic</w:t>
      </w:r>
      <w:r w:rsidRPr="001365B0">
        <w:t xml:space="preserve"> resource allocation etc.</w:t>
      </w:r>
    </w:p>
    <w:p w14:paraId="6DA963AB" w14:textId="1EC09140" w:rsidR="00CF09F8" w:rsidRPr="001365B0" w:rsidRDefault="00CF09F8" w:rsidP="004B4F6B">
      <w:pPr>
        <w:pStyle w:val="List01"/>
      </w:pPr>
      <w:r w:rsidRPr="00E72864">
        <w:rPr>
          <w:u w:val="single"/>
        </w:rPr>
        <w:t>Transformation process</w:t>
      </w:r>
      <w:r w:rsidRPr="001365B0">
        <w:t xml:space="preserve">. In this sub-process, firms combine their assets, </w:t>
      </w:r>
      <w:proofErr w:type="gramStart"/>
      <w:r w:rsidRPr="001365B0">
        <w:t>capabilities</w:t>
      </w:r>
      <w:proofErr w:type="gramEnd"/>
      <w:r w:rsidRPr="001365B0">
        <w:t xml:space="preserve"> and knowledge to produce outcomes of value (of the forms discussed above). This refers to what </w:t>
      </w:r>
      <w:r w:rsidR="00263B70" w:rsidRPr="001365B0">
        <w:fldChar w:fldCharType="begin" w:fldLock="1"/>
      </w:r>
      <w:r w:rsidR="00263B70" w:rsidRPr="001365B0">
        <w:instrText>ADDIN CSL_CITATION {"citationItems":[{"id":"ITEM-1","itemData":{"DOI":"10.1057/ejis.2013.10","ISSN":"0960-085X","abstract":"Business Intelligence (BI) is a topic of growing importance for both industry and academia. Though still viewed from its technology roots, it is slowly broadening to encompass the data infrastructure, applications, tools and best practices related required for the effective capture, representation and delivery of data to inform decision‐making and action. The lines between enterprise and social intelligence are also becoming increasingly blurred, as action from decision‐making is oriented at influencing people’s (future) behaviour. From an industry perspective, BI is consequently seen as a fruitful foundation for innovation, competition and productivity. From an academic perspective, the richness and importance of the area for research is becoming increasingly apparent (Chen et al, 2012; Sharma et al, Forthcoming) .","author":[{"dropping-particle":"","family":"Lycett","given":"Mark","non-dropping-particle":"","parse-names":false,"suffix":""}],"container-title":"European Journal of Information Systems","id":"ITEM-1","issue":"4","issued":{"date-parts":[["2013"]]},"page":"381-386","title":"‘Datafication’: making sense of (big) data in a complex world","type":"article-journal","volume":"22"},"uris":["http://www.mendeley.com/documents/?uuid=75e926d2-b5bd-49f8-bf2f-eef659b235fc"]}],"mendeley":{"formattedCitation":"(Lycett, 2013)","manualFormatting":"Lycett (2013)","plainTextFormattedCitation":"(Lycett, 2013)","previouslyFormattedCitation":"(Lycett, 2013)"},"properties":{"noteIndex":0},"schema":"https://github.com/citation-style-language/schema/raw/master/csl-citation.json"}</w:instrText>
      </w:r>
      <w:r w:rsidR="00263B70" w:rsidRPr="001365B0">
        <w:fldChar w:fldCharType="separate"/>
      </w:r>
      <w:r w:rsidR="00263B70" w:rsidRPr="001365B0">
        <w:rPr>
          <w:noProof/>
        </w:rPr>
        <w:t>Lycett (2013)</w:t>
      </w:r>
      <w:r w:rsidR="00263B70" w:rsidRPr="001365B0">
        <w:fldChar w:fldCharType="end"/>
      </w:r>
      <w:r w:rsidR="00263B70" w:rsidRPr="001365B0">
        <w:t xml:space="preserve"> </w:t>
      </w:r>
      <w:r w:rsidRPr="001365B0">
        <w:t xml:space="preserve">describes as ‘densities’ in the datafication process – the (re)combination of assets, resources and capabilities, mobilised for a particular context of application/use. Potential impacts here are strongly influenced by the innovation capabilities, which may serve as a seedbed for new business models as we discuss in more detail below. </w:t>
      </w:r>
    </w:p>
    <w:p w14:paraId="0D8CD3EF" w14:textId="25D768C1" w:rsidR="00D34F00" w:rsidRDefault="00CF09F8" w:rsidP="00D34F00">
      <w:pPr>
        <w:pStyle w:val="List01"/>
      </w:pPr>
      <w:r w:rsidRPr="00E72864">
        <w:rPr>
          <w:u w:val="single"/>
        </w:rPr>
        <w:t>Completion process</w:t>
      </w:r>
      <w:r w:rsidRPr="001365B0">
        <w:t xml:space="preserve">. This sub-process addresses the earlier point that (big) data value is </w:t>
      </w:r>
      <w:proofErr w:type="gramStart"/>
      <w:r w:rsidRPr="001365B0">
        <w:t>indirect</w:t>
      </w:r>
      <w:proofErr w:type="gramEnd"/>
      <w:r w:rsidRPr="001365B0">
        <w:t xml:space="preserve"> and impacts need to be linked to concrete performance metrics. Firm performance depend</w:t>
      </w:r>
      <w:r w:rsidR="00035292" w:rsidRPr="001365B0">
        <w:t>s</w:t>
      </w:r>
      <w:r w:rsidRPr="001365B0">
        <w:t xml:space="preserve"> on competition, which connects a firm to its wider ecosystem – e.g., the competitors, </w:t>
      </w:r>
      <w:proofErr w:type="gramStart"/>
      <w:r w:rsidRPr="001365B0">
        <w:t>suppliers</w:t>
      </w:r>
      <w:proofErr w:type="gramEnd"/>
      <w:r w:rsidRPr="001365B0">
        <w:t xml:space="preserve"> and customers relevant within its prescribed industry segments. While (big) data impacts might be a necessary condition for firm performance, they are not sufficient as the competition process is subject to </w:t>
      </w:r>
      <w:proofErr w:type="gramStart"/>
      <w:r w:rsidRPr="001365B0">
        <w:t>a number of</w:t>
      </w:r>
      <w:proofErr w:type="gramEnd"/>
      <w:r w:rsidRPr="001365B0">
        <w:t xml:space="preserve"> intervening factors.</w:t>
      </w:r>
    </w:p>
    <w:tbl>
      <w:tblPr>
        <w:tblStyle w:val="TableGrid"/>
        <w:tblW w:w="492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0"/>
      </w:tblGrid>
      <w:tr w:rsidR="00D34F00" w14:paraId="30F44923" w14:textId="77777777" w:rsidTr="005545F3">
        <w:trPr>
          <w:jc w:val="center"/>
        </w:trPr>
        <w:tc>
          <w:tcPr>
            <w:tcW w:w="5000" w:type="pct"/>
            <w:tcMar>
              <w:left w:w="0" w:type="dxa"/>
              <w:right w:w="0" w:type="dxa"/>
            </w:tcMar>
            <w:vAlign w:val="center"/>
          </w:tcPr>
          <w:p w14:paraId="334D20E9" w14:textId="0A3EA90C" w:rsidR="00D34F00" w:rsidRDefault="005545F3" w:rsidP="00D34F00">
            <w:pPr>
              <w:pStyle w:val="Text01"/>
              <w:spacing w:before="0" w:after="0" w:line="240" w:lineRule="auto"/>
              <w:jc w:val="center"/>
            </w:pPr>
            <w:r w:rsidRPr="005545F3">
              <w:rPr>
                <w:noProof/>
              </w:rPr>
              <w:drawing>
                <wp:inline distT="0" distB="0" distL="0" distR="0" wp14:anchorId="20E7D51A" wp14:editId="30F86330">
                  <wp:extent cx="5652000" cy="2109012"/>
                  <wp:effectExtent l="19050" t="19050" r="25400" b="24765"/>
                  <wp:docPr id="6" name="Picture 5">
                    <a:extLst xmlns:a="http://schemas.openxmlformats.org/drawingml/2006/main">
                      <a:ext uri="{FF2B5EF4-FFF2-40B4-BE49-F238E27FC236}">
                        <a16:creationId xmlns:a16="http://schemas.microsoft.com/office/drawing/2014/main" id="{D39A61A1-50F1-4027-B962-7336C5D07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39A61A1-50F1-4027-B962-7336C5D07086}"/>
                              </a:ext>
                            </a:extLst>
                          </pic:cNvPr>
                          <pic:cNvPicPr>
                            <a:picLocks noChangeAspect="1"/>
                          </pic:cNvPicPr>
                        </pic:nvPicPr>
                        <pic:blipFill>
                          <a:blip r:embed="rId12">
                            <a:clrChange>
                              <a:clrFrom>
                                <a:srgbClr val="F5F5F5"/>
                              </a:clrFrom>
                              <a:clrTo>
                                <a:srgbClr val="F5F5F5">
                                  <a:alpha val="0"/>
                                </a:srgbClr>
                              </a:clrTo>
                            </a:clrChange>
                            <a:extLst>
                              <a:ext uri="{BEBA8EAE-BF5A-486C-A8C5-ECC9F3942E4B}">
                                <a14:imgProps xmlns:a14="http://schemas.microsoft.com/office/drawing/2010/main">
                                  <a14:imgLayer r:embed="rId13">
                                    <a14:imgEffect>
                                      <a14:sharpenSoften amount="50000"/>
                                    </a14:imgEffect>
                                    <a14:imgEffect>
                                      <a14:colorTemperature colorTemp="4700"/>
                                    </a14:imgEffect>
                                    <a14:imgEffect>
                                      <a14:saturation sat="0"/>
                                    </a14:imgEffect>
                                  </a14:imgLayer>
                                </a14:imgProps>
                              </a:ext>
                            </a:extLst>
                          </a:blip>
                          <a:stretch>
                            <a:fillRect/>
                          </a:stretch>
                        </pic:blipFill>
                        <pic:spPr>
                          <a:xfrm>
                            <a:off x="0" y="0"/>
                            <a:ext cx="5652000" cy="2109012"/>
                          </a:xfrm>
                          <a:prstGeom prst="rect">
                            <a:avLst/>
                          </a:prstGeom>
                          <a:ln>
                            <a:solidFill>
                              <a:schemeClr val="tx2"/>
                            </a:solidFill>
                          </a:ln>
                        </pic:spPr>
                      </pic:pic>
                    </a:graphicData>
                  </a:graphic>
                </wp:inline>
              </w:drawing>
            </w:r>
          </w:p>
        </w:tc>
      </w:tr>
    </w:tbl>
    <w:p w14:paraId="686544F5" w14:textId="0C9106AE" w:rsidR="00CF09F8" w:rsidRPr="001365B0" w:rsidRDefault="001C5334" w:rsidP="001C5334">
      <w:pPr>
        <w:pStyle w:val="Caption"/>
        <w:rPr>
          <w:b w:val="0"/>
        </w:rPr>
      </w:pPr>
      <w:bookmarkStart w:id="0" w:name="_Ref6929381"/>
      <w:r w:rsidRPr="001365B0">
        <w:t xml:space="preserve">Figure </w:t>
      </w:r>
      <w:r w:rsidR="00AA525D">
        <w:fldChar w:fldCharType="begin"/>
      </w:r>
      <w:r w:rsidR="00AA525D">
        <w:instrText xml:space="preserve"> </w:instrText>
      </w:r>
      <w:r w:rsidR="00AA525D">
        <w:instrText xml:space="preserve">SEQ Figure \* ARABIC </w:instrText>
      </w:r>
      <w:r w:rsidR="00AA525D">
        <w:fldChar w:fldCharType="separate"/>
      </w:r>
      <w:r w:rsidR="00BA1A2B">
        <w:rPr>
          <w:noProof/>
        </w:rPr>
        <w:t>1</w:t>
      </w:r>
      <w:r w:rsidR="00AA525D">
        <w:rPr>
          <w:noProof/>
        </w:rPr>
        <w:fldChar w:fldCharType="end"/>
      </w:r>
      <w:bookmarkEnd w:id="0"/>
      <w:r w:rsidRPr="001365B0">
        <w:t xml:space="preserve">:  </w:t>
      </w:r>
      <w:r w:rsidR="00263B70" w:rsidRPr="001365B0">
        <w:rPr>
          <w:b w:val="0"/>
        </w:rPr>
        <w:t>Value creation with big data (adapted</w:t>
      </w:r>
      <w:r w:rsidR="00CF09F8" w:rsidRPr="001365B0">
        <w:rPr>
          <w:b w:val="0"/>
        </w:rPr>
        <w:t xml:space="preserve"> from</w:t>
      </w:r>
      <w:r w:rsidR="00263B70" w:rsidRPr="001365B0">
        <w:rPr>
          <w:b w:val="0"/>
        </w:rPr>
        <w:t xml:space="preserve"> </w:t>
      </w:r>
      <w:r w:rsidR="00263B70" w:rsidRPr="001365B0">
        <w:rPr>
          <w:b w:val="0"/>
        </w:rPr>
        <w:fldChar w:fldCharType="begin" w:fldLock="1"/>
      </w:r>
      <w:r w:rsidR="00101760">
        <w:rPr>
          <w:b w:val="0"/>
        </w:rPr>
        <w:instrText>ADDIN CSL_CITATION {"citationItems":[{"id":"ITEM-1","itemData":{"DOI":"http://dx.doi.org/10.1108/MRR-09-2015-0216","ISBN":"0001253111116","ISSN":"0264-0473","PMID":"42012058","abstract":"Porras, Jari","author":[{"dropping-particle":"","family":"Ylijoki","given":"Ossi","non-dropping-particle":"","parse-names":false,"suffix":""}],"container-title":"Business Process Management Journal","id":"ITEM-1","issue":"1","issued":{"date-parts":[["2018"]]},"page":"69–91","title":"A recipe for big data value creation","type":"article-journal","volume":"4"},"uris":["http://www.mendeley.com/documents/?uuid=74e53122-fbd1-48db-9e12-3a5025b54d41"]}],"mendeley":{"formattedCitation":"(Ylijoki, 2018)","manualFormatting":"Ylijoki &amp; Porras (2018)","plainTextFormattedCitation":"(Ylijoki, 2018)","previouslyFormattedCitation":"(Ylijoki, 2018)"},"properties":{"noteIndex":0},"schema":"https://github.com/citation-style-language/schema/raw/master/csl-citation.json"}</w:instrText>
      </w:r>
      <w:r w:rsidR="00263B70" w:rsidRPr="001365B0">
        <w:rPr>
          <w:b w:val="0"/>
        </w:rPr>
        <w:fldChar w:fldCharType="separate"/>
      </w:r>
      <w:r w:rsidR="00263B70" w:rsidRPr="001365B0">
        <w:rPr>
          <w:b w:val="0"/>
          <w:noProof/>
        </w:rPr>
        <w:t>Ylijoki &amp; Porras (2018)</w:t>
      </w:r>
      <w:r w:rsidR="00263B70" w:rsidRPr="001365B0">
        <w:rPr>
          <w:b w:val="0"/>
        </w:rPr>
        <w:fldChar w:fldCharType="end"/>
      </w:r>
    </w:p>
    <w:p w14:paraId="504D2CBB" w14:textId="5E84A72F" w:rsidR="00CF09F8" w:rsidRPr="001365B0" w:rsidRDefault="00CF09F8" w:rsidP="004B4F6B">
      <w:pPr>
        <w:pStyle w:val="Text01"/>
      </w:pPr>
      <w:r w:rsidRPr="001365B0">
        <w:t>The transformation sub-process highlights the importance of big data in the creation of new business models</w:t>
      </w:r>
      <w:r w:rsidR="00792F6C" w:rsidRPr="001365B0">
        <w:t xml:space="preserve"> </w:t>
      </w:r>
      <w:r w:rsidR="00792F6C" w:rsidRPr="001365B0">
        <w:fldChar w:fldCharType="begin" w:fldLock="1"/>
      </w:r>
      <w:r w:rsidR="00036BBA">
        <w:instrText>ADDIN CSL_CITATION {"citationItems":[{"id":"ITEM-1","itemData":{"author":[{"dropping-particle":"","family":"Davenport","given":"Thomas H.","non-dropping-particle":"","parse-names":false,"suffix":""},{"dropping-particle":"","family":"Barth","given":"Paul Froning Patrick","non-dropping-particle":"","parse-names":false,"suffix":""},{"dropping-particle":"","family":"Bean","given":"Randy","non-dropping-particle":"","parse-names":false,"suffix":""}],"container-title":"MIT Sloan Management Review","id":"ITEM-1","issue":"1","issued":{"date-parts":[["2012"]]},"page":"43-46","title":"How ‘Big Data’ is Different","type":"article-journal","volume":"54"},"uris":["http://www.mendeley.com/documents/?uuid=d2b1e241-cc1f-4837-86f1-1264e6f9a636"]},{"id":"ITEM-2","itemData":{"abstract":"The content industry has been undergoing a tremendous transformation in the last two decades. We focus in this paper on recent changes in the form of social computing. Although the content industry has implemented social computing to a large extent, it has done so from a techno-centric approach in which social features are viewed as complementary rather than integral to content. This approach does not capitalize on users’ social behavior in the website and does not answer the content industry’s need to elicit payment from consumers. We suggest that both of these objectives can be achieved by acknowledging the fusion between content and community, making the social experience central to the content website’s digital business strategy.","author":[{"dropping-particle":"","family":"Oestreicher-Singer","given":"Gal","non-dropping-particle":"","parse-names":false,"suffix":""},{"dropping-particle":"","family":"Zalmanson","given":"Lior","non-dropping-particle":"","parse-names":false,"suffix":""}],"container-title":"Management Information Systems Quarterly","id":"ITEM-2","issue":"2","issued":{"date-parts":[["2013"]]},"page":"591-616","title":"Content or Community? A Digital Business Strategy for Content","type":"article-journal","volume":"37"},"uris":["http://www.mendeley.com/documents/?uuid=56ed8943-653f-4961-af1d-b7638bcaefcc"]}],"mendeley":{"formattedCitation":"(T. H. Davenport et al., 2012; Oestreicher-Singer &amp; Zalmanson, 2013)","manualFormatting":"(e.g., Davenport, Barth, &amp; Bean, 2012; Oestreicher-Singer &amp; Zalmanson, 2013)","plainTextFormattedCitation":"(T. H. Davenport et al., 2012; Oestreicher-Singer &amp; Zalmanson, 2013)","previouslyFormattedCitation":"(T. H. Davenport et al., 2012; Oestreicher-Singer &amp; Zalmanson, 2013)"},"properties":{"noteIndex":0},"schema":"https://github.com/citation-style-language/schema/raw/master/csl-citation.json"}</w:instrText>
      </w:r>
      <w:r w:rsidR="00792F6C" w:rsidRPr="001365B0">
        <w:fldChar w:fldCharType="separate"/>
      </w:r>
      <w:r w:rsidR="00792F6C" w:rsidRPr="001365B0">
        <w:rPr>
          <w:noProof/>
        </w:rPr>
        <w:t xml:space="preserve">(e.g., Davenport, Barth, &amp; Bean, 2012; Oestreicher-Singer &amp; Zalmanson, </w:t>
      </w:r>
      <w:r w:rsidR="00792F6C" w:rsidRPr="001365B0">
        <w:rPr>
          <w:noProof/>
        </w:rPr>
        <w:lastRenderedPageBreak/>
        <w:t>2013)</w:t>
      </w:r>
      <w:r w:rsidR="00792F6C" w:rsidRPr="001365B0">
        <w:fldChar w:fldCharType="end"/>
      </w:r>
      <w:r w:rsidRPr="001365B0">
        <w:t>. In its idealised form, big data sees organisations feeding from ecosystems of digital data</w:t>
      </w:r>
      <w:r w:rsidR="00792F6C" w:rsidRPr="001365B0">
        <w:t xml:space="preserve"> </w:t>
      </w:r>
      <w:r w:rsidR="00792F6C" w:rsidRPr="001365B0">
        <w:fldChar w:fldCharType="begin" w:fldLock="1"/>
      </w:r>
      <w:r w:rsidR="00510739">
        <w:instrText>ADDIN CSL_CITATION {"citationItems":[{"id":"ITEM-1","itemData":{"DOI":"10.1057/jit.2014.17","ISSN":"14664437","abstract":"Big data and the mechanisms by which it is produced and disseminated introduce important changes in the ways information is generated and made relevant for organizations. Big data often represents miscellaneous records of the whereabouts of large and shifting online crowds. It is frequently agnostic, in the sense of being produced for generic purposes or purposes different from those sought by big data crunching. It is based on varying formats and modes of communication (e.g., texts, image and sound), raising severe problems of semiotic translation and meaning compatibility. Crucially, the usefulness of big data rests on their steady updatability, a condition that reduces the time span within which this data is useful or relevant. Jointly, these attributes challenge established rules of strategy making as these are manifested in the canons of procuring structured information of lasting value that addresses specific and long-term organizational objectives. The developments underlying big data thus seem to carry important implications for strategy making, and the data and information practices with which strategy has been associated. We conclude by placing the understanding of these changes within the wider social and institutional context of longstanding data practices and the significance they carry for management and organizations.","author":[{"dropping-particle":"","family":"Constantiou","given":"Ioanna D.","non-dropping-particle":"","parse-names":false,"suffix":""},{"dropping-particle":"","family":"Kallinikos","given":"Jannis","non-dropping-particle":"","parse-names":false,"suffix":""}],"container-title":"Journal of Information Technology","id":"ITEM-1","issue":"1","issued":{"date-parts":[["2015"]]},"page":"44-57","title":"New games, new rules: Big data and the changing context of strategy","type":"article-journal","volume":"30"},"uris":["http://www.mendeley.com/documents/?uuid=cbb9dabb-140f-4fd2-ac5b-9b4eaee122d2"]},{"id":"ITEM-2","itemData":{"ISBN":"9781848725812","author":[{"dropping-particle":"","family":"Davenport","given":"Thomas","non-dropping-particle":"","parse-names":false,"suffix":""}],"id":"ITEM-2","issued":{"date-parts":[["2014"]]},"publisher":"Harvard Business Review Press","publisher-place":"Boston, MA","title":"Big Data at Work: Dispelling the Myths, Uncovering the Opportunities","type":"book"},"uris":["http://www.mendeley.com/documents/?uuid=0e78f20c-caa0-4088-a49e-9b7d51d250b0"]}],"mendeley":{"formattedCitation":"(Constantiou &amp; Kallinikos, 2015; T. Davenport, 2014)","manualFormatting":"(e.g., Constantiou &amp; Kallinikos, 2015; Davenport, 2014)","plainTextFormattedCitation":"(Constantiou &amp; Kallinikos, 2015; T. Davenport, 2014)","previouslyFormattedCitation":"(Constantiou &amp; Kallinikos, 2015; T. Davenport, 2014)"},"properties":{"noteIndex":0},"schema":"https://github.com/citation-style-language/schema/raw/master/csl-citation.json"}</w:instrText>
      </w:r>
      <w:r w:rsidR="00792F6C" w:rsidRPr="001365B0">
        <w:fldChar w:fldCharType="separate"/>
      </w:r>
      <w:r w:rsidR="00792F6C" w:rsidRPr="001365B0">
        <w:rPr>
          <w:noProof/>
        </w:rPr>
        <w:t>(e.g., Constantiou &amp; Kallinikos, 2015; Davenport, 2014)</w:t>
      </w:r>
      <w:r w:rsidR="00792F6C" w:rsidRPr="001365B0">
        <w:fldChar w:fldCharType="end"/>
      </w:r>
      <w:r w:rsidRPr="001365B0">
        <w:t>. Business models are fundamental as, crudely, they determine how an organisation creates and captures value</w:t>
      </w:r>
      <w:r w:rsidR="00792F6C" w:rsidRPr="001365B0">
        <w:t xml:space="preserve"> </w:t>
      </w:r>
      <w:r w:rsidR="00792F6C" w:rsidRPr="001365B0">
        <w:fldChar w:fldCharType="begin" w:fldLock="1"/>
      </w:r>
      <w:r w:rsidR="00792F6C" w:rsidRPr="001365B0">
        <w:instrText>ADDIN CSL_CITATION {"citationItems":[{"id":"ITEM-1","itemData":{"DOI":"10.1016/j.lrp.2009.07.010","ISSN":"00246301","abstract":"Companies commercialize new ideas and technologies through their business models. While companies may have extensive investments and processes for exploring new ideas and technologies, they often have little if any ability to innovate the business models through which these inputs will pass. This matters - the same idea or technology taken to market through two different business models will yield two different economic outcomes. So it makes good business sense for companies to develop the capability to innovate their business models. This paper explores the barriers to business model innovation, which previous academic research has identified as including conflicts with existing assets and business models, as well as cognition in understanding these barriers. Processes of experimentation and effectuation, and the successful leadership of organizational change must be brought to bear in order to overcome these barriers. Some examples of business model innovation are provided to underline its importance, in hopes of inspiring managers and academics to take these challenges on. © 2009 Elsevier Ltd.","author":[{"dropping-particle":"","family":"Chesbrough","given":"Henry","non-dropping-particle":"","parse-names":false,"suffix":""}],"container-title":"Long Range Planning","id":"ITEM-1","issue":"2-3","issued":{"date-parts":[["2010"]]},"page":"354-363","publisher":"Elsevier Ltd","title":"Business model innovation: Opportunities and barriers","type":"article-journal","volume":"43"},"uris":["http://www.mendeley.com/documents/?uuid=21e217e1-78cc-450b-938a-5fd0dadaf7c4"]}],"mendeley":{"formattedCitation":"(Chesbrough, 2010)","plainTextFormattedCitation":"(Chesbrough, 2010)","previouslyFormattedCitation":"(Chesbrough, 2010)"},"properties":{"noteIndex":0},"schema":"https://github.com/citation-style-language/schema/raw/master/csl-citation.json"}</w:instrText>
      </w:r>
      <w:r w:rsidR="00792F6C" w:rsidRPr="001365B0">
        <w:fldChar w:fldCharType="separate"/>
      </w:r>
      <w:r w:rsidR="00792F6C" w:rsidRPr="001365B0">
        <w:rPr>
          <w:noProof/>
        </w:rPr>
        <w:t>(Chesbrough, 2010)</w:t>
      </w:r>
      <w:r w:rsidR="00792F6C" w:rsidRPr="001365B0">
        <w:fldChar w:fldCharType="end"/>
      </w:r>
      <w:r w:rsidRPr="001365B0">
        <w:t xml:space="preserve"> and are seen as a boundary-spanning unit-of-analysis</w:t>
      </w:r>
      <w:r w:rsidR="00792F6C" w:rsidRPr="001365B0">
        <w:t xml:space="preserve"> </w:t>
      </w:r>
      <w:r w:rsidR="00792F6C" w:rsidRPr="001365B0">
        <w:fldChar w:fldCharType="begin" w:fldLock="1"/>
      </w:r>
      <w:r w:rsidR="00C906C9" w:rsidRPr="001365B0">
        <w:instrText>ADDIN CSL_CITATION {"citationItems":[{"id":"ITEM-1","itemData":{"DOI":"10.1016/j.lrp.2009.07.004","ISSN":"00246301","abstract":"Building on existing literature, we conceptualize a firm's business model as a system of interdependent activities that transcends the focal firm and spans its boundaries. The activity system enables the firm, in concert with its partners, to create value and also to appropriate a share of that value. Anchored on theoretical and empirical research, we suggest two sets of parameters that activity systems designers need to consider: design elements - content, structure and governance - that describe the architecture of an activity system; and design themes - novelty, lock-in, complementarities and efficiency - that describe the sources of the activity system's value creation. © 2009 Elsevier Ltd.","author":[{"dropping-particle":"","family":"Zott","given":"Christoph","non-dropping-particle":"","parse-names":false,"suffix":""},{"dropping-particle":"","family":"Amit","given":"Raphael","non-dropping-particle":"","parse-names":false,"suffix":""}],"container-title":"Long Range Planning","id":"ITEM-1","issue":"2-3","issued":{"date-parts":[["2010"]]},"page":"216-226","publisher":"Elsevier Ltd","title":"Business model design: An activity system perspective","type":"article-journal","volume":"43"},"uris":["http://www.mendeley.com/documents/?uuid=91a4ab03-456d-4286-87cb-75b25854689c"]}],"mendeley":{"formattedCitation":"(Zott &amp; Amit, 2010)","plainTextFormattedCitation":"(Zott &amp; Amit, 2010)","previouslyFormattedCitation":"(Zott &amp; Amit, 2010)"},"properties":{"noteIndex":0},"schema":"https://github.com/citation-style-language/schema/raw/master/csl-citation.json"}</w:instrText>
      </w:r>
      <w:r w:rsidR="00792F6C" w:rsidRPr="001365B0">
        <w:fldChar w:fldCharType="separate"/>
      </w:r>
      <w:r w:rsidR="00921493" w:rsidRPr="001365B0">
        <w:rPr>
          <w:noProof/>
        </w:rPr>
        <w:t>(Zott &amp; Amit, 2010)</w:t>
      </w:r>
      <w:r w:rsidR="00792F6C" w:rsidRPr="001365B0">
        <w:fldChar w:fldCharType="end"/>
      </w:r>
      <w:r w:rsidRPr="001365B0">
        <w:t xml:space="preserve"> – describing the system of interdependent activities that are performed by a focal firm and its partners alongside the mechanisms that link such activities together. </w:t>
      </w:r>
    </w:p>
    <w:p w14:paraId="3BB9F0AE" w14:textId="1A5CDBC1" w:rsidR="00CF09F8" w:rsidRPr="001365B0" w:rsidRDefault="00CF09F8" w:rsidP="004B4F6B">
      <w:pPr>
        <w:pStyle w:val="Text01"/>
      </w:pPr>
      <w:r w:rsidRPr="001365B0">
        <w:t xml:space="preserve">In this context, </w:t>
      </w:r>
      <w:proofErr w:type="spellStart"/>
      <w:r w:rsidRPr="001365B0">
        <w:t>Huberty</w:t>
      </w:r>
      <w:proofErr w:type="spellEnd"/>
      <w:r w:rsidR="00230B07">
        <w:t xml:space="preserve"> </w:t>
      </w:r>
      <w:r w:rsidR="00230B07">
        <w:fldChar w:fldCharType="begin" w:fldLock="1"/>
      </w:r>
      <w:r w:rsidR="00577C3B">
        <w:instrText>ADDIN CSL_CITATION {"citationItems":[{"id":"ITEM-1","itemData":{"DOI":"10.1007/s10842-014-0190-4","ISSN":"15737012","abstract":"'Big data'-the collection of vast quantities of data about individual behavior via online, mobile, and other data-driven services-has been heralded as the agent of a third industrial revolution-one with raw materials measured in bits, rather than tons of steel or barrels of oil. Yet the industrial revolution transformed not just how firms made things, but the fundamental approach to value creation in industrial economies. To date, big data has not achieved this distinction. Instead, today's successful big data business models largely use data to scale old modes of value creation, rather than invent new ones altogether. Moreover, today's big data cannot deliver the promised revolution. In this way, today's big data landscape resembles the early phases of the first industrial revolution, rather than the culmination of the second a century later. Realizing the second big data revolution will require fundamentally different kinds of data, different innovations, and different business models than those seen to date. That fact has profound consequences for the kinds of investments and innovations firms must seek, and the economic, political, and social consequences that those innovations portend. [ABSTRACT FROM AUTHOR]","author":[{"dropping-particle":"","family":"Huberty","given":"Mark","non-dropping-particle":"","parse-names":false,"suffix":""}],"container-title":"Journal of Industry, Competition and Trade","id":"ITEM-1","issue":"1","issued":{"date-parts":[["2015"]]},"page":"35-47","title":"Awaiting the Second Big Data Revolution: From Digital Noise to Value Creation","type":"article-journal","volume":"15"},"uris":["http://www.mendeley.com/documents/?uuid=fa390f69-8db0-4b6d-96b8-d2a20044ba16"]}],"mendeley":{"formattedCitation":"(Huberty, 2015)","manualFormatting":"(2015)","plainTextFormattedCitation":"(Huberty, 2015)","previouslyFormattedCitation":"(Huberty, 2015)"},"properties":{"noteIndex":0},"schema":"https://github.com/citation-style-language/schema/raw/master/csl-citation.json"}</w:instrText>
      </w:r>
      <w:r w:rsidR="00230B07">
        <w:fldChar w:fldCharType="separate"/>
      </w:r>
      <w:r w:rsidR="00230B07">
        <w:rPr>
          <w:noProof/>
        </w:rPr>
        <w:t>(</w:t>
      </w:r>
      <w:r w:rsidR="00230B07" w:rsidRPr="00230B07">
        <w:rPr>
          <w:noProof/>
        </w:rPr>
        <w:t>2015)</w:t>
      </w:r>
      <w:r w:rsidR="00230B07">
        <w:fldChar w:fldCharType="end"/>
      </w:r>
      <w:r w:rsidRPr="001365B0">
        <w:t xml:space="preserve"> makes an important observation re the process of refining data into business value. The core of his argument is that the successful business models that have been built on big data (e.g., Google, Amazon, Facebook etc.) are successful because: (a) They are self-referential – they use data about how people search, shop etc. to create or improve the focal firm</w:t>
      </w:r>
      <w:r w:rsidR="00D54361">
        <w:t>’</w:t>
      </w:r>
      <w:r w:rsidRPr="001365B0">
        <w:t xml:space="preserve">s services related to searching and shopping etc.; and (b) the consequences of failure are fairly low because, importantly, they can be internally managed by the focal firm concerned. </w:t>
      </w:r>
      <w:proofErr w:type="gramStart"/>
      <w:r w:rsidRPr="001365B0">
        <w:t>In reality, therefore</w:t>
      </w:r>
      <w:proofErr w:type="gramEnd"/>
      <w:r w:rsidRPr="001365B0">
        <w:t>, big data appears more as an evolution than revolution – improving on the existing business models of a focal firm via description, prediction and inference rather than creating radically new business models. The point made (</w:t>
      </w:r>
      <w:r w:rsidRPr="00577C3B">
        <w:t>ibid</w:t>
      </w:r>
      <w:r w:rsidRPr="001365B0">
        <w:t xml:space="preserve">) is that this happens because “having promised a first-order world, big data has delivered a third-order reality” (p.42). Value is not created from the direct exchange between producer and consumer but, rather, via a web of transactions that are removed from the creation of the data itself by several orders. His conclusion is that the raw materials required for big data engineering solutions need to originate from a first-order approach to studying and understanding the world. </w:t>
      </w:r>
    </w:p>
    <w:p w14:paraId="67530884" w14:textId="2A1AB231" w:rsidR="00CF09F8" w:rsidRPr="00616EA4" w:rsidRDefault="00CF09F8" w:rsidP="005545F3">
      <w:pPr>
        <w:pStyle w:val="Text01"/>
        <w:rPr>
          <w:color w:val="000000"/>
          <w:shd w:val="clear" w:color="auto" w:fill="FFFFFF"/>
        </w:rPr>
      </w:pPr>
      <w:r w:rsidRPr="001365B0">
        <w:t>This is an important point, as it illustrates that some distance remains between the vision of big data and the current reality – it does not transcend borders quite in the manner that capital and labour currently do and is not as reusable as ‘new oil’ metaphors might suggest.</w:t>
      </w:r>
      <w:r w:rsidR="009C4431">
        <w:t xml:space="preserve"> </w:t>
      </w:r>
      <w:r w:rsidR="002D1ED6">
        <w:fldChar w:fldCharType="begin" w:fldLock="1"/>
      </w:r>
      <w:r w:rsidR="00D12908">
        <w:instrText>ADDIN CSL_CITATION {"citationItems":[{"id":"ITEM-1","itemData":{"DOI":"10.1080/1369118X.2012.678878","ISSN":"1369-118X","abstract":"Exploiting vast new fl ows of information can radically improve your company’s performance. But fi rst you’ll have to change your decision-making culture.","author":[{"dropping-particle":"","family":"Boyd","given":"Danah","non-dropping-particle":"","parse-names":false,"suffix":""},{"dropping-particle":"","family":"Crawford","given":"Kate","non-dropping-particle":"","parse-names":false,"suffix":""}],"container-title":"Information, Communication &amp; Society","id":"ITEM-1","issue":"5","issued":{"date-parts":[["2012"]]},"page":"662-679","title":"Critical Questions for Big Data","type":"article-magazine","volume":"15"},"uris":["http://www.mendeley.com/documents/?uuid=b4f992dc-895f-477b-89ce-8076216e8103"]}],"mendeley":{"formattedCitation":"(Boyd &amp; Crawford, 2012a)","manualFormatting":"Boyd &amp; Crawford (2012)","plainTextFormattedCitation":"(Boyd &amp; Crawford, 2012a)","previouslyFormattedCitation":"(Boyd &amp; Crawford, 2012a)"},"properties":{"noteIndex":0},"schema":"https://github.com/citation-style-language/schema/raw/master/csl-citation.json"}</w:instrText>
      </w:r>
      <w:r w:rsidR="002D1ED6">
        <w:fldChar w:fldCharType="separate"/>
      </w:r>
      <w:r w:rsidR="002D1ED6">
        <w:rPr>
          <w:noProof/>
        </w:rPr>
        <w:t>Boyd &amp; Crawford</w:t>
      </w:r>
      <w:r w:rsidR="002D1ED6" w:rsidRPr="002D1ED6">
        <w:rPr>
          <w:noProof/>
        </w:rPr>
        <w:t xml:space="preserve"> </w:t>
      </w:r>
      <w:r w:rsidR="002D1ED6">
        <w:rPr>
          <w:noProof/>
        </w:rPr>
        <w:t>(</w:t>
      </w:r>
      <w:r w:rsidR="002D1ED6" w:rsidRPr="002D1ED6">
        <w:rPr>
          <w:noProof/>
        </w:rPr>
        <w:t>2012)</w:t>
      </w:r>
      <w:r w:rsidR="002D1ED6">
        <w:fldChar w:fldCharType="end"/>
      </w:r>
      <w:r w:rsidR="002D1ED6">
        <w:t xml:space="preserve"> </w:t>
      </w:r>
      <w:r w:rsidRPr="001365B0">
        <w:rPr>
          <w:color w:val="000000"/>
          <w:shd w:val="clear" w:color="auto" w:fill="FFFFFF"/>
        </w:rPr>
        <w:t>argue that big data is not of note because of its size but, rather, because of its relationality – its value comes from the patterns that can be derived from combining different pieces of data. </w:t>
      </w:r>
      <w:r w:rsidR="00616EA4">
        <w:rPr>
          <w:color w:val="000000"/>
          <w:shd w:val="clear" w:color="auto" w:fill="FFFFFF"/>
        </w:rPr>
        <w:t xml:space="preserve">Indeed, </w:t>
      </w:r>
      <w:r w:rsidR="00616EA4" w:rsidRPr="00616EA4">
        <w:rPr>
          <w:color w:val="000000"/>
          <w:shd w:val="clear" w:color="auto" w:fill="FFFFFF"/>
        </w:rPr>
        <w:t>the value of big data for innovation increases</w:t>
      </w:r>
      <w:r w:rsidR="00616EA4">
        <w:rPr>
          <w:color w:val="000000"/>
          <w:shd w:val="clear" w:color="auto" w:fill="FFFFFF"/>
        </w:rPr>
        <w:t xml:space="preserve"> </w:t>
      </w:r>
      <w:r w:rsidR="00616EA4" w:rsidRPr="00616EA4">
        <w:rPr>
          <w:color w:val="000000"/>
          <w:shd w:val="clear" w:color="auto" w:fill="FFFFFF"/>
        </w:rPr>
        <w:t>when datasets are combined across organizations and sectors</w:t>
      </w:r>
      <w:r w:rsidR="00616EA4">
        <w:rPr>
          <w:color w:val="000000"/>
          <w:shd w:val="clear" w:color="auto" w:fill="FFFFFF"/>
        </w:rPr>
        <w:t xml:space="preserve"> </w:t>
      </w:r>
      <w:r w:rsidR="0030723E">
        <w:rPr>
          <w:color w:val="000000"/>
          <w:shd w:val="clear" w:color="auto" w:fill="FFFFFF"/>
        </w:rPr>
        <w:fldChar w:fldCharType="begin" w:fldLock="1"/>
      </w:r>
      <w:r w:rsidR="0030723E">
        <w:rPr>
          <w:color w:val="000000"/>
          <w:shd w:val="clear" w:color="auto" w:fill="FFFFFF"/>
        </w:rPr>
        <w:instrText>ADDIN CSL_CITATION {"citationItems":[{"id":"ITEM-1","itemData":{"DOI":"10.1016/j.techfore.2017.09.040","author":[{"dropping-particle":"","family":"Broek","given":"T","non-dropping-particle":"van den","parse-names":false,"suffix":""},{"dropping-particle":"","family":"Veenstra","given":"A F","non-dropping-particle":"van","parse-names":false,"suffix":""}],"container-title":"Technological Forecasting and Social Change","id":"ITEM-1","issued":{"date-parts":[["2018"]]},"note":"Cited By :2\n\nExport Date: 17 May 2019","page":"330-338","title":"Governance of big data collaborations: How to balance regulatory compliance and disruptive innovation","type":"article-journal","volume":"129"},"uris":["http://www.mendeley.com/documents/?uuid=3d510fa9-1439-4297-af6f-a5a4eb718454"]}],"mendeley":{"formattedCitation":"(van den Broek &amp; van Veenstra, 2018)","plainTextFormattedCitation":"(van den Broek &amp; van Veenstra, 2018)","previouslyFormattedCitation":"(van den Broek &amp; van Veenstra, 2018)"},"properties":{"noteIndex":0},"schema":"https://github.com/citation-style-language/schema/raw/master/csl-citation.json"}</w:instrText>
      </w:r>
      <w:r w:rsidR="0030723E">
        <w:rPr>
          <w:color w:val="000000"/>
          <w:shd w:val="clear" w:color="auto" w:fill="FFFFFF"/>
        </w:rPr>
        <w:fldChar w:fldCharType="separate"/>
      </w:r>
      <w:r w:rsidR="0030723E" w:rsidRPr="0030723E">
        <w:rPr>
          <w:noProof/>
          <w:color w:val="000000"/>
          <w:shd w:val="clear" w:color="auto" w:fill="FFFFFF"/>
        </w:rPr>
        <w:t>(van den Broek &amp; van Veenstra, 2018)</w:t>
      </w:r>
      <w:r w:rsidR="0030723E">
        <w:rPr>
          <w:color w:val="000000"/>
          <w:shd w:val="clear" w:color="auto" w:fill="FFFFFF"/>
        </w:rPr>
        <w:fldChar w:fldCharType="end"/>
      </w:r>
      <w:r w:rsidR="00616EA4">
        <w:rPr>
          <w:color w:val="000000"/>
          <w:shd w:val="clear" w:color="auto" w:fill="FFFFFF"/>
        </w:rPr>
        <w:t xml:space="preserve">. </w:t>
      </w:r>
      <w:proofErr w:type="spellStart"/>
      <w:r w:rsidRPr="001365B0">
        <w:t>Huberty’s</w:t>
      </w:r>
      <w:proofErr w:type="spellEnd"/>
      <w:r w:rsidRPr="001365B0">
        <w:t xml:space="preserve"> points arguably </w:t>
      </w:r>
      <w:r w:rsidR="003B32B0" w:rsidRPr="001365B0">
        <w:t>indicate</w:t>
      </w:r>
      <w:r w:rsidRPr="001365B0">
        <w:t xml:space="preserve"> foundational difficulties in this </w:t>
      </w:r>
      <w:proofErr w:type="gramStart"/>
      <w:r w:rsidRPr="001365B0">
        <w:t>relationality</w:t>
      </w:r>
      <w:proofErr w:type="gramEnd"/>
      <w:r w:rsidRPr="001365B0">
        <w:t xml:space="preserve"> however. In its idealised form, big data is somewhat haphazard in nature, very heterogeneous and, often, trivial, messy and agnostic</w:t>
      </w:r>
      <w:r w:rsidR="00577C3B">
        <w:t xml:space="preserve"> </w:t>
      </w:r>
      <w:r w:rsidR="00577C3B">
        <w:fldChar w:fldCharType="begin" w:fldLock="1"/>
      </w:r>
      <w:r w:rsidR="00B25433">
        <w:instrText>ADDIN CSL_CITATION {"citationItems":[{"id":"ITEM-1","itemData":{"URL":"https://www.wired.com/2008/06/pb-theory/","author":[{"dropping-particle":"","family":"Anderson","given":"Chris","non-dropping-particle":"","parse-names":false,"suffix":""}],"container-title":"Wired Magazine","editor":[{"dropping-particle":"","family":"Anderson","given":"Chris","non-dropping-particle":"","parse-names":false,"suffix":""}],"id":"ITEM-1","issue":"2019-05-07","issued":{"date-parts":[["2008"]]},"publisher":"Wired","publisher-place":"On-line","title":"The End of Theory: The Data Deluge Makes the Scientific Method Obsolete","type":"webpage","volume":"2019"},"uris":["http://www.mendeley.com/documents/?uuid=aa71e191-7808-4335-86af-ff158f21b1a7"]}],"mendeley":{"formattedCitation":"(Anderson, 2008)","plainTextFormattedCitation":"(Anderson, 2008)","previouslyFormattedCitation":"(Anderson, 2008)"},"properties":{"noteIndex":0},"schema":"https://github.com/citation-style-language/schema/raw/master/csl-citation.json"}</w:instrText>
      </w:r>
      <w:r w:rsidR="00577C3B">
        <w:fldChar w:fldCharType="separate"/>
      </w:r>
      <w:r w:rsidR="00577C3B" w:rsidRPr="00577C3B">
        <w:rPr>
          <w:noProof/>
        </w:rPr>
        <w:t>(Anderson, 2008)</w:t>
      </w:r>
      <w:r w:rsidR="00577C3B">
        <w:fldChar w:fldCharType="end"/>
      </w:r>
      <w:r w:rsidR="00577C3B">
        <w:t xml:space="preserve">. </w:t>
      </w:r>
      <w:r w:rsidRPr="001365B0">
        <w:t xml:space="preserve">In the value </w:t>
      </w:r>
      <w:r w:rsidRPr="001365B0">
        <w:lastRenderedPageBreak/>
        <w:t>creation process noted above (and in the asset sub-process in particular), big data can be made business relevant, but this relevance may not derive in a straightforward manner from the original data records – in the majority of circumstances, big data is produced via a very heterogeneous user base and its generation and sharing mechanisms challenge the technical and expertise-based models that have evolved to guide data practices and organisational intelligence to-date</w:t>
      </w:r>
      <w:r w:rsidR="00792F6C" w:rsidRPr="001365B0">
        <w:t xml:space="preserve"> </w:t>
      </w:r>
      <w:r w:rsidR="00792F6C" w:rsidRPr="001365B0">
        <w:fldChar w:fldCharType="begin" w:fldLock="1"/>
      </w:r>
      <w:r w:rsidR="00C906C9" w:rsidRPr="001365B0">
        <w:instrText>ADDIN CSL_CITATION {"citationItems":[{"id":"ITEM-1","itemData":{"DOI":"10.1057/jit.2014.17","ISSN":"14664437","abstract":"Big data and the mechanisms by which it is produced and disseminated introduce important changes in the ways information is generated and made relevant for organizations. Big data often represents miscellaneous records of the whereabouts of large and shifting online crowds. It is frequently agnostic, in the sense of being produced for generic purposes or purposes different from those sought by big data crunching. It is based on varying formats and modes of communication (e.g., texts, image and sound), raising severe problems of semiotic translation and meaning compatibility. Crucially, the usefulness of big data rests on their steady updatability, a condition that reduces the time span within which this data is useful or relevant. Jointly, these attributes challenge established rules of strategy making as these are manifested in the canons of procuring structured information of lasting value that addresses specific and long-term organizational objectives. The developments underlying big data thus seem to carry important implications for strategy making, and the data and information practices with which strategy has been associated. We conclude by placing the understanding of these changes within the wider social and institutional context of longstanding data practices and the significance they carry for management and organizations.","author":[{"dropping-particle":"","family":"Constantiou","given":"Ioanna D.","non-dropping-particle":"","parse-names":false,"suffix":""},{"dropping-particle":"","family":"Kallinikos","given":"Jannis","non-dropping-particle":"","parse-names":false,"suffix":""}],"container-title":"Journal of Information Technology","id":"ITEM-1","issue":"1","issued":{"date-parts":[["2015"]]},"page":"44-57","title":"New games, new rules: Big data and the changing context of strategy","type":"article-journal","volume":"30"},"uris":["http://www.mendeley.com/documents/?uuid=cbb9dabb-140f-4fd2-ac5b-9b4eaee122d2"]}],"mendeley":{"formattedCitation":"(Constantiou &amp; Kallinikos, 2015)","plainTextFormattedCitation":"(Constantiou &amp; Kallinikos, 2015)","previouslyFormattedCitation":"(Constantiou &amp; Kallinikos, 2015)"},"properties":{"noteIndex":0},"schema":"https://github.com/citation-style-language/schema/raw/master/csl-citation.json"}</w:instrText>
      </w:r>
      <w:r w:rsidR="00792F6C" w:rsidRPr="001365B0">
        <w:fldChar w:fldCharType="separate"/>
      </w:r>
      <w:r w:rsidR="00921493" w:rsidRPr="001365B0">
        <w:rPr>
          <w:noProof/>
        </w:rPr>
        <w:t>(Constantiou &amp; Kallinikos, 2015)</w:t>
      </w:r>
      <w:r w:rsidR="00792F6C" w:rsidRPr="001365B0">
        <w:fldChar w:fldCharType="end"/>
      </w:r>
      <w:r w:rsidRPr="001365B0">
        <w:t>.</w:t>
      </w:r>
    </w:p>
    <w:p w14:paraId="777AB0D4" w14:textId="3034C75D" w:rsidR="00CF09F8" w:rsidRPr="001365B0" w:rsidRDefault="00CF09F8" w:rsidP="004B4F6B">
      <w:pPr>
        <w:pStyle w:val="Text01"/>
        <w:rPr>
          <w:shd w:val="clear" w:color="auto" w:fill="FFFFFF"/>
        </w:rPr>
      </w:pPr>
      <w:r w:rsidRPr="001365B0">
        <w:rPr>
          <w:shd w:val="clear" w:color="auto" w:fill="FFFFFF"/>
        </w:rPr>
        <w:t>The literature is waking up to these challenges noting, for example, that the heterogeneity of data and mismatches in granularity among and between internal and external (e.g., online) resources present significant data integration issues for big data projects</w:t>
      </w:r>
      <w:r w:rsidR="00792F6C" w:rsidRPr="001365B0">
        <w:rPr>
          <w:shd w:val="clear" w:color="auto" w:fill="FFFFFF"/>
        </w:rPr>
        <w:t xml:space="preserve"> </w:t>
      </w:r>
      <w:r w:rsidR="00792F6C" w:rsidRPr="001365B0">
        <w:rPr>
          <w:shd w:val="clear" w:color="auto" w:fill="FFFFFF"/>
        </w:rPr>
        <w:fldChar w:fldCharType="begin" w:fldLock="1"/>
      </w:r>
      <w:r w:rsidR="00036BBA">
        <w:rPr>
          <w:shd w:val="clear" w:color="auto" w:fill="FFFFFF"/>
        </w:rPr>
        <w:instrText>ADDIN CSL_CITATION {"citationItems":[{"id":"ITEM-1","itemData":{"DOI":"10.5861/ijrsc.2012.209","ISSN":"2243-772X","abstract":"Big data is a disruptive force that will affect organizations across industries, sectors and economies. Through better analysis of the large volume of data that are becoming available, there is the potential for making faster advances in many scientific domains and improving the profitability of many enterprises. This paper examines the main challenges and issues that will have to be addressed to capture the full potential of big data. Additionally, we propose some initiatives and good practices that will help companies in the transition process for the big data analysis.","author":[{"dropping-particle":"","family":"Almeida","given":"Fernando Luís Ferreira","non-dropping-particle":"","parse-names":false,"suffix":""},{"dropping-particle":"","family":"Calistru","given":"Catalin","non-dropping-particle":"","parse-names":false,"suffix":""}],"container-title":"International Journal of Research Studies in Computing","id":"ITEM-1","issue":"1","issued":{"date-parts":[["2012"]]},"page":"11-20","title":"The main challenges and issues of big data management","type":"article-journal","volume":"2"},"uris":["http://www.mendeley.com/documents/?uuid=c3294e4c-c4d3-48c7-8e2b-7f22e20f7160"]},{"id":"ITEM-2","itemData":{"DOI":"10.1007/978-3-642-39736-3","ISBN":"978-3-642-39735-6","abstract":"Recent activities in attacks on automated teller machines have shown a sophistication that has grown to a degree, where it is not always technically possible to prevent the attack. This paper describes an approach for anomaly and attack detection for ATMs. The approach works on multiple levels. First, we use sensor fusion on the low-level hardware sensors to get robust information about the device state. Second, we use a new model-based and self-learning anomaly detection method on the diagnosis data of all ATM devices to robustly detect anomalies in the system that might indicate an attack on the machine.","author":[{"dropping-particle":"","family":"Elgendy","given":"Nada","non-dropping-particle":"","parse-names":false,"suffix":""},{"dropping-particle":"","family":"Elragal","given":"Ahmed","non-dropping-particle":"","parse-names":false,"suffix":""}],"container-title":"Proceedings of the14th Industrial Conference, ICDM","id":"ITEM-2","issued":{"date-parts":[["2014"]]},"publisher":"Springer International Publishing","publisher-place":"St. Petersburg, Russia","title":"Advances in Data Mining. Applications and Theoretical Aspects","type":"paper-conference","volume":"7987"},"uris":["http://www.mendeley.com/documents/?uuid=9e95db7f-e380-4ea5-8c7e-2090cab01269"]},{"id":"ITEM-3","itemData":{"DOI":"10.1109/CTS.2013.6567202","ISBN":"9781467364041","ISSN":"09739769","abstract":"Big data is a term for massive data sets having large, more varied and complex structure with the difficulties of storing, analyzing and visualizing for further processes or results. The process of research into massive amounts of data to reveal hidden patterns and secret correlations named as big data analytics. These useful informations for companies or organizations with the help of gaining richer and deeper insights and getting an advantage over the competition. For this reason, big data implementations need to be analyzed and executed as accurately as possible. This paper presents an overview of big data's content, scope, samples, methods, advantages and challenges and discusses privacy concern on it. Keywords—big","author":[{"dropping-particle":"","family":"Sagiroglu","given":"Seref","non-dropping-particle":"","parse-names":false,"suffix":""},{"dropping-particle":"","family":"Sinanc","given":"Duygu","non-dropping-particle":"","parse-names":false,"suffix":""}],"container-title":"Proceedings of the International Conference on Collaboration Tech</w:instrText>
      </w:r>
      <w:r w:rsidR="00036BBA">
        <w:rPr>
          <w:rFonts w:ascii="Cambria Math" w:hAnsi="Cambria Math" w:cs="Cambria Math"/>
          <w:shd w:val="clear" w:color="auto" w:fill="FFFFFF"/>
        </w:rPr>
        <w:instrText>‑</w:instrText>
      </w:r>
      <w:r w:rsidR="00036BBA">
        <w:rPr>
          <w:shd w:val="clear" w:color="auto" w:fill="FFFFFF"/>
        </w:rPr>
        <w:instrText>nologies and Systems","id":"ITEM-3","issued":{"date-parts":[["2013"]]},"page":"42</w:instrText>
      </w:r>
      <w:r w:rsidR="00036BBA">
        <w:rPr>
          <w:rFonts w:ascii="Calibri" w:hAnsi="Calibri" w:cs="Calibri"/>
          <w:shd w:val="clear" w:color="auto" w:fill="FFFFFF"/>
        </w:rPr>
        <w:instrText>–</w:instrText>
      </w:r>
      <w:r w:rsidR="00036BBA">
        <w:rPr>
          <w:shd w:val="clear" w:color="auto" w:fill="FFFFFF"/>
        </w:rPr>
        <w:instrText>47","publisher":"IEEE","title":"Big data - A review","type":"paper-conference"},"uris":["http://www.mendeley.com/documents/?uuid=7e586210-06ff-4805-911e-1c71115e51fa"]},{"id":"ITEM-4","itemData":{"DOI":"10.1016/j.jbusres.2016.08.001","ISSN":"01482963","abstract":"Big Data (BD), with their potential to ascertain valued insights for enhanced decision-making process, have recently attracted substantial interest from both academics and practitioners. Big Data Analytics (BDA) is increasingly becoming a trending practice that many organizations are adopting with the purpose of constructing valuable information from BD. The analytics process, including the deployment and use of BDA tools, is seen by organizations as a tool to improve operational efficiency though it has strategic potential, drive new revenue streams and gain competitive advantages over business rivals. However, there are different types of analytic applications to consider. Therefore, prior to hasty use and buying costly BD tools, there is a need for organizations to first understand the BDA landscape. Given the significant nature of the BD and BDA, this paper presents a state-of-the-art review that presents a holistic view of the BD challenges and BDA methods theorized/proposed/employed by organizations to help others understand this landscape with the objective of making robust investment decisions. In doing so, systematically analysing and synthesizing the extant research published on BD and BDA area. More specifically, the authors seek to answer the following two principal questions: Q1 – What are the different types of BD challenges theorized/proposed/confronted by organizations? and Q2 – What are the different types of BDA methods theorized/proposed/employed to overcome BD challenges?. This systematic literature review (SLR) is carried out through observing and understanding the past trends and extant patterns/themes in the BDA research area, evaluating contributions, summarizing knowledge, thereby identifying limitations, implications and potential further research avenues to support the academic community in exploring research themes/patterns. Thus, to trace the implementation of BD strategies, a profiling method is employed to analyze articles (published in English-speaking peer-reviewed journals between 1996 and 2015) extracted from the Scopus database. The analysis presented in this paper has identified relevant BD research studies that have contributed both conceptually and empirically to the expansion and accrual of intellectual wealth to the BDA in technology and organizational resource management discipline.","author":[{"dropping-particle":"","family":"Sivarajah","given":"Uthayasankar","non-dropping-particle":"","parse-names":false,"suffix":""},{"dropping-particle":"","family":"Kamal","given":"Muhammad Mustafa","non-dropping-particle":"","parse-names":false,"suffix":""},{"dropping-particle":"","family":"Irani","given":"Zahir","non-dropping-particle":"","parse-names":false,"suffix":""},{"dropping-particle":"","family":"Weerakkody","given":"Vishanth","non-dropping-particle":"","parse-names":false,"suffix":""}],"container-title":"Journal of Business Research","id":"ITEM-4","issued":{"date-parts":[["2017"]]},"page":"263-286","publisher":"The Authors","title":"Critical analysis of Big Data challenges and analytical methods","type":"article-journal","volume":"70"},"uris":["http://www.mendeley.com/documents/?uuid=9e75b098-cc16-4b46-8346-4ff2ac7e0616"]}],"mendeley":{"formattedCitation":"(Almeida &amp; Calistru, 2012; Elgendy &amp; Elragal, 2014; Sagiroglu &amp; Sinanc, 2013; Sivarajah et al., 2017)","plainTextFormattedCitation":"(Almeida &amp; Calistru, 2012; Elgendy &amp; Elragal, 2014; Sagiroglu &amp; Sinanc, 2013; Sivarajah et al., 2017)","previouslyFormattedCitation":"(Almeida &amp; Calistru, 2012; Elgendy &amp; Elragal, 2014; Sagiroglu &amp; Sinanc, 2013; Sivarajah et al., 2017)"},"properties":{"noteIndex":0},"schema":"https://github.com/citation-style-language/schema/raw/master/csl-citation.json"}</w:instrText>
      </w:r>
      <w:r w:rsidR="00792F6C" w:rsidRPr="001365B0">
        <w:rPr>
          <w:shd w:val="clear" w:color="auto" w:fill="FFFFFF"/>
        </w:rPr>
        <w:fldChar w:fldCharType="separate"/>
      </w:r>
      <w:r w:rsidR="00036BBA" w:rsidRPr="00036BBA">
        <w:rPr>
          <w:noProof/>
          <w:shd w:val="clear" w:color="auto" w:fill="FFFFFF"/>
        </w:rPr>
        <w:t>(Almeida &amp; Calistru, 2012; Elgendy &amp; Elragal, 2014; Sagiroglu &amp; Sinanc, 2013; Sivarajah et al., 2017)</w:t>
      </w:r>
      <w:r w:rsidR="00792F6C" w:rsidRPr="001365B0">
        <w:rPr>
          <w:shd w:val="clear" w:color="auto" w:fill="FFFFFF"/>
        </w:rPr>
        <w:fldChar w:fldCharType="end"/>
      </w:r>
      <w:r w:rsidRPr="001365B0">
        <w:rPr>
          <w:shd w:val="clear" w:color="auto" w:fill="FFFFFF"/>
        </w:rPr>
        <w:t>. As data could be of any format, structured or unstructured, extracting appropriate metadata from the underlying resource is a necessary task</w:t>
      </w:r>
      <w:r w:rsidR="00792F6C" w:rsidRPr="001365B0">
        <w:rPr>
          <w:shd w:val="clear" w:color="auto" w:fill="FFFFFF"/>
        </w:rPr>
        <w:t xml:space="preserve"> </w:t>
      </w:r>
      <w:r w:rsidR="00792F6C" w:rsidRPr="001365B0">
        <w:rPr>
          <w:shd w:val="clear" w:color="auto" w:fill="FFFFFF"/>
        </w:rPr>
        <w:fldChar w:fldCharType="begin" w:fldLock="1"/>
      </w:r>
      <w:r w:rsidR="00921493" w:rsidRPr="001365B0">
        <w:rPr>
          <w:shd w:val="clear" w:color="auto" w:fill="FFFFFF"/>
        </w:rPr>
        <w:instrText>ADDIN CSL_CITATION {"citationItems":[{"id":"ITEM-1","itemData":{"DOI":"10.1016/j.jbusres.2016.08.001","ISSN":"01482963","abstract":"Big Data (BD), with their potential to ascertain valued insights for enhanced decision-making process, have recently attracted substantial interest from both academics and practitioners. Big Data Analytics (BDA) is increasingly becoming a trending practice that many organizations are adopting with the purpose of constructing valuable information from BD. The analytics process, including the deployment and use of BDA tools, is seen by organizations as a tool to improve operational efficiency though it has strategic potential, drive new revenue streams and gain competitive advantages over business rivals. However, there are different types of analytic applications to consider. Therefore, prior to hasty use and buying costly BD tools, there is a need for organizations to first understand the BDA landscape. Given the significant nature of the BD and BDA, this paper presents a state-of-the-art review that presents a holistic view of the BD challenges and BDA methods theorized/proposed/employed by organizations to help others understand this landscape with the objective of making robust investment decisions. In doing so, systematically analysing and synthesizing the extant research published on BD and BDA area. More specifically, the authors seek to answer the following two principal questions: Q1 – What are the different types of BD challenges theorized/proposed/confronted by organizations? and Q2 – What are the different types of BDA methods theorized/proposed/employed to overcome BD challenges?. This systematic literature review (SLR) is carried out through observing and understanding the past trends and extant patterns/themes in the BDA research area, evaluating contributions, summarizing knowledge, thereby identifying limitations, implications and potential further research avenues to support the academic community in exploring research themes/patterns. Thus, to trace the implementation of BD strategies, a profiling method is employed to analyze articles (published in English-speaking peer-reviewed journals between 1996 and 2015) extracted from the Scopus database. The analysis presented in this paper has identified relevant BD research studies that have contributed both conceptually and empirically to the expansion and accrual of intellectual wealth to the BDA in technology and organizational resource management discipline.","author":[{"dropping-particle":"","family":"Sivarajah","given":"Uthayasankar","non-dropping-particle":"","parse-names":false,"suffix":""},{"dropping-particle":"","family":"Kamal","given":"Muhammad Mustafa","non-dropping-particle":"","parse-names":false,"suffix":""},{"dropping-particle":"","family":"Irani","given":"Zahir","non-dropping-particle":"","parse-names":false,"suffix":""},{"dropping-particle":"","family":"Weerakkody","given":"Vishanth","non-dropping-particle":"","parse-names":false,"suffix":""}],"container-title":"Journal of Business Research","id":"ITEM-1","issued":{"date-parts":[["2017"]]},"page":"263-286","publisher":"The Authors","title":"Critical analysis of Big Data challenges and analytical methods","type":"article-journal","volume":"70"},"uris":["http://www.mendeley.com/documents/?uuid=9e75b098-cc16-4b46-8346-4ff2ac7e0616"]}],"mendeley":{"formattedCitation":"(Sivarajah et al., 2017)","plainTextFormattedCitation":"(Sivarajah et al., 2017)","previouslyFormattedCitation":"(Sivarajah et al., 2017)"},"properties":{"noteIndex":0},"schema":"https://github.com/citation-style-language/schema/raw/master/csl-citation.json"}</w:instrText>
      </w:r>
      <w:r w:rsidR="00792F6C" w:rsidRPr="001365B0">
        <w:rPr>
          <w:shd w:val="clear" w:color="auto" w:fill="FFFFFF"/>
        </w:rPr>
        <w:fldChar w:fldCharType="separate"/>
      </w:r>
      <w:r w:rsidR="00921493" w:rsidRPr="001365B0">
        <w:rPr>
          <w:noProof/>
          <w:shd w:val="clear" w:color="auto" w:fill="FFFFFF"/>
        </w:rPr>
        <w:t>(Sivarajah et al., 2017)</w:t>
      </w:r>
      <w:r w:rsidR="00792F6C" w:rsidRPr="001365B0">
        <w:rPr>
          <w:shd w:val="clear" w:color="auto" w:fill="FFFFFF"/>
        </w:rPr>
        <w:fldChar w:fldCharType="end"/>
      </w:r>
      <w:r w:rsidRPr="001365B0">
        <w:rPr>
          <w:shd w:val="clear" w:color="auto" w:fill="FFFFFF"/>
        </w:rPr>
        <w:t xml:space="preserve"> – but heterogeneity poses a considerable challenge related to the automated generation of such metadata</w:t>
      </w:r>
      <w:r w:rsidR="00792F6C" w:rsidRPr="001365B0">
        <w:rPr>
          <w:shd w:val="clear" w:color="auto" w:fill="FFFFFF"/>
        </w:rPr>
        <w:t xml:space="preserve"> </w:t>
      </w:r>
      <w:r w:rsidR="00792F6C" w:rsidRPr="001365B0">
        <w:rPr>
          <w:shd w:val="clear" w:color="auto" w:fill="FFFFFF"/>
        </w:rPr>
        <w:fldChar w:fldCharType="begin" w:fldLock="1"/>
      </w:r>
      <w:r w:rsidR="00921493" w:rsidRPr="001365B0">
        <w:rPr>
          <w:shd w:val="clear" w:color="auto" w:fill="FFFFFF"/>
        </w:rPr>
        <w:instrText>ADDIN CSL_CITATION {"citationItems":[{"id":"ITEM-1","itemData":{"DOI":"10.1145/2611567","ISSN":"00010782","abstract":"The article discusses the inherent technical challenges that are reportedly associated with Big Data as of July 2014, focusing on data-driven mathematical models, the Sloan Digital Sky Survey's impact on the field of astronomy, and information about technological advances such as Next Generation Sequencing (NGS). Moore's law for single-threaded applications is addressed, along with open source work involving systems such as Hadoop. Internet company Google Inc. and social networking services such as Facebook and LinkedIn are examined. INSET: Case Study.","author":[{"dropping-particle":"V.","family":"Jagadish","given":"H.","non-dropping-particle":"","parse-names":false,"suffix":""},{"dropping-particle":"","family":"Gehrke","given":"Johannes","non-dropping-particle":"","parse-names":false,"suffix":""},{"dropping-particle":"","family":"Labrinidis","given":"Alexandros","non-dropping-particle":"","parse-names":false,"suffix":""},{"dropping-particle":"","family":"Papakonstantinou","given":"Yannis","non-dropping-particle":"","parse-names":false,"suffix":""},{"dropping-particle":"","family":"Patel","given":"Jignesh M.","non-dropping-particle":"","parse-names":false,"suffix":""},{"dropping-particle":"","family":"Ramakrishnan","given":"Raghu","non-dropping-particle":"","parse-names":false,"suffix":""},{"dropping-particle":"","family":"Shahabi","given":"Cyrus","non-dropping-particle":"","parse-names":false,"suffix":""}],"container-title":"Communications of the ACM","id":"ITEM-1","issue":"7","issued":{"date-parts":[["2014"]]},"page":"86-94","title":"Big data and its technical challenges","type":"article-journal","volume":"57"},"uris":["http://www.mendeley.com/documents/?uuid=d1bee577-7b9c-433b-b6a8-19fee28870c6"]}],"mendeley":{"formattedCitation":"(Jagadish et al., 2014)","plainTextFormattedCitation":"(Jagadish et al., 2014)","previouslyFormattedCitation":"(Jagadish et al., 2014)"},"properties":{"noteIndex":0},"schema":"https://github.com/citation-style-language/schema/raw/master/csl-citation.json"}</w:instrText>
      </w:r>
      <w:r w:rsidR="00792F6C" w:rsidRPr="001365B0">
        <w:rPr>
          <w:shd w:val="clear" w:color="auto" w:fill="FFFFFF"/>
        </w:rPr>
        <w:fldChar w:fldCharType="separate"/>
      </w:r>
      <w:r w:rsidR="00921493" w:rsidRPr="001365B0">
        <w:rPr>
          <w:noProof/>
          <w:shd w:val="clear" w:color="auto" w:fill="FFFFFF"/>
        </w:rPr>
        <w:t>(Jagadish et al., 2014)</w:t>
      </w:r>
      <w:r w:rsidR="00792F6C" w:rsidRPr="001365B0">
        <w:rPr>
          <w:shd w:val="clear" w:color="auto" w:fill="FFFFFF"/>
        </w:rPr>
        <w:fldChar w:fldCharType="end"/>
      </w:r>
      <w:r w:rsidRPr="001365B0">
        <w:rPr>
          <w:shd w:val="clear" w:color="auto" w:fill="FFFFFF"/>
        </w:rPr>
        <w:t xml:space="preserve">. In turn, heterogeneity necessitates the careful integration and aggregation of noisy, dynamic and inconsistent datasets </w:t>
      </w:r>
      <w:r w:rsidR="00792F6C" w:rsidRPr="001365B0">
        <w:rPr>
          <w:shd w:val="clear" w:color="auto" w:fill="FFFFFF"/>
        </w:rPr>
        <w:fldChar w:fldCharType="begin" w:fldLock="1"/>
      </w:r>
      <w:r w:rsidR="00921493" w:rsidRPr="001365B0">
        <w:rPr>
          <w:shd w:val="clear" w:color="auto" w:fill="FFFFFF"/>
        </w:rPr>
        <w:instrText>ADDIN CSL_CITATION {"citationItems":[{"id":"ITEM-1","itemData":{"DOI":"10.1155/2014/712826","ISSN":"1537744X","abstract":"&lt;p&gt;Big Data has gained much attention from the academia and the IT industry. In the digital and computing world, information is generated and collected at a rate that rapidly exceeds the boundary range. Currently, over 2 billion people worldwide are connected to the Internet, and over 5 billion individuals own mobile phones. By 2020, 50 billion devices are expected to be connected to the Internet. At this point, predicted data production will be 44 times greater than that in 2009. As information is transferred and shared at light speed on optic fiber and wireless networks, the volume of data and the speed of market growth increase. However, the fast growth rate of such large data generates numerous challenges, such as the rapid growth of data, transfer speed, diverse data, and security. Nonetheless, Big Data is still in its infancy stage, and the domain has not been reviewed in general. Hence, this study comprehensively surveys and classifies the various attributes of Big Data, including its nature, definitions, rapid growth rate, volume, management, analysis, and security. This study also proposes a data life cycle that uses the technologies and terminologies of Big Data. Future research directions in this field are determined based on opportunities and several open issues in Big Data domination. These research directions facilitate the exploration of the domain and the development of optimal techniques to address Big Data.&lt;/p&gt;","author":[{"dropping-particle":"","family":"Khan","given":"Nawsher","non-dropping-particle":"","parse-names":false,"suffix":""},{"dropping-particle":"","family":"Yaqoob","given":"Ibrar","non-dropping-particle":"","parse-names":false,"suffix":""},{"dropping-particle":"","family":"Hashem","given":"Ibrahim Abaker Targio","non-dropping-particle":"","parse-names":false,"suffix":""},{"dropping-particle":"","family":"Inayat","given":"Zakira","non-dropping-particle":"","parse-names":false,"suffix":""},{"dropping-particle":"","family":"Mahmoud Ali","given":"Waleed Kamaleldin","non-dropping-particle":"","parse-names":false,"suffix":""},{"dropping-particle":"","family":"Alam","given":"Muhammad","non-dropping-particle":"","parse-names":false,"suffix":""},{"dropping-particle":"","family":"Shiraz","given":"Muhammad","non-dropping-particle":"","parse-names":false,"suffix":""},{"dropping-particle":"","family":"Gani","given":"Abdullah","non-dropping-particle":"","parse-names":false,"suffix":""}],"container-title":"Scientific World Journal","id":"ITEM-1","issued":{"date-parts":[["2014"]]},"title":"Big data: Survey, technologies, opportunities, and challenges","type":"article-journal","volume":"2014"},"uris":["http://www.mendeley.com/documents/?uuid=7a3205c2-ed32-458d-a912-5bcdf8509f47"]}],"mendeley":{"formattedCitation":"(Khan et al., 2014)","plainTextFormattedCitation":"(Khan et al., 2014)","previouslyFormattedCitation":"(Khan et al., 2014)"},"properties":{"noteIndex":0},"schema":"https://github.com/citation-style-language/schema/raw/master/csl-citation.json"}</w:instrText>
      </w:r>
      <w:r w:rsidR="00792F6C" w:rsidRPr="001365B0">
        <w:rPr>
          <w:shd w:val="clear" w:color="auto" w:fill="FFFFFF"/>
        </w:rPr>
        <w:fldChar w:fldCharType="separate"/>
      </w:r>
      <w:r w:rsidR="00921493" w:rsidRPr="001365B0">
        <w:rPr>
          <w:noProof/>
          <w:shd w:val="clear" w:color="auto" w:fill="FFFFFF"/>
        </w:rPr>
        <w:t>(Khan et al., 2014)</w:t>
      </w:r>
      <w:r w:rsidR="00792F6C" w:rsidRPr="001365B0">
        <w:rPr>
          <w:shd w:val="clear" w:color="auto" w:fill="FFFFFF"/>
        </w:rPr>
        <w:fldChar w:fldCharType="end"/>
      </w:r>
      <w:r w:rsidRPr="001365B0">
        <w:rPr>
          <w:shd w:val="clear" w:color="auto" w:fill="FFFFFF"/>
        </w:rPr>
        <w:t xml:space="preserve"> for meaningful representation</w:t>
      </w:r>
      <w:r w:rsidR="00792F6C" w:rsidRPr="001365B0">
        <w:rPr>
          <w:shd w:val="clear" w:color="auto" w:fill="FFFFFF"/>
        </w:rPr>
        <w:t xml:space="preserve"> </w:t>
      </w:r>
      <w:r w:rsidR="00792F6C" w:rsidRPr="001365B0">
        <w:rPr>
          <w:shd w:val="clear" w:color="auto" w:fill="FFFFFF"/>
        </w:rPr>
        <w:fldChar w:fldCharType="begin" w:fldLock="1"/>
      </w:r>
      <w:r w:rsidR="00921493" w:rsidRPr="001365B0">
        <w:rPr>
          <w:shd w:val="clear" w:color="auto" w:fill="FFFFFF"/>
        </w:rPr>
        <w:instrText>ADDIN CSL_CITATION {"citationItems":[{"id":"ITEM-1","itemData":{"DOI":"10.1016/j.jbusres.2016.08.001","ISSN":"01482963","abstract":"Big Data (BD), with their potential to ascertain valued insights for enhanced decision-making process, have recently attracted substantial interest from both academics and practitioners. Big Data Analytics (BDA) is increasingly becoming a trending practice that many organizations are adopting with the purpose of constructing valuable information from BD. The analytics process, including the deployment and use of BDA tools, is seen by organizations as a tool to improve operational efficiency though it has strategic potential, drive new revenue streams and gain competitive advantages over business rivals. However, there are different types of analytic applications to consider. Therefore, prior to hasty use and buying costly BD tools, there is a need for organizations to first understand the BDA landscape. Given the significant nature of the BD and BDA, this paper presents a state-of-the-art review that presents a holistic view of the BD challenges and BDA methods theorized/proposed/employed by organizations to help others understand this landscape with the objective of making robust investment decisions. In doing so, systematically analysing and synthesizing the extant research published on BD and BDA area. More specifically, the authors seek to answer the following two principal questions: Q1 – What are the different types of BD challenges theorized/proposed/confronted by organizations? and Q2 – What are the different types of BDA methods theorized/proposed/employed to overcome BD challenges?. This systematic literature review (SLR) is carried out through observing and understanding the past trends and extant patterns/themes in the BDA research area, evaluating contributions, summarizing knowledge, thereby identifying limitations, implications and potential further research avenues to support the academic community in exploring research themes/patterns. Thus, to trace the implementation of BD strategies, a profiling method is employed to analyze articles (published in English-speaking peer-reviewed journals between 1996 and 2015) extracted from the Scopus database. The analysis presented in this paper has identified relevant BD research studies that have contributed both conceptually and empirically to the expansion and accrual of intellectual wealth to the BDA in technology and organizational resource management discipline.","author":[{"dropping-particle":"","family":"Sivarajah","given":"Uthayasankar","non-dropping-particle":"","parse-names":false,"suffix":""},{"dropping-particle":"","family":"Kamal","given":"Muhammad Mustafa","non-dropping-particle":"","parse-names":false,"suffix":""},{"dropping-particle":"","family":"Irani","given":"Zahir","non-dropping-particle":"","parse-names":false,"suffix":""},{"dropping-particle":"","family":"Weerakkody","given":"Vishanth","non-dropping-particle":"","parse-names":false,"suffix":""}],"container-title":"Journal of Business Research","id":"ITEM-1","issued":{"date-parts":[["2017"]]},"page":"263-286","publisher":"The Authors","title":"Critical analysis of Big Data challenges and analytical methods","type":"article-journal","volume":"70"},"uris":["http://www.mendeley.com/documents/?uuid=9e75b098-cc16-4b46-8346-4ff2ac7e0616"]}],"mendeley":{"formattedCitation":"(Sivarajah et al., 2017)","plainTextFormattedCitation":"(Sivarajah et al., 2017)","previouslyFormattedCitation":"(Sivarajah et al., 2017)"},"properties":{"noteIndex":0},"schema":"https://github.com/citation-style-language/schema/raw/master/csl-citation.json"}</w:instrText>
      </w:r>
      <w:r w:rsidR="00792F6C" w:rsidRPr="001365B0">
        <w:rPr>
          <w:shd w:val="clear" w:color="auto" w:fill="FFFFFF"/>
        </w:rPr>
        <w:fldChar w:fldCharType="separate"/>
      </w:r>
      <w:r w:rsidR="00921493" w:rsidRPr="001365B0">
        <w:rPr>
          <w:noProof/>
          <w:shd w:val="clear" w:color="auto" w:fill="FFFFFF"/>
        </w:rPr>
        <w:t>(Sivarajah et al., 2017)</w:t>
      </w:r>
      <w:r w:rsidR="00792F6C" w:rsidRPr="001365B0">
        <w:rPr>
          <w:shd w:val="clear" w:color="auto" w:fill="FFFFFF"/>
        </w:rPr>
        <w:fldChar w:fldCharType="end"/>
      </w:r>
      <w:r w:rsidRPr="001365B0">
        <w:rPr>
          <w:shd w:val="clear" w:color="auto" w:fill="FFFFFF"/>
        </w:rPr>
        <w:t xml:space="preserve">. Such process, however, often yields derived data that can pose additional challenges in tracking and representation </w:t>
      </w:r>
      <w:r w:rsidR="00792F6C" w:rsidRPr="001365B0">
        <w:rPr>
          <w:shd w:val="clear" w:color="auto" w:fill="FFFFFF"/>
        </w:rPr>
        <w:fldChar w:fldCharType="begin" w:fldLock="1"/>
      </w:r>
      <w:r w:rsidR="00921493" w:rsidRPr="001365B0">
        <w:rPr>
          <w:shd w:val="clear" w:color="auto" w:fill="FFFFFF"/>
        </w:rPr>
        <w:instrText>ADDIN CSL_CITATION {"citationItems":[{"id":"ITEM-1","itemData":{"DOI":"10.1145/2611567","ISSN":"00010782","abstract":"The article discusses the inherent technical challenges that are reportedly associated with Big Data as of July 2014, focusing on data-driven mathematical models, the Sloan Digital Sky Survey's impact on the field of astronomy, and information about technological advances such as Next Generation Sequencing (NGS). Moore's law for single-threaded applications is addressed, along with open source work involving systems such as Hadoop. Internet company Google Inc. and social networking services such as Facebook and LinkedIn are examined. INSET: Case Study.","author":[{"dropping-particle":"V.","family":"Jagadish","given":"H.","non-dropping-particle":"","parse-names":false,"suffix":""},{"dropping-particle":"","family":"Gehrke","given":"Johannes","non-dropping-particle":"","parse-names":false,"suffix":""},{"dropping-particle":"","family":"Labrinidis","given":"Alexandros","non-dropping-particle":"","parse-names":false,"suffix":""},{"dropping-particle":"","family":"Papakonstantinou","given":"Yannis","non-dropping-particle":"","parse-names":false,"suffix":""},{"dropping-particle":"","family":"Patel","given":"Jignesh M.","non-dropping-particle":"","parse-names":false,"suffix":""},{"dropping-particle":"","family":"Ramakrishnan","given":"Raghu","non-dropping-particle":"","parse-names":false,"suffix":""},{"dropping-particle":"","family":"Shahabi","given":"Cyrus","non-dropping-particle":"","parse-names":false,"suffix":""}],"container-title":"Communications of the ACM","id":"ITEM-1","issue":"7","issued":{"date-parts":[["2014"]]},"page":"86-94","title":"Big data and its technical challenges","type":"article-journal","volume":"57"},"uris":["http://www.mendeley.com/documents/?uuid=d1bee577-7b9c-433b-b6a8-19fee28870c6"]}],"mendeley":{"formattedCitation":"(Jagadish et al., 2014)","plainTextFormattedCitation":"(Jagadish et al., 2014)","previouslyFormattedCitation":"(Jagadish et al., 2014)"},"properties":{"noteIndex":0},"schema":"https://github.com/citation-style-language/schema/raw/master/csl-citation.json"}</w:instrText>
      </w:r>
      <w:r w:rsidR="00792F6C" w:rsidRPr="001365B0">
        <w:rPr>
          <w:shd w:val="clear" w:color="auto" w:fill="FFFFFF"/>
        </w:rPr>
        <w:fldChar w:fldCharType="separate"/>
      </w:r>
      <w:r w:rsidR="00921493" w:rsidRPr="001365B0">
        <w:rPr>
          <w:noProof/>
          <w:shd w:val="clear" w:color="auto" w:fill="FFFFFF"/>
        </w:rPr>
        <w:t>(Jagadish et al., 2014)</w:t>
      </w:r>
      <w:r w:rsidR="00792F6C" w:rsidRPr="001365B0">
        <w:rPr>
          <w:shd w:val="clear" w:color="auto" w:fill="FFFFFF"/>
        </w:rPr>
        <w:fldChar w:fldCharType="end"/>
      </w:r>
      <w:r w:rsidRPr="001365B0">
        <w:rPr>
          <w:shd w:val="clear" w:color="auto" w:fill="FFFFFF"/>
        </w:rPr>
        <w:t>. Thus demands are placed on capabilities related to the representation and analysis of big data and its interpretation in given contexts</w:t>
      </w:r>
      <w:r w:rsidR="00792F6C" w:rsidRPr="001365B0">
        <w:rPr>
          <w:shd w:val="clear" w:color="auto" w:fill="FFFFFF"/>
        </w:rPr>
        <w:t xml:space="preserve"> </w:t>
      </w:r>
      <w:r w:rsidR="00792F6C" w:rsidRPr="001365B0">
        <w:rPr>
          <w:shd w:val="clear" w:color="auto" w:fill="FFFFFF"/>
        </w:rPr>
        <w:fldChar w:fldCharType="begin" w:fldLock="1"/>
      </w:r>
      <w:r w:rsidR="00036BBA">
        <w:rPr>
          <w:shd w:val="clear" w:color="auto" w:fill="FFFFFF"/>
        </w:rPr>
        <w:instrText>ADDIN CSL_CITATION {"citationItems":[{"id":"ITEM-1","itemData":{"DOI":"10.1016/j.jsis.2017.07.003","ISSN":"09638687","abstract":"Big data has been considered to be a breakthrough technological development over recent years. Notwithstanding, we have as yet limited understanding of how organizations translate its potential into actual social and economic value. We conduct an in-depth systematic review of IS literature on the topic and identify six debates central to how organizations realize value from big data, at different levels of analysis. Based on this review, we identify two socio-technical features of big data that influence value realization: portability and interconnectivity. We argue that, in practice, organizations need to continuously realign work practices, organizational models, and stakeholder interests in order to reap the benefits from big data. We synthesize the findings by means of an integrated model.","author":[{"dropping-particle":"","family":"Günther","given":"Wendy Arianne","non-dropping-particle":"","parse-names":false,"suffix":""},{"dropping-particle":"","family":"Rezazade Mehrizi","given":"Mohammad H.","non-dropping-particle":"","parse-names":false,"suffix":""},{"dropping-particle":"","family":"Huysman","given":"Marleen","non-dropping-particle":"","parse-names":false,"suffix":""},{"dropping-particle":"","family":"Feldberg","given":"Frans","non-dropping-particle":"","parse-names":false,"suffix":""}],"container-title":"Journal of Strategic Information Systems","id":"ITEM-1","issue":"3","issued":{"date-parts":[["2017"]]},"page":"191-209","title":"Debating big data: A literature review on realizing value from big data","type":"article-journal","volume":"26"},"uris":["http://www.mendeley.com/documents/?uuid=a04f4b0a-2e1b-4697-b550-0b91cb870029"]},{"id":"ITEM-2","itemData":{"DOI":"10.1145/2611567","ISSN":"00010782","abstract":"The article discusses the inherent technical challenges that are reportedly associated with Big Data as of July 2014, focusing on data-driven mathematical models, the Sloan Digital Sky Survey's impact on the field of astronomy, and information about technological advances such as Next Generation Sequencing (NGS). Moore's law for single-threaded applications is addressed, along with open source work involving systems such as Hadoop. Internet company Google Inc. and social networking services such as Facebook and LinkedIn are examined. INSET: Case Study.","author":[{"dropping-particle":"V.","family":"Jagadish","given":"H.","non-dropping-particle":"","parse-names":false,"suffix":""},{"dropping-particle":"","family":"Gehrke","given":"Johannes","non-dropping-particle":"","parse-names":false,"suffix":""},{"dropping-particle":"","family":"Labrinidis","given":"Alexandros","non-dropping-particle":"","parse-names":false,"suffix":""},{"dropping-particle":"","family":"Papakonstantinou","given":"Yannis","non-dropping-particle":"","parse-names":false,"suffix":""},{"dropping-particle":"","family":"Patel","given":"Jignesh M.","non-dropping-particle":"","parse-names":false,"suffix":""},{"dropping-particle":"","family":"Ramakrishnan","given":"Raghu","non-dropping-particle":"","parse-names":false,"suffix":""},{"dropping-particle":"","family":"Shahabi","given":"Cyrus","non-dropping-particle":"","parse-names":false,"suffix":""}],"container-title":"Communications of the ACM","id":"ITEM-2","issue":"7","issued":{"date-parts":[["2014"]]},"page":"86-94","title":"Big data and its technical challenges","type":"article-journal","volume":"57"},"uris":["http://www.mendeley.com/documents/?uuid=d1bee577-7b9c-433b-b6a8-19fee28870c6"]}],"mendeley":{"formattedCitation":"(Günther et al., 2017; Jagadish et al., 2014)","plainTextFormattedCitation":"(Günther et al., 2017; Jagadish et al., 2014)","previouslyFormattedCitation":"(Günther et al., 2017; Jagadish et al., 2014)"},"properties":{"noteIndex":0},"schema":"https://github.com/citation-style-language/schema/raw/master/csl-citation.json"}</w:instrText>
      </w:r>
      <w:r w:rsidR="00792F6C" w:rsidRPr="001365B0">
        <w:rPr>
          <w:shd w:val="clear" w:color="auto" w:fill="FFFFFF"/>
        </w:rPr>
        <w:fldChar w:fldCharType="separate"/>
      </w:r>
      <w:r w:rsidR="00036BBA" w:rsidRPr="00036BBA">
        <w:rPr>
          <w:noProof/>
          <w:shd w:val="clear" w:color="auto" w:fill="FFFFFF"/>
        </w:rPr>
        <w:t>(Günther et al., 2017; Jagadish et al., 2014)</w:t>
      </w:r>
      <w:r w:rsidR="00792F6C" w:rsidRPr="001365B0">
        <w:rPr>
          <w:shd w:val="clear" w:color="auto" w:fill="FFFFFF"/>
        </w:rPr>
        <w:fldChar w:fldCharType="end"/>
      </w:r>
      <w:r w:rsidRPr="001365B0">
        <w:rPr>
          <w:shd w:val="clear" w:color="auto" w:fill="FFFFFF"/>
        </w:rPr>
        <w:t>. Similarly, consideration needs to be given as to what to record and store (alongside what to forget) and deriving the measures that define the value of data itself presents a challenge</w:t>
      </w:r>
      <w:r w:rsidR="005534FF" w:rsidRPr="001365B0">
        <w:rPr>
          <w:shd w:val="clear" w:color="auto" w:fill="FFFFFF"/>
        </w:rPr>
        <w:t xml:space="preserve"> </w:t>
      </w:r>
      <w:r w:rsidR="005534FF" w:rsidRPr="001365B0">
        <w:rPr>
          <w:shd w:val="clear" w:color="auto" w:fill="FFFFFF"/>
        </w:rPr>
        <w:fldChar w:fldCharType="begin" w:fldLock="1"/>
      </w:r>
      <w:r w:rsidR="00921493" w:rsidRPr="001365B0">
        <w:rPr>
          <w:shd w:val="clear" w:color="auto" w:fill="FFFFFF"/>
        </w:rPr>
        <w:instrText>ADDIN CSL_CITATION {"citationItems":[{"id":"ITEM-1","itemData":{"DOI":"10.1145/2611567","ISSN":"00010782","abstract":"The article discusses the inherent technical challenges that are reportedly associated with Big Data as of July 2014, focusing on data-driven mathematical models, the Sloan Digital Sky Survey's impact on the field of astronomy, and information about technological advances such as Next Generation Sequencing (NGS). Moore's law for single-threaded applications is addressed, along with open source work involving systems such as Hadoop. Internet company Google Inc. and social networking services such as Facebook and LinkedIn are examined. INSET: Case Study.","author":[{"dropping-particle":"V.","family":"Jagadish","given":"H.","non-dropping-particle":"","parse-names":false,"suffix":""},{"dropping-particle":"","family":"Gehrke","given":"Johannes","non-dropping-particle":"","parse-names":false,"suffix":""},{"dropping-particle":"","family":"Labrinidis","given":"Alexandros","non-dropping-particle":"","parse-names":false,"suffix":""},{"dropping-particle":"","family":"Papakonstantinou","given":"Yannis","non-dropping-particle":"","parse-names":false,"suffix":""},{"dropping-particle":"","family":"Patel","given":"Jignesh M.","non-dropping-particle":"","parse-names":false,"suffix":""},{"dropping-particle":"","family":"Ramakrishnan","given":"Raghu","non-dropping-particle":"","parse-names":false,"suffix":""},{"dropping-particle":"","family":"Shahabi","given":"Cyrus","non-dropping-particle":"","parse-names":false,"suffix":""}],"container-title":"Communications of the ACM","id":"ITEM-1","issue":"7","issued":{"date-parts":[["2014"]]},"page":"86-94","title":"Big data and its technical challenges","type":"article-journal","volume":"57"},"uris":["http://www.mendeley.com/documents/?uuid=d1bee577-7b9c-433b-b6a8-19fee28870c6"]}],"mendeley":{"formattedCitation":"(Jagadish et al., 2014)","plainTextFormattedCitation":"(Jagadish et al., 2014)","previouslyFormattedCitation":"(Jagadish et al., 2014)"},"properties":{"noteIndex":0},"schema":"https://github.com/citation-style-language/schema/raw/master/csl-citation.json"}</w:instrText>
      </w:r>
      <w:r w:rsidR="005534FF" w:rsidRPr="001365B0">
        <w:rPr>
          <w:shd w:val="clear" w:color="auto" w:fill="FFFFFF"/>
        </w:rPr>
        <w:fldChar w:fldCharType="separate"/>
      </w:r>
      <w:r w:rsidR="00921493" w:rsidRPr="001365B0">
        <w:rPr>
          <w:noProof/>
          <w:shd w:val="clear" w:color="auto" w:fill="FFFFFF"/>
        </w:rPr>
        <w:t>(Jagadish et al., 2014)</w:t>
      </w:r>
      <w:r w:rsidR="005534FF" w:rsidRPr="001365B0">
        <w:rPr>
          <w:shd w:val="clear" w:color="auto" w:fill="FFFFFF"/>
        </w:rPr>
        <w:fldChar w:fldCharType="end"/>
      </w:r>
      <w:r w:rsidRPr="001365B0">
        <w:rPr>
          <w:shd w:val="clear" w:color="auto" w:fill="FFFFFF"/>
        </w:rPr>
        <w:t>. While such challenges are emerging, however, there is little to no work that examines their effects empirically and draws together strands of work that may present solutions.</w:t>
      </w:r>
    </w:p>
    <w:p w14:paraId="38DE9F0A" w14:textId="3EB49104" w:rsidR="00CF09F8" w:rsidRPr="00D9071C" w:rsidRDefault="00CF09F8" w:rsidP="00C8447F">
      <w:pPr>
        <w:pStyle w:val="Heading2"/>
      </w:pPr>
      <w:r w:rsidRPr="00D9071C">
        <w:t>Big Data in the Humanitarian Domain</w:t>
      </w:r>
    </w:p>
    <w:p w14:paraId="4F881D5F" w14:textId="6FB27C07" w:rsidR="00CF09F8" w:rsidRDefault="00CF09F8" w:rsidP="004B4F6B">
      <w:pPr>
        <w:pStyle w:val="Text01"/>
      </w:pPr>
      <w:r w:rsidRPr="001365B0">
        <w:t>It is a valuable exercise to examine such challenges in practice and understand t</w:t>
      </w:r>
      <w:r w:rsidR="00427133">
        <w:t>heir implications. In doing so</w:t>
      </w:r>
      <w:r w:rsidRPr="001365B0">
        <w:t xml:space="preserve">, we draw on data from the humanitarian domain where the consequences of failure are significant and the responsibility for success is spread across a multitude of actors. We do this by attempting to integrate multiple datasets in that domain to examine whether global data on the occurrence and impact of humanitarian crises, and the monies that flow in response to these crises, can reveal the impact of </w:t>
      </w:r>
      <w:r w:rsidR="000C1D4F">
        <w:t>given</w:t>
      </w:r>
      <w:r w:rsidRPr="001365B0">
        <w:t xml:space="preserve"> aid. This is </w:t>
      </w:r>
      <w:r w:rsidRPr="001365B0">
        <w:lastRenderedPageBreak/>
        <w:t xml:space="preserve">an important question in the domain because tens of billions of dollars are spent every year in the humanitarian response to disasters </w:t>
      </w:r>
      <w:r w:rsidRPr="001365B0">
        <w:fldChar w:fldCharType="begin" w:fldLock="1"/>
      </w:r>
      <w:r w:rsidR="00921493" w:rsidRPr="001365B0">
        <w:instrText>ADDIN CSL_CITATION {"citationItems":[{"id":"ITEM-1","itemData":{"author":[{"dropping-particle":"","family":"Lattimer","given":"Charlotte","non-dropping-particle":"","parse-names":false,"suffix":""},{"dropping-particle":"","family":"Swithern","given":"Sophia","non-dropping-particle":"","parse-names":false,"suffix":""},{"dropping-particle":"","family":"Tuchel","given":"Luminita","non-dropping-particle":"","parse-names":false,"suffix":""},{"dropping-particle":"","family":"Beecher","given":"Jordan","non-dropping-particle":"","parse-names":false,"suffix":""},{"dropping-particle":"","family":"Cecilia Caio","given":"","non-dropping-particle":"","parse-names":false,"suffix":""},{"dropping-particle":"","family":"Collins","given":"Rosanna","non-dropping-particle":"","parse-names":false,"suffix":""},{"dropping-particle":"","family":"Dalrymple","given":"Sarah","non-dropping-particle":"","parse-names":false,"suffix":""},{"dropping-particle":"","family":"Galinié","given":"Arnaud","non-dropping-particle":"","parse-names":false,"suffix":""},{"dropping-particle":"","family":"Kenei","given":"Steve","non-dropping-particle":"","parse-names":false,"suffix":""},{"dropping-particle":"","family":"Knox","given":"Duncan","non-dropping-particle":"","parse-names":false,"suffix":""},{"dropping-particle":"","family":"Miller","given":"Alex","non-dropping-particle":"","parse-names":false,"suffix":""},{"dropping-particle":"","family":"Shaikh","given":"Lylaa","non-dropping-particle":"","parse-names":false,"suffix":""},{"dropping-particle":"","family":"Simenon","given":"Manon","non-dropping-particle":"","parse-names":false,"suffix":""},{"dropping-particle":"","family":"Parrish","given":"Chloe","non-dropping-particle":"","parse-names":false,"suffix":""},{"dropping-particle":"","family":"Watts","given":"Richard","non-dropping-particle":"","parse-names":false,"suffix":""}],"container-title":"Global Humanitarian Assistance Reports","editor":[{"dropping-particle":"","family":"(GHA)","given":"Global Humanitarian Assistance","non-dropping-particle":"","parse-names":false,"suffix":""}],"id":"ITEM-1","issued":{"date-parts":[["2016"]]},"language":"English","number-of-pages":"101","publisher":"Global Humanitarian Assistance (GHA)","title":"Global Humanitarian Assistance Report 2016","type":"report","volume":"2016"},"uris":["http://www.mendeley.com/documents/?uuid=08f71604-2bc0-458f-9276-54f2217a27ac"]}],"mendeley":{"formattedCitation":"(Lattimer et al., 2016)","plainTextFormattedCitation":"(Lattimer et al., 2016)","previouslyFormattedCitation":"(Lattimer et al., 2016)"},"properties":{"noteIndex":0},"schema":"https://github.com/citation-style-language/schema/raw/master/csl-citation.json"}</w:instrText>
      </w:r>
      <w:r w:rsidRPr="001365B0">
        <w:fldChar w:fldCharType="separate"/>
      </w:r>
      <w:r w:rsidR="00921493" w:rsidRPr="001365B0">
        <w:rPr>
          <w:noProof/>
        </w:rPr>
        <w:t>(Lattimer et al., 2016)</w:t>
      </w:r>
      <w:r w:rsidRPr="001365B0">
        <w:fldChar w:fldCharType="end"/>
      </w:r>
      <w:r w:rsidRPr="001365B0">
        <w:t xml:space="preserve">, but shortfalls prevail – resulting in decisions to stop or cut humanitarian relief programmes </w:t>
      </w:r>
      <w:r w:rsidR="004D1F98" w:rsidRPr="001365B0">
        <w:fldChar w:fldCharType="begin" w:fldLock="1"/>
      </w:r>
      <w:r w:rsidR="00F7667F" w:rsidRPr="001365B0">
        <w:instrText>ADDIN CSL_CITATION {"citationItems":[{"id":"ITEM-1","itemData":{"author":[{"dropping-particle":"","family":"Zee","given":"Bibi","non-dropping-particle":"van der","parse-names":false,"suffix":""}],"container-title":"The Guardian","id":"ITEM-1","issued":{"date-parts":[["2015"]]},"publisher":"The Guardian, Global Development Professionals Network","publisher-place":"United Kingdom","title":"UN launches its biggest ever annual appeal for humanitarian funding","type":"article-newspaper"},"uris":["http://www.mendeley.com/documents/?uuid=32f064c6-b393-4261-a8b6-a5672624b5de"]}],"mendeley":{"formattedCitation":"(van der Zee, 2015)","plainTextFormattedCitation":"(van der Zee, 2015)","previouslyFormattedCitation":"(van der Zee, 2015)"},"properties":{"noteIndex":0},"schema":"https://github.com/citation-style-language/schema/raw/master/csl-citation.json"}</w:instrText>
      </w:r>
      <w:r w:rsidR="004D1F98" w:rsidRPr="001365B0">
        <w:fldChar w:fldCharType="separate"/>
      </w:r>
      <w:r w:rsidR="004D1F98" w:rsidRPr="001365B0">
        <w:rPr>
          <w:noProof/>
        </w:rPr>
        <w:t>(van der Zee, 2015)</w:t>
      </w:r>
      <w:r w:rsidR="004D1F98" w:rsidRPr="001365B0">
        <w:fldChar w:fldCharType="end"/>
      </w:r>
      <w:r w:rsidR="004D1F98" w:rsidRPr="001365B0">
        <w:t>.</w:t>
      </w:r>
      <w:r w:rsidRPr="001365B0">
        <w:t xml:space="preserve"> Resource limitations heighten pressure to achieve more with less humanitarian funding which, in turn, increases focus on measuring the impact of the humanitarian aid given – with a view to using this knowledge to improve the likelihood of survival and address the welfare of victims in future disasters </w:t>
      </w:r>
      <w:r w:rsidR="00F7667F" w:rsidRPr="001365B0">
        <w:fldChar w:fldCharType="begin" w:fldLock="1"/>
      </w:r>
      <w:r w:rsidR="00C906C9" w:rsidRPr="001365B0">
        <w:instrText>ADDIN CSL_CITATION {"citationItems":[{"id":"ITEM-1","itemData":{"author":[{"dropping-particle":"","family":"Purvis","given":"Katherine","non-dropping-particle":"","parse-names":false,"suffix":""}],"container-title":"The Guardian","id":"ITEM-1","issued":{"date-parts":[["2015"]]},"publisher":"The Guardian, Global Development Professionals Network","publisher-place":"United Kingdom","title":"Delivering aid: agencies struggle with increasing needs, costs and insecurity","type":"article-newspaper"},"uris":["http://www.mendeley.com/documents/?uuid=afd8e847-dece-4068-bc93-7db10f6badc7"]},{"id":"ITEM-2","itemData":{"author":[{"dropping-particle":"","family":"Moorhead","given":"Joanna","non-dropping-particle":"","parse-names":false,"suffix":""},{"dropping-particle":"","family":"Sandler Clarke","given":"Joe","non-dropping-particle":"","parse-names":false,"suffix":""}],"container-title":"The Guardian","id":"ITEM-2","issued":{"date-parts":[["2015"]]},"publisher":"The Guardian, Global Development Professionals Network","publisher-place":"United Kingdom","title":"The global humanitarian crisis 'can't depend on a continuous increase in funding'","type":"article-newspaper"},"uris":["http://www.mendeley.com/documents/?uuid=19163051-8c12-4a1f-b55c-103b85c4ed43"]},{"id":"ITEM-3","itemData":{"author":[{"dropping-particle":"","family":"Völz","given":"Carsten","non-dropping-particle":"","parse-names":false,"suffix":""}],"container-title":"Forced Migration Review","id":"ITEM-3","issued":{"date-parts":[["2005"]]},"number-of-pages":"26-27","title":"Humanitarian coordination in Indonesia: an NGO viewpoint","type":"report","volume":"18"},"uris":["http://www.mendeley.com/documents/?uuid=bc93c245-fa1c-49e7-8e74-cff1d54a5dc8"]}],"mendeley":{"formattedCitation":"(Moorhead &amp; Sandler Clarke, 2015; Purvis, 2015; Völz, 2005)","plainTextFormattedCitation":"(Moorhead &amp; Sandler Clarke, 2015; Purvis, 2015; Völz, 2005)","previouslyFormattedCitation":"(Moorhead &amp; Sandler Clarke, 2015; Purvis, 2015; Völz, 2005)"},"properties":{"noteIndex":0},"schema":"https://github.com/citation-style-language/schema/raw/master/csl-citation.json"}</w:instrText>
      </w:r>
      <w:r w:rsidR="00F7667F" w:rsidRPr="001365B0">
        <w:fldChar w:fldCharType="separate"/>
      </w:r>
      <w:r w:rsidR="00921493" w:rsidRPr="001365B0">
        <w:rPr>
          <w:noProof/>
        </w:rPr>
        <w:t>(Moorhead &amp; Sandler Clarke, 2015; Purvis, 2015; Völz, 2005)</w:t>
      </w:r>
      <w:r w:rsidR="00F7667F" w:rsidRPr="001365B0">
        <w:fldChar w:fldCharType="end"/>
      </w:r>
      <w:r w:rsidRPr="001365B0">
        <w:t>. An assessment of the impact of humanitarian disasters also underpins initiatives in disaster risk reduction and their relationship to UN Sustainable Development Goals</w:t>
      </w:r>
      <w:r w:rsidR="00525EAD" w:rsidRPr="001365B0">
        <w:t xml:space="preserve"> </w:t>
      </w:r>
      <w:r w:rsidR="00525EAD" w:rsidRPr="001365B0">
        <w:fldChar w:fldCharType="begin" w:fldLock="1"/>
      </w:r>
      <w:r w:rsidR="00BC06E3" w:rsidRPr="001365B0">
        <w:instrText>ADDIN CSL_CITATION {"citationItems":[{"id":"ITEM-1","itemData":{"author":[{"dropping-particle":"","family":"Wahlström","given":"Margareta","non-dropping-particle":"","parse-names":false,"suffix":""}],"container-title":"Third United Nations World Conference on Disaster Risk Reduction","id":"ITEM-1","issued":{"date-parts":[["2015"]]},"publisher":"United Nations (UN)","publisher-place":"Sendai, Miyagi, Japan","title":"Sendai Framework for Disaster Risk Reduction 2015-2030","type":"paper-conference"},"uris":["http://www.mendeley.com/documents/?uuid=e75ab88e-a348-491c-a48b-0b993daa7ba7"]},{"id":"ITEM-2","itemData":{"author":[{"dropping-particle":"","family":"IAEG-SDGs","given":"","non-dropping-particle":"","parse-names":false,"suffix":""}],"container-title":"Inter-agency and Expert Group on Sustainable Development Goal Indicators (IAEG-SDGs)","id":"ITEM-2","issued":{"date-parts":[["2017"]]},"publisher":"United Nations Statistics Division (UNSD)","publisher-place":"Manama, Bahrain","title":"Sendai Framework for Disaster Risk Reduction 2015-2030 &amp; 2030 Agenda for Sustainable Development-Multi-Purpose Data","type":"report"},"uris":["http://www.mendeley.com/documents/?uuid=df378fcf-3c1e-4b13-894b-260041b5f51e"]},{"id":"ITEM-3","itemData":{"author":[{"dropping-particle":"","family":"UNSD","given":"","non-dropping-particle":"","parse-names":false,"suffix":""}],"id":"ITEM-3","issued":{"date-parts":[["2018"]]},"language":"English","publisher":"United Nations Statistics Division","title":"United Nations Sustainable Development Goal indicators","type":"report"},"uris":["http://www.mendeley.com/documents/?uuid=76392f75-ff65-45bb-ab91-c458ad97dea8"]}],"mendeley":{"formattedCitation":"(IAEG-SDGs, 2017; UNSD, 2018; Wahlström, 2015)","plainTextFormattedCitation":"(IAEG-SDGs, 2017; UNSD, 2018; Wahlström, 2015)","previouslyFormattedCitation":"(IAEG-SDGs, 2017; UNSD, 2018; Wahlström, 2015)"},"properties":{"noteIndex":0},"schema":"https://github.com/citation-style-language/schema/raw/master/csl-citation.json"}</w:instrText>
      </w:r>
      <w:r w:rsidR="00525EAD" w:rsidRPr="001365B0">
        <w:fldChar w:fldCharType="separate"/>
      </w:r>
      <w:r w:rsidR="000C53AF" w:rsidRPr="001365B0">
        <w:rPr>
          <w:noProof/>
        </w:rPr>
        <w:t>(IAEG-SDGs, 2017; UNSD, 2018; Wahlström, 2015)</w:t>
      </w:r>
      <w:r w:rsidR="00525EAD" w:rsidRPr="001365B0">
        <w:fldChar w:fldCharType="end"/>
      </w:r>
      <w:r w:rsidRPr="001365B0">
        <w:t>.</w:t>
      </w:r>
    </w:p>
    <w:p w14:paraId="33DB9E14" w14:textId="3955DF98" w:rsidR="00CF09F8" w:rsidRPr="001365B0" w:rsidRDefault="0090201E" w:rsidP="00813EF6">
      <w:pPr>
        <w:pStyle w:val="Text01"/>
        <w:tabs>
          <w:tab w:val="left" w:pos="6144"/>
        </w:tabs>
      </w:pPr>
      <w:r>
        <w:t xml:space="preserve">Methodologically, we followed a standard data science lifecycle of obtaining data, scrubbing (cleaning the data), exploring the data to understand its properties and limitations, model construction and interpretation (e.g., see </w:t>
      </w:r>
      <w:r w:rsidR="00E540EB">
        <w:fldChar w:fldCharType="begin" w:fldLock="1"/>
      </w:r>
      <w:r w:rsidR="00E540EB">
        <w:instrText>ADDIN CSL_CITATION {"citationItems":[{"id":"ITEM-1","itemData":{"URL":"https://towardsdatascience.com/5-steps-of-a-data-science-project-lifecycle-26c50372b492","abstract":"Often, when we talk about data science projects, nobody seems to be able to come up with a solid explanation of how the entire process goes. From gathering the data, all the way up to the analysis and presenting the results In this post, I break down the data science framework, taking you through each step of the project lifecycle, while discussing what the key skills and requirements are.","accessed":{"date-parts":[["2020","2","7"]]},"author":[{"dropping-particle":"","family":"Lau","given":"Cher Han","non-dropping-particle":"","parse-names":false,"suffix":""}],"container-title":"Towards Data Science","id":"ITEM-1","issued":{"date-parts":[["2019"]]},"title":"5 Steps of a Data Science Project Lifecycle","type":"webpage"},"uris":["http://www.mendeley.com/documents/?uuid=c5ddcd0d-6676-43ba-b4e0-2076d9af60bc"]}],"mendeley":{"formattedCitation":"(Lau, 2019)","manualFormatting":"Lau, 2019","plainTextFormattedCitation":"(Lau, 2019)","previouslyFormattedCitation":"(Lau, 2019)"},"properties":{"noteIndex":0},"schema":"https://github.com/citation-style-language/schema/raw/master/csl-citation.json"}</w:instrText>
      </w:r>
      <w:r w:rsidR="00E540EB">
        <w:fldChar w:fldCharType="separate"/>
      </w:r>
      <w:r w:rsidR="00E540EB" w:rsidRPr="00E540EB">
        <w:rPr>
          <w:noProof/>
        </w:rPr>
        <w:t>Lau, 2019</w:t>
      </w:r>
      <w:r w:rsidR="00E540EB">
        <w:fldChar w:fldCharType="end"/>
      </w:r>
      <w:r>
        <w:t>). At the outset, t</w:t>
      </w:r>
      <w:r w:rsidR="00CF09F8" w:rsidRPr="001365B0">
        <w:t xml:space="preserve">he following six sources were selected because they hold </w:t>
      </w:r>
      <w:r w:rsidR="00427133">
        <w:t xml:space="preserve">differing </w:t>
      </w:r>
      <w:r w:rsidR="00CF09F8" w:rsidRPr="001365B0">
        <w:t>disaster loss data</w:t>
      </w:r>
      <w:r w:rsidR="00427133">
        <w:t>, based on disaster type or scale</w:t>
      </w:r>
      <w:r w:rsidR="00CF09F8" w:rsidRPr="001365B0">
        <w:t>:</w:t>
      </w:r>
    </w:p>
    <w:p w14:paraId="0B4C3392" w14:textId="60111B2F" w:rsidR="00CF09F8" w:rsidRPr="00D9071C" w:rsidRDefault="00CF09F8" w:rsidP="00D9071C">
      <w:pPr>
        <w:pStyle w:val="NListParagraph"/>
      </w:pPr>
      <w:r w:rsidRPr="00D9071C">
        <w:t xml:space="preserve">Emergency Events Database (EM-DAT) for humanitarian crises most of which are categorised as </w:t>
      </w:r>
      <w:r w:rsidRPr="00D9071C">
        <w:rPr>
          <w:i/>
        </w:rPr>
        <w:t>natural</w:t>
      </w:r>
      <w:r w:rsidRPr="00D9071C">
        <w:t xml:space="preserve"> or </w:t>
      </w:r>
      <w:r w:rsidRPr="00D9071C">
        <w:rPr>
          <w:i/>
        </w:rPr>
        <w:t>technological</w:t>
      </w:r>
      <w:r w:rsidRPr="00D9071C">
        <w:t xml:space="preserve"> disasters </w:t>
      </w:r>
      <w:r w:rsidR="00EF122B" w:rsidRPr="00D9071C">
        <w:fldChar w:fldCharType="begin" w:fldLock="1"/>
      </w:r>
      <w:r w:rsidR="008E0F63" w:rsidRPr="00D9071C">
        <w:instrText>ADDIN CSL_CITATION {"citationItems":[{"id":"ITEM-1","itemData":{"URL":"http://emdat.be","accessed":{"date-parts":[["2016","8","16"]]},"author":[{"dropping-particle":"","family":"Guha-Sapir","given":"D","non-dropping-particle":"","parse-names":false,"suffix":""},{"dropping-particle":"","family":"Below","given":"R","non-dropping-particle":"","parse-names":false,"suffix":""},{"dropping-particle":"","family":"Hoyois","given":"Ph","non-dropping-particle":"","parse-names":false,"suffix":""}],"container-title":"EM-DAT","editor":[{"dropping-particle":"de","family":"Louvain","given":"Université Catholique","non-dropping-particle":"","parse-names":false,"suffix":""}],"id":"ITEM-1","issue":"12 January 2017","issued":{"date-parts":[["2017"]]},"language":"English","publisher":"Centre for Research on the Epidemiology of Disasters (CRED)","publisher-place":"Brussels, Belgium","title":"Emergency Events Database (EM-DAT): The CRED/OFDA International Disaster Database","type":"webpage","volume":"2017"},"uris":["http://www.mendeley.com/documents/?uuid=ca558a2a-52c2-4ed0-90a8-733216941bb8"]}],"mendeley":{"formattedCitation":"(Guha-Sapir et al., 2017)","plainTextFormattedCitation":"(Guha-Sapir et al., 2017)","previouslyFormattedCitation":"(Guha-Sapir et al., 2017)"},"properties":{"noteIndex":0},"schema":"https://github.com/citation-style-language/schema/raw/master/csl-citation.json"}</w:instrText>
      </w:r>
      <w:r w:rsidR="00EF122B" w:rsidRPr="00D9071C">
        <w:fldChar w:fldCharType="separate"/>
      </w:r>
      <w:r w:rsidR="00A30021" w:rsidRPr="00D9071C">
        <w:rPr>
          <w:noProof/>
        </w:rPr>
        <w:t>(Guha-Sapir et al., 2017)</w:t>
      </w:r>
      <w:r w:rsidR="00EF122B" w:rsidRPr="00D9071C">
        <w:fldChar w:fldCharType="end"/>
      </w:r>
      <w:r w:rsidRPr="00D9071C">
        <w:t>;</w:t>
      </w:r>
    </w:p>
    <w:p w14:paraId="05631467" w14:textId="371F2574" w:rsidR="00CF09F8" w:rsidRPr="00D9071C" w:rsidRDefault="00CF09F8" w:rsidP="00D9071C">
      <w:pPr>
        <w:pStyle w:val="NListParagraph"/>
      </w:pPr>
      <w:r w:rsidRPr="00D9071C">
        <w:t>Disaster Inventory System (DesInventar), which holds disaster types that are believed to be of a similar ilk to those in EM-DAT, but unlike EM-DAT, DesInventar does not restrict</w:t>
      </w:r>
      <w:r w:rsidR="00F46CA7" w:rsidRPr="00D9071C">
        <w:t xml:space="preserve"> the data collected based on </w:t>
      </w:r>
      <w:r w:rsidRPr="00D9071C">
        <w:t>inclusion criteria. Additionally, DesInventar is an open source solution that is deployed in multiple countries or districts, therefore it is a collection of databases and not centrally curated</w:t>
      </w:r>
      <w:r w:rsidR="000C53AF" w:rsidRPr="00D9071C">
        <w:t xml:space="preserve"> </w:t>
      </w:r>
      <w:r w:rsidR="000C53AF" w:rsidRPr="00D9071C">
        <w:fldChar w:fldCharType="begin" w:fldLock="1"/>
      </w:r>
      <w:r w:rsidR="00D92037" w:rsidRPr="00D9071C">
        <w:instrText>ADDIN CSL_CITATION {"citationItems":[{"id":"ITEM-1","itemData":{"URL":"http://www.desinventar.net","accessed":{"date-parts":[["2017","1","7"]]},"author":[{"dropping-particle":"","family":"DesInventar","given":"","non-dropping-particle":"","parse-names":false,"suffix":""}],"container-title":"Network of Social Studies in the Prevention of Disasters in Latin America (Red de Estudios Sociales en Prevención de Desastres en América Latina - LA RED)","editor":[{"dropping-particle":"","family":"RED","given":"","non-dropping-particle":"LA","parse-names":false,"suffix":""}],"id":"ITEM-1","issue":"08 January 2017","issued":{"date-parts":[["2017"]]},"language":"English","publisher":"UNISDR - Risk Knowledge Section","publisher-place":"Geneva, Switzerland","title":"Disaster Information Management System - OnLine Database","type":"webpage","volume":"2017"},"uris":["http://www.mendeley.com/documents/?uuid=5857f3c4-8e04-43ea-b813-afb18df75f83"]}],"mendeley":{"formattedCitation":"(DesInventar, 2017)","plainTextFormattedCitation":"(DesInventar, 2017)","previouslyFormattedCitation":"(DesInventar, 2017)"},"properties":{"noteIndex":0},"schema":"https://github.com/citation-style-language/schema/raw/master/csl-citation.json"}</w:instrText>
      </w:r>
      <w:r w:rsidR="000C53AF" w:rsidRPr="00D9071C">
        <w:fldChar w:fldCharType="separate"/>
      </w:r>
      <w:r w:rsidR="00FF6363" w:rsidRPr="00D9071C">
        <w:rPr>
          <w:noProof/>
        </w:rPr>
        <w:t>(DesInventar, 2017)</w:t>
      </w:r>
      <w:r w:rsidR="000C53AF" w:rsidRPr="00D9071C">
        <w:fldChar w:fldCharType="end"/>
      </w:r>
      <w:r w:rsidRPr="00D9071C">
        <w:t>;</w:t>
      </w:r>
    </w:p>
    <w:p w14:paraId="451254E9" w14:textId="77777777" w:rsidR="00CF09F8" w:rsidRPr="00D9071C" w:rsidRDefault="00CF09F8" w:rsidP="00D9071C">
      <w:pPr>
        <w:pStyle w:val="NListParagraph"/>
        <w:rPr>
          <w:b/>
        </w:rPr>
      </w:pPr>
      <w:r w:rsidRPr="00D9071C">
        <w:t xml:space="preserve">Uppsala Conflict Data Program (UCDP), which provides a perspective of conflict-type global humanitarian crises for all countries except Syria, which is excluded because of unverifiable sources </w:t>
      </w:r>
      <w:r w:rsidR="00622869" w:rsidRPr="00D9071C">
        <w:fldChar w:fldCharType="begin" w:fldLock="1"/>
      </w:r>
      <w:r w:rsidR="00622869" w:rsidRPr="00D9071C">
        <w:instrText>ADDIN CSL_CITATION {"citationItems":[{"id":"ITEM-1","itemData":{"URL":"http://www.pcr.uu.se/","accessed":{"date-parts":[["2017","1","9"]]},"author":[{"dropping-particle":"","family":"UCDP","given":"","non-dropping-particle":"","parse-names":false,"suffix":""}],"container-title":"Uppsala Conflict Data Program (UCDP)","editor":[{"dropping-particle":"","family":"Uppsala University","given":"","non-dropping-particle":"","parse-names":false,"suffix":""}],"id":"ITEM-1","issue":"09 January 2017","issued":{"date-parts":[["2017"]]},"language":"English","publisher":"Department of Peace and Conflict Research, Uppsala University","publisher-place":"Sweden","title":"Department of Peace and Conflict Research, Uppsala University","type":"webpage","volume":"2017"},"uris":["http://www.mendeley.com/documents/?uuid=bea728f1-cb19-45b9-85d7-b8714403b5e9"]}],"mendeley":{"formattedCitation":"(UCDP, 2017)","plainTextFormattedCitation":"(UCDP, 2017)","previouslyFormattedCitation":"(UCDP, 2017)"},"properties":{"noteIndex":0},"schema":"https://github.com/citation-style-language/schema/raw/master/csl-citation.json"}</w:instrText>
      </w:r>
      <w:r w:rsidR="00622869" w:rsidRPr="00D9071C">
        <w:fldChar w:fldCharType="separate"/>
      </w:r>
      <w:r w:rsidR="00622869" w:rsidRPr="00D9071C">
        <w:rPr>
          <w:noProof/>
        </w:rPr>
        <w:t>(UCDP, 2017)</w:t>
      </w:r>
      <w:r w:rsidR="00622869" w:rsidRPr="00D9071C">
        <w:fldChar w:fldCharType="end"/>
      </w:r>
      <w:r w:rsidR="00057EC4" w:rsidRPr="00D9071C">
        <w:t>;</w:t>
      </w:r>
    </w:p>
    <w:p w14:paraId="6B504FE6" w14:textId="3DC966B8" w:rsidR="00CF09F8" w:rsidRPr="00D9071C" w:rsidRDefault="00CF09F8" w:rsidP="00D9071C">
      <w:pPr>
        <w:pStyle w:val="NListParagraph"/>
      </w:pPr>
      <w:r w:rsidRPr="00D9071C">
        <w:t xml:space="preserve">Violations Documentation </w:t>
      </w:r>
      <w:proofErr w:type="spellStart"/>
      <w:r w:rsidRPr="00D9071C">
        <w:t>Center</w:t>
      </w:r>
      <w:proofErr w:type="spellEnd"/>
      <w:r w:rsidRPr="00D9071C">
        <w:t xml:space="preserve"> in Syria, which plugs the gap in UCDP by providing data of the human effect of the conflict in Syria (VDC-SY) </w:t>
      </w:r>
      <w:r w:rsidR="00057EC4" w:rsidRPr="00D9071C">
        <w:fldChar w:fldCharType="begin" w:fldLock="1"/>
      </w:r>
      <w:r w:rsidR="00640FD7" w:rsidRPr="00D9071C">
        <w:instrText>ADDIN CSL_CITATION {"citationItems":[{"id":"ITEM-1","itemData":{"URL":"http://vdc-sy.net/en/","accessed":{"date-parts":[["2016","7","10"]]},"container-title":"VDC-SY","editor":[{"dropping-particle":"","family":"VDC-SY","given":"","non-dropping-particle":"","parse-names":false,"suffix":""}],"id":"ITEM-1","issue":"10 July 2016","issued":{"date-parts":[["2016"]]},"language":"English","publisher":"VDC-SY","publisher-place":"Syria","title":"Violations Documentation Center in Syria","type":"webpage","volume":"2016"},"uris":["http://www.mendeley.com/documents/?uuid=ecb1a38d-9332-4995-8378-0219e4ab95ad"]}],"mendeley":{"formattedCitation":"(VDC-SY, 2016)","plainTextFormattedCitation":"(VDC-SY, 2016)","previouslyFormattedCitation":"(VDC-SY, 2016)"},"properties":{"noteIndex":0},"schema":"https://github.com/citation-style-language/schema/raw/master/csl-citation.json"}</w:instrText>
      </w:r>
      <w:r w:rsidR="00057EC4" w:rsidRPr="00D9071C">
        <w:fldChar w:fldCharType="separate"/>
      </w:r>
      <w:r w:rsidR="00555739" w:rsidRPr="00D9071C">
        <w:rPr>
          <w:noProof/>
        </w:rPr>
        <w:t>(VDC-SY, 2016)</w:t>
      </w:r>
      <w:r w:rsidR="00057EC4" w:rsidRPr="00D9071C">
        <w:fldChar w:fldCharType="end"/>
      </w:r>
      <w:r w:rsidRPr="00D9071C">
        <w:t>;</w:t>
      </w:r>
    </w:p>
    <w:p w14:paraId="031621EB" w14:textId="77777777" w:rsidR="00CF09F8" w:rsidRPr="00D9071C" w:rsidRDefault="00CF09F8" w:rsidP="00D9071C">
      <w:pPr>
        <w:pStyle w:val="NListParagraph"/>
      </w:pPr>
      <w:r w:rsidRPr="00D9071C">
        <w:t>Global Terrorism Database (GDT), which provides a perspective of global terrorism-type humanitarian crises and the losses caused by these crises</w:t>
      </w:r>
      <w:r w:rsidR="00A65DB6" w:rsidRPr="00D9071C">
        <w:t xml:space="preserve"> </w:t>
      </w:r>
      <w:r w:rsidR="00A65DB6" w:rsidRPr="00D9071C">
        <w:fldChar w:fldCharType="begin" w:fldLock="1"/>
      </w:r>
      <w:r w:rsidR="00A65DB6" w:rsidRPr="00D9071C">
        <w:instrText>ADDIN CSL_CITATION {"citationItems":[{"id":"ITEM-1","itemData":{"URL":"http://www.start.umd.edu/gtd/","accessed":{"date-parts":[["2017","1","7"]]},"author":[{"dropping-particle":"","family":"GTD","given":"","non-dropping-particle":"","parse-names":false,"suffix":""}],"container-title":"START: A Center of Excellence of the U.S. Department of Homeland Security","editor":[{"dropping-particle":"","family":"University of Maryland","given":"","non-dropping-particle":"","parse-names":false,"suffix":""}],"id":"ITEM-1","issue":"10 January 2017","issued":{"date-parts":[["2017"]]},"language":"English","publisher":"National Consortium for the Study of Terrorism and Responses to Terrorism","publisher-place":"Maryland, USA","title":"Global Terrorism Database (GTD), National Consortium for the Study of Terrorism and Responses to Terrorism (START)","type":"webpage","volume":"2017"},"uris":["http://www.mendeley.com/documents/?uuid=e1c115ed-14ee-4af0-a64f-f04e4cdaca85"]}],"mendeley":{"formattedCitation":"(GTD, 2017)","plainTextFormattedCitation":"(GTD, 2017)","previouslyFormattedCitation":"(GTD, 2017)"},"properties":{"noteIndex":0},"schema":"https://github.com/citation-style-language/schema/raw/master/csl-citation.json"}</w:instrText>
      </w:r>
      <w:r w:rsidR="00A65DB6" w:rsidRPr="00D9071C">
        <w:fldChar w:fldCharType="separate"/>
      </w:r>
      <w:r w:rsidR="00A65DB6" w:rsidRPr="00D9071C">
        <w:rPr>
          <w:noProof/>
        </w:rPr>
        <w:t>(GTD, 2017)</w:t>
      </w:r>
      <w:r w:rsidR="00A65DB6" w:rsidRPr="00D9071C">
        <w:fldChar w:fldCharType="end"/>
      </w:r>
      <w:r w:rsidRPr="00D9071C">
        <w:t>;</w:t>
      </w:r>
    </w:p>
    <w:p w14:paraId="031FF57D" w14:textId="77777777" w:rsidR="00CF09F8" w:rsidRPr="00D9071C" w:rsidRDefault="00CF09F8" w:rsidP="00D9071C">
      <w:pPr>
        <w:pStyle w:val="NListParagraph"/>
      </w:pPr>
      <w:r w:rsidRPr="00D9071C">
        <w:t xml:space="preserve">United Nations High Commissioner for Refugees (UNHCR), which provides a view of people uprooted from their homes and/or their countries </w:t>
      </w:r>
      <w:r w:rsidR="00A65DB6" w:rsidRPr="00D9071C">
        <w:fldChar w:fldCharType="begin" w:fldLock="1"/>
      </w:r>
      <w:r w:rsidR="00A65DB6" w:rsidRPr="00D9071C">
        <w:instrText>ADDIN CSL_CITATION {"citationItems":[{"id":"ITEM-1","itemData":{"URL":"http://popstats.unhcr.org/en/overview","accessed":{"date-parts":[["2017","1","7"]]},"author":[{"dropping-particle":"","family":"UNHCR","given":"","non-dropping-particle":"","parse-names":false,"suffix":""}],"container-title":"Population Statistics","editor":[{"dropping-particle":"","family":"UNHCR","given":"","non-dropping-particle":"","parse-names":false,"suffix":""}],"id":"ITEM-1","issue":"07 January 2017","issued":{"date-parts":[["2017"]]},"language":"English","publisher":"UNHCR","publisher-place":"Geneva, Switzerland","title":"United Nations High Commissioner for Refugees (UNHCR), Population Statistics Database Overview","type":"webpage","volume":"2017"},"uris":["http://www.mendeley.com/documents/?uuid=dc49c7f4-f29a-43f7-9ea9-7352128195fb"]}],"mendeley":{"formattedCitation":"(UNHCR, 2017)","plainTextFormattedCitation":"(UNHCR, 2017)","previouslyFormattedCitation":"(UNHCR, 2017)"},"properties":{"noteIndex":0},"schema":"https://github.com/citation-style-language/schema/raw/master/csl-citation.json"}</w:instrText>
      </w:r>
      <w:r w:rsidR="00A65DB6" w:rsidRPr="00D9071C">
        <w:fldChar w:fldCharType="separate"/>
      </w:r>
      <w:r w:rsidR="00A65DB6" w:rsidRPr="00D9071C">
        <w:rPr>
          <w:noProof/>
        </w:rPr>
        <w:t>(UNHCR, 2017)</w:t>
      </w:r>
      <w:r w:rsidR="00A65DB6" w:rsidRPr="00D9071C">
        <w:fldChar w:fldCharType="end"/>
      </w:r>
      <w:r w:rsidR="00323924" w:rsidRPr="00D9071C">
        <w:t>.</w:t>
      </w:r>
    </w:p>
    <w:p w14:paraId="7C1969F7" w14:textId="2FD36465" w:rsidR="00CF09F8" w:rsidRPr="00D9071C" w:rsidRDefault="00F619D9" w:rsidP="00D9071C">
      <w:pPr>
        <w:pStyle w:val="Text01"/>
      </w:pPr>
      <w:r>
        <w:t xml:space="preserve">The remaining two sources </w:t>
      </w:r>
      <w:r w:rsidR="00CF09F8" w:rsidRPr="001365B0">
        <w:t xml:space="preserve">selected offer humanitarian aid flow data: </w:t>
      </w:r>
    </w:p>
    <w:p w14:paraId="76032A59" w14:textId="6E4CB3F3" w:rsidR="00CF09F8" w:rsidRPr="001365B0" w:rsidRDefault="00CF09F8" w:rsidP="00D9071C">
      <w:pPr>
        <w:pStyle w:val="NListParagraph"/>
        <w:keepNext/>
      </w:pPr>
      <w:r w:rsidRPr="001365B0">
        <w:lastRenderedPageBreak/>
        <w:t>Financial Tracking Services</w:t>
      </w:r>
      <w:r w:rsidR="00811FD9">
        <w:t xml:space="preserve"> (FTS)</w:t>
      </w:r>
      <w:r w:rsidRPr="001365B0">
        <w:t xml:space="preserve">, which tracks the flow of international humanitarian aid and is managed by the United Nations Office for the Coordination of Humanitarian Affairs </w:t>
      </w:r>
      <w:r w:rsidR="00DA05FD" w:rsidRPr="001365B0">
        <w:fldChar w:fldCharType="begin" w:fldLock="1"/>
      </w:r>
      <w:r w:rsidR="00BD1142" w:rsidRPr="001365B0">
        <w:instrText>ADDIN CSL_CITATION {"citationItems":[{"id":"ITEM-1","itemData":{"URL":"http://www.unocha.org/","accessed":{"date-parts":[["2017","5","30"]]},"author":[{"dropping-particle":"","family":"UNOCHA","given":"","non-dropping-particle":"","parse-names":false,"suffix":""}],"editor":[{"dropping-particle":"","family":"Humanitarian Programme Cycle Information Services Unit (HPC-IS)","given":"","non-dropping-particle":"","parse-names":false,"suffix":""}],"id":"ITEM-1","issue":"May 2017","issued":{"date-parts":[["2017"]]},"language":"English","publisher":"United Nations Office for the Coordination of Humanitarian Affairs (UNOCHA)","publisher-place":"Geneva, Switzerland","title":"United Nations Office for the Coordination of Humanitarian Affairs (UNOCHA)","type":"webpage","volume":"2017"},"uris":["http://www.mendeley.com/documents/?uuid=80882384-01d4-4631-824b-0423109d487b"]},{"id":"ITEM-2","itemData":{"URL":"http://fts.unocha.org/","accessed":{"date-parts":[["2017","5","30"]]},"author":[{"dropping-particle":"","family":"FTS","given":"","non-dropping-particle":"","parse-names":false,"suffix":""}],"container-title":"Tracking Humanitarian Aid Flows","editor":[{"dropping-particle":"","family":"Humanitarian Programme Cycle Information Services Unit (HPC-IS)","given":"","non-dropping-particle":"","parse-names":false,"suffix":""}],"id":"ITEM-2","issue":"2017","issued":{"date-parts":[["2017"]]},"language":"English","publisher":"United Nations Office for the Coordination of Humanitarian Affairs (UNOCHA)","publisher-place":"Geneva, Switzerland","title":"Financial Tracking Services","type":"webpage","volume":"2017"},"uris":["http://www.mendeley.com/documents/?uuid=51780581-57e7-4df9-a65c-3d6dce75306c"]}],"mendeley":{"formattedCitation":"(FTS, 2017; UNOCHA, 2017)","plainTextFormattedCitation":"(FTS, 2017; UNOCHA, 2017)","previouslyFormattedCitation":"(FTS, 2017; UNOCHA, 2017)"},"properties":{"noteIndex":0},"schema":"https://github.com/citation-style-language/schema/raw/master/csl-citation.json"}</w:instrText>
      </w:r>
      <w:r w:rsidR="00DA05FD" w:rsidRPr="001365B0">
        <w:fldChar w:fldCharType="separate"/>
      </w:r>
      <w:r w:rsidR="00DA05FD" w:rsidRPr="001365B0">
        <w:rPr>
          <w:noProof/>
        </w:rPr>
        <w:t>(FTS, 2017; UNOCHA, 2017)</w:t>
      </w:r>
      <w:r w:rsidR="00DA05FD" w:rsidRPr="001365B0">
        <w:fldChar w:fldCharType="end"/>
      </w:r>
      <w:r w:rsidR="00BD1142" w:rsidRPr="001365B0">
        <w:t>.</w:t>
      </w:r>
      <w:r w:rsidRPr="001365B0">
        <w:t xml:space="preserve"> </w:t>
      </w:r>
    </w:p>
    <w:p w14:paraId="727C9A2E" w14:textId="409F6AA7" w:rsidR="00CF09F8" w:rsidRPr="001365B0" w:rsidRDefault="00CF09F8" w:rsidP="00D9071C">
      <w:pPr>
        <w:pStyle w:val="NListParagraph"/>
      </w:pPr>
      <w:r w:rsidRPr="001365B0">
        <w:t xml:space="preserve">International Development Statistics </w:t>
      </w:r>
      <w:r w:rsidR="00811FD9">
        <w:t xml:space="preserve">(IDS) </w:t>
      </w:r>
      <w:r w:rsidRPr="001365B0">
        <w:t xml:space="preserve">online databases, which also tracks humanitarian aid and is managed by the Organisation for Economic Co-operation and Development </w:t>
      </w:r>
      <w:r w:rsidR="00BD1142" w:rsidRPr="001365B0">
        <w:fldChar w:fldCharType="begin" w:fldLock="1"/>
      </w:r>
      <w:r w:rsidR="00B8710E">
        <w:instrText>ADDIN CSL_CITATION {"citationItems":[{"id":"ITEM-1","itemData":{"URL":"http://www.oecd.org/","accessed":{"date-parts":[["2017","1","8"]]},"author":[{"dropping-particle":"","family":"OECD","given":"","non-dropping-particle":"","parse-names":false,"suffix":""}],"editor":[{"dropping-particle":"","family":"Organisation for Economic Co-operation and Development (OECD)","given":"","non-dropping-particle":"","parse-names":false,"suffix":""}],"id":"ITEM-1","issue":"08 January 2017","issued":{"date-parts":[["2017"]]},"language":"English","title":"Organisation for Economic Co-operation and Development (OECD)","type":"webpage","volume":"2017"},"uris":["http://www.mendeley.com/documents/?uuid=ec8c7048-41e4-44b0-92a7-6fcee08626c4"]}],"mendeley":{"formattedCitation":"(OECD, 2017b)","plainTextFormattedCitation":"(OECD, 2017b)","previouslyFormattedCitation":"(OECD, 2017b)"},"properties":{"noteIndex":0},"schema":"https://github.com/citation-style-language/schema/raw/master/csl-citation.json"}</w:instrText>
      </w:r>
      <w:r w:rsidR="00BD1142" w:rsidRPr="001365B0">
        <w:fldChar w:fldCharType="separate"/>
      </w:r>
      <w:r w:rsidR="00B8710E" w:rsidRPr="00B8710E">
        <w:rPr>
          <w:noProof/>
        </w:rPr>
        <w:t>(OECD, 2017b)</w:t>
      </w:r>
      <w:r w:rsidR="00BD1142" w:rsidRPr="001365B0">
        <w:fldChar w:fldCharType="end"/>
      </w:r>
      <w:r w:rsidR="00BD1142" w:rsidRPr="001365B0">
        <w:t>.</w:t>
      </w:r>
    </w:p>
    <w:p w14:paraId="51BCD7DB" w14:textId="7D3D75B3" w:rsidR="00C61ACD" w:rsidRDefault="0078057A" w:rsidP="004B4F6B">
      <w:pPr>
        <w:pStyle w:val="Text01"/>
      </w:pPr>
      <w:r>
        <w:t>Scrubbing and data exploration involved</w:t>
      </w:r>
      <w:r w:rsidR="00CF09F8" w:rsidRPr="001365B0">
        <w:t xml:space="preserve"> rationalising, reclassifying, consolidating and aggregating</w:t>
      </w:r>
      <w:r w:rsidR="005E50DC">
        <w:t xml:space="preserve"> data from these sources into a cohesive </w:t>
      </w:r>
      <w:r w:rsidR="00CF09F8" w:rsidRPr="001365B0">
        <w:t>whole. This inevitably meant sacrificing detail and nuance as potentially valuable data points, discarded for consistency and coherence and reclassifications and summations, concealed the possibility of useful micro-patterns in the data.</w:t>
      </w:r>
      <w:r w:rsidRPr="001365B0">
        <w:t xml:space="preserve"> </w:t>
      </w:r>
      <w:r w:rsidR="00CF09F8" w:rsidRPr="001365B0">
        <w:fldChar w:fldCharType="begin"/>
      </w:r>
      <w:r w:rsidR="00CF09F8" w:rsidRPr="001365B0">
        <w:instrText xml:space="preserve"> REF _Ref6080358 \h </w:instrText>
      </w:r>
      <w:r w:rsidR="00202B99">
        <w:instrText xml:space="preserve"> \* MERGEFORMAT </w:instrText>
      </w:r>
      <w:r w:rsidR="00CF09F8" w:rsidRPr="001365B0">
        <w:fldChar w:fldCharType="separate"/>
      </w:r>
      <w:r w:rsidR="00BA1A2B" w:rsidRPr="001365B0">
        <w:t xml:space="preserve">Figure </w:t>
      </w:r>
      <w:r w:rsidR="00BA1A2B">
        <w:t>2</w:t>
      </w:r>
      <w:r w:rsidR="00CF09F8" w:rsidRPr="001365B0">
        <w:fldChar w:fldCharType="end"/>
      </w:r>
      <w:r w:rsidR="00CF09F8" w:rsidRPr="001365B0">
        <w:t xml:space="preserve"> illustrates the steps taken to build a coherent view of disasters and marry these integrated data to available humanitarian aid data. </w:t>
      </w:r>
      <w:r w:rsidR="00C61ACD" w:rsidRPr="001365B0">
        <w:t xml:space="preserve">At each step, visibility was lost, either because the source withholds potentially valuable </w:t>
      </w:r>
      <w:proofErr w:type="gramStart"/>
      <w:r w:rsidR="00C61ACD" w:rsidRPr="001365B0">
        <w:t>information</w:t>
      </w:r>
      <w:proofErr w:type="gramEnd"/>
      <w:r w:rsidR="00C61ACD" w:rsidRPr="001365B0">
        <w:t xml:space="preserve"> </w:t>
      </w:r>
      <w:r w:rsidR="00C61ACD" w:rsidRPr="001365B0">
        <w:rPr>
          <w:i/>
        </w:rPr>
        <w:t>or</w:t>
      </w:r>
      <w:r w:rsidR="00C61ACD" w:rsidRPr="001365B0">
        <w:t xml:space="preserve"> the process of integration necessitates decisions in favour of compatibility and coherence. </w:t>
      </w:r>
    </w:p>
    <w:p w14:paraId="458A6C80" w14:textId="77777777" w:rsidR="00CF09F8" w:rsidRPr="001365B0" w:rsidRDefault="00CF09F8" w:rsidP="008F3178"/>
    <w:p w14:paraId="6A7131C1" w14:textId="77777777" w:rsidR="00CF09F8" w:rsidRPr="001365B0" w:rsidRDefault="00CF09F8" w:rsidP="008F3178">
      <w:pPr>
        <w:sectPr w:rsidR="00CF09F8" w:rsidRPr="001365B0" w:rsidSect="00612205">
          <w:pgSz w:w="11906" w:h="16838"/>
          <w:pgMar w:top="1440" w:right="1440" w:bottom="1440" w:left="1440" w:header="709" w:footer="709" w:gutter="0"/>
          <w:cols w:space="708"/>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0"/>
      </w:tblGrid>
      <w:tr w:rsidR="00CF09F8" w:rsidRPr="001365B0" w14:paraId="63E9DB4C" w14:textId="77777777" w:rsidTr="00525EBE">
        <w:trPr>
          <w:jc w:val="center"/>
        </w:trPr>
        <w:tc>
          <w:tcPr>
            <w:tcW w:w="5000" w:type="pct"/>
          </w:tcPr>
          <w:p w14:paraId="138EAF5A" w14:textId="77777777" w:rsidR="00CF09F8" w:rsidRPr="001365B0" w:rsidRDefault="00CF09F8" w:rsidP="008F3178">
            <w:pPr>
              <w:spacing w:before="0" w:after="0" w:line="240" w:lineRule="auto"/>
              <w:jc w:val="center"/>
              <w:rPr>
                <w:sz w:val="16"/>
              </w:rPr>
            </w:pPr>
            <w:r w:rsidRPr="001365B0">
              <w:rPr>
                <w:noProof/>
                <w:sz w:val="16"/>
                <w:lang w:eastAsia="en-GB"/>
              </w:rPr>
              <w:lastRenderedPageBreak/>
              <w:drawing>
                <wp:inline distT="0" distB="0" distL="0" distR="0" wp14:anchorId="135025B9" wp14:editId="30A9CF9C">
                  <wp:extent cx="9180000" cy="6394103"/>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illation_v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80000" cy="6394103"/>
                          </a:xfrm>
                          <a:prstGeom prst="rect">
                            <a:avLst/>
                          </a:prstGeom>
                        </pic:spPr>
                      </pic:pic>
                    </a:graphicData>
                  </a:graphic>
                </wp:inline>
              </w:drawing>
            </w:r>
          </w:p>
        </w:tc>
      </w:tr>
    </w:tbl>
    <w:p w14:paraId="1D8ED704" w14:textId="47F539D9" w:rsidR="00CF09F8" w:rsidRPr="001365B0" w:rsidRDefault="00CF09F8" w:rsidP="00C61ACD">
      <w:pPr>
        <w:pStyle w:val="Caption"/>
        <w:spacing w:after="0"/>
        <w:rPr>
          <w:b w:val="0"/>
          <w:sz w:val="4"/>
          <w:szCs w:val="4"/>
        </w:rPr>
      </w:pPr>
      <w:bookmarkStart w:id="1" w:name="_Ref6080358"/>
      <w:r w:rsidRPr="001365B0">
        <w:t xml:space="preserve">Figure </w:t>
      </w:r>
      <w:r w:rsidR="00AA525D">
        <w:fldChar w:fldCharType="begin"/>
      </w:r>
      <w:r w:rsidR="00AA525D">
        <w:instrText xml:space="preserve"> SEQ Figure \* ARABIC </w:instrText>
      </w:r>
      <w:r w:rsidR="00AA525D">
        <w:fldChar w:fldCharType="separate"/>
      </w:r>
      <w:r w:rsidR="00BA1A2B">
        <w:rPr>
          <w:noProof/>
        </w:rPr>
        <w:t>2</w:t>
      </w:r>
      <w:r w:rsidR="00AA525D">
        <w:rPr>
          <w:noProof/>
        </w:rPr>
        <w:fldChar w:fldCharType="end"/>
      </w:r>
      <w:bookmarkEnd w:id="1"/>
      <w:r w:rsidRPr="001365B0">
        <w:t xml:space="preserve">: </w:t>
      </w:r>
      <w:r w:rsidRPr="001365B0">
        <w:rPr>
          <w:b w:val="0"/>
        </w:rPr>
        <w:t>Bringing Together Disaster Data and Humanitarian Aid Data</w:t>
      </w:r>
    </w:p>
    <w:p w14:paraId="0BDB7738" w14:textId="77777777" w:rsidR="00CF09F8" w:rsidRPr="001365B0" w:rsidRDefault="00CF09F8" w:rsidP="008F3178">
      <w:pPr>
        <w:spacing w:after="0" w:line="240" w:lineRule="auto"/>
        <w:sectPr w:rsidR="00CF09F8" w:rsidRPr="001365B0" w:rsidSect="00525EBE">
          <w:pgSz w:w="16840" w:h="11900" w:orient="landscape"/>
          <w:pgMar w:top="720" w:right="720" w:bottom="720" w:left="720" w:header="720" w:footer="720" w:gutter="0"/>
          <w:cols w:space="720"/>
          <w:docGrid w:linePitch="360"/>
        </w:sectPr>
      </w:pPr>
    </w:p>
    <w:p w14:paraId="1F4D571D" w14:textId="7FDD455F" w:rsidR="00563169" w:rsidRDefault="00563169" w:rsidP="004B4F6B">
      <w:pPr>
        <w:pStyle w:val="Text01"/>
      </w:pPr>
      <w:r>
        <w:lastRenderedPageBreak/>
        <w:t xml:space="preserve">To demonstrate the scale of data abandoned or modified in pursuit of conformity and cohesion we elucidate the steps </w:t>
      </w:r>
      <w:r w:rsidRPr="001365B0">
        <w:t>taken in synth</w:t>
      </w:r>
      <w:r>
        <w:t>esising the datasets.</w:t>
      </w:r>
    </w:p>
    <w:p w14:paraId="67CA8B4A" w14:textId="77777777" w:rsidR="00E76A87" w:rsidRPr="001365B0" w:rsidRDefault="00E76A87" w:rsidP="00C8447F">
      <w:pPr>
        <w:pStyle w:val="Heading3"/>
        <w:rPr>
          <w:b w:val="0"/>
        </w:rPr>
      </w:pPr>
      <w:r w:rsidRPr="001365B0">
        <w:t>Step 1: Developing a Global View of Disasters caused by Nature or Accidents</w:t>
      </w:r>
    </w:p>
    <w:p w14:paraId="604E9110" w14:textId="56401956" w:rsidR="00E76A87" w:rsidRPr="001365B0" w:rsidRDefault="00E76A87" w:rsidP="004B4F6B">
      <w:pPr>
        <w:pStyle w:val="Text01"/>
      </w:pPr>
      <w:r w:rsidRPr="001365B0">
        <w:t xml:space="preserve">This step entailed bringing together EM-DAT and the DesInventar datasets to create an initial Master Set of Global Disasters (MSGD) and a standardised Master Disaster Classification (MDC) dataset </w:t>
      </w:r>
      <w:r w:rsidRPr="001365B0">
        <w:fldChar w:fldCharType="begin" w:fldLock="1"/>
      </w:r>
      <w:r w:rsidR="008E0F63">
        <w:instrText>ADDIN CSL_CITATION {"citationItems":[{"id":"ITEM-1","itemData":{"URL":"http://www.desinventar.net","accessed":{"date-parts":[["2017","1","7"]]},"author":[{"dropping-particle":"","family":"DesInventar","given":"","non-dropping-particle":"","parse-names":false,"suffix":""}],"container-title":"Network of Social Studies in the Prevention of Disasters in Latin America (Red de Estudios Sociales en Prevención de Desastres en América Latina - LA RED)","editor":[{"dropping-particle":"","family":"RED","given":"","non-dropping-particle":"LA","parse-names":false,"suffix":""}],"id":"ITEM-1","issue":"08 January 2017","issued":{"date-parts":[["2017"]]},"language":"English","publisher":"UNISDR - Risk Knowledge Section","publisher-place":"Geneva, Switzerland","title":"Disaster Information Management System - OnLine Database","type":"webpage","volume":"2017"},"uris":["http://www.mendeley.com/documents/?uuid=5857f3c4-8e04-43ea-b813-afb18df75f83"]},{"id":"ITEM-2","itemData":{"URL":"http://emdat.be","accessed":{"date-parts":[["2016","8","16"]]},"author":[{"dropping-particle":"","family":"Guha-Sapir","given":"D","non-dropping-particle":"","parse-names":false,"suffix":""},{"dropping-particle":"","family":"Below","given":"R","non-dropping-particle":"","parse-names":false,"suffix":""},{"dropping-particle":"","family":"Hoyois","given":"Ph","non-dropping-particle":"","parse-names":false,"suffix":""}],"container-title":"EM-DAT","editor":[{"dropping-particle":"de","family":"Louvain","given":"Université Catholique","non-dropping-particle":"","parse-names":false,"suffix":""}],"id":"ITEM-2","issue":"12 January 2017","issued":{"date-parts":[["2017"]]},"language":"English","publisher":"Centre for Research on the Epidemiology of Disasters (CRED)","publisher-place":"Brussels, Belgium","title":"Emergency Events Database (EM-DAT): The CRED/OFDA International Disaster Database","type":"webpage","volume":"2017"},"uris":["http://www.mendeley.com/documents/?uuid=ca558a2a-52c2-4ed0-90a8-733216941bb8"]}],"mendeley":{"formattedCitation":"(DesInventar, 2017; Guha-Sapir et al., 2017)","plainTextFormattedCitation":"(DesInventar, 2017; Guha-Sapir et al., 2017)","previouslyFormattedCitation":"(DesInventar, 2017; Guha-Sapir et al., 2017)"},"properties":{"noteIndex":0},"schema":"https://github.com/citation-style-language/schema/raw/master/csl-citation.json"}</w:instrText>
      </w:r>
      <w:r w:rsidRPr="001365B0">
        <w:fldChar w:fldCharType="separate"/>
      </w:r>
      <w:r w:rsidR="00A30021" w:rsidRPr="00A30021">
        <w:rPr>
          <w:noProof/>
        </w:rPr>
        <w:t>(DesInventar, 2017; Guha-Sapir et al., 2017)</w:t>
      </w:r>
      <w:r w:rsidRPr="001365B0">
        <w:fldChar w:fldCharType="end"/>
      </w:r>
      <w:r w:rsidRPr="001365B0">
        <w:t xml:space="preserve">. The latter of these, the MDC, being based on the Integrated Research on Disaster Risk Peril Classification and Hazard Glossary </w:t>
      </w:r>
      <w:r w:rsidRPr="001365B0">
        <w:fldChar w:fldCharType="begin" w:fldLock="1"/>
      </w:r>
      <w:r w:rsidRPr="001365B0">
        <w:instrText>ADDIN CSL_CITATION {"citationItems":[{"id":"ITEM-1","itemData":{"ISBN":"Report No 1","author":[{"dropping-particle":"","family":"IRDR","given":"","non-dropping-particle":"","parse-names":false,"suffix":""}],"container-title":"Data Project Report n°1","editor":[{"dropping-particle":"","family":"Integrated Research on Disaster Risk (IRDR)","given":"","non-dropping-particle":"","parse-names":false,"suffix":""}],"id":"ITEM-1","issued":{"date-parts":[["2014"]]},"language":"English","number-of-pages":"28","publisher":"International Social Science Council (ISSC); United Nations International Strategy for Disaster Reduction (UNISDR)","publisher-place":"Beijing, China","title":"Peril Classification and Hazard Glossary","type":"report"},"uris":["http://www.mendeley.com/documents/?uuid=d6123b0e-f12a-48e1-a4da-4cf7257b4d14"]}],"mendeley":{"formattedCitation":"(IRDR, 2014)","plainTextFormattedCitation":"(IRDR, 2014)","previouslyFormattedCitation":"(IRDR, 2014)"},"properties":{"noteIndex":0},"schema":"https://github.com/citation-style-language/schema/raw/master/csl-citation.json"}</w:instrText>
      </w:r>
      <w:r w:rsidRPr="001365B0">
        <w:fldChar w:fldCharType="separate"/>
      </w:r>
      <w:r w:rsidRPr="001365B0">
        <w:rPr>
          <w:noProof/>
        </w:rPr>
        <w:t>(IRDR, 2014)</w:t>
      </w:r>
      <w:r w:rsidRPr="001365B0">
        <w:fldChar w:fldCharType="end"/>
      </w:r>
      <w:r w:rsidRPr="001365B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329"/>
        <w:gridCol w:w="2627"/>
        <w:gridCol w:w="553"/>
        <w:gridCol w:w="2957"/>
      </w:tblGrid>
      <w:tr w:rsidR="00E76A87" w:rsidRPr="00E33B6B" w14:paraId="3871460C" w14:textId="77777777" w:rsidTr="0032604E">
        <w:tc>
          <w:tcPr>
            <w:tcW w:w="1411"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41200454" w14:textId="77777777" w:rsidR="00E76A87" w:rsidRPr="00E33B6B" w:rsidRDefault="00E76A87" w:rsidP="0032604E">
            <w:pPr>
              <w:spacing w:before="0" w:after="0"/>
              <w:jc w:val="center"/>
              <w:rPr>
                <w:b/>
                <w:sz w:val="22"/>
                <w:szCs w:val="22"/>
              </w:rPr>
            </w:pPr>
            <w:r w:rsidRPr="00E33B6B">
              <w:rPr>
                <w:b/>
                <w:sz w:val="22"/>
                <w:szCs w:val="22"/>
              </w:rPr>
              <w:t>EM-DAT</w:t>
            </w:r>
          </w:p>
        </w:tc>
        <w:tc>
          <w:tcPr>
            <w:tcW w:w="182" w:type="pct"/>
            <w:tcBorders>
              <w:left w:val="single" w:sz="4" w:space="0" w:color="948A54" w:themeColor="background2" w:themeShade="80"/>
              <w:right w:val="single" w:sz="4" w:space="0" w:color="948A54" w:themeColor="background2" w:themeShade="80"/>
            </w:tcBorders>
            <w:vAlign w:val="center"/>
          </w:tcPr>
          <w:p w14:paraId="0452EB7A" w14:textId="77777777" w:rsidR="00E76A87" w:rsidRPr="00E33B6B" w:rsidRDefault="00E76A87" w:rsidP="0032604E">
            <w:pPr>
              <w:spacing w:before="0" w:after="0"/>
              <w:jc w:val="center"/>
              <w:rPr>
                <w:b/>
                <w:sz w:val="22"/>
                <w:szCs w:val="22"/>
              </w:rPr>
            </w:pPr>
            <w:r w:rsidRPr="00E33B6B">
              <w:rPr>
                <w:b/>
                <w:sz w:val="22"/>
                <w:szCs w:val="22"/>
              </w:rPr>
              <w:t>+</w:t>
            </w:r>
          </w:p>
        </w:tc>
        <w:tc>
          <w:tcPr>
            <w:tcW w:w="1458"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7C205C71" w14:textId="77777777" w:rsidR="00E76A87" w:rsidRPr="00E33B6B" w:rsidRDefault="00E76A87" w:rsidP="0032604E">
            <w:pPr>
              <w:spacing w:before="0" w:after="0"/>
              <w:jc w:val="center"/>
              <w:rPr>
                <w:b/>
                <w:sz w:val="22"/>
                <w:szCs w:val="22"/>
              </w:rPr>
            </w:pPr>
            <w:r w:rsidRPr="00E33B6B">
              <w:rPr>
                <w:b/>
                <w:sz w:val="22"/>
                <w:szCs w:val="22"/>
              </w:rPr>
              <w:t>DesInventar</w:t>
            </w:r>
          </w:p>
        </w:tc>
        <w:tc>
          <w:tcPr>
            <w:tcW w:w="307" w:type="pct"/>
            <w:tcBorders>
              <w:left w:val="single" w:sz="4" w:space="0" w:color="948A54" w:themeColor="background2" w:themeShade="80"/>
              <w:right w:val="single" w:sz="4" w:space="0" w:color="948A54" w:themeColor="background2" w:themeShade="80"/>
            </w:tcBorders>
            <w:vAlign w:val="center"/>
          </w:tcPr>
          <w:p w14:paraId="008752F1" w14:textId="77777777" w:rsidR="00E76A87" w:rsidRPr="00E33B6B" w:rsidRDefault="00E76A87" w:rsidP="0032604E">
            <w:pPr>
              <w:spacing w:before="0" w:after="0"/>
              <w:jc w:val="center"/>
              <w:rPr>
                <w:b/>
                <w:sz w:val="22"/>
                <w:szCs w:val="22"/>
              </w:rPr>
            </w:pPr>
            <w:r w:rsidRPr="00E33B6B">
              <w:rPr>
                <w:b/>
                <w:sz w:val="22"/>
                <w:szCs w:val="22"/>
              </w:rPr>
              <w:sym w:font="Wingdings" w:char="F0E8"/>
            </w:r>
          </w:p>
        </w:tc>
        <w:tc>
          <w:tcPr>
            <w:tcW w:w="1641"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62858CA3" w14:textId="77777777" w:rsidR="00E76A87" w:rsidRPr="00E33B6B" w:rsidRDefault="00E76A87" w:rsidP="0032604E">
            <w:pPr>
              <w:spacing w:before="0" w:after="0"/>
              <w:jc w:val="center"/>
              <w:rPr>
                <w:b/>
                <w:sz w:val="22"/>
                <w:szCs w:val="22"/>
              </w:rPr>
            </w:pPr>
            <w:r w:rsidRPr="00E33B6B">
              <w:rPr>
                <w:b/>
                <w:sz w:val="22"/>
                <w:szCs w:val="22"/>
              </w:rPr>
              <w:t>MSGD1 (MDC1)</w:t>
            </w:r>
          </w:p>
        </w:tc>
      </w:tr>
      <w:tr w:rsidR="00E76A87" w:rsidRPr="00E33B6B" w14:paraId="2B7FD5AF" w14:textId="77777777" w:rsidTr="0032604E">
        <w:tc>
          <w:tcPr>
            <w:tcW w:w="1411"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6C9910D3"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22,011 unique rows</w:t>
            </w:r>
          </w:p>
          <w:p w14:paraId="47276005"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1 Row = Year/Country/Event</w:t>
            </w:r>
          </w:p>
          <w:p w14:paraId="4C9B72E9" w14:textId="77777777" w:rsidR="00E76A87" w:rsidRPr="00E33B6B" w:rsidRDefault="00E76A87" w:rsidP="0032604E">
            <w:pPr>
              <w:spacing w:before="0" w:after="0" w:line="240" w:lineRule="auto"/>
              <w:jc w:val="center"/>
              <w:rPr>
                <w:rFonts w:ascii="Corbel" w:hAnsi="Corbel" w:cs="Corbel"/>
                <w:iCs/>
                <w:color w:val="000000"/>
                <w:sz w:val="16"/>
                <w:szCs w:val="16"/>
              </w:rPr>
            </w:pPr>
            <w:proofErr w:type="gramStart"/>
            <w:r w:rsidRPr="00E33B6B">
              <w:rPr>
                <w:rFonts w:ascii="Corbel" w:hAnsi="Corbel" w:cs="Corbel"/>
                <w:iCs/>
                <w:color w:val="000000"/>
                <w:sz w:val="16"/>
                <w:szCs w:val="16"/>
              </w:rPr>
              <w:t>9  variables</w:t>
            </w:r>
            <w:proofErr w:type="gramEnd"/>
            <w:r w:rsidRPr="00E33B6B">
              <w:rPr>
                <w:rFonts w:ascii="Corbel" w:hAnsi="Corbel" w:cs="Corbel"/>
                <w:iCs/>
                <w:color w:val="000000"/>
                <w:sz w:val="16"/>
                <w:szCs w:val="16"/>
              </w:rPr>
              <w:t xml:space="preserve"> accessible</w:t>
            </w:r>
          </w:p>
          <w:p w14:paraId="02943F59"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23 MDC disaster classes</w:t>
            </w:r>
          </w:p>
          <w:p w14:paraId="0C4EDFA0"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215 Countries (ISO 3166 compliant)</w:t>
            </w:r>
          </w:p>
          <w:p w14:paraId="48E5A9A2" w14:textId="77777777" w:rsidR="00E76A87" w:rsidRPr="00E33B6B" w:rsidRDefault="00E76A87" w:rsidP="0032604E">
            <w:pPr>
              <w:spacing w:before="0" w:after="0" w:line="240" w:lineRule="auto"/>
              <w:jc w:val="center"/>
              <w:rPr>
                <w:b/>
                <w:sz w:val="16"/>
                <w:szCs w:val="20"/>
              </w:rPr>
            </w:pPr>
            <w:r w:rsidRPr="00E33B6B">
              <w:rPr>
                <w:rFonts w:ascii="Corbel" w:hAnsi="Corbel" w:cs="Corbel"/>
                <w:iCs/>
                <w:color w:val="000000"/>
                <w:sz w:val="16"/>
                <w:szCs w:val="16"/>
              </w:rPr>
              <w:t>1900 – 2015</w:t>
            </w:r>
          </w:p>
        </w:tc>
        <w:tc>
          <w:tcPr>
            <w:tcW w:w="182" w:type="pct"/>
            <w:tcBorders>
              <w:left w:val="single" w:sz="4" w:space="0" w:color="948A54" w:themeColor="background2" w:themeShade="80"/>
              <w:right w:val="single" w:sz="4" w:space="0" w:color="948A54" w:themeColor="background2" w:themeShade="80"/>
            </w:tcBorders>
          </w:tcPr>
          <w:p w14:paraId="2DA998A4" w14:textId="77777777" w:rsidR="00E76A87" w:rsidRPr="00E33B6B" w:rsidRDefault="00E76A87" w:rsidP="0032604E">
            <w:pPr>
              <w:spacing w:before="0" w:after="0"/>
              <w:rPr>
                <w:b/>
                <w:sz w:val="16"/>
                <w:szCs w:val="20"/>
              </w:rPr>
            </w:pPr>
          </w:p>
        </w:tc>
        <w:tc>
          <w:tcPr>
            <w:tcW w:w="1458"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5E518C3D"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322,489 unique (from 1,178,753) rows</w:t>
            </w:r>
          </w:p>
          <w:p w14:paraId="797DF6FE"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 xml:space="preserve">1 Row </w:t>
            </w:r>
            <w:proofErr w:type="gramStart"/>
            <w:r w:rsidRPr="00E33B6B">
              <w:rPr>
                <w:rFonts w:ascii="Corbel" w:hAnsi="Corbel" w:cs="Corbel"/>
                <w:iCs/>
                <w:color w:val="000000"/>
                <w:sz w:val="16"/>
                <w:szCs w:val="16"/>
              </w:rPr>
              <w:t>=  Date</w:t>
            </w:r>
            <w:proofErr w:type="gramEnd"/>
            <w:r w:rsidRPr="00E33B6B">
              <w:rPr>
                <w:rFonts w:ascii="Corbel" w:hAnsi="Corbel" w:cs="Corbel"/>
                <w:iCs/>
                <w:color w:val="000000"/>
                <w:sz w:val="16"/>
                <w:szCs w:val="16"/>
              </w:rPr>
              <w:t>/Country/Event</w:t>
            </w:r>
          </w:p>
          <w:p w14:paraId="7079719F"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17 usable variables</w:t>
            </w:r>
          </w:p>
          <w:p w14:paraId="7E08CAA2"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91 MDC disaster classes</w:t>
            </w:r>
          </w:p>
          <w:p w14:paraId="32529C04"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95 Countries (ISO 3166 compliant)</w:t>
            </w:r>
          </w:p>
          <w:p w14:paraId="26382656" w14:textId="77777777" w:rsidR="00E76A87" w:rsidRPr="00E33B6B" w:rsidRDefault="00E76A87" w:rsidP="0032604E">
            <w:pPr>
              <w:spacing w:before="0" w:after="0" w:line="240" w:lineRule="auto"/>
              <w:jc w:val="center"/>
              <w:rPr>
                <w:b/>
                <w:sz w:val="16"/>
                <w:szCs w:val="20"/>
              </w:rPr>
            </w:pPr>
            <w:r w:rsidRPr="00E33B6B">
              <w:rPr>
                <w:rFonts w:ascii="Corbel" w:hAnsi="Corbel" w:cs="Corbel"/>
                <w:iCs/>
                <w:color w:val="000000"/>
                <w:sz w:val="16"/>
                <w:szCs w:val="16"/>
              </w:rPr>
              <w:t>1200 – 2017</w:t>
            </w:r>
          </w:p>
        </w:tc>
        <w:tc>
          <w:tcPr>
            <w:tcW w:w="307" w:type="pct"/>
            <w:tcBorders>
              <w:left w:val="single" w:sz="4" w:space="0" w:color="948A54" w:themeColor="background2" w:themeShade="80"/>
              <w:right w:val="single" w:sz="4" w:space="0" w:color="948A54" w:themeColor="background2" w:themeShade="80"/>
            </w:tcBorders>
          </w:tcPr>
          <w:p w14:paraId="532385C3" w14:textId="77777777" w:rsidR="00E76A87" w:rsidRPr="00E33B6B" w:rsidRDefault="00E76A87" w:rsidP="0032604E">
            <w:pPr>
              <w:spacing w:before="0" w:after="0"/>
              <w:rPr>
                <w:b/>
                <w:sz w:val="16"/>
                <w:szCs w:val="20"/>
              </w:rPr>
            </w:pPr>
          </w:p>
        </w:tc>
        <w:tc>
          <w:tcPr>
            <w:tcW w:w="1641"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14CF5F7C"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344,500 unique rows</w:t>
            </w:r>
          </w:p>
          <w:p w14:paraId="728EE31F"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1 Row = Year/Country/Event</w:t>
            </w:r>
          </w:p>
          <w:p w14:paraId="6EAC1C9D" w14:textId="77777777" w:rsidR="00E76A87" w:rsidRPr="00E33B6B" w:rsidRDefault="00E76A87" w:rsidP="0032604E">
            <w:pPr>
              <w:spacing w:before="0" w:after="0" w:line="240" w:lineRule="auto"/>
              <w:jc w:val="center"/>
              <w:rPr>
                <w:rFonts w:ascii="Corbel" w:hAnsi="Corbel" w:cs="Corbel"/>
                <w:iCs/>
                <w:color w:val="000000"/>
                <w:sz w:val="16"/>
                <w:szCs w:val="16"/>
              </w:rPr>
            </w:pPr>
            <w:proofErr w:type="gramStart"/>
            <w:r w:rsidRPr="00E33B6B">
              <w:rPr>
                <w:rFonts w:ascii="Corbel" w:hAnsi="Corbel" w:cs="Corbel"/>
                <w:iCs/>
                <w:color w:val="000000"/>
                <w:sz w:val="16"/>
                <w:szCs w:val="16"/>
              </w:rPr>
              <w:t>9  variables</w:t>
            </w:r>
            <w:proofErr w:type="gramEnd"/>
            <w:r w:rsidRPr="00E33B6B">
              <w:rPr>
                <w:rFonts w:ascii="Corbel" w:hAnsi="Corbel" w:cs="Corbel"/>
                <w:iCs/>
                <w:color w:val="000000"/>
                <w:sz w:val="16"/>
                <w:szCs w:val="16"/>
              </w:rPr>
              <w:t xml:space="preserve"> (derived or mapped)</w:t>
            </w:r>
          </w:p>
          <w:p w14:paraId="5BD292B8"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97 MDC disaster classes</w:t>
            </w:r>
          </w:p>
          <w:p w14:paraId="38537509" w14:textId="77777777" w:rsidR="00E76A87" w:rsidRPr="00E33B6B" w:rsidRDefault="00E76A87" w:rsidP="0032604E">
            <w:pPr>
              <w:spacing w:before="0" w:after="0" w:line="240" w:lineRule="auto"/>
              <w:jc w:val="center"/>
              <w:rPr>
                <w:rFonts w:ascii="Corbel" w:hAnsi="Corbel" w:cs="Corbel"/>
                <w:iCs/>
                <w:color w:val="000000"/>
                <w:sz w:val="16"/>
                <w:szCs w:val="16"/>
              </w:rPr>
            </w:pPr>
            <w:r w:rsidRPr="00E33B6B">
              <w:rPr>
                <w:rFonts w:ascii="Corbel" w:hAnsi="Corbel" w:cs="Corbel"/>
                <w:iCs/>
                <w:color w:val="000000"/>
                <w:sz w:val="16"/>
                <w:szCs w:val="16"/>
              </w:rPr>
              <w:t>216 Countries (ISO 3166 compliant)</w:t>
            </w:r>
          </w:p>
          <w:p w14:paraId="74BDAC17" w14:textId="77777777" w:rsidR="00E76A87" w:rsidRPr="00E33B6B" w:rsidRDefault="00E76A87" w:rsidP="0032604E">
            <w:pPr>
              <w:keepNext/>
              <w:spacing w:before="0" w:after="0" w:line="240" w:lineRule="auto"/>
              <w:jc w:val="center"/>
              <w:rPr>
                <w:b/>
                <w:sz w:val="16"/>
                <w:szCs w:val="20"/>
              </w:rPr>
            </w:pPr>
            <w:r w:rsidRPr="00E33B6B">
              <w:rPr>
                <w:rFonts w:ascii="Corbel" w:hAnsi="Corbel" w:cs="Corbel"/>
                <w:iCs/>
                <w:color w:val="000000"/>
                <w:sz w:val="16"/>
                <w:szCs w:val="16"/>
              </w:rPr>
              <w:t>1200 – 2017</w:t>
            </w:r>
          </w:p>
        </w:tc>
      </w:tr>
    </w:tbl>
    <w:p w14:paraId="623560A1" w14:textId="169020B7" w:rsidR="00E76A87" w:rsidRPr="001365B0" w:rsidRDefault="00E76A87" w:rsidP="00E76A87">
      <w:pPr>
        <w:pStyle w:val="Caption"/>
      </w:pPr>
      <w:r w:rsidRPr="001365B0">
        <w:t xml:space="preserve">Figure </w:t>
      </w:r>
      <w:r w:rsidR="00AA525D">
        <w:fldChar w:fldCharType="begin"/>
      </w:r>
      <w:r w:rsidR="00AA525D">
        <w:instrText xml:space="preserve"> SEQ Figure \* ARABIC </w:instrText>
      </w:r>
      <w:r w:rsidR="00AA525D">
        <w:fldChar w:fldCharType="separate"/>
      </w:r>
      <w:r w:rsidR="00BA1A2B">
        <w:rPr>
          <w:noProof/>
        </w:rPr>
        <w:t>3</w:t>
      </w:r>
      <w:r w:rsidR="00AA525D">
        <w:rPr>
          <w:noProof/>
        </w:rPr>
        <w:fldChar w:fldCharType="end"/>
      </w:r>
      <w:r w:rsidRPr="001365B0">
        <w:t xml:space="preserve">: </w:t>
      </w:r>
      <w:r w:rsidRPr="001365B0">
        <w:rPr>
          <w:b w:val="0"/>
        </w:rPr>
        <w:t xml:space="preserve">Humanitarian Crises caused by Nature or Accidents </w:t>
      </w:r>
      <w:r w:rsidRPr="001365B0">
        <w:rPr>
          <w:b w:val="0"/>
        </w:rPr>
        <w:sym w:font="Wingdings" w:char="F0E0"/>
      </w:r>
      <w:r w:rsidRPr="001365B0">
        <w:rPr>
          <w:b w:val="0"/>
        </w:rPr>
        <w:t xml:space="preserve"> Baseline MSGD and MDC</w:t>
      </w:r>
    </w:p>
    <w:p w14:paraId="34C8FA53" w14:textId="77777777" w:rsidR="00E76A87" w:rsidRPr="001365B0" w:rsidRDefault="00E76A87" w:rsidP="004B4F6B">
      <w:pPr>
        <w:pStyle w:val="Text01"/>
      </w:pPr>
      <w:r w:rsidRPr="001365B0">
        <w:t>Notably these two datasets were combined to provide a more comprehensive view of disasters cause by nature as both datasets have a limited overlap in the scale of disasters recorded. Ironically, the data loss in combining these datasets was significant and in showing this we classify the type of loss. Losses from EM-DAT:</w:t>
      </w:r>
    </w:p>
    <w:p w14:paraId="1D3802F8" w14:textId="77777777" w:rsidR="00E76A87" w:rsidRPr="001365B0" w:rsidRDefault="00E76A87" w:rsidP="00D9071C">
      <w:pPr>
        <w:pStyle w:val="List01"/>
      </w:pPr>
      <w:r w:rsidRPr="001365B0">
        <w:t>Only 9 accessible/usable variables from 49 documented variables (</w:t>
      </w:r>
      <w:r w:rsidRPr="00E72864">
        <w:rPr>
          <w:i/>
        </w:rPr>
        <w:t>loss of visibility</w:t>
      </w:r>
      <w:r w:rsidRPr="001365B0">
        <w:t>).</w:t>
      </w:r>
    </w:p>
    <w:p w14:paraId="08D69C25" w14:textId="519A03D4" w:rsidR="00E76A87" w:rsidRPr="001365B0" w:rsidRDefault="00E76A87" w:rsidP="00D9071C">
      <w:pPr>
        <w:pStyle w:val="List01"/>
      </w:pPr>
      <w:r w:rsidRPr="001365B0">
        <w:t xml:space="preserve">Only </w:t>
      </w:r>
      <w:r w:rsidRPr="00E72864">
        <w:rPr>
          <w:i/>
        </w:rPr>
        <w:t>Year</w:t>
      </w:r>
      <w:r w:rsidRPr="001365B0">
        <w:t xml:space="preserve"> is ‘reliably’ usable temporal data (</w:t>
      </w:r>
      <w:r w:rsidRPr="00E72864">
        <w:rPr>
          <w:i/>
        </w:rPr>
        <w:t>loss of specificity</w:t>
      </w:r>
      <w:r w:rsidRPr="001365B0">
        <w:t>).</w:t>
      </w:r>
    </w:p>
    <w:p w14:paraId="2C30E5D3" w14:textId="77777777" w:rsidR="00E76A87" w:rsidRPr="001365B0" w:rsidRDefault="00E76A87" w:rsidP="00D9071C">
      <w:pPr>
        <w:pStyle w:val="List01"/>
      </w:pPr>
      <w:r w:rsidRPr="001365B0">
        <w:t>119 disaster ‘types’ standardised to 23 MDC classifications (</w:t>
      </w:r>
      <w:r w:rsidRPr="00E72864">
        <w:rPr>
          <w:i/>
        </w:rPr>
        <w:t>loss of nuance</w:t>
      </w:r>
      <w:r w:rsidRPr="001365B0">
        <w:t>).</w:t>
      </w:r>
    </w:p>
    <w:p w14:paraId="6AED93D6" w14:textId="77777777" w:rsidR="00E76A87" w:rsidRPr="001365B0" w:rsidRDefault="00E76A87" w:rsidP="00D9071C">
      <w:pPr>
        <w:pStyle w:val="List01"/>
      </w:pPr>
      <w:r w:rsidRPr="001365B0">
        <w:t xml:space="preserve">250 country variants standardised to 215 </w:t>
      </w:r>
      <w:r w:rsidRPr="00E72864">
        <w:rPr>
          <w:i/>
        </w:rPr>
        <w:t>ISO 3166</w:t>
      </w:r>
      <w:r w:rsidRPr="001365B0">
        <w:t xml:space="preserve"> country codes </w:t>
      </w:r>
      <w:r w:rsidRPr="001365B0">
        <w:fldChar w:fldCharType="begin" w:fldLock="1"/>
      </w:r>
      <w:r w:rsidRPr="001365B0">
        <w:instrText>ADDIN CSL_CITATION {"citationItems":[{"id":"ITEM-1","itemData":{"URL":"http://www.iso.org/iso/home.html","accessed":{"date-parts":[["2017","1","9"]]},"author":[{"dropping-particle":"","family":"ISO","given":"","non-dropping-particle":"","parse-names":false,"suffix":""}],"editor":[{"dropping-particle":"","family":"International Organization for Standardization","given":"","non-dropping-particle":"","parse-names":false,"suffix":""}],"id":"ITEM-1","issued":{"date-parts":[["2017"]]},"language":"English","publisher":"ISO","title":"International Organization for Standardization","type":"webpage"},"uris":["http://www.mendeley.com/documents/?uuid=ef4dc76f-c2c2-4d52-8aed-a491586e5900"]}],"mendeley":{"formattedCitation":"(ISO, 2017)","plainTextFormattedCitation":"(ISO, 2017)","previouslyFormattedCitation":"(ISO, 2017)"},"properties":{"noteIndex":0},"schema":"https://github.com/citation-style-language/schema/raw/master/csl-citation.json"}</w:instrText>
      </w:r>
      <w:r w:rsidRPr="001365B0">
        <w:fldChar w:fldCharType="separate"/>
      </w:r>
      <w:r w:rsidRPr="001365B0">
        <w:rPr>
          <w:noProof/>
        </w:rPr>
        <w:t>(ISO, 2017)</w:t>
      </w:r>
      <w:r w:rsidRPr="001365B0">
        <w:fldChar w:fldCharType="end"/>
      </w:r>
      <w:r w:rsidRPr="001365B0">
        <w:t xml:space="preserve"> (</w:t>
      </w:r>
      <w:r w:rsidRPr="00E72864">
        <w:rPr>
          <w:i/>
        </w:rPr>
        <w:t>loss of historical changes to sovereignty/convention</w:t>
      </w:r>
      <w:r w:rsidRPr="001365B0">
        <w:t>).</w:t>
      </w:r>
    </w:p>
    <w:p w14:paraId="374D5DD2" w14:textId="77777777" w:rsidR="00E76A87" w:rsidRPr="001365B0" w:rsidRDefault="00E76A87" w:rsidP="008B0DF6">
      <w:pPr>
        <w:spacing w:after="0"/>
      </w:pPr>
      <w:r w:rsidRPr="001365B0">
        <w:t>Losses from DesInventar:</w:t>
      </w:r>
    </w:p>
    <w:p w14:paraId="2E151C7A" w14:textId="14B4CACA" w:rsidR="00E76A87" w:rsidRPr="001365B0" w:rsidRDefault="00E76A87" w:rsidP="004B4F6B">
      <w:pPr>
        <w:pStyle w:val="List01"/>
      </w:pPr>
      <w:r w:rsidRPr="001365B0">
        <w:t>Only 17 usable variables from the 1,592 uniquely named variables across the various datasets (</w:t>
      </w:r>
      <w:r w:rsidRPr="00E72864">
        <w:rPr>
          <w:i/>
        </w:rPr>
        <w:t xml:space="preserve">loss of </w:t>
      </w:r>
      <w:r w:rsidR="00C1772C" w:rsidRPr="00E72864">
        <w:rPr>
          <w:i/>
        </w:rPr>
        <w:t>visibility and nuance</w:t>
      </w:r>
      <w:r w:rsidRPr="001365B0">
        <w:t>).</w:t>
      </w:r>
    </w:p>
    <w:p w14:paraId="7AF25054" w14:textId="617BD6FA" w:rsidR="00E76A87" w:rsidRPr="001365B0" w:rsidRDefault="00E76A87" w:rsidP="004B4F6B">
      <w:pPr>
        <w:pStyle w:val="List01"/>
      </w:pPr>
      <w:r w:rsidRPr="001365B0">
        <w:t xml:space="preserve">Date is not consistently populated and only </w:t>
      </w:r>
      <w:r w:rsidRPr="00E72864">
        <w:rPr>
          <w:i/>
        </w:rPr>
        <w:t>Year</w:t>
      </w:r>
      <w:r w:rsidRPr="001365B0">
        <w:t xml:space="preserve"> is ‘reliably’ usable temporal data (</w:t>
      </w:r>
      <w:r w:rsidRPr="00E72864">
        <w:rPr>
          <w:i/>
        </w:rPr>
        <w:t xml:space="preserve">loss of </w:t>
      </w:r>
      <w:r w:rsidR="005454A2" w:rsidRPr="00E72864">
        <w:rPr>
          <w:i/>
        </w:rPr>
        <w:t>specificity</w:t>
      </w:r>
      <w:r w:rsidRPr="001365B0">
        <w:t>).</w:t>
      </w:r>
    </w:p>
    <w:p w14:paraId="3D00A8D1" w14:textId="5AD9A002" w:rsidR="00E76A87" w:rsidRPr="00E72864" w:rsidRDefault="00E76A87" w:rsidP="004B4F6B">
      <w:pPr>
        <w:pStyle w:val="List01"/>
        <w:rPr>
          <w:rFonts w:cstheme="minorHAnsi"/>
        </w:rPr>
      </w:pPr>
      <w:r w:rsidRPr="00E72864">
        <w:rPr>
          <w:i/>
        </w:rPr>
        <w:t>Deaths</w:t>
      </w:r>
      <w:r w:rsidRPr="001365B0">
        <w:t xml:space="preserve"> and </w:t>
      </w:r>
      <w:r w:rsidRPr="00E72864">
        <w:rPr>
          <w:i/>
        </w:rPr>
        <w:t>Missing</w:t>
      </w:r>
      <w:r w:rsidRPr="001365B0">
        <w:t xml:space="preserve"> combined to ‘Total Deaths’ for compatibility </w:t>
      </w:r>
      <w:r w:rsidRPr="00E72864">
        <w:rPr>
          <w:rFonts w:cstheme="minorHAnsi"/>
        </w:rPr>
        <w:t>(</w:t>
      </w:r>
      <w:r w:rsidRPr="00E72864">
        <w:rPr>
          <w:rFonts w:cstheme="minorHAnsi"/>
          <w:i/>
        </w:rPr>
        <w:t xml:space="preserve">loss of </w:t>
      </w:r>
      <w:r w:rsidR="005454A2" w:rsidRPr="00E72864">
        <w:rPr>
          <w:i/>
        </w:rPr>
        <w:t>specificity</w:t>
      </w:r>
      <w:r w:rsidR="005454A2">
        <w:rPr>
          <w:i/>
        </w:rPr>
        <w:t xml:space="preserve"> and detail</w:t>
      </w:r>
      <w:r w:rsidRPr="00E72864">
        <w:rPr>
          <w:rFonts w:cstheme="minorHAnsi"/>
        </w:rPr>
        <w:t>).</w:t>
      </w:r>
    </w:p>
    <w:p w14:paraId="5D592EF8" w14:textId="4291BA17" w:rsidR="00E76A87" w:rsidRPr="001365B0" w:rsidRDefault="00E76A87" w:rsidP="004B4F6B">
      <w:pPr>
        <w:pStyle w:val="List01"/>
      </w:pPr>
      <w:r w:rsidRPr="00E72864">
        <w:lastRenderedPageBreak/>
        <w:t>Injured</w:t>
      </w:r>
      <w:r w:rsidRPr="001365B0">
        <w:t xml:space="preserve">, </w:t>
      </w:r>
      <w:r w:rsidRPr="00E72864">
        <w:t>Victims</w:t>
      </w:r>
      <w:r w:rsidRPr="001365B0">
        <w:t xml:space="preserve">, </w:t>
      </w:r>
      <w:r w:rsidRPr="00E72864">
        <w:t>Affected</w:t>
      </w:r>
      <w:r w:rsidRPr="001365B0">
        <w:t xml:space="preserve">, </w:t>
      </w:r>
      <w:r w:rsidRPr="00E72864">
        <w:t>Relocated</w:t>
      </w:r>
      <w:r w:rsidRPr="001365B0">
        <w:t xml:space="preserve"> and </w:t>
      </w:r>
      <w:r w:rsidRPr="00E72864">
        <w:t>Evacuated</w:t>
      </w:r>
      <w:r w:rsidRPr="001365B0">
        <w:t xml:space="preserve"> combined to ‘Total Affected’ for compatibility </w:t>
      </w:r>
      <w:r w:rsidRPr="00E72864">
        <w:rPr>
          <w:rFonts w:cstheme="minorHAnsi"/>
        </w:rPr>
        <w:t xml:space="preserve">(loss of </w:t>
      </w:r>
      <w:r w:rsidR="005454A2" w:rsidRPr="00E72864">
        <w:t>specificity</w:t>
      </w:r>
      <w:r w:rsidR="005454A2">
        <w:t xml:space="preserve"> and detail</w:t>
      </w:r>
      <w:r w:rsidRPr="00E72864">
        <w:rPr>
          <w:rFonts w:cstheme="minorHAnsi"/>
        </w:rPr>
        <w:t>).</w:t>
      </w:r>
    </w:p>
    <w:p w14:paraId="416BC027" w14:textId="77777777" w:rsidR="00E76A87" w:rsidRPr="001365B0" w:rsidRDefault="00E76A87" w:rsidP="004B4F6B">
      <w:pPr>
        <w:pStyle w:val="List01"/>
      </w:pPr>
      <w:r w:rsidRPr="001365B0">
        <w:t>75,631 disaster classes/descriptions standardised to 91 MDC classifications (</w:t>
      </w:r>
      <w:r w:rsidRPr="00E72864">
        <w:rPr>
          <w:i/>
        </w:rPr>
        <w:t>loss of nuance</w:t>
      </w:r>
      <w:r w:rsidRPr="001365B0">
        <w:t>).</w:t>
      </w:r>
    </w:p>
    <w:p w14:paraId="5DB76CC3" w14:textId="77777777" w:rsidR="00E76A87" w:rsidRPr="001365B0" w:rsidRDefault="00E76A87" w:rsidP="004B4F6B">
      <w:pPr>
        <w:pStyle w:val="List01"/>
      </w:pPr>
      <w:r w:rsidRPr="001365B0">
        <w:t xml:space="preserve">102 country variants standardised to 95 </w:t>
      </w:r>
      <w:r w:rsidRPr="00E72864">
        <w:rPr>
          <w:i/>
        </w:rPr>
        <w:t>ISO 3166</w:t>
      </w:r>
      <w:r w:rsidRPr="001365B0">
        <w:t xml:space="preserve"> country codes </w:t>
      </w:r>
      <w:r w:rsidRPr="001365B0">
        <w:fldChar w:fldCharType="begin" w:fldLock="1"/>
      </w:r>
      <w:r w:rsidRPr="001365B0">
        <w:instrText>ADDIN CSL_CITATION {"citationItems":[{"id":"ITEM-1","itemData":{"URL":"http://www.iso.org/iso/home.html","accessed":{"date-parts":[["2017","1","9"]]},"author":[{"dropping-particle":"","family":"ISO","given":"","non-dropping-particle":"","parse-names":false,"suffix":""}],"editor":[{"dropping-particle":"","family":"International Organization for Standardization","given":"","non-dropping-particle":"","parse-names":false,"suffix":""}],"id":"ITEM-1","issued":{"date-parts":[["2017"]]},"language":"English","publisher":"ISO","title":"International Organization for Standardization","type":"webpage"},"uris":["http://www.mendeley.com/documents/?uuid=ef4dc76f-c2c2-4d52-8aed-a491586e5900"]}],"mendeley":{"formattedCitation":"(ISO, 2017)","plainTextFormattedCitation":"(ISO, 2017)","previouslyFormattedCitation":"(ISO, 2017)"},"properties":{"noteIndex":0},"schema":"https://github.com/citation-style-language/schema/raw/master/csl-citation.json"}</w:instrText>
      </w:r>
      <w:r w:rsidRPr="001365B0">
        <w:fldChar w:fldCharType="separate"/>
      </w:r>
      <w:r w:rsidRPr="001365B0">
        <w:rPr>
          <w:noProof/>
        </w:rPr>
        <w:t>(ISO, 2017)</w:t>
      </w:r>
      <w:r w:rsidRPr="001365B0">
        <w:fldChar w:fldCharType="end"/>
      </w:r>
      <w:r w:rsidRPr="001365B0">
        <w:t xml:space="preserve"> (</w:t>
      </w:r>
      <w:r w:rsidRPr="00E72864">
        <w:rPr>
          <w:i/>
        </w:rPr>
        <w:t>loss of historical changes to sovereignty/convention</w:t>
      </w:r>
      <w:r w:rsidRPr="001365B0">
        <w:t>).</w:t>
      </w:r>
    </w:p>
    <w:p w14:paraId="7AB4A055" w14:textId="5A237E63" w:rsidR="00CF09F8" w:rsidRPr="001365B0" w:rsidRDefault="00CF09F8" w:rsidP="00F52A0A">
      <w:pPr>
        <w:pStyle w:val="Heading3"/>
      </w:pPr>
      <w:r w:rsidRPr="001365B0">
        <w:t xml:space="preserve">Step 2: </w:t>
      </w:r>
      <w:r w:rsidR="00F46CA7">
        <w:t>Expanding t</w:t>
      </w:r>
      <w:r w:rsidRPr="001365B0">
        <w:t xml:space="preserve">he Global View of </w:t>
      </w:r>
      <w:r w:rsidR="004D3F78" w:rsidRPr="001365B0">
        <w:t xml:space="preserve">Disasters to include </w:t>
      </w:r>
      <w:r w:rsidRPr="001365B0">
        <w:t xml:space="preserve">Conflict-Related </w:t>
      </w:r>
      <w:r w:rsidR="004D3F78" w:rsidRPr="001365B0">
        <w:t>Disaster</w:t>
      </w:r>
    </w:p>
    <w:p w14:paraId="7E77D1C3" w14:textId="2D1C8C58" w:rsidR="00CF09F8" w:rsidRPr="001365B0" w:rsidRDefault="00623580" w:rsidP="004B4F6B">
      <w:pPr>
        <w:pStyle w:val="Text01"/>
      </w:pPr>
      <w:r>
        <w:t>This</w:t>
      </w:r>
      <w:r w:rsidR="00CF09F8" w:rsidRPr="001365B0">
        <w:t xml:space="preserve"> </w:t>
      </w:r>
      <w:r>
        <w:t xml:space="preserve">step </w:t>
      </w:r>
      <w:r w:rsidR="00CF09F8" w:rsidRPr="001365B0">
        <w:t>entailed integrating the UCDP dataset with the MSGD dataset and expanding the MCD dataset created in Step 1</w:t>
      </w:r>
      <w:r w:rsidR="00A64319" w:rsidRPr="001365B0">
        <w:t xml:space="preserve"> as the </w:t>
      </w:r>
      <w:r w:rsidR="003372D3" w:rsidRPr="001365B0">
        <w:t xml:space="preserve">previously combined </w:t>
      </w:r>
      <w:r w:rsidR="00A64319" w:rsidRPr="001365B0">
        <w:t xml:space="preserve">disaster </w:t>
      </w:r>
      <w:r w:rsidR="008170C8" w:rsidRPr="001365B0">
        <w:t xml:space="preserve">impact </w:t>
      </w:r>
      <w:r w:rsidR="00A64319" w:rsidRPr="001365B0">
        <w:t xml:space="preserve">datasets do not routinely record humanitarian </w:t>
      </w:r>
      <w:r w:rsidR="003372D3" w:rsidRPr="001365B0">
        <w:t>crises caused by conflict</w:t>
      </w:r>
      <w:r w:rsidR="00CF09F8" w:rsidRPr="001365B0">
        <w:t xml:space="preserve"> </w:t>
      </w:r>
      <w:r w:rsidR="00F52A0A" w:rsidRPr="001365B0">
        <w:fldChar w:fldCharType="begin" w:fldLock="1"/>
      </w:r>
      <w:r w:rsidR="00F52A0A" w:rsidRPr="001365B0">
        <w:instrText>ADDIN CSL_CITATION {"citationItems":[{"id":"ITEM-1","itemData":{"URL":"http://www.pcr.uu.se/","accessed":{"date-parts":[["2017","1","9"]]},"author":[{"dropping-particle":"","family":"UCDP","given":"","non-dropping-particle":"","parse-names":false,"suffix":""}],"container-title":"Uppsala Conflict Data Program (UCDP)","editor":[{"dropping-particle":"","family":"Uppsala University","given":"","non-dropping-particle":"","parse-names":false,"suffix":""}],"id":"ITEM-1","issue":"09 January 2017","issued":{"date-parts":[["2017"]]},"language":"English","publisher":"Department of Peace and Conflict Research, Uppsala University","publisher-place":"Sweden","title":"Department of Peace and Conflict Research, Uppsala University","type":"webpage","volume":"2017"},"uris":["http://www.mendeley.com/documents/?uuid=bea728f1-cb19-45b9-85d7-b8714403b5e9"]}],"mendeley":{"formattedCitation":"(UCDP, 2017)","plainTextFormattedCitation":"(UCDP, 2017)","previouslyFormattedCitation":"(UCDP, 2017)"},"properties":{"noteIndex":0},"schema":"https://github.com/citation-style-language/schema/raw/master/csl-citation.json"}</w:instrText>
      </w:r>
      <w:r w:rsidR="00F52A0A" w:rsidRPr="001365B0">
        <w:fldChar w:fldCharType="separate"/>
      </w:r>
      <w:r w:rsidR="00F52A0A" w:rsidRPr="001365B0">
        <w:rPr>
          <w:noProof/>
        </w:rPr>
        <w:t>(UCDP, 2017)</w:t>
      </w:r>
      <w:r w:rsidR="00F52A0A" w:rsidRPr="001365B0">
        <w:fldChar w:fldCharType="end"/>
      </w:r>
      <w:r w:rsidR="00F52A0A" w:rsidRPr="001365B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26"/>
        <w:gridCol w:w="2748"/>
        <w:gridCol w:w="451"/>
        <w:gridCol w:w="2534"/>
      </w:tblGrid>
      <w:tr w:rsidR="00CF09F8" w:rsidRPr="00E33B6B" w14:paraId="4B020320" w14:textId="77777777" w:rsidTr="00F52A0A">
        <w:tc>
          <w:tcPr>
            <w:tcW w:w="1642"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55B733D4" w14:textId="77777777" w:rsidR="00CF09F8" w:rsidRPr="00E33B6B" w:rsidRDefault="00CF09F8" w:rsidP="008F3178">
            <w:pPr>
              <w:spacing w:before="0" w:after="0"/>
              <w:jc w:val="center"/>
              <w:rPr>
                <w:b/>
                <w:sz w:val="22"/>
                <w:szCs w:val="22"/>
              </w:rPr>
            </w:pPr>
            <w:r w:rsidRPr="00E33B6B">
              <w:rPr>
                <w:b/>
                <w:sz w:val="22"/>
                <w:szCs w:val="22"/>
              </w:rPr>
              <w:t>UCDP</w:t>
            </w:r>
          </w:p>
        </w:tc>
        <w:tc>
          <w:tcPr>
            <w:tcW w:w="182" w:type="pct"/>
            <w:tcBorders>
              <w:left w:val="single" w:sz="4" w:space="0" w:color="948A54" w:themeColor="background2" w:themeShade="80"/>
              <w:right w:val="single" w:sz="4" w:space="0" w:color="948A54" w:themeColor="background2" w:themeShade="80"/>
            </w:tcBorders>
            <w:vAlign w:val="center"/>
          </w:tcPr>
          <w:p w14:paraId="704C2DF2" w14:textId="77777777" w:rsidR="00CF09F8" w:rsidRPr="00E33B6B" w:rsidRDefault="00CF09F8" w:rsidP="008F3178">
            <w:pPr>
              <w:spacing w:before="0" w:after="0"/>
              <w:jc w:val="center"/>
              <w:rPr>
                <w:b/>
                <w:sz w:val="22"/>
                <w:szCs w:val="22"/>
              </w:rPr>
            </w:pPr>
            <w:r w:rsidRPr="00E33B6B">
              <w:rPr>
                <w:b/>
                <w:sz w:val="22"/>
                <w:szCs w:val="22"/>
              </w:rPr>
              <w:t>+</w:t>
            </w:r>
          </w:p>
        </w:tc>
        <w:tc>
          <w:tcPr>
            <w:tcW w:w="1533"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358B8644" w14:textId="77777777" w:rsidR="00CF09F8" w:rsidRPr="00E33B6B" w:rsidRDefault="00CF09F8" w:rsidP="008F3178">
            <w:pPr>
              <w:spacing w:before="0" w:after="0"/>
              <w:jc w:val="center"/>
              <w:rPr>
                <w:b/>
                <w:sz w:val="22"/>
                <w:szCs w:val="22"/>
              </w:rPr>
            </w:pPr>
            <w:r w:rsidRPr="00E33B6B">
              <w:rPr>
                <w:b/>
                <w:sz w:val="22"/>
                <w:szCs w:val="22"/>
              </w:rPr>
              <w:t>MSGD1 (MDC1)</w:t>
            </w:r>
          </w:p>
        </w:tc>
        <w:tc>
          <w:tcPr>
            <w:tcW w:w="233" w:type="pct"/>
            <w:tcBorders>
              <w:left w:val="single" w:sz="4" w:space="0" w:color="948A54" w:themeColor="background2" w:themeShade="80"/>
              <w:right w:val="single" w:sz="4" w:space="0" w:color="948A54" w:themeColor="background2" w:themeShade="80"/>
            </w:tcBorders>
            <w:vAlign w:val="center"/>
          </w:tcPr>
          <w:p w14:paraId="44AAA12A" w14:textId="77777777" w:rsidR="00CF09F8" w:rsidRPr="00E33B6B" w:rsidRDefault="00CF09F8" w:rsidP="008F3178">
            <w:pPr>
              <w:spacing w:before="0" w:after="0"/>
              <w:jc w:val="center"/>
              <w:rPr>
                <w:b/>
                <w:sz w:val="22"/>
                <w:szCs w:val="22"/>
              </w:rPr>
            </w:pPr>
            <w:r w:rsidRPr="00E33B6B">
              <w:rPr>
                <w:b/>
                <w:sz w:val="22"/>
                <w:szCs w:val="22"/>
              </w:rPr>
              <w:sym w:font="Wingdings" w:char="F0E8"/>
            </w:r>
          </w:p>
        </w:tc>
        <w:tc>
          <w:tcPr>
            <w:tcW w:w="1410"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60F5A684" w14:textId="77777777" w:rsidR="00CF09F8" w:rsidRPr="00E33B6B" w:rsidRDefault="00CF09F8" w:rsidP="008F3178">
            <w:pPr>
              <w:spacing w:before="0" w:after="0"/>
              <w:jc w:val="center"/>
              <w:rPr>
                <w:b/>
                <w:sz w:val="22"/>
                <w:szCs w:val="22"/>
              </w:rPr>
            </w:pPr>
            <w:r w:rsidRPr="00E33B6B">
              <w:rPr>
                <w:b/>
                <w:sz w:val="22"/>
                <w:szCs w:val="22"/>
              </w:rPr>
              <w:t>MSGD2 (MDC2)</w:t>
            </w:r>
          </w:p>
        </w:tc>
      </w:tr>
      <w:tr w:rsidR="00CF09F8" w:rsidRPr="001365B0" w14:paraId="1A631EA5" w14:textId="77777777" w:rsidTr="00F52A0A">
        <w:tc>
          <w:tcPr>
            <w:tcW w:w="1642"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273EAF0E"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128,264unique rows</w:t>
            </w:r>
          </w:p>
          <w:p w14:paraId="2ACE6A0E"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Year/Country/Conflict</w:t>
            </w:r>
          </w:p>
          <w:p w14:paraId="4BC756E1"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7  variables</w:t>
            </w:r>
            <w:proofErr w:type="gramEnd"/>
          </w:p>
          <w:p w14:paraId="395CCDA1"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3 MDC disaster classes</w:t>
            </w:r>
          </w:p>
          <w:p w14:paraId="384975CD"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115 Countries (ISO 3166 compliant)</w:t>
            </w:r>
          </w:p>
          <w:p w14:paraId="75390AEB" w14:textId="77777777" w:rsidR="00CF09F8" w:rsidRPr="001365B0" w:rsidRDefault="00CF09F8" w:rsidP="008F3178">
            <w:pPr>
              <w:spacing w:before="0" w:after="0" w:line="240" w:lineRule="auto"/>
              <w:jc w:val="center"/>
              <w:rPr>
                <w:b/>
                <w:sz w:val="20"/>
                <w:szCs w:val="20"/>
              </w:rPr>
            </w:pPr>
            <w:r w:rsidRPr="001365B0">
              <w:rPr>
                <w:rFonts w:ascii="Corbel" w:hAnsi="Corbel" w:cs="Corbel"/>
                <w:iCs/>
                <w:color w:val="000000"/>
                <w:sz w:val="16"/>
                <w:szCs w:val="16"/>
              </w:rPr>
              <w:t>1989 – 2015</w:t>
            </w:r>
          </w:p>
        </w:tc>
        <w:tc>
          <w:tcPr>
            <w:tcW w:w="182" w:type="pct"/>
            <w:tcBorders>
              <w:left w:val="single" w:sz="4" w:space="0" w:color="948A54" w:themeColor="background2" w:themeShade="80"/>
              <w:right w:val="single" w:sz="4" w:space="0" w:color="948A54" w:themeColor="background2" w:themeShade="80"/>
            </w:tcBorders>
          </w:tcPr>
          <w:p w14:paraId="2864C438" w14:textId="77777777" w:rsidR="00CF09F8" w:rsidRPr="001365B0" w:rsidRDefault="00CF09F8" w:rsidP="008F3178">
            <w:pPr>
              <w:spacing w:before="0" w:after="0"/>
              <w:rPr>
                <w:b/>
                <w:sz w:val="20"/>
                <w:szCs w:val="20"/>
              </w:rPr>
            </w:pPr>
          </w:p>
        </w:tc>
        <w:tc>
          <w:tcPr>
            <w:tcW w:w="1533"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3CC87315"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344,500 unique rows</w:t>
            </w:r>
          </w:p>
          <w:p w14:paraId="70F3C531"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52E0DD77"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p>
          <w:p w14:paraId="179CF107"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97 MDC disaster classes</w:t>
            </w:r>
          </w:p>
          <w:p w14:paraId="7AD7685D"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216 Countries (ISO 3166 compliant)</w:t>
            </w:r>
          </w:p>
          <w:p w14:paraId="34CBBB49" w14:textId="77777777" w:rsidR="00CF09F8" w:rsidRPr="001365B0" w:rsidRDefault="00CF09F8" w:rsidP="008F3178">
            <w:pPr>
              <w:spacing w:before="0" w:after="0" w:line="240" w:lineRule="auto"/>
              <w:jc w:val="center"/>
              <w:rPr>
                <w:b/>
                <w:sz w:val="20"/>
                <w:szCs w:val="20"/>
              </w:rPr>
            </w:pPr>
            <w:r w:rsidRPr="001365B0">
              <w:rPr>
                <w:rFonts w:ascii="Corbel" w:hAnsi="Corbel" w:cs="Corbel"/>
                <w:iCs/>
                <w:color w:val="000000"/>
                <w:sz w:val="16"/>
                <w:szCs w:val="16"/>
              </w:rPr>
              <w:t>1200 – 2017</w:t>
            </w:r>
          </w:p>
        </w:tc>
        <w:tc>
          <w:tcPr>
            <w:tcW w:w="233" w:type="pct"/>
            <w:tcBorders>
              <w:left w:val="single" w:sz="4" w:space="0" w:color="948A54" w:themeColor="background2" w:themeShade="80"/>
              <w:right w:val="single" w:sz="4" w:space="0" w:color="948A54" w:themeColor="background2" w:themeShade="80"/>
            </w:tcBorders>
          </w:tcPr>
          <w:p w14:paraId="06DCB0F8" w14:textId="77777777" w:rsidR="00CF09F8" w:rsidRPr="001365B0" w:rsidRDefault="00CF09F8" w:rsidP="008F3178">
            <w:pPr>
              <w:spacing w:before="0" w:after="0"/>
              <w:rPr>
                <w:b/>
                <w:sz w:val="20"/>
                <w:szCs w:val="20"/>
              </w:rPr>
            </w:pPr>
          </w:p>
        </w:tc>
        <w:tc>
          <w:tcPr>
            <w:tcW w:w="1410"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5B7DDE94"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472,764 unique rows</w:t>
            </w:r>
          </w:p>
          <w:p w14:paraId="06D0AE5C"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0EBDA3B1"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p>
          <w:p w14:paraId="1C3D6D7B"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99 MDC disaster classes</w:t>
            </w:r>
          </w:p>
          <w:p w14:paraId="7B9DD9A7"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217 Countries (ISO 3166 compliant)</w:t>
            </w:r>
          </w:p>
          <w:p w14:paraId="71B3D0EE" w14:textId="77777777" w:rsidR="00CF09F8" w:rsidRPr="001365B0" w:rsidRDefault="00CF09F8" w:rsidP="008F3178">
            <w:pPr>
              <w:keepNext/>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1200 – 2017</w:t>
            </w:r>
          </w:p>
        </w:tc>
      </w:tr>
    </w:tbl>
    <w:p w14:paraId="679B4DDF" w14:textId="493BBFE2" w:rsidR="00CF09F8" w:rsidRPr="001365B0" w:rsidRDefault="00CF09F8" w:rsidP="001C5334">
      <w:pPr>
        <w:pStyle w:val="Caption"/>
      </w:pPr>
      <w:r w:rsidRPr="001365B0">
        <w:t xml:space="preserve">Figure </w:t>
      </w:r>
      <w:r w:rsidR="00AA525D">
        <w:fldChar w:fldCharType="begin"/>
      </w:r>
      <w:r w:rsidR="00AA525D">
        <w:instrText xml:space="preserve"> SEQ Figure \* ARABIC </w:instrText>
      </w:r>
      <w:r w:rsidR="00AA525D">
        <w:fldChar w:fldCharType="separate"/>
      </w:r>
      <w:r w:rsidR="00BA1A2B">
        <w:rPr>
          <w:noProof/>
        </w:rPr>
        <w:t>4</w:t>
      </w:r>
      <w:r w:rsidR="00AA525D">
        <w:rPr>
          <w:noProof/>
        </w:rPr>
        <w:fldChar w:fldCharType="end"/>
      </w:r>
      <w:r w:rsidR="000C0BF7" w:rsidRPr="001365B0">
        <w:t>:</w:t>
      </w:r>
      <w:r w:rsidRPr="001365B0">
        <w:t xml:space="preserve"> </w:t>
      </w:r>
      <w:r w:rsidR="000C0BF7" w:rsidRPr="001365B0">
        <w:rPr>
          <w:b w:val="0"/>
        </w:rPr>
        <w:t xml:space="preserve">Humanitarian Crises caused by Conflict </w:t>
      </w:r>
      <w:r w:rsidR="000C0BF7" w:rsidRPr="001365B0">
        <w:rPr>
          <w:b w:val="0"/>
        </w:rPr>
        <w:sym w:font="Wingdings" w:char="F0E0"/>
      </w:r>
      <w:r w:rsidR="000C0BF7" w:rsidRPr="001365B0">
        <w:rPr>
          <w:b w:val="0"/>
        </w:rPr>
        <w:t xml:space="preserve"> Expanded MSGD and MDC</w:t>
      </w:r>
    </w:p>
    <w:p w14:paraId="4C074B1D" w14:textId="77777777" w:rsidR="00CF09F8" w:rsidRPr="001365B0" w:rsidRDefault="00CF09F8" w:rsidP="004B4F6B">
      <w:pPr>
        <w:pStyle w:val="Text01"/>
      </w:pPr>
      <w:r w:rsidRPr="001365B0">
        <w:t>Again, the data loss in adding the UCDP data was significant:</w:t>
      </w:r>
    </w:p>
    <w:p w14:paraId="4ED96EFA" w14:textId="084D3346" w:rsidR="00CF09F8" w:rsidRPr="001365B0" w:rsidRDefault="00CF09F8" w:rsidP="004B4F6B">
      <w:pPr>
        <w:pStyle w:val="List01"/>
      </w:pPr>
      <w:r w:rsidRPr="001365B0">
        <w:t>Only 7 the 52 variables available were usable (</w:t>
      </w:r>
      <w:r w:rsidRPr="00E72864">
        <w:rPr>
          <w:i/>
        </w:rPr>
        <w:t xml:space="preserve">loss of </w:t>
      </w:r>
      <w:r w:rsidR="00C1772C" w:rsidRPr="00E72864">
        <w:rPr>
          <w:i/>
        </w:rPr>
        <w:t>visibility and nuance</w:t>
      </w:r>
      <w:r w:rsidRPr="001365B0">
        <w:t>).</w:t>
      </w:r>
    </w:p>
    <w:p w14:paraId="068345B0" w14:textId="6EED92E2" w:rsidR="00CF09F8" w:rsidRPr="00E72864" w:rsidRDefault="00CF09F8" w:rsidP="004B4F6B">
      <w:pPr>
        <w:pStyle w:val="List01"/>
        <w:rPr>
          <w:rFonts w:cstheme="minorHAnsi"/>
        </w:rPr>
      </w:pPr>
      <w:r w:rsidRPr="001365B0">
        <w:t xml:space="preserve">Two usable variables hold deaths-related information, </w:t>
      </w:r>
      <w:proofErr w:type="spellStart"/>
      <w:r w:rsidRPr="00E72864">
        <w:rPr>
          <w:rFonts w:ascii="Times New Roman" w:hAnsi="Times New Roman"/>
          <w:i/>
        </w:rPr>
        <w:t>best_est</w:t>
      </w:r>
      <w:proofErr w:type="spellEnd"/>
      <w:r w:rsidRPr="001365B0">
        <w:t xml:space="preserve"> and </w:t>
      </w:r>
      <w:proofErr w:type="spellStart"/>
      <w:r w:rsidRPr="00E72864">
        <w:rPr>
          <w:rFonts w:ascii="Times New Roman" w:hAnsi="Times New Roman"/>
          <w:i/>
        </w:rPr>
        <w:t>high_est</w:t>
      </w:r>
      <w:proofErr w:type="spellEnd"/>
      <w:r w:rsidRPr="001365B0">
        <w:t xml:space="preserve">, if </w:t>
      </w:r>
      <w:proofErr w:type="spellStart"/>
      <w:r w:rsidRPr="00E72864">
        <w:rPr>
          <w:rFonts w:ascii="Times New Roman" w:hAnsi="Times New Roman"/>
          <w:i/>
        </w:rPr>
        <w:t>best_est</w:t>
      </w:r>
      <w:proofErr w:type="spellEnd"/>
      <w:r w:rsidRPr="001365B0">
        <w:t xml:space="preserve"> = 0 then </w:t>
      </w:r>
      <w:proofErr w:type="spellStart"/>
      <w:r w:rsidRPr="00E72864">
        <w:rPr>
          <w:rFonts w:ascii="Times New Roman" w:hAnsi="Times New Roman"/>
          <w:i/>
        </w:rPr>
        <w:t>high_est</w:t>
      </w:r>
      <w:proofErr w:type="spellEnd"/>
      <w:r w:rsidRPr="001365B0">
        <w:t xml:space="preserve"> is used (</w:t>
      </w:r>
      <w:r w:rsidRPr="00E72864">
        <w:rPr>
          <w:i/>
        </w:rPr>
        <w:t xml:space="preserve">loss of </w:t>
      </w:r>
      <w:r w:rsidR="00B31432" w:rsidRPr="00E72864">
        <w:rPr>
          <w:i/>
        </w:rPr>
        <w:t>visibility</w:t>
      </w:r>
      <w:r w:rsidRPr="001365B0">
        <w:t>).</w:t>
      </w:r>
    </w:p>
    <w:p w14:paraId="751534BF" w14:textId="77777777" w:rsidR="00CF09F8" w:rsidRPr="001365B0" w:rsidRDefault="00CF09F8" w:rsidP="008F3178">
      <w:pPr>
        <w:pStyle w:val="Heading3"/>
      </w:pPr>
      <w:r w:rsidRPr="001365B0">
        <w:t>Step 3: Expanding the Global View of Disasters to Include the Conflict in Syria</w:t>
      </w:r>
    </w:p>
    <w:p w14:paraId="49956BFD" w14:textId="32F3821B" w:rsidR="00CF09F8" w:rsidRPr="001365B0" w:rsidRDefault="00623580" w:rsidP="004B4F6B">
      <w:pPr>
        <w:pStyle w:val="List01"/>
      </w:pPr>
      <w:r>
        <w:t>This step</w:t>
      </w:r>
      <w:r w:rsidR="00CF09F8" w:rsidRPr="001365B0">
        <w:t xml:space="preserve"> entailed integrating the VDC-SY dataset with the MSGD dataset and expand the MCD dataset created in Step 2 </w:t>
      </w:r>
      <w:r w:rsidR="00F52A0A" w:rsidRPr="001365B0">
        <w:fldChar w:fldCharType="begin" w:fldLock="1"/>
      </w:r>
      <w:r w:rsidR="00640FD7">
        <w:instrText>ADDIN CSL_CITATION {"citationItems":[{"id":"ITEM-1","itemData":{"URL":"http://vdc-sy.net/en/","accessed":{"date-parts":[["2016","7","10"]]},"container-title":"VDC-SY","editor":[{"dropping-particle":"","family":"VDC-SY","given":"","non-dropping-particle":"","parse-names":false,"suffix":""}],"id":"ITEM-1","issue":"10 July 2016","issued":{"date-parts":[["2016"]]},"language":"English","publisher":"VDC-SY","publisher-place":"Syria","title":"Violations Documentation Center in Syria","type":"webpage","volume":"2016"},"uris":["http://www.mendeley.com/documents/?uuid=ecb1a38d-9332-4995-8378-0219e4ab95ad"]}],"mendeley":{"formattedCitation":"(VDC-SY, 2016)","plainTextFormattedCitation":"(VDC-SY, 2016)","previouslyFormattedCitation":"(VDC-SY, 2016)"},"properties":{"noteIndex":0},"schema":"https://github.com/citation-style-language/schema/raw/master/csl-citation.json"}</w:instrText>
      </w:r>
      <w:r w:rsidR="00F52A0A" w:rsidRPr="001365B0">
        <w:fldChar w:fldCharType="separate"/>
      </w:r>
      <w:r w:rsidR="00555739" w:rsidRPr="00555739">
        <w:rPr>
          <w:noProof/>
        </w:rPr>
        <w:t>(VDC-SY, 2016)</w:t>
      </w:r>
      <w:r w:rsidR="00F52A0A" w:rsidRPr="001365B0">
        <w:fldChar w:fldCharType="end"/>
      </w:r>
      <w:r w:rsidR="00BA1C26" w:rsidRPr="001365B0">
        <w:t xml:space="preserve">. This dataset was needed </w:t>
      </w:r>
      <w:r w:rsidR="00DC0569" w:rsidRPr="001365B0">
        <w:t xml:space="preserve">because the </w:t>
      </w:r>
      <w:r w:rsidR="000F764E" w:rsidRPr="001365B0">
        <w:t xml:space="preserve">main conflict dataset, UCDP, </w:t>
      </w:r>
      <w:r w:rsidR="00DC0569" w:rsidRPr="001365B0">
        <w:t>explicitly</w:t>
      </w:r>
      <w:r w:rsidR="000F764E" w:rsidRPr="001365B0">
        <w:t xml:space="preserve"> excludes the human impact of the current </w:t>
      </w:r>
      <w:r w:rsidR="00DC0569" w:rsidRPr="001365B0">
        <w:t xml:space="preserve">on-going </w:t>
      </w:r>
      <w:r w:rsidR="000F764E" w:rsidRPr="001365B0">
        <w:t>conflict in Syria</w:t>
      </w:r>
      <w:r w:rsidR="00DC0569" w:rsidRPr="001365B0">
        <w:t xml:space="preserve"> </w:t>
      </w:r>
      <w:r w:rsidR="00DC0569" w:rsidRPr="001365B0">
        <w:fldChar w:fldCharType="begin" w:fldLock="1"/>
      </w:r>
      <w:r w:rsidR="00D00F18">
        <w:instrText>ADDIN CSL_CITATION {"citationItems":[{"id":"ITEM-1","itemData":{"author":[{"dropping-particle":"","family":"Croicu","given":"Mihai","non-dropping-particle":"","parse-names":false,"suffix":""},{"dropping-particle":"","family":"Sundberg","given":"Ralph","non-dropping-particle":"","parse-names":false,"suffix":""}],"id":"ITEM-1","issued":{"date-parts":[["2015"]]},"language":"English","publisher":"Department of Peace and Conflict Research, Uppsala University","publisher-place":"Sweden","title":"UCDP GED Codebook version 5.0","type":"report"},"uris":["http://www.mendeley.com/documents/?uuid=2bbee391-65cf-44ea-8591-8535777716aa"]}],"mendeley":{"formattedCitation":"(Croicu &amp; Sundberg, 2015)","plainTextFormattedCitation":"(Croicu &amp; Sundberg, 2015)","previouslyFormattedCitation":"(Croicu &amp; Sundberg, 2015)"},"properties":{"noteIndex":0},"schema":"https://github.com/citation-style-language/schema/raw/master/csl-citation.json"}</w:instrText>
      </w:r>
      <w:r w:rsidR="00DC0569" w:rsidRPr="001365B0">
        <w:fldChar w:fldCharType="separate"/>
      </w:r>
      <w:r w:rsidR="002D1ED6" w:rsidRPr="002D1ED6">
        <w:rPr>
          <w:noProof/>
        </w:rPr>
        <w:t>(Croicu &amp; Sundberg, 2015)</w:t>
      </w:r>
      <w:r w:rsidR="00DC0569" w:rsidRPr="001365B0">
        <w:fldChar w:fldCharType="end"/>
      </w:r>
      <w:r w:rsidR="000F764E" w:rsidRPr="001365B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26"/>
        <w:gridCol w:w="2748"/>
        <w:gridCol w:w="451"/>
        <w:gridCol w:w="2534"/>
      </w:tblGrid>
      <w:tr w:rsidR="00CF09F8" w:rsidRPr="00E33B6B" w14:paraId="03888B3B" w14:textId="77777777" w:rsidTr="00F52A0A">
        <w:tc>
          <w:tcPr>
            <w:tcW w:w="1642"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045C9245" w14:textId="77777777" w:rsidR="00CF09F8" w:rsidRPr="00E33B6B" w:rsidRDefault="00CF09F8" w:rsidP="008F3178">
            <w:pPr>
              <w:spacing w:before="0" w:after="0"/>
              <w:jc w:val="center"/>
              <w:rPr>
                <w:b/>
                <w:sz w:val="22"/>
                <w:szCs w:val="22"/>
              </w:rPr>
            </w:pPr>
            <w:r w:rsidRPr="00E33B6B">
              <w:rPr>
                <w:b/>
                <w:sz w:val="22"/>
                <w:szCs w:val="22"/>
              </w:rPr>
              <w:t>VDC-SY</w:t>
            </w:r>
          </w:p>
        </w:tc>
        <w:tc>
          <w:tcPr>
            <w:tcW w:w="182" w:type="pct"/>
            <w:tcBorders>
              <w:left w:val="single" w:sz="4" w:space="0" w:color="948A54" w:themeColor="background2" w:themeShade="80"/>
              <w:right w:val="single" w:sz="4" w:space="0" w:color="948A54" w:themeColor="background2" w:themeShade="80"/>
            </w:tcBorders>
            <w:vAlign w:val="center"/>
          </w:tcPr>
          <w:p w14:paraId="6E640DDF" w14:textId="77777777" w:rsidR="00CF09F8" w:rsidRPr="00E33B6B" w:rsidRDefault="00CF09F8" w:rsidP="008F3178">
            <w:pPr>
              <w:spacing w:before="0" w:after="0"/>
              <w:jc w:val="center"/>
              <w:rPr>
                <w:b/>
                <w:sz w:val="22"/>
                <w:szCs w:val="22"/>
              </w:rPr>
            </w:pPr>
            <w:r w:rsidRPr="00E33B6B">
              <w:rPr>
                <w:b/>
                <w:sz w:val="22"/>
                <w:szCs w:val="22"/>
              </w:rPr>
              <w:t>+</w:t>
            </w:r>
          </w:p>
        </w:tc>
        <w:tc>
          <w:tcPr>
            <w:tcW w:w="1533"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0F7515AE" w14:textId="77777777" w:rsidR="00CF09F8" w:rsidRPr="00E33B6B" w:rsidRDefault="00CF09F8" w:rsidP="008F3178">
            <w:pPr>
              <w:spacing w:before="0" w:after="0"/>
              <w:jc w:val="center"/>
              <w:rPr>
                <w:b/>
                <w:sz w:val="22"/>
                <w:szCs w:val="22"/>
              </w:rPr>
            </w:pPr>
            <w:r w:rsidRPr="00E33B6B">
              <w:rPr>
                <w:b/>
                <w:sz w:val="22"/>
                <w:szCs w:val="22"/>
              </w:rPr>
              <w:t>MSGD2 (MDC2)</w:t>
            </w:r>
          </w:p>
        </w:tc>
        <w:tc>
          <w:tcPr>
            <w:tcW w:w="233" w:type="pct"/>
            <w:tcBorders>
              <w:left w:val="single" w:sz="4" w:space="0" w:color="948A54" w:themeColor="background2" w:themeShade="80"/>
              <w:right w:val="single" w:sz="4" w:space="0" w:color="948A54" w:themeColor="background2" w:themeShade="80"/>
            </w:tcBorders>
            <w:vAlign w:val="center"/>
          </w:tcPr>
          <w:p w14:paraId="19CD7CD2" w14:textId="77777777" w:rsidR="00CF09F8" w:rsidRPr="00E33B6B" w:rsidRDefault="00CF09F8" w:rsidP="008F3178">
            <w:pPr>
              <w:spacing w:before="0" w:after="0"/>
              <w:jc w:val="center"/>
              <w:rPr>
                <w:b/>
                <w:sz w:val="22"/>
                <w:szCs w:val="22"/>
              </w:rPr>
            </w:pPr>
            <w:r w:rsidRPr="00E33B6B">
              <w:rPr>
                <w:b/>
                <w:sz w:val="22"/>
                <w:szCs w:val="22"/>
              </w:rPr>
              <w:sym w:font="Wingdings" w:char="F0E8"/>
            </w:r>
          </w:p>
        </w:tc>
        <w:tc>
          <w:tcPr>
            <w:tcW w:w="1410"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7B3A3823" w14:textId="77777777" w:rsidR="00CF09F8" w:rsidRPr="00E33B6B" w:rsidRDefault="00CF09F8" w:rsidP="008F3178">
            <w:pPr>
              <w:spacing w:before="0" w:after="0"/>
              <w:jc w:val="center"/>
              <w:rPr>
                <w:b/>
                <w:sz w:val="22"/>
                <w:szCs w:val="22"/>
              </w:rPr>
            </w:pPr>
            <w:r w:rsidRPr="00E33B6B">
              <w:rPr>
                <w:b/>
                <w:sz w:val="22"/>
                <w:szCs w:val="22"/>
              </w:rPr>
              <w:t>MSGD3 (MDC3)</w:t>
            </w:r>
          </w:p>
        </w:tc>
      </w:tr>
      <w:tr w:rsidR="00CF09F8" w:rsidRPr="001365B0" w14:paraId="1C5B7A31" w14:textId="77777777" w:rsidTr="00F52A0A">
        <w:tc>
          <w:tcPr>
            <w:tcW w:w="1642"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28521B4B"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22,049 unique rows</w:t>
            </w:r>
          </w:p>
          <w:p w14:paraId="70EDE34F"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Year/Location/Loss</w:t>
            </w:r>
          </w:p>
          <w:p w14:paraId="71365072"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4  variables</w:t>
            </w:r>
            <w:proofErr w:type="gramEnd"/>
          </w:p>
          <w:p w14:paraId="4BB92444"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MDC disaster class</w:t>
            </w:r>
          </w:p>
          <w:p w14:paraId="18B1327A"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Country (ISO 3166 compliant)</w:t>
            </w:r>
          </w:p>
          <w:p w14:paraId="60EA29C4" w14:textId="77777777" w:rsidR="00CF09F8" w:rsidRPr="001365B0" w:rsidRDefault="00CF09F8" w:rsidP="008F3178">
            <w:pPr>
              <w:spacing w:before="0" w:after="0" w:line="240" w:lineRule="auto"/>
              <w:jc w:val="center"/>
              <w:rPr>
                <w:b/>
                <w:sz w:val="20"/>
                <w:szCs w:val="20"/>
              </w:rPr>
            </w:pPr>
            <w:r w:rsidRPr="001365B0">
              <w:rPr>
                <w:rFonts w:ascii="Corbel" w:hAnsi="Corbel" w:cs="Corbel"/>
                <w:iCs/>
                <w:color w:val="000000"/>
                <w:sz w:val="16"/>
                <w:szCs w:val="16"/>
              </w:rPr>
              <w:t>1989 – 2015</w:t>
            </w:r>
          </w:p>
        </w:tc>
        <w:tc>
          <w:tcPr>
            <w:tcW w:w="182" w:type="pct"/>
            <w:tcBorders>
              <w:left w:val="single" w:sz="4" w:space="0" w:color="948A54" w:themeColor="background2" w:themeShade="80"/>
              <w:right w:val="single" w:sz="4" w:space="0" w:color="948A54" w:themeColor="background2" w:themeShade="80"/>
            </w:tcBorders>
          </w:tcPr>
          <w:p w14:paraId="12512DEE" w14:textId="77777777" w:rsidR="00CF09F8" w:rsidRPr="001365B0" w:rsidRDefault="00CF09F8" w:rsidP="008F3178">
            <w:pPr>
              <w:spacing w:before="0" w:after="0"/>
              <w:rPr>
                <w:b/>
                <w:sz w:val="20"/>
                <w:szCs w:val="20"/>
              </w:rPr>
            </w:pPr>
          </w:p>
        </w:tc>
        <w:tc>
          <w:tcPr>
            <w:tcW w:w="1533"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4F5BC240"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472,764 unique rows</w:t>
            </w:r>
          </w:p>
          <w:p w14:paraId="0E37F356"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137ED4CE"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p>
          <w:p w14:paraId="03B69CE9"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99 MDC disaster classes</w:t>
            </w:r>
          </w:p>
          <w:p w14:paraId="0FAE415B"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217 Countries (ISO 3166 compliant)</w:t>
            </w:r>
          </w:p>
          <w:p w14:paraId="2B0E0811" w14:textId="77777777" w:rsidR="00CF09F8" w:rsidRPr="001365B0" w:rsidRDefault="00CF09F8" w:rsidP="008F3178">
            <w:pPr>
              <w:spacing w:before="0" w:after="0" w:line="240" w:lineRule="auto"/>
              <w:jc w:val="center"/>
              <w:rPr>
                <w:b/>
                <w:sz w:val="20"/>
                <w:szCs w:val="20"/>
              </w:rPr>
            </w:pPr>
            <w:r w:rsidRPr="001365B0">
              <w:rPr>
                <w:rFonts w:ascii="Corbel" w:hAnsi="Corbel" w:cs="Corbel"/>
                <w:iCs/>
                <w:color w:val="000000"/>
                <w:sz w:val="16"/>
                <w:szCs w:val="16"/>
              </w:rPr>
              <w:t>1200 – 2017</w:t>
            </w:r>
          </w:p>
        </w:tc>
        <w:tc>
          <w:tcPr>
            <w:tcW w:w="233" w:type="pct"/>
            <w:tcBorders>
              <w:left w:val="single" w:sz="4" w:space="0" w:color="948A54" w:themeColor="background2" w:themeShade="80"/>
              <w:right w:val="single" w:sz="4" w:space="0" w:color="948A54" w:themeColor="background2" w:themeShade="80"/>
            </w:tcBorders>
          </w:tcPr>
          <w:p w14:paraId="54583D01" w14:textId="77777777" w:rsidR="00CF09F8" w:rsidRPr="001365B0" w:rsidRDefault="00CF09F8" w:rsidP="008F3178">
            <w:pPr>
              <w:spacing w:before="0" w:after="0"/>
              <w:rPr>
                <w:b/>
                <w:sz w:val="20"/>
                <w:szCs w:val="20"/>
              </w:rPr>
            </w:pPr>
          </w:p>
        </w:tc>
        <w:tc>
          <w:tcPr>
            <w:tcW w:w="1410"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58293E7B"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494,813 unique rows</w:t>
            </w:r>
          </w:p>
          <w:p w14:paraId="414EDCD6"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097AC3A7"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p>
          <w:p w14:paraId="45B0A334"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99 MDC disaster classes</w:t>
            </w:r>
          </w:p>
          <w:p w14:paraId="2471CAF3"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217 Countries (ISO 3166 compliant)</w:t>
            </w:r>
          </w:p>
          <w:p w14:paraId="3C838393" w14:textId="77777777" w:rsidR="00CF09F8" w:rsidRPr="001365B0" w:rsidRDefault="00CF09F8" w:rsidP="008F3178">
            <w:pPr>
              <w:keepNext/>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1200 – 2017</w:t>
            </w:r>
          </w:p>
        </w:tc>
      </w:tr>
    </w:tbl>
    <w:p w14:paraId="7C6B70D4" w14:textId="001BA9F6" w:rsidR="00CF09F8" w:rsidRPr="001365B0" w:rsidRDefault="00CF09F8" w:rsidP="001C5334">
      <w:pPr>
        <w:pStyle w:val="Caption"/>
      </w:pPr>
      <w:r w:rsidRPr="001365B0">
        <w:t xml:space="preserve">Figure </w:t>
      </w:r>
      <w:r w:rsidR="00AA525D">
        <w:fldChar w:fldCharType="begin"/>
      </w:r>
      <w:r w:rsidR="00AA525D">
        <w:instrText xml:space="preserve"> SEQ Figure \* ARABIC </w:instrText>
      </w:r>
      <w:r w:rsidR="00AA525D">
        <w:fldChar w:fldCharType="separate"/>
      </w:r>
      <w:r w:rsidR="00BA1A2B">
        <w:rPr>
          <w:noProof/>
        </w:rPr>
        <w:t>5</w:t>
      </w:r>
      <w:r w:rsidR="00AA525D">
        <w:rPr>
          <w:noProof/>
        </w:rPr>
        <w:fldChar w:fldCharType="end"/>
      </w:r>
      <w:r w:rsidR="00F52A0A" w:rsidRPr="001365B0">
        <w:t xml:space="preserve">: </w:t>
      </w:r>
      <w:r w:rsidR="00F52A0A" w:rsidRPr="001365B0">
        <w:rPr>
          <w:b w:val="0"/>
        </w:rPr>
        <w:t xml:space="preserve">Humanitarian Crises caused by the Conflict in Syria </w:t>
      </w:r>
      <w:r w:rsidR="00F52A0A" w:rsidRPr="001365B0">
        <w:rPr>
          <w:b w:val="0"/>
        </w:rPr>
        <w:sym w:font="Wingdings" w:char="F0E0"/>
      </w:r>
      <w:r w:rsidR="00F52A0A" w:rsidRPr="001365B0">
        <w:rPr>
          <w:b w:val="0"/>
        </w:rPr>
        <w:t xml:space="preserve"> Expanded MSGD</w:t>
      </w:r>
    </w:p>
    <w:p w14:paraId="40D47CB6" w14:textId="77777777" w:rsidR="00CF09F8" w:rsidRPr="00376382" w:rsidRDefault="00CF09F8" w:rsidP="00376382">
      <w:pPr>
        <w:pStyle w:val="Text01"/>
      </w:pPr>
      <w:r w:rsidRPr="00376382">
        <w:t>The data loss in adding the VDC-SY data was as follows:</w:t>
      </w:r>
    </w:p>
    <w:p w14:paraId="32C12A29" w14:textId="7AB784D6" w:rsidR="00CF09F8" w:rsidRPr="001365B0" w:rsidRDefault="00CF09F8" w:rsidP="004B4F6B">
      <w:pPr>
        <w:pStyle w:val="List01"/>
      </w:pPr>
      <w:r w:rsidRPr="001365B0">
        <w:lastRenderedPageBreak/>
        <w:t>The 226,341 entries in VDC-SY are at a ‘</w:t>
      </w:r>
      <w:r w:rsidRPr="00E72864">
        <w:rPr>
          <w:i/>
        </w:rPr>
        <w:t>per person</w:t>
      </w:r>
      <w:r w:rsidRPr="001365B0">
        <w:t>’ level, this needed to be aggregated and anonymised to create 22,049 entries (</w:t>
      </w:r>
      <w:r w:rsidRPr="00E72864">
        <w:rPr>
          <w:i/>
        </w:rPr>
        <w:t xml:space="preserve">loss of </w:t>
      </w:r>
      <w:r w:rsidR="005454A2" w:rsidRPr="00E72864">
        <w:rPr>
          <w:i/>
        </w:rPr>
        <w:t>specificity</w:t>
      </w:r>
      <w:r w:rsidR="005454A2">
        <w:rPr>
          <w:i/>
        </w:rPr>
        <w:t xml:space="preserve"> and detail</w:t>
      </w:r>
      <w:r w:rsidRPr="001365B0">
        <w:t>).</w:t>
      </w:r>
    </w:p>
    <w:p w14:paraId="377B2AC8" w14:textId="465B7D23" w:rsidR="00CF09F8" w:rsidRPr="001365B0" w:rsidRDefault="00CF09F8" w:rsidP="004B4F6B">
      <w:pPr>
        <w:pStyle w:val="List01"/>
      </w:pPr>
      <w:r w:rsidRPr="001365B0">
        <w:t>Only 4 variables of 20 available variables used, of these 4 two are aggregations – Total Deaths and Total Affected to allow compatibility (</w:t>
      </w:r>
      <w:r w:rsidRPr="00E72864">
        <w:rPr>
          <w:i/>
        </w:rPr>
        <w:t xml:space="preserve">loss of </w:t>
      </w:r>
      <w:r w:rsidR="001E2751" w:rsidRPr="00E72864">
        <w:rPr>
          <w:i/>
        </w:rPr>
        <w:t xml:space="preserve">visibility, </w:t>
      </w:r>
      <w:r w:rsidR="005454A2" w:rsidRPr="00E72864">
        <w:rPr>
          <w:i/>
        </w:rPr>
        <w:t>specificity</w:t>
      </w:r>
      <w:r w:rsidR="005454A2">
        <w:rPr>
          <w:i/>
        </w:rPr>
        <w:t xml:space="preserve">, </w:t>
      </w:r>
      <w:proofErr w:type="gramStart"/>
      <w:r w:rsidR="005454A2">
        <w:rPr>
          <w:i/>
        </w:rPr>
        <w:t>detail</w:t>
      </w:r>
      <w:proofErr w:type="gramEnd"/>
      <w:r w:rsidRPr="00E72864">
        <w:rPr>
          <w:i/>
        </w:rPr>
        <w:t xml:space="preserve"> and nuance</w:t>
      </w:r>
      <w:r w:rsidRPr="001365B0">
        <w:t>).</w:t>
      </w:r>
    </w:p>
    <w:p w14:paraId="0B2503DD" w14:textId="2408552C" w:rsidR="00CF09F8" w:rsidRPr="00E72864" w:rsidRDefault="00CF09F8" w:rsidP="004B4F6B">
      <w:pPr>
        <w:pStyle w:val="List01"/>
        <w:rPr>
          <w:rFonts w:cstheme="minorHAnsi"/>
        </w:rPr>
      </w:pPr>
      <w:r w:rsidRPr="001365B0">
        <w:t xml:space="preserve">The type of victim, i.e. </w:t>
      </w:r>
      <w:r w:rsidRPr="00E72864">
        <w:rPr>
          <w:rFonts w:ascii="Times New Roman" w:hAnsi="Times New Roman"/>
          <w:i/>
        </w:rPr>
        <w:t>killed</w:t>
      </w:r>
      <w:r w:rsidRPr="001365B0">
        <w:t xml:space="preserve">, </w:t>
      </w:r>
      <w:r w:rsidRPr="00E72864">
        <w:rPr>
          <w:rFonts w:ascii="Times New Roman" w:hAnsi="Times New Roman"/>
          <w:i/>
        </w:rPr>
        <w:t>killed</w:t>
      </w:r>
      <w:r w:rsidRPr="001365B0">
        <w:t xml:space="preserve">, </w:t>
      </w:r>
      <w:r w:rsidRPr="00E72864">
        <w:rPr>
          <w:i/>
        </w:rPr>
        <w:t>detained</w:t>
      </w:r>
      <w:r w:rsidRPr="001365B0">
        <w:t xml:space="preserve"> mapped to 1 MDC disaster class (</w:t>
      </w:r>
      <w:r w:rsidRPr="00E72864">
        <w:rPr>
          <w:i/>
        </w:rPr>
        <w:t xml:space="preserve">loss of </w:t>
      </w:r>
      <w:r w:rsidR="005454A2" w:rsidRPr="00E72864">
        <w:rPr>
          <w:i/>
        </w:rPr>
        <w:t>specificity</w:t>
      </w:r>
      <w:r w:rsidR="005454A2">
        <w:rPr>
          <w:i/>
        </w:rPr>
        <w:t xml:space="preserve">, </w:t>
      </w:r>
      <w:proofErr w:type="gramStart"/>
      <w:r w:rsidR="005454A2">
        <w:rPr>
          <w:i/>
        </w:rPr>
        <w:t>detail</w:t>
      </w:r>
      <w:proofErr w:type="gramEnd"/>
      <w:r w:rsidRPr="00E72864">
        <w:rPr>
          <w:i/>
        </w:rPr>
        <w:t xml:space="preserve"> and nuance</w:t>
      </w:r>
      <w:r w:rsidRPr="001365B0">
        <w:t>).</w:t>
      </w:r>
    </w:p>
    <w:p w14:paraId="2611FA85" w14:textId="77777777" w:rsidR="00CF09F8" w:rsidRPr="001365B0" w:rsidRDefault="00CF09F8" w:rsidP="008F3178">
      <w:pPr>
        <w:pStyle w:val="Heading3"/>
      </w:pPr>
      <w:r w:rsidRPr="001365B0">
        <w:t>Step 4: Expanding the Global View of Disasters to Include Acts of Terror</w:t>
      </w:r>
    </w:p>
    <w:p w14:paraId="1AC493DD" w14:textId="13786951" w:rsidR="00CF09F8" w:rsidRPr="001365B0" w:rsidRDefault="00CF09F8" w:rsidP="004B4F6B">
      <w:pPr>
        <w:pStyle w:val="Text01"/>
      </w:pPr>
      <w:r w:rsidRPr="00E72864">
        <w:t xml:space="preserve">This </w:t>
      </w:r>
      <w:r w:rsidR="005E3F50" w:rsidRPr="00E72864">
        <w:t xml:space="preserve">step </w:t>
      </w:r>
      <w:r w:rsidRPr="00E72864">
        <w:t xml:space="preserve">entailed integrating the GTD dataset with the </w:t>
      </w:r>
      <w:r w:rsidRPr="0063636A">
        <w:t>MSGD</w:t>
      </w:r>
      <w:r w:rsidRPr="00E72864">
        <w:t xml:space="preserve"> dataset and expand the </w:t>
      </w:r>
      <w:r w:rsidRPr="0063636A">
        <w:t>MCD</w:t>
      </w:r>
      <w:r w:rsidRPr="00E72864">
        <w:t xml:space="preserve"> dataset created in Step 3 </w:t>
      </w:r>
      <w:r w:rsidR="00440C5C" w:rsidRPr="00E72864">
        <w:fldChar w:fldCharType="begin" w:fldLock="1"/>
      </w:r>
      <w:r w:rsidR="00440C5C" w:rsidRPr="00E72864">
        <w:instrText>ADDIN CSL_CITATION {"citationItems":[{"id":"ITEM-1","itemData":{"URL":"http://www.start.umd.edu/gtd/","accessed":{"date-parts":[["2017","1","7"]]},"author":[{"dropping-particle":"","family":"GTD","given":"","non-dropping-particle":"","parse-names":false,"suffix":""}],"container-title":"START: A Center of Excellence of the U.S. Department of Homeland Security","editor":[{"dropping-particle":"","family":"University of Maryland","given":"","non-dropping-particle":"","parse-names":false,"suffix":""}],"id":"ITEM-1","issue":"10 January 2017","issued":{"date-parts":[["2017"]]},"language":"English","publisher":"National Consortium for the Study of Terrorism and Responses to Terrorism","publisher-place":"Maryland, USA","title":"Global Terrorism Database (GTD), National Consortium for the Study of Terrorism and Responses to Terrorism (START)","type":"webpage","volume":"2017"},"uris":["http://www.mendeley.com/documents/?uuid=e1c115ed-14ee-4af0-a64f-f04e4cdaca85"]}],"mendeley":{"formattedCitation":"(GTD, 2017)","plainTextFormattedCitation":"(GTD, 2017)","previouslyFormattedCitation":"(GTD, 2017)"},"properties":{"noteIndex":0},"schema":"https://github.com/citation-style-language/schema/raw/master/csl-citation.json"}</w:instrText>
      </w:r>
      <w:r w:rsidR="00440C5C" w:rsidRPr="00E72864">
        <w:fldChar w:fldCharType="separate"/>
      </w:r>
      <w:r w:rsidR="00440C5C" w:rsidRPr="0063636A">
        <w:rPr>
          <w:noProof/>
        </w:rPr>
        <w:t>(GTD, 2017)</w:t>
      </w:r>
      <w:r w:rsidR="00440C5C" w:rsidRPr="00E72864">
        <w:fldChar w:fldCharType="end"/>
      </w:r>
      <w:r w:rsidR="00BA1C26" w:rsidRPr="00E72864">
        <w:t xml:space="preserve">. This dataset was needed because UCDP, </w:t>
      </w:r>
      <w:r w:rsidR="008170C8" w:rsidRPr="00E72864">
        <w:t>in which</w:t>
      </w:r>
      <w:r w:rsidR="00BA1C26" w:rsidRPr="00E72864">
        <w:t xml:space="preserve"> an event represents an action between two actors, does not include terrorist attacks </w:t>
      </w:r>
      <w:r w:rsidR="00BA1C26" w:rsidRPr="00E72864">
        <w:fldChar w:fldCharType="begin" w:fldLock="1"/>
      </w:r>
      <w:r w:rsidR="00D00F18" w:rsidRPr="00E72864">
        <w:instrText>ADDIN CSL_CITATION {"citationItems":[{"id":"ITEM-1","itemData":{"author":[{"dropping-particle":"","family":"Croicu","given":"Mihai","non-dropping-particle":"","parse-names":false,"suffix":""},{"dropping-particle":"","family":"Sundberg","given":"Ralph","non-dropping-particle":"","parse-names":false,"suffix":""}],"id":"ITEM-1","issued":{"date-parts":[["2015"]]},"language":"English","publisher":"Department of Peace and Conflict Research, Uppsala University","publisher-place":"Sweden","title":"UCDP GED Codebook version 5.0","type":"report"},"uris":["http://www.mendeley.com/documents/?uuid=2bbee391-65cf-44ea-8591-8535777716aa"]}],"mendeley":{"formattedCitation":"(Croicu &amp; Sundberg, 2015)","plainTextFormattedCitation":"(Croicu &amp; Sundberg, 2015)","previouslyFormattedCitation":"(Croicu &amp; Sundberg, 2015)"},"properties":{"noteIndex":0},"schema":"https://github.com/citation-style-language/schema/raw/master/csl-citation.json"}</w:instrText>
      </w:r>
      <w:r w:rsidR="00BA1C26" w:rsidRPr="00E72864">
        <w:fldChar w:fldCharType="separate"/>
      </w:r>
      <w:r w:rsidR="002D1ED6" w:rsidRPr="0063636A">
        <w:rPr>
          <w:noProof/>
        </w:rPr>
        <w:t>(Croicu &amp; Sundberg, 2015)</w:t>
      </w:r>
      <w:r w:rsidR="00BA1C26" w:rsidRPr="00E72864">
        <w:fldChar w:fldCharType="end"/>
      </w:r>
      <w:r w:rsidR="00BA1C26" w:rsidRPr="001365B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26"/>
        <w:gridCol w:w="2748"/>
        <w:gridCol w:w="451"/>
        <w:gridCol w:w="2534"/>
      </w:tblGrid>
      <w:tr w:rsidR="00CF09F8" w:rsidRPr="00E33B6B" w14:paraId="58B0859C" w14:textId="77777777" w:rsidTr="00F52A0A">
        <w:tc>
          <w:tcPr>
            <w:tcW w:w="1642"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02694D12" w14:textId="77777777" w:rsidR="00CF09F8" w:rsidRPr="00E33B6B" w:rsidRDefault="00CF09F8" w:rsidP="008F3178">
            <w:pPr>
              <w:spacing w:before="0" w:after="0"/>
              <w:jc w:val="center"/>
              <w:rPr>
                <w:b/>
                <w:sz w:val="22"/>
                <w:szCs w:val="22"/>
              </w:rPr>
            </w:pPr>
            <w:r w:rsidRPr="00E33B6B">
              <w:rPr>
                <w:b/>
                <w:sz w:val="22"/>
                <w:szCs w:val="22"/>
              </w:rPr>
              <w:t>GTD</w:t>
            </w:r>
          </w:p>
        </w:tc>
        <w:tc>
          <w:tcPr>
            <w:tcW w:w="182" w:type="pct"/>
            <w:tcBorders>
              <w:left w:val="single" w:sz="4" w:space="0" w:color="948A54" w:themeColor="background2" w:themeShade="80"/>
              <w:right w:val="single" w:sz="4" w:space="0" w:color="948A54" w:themeColor="background2" w:themeShade="80"/>
            </w:tcBorders>
            <w:vAlign w:val="center"/>
          </w:tcPr>
          <w:p w14:paraId="1CBE5F78" w14:textId="77777777" w:rsidR="00CF09F8" w:rsidRPr="00E33B6B" w:rsidRDefault="00CF09F8" w:rsidP="008F3178">
            <w:pPr>
              <w:spacing w:before="0" w:after="0"/>
              <w:jc w:val="center"/>
              <w:rPr>
                <w:b/>
                <w:sz w:val="22"/>
                <w:szCs w:val="22"/>
              </w:rPr>
            </w:pPr>
            <w:r w:rsidRPr="00E33B6B">
              <w:rPr>
                <w:b/>
                <w:sz w:val="22"/>
                <w:szCs w:val="22"/>
              </w:rPr>
              <w:t>+</w:t>
            </w:r>
          </w:p>
        </w:tc>
        <w:tc>
          <w:tcPr>
            <w:tcW w:w="1533"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4E612D5A" w14:textId="77777777" w:rsidR="00CF09F8" w:rsidRPr="00E33B6B" w:rsidRDefault="00CF09F8" w:rsidP="008F3178">
            <w:pPr>
              <w:spacing w:before="0" w:after="0"/>
              <w:jc w:val="center"/>
              <w:rPr>
                <w:b/>
                <w:sz w:val="22"/>
                <w:szCs w:val="22"/>
              </w:rPr>
            </w:pPr>
            <w:r w:rsidRPr="00E33B6B">
              <w:rPr>
                <w:b/>
                <w:sz w:val="22"/>
                <w:szCs w:val="22"/>
              </w:rPr>
              <w:t>MSGD3 (MDC3)</w:t>
            </w:r>
          </w:p>
        </w:tc>
        <w:tc>
          <w:tcPr>
            <w:tcW w:w="233" w:type="pct"/>
            <w:tcBorders>
              <w:left w:val="single" w:sz="4" w:space="0" w:color="948A54" w:themeColor="background2" w:themeShade="80"/>
              <w:right w:val="single" w:sz="4" w:space="0" w:color="948A54" w:themeColor="background2" w:themeShade="80"/>
            </w:tcBorders>
            <w:vAlign w:val="center"/>
          </w:tcPr>
          <w:p w14:paraId="0115AD5E" w14:textId="77777777" w:rsidR="00CF09F8" w:rsidRPr="00E33B6B" w:rsidRDefault="00CF09F8" w:rsidP="008F3178">
            <w:pPr>
              <w:spacing w:before="0" w:after="0"/>
              <w:jc w:val="center"/>
              <w:rPr>
                <w:b/>
                <w:sz w:val="22"/>
                <w:szCs w:val="22"/>
              </w:rPr>
            </w:pPr>
            <w:r w:rsidRPr="00E33B6B">
              <w:rPr>
                <w:b/>
                <w:sz w:val="22"/>
                <w:szCs w:val="22"/>
              </w:rPr>
              <w:sym w:font="Wingdings" w:char="F0E8"/>
            </w:r>
          </w:p>
        </w:tc>
        <w:tc>
          <w:tcPr>
            <w:tcW w:w="1410"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37A89031" w14:textId="77777777" w:rsidR="00CF09F8" w:rsidRPr="00E33B6B" w:rsidRDefault="00CF09F8" w:rsidP="008F3178">
            <w:pPr>
              <w:spacing w:before="0" w:after="0"/>
              <w:jc w:val="center"/>
              <w:rPr>
                <w:b/>
                <w:sz w:val="22"/>
                <w:szCs w:val="22"/>
              </w:rPr>
            </w:pPr>
            <w:r w:rsidRPr="00E33B6B">
              <w:rPr>
                <w:b/>
                <w:sz w:val="22"/>
                <w:szCs w:val="22"/>
              </w:rPr>
              <w:t>MSGD4 (MDC4)</w:t>
            </w:r>
          </w:p>
        </w:tc>
      </w:tr>
      <w:tr w:rsidR="00CF09F8" w:rsidRPr="001365B0" w14:paraId="489B15F5" w14:textId="77777777" w:rsidTr="00F52A0A">
        <w:trPr>
          <w:trHeight w:val="277"/>
        </w:trPr>
        <w:tc>
          <w:tcPr>
            <w:tcW w:w="1642"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0702A6DD"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156,772unique rows</w:t>
            </w:r>
          </w:p>
          <w:p w14:paraId="0BC82310"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Year/Country/Attack</w:t>
            </w:r>
          </w:p>
          <w:p w14:paraId="17F5C7D3"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10  variables</w:t>
            </w:r>
            <w:proofErr w:type="gramEnd"/>
          </w:p>
          <w:p w14:paraId="4AFFA72B"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9 MDC disaster class</w:t>
            </w:r>
          </w:p>
          <w:p w14:paraId="4CBCFB54"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191 Countries (ISO 3166 compliant)</w:t>
            </w:r>
          </w:p>
          <w:p w14:paraId="0902B623" w14:textId="77777777" w:rsidR="00CF09F8" w:rsidRPr="001365B0" w:rsidRDefault="00CF09F8" w:rsidP="008F3178">
            <w:pPr>
              <w:spacing w:before="0" w:after="0" w:line="240" w:lineRule="auto"/>
              <w:jc w:val="center"/>
              <w:rPr>
                <w:b/>
                <w:sz w:val="20"/>
                <w:szCs w:val="20"/>
              </w:rPr>
            </w:pPr>
            <w:r w:rsidRPr="001365B0">
              <w:rPr>
                <w:rFonts w:ascii="Corbel" w:hAnsi="Corbel" w:cs="Corbel"/>
                <w:iCs/>
                <w:color w:val="000000"/>
                <w:sz w:val="16"/>
                <w:szCs w:val="16"/>
              </w:rPr>
              <w:t>1989 – 2015</w:t>
            </w:r>
          </w:p>
        </w:tc>
        <w:tc>
          <w:tcPr>
            <w:tcW w:w="182" w:type="pct"/>
            <w:tcBorders>
              <w:left w:val="single" w:sz="4" w:space="0" w:color="948A54" w:themeColor="background2" w:themeShade="80"/>
              <w:right w:val="single" w:sz="4" w:space="0" w:color="948A54" w:themeColor="background2" w:themeShade="80"/>
            </w:tcBorders>
          </w:tcPr>
          <w:p w14:paraId="4812106A" w14:textId="77777777" w:rsidR="00CF09F8" w:rsidRPr="001365B0" w:rsidRDefault="00CF09F8" w:rsidP="008F3178">
            <w:pPr>
              <w:spacing w:before="0" w:after="0"/>
              <w:rPr>
                <w:b/>
                <w:sz w:val="20"/>
                <w:szCs w:val="20"/>
              </w:rPr>
            </w:pPr>
          </w:p>
        </w:tc>
        <w:tc>
          <w:tcPr>
            <w:tcW w:w="1533"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780C9915"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494,813 unique rows</w:t>
            </w:r>
          </w:p>
          <w:p w14:paraId="1659AE05"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0975C52B"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r w:rsidRPr="001365B0">
              <w:rPr>
                <w:rFonts w:ascii="Corbel" w:hAnsi="Corbel" w:cs="Corbel"/>
                <w:iCs/>
                <w:color w:val="000000"/>
                <w:sz w:val="16"/>
                <w:szCs w:val="16"/>
              </w:rPr>
              <w:t xml:space="preserve"> </w:t>
            </w:r>
          </w:p>
          <w:p w14:paraId="0619C3D0"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99 MDC disaster classes</w:t>
            </w:r>
          </w:p>
          <w:p w14:paraId="2579B717"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217 Countries (ISO 3166 compliant)</w:t>
            </w:r>
          </w:p>
          <w:p w14:paraId="4971AD7E" w14:textId="77777777" w:rsidR="00CF09F8" w:rsidRPr="001365B0" w:rsidRDefault="00CF09F8" w:rsidP="008F3178">
            <w:pPr>
              <w:spacing w:before="0" w:after="0" w:line="240" w:lineRule="auto"/>
              <w:jc w:val="center"/>
              <w:rPr>
                <w:b/>
                <w:sz w:val="20"/>
                <w:szCs w:val="20"/>
              </w:rPr>
            </w:pPr>
            <w:r w:rsidRPr="001365B0">
              <w:rPr>
                <w:rFonts w:ascii="Corbel" w:hAnsi="Corbel" w:cs="Corbel"/>
                <w:iCs/>
                <w:color w:val="000000"/>
                <w:sz w:val="16"/>
                <w:szCs w:val="16"/>
              </w:rPr>
              <w:t>1200 – 2017</w:t>
            </w:r>
          </w:p>
        </w:tc>
        <w:tc>
          <w:tcPr>
            <w:tcW w:w="233" w:type="pct"/>
            <w:tcBorders>
              <w:left w:val="single" w:sz="4" w:space="0" w:color="948A54" w:themeColor="background2" w:themeShade="80"/>
              <w:right w:val="single" w:sz="4" w:space="0" w:color="948A54" w:themeColor="background2" w:themeShade="80"/>
            </w:tcBorders>
          </w:tcPr>
          <w:p w14:paraId="2919A732" w14:textId="77777777" w:rsidR="00CF09F8" w:rsidRPr="001365B0" w:rsidRDefault="00CF09F8" w:rsidP="008F3178">
            <w:pPr>
              <w:spacing w:before="0" w:after="0"/>
              <w:rPr>
                <w:b/>
                <w:sz w:val="20"/>
                <w:szCs w:val="20"/>
              </w:rPr>
            </w:pPr>
          </w:p>
        </w:tc>
        <w:tc>
          <w:tcPr>
            <w:tcW w:w="1410"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582FFCA2"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651,585 unique rows</w:t>
            </w:r>
          </w:p>
          <w:p w14:paraId="43FBBA07"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2B1C7CF4" w14:textId="77777777" w:rsidR="00CF09F8" w:rsidRPr="001365B0" w:rsidRDefault="00CF09F8" w:rsidP="008F3178">
            <w:pPr>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r w:rsidRPr="001365B0">
              <w:rPr>
                <w:rFonts w:ascii="Corbel" w:hAnsi="Corbel" w:cs="Corbel"/>
                <w:iCs/>
                <w:color w:val="000000"/>
                <w:sz w:val="16"/>
                <w:szCs w:val="16"/>
              </w:rPr>
              <w:t xml:space="preserve"> </w:t>
            </w:r>
          </w:p>
          <w:p w14:paraId="7EF27162"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105 MDC disaster classes</w:t>
            </w:r>
          </w:p>
          <w:p w14:paraId="35F4A727" w14:textId="77777777" w:rsidR="00CF09F8" w:rsidRPr="001365B0" w:rsidRDefault="00CF09F8" w:rsidP="008F3178">
            <w:pPr>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223 Countries (ISO 3166 compliant)</w:t>
            </w:r>
          </w:p>
          <w:p w14:paraId="05BD4209" w14:textId="77777777" w:rsidR="00CF09F8" w:rsidRPr="001365B0" w:rsidRDefault="00CF09F8" w:rsidP="008F3178">
            <w:pPr>
              <w:keepNext/>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1200 – 2017</w:t>
            </w:r>
          </w:p>
        </w:tc>
      </w:tr>
    </w:tbl>
    <w:p w14:paraId="00A624CF" w14:textId="594F6646" w:rsidR="00CF09F8" w:rsidRPr="001365B0" w:rsidRDefault="00CF09F8" w:rsidP="001C5334">
      <w:pPr>
        <w:pStyle w:val="Caption"/>
        <w:rPr>
          <w:b w:val="0"/>
        </w:rPr>
      </w:pPr>
      <w:r w:rsidRPr="001365B0">
        <w:t xml:space="preserve">Figure </w:t>
      </w:r>
      <w:r w:rsidR="00AA525D">
        <w:fldChar w:fldCharType="begin"/>
      </w:r>
      <w:r w:rsidR="00AA525D">
        <w:instrText xml:space="preserve"> SEQ Figure \* ARABIC </w:instrText>
      </w:r>
      <w:r w:rsidR="00AA525D">
        <w:fldChar w:fldCharType="separate"/>
      </w:r>
      <w:r w:rsidR="00BA1A2B">
        <w:rPr>
          <w:noProof/>
        </w:rPr>
        <w:t>6</w:t>
      </w:r>
      <w:r w:rsidR="00AA525D">
        <w:rPr>
          <w:noProof/>
        </w:rPr>
        <w:fldChar w:fldCharType="end"/>
      </w:r>
      <w:r w:rsidR="00440C5C" w:rsidRPr="001365B0">
        <w:t xml:space="preserve">: </w:t>
      </w:r>
      <w:r w:rsidR="00440C5C" w:rsidRPr="001365B0">
        <w:rPr>
          <w:b w:val="0"/>
        </w:rPr>
        <w:t xml:space="preserve">Humanitarian Crises caused by Acts of Terror </w:t>
      </w:r>
      <w:r w:rsidR="00440C5C" w:rsidRPr="001365B0">
        <w:rPr>
          <w:b w:val="0"/>
        </w:rPr>
        <w:sym w:font="Wingdings" w:char="F0E0"/>
      </w:r>
      <w:r w:rsidR="00440C5C" w:rsidRPr="001365B0">
        <w:rPr>
          <w:b w:val="0"/>
        </w:rPr>
        <w:t xml:space="preserve"> Expanded MSGD and MDC</w:t>
      </w:r>
    </w:p>
    <w:p w14:paraId="00DED3A6" w14:textId="77777777" w:rsidR="00CF09F8" w:rsidRPr="001365B0" w:rsidRDefault="00CF09F8" w:rsidP="004B4F6B">
      <w:pPr>
        <w:pStyle w:val="Text01"/>
      </w:pPr>
      <w:r w:rsidRPr="001365B0">
        <w:t>The loss in adding the GTD data was as follows:</w:t>
      </w:r>
    </w:p>
    <w:p w14:paraId="7F6A2E7D" w14:textId="575012D5" w:rsidR="00CF09F8" w:rsidRPr="001365B0" w:rsidRDefault="00CF09F8" w:rsidP="004B4F6B">
      <w:pPr>
        <w:pStyle w:val="List01"/>
      </w:pPr>
      <w:r w:rsidRPr="001365B0">
        <w:t>Only 10 variables of 142 available variables are usable due to compatibility (</w:t>
      </w:r>
      <w:r w:rsidR="00325A58" w:rsidRPr="00E72864">
        <w:rPr>
          <w:i/>
        </w:rPr>
        <w:t>loss of visibility</w:t>
      </w:r>
      <w:r w:rsidRPr="001365B0">
        <w:t>).</w:t>
      </w:r>
    </w:p>
    <w:p w14:paraId="27867D0A" w14:textId="41D76584" w:rsidR="00CF09F8" w:rsidRPr="001365B0" w:rsidRDefault="00CF09F8" w:rsidP="004B4F6B">
      <w:pPr>
        <w:pStyle w:val="List01"/>
      </w:pPr>
      <w:r w:rsidRPr="001365B0">
        <w:t>119 types of terrorist attack mapped to 9 MDC disasters classes (</w:t>
      </w:r>
      <w:r w:rsidRPr="00E72864">
        <w:rPr>
          <w:i/>
        </w:rPr>
        <w:t xml:space="preserve">loss of </w:t>
      </w:r>
      <w:r w:rsidR="005454A2" w:rsidRPr="00E72864">
        <w:rPr>
          <w:i/>
        </w:rPr>
        <w:t>specificity</w:t>
      </w:r>
      <w:r w:rsidR="005454A2">
        <w:rPr>
          <w:i/>
        </w:rPr>
        <w:t xml:space="preserve">, </w:t>
      </w:r>
      <w:proofErr w:type="gramStart"/>
      <w:r w:rsidR="005454A2">
        <w:rPr>
          <w:i/>
        </w:rPr>
        <w:t>detail</w:t>
      </w:r>
      <w:proofErr w:type="gramEnd"/>
      <w:r w:rsidRPr="00E72864">
        <w:rPr>
          <w:i/>
        </w:rPr>
        <w:t xml:space="preserve"> and nuance</w:t>
      </w:r>
      <w:r w:rsidRPr="001365B0">
        <w:t>).</w:t>
      </w:r>
    </w:p>
    <w:p w14:paraId="6D77AB17" w14:textId="77777777" w:rsidR="00CF09F8" w:rsidRPr="001365B0" w:rsidRDefault="00CF09F8" w:rsidP="004B4F6B">
      <w:pPr>
        <w:pStyle w:val="List01"/>
      </w:pPr>
      <w:r w:rsidRPr="001365B0">
        <w:t xml:space="preserve">206 country variants standardised to 191 </w:t>
      </w:r>
      <w:r w:rsidRPr="00E72864">
        <w:rPr>
          <w:i/>
        </w:rPr>
        <w:t>ISO 3166</w:t>
      </w:r>
      <w:r w:rsidRPr="001365B0">
        <w:t xml:space="preserve"> country codes (ISO, 2017) (</w:t>
      </w:r>
      <w:r w:rsidRPr="00E72864">
        <w:rPr>
          <w:i/>
        </w:rPr>
        <w:t>loss of historical changes to sovereignty/convention</w:t>
      </w:r>
      <w:r w:rsidRPr="001365B0">
        <w:t>).</w:t>
      </w:r>
    </w:p>
    <w:p w14:paraId="22EB95FB" w14:textId="77777777" w:rsidR="00CF09F8" w:rsidRPr="001365B0" w:rsidRDefault="00CF09F8" w:rsidP="00440C5C">
      <w:pPr>
        <w:pStyle w:val="Heading3"/>
      </w:pPr>
      <w:r w:rsidRPr="001365B0">
        <w:t>Step 5: Expanding the Global View of Disasters to Include Refugee Crises</w:t>
      </w:r>
    </w:p>
    <w:p w14:paraId="42E58524" w14:textId="73836155" w:rsidR="00CF09F8" w:rsidRPr="001365B0" w:rsidRDefault="005E3F50" w:rsidP="004B4F6B">
      <w:pPr>
        <w:pStyle w:val="Text01"/>
      </w:pPr>
      <w:r>
        <w:t>This step</w:t>
      </w:r>
      <w:r w:rsidR="00CF09F8" w:rsidRPr="001365B0">
        <w:t xml:space="preserve"> entailed integrating the UNHCR dataset with the MSGD dataset and expand the MCD dataset created in Step 4 </w:t>
      </w:r>
      <w:r w:rsidR="00440C5C" w:rsidRPr="001365B0">
        <w:fldChar w:fldCharType="begin" w:fldLock="1"/>
      </w:r>
      <w:r w:rsidR="00440C5C" w:rsidRPr="001365B0">
        <w:instrText>ADDIN CSL_CITATION {"citationItems":[{"id":"ITEM-1","itemData":{"URL":"http://popstats.unhcr.org/en/overview","accessed":{"date-parts":[["2017","1","7"]]},"author":[{"dropping-particle":"","family":"UNHCR","given":"","non-dropping-particle":"","parse-names":false,"suffix":""}],"container-title":"Population Statistics","editor":[{"dropping-particle":"","family":"UNHCR","given":"","non-dropping-particle":"","parse-names":false,"suffix":""}],"id":"ITEM-1","issue":"07 January 2017","issued":{"date-parts":[["2017"]]},"language":"English","publisher":"UNHCR","publisher-place":"Geneva, Switzerland","title":"United Nations High Commissioner for Refugees (UNHCR), Population Statistics Database Overview","type":"webpage","volume":"2017"},"uris":["http://www.mendeley.com/documents/?uuid=dc49c7f4-f29a-43f7-9ea9-7352128195fb"]}],"mendeley":{"formattedCitation":"(UNHCR, 2017)","plainTextFormattedCitation":"(UNHCR, 2017)","previouslyFormattedCitation":"(UNHCR, 2017)"},"properties":{"noteIndex":0},"schema":"https://github.com/citation-style-language/schema/raw/master/csl-citation.json"}</w:instrText>
      </w:r>
      <w:r w:rsidR="00440C5C" w:rsidRPr="001365B0">
        <w:fldChar w:fldCharType="separate"/>
      </w:r>
      <w:r w:rsidR="00440C5C" w:rsidRPr="001365B0">
        <w:rPr>
          <w:noProof/>
        </w:rPr>
        <w:t>(UNHCR, 2017)</w:t>
      </w:r>
      <w:r w:rsidR="00440C5C" w:rsidRPr="001365B0">
        <w:fldChar w:fldCharType="end"/>
      </w:r>
      <w:r w:rsidR="00CF09F8" w:rsidRPr="001365B0">
        <w:t>.</w:t>
      </w:r>
      <w:r w:rsidR="008170C8" w:rsidRPr="001365B0">
        <w:t xml:space="preserve"> This dataset was needed as </w:t>
      </w:r>
      <w:proofErr w:type="gramStart"/>
      <w:r w:rsidR="008170C8" w:rsidRPr="001365B0">
        <w:t>the all</w:t>
      </w:r>
      <w:proofErr w:type="gramEnd"/>
      <w:r w:rsidR="008170C8" w:rsidRPr="001365B0">
        <w:t xml:space="preserve"> disaster impact datasets integrated up to this step do not include the humanitarian crises of deracination.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26"/>
        <w:gridCol w:w="2748"/>
        <w:gridCol w:w="451"/>
        <w:gridCol w:w="2534"/>
      </w:tblGrid>
      <w:tr w:rsidR="00CF09F8" w:rsidRPr="00E33B6B" w14:paraId="5DC0EA1C" w14:textId="77777777" w:rsidTr="00440C5C">
        <w:trPr>
          <w:cantSplit/>
        </w:trPr>
        <w:tc>
          <w:tcPr>
            <w:tcW w:w="1642"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7A319070" w14:textId="77777777" w:rsidR="00CF09F8" w:rsidRPr="00E33B6B" w:rsidRDefault="00CF09F8" w:rsidP="00440C5C">
            <w:pPr>
              <w:keepNext/>
              <w:keepLines/>
              <w:spacing w:before="0" w:after="0"/>
              <w:jc w:val="center"/>
              <w:rPr>
                <w:b/>
                <w:sz w:val="22"/>
                <w:szCs w:val="22"/>
              </w:rPr>
            </w:pPr>
            <w:r w:rsidRPr="00E33B6B">
              <w:rPr>
                <w:b/>
                <w:sz w:val="22"/>
                <w:szCs w:val="22"/>
              </w:rPr>
              <w:lastRenderedPageBreak/>
              <w:t>UNHCR</w:t>
            </w:r>
          </w:p>
        </w:tc>
        <w:tc>
          <w:tcPr>
            <w:tcW w:w="182" w:type="pct"/>
            <w:tcBorders>
              <w:left w:val="single" w:sz="4" w:space="0" w:color="948A54" w:themeColor="background2" w:themeShade="80"/>
              <w:right w:val="single" w:sz="4" w:space="0" w:color="948A54" w:themeColor="background2" w:themeShade="80"/>
            </w:tcBorders>
            <w:vAlign w:val="center"/>
          </w:tcPr>
          <w:p w14:paraId="5A7F1B23" w14:textId="77777777" w:rsidR="00CF09F8" w:rsidRPr="00E33B6B" w:rsidRDefault="00CF09F8" w:rsidP="00440C5C">
            <w:pPr>
              <w:keepNext/>
              <w:keepLines/>
              <w:spacing w:before="0" w:after="0"/>
              <w:jc w:val="center"/>
              <w:rPr>
                <w:b/>
                <w:sz w:val="22"/>
                <w:szCs w:val="22"/>
              </w:rPr>
            </w:pPr>
            <w:r w:rsidRPr="00E33B6B">
              <w:rPr>
                <w:b/>
                <w:sz w:val="22"/>
                <w:szCs w:val="22"/>
              </w:rPr>
              <w:t>+</w:t>
            </w:r>
          </w:p>
        </w:tc>
        <w:tc>
          <w:tcPr>
            <w:tcW w:w="1533"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5940F0B2" w14:textId="77777777" w:rsidR="00CF09F8" w:rsidRPr="00E33B6B" w:rsidRDefault="00CF09F8" w:rsidP="00440C5C">
            <w:pPr>
              <w:keepNext/>
              <w:keepLines/>
              <w:spacing w:before="0" w:after="0"/>
              <w:jc w:val="center"/>
              <w:rPr>
                <w:b/>
                <w:sz w:val="22"/>
                <w:szCs w:val="22"/>
              </w:rPr>
            </w:pPr>
            <w:r w:rsidRPr="00E33B6B">
              <w:rPr>
                <w:b/>
                <w:sz w:val="22"/>
                <w:szCs w:val="22"/>
              </w:rPr>
              <w:t>MSGD4 (MDC4)</w:t>
            </w:r>
          </w:p>
        </w:tc>
        <w:tc>
          <w:tcPr>
            <w:tcW w:w="233" w:type="pct"/>
            <w:tcBorders>
              <w:left w:val="single" w:sz="4" w:space="0" w:color="948A54" w:themeColor="background2" w:themeShade="80"/>
              <w:right w:val="single" w:sz="4" w:space="0" w:color="948A54" w:themeColor="background2" w:themeShade="80"/>
            </w:tcBorders>
            <w:vAlign w:val="center"/>
          </w:tcPr>
          <w:p w14:paraId="2B5EB47B" w14:textId="77777777" w:rsidR="00CF09F8" w:rsidRPr="00E33B6B" w:rsidRDefault="00CF09F8" w:rsidP="00440C5C">
            <w:pPr>
              <w:keepNext/>
              <w:keepLines/>
              <w:spacing w:before="0" w:after="0"/>
              <w:jc w:val="center"/>
              <w:rPr>
                <w:b/>
                <w:sz w:val="22"/>
                <w:szCs w:val="22"/>
              </w:rPr>
            </w:pPr>
            <w:r w:rsidRPr="00E33B6B">
              <w:rPr>
                <w:b/>
                <w:sz w:val="22"/>
                <w:szCs w:val="22"/>
              </w:rPr>
              <w:sym w:font="Wingdings" w:char="F0E8"/>
            </w:r>
          </w:p>
        </w:tc>
        <w:tc>
          <w:tcPr>
            <w:tcW w:w="1410" w:type="pct"/>
            <w:tcBorders>
              <w:top w:val="single" w:sz="4" w:space="0" w:color="948A54" w:themeColor="background2" w:themeShade="80"/>
              <w:left w:val="single" w:sz="4" w:space="0" w:color="948A54" w:themeColor="background2" w:themeShade="80"/>
              <w:right w:val="single" w:sz="4" w:space="0" w:color="948A54" w:themeColor="background2" w:themeShade="80"/>
            </w:tcBorders>
            <w:vAlign w:val="center"/>
          </w:tcPr>
          <w:p w14:paraId="6B3EA806" w14:textId="77777777" w:rsidR="00CF09F8" w:rsidRPr="00E33B6B" w:rsidRDefault="00CF09F8" w:rsidP="00440C5C">
            <w:pPr>
              <w:keepNext/>
              <w:keepLines/>
              <w:spacing w:before="0" w:after="0"/>
              <w:jc w:val="center"/>
              <w:rPr>
                <w:b/>
                <w:sz w:val="22"/>
                <w:szCs w:val="22"/>
              </w:rPr>
            </w:pPr>
            <w:r w:rsidRPr="00E33B6B">
              <w:rPr>
                <w:b/>
                <w:sz w:val="22"/>
                <w:szCs w:val="22"/>
              </w:rPr>
              <w:t>MSGD5 (MDC5)</w:t>
            </w:r>
          </w:p>
        </w:tc>
      </w:tr>
      <w:tr w:rsidR="00CF09F8" w:rsidRPr="001365B0" w14:paraId="66A3910F" w14:textId="77777777" w:rsidTr="00440C5C">
        <w:trPr>
          <w:cantSplit/>
          <w:trHeight w:val="277"/>
        </w:trPr>
        <w:tc>
          <w:tcPr>
            <w:tcW w:w="1642"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4CE21ECB"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298,441 unique rows</w:t>
            </w:r>
          </w:p>
          <w:p w14:paraId="19C43DCC"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Year/’From’ Country/’To’ Country</w:t>
            </w:r>
          </w:p>
          <w:p w14:paraId="18836BBE"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5 variables</w:t>
            </w:r>
          </w:p>
          <w:p w14:paraId="04C90715"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7 MDC disaster class</w:t>
            </w:r>
          </w:p>
          <w:p w14:paraId="2F2166CE"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222 Countries (ISO 3166 compliant)</w:t>
            </w:r>
          </w:p>
          <w:p w14:paraId="2F71ACD3" w14:textId="77777777" w:rsidR="00CF09F8" w:rsidRPr="001365B0" w:rsidRDefault="00CF09F8" w:rsidP="00440C5C">
            <w:pPr>
              <w:keepNext/>
              <w:keepLines/>
              <w:spacing w:before="0" w:after="0" w:line="240" w:lineRule="auto"/>
              <w:jc w:val="center"/>
              <w:rPr>
                <w:b/>
                <w:sz w:val="20"/>
                <w:szCs w:val="20"/>
              </w:rPr>
            </w:pPr>
            <w:r w:rsidRPr="001365B0">
              <w:rPr>
                <w:rFonts w:ascii="Corbel" w:hAnsi="Corbel" w:cs="Corbel"/>
                <w:iCs/>
                <w:color w:val="000000"/>
                <w:sz w:val="16"/>
                <w:szCs w:val="16"/>
              </w:rPr>
              <w:t>1989 – 2015</w:t>
            </w:r>
          </w:p>
        </w:tc>
        <w:tc>
          <w:tcPr>
            <w:tcW w:w="182" w:type="pct"/>
            <w:tcBorders>
              <w:left w:val="single" w:sz="4" w:space="0" w:color="948A54" w:themeColor="background2" w:themeShade="80"/>
              <w:right w:val="single" w:sz="4" w:space="0" w:color="948A54" w:themeColor="background2" w:themeShade="80"/>
            </w:tcBorders>
          </w:tcPr>
          <w:p w14:paraId="36FFF923" w14:textId="77777777" w:rsidR="00CF09F8" w:rsidRPr="001365B0" w:rsidRDefault="00CF09F8" w:rsidP="00440C5C">
            <w:pPr>
              <w:keepNext/>
              <w:keepLines/>
              <w:spacing w:before="0" w:after="0"/>
              <w:rPr>
                <w:b/>
                <w:sz w:val="20"/>
                <w:szCs w:val="20"/>
              </w:rPr>
            </w:pPr>
          </w:p>
        </w:tc>
        <w:tc>
          <w:tcPr>
            <w:tcW w:w="1533"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15058F6E"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651,585 unique rows</w:t>
            </w:r>
          </w:p>
          <w:p w14:paraId="115C2F07"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1884DEA3"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r w:rsidRPr="001365B0">
              <w:rPr>
                <w:rFonts w:ascii="Corbel" w:hAnsi="Corbel" w:cs="Corbel"/>
                <w:iCs/>
                <w:color w:val="000000"/>
                <w:sz w:val="16"/>
                <w:szCs w:val="16"/>
              </w:rPr>
              <w:t xml:space="preserve"> </w:t>
            </w:r>
          </w:p>
          <w:p w14:paraId="3C5DC471"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105 MDC disaster classes</w:t>
            </w:r>
          </w:p>
          <w:p w14:paraId="744609D9"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223 Countries (ISO 3166 compliant)</w:t>
            </w:r>
          </w:p>
          <w:p w14:paraId="3DF4D221" w14:textId="77777777" w:rsidR="00CF09F8" w:rsidRPr="001365B0" w:rsidRDefault="00CF09F8" w:rsidP="00440C5C">
            <w:pPr>
              <w:keepNext/>
              <w:keepLines/>
              <w:spacing w:before="0" w:after="0" w:line="240" w:lineRule="auto"/>
              <w:jc w:val="center"/>
              <w:rPr>
                <w:b/>
                <w:sz w:val="20"/>
                <w:szCs w:val="20"/>
              </w:rPr>
            </w:pPr>
            <w:r w:rsidRPr="001365B0">
              <w:rPr>
                <w:rFonts w:ascii="Corbel" w:hAnsi="Corbel" w:cs="Corbel"/>
                <w:iCs/>
                <w:color w:val="000000"/>
                <w:sz w:val="16"/>
                <w:szCs w:val="16"/>
              </w:rPr>
              <w:t>1200 – 2017</w:t>
            </w:r>
          </w:p>
        </w:tc>
        <w:tc>
          <w:tcPr>
            <w:tcW w:w="233" w:type="pct"/>
            <w:tcBorders>
              <w:left w:val="single" w:sz="4" w:space="0" w:color="948A54" w:themeColor="background2" w:themeShade="80"/>
              <w:right w:val="single" w:sz="4" w:space="0" w:color="948A54" w:themeColor="background2" w:themeShade="80"/>
            </w:tcBorders>
          </w:tcPr>
          <w:p w14:paraId="742DFF0C" w14:textId="77777777" w:rsidR="00CF09F8" w:rsidRPr="001365B0" w:rsidRDefault="00CF09F8" w:rsidP="00440C5C">
            <w:pPr>
              <w:keepNext/>
              <w:keepLines/>
              <w:spacing w:before="0" w:after="0"/>
              <w:rPr>
                <w:b/>
                <w:sz w:val="20"/>
                <w:szCs w:val="20"/>
              </w:rPr>
            </w:pPr>
          </w:p>
        </w:tc>
        <w:tc>
          <w:tcPr>
            <w:tcW w:w="1410" w:type="pct"/>
            <w:tcBorders>
              <w:left w:val="single" w:sz="4" w:space="0" w:color="948A54" w:themeColor="background2" w:themeShade="80"/>
              <w:bottom w:val="single" w:sz="4" w:space="0" w:color="948A54" w:themeColor="background2" w:themeShade="80"/>
              <w:right w:val="single" w:sz="4" w:space="0" w:color="948A54" w:themeColor="background2" w:themeShade="80"/>
            </w:tcBorders>
          </w:tcPr>
          <w:p w14:paraId="239E5F01"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950,026 unique rows</w:t>
            </w:r>
          </w:p>
          <w:p w14:paraId="0DAF75B8"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 Row = Year/Country/Event</w:t>
            </w:r>
          </w:p>
          <w:p w14:paraId="1F43CAD8"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proofErr w:type="gramStart"/>
            <w:r w:rsidRPr="001365B0">
              <w:rPr>
                <w:rFonts w:ascii="Corbel" w:hAnsi="Corbel" w:cs="Corbel"/>
                <w:iCs/>
                <w:color w:val="000000"/>
                <w:sz w:val="16"/>
                <w:szCs w:val="16"/>
              </w:rPr>
              <w:t>9  variables</w:t>
            </w:r>
            <w:proofErr w:type="gramEnd"/>
            <w:r w:rsidRPr="001365B0">
              <w:rPr>
                <w:rFonts w:ascii="Corbel" w:hAnsi="Corbel" w:cs="Corbel"/>
                <w:iCs/>
                <w:color w:val="000000"/>
                <w:sz w:val="16"/>
                <w:szCs w:val="16"/>
              </w:rPr>
              <w:t xml:space="preserve"> </w:t>
            </w:r>
          </w:p>
          <w:p w14:paraId="06C98063"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112 MDC disaster classes</w:t>
            </w:r>
          </w:p>
          <w:p w14:paraId="7B4F071D"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234 Countries (ISO 3166 compliant)</w:t>
            </w:r>
          </w:p>
          <w:p w14:paraId="21D0E9BC" w14:textId="77777777" w:rsidR="00CF09F8" w:rsidRPr="001365B0" w:rsidRDefault="00CF09F8" w:rsidP="00440C5C">
            <w:pPr>
              <w:keepNext/>
              <w:keepLines/>
              <w:spacing w:before="0" w:after="0" w:line="240" w:lineRule="auto"/>
              <w:jc w:val="center"/>
              <w:rPr>
                <w:rFonts w:ascii="Corbel" w:hAnsi="Corbel" w:cs="Corbel"/>
                <w:iCs/>
                <w:color w:val="000000"/>
                <w:sz w:val="16"/>
                <w:szCs w:val="16"/>
              </w:rPr>
            </w:pPr>
            <w:r w:rsidRPr="001365B0">
              <w:rPr>
                <w:rFonts w:ascii="Corbel" w:hAnsi="Corbel" w:cs="Corbel"/>
                <w:iCs/>
                <w:color w:val="000000"/>
                <w:sz w:val="16"/>
                <w:szCs w:val="16"/>
              </w:rPr>
              <w:t>1200 – 2017</w:t>
            </w:r>
          </w:p>
        </w:tc>
      </w:tr>
    </w:tbl>
    <w:p w14:paraId="2C00DC65" w14:textId="71491EC6" w:rsidR="00CF09F8" w:rsidRPr="001365B0" w:rsidRDefault="00CF09F8" w:rsidP="001C5334">
      <w:pPr>
        <w:pStyle w:val="Caption"/>
      </w:pPr>
      <w:r w:rsidRPr="001365B0">
        <w:t xml:space="preserve">Figure </w:t>
      </w:r>
      <w:r w:rsidR="00AA525D">
        <w:fldChar w:fldCharType="begin"/>
      </w:r>
      <w:r w:rsidR="00AA525D">
        <w:instrText xml:space="preserve"> SEQ Figure \* ARABIC </w:instrText>
      </w:r>
      <w:r w:rsidR="00AA525D">
        <w:fldChar w:fldCharType="separate"/>
      </w:r>
      <w:r w:rsidR="00BA1A2B">
        <w:rPr>
          <w:noProof/>
        </w:rPr>
        <w:t>7</w:t>
      </w:r>
      <w:r w:rsidR="00AA525D">
        <w:rPr>
          <w:noProof/>
        </w:rPr>
        <w:fldChar w:fldCharType="end"/>
      </w:r>
      <w:r w:rsidR="00440C5C" w:rsidRPr="001365B0">
        <w:t xml:space="preserve">: </w:t>
      </w:r>
      <w:r w:rsidR="00440C5C" w:rsidRPr="001365B0">
        <w:rPr>
          <w:b w:val="0"/>
        </w:rPr>
        <w:t xml:space="preserve">Humanitarian Crises of Refugees  </w:t>
      </w:r>
      <w:r w:rsidR="00440C5C" w:rsidRPr="001365B0">
        <w:rPr>
          <w:b w:val="0"/>
        </w:rPr>
        <w:sym w:font="Wingdings" w:char="F0E0"/>
      </w:r>
      <w:r w:rsidR="00440C5C" w:rsidRPr="001365B0">
        <w:rPr>
          <w:b w:val="0"/>
        </w:rPr>
        <w:t xml:space="preserve"> Expanded MSGD and MDC</w:t>
      </w:r>
    </w:p>
    <w:p w14:paraId="3813D068" w14:textId="77777777" w:rsidR="001C57DB" w:rsidRPr="001365B0" w:rsidRDefault="00440C5C" w:rsidP="004B4F6B">
      <w:pPr>
        <w:pStyle w:val="Text01"/>
      </w:pPr>
      <w:r w:rsidRPr="001365B0">
        <w:t>The loss</w:t>
      </w:r>
      <w:r w:rsidR="001C57DB" w:rsidRPr="001365B0">
        <w:t xml:space="preserve"> in </w:t>
      </w:r>
      <w:r w:rsidR="00CF09F8" w:rsidRPr="001365B0">
        <w:t xml:space="preserve">adding the UNHCR </w:t>
      </w:r>
      <w:r w:rsidR="001C57DB" w:rsidRPr="001365B0">
        <w:t>data was</w:t>
      </w:r>
      <w:r w:rsidRPr="001365B0">
        <w:t xml:space="preserve"> </w:t>
      </w:r>
      <w:r w:rsidR="00CF09F8" w:rsidRPr="001365B0">
        <w:t>as follows:</w:t>
      </w:r>
    </w:p>
    <w:p w14:paraId="6B2EE4B8" w14:textId="3A098F24" w:rsidR="00CF09F8" w:rsidRPr="001365B0" w:rsidRDefault="00CF09F8" w:rsidP="004B4F6B">
      <w:pPr>
        <w:pStyle w:val="List01"/>
      </w:pPr>
      <w:r w:rsidRPr="001365B0">
        <w:t>Only 5 variables of 11 available variables are usable due to compatibility (</w:t>
      </w:r>
      <w:r w:rsidRPr="00E72864">
        <w:rPr>
          <w:i/>
        </w:rPr>
        <w:t xml:space="preserve">loss of </w:t>
      </w:r>
      <w:r w:rsidR="00325A58" w:rsidRPr="00E72864">
        <w:rPr>
          <w:i/>
        </w:rPr>
        <w:t>visibility</w:t>
      </w:r>
      <w:r w:rsidRPr="001365B0">
        <w:t>).</w:t>
      </w:r>
    </w:p>
    <w:p w14:paraId="010956DE" w14:textId="77777777" w:rsidR="00CF09F8" w:rsidRPr="001365B0" w:rsidRDefault="00CF09F8" w:rsidP="004B4F6B">
      <w:pPr>
        <w:pStyle w:val="List01"/>
      </w:pPr>
      <w:r w:rsidRPr="001365B0">
        <w:t xml:space="preserve">195 country variants standardised to 222 </w:t>
      </w:r>
      <w:r w:rsidRPr="00E72864">
        <w:rPr>
          <w:i/>
        </w:rPr>
        <w:t>ISO 3166</w:t>
      </w:r>
      <w:r w:rsidRPr="001365B0">
        <w:t xml:space="preserve"> country codes (ISO, 2017) (</w:t>
      </w:r>
      <w:r w:rsidRPr="00E72864">
        <w:rPr>
          <w:i/>
        </w:rPr>
        <w:t>loss of historical changes to sovereignty/convention</w:t>
      </w:r>
      <w:r w:rsidRPr="001365B0">
        <w:t>).</w:t>
      </w:r>
    </w:p>
    <w:p w14:paraId="5E56250A" w14:textId="77777777" w:rsidR="00CF09F8" w:rsidRPr="001365B0" w:rsidRDefault="00CF09F8" w:rsidP="00563169">
      <w:pPr>
        <w:pStyle w:val="Heading3"/>
      </w:pPr>
      <w:r w:rsidRPr="001365B0">
        <w:t>Step 6: Integrating Humanitarian Aid Flow Data to Evaluate against Disaster Loss Data</w:t>
      </w:r>
    </w:p>
    <w:p w14:paraId="29D7D8C9" w14:textId="43D6311B" w:rsidR="00CF09F8" w:rsidRPr="001365B0" w:rsidRDefault="00CF09F8" w:rsidP="004B4F6B">
      <w:pPr>
        <w:pStyle w:val="Text01"/>
      </w:pPr>
      <w:r w:rsidRPr="001365B0">
        <w:t xml:space="preserve">The final step required integrating the humanitarian aid data from FTS and OECD  </w:t>
      </w:r>
      <w:r w:rsidR="00440C5C" w:rsidRPr="001365B0">
        <w:fldChar w:fldCharType="begin" w:fldLock="1"/>
      </w:r>
      <w:r w:rsidR="00B8710E">
        <w:instrText>ADDIN CSL_CITATION {"citationItems":[{"id":"ITEM-1","itemData":{"URL":"http://www.oecd.org/","accessed":{"date-parts":[["2017","1","8"]]},"author":[{"dropping-particle":"","family":"OECD","given":"","non-dropping-particle":"","parse-names":false,"suffix":""}],"editor":[{"dropping-particle":"","family":"Organisation for Economic Co-operation and Development (OECD)","given":"","non-dropping-particle":"","parse-names":false,"suffix":""}],"id":"ITEM-1","issue":"08 January 2017","issued":{"date-parts":[["2017"]]},"language":"English","title":"Organisation for Economic Co-operation and Development (OECD)","type":"webpage","volume":"2017"},"uris":["http://www.mendeley.com/documents/?uuid=ec8c7048-41e4-44b0-92a7-6fcee08626c4"]},{"id":"ITEM-2","itemData":{"URL":"http://fts.unocha.org/","accessed":{"date-parts":[["2017","5","30"]]},"author":[{"dropping-particle":"","family":"FTS","given":"","non-dropping-particle":"","parse-names":false,"suffix":""}],"container-title":"Tracking Humanitarian Aid Flows","editor":[{"dropping-particle":"","family":"Humanitarian Programme Cycle Information Services Unit (HPC-IS)","given":"","non-dropping-particle":"","parse-names":false,"suffix":""}],"id":"ITEM-2","issue":"2017","issued":{"date-parts":[["2017"]]},"language":"English","publisher":"United Nations Office for the Coordination of Humanitarian Affairs (UNOCHA)","publisher-place":"Geneva, Switzerland","title":"Financial Tracking Services","type":"webpage","volume":"2017"},"uris":["http://www.mendeley.com/documents/?uuid=51780581-57e7-4df9-a65c-3d6dce75306c"]}],"mendeley":{"formattedCitation":"(FTS, 2017; OECD, 2017b)","plainTextFormattedCitation":"(FTS, 2017; OECD, 2017b)","previouslyFormattedCitation":"(FTS, 2017; OECD, 2017b)"},"properties":{"noteIndex":0},"schema":"https://github.com/citation-style-language/schema/raw/master/csl-citation.json"}</w:instrText>
      </w:r>
      <w:r w:rsidR="00440C5C" w:rsidRPr="001365B0">
        <w:fldChar w:fldCharType="separate"/>
      </w:r>
      <w:r w:rsidR="00B8710E" w:rsidRPr="00B8710E">
        <w:rPr>
          <w:noProof/>
        </w:rPr>
        <w:t>(FTS, 2017; OECD, 2017b)</w:t>
      </w:r>
      <w:r w:rsidR="00440C5C" w:rsidRPr="001365B0">
        <w:fldChar w:fldCharType="end"/>
      </w:r>
      <w:r w:rsidR="00440C5C" w:rsidRPr="001365B0">
        <w:t xml:space="preserve">. </w:t>
      </w:r>
      <w:r w:rsidRPr="001365B0">
        <w:t>The data from these sources are not provided at a level or with the references that would reconcile easily with humanitarian crises data. The version of OECD data that identified recipient countries can only be obtained as annualised values: As a result, for compatibility, the FTS data was also taken at the year/recipient country level for consistency. Even consolidated, these two datasets only provided a view of the annualised flow of humanitarian aid monies to 198 countries from 1990 to 2015, a total of 3,556 records.</w:t>
      </w:r>
    </w:p>
    <w:p w14:paraId="6A40F082" w14:textId="7F753CA8" w:rsidR="008170C8" w:rsidRPr="001365B0" w:rsidRDefault="00CF09F8" w:rsidP="004B4F6B">
      <w:pPr>
        <w:pStyle w:val="Text01"/>
      </w:pPr>
      <w:r w:rsidRPr="001365B0">
        <w:t xml:space="preserve">Ultimately, to examine the impact of humanitarian aid involved rationalising, reclassifying, consolidating and aggregating data from multiple sources into a cohesive whole of 950,026 records that were in and of themselves distilled views of disaster data. To marry the available humanitarian aid data to this distilled view of disaster data required further loss of detail through aggregation of losses to the year/country level and a restricted view of years 1990 – 2015, resulting in 5,002 records. Of these another 1,446 records </w:t>
      </w:r>
      <w:r w:rsidR="00A94E50" w:rsidRPr="001365B0">
        <w:t>had to</w:t>
      </w:r>
      <w:r w:rsidRPr="001365B0">
        <w:t xml:space="preserve"> be discarded as they do not have any corresponding flows of humanitarian aid. </w:t>
      </w:r>
    </w:p>
    <w:p w14:paraId="536FCF6D" w14:textId="6C39B30B" w:rsidR="009102E2" w:rsidRPr="001365B0" w:rsidRDefault="00A94E50" w:rsidP="005545F3">
      <w:pPr>
        <w:pStyle w:val="Text01"/>
        <w:rPr>
          <w:i/>
        </w:rPr>
      </w:pPr>
      <w:r w:rsidRPr="001365B0">
        <w:t xml:space="preserve">Returning to the research question </w:t>
      </w:r>
      <w:r w:rsidR="00AA2099" w:rsidRPr="001365B0">
        <w:t>of</w:t>
      </w:r>
      <w:r w:rsidRPr="001365B0">
        <w:t xml:space="preserve"> empirically assessing the impact of aid by finding patterns in integrated disaster effect and humanitarian </w:t>
      </w:r>
      <w:r w:rsidR="00355C3A" w:rsidRPr="001365B0">
        <w:t>aid data, this</w:t>
      </w:r>
      <w:r w:rsidR="00AA2099" w:rsidRPr="001365B0">
        <w:t xml:space="preserve"> question was constrained to 3,556 aggregated records limited to year</w:t>
      </w:r>
      <w:r w:rsidR="00E01CC6" w:rsidRPr="001365B0">
        <w:t>, country</w:t>
      </w:r>
      <w:r w:rsidR="00AA2099" w:rsidRPr="001365B0">
        <w:t xml:space="preserve"> and additive variables that can be aggregated. </w:t>
      </w:r>
      <w:r w:rsidR="00E01CC6" w:rsidRPr="001365B0">
        <w:t xml:space="preserve">Even with these records, </w:t>
      </w:r>
      <w:r w:rsidR="001B0EA7" w:rsidRPr="001365B0">
        <w:t xml:space="preserve">anomalies were found in humanitarian aid data </w:t>
      </w:r>
      <w:r w:rsidR="001B0EA7" w:rsidRPr="001365B0">
        <w:lastRenderedPageBreak/>
        <w:t>with some country/year combinations exhibit</w:t>
      </w:r>
      <w:r w:rsidR="00CC731F" w:rsidRPr="001365B0">
        <w:t>ing</w:t>
      </w:r>
      <w:r w:rsidR="001B0EA7" w:rsidRPr="001365B0">
        <w:t xml:space="preserve"> disproportion</w:t>
      </w:r>
      <w:r w:rsidR="00BE446E">
        <w:t>ate</w:t>
      </w:r>
      <w:r w:rsidR="00CC731F" w:rsidRPr="001365B0">
        <w:t xml:space="preserve"> aid flows. For example</w:t>
      </w:r>
      <w:r w:rsidR="00F46CA7">
        <w:t>,</w:t>
      </w:r>
      <w:r w:rsidR="001B0EA7" w:rsidRPr="001365B0">
        <w:t xml:space="preserve"> </w:t>
      </w:r>
      <w:r w:rsidR="001B0EA7" w:rsidRPr="001365B0">
        <w:rPr>
          <w:bCs/>
        </w:rPr>
        <w:t xml:space="preserve">30 </w:t>
      </w:r>
      <w:r w:rsidR="00E01CC6" w:rsidRPr="001365B0">
        <w:rPr>
          <w:bCs/>
        </w:rPr>
        <w:t>year/</w:t>
      </w:r>
      <w:r w:rsidR="00E01CC6" w:rsidRPr="001365B0">
        <w:t xml:space="preserve">country </w:t>
      </w:r>
      <w:r w:rsidR="001B0EA7" w:rsidRPr="001365B0">
        <w:t xml:space="preserve">combinations appear to have received aid </w:t>
      </w:r>
      <w:r w:rsidR="00CC731F" w:rsidRPr="001365B0">
        <w:t xml:space="preserve">of </w:t>
      </w:r>
      <w:r w:rsidR="001B0EA7" w:rsidRPr="001365B0">
        <w:t>over US$250,000 per person affected</w:t>
      </w:r>
      <w:r w:rsidR="00CC731F" w:rsidRPr="001365B0">
        <w:t xml:space="preserve"> by disasters</w:t>
      </w:r>
      <w:r w:rsidR="001B0EA7" w:rsidRPr="001365B0">
        <w:t xml:space="preserve"> and 146</w:t>
      </w:r>
      <w:r w:rsidR="001B0EA7" w:rsidRPr="001365B0">
        <w:rPr>
          <w:b/>
          <w:bCs/>
        </w:rPr>
        <w:t xml:space="preserve"> </w:t>
      </w:r>
      <w:r w:rsidR="00E01CC6" w:rsidRPr="001365B0">
        <w:rPr>
          <w:bCs/>
        </w:rPr>
        <w:t>year/</w:t>
      </w:r>
      <w:r w:rsidR="00E01CC6" w:rsidRPr="001365B0">
        <w:t>country</w:t>
      </w:r>
      <w:r w:rsidR="00CC731F" w:rsidRPr="001365B0">
        <w:t xml:space="preserve"> </w:t>
      </w:r>
      <w:r w:rsidR="001B0EA7" w:rsidRPr="001365B0">
        <w:t>combinations appear to have received aid of less than US$1 per person affected</w:t>
      </w:r>
      <w:r w:rsidR="00CC731F" w:rsidRPr="001365B0">
        <w:t xml:space="preserve"> by disasters</w:t>
      </w:r>
      <w:r w:rsidR="001B0EA7" w:rsidRPr="001365B0">
        <w:t xml:space="preserve">.  </w:t>
      </w:r>
      <w:r w:rsidR="00E01CC6" w:rsidRPr="001365B0">
        <w:t xml:space="preserve">This </w:t>
      </w:r>
      <w:r w:rsidR="0032604E" w:rsidRPr="001365B0">
        <w:t>suggests a possible</w:t>
      </w:r>
      <w:r w:rsidR="00E01CC6" w:rsidRPr="001365B0">
        <w:t xml:space="preserve"> misallocation of aid flows</w:t>
      </w:r>
      <w:r w:rsidR="0032604E" w:rsidRPr="001365B0">
        <w:t xml:space="preserve"> that </w:t>
      </w:r>
      <w:r w:rsidR="00E01CC6" w:rsidRPr="001365B0">
        <w:t xml:space="preserve">makes analysis </w:t>
      </w:r>
      <w:r w:rsidR="009102E2" w:rsidRPr="001365B0">
        <w:t xml:space="preserve">even at the year/country level of aggregation </w:t>
      </w:r>
      <w:r w:rsidR="0032604E" w:rsidRPr="001365B0">
        <w:t>non-viable</w:t>
      </w:r>
      <w:r w:rsidR="009102E2" w:rsidRPr="001365B0">
        <w:t>. In the end this dataset was used to calculate mean survival rate (</w:t>
      </w:r>
      <w:r w:rsidR="009102E2" w:rsidRPr="001365B0">
        <w:rPr>
          <w:i/>
        </w:rPr>
        <w:t>people affected expressed as a percentage of total human effect, i.e. killed and affected</w:t>
      </w:r>
      <w:r w:rsidR="009102E2" w:rsidRPr="001365B0">
        <w:t>) against humanitarian aid per person (</w:t>
      </w:r>
      <w:r w:rsidR="009102E2" w:rsidRPr="001365B0">
        <w:rPr>
          <w:i/>
        </w:rPr>
        <w:t>calcul</w:t>
      </w:r>
      <w:r w:rsidR="00F46CA7">
        <w:rPr>
          <w:i/>
        </w:rPr>
        <w:t xml:space="preserve">ated as total humanitarian aid </w:t>
      </w:r>
      <w:r w:rsidR="009102E2" w:rsidRPr="001365B0">
        <w:rPr>
          <w:i/>
        </w:rPr>
        <w:t>divided by total human effect</w:t>
      </w:r>
      <w:r w:rsidR="009102E2" w:rsidRPr="001365B0">
        <w:t>).</w:t>
      </w:r>
      <w:r w:rsidR="009102E2" w:rsidRPr="001365B0">
        <w:rPr>
          <w:i/>
        </w:rPr>
        <w:t xml:space="preserve"> </w:t>
      </w:r>
    </w:p>
    <w:p w14:paraId="6C2DDD47" w14:textId="401CFE3D" w:rsidR="009102E2" w:rsidRPr="001365B0" w:rsidRDefault="0032604E" w:rsidP="005545F3">
      <w:pPr>
        <w:pStyle w:val="Text01"/>
      </w:pPr>
      <w:r w:rsidRPr="001365B0">
        <w:fldChar w:fldCharType="begin"/>
      </w:r>
      <w:r w:rsidRPr="001365B0">
        <w:instrText xml:space="preserve"> REF _Ref6943569 \h </w:instrText>
      </w:r>
      <w:r w:rsidR="005E3F50">
        <w:instrText xml:space="preserve"> \* MERGEFORMAT </w:instrText>
      </w:r>
      <w:r w:rsidRPr="001365B0">
        <w:fldChar w:fldCharType="separate"/>
      </w:r>
      <w:r w:rsidR="00BA1A2B" w:rsidRPr="001365B0">
        <w:t xml:space="preserve">Figure </w:t>
      </w:r>
      <w:r w:rsidR="00BA1A2B">
        <w:t>8</w:t>
      </w:r>
      <w:r w:rsidRPr="001365B0">
        <w:fldChar w:fldCharType="end"/>
      </w:r>
      <w:r w:rsidRPr="001365B0">
        <w:t xml:space="preserve"> displays a </w:t>
      </w:r>
      <w:r w:rsidR="004867F0" w:rsidRPr="001365B0">
        <w:t xml:space="preserve">scatter plot and </w:t>
      </w:r>
      <w:r w:rsidRPr="001365B0">
        <w:t xml:space="preserve">polynomial line of fit of </w:t>
      </w:r>
      <w:r w:rsidR="004867F0" w:rsidRPr="001365B0">
        <w:t xml:space="preserve">mean survival rate and humanitarian aid per person. </w:t>
      </w:r>
      <w:r w:rsidR="004867F0" w:rsidRPr="001365B0">
        <w:rPr>
          <w:rFonts w:ascii="Corbel" w:hAnsi="Corbel"/>
        </w:rPr>
        <w:t>R</w:t>
      </w:r>
      <w:r w:rsidR="004867F0" w:rsidRPr="001365B0">
        <w:rPr>
          <w:rFonts w:ascii="Corbel" w:hAnsi="Corbel"/>
          <w:vertAlign w:val="superscript"/>
        </w:rPr>
        <w:t>2</w:t>
      </w:r>
      <w:r w:rsidR="00F46CA7">
        <w:t xml:space="preserve">, </w:t>
      </w:r>
      <w:r w:rsidR="004867F0" w:rsidRPr="001365B0">
        <w:rPr>
          <w:rFonts w:ascii="Corbel" w:hAnsi="Corbel"/>
        </w:rPr>
        <w:t>F-Ratio</w:t>
      </w:r>
      <w:r w:rsidR="004867F0" w:rsidRPr="001365B0">
        <w:t xml:space="preserve">, and </w:t>
      </w:r>
      <w:r w:rsidR="004867F0" w:rsidRPr="001365B0">
        <w:rPr>
          <w:rFonts w:ascii="Corbel" w:hAnsi="Corbel"/>
        </w:rPr>
        <w:t>Prob&gt;F indicate that the</w:t>
      </w:r>
      <w:r w:rsidR="004867F0" w:rsidRPr="001365B0">
        <w:t xml:space="preserve"> polynomial line</w:t>
      </w:r>
      <w:r w:rsidR="009102E2" w:rsidRPr="001365B0">
        <w:t xml:space="preserve"> of fit </w:t>
      </w:r>
      <w:r w:rsidR="004867F0" w:rsidRPr="001365B0">
        <w:t xml:space="preserve">is statistically significant.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A82553" w:rsidRPr="00E25649" w14:paraId="6A505F17" w14:textId="77777777" w:rsidTr="00A82553">
        <w:tc>
          <w:tcPr>
            <w:tcW w:w="9236" w:type="dxa"/>
            <w:vAlign w:val="center"/>
          </w:tcPr>
          <w:p w14:paraId="7A09F030" w14:textId="319BE82D" w:rsidR="00A82553" w:rsidRPr="00E25649" w:rsidRDefault="00EC605A" w:rsidP="00E25649">
            <w:pPr>
              <w:widowControl w:val="0"/>
              <w:spacing w:before="0" w:after="0" w:line="240" w:lineRule="auto"/>
              <w:jc w:val="center"/>
              <w:rPr>
                <w:sz w:val="4"/>
                <w:szCs w:val="4"/>
              </w:rPr>
            </w:pPr>
            <w:r w:rsidRPr="00E25649">
              <w:rPr>
                <w:noProof/>
                <w:sz w:val="4"/>
                <w:szCs w:val="4"/>
                <w:lang w:eastAsia="en-GB"/>
              </w:rPr>
              <w:drawing>
                <wp:inline distT="0" distB="0" distL="0" distR="0" wp14:anchorId="4526C297" wp14:editId="7A788924">
                  <wp:extent cx="3492500" cy="525767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3499337" cy="5267964"/>
                          </a:xfrm>
                          <a:prstGeom prst="rect">
                            <a:avLst/>
                          </a:prstGeom>
                        </pic:spPr>
                      </pic:pic>
                    </a:graphicData>
                  </a:graphic>
                </wp:inline>
              </w:drawing>
            </w:r>
          </w:p>
        </w:tc>
      </w:tr>
    </w:tbl>
    <w:p w14:paraId="34077308" w14:textId="47E9AB77" w:rsidR="00CC731F" w:rsidRPr="001365B0" w:rsidRDefault="00A82553" w:rsidP="00CC731F">
      <w:pPr>
        <w:pStyle w:val="Caption"/>
        <w:suppressAutoHyphens/>
        <w:spacing w:after="0"/>
        <w:rPr>
          <w:b w:val="0"/>
        </w:rPr>
      </w:pPr>
      <w:bookmarkStart w:id="2" w:name="_Ref6943569"/>
      <w:r w:rsidRPr="001365B0">
        <w:t xml:space="preserve">Figure </w:t>
      </w:r>
      <w:r w:rsidR="00AA525D">
        <w:fldChar w:fldCharType="begin"/>
      </w:r>
      <w:r w:rsidR="00AA525D">
        <w:instrText xml:space="preserve"> SEQ Figure \* ARABIC </w:instrText>
      </w:r>
      <w:r w:rsidR="00AA525D">
        <w:fldChar w:fldCharType="separate"/>
      </w:r>
      <w:r w:rsidR="00BA1A2B">
        <w:rPr>
          <w:noProof/>
        </w:rPr>
        <w:t>8</w:t>
      </w:r>
      <w:r w:rsidR="00AA525D">
        <w:rPr>
          <w:noProof/>
        </w:rPr>
        <w:fldChar w:fldCharType="end"/>
      </w:r>
      <w:bookmarkEnd w:id="2"/>
      <w:r w:rsidRPr="001365B0">
        <w:t>:</w:t>
      </w:r>
      <w:r w:rsidR="00CC731F" w:rsidRPr="001365B0">
        <w:t xml:space="preserve"> </w:t>
      </w:r>
      <w:r w:rsidR="00CC731F" w:rsidRPr="001365B0">
        <w:rPr>
          <w:b w:val="0"/>
        </w:rPr>
        <w:t xml:space="preserve">Mean Survival Rate </w:t>
      </w:r>
      <w:proofErr w:type="gramStart"/>
      <w:r w:rsidR="00CC731F" w:rsidRPr="001365B0">
        <w:rPr>
          <w:b w:val="0"/>
        </w:rPr>
        <w:t>x</w:t>
      </w:r>
      <w:proofErr w:type="gramEnd"/>
      <w:r w:rsidR="00CC731F" w:rsidRPr="001365B0">
        <w:rPr>
          <w:b w:val="0"/>
        </w:rPr>
        <w:t xml:space="preserve"> Humanitarian Aid per Person </w:t>
      </w:r>
    </w:p>
    <w:p w14:paraId="2AF58530" w14:textId="53274DD5" w:rsidR="00CC731F" w:rsidRPr="001365B0" w:rsidRDefault="00CC731F" w:rsidP="00E25649">
      <w:pPr>
        <w:pStyle w:val="Caption"/>
        <w:widowControl w:val="0"/>
        <w:suppressAutoHyphens/>
        <w:spacing w:before="0" w:after="0"/>
      </w:pPr>
      <w:r w:rsidRPr="001365B0">
        <w:rPr>
          <w:b w:val="0"/>
        </w:rPr>
        <w:t>Polynomial Line of Fit (Degree=3)</w:t>
      </w:r>
    </w:p>
    <w:p w14:paraId="58A46864" w14:textId="31B4FC72" w:rsidR="00CF09F8" w:rsidRPr="001365B0" w:rsidRDefault="004867F0" w:rsidP="004B4F6B">
      <w:pPr>
        <w:pStyle w:val="Text01"/>
      </w:pPr>
      <w:r w:rsidRPr="001365B0">
        <w:lastRenderedPageBreak/>
        <w:t>From the plot it appears that</w:t>
      </w:r>
      <w:r w:rsidR="009102E2" w:rsidRPr="001365B0">
        <w:t xml:space="preserve"> the </w:t>
      </w:r>
      <w:r w:rsidR="009102E2" w:rsidRPr="001365B0">
        <w:rPr>
          <w:i/>
        </w:rPr>
        <w:t>mean survival rate</w:t>
      </w:r>
      <w:r w:rsidR="00EF39D0" w:rsidRPr="001365B0">
        <w:t xml:space="preserve"> peaks at 70% with ~</w:t>
      </w:r>
      <w:r w:rsidR="009102E2" w:rsidRPr="001365B0">
        <w:t xml:space="preserve">US$50 per </w:t>
      </w:r>
      <w:r w:rsidR="00EF39D0" w:rsidRPr="001365B0">
        <w:t>person and then steadily falls</w:t>
      </w:r>
      <w:r w:rsidR="009102E2" w:rsidRPr="001365B0">
        <w:t xml:space="preserve"> to 50% as humanitarian aid moves towards </w:t>
      </w:r>
      <w:r w:rsidR="00EF39D0" w:rsidRPr="001365B0">
        <w:t>~</w:t>
      </w:r>
      <w:r w:rsidR="009102E2" w:rsidRPr="001365B0">
        <w:t>US$120 per person.</w:t>
      </w:r>
      <w:r w:rsidR="00EF39D0" w:rsidRPr="001365B0">
        <w:t xml:space="preserve"> From this model i</w:t>
      </w:r>
      <w:r w:rsidRPr="001365B0">
        <w:t xml:space="preserve">t appears that </w:t>
      </w:r>
      <w:r w:rsidR="009102E2" w:rsidRPr="001365B0">
        <w:t>increasing humanitarian aid above US$50 per person does not necessarily re</w:t>
      </w:r>
      <w:r w:rsidRPr="001365B0">
        <w:t>sult in</w:t>
      </w:r>
      <w:r w:rsidR="009102E2" w:rsidRPr="001365B0">
        <w:t xml:space="preserve"> a higher likelihood of surviving a disaster. </w:t>
      </w:r>
      <w:r w:rsidR="001D2D71" w:rsidRPr="001365B0">
        <w:t>This is worthy of further investigation, which in turn accentuates the data losses that had to be accepted when integrating datasets and the role reconcilable and granular data could ha</w:t>
      </w:r>
      <w:r w:rsidR="00F46CA7">
        <w:t>ve played in explaining the</w:t>
      </w:r>
      <w:r w:rsidR="001D2D71" w:rsidRPr="001365B0">
        <w:t xml:space="preserve"> model.</w:t>
      </w:r>
      <w:r w:rsidR="00F46CA7">
        <w:t xml:space="preserve"> As a result, </w:t>
      </w:r>
      <w:r w:rsidR="009C5A3A" w:rsidRPr="001365B0">
        <w:t xml:space="preserve">it can reasonably be argued that only a fragment of the </w:t>
      </w:r>
      <w:r w:rsidR="00EF39D0" w:rsidRPr="001365B0">
        <w:t xml:space="preserve">much of the </w:t>
      </w:r>
      <w:proofErr w:type="gramStart"/>
      <w:r w:rsidR="00EF39D0" w:rsidRPr="001365B0">
        <w:t>hoped for</w:t>
      </w:r>
      <w:proofErr w:type="gramEnd"/>
      <w:r w:rsidR="00EF39D0" w:rsidRPr="001365B0">
        <w:t xml:space="preserve"> value proposition </w:t>
      </w:r>
      <w:r w:rsidR="009C5A3A" w:rsidRPr="001365B0">
        <w:t xml:space="preserve">of analysing this data is realised. </w:t>
      </w:r>
    </w:p>
    <w:p w14:paraId="3645A835" w14:textId="03AC841E" w:rsidR="00CF09F8" w:rsidRPr="004B4F6B" w:rsidRDefault="00E15A1E" w:rsidP="004B4F6B">
      <w:pPr>
        <w:pStyle w:val="Heading2"/>
      </w:pPr>
      <w:r w:rsidRPr="004B4F6B">
        <w:t>Five Core Research Propositions</w:t>
      </w:r>
      <w:r w:rsidR="0013246C" w:rsidRPr="004B4F6B">
        <w:t xml:space="preserve"> (RPs)</w:t>
      </w:r>
    </w:p>
    <w:p w14:paraId="6655FF24" w14:textId="7539F712" w:rsidR="00CF09F8" w:rsidRPr="001365B0" w:rsidRDefault="00CF09F8" w:rsidP="004B4F6B">
      <w:pPr>
        <w:pStyle w:val="Text01"/>
      </w:pPr>
      <w:r w:rsidRPr="001365B0">
        <w:t xml:space="preserve">In discussing datafication, </w:t>
      </w:r>
      <w:r w:rsidR="000601F8" w:rsidRPr="001365B0">
        <w:fldChar w:fldCharType="begin" w:fldLock="1"/>
      </w:r>
      <w:r w:rsidR="000601F8" w:rsidRPr="001365B0">
        <w:instrText>ADDIN CSL_CITATION {"citationItems":[{"id":"ITEM-1","itemData":{"DOI":"10.1057/ejis.2013.10","ISSN":"0960-085X","abstract":"Business Intelligence (BI) is a topic of growing importance for both industry and academia. Though still viewed from its technology roots, it is slowly broadening to encompass the data infrastructure, applications, tools and best practices related required for the effective capture, representation and delivery of data to inform decision‐making and action. The lines between enterprise and social intelligence are also becoming increasingly blurred, as action from decision‐making is oriented at influencing people’s (future) behaviour. From an industry perspective, BI is consequently seen as a fruitful foundation for innovation, competition and productivity. From an academic perspective, the richness and importance of the area for research is becoming increasingly apparent (Chen et al, 2012; Sharma et al, Forthcoming) .","author":[{"dropping-particle":"","family":"Lycett","given":"Mark","non-dropping-particle":"","parse-names":false,"suffix":""}],"container-title":"European Journal of Information Systems","id":"ITEM-1","issue":"4","issued":{"date-parts":[["2013"]]},"page":"381-386","title":"‘Datafication’: making sense of (big) data in a complex world","type":"article-journal","volume":"22"},"uris":["http://www.mendeley.com/documents/?uuid=75e926d2-b5bd-49f8-bf2f-eef659b235fc"]}],"mendeley":{"formattedCitation":"(Lycett, 2013)","manualFormatting":"Lycett (2013)","plainTextFormattedCitation":"(Lycett, 2013)","previouslyFormattedCitation":"(Lycett, 2013)"},"properties":{"noteIndex":0},"schema":"https://github.com/citation-style-language/schema/raw/master/csl-citation.json"}</w:instrText>
      </w:r>
      <w:r w:rsidR="000601F8" w:rsidRPr="001365B0">
        <w:fldChar w:fldCharType="separate"/>
      </w:r>
      <w:r w:rsidR="000601F8" w:rsidRPr="001365B0">
        <w:rPr>
          <w:noProof/>
        </w:rPr>
        <w:t>Lycett (2013)</w:t>
      </w:r>
      <w:r w:rsidR="000601F8" w:rsidRPr="001365B0">
        <w:fldChar w:fldCharType="end"/>
      </w:r>
      <w:r w:rsidR="000601F8">
        <w:t xml:space="preserve"> </w:t>
      </w:r>
      <w:r w:rsidRPr="001365B0">
        <w:t xml:space="preserve">concludes that it is a technology-driven </w:t>
      </w:r>
      <w:r w:rsidRPr="001365B0">
        <w:rPr>
          <w:i/>
        </w:rPr>
        <w:t>sense-making</w:t>
      </w:r>
      <w:r w:rsidRPr="001365B0">
        <w:t xml:space="preserve"> process, two interlinked aspects of which have particular salience – plausibility and enaction. Plausibility is embodied in accounts </w:t>
      </w:r>
      <w:r w:rsidR="000601F8">
        <w:fldChar w:fldCharType="begin" w:fldLock="1"/>
      </w:r>
      <w:r w:rsidR="001E2751">
        <w:instrText>ADDIN CSL_CITATION {"citationItems":[{"id":"ITEM-1","itemData":{"DOI":"10.5465/amj.2005.15993111","ISBN":"00014273","ISSN":"0001-4273","PMID":"15993111","abstract":"A longitudinal study of the social processes of organizational sensemaking suggests that they unfold in four distinct forms: guided, fragmented, restricted, and minimal. These forms result from the degree to which leaders and stakeholders engage in \"sensegiving\"-attempts to influence others' understandings of an issue. Each of the four forms of organizational sensemaking is associated with a distinct set of process characteristics that capture the dominant pattern of interaction. They also each result in particular outcomes, specifically, the nature of the accounts and actions generated.","author":[{"dropping-particle":"","family":"Maitlis","given":"Sally","non-dropping-particle":"","parse-names":false,"suffix":""}],"container-title":"The Academy of Management Journal","id":"ITEM-1","issue":"1","issued":{"date-parts":[["2005"]]},"page":"21-49","title":"The social processes of sensemaking","type":"article-journal","volume":"48"},"uris":["http://www.mendeley.com/documents/?uuid=0d59891f-1086-43b2-af60-1592c90fe1ca"]}],"mendeley":{"formattedCitation":"(Maitlis, 2005)","plainTextFormattedCitation":"(Maitlis, 2005)","previouslyFormattedCitation":"(Maitlis, 2005)"},"properties":{"noteIndex":0},"schema":"https://github.com/citation-style-language/schema/raw/master/csl-citation.json"}</w:instrText>
      </w:r>
      <w:r w:rsidR="000601F8">
        <w:fldChar w:fldCharType="separate"/>
      </w:r>
      <w:r w:rsidR="000601F8" w:rsidRPr="000601F8">
        <w:rPr>
          <w:noProof/>
        </w:rPr>
        <w:t>(Maitlis, 2005)</w:t>
      </w:r>
      <w:r w:rsidR="000601F8">
        <w:fldChar w:fldCharType="end"/>
      </w:r>
      <w:r w:rsidR="000601F8">
        <w:t>,</w:t>
      </w:r>
      <w:r w:rsidRPr="001365B0">
        <w:t xml:space="preserve"> which construct order among sets of entities (e.g., data assets), making tangible a perceiv</w:t>
      </w:r>
      <w:r w:rsidR="00E02349">
        <w:t xml:space="preserve">ed reality that can be enacted, </w:t>
      </w:r>
      <w:r w:rsidRPr="001365B0">
        <w:t xml:space="preserve">e.g., via </w:t>
      </w:r>
      <w:r w:rsidR="001E2751">
        <w:fldChar w:fldCharType="begin" w:fldLock="1"/>
      </w:r>
      <w:r w:rsidR="00101760">
        <w:instrText>ADDIN CSL_CITATION {"citationItems":[{"id":"ITEM-1","itemData":{"DOI":"http://dx.doi.org/10.1108/MRR-09-2015-0216","ISBN":"0001253111116","ISSN":"0264-0473","PMID":"42012058","abstract":"Porras, Jari","author":[{"dropping-particle":"","family":"Ylijoki","given":"Ossi","non-dropping-particle":"","parse-names":false,"suffix":""}],"container-title":"Business Process Management Journal","id":"ITEM-1","issue":"1","issued":{"date-parts":[["2018"]]},"page":"69–91","title":"A recipe for big data value creation","type":"article-journal","volume":"4"},"uris":["http://www.mendeley.com/documents/?uuid=74e53122-fbd1-48db-9e12-3a5025b54d41"]}],"mendeley":{"formattedCitation":"(Ylijoki, 2018)","manualFormatting":"Ylijoki &amp; Porras's (2018)","plainTextFormattedCitation":"(Ylijoki, 2018)","previouslyFormattedCitation":"(Ylijoki, 2018)"},"properties":{"noteIndex":0},"schema":"https://github.com/citation-style-language/schema/raw/master/csl-citation.json"}</w:instrText>
      </w:r>
      <w:r w:rsidR="001E2751">
        <w:fldChar w:fldCharType="separate"/>
      </w:r>
      <w:r w:rsidR="001E2751">
        <w:rPr>
          <w:noProof/>
        </w:rPr>
        <w:t>Ylijoki &amp; Porras's</w:t>
      </w:r>
      <w:r w:rsidR="001E2751" w:rsidRPr="001E2751">
        <w:rPr>
          <w:noProof/>
        </w:rPr>
        <w:t xml:space="preserve"> </w:t>
      </w:r>
      <w:r w:rsidR="001E2751">
        <w:rPr>
          <w:noProof/>
        </w:rPr>
        <w:t>(</w:t>
      </w:r>
      <w:r w:rsidR="001E2751" w:rsidRPr="001E2751">
        <w:rPr>
          <w:noProof/>
        </w:rPr>
        <w:t>2018)</w:t>
      </w:r>
      <w:r w:rsidR="001E2751">
        <w:fldChar w:fldCharType="end"/>
      </w:r>
      <w:r w:rsidR="00E02349">
        <w:t xml:space="preserve"> process model</w:t>
      </w:r>
      <w:r w:rsidRPr="001365B0">
        <w:t xml:space="preserve">. The nature of big data hampers plausibility, however, and the empirical example provides ample illustration of the noisy, dynamic and inconsistent nature of the datasets that needed to be integrated in attempting to answer the research question posed (i.e., whether global data on the occurrence and impact of humanitarian crises, and the monies that flow in response to these crises, can reveal the impact of </w:t>
      </w:r>
      <w:r w:rsidR="000C1D4F">
        <w:t>donated</w:t>
      </w:r>
      <w:r w:rsidRPr="001365B0">
        <w:t xml:space="preserve"> aid). This, in point of fact, is the limitations of relationality at work </w:t>
      </w:r>
      <w:r w:rsidR="001E2751">
        <w:fldChar w:fldCharType="begin" w:fldLock="1"/>
      </w:r>
      <w:r w:rsidR="00D12908">
        <w:instrText>ADDIN CSL_CITATION {"citationItems":[{"id":"ITEM-1","itemData":{"DOI":"10.1080/1369118X.2012.678878","ISSN":"1369-118X","abstract":"Exploiting vast new fl ows of information can radically improve your company’s performance. But fi rst you’ll have to change your decision-making culture.","author":[{"dropping-particle":"","family":"Boyd","given":"Danah","non-dropping-particle":"","parse-names":false,"suffix":""},{"dropping-particle":"","family":"Crawford","given":"Kate","non-dropping-particle":"","parse-names":false,"suffix":""}],"container-title":"Information, Communication &amp; Society","id":"ITEM-1","issue":"5","issued":{"date-parts":[["2012"]]},"page":"662-679","title":"Critical Questions for Big Data","type":"article-magazine","volume":"15"},"uris":["http://www.mendeley.com/documents/?uuid=b4f992dc-895f-477b-89ce-8076216e8103"]}],"mendeley":{"formattedCitation":"(Boyd &amp; Crawford, 2012a)","plainTextFormattedCitation":"(Boyd &amp; Crawford, 2012a)","previouslyFormattedCitation":"(Boyd &amp; Crawford, 2012a)"},"properties":{"noteIndex":0},"schema":"https://github.com/citation-style-language/schema/raw/master/csl-citation.json"}</w:instrText>
      </w:r>
      <w:r w:rsidR="001E2751">
        <w:fldChar w:fldCharType="separate"/>
      </w:r>
      <w:r w:rsidR="008169F9" w:rsidRPr="008169F9">
        <w:rPr>
          <w:noProof/>
        </w:rPr>
        <w:t>(Boyd &amp; Crawford, 2012a)</w:t>
      </w:r>
      <w:r w:rsidR="001E2751">
        <w:fldChar w:fldCharType="end"/>
      </w:r>
      <w:r w:rsidRPr="001365B0">
        <w:t xml:space="preserve"> as the account of value here is severely limited by the foundational differences of the data</w:t>
      </w:r>
      <w:r w:rsidR="00DF6520">
        <w:t xml:space="preserve"> available</w:t>
      </w:r>
      <w:r w:rsidRPr="001365B0">
        <w:t xml:space="preserve">. </w:t>
      </w:r>
      <w:r w:rsidR="006B38C8">
        <w:t>In short, the innovative possibilities and/or insight</w:t>
      </w:r>
      <w:r w:rsidR="00E02349">
        <w:t>s</w:t>
      </w:r>
      <w:r w:rsidR="006B38C8">
        <w:t xml:space="preserve"> generated by big da</w:t>
      </w:r>
      <w:r w:rsidR="00E02349">
        <w:t>ta in the humanitarian domain are</w:t>
      </w:r>
      <w:r w:rsidR="006B38C8">
        <w:t xml:space="preserve"> left wanting. </w:t>
      </w:r>
      <w:proofErr w:type="gramStart"/>
      <w:r w:rsidR="006B38C8">
        <w:t>As a consequence</w:t>
      </w:r>
      <w:proofErr w:type="gramEnd"/>
      <w:r w:rsidR="006B38C8">
        <w:t xml:space="preserve">, the ability for the humanitarian domain to learn and predict from data is an obstacle to the UN call to contribute to the achievement of longer-term </w:t>
      </w:r>
      <w:r w:rsidR="00C32E9C">
        <w:t>sustainable development</w:t>
      </w:r>
      <w:r w:rsidR="006B38C8">
        <w:t>.</w:t>
      </w:r>
    </w:p>
    <w:p w14:paraId="10540DF7" w14:textId="13D1D0A9" w:rsidR="00C1772C" w:rsidRPr="001365B0" w:rsidRDefault="00CF09F8" w:rsidP="00E75130">
      <w:pPr>
        <w:pStyle w:val="Text01"/>
      </w:pPr>
      <w:r w:rsidRPr="001365B0">
        <w:t xml:space="preserve">In coming face-to-face with the limitations of relationality, we have illustrated that </w:t>
      </w:r>
      <w:proofErr w:type="gramStart"/>
      <w:r w:rsidRPr="001365B0">
        <w:t>a number of</w:t>
      </w:r>
      <w:proofErr w:type="gramEnd"/>
      <w:r w:rsidRPr="001365B0">
        <w:t xml:space="preserve"> different types of ‘loss’ were experienced. These types were</w:t>
      </w:r>
      <w:r w:rsidR="008D3D80">
        <w:t xml:space="preserve"> as follows and their scope shown in </w:t>
      </w:r>
      <w:r w:rsidR="00753993">
        <w:fldChar w:fldCharType="begin"/>
      </w:r>
      <w:r w:rsidR="00753993">
        <w:instrText xml:space="preserve"> REF _Ref16333041 \h </w:instrText>
      </w:r>
      <w:r w:rsidR="00753993">
        <w:fldChar w:fldCharType="separate"/>
      </w:r>
      <w:r w:rsidR="00BA1A2B">
        <w:t xml:space="preserve">Table </w:t>
      </w:r>
      <w:r w:rsidR="00BA1A2B">
        <w:rPr>
          <w:noProof/>
        </w:rPr>
        <w:t>1</w:t>
      </w:r>
      <w:r w:rsidR="00753993">
        <w:fldChar w:fldCharType="end"/>
      </w:r>
      <w:r w:rsidRPr="001365B0">
        <w:t xml:space="preserve">: </w:t>
      </w:r>
    </w:p>
    <w:p w14:paraId="42688B44" w14:textId="72A997AE" w:rsidR="00C1772C" w:rsidRPr="004B4F6B" w:rsidRDefault="00C1772C" w:rsidP="00E75130">
      <w:pPr>
        <w:pStyle w:val="ListParagraph"/>
        <w:spacing w:before="120"/>
        <w:contextualSpacing w:val="0"/>
      </w:pPr>
      <w:r w:rsidRPr="004B4F6B">
        <w:t>D</w:t>
      </w:r>
      <w:r w:rsidR="00CF09F8" w:rsidRPr="004B4F6B">
        <w:t>etail</w:t>
      </w:r>
      <w:r w:rsidRPr="004B4F6B">
        <w:t xml:space="preserve">, </w:t>
      </w:r>
      <w:r w:rsidR="001E2751" w:rsidRPr="004B4F6B">
        <w:t xml:space="preserve">e.g. </w:t>
      </w:r>
      <w:r w:rsidRPr="004B4F6B">
        <w:t xml:space="preserve">when records </w:t>
      </w:r>
      <w:r w:rsidR="00325A58" w:rsidRPr="004B4F6B">
        <w:t xml:space="preserve">were </w:t>
      </w:r>
      <w:r w:rsidRPr="004B4F6B">
        <w:t xml:space="preserve">aggregated to achieve </w:t>
      </w:r>
      <w:proofErr w:type="gramStart"/>
      <w:r w:rsidRPr="004B4F6B">
        <w:t>compatibility</w:t>
      </w:r>
      <w:r w:rsidR="00CF09F8" w:rsidRPr="004B4F6B">
        <w:t>;</w:t>
      </w:r>
      <w:proofErr w:type="gramEnd"/>
      <w:r w:rsidR="00CF09F8" w:rsidRPr="004B4F6B">
        <w:t xml:space="preserve"> </w:t>
      </w:r>
    </w:p>
    <w:p w14:paraId="6368E56B" w14:textId="244E3B7F" w:rsidR="00C1772C" w:rsidRPr="004B4F6B" w:rsidRDefault="00325A58" w:rsidP="00E75130">
      <w:pPr>
        <w:pStyle w:val="ListParagraph"/>
        <w:spacing w:before="120"/>
        <w:contextualSpacing w:val="0"/>
      </w:pPr>
      <w:r w:rsidRPr="004B4F6B">
        <w:t>V</w:t>
      </w:r>
      <w:r w:rsidR="00CF09F8" w:rsidRPr="004B4F6B">
        <w:t>isibility</w:t>
      </w:r>
      <w:r w:rsidRPr="004B4F6B">
        <w:t xml:space="preserve">, </w:t>
      </w:r>
      <w:r w:rsidR="001E2751" w:rsidRPr="004B4F6B">
        <w:t xml:space="preserve">e.g. when </w:t>
      </w:r>
      <w:r w:rsidRPr="004B4F6B">
        <w:t xml:space="preserve">variables </w:t>
      </w:r>
      <w:r w:rsidR="007740D4" w:rsidRPr="004B4F6B">
        <w:t>were</w:t>
      </w:r>
      <w:r w:rsidRPr="004B4F6B">
        <w:t xml:space="preserve"> abandoned for the sake of </w:t>
      </w:r>
      <w:proofErr w:type="gramStart"/>
      <w:r w:rsidRPr="004B4F6B">
        <w:t>consistency</w:t>
      </w:r>
      <w:r w:rsidR="00CF09F8" w:rsidRPr="004B4F6B">
        <w:t>;</w:t>
      </w:r>
      <w:proofErr w:type="gramEnd"/>
      <w:r w:rsidR="00CF09F8" w:rsidRPr="004B4F6B">
        <w:t xml:space="preserve"> </w:t>
      </w:r>
    </w:p>
    <w:p w14:paraId="1C30EA28" w14:textId="04C6C830" w:rsidR="00C1772C" w:rsidRPr="004B4F6B" w:rsidRDefault="00325A58" w:rsidP="00E75130">
      <w:pPr>
        <w:pStyle w:val="ListParagraph"/>
        <w:spacing w:before="120"/>
        <w:contextualSpacing w:val="0"/>
      </w:pPr>
      <w:r w:rsidRPr="004B4F6B">
        <w:t>S</w:t>
      </w:r>
      <w:r w:rsidR="00CF09F8" w:rsidRPr="004B4F6B">
        <w:t>pecificity</w:t>
      </w:r>
      <w:r w:rsidRPr="004B4F6B">
        <w:t xml:space="preserve">, </w:t>
      </w:r>
      <w:r w:rsidR="001E2751" w:rsidRPr="004B4F6B">
        <w:t>e.g. when</w:t>
      </w:r>
      <w:r w:rsidRPr="004B4F6B">
        <w:t xml:space="preserve"> dates </w:t>
      </w:r>
      <w:r w:rsidR="007740D4" w:rsidRPr="004B4F6B">
        <w:t>were</w:t>
      </w:r>
      <w:r w:rsidRPr="004B4F6B">
        <w:t xml:space="preserve"> discarded for the sake of </w:t>
      </w:r>
      <w:proofErr w:type="gramStart"/>
      <w:r w:rsidRPr="004B4F6B">
        <w:t>cohesion</w:t>
      </w:r>
      <w:r w:rsidR="00CF09F8" w:rsidRPr="004B4F6B">
        <w:t>;</w:t>
      </w:r>
      <w:proofErr w:type="gramEnd"/>
      <w:r w:rsidR="00CF09F8" w:rsidRPr="004B4F6B">
        <w:t xml:space="preserve"> </w:t>
      </w:r>
    </w:p>
    <w:p w14:paraId="0DF750AF" w14:textId="717B766E" w:rsidR="00C1772C" w:rsidRPr="004B4F6B" w:rsidRDefault="00325A58" w:rsidP="00E75130">
      <w:pPr>
        <w:pStyle w:val="ListParagraph"/>
        <w:spacing w:before="120"/>
        <w:contextualSpacing w:val="0"/>
      </w:pPr>
      <w:r w:rsidRPr="004B4F6B">
        <w:lastRenderedPageBreak/>
        <w:t>N</w:t>
      </w:r>
      <w:r w:rsidR="00CF09F8" w:rsidRPr="004B4F6B">
        <w:t>uance</w:t>
      </w:r>
      <w:r w:rsidRPr="004B4F6B">
        <w:t xml:space="preserve">, </w:t>
      </w:r>
      <w:r w:rsidR="001E2751" w:rsidRPr="004B4F6B">
        <w:t>e.g. when</w:t>
      </w:r>
      <w:r w:rsidRPr="004B4F6B">
        <w:t xml:space="preserve"> variabl</w:t>
      </w:r>
      <w:r w:rsidR="007E617D" w:rsidRPr="004B4F6B">
        <w:t xml:space="preserve">es were </w:t>
      </w:r>
      <w:proofErr w:type="gramStart"/>
      <w:r w:rsidR="007E617D" w:rsidRPr="004B4F6B">
        <w:t>merged</w:t>
      </w:r>
      <w:proofErr w:type="gramEnd"/>
      <w:r w:rsidR="007E617D" w:rsidRPr="004B4F6B">
        <w:t xml:space="preserve"> </w:t>
      </w:r>
      <w:r w:rsidR="001E2751" w:rsidRPr="004B4F6B">
        <w:t xml:space="preserve">and events reclassified </w:t>
      </w:r>
      <w:r w:rsidR="007E617D" w:rsidRPr="004B4F6B">
        <w:t>for the sake of c</w:t>
      </w:r>
      <w:r w:rsidRPr="004B4F6B">
        <w:t>omparability</w:t>
      </w:r>
      <w:r w:rsidR="007E617D" w:rsidRPr="004B4F6B">
        <w:t>;</w:t>
      </w:r>
    </w:p>
    <w:p w14:paraId="6EA94126" w14:textId="3E5C831B" w:rsidR="00C1772C" w:rsidRDefault="007E617D" w:rsidP="00E75130">
      <w:pPr>
        <w:pStyle w:val="ListParagraph"/>
        <w:spacing w:before="120"/>
        <w:contextualSpacing w:val="0"/>
      </w:pPr>
      <w:r w:rsidRPr="004B4F6B">
        <w:t>H</w:t>
      </w:r>
      <w:r w:rsidR="00CF09F8" w:rsidRPr="004B4F6B">
        <w:t>istory</w:t>
      </w:r>
      <w:r w:rsidRPr="004B4F6B">
        <w:t xml:space="preserve">, </w:t>
      </w:r>
      <w:r w:rsidR="001E2751" w:rsidRPr="004B4F6B">
        <w:t>e.g. when</w:t>
      </w:r>
      <w:r w:rsidRPr="004B4F6B">
        <w:t xml:space="preserve"> </w:t>
      </w:r>
      <w:r w:rsidR="001E2751" w:rsidRPr="004B4F6B">
        <w:t>historically accurate</w:t>
      </w:r>
      <w:r w:rsidRPr="004B4F6B">
        <w:t xml:space="preserve"> country names </w:t>
      </w:r>
      <w:r w:rsidR="001E2751" w:rsidRPr="004B4F6B">
        <w:t>were updated for</w:t>
      </w:r>
      <w:r w:rsidR="00B31432" w:rsidRPr="004B4F6B">
        <w:t xml:space="preserve"> current-day relevance.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627"/>
        <w:gridCol w:w="1257"/>
        <w:gridCol w:w="1379"/>
        <w:gridCol w:w="1518"/>
        <w:gridCol w:w="1401"/>
        <w:gridCol w:w="1833"/>
      </w:tblGrid>
      <w:tr w:rsidR="00E75130" w:rsidRPr="00E5128D" w14:paraId="0298D879" w14:textId="77777777" w:rsidTr="00E2564C">
        <w:trPr>
          <w:cantSplit/>
          <w:tblHeader/>
        </w:trPr>
        <w:tc>
          <w:tcPr>
            <w:tcW w:w="1668" w:type="dxa"/>
            <w:vMerge w:val="restart"/>
            <w:tcBorders>
              <w:top w:val="nil"/>
              <w:left w:val="nil"/>
              <w:bottom w:val="nil"/>
            </w:tcBorders>
            <w:shd w:val="clear" w:color="auto" w:fill="FFFFFF" w:themeFill="background1"/>
          </w:tcPr>
          <w:p w14:paraId="4AD9079A" w14:textId="77777777" w:rsidR="00E75130" w:rsidRPr="00E5128D" w:rsidRDefault="00E75130" w:rsidP="00E75130">
            <w:pPr>
              <w:pStyle w:val="Text01"/>
              <w:spacing w:before="0" w:after="0" w:line="240" w:lineRule="auto"/>
              <w:ind w:left="720"/>
              <w:rPr>
                <w:rFonts w:cstheme="minorHAnsi"/>
                <w:b/>
                <w:sz w:val="18"/>
              </w:rPr>
            </w:pPr>
          </w:p>
        </w:tc>
        <w:tc>
          <w:tcPr>
            <w:tcW w:w="7568" w:type="dxa"/>
            <w:gridSpan w:val="5"/>
            <w:tcBorders>
              <w:top w:val="single" w:sz="4" w:space="0" w:color="A6A6A6" w:themeColor="background1" w:themeShade="A6"/>
              <w:bottom w:val="single" w:sz="6" w:space="0" w:color="A6A6A6" w:themeColor="background1" w:themeShade="A6"/>
            </w:tcBorders>
            <w:shd w:val="clear" w:color="auto" w:fill="F2F2F2" w:themeFill="background1" w:themeFillShade="F2"/>
          </w:tcPr>
          <w:p w14:paraId="03056FA6" w14:textId="77777777" w:rsidR="00E75130" w:rsidRPr="00E5128D" w:rsidRDefault="00E75130" w:rsidP="00E75130">
            <w:pPr>
              <w:pStyle w:val="Text01"/>
              <w:spacing w:before="0" w:after="0" w:line="240" w:lineRule="auto"/>
              <w:rPr>
                <w:rFonts w:cstheme="minorHAnsi"/>
                <w:b/>
                <w:sz w:val="18"/>
              </w:rPr>
            </w:pPr>
            <w:r w:rsidRPr="004F6DD4">
              <w:rPr>
                <w:rFonts w:cstheme="minorHAnsi"/>
                <w:b/>
                <w:sz w:val="22"/>
              </w:rPr>
              <w:t>Loss of…</w:t>
            </w:r>
          </w:p>
        </w:tc>
      </w:tr>
      <w:tr w:rsidR="00E75130" w:rsidRPr="00E5128D" w14:paraId="0624E91C" w14:textId="77777777" w:rsidTr="00E2564C">
        <w:trPr>
          <w:cantSplit/>
          <w:tblHeader/>
        </w:trPr>
        <w:tc>
          <w:tcPr>
            <w:tcW w:w="1668" w:type="dxa"/>
            <w:vMerge/>
            <w:tcBorders>
              <w:top w:val="nil"/>
              <w:left w:val="nil"/>
              <w:bottom w:val="nil"/>
            </w:tcBorders>
            <w:shd w:val="clear" w:color="auto" w:fill="FFFFFF" w:themeFill="background1"/>
            <w:vAlign w:val="bottom"/>
          </w:tcPr>
          <w:p w14:paraId="3CB55108" w14:textId="77777777" w:rsidR="00E75130" w:rsidRPr="00E5128D" w:rsidRDefault="00E75130" w:rsidP="00E75130">
            <w:pPr>
              <w:pStyle w:val="Text01"/>
              <w:spacing w:before="0" w:after="0" w:line="240" w:lineRule="auto"/>
              <w:jc w:val="right"/>
              <w:rPr>
                <w:rFonts w:cstheme="minorHAnsi"/>
                <w:b/>
                <w:sz w:val="18"/>
              </w:rPr>
            </w:pPr>
          </w:p>
        </w:tc>
        <w:tc>
          <w:tcPr>
            <w:tcW w:w="1275" w:type="dxa"/>
            <w:tcBorders>
              <w:top w:val="single" w:sz="6" w:space="0" w:color="A6A6A6" w:themeColor="background1" w:themeShade="A6"/>
            </w:tcBorders>
            <w:shd w:val="clear" w:color="auto" w:fill="F2F2F2" w:themeFill="background1" w:themeFillShade="F2"/>
            <w:vAlign w:val="center"/>
          </w:tcPr>
          <w:p w14:paraId="12F27DCA" w14:textId="77777777" w:rsidR="00E75130" w:rsidRPr="00E5128D" w:rsidRDefault="00E75130" w:rsidP="00E75130">
            <w:pPr>
              <w:pStyle w:val="Text01"/>
              <w:spacing w:before="0" w:after="0" w:line="240" w:lineRule="auto"/>
              <w:jc w:val="center"/>
              <w:rPr>
                <w:rFonts w:cstheme="minorHAnsi"/>
                <w:b/>
                <w:sz w:val="18"/>
              </w:rPr>
            </w:pPr>
            <w:r w:rsidRPr="00E5128D">
              <w:rPr>
                <w:rFonts w:cstheme="minorHAnsi"/>
                <w:b/>
                <w:sz w:val="18"/>
              </w:rPr>
              <w:t>Detail</w:t>
            </w:r>
          </w:p>
        </w:tc>
        <w:tc>
          <w:tcPr>
            <w:tcW w:w="1418" w:type="dxa"/>
            <w:tcBorders>
              <w:top w:val="single" w:sz="6" w:space="0" w:color="A6A6A6" w:themeColor="background1" w:themeShade="A6"/>
            </w:tcBorders>
            <w:shd w:val="clear" w:color="auto" w:fill="F2F2F2" w:themeFill="background1" w:themeFillShade="F2"/>
            <w:vAlign w:val="center"/>
          </w:tcPr>
          <w:p w14:paraId="7BD07111" w14:textId="77777777" w:rsidR="00E75130" w:rsidRPr="00E5128D" w:rsidRDefault="00E75130" w:rsidP="00E75130">
            <w:pPr>
              <w:pStyle w:val="Text01"/>
              <w:spacing w:before="0" w:after="0" w:line="240" w:lineRule="auto"/>
              <w:jc w:val="center"/>
              <w:rPr>
                <w:rFonts w:cstheme="minorHAnsi"/>
                <w:b/>
                <w:sz w:val="18"/>
              </w:rPr>
            </w:pPr>
            <w:r w:rsidRPr="00E5128D">
              <w:rPr>
                <w:rFonts w:cstheme="minorHAnsi"/>
                <w:b/>
                <w:sz w:val="18"/>
              </w:rPr>
              <w:t>Visibility</w:t>
            </w:r>
          </w:p>
        </w:tc>
        <w:tc>
          <w:tcPr>
            <w:tcW w:w="1559" w:type="dxa"/>
            <w:tcBorders>
              <w:top w:val="single" w:sz="6" w:space="0" w:color="A6A6A6" w:themeColor="background1" w:themeShade="A6"/>
            </w:tcBorders>
            <w:shd w:val="clear" w:color="auto" w:fill="F2F2F2" w:themeFill="background1" w:themeFillShade="F2"/>
            <w:vAlign w:val="center"/>
          </w:tcPr>
          <w:p w14:paraId="068E8C58" w14:textId="77777777" w:rsidR="00E75130" w:rsidRPr="00E5128D" w:rsidRDefault="00E75130" w:rsidP="00E75130">
            <w:pPr>
              <w:pStyle w:val="Text01"/>
              <w:spacing w:before="0" w:after="0" w:line="240" w:lineRule="auto"/>
              <w:jc w:val="center"/>
              <w:rPr>
                <w:rFonts w:cstheme="minorHAnsi"/>
                <w:b/>
                <w:sz w:val="18"/>
              </w:rPr>
            </w:pPr>
            <w:r w:rsidRPr="00E5128D">
              <w:rPr>
                <w:rFonts w:cstheme="minorHAnsi"/>
                <w:b/>
                <w:sz w:val="18"/>
              </w:rPr>
              <w:t>Specificity</w:t>
            </w:r>
          </w:p>
        </w:tc>
        <w:tc>
          <w:tcPr>
            <w:tcW w:w="1418" w:type="dxa"/>
            <w:tcBorders>
              <w:top w:val="single" w:sz="6" w:space="0" w:color="A6A6A6" w:themeColor="background1" w:themeShade="A6"/>
            </w:tcBorders>
            <w:shd w:val="clear" w:color="auto" w:fill="F2F2F2" w:themeFill="background1" w:themeFillShade="F2"/>
            <w:vAlign w:val="center"/>
          </w:tcPr>
          <w:p w14:paraId="25AAC67D" w14:textId="77777777" w:rsidR="00E75130" w:rsidRPr="00E5128D" w:rsidRDefault="00E75130" w:rsidP="00E75130">
            <w:pPr>
              <w:pStyle w:val="Text01"/>
              <w:spacing w:before="0" w:after="0" w:line="240" w:lineRule="auto"/>
              <w:jc w:val="center"/>
              <w:rPr>
                <w:rFonts w:cstheme="minorHAnsi"/>
                <w:b/>
                <w:sz w:val="18"/>
              </w:rPr>
            </w:pPr>
            <w:r w:rsidRPr="00E5128D">
              <w:rPr>
                <w:rFonts w:cstheme="minorHAnsi"/>
                <w:b/>
                <w:sz w:val="18"/>
              </w:rPr>
              <w:t>Nuance</w:t>
            </w:r>
          </w:p>
        </w:tc>
        <w:tc>
          <w:tcPr>
            <w:tcW w:w="1898" w:type="dxa"/>
            <w:tcBorders>
              <w:top w:val="single" w:sz="6" w:space="0" w:color="A6A6A6" w:themeColor="background1" w:themeShade="A6"/>
            </w:tcBorders>
            <w:shd w:val="clear" w:color="auto" w:fill="F2F2F2" w:themeFill="background1" w:themeFillShade="F2"/>
            <w:vAlign w:val="center"/>
          </w:tcPr>
          <w:p w14:paraId="238D7DEE" w14:textId="77777777" w:rsidR="00E75130" w:rsidRPr="00E5128D" w:rsidRDefault="00E75130" w:rsidP="00E75130">
            <w:pPr>
              <w:pStyle w:val="Text01"/>
              <w:spacing w:before="0" w:after="0" w:line="240" w:lineRule="auto"/>
              <w:jc w:val="center"/>
              <w:rPr>
                <w:rFonts w:cstheme="minorHAnsi"/>
                <w:b/>
                <w:sz w:val="18"/>
              </w:rPr>
            </w:pPr>
            <w:r w:rsidRPr="00E5128D">
              <w:rPr>
                <w:rFonts w:cstheme="minorHAnsi"/>
                <w:b/>
                <w:sz w:val="18"/>
              </w:rPr>
              <w:t>History</w:t>
            </w:r>
          </w:p>
        </w:tc>
      </w:tr>
      <w:tr w:rsidR="00E75130" w:rsidRPr="00E5128D" w14:paraId="480F7AC0" w14:textId="77777777" w:rsidTr="00E2564C">
        <w:trPr>
          <w:cantSplit/>
          <w:tblHeader/>
        </w:trPr>
        <w:tc>
          <w:tcPr>
            <w:tcW w:w="1668" w:type="dxa"/>
            <w:tcBorders>
              <w:top w:val="nil"/>
              <w:left w:val="nil"/>
              <w:bottom w:val="single" w:sz="6" w:space="0" w:color="A6A6A6" w:themeColor="background1" w:themeShade="A6"/>
            </w:tcBorders>
            <w:shd w:val="clear" w:color="auto" w:fill="FFFFFF" w:themeFill="background1"/>
            <w:vAlign w:val="center"/>
          </w:tcPr>
          <w:p w14:paraId="510F7BE3" w14:textId="77777777" w:rsidR="00E75130" w:rsidRPr="00E5128D" w:rsidRDefault="00E75130" w:rsidP="00E75130">
            <w:pPr>
              <w:pStyle w:val="Text01"/>
              <w:spacing w:before="0" w:after="0" w:line="240" w:lineRule="auto"/>
              <w:jc w:val="right"/>
              <w:rPr>
                <w:rFonts w:cstheme="minorHAnsi"/>
                <w:b/>
                <w:i/>
                <w:sz w:val="18"/>
              </w:rPr>
            </w:pPr>
          </w:p>
        </w:tc>
        <w:tc>
          <w:tcPr>
            <w:tcW w:w="7568" w:type="dxa"/>
            <w:gridSpan w:val="5"/>
            <w:shd w:val="clear" w:color="auto" w:fill="F2F2F2" w:themeFill="background1" w:themeFillShade="F2"/>
            <w:vAlign w:val="center"/>
          </w:tcPr>
          <w:p w14:paraId="5A108D74" w14:textId="77777777" w:rsidR="00E75130" w:rsidRPr="004F6DD4" w:rsidRDefault="00E75130" w:rsidP="00E75130">
            <w:pPr>
              <w:pStyle w:val="Text01"/>
              <w:spacing w:before="0" w:after="0" w:line="240" w:lineRule="auto"/>
              <w:rPr>
                <w:rFonts w:cstheme="minorHAnsi"/>
                <w:i/>
                <w:sz w:val="16"/>
              </w:rPr>
            </w:pPr>
            <w:r w:rsidRPr="004F6DD4">
              <w:rPr>
                <w:rFonts w:cstheme="minorHAnsi"/>
                <w:b/>
                <w:i/>
                <w:sz w:val="16"/>
              </w:rPr>
              <w:t>e.g. because of….</w:t>
            </w:r>
          </w:p>
        </w:tc>
      </w:tr>
      <w:tr w:rsidR="00E75130" w:rsidRPr="00E5128D" w14:paraId="4C853E13" w14:textId="77777777" w:rsidTr="00C55429">
        <w:tc>
          <w:tcPr>
            <w:tcW w:w="1668" w:type="dxa"/>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F2F2F2" w:themeFill="background1" w:themeFillShade="F2"/>
            <w:vAlign w:val="center"/>
          </w:tcPr>
          <w:p w14:paraId="14E4E8E6" w14:textId="77777777" w:rsidR="00E75130" w:rsidRPr="00E5128D" w:rsidRDefault="00E75130" w:rsidP="00E75130">
            <w:pPr>
              <w:pStyle w:val="Text01"/>
              <w:spacing w:before="0" w:after="0" w:line="240" w:lineRule="auto"/>
              <w:jc w:val="center"/>
              <w:rPr>
                <w:rFonts w:cstheme="minorHAnsi"/>
                <w:b/>
                <w:sz w:val="18"/>
              </w:rPr>
            </w:pPr>
            <w:r w:rsidRPr="004F6DD4">
              <w:rPr>
                <w:rFonts w:cstheme="minorHAnsi"/>
                <w:b/>
                <w:sz w:val="22"/>
              </w:rPr>
              <w:t>Data Source</w:t>
            </w:r>
          </w:p>
        </w:tc>
        <w:tc>
          <w:tcPr>
            <w:tcW w:w="1275" w:type="dxa"/>
            <w:shd w:val="clear" w:color="auto" w:fill="F2F2F2" w:themeFill="background1" w:themeFillShade="F2"/>
            <w:vAlign w:val="center"/>
          </w:tcPr>
          <w:p w14:paraId="2CC78E88" w14:textId="77777777" w:rsidR="00E75130" w:rsidRPr="004F6DD4" w:rsidRDefault="00E75130" w:rsidP="00E75130">
            <w:pPr>
              <w:pStyle w:val="Text01"/>
              <w:spacing w:before="0" w:after="0" w:line="240" w:lineRule="auto"/>
              <w:jc w:val="center"/>
              <w:rPr>
                <w:rFonts w:cstheme="minorHAnsi"/>
                <w:i/>
                <w:sz w:val="16"/>
              </w:rPr>
            </w:pPr>
            <w:r w:rsidRPr="004F6DD4">
              <w:rPr>
                <w:rFonts w:cstheme="minorHAnsi"/>
                <w:i/>
                <w:sz w:val="16"/>
              </w:rPr>
              <w:t>aggregation</w:t>
            </w:r>
          </w:p>
        </w:tc>
        <w:tc>
          <w:tcPr>
            <w:tcW w:w="1418" w:type="dxa"/>
            <w:shd w:val="clear" w:color="auto" w:fill="F2F2F2" w:themeFill="background1" w:themeFillShade="F2"/>
            <w:vAlign w:val="center"/>
          </w:tcPr>
          <w:p w14:paraId="7EB3BC1D" w14:textId="77777777" w:rsidR="00E75130" w:rsidRPr="004F6DD4" w:rsidRDefault="00E75130" w:rsidP="00E75130">
            <w:pPr>
              <w:pStyle w:val="Text01"/>
              <w:spacing w:before="0" w:after="0" w:line="240" w:lineRule="auto"/>
              <w:jc w:val="center"/>
              <w:rPr>
                <w:rFonts w:cstheme="minorHAnsi"/>
                <w:i/>
                <w:sz w:val="16"/>
              </w:rPr>
            </w:pPr>
            <w:r w:rsidRPr="004F6DD4">
              <w:rPr>
                <w:rFonts w:cstheme="minorHAnsi"/>
                <w:i/>
                <w:sz w:val="16"/>
              </w:rPr>
              <w:t>discarded variables</w:t>
            </w:r>
          </w:p>
        </w:tc>
        <w:tc>
          <w:tcPr>
            <w:tcW w:w="1559" w:type="dxa"/>
            <w:shd w:val="clear" w:color="auto" w:fill="F2F2F2" w:themeFill="background1" w:themeFillShade="F2"/>
            <w:vAlign w:val="center"/>
          </w:tcPr>
          <w:p w14:paraId="50449407" w14:textId="77777777" w:rsidR="00E75130" w:rsidRPr="004F6DD4" w:rsidRDefault="00E75130" w:rsidP="00E75130">
            <w:pPr>
              <w:pStyle w:val="Text01"/>
              <w:spacing w:before="0" w:after="0" w:line="240" w:lineRule="auto"/>
              <w:jc w:val="center"/>
              <w:rPr>
                <w:rFonts w:cstheme="minorHAnsi"/>
                <w:i/>
                <w:sz w:val="16"/>
              </w:rPr>
            </w:pPr>
            <w:r w:rsidRPr="004F6DD4">
              <w:rPr>
                <w:rFonts w:cstheme="minorHAnsi"/>
                <w:i/>
                <w:sz w:val="16"/>
              </w:rPr>
              <w:t>discarded dates</w:t>
            </w:r>
          </w:p>
        </w:tc>
        <w:tc>
          <w:tcPr>
            <w:tcW w:w="1418" w:type="dxa"/>
            <w:shd w:val="clear" w:color="auto" w:fill="F2F2F2" w:themeFill="background1" w:themeFillShade="F2"/>
            <w:vAlign w:val="center"/>
          </w:tcPr>
          <w:p w14:paraId="71EFB52B" w14:textId="77777777" w:rsidR="00E75130" w:rsidRPr="004F6DD4" w:rsidRDefault="00E75130" w:rsidP="00E75130">
            <w:pPr>
              <w:pStyle w:val="Text01"/>
              <w:spacing w:before="0" w:after="0" w:line="240" w:lineRule="auto"/>
              <w:jc w:val="center"/>
              <w:rPr>
                <w:rFonts w:cstheme="minorHAnsi"/>
                <w:i/>
                <w:sz w:val="16"/>
              </w:rPr>
            </w:pPr>
            <w:r w:rsidRPr="004F6DD4">
              <w:rPr>
                <w:rFonts w:cstheme="minorHAnsi"/>
                <w:i/>
                <w:sz w:val="16"/>
              </w:rPr>
              <w:t>grouping &amp; reclassification</w:t>
            </w:r>
          </w:p>
        </w:tc>
        <w:tc>
          <w:tcPr>
            <w:tcW w:w="1898" w:type="dxa"/>
            <w:shd w:val="clear" w:color="auto" w:fill="F2F2F2" w:themeFill="background1" w:themeFillShade="F2"/>
            <w:vAlign w:val="center"/>
          </w:tcPr>
          <w:p w14:paraId="140630A7" w14:textId="77777777" w:rsidR="00E75130" w:rsidRPr="004F6DD4" w:rsidRDefault="00E75130" w:rsidP="00E75130">
            <w:pPr>
              <w:pStyle w:val="Text01"/>
              <w:spacing w:before="0" w:after="0" w:line="240" w:lineRule="auto"/>
              <w:jc w:val="center"/>
              <w:rPr>
                <w:rFonts w:cstheme="minorHAnsi"/>
                <w:i/>
                <w:sz w:val="16"/>
              </w:rPr>
            </w:pPr>
            <w:r>
              <w:rPr>
                <w:rFonts w:cstheme="minorHAnsi"/>
                <w:i/>
                <w:sz w:val="16"/>
              </w:rPr>
              <w:t>discarded geopolitical</w:t>
            </w:r>
            <w:r w:rsidRPr="004F6DD4">
              <w:rPr>
                <w:rFonts w:cstheme="minorHAnsi"/>
                <w:i/>
                <w:sz w:val="16"/>
              </w:rPr>
              <w:t xml:space="preserve"> history</w:t>
            </w:r>
          </w:p>
        </w:tc>
      </w:tr>
      <w:tr w:rsidR="00E75130" w:rsidRPr="00E5128D" w14:paraId="36A7BAFD" w14:textId="77777777" w:rsidTr="00C55429">
        <w:tc>
          <w:tcPr>
            <w:tcW w:w="1668" w:type="dxa"/>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F2F2F2" w:themeFill="background1" w:themeFillShade="F2"/>
            <w:vAlign w:val="center"/>
          </w:tcPr>
          <w:p w14:paraId="2EAB3CB7" w14:textId="77777777" w:rsidR="00E75130" w:rsidRPr="00E5128D" w:rsidRDefault="00E75130" w:rsidP="00E75130">
            <w:pPr>
              <w:pStyle w:val="Text01"/>
              <w:spacing w:before="0" w:after="0" w:line="240" w:lineRule="auto"/>
              <w:jc w:val="center"/>
              <w:rPr>
                <w:rFonts w:cstheme="minorHAnsi"/>
                <w:sz w:val="18"/>
              </w:rPr>
            </w:pPr>
            <w:r w:rsidRPr="00E5128D">
              <w:rPr>
                <w:rFonts w:cstheme="minorHAnsi"/>
                <w:sz w:val="18"/>
              </w:rPr>
              <w:t>EM-DAT</w:t>
            </w:r>
          </w:p>
        </w:tc>
        <w:tc>
          <w:tcPr>
            <w:tcW w:w="1275" w:type="dxa"/>
            <w:vAlign w:val="center"/>
          </w:tcPr>
          <w:p w14:paraId="7A44FBD6" w14:textId="77777777" w:rsidR="00E75130" w:rsidRPr="00E5128D" w:rsidRDefault="00E75130" w:rsidP="00E75130">
            <w:pPr>
              <w:pStyle w:val="Text01"/>
              <w:spacing w:before="0" w:after="0" w:line="240" w:lineRule="auto"/>
              <w:jc w:val="center"/>
              <w:rPr>
                <w:rFonts w:cstheme="minorHAnsi"/>
                <w:sz w:val="18"/>
              </w:rPr>
            </w:pPr>
          </w:p>
        </w:tc>
        <w:tc>
          <w:tcPr>
            <w:tcW w:w="1418" w:type="dxa"/>
            <w:shd w:val="clear" w:color="auto" w:fill="F2F2F2" w:themeFill="background1" w:themeFillShade="F2"/>
          </w:tcPr>
          <w:p w14:paraId="437E4C42" w14:textId="77777777" w:rsidR="00E75130" w:rsidRPr="00E5128D" w:rsidRDefault="00E75130" w:rsidP="00E75130">
            <w:pPr>
              <w:pStyle w:val="Text01"/>
              <w:spacing w:before="0" w:after="0" w:line="240" w:lineRule="auto"/>
              <w:jc w:val="center"/>
              <w:rPr>
                <w:rFonts w:cstheme="minorHAnsi"/>
                <w:sz w:val="18"/>
              </w:rPr>
            </w:pPr>
            <w:r w:rsidRPr="00BB0CB8">
              <w:rPr>
                <w:rFonts w:ascii="MS Gothic" w:eastAsia="MS Gothic" w:hAnsi="MS Gothic" w:cs="MS Gothic" w:hint="eastAsia"/>
                <w:sz w:val="18"/>
              </w:rPr>
              <w:t>✘</w:t>
            </w:r>
          </w:p>
        </w:tc>
        <w:tc>
          <w:tcPr>
            <w:tcW w:w="1559" w:type="dxa"/>
            <w:shd w:val="clear" w:color="auto" w:fill="F2F2F2" w:themeFill="background1" w:themeFillShade="F2"/>
          </w:tcPr>
          <w:p w14:paraId="5F40620E" w14:textId="77777777" w:rsidR="00E75130" w:rsidRPr="00E5128D" w:rsidRDefault="00E75130" w:rsidP="00E75130">
            <w:pPr>
              <w:pStyle w:val="Text01"/>
              <w:spacing w:before="0" w:after="0" w:line="240" w:lineRule="auto"/>
              <w:jc w:val="center"/>
              <w:rPr>
                <w:rFonts w:cstheme="minorHAnsi"/>
                <w:sz w:val="18"/>
              </w:rPr>
            </w:pPr>
            <w:r w:rsidRPr="00BB0CB8">
              <w:rPr>
                <w:rFonts w:ascii="MS Gothic" w:eastAsia="MS Gothic" w:hAnsi="MS Gothic" w:cs="MS Gothic" w:hint="eastAsia"/>
                <w:sz w:val="18"/>
              </w:rPr>
              <w:t>✘</w:t>
            </w:r>
          </w:p>
        </w:tc>
        <w:tc>
          <w:tcPr>
            <w:tcW w:w="1418" w:type="dxa"/>
            <w:shd w:val="clear" w:color="auto" w:fill="F2F2F2" w:themeFill="background1" w:themeFillShade="F2"/>
          </w:tcPr>
          <w:p w14:paraId="43FEAA5F" w14:textId="77777777" w:rsidR="00E75130" w:rsidRPr="00E5128D" w:rsidRDefault="00E75130" w:rsidP="00E75130">
            <w:pPr>
              <w:pStyle w:val="Text01"/>
              <w:spacing w:before="0" w:after="0" w:line="240" w:lineRule="auto"/>
              <w:jc w:val="center"/>
              <w:rPr>
                <w:rFonts w:cstheme="minorHAnsi"/>
                <w:sz w:val="18"/>
              </w:rPr>
            </w:pPr>
            <w:r w:rsidRPr="00BB0CB8">
              <w:rPr>
                <w:rFonts w:ascii="MS Gothic" w:eastAsia="MS Gothic" w:hAnsi="MS Gothic" w:cs="MS Gothic" w:hint="eastAsia"/>
                <w:sz w:val="18"/>
              </w:rPr>
              <w:t>✘</w:t>
            </w:r>
          </w:p>
        </w:tc>
        <w:tc>
          <w:tcPr>
            <w:tcW w:w="1898" w:type="dxa"/>
            <w:shd w:val="clear" w:color="auto" w:fill="F2F2F2" w:themeFill="background1" w:themeFillShade="F2"/>
            <w:vAlign w:val="center"/>
          </w:tcPr>
          <w:p w14:paraId="1BDADEF2" w14:textId="77777777" w:rsidR="00E75130" w:rsidRPr="00E5128D" w:rsidRDefault="00E75130" w:rsidP="00E75130">
            <w:pPr>
              <w:pStyle w:val="Text01"/>
              <w:spacing w:before="0" w:after="0" w:line="240" w:lineRule="auto"/>
              <w:jc w:val="center"/>
              <w:rPr>
                <w:rFonts w:cstheme="minorHAnsi"/>
                <w:sz w:val="18"/>
              </w:rPr>
            </w:pPr>
            <w:r>
              <w:rPr>
                <w:rFonts w:ascii="MS Gothic" w:eastAsia="MS Gothic" w:hAnsi="MS Gothic" w:cs="MS Gothic" w:hint="eastAsia"/>
                <w:sz w:val="18"/>
              </w:rPr>
              <w:t>✘</w:t>
            </w:r>
          </w:p>
        </w:tc>
      </w:tr>
      <w:tr w:rsidR="00E75130" w:rsidRPr="00E5128D" w14:paraId="1671C33D" w14:textId="77777777" w:rsidTr="00C55429">
        <w:tc>
          <w:tcPr>
            <w:tcW w:w="1668" w:type="dxa"/>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F2F2F2" w:themeFill="background1" w:themeFillShade="F2"/>
            <w:vAlign w:val="center"/>
          </w:tcPr>
          <w:p w14:paraId="5BBD43EA" w14:textId="77777777" w:rsidR="00E75130" w:rsidRPr="00E5128D" w:rsidRDefault="00E75130" w:rsidP="00E75130">
            <w:pPr>
              <w:pStyle w:val="Text01"/>
              <w:spacing w:before="0" w:after="0" w:line="240" w:lineRule="auto"/>
              <w:jc w:val="center"/>
              <w:rPr>
                <w:rFonts w:cstheme="minorHAnsi"/>
                <w:sz w:val="18"/>
              </w:rPr>
            </w:pPr>
            <w:r w:rsidRPr="00E5128D">
              <w:rPr>
                <w:rFonts w:cstheme="minorHAnsi"/>
                <w:sz w:val="18"/>
              </w:rPr>
              <w:t>DesInventar</w:t>
            </w:r>
          </w:p>
        </w:tc>
        <w:tc>
          <w:tcPr>
            <w:tcW w:w="1275" w:type="dxa"/>
            <w:shd w:val="clear" w:color="auto" w:fill="F2F2F2" w:themeFill="background1" w:themeFillShade="F2"/>
          </w:tcPr>
          <w:p w14:paraId="06E35735" w14:textId="77777777" w:rsidR="00E75130" w:rsidRPr="00E5128D" w:rsidRDefault="00E75130" w:rsidP="00E75130">
            <w:pPr>
              <w:pStyle w:val="Text01"/>
              <w:spacing w:before="0" w:after="0" w:line="240" w:lineRule="auto"/>
              <w:jc w:val="center"/>
              <w:rPr>
                <w:rFonts w:cstheme="minorHAnsi"/>
                <w:sz w:val="18"/>
              </w:rPr>
            </w:pPr>
            <w:r w:rsidRPr="003770FE">
              <w:rPr>
                <w:rFonts w:ascii="MS Gothic" w:eastAsia="MS Gothic" w:hAnsi="MS Gothic" w:cs="MS Gothic" w:hint="eastAsia"/>
                <w:sz w:val="18"/>
              </w:rPr>
              <w:t>✘</w:t>
            </w:r>
          </w:p>
        </w:tc>
        <w:tc>
          <w:tcPr>
            <w:tcW w:w="1418" w:type="dxa"/>
            <w:shd w:val="clear" w:color="auto" w:fill="F2F2F2" w:themeFill="background1" w:themeFillShade="F2"/>
          </w:tcPr>
          <w:p w14:paraId="5A952EA5"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3770FE">
              <w:rPr>
                <w:rFonts w:ascii="MS Gothic" w:eastAsia="MS Gothic" w:hAnsi="MS Gothic" w:cs="MS Gothic" w:hint="eastAsia"/>
                <w:sz w:val="18"/>
              </w:rPr>
              <w:t>✘</w:t>
            </w:r>
          </w:p>
        </w:tc>
        <w:tc>
          <w:tcPr>
            <w:tcW w:w="1559" w:type="dxa"/>
            <w:shd w:val="clear" w:color="auto" w:fill="F2F2F2" w:themeFill="background1" w:themeFillShade="F2"/>
          </w:tcPr>
          <w:p w14:paraId="282B5818"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3770FE">
              <w:rPr>
                <w:rFonts w:ascii="MS Gothic" w:eastAsia="MS Gothic" w:hAnsi="MS Gothic" w:cs="MS Gothic" w:hint="eastAsia"/>
                <w:sz w:val="18"/>
              </w:rPr>
              <w:t>✘</w:t>
            </w:r>
          </w:p>
        </w:tc>
        <w:tc>
          <w:tcPr>
            <w:tcW w:w="1418" w:type="dxa"/>
            <w:shd w:val="clear" w:color="auto" w:fill="F2F2F2" w:themeFill="background1" w:themeFillShade="F2"/>
          </w:tcPr>
          <w:p w14:paraId="21DF56A1"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3770FE">
              <w:rPr>
                <w:rFonts w:ascii="MS Gothic" w:eastAsia="MS Gothic" w:hAnsi="MS Gothic" w:cs="MS Gothic" w:hint="eastAsia"/>
                <w:sz w:val="18"/>
              </w:rPr>
              <w:t>✘</w:t>
            </w:r>
          </w:p>
        </w:tc>
        <w:tc>
          <w:tcPr>
            <w:tcW w:w="1898" w:type="dxa"/>
            <w:shd w:val="clear" w:color="auto" w:fill="F2F2F2" w:themeFill="background1" w:themeFillShade="F2"/>
          </w:tcPr>
          <w:p w14:paraId="100B2406"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3770FE">
              <w:rPr>
                <w:rFonts w:ascii="MS Gothic" w:eastAsia="MS Gothic" w:hAnsi="MS Gothic" w:cs="MS Gothic" w:hint="eastAsia"/>
                <w:sz w:val="18"/>
              </w:rPr>
              <w:t>✘</w:t>
            </w:r>
          </w:p>
        </w:tc>
      </w:tr>
      <w:tr w:rsidR="00E75130" w:rsidRPr="00E5128D" w14:paraId="737CCE0A" w14:textId="77777777" w:rsidTr="00C55429">
        <w:tc>
          <w:tcPr>
            <w:tcW w:w="1668" w:type="dxa"/>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F2F2F2" w:themeFill="background1" w:themeFillShade="F2"/>
            <w:vAlign w:val="center"/>
          </w:tcPr>
          <w:p w14:paraId="255BB276" w14:textId="77777777" w:rsidR="00E75130" w:rsidRPr="00E5128D" w:rsidRDefault="00E75130" w:rsidP="00E75130">
            <w:pPr>
              <w:pStyle w:val="Text01"/>
              <w:spacing w:before="0" w:after="0" w:line="240" w:lineRule="auto"/>
              <w:jc w:val="center"/>
              <w:rPr>
                <w:rFonts w:cstheme="minorHAnsi"/>
                <w:sz w:val="18"/>
              </w:rPr>
            </w:pPr>
            <w:r w:rsidRPr="00E5128D">
              <w:rPr>
                <w:rFonts w:cstheme="minorHAnsi"/>
                <w:sz w:val="18"/>
              </w:rPr>
              <w:t>UCDP</w:t>
            </w:r>
          </w:p>
        </w:tc>
        <w:tc>
          <w:tcPr>
            <w:tcW w:w="1275" w:type="dxa"/>
            <w:vAlign w:val="center"/>
          </w:tcPr>
          <w:p w14:paraId="49DA0E4A" w14:textId="77777777" w:rsidR="00E75130" w:rsidRPr="00E5128D" w:rsidRDefault="00E75130" w:rsidP="00E75130">
            <w:pPr>
              <w:pStyle w:val="Text01"/>
              <w:spacing w:before="0" w:after="0" w:line="240" w:lineRule="auto"/>
              <w:jc w:val="center"/>
              <w:rPr>
                <w:rFonts w:ascii="MS Gothic" w:eastAsia="MS Gothic" w:hAnsi="MS Gothic" w:cs="MS Gothic"/>
                <w:sz w:val="18"/>
              </w:rPr>
            </w:pPr>
          </w:p>
        </w:tc>
        <w:tc>
          <w:tcPr>
            <w:tcW w:w="1418" w:type="dxa"/>
            <w:shd w:val="clear" w:color="auto" w:fill="F2F2F2" w:themeFill="background1" w:themeFillShade="F2"/>
          </w:tcPr>
          <w:p w14:paraId="4D631A47"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B96D62">
              <w:rPr>
                <w:rFonts w:ascii="MS Gothic" w:eastAsia="MS Gothic" w:hAnsi="MS Gothic" w:cs="MS Gothic" w:hint="eastAsia"/>
                <w:sz w:val="18"/>
              </w:rPr>
              <w:t>✘</w:t>
            </w:r>
          </w:p>
        </w:tc>
        <w:tc>
          <w:tcPr>
            <w:tcW w:w="1559" w:type="dxa"/>
            <w:vAlign w:val="center"/>
          </w:tcPr>
          <w:p w14:paraId="6DF3F71F" w14:textId="77777777" w:rsidR="00E75130" w:rsidRPr="00E5128D" w:rsidRDefault="00E75130" w:rsidP="00E75130">
            <w:pPr>
              <w:pStyle w:val="Text01"/>
              <w:spacing w:before="0" w:after="0" w:line="240" w:lineRule="auto"/>
              <w:jc w:val="center"/>
              <w:rPr>
                <w:rFonts w:ascii="MS Gothic" w:eastAsia="MS Gothic" w:hAnsi="MS Gothic" w:cs="MS Gothic"/>
                <w:sz w:val="18"/>
              </w:rPr>
            </w:pPr>
          </w:p>
        </w:tc>
        <w:tc>
          <w:tcPr>
            <w:tcW w:w="1418" w:type="dxa"/>
            <w:shd w:val="clear" w:color="auto" w:fill="F2F2F2" w:themeFill="background1" w:themeFillShade="F2"/>
          </w:tcPr>
          <w:p w14:paraId="435C5E97"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2A58E9">
              <w:rPr>
                <w:rFonts w:ascii="MS Gothic" w:eastAsia="MS Gothic" w:hAnsi="MS Gothic" w:cs="MS Gothic" w:hint="eastAsia"/>
                <w:sz w:val="18"/>
              </w:rPr>
              <w:t>✘</w:t>
            </w:r>
          </w:p>
        </w:tc>
        <w:tc>
          <w:tcPr>
            <w:tcW w:w="1898" w:type="dxa"/>
            <w:vAlign w:val="center"/>
          </w:tcPr>
          <w:p w14:paraId="49A5AA23" w14:textId="77777777" w:rsidR="00E75130" w:rsidRPr="00E5128D" w:rsidRDefault="00E75130" w:rsidP="00E75130">
            <w:pPr>
              <w:pStyle w:val="Text01"/>
              <w:spacing w:before="0" w:after="0" w:line="240" w:lineRule="auto"/>
              <w:jc w:val="center"/>
              <w:rPr>
                <w:rFonts w:ascii="MS Gothic" w:eastAsia="MS Gothic" w:hAnsi="MS Gothic" w:cs="MS Gothic"/>
                <w:sz w:val="18"/>
              </w:rPr>
            </w:pPr>
          </w:p>
        </w:tc>
      </w:tr>
      <w:tr w:rsidR="00E75130" w:rsidRPr="00E5128D" w14:paraId="30CC61CE" w14:textId="77777777" w:rsidTr="00C55429">
        <w:tc>
          <w:tcPr>
            <w:tcW w:w="1668" w:type="dxa"/>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F2F2F2" w:themeFill="background1" w:themeFillShade="F2"/>
            <w:vAlign w:val="center"/>
          </w:tcPr>
          <w:p w14:paraId="15F940DC" w14:textId="77777777" w:rsidR="00E75130" w:rsidRPr="00E5128D" w:rsidRDefault="00E75130" w:rsidP="00E75130">
            <w:pPr>
              <w:pStyle w:val="Text01"/>
              <w:spacing w:before="0" w:after="0" w:line="240" w:lineRule="auto"/>
              <w:jc w:val="center"/>
              <w:rPr>
                <w:rFonts w:cstheme="minorHAnsi"/>
                <w:sz w:val="18"/>
              </w:rPr>
            </w:pPr>
            <w:r w:rsidRPr="00E5128D">
              <w:rPr>
                <w:rFonts w:cstheme="minorHAnsi"/>
                <w:sz w:val="18"/>
              </w:rPr>
              <w:t>VDC-SY</w:t>
            </w:r>
          </w:p>
        </w:tc>
        <w:tc>
          <w:tcPr>
            <w:tcW w:w="1275" w:type="dxa"/>
            <w:shd w:val="clear" w:color="auto" w:fill="F2F2F2" w:themeFill="background1" w:themeFillShade="F2"/>
          </w:tcPr>
          <w:p w14:paraId="1639E8B4"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06570E">
              <w:rPr>
                <w:rFonts w:ascii="MS Gothic" w:eastAsia="MS Gothic" w:hAnsi="MS Gothic" w:cs="MS Gothic" w:hint="eastAsia"/>
                <w:sz w:val="18"/>
              </w:rPr>
              <w:t>✘</w:t>
            </w:r>
          </w:p>
        </w:tc>
        <w:tc>
          <w:tcPr>
            <w:tcW w:w="1418" w:type="dxa"/>
            <w:shd w:val="clear" w:color="auto" w:fill="F2F2F2" w:themeFill="background1" w:themeFillShade="F2"/>
          </w:tcPr>
          <w:p w14:paraId="46A0FE62"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B96D62">
              <w:rPr>
                <w:rFonts w:ascii="MS Gothic" w:eastAsia="MS Gothic" w:hAnsi="MS Gothic" w:cs="MS Gothic" w:hint="eastAsia"/>
                <w:sz w:val="18"/>
              </w:rPr>
              <w:t>✘</w:t>
            </w:r>
          </w:p>
        </w:tc>
        <w:tc>
          <w:tcPr>
            <w:tcW w:w="1559" w:type="dxa"/>
            <w:shd w:val="clear" w:color="auto" w:fill="F2F2F2" w:themeFill="background1" w:themeFillShade="F2"/>
          </w:tcPr>
          <w:p w14:paraId="294BC9E6"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B62088">
              <w:rPr>
                <w:rFonts w:ascii="MS Gothic" w:eastAsia="MS Gothic" w:hAnsi="MS Gothic" w:cs="MS Gothic" w:hint="eastAsia"/>
                <w:sz w:val="18"/>
              </w:rPr>
              <w:t>✘</w:t>
            </w:r>
          </w:p>
        </w:tc>
        <w:tc>
          <w:tcPr>
            <w:tcW w:w="1418" w:type="dxa"/>
            <w:shd w:val="clear" w:color="auto" w:fill="F2F2F2" w:themeFill="background1" w:themeFillShade="F2"/>
          </w:tcPr>
          <w:p w14:paraId="5B8D3D4B"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2A58E9">
              <w:rPr>
                <w:rFonts w:ascii="MS Gothic" w:eastAsia="MS Gothic" w:hAnsi="MS Gothic" w:cs="MS Gothic" w:hint="eastAsia"/>
                <w:sz w:val="18"/>
              </w:rPr>
              <w:t>✘</w:t>
            </w:r>
          </w:p>
        </w:tc>
        <w:tc>
          <w:tcPr>
            <w:tcW w:w="1898" w:type="dxa"/>
            <w:vAlign w:val="center"/>
          </w:tcPr>
          <w:p w14:paraId="54753DB0" w14:textId="77777777" w:rsidR="00E75130" w:rsidRPr="00E5128D" w:rsidRDefault="00E75130" w:rsidP="00E75130">
            <w:pPr>
              <w:pStyle w:val="Text01"/>
              <w:spacing w:before="0" w:after="0" w:line="240" w:lineRule="auto"/>
              <w:jc w:val="center"/>
              <w:rPr>
                <w:rFonts w:ascii="MS Gothic" w:eastAsia="MS Gothic" w:hAnsi="MS Gothic" w:cs="MS Gothic"/>
                <w:sz w:val="18"/>
              </w:rPr>
            </w:pPr>
          </w:p>
        </w:tc>
      </w:tr>
      <w:tr w:rsidR="00E75130" w:rsidRPr="00E5128D" w14:paraId="5FE3E8BA" w14:textId="77777777" w:rsidTr="00C55429">
        <w:tc>
          <w:tcPr>
            <w:tcW w:w="1668" w:type="dxa"/>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F2F2F2" w:themeFill="background1" w:themeFillShade="F2"/>
            <w:vAlign w:val="center"/>
          </w:tcPr>
          <w:p w14:paraId="2BD0DFA6" w14:textId="77777777" w:rsidR="00E75130" w:rsidRPr="00E5128D" w:rsidRDefault="00E75130" w:rsidP="00E75130">
            <w:pPr>
              <w:pStyle w:val="Text01"/>
              <w:spacing w:before="0" w:after="0" w:line="240" w:lineRule="auto"/>
              <w:jc w:val="center"/>
              <w:rPr>
                <w:rFonts w:cstheme="minorHAnsi"/>
                <w:sz w:val="18"/>
              </w:rPr>
            </w:pPr>
            <w:r w:rsidRPr="00E5128D">
              <w:rPr>
                <w:rFonts w:cstheme="minorHAnsi"/>
                <w:sz w:val="18"/>
              </w:rPr>
              <w:t>GTD</w:t>
            </w:r>
          </w:p>
        </w:tc>
        <w:tc>
          <w:tcPr>
            <w:tcW w:w="1275" w:type="dxa"/>
            <w:shd w:val="clear" w:color="auto" w:fill="F2F2F2" w:themeFill="background1" w:themeFillShade="F2"/>
          </w:tcPr>
          <w:p w14:paraId="0720A58C"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06570E">
              <w:rPr>
                <w:rFonts w:ascii="MS Gothic" w:eastAsia="MS Gothic" w:hAnsi="MS Gothic" w:cs="MS Gothic" w:hint="eastAsia"/>
                <w:sz w:val="18"/>
              </w:rPr>
              <w:t>✘</w:t>
            </w:r>
          </w:p>
        </w:tc>
        <w:tc>
          <w:tcPr>
            <w:tcW w:w="1418" w:type="dxa"/>
            <w:shd w:val="clear" w:color="auto" w:fill="F2F2F2" w:themeFill="background1" w:themeFillShade="F2"/>
          </w:tcPr>
          <w:p w14:paraId="0A7B8EDB"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B96D62">
              <w:rPr>
                <w:rFonts w:ascii="MS Gothic" w:eastAsia="MS Gothic" w:hAnsi="MS Gothic" w:cs="MS Gothic" w:hint="eastAsia"/>
                <w:sz w:val="18"/>
              </w:rPr>
              <w:t>✘</w:t>
            </w:r>
          </w:p>
        </w:tc>
        <w:tc>
          <w:tcPr>
            <w:tcW w:w="1559" w:type="dxa"/>
            <w:shd w:val="clear" w:color="auto" w:fill="F2F2F2" w:themeFill="background1" w:themeFillShade="F2"/>
          </w:tcPr>
          <w:p w14:paraId="4124145E"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B62088">
              <w:rPr>
                <w:rFonts w:ascii="MS Gothic" w:eastAsia="MS Gothic" w:hAnsi="MS Gothic" w:cs="MS Gothic" w:hint="eastAsia"/>
                <w:sz w:val="18"/>
              </w:rPr>
              <w:t>✘</w:t>
            </w:r>
          </w:p>
        </w:tc>
        <w:tc>
          <w:tcPr>
            <w:tcW w:w="1418" w:type="dxa"/>
            <w:shd w:val="clear" w:color="auto" w:fill="F2F2F2" w:themeFill="background1" w:themeFillShade="F2"/>
          </w:tcPr>
          <w:p w14:paraId="202E2574"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2A58E9">
              <w:rPr>
                <w:rFonts w:ascii="MS Gothic" w:eastAsia="MS Gothic" w:hAnsi="MS Gothic" w:cs="MS Gothic" w:hint="eastAsia"/>
                <w:sz w:val="18"/>
              </w:rPr>
              <w:t>✘</w:t>
            </w:r>
          </w:p>
        </w:tc>
        <w:tc>
          <w:tcPr>
            <w:tcW w:w="1898" w:type="dxa"/>
            <w:shd w:val="clear" w:color="auto" w:fill="F2F2F2" w:themeFill="background1" w:themeFillShade="F2"/>
          </w:tcPr>
          <w:p w14:paraId="255F9BAC"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7E6A43">
              <w:rPr>
                <w:rFonts w:ascii="MS Gothic" w:eastAsia="MS Gothic" w:hAnsi="MS Gothic" w:cs="MS Gothic" w:hint="eastAsia"/>
                <w:sz w:val="18"/>
              </w:rPr>
              <w:t>✘</w:t>
            </w:r>
          </w:p>
        </w:tc>
      </w:tr>
      <w:tr w:rsidR="00E75130" w:rsidRPr="00E5128D" w14:paraId="3599FAFB" w14:textId="77777777" w:rsidTr="00C55429">
        <w:tc>
          <w:tcPr>
            <w:tcW w:w="1668" w:type="dxa"/>
            <w:tcBorders>
              <w:top w:val="single" w:sz="6" w:space="0" w:color="A6A6A6" w:themeColor="background1" w:themeShade="A6"/>
              <w:left w:val="single" w:sz="6" w:space="0" w:color="A6A6A6" w:themeColor="background1" w:themeShade="A6"/>
              <w:bottom w:val="single" w:sz="4" w:space="0" w:color="A6A6A6" w:themeColor="background1" w:themeShade="A6"/>
            </w:tcBorders>
            <w:shd w:val="clear" w:color="auto" w:fill="F2F2F2" w:themeFill="background1" w:themeFillShade="F2"/>
            <w:vAlign w:val="center"/>
          </w:tcPr>
          <w:p w14:paraId="45642034" w14:textId="77777777" w:rsidR="00E75130" w:rsidRPr="00E5128D" w:rsidRDefault="00E75130" w:rsidP="00E75130">
            <w:pPr>
              <w:pStyle w:val="Text01"/>
              <w:spacing w:before="0" w:after="0" w:line="240" w:lineRule="auto"/>
              <w:jc w:val="center"/>
              <w:rPr>
                <w:rFonts w:cstheme="minorHAnsi"/>
                <w:sz w:val="18"/>
              </w:rPr>
            </w:pPr>
            <w:r w:rsidRPr="00E5128D">
              <w:rPr>
                <w:rFonts w:cstheme="minorHAnsi"/>
                <w:sz w:val="18"/>
              </w:rPr>
              <w:t>UNHCR</w:t>
            </w:r>
          </w:p>
        </w:tc>
        <w:tc>
          <w:tcPr>
            <w:tcW w:w="1275" w:type="dxa"/>
            <w:tcBorders>
              <w:bottom w:val="single" w:sz="4" w:space="0" w:color="A6A6A6" w:themeColor="background1" w:themeShade="A6"/>
            </w:tcBorders>
            <w:vAlign w:val="center"/>
          </w:tcPr>
          <w:p w14:paraId="2D3455AA" w14:textId="77777777" w:rsidR="00E75130" w:rsidRPr="00E5128D" w:rsidRDefault="00E75130" w:rsidP="00E75130">
            <w:pPr>
              <w:pStyle w:val="Text01"/>
              <w:spacing w:before="0" w:after="0" w:line="240" w:lineRule="auto"/>
              <w:jc w:val="center"/>
              <w:rPr>
                <w:rFonts w:ascii="MS Gothic" w:eastAsia="MS Gothic" w:hAnsi="MS Gothic" w:cs="MS Gothic"/>
                <w:sz w:val="18"/>
              </w:rPr>
            </w:pPr>
          </w:p>
        </w:tc>
        <w:tc>
          <w:tcPr>
            <w:tcW w:w="1418" w:type="dxa"/>
            <w:tcBorders>
              <w:bottom w:val="single" w:sz="4" w:space="0" w:color="A6A6A6" w:themeColor="background1" w:themeShade="A6"/>
            </w:tcBorders>
            <w:shd w:val="clear" w:color="auto" w:fill="F2F2F2" w:themeFill="background1" w:themeFillShade="F2"/>
          </w:tcPr>
          <w:p w14:paraId="4BC72E61"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B96D62">
              <w:rPr>
                <w:rFonts w:ascii="MS Gothic" w:eastAsia="MS Gothic" w:hAnsi="MS Gothic" w:cs="MS Gothic" w:hint="eastAsia"/>
                <w:sz w:val="18"/>
              </w:rPr>
              <w:t>✘</w:t>
            </w:r>
          </w:p>
        </w:tc>
        <w:tc>
          <w:tcPr>
            <w:tcW w:w="1559" w:type="dxa"/>
            <w:tcBorders>
              <w:bottom w:val="single" w:sz="4" w:space="0" w:color="A6A6A6" w:themeColor="background1" w:themeShade="A6"/>
            </w:tcBorders>
            <w:vAlign w:val="center"/>
          </w:tcPr>
          <w:p w14:paraId="334B0DFD" w14:textId="77777777" w:rsidR="00E75130" w:rsidRPr="00E5128D" w:rsidRDefault="00E75130" w:rsidP="00E75130">
            <w:pPr>
              <w:pStyle w:val="Text01"/>
              <w:spacing w:before="0" w:after="0" w:line="240" w:lineRule="auto"/>
              <w:jc w:val="center"/>
              <w:rPr>
                <w:rFonts w:ascii="MS Gothic" w:eastAsia="MS Gothic" w:hAnsi="MS Gothic" w:cs="MS Gothic"/>
                <w:sz w:val="18"/>
              </w:rPr>
            </w:pPr>
          </w:p>
        </w:tc>
        <w:tc>
          <w:tcPr>
            <w:tcW w:w="1418" w:type="dxa"/>
            <w:tcBorders>
              <w:bottom w:val="single" w:sz="4" w:space="0" w:color="A6A6A6" w:themeColor="background1" w:themeShade="A6"/>
            </w:tcBorders>
            <w:vAlign w:val="center"/>
          </w:tcPr>
          <w:p w14:paraId="61647913" w14:textId="77777777" w:rsidR="00E75130" w:rsidRPr="00E5128D" w:rsidRDefault="00E75130" w:rsidP="00E75130">
            <w:pPr>
              <w:pStyle w:val="Text01"/>
              <w:spacing w:before="0" w:after="0" w:line="240" w:lineRule="auto"/>
              <w:jc w:val="center"/>
              <w:rPr>
                <w:rFonts w:ascii="MS Gothic" w:eastAsia="MS Gothic" w:hAnsi="MS Gothic" w:cs="MS Gothic"/>
                <w:sz w:val="18"/>
              </w:rPr>
            </w:pPr>
          </w:p>
        </w:tc>
        <w:tc>
          <w:tcPr>
            <w:tcW w:w="1898" w:type="dxa"/>
            <w:tcBorders>
              <w:bottom w:val="single" w:sz="4" w:space="0" w:color="A6A6A6" w:themeColor="background1" w:themeShade="A6"/>
            </w:tcBorders>
            <w:shd w:val="clear" w:color="auto" w:fill="F2F2F2" w:themeFill="background1" w:themeFillShade="F2"/>
          </w:tcPr>
          <w:p w14:paraId="6685C9C2" w14:textId="77777777" w:rsidR="00E75130" w:rsidRPr="00E5128D" w:rsidRDefault="00E75130" w:rsidP="00E75130">
            <w:pPr>
              <w:pStyle w:val="Text01"/>
              <w:spacing w:before="0" w:after="0" w:line="240" w:lineRule="auto"/>
              <w:jc w:val="center"/>
              <w:rPr>
                <w:rFonts w:ascii="MS Gothic" w:eastAsia="MS Gothic" w:hAnsi="MS Gothic" w:cs="MS Gothic"/>
                <w:sz w:val="18"/>
              </w:rPr>
            </w:pPr>
            <w:r w:rsidRPr="007E6A43">
              <w:rPr>
                <w:rFonts w:ascii="MS Gothic" w:eastAsia="MS Gothic" w:hAnsi="MS Gothic" w:cs="MS Gothic" w:hint="eastAsia"/>
                <w:sz w:val="18"/>
              </w:rPr>
              <w:t>✘</w:t>
            </w:r>
          </w:p>
        </w:tc>
      </w:tr>
    </w:tbl>
    <w:p w14:paraId="74E05DB0" w14:textId="3F5D0B93" w:rsidR="008D3D80" w:rsidRDefault="008D3D80" w:rsidP="004B4F6B">
      <w:pPr>
        <w:pStyle w:val="Caption"/>
        <w:spacing w:before="0" w:after="0"/>
        <w:rPr>
          <w:b w:val="0"/>
        </w:rPr>
      </w:pPr>
      <w:bookmarkStart w:id="3" w:name="_Ref16333041"/>
      <w:r>
        <w:t xml:space="preserve">Table </w:t>
      </w:r>
      <w:r w:rsidR="00AA525D">
        <w:fldChar w:fldCharType="begin"/>
      </w:r>
      <w:r w:rsidR="00AA525D">
        <w:instrText xml:space="preserve"> SEQ Table \* ARABIC </w:instrText>
      </w:r>
      <w:r w:rsidR="00AA525D">
        <w:fldChar w:fldCharType="separate"/>
      </w:r>
      <w:r w:rsidR="00BA1A2B">
        <w:rPr>
          <w:noProof/>
        </w:rPr>
        <w:t>1</w:t>
      </w:r>
      <w:r w:rsidR="00AA525D">
        <w:rPr>
          <w:noProof/>
        </w:rPr>
        <w:fldChar w:fldCharType="end"/>
      </w:r>
      <w:bookmarkEnd w:id="3"/>
      <w:r>
        <w:t xml:space="preserve">: </w:t>
      </w:r>
      <w:r>
        <w:rPr>
          <w:b w:val="0"/>
        </w:rPr>
        <w:t>Scope of loss in p</w:t>
      </w:r>
      <w:r w:rsidRPr="004F6DD4">
        <w:rPr>
          <w:b w:val="0"/>
        </w:rPr>
        <w:t xml:space="preserve">ursuit of </w:t>
      </w:r>
      <w:r>
        <w:rPr>
          <w:b w:val="0"/>
        </w:rPr>
        <w:t xml:space="preserve">data </w:t>
      </w:r>
      <w:r w:rsidRPr="004F6DD4">
        <w:rPr>
          <w:b w:val="0"/>
        </w:rPr>
        <w:t>relationality</w:t>
      </w:r>
    </w:p>
    <w:p w14:paraId="0C29EFA2" w14:textId="0F42F05D" w:rsidR="00CF09F8" w:rsidRPr="001365B0" w:rsidRDefault="00CF09F8" w:rsidP="004B4F6B">
      <w:pPr>
        <w:pStyle w:val="Text01"/>
      </w:pPr>
      <w:r w:rsidRPr="001365B0">
        <w:t xml:space="preserve">These losses stem from the fact that the individual datasets concerned were not designed (and/or developed) with external integration in mind: Thus, our key point of learning from the empirical work is that, in the context of </w:t>
      </w:r>
      <w:r w:rsidR="00FD432F">
        <w:t xml:space="preserve">the </w:t>
      </w:r>
      <w:r w:rsidR="00E02349">
        <w:t>UNSDGs</w:t>
      </w:r>
      <w:r w:rsidR="0067227E">
        <w:t>,</w:t>
      </w:r>
      <w:r w:rsidRPr="001365B0">
        <w:t xml:space="preserve"> the asset creation and capability creation processes (at least) need to be considered and addressed from an ecosystem perspective, rather than from the perspective of a focal organisation (where transformation and completion processes are more likely to be enacted). Unsurprisingly perhaps, the big data vision of ‘ecosystems of digital data’ requires that assets and capabilities (to some degree) are addressed from that same perspective if (potential) value is to be maximised. An added challenge in this respect, however, is that the ways that big data assets might be used are not necessarily known at the time the assets is created – that challenge places additional burden on capabilities.</w:t>
      </w:r>
    </w:p>
    <w:p w14:paraId="75348459" w14:textId="50574E36" w:rsidR="00CE7502" w:rsidRDefault="00CF09F8" w:rsidP="004B4F6B">
      <w:pPr>
        <w:pStyle w:val="Text01"/>
      </w:pPr>
      <w:r w:rsidRPr="001365B0">
        <w:t>Thus, to guide future research in this area</w:t>
      </w:r>
      <w:r w:rsidR="00355713">
        <w:t xml:space="preserve"> and as our principal contribution</w:t>
      </w:r>
      <w:r w:rsidRPr="001365B0">
        <w:t xml:space="preserve">, we outline </w:t>
      </w:r>
      <w:r w:rsidR="00E15A1E" w:rsidRPr="00F837AC">
        <w:rPr>
          <w:bCs/>
        </w:rPr>
        <w:t>five</w:t>
      </w:r>
      <w:r w:rsidRPr="00F837AC">
        <w:rPr>
          <w:bCs/>
        </w:rPr>
        <w:t xml:space="preserve"> </w:t>
      </w:r>
      <w:r w:rsidRPr="001365B0">
        <w:t xml:space="preserve">research propositions </w:t>
      </w:r>
      <w:r w:rsidR="009F7615">
        <w:t xml:space="preserve">(RPs) </w:t>
      </w:r>
      <w:r w:rsidRPr="001365B0">
        <w:t>in</w:t>
      </w:r>
      <w:r w:rsidR="00AA395C">
        <w:t xml:space="preserve"> </w:t>
      </w:r>
      <w:r w:rsidR="00753993">
        <w:fldChar w:fldCharType="begin"/>
      </w:r>
      <w:r w:rsidR="00753993">
        <w:instrText xml:space="preserve"> REF _Ref16799182 \h </w:instrText>
      </w:r>
      <w:r w:rsidR="00753993">
        <w:fldChar w:fldCharType="separate"/>
      </w:r>
      <w:r w:rsidR="00BA1A2B">
        <w:t xml:space="preserve">Table </w:t>
      </w:r>
      <w:r w:rsidR="00BA1A2B">
        <w:rPr>
          <w:noProof/>
        </w:rPr>
        <w:t>2</w:t>
      </w:r>
      <w:r w:rsidR="00753993">
        <w:fldChar w:fldCharType="end"/>
      </w:r>
      <w:r w:rsidRPr="001365B0">
        <w:t xml:space="preserve"> that </w:t>
      </w:r>
      <w:r w:rsidR="00E02349">
        <w:t>we see as core research propositions</w:t>
      </w:r>
      <w:r w:rsidRPr="001365B0">
        <w:t xml:space="preserve">. </w:t>
      </w:r>
      <w:r w:rsidR="00E15A1E">
        <w:t xml:space="preserve">In relation to the value process model </w:t>
      </w:r>
      <w:r w:rsidR="00CE7502">
        <w:t>(</w:t>
      </w:r>
      <w:r w:rsidR="00CE7502">
        <w:fldChar w:fldCharType="begin"/>
      </w:r>
      <w:r w:rsidR="00CE7502">
        <w:instrText xml:space="preserve"> REF _Ref6929381 \h </w:instrText>
      </w:r>
      <w:r w:rsidR="00E72864">
        <w:instrText xml:space="preserve"> \* MERGEFORMAT </w:instrText>
      </w:r>
      <w:r w:rsidR="00CE7502">
        <w:fldChar w:fldCharType="separate"/>
      </w:r>
      <w:r w:rsidR="00BA1A2B" w:rsidRPr="001365B0">
        <w:t xml:space="preserve">Figure </w:t>
      </w:r>
      <w:r w:rsidR="00BA1A2B">
        <w:t>1</w:t>
      </w:r>
      <w:r w:rsidR="00CE7502">
        <w:fldChar w:fldCharType="end"/>
      </w:r>
      <w:r w:rsidR="00CE7502">
        <w:t>)</w:t>
      </w:r>
      <w:r w:rsidR="00E15A1E">
        <w:t xml:space="preserve">, we </w:t>
      </w:r>
      <w:r w:rsidR="009F325B">
        <w:t xml:space="preserve">restrict these propositions to the first two of </w:t>
      </w:r>
      <w:r w:rsidR="00AF1EDB">
        <w:t xml:space="preserve">the </w:t>
      </w:r>
      <w:r w:rsidR="009F325B">
        <w:t xml:space="preserve">value creation sub-processes, namely: </w:t>
      </w:r>
    </w:p>
    <w:p w14:paraId="1A531DEA" w14:textId="46CC1302" w:rsidR="0067227E" w:rsidRDefault="0067227E" w:rsidP="004B4F6B">
      <w:pPr>
        <w:pStyle w:val="List01"/>
      </w:pPr>
      <w:r w:rsidRPr="00F837AC">
        <w:rPr>
          <w:bCs/>
        </w:rPr>
        <w:t>Capability Creation</w:t>
      </w:r>
      <w:r>
        <w:t xml:space="preserve">: as </w:t>
      </w:r>
      <w:r w:rsidR="00CF09F8" w:rsidRPr="001365B0">
        <w:t xml:space="preserve">related to the </w:t>
      </w:r>
      <w:r w:rsidR="00CF09F8" w:rsidRPr="00F837AC">
        <w:rPr>
          <w:bCs/>
          <w:i/>
        </w:rPr>
        <w:t>governance</w:t>
      </w:r>
      <w:r w:rsidR="00CF09F8" w:rsidRPr="00F837AC">
        <w:rPr>
          <w:bCs/>
        </w:rPr>
        <w:t xml:space="preserve"> </w:t>
      </w:r>
      <w:r w:rsidR="00CF09F8" w:rsidRPr="00F837AC">
        <w:rPr>
          <w:bCs/>
          <w:i/>
        </w:rPr>
        <w:t>of data assets</w:t>
      </w:r>
      <w:r w:rsidR="00CF09F8" w:rsidRPr="001365B0">
        <w:t xml:space="preserve"> such that they can be trusted and managed outside their initial context of use</w:t>
      </w:r>
      <w:r w:rsidR="00E15A1E">
        <w:t xml:space="preserve">; and </w:t>
      </w:r>
    </w:p>
    <w:p w14:paraId="4BEF232E" w14:textId="77777777" w:rsidR="0067227E" w:rsidRDefault="0067227E" w:rsidP="004B4F6B">
      <w:pPr>
        <w:pStyle w:val="List01"/>
      </w:pPr>
      <w:r w:rsidRPr="00F837AC">
        <w:rPr>
          <w:bCs/>
        </w:rPr>
        <w:t>Asset Creation</w:t>
      </w:r>
      <w:r>
        <w:t xml:space="preserve">: </w:t>
      </w:r>
      <w:r w:rsidR="00E15A1E">
        <w:t xml:space="preserve">as </w:t>
      </w:r>
      <w:r>
        <w:t xml:space="preserve">related to the </w:t>
      </w:r>
      <w:r w:rsidRPr="00F837AC">
        <w:rPr>
          <w:bCs/>
          <w:i/>
        </w:rPr>
        <w:t>construction</w:t>
      </w:r>
      <w:r w:rsidRPr="00F837AC">
        <w:rPr>
          <w:bCs/>
        </w:rPr>
        <w:t xml:space="preserve"> </w:t>
      </w:r>
      <w:r w:rsidRPr="00F837AC">
        <w:rPr>
          <w:bCs/>
          <w:i/>
        </w:rPr>
        <w:t>of data assets</w:t>
      </w:r>
      <w:r>
        <w:t xml:space="preserve"> </w:t>
      </w:r>
      <w:r w:rsidR="00E15A1E" w:rsidRPr="001365B0">
        <w:t>such that they can be shared effectively outside their initial context of use</w:t>
      </w:r>
      <w:r w:rsidR="00CF09F8" w:rsidRPr="001365B0">
        <w:t xml:space="preserve">. </w:t>
      </w:r>
    </w:p>
    <w:p w14:paraId="7E2F1CA3" w14:textId="531A268A" w:rsidR="00E15A1E" w:rsidRDefault="00CF09F8" w:rsidP="004B4F6B">
      <w:pPr>
        <w:pStyle w:val="Text01"/>
      </w:pPr>
      <w:r w:rsidRPr="001365B0">
        <w:t xml:space="preserve">We then discuss the </w:t>
      </w:r>
      <w:r w:rsidR="006B38C8">
        <w:t xml:space="preserve">(limited) </w:t>
      </w:r>
      <w:r w:rsidRPr="001365B0">
        <w:t>existing work that is relevant to each proposition to provide a platform upon which future research can build.</w:t>
      </w:r>
    </w:p>
    <w:tbl>
      <w:tblPr>
        <w:tblStyle w:val="TableGrid"/>
        <w:tblW w:w="0" w:type="auto"/>
        <w:jc w:val="center"/>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4A0" w:firstRow="1" w:lastRow="0" w:firstColumn="1" w:lastColumn="0" w:noHBand="0" w:noVBand="1"/>
      </w:tblPr>
      <w:tblGrid>
        <w:gridCol w:w="414"/>
        <w:gridCol w:w="2700"/>
        <w:gridCol w:w="880"/>
        <w:gridCol w:w="577"/>
        <w:gridCol w:w="4439"/>
      </w:tblGrid>
      <w:tr w:rsidR="00334D11" w:rsidRPr="00334D11" w14:paraId="78A74425" w14:textId="77777777" w:rsidTr="00E2564C">
        <w:trPr>
          <w:cantSplit/>
          <w:tblHeader/>
          <w:jc w:val="center"/>
        </w:trPr>
        <w:tc>
          <w:tcPr>
            <w:tcW w:w="0" w:type="auto"/>
            <w:vMerge w:val="restart"/>
            <w:shd w:val="clear" w:color="auto" w:fill="F2F2F2" w:themeFill="background1" w:themeFillShade="F2"/>
            <w:vAlign w:val="center"/>
          </w:tcPr>
          <w:p w14:paraId="6E8ED72B" w14:textId="77777777" w:rsidR="00334D11" w:rsidRPr="00334D11" w:rsidRDefault="00334D11" w:rsidP="007E319C">
            <w:pPr>
              <w:pStyle w:val="NoSpacing"/>
              <w:keepNext/>
              <w:keepLines/>
              <w:jc w:val="center"/>
              <w:rPr>
                <w:rFonts w:cstheme="minorHAnsi"/>
                <w:b/>
                <w:sz w:val="18"/>
                <w:szCs w:val="18"/>
              </w:rPr>
            </w:pPr>
            <w:r w:rsidRPr="00334D11">
              <w:rPr>
                <w:rFonts w:cstheme="minorHAnsi"/>
                <w:b/>
                <w:sz w:val="18"/>
                <w:szCs w:val="18"/>
              </w:rPr>
              <w:lastRenderedPageBreak/>
              <w:t>RP</w:t>
            </w:r>
          </w:p>
        </w:tc>
        <w:tc>
          <w:tcPr>
            <w:tcW w:w="2700" w:type="dxa"/>
            <w:vMerge w:val="restart"/>
            <w:shd w:val="clear" w:color="auto" w:fill="F2F2F2" w:themeFill="background1" w:themeFillShade="F2"/>
            <w:vAlign w:val="center"/>
          </w:tcPr>
          <w:p w14:paraId="78E179DD" w14:textId="77777777" w:rsidR="00334D11" w:rsidRPr="00334D11" w:rsidRDefault="00334D11" w:rsidP="007E319C">
            <w:pPr>
              <w:pStyle w:val="NoSpacing"/>
              <w:keepNext/>
              <w:keepLines/>
              <w:rPr>
                <w:rFonts w:cstheme="minorHAnsi"/>
                <w:b/>
                <w:sz w:val="18"/>
                <w:szCs w:val="18"/>
              </w:rPr>
            </w:pPr>
            <w:r w:rsidRPr="00334D11">
              <w:rPr>
                <w:rFonts w:cstheme="minorHAnsi"/>
                <w:b/>
                <w:sz w:val="22"/>
                <w:szCs w:val="18"/>
              </w:rPr>
              <w:t>Research Proposition</w:t>
            </w:r>
          </w:p>
        </w:tc>
        <w:tc>
          <w:tcPr>
            <w:tcW w:w="1193" w:type="dxa"/>
            <w:gridSpan w:val="2"/>
            <w:shd w:val="clear" w:color="auto" w:fill="F2F2F2" w:themeFill="background1" w:themeFillShade="F2"/>
          </w:tcPr>
          <w:p w14:paraId="7D0D0D31" w14:textId="77777777" w:rsidR="00334D11" w:rsidRPr="00334D11" w:rsidRDefault="00334D11" w:rsidP="007E319C">
            <w:pPr>
              <w:pStyle w:val="NoSpacing"/>
              <w:keepNext/>
              <w:keepLines/>
              <w:jc w:val="center"/>
              <w:rPr>
                <w:rFonts w:cstheme="minorHAnsi"/>
                <w:b/>
                <w:sz w:val="18"/>
                <w:szCs w:val="18"/>
              </w:rPr>
            </w:pPr>
            <w:r w:rsidRPr="00334D11">
              <w:rPr>
                <w:rFonts w:cstheme="minorHAnsi"/>
                <w:b/>
                <w:sz w:val="18"/>
                <w:szCs w:val="18"/>
              </w:rPr>
              <w:t>Sub-Process</w:t>
            </w:r>
          </w:p>
        </w:tc>
        <w:tc>
          <w:tcPr>
            <w:tcW w:w="0" w:type="auto"/>
            <w:vMerge w:val="restart"/>
            <w:shd w:val="clear" w:color="auto" w:fill="F2F2F2" w:themeFill="background1" w:themeFillShade="F2"/>
            <w:vAlign w:val="center"/>
          </w:tcPr>
          <w:p w14:paraId="78BFFF04" w14:textId="77777777" w:rsidR="00334D11" w:rsidRPr="00334D11" w:rsidRDefault="00334D11" w:rsidP="007E319C">
            <w:pPr>
              <w:pStyle w:val="NoSpacing"/>
              <w:keepNext/>
              <w:keepLines/>
              <w:tabs>
                <w:tab w:val="left" w:pos="990"/>
                <w:tab w:val="center" w:pos="1663"/>
              </w:tabs>
              <w:jc w:val="center"/>
              <w:rPr>
                <w:rFonts w:cstheme="minorHAnsi"/>
                <w:b/>
                <w:szCs w:val="18"/>
              </w:rPr>
            </w:pPr>
            <w:r w:rsidRPr="00334D11">
              <w:rPr>
                <w:rFonts w:cstheme="minorHAnsi"/>
                <w:b/>
                <w:szCs w:val="18"/>
              </w:rPr>
              <w:t>Literature</w:t>
            </w:r>
          </w:p>
        </w:tc>
      </w:tr>
      <w:tr w:rsidR="00334D11" w:rsidRPr="00334D11" w14:paraId="1BDD7E3F" w14:textId="77777777" w:rsidTr="00E2564C">
        <w:trPr>
          <w:cantSplit/>
          <w:tblHeader/>
          <w:jc w:val="center"/>
        </w:trPr>
        <w:tc>
          <w:tcPr>
            <w:tcW w:w="0" w:type="auto"/>
            <w:vMerge/>
            <w:shd w:val="clear" w:color="auto" w:fill="auto"/>
          </w:tcPr>
          <w:p w14:paraId="43EE3DD8" w14:textId="77777777" w:rsidR="00334D11" w:rsidRPr="00334D11" w:rsidRDefault="00334D11" w:rsidP="007E319C">
            <w:pPr>
              <w:pStyle w:val="NoSpacing"/>
              <w:keepNext/>
              <w:keepLines/>
              <w:jc w:val="center"/>
              <w:rPr>
                <w:rFonts w:cstheme="minorHAnsi"/>
                <w:b/>
                <w:sz w:val="18"/>
                <w:szCs w:val="18"/>
                <w:u w:val="single"/>
              </w:rPr>
            </w:pPr>
          </w:p>
        </w:tc>
        <w:tc>
          <w:tcPr>
            <w:tcW w:w="2700" w:type="dxa"/>
            <w:vMerge/>
            <w:shd w:val="clear" w:color="auto" w:fill="auto"/>
          </w:tcPr>
          <w:p w14:paraId="25C771CB" w14:textId="77777777" w:rsidR="00334D11" w:rsidRPr="00334D11" w:rsidRDefault="00334D11" w:rsidP="007E319C">
            <w:pPr>
              <w:pStyle w:val="NoSpacing"/>
              <w:keepNext/>
              <w:keepLines/>
              <w:jc w:val="center"/>
              <w:rPr>
                <w:rFonts w:cstheme="minorHAnsi"/>
                <w:b/>
                <w:sz w:val="18"/>
                <w:szCs w:val="18"/>
                <w:u w:val="single"/>
              </w:rPr>
            </w:pPr>
          </w:p>
        </w:tc>
        <w:tc>
          <w:tcPr>
            <w:tcW w:w="616" w:type="dxa"/>
            <w:shd w:val="clear" w:color="auto" w:fill="F2F2F2" w:themeFill="background1" w:themeFillShade="F2"/>
            <w:vAlign w:val="center"/>
          </w:tcPr>
          <w:p w14:paraId="6F6548EB" w14:textId="77777777" w:rsidR="00334D11" w:rsidRPr="00334D11" w:rsidRDefault="00334D11" w:rsidP="007E319C">
            <w:pPr>
              <w:pStyle w:val="NoSpacing"/>
              <w:keepNext/>
              <w:keepLines/>
              <w:jc w:val="center"/>
              <w:rPr>
                <w:rFonts w:cstheme="minorHAnsi"/>
                <w:b/>
                <w:sz w:val="16"/>
                <w:szCs w:val="18"/>
              </w:rPr>
            </w:pPr>
            <w:r w:rsidRPr="00334D11">
              <w:rPr>
                <w:rFonts w:cstheme="minorHAnsi"/>
                <w:b/>
                <w:sz w:val="16"/>
                <w:szCs w:val="18"/>
              </w:rPr>
              <w:t>Capability</w:t>
            </w:r>
          </w:p>
        </w:tc>
        <w:tc>
          <w:tcPr>
            <w:tcW w:w="0" w:type="auto"/>
            <w:shd w:val="clear" w:color="auto" w:fill="F2F2F2" w:themeFill="background1" w:themeFillShade="F2"/>
            <w:vAlign w:val="center"/>
          </w:tcPr>
          <w:p w14:paraId="1BAB46DA" w14:textId="77777777" w:rsidR="00334D11" w:rsidRPr="00334D11" w:rsidRDefault="00334D11" w:rsidP="007E319C">
            <w:pPr>
              <w:pStyle w:val="NoSpacing"/>
              <w:keepNext/>
              <w:keepLines/>
              <w:jc w:val="center"/>
              <w:rPr>
                <w:rFonts w:cstheme="minorHAnsi"/>
                <w:b/>
                <w:sz w:val="16"/>
                <w:szCs w:val="18"/>
              </w:rPr>
            </w:pPr>
            <w:r w:rsidRPr="00334D11">
              <w:rPr>
                <w:rFonts w:cstheme="minorHAnsi"/>
                <w:b/>
                <w:sz w:val="16"/>
                <w:szCs w:val="18"/>
              </w:rPr>
              <w:t>Asset</w:t>
            </w:r>
          </w:p>
        </w:tc>
        <w:tc>
          <w:tcPr>
            <w:tcW w:w="0" w:type="auto"/>
            <w:vMerge/>
            <w:shd w:val="clear" w:color="auto" w:fill="auto"/>
            <w:vAlign w:val="center"/>
          </w:tcPr>
          <w:p w14:paraId="14C9C6D4" w14:textId="77777777" w:rsidR="00334D11" w:rsidRPr="00334D11" w:rsidRDefault="00334D11" w:rsidP="007E319C">
            <w:pPr>
              <w:pStyle w:val="NoSpacing"/>
              <w:keepNext/>
              <w:keepLines/>
              <w:jc w:val="center"/>
              <w:rPr>
                <w:rFonts w:cstheme="minorHAnsi"/>
                <w:sz w:val="18"/>
                <w:szCs w:val="18"/>
              </w:rPr>
            </w:pPr>
          </w:p>
        </w:tc>
      </w:tr>
      <w:tr w:rsidR="00334D11" w:rsidRPr="00334D11" w14:paraId="5523985D" w14:textId="77777777" w:rsidTr="007E319C">
        <w:trPr>
          <w:jc w:val="center"/>
        </w:trPr>
        <w:tc>
          <w:tcPr>
            <w:tcW w:w="0" w:type="auto"/>
            <w:shd w:val="clear" w:color="auto" w:fill="F2F2F2" w:themeFill="background1" w:themeFillShade="F2"/>
          </w:tcPr>
          <w:p w14:paraId="1B40F874" w14:textId="77777777" w:rsidR="00334D11" w:rsidRPr="00334D11" w:rsidRDefault="00334D11" w:rsidP="007E319C">
            <w:pPr>
              <w:pStyle w:val="NoSpacing"/>
              <w:keepNext/>
              <w:keepLines/>
              <w:spacing w:before="120" w:after="120"/>
              <w:jc w:val="center"/>
              <w:rPr>
                <w:rFonts w:cstheme="minorHAnsi"/>
                <w:sz w:val="18"/>
                <w:szCs w:val="18"/>
              </w:rPr>
            </w:pPr>
            <w:r w:rsidRPr="00334D11">
              <w:rPr>
                <w:rFonts w:cstheme="minorHAnsi"/>
                <w:b/>
                <w:sz w:val="18"/>
                <w:szCs w:val="18"/>
              </w:rPr>
              <w:t>1</w:t>
            </w:r>
          </w:p>
        </w:tc>
        <w:tc>
          <w:tcPr>
            <w:tcW w:w="2700" w:type="dxa"/>
            <w:shd w:val="clear" w:color="auto" w:fill="auto"/>
          </w:tcPr>
          <w:p w14:paraId="26882B25"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b/>
                <w:sz w:val="18"/>
                <w:szCs w:val="18"/>
                <w:u w:val="single"/>
              </w:rPr>
              <w:t>Ecosystem Data Governance</w:t>
            </w:r>
          </w:p>
          <w:p w14:paraId="50EBFC56" w14:textId="77777777" w:rsidR="00334D11" w:rsidRPr="00334D11" w:rsidRDefault="00334D11" w:rsidP="007E319C">
            <w:pPr>
              <w:pStyle w:val="NoSpacing"/>
              <w:keepNext/>
              <w:keepLines/>
              <w:spacing w:after="120"/>
              <w:rPr>
                <w:rFonts w:cstheme="minorHAnsi"/>
                <w:sz w:val="18"/>
                <w:szCs w:val="18"/>
              </w:rPr>
            </w:pPr>
            <w:r w:rsidRPr="00334D11">
              <w:rPr>
                <w:rFonts w:cstheme="minorHAnsi"/>
                <w:sz w:val="18"/>
                <w:szCs w:val="18"/>
              </w:rPr>
              <w:t>Models of governance need to be developed that are appropriate to the sharing of data across humanitarian ecosystems</w:t>
            </w:r>
          </w:p>
        </w:tc>
        <w:tc>
          <w:tcPr>
            <w:tcW w:w="616" w:type="dxa"/>
            <w:shd w:val="clear" w:color="auto" w:fill="F2F2F2" w:themeFill="background1" w:themeFillShade="F2"/>
            <w:vAlign w:val="center"/>
          </w:tcPr>
          <w:p w14:paraId="083C5D8A" w14:textId="77777777" w:rsidR="00334D11" w:rsidRPr="00334D11" w:rsidRDefault="00334D11" w:rsidP="007E319C">
            <w:pPr>
              <w:pStyle w:val="Text01"/>
              <w:jc w:val="center"/>
              <w:rPr>
                <w:rFonts w:cstheme="minorHAnsi"/>
                <w:b/>
                <w:bCs/>
                <w:sz w:val="28"/>
                <w:szCs w:val="28"/>
              </w:rPr>
            </w:pPr>
            <w:r w:rsidRPr="00334D11">
              <w:rPr>
                <w:rFonts w:ascii="Segoe UI Symbol" w:eastAsia="MS Gothic" w:hAnsi="Segoe UI Symbol" w:cs="Segoe UI Symbol"/>
                <w:b/>
                <w:bCs/>
                <w:sz w:val="28"/>
                <w:szCs w:val="28"/>
              </w:rPr>
              <w:t>✓</w:t>
            </w:r>
          </w:p>
        </w:tc>
        <w:tc>
          <w:tcPr>
            <w:tcW w:w="0" w:type="auto"/>
            <w:shd w:val="clear" w:color="auto" w:fill="auto"/>
          </w:tcPr>
          <w:p w14:paraId="0EDD3900" w14:textId="77777777" w:rsidR="00334D11" w:rsidRPr="00334D11" w:rsidRDefault="00334D11" w:rsidP="007E319C">
            <w:pPr>
              <w:pStyle w:val="Text01"/>
              <w:jc w:val="center"/>
              <w:rPr>
                <w:rFonts w:cstheme="minorHAnsi"/>
              </w:rPr>
            </w:pPr>
          </w:p>
        </w:tc>
        <w:tc>
          <w:tcPr>
            <w:tcW w:w="0" w:type="auto"/>
            <w:shd w:val="clear" w:color="auto" w:fill="auto"/>
          </w:tcPr>
          <w:p w14:paraId="57E05B83" w14:textId="77777777" w:rsidR="00334D11" w:rsidRPr="00334D11" w:rsidRDefault="00334D11" w:rsidP="00334D11">
            <w:pPr>
              <w:keepNext/>
              <w:keepLines/>
              <w:spacing w:after="120" w:line="240" w:lineRule="auto"/>
              <w:rPr>
                <w:rFonts w:cstheme="minorHAnsi"/>
                <w:noProof/>
                <w:sz w:val="18"/>
                <w:szCs w:val="18"/>
              </w:rPr>
            </w:pPr>
            <w:r w:rsidRPr="00334D11">
              <w:rPr>
                <w:rFonts w:cstheme="minorHAnsi"/>
                <w:noProof/>
                <w:sz w:val="18"/>
                <w:szCs w:val="18"/>
              </w:rPr>
              <w:fldChar w:fldCharType="begin" w:fldLock="1"/>
            </w:r>
            <w:r w:rsidRPr="00334D11">
              <w:rPr>
                <w:rFonts w:cstheme="minorHAnsi"/>
                <w:noProof/>
                <w:sz w:val="18"/>
                <w:szCs w:val="18"/>
              </w:rPr>
              <w:instrText>ADDIN CSL_CITATION {"citationItems":[{"id":"ITEM-1","itemData":{"author":[{"dropping-particle":"","family":"Hansen","given":"H K","non-dropping-particle":"","parse-names":false,"suffix":""},{"dropping-particle":"","family":"Porter","given":"T","non-dropping-particle":"","parse-names":false,"suffix":""}],"container-title":"Global Governance","id":"ITEM-1","issue":"1","issued":{"date-parts":[["2017"]]},"note":"Cited By :6\n\nExport Date: 17 May 2019","page":"31-42","title":"What do big data do in global governance?","type":"article-journal","volume":"23"},"uris":["http://www.mendeley.com/documents/?uuid=fd83ac8a-2027-4023-86e4-182a1811a3a7"]},{"id":"ITEM-2","itemData":{"author":[{"dropping-particle":"","family":"United Nations","given":"","non-dropping-particle":"","parse-names":false,"suffix":""}],"container-title":"Resolution adopted by the General Assembly","id":"ITEM-2","issued":{"date-parts":[["2015"]]},"publisher":"United Nations General Assembly","publisher-place":"New York","title":"Transforming our world: The 2030 agenda for sustainable development","type":"report"},"uris":["http://www.mendeley.com/documents/?uuid=01e911f6-7ffc-4718-80d9-55cb82085348"]},{"id":"ITEM-3","itemData":{"DOI":"10.1093/jopart/mum015","author":[{"dropping-particle":"","family":"Provan","given":"K G","non-dropping-particle":"","parse-names":false,"suffix":""},{"dropping-particle":"","family":"Kenis","given":"P","non-dropping-particle":"","parse-names":false,"suffix":""}],"container-title":"Journal of Public Administration Research and Theory","id":"ITEM-3","issue":"2","issued":{"date-parts":[["2008"]]},"note":"Cited By :1118\n\nExport Date: 17 May 2019","page":"229-252","title":"Modes of network governance: Structure, management, and effectiveness","type":"article-journal","volume":"18"},"uris":["http://www.mendeley.com/documents/?uuid=b70cac99-4e63-4c5d-86be-3e6c19e5e35c"]},{"id":"ITEM-4","itemData":{"DOI":"10.1016/j.techfore.2017.09.040","author":[{"dropping-particle":"","family":"Broek","given":"T","non-dropping-particle":"van den","parse-names":false,"suffix":""},{"dropping-particle":"","family":"Veenstra","given":"A F","non-dropping-particle":"van","parse-names":false,"suffix":""}],"container-title":"Technological Forecasting and Social Change","id":"ITEM-4","issued":{"date-parts":[["2018"]]},"note":"Cited By :2\n\nExport Date: 17 May 2019","page":"330-338","title":"Governance of big data collaborations: How to balance regulatory compliance and disruptive innovation","type":"article-journal","volume":"129"},"uris":["http://www.mendeley.com/documents/?uuid=3d510fa9-1439-4297-af6f-a5a4eb718454"]},{"id":"ITEM-5","itemData":{"DOI":"10.1287/isre.1120.0432","author":[{"dropping-particle":"","family":"Chatterjee","given":"D","non-dropping-particle":"","parse-names":false,"suffix":""},{"dropping-particle":"","family":"Ravichandran","given":"T","non-dropping-particle":"","parse-names":false,"suffix":""}],"container-title":"Information Systems Research","id":"ITEM-5","issue":"2","issued":{"date-parts":[["2013"]]},"note":"Cited By :26\n\nExport Date: 17 May 2019","page":"261-278","title":"Governance of interorganizational information systems: A resource dependence perspective","type":"article-journal","volume":"24"},"uris":["http://www.mendeley.com/documents/?uuid=2ef8283d-c97f-4a72-9d97-fe6c9cf3cabe"]},{"id":"ITEM-6","itemData":{"ISBN":"1479924024","author":[{"dropping-particle":"","family":"Lycett","given":"Mark","non-dropping-particle":"","parse-names":false,"suffix":""},{"dropping-particle":"","family":"Monaghan","given":"Asmat","non-dropping-particle":"","parse-names":false,"suffix":""}],"id":"ITEM-6","issued":{"date-parts":[["2013"]]},"page":"432-437","publisher":"IEEE","title":"Big data and humanitarian supply networks: Can Big Data give voice to the voiceless?","type":"paper-conference"},"uris":["http://www.mendeley.com/documents/?uuid=fa42d01b-39b4-470f-9395-25774349747b"]},{"id":"ITEM-7","itemData":{"ISBN":"978-0199544462","author":[{"dropping-particle":"","family":"Riddell","given":"Roger C","non-dropping-particle":"","parse-names":false,"suffix":""}],"chapter-number":"18","container-title":"Does Foreign Aid Really Work?","id":"ITEM-7","issued":{"date-parts":[["2008"]]},"note":"Amazon Summary\n\n&amp;quot;Foreign aid is now a $100bn business and is expanding more rapidly today than it has for a generation. But does it work? Indeed, is it needed at all?\nOther attempts to answer these important questions have been dominated by a focus on the impact of official aid provided by governments. But today possibly as much as 30 percent of aid is provided by Non-Governmental Organizations (NGOs), and over 10 percent is provided as emergency assistance.\nIn this first-ever attempt to provide an overall assessment of aid, Roger Riddell presents a rigorous but highly readable account of aid, warts and all. Does Foreign Aid Really Work? sets out the evidence and exposes the instances where aid has failed and explains why. The book also examines the way that politics distorts aid, and disentangles the moral and ethical assumptions that lie behind the belief that aid does good. The book concludes by detailing the practical ways that aid needs to change if it is to be the effective force for good that its providers claim it is.&amp;quot;","page":"311-324","publisher":"Oxford University Press","publisher-place":"Oxford, United Kingdom","title":"The growth of emergencies and the humanitarian response","type":"chapter"},"uris":["http://www.mendeley.com/documents/?uuid=8325730b-1ee7-43b0-88ba-d11a96b1f40d"]},{"id":"ITEM-8","itemData":{"DOI":"10.1111/j.0361-3666.2005.00296.x","ISBN":"1467-7717","abstract":"Effective coordination of humanitarian assistance activities remains elusive. This paper briefly addresses some of the reasons for what is widely perceived as a coordination dilemma in humanitarian affairs and argues for a new conceptualisation of the issue. Rather than continue to request that more authority be vested in a single organisation to secure coordination through top-down control, it contends that it may be timely to consider whether relief agencies involved in an emergency should be reconceived as social networks and efforts made to achieve changes in their organizational cultures that encourage operational coordination across institutional lines. Since such labours imply the need to trust, this article explores what forms of trust might be employed to promote improved coordination among relief institutions and how those relationships could themselves be conceptualised. Finally, while acknowledging that coordination is not costless, it suggests that its effective pursuit may be advantageous even in scenarios where aid organisations balk at cooperating to secure it.","author":[{"dropping-particle":"","family":"Stephenson","given":"Max","non-dropping-particle":"","parse-names":false,"suffix":""}],"container-title":"Disasters","id":"ITEM-8","issue":"4","issued":{"date-parts":[["2005"]]},"page":"337-350","publisher":"Blackwell Science Ltd","title":"Making humanitarian relief networks more effective: operational coordination, trust and sense making","type":"article-journal","volume":"29"},"uris":["http://www.mendeley.com/documents/?uuid=3ac45515-9f07-40e0-b651-df6553e48707"]},{"id":"ITEM-9","itemData":{"author":[{"dropping-particle":"","family":"The Lancet","given":"","non-dropping-particle":"","parse-names":false,"suffix":""}],"container-title":"The Lancet","id":"ITEM-9","issued":{"date-parts":[["2010"]]},"language":"English","page":"253 (Editorial)","publisher":"The Lancet","title":"Growth of aid and the decline of humanitarianism","title-short":"The Lancet","type":"article-journal","volume":"375"},"uris":["http://www.mendeley.com/documents/?uuid=80a7fad3-3d06-4c52-98b9-a3a8b5e8e582"]},{"id":"ITEM-10","itemData":{"author":[{"dropping-particle":"","family":"Marelli","given":"Massimo","non-dropping-particle":"","parse-names":false,"suffix":""},{"dropping-particle":"","family":"Apraxine","given":"Pierre","non-dropping-particle":"","parse-names":false,"suffix":""},{"dropping-particle":"","family":"Bircher","given":"Romain","non-dropping-particle":"","parse-names":false,"suffix":""},{"dropping-particle":"","family":"Kuner","given":"Christopher","non-dropping-particle":"","parse-names":false,"suffix":""},{"dropping-particle":"","family":"Papakonstantinou","given":"Vagelis","non-dropping-particle":"","parse-names":false,"suffix":""},{"dropping-particle":"","family":"Jasmontaite","given":"Lina","non-dropping-particle":"","parse-names":false,"suffix":""},{"dropping-particle":"","family":"Konstantinou","given":"Ioulia","non-dropping-particle":"","parse-names":false,"suffix":""},{"dropping-particle":"","family":"Weatherburn","given":"Amy","non-dropping-particle":"","parse-names":false,"suffix":""},{"dropping-particle":"","family":"Lennman","given":"Catherine","non-dropping-particle":"","parse-names":false,"suffix":""},{"dropping-particle":"","family":"Bosch","given":"Alba","non-dropping-particle":"","parse-names":false,"suffix":""},{"dropping-particle":"","family":"Brass","given":"Caroline Dulin","non-dropping-particle":"","parse-names":false,"suffix":""},{"dropping-particle":"","family":"Kokkinaki","given":"Christina Vasala","non-dropping-particle":"","parse-names":false,"suffix":""},{"dropping-particle":"","family":"Haskell","given":"Leslie","non-dropping-particle":"","parse-names":false,"suffix":""},{"dropping-particle":"","family":"(ICRC);","given":"International Committee of the Red Cross","non-dropping-particle":"","parse-names":false,"suffix":""},{"dropping-particle":"","family":"(VUB)","given":"Brussels Privacy Hub (BPH) an entity of Vrije Universiteit Brussel","non-dropping-particle":"","parse-names":false,"suffix":""}],"container-title":"ICRC","editor":[{"dropping-particle":"","family":"Kuner","given":"Christopher","non-dropping-particle":"","parse-names":false,"suffix":""},{"dropping-particle":"","family":"Marelli","given":"Massimo","non-dropping-particle":"","parse-names":false,"suffix":""}],"id":"ITEM-10","issued":{"date-parts":[["2017"]]},"number-of-pages":"164","publisher":"International Committee of the Red Cross (ICRC); Brussels Privacy Hub (BPH) an entity of Vrije Universiteit Brussel (VUB)","title":"Handbook on Data Protection in Humanitarian Action","type":"report"},"uris":["http://www.mendeley.com/documents/?uuid=24f23381-a14d-484c-8e30-8ddf7c69bb50"]}],"mendeley":{"formattedCitation":"(Chatterjee &amp; Ravichandran, 2013; Hansen &amp; Porter, 2017; Lycett &amp; Monaghan, 2013; Marelli et al., 2017; Provan &amp; Kenis, 2008; Riddell, 2008; Stephenson, 2005; The Lancet, 2010; United Nations, 2015d; van den Broek &amp; van Veenstra, 2018)","plainTextFormattedCitation":"(Chatterjee &amp; Ravichandran, 2013; Hansen &amp; Porter, 2017; Lycett &amp; Monaghan, 2013; Marelli et al., 2017; Provan &amp; Kenis, 2008; Riddell, 2008; Stephenson, 2005; The Lancet, 2010; United Nations, 2015d; van den Broek &amp; van Veenstra, 2018)","previouslyFormattedCitation":"(Chatterjee &amp; Ravichandran, 2013; Hansen &amp; Porter, 2017; Lycett &amp; Monaghan, 2013; Marelli et al., 2017; Provan &amp; Kenis, 2008; Riddell, 2008; Stephenson, 2005; The Lancet, 2010; United Nations, 2015d; van den Broek &amp; van Veenstra, 2018)"},"properties":{"noteIndex":0},"schema":"https://github.com/citation-style-language/schema/raw/master/csl-citation.json"}</w:instrText>
            </w:r>
            <w:r w:rsidRPr="00334D11">
              <w:rPr>
                <w:rFonts w:cstheme="minorHAnsi"/>
                <w:noProof/>
                <w:sz w:val="18"/>
                <w:szCs w:val="18"/>
              </w:rPr>
              <w:fldChar w:fldCharType="separate"/>
            </w:r>
            <w:r w:rsidRPr="00334D11">
              <w:rPr>
                <w:rFonts w:cstheme="minorHAnsi"/>
                <w:noProof/>
                <w:sz w:val="18"/>
                <w:szCs w:val="18"/>
              </w:rPr>
              <w:t>(Chatterjee &amp; Ravichandran, 2013; Hansen &amp; Porter, 2017; Lycett &amp; Monaghan, 2013; Marelli et al., 2017; Provan &amp; Kenis, 2008; Riddell, 2008; Stephenson, 2005; The Lancet, 2010; United Nations, 2015d; van den Broek &amp; van Veenstra, 2018)</w:t>
            </w:r>
            <w:r w:rsidRPr="00334D11">
              <w:rPr>
                <w:rFonts w:cstheme="minorHAnsi"/>
                <w:noProof/>
                <w:sz w:val="18"/>
                <w:szCs w:val="18"/>
              </w:rPr>
              <w:fldChar w:fldCharType="end"/>
            </w:r>
          </w:p>
        </w:tc>
      </w:tr>
      <w:tr w:rsidR="00334D11" w:rsidRPr="00334D11" w14:paraId="328EBE88" w14:textId="77777777" w:rsidTr="007E319C">
        <w:trPr>
          <w:jc w:val="center"/>
        </w:trPr>
        <w:tc>
          <w:tcPr>
            <w:tcW w:w="0" w:type="auto"/>
            <w:shd w:val="clear" w:color="auto" w:fill="F2F2F2" w:themeFill="background1" w:themeFillShade="F2"/>
          </w:tcPr>
          <w:p w14:paraId="51991794" w14:textId="77777777" w:rsidR="00334D11" w:rsidRPr="00334D11" w:rsidRDefault="00334D11" w:rsidP="007E319C">
            <w:pPr>
              <w:pStyle w:val="NoSpacing"/>
              <w:keepNext/>
              <w:keepLines/>
              <w:spacing w:before="120" w:after="120"/>
              <w:jc w:val="center"/>
              <w:rPr>
                <w:rFonts w:cstheme="minorHAnsi"/>
                <w:b/>
                <w:sz w:val="18"/>
                <w:szCs w:val="18"/>
              </w:rPr>
            </w:pPr>
            <w:r w:rsidRPr="00334D11">
              <w:rPr>
                <w:rFonts w:cstheme="minorHAnsi"/>
                <w:b/>
                <w:sz w:val="18"/>
                <w:szCs w:val="18"/>
              </w:rPr>
              <w:t>2</w:t>
            </w:r>
          </w:p>
        </w:tc>
        <w:tc>
          <w:tcPr>
            <w:tcW w:w="2700" w:type="dxa"/>
            <w:shd w:val="clear" w:color="auto" w:fill="auto"/>
          </w:tcPr>
          <w:p w14:paraId="792A62E7"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b/>
                <w:sz w:val="18"/>
                <w:szCs w:val="18"/>
                <w:u w:val="single"/>
              </w:rPr>
              <w:t>Evaluating Data Veracity</w:t>
            </w:r>
          </w:p>
          <w:p w14:paraId="6A212576"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sz w:val="18"/>
                <w:szCs w:val="18"/>
              </w:rPr>
              <w:t>The veracity of data assets requires transparent evaluation if trust is to be established and maintained.</w:t>
            </w:r>
          </w:p>
        </w:tc>
        <w:tc>
          <w:tcPr>
            <w:tcW w:w="616" w:type="dxa"/>
            <w:shd w:val="clear" w:color="auto" w:fill="F2F2F2" w:themeFill="background1" w:themeFillShade="F2"/>
            <w:vAlign w:val="center"/>
          </w:tcPr>
          <w:p w14:paraId="14A70F4A" w14:textId="77777777" w:rsidR="00334D11" w:rsidRPr="00334D11" w:rsidRDefault="00334D11" w:rsidP="007E319C">
            <w:pPr>
              <w:pStyle w:val="Text01"/>
              <w:jc w:val="center"/>
              <w:rPr>
                <w:rFonts w:cstheme="minorHAnsi"/>
                <w:b/>
                <w:bCs/>
                <w:sz w:val="28"/>
                <w:szCs w:val="28"/>
              </w:rPr>
            </w:pPr>
            <w:r w:rsidRPr="00334D11">
              <w:rPr>
                <w:rFonts w:ascii="Segoe UI Symbol" w:eastAsia="MS Gothic" w:hAnsi="Segoe UI Symbol" w:cs="Segoe UI Symbol"/>
                <w:b/>
                <w:bCs/>
                <w:sz w:val="28"/>
                <w:szCs w:val="28"/>
              </w:rPr>
              <w:t>✓</w:t>
            </w:r>
          </w:p>
        </w:tc>
        <w:tc>
          <w:tcPr>
            <w:tcW w:w="0" w:type="auto"/>
            <w:shd w:val="clear" w:color="auto" w:fill="F2F2F2" w:themeFill="background1" w:themeFillShade="F2"/>
            <w:vAlign w:val="center"/>
          </w:tcPr>
          <w:p w14:paraId="6802412E" w14:textId="77777777" w:rsidR="00334D11" w:rsidRPr="00334D11" w:rsidRDefault="00334D11" w:rsidP="007E319C">
            <w:pPr>
              <w:pStyle w:val="Text01"/>
              <w:jc w:val="center"/>
              <w:rPr>
                <w:rFonts w:cstheme="minorHAnsi"/>
                <w:b/>
                <w:bCs/>
                <w:sz w:val="18"/>
              </w:rPr>
            </w:pPr>
            <w:r w:rsidRPr="00334D11">
              <w:rPr>
                <w:rFonts w:ascii="Segoe UI Symbol" w:eastAsia="MS Gothic" w:hAnsi="Segoe UI Symbol" w:cs="Segoe UI Symbol"/>
                <w:b/>
                <w:bCs/>
                <w:sz w:val="28"/>
                <w:szCs w:val="28"/>
              </w:rPr>
              <w:t>✓</w:t>
            </w:r>
          </w:p>
        </w:tc>
        <w:tc>
          <w:tcPr>
            <w:tcW w:w="0" w:type="auto"/>
            <w:shd w:val="clear" w:color="auto" w:fill="auto"/>
          </w:tcPr>
          <w:p w14:paraId="398B5D80" w14:textId="77777777" w:rsidR="00334D11" w:rsidRPr="00334D11" w:rsidRDefault="00334D11" w:rsidP="00334D11">
            <w:pPr>
              <w:keepNext/>
              <w:keepLines/>
              <w:spacing w:after="120" w:line="240" w:lineRule="auto"/>
              <w:rPr>
                <w:rFonts w:cstheme="minorHAnsi"/>
                <w:noProof/>
                <w:sz w:val="18"/>
                <w:szCs w:val="18"/>
              </w:rPr>
            </w:pPr>
            <w:r w:rsidRPr="00334D11">
              <w:rPr>
                <w:rFonts w:cstheme="minorHAnsi"/>
                <w:noProof/>
                <w:sz w:val="18"/>
                <w:szCs w:val="18"/>
              </w:rPr>
              <w:fldChar w:fldCharType="begin" w:fldLock="1"/>
            </w:r>
            <w:r w:rsidRPr="00334D11">
              <w:rPr>
                <w:rFonts w:cstheme="minorHAnsi"/>
                <w:noProof/>
                <w:sz w:val="18"/>
                <w:szCs w:val="18"/>
              </w:rPr>
              <w:instrText>ADDIN CSL_CITATION {"citationItems":[{"id":"ITEM-1","itemData":{"abstract":"This paper argues that big data can possess different characteristics, which affect its quality. Depending on its origin, data processing technologies, and methodologies used for data collection and scientific discoveries, big data can have biases, ambiguities, and inaccuracies which need to be identified and accounted for to reduce inference errors and improve the accuracy of generated insights. Big data veracity is now being recognized as a necessary property for its utilization, complementing the three previously established quality dimensions (volume, variety, and velocity), But there has been little discussion of the concept of veracity thus far. This paper provides a roadmap for theoretical and empirical definitions of veracity along with its practical implications. We explore veracity across three main dimensions: 1) objectivity/subjectivity, 2) truthfulness/deception, 3) credibility/implausibility – and propose to operationalize each of these dimensions with either existing computational tools or potential ones, relevant particularly to textual data analytics. We combine the measures of veracity dimensions into one composite index – the big data veracity index. This newly developed veracity index provides a useful way of assessing systematic variations in big data quality across datasets with textual information. The paper contributes to the big data research by categorizing the range of existing tools to measure the suggested dimensions, and to Library and Information Science (LIS) by proposing to account for heterogeneity of diverse big data, and to identify information quality dimensions important for each big data type.","author":[{"dropping-particle":"","family":"Lukoianova","given":"Tatiana","non-dropping-particle":"","parse-names":false,"suffix":""},{"dropping-particle":"","family":"Rubin","given":"Victoria L","non-dropping-particle":"","parse-names":false,"suffix":""}],"container-title":"Advances in Classification Research Online; 24th ASIS SIG/CR Classification Research Workshop","id":"ITEM-1","issue":"1","issued":{"date-parts":[["2014"]]},"page":"4-15","title":"Veracity Roadmap: Is Big Data Objective, Truthful and Credible?","type":"article-journal","volume":"24"},"uris":["http://www.mendeley.com/documents/?uuid=61208801-99d6-4728-ad63-6ce0ba5f7570"]},{"id":"ITEM-2","itemData":{"DOI":"10.1002/meet.14504901350","ISBN":"0044-7870","abstract":"Abstract This paper extends information quality (IQ) assessment methodology by arguing that veracity/deception should be one of the components of intrinsic IQ dimensions. Since veracity/deception differs contextually from accuracy and other well-studied components of intrinsic IQ, the inclusion of veracity/deception in the set of IQ dimensions has its own contribution to the assessment and improvement of IQ. Recently developed software to detect deception in textual information represents the ready-to-use IQ assessment (IQA) instruments. The focus of the paper is on the specific IQ problem related to deceptive messages and affected information activities as well as IQA instruments (or tools) of detecting deception to improve IQ. In particular, the methodology of automated deception detection in written communication provides the basis for measuring veracity/deception dimension and demonstrates no overlap with other intrinsic IQ dimensions. Considering several known deception types (such as falsification, concealment and equivocation), we emphasize that the IQA deception tools are primarily suitable for falsification. Certain types of deception strategies cannot be spotted automatically with the existing IQA instruments based on underlying linguistic differences between truth-tellers and liars. We propose the potential avenues for the future development of the automated instruments to detect deception taking into account the theoretical, methodological and practical aspects and needs. Blending multidisciplinary research on Deception Detection with the one on IQ in Library and Information Science (LIS) and Management Information Systems (MIS), the paper contributes to IQA and its improvement by adding one more dimension, veracity/deception, to intrinsic IQ.","author":[{"dropping-particle":"","family":"Rubin","given":"Victoria L","non-dropping-particle":"","parse-names":false,"suffix":""},{"dropping-particle":"","family":"Vashchilko","given":"Tatiana","non-dropping-particle":"","parse-names":false,"suffix":""}],"container-title":"Proceedings of the American Society for Information Science and Technology","id":"ITEM-2","issue":"1","issued":{"date-parts":[["2012"]]},"page":"1-6","publisher":"John Wiley &amp; Sons, Ltd","title":"Extending information quality assessment methodology: A new veracity/deception dimension and its measures","type":"article-journal","volume":"49"},"uris":["http://www.mendeley.com/documents/?uuid=fbea1e94-3c89-4294-b53c-5f36769b3ff6"]},{"id":"ITEM-3","itemData":{"DOI":"10.1080/1369118X.2012.678878","ISSN":"1369-118X","abstract":"Exploiting vast new fl ows of information can radically improve your company’s performance. But fi rst you’ll have to change your decision-making culture.","author":[{"dropping-particle":"","family":"Boyd","given":"Danah","non-dropping-particle":"","parse-names":false,"suffix":""},{"dropping-particle":"","family":"Crawford","given":"Kate","non-dropping-particle":"","parse-names":false,"suffix":""}],"container-title":"Information, Communication &amp; Society","id":"ITEM-3","issue":"5","issued":{"date-parts":[["2012"]]},"page":"662-679","title":"Critical Questions for Big Data","type":"article-journal","volume":"15"},"uris":["http://www.mendeley.com/documents/?uuid=a1dcd36e-6177-44ae-9c58-bfedf1bac1ed"]},{"id":"ITEM-4","itemData":{"DOI":"10.1111/isj.12088","ISBN":"13501917","PMID":"111872724","abstract":"The 'big data' literature, academic as well as professional, has a very strong focus on opportunities. Far less attention has been paid to the threats that arise from repurposing data, consolidating data from multiple sources, applying analytical tools to the resulting collections, drawing inferences, and acting on them. On the basis of a review of quality factors in 'big data' and 'big data analytics', illustrated by means of scenario analysis, this paper draws attention to the moral and legal responsibility of computing researchers and professionals to temper their excitement, and apply reality checks to their promotional activities. [ABSTRACT FROM AUTHOR] Copyright of Information Systems Journal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Abstracts.)","author":[{"dropping-particle":"","family":"Clarke","given":"Roger","non-dropping-particle":"","parse-names":false,"suffix":""}],"container-title":"Information Systems Journal","id":"ITEM-4","issue":"1","issued":{"date-parts":[["2016"]]},"note":"Clarke, Roger 1,2,3; Affiliations: 1: Xamax Consultancy Pty Ltd; 2: Research School of Computer Science, ANU; 3: UNSW Law; Issue Info: Jan2016, Vol. 26 Issue 1, p77; Thesaurus Term: Software analytics; Thesaurus Term: Information technology industry; Subject Term: Big data; Subject Term: Data quality; Subject Term: Social impact assessment; Subject Term: Information storage &amp;amp; retrieval systems -- Periodicals; Author-Supplied Keyword: data quality; Author-Supplied Keyword: decision quality; Author-Supplied Keyword: impact assessment; Author-Supplied Keyword: scenario analysis; Number of Pages: 14p; Illustrations: 2 Charts; Document Type: Article","page":"77-90","publisher":"Wiley-Blackwell","title":"Big data, big risks","type":"article-journal","volume":"26"},"uris":["http://www.mendeley.com/documents/?uuid=c5b05beb-288f-4922-bdbe-b127b4e0ccf1"]},{"id":"ITEM-5","itemData":{"author":[{"dropping-particle":"","family":"D'Mello","given":"Noah","non-dropping-particle":"","parse-names":false,"suffix":""}],"container-title":"CIO","id":"ITEM-5","issued":{"date-parts":[["2016"]]},"language":"English","publisher":"IDG","title":"5 cases where big data was a big flop","type":"article-magazine"},"uris":["http://www.mendeley.com/documents/?uuid=19b9c66a-d070-41f2-a57a-3fc8a1cf3a1a"]},{"id":"ITEM-6","itemData":{"ISBN":"Print: 9781627057714; Ebook: 9781627057721","abstract":"The evolution of the Web from a technology platform to a social ecosystem has resulted in unprecedented data volumes being continuously generated, exchanged, and consumed. Usergenerated content on the Web is massive, highly dynamic, and characterized by a combination of factual data and opinion data. False information, rumors, and fake contents across multiple sources can be easily spread, making it hard to distinguish between what is true and what is not. Truth discovery also called fact-checking has recently gained lot of interest in Data Science communities. Ascertaining the veracity of data and understanding the dynamics of misinformation in the Web are two interdependent challenges for researchers and practitioners in Databases, Information Retrieval, and Knowledge Management. This book explores the progress that has been made in discovering truth, checking facts, and modeling the propagation of falsified and distorted information in the context of Big Data. We will review in details current models, algorithms, and techniques proposed by various research communities in Complex System Modeling, Data Management, and Knowledge Discovery, for ascertaining the veracity of data in a dynamic world. Finally, this book will identify a wide range of open problems and research directions for discovering truth from falsehood(s) in the Web Data and understanding the evolution and propagation of information source trustworthiness.","author":[{"dropping-particle":"","family":"Berti-Equille","given":"Laure","non-dropping-particle":"","parse-names":false,"suffix":""},{"dropping-particle":"","family":"Borge-Holthoefer","given":"Javier","non-dropping-particle":"","parse-names":false,"suffix":""}],"chapter-number":"1","container-title":"Synthesis Lectures on Data Management","id":"ITEM-6","issued":{"date-parts":[["2015"]]},"page":"1 - 9","publisher":"Morgan &amp; Claypool","title":"Veracity of data: From truth discovery computation algorithms to models of misinformation dynamics","type":"chapter"},"uris":["http://www.mendeley.com/documents/?uuid=05e2c5aa-d719-48c3-9b81-ae983eb73002"]},{"id":"ITEM-7","itemData":{"DOI":"10.1145/2935753","ISBN":"1936-1955","author":[{"dropping-particle":"","family":"Berti-Equille","given":"Laure","non-dropping-particle":"","parse-names":false,"suffix":""},{"dropping-particle":"","family":"Lamine Ba","given":"Mouhamadou","non-dropping-particle":"","parse-names":false,"suffix":""}],"container-title":"Journal of Data and Information Quality (JDIQ)","id":"ITEM-7","issue":"3","issued":{"date-parts":[["2016"]]},"page":"1-3","title":"Veracity of Big Data: Challenges of Cross-Modal Truth Discovery","type":"article-journal","volume":"7"},"uris":["http://www.mendeley.com/documents/?uuid=de47328d-21cb-4ffe-8bd7-e95fe29bec97"]},{"id":"ITEM-8","itemData":{"URL":"http://www-05.ibm.com/fr/events/netezzaDM_2012/Solutions_Big_Data.pdf","author":[{"dropping-particle":"","family":"Claverie-Berge","given":"Isabelle","non-dropping-particle":"","parse-names":false,"suffix":""}],"container-title":"Netezza","editor":[{"dropping-particle":"","family":"IBM","given":"","non-dropping-particle":"","parse-names":false,"suffix":""}],"id":"ITEM-8","issue":"03 March 2017","issued":{"date-parts":[["2012"]]},"language":"English","page":"17","publisher":"IBM","publisher-place":"On-line","title":"Solutions Big Data","type":"webpage","volume":"2017"},"uris":["http://www.mendeley.com/documents/?uuid=759062c6-49c4-4825-8090-2733eb9a1dd5"]},{"id":"ITEM-9","itemData":{"URL":"http://insidebigdata.com/2013/09/12/beyond-volume-variety-velocity-issue-big-data-veracity/","author":[{"dropping-particle":"","family":"Normandeau","given":"Kevin","non-dropping-particle":"","parse-names":false,"suffix":""}],"container-title":"InsideBigData","editor":[{"dropping-particle":"","family":"InsideBigData","given":"","non-dropping-particle":"","parse-names":false,"suffix":""}],"id":"ITEM-9","issue":"01 March 2017","issued":{"date-parts":[["2013"]]},"language":"English","page":"Website about Machine Learning and Deep Learning","publisher":"InsideBigData","publisher-place":"on-line","title":"Beyond Volume, Variety and Velocity is the Issue of Big Data Veracity","type":"webpage","volume":"2017"},"uris":["http://www.mendeley.com/documents/?uuid=ad5816e9-bd7a-4dd6-ab3f-b32be175a942"]},{"id":"ITEM-10","itemData":{"author":[{"dropping-particle":"","family":"Schroeck","given":"M","non-dropping-particle":"","parse-names":false,"suffix":""}],"container-title":"IBM Institute for Business Value","id":"ITEM-10","issued":{"date-parts":[["2012"]]},"title":"Analytics: the real-world use of Big Data. How innovative enterprises extract value from uncertain data. IBM Global Business Services","type":"report"},"uris":["http://www.mendeley.com/documents/?uuid=39f4bf11-14f3-4020-9a36-8eb0223a5fbe"]},{"id":"ITEM-11","itemData":{"DOI":"10.1016/s0378-7206(02)00043-5","ISBN":"0378-7206","abstract":"Information quality (IQ) is critical in organizations. Yet, despite a decade of active research and practice, the field lacks comprehensive methodologies for its assessment and improvement. Here, we develop such a methodology, which we call AIM quality (AIMQ) to form a basis for IQ assessment and benchmarking. The methodology is illustrated through its application to five major organizations. The methodology encompasses a model of IQ, a questionnaire to measure IQ, and analysis techniques for interpreting the IQ measures. We develop and validate the questionnaire and use it to collect data on the status of organizational IQ. These data are used to assess and benchmark IQ for four quadrants of the model. These analysis techniques are applied to analyze the gap between an organization and best practices. They are also applied to analyze gaps between IS professionals and information consumers. The results of the techniques are useful for determining the best area for IQ improvement activities.","author":[{"dropping-particle":"","family":"Lee","given":"Yang W","non-dropping-particle":"","parse-names":false,"suffix":""},{"dropping-particle":"","family":"Strong","given":"Diane M","non-dropping-particle":"","parse-names":false,"suffix":""},{"dropping-particle":"","family":"Kahn","given":"Beverly K","non-dropping-particle":"","parse-names":false,"suffix":""},{"dropping-particle":"","family":"Wang","given":"Richard Y","non-dropping-particle":"","parse-names":false,"suffix":""}],"container-title":"Information Management","id":"ITEM-11","issue":"2","issued":{"date-parts":[["2002"]]},"page":"133-146","title":"AIMQ: a methodology for information quality assessment","type":"article-journal","volume":"40"},"uris":["http://www.mendeley.com/documents/?uuid=6d1e60d4-931f-4716-9776-187d3f5eec79"]},{"id":"ITEM-12","itemData":{"DOI":"10.1145/253769.253804","ISBN":"0001-0782","author":[{"dropping-particle":"","family":"Strong","given":"Diane M","non-dropping-particle":"","parse-names":false,"suffix":""},{"dropping-particle":"","family":"Lee","given":"Yang W","non-dropping-particle":"","parse-names":false,"suffix":""},{"dropping-particle":"","family":"Wang","given":"Richard Y","non-dropping-particle":"","parse-names":false,"suffix":""}],"container-title":"Commun. ACM","id":"ITEM-12","issue":"5","issued":{"date-parts":[["1997"]]},"page":"103-110","title":"Data Quality in Context","type":"article-journal","volume":"40"},"uris":["http://www.mendeley.com/documents/?uuid=8a625dcd-bf08-4d79-a7bd-5f8ff387c48c"]},{"id":"ITEM-13","itemData":{"DOI":"10.1145/240455.240479","ISBN":"0001-0782","author":[{"dropping-particle":"","family":"Wand","given":"Yair","non-dropping-particle":"","parse-names":false,"suffix":""},{"dropping-particle":"","family":"Wang","given":"Richard","non-dropping-particle":"","parse-names":false,"suffix":""}],"container-title":"Communications of the ACM","id":"ITEM-13","issue":"11","issued":{"date-parts":[["1996"]]},"page":"86-95","title":"Anchoring data quality dimensions in ontological foundations","type":"article-journal","volume":"39"},"uris":["http://www.mendeley.com/documents/?uuid=afe56e73-c1cd-4439-a20a-10118b94678e"]},{"id":"ITEM-14","itemData":{"DOI":"10.1080/07421222.1996.11518099","ISBN":"0742-1222","abstract":"Abstract: Poor data quality (DQ) can have substantial social and economic impacts. Although firms are improving data quality with practical approaches and tools, their improvement efforts tend to focus narrowly on accuracy. We believe that data consumers have a much broader data quality conceptualization than IS professionals realize. The purpose of this paper is to develop a framework that captures the aspects of data quality that are important to data consumers. Intrinsic DQContextual DQRepresentational DQaccessibility DQ A two-stage survey and a two-phase sorting study were conducted to develop a hierarchical framework for organizing data quality dimensions. This framework captures dimensions of data quality that are important to data consumers. Intrinsic DQ denotes that data have quality in their own right. Contextual DQ highlights the requirement that data quality must be considered within the context ofthe task at hand. Representational DQ and accessibility DQ emphasize the importance of the role of systems. These findings are consistent with our understanding that high-quality data should be intrinsically good, contextually appropriate for the task, clearly represented, and accessible to the data consumer. Our framework has been used effectively in industry and government. Using this framework, IS managers were able to better understand and meet their data consumers’ data quality needs. The salient feature of this research study is that quality attributes of data are collected from data consumers instead of being defined theoretically or based on researchers’ experience. Although exploratory, this research provides a basis for future studies that measure data quality along the dimensions of this framework.","author":[{"dropping-particle":"","family":"Wang","given":"Richard Y","non-dropping-particle":"","parse-names":false,"suffix":""},{"dropping-particle":"","family":"Strong","given":"Diane M","non-dropping-particle":"","parse-names":false,"suffix":""}],"container-title":"Journal of Management Information Systems","id":"ITEM-14","issue":"4","issued":{"date-parts":[["1996"]]},"page":"5-33","publisher":"Routledge","title":"Beyond Accuracy: What Data Quality Means to Data Consumers","type":"article-journal","volume":"12"},"uris":["http://www.mendeley.com/documents/?uuid=5b3a76af-470a-4375-8078-2480a1709560"]},{"id":"ITEM-15","itemData":{"URL":"http://www.informationweek.com/big-data/big-data-analytics/big-data-avoid-wanna-v-confusion/d/d-id/1111077","accessed":{"date-parts":[["2017","3","3"]]},"author":[{"dropping-particle":"","family":"Grimes","given":"Seth","non-dropping-particle":"","parse-names":false,"suffix":""}],"container-title":"InformationWeek","editor":[{"dropping-particle":"","family":"Week","given":"Information","non-dropping-particle":"","parse-names":false,"suffix":""}],"id":"ITEM-15","issue":"8 August 2013","issued":{"date-parts":[["2013"]]},"language":"English","publisher":"Information Week","publisher-place":"On-line","title":"Big Data: Avoid 'Wanna V' Confusion","type":"webpage"},"uris":["http://www.mendeley.com/documents/?uuid=b98db55f-0ac1-4a4b-ac9d-3405c63c6c0b"]},{"id":"ITEM-16","itemData":{"URL":"http://blogs.gartner.com/doug-laney/batman-on-big-data/","accessed":{"date-parts":[["2017","3","1"]]},"author":[{"dropping-particle":"","family":"Laney","given":"Doug","non-dropping-particle":"","parse-names":false,"suffix":""}],"container-title":"Gartner Blog Network","editor":[{"dropping-particle":"","family":"Gartner","given":"","non-dropping-particle":"","parse-names":false,"suffix":""}],"id":"ITEM-16","issue":"01 Mar 2017","issued":{"date-parts":[["2013"]]},"language":"English","page":"Gartner Blog Network - Entry by Doug Laney (of 3V","publisher":"Gartner","publisher-place":"On-line","title":"Batman on Big Data","type":"webpage","volume":"2017"},"uris":["http://www.mendeley.com/documents/?uuid=d24a5898-5376-412e-8959-9c29b98ba2bb"]},{"id":"ITEM-17","itemData":{"DOI":"10.15453/2168-6408.1324","author":[{"dropping-particle":"","family":"Powers Dirette","given":"Diane","non-dropping-particle":"","parse-names":false,"suffix":""}],"container-title":"The Open Journal of Occupational Therapy","id":"ITEM-17","issue":"4","issued":{"date-parts":[["2016"]]},"page":"1-4","title":"Why the Veracity of Data Matters in Health Care Research","type":"article-journal","volume":"4"},"uris":["http://www.mendeley.com/documents/?uuid=4258868a-c989-4e87-a1d3-f61f83f82bb9"]}],"mendeley":{"formattedCitation":"(Berti-Equille &amp; Borge-Holthoefer, 2015; Berti-Equille &amp; Lamine Ba, 2016; Boyd &amp; Crawford, 2012b; Clarke, 2016; Claverie-Berge, 2012; D’Mello, 2016; Grimes, 2013; Laney, 2013; Lee et al., 2002; Lukoianova &amp; Rubin, 2014; Normandeau, 2013; Powers Dirette, 2016; Rubin &amp; Vashchilko, 2012; Schroeck, 2012; Strong et al., 1997; Wand &amp; Wang, 1996; R. Y. Wang &amp; Strong, 1996)","plainTextFormattedCitation":"(Berti-Equille &amp; Borge-Holthoefer, 2015; Berti-Equille &amp; Lamine Ba, 2016; Boyd &amp; Crawford, 2012b; Clarke, 2016; Claverie-Berge, 2012; D’Mello, 2016; Grimes, 2013; Laney, 2013; Lee et al., 2002; Lukoianova &amp; Rubin, 2014; Normandeau, 2013; Powers Dirette, 2016; Rubin &amp; Vashchilko, 2012; Schroeck, 2012; Strong et al., 1997; Wand &amp; Wang, 1996; R. Y. Wang &amp; Strong, 1996)","previouslyFormattedCitation":"(Berti-Equille &amp; Borge-Holthoefer, 2015; Berti-Equille &amp; Lamine Ba, 2016; Boyd &amp; Crawford, 2012b; Clarke, 2016; Claverie-Berge, 2012; D’Mello, 2016; Grimes, 2013; Laney, 2013; Lee et al., 2002; Lukoianova &amp; Rubin, 2014; Normandeau, 2013; Powers Dirette, 2016; Rubin &amp; Vashchilko, 2012; Schroeck, 2012; Strong et al., 1997; Wand &amp; Wang, 1996; R. Y. Wang &amp; Strong, 1996)"},"properties":{"noteIndex":0},"schema":"https://github.com/citation-style-language/schema/raw/master/csl-citation.json"}</w:instrText>
            </w:r>
            <w:r w:rsidRPr="00334D11">
              <w:rPr>
                <w:rFonts w:cstheme="minorHAnsi"/>
                <w:noProof/>
                <w:sz w:val="18"/>
                <w:szCs w:val="18"/>
              </w:rPr>
              <w:fldChar w:fldCharType="separate"/>
            </w:r>
            <w:r w:rsidRPr="00334D11">
              <w:rPr>
                <w:rFonts w:cstheme="minorHAnsi"/>
                <w:noProof/>
                <w:sz w:val="18"/>
                <w:szCs w:val="18"/>
              </w:rPr>
              <w:t>(Berti-Equille &amp; Borge-Holthoefer, 2015; Berti-Equille &amp; Lamine Ba, 2016; Boyd &amp; Crawford, 2012b; Clarke, 2016; Claverie-Berge, 2012; D’Mello, 2016; Grimes, 2013; Laney, 2013; Lee et al., 2002; Lukoianova &amp; Rubin, 2014; Normandeau, 2013; Powers Dirette, 2016; Rubin &amp; Vashchilko, 2012; Schroeck, 2012; Strong et al., 1997; Wand &amp; Wang, 1996; R. Y. Wang &amp; Strong, 1996)</w:t>
            </w:r>
            <w:r w:rsidRPr="00334D11">
              <w:rPr>
                <w:rFonts w:cstheme="minorHAnsi"/>
                <w:noProof/>
                <w:sz w:val="18"/>
                <w:szCs w:val="18"/>
              </w:rPr>
              <w:fldChar w:fldCharType="end"/>
            </w:r>
          </w:p>
        </w:tc>
      </w:tr>
      <w:tr w:rsidR="00334D11" w:rsidRPr="00334D11" w14:paraId="1462A6FF" w14:textId="77777777" w:rsidTr="007E319C">
        <w:trPr>
          <w:jc w:val="center"/>
        </w:trPr>
        <w:tc>
          <w:tcPr>
            <w:tcW w:w="0" w:type="auto"/>
            <w:shd w:val="clear" w:color="auto" w:fill="F2F2F2" w:themeFill="background1" w:themeFillShade="F2"/>
          </w:tcPr>
          <w:p w14:paraId="293048BD" w14:textId="77777777" w:rsidR="00334D11" w:rsidRPr="00334D11" w:rsidRDefault="00334D11" w:rsidP="007E319C">
            <w:pPr>
              <w:pStyle w:val="NoSpacing"/>
              <w:keepNext/>
              <w:keepLines/>
              <w:spacing w:before="120" w:after="120"/>
              <w:jc w:val="center"/>
              <w:rPr>
                <w:rFonts w:cstheme="minorHAnsi"/>
                <w:b/>
                <w:sz w:val="18"/>
                <w:szCs w:val="18"/>
              </w:rPr>
            </w:pPr>
            <w:r w:rsidRPr="00334D11">
              <w:rPr>
                <w:rFonts w:cstheme="minorHAnsi"/>
                <w:b/>
                <w:sz w:val="18"/>
                <w:szCs w:val="18"/>
              </w:rPr>
              <w:t>3</w:t>
            </w:r>
          </w:p>
        </w:tc>
        <w:tc>
          <w:tcPr>
            <w:tcW w:w="2700" w:type="dxa"/>
            <w:shd w:val="clear" w:color="auto" w:fill="auto"/>
          </w:tcPr>
          <w:p w14:paraId="3C6352A0"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b/>
                <w:sz w:val="18"/>
                <w:szCs w:val="18"/>
                <w:u w:val="single"/>
              </w:rPr>
              <w:t>Value and Data Privacy</w:t>
            </w:r>
          </w:p>
          <w:p w14:paraId="4965A768"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sz w:val="18"/>
                <w:szCs w:val="18"/>
              </w:rPr>
              <w:t xml:space="preserve">Mechanisms are required for addressing the conflict between value in the humanitarian domain and the privacy, </w:t>
            </w:r>
            <w:proofErr w:type="gramStart"/>
            <w:r w:rsidRPr="00334D11">
              <w:rPr>
                <w:rFonts w:cstheme="minorHAnsi"/>
                <w:sz w:val="18"/>
                <w:szCs w:val="18"/>
              </w:rPr>
              <w:t>autonomy</w:t>
            </w:r>
            <w:proofErr w:type="gramEnd"/>
            <w:r w:rsidRPr="00334D11">
              <w:rPr>
                <w:rFonts w:cstheme="minorHAnsi"/>
                <w:sz w:val="18"/>
                <w:szCs w:val="18"/>
              </w:rPr>
              <w:t xml:space="preserve"> and liberty of individuals</w:t>
            </w:r>
          </w:p>
        </w:tc>
        <w:tc>
          <w:tcPr>
            <w:tcW w:w="616" w:type="dxa"/>
            <w:shd w:val="clear" w:color="auto" w:fill="F2F2F2" w:themeFill="background1" w:themeFillShade="F2"/>
            <w:vAlign w:val="center"/>
          </w:tcPr>
          <w:p w14:paraId="5BD40E1B" w14:textId="77777777" w:rsidR="00334D11" w:rsidRPr="00334D11" w:rsidRDefault="00334D11" w:rsidP="007E319C">
            <w:pPr>
              <w:pStyle w:val="Text01"/>
              <w:jc w:val="center"/>
              <w:rPr>
                <w:rFonts w:cstheme="minorHAnsi"/>
                <w:b/>
                <w:bCs/>
                <w:sz w:val="28"/>
                <w:szCs w:val="28"/>
              </w:rPr>
            </w:pPr>
            <w:r w:rsidRPr="00334D11">
              <w:rPr>
                <w:rFonts w:ascii="Segoe UI Symbol" w:eastAsia="MS Gothic" w:hAnsi="Segoe UI Symbol" w:cs="Segoe UI Symbol"/>
                <w:b/>
                <w:bCs/>
                <w:sz w:val="28"/>
                <w:szCs w:val="28"/>
              </w:rPr>
              <w:t>✓</w:t>
            </w:r>
          </w:p>
        </w:tc>
        <w:tc>
          <w:tcPr>
            <w:tcW w:w="0" w:type="auto"/>
            <w:shd w:val="clear" w:color="auto" w:fill="auto"/>
          </w:tcPr>
          <w:p w14:paraId="712E0D07" w14:textId="77777777" w:rsidR="00334D11" w:rsidRPr="00334D11" w:rsidRDefault="00334D11" w:rsidP="007E319C">
            <w:pPr>
              <w:pStyle w:val="Text01"/>
              <w:jc w:val="center"/>
              <w:rPr>
                <w:rFonts w:cstheme="minorHAnsi"/>
              </w:rPr>
            </w:pPr>
          </w:p>
        </w:tc>
        <w:tc>
          <w:tcPr>
            <w:tcW w:w="0" w:type="auto"/>
            <w:shd w:val="clear" w:color="auto" w:fill="auto"/>
          </w:tcPr>
          <w:p w14:paraId="0EB6C2FA" w14:textId="77777777" w:rsidR="00334D11" w:rsidRPr="00334D11" w:rsidRDefault="00334D11" w:rsidP="00334D11">
            <w:pPr>
              <w:keepNext/>
              <w:keepLines/>
              <w:spacing w:after="120" w:line="240" w:lineRule="auto"/>
              <w:rPr>
                <w:rFonts w:cstheme="minorHAnsi"/>
                <w:noProof/>
                <w:sz w:val="18"/>
                <w:szCs w:val="18"/>
              </w:rPr>
            </w:pPr>
            <w:r w:rsidRPr="00334D11">
              <w:rPr>
                <w:rFonts w:cstheme="minorHAnsi"/>
                <w:noProof/>
                <w:sz w:val="18"/>
                <w:szCs w:val="18"/>
              </w:rPr>
              <w:fldChar w:fldCharType="begin" w:fldLock="1"/>
            </w:r>
            <w:r w:rsidRPr="00334D11">
              <w:rPr>
                <w:rFonts w:cstheme="minorHAnsi"/>
                <w:noProof/>
                <w:sz w:val="18"/>
                <w:szCs w:val="18"/>
              </w:rPr>
              <w:instrText>ADDIN CSL_CITATION {"citationItems":[{"id":"ITEM-1","itemData":{"author":[{"dropping-particle":"","family":"Ki-moon","given":"Ban","non-dropping-particle":"","parse-names":false,"suffix":""}],"container-title":"World Humanitarian Summit","id":"ITEM-1","issued":{"date-parts":[["2016"]]},"number-of-pages":"62","publisher-place":"New York","title":"One humanity: Shared responsibility (Report of the Secretary-General for the World Humanitarian Summit)","type":"report"},"suffix":" Paragraphs 58, 60, 80, 93, 120, 122–124, 128, 137, 150, 156 and Annexe pages 52, 56, 57–59","uris":["http://www.mendeley.com/documents/?uuid=c8f29af3-4680-4961-ae91-7362c0e66c48"]},{"id":"ITEM-2","itemData":{"DOI":"10.1108/ijlm-02-2017-0039","ISBN":"0957-4093","abstract":"Purpose The purpose of this paper is to understand how big data and predictive analytics (BDPA), as an organizational capability, can improve both visibility and coordination in humanitarian supply chains. Design/methodology/approach The authors conceptualize a research model grounded in contingent resource-based view where the authors propose that BDPA capabilities affect visibility and coordination under the moderating effect of swift trust. Using ordinary least squares regression, the authors test the hypotheses using survey data collected from informants at 205 international non-government organizations. Findings The results indicate that BDPA has a significant influence on visibility and coordination. Further, the results suggest that swift trust does not have an amplifying effect on the relationships between BDPA and visibility and coordination. However, the mediation test suggests that swift trust acts as a mediating construct. Hence, the authors argue that swift trust is not the condition for improving coordination among the actors in humanitarian supply chains. Research limitations/implications The major limitation of the study is that the authors have used cross-sectional survey data to test the research hypotheses. Following Guide and Ketokivi (2015), the authors present arguments on how to address the limitations of cross-sectional data or use of longitudinal data that can address common method bias or endogeneity-related problems. Practical implications Managers can use this framework to understand: first, how organizational resources can be used to create BDPA, and second, how BDPA can help build swift trust and be used to improve visibility and coordination in the humanitarian supply chain. Originality/value This is the first research that has empirically tested the anecdotal and conceptual evidence. The findings make notable contributions to existing humanitarian supply chain literature and may be useful to managers who are contemplating the use of BDPA to improve disaster-relief-related activities.","author":[{"dropping-particle":"","family":"Dubey","given":"Rameshwar","non-dropping-particle":"","parse-names":false,"suffix":""},{"dropping-particle":"","family":"Luo","given":"Zongwei","non-dropping-particle":"","parse-names":false,"suffix":""},{"dropping-particle":"","family":"Gunasekaran","given":"Angappa","non-dropping-particle":"","parse-names":false,"suffix":""},{"dropping-particle":"","family":"Akter","given":"Shahriar","non-dropping-particle":"","parse-names":false,"suffix":""},{"dropping-particle":"","family":"Hazen","given":"Benjamin T","non-dropping-particle":"","parse-names":false,"suffix":""},{"dropping-particle":"","family":"Douglas","given":"Matthew A","non-dropping-particle":"","parse-names":false,"suffix":""}],"container-title":"The International Journal of Logistics Management","id":"ITEM-2","issue":"2","issued":{"date-parts":[["2018"]]},"page":"485-512","publisher":"Emerald","title":"Big data and predictive analytics in humanitarian supply chains: Enabling visibility and coordination in the presence of swift trust","type":"article-journal","volume":"29"},"uris":["http://www.mendeley.com/documents/?uuid=6cc61482-69ed-4c51-a0d2-a70326eaf133"]},{"id":"ITEM-3","itemData":{"ISBN":"1479924024","author":[{"dropping-particle":"","family":"Lycett","given":"Mark","non-dropping-particle":"","parse-names":false,"suffix":""},{"dropping-particle":"","family":"Monaghan","given":"Asmat","non-dropping-particle":"","parse-names":false,"suffix":""}],"id":"ITEM-3","issued":{"date-parts":[["2013"]]},"page":"432-437","publisher":"IEEE","title":"Big data and humanitarian supply networks: Can Big Data give voice to the voiceless?","type":"paper-conference"},"uris":["http://www.mendeley.com/documents/?uuid=fa42d01b-39b4-470f-9395-25774349747b"]},{"id":"ITEM-4","itemData":{"DOI":"10.1111/poms.12840","ISBN":"1059-1478","abstract":"There has been a significant increase in the scale and scope of humanitarian efforts over the last decade. Humanitarian operations need to be?rapid, impactful, sustained, and efficient (RISE). Big data offers many opportunities to enable RISE humanitarian operations. In this study, we introduce the role of big data in humanitarian settings and discuss data streams which could be utilized to develop descriptive, prescriptive, and predictive models to significantly impact the lives of people in need.","author":[{"dropping-particle":"","family":"Swaminathan","given":"Jayashankar M","non-dropping-particle":"","parse-names":false,"suffix":""}],"container-title":"Production and Operations Management","id":"ITEM-4","issue":"9","issued":{"date-parts":[["2018"]]},"page":"1696-1700","publisher":"John Wiley &amp; Sons, Ltd (10.1111)","title":"Big Data Analytics for Rapid, Impactful, Sustained, and Efficient (RISE) Humanitarian Operations","type":"article-journal","volume":"27"},"uris":["http://www.mendeley.com/documents/?uuid=cd41d833-8104-4243-bf40-3ce11a8cc3ef"]},{"id":"ITEM-5","itemData":{"URL":"http://popstats.unhcr.org/en/overview","accessed":{"date-parts":[["2017","1","7"]]},"author":[{"dropping-particle":"","family":"UNHCR","given":"","non-dropping-particle":"","parse-names":false,"suffix":""}],"container-title":"Population Statistics","editor":[{"dropping-particle":"","family":"UNHCR","given":"","non-dropping-particle":"","parse-names":false,"suffix":""}],"id":"ITEM-5","issue":"07 January 2017","issued":{"date-parts":[["2017"]]},"language":"English","publisher":"UNHCR","publisher-place":"Geneva, Switzerland","title":"United Nations High Commissioner for Refugees (UNHCR), Population Statistics Database Overview","type":"webpage","volume":"2017"},"uris":["http://www.mendeley.com/documents/?uuid=dc49c7f4-f29a-43f7-9ea9-7352128195fb"]},{"id":"ITEM-6","itemData":{"URL":"http://vdc-sy.net/en/","accessed":{"date-parts":[["2016","7","10"]]},"container-title":"VDC-SY","editor":[{"dropping-particle":"","family":"VDC-SY","given":"","non-dropping-particle":"","parse-names":false,"suffix":""}],"id":"ITEM-6","issue":"10 July 2016","issued":{"date-parts":[["2016"]]},"language":"English","publisher":"VDC-SY","publisher-place":"Syria","title":"Violations Documentation Center in Syria","type":"webpage","volume":"2016"},"uris":["http://www.mendeley.com/documents/?uuid=ecb1a38d-9332-4995-8378-0219e4ab95ad"]},{"id":"ITEM-7","itemData":{"DOI":"10.1080/1369118X.2012.678878","ISSN":"1369-118X","abstract":"Exploiting vast new fl ows of information can radically improve your company’s performance. But fi rst you’ll have to change your decision-making culture.","author":[{"dropping-particle":"","family":"Boyd","given":"Danah","non-dropping-particle":"","parse-names":false,"suffix":""},{"dropping-particle":"","family":"Crawford","given":"Kate","non-dropping-particle":"","parse-names":false,"suffix":""}],"container-title":"Information, Communication &amp; Society","id":"ITEM-7","issue":"5","issued":{"date-parts":[["2012"]]},"page":"662-679","title":"Critical Questions for Big Data","type":"article-journal","volume":"15"},"uris":["http://www.mendeley.com/documents/?uuid=a1dcd36e-6177-44ae-9c58-bfedf1bac1ed"]},{"id":"ITEM-8","itemData":{"URL":"https://privacyinternational.org/feature/2237/sustainable-development-goals-identity-and-privacy-does-their-implementation-risk","accessed":{"date-parts":[["2019","7","1"]]},"author":[{"dropping-particle":"","family":"Privacy International","given":"","non-dropping-particle":"","parse-names":false,"suffix":""}],"container-title":"Privacy International","id":"ITEM-8","issued":{"date-parts":[["2018"]]},"publisher-place":"London. UK","title":"The Sustainable Development Goals, Identity, and Privacy: Does their implementation risk human rights? Identity and its Dimensions","type":"webpage"},"uris":["http://www.mendeley.com/documents/?uuid=0b36f64a-9063-4bbd-8721-3b268463f248"]},{"id":"ITEM-9","itemData":{"author":[{"dropping-particle":"","family":"Marelli","given":"Massimo","non-dropping-particle":"","parse-names":false,"suffix":""},{"dropping-particle":"","family":"Apraxine","given":"Pierre","non-dropping-particle":"","parse-names":false,"suffix":""},{"dropping-particle":"","family":"Bircher","given":"Romain","non-dropping-particle":"","parse-names":false,"suffix":""},{"dropping-particle":"","family":"Kuner","given":"Christopher","non-dropping-particle":"","parse-names":false,"suffix":""},{"dropping-particle":"","family":"Papakonstantinou","given":"Vagelis","non-dropping-particle":"","parse-names":false,"suffix":""},{"dropping-particle":"","family":"Jasmontaite","given":"Lina","non-dropping-particle":"","parse-names":false,"suffix":""},{"dropping-particle":"","family":"Konstantinou","given":"Ioulia","non-dropping-particle":"","parse-names":false,"suffix":""},{"dropping-particle":"","family":"Weatherburn","given":"Amy","non-dropping-particle":"","parse-names":false,"suffix":""},{"dropping-particle":"","family":"Lennman","given":"Catherine","non-dropping-particle":"","parse-names":false,"suffix":""},{"dropping-particle":"","family":"Bosch","given":"Alba","non-dropping-particle":"","parse-names":false,"suffix":""},{"dropping-particle":"","family":"Brass","given":"Caroline Dulin","non-dropping-particle":"","parse-names":false,"suffix":""},{"dropping-particle":"","family":"Kokkinaki","given":"Christina Vasala","non-dropping-particle":"","parse-names":false,"suffix":""},{"dropping-particle":"","family":"Haskell","given":"Leslie","non-dropping-particle":"","parse-names":false,"suffix":""},{"dropping-particle":"","family":"(ICRC);","given":"International Committee of the Red Cross","non-dropping-particle":"","parse-names":false,"suffix":""},{"dropping-particle":"","family":"(VUB)","given":"Brussels Privacy Hub (BPH) an entity of Vrije Universiteit Brussel","non-dropping-particle":"","parse-names":false,"suffix":""}],"container-title":"ICRC","editor":[{"dropping-particle":"","family":"Kuner","given":"Christopher","non-dropping-particle":"","parse-names":false,"suffix":""},{"dropping-particle":"","family":"Marelli","given":"Massimo","non-dropping-particle":"","parse-names":false,"suffix":""}],"id":"ITEM-9","issued":{"date-parts":[["2017"]]},"number-of-pages":"164","publisher":"International Committee of the Red Cross (ICRC); Brussels Privacy Hub (BPH) an entity of Vrije Universiteit Brussel (VUB)","title":"Handbook on Data Protection in Humanitarian Action","type":"report"},"uris":["http://www.mendeley.com/documents/?uuid=24f23381-a14d-484c-8e30-8ddf7c69bb50"]},{"id":"ITEM-10","itemData":{"URL":"https://play.acast.com/s/theeconomistbabbage/1481f4c7-5690-4f8f-8044-36c7c8818dd8","author":[{"dropping-particle":"","family":"Cukier","given":"Kenneth","non-dropping-particle":"","parse-names":false,"suffix":""}],"container-title":"Babbage, The Economist","editor":[{"dropping-particle":"","family":"Cukier","given":"Kenneth","non-dropping-particle":"","parse-names":false,"suffix":""}],"id":"ITEM-10","issued":{"date-parts":[["2019"]]},"publisher":"The Economist","title":"Babbage: Data to the rescue","type":"webpage"},"uris":["http://www.mendeley.com/documents/?uuid=7c5da995-7fae-44e2-ae7b-36d481138da1"]},{"id":"ITEM-11","itemData":{"author":[{"dropping-particle":"","family":"Nissenbaum","given":"Helen","non-dropping-particle":"","parse-names":false,"suffix":""}],"container-title":"Washington Law Review, Symposium - Technology, Values, and the Justice System","id":"ITEM-11","issued":{"date-parts":[["2004"]]},"language":"eng","page":"119-158","title":"Privacy as Contextual Integrity","type":"paper-conference","volume":"79"},"uris":["http://www.mendeley.com/documents/?uuid=d050c1ce-874f-42c8-8832-98629211605b"]},{"id":"ITEM-12","itemData":{"author":[{"dropping-particle":"","family":"Nissenbaum","given":"Helen","non-dropping-particle":"","parse-names":false,"suffix":""}],"id":"ITEM-12","issued":{"date-parts":[["2010"]]},"note":"Includes bibliographical references and index.","number-of-pages":"304","publisher":"Stanford, Calif. : Stanford Law","publisher-place":"Stanford, Calif.","title":"Privacy in context : technology, policy, and the integrity of social life","type":"book"},"uris":["http://www.mendeley.com/documents/?uuid=75e58cff-8b45-4d82-9346-daef87f7887a"]},{"id":"ITEM-13","itemData":{"ISBN":"1353-3452","author":[{"dropping-particle":"","family":"Nissenbaum","given":"Helen","non-dropping-particle":"","parse-names":false,"suffix":""}],"container-title":"Science and engineering ethics","id":"ITEM-13","issue":"3","issued":{"date-parts":[["2018"]]},"page":"831-852","publisher":"Springer","title":"Respecting context to protect privacy: Why meaning matters","type":"article-journal","volume":"24"},"uris":["http://www.mendeley.com/documents/?uuid=3844e6b3-5657-406e-9e9b-e561aa5f773c"]},{"id":"ITEM-14","itemData":{"URL":"https://www.unocha.org/publication/policy-briefs-studies/building-data-responsibility-humanitarian-action","abstract":"KEY MESSAGES • Affected populations can be helped as well as harmed by the use of data. Protecting vulnerable populations from harms posed by data use is the collective responsibility of the entire humanitarian data ecosystem. • The disclosure of sensitive personal and demographic data in the humanitarian space can lead to already vulnerable individuals and communities being further harmed or exploited. • Data responsibility goes beyond the concepts of “data privacy” and “data protection”. It entails a set of principles, processes and tools that seek to leverage data to improve people’s lives in a responsible manner. • Data responsibility can be achieved through a four-step process: 1. Evaluating the context and purpose within which data is being generated and shared 2. Taking inventory of the data and how it is stored 3. Pre-identifying risks and harms associated with a proposed use of data before data is collected 4. Developing strategies to mitigate those risks. • Minimum humanitarian standards for the responsible use of data should include: • Identifying the need: Data should never be used simply because they can be; the humanitarian need and potential benefits should be clear and defined. • Assessing core competencies: Humanitarian actors should identify what core competencies are needed to deploy a specific data-driven approach during a response, and only proceed if those competencies are available to them. • Managing risk to vulnerable populations: Humanitarians should identify risks and harms to individuals and communities before operations commence and adopt a plan to manage and mitigate those risks. • Adherence to legal and ethical standards: Practitioners are responsible for determining what legal and ethical standards apply to proposed applications of data in specific contexts, and for adhering to these to prevent potential violations of laws and rights. • Characteristics of humanitarian organizations that use data responsibly: • Responsibility as a process, not only a policy: Responsible use of data is an integrated and iterative set of processes with the necessary capacities to support them. • “Bright line” rules and “red button” responses: Organizations develop and adhere to clear rules before they deploy data-based interventions. They identify and plan to address moments requiring the immediate cessation of a project. • Transparency: Organizations intentionally capture and share information about their projects, critical incidents and sh…","accessed":{"date-parts":[["2019","7","1"]]},"author":[{"dropping-particle":"","family":"Raymond","given":"Nathaniel","non-dropping-particle":"","parse-names":false,"suffix":""},{"dropping-particle":"","family":"Achkar","given":"Ziad","non-dropping-particle":"Al","parse-names":false,"suffix":""},{"dropping-particle":"","family":"Verhulst","given":"Stefaan","non-dropping-particle":"","parse-names":false,"suffix":""},{"dropping-particle":"","family":"Berens","given":"Jos","non-dropping-particle":"","parse-names":false,"suffix":""},{"dropping-particle":"","family":"Barajas","given":"Lilian","non-dropping-particle":"","parse-names":false,"suffix":""},{"dropping-particle":"","family":"Easton","given":"Matthew","non-dropping-particle":"","parse-names":false,"suffix":""}],"container-title":"OCHA Policy and Studies Series","id":"ITEM-14","issued":{"date-parts":[["2016"]]},"page":"18","title":"Building data responsibility into humanitarian action","type":"webpage"},"uris":["http://www.mendeley.com/documents/?uuid=fd88cc1c-b46d-4cb2-91db-c6857f19d9c5"]},{"id":"ITEM-15","itemData":{"DOI":"10.1386/iscc.6.2.233_1","ISBN":"17572681","PMID":"103640257","abstract":"Twitter, Instagram and SMS messages have entered into the defining images and texts of humanitarian disasters, theoretically allowing survivors to play a role in the framing of such crises. Yet research suggests that both mainstream media and NGOs - whose symbiotic relationships traditionally framed such stories - have cloned and absorbed such content, potentially restricting whose voices are heard. Issues around privacy and copyright are yet to be resolved in the mainstream media, while NGOs have turned to western bloggers rather than beneficiaries to mediate their message. This article draws on around 50 semi-structured interviews with those whose content was used by UK mainstream media; journalists from the main broadcast and print outlets in the UK; and members of each of the thirteen UK Disaster Emergency Committee aid agencies who responded to recent crises including the 2011 Great East Japan earthquake. It aims to answer how voices of citizens in crises are being mediated and mediatized, and what issues the use of this content raise around contextual integrity of privacy. It concludes by examining whether NGOs' engagement online allows the voices of the marginalized to emerge. [ABSTRACT FROM AUTHOR] Copyright of Interactions: Studies in Communication &amp; Culture is the property of Intellect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Abstracts.)","author":[{"dropping-particle":"","family":"Cooper","given":"Glenda","non-dropping-particle":"","parse-names":false,"suffix":""}],"container-title":"Interactions: Studies in Communication &amp; Culture","id":"ITEM-15","issue":"2","issued":{"date-parts":[["2015"]]},"note":"Cooper, Glenda 1; Affiliations: 1 : City University London; Source Info: Jul2015, Vol. 6 Issue 2, p233; Thesaurus Term: Tags (Metadata); Thesaurus Term: Nongovernmental organizations; Thesaurus Term: Blogs; Thesaurus Term: Journalists; Subject Term: Hurricanes; Subject Term: Disasters; Author-Supplied Keyword: disasters; Author-Supplied Keyword: humanitarian crises; Author-Supplied Keyword: journalist; Author-Supplied Keyword: NGOs; Author-Supplied Keyword: social media; Author-Supplied Keyword: Twitter; Author-Supplied Keyword: user-generated content; Number of Pages: 12p; Document Type: Article","page":"233-244","publisher":"Intellect Ltd.","title":"Hurricanes and hashtags: How the media and NGOs treat citizens' voices online in humanitarian emergencies","type":"article-journal","volume":"6"},"uris":["http://www.mendeley.com/documents/?uuid=020042d1-af94-4370-a832-aadbd6d049c5"]},{"id":"ITEM-16","itemData":{"URL":"https://sustainabledevelopment.un.org/sdg16","author":[{"dropping-particle":"","family":"United Nations","given":"","non-dropping-particle":"","parse-names":false,"suffix":""}],"container-title":"United Nations","editor":[{"dropping-particle":"","family":"Nations","given":"United","non-dropping-particle":"","parse-names":false,"suffix":""}],"id":"ITEM-16","issued":{"date-parts":[["2015"]]},"publisher-place":"On-line","title":"Sustainable Development Goal 16: Peace, Justice and Strong Institutions","type":"webpage"},"uris":["http://www.mendeley.com/documents/?uuid=ff6fbbd9-55b5-41eb-aa68-12e310356e51"]},{"id":"ITEM-17","itemData":{"DOI":"10.1080/01972243.2018.1542648","ISBN":"0197-2243","abstract":"AbstractPervasive digitization and aggregation of personal health information (PHI), along with artificial intelligence (AI) and other advanced analytical techniques, hold promise of improved health and healthcare services. These advances also pose significant data governance challenges for ensuring value for individual, organizational, and societal stakeholders as well as individual privacy and autonomy. Through a case study of a controversial public-private partnership between Royal Free Trust, a National Health Service hospital system in the United Kingdom, and Alphabet?s AI venture DeepMind Health, we investigate how forms of data governance were adapted, as PHI data flowed into new use contexts, to address concerns of contextual integrity, which is violated when personal information collected in one use context moves to another use context with different norms of appropriateness.","author":[{"dropping-particle":"","family":"Winter","given":"Jenifer Sunrise","non-dropping-particle":"","parse-names":false,"suffix":""},{"dropping-particle":"","family":"Davidson","given":"Elizabeth","non-dropping-particle":"","parse-names":false,"suffix":""}],"container-title":"The Information Society","id":"ITEM-17","issue":"1","issued":{"date-parts":[["2019"]]},"page":"36-51","publisher":"Routledge","title":"Big data governance of personal health information and challenges to contextual integrity","type":"article-journal","volume":"35"},"uris":["http://www.mendeley.com/documents/?uuid=ff200894-76df-4e18-ad5b-4b9c011ee799"]}],"mendeley":{"formattedCitation":"(Boyd &amp; Crawford, 2012b; Cooper, 2015; Cukier, 2019; Dubey et al., 2018; Ki-moon, 2016 Paragraphs 58, 60, 80, 93, 120, 122–124, 128, 137, 150, 156 and Annexe pages 52, 56, 57–59; Lycett &amp; Monaghan, 2013; Marelli et al., 2017; Nissenbaum, 2004, 2010, 2018; Privacy International, 2018; Raymond et al., 2016; Swaminathan, 2018; UNHCR, 2017; United Nations, 2015a; VDC-SY, 2016; Winter &amp; Davidson, 2019)","plainTextFormattedCitation":"(Boyd &amp; Crawford, 2012b; Cooper, 2015; Cukier, 2019; Dubey et al., 2018; Ki-moon, 2016 Paragraphs 58, 60, 80, 93, 120, 122–124, 128, 137, 150, 156 and Annexe pages 52, 56, 57–59; Lycett &amp; Monaghan, 2013; Marelli et al., 2017; Nissenbaum, 2004, 2010, 2018; Privacy International, 2018; Raymond et al., 2016; Swaminathan, 2018; UNHCR, 2017; United Nations, 2015a; VDC-SY, 2016; Winter &amp; Davidson, 2019)","previouslyFormattedCitation":"(Boyd &amp; Crawford, 2012b; Cooper, 2015; Cukier, 2019; Dubey et al., 2018; Ki-moon, 2016 Paragraphs 58, 60, 80, 93, 120, 122–124, 128, 137, 150, 156 and Annexe pages 52, 56, 57–59; Lycett &amp; Monaghan, 2013; Marelli et al., 2017; Nissenbaum, 2004, 2010, 2018; Privacy International, 2018; Raymond et al., 2016; Swaminathan, 2018; UNHCR, 2017; United Nations, 2015a; VDC-SY, 2016; Winter &amp; Davidson, 2019)"},"properties":{"noteIndex":0},"schema":"https://github.com/citation-style-language/schema/raw/master/csl-citation.json"}</w:instrText>
            </w:r>
            <w:r w:rsidRPr="00334D11">
              <w:rPr>
                <w:rFonts w:cstheme="minorHAnsi"/>
                <w:noProof/>
                <w:sz w:val="18"/>
                <w:szCs w:val="18"/>
              </w:rPr>
              <w:fldChar w:fldCharType="separate"/>
            </w:r>
            <w:r w:rsidRPr="00334D11">
              <w:rPr>
                <w:rFonts w:cstheme="minorHAnsi"/>
                <w:noProof/>
                <w:sz w:val="18"/>
                <w:szCs w:val="18"/>
              </w:rPr>
              <w:t>(Boyd &amp; Crawford, 2012b; Cooper, 2015; Cukier, 2019; Dubey et al., 2018; Ki-moon, 2016 Paragraphs 58, 60, 80, 93, 120, 122–124, 128, 137, 150, 156 and Annexe pages 52, 56, 57–59; Lycett &amp; Monaghan, 2013; Marelli et al., 2017; Nissenbaum, 2004, 2010, 2018; Privacy International, 2018; Raymond et al., 2016; Swaminathan, 2018; UNHCR, 2017; United Nations, 2015a; VDC-SY, 2016; Winter &amp; Davidson, 2019)</w:t>
            </w:r>
            <w:r w:rsidRPr="00334D11">
              <w:rPr>
                <w:rFonts w:cstheme="minorHAnsi"/>
                <w:noProof/>
                <w:sz w:val="18"/>
                <w:szCs w:val="18"/>
              </w:rPr>
              <w:fldChar w:fldCharType="end"/>
            </w:r>
          </w:p>
        </w:tc>
      </w:tr>
      <w:tr w:rsidR="00334D11" w:rsidRPr="00334D11" w14:paraId="56EF6CDF" w14:textId="77777777" w:rsidTr="007E319C">
        <w:trPr>
          <w:jc w:val="center"/>
        </w:trPr>
        <w:tc>
          <w:tcPr>
            <w:tcW w:w="0" w:type="auto"/>
            <w:shd w:val="clear" w:color="auto" w:fill="F2F2F2" w:themeFill="background1" w:themeFillShade="F2"/>
          </w:tcPr>
          <w:p w14:paraId="27AD44A1" w14:textId="77777777" w:rsidR="00334D11" w:rsidRPr="00334D11" w:rsidRDefault="00334D11" w:rsidP="007E319C">
            <w:pPr>
              <w:pStyle w:val="NoSpacing"/>
              <w:keepNext/>
              <w:keepLines/>
              <w:spacing w:before="120" w:after="120"/>
              <w:jc w:val="center"/>
              <w:rPr>
                <w:rFonts w:cstheme="minorHAnsi"/>
                <w:b/>
                <w:sz w:val="18"/>
                <w:szCs w:val="18"/>
              </w:rPr>
            </w:pPr>
            <w:r w:rsidRPr="00334D11">
              <w:rPr>
                <w:rFonts w:cstheme="minorHAnsi"/>
                <w:b/>
                <w:sz w:val="18"/>
                <w:szCs w:val="18"/>
              </w:rPr>
              <w:t>4</w:t>
            </w:r>
          </w:p>
        </w:tc>
        <w:tc>
          <w:tcPr>
            <w:tcW w:w="2700" w:type="dxa"/>
            <w:shd w:val="clear" w:color="auto" w:fill="auto"/>
          </w:tcPr>
          <w:p w14:paraId="3D2E8C9C"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b/>
                <w:sz w:val="18"/>
                <w:szCs w:val="18"/>
                <w:u w:val="single"/>
              </w:rPr>
              <w:t>Data Transparency</w:t>
            </w:r>
          </w:p>
          <w:p w14:paraId="3DD51862" w14:textId="77777777" w:rsidR="00334D11" w:rsidRPr="00334D11" w:rsidRDefault="00334D11" w:rsidP="007E319C">
            <w:pPr>
              <w:pStyle w:val="NoSpacing"/>
              <w:keepNext/>
              <w:keepLines/>
              <w:spacing w:before="120" w:after="120"/>
              <w:rPr>
                <w:rFonts w:cstheme="minorHAnsi"/>
                <w:sz w:val="18"/>
                <w:szCs w:val="18"/>
              </w:rPr>
            </w:pPr>
            <w:r w:rsidRPr="00334D11">
              <w:rPr>
                <w:rFonts w:cstheme="minorHAnsi"/>
                <w:sz w:val="18"/>
                <w:szCs w:val="18"/>
              </w:rPr>
              <w:t>Mechanisms are required to manage and maintain data transparency across ecosystems.</w:t>
            </w:r>
          </w:p>
        </w:tc>
        <w:tc>
          <w:tcPr>
            <w:tcW w:w="616" w:type="dxa"/>
            <w:shd w:val="clear" w:color="auto" w:fill="F2F2F2" w:themeFill="background1" w:themeFillShade="F2"/>
            <w:vAlign w:val="center"/>
          </w:tcPr>
          <w:p w14:paraId="33154E08" w14:textId="77777777" w:rsidR="00334D11" w:rsidRPr="00334D11" w:rsidRDefault="00334D11" w:rsidP="007E319C">
            <w:pPr>
              <w:pStyle w:val="Text01"/>
              <w:jc w:val="center"/>
              <w:rPr>
                <w:rFonts w:cstheme="minorHAnsi"/>
                <w:b/>
                <w:bCs/>
                <w:sz w:val="28"/>
                <w:szCs w:val="28"/>
              </w:rPr>
            </w:pPr>
            <w:r w:rsidRPr="00334D11">
              <w:rPr>
                <w:rFonts w:ascii="Segoe UI Symbol" w:eastAsia="MS Gothic" w:hAnsi="Segoe UI Symbol" w:cs="Segoe UI Symbol"/>
                <w:b/>
                <w:bCs/>
                <w:sz w:val="28"/>
                <w:szCs w:val="28"/>
              </w:rPr>
              <w:t>✓</w:t>
            </w:r>
          </w:p>
        </w:tc>
        <w:tc>
          <w:tcPr>
            <w:tcW w:w="0" w:type="auto"/>
            <w:shd w:val="clear" w:color="auto" w:fill="F2F2F2" w:themeFill="background1" w:themeFillShade="F2"/>
            <w:vAlign w:val="center"/>
          </w:tcPr>
          <w:p w14:paraId="535F47FF" w14:textId="77777777" w:rsidR="00334D11" w:rsidRPr="00334D11" w:rsidRDefault="00334D11" w:rsidP="007E319C">
            <w:pPr>
              <w:pStyle w:val="Text01"/>
              <w:jc w:val="center"/>
              <w:rPr>
                <w:rFonts w:cstheme="minorHAnsi"/>
                <w:b/>
                <w:bCs/>
                <w:sz w:val="28"/>
                <w:szCs w:val="28"/>
              </w:rPr>
            </w:pPr>
            <w:r w:rsidRPr="00334D11">
              <w:rPr>
                <w:rFonts w:ascii="Segoe UI Symbol" w:eastAsia="MS Gothic" w:hAnsi="Segoe UI Symbol" w:cs="Segoe UI Symbol"/>
                <w:b/>
                <w:bCs/>
                <w:sz w:val="28"/>
                <w:szCs w:val="28"/>
              </w:rPr>
              <w:t>✓</w:t>
            </w:r>
          </w:p>
        </w:tc>
        <w:tc>
          <w:tcPr>
            <w:tcW w:w="0" w:type="auto"/>
            <w:shd w:val="clear" w:color="auto" w:fill="auto"/>
          </w:tcPr>
          <w:p w14:paraId="0959D93B" w14:textId="77777777" w:rsidR="00334D11" w:rsidRPr="00334D11" w:rsidRDefault="00334D11" w:rsidP="00334D11">
            <w:pPr>
              <w:spacing w:after="120" w:line="240" w:lineRule="auto"/>
              <w:rPr>
                <w:rFonts w:cstheme="minorHAnsi"/>
                <w:noProof/>
                <w:sz w:val="18"/>
                <w:szCs w:val="18"/>
              </w:rPr>
            </w:pPr>
            <w:r w:rsidRPr="00334D11">
              <w:rPr>
                <w:rFonts w:cstheme="minorHAnsi"/>
                <w:noProof/>
                <w:sz w:val="18"/>
                <w:szCs w:val="18"/>
              </w:rPr>
              <w:fldChar w:fldCharType="begin" w:fldLock="1"/>
            </w:r>
            <w:r w:rsidRPr="00334D11">
              <w:rPr>
                <w:rFonts w:cstheme="minorHAnsi"/>
                <w:noProof/>
                <w:sz w:val="18"/>
                <w:szCs w:val="18"/>
              </w:rPr>
              <w:instrText>ADDIN CSL_CITATION {"citationItems":[{"id":"ITEM-1","itemData":{"URL":"http://fts.unocha.org/","accessed":{"date-parts":[["2017","5","30"]]},"author":[{"dropping-particle":"","family":"FTS","given":"","non-dropping-particle":"","parse-names":false,"suffix":""}],"container-title":"Tracking Humanitarian Aid Flows","editor":[{"dropping-particle":"","family":"Humanitarian Programme Cycle Information Services Unit (HPC-IS)","given":"","non-dropping-particle":"","parse-names":false,"suffix":""}],"id":"ITEM-1","issue":"2017","issued":{"date-parts":[["2017"]]},"language":"English","publisher":"United Nations Office for the Coordination of Humanitarian Affairs (UNOCHA)","publisher-place":"Geneva, Switzerland","title":"Financial Tracking Services","type":"webpage","volume":"2017"},"uris":["http://www.mendeley.com/documents/?uuid=51780581-57e7-4df9-a65c-3d6dce75306c"]},{"id":"ITEM-2","itemData":{"author":[{"dropping-particle":"","family":"Lattimer","given":"Charlotte","non-dropping-particle":"","parse-names":false,"suffix":""},{"dropping-particle":"","family":"Swithern","given":"Sophia","non-dropping-particle":"","parse-names":false,"suffix":""},{"dropping-particle":"","family":"Tuchel","given":"Luminita","non-dropping-particle":"","parse-names":false,"suffix":""},{"dropping-particle":"","family":"Beecher","given":"Jordan","non-dropping-particle":"","parse-names":false,"suffix":""},{"dropping-particle":"","family":"Cecilia Caio","given":"","non-dropping-particle":"","parse-names":false,"suffix":""},{"dropping-particle":"","family":"Collins","given":"Rosanna","non-dropping-particle":"","parse-names":false,"suffix":""},{"dropping-particle":"","family":"Dalrymple","given":"Sarah","non-dropping-particle":"","parse-names":false,"suffix":""},{"dropping-particle":"","family":"Galinié","given":"Arnaud","non-dropping-particle":"","parse-names":false,"suffix":""},{"dropping-particle":"","family":"Kenei","given":"Steve","non-dropping-particle":"","parse-names":false,"suffix":""},{"dropping-particle":"","family":"Knox","given":"Duncan","non-dropping-particle":"","parse-names":false,"suffix":""},{"dropping-particle":"","family":"Miller","given":"Alex","non-dropping-particle":"","parse-names":false,"suffix":""},{"dropping-particle":"","family":"Shaikh","given":"Lylaa","non-dropping-particle":"","parse-names":false,"suffix":""},{"dropping-particle":"","family":"Simenon","given":"Manon","non-dropping-particle":"","parse-names":false,"suffix":""},{"dropping-particle":"","family":"Parrish","given":"Chloe","non-dropping-particle":"","parse-names":false,"suffix":""},{"dropping-particle":"","family":"Watts","given":"Richard","non-dropping-particle":"","parse-names":false,"suffix":""}],"container-title":"Global Humanitarian Assistance Reports","editor":[{"dropping-particle":"","family":"(GHA)","given":"Global Humanitarian Assistance","non-dropping-particle":"","parse-names":false,"suffix":""}],"id":"ITEM-2","issued":{"date-parts":[["2016"]]},"language":"English","number-of-pages":"101","publisher":"Global Humanitarian Assistance (GHA)","title":"Global Humanitarian Assistance Report 2016","type":"report","volume":"2016"},"uris":["http://www.mendeley.com/documents/?uuid=08f71604-2bc0-458f-9276-54f2217a27ac"]},{"id":"ITEM-3","itemData":{"URL":"http://www.aidtransparency.net/","accessed":{"date-parts":[["2017","2","1"]]},"container-title":"International Aid Transparency Initiative","editor":[{"dropping-particle":"","family":"IATI","given":"","non-dropping-particle":"","parse-names":false,"suffix":""}],"id":"ITEM-3","issue":"01 February 2017","issued":{"date-parts":[["2017"]]},"language":"English","publisher":"Secretariat Giverments of Ghana and Sweden, UNOPS, Development Initiatives, UNDP","publisher-place":"On-line","title":"International Aid Transparency Initiative (IATI)","type":"webpage","volume":"2017"},"uris":["http://www.mendeley.com/documents/?uuid=c443369c-78f4-4491-be2e-b269d093e00e"]},{"id":"ITEM-4","itemData":{"URL":"http://www.oecd.org/dac/stats/humanitarian-assistance.htm","container-title":"Development finance statistics","editor":[{"dropping-particle":"","family":"OECD","given":"","non-dropping-particle":"","parse-names":false,"suffix":""}],"id":"ITEM-4","issued":{"date-parts":[["2017"]]},"language":"English","publisher":"Organisation for Economic Co-operation and Development (OECD)","publisher-place":"Paris, France","title":"Humanitarian Assistance","type":"webpage","volume":"2017"},"uris":["http://www.mendeley.com/documents/?uuid=11cff123-902e-4a00-8bec-865d0bce4a84"]},{"id":"ITEM-5","itemData":{"URL":"http://ati.publishwhatyoufund.org/","container-title":"Publish What you Fund","editor":[{"dropping-particle":"","family":"Global Campaign for Aid Transparency","given":"","non-dropping-particle":"","parse-names":false,"suffix":""}],"id":"ITEM-5","issue":"01 February 2017","issued":{"date-parts":[["2017"]]},"language":"English","publisher":"Global Campaign for Aid Transparency","publisher-place":"On-line","title":"Aid Transparency Index (ATI)","type":"webpage","volume":"2017"},"uris":["http://www.mendeley.com/documents/?uuid=115f5990-dcf6-44b2-a1fb-f44d9eff942f"]},{"id":"ITEM-6","itemData":{"URL":"http://ec.europa.eu/echo/","accessed":{"date-parts":[["2016","7","12"]]},"author":[{"dropping-particle":"","family":"EDRIS","given":"","non-dropping-particle":"","parse-names":false,"suffix":""}],"editor":[{"dropping-particle":"","family":"Directorate-General for European Civil Protection and Humanitarian Aid Operations (ECHO);","given":"","non-dropping-particle":"","parse-names":false,"suffix":""}],"id":"ITEM-6","issue":"July 2016","issued":{"date-parts":[["2017"]]},"language":"EDRIS","note":"ECHO based on previous name the European Community Humanitarian Aid Office","publisher-place":"On-line","title":"European Disaster Response Information System (EDRIS)","type":"webpage","volume":"2016"},"uris":["http://www.mendeley.com/documents/?uuid=3f021900-5170-4471-a52d-f196d130db93"]},{"id":"ITEM-7","itemData":{"URL":"http://data.humdata.org/","accessed":{"date-parts":[["2017","1","6"]]},"author":[{"dropping-particle":"","family":"HDX","given":"","non-dropping-particle":"","parse-names":false,"suffix":""}],"id":"ITEM-7","issue":"06 January 2017","issued":{"date-parts":[["2017"]]},"language":"English","publisher":"United Nations Office for the Coordination of Humanitarian Affairs (OCHA)","publisher-place":"On-line","title":"Humanitarian Data Exchange (HDX)","type":"webpage","volume":"2017"},"uris":["http://www.mendeley.com/documents/?uuid=01d95df7-3e22-4678-b559-a51b096f716e"]},{"id":"ITEM-8","itemData":{"ISBN":"Report No 1","author":[{"dropping-particle":"","family":"IRDR","given":"","non-dropping-particle":"","parse-names":false,"suffix":""}],"container-title":"Data Project Report n°1","editor":[{"dropping-particle":"","family":"Integrated Research on Disaster Risk (IRDR)","given":"","non-dropping-particle":"","parse-names":false,"suffix":""}],"id":"ITEM-8","issued":{"date-parts":[["2014"]]},"language":"English","number-of-pages":"28","publisher":"International Social Science Council (ISSC); United Nations International Strategy for Disaster Reduction (UNISDR)","publisher-place":"Beijing, China","title":"Peril Classification and Hazard Glossary","type":"report"},"uris":["http://www.mendeley.com/documents/?uuid=d6123b0e-f12a-48e1-a4da-4cf7257b4d14"]},{"id":"ITEM-9","itemData":{"URL":"https://www.aiddata.org/","accessed":{"date-parts":[["2018","9","5"]]},"editor":[{"dropping-particle":"","family":"William &amp; Mary University","given":"","non-dropping-particle":"","parse-names":false,"suffix":""}],"id":"ITEM-9","issue":"05 September 2018","issued":{"date-parts":[["2018"]]},"language":"English","note":"AidData is a research lab at William &amp;amp; Mary. We equip policymakers and practitioners with better evidence to improve how sustainable development investments are targeted, monitored, and evaluated. We use rigorous methods, cutting-edge tools, and granular data to answer the question: who is doing what, where, for whom, and to what effect?","publisher":"William &amp; Mary University, USA","publisher-place":"On-line","title":"AidData","type":"webpage","volume":"2018"},"uris":["http://www.mendeley.com/documents/?uuid=7638e54d-c7d0-44d8-9a88-69fb32f38f08"]},{"id":"ITEM-10","itemData":{"URL":"http://hxlstandard.org/","accessed":{"date-parts":[["2019","8","1"]]},"author":[{"dropping-particle":"","family":"HXL","given":"","non-dropping-particle":"","parse-names":false,"suffix":""}],"id":"ITEM-10","issued":{"date-parts":[["2019"]]},"language":"English","publisher":"United Nations Office for the Coordination of Humanitarian Affairs (OCHA)","publisher-place":"On-line","title":"The Humanitarian Exchange Language","type":"webpage","volume":"2019"},"uris":["http://www.mendeley.com/documents/?uuid=3096693d-713c-46f1-aada-c6fad7b8ae50"]},{"id":"ITEM-11","itemData":{"DOI":"10.1073/pnas.1508081113","abstract":"Privacy protections against government surveillance are often scoped to communications content and exclude communications metadata. In the United States, the National Security Agency operated a particularly controversial program, collecting bulk telephone metadata nationwide. We investigate the privacy properties of telephone metadata to assess the impact of policies that distinguish between content and metadata. We find that telephone metadata is densely interconnected, can trivially be reidentified, enables automated location and relationship inferences, and can be used to determine highly sensitive traits.Since 2013, a stream of disclosures has prompted reconsideration of surveillance law and policy. One of the most controversial principles, both in the United States and abroad, is that communications metadata receives substantially less protection than communications content. Several nations currently collect telephone metadata in bulk, including on their own citizens. In this paper, we attempt to shed light on the privacy properties of telephone metadata. Using a crowdsourcing methodology, we demonstrate that telephone metadata is densely interconnected, can trivially be reidentified, and can be used to draw sensitive inferences.","author":[{"dropping-particle":"","family":"Mayer","given":"Jonathan","non-dropping-particle":"","parse-names":false,"suffix":""},{"dropping-particle":"","family":"Mutchler","given":"Patrick","non-dropping-particle":"","parse-names":false,"suffix":""},{"dropping-particle":"","family":"Mitchell","given":"John C","non-dropping-particle":"","parse-names":false,"suffix":""}],"container-title":"Proceedings of the National Academy of Sciences","id":"ITEM-11","issue":"20","issued":{"date-parts":[["2016"]]},"page":"5536","title":"Evaluating the privacy properties of telephone metadata","type":"article-journal","volume":"113"},"uris":["http://www.mendeley.com/documents/?uuid=4bfe9ceb-a16d-4faf-8be9-b18050e207c6"]},{"id":"ITEM-12","itemData":{"author":[{"dropping-particle":"","family":"Tatham","given":"Peter","non-dropping-particle":"","parse-names":false,"suffix":""},{"dropping-particle":"","family":"Hughes","given":"Kate","non-dropping-particle":"","parse-names":false,"suffix":""}],"chapter-number":"4","container-title":"Humanitarian logistics : meeting the challenge of preparing for and responding to disasters","edition":"1st","editor":[{"dropping-particle":"","family":"Christopher","given":"Martin","non-dropping-particle":"","parse-names":false,"suffix":""},{"dropping-particle":"","family":"Tatham","given":"Peter","non-dropping-particle":"","parse-names":false,"suffix":""}],"id":"ITEM-12","issued":{"date-parts":[["2011"]]},"note":"The management of a supply network is, by any measure, a complex undertaking, and this is reflected in the broad range of prescriptions found within the literature. As a means of guiding management in subsequent decision making, one might reasonably anticipate that considerable effort would be invested in the design of appropriate performance metrics - but, surprisingly, this does not appear to be the case. Furthermore, in non-profit organizations the challenge is much larger given the absence of a (or, perhaps, the) core metric of profitability. In the humanitarian logistic field, there is a recognition of the need for appropriate metrics, but capturing the data in a robust way is hampered by the particular circumstances of operating in an environment with its inherent limitations on communications and IT. However, such metrics that do exist are, typically, focused on operational data - the number of boxes delivered on time, the associated cost, etc. Such efficiency-based metrics are clearly important, but the authors argue that the key challenge is that of developing outcome or effectiveness metrics so that the achievements of the relief operation as a whole can be more readily understood. It is suggested that this process may be aided through the use of 'quality of life' metrics borrowed from the medical field.","page":"Pages 65-84","publisher":"Kogan Page Limited","publisher-place":"London, United Kingdom","title":"Humanitarian logistics metrics : where we are and how we might improve","type":"chapter"},"uris":["http://www.mendeley.com/documents/?uuid=b1b66497-91d2-47dc-a292-4b26c3dfbb5d"]},{"id":"ITEM-13","itemData":{"DOI":"10.1109/ipcc.2005.1494163","abstract":"An effective information and communication system (ICS) is a central component of successful humanitarian relief efforts. An ICS involves not only IT but also people, practices, policies, and organizational environments. This paper explores major issues and challenges inherent to developing an effective ICS within the humanitarian relief non-governmental organization (NGO) sector. Although closely related, the issues and challenges inherent in both intraand inter-organizational communication in NGOs are discussed separately. The analysis goes beyond the IT issues usually focused on, emphasizing the enormous impacts of human, organizational, and environmental issues such as organizational structure, coordination, security, politics, and funding. We discuss both the strategic impact of these issues as well as the impact on an NGO's ability to communicate effectively during emergency response efforts.","author":[{"dropping-particle":"","family":"Maiers","given":"C","non-dropping-particle":"","parse-names":false,"suffix":""},{"dropping-particle":"","family":"Reynolds","given":"M","non-dropping-particle":"","parse-names":false,"suffix":""},{"dropping-particle":"","family":"Haselkorn","given":"M","non-dropping-particle":"","parse-names":false,"suffix":""}],"container-title":"Professional Communication Conference, 2005. IPCC 2005. Proceedings. International","id":"ITEM-13","issued":{"date-parts":[["2005"]]},"page":"pp.82-91","title":"Challenges to effective information and communication systems in humanitarian relief organizations","type":"paper-conference"},"uris":["http://www.mendeley.com/documents/?uuid=5f11ad2d-7caa-4b6c-8b8a-6d5275be76ae"]},{"id":"ITEM-14","itemData":{"ISBN":"978-0199544462","author":[{"dropping-particle":"","family":"Riddell","given":"Roger C","non-dropping-particle":"","parse-names":false,"suffix":""}],"chapter-number":"18","container-title":"Does Foreign Aid Really Work?","id":"ITEM-14","issued":{"date-parts":[["2008"]]},"note":"Amazon Summary\n\n&amp;quot;Foreign aid is now a $100bn business and is expanding more rapidly today than it has for a generation. But does it work? Indeed, is it needed at all?\nOther attempts to answer these important questions have been dominated by a focus on the impact of official aid provided by governments. But today possibly as much as 30 percent of aid is provided by Non-Governmental Organizations (NGOs), and over 10 percent is provided as emergency assistance.\nIn this first-ever attempt to provide an overall assessment of aid, Roger Riddell presents a rigorous but highly readable account of aid, warts and all. Does Foreign Aid Really Work? sets out the evidence and exposes the instances where aid has failed and explains why. The book also examines the way that politics distorts aid, and disentangles the moral and ethical assumptions that lie behind the belief that aid does good. The book concludes by detailing the practical ways that aid needs to change if it is to be the effective force for good that its providers claim it is.&amp;quot;","page":"311-324","publisher":"Oxford University Press","publisher-place":"Oxford, United Kingdom","title":"The growth of emergencies and the humanitarian response","type":"chapter"},"uris":["http://www.mendeley.com/documents/?uuid=8325730b-1ee7-43b0-88ba-d11a96b1f40d"]},{"id":"ITEM-15","itemData":{"ISBN":"0964-4563","author":[{"dropping-particle":"","family":"Proctor","given":"Robert N","non-dropping-particle":"","parse-names":false,"suffix":""}],"container-title":"Tobacco control","id":"ITEM-15","issue":"suppl 4","issued":{"date-parts":[["2006"]]},"page":"iv117-iv125","publisher":"BMJ Publishing Group Ltd","title":"“Everyone knew but no one had proof”: tobacco industry use of medical history expertise in US courts, 1990–2002","type":"article-journal","volume":"15"},"uris":["http://www.mendeley.com/documents/?uuid=21a2834a-13c1-4082-85c4-1e0a85cc01a5"]},{"id":"ITEM-16","itemData":{"ISBN":"978-0-8047-5652.-5","author":[{"dropping-particle":"","family":"Proctor","given":"Robert N","non-dropping-particle":"","parse-names":false,"suffix":""}],"chapter-number":"Chapter 1","container-title":"Agnotology: The making and unmaking of ignorance","edition":"1st editio","editor":[{"dropping-particle":"","family":"Proctor","given":"Robert N","non-dropping-particle":"","parse-names":false,"suffix":""},{"dropping-particle":"","family":"Schiebinger","given":"Londa","non-dropping-particle":"","parse-names":false,"suffix":""}],"id":"ITEM-16","issued":{"date-parts":[["2008"]]},"page":"312","publisher":"Stanford University Press","publisher-place":"Stanford, California USA","title":"Agnotology, A Missing Term to Describe the Cultural Production of Ignorance (and Its Study)","type":"chapter"},"uris":["http://www.mendeley.com/documents/?uuid=44747f86-831d-470d-b31d-6461da455801"]},{"id":"ITEM-17","itemData":{"author":[{"dropping-particle":"","family":"The Lancet","given":"","non-dropping-particle":"","parse-names":false,"suffix":""}],"container-title":"The Lancet","id":"ITEM-17","issued":{"date-parts":[["2010"]]},"language":"English","page":"253 (Editorial)","publisher":"The Lancet","title":"Growth of aid and the decline of humanitarianism","title-short":"The Lancet","type":"article-journal","volume":"375"},"uris":["http://www.mendeley.com/documents/?uuid=80a7fad3-3d06-4c52-98b9-a3a8b5e8e582"]},{"id":"ITEM-18","itemData":{"author":[{"dropping-particle":"","family":"O’Neill","given":"Sean","non-dropping-particle":"","parse-names":false,"suffix":""}],"container-title":"The Sunday Times","id":"ITEM-18","issued":{"date-parts":[["2018"]]},"language":"English","publisher":"The Sunday Times","publisher-place":"On-line","title":"UN knew of sex-for-food scandal at top charities","type":"article-newspaper"},"uris":["http://www.mendeley.com/documents/?uuid=bc896ab3-0385-4f9b-88b8-1fb1dfb63ed0"]}],"mendeley":{"formattedCitation":"(EDRIS, 2017; FTS, 2017; Global Campaign for Aid Transparency, 2017; HDX, 2017; HXL, 2019; IATI, 2017; IRDR, 2014; Lattimer et al., 2016; Maiers et al., 2005; Mayer et al., 2016; O’Neill, 2018; OECD, 2017a; Proctor, 2006, 2008; Riddell, 2008; Tatham &amp; Hughes, 2011; The Lancet, 2010; William &amp; Mary University, 2018)","plainTextFormattedCitation":"(EDRIS, 2017; FTS, 2017; Global Campaign for Aid Transparency, 2017; HDX, 2017; HXL, 2019; IATI, 2017; IRDR, 2014; Lattimer et al., 2016; Maiers et al., 2005; Mayer et al., 2016; O’Neill, 2018; OECD, 2017a; Proctor, 2006, 2008; Riddell, 2008; Tatham &amp; Hughes, 2011; The Lancet, 2010; William &amp; Mary University, 2018)","previouslyFormattedCitation":"(EDRIS, 2017; FTS, 2017; Global Campaign for Aid Transparency, 2017; HDX, 2017; HXL, 2019; IATI, 2017; IRDR, 2014; Lattimer et al., 2016; Maiers et al., 2005; Mayer et al., 2016; O’Neill, 2018; OECD, 2017a; Proctor, 2006, 2008; Riddell, 2008; Tatham &amp; Hughes, 2011; The Lancet, 2010; William &amp; Mary University, 2018)"},"properties":{"noteIndex":0},"schema":"https://github.com/citation-style-language/schema/raw/master/csl-citation.json"}</w:instrText>
            </w:r>
            <w:r w:rsidRPr="00334D11">
              <w:rPr>
                <w:rFonts w:cstheme="minorHAnsi"/>
                <w:noProof/>
                <w:sz w:val="18"/>
                <w:szCs w:val="18"/>
              </w:rPr>
              <w:fldChar w:fldCharType="separate"/>
            </w:r>
            <w:r w:rsidRPr="00334D11">
              <w:rPr>
                <w:rFonts w:cstheme="minorHAnsi"/>
                <w:noProof/>
                <w:sz w:val="18"/>
                <w:szCs w:val="18"/>
              </w:rPr>
              <w:t>(EDRIS, 2017; FTS, 2017; Global Campaign for Aid Transparency, 2017; HDX, 2017; HXL, 2019; IATI, 2017; IRDR, 2014; Lattimer et al., 2016; Maiers et al., 2005; Mayer et al., 2016; O’Neill, 2018; OECD, 2017a; Proctor, 2006, 2008; Riddell, 2008; Tatham &amp; Hughes, 2011; The Lancet, 2010; William &amp; Mary University, 2018)</w:t>
            </w:r>
            <w:r w:rsidRPr="00334D11">
              <w:rPr>
                <w:rFonts w:cstheme="minorHAnsi"/>
                <w:noProof/>
                <w:sz w:val="18"/>
                <w:szCs w:val="18"/>
              </w:rPr>
              <w:fldChar w:fldCharType="end"/>
            </w:r>
          </w:p>
        </w:tc>
      </w:tr>
      <w:tr w:rsidR="00334D11" w:rsidRPr="00334D11" w14:paraId="5C901E6B" w14:textId="77777777" w:rsidTr="007E319C">
        <w:trPr>
          <w:jc w:val="center"/>
        </w:trPr>
        <w:tc>
          <w:tcPr>
            <w:tcW w:w="0" w:type="auto"/>
            <w:shd w:val="clear" w:color="auto" w:fill="F2F2F2" w:themeFill="background1" w:themeFillShade="F2"/>
          </w:tcPr>
          <w:p w14:paraId="3A3088F2" w14:textId="77777777" w:rsidR="00334D11" w:rsidRPr="00334D11" w:rsidRDefault="00334D11" w:rsidP="007E319C">
            <w:pPr>
              <w:pStyle w:val="NoSpacing"/>
              <w:keepNext/>
              <w:keepLines/>
              <w:spacing w:before="120" w:after="120"/>
              <w:jc w:val="center"/>
              <w:rPr>
                <w:rFonts w:cstheme="minorHAnsi"/>
                <w:b/>
                <w:sz w:val="18"/>
                <w:szCs w:val="18"/>
              </w:rPr>
            </w:pPr>
            <w:r w:rsidRPr="00334D11">
              <w:rPr>
                <w:rFonts w:cstheme="minorHAnsi"/>
                <w:b/>
                <w:sz w:val="18"/>
                <w:szCs w:val="18"/>
              </w:rPr>
              <w:t>5</w:t>
            </w:r>
          </w:p>
        </w:tc>
        <w:tc>
          <w:tcPr>
            <w:tcW w:w="2700" w:type="dxa"/>
            <w:shd w:val="clear" w:color="auto" w:fill="auto"/>
          </w:tcPr>
          <w:p w14:paraId="73026EE6"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b/>
                <w:sz w:val="18"/>
                <w:szCs w:val="18"/>
                <w:u w:val="single"/>
              </w:rPr>
              <w:t>Data Granularity and Boundaries</w:t>
            </w:r>
          </w:p>
          <w:p w14:paraId="3F65563B" w14:textId="77777777" w:rsidR="00334D11" w:rsidRPr="00334D11" w:rsidRDefault="00334D11" w:rsidP="007E319C">
            <w:pPr>
              <w:pStyle w:val="NoSpacing"/>
              <w:keepNext/>
              <w:keepLines/>
              <w:spacing w:before="120" w:after="120"/>
              <w:rPr>
                <w:rFonts w:cstheme="minorHAnsi"/>
                <w:b/>
                <w:sz w:val="18"/>
                <w:szCs w:val="18"/>
                <w:u w:val="single"/>
              </w:rPr>
            </w:pPr>
            <w:r w:rsidRPr="00334D11">
              <w:rPr>
                <w:rFonts w:cstheme="minorHAnsi"/>
                <w:sz w:val="18"/>
                <w:szCs w:val="18"/>
              </w:rPr>
              <w:t>Data assets require well-defined boundaries and clear interfaces to the data they contain to deliver data at clearly defined levels of granularity</w:t>
            </w:r>
          </w:p>
        </w:tc>
        <w:tc>
          <w:tcPr>
            <w:tcW w:w="616" w:type="dxa"/>
            <w:shd w:val="clear" w:color="auto" w:fill="auto"/>
          </w:tcPr>
          <w:p w14:paraId="2DA9E5D5" w14:textId="77777777" w:rsidR="00334D11" w:rsidRPr="00334D11" w:rsidRDefault="00334D11" w:rsidP="007E319C">
            <w:pPr>
              <w:pStyle w:val="Text01"/>
              <w:jc w:val="center"/>
              <w:rPr>
                <w:rFonts w:cstheme="minorHAnsi"/>
              </w:rPr>
            </w:pPr>
          </w:p>
        </w:tc>
        <w:tc>
          <w:tcPr>
            <w:tcW w:w="0" w:type="auto"/>
            <w:shd w:val="clear" w:color="auto" w:fill="F2F2F2" w:themeFill="background1" w:themeFillShade="F2"/>
            <w:vAlign w:val="center"/>
          </w:tcPr>
          <w:p w14:paraId="69E2F265" w14:textId="77777777" w:rsidR="00334D11" w:rsidRPr="00334D11" w:rsidRDefault="00334D11" w:rsidP="007E319C">
            <w:pPr>
              <w:pStyle w:val="Text01"/>
              <w:jc w:val="center"/>
              <w:rPr>
                <w:rFonts w:cstheme="minorHAnsi"/>
                <w:b/>
                <w:bCs/>
                <w:sz w:val="28"/>
                <w:szCs w:val="28"/>
              </w:rPr>
            </w:pPr>
            <w:r w:rsidRPr="00334D11">
              <w:rPr>
                <w:rFonts w:ascii="Segoe UI Symbol" w:eastAsia="MS Gothic" w:hAnsi="Segoe UI Symbol" w:cs="Segoe UI Symbol"/>
                <w:b/>
                <w:bCs/>
                <w:sz w:val="28"/>
                <w:szCs w:val="28"/>
              </w:rPr>
              <w:t>✓</w:t>
            </w:r>
          </w:p>
        </w:tc>
        <w:tc>
          <w:tcPr>
            <w:tcW w:w="0" w:type="auto"/>
            <w:shd w:val="clear" w:color="auto" w:fill="auto"/>
          </w:tcPr>
          <w:p w14:paraId="4279FA9D" w14:textId="77777777" w:rsidR="00334D11" w:rsidRPr="00334D11" w:rsidRDefault="00334D11" w:rsidP="00334D11">
            <w:pPr>
              <w:spacing w:after="120" w:line="240" w:lineRule="auto"/>
              <w:rPr>
                <w:rFonts w:cstheme="minorHAnsi"/>
                <w:noProof/>
                <w:sz w:val="18"/>
                <w:szCs w:val="18"/>
              </w:rPr>
            </w:pPr>
            <w:r w:rsidRPr="00334D11">
              <w:rPr>
                <w:rFonts w:cstheme="minorHAnsi"/>
                <w:noProof/>
                <w:sz w:val="18"/>
                <w:szCs w:val="18"/>
              </w:rPr>
              <w:fldChar w:fldCharType="begin" w:fldLock="1"/>
            </w:r>
            <w:r w:rsidRPr="00334D11">
              <w:rPr>
                <w:rFonts w:cstheme="minorHAnsi"/>
                <w:noProof/>
                <w:sz w:val="18"/>
                <w:szCs w:val="18"/>
              </w:rPr>
              <w:instrText>ADDIN CSL_CITATION {"citationItems":[{"id":"ITEM-1","itemData":{"ISBN":"00178012","PMID":"9709112720","abstract":"Modularity is a familiar principle in the computer industry. Different companies can independently design and produce components, such as disk drives or operating software, and those modules will fit together into a complex and smoothly functioning product because the module makers obey a given set of design rules. Modularity in manufacturing is already common in many companies. But now a number of them are beginning to extend the approach into the design of their products and services. Modularity in design should tremendously boost the rate of innovation in many industries as it did in the computer industry. As businesses as diverse as auto manufacturing and financial services move toward modular designs, the authors say, competitive dynamics will change enormously. No longer will assemblers control the final product: suppliers of key modules will gain leverage and even take on responsibility for design rules. Companies will compete either by specifying the dominant design rules (as Microsoft does) or by producing excellent modules (as disk drive maker Quantum does). Leaders in a modular industry will control less, so they will have to watch the competitive environment closely for opportunities to link up with other module makers. They will also need to know more: engineering details that seemed trivial at the corporate level may now play a large part in strategic decisions. Leaders will also become knowledge managers internally because they will need to coordinate the efforts of development groups in order to keep them focused on the modular strategies the company is pursuing. INSETS: A Guide to Modularity.;How Palm Computing Became an Architect.;How Quantum Mines Hidden Knowledge.;Further Reading [ABSTRACT FROM PUBLISHER] Harvard Business Review Notice of Use Restrictions, May 2009Harvard Business Review and Harvard Business Publishing Newsletter content on EBSCOhost is licensed for the private individual use of authorized EBSCOhost users. It is not intended for use as assigned course material in academic institutions nor as corporate learning or training materials in businesses. Academic licensees may not use this content in electronic reserves, electronic course packs, persistent linking from syllabi or by any other means of incorporating the content into course resources. Business licensees may not host this content on learning management systems or use persistent linking or other means to incorporate the content into learning management systems. …","author":[{"dropping-particle":"","family":"Baldwin","given":"Carliss Y","non-dropping-particle":"","parse-names":false,"suffix":""},{"dropping-particle":"","family":"Clark","given":"Kim B","non-dropping-particle":"","parse-names":false,"suffix":""}],"container-title":"Harvard Business Review","id":"ITEM-1","issue":"5","issued":{"date-parts":[["1997"]]},"note":"Baldwin, Carliss Y. 1; Clark, Kim B. 2,3; Affiliations: 1: William L. White Professor of Business Administration, Harvard Business School, Boston, Massachusetts; 2: Harry E. Figgie, Jr., Professor of Business Adminstration, Harvard Business School; 3: Dean of the Faculty, Harvard Business School; Issue Info: Sep/Oct97, Vol. 75 Issue 5, p84; Thesaurus Term: Modular design; Thesaurus Term: Computer industry; Thesaurus Term: Business models; Thesaurus Term: Industrial management; Thesaurus Term: Competitive advantage in business; Thesaurus Term: Strategic planning; Thesaurus Term: High technology industries; Thesaurus Term: Knowledge management; Thesaurus Term: Corporate culture; Thesaurus Term: Interorganizational relations; NAICS/Industry Codes: 334110 Computer and peripheral equipment manufacturing; NAICS/Industry Codes: 334111 Electronic Computer Manufacturing; NAICS/Industry Codes: 443144 Computer and software stores; NAICS/Industry Codes: 443142 Electronics Stores; NAICS/Industry Codes: 417310 Computer, computer peripheral and pre-packaged software merchant wholesalers; Number of Pages: 10p; Document Type: Article; Full Text Word Count: 6516","page":"84-93","publisher":"Harvard Business School Publication Corp.","title":"Managing In An Age Of Modularity","type":"article-journal","volume":"75"},"uris":["http://www.mendeley.com/documents/?uuid=e6cc31c0-5fee-4cdd-88d1-948ec8b82699"]},{"id":"ITEM-2","itemData":{"DOI":"10.1016/j.ijar.2015.06.005","ISSN":"0888613X","abstract":"The study is concerned with a design of granular fuzzy models. We exploit a concept of information granularity by developing a model coming as a network of intuitively structured collection of interval information granules described in the output space and a family of induced information granules (in the form of fuzzy sets) formed in the input space. In contrast to most fuzzy models encountered in the literature, the results produced by granular models are information granules rather than plain numeric entities. The design of the model concentrates on a construction of information granules that form a backbone of the overall construct. Interval information granules positioned in the output space are built by considering intervals of equal length, equal probability, and developing an optimized version of the intervals. The induced fuzzy information granules localized in the input space are realized by running a conditional Fuzzy C-Means (FCM). The performance of the model is assessed by considering criteria of coverage and information specificity (information granularity). Further optimization of the model is proposed along the line of an optimal re-distribution of input information granules induced by the individual interval information granules located in the output space. Experimental results involve some synthetic low-dimensional data and publicly available benchmark data sets.","author":[{"dropping-particle":"","family":"Reyes-Galaviz","given":"Orion F.","non-dropping-particle":"","parse-names":false,"suffix":""},{"dropping-particle":"","family":"Pedrycz","given":"Witold","non-dropping-particle":"","parse-names":false,"suffix":""}],"container-title":"International Journal of Approximate Reasoning","id":"ITEM-2","issued":{"date-parts":[["2015"]]},"page":"1-19","publisher":"Elsevier Inc.","title":"Granular fuzzy models: Analysis, design, and evaluation","type":"article-journal","volume":"64"},"uris":["http://www.mendeley.com/documents/?uuid=e1913641-5817-46d5-9faf-7fcf62b30966"]},{"id":"ITEM-3","itemData":{"DOI":"10.1016/j.patrec.2015.08.001","ISSN":"01678655","abstract":"Big data has a role in its promising usefulness in many fields, such as commerce and business, biology, medicine, public administration, material science, and cognition in human brain. The objective of big data is to develop complex procedure running over large-scale enormous-sized data repositories for extracting useful knowledge hidden there in and delivering accurate predictions of various kinds within a reasonable time period. Mining of big data can be made effective with the methodologies that can deal with their characteristics, such as heterogeneity, dynamism or time varying, redundancy, uncertainty and impreciseness.","author":[{"dropping-particle":"","family":"Pal","given":"Sankar K.","non-dropping-particle":"","parse-names":false,"suffix":""},{"dropping-particle":"","family":"Meher","given":"Saroj K.","non-dropping-particle":"","parse-names":false,"suffix":""},{"dropping-particle":"","family":"Skowron","given":"Andrzej","non-dropping-particle":"","parse-names":false,"suffix":""}],"container-title":"Pattern Recognition Letters","id":"ITEM-3","issued":{"date-parts":[["2015"]]},"page":"109-112","title":"Data science, big data and granular mining","type":"article-journal","volume":"67"},"uris":["http://www.mendeley.com/documents/?uuid=be87e9a5-7ed3-4606-8be8-466b46e272bb"]},{"id":"ITEM-4","itemData":{"DOI":"10.1007/s41066-016-0032-3","ISSN":"2364-4966","abstract":"Human beings solve problems in different granularity worlds and shift from one granularity world to another quickly. It reflects human beings’ intelligence in problem solving to some extent. In the era of big data, some new problems are emerging in real life. For example, traditional big data processing models always compute from raw data, failing to consider the granularity feature of human. Thus, they are hard to solve the 3 V characteristics of big data. Granular computing (GrC) combines the multi-granularity thinking pattern of human intelligence with problem solving mode to deal with big data. Based on the related notions and characteristics of GrC, this paper reviews the previous studies of GrC in three progressive levels: granularity optimization, granularity conversion and multi-granularity joint problem solving. Then we proposed the diagram for relationship among three basic modes of GrC. Furthermore, the feasibility of GrC for big data processing is analyzed. Some research prospects of granular computing are given.","author":[{"dropping-particle":"","family":"Wang","given":"Guoyin","non-dropping-particle":"","parse-names":false,"suffix":""},{"dropping-particle":"","family":"Yang","given":"Jie","non-dropping-particle":"","parse-names":false,"suffix":""},{"dropping-particle":"","family":"Xu","given":"Ji","non-dropping-particle":"","parse-names":false,"suffix":""}],"container-title":"Granular Computing","id":"ITEM-4","issue":"3","issued":{"date-parts":[["2017"]]},"page":"105-120","title":"Granular computing: from granularity optimization to multi-granularity joint problem solving","type":"article-journal","volume":"2"},"uris":["http://www.mendeley.com/documents/?uuid=84a3f19b-93ea-4196-9993-88a0d46855a6"]},{"id":"ITEM-5","itemData":{"abstract":"Granular computing (GrC) may be regarded as a label of theories, methodologies, techniques, and tools that make use of granules, i.e., groups, classes, or clusters of a universe, in the process of problem solving. The main objective of this paper is to discuss basic issues of GrC, with emphasis on the construction of granules and computation with granules. After a brief review of existing studies, a set-theoretic model of GrC is proposed based on the notion of power algebras.","author":[{"dropping-particle":"","family":"Yao","given":"Y Y","non-dropping-particle":"","parse-names":false,"suffix":""}],"container-title":"Proceedings of the 5th Joint Conference on Information Sciences","id":"ITEM-5","issued":{"date-parts":[["2000"]]},"page":"186-189","title":"Granular Computing: Basic Issues and Possible Solutions","type":"article-journal","volume":"1"},"uris":["http://www.mendeley.com/documents/?uuid=97958d0c-6cb6-4f65-8ebd-c482334d2678"]}],"mendeley":{"formattedCitation":"(Baldwin &amp; Clark, 1997; Pal et al., 2015; Reyes-Galaviz &amp; Pedrycz, 2015; G. Wang et al., 2017; Yao, 2000)","plainTextFormattedCitation":"(Baldwin &amp; Clark, 1997; Pal et al., 2015; Reyes-Galaviz &amp; Pedrycz, 2015; G. Wang et al., 2017; Yao, 2000)","previouslyFormattedCitation":"(Baldwin &amp; Clark, 1997; Pal et al., 2015; Reyes-Galaviz &amp; Pedrycz, 2015; G. Wang et al., 2017; Yao, 2000)"},"properties":{"noteIndex":0},"schema":"https://github.com/citation-style-language/schema/raw/master/csl-citation.json"}</w:instrText>
            </w:r>
            <w:r w:rsidRPr="00334D11">
              <w:rPr>
                <w:rFonts w:cstheme="minorHAnsi"/>
                <w:noProof/>
                <w:sz w:val="18"/>
                <w:szCs w:val="18"/>
              </w:rPr>
              <w:fldChar w:fldCharType="separate"/>
            </w:r>
            <w:r w:rsidRPr="00334D11">
              <w:rPr>
                <w:rFonts w:cstheme="minorHAnsi"/>
                <w:noProof/>
                <w:sz w:val="18"/>
                <w:szCs w:val="18"/>
              </w:rPr>
              <w:t>(Baldwin &amp; Clark, 1997; Pal et al., 2015; Reyes-Galaviz &amp; Pedrycz, 2015; G. Wang et al., 2017; Yao, 2000)</w:t>
            </w:r>
            <w:r w:rsidRPr="00334D11">
              <w:rPr>
                <w:rFonts w:cstheme="minorHAnsi"/>
                <w:noProof/>
                <w:sz w:val="18"/>
                <w:szCs w:val="18"/>
              </w:rPr>
              <w:fldChar w:fldCharType="end"/>
            </w:r>
            <w:r w:rsidRPr="00334D11">
              <w:rPr>
                <w:rFonts w:cstheme="minorHAnsi"/>
                <w:noProof/>
                <w:sz w:val="18"/>
                <w:szCs w:val="18"/>
              </w:rPr>
              <w:t xml:space="preserve">. </w:t>
            </w:r>
          </w:p>
        </w:tc>
      </w:tr>
    </w:tbl>
    <w:p w14:paraId="70738643" w14:textId="44D70D96" w:rsidR="00AA395C" w:rsidRDefault="00AA395C">
      <w:pPr>
        <w:pStyle w:val="Caption"/>
      </w:pPr>
      <w:bookmarkStart w:id="4" w:name="_Ref16799182"/>
      <w:bookmarkStart w:id="5" w:name="_Ref10309538"/>
      <w:bookmarkStart w:id="6" w:name="_Ref6235133"/>
      <w:r>
        <w:t xml:space="preserve">Table </w:t>
      </w:r>
      <w:r w:rsidR="00AA525D">
        <w:fldChar w:fldCharType="begin"/>
      </w:r>
      <w:r w:rsidR="00AA525D">
        <w:instrText xml:space="preserve"> SEQ Table \* ARABIC </w:instrText>
      </w:r>
      <w:r w:rsidR="00AA525D">
        <w:fldChar w:fldCharType="separate"/>
      </w:r>
      <w:r w:rsidR="00BA1A2B">
        <w:rPr>
          <w:noProof/>
        </w:rPr>
        <w:t>2</w:t>
      </w:r>
      <w:r w:rsidR="00AA525D">
        <w:rPr>
          <w:noProof/>
        </w:rPr>
        <w:fldChar w:fldCharType="end"/>
      </w:r>
      <w:bookmarkEnd w:id="4"/>
      <w:r>
        <w:t xml:space="preserve">: </w:t>
      </w:r>
      <w:r w:rsidRPr="008D525A">
        <w:rPr>
          <w:b w:val="0"/>
        </w:rPr>
        <w:t>Five Core Research Propositions</w:t>
      </w:r>
    </w:p>
    <w:bookmarkEnd w:id="5"/>
    <w:bookmarkEnd w:id="6"/>
    <w:p w14:paraId="36A68AD0" w14:textId="3682B783" w:rsidR="00CF09F8" w:rsidRPr="001365B0" w:rsidRDefault="009F7615" w:rsidP="00334D11">
      <w:pPr>
        <w:pStyle w:val="Heading3"/>
        <w:keepNext w:val="0"/>
        <w:keepLines w:val="0"/>
      </w:pPr>
      <w:r>
        <w:t xml:space="preserve">RP </w:t>
      </w:r>
      <w:r w:rsidR="008D525A">
        <w:t xml:space="preserve">1: </w:t>
      </w:r>
      <w:r w:rsidR="0020186C">
        <w:t>Ecosystem</w:t>
      </w:r>
      <w:r w:rsidR="009C3569" w:rsidRPr="009C3569">
        <w:t xml:space="preserve"> Data Governance</w:t>
      </w:r>
    </w:p>
    <w:p w14:paraId="773738F9" w14:textId="3ECE1C86" w:rsidR="00362D5E" w:rsidRDefault="00DF318B" w:rsidP="00334D11">
      <w:pPr>
        <w:pStyle w:val="Text01"/>
      </w:pPr>
      <w:r>
        <w:t xml:space="preserve">Our empirical example illustrates that big data in the humanitarian and developmental domains involves relationships that span organisational and national borders that, aside from the material data assets discussed, also tread upon many norms and ideologies </w:t>
      </w:r>
      <w:r>
        <w:fldChar w:fldCharType="begin" w:fldLock="1"/>
      </w:r>
      <w:r>
        <w:instrText>ADDIN CSL_CITATION {"citationItems":[{"id":"ITEM-1","itemData":{"author":[{"dropping-particle":"","family":"Hansen","given":"H K","non-dropping-particle":"","parse-names":false,"suffix":""},{"dropping-particle":"","family":"Porter","given":"T","non-dropping-particle":"","parse-names":false,"suffix":""}],"container-title":"Global Governance","id":"ITEM-1","issue":"1","issued":{"date-parts":[["2017"]]},"note":"Cited By :6\n\nExport Date: 17 May 2019","page":"31-42","title":"What do big data do in global governance?","type":"article-journal","volume":"23"},"uris":["http://www.mendeley.com/documents/?uuid=fd83ac8a-2027-4023-86e4-182a1811a3a7"]}],"mendeley":{"formattedCitation":"(Hansen &amp; Porter, 2017)","plainTextFormattedCitation":"(Hansen &amp; Porter, 2017)","previouslyFormattedCitation":"(Hansen &amp; Porter, 2017)"},"properties":{"noteIndex":0},"schema":"https://github.com/citation-style-language/schema/raw/master/csl-citation.json"}</w:instrText>
      </w:r>
      <w:r>
        <w:fldChar w:fldCharType="separate"/>
      </w:r>
      <w:r w:rsidRPr="007B38E7">
        <w:rPr>
          <w:noProof/>
        </w:rPr>
        <w:t>(Hansen &amp; Porter, 2017)</w:t>
      </w:r>
      <w:r>
        <w:fldChar w:fldCharType="end"/>
      </w:r>
      <w:r>
        <w:t xml:space="preserve">. Moving toward the UN 2030 vision requires bringing together big data from diverse jurisdictions and deploying the outcomes of data analysis transnationally </w:t>
      </w:r>
      <w:r>
        <w:fldChar w:fldCharType="begin" w:fldLock="1"/>
      </w:r>
      <w:r w:rsidR="00B5326B">
        <w:instrText>ADDIN CSL_CITATION {"citationItems":[{"id":"ITEM-1","itemData":{"author":[{"dropping-particle":"","family":"United Nations","given":"","non-dropping-particle":"","parse-names":false,"suffix":""}],"container-title":"Resolution adopted by the General Assembly","id":"ITEM-1","issued":{"date-parts":[["2015"]]},"publisher":"United Nations General Assembly","publisher-place":"New York","title":"Transforming our world: The 2030 agenda for sustainable development","type":"report"},"uris":["http://www.mendeley.com/documents/?uuid=01e911f6-7ffc-4718-80d9-55cb82085348"]}],"mendeley":{"formattedCitation":"(United Nations, 2015d)","plainTextFormattedCitation":"(United Nations, 2015d)","previouslyFormattedCitation":"(United Nations, 2015d)"},"properties":{"noteIndex":0},"schema":"https://github.com/citation-style-language/schema/raw/master/csl-citation.json"}</w:instrText>
      </w:r>
      <w:r>
        <w:fldChar w:fldCharType="separate"/>
      </w:r>
      <w:r w:rsidR="00104B5B" w:rsidRPr="00104B5B">
        <w:rPr>
          <w:noProof/>
        </w:rPr>
        <w:t>(United Nations, 2015d)</w:t>
      </w:r>
      <w:r>
        <w:fldChar w:fldCharType="end"/>
      </w:r>
      <w:r>
        <w:t xml:space="preserve">. </w:t>
      </w:r>
      <w:r w:rsidR="006B6A5C">
        <w:t xml:space="preserve">In broad terms, big data in the humanitarian domain makes strong demands on our current conceptions of </w:t>
      </w:r>
      <w:r w:rsidR="00362D5E">
        <w:t>dat</w:t>
      </w:r>
      <w:r w:rsidR="00B25433">
        <w:t>a</w:t>
      </w:r>
      <w:r w:rsidR="00362D5E">
        <w:t xml:space="preserve"> </w:t>
      </w:r>
      <w:r w:rsidR="006B6A5C">
        <w:t xml:space="preserve">governance. </w:t>
      </w:r>
      <w:r w:rsidR="004A557B">
        <w:t>Existing</w:t>
      </w:r>
      <w:r w:rsidR="00154A6C">
        <w:t xml:space="preserve"> work </w:t>
      </w:r>
      <w:r w:rsidR="004A557B">
        <w:t xml:space="preserve">that </w:t>
      </w:r>
      <w:r w:rsidR="00154A6C">
        <w:t>addresses inter-organisational governance define</w:t>
      </w:r>
      <w:r w:rsidR="004A557B">
        <w:t>s it</w:t>
      </w:r>
      <w:r w:rsidR="00154A6C">
        <w:t xml:space="preserve"> as </w:t>
      </w:r>
      <w:r w:rsidR="00BE12D1">
        <w:t xml:space="preserve">– </w:t>
      </w:r>
      <w:r w:rsidR="00E468F8" w:rsidRPr="006B0FFF">
        <w:rPr>
          <w:i/>
        </w:rPr>
        <w:t>the arrangement of institutions and structures ensuring that individual parties behav</w:t>
      </w:r>
      <w:r w:rsidR="00EB6C41" w:rsidRPr="006B0FFF">
        <w:rPr>
          <w:i/>
        </w:rPr>
        <w:t xml:space="preserve">e in line with collective goals </w:t>
      </w:r>
      <w:r w:rsidR="006B0FFF">
        <w:rPr>
          <w:i/>
        </w:rPr>
        <w:t>with</w:t>
      </w:r>
      <w:r w:rsidR="00E468F8" w:rsidRPr="006B0FFF">
        <w:rPr>
          <w:i/>
        </w:rPr>
        <w:t xml:space="preserve"> </w:t>
      </w:r>
      <w:r w:rsidR="006B0FFF">
        <w:rPr>
          <w:i/>
        </w:rPr>
        <w:t xml:space="preserve">means of </w:t>
      </w:r>
      <w:r w:rsidR="006B0FFF">
        <w:rPr>
          <w:i/>
        </w:rPr>
        <w:lastRenderedPageBreak/>
        <w:t xml:space="preserve">conflict resolution </w:t>
      </w:r>
      <w:r w:rsidR="00E468F8" w:rsidRPr="006B0FFF">
        <w:rPr>
          <w:i/>
        </w:rPr>
        <w:t>in pl</w:t>
      </w:r>
      <w:r w:rsidR="006B0FFF">
        <w:rPr>
          <w:i/>
        </w:rPr>
        <w:t xml:space="preserve">ace and collective resources </w:t>
      </w:r>
      <w:r w:rsidR="00E468F8" w:rsidRPr="006B0FFF">
        <w:rPr>
          <w:i/>
        </w:rPr>
        <w:t>effectively and fairly used</w:t>
      </w:r>
      <w:r w:rsidR="00E468F8">
        <w:t xml:space="preserve"> </w:t>
      </w:r>
      <w:r w:rsidR="00E468F8">
        <w:fldChar w:fldCharType="begin" w:fldLock="1"/>
      </w:r>
      <w:r w:rsidR="007B38E7">
        <w:instrText>ADDIN CSL_CITATION {"citationItems":[{"id":"ITEM-1","itemData":{"DOI":"10.1093/jopart/mum015","author":[{"dropping-particle":"","family":"Provan","given":"K G","non-dropping-particle":"","parse-names":false,"suffix":""},{"dropping-particle":"","family":"Kenis","given":"P","non-dropping-particle":"","parse-names":false,"suffix":""}],"container-title":"Journal of Public Administration Research and Theory","id":"ITEM-1","issue":"2","issued":{"date-parts":[["2008"]]},"note":"Cited By :1118\n\nExport Date: 17 May 2019","page":"229-252","title":"Modes of network governance: Structure, management, and effectiveness","type":"article-journal","volume":"18"},"uris":["http://www.mendeley.com/documents/?uuid=b70cac99-4e63-4c5d-86be-3e6c19e5e35c"]},{"id":"ITEM-2","itemData":{"DOI":"10.1016/j.techfore.2017.09.040","author":[{"dropping-particle":"","family":"Broek","given":"T","non-dropping-particle":"van den","parse-names":false,"suffix":""},{"dropping-particle":"","family":"Veenstra","given":"A F","non-dropping-particle":"van","parse-names":false,"suffix":""}],"container-title":"Technological Forecasting and Social Change","id":"ITEM-2","issued":{"date-parts":[["2018"]]},"note":"Cited By :2\n\nExport Date: 17 May 2019","page":"330-338","title":"Governance of big data collaborations: How to balance regulatory compliance and disruptive innovation","type":"article-journal","volume":"129"},"uris":["http://www.mendeley.com/documents/?uuid=3d510fa9-1439-4297-af6f-a5a4eb718454"]}],"mendeley":{"formattedCitation":"(Provan &amp; Kenis, 2008; van den Broek &amp; van Veenstra, 2018)","plainTextFormattedCitation":"(Provan &amp; Kenis, 2008; van den Broek &amp; van Veenstra, 2018)","previouslyFormattedCitation":"(Provan &amp; Kenis, 2008; van den Broek &amp; van Veenstra, 2018)"},"properties":{"noteIndex":0},"schema":"https://github.com/citation-style-language/schema/raw/master/csl-citation.json"}</w:instrText>
      </w:r>
      <w:r w:rsidR="00E468F8">
        <w:fldChar w:fldCharType="separate"/>
      </w:r>
      <w:r w:rsidR="00510739" w:rsidRPr="00510739">
        <w:rPr>
          <w:noProof/>
        </w:rPr>
        <w:t>(Provan &amp; Kenis, 2008; van den Broek &amp; van Veenstra, 2018)</w:t>
      </w:r>
      <w:r w:rsidR="00E468F8">
        <w:fldChar w:fldCharType="end"/>
      </w:r>
      <w:r w:rsidR="00E468F8">
        <w:t>.</w:t>
      </w:r>
      <w:r w:rsidR="00154A6C">
        <w:t xml:space="preserve"> </w:t>
      </w:r>
      <w:r w:rsidR="00C32E9C">
        <w:t xml:space="preserve">In </w:t>
      </w:r>
      <w:r w:rsidR="00E468F8">
        <w:t xml:space="preserve">achieving the promise of big data, and in </w:t>
      </w:r>
      <w:r w:rsidR="00C32E9C">
        <w:t xml:space="preserve">the empirical case here </w:t>
      </w:r>
      <w:r w:rsidR="00E468F8">
        <w:t xml:space="preserve">however, those </w:t>
      </w:r>
      <w:r w:rsidR="00C32E9C">
        <w:t xml:space="preserve">(implicitly) </w:t>
      </w:r>
      <w:r w:rsidR="00525A54">
        <w:t xml:space="preserve">participating in data </w:t>
      </w:r>
      <w:r w:rsidR="00C32E9C">
        <w:t>integration</w:t>
      </w:r>
      <w:r w:rsidR="00525A54">
        <w:t xml:space="preserve"> have no formal authority over each other</w:t>
      </w:r>
      <w:r w:rsidR="00E468F8">
        <w:t xml:space="preserve"> </w:t>
      </w:r>
      <w:r w:rsidR="00E84489">
        <w:fldChar w:fldCharType="begin" w:fldLock="1"/>
      </w:r>
      <w:r w:rsidR="007B38E7">
        <w:instrText>ADDIN CSL_CITATION {"citationItems":[{"id":"ITEM-1","itemData":{"DOI":"10.1287/isre.1120.0432","author":[{"dropping-particle":"","family":"Chatterjee","given":"D","non-dropping-particle":"","parse-names":false,"suffix":""},{"dropping-particle":"","family":"Ravichandran","given":"T","non-dropping-particle":"","parse-names":false,"suffix":""}],"container-title":"Information Systems Research","id":"ITEM-1","issue":"2","issued":{"date-parts":[["2013"]]},"note":"Cited By :26\n\nExport Date: 17 May 2019","page":"261-278","title":"Governance of interorganizational information systems: A resource dependence perspective","type":"article-journal","volume":"24"},"uris":["http://www.mendeley.com/documents/?uuid=2ef8283d-c97f-4a72-9d97-fe6c9cf3cabe"]}],"mendeley":{"formattedCitation":"(Chatterjee &amp; Ravichandran, 2013)","plainTextFormattedCitation":"(Chatterjee &amp; Ravichandran, 2013)","previouslyFormattedCitation":"(Chatterjee &amp; Ravichandran, 2013)"},"properties":{"noteIndex":0},"schema":"https://github.com/citation-style-language/schema/raw/master/csl-citation.json"}</w:instrText>
      </w:r>
      <w:r w:rsidR="00E84489">
        <w:fldChar w:fldCharType="separate"/>
      </w:r>
      <w:r w:rsidR="00E84489" w:rsidRPr="00E84489">
        <w:rPr>
          <w:noProof/>
        </w:rPr>
        <w:t>(Chatterjee &amp; Ravichandran, 2013)</w:t>
      </w:r>
      <w:r w:rsidR="00E84489">
        <w:fldChar w:fldCharType="end"/>
      </w:r>
      <w:r w:rsidR="00E84489">
        <w:t xml:space="preserve"> </w:t>
      </w:r>
      <w:r w:rsidR="00E468F8">
        <w:t xml:space="preserve">and the </w:t>
      </w:r>
      <w:r w:rsidR="00DD4B6C">
        <w:t xml:space="preserve">ways that </w:t>
      </w:r>
      <w:r w:rsidR="00C32E9C">
        <w:t xml:space="preserve">their (open) </w:t>
      </w:r>
      <w:r w:rsidR="00DD4B6C">
        <w:t xml:space="preserve">data assets </w:t>
      </w:r>
      <w:r w:rsidR="00C32E9C">
        <w:t>were</w:t>
      </w:r>
      <w:r w:rsidR="00DD4B6C">
        <w:t xml:space="preserve"> combined </w:t>
      </w:r>
      <w:r w:rsidR="00E83FA1">
        <w:t xml:space="preserve">in the attempt to produce insight/innovation </w:t>
      </w:r>
      <w:r w:rsidR="00C32E9C">
        <w:t>were not</w:t>
      </w:r>
      <w:r w:rsidR="00DD4B6C">
        <w:t xml:space="preserve"> definable a priori. </w:t>
      </w:r>
      <w:r w:rsidR="004A557B">
        <w:t>Arguably, therefore,</w:t>
      </w:r>
      <w:r w:rsidR="00E83FA1">
        <w:t xml:space="preserve"> </w:t>
      </w:r>
      <w:r w:rsidR="004A557B">
        <w:t xml:space="preserve">work is required on </w:t>
      </w:r>
      <w:r w:rsidR="00C32E9C">
        <w:t>models of data sharing</w:t>
      </w:r>
      <w:r w:rsidR="004A557B">
        <w:t>/governance</w:t>
      </w:r>
      <w:r w:rsidR="00601222">
        <w:t xml:space="preserve"> that are appropriate from an ecosystem perspective. </w:t>
      </w:r>
    </w:p>
    <w:p w14:paraId="32312BCE" w14:textId="2C2BBC6E" w:rsidR="00FB2F21" w:rsidRDefault="00590F4D" w:rsidP="004B4F6B">
      <w:pPr>
        <w:pStyle w:val="Text01"/>
      </w:pPr>
      <w:r>
        <w:t xml:space="preserve">The humanitarian ecosystem as a whole can be argued to contain three core groups of actors defined by their relationship to the flow of aid: </w:t>
      </w:r>
      <w:r w:rsidR="00D36CCE">
        <w:rPr>
          <w:bCs/>
        </w:rPr>
        <w:t>(1)</w:t>
      </w:r>
      <w:r w:rsidR="00A7578E">
        <w:rPr>
          <w:bCs/>
        </w:rPr>
        <w:t xml:space="preserve"> </w:t>
      </w:r>
      <w:r w:rsidR="00E67C3A">
        <w:rPr>
          <w:bCs/>
        </w:rPr>
        <w:t>D</w:t>
      </w:r>
      <w:r w:rsidRPr="0063636A">
        <w:rPr>
          <w:bCs/>
        </w:rPr>
        <w:t>onors</w:t>
      </w:r>
      <w:r w:rsidRPr="00D36CCE">
        <w:rPr>
          <w:bCs/>
        </w:rPr>
        <w:t xml:space="preserve">, </w:t>
      </w:r>
      <w:r w:rsidR="00C74880">
        <w:rPr>
          <w:bCs/>
        </w:rPr>
        <w:t xml:space="preserve">the </w:t>
      </w:r>
      <w:r w:rsidR="00C74880" w:rsidRPr="00D36CCE">
        <w:rPr>
          <w:bCs/>
        </w:rPr>
        <w:t>governmental</w:t>
      </w:r>
      <w:r w:rsidR="00C74880">
        <w:rPr>
          <w:bCs/>
        </w:rPr>
        <w:t xml:space="preserve"> and multilateral agencies, as well as </w:t>
      </w:r>
      <w:r w:rsidR="00A7578E">
        <w:rPr>
          <w:bCs/>
        </w:rPr>
        <w:t>the individuals, who ar</w:t>
      </w:r>
      <w:r w:rsidRPr="00D36CCE">
        <w:rPr>
          <w:bCs/>
        </w:rPr>
        <w:t xml:space="preserve">e </w:t>
      </w:r>
      <w:r w:rsidR="00A7578E">
        <w:rPr>
          <w:bCs/>
        </w:rPr>
        <w:t xml:space="preserve">the </w:t>
      </w:r>
      <w:r w:rsidRPr="00D36CCE">
        <w:rPr>
          <w:bCs/>
        </w:rPr>
        <w:t xml:space="preserve">sources of aid; </w:t>
      </w:r>
      <w:r w:rsidR="00D36CCE">
        <w:rPr>
          <w:bCs/>
        </w:rPr>
        <w:t xml:space="preserve">(2) </w:t>
      </w:r>
      <w:r w:rsidRPr="0063636A">
        <w:rPr>
          <w:bCs/>
        </w:rPr>
        <w:t>executors</w:t>
      </w:r>
      <w:r w:rsidRPr="00D36CCE">
        <w:rPr>
          <w:bCs/>
        </w:rPr>
        <w:t xml:space="preserve">, the non-governmental </w:t>
      </w:r>
      <w:r w:rsidR="00A7578E">
        <w:rPr>
          <w:bCs/>
        </w:rPr>
        <w:t>organisations and not-for-profit entities who</w:t>
      </w:r>
      <w:r w:rsidRPr="00D36CCE">
        <w:rPr>
          <w:bCs/>
        </w:rPr>
        <w:t xml:space="preserve"> compete for aid </w:t>
      </w:r>
      <w:r w:rsidR="00A7578E">
        <w:rPr>
          <w:bCs/>
        </w:rPr>
        <w:t xml:space="preserve">and on receiving it control its </w:t>
      </w:r>
      <w:r w:rsidRPr="00D36CCE">
        <w:rPr>
          <w:bCs/>
        </w:rPr>
        <w:t xml:space="preserve">distribution and allocation; and </w:t>
      </w:r>
      <w:r w:rsidR="00D36CCE">
        <w:rPr>
          <w:bCs/>
        </w:rPr>
        <w:t>(3)</w:t>
      </w:r>
      <w:r w:rsidR="00A7578E">
        <w:rPr>
          <w:bCs/>
        </w:rPr>
        <w:t xml:space="preserve"> </w:t>
      </w:r>
      <w:r w:rsidRPr="0063636A">
        <w:rPr>
          <w:bCs/>
        </w:rPr>
        <w:t>beneficiaries</w:t>
      </w:r>
      <w:r w:rsidRPr="00D36CCE">
        <w:rPr>
          <w:bCs/>
        </w:rPr>
        <w:t xml:space="preserve">, the victims of disaster who are in need of aid. Unsurprisingly, the data </w:t>
      </w:r>
      <w:r w:rsidR="00DB748D" w:rsidRPr="00D36CCE">
        <w:rPr>
          <w:bCs/>
        </w:rPr>
        <w:t xml:space="preserve">assets </w:t>
      </w:r>
      <w:r w:rsidR="00FB2F21" w:rsidRPr="00D36CCE">
        <w:rPr>
          <w:bCs/>
        </w:rPr>
        <w:t>in this ecosystem are</w:t>
      </w:r>
      <w:r w:rsidRPr="00D36CCE">
        <w:rPr>
          <w:bCs/>
        </w:rPr>
        <w:t xml:space="preserve"> predominantly generated, collated, </w:t>
      </w:r>
      <w:proofErr w:type="gramStart"/>
      <w:r w:rsidRPr="00D36CCE">
        <w:rPr>
          <w:bCs/>
        </w:rPr>
        <w:t>held</w:t>
      </w:r>
      <w:proofErr w:type="gramEnd"/>
      <w:r w:rsidRPr="00D36CCE">
        <w:rPr>
          <w:bCs/>
        </w:rPr>
        <w:t xml:space="preserve"> and</w:t>
      </w:r>
      <w:r w:rsidR="00FB2F21" w:rsidRPr="00D36CCE">
        <w:rPr>
          <w:bCs/>
        </w:rPr>
        <w:t xml:space="preserve"> selectively</w:t>
      </w:r>
      <w:r w:rsidRPr="00D36CCE">
        <w:rPr>
          <w:bCs/>
        </w:rPr>
        <w:t xml:space="preserve"> shared by actors from Groups (1) and (2). </w:t>
      </w:r>
      <w:r w:rsidR="00FB2F21">
        <w:t>Now c</w:t>
      </w:r>
      <w:r>
        <w:t xml:space="preserve">onsider some of the </w:t>
      </w:r>
      <w:r w:rsidR="00FB2F21">
        <w:t xml:space="preserve">relevant </w:t>
      </w:r>
      <w:r>
        <w:t>characteristics of this ecosystem</w:t>
      </w:r>
      <w:r w:rsidR="00AE7613">
        <w:t>:</w:t>
      </w:r>
      <w:r>
        <w:t xml:space="preserve"> Vying for aid (a finite resource) from Group 1 (donors) by Group 2 (executors) to address the needs of a seemingly limitless Group 3 (beneficiaries) creates a dynamic that engenders competition when sourcing </w:t>
      </w:r>
      <w:r w:rsidRPr="00BE3FAC">
        <w:rPr>
          <w:i/>
          <w:iCs/>
        </w:rPr>
        <w:t>supply</w:t>
      </w:r>
      <w:r>
        <w:t xml:space="preserve"> (i.e. aid and resources) and not when securing </w:t>
      </w:r>
      <w:r w:rsidRPr="00BE3FAC">
        <w:rPr>
          <w:i/>
          <w:iCs/>
        </w:rPr>
        <w:t>demand</w:t>
      </w:r>
      <w:r>
        <w:t xml:space="preserve"> (i.e.</w:t>
      </w:r>
      <w:r w:rsidR="00E67C3A">
        <w:t>,</w:t>
      </w:r>
      <w:r>
        <w:t xml:space="preserve"> the needs of victims) </w:t>
      </w:r>
      <w:r>
        <w:fldChar w:fldCharType="begin" w:fldLock="1"/>
      </w:r>
      <w:r>
        <w:instrText>ADDIN CSL_CITATION {"citationItems":[{"id":"ITEM-1","itemData":{"ISBN":"1479924024","author":[{"dropping-particle":"","family":"Lycett","given":"Mark","non-dropping-particle":"","parse-names":false,"suffix":""},{"dropping-particle":"","family":"Monaghan","given":"Asmat","non-dropping-particle":"","parse-names":false,"suffix":""}],"id":"ITEM-1","issued":{"date-parts":[["2013"]]},"page":"432-437","publisher":"IEEE","title":"Big data and humanitarian supply networks: Can Big Data give voice to the voiceless?","type":"paper-conference"},"uris":["http://www.mendeley.com/documents/?uuid=fa42d01b-39b4-470f-9395-25774349747b"]}],"mendeley":{"formattedCitation":"(Lycett &amp; Monaghan, 2013)","plainTextFormattedCitation":"(Lycett &amp; Monaghan, 2013)","previouslyFormattedCitation":"(Lycett &amp; Monaghan, 2013)"},"properties":{"noteIndex":0},"schema":"https://github.com/citation-style-language/schema/raw/master/csl-citation.json"}</w:instrText>
      </w:r>
      <w:r>
        <w:fldChar w:fldCharType="separate"/>
      </w:r>
      <w:r w:rsidRPr="003E6C4E">
        <w:rPr>
          <w:noProof/>
        </w:rPr>
        <w:t>(Lycett &amp; Monaghan, 2013)</w:t>
      </w:r>
      <w:r>
        <w:fldChar w:fldCharType="end"/>
      </w:r>
      <w:r>
        <w:t>. Group 2 (executors) must therefore strive to distinguish themselves – e.g.</w:t>
      </w:r>
      <w:r w:rsidR="00E67C3A">
        <w:t>,</w:t>
      </w:r>
      <w:r>
        <w:t xml:space="preserve"> through reputation, impact, innovation, trust, transparency, flexibility etc. – to </w:t>
      </w:r>
      <w:r w:rsidR="00E67C3A">
        <w:t>be seen as</w:t>
      </w:r>
      <w:r>
        <w:t xml:space="preserve"> worthy of being </w:t>
      </w:r>
      <w:r w:rsidRPr="00CA1573">
        <w:t>entrusted</w:t>
      </w:r>
      <w:r>
        <w:t xml:space="preserve"> with other people’s money to satisfy the needs of those struggling to survive </w:t>
      </w:r>
      <w:r>
        <w:fldChar w:fldCharType="begin" w:fldLock="1"/>
      </w:r>
      <w:r>
        <w:instrText>ADDIN CSL_CITATION {"citationItems":[{"id":"ITEM-1","itemData":{"author":[{"dropping-particle":"","family":"The Lancet","given":"","non-dropping-particle":"","parse-names":false,"suffix":""}],"container-title":"The Lancet","id":"ITEM-1","issued":{"date-parts":[["2010"]]},"language":"English","page":"253 (Editorial)","publisher":"The Lancet","title":"Growth of aid and the decline of humanitarianism","title-short":"The Lancet","type":"article-journal","volume":"375"},"uris":["http://www.mendeley.com/documents/?uuid=80a7fad3-3d06-4c52-98b9-a3a8b5e8e582"]},{"id":"ITEM-2","itemData":{"ISBN":"978-0199544462","author":[{"dropping-particle":"","family":"Riddell","given":"Roger C","non-dropping-particle":"","parse-names":false,"suffix":""}],"chapter-number":"18","container-title":"Does Foreign Aid Really Work?","id":"ITEM-2","issued":{"date-parts":[["2008"]]},"note":"Amazon Summary\n\n&amp;quot;Foreign aid is now a $100bn business and is expanding more rapidly today than it has for a generation. But does it work? Indeed, is it needed at all?\nOther attempts to answer these important questions have been dominated by a focus on the impact of official aid provided by governments. But today possibly as much as 30 percent of aid is provided by Non-Governmental Organizations (NGOs), and over 10 percent is provided as emergency assistance.\nIn this first-ever attempt to provide an overall assessment of aid, Roger Riddell presents a rigorous but highly readable account of aid, warts and all. Does Foreign Aid Really Work? sets out the evidence and exposes the instances where aid has failed and explains why. The book also examines the way that politics distorts aid, and disentangles the moral and ethical assumptions that lie behind the belief that aid does good. The book concludes by detailing the practical ways that aid needs to change if it is to be the effective force for good that its providers claim it is.&amp;quot;","page":"311-324","publisher":"Oxford University Press","publisher-place":"Oxford, United Kingdom","title":"The growth of emergencies and the humanitarian response","type":"chapter"},"uris":["http://www.mendeley.com/documents/?uuid=8325730b-1ee7-43b0-88ba-d11a96b1f40d"]},{"id":"ITEM-3","itemData":{"DOI":"10.1111/j.0361-3666.2005.00296.x","ISBN":"1467-7717","abstract":"Effective coordination of humanitarian assistance activities remains elusive. This paper briefly addresses some of the reasons for what is widely perceived as a coordination dilemma in humanitarian affairs and argues for a new conceptualisation of the issue. Rather than continue to request that more authority be vested in a single organisation to secure coordination through top-down control, it contends that it may be timely to consider whether relief agencies involved in an emergency should be reconceived as social networks and efforts made to achieve changes in their organizational cultures that encourage operational coordination across institutional lines. Since such labours imply the need to trust, this article explores what forms of trust might be employed to promote improved coordination among relief institutions and how those relationships could themselves be conceptualised. Finally, while acknowledging that coordination is not costless, it suggests that its effective pursuit may be advantageous even in scenarios where aid organisations balk at cooperating to secure it.","author":[{"dropping-particle":"","family":"Stephenson","given":"Max","non-dropping-particle":"","parse-names":false,"suffix":""}],"container-title":"Disasters","id":"ITEM-3","issue":"4","issued":{"date-parts":[["2005"]]},"page":"337-350","publisher":"Blackwell Science Ltd","title":"Making humanitarian relief networks more effective: operational coordination, trust and sense making","type":"article-journal","volume":"29"},"uris":["http://www.mendeley.com/documents/?uuid=3ac45515-9f07-40e0-b651-df6553e48707"]}],"mendeley":{"formattedCitation":"(Riddell, 2008; Stephenson, 2005; The Lancet, 2010)","plainTextFormattedCitation":"(Riddell, 2008; Stephenson, 2005; The Lancet, 2010)","previouslyFormattedCitation":"(Riddell, 2008; Stephenson, 2005; The Lancet, 2010)"},"properties":{"noteIndex":0},"schema":"https://github.com/citation-style-language/schema/raw/master/csl-citation.json"}</w:instrText>
      </w:r>
      <w:r>
        <w:fldChar w:fldCharType="separate"/>
      </w:r>
      <w:r w:rsidRPr="00101760">
        <w:rPr>
          <w:noProof/>
        </w:rPr>
        <w:t>(Riddell, 2008; Stephenson, 2005; The Lancet, 2010)</w:t>
      </w:r>
      <w:r>
        <w:fldChar w:fldCharType="end"/>
      </w:r>
      <w:r>
        <w:t xml:space="preserve">.  </w:t>
      </w:r>
      <w:r w:rsidR="00FB2F21">
        <w:t>Consequently, t</w:t>
      </w:r>
      <w:r w:rsidR="00DB748D">
        <w:t xml:space="preserve">his is not an ecosystem that is conducive to data sharing when there is a </w:t>
      </w:r>
      <w:r w:rsidR="00FB2F21">
        <w:t>possibility of</w:t>
      </w:r>
      <w:r w:rsidR="00DB748D">
        <w:t xml:space="preserve"> competitive disadvantage </w:t>
      </w:r>
      <w:r w:rsidR="006900C3">
        <w:t xml:space="preserve">in the acquisition of aid and resources. </w:t>
      </w:r>
    </w:p>
    <w:p w14:paraId="2E5DCE7B" w14:textId="55DB6848" w:rsidR="006900C3" w:rsidRDefault="00FB2F21" w:rsidP="004B4F6B">
      <w:pPr>
        <w:pStyle w:val="Text01"/>
      </w:pPr>
      <w:r>
        <w:t xml:space="preserve">Other factors likely to affect the fit of </w:t>
      </w:r>
      <w:r w:rsidR="00725BD8" w:rsidRPr="00725BD8">
        <w:rPr>
          <w:i/>
        </w:rPr>
        <w:t xml:space="preserve">a </w:t>
      </w:r>
      <w:r w:rsidRPr="00725BD8">
        <w:rPr>
          <w:i/>
        </w:rPr>
        <w:t>humanitarian eco</w:t>
      </w:r>
      <w:r w:rsidR="00725BD8" w:rsidRPr="00725BD8">
        <w:rPr>
          <w:i/>
        </w:rPr>
        <w:t>system data governance model</w:t>
      </w:r>
      <w:r w:rsidR="00725BD8">
        <w:t xml:space="preserve"> are the need for privacy and the effect of power. While there is a genuine need for data privacy (and </w:t>
      </w:r>
      <w:r w:rsidR="00F81D85">
        <w:t xml:space="preserve"> </w:t>
      </w:r>
      <w:r w:rsidR="00725BD8">
        <w:t xml:space="preserve">security), especially where the data pertains to the extreme vulnerabilities of the victims of disasters that it may help locate and identify </w:t>
      </w:r>
      <w:r w:rsidR="00725BD8">
        <w:fldChar w:fldCharType="begin" w:fldLock="1"/>
      </w:r>
      <w:r w:rsidR="00D16D6A">
        <w:instrText>ADDIN CSL_CITATION {"citationItems":[{"id":"ITEM-1","itemData":{"author":[{"dropping-particle":"","family":"Marelli","given":"Massimo","non-dropping-particle":"","parse-names":false,"suffix":""},{"dropping-particle":"","family":"Apraxine","given":"Pierre","non-dropping-particle":"","parse-names":false,"suffix":""},{"dropping-particle":"","family":"Bircher","given":"Romain","non-dropping-particle":"","parse-names":false,"suffix":""},{"dropping-particle":"","family":"Kuner","given":"Christopher","non-dropping-particle":"","parse-names":false,"suffix":""},{"dropping-particle":"","family":"Papakonstantinou","given":"Vagelis","non-dropping-particle":"","parse-names":false,"suffix":""},{"dropping-particle":"","family":"Jasmontaite","given":"Lina","non-dropping-particle":"","parse-names":false,"suffix":""},{"dropping-particle":"","family":"Konstantinou","given":"Ioulia","non-dropping-particle":"","parse-names":false,"suffix":""},{"dropping-particle":"","family":"Weatherburn","given":"Amy","non-dropping-particle":"","parse-names":false,"suffix":""},{"dropping-particle":"","family":"Lennman","given":"Catherine","non-dropping-particle":"","parse-names":false,"suffix":""},{"dropping-particle":"","family":"Bosch","given":"Alba","non-dropping-particle":"","parse-names":false,"suffix":""},{"dropping-particle":"","family":"Brass","given":"Caroline Dulin","non-dropping-particle":"","parse-names":false,"suffix":""},{"dropping-particle":"","family":"Kokkinaki","given":"Christina Vasala","non-dropping-particle":"","parse-names":false,"suffix":""},{"dropping-particle":"","family":"Haskell","given":"Leslie","non-dropping-particle":"","parse-names":false,"suffix":""},{"dropping-particle":"","family":"(ICRC);","given":"International Committee of the Red Cross","non-dropping-particle":"","parse-names":false,"suffix":""},{"dropping-particle":"","family":"(VUB)","given":"Brussels Privacy Hub (BPH) an entity of Vrije Universiteit Brussel","non-dropping-particle":"","parse-names":false,"suffix":""}],"container-title":"ICRC","editor":[{"dropping-particle":"","family":"Kuner","given":"Christopher","non-dropping-particle":"","parse-names":false,"suffix":""},{"dropping-particle":"","family":"Marelli","given":"Massimo","non-dropping-particle":"","parse-names":false,"suffix":""}],"id":"ITEM-1","issued":{"date-parts":[["2017"]]},"number-of-pages":"164","publisher":"International Committee of the Red Cross (ICRC); Brussels Privacy Hub (BPH) an entity of Vrije Universiteit Brussel (VUB)","title":"Handbook on Data Protection in Humanitarian Action","type":"report"},"uris":["http://www.mendeley.com/documents/?uuid=24f23381-a14d-484c-8e30-8ddf7c69bb50"]}],"mendeley":{"formattedCitation":"(Marelli et al., 2017)","plainTextFormattedCitation":"(Marelli et al., 2017)","previouslyFormattedCitation":"(Marelli et al., 2017)"},"properties":{"noteIndex":0},"schema":"https://github.com/citation-style-language/schema/raw/master/csl-citation.json"}</w:instrText>
      </w:r>
      <w:r w:rsidR="00725BD8">
        <w:fldChar w:fldCharType="separate"/>
      </w:r>
      <w:r w:rsidR="00725BD8" w:rsidRPr="005F3F9B">
        <w:rPr>
          <w:noProof/>
        </w:rPr>
        <w:t>(Marelli et al., 2017)</w:t>
      </w:r>
      <w:r w:rsidR="00725BD8">
        <w:fldChar w:fldCharType="end"/>
      </w:r>
      <w:r w:rsidR="00725BD8">
        <w:t xml:space="preserve">, the effect of power </w:t>
      </w:r>
      <w:r w:rsidR="002D76B2">
        <w:t>can be</w:t>
      </w:r>
      <w:r w:rsidR="00E03032">
        <w:t xml:space="preserve"> </w:t>
      </w:r>
      <w:r w:rsidR="00725BD8">
        <w:t>less obvious.</w:t>
      </w:r>
      <w:r w:rsidR="00C00427">
        <w:t xml:space="preserve"> </w:t>
      </w:r>
      <w:r w:rsidR="00726D18">
        <w:t>When it comes to money, c</w:t>
      </w:r>
      <w:r w:rsidR="002D76B2">
        <w:t xml:space="preserve">ommon sense dictates that the flow of power correlates with the flow of </w:t>
      </w:r>
      <w:r w:rsidR="005B7459">
        <w:t>aid (</w:t>
      </w:r>
      <w:r w:rsidR="002D76B2">
        <w:t>funds</w:t>
      </w:r>
      <w:r w:rsidR="005B7459">
        <w:t>)</w:t>
      </w:r>
      <w:r w:rsidR="002D76B2">
        <w:t>,</w:t>
      </w:r>
      <w:r w:rsidR="00964B97">
        <w:t xml:space="preserve"> with the source of aid</w:t>
      </w:r>
      <w:r w:rsidR="00E67C3A">
        <w:t xml:space="preserve"> –</w:t>
      </w:r>
      <w:r w:rsidR="00964B97">
        <w:t xml:space="preserve"> i.e.</w:t>
      </w:r>
      <w:r w:rsidR="00E67C3A">
        <w:t>,</w:t>
      </w:r>
      <w:r w:rsidR="00964B97">
        <w:t xml:space="preserve"> Group 1 </w:t>
      </w:r>
      <w:r w:rsidR="00964B97">
        <w:lastRenderedPageBreak/>
        <w:t>(donors), having the</w:t>
      </w:r>
      <w:r w:rsidR="002D76B2">
        <w:t xml:space="preserve"> most power and </w:t>
      </w:r>
      <w:r w:rsidR="00964B97">
        <w:t>Group 3 (beneficiaries) having the leas</w:t>
      </w:r>
      <w:r w:rsidR="00E67C3A">
        <w:t>t</w:t>
      </w:r>
      <w:r w:rsidR="002D76B2">
        <w:t>.</w:t>
      </w:r>
      <w:r w:rsidR="00964B97">
        <w:t xml:space="preserve"> D</w:t>
      </w:r>
      <w:r w:rsidR="00F81D85">
        <w:t xml:space="preserve">ata assets </w:t>
      </w:r>
      <w:r w:rsidR="00964B97">
        <w:t xml:space="preserve">however </w:t>
      </w:r>
      <w:r w:rsidR="006900C3">
        <w:t>can obscure the power of those</w:t>
      </w:r>
      <w:r w:rsidR="00726D18">
        <w:t xml:space="preserve"> who: (a) </w:t>
      </w:r>
      <w:r w:rsidR="00E67C3A">
        <w:t>C</w:t>
      </w:r>
      <w:r w:rsidR="00726D18">
        <w:t xml:space="preserve">reate them; (b) </w:t>
      </w:r>
      <w:r w:rsidR="006900C3">
        <w:t>interven</w:t>
      </w:r>
      <w:r w:rsidR="00726D18">
        <w:t xml:space="preserve">e to recalibrate them; (c) </w:t>
      </w:r>
      <w:r w:rsidR="006900C3">
        <w:t>use them to reinforce and/or l</w:t>
      </w:r>
      <w:r w:rsidR="00083550">
        <w:t xml:space="preserve">everage their power; or (d) </w:t>
      </w:r>
      <w:r w:rsidR="006900C3">
        <w:t xml:space="preserve">use the data that is generated to extend their power into new spaces </w:t>
      </w:r>
      <w:r w:rsidR="006900C3">
        <w:fldChar w:fldCharType="begin" w:fldLock="1"/>
      </w:r>
      <w:r w:rsidR="006900C3">
        <w:instrText>ADDIN CSL_CITATION {"citationItems":[{"id":"ITEM-1","itemData":{"author":[{"dropping-particle":"","family":"Hansen","given":"H K","non-dropping-particle":"","parse-names":false,"suffix":""},{"dropping-particle":"","family":"Porter","given":"T","non-dropping-particle":"","parse-names":false,"suffix":""}],"container-title":"Global Governance","id":"ITEM-1","issue":"1","issued":{"date-parts":[["2017"]]},"note":"Cited By :6\n\nExport Date: 17 May 2019","page":"31-42","title":"What do big data do in global governance?","type":"article-journal","volume":"23"},"uris":["http://www.mendeley.com/documents/?uuid=fd83ac8a-2027-4023-86e4-182a1811a3a7"]}],"mendeley":{"formattedCitation":"(Hansen &amp; Porter, 2017)","plainTextFormattedCitation":"(Hansen &amp; Porter, 2017)","previouslyFormattedCitation":"(Hansen &amp; Porter, 2017)"},"properties":{"noteIndex":0},"schema":"https://github.com/citation-style-language/schema/raw/master/csl-citation.json"}</w:instrText>
      </w:r>
      <w:r w:rsidR="006900C3">
        <w:fldChar w:fldCharType="separate"/>
      </w:r>
      <w:r w:rsidR="006900C3" w:rsidRPr="007B38E7">
        <w:rPr>
          <w:noProof/>
        </w:rPr>
        <w:t>(Hansen &amp; Porter, 2017)</w:t>
      </w:r>
      <w:r w:rsidR="006900C3">
        <w:fldChar w:fldCharType="end"/>
      </w:r>
      <w:r w:rsidR="006900C3">
        <w:t xml:space="preserve">. Arguably, and likely unwittingly, the limitations of the data assets integrated in our empirical </w:t>
      </w:r>
      <w:r w:rsidR="0069068B">
        <w:t>case</w:t>
      </w:r>
      <w:r w:rsidR="006900C3">
        <w:t xml:space="preserve"> provides good example of the exercise of such power that limits the greater good in relation to the analysis and action in the humanitarian domain. </w:t>
      </w:r>
    </w:p>
    <w:p w14:paraId="7803D976" w14:textId="559209DD" w:rsidR="000431F0" w:rsidRDefault="009F7615" w:rsidP="004B4F6B">
      <w:pPr>
        <w:pStyle w:val="Text01"/>
      </w:pPr>
      <w:r>
        <w:t>G</w:t>
      </w:r>
      <w:r w:rsidR="00DC1097">
        <w:t xml:space="preserve">overnance models from an ecosystem perspective have received little consideration to date. </w:t>
      </w:r>
      <w:r w:rsidR="00154A6C">
        <w:t>In inter</w:t>
      </w:r>
      <w:r w:rsidR="006B0FFF">
        <w:t>-</w:t>
      </w:r>
      <w:r w:rsidR="00DC1097">
        <w:t xml:space="preserve">organisational situations </w:t>
      </w:r>
      <w:r w:rsidR="00EB16C8">
        <w:t xml:space="preserve">the extant </w:t>
      </w:r>
      <w:r w:rsidR="00154A6C">
        <w:t>literature points to four potential models of governance that differ in their balance between the need</w:t>
      </w:r>
      <w:r w:rsidR="00BF74FA">
        <w:t xml:space="preserve"> for</w:t>
      </w:r>
      <w:r w:rsidR="000431F0">
        <w:t xml:space="preserve"> </w:t>
      </w:r>
      <w:r w:rsidR="00154A6C">
        <w:t>c</w:t>
      </w:r>
      <w:r w:rsidR="0023060A">
        <w:t xml:space="preserve">ontrol </w:t>
      </w:r>
      <w:r w:rsidR="00E279C2">
        <w:t xml:space="preserve">(e.g. </w:t>
      </w:r>
      <w:r w:rsidR="00DC1097">
        <w:t>privacy</w:t>
      </w:r>
      <w:r w:rsidR="00E279C2">
        <w:t xml:space="preserve"> and </w:t>
      </w:r>
      <w:r w:rsidR="00DC1097">
        <w:t>security</w:t>
      </w:r>
      <w:r w:rsidR="00E279C2">
        <w:t>; development and enforcement of standards</w:t>
      </w:r>
      <w:r w:rsidR="00DC1097">
        <w:t xml:space="preserve">) </w:t>
      </w:r>
      <w:r w:rsidR="0023060A">
        <w:t>and fostering innovation</w:t>
      </w:r>
      <w:r w:rsidR="000431F0">
        <w:t xml:space="preserve"> </w:t>
      </w:r>
      <w:r w:rsidR="00E279C2">
        <w:t xml:space="preserve">(e.g. flexibility; collaboration; independence). </w:t>
      </w:r>
      <w:r w:rsidR="00753993">
        <w:fldChar w:fldCharType="begin"/>
      </w:r>
      <w:r w:rsidR="00753993">
        <w:instrText xml:space="preserve"> REF _Ref12624690 \h </w:instrText>
      </w:r>
      <w:r w:rsidR="00753993">
        <w:fldChar w:fldCharType="separate"/>
      </w:r>
      <w:r w:rsidR="00BA1A2B">
        <w:t xml:space="preserve">Table </w:t>
      </w:r>
      <w:r w:rsidR="00BA1A2B">
        <w:rPr>
          <w:noProof/>
        </w:rPr>
        <w:t>3</w:t>
      </w:r>
      <w:r w:rsidR="00753993">
        <w:fldChar w:fldCharType="end"/>
      </w:r>
      <w:r w:rsidR="00E67C3A">
        <w:t xml:space="preserve"> </w:t>
      </w:r>
      <w:r w:rsidR="00E279C2">
        <w:t>maps facets of an ecosystem to the types of data governance models that may suit</w:t>
      </w:r>
      <w:r w:rsidR="00E67C3A">
        <w:t>.</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22"/>
        <w:gridCol w:w="1829"/>
        <w:gridCol w:w="1809"/>
        <w:gridCol w:w="1820"/>
        <w:gridCol w:w="1822"/>
      </w:tblGrid>
      <w:tr w:rsidR="00D36CCE" w:rsidRPr="00D36CCE" w14:paraId="3F649488" w14:textId="77777777" w:rsidTr="00E2564C">
        <w:trPr>
          <w:cantSplit/>
          <w:tblHeader/>
        </w:trPr>
        <w:tc>
          <w:tcPr>
            <w:tcW w:w="1622" w:type="dxa"/>
            <w:vMerge w:val="restart"/>
            <w:shd w:val="clear" w:color="auto" w:fill="F2F2F2" w:themeFill="background1" w:themeFillShade="F2"/>
            <w:vAlign w:val="center"/>
          </w:tcPr>
          <w:p w14:paraId="636B5634" w14:textId="203120DB" w:rsidR="00D36CCE" w:rsidRPr="009255DA" w:rsidRDefault="00D36CCE" w:rsidP="009255DA">
            <w:pPr>
              <w:pStyle w:val="NoSpacing"/>
              <w:jc w:val="center"/>
              <w:rPr>
                <w:b/>
                <w:bCs/>
                <w:sz w:val="22"/>
                <w:szCs w:val="18"/>
              </w:rPr>
            </w:pPr>
            <w:r w:rsidRPr="009255DA">
              <w:rPr>
                <w:b/>
                <w:bCs/>
                <w:sz w:val="22"/>
                <w:szCs w:val="18"/>
              </w:rPr>
              <w:t>Facets</w:t>
            </w:r>
          </w:p>
        </w:tc>
        <w:tc>
          <w:tcPr>
            <w:tcW w:w="7280" w:type="dxa"/>
            <w:gridSpan w:val="4"/>
            <w:shd w:val="clear" w:color="auto" w:fill="F2F2F2" w:themeFill="background1" w:themeFillShade="F2"/>
          </w:tcPr>
          <w:p w14:paraId="0F22A6C5" w14:textId="0B756050" w:rsidR="00D36CCE" w:rsidRPr="0063636A" w:rsidRDefault="00D36CCE" w:rsidP="0063636A">
            <w:pPr>
              <w:pStyle w:val="NoSpacing"/>
              <w:jc w:val="center"/>
              <w:rPr>
                <w:b/>
                <w:bCs/>
                <w:sz w:val="18"/>
                <w:szCs w:val="18"/>
              </w:rPr>
            </w:pPr>
            <w:r w:rsidRPr="0063636A">
              <w:rPr>
                <w:b/>
                <w:bCs/>
                <w:sz w:val="18"/>
                <w:szCs w:val="18"/>
              </w:rPr>
              <w:t>Type of Model</w:t>
            </w:r>
          </w:p>
        </w:tc>
      </w:tr>
      <w:tr w:rsidR="00D36CCE" w:rsidRPr="00D36CCE" w14:paraId="01AB4447" w14:textId="77777777" w:rsidTr="00E2564C">
        <w:trPr>
          <w:cantSplit/>
          <w:tblHeader/>
        </w:trPr>
        <w:tc>
          <w:tcPr>
            <w:tcW w:w="1622" w:type="dxa"/>
            <w:vMerge/>
            <w:shd w:val="clear" w:color="auto" w:fill="F2F2F2" w:themeFill="background1" w:themeFillShade="F2"/>
            <w:vAlign w:val="center"/>
          </w:tcPr>
          <w:p w14:paraId="10A2EB64" w14:textId="77777777" w:rsidR="00D36CCE" w:rsidRPr="0063636A" w:rsidRDefault="00D36CCE" w:rsidP="009255DA">
            <w:pPr>
              <w:pStyle w:val="NoSpacing"/>
              <w:rPr>
                <w:b/>
                <w:bCs/>
                <w:sz w:val="18"/>
                <w:szCs w:val="18"/>
              </w:rPr>
            </w:pPr>
          </w:p>
        </w:tc>
        <w:tc>
          <w:tcPr>
            <w:tcW w:w="1829" w:type="dxa"/>
            <w:shd w:val="clear" w:color="auto" w:fill="F2F2F2" w:themeFill="background1" w:themeFillShade="F2"/>
          </w:tcPr>
          <w:p w14:paraId="552D27D4" w14:textId="1802D5D7" w:rsidR="00D36CCE" w:rsidRPr="0063636A" w:rsidRDefault="00D36CCE" w:rsidP="009255DA">
            <w:pPr>
              <w:pStyle w:val="NoSpacing"/>
              <w:jc w:val="center"/>
              <w:rPr>
                <w:b/>
                <w:bCs/>
                <w:sz w:val="18"/>
                <w:szCs w:val="18"/>
              </w:rPr>
            </w:pPr>
            <w:r w:rsidRPr="0063636A">
              <w:rPr>
                <w:b/>
                <w:bCs/>
                <w:sz w:val="18"/>
                <w:szCs w:val="18"/>
              </w:rPr>
              <w:t>Market</w:t>
            </w:r>
          </w:p>
        </w:tc>
        <w:tc>
          <w:tcPr>
            <w:tcW w:w="1809" w:type="dxa"/>
            <w:shd w:val="clear" w:color="auto" w:fill="F2F2F2" w:themeFill="background1" w:themeFillShade="F2"/>
          </w:tcPr>
          <w:p w14:paraId="405DDB50" w14:textId="70448A17" w:rsidR="00D36CCE" w:rsidRPr="0063636A" w:rsidRDefault="00D36CCE" w:rsidP="009255DA">
            <w:pPr>
              <w:pStyle w:val="NoSpacing"/>
              <w:jc w:val="center"/>
              <w:rPr>
                <w:b/>
                <w:bCs/>
                <w:sz w:val="18"/>
                <w:szCs w:val="18"/>
              </w:rPr>
            </w:pPr>
            <w:r w:rsidRPr="0063636A">
              <w:rPr>
                <w:b/>
                <w:bCs/>
                <w:sz w:val="18"/>
                <w:szCs w:val="18"/>
              </w:rPr>
              <w:t>Bazaar</w:t>
            </w:r>
          </w:p>
        </w:tc>
        <w:tc>
          <w:tcPr>
            <w:tcW w:w="1820" w:type="dxa"/>
            <w:shd w:val="clear" w:color="auto" w:fill="F2F2F2" w:themeFill="background1" w:themeFillShade="F2"/>
          </w:tcPr>
          <w:p w14:paraId="6BB36A18" w14:textId="01A57DC4" w:rsidR="00D36CCE" w:rsidRPr="0063636A" w:rsidRDefault="00D36CCE" w:rsidP="009255DA">
            <w:pPr>
              <w:pStyle w:val="NoSpacing"/>
              <w:jc w:val="center"/>
              <w:rPr>
                <w:b/>
                <w:bCs/>
                <w:sz w:val="18"/>
                <w:szCs w:val="18"/>
              </w:rPr>
            </w:pPr>
            <w:r w:rsidRPr="0063636A">
              <w:rPr>
                <w:b/>
                <w:bCs/>
                <w:sz w:val="18"/>
                <w:szCs w:val="18"/>
              </w:rPr>
              <w:t>Hierarchy</w:t>
            </w:r>
          </w:p>
        </w:tc>
        <w:tc>
          <w:tcPr>
            <w:tcW w:w="1822" w:type="dxa"/>
            <w:shd w:val="clear" w:color="auto" w:fill="F2F2F2" w:themeFill="background1" w:themeFillShade="F2"/>
          </w:tcPr>
          <w:p w14:paraId="5CFA1959" w14:textId="005F2557" w:rsidR="00D36CCE" w:rsidRPr="0063636A" w:rsidRDefault="00D36CCE" w:rsidP="009255DA">
            <w:pPr>
              <w:pStyle w:val="NoSpacing"/>
              <w:jc w:val="center"/>
              <w:rPr>
                <w:b/>
                <w:bCs/>
                <w:sz w:val="18"/>
                <w:szCs w:val="18"/>
              </w:rPr>
            </w:pPr>
            <w:r w:rsidRPr="0063636A">
              <w:rPr>
                <w:b/>
                <w:bCs/>
                <w:sz w:val="18"/>
                <w:szCs w:val="18"/>
              </w:rPr>
              <w:t>Network</w:t>
            </w:r>
          </w:p>
        </w:tc>
      </w:tr>
      <w:tr w:rsidR="00D36CCE" w:rsidRPr="000C4E35" w14:paraId="2D27B604" w14:textId="77777777" w:rsidTr="00334D11">
        <w:tc>
          <w:tcPr>
            <w:tcW w:w="1622" w:type="dxa"/>
            <w:shd w:val="clear" w:color="auto" w:fill="F2F2F2" w:themeFill="background1" w:themeFillShade="F2"/>
            <w:vAlign w:val="center"/>
          </w:tcPr>
          <w:p w14:paraId="2266FC36" w14:textId="429A3A3F" w:rsidR="00D36CCE" w:rsidRPr="000C4E35" w:rsidRDefault="00D36CCE" w:rsidP="000C4E35">
            <w:pPr>
              <w:pStyle w:val="NoSpacing"/>
              <w:spacing w:before="60" w:after="60"/>
              <w:rPr>
                <w:b/>
                <w:bCs/>
                <w:sz w:val="18"/>
                <w:szCs w:val="18"/>
              </w:rPr>
            </w:pPr>
            <w:r w:rsidRPr="000C4E35">
              <w:rPr>
                <w:b/>
                <w:bCs/>
                <w:sz w:val="18"/>
                <w:szCs w:val="18"/>
              </w:rPr>
              <w:t>Normative Basis</w:t>
            </w:r>
          </w:p>
        </w:tc>
        <w:tc>
          <w:tcPr>
            <w:tcW w:w="1829" w:type="dxa"/>
            <w:shd w:val="clear" w:color="auto" w:fill="auto"/>
            <w:vAlign w:val="center"/>
          </w:tcPr>
          <w:p w14:paraId="63E661BC" w14:textId="1F500CC9" w:rsidR="00D36CCE" w:rsidRPr="000C4E35" w:rsidRDefault="00D36CCE" w:rsidP="00334D11">
            <w:pPr>
              <w:pStyle w:val="NoSpacing"/>
              <w:spacing w:before="60" w:after="60"/>
              <w:jc w:val="center"/>
              <w:rPr>
                <w:sz w:val="18"/>
                <w:szCs w:val="18"/>
              </w:rPr>
            </w:pPr>
            <w:r w:rsidRPr="000C4E35">
              <w:rPr>
                <w:rFonts w:cstheme="minorHAnsi"/>
                <w:sz w:val="18"/>
                <w:szCs w:val="18"/>
              </w:rPr>
              <w:t>Intellectual property</w:t>
            </w:r>
          </w:p>
        </w:tc>
        <w:tc>
          <w:tcPr>
            <w:tcW w:w="1809" w:type="dxa"/>
            <w:shd w:val="clear" w:color="auto" w:fill="auto"/>
            <w:vAlign w:val="center"/>
          </w:tcPr>
          <w:p w14:paraId="18404A08" w14:textId="3EBFEE13" w:rsidR="00D36CCE" w:rsidRPr="000C4E35" w:rsidRDefault="00D36CCE" w:rsidP="00334D11">
            <w:pPr>
              <w:pStyle w:val="NoSpacing"/>
              <w:spacing w:before="60" w:after="60"/>
              <w:jc w:val="center"/>
              <w:rPr>
                <w:sz w:val="18"/>
                <w:szCs w:val="18"/>
              </w:rPr>
            </w:pPr>
            <w:r w:rsidRPr="000C4E35">
              <w:rPr>
                <w:rFonts w:cstheme="minorHAnsi"/>
                <w:sz w:val="18"/>
                <w:szCs w:val="18"/>
              </w:rPr>
              <w:t>Open license</w:t>
            </w:r>
          </w:p>
        </w:tc>
        <w:tc>
          <w:tcPr>
            <w:tcW w:w="1820" w:type="dxa"/>
            <w:shd w:val="clear" w:color="auto" w:fill="auto"/>
            <w:vAlign w:val="center"/>
          </w:tcPr>
          <w:p w14:paraId="641D1E53" w14:textId="77777777" w:rsidR="00D36CCE" w:rsidRPr="000C4E35" w:rsidRDefault="00D36CCE" w:rsidP="00334D11">
            <w:pPr>
              <w:pStyle w:val="NoSpacing"/>
              <w:spacing w:before="60" w:after="60"/>
              <w:jc w:val="center"/>
              <w:rPr>
                <w:rFonts w:cstheme="minorHAnsi"/>
                <w:sz w:val="18"/>
                <w:szCs w:val="18"/>
              </w:rPr>
            </w:pPr>
            <w:r w:rsidRPr="000C4E35">
              <w:rPr>
                <w:rFonts w:cstheme="minorHAnsi"/>
                <w:sz w:val="18"/>
                <w:szCs w:val="18"/>
              </w:rPr>
              <w:t>Bureaucracy/</w:t>
            </w:r>
          </w:p>
          <w:p w14:paraId="7564DB7C" w14:textId="4C2144AC" w:rsidR="00D36CCE" w:rsidRPr="000C4E35" w:rsidRDefault="00D36CCE" w:rsidP="00334D11">
            <w:pPr>
              <w:pStyle w:val="NoSpacing"/>
              <w:spacing w:before="60" w:after="60"/>
              <w:jc w:val="center"/>
              <w:rPr>
                <w:sz w:val="18"/>
                <w:szCs w:val="18"/>
              </w:rPr>
            </w:pPr>
            <w:r w:rsidRPr="000C4E35">
              <w:rPr>
                <w:rFonts w:cstheme="minorHAnsi"/>
                <w:sz w:val="18"/>
                <w:szCs w:val="18"/>
              </w:rPr>
              <w:t>centralised control</w:t>
            </w:r>
          </w:p>
        </w:tc>
        <w:tc>
          <w:tcPr>
            <w:tcW w:w="1822" w:type="dxa"/>
            <w:shd w:val="clear" w:color="auto" w:fill="auto"/>
            <w:vAlign w:val="center"/>
          </w:tcPr>
          <w:p w14:paraId="3945284C" w14:textId="33545141" w:rsidR="00D36CCE" w:rsidRPr="000C4E35" w:rsidRDefault="00D36CCE" w:rsidP="00334D11">
            <w:pPr>
              <w:pStyle w:val="NoSpacing"/>
              <w:spacing w:before="60" w:after="60"/>
              <w:jc w:val="center"/>
              <w:rPr>
                <w:sz w:val="18"/>
                <w:szCs w:val="18"/>
              </w:rPr>
            </w:pPr>
            <w:r w:rsidRPr="000C4E35">
              <w:rPr>
                <w:rFonts w:cstheme="minorHAnsi"/>
                <w:sz w:val="18"/>
                <w:szCs w:val="18"/>
              </w:rPr>
              <w:t>Social contracts</w:t>
            </w:r>
          </w:p>
        </w:tc>
      </w:tr>
      <w:tr w:rsidR="00D36CCE" w:rsidRPr="000C4E35" w14:paraId="6FBBF470" w14:textId="77777777" w:rsidTr="00334D11">
        <w:tc>
          <w:tcPr>
            <w:tcW w:w="1622" w:type="dxa"/>
            <w:shd w:val="clear" w:color="auto" w:fill="F2F2F2" w:themeFill="background1" w:themeFillShade="F2"/>
            <w:vAlign w:val="center"/>
          </w:tcPr>
          <w:p w14:paraId="677E7917" w14:textId="203E92E6" w:rsidR="00D36CCE" w:rsidRPr="000C4E35" w:rsidRDefault="00D36CCE" w:rsidP="000C4E35">
            <w:pPr>
              <w:pStyle w:val="NoSpacing"/>
              <w:spacing w:before="60" w:after="60"/>
              <w:rPr>
                <w:b/>
                <w:bCs/>
                <w:sz w:val="18"/>
                <w:szCs w:val="18"/>
              </w:rPr>
            </w:pPr>
            <w:r w:rsidRPr="000C4E35">
              <w:rPr>
                <w:b/>
                <w:bCs/>
                <w:sz w:val="18"/>
                <w:szCs w:val="18"/>
              </w:rPr>
              <w:t>Incentives</w:t>
            </w:r>
          </w:p>
        </w:tc>
        <w:tc>
          <w:tcPr>
            <w:tcW w:w="1829" w:type="dxa"/>
            <w:shd w:val="clear" w:color="auto" w:fill="auto"/>
            <w:vAlign w:val="center"/>
          </w:tcPr>
          <w:p w14:paraId="79F845B0" w14:textId="44BDEB20" w:rsidR="00D36CCE" w:rsidRPr="000C4E35" w:rsidRDefault="00D36CCE" w:rsidP="00334D11">
            <w:pPr>
              <w:pStyle w:val="NoSpacing"/>
              <w:spacing w:before="60" w:after="60"/>
              <w:jc w:val="center"/>
              <w:rPr>
                <w:sz w:val="18"/>
                <w:szCs w:val="18"/>
              </w:rPr>
            </w:pPr>
            <w:r w:rsidRPr="000C4E35">
              <w:rPr>
                <w:rFonts w:cstheme="minorHAnsi"/>
                <w:sz w:val="18"/>
                <w:szCs w:val="18"/>
              </w:rPr>
              <w:t>Competition</w:t>
            </w:r>
          </w:p>
        </w:tc>
        <w:tc>
          <w:tcPr>
            <w:tcW w:w="1809" w:type="dxa"/>
            <w:shd w:val="clear" w:color="auto" w:fill="auto"/>
            <w:vAlign w:val="center"/>
          </w:tcPr>
          <w:p w14:paraId="44966514" w14:textId="44F21386" w:rsidR="00D36CCE" w:rsidRPr="000C4E35" w:rsidRDefault="00D36CCE" w:rsidP="00334D11">
            <w:pPr>
              <w:pStyle w:val="NoSpacing"/>
              <w:spacing w:before="60" w:after="60"/>
              <w:jc w:val="center"/>
              <w:rPr>
                <w:sz w:val="18"/>
                <w:szCs w:val="18"/>
              </w:rPr>
            </w:pPr>
            <w:r w:rsidRPr="000C4E35">
              <w:rPr>
                <w:rFonts w:cstheme="minorHAnsi"/>
                <w:sz w:val="18"/>
                <w:szCs w:val="18"/>
              </w:rPr>
              <w:t>Community reputation</w:t>
            </w:r>
          </w:p>
        </w:tc>
        <w:tc>
          <w:tcPr>
            <w:tcW w:w="1820" w:type="dxa"/>
            <w:shd w:val="clear" w:color="auto" w:fill="auto"/>
            <w:vAlign w:val="center"/>
          </w:tcPr>
          <w:p w14:paraId="58B078B8" w14:textId="15E3E0E9" w:rsidR="00D36CCE" w:rsidRPr="000C4E35" w:rsidRDefault="00D36CCE" w:rsidP="00334D11">
            <w:pPr>
              <w:pStyle w:val="NoSpacing"/>
              <w:spacing w:before="60" w:after="60"/>
              <w:jc w:val="center"/>
              <w:rPr>
                <w:sz w:val="18"/>
                <w:szCs w:val="18"/>
              </w:rPr>
            </w:pPr>
            <w:r w:rsidRPr="000C4E35">
              <w:rPr>
                <w:rFonts w:cstheme="minorHAnsi"/>
                <w:sz w:val="18"/>
                <w:szCs w:val="18"/>
              </w:rPr>
              <w:t>Power/Position</w:t>
            </w:r>
          </w:p>
        </w:tc>
        <w:tc>
          <w:tcPr>
            <w:tcW w:w="1822" w:type="dxa"/>
            <w:shd w:val="clear" w:color="auto" w:fill="auto"/>
            <w:vAlign w:val="center"/>
          </w:tcPr>
          <w:p w14:paraId="05141D7D" w14:textId="62380D54" w:rsidR="00D36CCE" w:rsidRPr="000C4E35" w:rsidRDefault="00D36CCE" w:rsidP="00334D11">
            <w:pPr>
              <w:pStyle w:val="NoSpacing"/>
              <w:spacing w:before="60" w:after="60"/>
              <w:jc w:val="center"/>
              <w:rPr>
                <w:sz w:val="18"/>
                <w:szCs w:val="18"/>
              </w:rPr>
            </w:pPr>
            <w:r w:rsidRPr="000C4E35">
              <w:rPr>
                <w:rFonts w:cstheme="minorHAnsi"/>
                <w:sz w:val="18"/>
                <w:szCs w:val="18"/>
              </w:rPr>
              <w:t>Trust</w:t>
            </w:r>
          </w:p>
        </w:tc>
      </w:tr>
      <w:tr w:rsidR="00D36CCE" w:rsidRPr="000C4E35" w14:paraId="5DCB264F" w14:textId="77777777" w:rsidTr="00334D11">
        <w:tc>
          <w:tcPr>
            <w:tcW w:w="1622" w:type="dxa"/>
            <w:shd w:val="clear" w:color="auto" w:fill="F2F2F2" w:themeFill="background1" w:themeFillShade="F2"/>
            <w:vAlign w:val="center"/>
          </w:tcPr>
          <w:p w14:paraId="189D5717" w14:textId="45665012" w:rsidR="00D36CCE" w:rsidRPr="000C4E35" w:rsidRDefault="00D36CCE" w:rsidP="000C4E35">
            <w:pPr>
              <w:pStyle w:val="NoSpacing"/>
              <w:spacing w:before="60" w:after="60"/>
              <w:rPr>
                <w:b/>
                <w:bCs/>
                <w:sz w:val="18"/>
                <w:szCs w:val="18"/>
              </w:rPr>
            </w:pPr>
            <w:r w:rsidRPr="000C4E35">
              <w:rPr>
                <w:b/>
                <w:bCs/>
                <w:sz w:val="18"/>
                <w:szCs w:val="18"/>
              </w:rPr>
              <w:t>Control</w:t>
            </w:r>
          </w:p>
        </w:tc>
        <w:tc>
          <w:tcPr>
            <w:tcW w:w="1829" w:type="dxa"/>
            <w:shd w:val="clear" w:color="auto" w:fill="auto"/>
            <w:vAlign w:val="center"/>
          </w:tcPr>
          <w:p w14:paraId="6722BE22" w14:textId="1B6442AF" w:rsidR="00D36CCE" w:rsidRPr="000C4E35" w:rsidRDefault="00D36CCE" w:rsidP="00334D11">
            <w:pPr>
              <w:pStyle w:val="NoSpacing"/>
              <w:spacing w:before="60" w:after="60"/>
              <w:jc w:val="center"/>
              <w:rPr>
                <w:sz w:val="18"/>
                <w:szCs w:val="18"/>
              </w:rPr>
            </w:pPr>
            <w:r w:rsidRPr="000C4E35">
              <w:rPr>
                <w:rFonts w:cstheme="minorHAnsi"/>
                <w:sz w:val="18"/>
                <w:szCs w:val="18"/>
              </w:rPr>
              <w:t>Moderate/Mixed: dyadic contracts</w:t>
            </w:r>
          </w:p>
        </w:tc>
        <w:tc>
          <w:tcPr>
            <w:tcW w:w="1809" w:type="dxa"/>
            <w:shd w:val="clear" w:color="auto" w:fill="auto"/>
            <w:vAlign w:val="center"/>
          </w:tcPr>
          <w:p w14:paraId="3AE501B5" w14:textId="705EEE04" w:rsidR="00D36CCE" w:rsidRPr="000C4E35" w:rsidRDefault="00D36CCE" w:rsidP="00334D11">
            <w:pPr>
              <w:pStyle w:val="NoSpacing"/>
              <w:spacing w:before="60" w:after="60"/>
              <w:jc w:val="center"/>
              <w:rPr>
                <w:sz w:val="18"/>
                <w:szCs w:val="18"/>
              </w:rPr>
            </w:pPr>
            <w:r w:rsidRPr="000C4E35">
              <w:rPr>
                <w:rFonts w:cstheme="minorHAnsi"/>
                <w:sz w:val="18"/>
                <w:szCs w:val="18"/>
              </w:rPr>
              <w:t>Low: reputation in the community</w:t>
            </w:r>
          </w:p>
        </w:tc>
        <w:tc>
          <w:tcPr>
            <w:tcW w:w="1820" w:type="dxa"/>
            <w:shd w:val="clear" w:color="auto" w:fill="auto"/>
            <w:vAlign w:val="center"/>
          </w:tcPr>
          <w:p w14:paraId="7E7F510B" w14:textId="04DE035F" w:rsidR="00D36CCE" w:rsidRPr="000C4E35" w:rsidRDefault="00D36CCE" w:rsidP="00334D11">
            <w:pPr>
              <w:pStyle w:val="NoSpacing"/>
              <w:spacing w:before="60" w:after="60"/>
              <w:jc w:val="center"/>
              <w:rPr>
                <w:sz w:val="18"/>
                <w:szCs w:val="18"/>
              </w:rPr>
            </w:pPr>
            <w:r w:rsidRPr="000C4E35">
              <w:rPr>
                <w:rFonts w:cstheme="minorHAnsi"/>
                <w:sz w:val="18"/>
                <w:szCs w:val="18"/>
              </w:rPr>
              <w:t>High: administrative power</w:t>
            </w:r>
          </w:p>
        </w:tc>
        <w:tc>
          <w:tcPr>
            <w:tcW w:w="1822" w:type="dxa"/>
            <w:shd w:val="clear" w:color="auto" w:fill="auto"/>
            <w:vAlign w:val="center"/>
          </w:tcPr>
          <w:p w14:paraId="75552075" w14:textId="543406FD" w:rsidR="00D36CCE" w:rsidRPr="000C4E35" w:rsidRDefault="00D36CCE" w:rsidP="00334D11">
            <w:pPr>
              <w:pStyle w:val="NoSpacing"/>
              <w:spacing w:before="60" w:after="60"/>
              <w:jc w:val="center"/>
              <w:rPr>
                <w:sz w:val="18"/>
                <w:szCs w:val="18"/>
              </w:rPr>
            </w:pPr>
            <w:r w:rsidRPr="000C4E35">
              <w:rPr>
                <w:rFonts w:cstheme="minorHAnsi"/>
                <w:sz w:val="18"/>
                <w:szCs w:val="18"/>
              </w:rPr>
              <w:t>Moderate: reciprocity and social contracts</w:t>
            </w:r>
          </w:p>
        </w:tc>
      </w:tr>
      <w:tr w:rsidR="00D36CCE" w:rsidRPr="000C4E35" w14:paraId="2D944FE3" w14:textId="77777777" w:rsidTr="00334D11">
        <w:tc>
          <w:tcPr>
            <w:tcW w:w="1622" w:type="dxa"/>
            <w:shd w:val="clear" w:color="auto" w:fill="F2F2F2" w:themeFill="background1" w:themeFillShade="F2"/>
            <w:vAlign w:val="center"/>
          </w:tcPr>
          <w:p w14:paraId="55897DA3" w14:textId="5C3AFD29" w:rsidR="00D36CCE" w:rsidRPr="000C4E35" w:rsidRDefault="00D36CCE" w:rsidP="000C4E35">
            <w:pPr>
              <w:pStyle w:val="NoSpacing"/>
              <w:spacing w:before="60" w:after="60"/>
              <w:rPr>
                <w:b/>
                <w:bCs/>
                <w:sz w:val="18"/>
                <w:szCs w:val="18"/>
              </w:rPr>
            </w:pPr>
            <w:r w:rsidRPr="000C4E35">
              <w:rPr>
                <w:b/>
                <w:bCs/>
                <w:sz w:val="18"/>
                <w:szCs w:val="18"/>
              </w:rPr>
              <w:t>Reasons for Adoption</w:t>
            </w:r>
          </w:p>
        </w:tc>
        <w:tc>
          <w:tcPr>
            <w:tcW w:w="1829" w:type="dxa"/>
            <w:shd w:val="clear" w:color="auto" w:fill="auto"/>
            <w:vAlign w:val="center"/>
          </w:tcPr>
          <w:p w14:paraId="16A5C75C" w14:textId="6AFCE994" w:rsidR="00D36CCE" w:rsidRPr="000C4E35" w:rsidRDefault="00D36CCE" w:rsidP="00334D11">
            <w:pPr>
              <w:pStyle w:val="NoSpacing"/>
              <w:spacing w:before="60" w:after="60"/>
              <w:jc w:val="center"/>
              <w:rPr>
                <w:sz w:val="18"/>
                <w:szCs w:val="18"/>
              </w:rPr>
            </w:pPr>
            <w:r w:rsidRPr="000C4E35">
              <w:rPr>
                <w:rFonts w:cstheme="minorHAnsi"/>
                <w:sz w:val="18"/>
                <w:szCs w:val="18"/>
              </w:rPr>
              <w:t>Low coordination costs; high flexibility in participants</w:t>
            </w:r>
          </w:p>
        </w:tc>
        <w:tc>
          <w:tcPr>
            <w:tcW w:w="1809" w:type="dxa"/>
            <w:shd w:val="clear" w:color="auto" w:fill="auto"/>
            <w:vAlign w:val="center"/>
          </w:tcPr>
          <w:p w14:paraId="70DDD289" w14:textId="0399D286" w:rsidR="00D36CCE" w:rsidRPr="000C4E35" w:rsidRDefault="00D36CCE" w:rsidP="00334D11">
            <w:pPr>
              <w:pStyle w:val="NoSpacing"/>
              <w:spacing w:before="60" w:after="60"/>
              <w:jc w:val="center"/>
              <w:rPr>
                <w:sz w:val="18"/>
                <w:szCs w:val="18"/>
              </w:rPr>
            </w:pPr>
            <w:r w:rsidRPr="000C4E35">
              <w:rPr>
                <w:rFonts w:cstheme="minorHAnsi"/>
                <w:sz w:val="18"/>
                <w:szCs w:val="18"/>
              </w:rPr>
              <w:t>Innovation and low coordination costs</w:t>
            </w:r>
          </w:p>
        </w:tc>
        <w:tc>
          <w:tcPr>
            <w:tcW w:w="1820" w:type="dxa"/>
            <w:shd w:val="clear" w:color="auto" w:fill="auto"/>
            <w:vAlign w:val="center"/>
          </w:tcPr>
          <w:p w14:paraId="08E2C1DE" w14:textId="3F2E069E" w:rsidR="00D36CCE" w:rsidRPr="000C4E35" w:rsidRDefault="00D36CCE" w:rsidP="00334D11">
            <w:pPr>
              <w:pStyle w:val="NoSpacing"/>
              <w:spacing w:before="60" w:after="60"/>
              <w:jc w:val="center"/>
              <w:rPr>
                <w:sz w:val="18"/>
                <w:szCs w:val="18"/>
              </w:rPr>
            </w:pPr>
            <w:r w:rsidRPr="000C4E35">
              <w:rPr>
                <w:rFonts w:cstheme="minorHAnsi"/>
                <w:sz w:val="18"/>
                <w:szCs w:val="18"/>
              </w:rPr>
              <w:t>Negotiation position; strategic differentiation</w:t>
            </w:r>
          </w:p>
        </w:tc>
        <w:tc>
          <w:tcPr>
            <w:tcW w:w="1822" w:type="dxa"/>
            <w:shd w:val="clear" w:color="auto" w:fill="auto"/>
            <w:vAlign w:val="center"/>
          </w:tcPr>
          <w:p w14:paraId="7E340AEE" w14:textId="63C0AE1E" w:rsidR="00D36CCE" w:rsidRPr="000C4E35" w:rsidRDefault="00D36CCE" w:rsidP="00334D11">
            <w:pPr>
              <w:pStyle w:val="NoSpacing"/>
              <w:spacing w:before="60" w:after="60"/>
              <w:jc w:val="center"/>
              <w:rPr>
                <w:sz w:val="18"/>
                <w:szCs w:val="18"/>
              </w:rPr>
            </w:pPr>
            <w:r w:rsidRPr="000C4E35">
              <w:rPr>
                <w:rFonts w:cstheme="minorHAnsi"/>
                <w:sz w:val="18"/>
                <w:szCs w:val="18"/>
              </w:rPr>
              <w:t>Low cost access to resources; joint solutions</w:t>
            </w:r>
          </w:p>
        </w:tc>
      </w:tr>
      <w:tr w:rsidR="00D36CCE" w:rsidRPr="000C4E35" w14:paraId="27337161" w14:textId="77777777" w:rsidTr="00334D11">
        <w:tc>
          <w:tcPr>
            <w:tcW w:w="1622" w:type="dxa"/>
            <w:shd w:val="clear" w:color="auto" w:fill="F2F2F2" w:themeFill="background1" w:themeFillShade="F2"/>
            <w:vAlign w:val="center"/>
          </w:tcPr>
          <w:p w14:paraId="2DC98205" w14:textId="53231EAF" w:rsidR="00D36CCE" w:rsidRPr="000C4E35" w:rsidRDefault="00D36CCE" w:rsidP="000C4E35">
            <w:pPr>
              <w:pStyle w:val="NoSpacing"/>
              <w:spacing w:before="60" w:after="60"/>
              <w:rPr>
                <w:b/>
                <w:bCs/>
                <w:sz w:val="18"/>
                <w:szCs w:val="18"/>
              </w:rPr>
            </w:pPr>
            <w:r w:rsidRPr="000C4E35">
              <w:rPr>
                <w:b/>
                <w:bCs/>
                <w:sz w:val="18"/>
                <w:szCs w:val="18"/>
              </w:rPr>
              <w:t>Flexibility of the Collaboration</w:t>
            </w:r>
          </w:p>
        </w:tc>
        <w:tc>
          <w:tcPr>
            <w:tcW w:w="1829" w:type="dxa"/>
            <w:shd w:val="clear" w:color="auto" w:fill="auto"/>
            <w:vAlign w:val="center"/>
          </w:tcPr>
          <w:p w14:paraId="268DC964" w14:textId="71E4A31D" w:rsidR="00D36CCE" w:rsidRPr="000C4E35" w:rsidRDefault="00D36CCE" w:rsidP="00334D11">
            <w:pPr>
              <w:pStyle w:val="NoSpacing"/>
              <w:spacing w:before="60" w:after="60"/>
              <w:jc w:val="center"/>
              <w:rPr>
                <w:sz w:val="18"/>
                <w:szCs w:val="18"/>
              </w:rPr>
            </w:pPr>
            <w:r w:rsidRPr="000C4E35">
              <w:rPr>
                <w:rFonts w:cstheme="minorHAnsi"/>
                <w:sz w:val="18"/>
                <w:szCs w:val="18"/>
              </w:rPr>
              <w:t>High</w:t>
            </w:r>
          </w:p>
        </w:tc>
        <w:tc>
          <w:tcPr>
            <w:tcW w:w="1809" w:type="dxa"/>
            <w:shd w:val="clear" w:color="auto" w:fill="auto"/>
            <w:vAlign w:val="center"/>
          </w:tcPr>
          <w:p w14:paraId="2873D76C" w14:textId="6B529727" w:rsidR="00D36CCE" w:rsidRPr="000C4E35" w:rsidRDefault="00D36CCE" w:rsidP="00334D11">
            <w:pPr>
              <w:pStyle w:val="NoSpacing"/>
              <w:spacing w:before="60" w:after="60"/>
              <w:jc w:val="center"/>
              <w:rPr>
                <w:sz w:val="18"/>
                <w:szCs w:val="18"/>
              </w:rPr>
            </w:pPr>
            <w:r w:rsidRPr="000C4E35">
              <w:rPr>
                <w:rFonts w:cstheme="minorHAnsi"/>
                <w:sz w:val="18"/>
                <w:szCs w:val="18"/>
              </w:rPr>
              <w:t>High</w:t>
            </w:r>
          </w:p>
        </w:tc>
        <w:tc>
          <w:tcPr>
            <w:tcW w:w="1820" w:type="dxa"/>
            <w:shd w:val="clear" w:color="auto" w:fill="auto"/>
            <w:vAlign w:val="center"/>
          </w:tcPr>
          <w:p w14:paraId="7F1C18C1" w14:textId="5A7DAAAD" w:rsidR="00D36CCE" w:rsidRPr="000C4E35" w:rsidRDefault="00D36CCE" w:rsidP="00334D11">
            <w:pPr>
              <w:pStyle w:val="NoSpacing"/>
              <w:spacing w:before="60" w:after="60"/>
              <w:jc w:val="center"/>
              <w:rPr>
                <w:sz w:val="18"/>
                <w:szCs w:val="18"/>
              </w:rPr>
            </w:pPr>
            <w:r w:rsidRPr="000C4E35">
              <w:rPr>
                <w:rFonts w:cstheme="minorHAnsi"/>
                <w:sz w:val="18"/>
                <w:szCs w:val="18"/>
              </w:rPr>
              <w:t>Low</w:t>
            </w:r>
          </w:p>
        </w:tc>
        <w:tc>
          <w:tcPr>
            <w:tcW w:w="1822" w:type="dxa"/>
            <w:shd w:val="clear" w:color="auto" w:fill="auto"/>
            <w:vAlign w:val="center"/>
          </w:tcPr>
          <w:p w14:paraId="73EEB219" w14:textId="2209A443" w:rsidR="00D36CCE" w:rsidRPr="000C4E35" w:rsidRDefault="00D36CCE" w:rsidP="00334D11">
            <w:pPr>
              <w:pStyle w:val="NoSpacing"/>
              <w:spacing w:before="60" w:after="60"/>
              <w:jc w:val="center"/>
              <w:rPr>
                <w:sz w:val="18"/>
                <w:szCs w:val="18"/>
              </w:rPr>
            </w:pPr>
            <w:r w:rsidRPr="000C4E35">
              <w:rPr>
                <w:rFonts w:cstheme="minorHAnsi"/>
                <w:sz w:val="18"/>
                <w:szCs w:val="18"/>
              </w:rPr>
              <w:t>Moderate</w:t>
            </w:r>
          </w:p>
        </w:tc>
      </w:tr>
      <w:tr w:rsidR="00D36CCE" w:rsidRPr="000C4E35" w14:paraId="6010945E" w14:textId="77777777" w:rsidTr="00334D11">
        <w:tc>
          <w:tcPr>
            <w:tcW w:w="1622" w:type="dxa"/>
            <w:shd w:val="clear" w:color="auto" w:fill="F2F2F2" w:themeFill="background1" w:themeFillShade="F2"/>
            <w:vAlign w:val="center"/>
          </w:tcPr>
          <w:p w14:paraId="7B91594C" w14:textId="789FFF14" w:rsidR="00D36CCE" w:rsidRPr="000C4E35" w:rsidRDefault="00D36CCE" w:rsidP="000C4E35">
            <w:pPr>
              <w:pStyle w:val="NoSpacing"/>
              <w:spacing w:before="60" w:after="60"/>
              <w:rPr>
                <w:b/>
                <w:bCs/>
                <w:sz w:val="18"/>
                <w:szCs w:val="18"/>
              </w:rPr>
            </w:pPr>
            <w:r w:rsidRPr="000C4E35">
              <w:rPr>
                <w:b/>
                <w:bCs/>
                <w:sz w:val="18"/>
                <w:szCs w:val="18"/>
              </w:rPr>
              <w:t>Duration</w:t>
            </w:r>
          </w:p>
        </w:tc>
        <w:tc>
          <w:tcPr>
            <w:tcW w:w="1829" w:type="dxa"/>
            <w:shd w:val="clear" w:color="auto" w:fill="auto"/>
            <w:vAlign w:val="center"/>
          </w:tcPr>
          <w:p w14:paraId="121BA841" w14:textId="66EF6A04" w:rsidR="00D36CCE" w:rsidRPr="000C4E35" w:rsidRDefault="00D36CCE" w:rsidP="00334D11">
            <w:pPr>
              <w:pStyle w:val="NoSpacing"/>
              <w:spacing w:before="60" w:after="60"/>
              <w:jc w:val="center"/>
              <w:rPr>
                <w:sz w:val="18"/>
                <w:szCs w:val="18"/>
              </w:rPr>
            </w:pPr>
            <w:r w:rsidRPr="000C4E35">
              <w:rPr>
                <w:rFonts w:cstheme="minorHAnsi"/>
                <w:sz w:val="18"/>
                <w:szCs w:val="18"/>
              </w:rPr>
              <w:t>Short-term</w:t>
            </w:r>
          </w:p>
        </w:tc>
        <w:tc>
          <w:tcPr>
            <w:tcW w:w="1809" w:type="dxa"/>
            <w:shd w:val="clear" w:color="auto" w:fill="auto"/>
            <w:vAlign w:val="center"/>
          </w:tcPr>
          <w:p w14:paraId="4A1291F7" w14:textId="09C306D4" w:rsidR="00D36CCE" w:rsidRPr="000C4E35" w:rsidRDefault="00D36CCE" w:rsidP="00334D11">
            <w:pPr>
              <w:pStyle w:val="NoSpacing"/>
              <w:spacing w:before="60" w:after="60"/>
              <w:jc w:val="center"/>
              <w:rPr>
                <w:sz w:val="18"/>
                <w:szCs w:val="18"/>
              </w:rPr>
            </w:pPr>
            <w:r w:rsidRPr="000C4E35">
              <w:rPr>
                <w:rFonts w:cstheme="minorHAnsi"/>
                <w:sz w:val="18"/>
                <w:szCs w:val="18"/>
              </w:rPr>
              <w:t>Unlimited</w:t>
            </w:r>
          </w:p>
        </w:tc>
        <w:tc>
          <w:tcPr>
            <w:tcW w:w="1820" w:type="dxa"/>
            <w:shd w:val="clear" w:color="auto" w:fill="auto"/>
            <w:vAlign w:val="center"/>
          </w:tcPr>
          <w:p w14:paraId="45768E17" w14:textId="19E9B1A9" w:rsidR="00D36CCE" w:rsidRPr="000C4E35" w:rsidRDefault="00D36CCE" w:rsidP="00334D11">
            <w:pPr>
              <w:pStyle w:val="NoSpacing"/>
              <w:spacing w:before="60" w:after="60"/>
              <w:jc w:val="center"/>
              <w:rPr>
                <w:sz w:val="18"/>
                <w:szCs w:val="18"/>
              </w:rPr>
            </w:pPr>
            <w:r w:rsidRPr="000C4E35">
              <w:rPr>
                <w:rFonts w:cstheme="minorHAnsi"/>
                <w:sz w:val="18"/>
                <w:szCs w:val="18"/>
              </w:rPr>
              <w:t>Unlimited</w:t>
            </w:r>
          </w:p>
        </w:tc>
        <w:tc>
          <w:tcPr>
            <w:tcW w:w="1822" w:type="dxa"/>
            <w:shd w:val="clear" w:color="auto" w:fill="auto"/>
            <w:vAlign w:val="center"/>
          </w:tcPr>
          <w:p w14:paraId="7035EEA1" w14:textId="35514E2D" w:rsidR="00D36CCE" w:rsidRPr="000C4E35" w:rsidRDefault="00D36CCE" w:rsidP="00334D11">
            <w:pPr>
              <w:pStyle w:val="NoSpacing"/>
              <w:spacing w:before="60" w:after="60"/>
              <w:jc w:val="center"/>
              <w:rPr>
                <w:sz w:val="18"/>
                <w:szCs w:val="18"/>
              </w:rPr>
            </w:pPr>
            <w:r w:rsidRPr="000C4E35">
              <w:rPr>
                <w:rFonts w:cstheme="minorHAnsi"/>
                <w:sz w:val="18"/>
                <w:szCs w:val="18"/>
              </w:rPr>
              <w:t>Long-term</w:t>
            </w:r>
          </w:p>
        </w:tc>
      </w:tr>
      <w:tr w:rsidR="00D36CCE" w:rsidRPr="000C4E35" w14:paraId="6592F644" w14:textId="77777777" w:rsidTr="00334D11">
        <w:tc>
          <w:tcPr>
            <w:tcW w:w="1622" w:type="dxa"/>
            <w:shd w:val="clear" w:color="auto" w:fill="F2F2F2" w:themeFill="background1" w:themeFillShade="F2"/>
            <w:vAlign w:val="center"/>
          </w:tcPr>
          <w:p w14:paraId="7F57D2AE" w14:textId="5A32B601" w:rsidR="00D36CCE" w:rsidRPr="000C4E35" w:rsidRDefault="00D36CCE" w:rsidP="000C4E35">
            <w:pPr>
              <w:pStyle w:val="NoSpacing"/>
              <w:spacing w:before="60" w:after="60"/>
              <w:rPr>
                <w:b/>
                <w:bCs/>
                <w:sz w:val="18"/>
                <w:szCs w:val="18"/>
              </w:rPr>
            </w:pPr>
            <w:r w:rsidRPr="000C4E35">
              <w:rPr>
                <w:b/>
                <w:bCs/>
                <w:sz w:val="18"/>
                <w:szCs w:val="18"/>
              </w:rPr>
              <w:t>Social Contract</w:t>
            </w:r>
          </w:p>
        </w:tc>
        <w:tc>
          <w:tcPr>
            <w:tcW w:w="1829" w:type="dxa"/>
            <w:shd w:val="clear" w:color="auto" w:fill="auto"/>
            <w:vAlign w:val="center"/>
          </w:tcPr>
          <w:p w14:paraId="673A49B4" w14:textId="0B30ED84" w:rsidR="00D36CCE" w:rsidRPr="000C4E35" w:rsidRDefault="00D36CCE" w:rsidP="00334D11">
            <w:pPr>
              <w:pStyle w:val="NoSpacing"/>
              <w:spacing w:before="60" w:after="60"/>
              <w:jc w:val="center"/>
              <w:rPr>
                <w:sz w:val="18"/>
                <w:szCs w:val="18"/>
              </w:rPr>
            </w:pPr>
            <w:r w:rsidRPr="000C4E35">
              <w:rPr>
                <w:rFonts w:cstheme="minorHAnsi"/>
                <w:sz w:val="18"/>
                <w:szCs w:val="18"/>
              </w:rPr>
              <w:t>Formal, distrust</w:t>
            </w:r>
          </w:p>
        </w:tc>
        <w:tc>
          <w:tcPr>
            <w:tcW w:w="1809" w:type="dxa"/>
            <w:shd w:val="clear" w:color="auto" w:fill="auto"/>
            <w:vAlign w:val="center"/>
          </w:tcPr>
          <w:p w14:paraId="422A7F31" w14:textId="6F149A45" w:rsidR="00D36CCE" w:rsidRPr="000C4E35" w:rsidRDefault="00D36CCE" w:rsidP="00334D11">
            <w:pPr>
              <w:pStyle w:val="NoSpacing"/>
              <w:spacing w:before="60" w:after="60"/>
              <w:jc w:val="center"/>
              <w:rPr>
                <w:sz w:val="18"/>
                <w:szCs w:val="18"/>
              </w:rPr>
            </w:pPr>
            <w:r w:rsidRPr="000C4E35">
              <w:rPr>
                <w:rFonts w:cstheme="minorHAnsi"/>
                <w:sz w:val="18"/>
                <w:szCs w:val="18"/>
              </w:rPr>
              <w:t>Informal, focus on public value</w:t>
            </w:r>
          </w:p>
        </w:tc>
        <w:tc>
          <w:tcPr>
            <w:tcW w:w="1820" w:type="dxa"/>
            <w:shd w:val="clear" w:color="auto" w:fill="auto"/>
            <w:vAlign w:val="center"/>
          </w:tcPr>
          <w:p w14:paraId="735E5DDA" w14:textId="046F478D" w:rsidR="00D36CCE" w:rsidRPr="000C4E35" w:rsidRDefault="00D36CCE" w:rsidP="00334D11">
            <w:pPr>
              <w:pStyle w:val="NoSpacing"/>
              <w:spacing w:before="60" w:after="60"/>
              <w:jc w:val="center"/>
              <w:rPr>
                <w:sz w:val="18"/>
                <w:szCs w:val="18"/>
              </w:rPr>
            </w:pPr>
            <w:r w:rsidRPr="000C4E35">
              <w:rPr>
                <w:rFonts w:cstheme="minorHAnsi"/>
                <w:sz w:val="18"/>
                <w:szCs w:val="18"/>
              </w:rPr>
              <w:t>Formal, bureaucratic</w:t>
            </w:r>
          </w:p>
        </w:tc>
        <w:tc>
          <w:tcPr>
            <w:tcW w:w="1822" w:type="dxa"/>
            <w:shd w:val="clear" w:color="auto" w:fill="auto"/>
            <w:vAlign w:val="center"/>
          </w:tcPr>
          <w:p w14:paraId="06437959" w14:textId="3C1890B7" w:rsidR="00D36CCE" w:rsidRPr="000C4E35" w:rsidRDefault="00D36CCE" w:rsidP="00334D11">
            <w:pPr>
              <w:pStyle w:val="NoSpacing"/>
              <w:spacing w:before="60" w:after="60"/>
              <w:jc w:val="center"/>
              <w:rPr>
                <w:sz w:val="18"/>
                <w:szCs w:val="18"/>
              </w:rPr>
            </w:pPr>
            <w:r w:rsidRPr="000C4E35">
              <w:rPr>
                <w:rFonts w:cstheme="minorHAnsi"/>
                <w:sz w:val="18"/>
                <w:szCs w:val="18"/>
              </w:rPr>
              <w:t>Informal, focus on common objectives</w:t>
            </w:r>
          </w:p>
        </w:tc>
      </w:tr>
      <w:tr w:rsidR="00D36CCE" w:rsidRPr="000C4E35" w14:paraId="7A167DCB" w14:textId="77777777" w:rsidTr="00334D11">
        <w:tc>
          <w:tcPr>
            <w:tcW w:w="1622" w:type="dxa"/>
            <w:shd w:val="clear" w:color="auto" w:fill="F2F2F2" w:themeFill="background1" w:themeFillShade="F2"/>
            <w:vAlign w:val="center"/>
          </w:tcPr>
          <w:p w14:paraId="54FD2250" w14:textId="5DC26533" w:rsidR="00D36CCE" w:rsidRPr="000C4E35" w:rsidRDefault="00D36CCE" w:rsidP="000C4E35">
            <w:pPr>
              <w:pStyle w:val="NoSpacing"/>
              <w:spacing w:before="60" w:after="60"/>
              <w:rPr>
                <w:b/>
                <w:bCs/>
                <w:sz w:val="18"/>
                <w:szCs w:val="18"/>
              </w:rPr>
            </w:pPr>
            <w:r w:rsidRPr="000C4E35">
              <w:rPr>
                <w:b/>
                <w:bCs/>
                <w:sz w:val="18"/>
                <w:szCs w:val="18"/>
              </w:rPr>
              <w:t>Relation between Network Members</w:t>
            </w:r>
          </w:p>
        </w:tc>
        <w:tc>
          <w:tcPr>
            <w:tcW w:w="1829" w:type="dxa"/>
            <w:shd w:val="clear" w:color="auto" w:fill="auto"/>
            <w:vAlign w:val="center"/>
          </w:tcPr>
          <w:p w14:paraId="0E1A357A" w14:textId="15748191" w:rsidR="00D36CCE" w:rsidRPr="000C4E35" w:rsidRDefault="00D36CCE" w:rsidP="00334D11">
            <w:pPr>
              <w:pStyle w:val="NoSpacing"/>
              <w:spacing w:before="60" w:after="60"/>
              <w:jc w:val="center"/>
              <w:rPr>
                <w:sz w:val="18"/>
                <w:szCs w:val="18"/>
              </w:rPr>
            </w:pPr>
            <w:r w:rsidRPr="000C4E35">
              <w:rPr>
                <w:rFonts w:cstheme="minorHAnsi"/>
                <w:sz w:val="18"/>
                <w:szCs w:val="18"/>
              </w:rPr>
              <w:t>Independent</w:t>
            </w:r>
          </w:p>
        </w:tc>
        <w:tc>
          <w:tcPr>
            <w:tcW w:w="1809" w:type="dxa"/>
            <w:shd w:val="clear" w:color="auto" w:fill="auto"/>
            <w:vAlign w:val="center"/>
          </w:tcPr>
          <w:p w14:paraId="1E8237B4" w14:textId="319B5D49" w:rsidR="00D36CCE" w:rsidRPr="000C4E35" w:rsidRDefault="00D36CCE" w:rsidP="00334D11">
            <w:pPr>
              <w:pStyle w:val="NoSpacing"/>
              <w:spacing w:before="60" w:after="60"/>
              <w:jc w:val="center"/>
              <w:rPr>
                <w:sz w:val="18"/>
                <w:szCs w:val="18"/>
              </w:rPr>
            </w:pPr>
            <w:r w:rsidRPr="000C4E35">
              <w:rPr>
                <w:rFonts w:cstheme="minorHAnsi"/>
                <w:sz w:val="18"/>
                <w:szCs w:val="18"/>
              </w:rPr>
              <w:t>Independent</w:t>
            </w:r>
          </w:p>
        </w:tc>
        <w:tc>
          <w:tcPr>
            <w:tcW w:w="1820" w:type="dxa"/>
            <w:shd w:val="clear" w:color="auto" w:fill="auto"/>
            <w:vAlign w:val="center"/>
          </w:tcPr>
          <w:p w14:paraId="049FB894" w14:textId="3056898B" w:rsidR="00D36CCE" w:rsidRPr="000C4E35" w:rsidRDefault="00D36CCE" w:rsidP="00334D11">
            <w:pPr>
              <w:pStyle w:val="NoSpacing"/>
              <w:spacing w:before="60" w:after="60"/>
              <w:jc w:val="center"/>
              <w:rPr>
                <w:sz w:val="18"/>
                <w:szCs w:val="18"/>
              </w:rPr>
            </w:pPr>
            <w:r w:rsidRPr="000C4E35">
              <w:rPr>
                <w:rFonts w:cstheme="minorHAnsi"/>
                <w:sz w:val="18"/>
                <w:szCs w:val="18"/>
              </w:rPr>
              <w:t>Dependent</w:t>
            </w:r>
          </w:p>
        </w:tc>
        <w:tc>
          <w:tcPr>
            <w:tcW w:w="1822" w:type="dxa"/>
            <w:shd w:val="clear" w:color="auto" w:fill="auto"/>
            <w:vAlign w:val="center"/>
          </w:tcPr>
          <w:p w14:paraId="7E78C47A" w14:textId="02E7730A" w:rsidR="00D36CCE" w:rsidRPr="000C4E35" w:rsidRDefault="00D36CCE" w:rsidP="00334D11">
            <w:pPr>
              <w:pStyle w:val="NoSpacing"/>
              <w:spacing w:before="60" w:after="60"/>
              <w:jc w:val="center"/>
              <w:rPr>
                <w:sz w:val="18"/>
                <w:szCs w:val="18"/>
              </w:rPr>
            </w:pPr>
            <w:r w:rsidRPr="000C4E35">
              <w:rPr>
                <w:rFonts w:cstheme="minorHAnsi"/>
                <w:sz w:val="18"/>
                <w:szCs w:val="18"/>
              </w:rPr>
              <w:t>Interdependent</w:t>
            </w:r>
          </w:p>
        </w:tc>
      </w:tr>
    </w:tbl>
    <w:p w14:paraId="752216DF" w14:textId="352521F0" w:rsidR="006B0FFF" w:rsidRDefault="006B0FFF" w:rsidP="00D36CCE">
      <w:pPr>
        <w:pStyle w:val="Caption"/>
      </w:pPr>
      <w:bookmarkStart w:id="7" w:name="_Ref12624690"/>
      <w:bookmarkStart w:id="8" w:name="_Ref9000281"/>
      <w:r>
        <w:t xml:space="preserve">Table </w:t>
      </w:r>
      <w:r w:rsidR="00AA525D">
        <w:fldChar w:fldCharType="begin"/>
      </w:r>
      <w:r w:rsidR="00AA525D">
        <w:instrText xml:space="preserve"> SEQ Table \* ARABIC </w:instrText>
      </w:r>
      <w:r w:rsidR="00AA525D">
        <w:fldChar w:fldCharType="separate"/>
      </w:r>
      <w:r w:rsidR="00BA1A2B">
        <w:rPr>
          <w:noProof/>
        </w:rPr>
        <w:t>3</w:t>
      </w:r>
      <w:r w:rsidR="00AA525D">
        <w:rPr>
          <w:noProof/>
        </w:rPr>
        <w:fldChar w:fldCharType="end"/>
      </w:r>
      <w:bookmarkEnd w:id="7"/>
      <w:r>
        <w:t xml:space="preserve">: </w:t>
      </w:r>
      <w:r w:rsidRPr="006B0FFF">
        <w:rPr>
          <w:b w:val="0"/>
        </w:rPr>
        <w:t>Inter-organisational Governance Arrangements</w:t>
      </w:r>
      <w:r>
        <w:t xml:space="preserve"> </w:t>
      </w:r>
      <w:r w:rsidRPr="00614FF9">
        <w:rPr>
          <w:b w:val="0"/>
          <w:bCs w:val="0"/>
        </w:rPr>
        <w:fldChar w:fldCharType="begin" w:fldLock="1"/>
      </w:r>
      <w:r>
        <w:rPr>
          <w:b w:val="0"/>
          <w:bCs w:val="0"/>
        </w:rPr>
        <w:instrText>ADDIN CSL_CITATION {"citationItems":[{"id":"ITEM-1","itemData":{"DOI":"10.1016/j.techfore.2017.09.040","author":[{"dropping-particle":"","family":"Broek","given":"T","non-dropping-particle":"van den","parse-names":false,"suffix":""},{"dropping-particle":"","family":"Veenstra","given":"A F","non-dropping-particle":"van","parse-names":false,"suffix":""}],"container-title":"Technological Forecasting and Social Change","id":"ITEM-1","issued":{"date-parts":[["2018"]]},"note":"Cited By :2\n\nExport Date: 17 May 2019","page":"330-338","title":"Governance of big data collaborations: How to balance regulatory compliance and disruptive innovation","type":"article-journal","volume":"129"},"uris":["http://www.mendeley.com/documents/?uuid=3d510fa9-1439-4297-af6f-a5a4eb718454"]}],"mendeley":{"formattedCitation":"(van den Broek &amp; van Veenstra, 2018)","manualFormatting":"(from van den Broek &amp; van Veenstra, 2018)","plainTextFormattedCitation":"(van den Broek &amp; van Veenstra, 2018)","previouslyFormattedCitation":"(van den Broek &amp; van Veenstra, 2018)"},"properties":{"noteIndex":0},"schema":"https://github.com/citation-style-language/schema/raw/master/csl-citation.json"}</w:instrText>
      </w:r>
      <w:r w:rsidRPr="00614FF9">
        <w:rPr>
          <w:b w:val="0"/>
          <w:bCs w:val="0"/>
        </w:rPr>
        <w:fldChar w:fldCharType="separate"/>
      </w:r>
      <w:r w:rsidRPr="00614FF9">
        <w:rPr>
          <w:b w:val="0"/>
          <w:bCs w:val="0"/>
          <w:noProof/>
        </w:rPr>
        <w:t>(from</w:t>
      </w:r>
      <w:r>
        <w:rPr>
          <w:noProof/>
        </w:rPr>
        <w:t xml:space="preserve"> </w:t>
      </w:r>
      <w:r w:rsidRPr="00614FF9">
        <w:rPr>
          <w:b w:val="0"/>
          <w:bCs w:val="0"/>
          <w:noProof/>
        </w:rPr>
        <w:t>van den Broek &amp; van Veenstra, 2018)</w:t>
      </w:r>
      <w:r w:rsidRPr="00614FF9">
        <w:rPr>
          <w:b w:val="0"/>
          <w:bCs w:val="0"/>
        </w:rPr>
        <w:fldChar w:fldCharType="end"/>
      </w:r>
    </w:p>
    <w:bookmarkEnd w:id="8"/>
    <w:p w14:paraId="5F6BCBEE" w14:textId="223A0449" w:rsidR="006603A8" w:rsidRDefault="00E279C2" w:rsidP="00334D11">
      <w:pPr>
        <w:keepNext/>
        <w:keepLines/>
        <w:spacing w:after="0"/>
      </w:pPr>
      <w:r>
        <w:lastRenderedPageBreak/>
        <w:t xml:space="preserve">The humanitarian ecosystem is not a neat fit to any of the four models. </w:t>
      </w:r>
      <w:r w:rsidR="006603A8">
        <w:t>For example:</w:t>
      </w:r>
    </w:p>
    <w:p w14:paraId="25C607A7" w14:textId="74BC981A" w:rsidR="006603A8" w:rsidRDefault="00E279C2" w:rsidP="00334D11">
      <w:pPr>
        <w:pStyle w:val="List01"/>
        <w:keepNext/>
        <w:keepLines/>
        <w:widowControl/>
      </w:pPr>
      <w:r>
        <w:t xml:space="preserve">The need for control in support of data privacy and security would suggest a </w:t>
      </w:r>
      <w:r w:rsidRPr="0063636A">
        <w:rPr>
          <w:bCs/>
          <w:i/>
        </w:rPr>
        <w:t>hierarchy</w:t>
      </w:r>
      <w:r>
        <w:t xml:space="preserve"> model, but </w:t>
      </w:r>
      <w:r w:rsidR="00E72D7C">
        <w:t xml:space="preserve">there is </w:t>
      </w:r>
      <w:r>
        <w:t xml:space="preserve">no overarching </w:t>
      </w:r>
      <w:r w:rsidR="00E72D7C">
        <w:t>transnational</w:t>
      </w:r>
      <w:r>
        <w:t xml:space="preserve"> bureaucracy</w:t>
      </w:r>
      <w:r w:rsidR="00E72D7C">
        <w:t xml:space="preserve"> in place </w:t>
      </w:r>
      <w:r>
        <w:t>to e</w:t>
      </w:r>
      <w:r w:rsidR="00E72D7C">
        <w:t>nforce</w:t>
      </w:r>
      <w:r>
        <w:t xml:space="preserve"> this control. </w:t>
      </w:r>
    </w:p>
    <w:p w14:paraId="2AF75557" w14:textId="7F8C96EF" w:rsidR="006603A8" w:rsidRDefault="00E279C2" w:rsidP="004B4F6B">
      <w:pPr>
        <w:pStyle w:val="List01"/>
      </w:pPr>
      <w:r>
        <w:t xml:space="preserve">The competition for aid and resources would suggest a </w:t>
      </w:r>
      <w:r w:rsidRPr="0063636A">
        <w:rPr>
          <w:bCs/>
          <w:i/>
        </w:rPr>
        <w:t>market</w:t>
      </w:r>
      <w:r>
        <w:t xml:space="preserve"> model, but there is an increasing </w:t>
      </w:r>
      <w:r w:rsidR="00386572">
        <w:t>demand</w:t>
      </w:r>
      <w:r>
        <w:t xml:space="preserve"> </w:t>
      </w:r>
      <w:r w:rsidR="009D3AF6">
        <w:t>from</w:t>
      </w:r>
      <w:r w:rsidR="00386572">
        <w:t xml:space="preserve"> donors </w:t>
      </w:r>
      <w:r>
        <w:t>for transparency and accountability</w:t>
      </w:r>
      <w:r w:rsidR="00386572">
        <w:t xml:space="preserve">, which makes questionable </w:t>
      </w:r>
      <w:r w:rsidR="009D3AF6">
        <w:t xml:space="preserve">typical methods of facilitating competitive advantage, such as </w:t>
      </w:r>
      <w:r w:rsidR="00386572">
        <w:t>the proprietary withholding of data</w:t>
      </w:r>
      <w:r w:rsidR="00E72D7C">
        <w:t xml:space="preserve"> as intellectual property</w:t>
      </w:r>
      <w:r w:rsidR="00386572">
        <w:t xml:space="preserve">. </w:t>
      </w:r>
    </w:p>
    <w:p w14:paraId="1B1D3F1F" w14:textId="77777777" w:rsidR="0078325E" w:rsidRDefault="00386572" w:rsidP="004B4F6B">
      <w:pPr>
        <w:pStyle w:val="List01"/>
      </w:pPr>
      <w:r>
        <w:t xml:space="preserve">The need to innovate </w:t>
      </w:r>
      <w:proofErr w:type="gramStart"/>
      <w:r w:rsidR="006603A8">
        <w:t xml:space="preserve">in order </w:t>
      </w:r>
      <w:r>
        <w:t>to</w:t>
      </w:r>
      <w:proofErr w:type="gramEnd"/>
      <w:r>
        <w:t xml:space="preserve"> build and maintain reputation </w:t>
      </w:r>
      <w:r w:rsidR="006603A8">
        <w:t xml:space="preserve">requires levels of flexibility and independence that </w:t>
      </w:r>
      <w:r>
        <w:t xml:space="preserve">would suggest a </w:t>
      </w:r>
      <w:r w:rsidRPr="0078325E">
        <w:rPr>
          <w:bCs/>
          <w:i/>
        </w:rPr>
        <w:t>bazaar</w:t>
      </w:r>
      <w:r>
        <w:t xml:space="preserve"> model, but </w:t>
      </w:r>
      <w:r w:rsidR="00E72D7C">
        <w:t xml:space="preserve">this model </w:t>
      </w:r>
      <w:r w:rsidR="006603A8">
        <w:t>challenges the levels of control needed for data privacy and security.</w:t>
      </w:r>
    </w:p>
    <w:p w14:paraId="599A7BB5" w14:textId="4C0B4793" w:rsidR="005A496F" w:rsidRDefault="005A496F" w:rsidP="004B4F6B">
      <w:pPr>
        <w:pStyle w:val="List01"/>
      </w:pPr>
      <w:r>
        <w:t xml:space="preserve">The need to meet a common objective (i.e. the survival if those affected by disaster) leans towards a </w:t>
      </w:r>
      <w:r w:rsidRPr="0078325E">
        <w:rPr>
          <w:bCs/>
          <w:i/>
        </w:rPr>
        <w:t>network</w:t>
      </w:r>
      <w:r>
        <w:t xml:space="preserve"> model, but competition for aid and resources challenges levels of trust needed to make the exclusive application of this model viable.</w:t>
      </w:r>
    </w:p>
    <w:p w14:paraId="205C688C" w14:textId="73E8E03C" w:rsidR="00897532" w:rsidRDefault="00897532" w:rsidP="000C4E35">
      <w:pPr>
        <w:keepNext/>
        <w:keepLines/>
        <w:spacing w:before="0" w:after="0"/>
      </w:pPr>
      <w:r w:rsidRPr="001365B0">
        <w:t>This leads us to the following future research proposition:</w:t>
      </w:r>
    </w:p>
    <w:p w14:paraId="19D3193F" w14:textId="5017E76A" w:rsidR="00E67C3A" w:rsidRPr="001365B0" w:rsidRDefault="00E67C3A" w:rsidP="004B4F6B">
      <w:pPr>
        <w:pStyle w:val="ListParagraph"/>
        <w:numPr>
          <w:ilvl w:val="0"/>
          <w:numId w:val="10"/>
        </w:numPr>
      </w:pPr>
      <w:r w:rsidRPr="00E67C3A">
        <w:t>Models of governance need to be developed that are appropriate to the sharing of data across humanitarian ecosystems</w:t>
      </w:r>
    </w:p>
    <w:p w14:paraId="0EDFF393" w14:textId="70649755" w:rsidR="00A979D2" w:rsidRDefault="0013246C" w:rsidP="003315D7">
      <w:pPr>
        <w:pStyle w:val="Heading3"/>
        <w:keepNext w:val="0"/>
        <w:keepLines w:val="0"/>
      </w:pPr>
      <w:r>
        <w:t xml:space="preserve">RP </w:t>
      </w:r>
      <w:r w:rsidR="009C3569">
        <w:t xml:space="preserve">2: </w:t>
      </w:r>
      <w:r w:rsidR="00BD398E">
        <w:t xml:space="preserve">Evaluating Data </w:t>
      </w:r>
      <w:r w:rsidR="009C3569" w:rsidRPr="009C3569">
        <w:t>Veracity</w:t>
      </w:r>
    </w:p>
    <w:p w14:paraId="68CCA469" w14:textId="086C8407" w:rsidR="004D22B3" w:rsidRDefault="0033625C" w:rsidP="00E75130">
      <w:pPr>
        <w:pStyle w:val="Text01"/>
      </w:pPr>
      <w:r>
        <w:t xml:space="preserve">Data veracity is a key determinant of the level of credence and trust that can be placed on the models and insights that data enables, which in turn suggests the value the data can yield is reliant on establishing the veracity of the data employed </w:t>
      </w:r>
      <w:r>
        <w:fldChar w:fldCharType="begin" w:fldLock="1"/>
      </w:r>
      <w:r w:rsidR="00504342">
        <w:instrText>ADDIN CSL_CITATION {"citationItems":[{"id":"ITEM-1","itemData":{"abstract":"This paper argues that big data can possess different characteristics, which affect its quality. Depending on its origin, data processing technologies, and methodologies used for data collection and scientific discoveries, big data can have biases, ambiguities, and inaccuracies which need to be identified and accounted for to reduce inference errors and improve the accuracy of generated insights. Big data veracity is now being recognized as a necessary property for its utilization, complementing the three previously established quality dimensions (volume, variety, and velocity), But there has been little discussion of the concept of veracity thus far. This paper provides a roadmap for theoretical and empirical definitions of veracity along with its practical implications. We explore veracity across three main dimensions: 1) objectivity/subjectivity, 2) truthfulness/deception, 3) credibility/implausibility – and propose to operationalize each of these dimensions with either existing computational tools or potential ones, relevant particularly to textual data analytics. We combine the measures of veracity dimensions into one composite index – the big data veracity index. This newly developed veracity index provides a useful way of assessing systematic variations in big data quality across datasets with textual information. The paper contributes to the big data research by categorizing the range of existing tools to measure the suggested dimensions, and to Library and Information Science (LIS) by proposing to account for heterogeneity of diverse big data, and to identify information quality dimensions important for each big data type.","author":[{"dropping-particle":"","family":"Lukoianova","given":"Tatiana","non-dropping-particle":"","parse-names":false,"suffix":""},{"dropping-particle":"","family":"Rubin","given":"Victoria L","non-dropping-particle":"","parse-names":false,"suffix":""}],"container-title":"Advances in Classification Research Online; 24th ASIS SIG/CR Classification Research Workshop","id":"ITEM-1","issue":"1","issued":{"date-parts":[["2014"]]},"page":"4-15","title":"Veracity Roadmap: Is Big Data Objective, Truthful and Credible?","type":"article-journal","volume":"24"},"uris":["http://www.mendeley.com/documents/?uuid=4fc17717-0d0c-4729-a948-19cdc450408c"]}],"mendeley":{"formattedCitation":"(Lukoianova &amp; Rubin, 2014)","plainTextFormattedCitation":"(Lukoianova &amp; Rubin, 2014)","previouslyFormattedCitation":"(Lukoianova &amp; Rubin, 2014)"},"properties":{"noteIndex":0},"schema":"https://github.com/citation-style-language/schema/raw/master/csl-citation.json"}</w:instrText>
      </w:r>
      <w:r>
        <w:fldChar w:fldCharType="separate"/>
      </w:r>
      <w:r w:rsidRPr="0033625C">
        <w:rPr>
          <w:noProof/>
        </w:rPr>
        <w:t>(Lukoianova &amp; Rubin, 2014)</w:t>
      </w:r>
      <w:r>
        <w:fldChar w:fldCharType="end"/>
      </w:r>
      <w:r>
        <w:t xml:space="preserve">. </w:t>
      </w:r>
      <w:r w:rsidR="00436286">
        <w:t>O</w:t>
      </w:r>
      <w:r w:rsidR="009008CA">
        <w:t xml:space="preserve">ur empirical </w:t>
      </w:r>
      <w:r w:rsidR="00436286">
        <w:t xml:space="preserve">example showed that, in </w:t>
      </w:r>
      <w:r w:rsidR="0059530C">
        <w:t>bring together data from numerous disparate source</w:t>
      </w:r>
      <w:r w:rsidR="009008CA">
        <w:t>s</w:t>
      </w:r>
      <w:r w:rsidR="00436286">
        <w:t xml:space="preserve">, there was a significant </w:t>
      </w:r>
      <w:r w:rsidR="009008CA">
        <w:t>sacrific</w:t>
      </w:r>
      <w:r w:rsidR="00436286">
        <w:t xml:space="preserve">e in </w:t>
      </w:r>
      <w:r w:rsidR="009008CA">
        <w:t xml:space="preserve">levels of </w:t>
      </w:r>
      <w:r w:rsidR="0059530C">
        <w:t>detail</w:t>
      </w:r>
      <w:r w:rsidR="0094204E">
        <w:t xml:space="preserve"> and nuance</w:t>
      </w:r>
      <w:r w:rsidR="00CB4687">
        <w:t xml:space="preserve">. </w:t>
      </w:r>
      <w:r w:rsidR="0094204E">
        <w:t>The fo</w:t>
      </w:r>
      <w:r w:rsidR="00395DF0">
        <w:t xml:space="preserve">lding-in of each </w:t>
      </w:r>
      <w:r w:rsidR="003264A0">
        <w:t xml:space="preserve">unrelated set of </w:t>
      </w:r>
      <w:r w:rsidR="00395DF0">
        <w:t xml:space="preserve">disaster data to form a </w:t>
      </w:r>
      <w:r w:rsidR="003264A0">
        <w:t xml:space="preserve">cohesive </w:t>
      </w:r>
      <w:r w:rsidR="00395DF0">
        <w:t xml:space="preserve">whole of </w:t>
      </w:r>
      <w:r w:rsidR="00395DF0" w:rsidRPr="001365B0">
        <w:t>950,026</w:t>
      </w:r>
      <w:r w:rsidR="00395DF0">
        <w:t xml:space="preserve"> disaster entries required </w:t>
      </w:r>
      <w:r w:rsidR="00395DF0" w:rsidRPr="001365B0">
        <w:t>rationalising, reclassifying, consolidating and aggregating</w:t>
      </w:r>
      <w:r w:rsidR="00395DF0">
        <w:t xml:space="preserve"> </w:t>
      </w:r>
      <w:r w:rsidR="001044D6">
        <w:t>data from six sources</w:t>
      </w:r>
      <w:r w:rsidR="00395DF0">
        <w:t xml:space="preserve">. With each </w:t>
      </w:r>
      <w:r w:rsidR="00395DF0" w:rsidRPr="00395DF0">
        <w:rPr>
          <w:i/>
        </w:rPr>
        <w:t>keep</w:t>
      </w:r>
      <w:r w:rsidR="00395DF0">
        <w:t xml:space="preserve">, </w:t>
      </w:r>
      <w:r w:rsidR="00395DF0" w:rsidRPr="00395DF0">
        <w:rPr>
          <w:i/>
        </w:rPr>
        <w:t>change</w:t>
      </w:r>
      <w:r w:rsidR="00436286">
        <w:t xml:space="preserve"> and/or </w:t>
      </w:r>
      <w:r w:rsidR="00395DF0" w:rsidRPr="00395DF0">
        <w:rPr>
          <w:i/>
        </w:rPr>
        <w:t>drop</w:t>
      </w:r>
      <w:r w:rsidR="00395DF0">
        <w:t xml:space="preserve"> decision the consolidated disaster dataset’s vera</w:t>
      </w:r>
      <w:r w:rsidR="003264A0">
        <w:t>city wa</w:t>
      </w:r>
      <w:r w:rsidR="00395DF0">
        <w:t xml:space="preserve">s </w:t>
      </w:r>
      <w:r w:rsidR="003264A0">
        <w:t xml:space="preserve">in jeopardy </w:t>
      </w:r>
      <w:r w:rsidR="00395DF0">
        <w:t xml:space="preserve">of errors of omission, </w:t>
      </w:r>
      <w:proofErr w:type="gramStart"/>
      <w:r w:rsidR="00395DF0">
        <w:t>misrepresentation</w:t>
      </w:r>
      <w:proofErr w:type="gramEnd"/>
      <w:r w:rsidR="00395DF0">
        <w:t xml:space="preserve"> and obfuscation. </w:t>
      </w:r>
      <w:r w:rsidR="003264A0">
        <w:t xml:space="preserve">Going on to align </w:t>
      </w:r>
      <w:r w:rsidR="00395DF0">
        <w:t xml:space="preserve">disasters </w:t>
      </w:r>
      <w:r w:rsidR="00436286">
        <w:t>with</w:t>
      </w:r>
      <w:r w:rsidR="00395DF0">
        <w:t xml:space="preserve"> aid required further </w:t>
      </w:r>
      <w:r w:rsidR="00A90AC0">
        <w:t>aggregation</w:t>
      </w:r>
      <w:r w:rsidR="00395DF0">
        <w:t xml:space="preserve"> and the discarding </w:t>
      </w:r>
      <w:r>
        <w:t>of more</w:t>
      </w:r>
      <w:r w:rsidR="00DA597F">
        <w:t xml:space="preserve"> </w:t>
      </w:r>
      <w:r w:rsidR="003264A0">
        <w:t>source information, the</w:t>
      </w:r>
      <w:r w:rsidR="00A90AC0">
        <w:t xml:space="preserve"> </w:t>
      </w:r>
      <w:r w:rsidR="003264A0">
        <w:t xml:space="preserve">final </w:t>
      </w:r>
      <w:r w:rsidR="004053E4">
        <w:t>usable</w:t>
      </w:r>
      <w:r w:rsidR="003264A0">
        <w:t xml:space="preserve"> dataset</w:t>
      </w:r>
      <w:r w:rsidR="006035BF">
        <w:t xml:space="preserve"> being no more than 3,556 record</w:t>
      </w:r>
      <w:r w:rsidR="00A90AC0">
        <w:t>s</w:t>
      </w:r>
      <w:r w:rsidR="00504342">
        <w:t xml:space="preserve"> of indeterminate veracity.  </w:t>
      </w:r>
      <w:r w:rsidR="00DD76A7">
        <w:t>In our case, as</w:t>
      </w:r>
      <w:r w:rsidR="004F1D15">
        <w:t xml:space="preserve"> </w:t>
      </w:r>
      <w:r w:rsidR="00504342">
        <w:t>the overall distillation</w:t>
      </w:r>
      <w:r w:rsidR="00DD76A7">
        <w:t>, consolidation</w:t>
      </w:r>
      <w:r w:rsidR="00504342">
        <w:t xml:space="preserve"> and aggregation of the data could yield only </w:t>
      </w:r>
      <w:r w:rsidR="002A04FC">
        <w:t xml:space="preserve">macro-level </w:t>
      </w:r>
      <w:r w:rsidR="00DD76A7">
        <w:t>informational, as opposed to actionable insights</w:t>
      </w:r>
      <w:r w:rsidR="00436286">
        <w:t>,</w:t>
      </w:r>
      <w:r w:rsidR="00504342">
        <w:t xml:space="preserve"> </w:t>
      </w:r>
      <w:r w:rsidR="001E4BE5">
        <w:t xml:space="preserve">the </w:t>
      </w:r>
      <w:r w:rsidR="004D22B3">
        <w:t xml:space="preserve">entries </w:t>
      </w:r>
      <w:r w:rsidR="004D22B3">
        <w:lastRenderedPageBreak/>
        <w:t xml:space="preserve">assessed as being of questionable veracity were </w:t>
      </w:r>
      <w:r w:rsidR="00A23AD9" w:rsidRPr="00A23AD9">
        <w:t xml:space="preserve">flagged </w:t>
      </w:r>
      <w:r w:rsidR="004D22B3">
        <w:t>to allow appropriate levels of credence to be placed on outputs from the data.</w:t>
      </w:r>
    </w:p>
    <w:p w14:paraId="395C02DA" w14:textId="5E88268F" w:rsidR="00DB4B37" w:rsidRPr="000D1AC0" w:rsidRDefault="004F1D15" w:rsidP="00E75130">
      <w:pPr>
        <w:pStyle w:val="Text01"/>
      </w:pPr>
      <w:r w:rsidRPr="000D1AC0">
        <w:t xml:space="preserve">It is </w:t>
      </w:r>
      <w:r w:rsidR="00504342" w:rsidRPr="000D1AC0">
        <w:t>worth</w:t>
      </w:r>
      <w:r w:rsidRPr="000D1AC0">
        <w:t>y</w:t>
      </w:r>
      <w:r w:rsidR="00504342" w:rsidRPr="000D1AC0">
        <w:t xml:space="preserve"> of note that </w:t>
      </w:r>
      <w:r w:rsidRPr="000D1AC0">
        <w:t xml:space="preserve">there is risk associated with any tacit </w:t>
      </w:r>
      <w:r w:rsidR="009C4431" w:rsidRPr="000D1AC0">
        <w:t>assu</w:t>
      </w:r>
      <w:r w:rsidRPr="000D1AC0">
        <w:t xml:space="preserve">mption that data from highly </w:t>
      </w:r>
      <w:r w:rsidR="00AC010F" w:rsidRPr="000D1AC0">
        <w:t>reliable sources</w:t>
      </w:r>
      <w:r w:rsidRPr="000D1AC0">
        <w:t xml:space="preserve"> will be equally as </w:t>
      </w:r>
      <w:r w:rsidR="00AC010F" w:rsidRPr="000D1AC0">
        <w:t>reliable</w:t>
      </w:r>
      <w:r w:rsidRPr="000D1AC0">
        <w:t>. Q</w:t>
      </w:r>
      <w:r w:rsidR="00D20E3A" w:rsidRPr="000D1AC0">
        <w:t>uestions of</w:t>
      </w:r>
      <w:r w:rsidR="00AD5E07" w:rsidRPr="000D1AC0">
        <w:t xml:space="preserve"> veracity can extend beyond those related to the mechanics of consolidating and aggregating structured data from disparate sources.</w:t>
      </w:r>
      <w:r w:rsidR="00D77ABD" w:rsidRPr="000D1AC0">
        <w:t xml:space="preserve"> </w:t>
      </w:r>
      <w:r w:rsidR="00AC010F" w:rsidRPr="000D1AC0">
        <w:t xml:space="preserve">Even with </w:t>
      </w:r>
      <w:r w:rsidR="009C4431" w:rsidRPr="000D1AC0">
        <w:t>governed</w:t>
      </w:r>
      <w:r w:rsidR="00AC010F" w:rsidRPr="000D1AC0">
        <w:t xml:space="preserve"> data from credible sources</w:t>
      </w:r>
      <w:r w:rsidR="009C4431" w:rsidRPr="000D1AC0">
        <w:t>,</w:t>
      </w:r>
      <w:r w:rsidR="00AC010F" w:rsidRPr="000D1AC0">
        <w:t xml:space="preserve"> </w:t>
      </w:r>
      <w:r w:rsidR="00D77ABD" w:rsidRPr="000D1AC0">
        <w:t>pre-existing conditions of poor data veracity related to errors introduced during data creation, collection and/or curation</w:t>
      </w:r>
      <w:r w:rsidR="00AC010F" w:rsidRPr="000D1AC0">
        <w:t xml:space="preserve"> are not unknown. </w:t>
      </w:r>
      <w:r w:rsidR="00002D9F" w:rsidRPr="000D1AC0">
        <w:t>If social media data is included in the search for insights it is important to cognisant of challenges to veracity caused by inherent bias and falsehoods that can be human and</w:t>
      </w:r>
      <w:r w:rsidR="000D1AC0" w:rsidRPr="000D1AC0">
        <w:t>/or</w:t>
      </w:r>
      <w:r w:rsidR="00002D9F" w:rsidRPr="000D1AC0">
        <w:t xml:space="preserve"> machine generated</w:t>
      </w:r>
      <w:r w:rsidR="006035BF" w:rsidRPr="000D1AC0">
        <w:t xml:space="preserve"> </w:t>
      </w:r>
      <w:r w:rsidRPr="000D1AC0">
        <w:fldChar w:fldCharType="begin" w:fldLock="1"/>
      </w:r>
      <w:r w:rsidRPr="000D1AC0">
        <w:instrText>ADDIN CSL_CITATION {"citationItems":[{"id":"ITEM-1","itemData":{"DOI":"10.1002/meet.14504901350","ISBN":"0044-7870","abstract":"Abstract This paper extends information quality (IQ) assessment methodology by arguing that veracity/deception should be one of the components of intrinsic IQ dimensions. Since veracity/deception differs contextually from accuracy and other well-studied components of intrinsic IQ, the inclusion of veracity/deception in the set of IQ dimensions has its own contribution to the assessment and improvement of IQ. Recently developed software to detect deception in textual information represents the ready-to-use IQ assessment (IQA) instruments. The focus of the paper is on the specific IQ problem related to deceptive messages and affected information activities as well as IQA instruments (or tools) of detecting deception to improve IQ. In particular, the methodology of automated deception detection in written communication provides the basis for measuring veracity/deception dimension and demonstrates no overlap with other intrinsic IQ dimensions. Considering several known deception types (such as falsification, concealment and equivocation), we emphasize that the IQA deception tools are primarily suitable for falsification. Certain types of deception strategies cannot be spotted automatically with the existing IQA instruments based on underlying linguistic differences between truth-tellers and liars. We propose the potential avenues for the future development of the automated instruments to detect deception taking into account the theoretical, methodological and practical aspects and needs. Blending multidisciplinary research on Deception Detection with the one on IQ in Library and Information Science (LIS) and Management Information Systems (MIS), the paper contributes to IQA and its improvement by adding one more dimension, veracity/deception, to intrinsic IQ.","author":[{"dropping-particle":"","family":"Rubin","given":"Victoria L","non-dropping-particle":"","parse-names":false,"suffix":""},{"dropping-particle":"","family":"Vashchilko","given":"Tatiana","non-dropping-particle":"","parse-names":false,"suffix":""}],"container-title":"Proceedings of the American Society for Information Science and Technology","id":"ITEM-1","issue":"1","issued":{"date-parts":[["2012"]]},"page":"1-6","publisher":"John Wiley &amp; Sons, Ltd","title":"Extending information quality assessment methodology: A new veracity/deception dimension and its measures","type":"article-journal","volume":"49"},"uris":["http://www.mendeley.com/documents/?uuid=fbea1e94-3c89-4294-b53c-5f36769b3ff6"]}],"mendeley":{"formattedCitation":"(Rubin &amp; Vashchilko, 2012)","plainTextFormattedCitation":"(Rubin &amp; Vashchilko, 2012)","previouslyFormattedCitation":"(Rubin &amp; Vashchilko, 2012)"},"properties":{"noteIndex":0},"schema":"https://github.com/citation-style-language/schema/raw/master/csl-citation.json"}</w:instrText>
      </w:r>
      <w:r w:rsidRPr="000D1AC0">
        <w:fldChar w:fldCharType="separate"/>
      </w:r>
      <w:r w:rsidRPr="000D1AC0">
        <w:rPr>
          <w:noProof/>
        </w:rPr>
        <w:t>(Rubin &amp; Vashchilko, 2012)</w:t>
      </w:r>
      <w:r w:rsidRPr="000D1AC0">
        <w:fldChar w:fldCharType="end"/>
      </w:r>
      <w:r w:rsidR="00DB4B37" w:rsidRPr="000D1AC0">
        <w:t>.</w:t>
      </w:r>
      <w:r w:rsidR="000D1AC0" w:rsidRPr="000D1AC0">
        <w:t xml:space="preserve"> As noted by </w:t>
      </w:r>
      <w:r w:rsidR="000D1AC0" w:rsidRPr="000D1AC0">
        <w:fldChar w:fldCharType="begin" w:fldLock="1"/>
      </w:r>
      <w:r w:rsidR="00D12908">
        <w:instrText>ADDIN CSL_CITATION {"citationItems":[{"id":"ITEM-1","itemData":{"DOI":"10.1080/1369118X.2012.678878","ISSN":"1369-118X","abstract":"Exploiting vast new fl ows of information can radically improve your company’s performance. But fi rst you’ll have to change your decision-making culture.","author":[{"dropping-particle":"","family":"Boyd","given":"Danah","non-dropping-particle":"","parse-names":false,"suffix":""},{"dropping-particle":"","family":"Crawford","given":"Kate","non-dropping-particle":"","parse-names":false,"suffix":""}],"container-title":"Information, Communication &amp; Society","id":"ITEM-1","issue":"5","issued":{"date-parts":[["2012"]]},"page":"662-679","title":"Critical Questions for Big Data","type":"article-magazine","volume":"15"},"uris":["http://www.mendeley.com/documents/?uuid=b4f992dc-895f-477b-89ce-8076216e8103"]}],"mendeley":{"formattedCitation":"(Boyd &amp; Crawford, 2012a)","manualFormatting":"Boyd &amp; Crawford (2012 p. 668)","plainTextFormattedCitation":"(Boyd &amp; Crawford, 2012a)","previouslyFormattedCitation":"(Boyd &amp; Crawford, 2012a)"},"properties":{"noteIndex":0},"schema":"https://github.com/citation-style-language/schema/raw/master/csl-citation.json"}</w:instrText>
      </w:r>
      <w:r w:rsidR="000D1AC0" w:rsidRPr="000D1AC0">
        <w:fldChar w:fldCharType="separate"/>
      </w:r>
      <w:r w:rsidR="000D1AC0" w:rsidRPr="000D1AC0">
        <w:rPr>
          <w:noProof/>
        </w:rPr>
        <w:t>Boyd &amp; Crawford (2012 p. 668)</w:t>
      </w:r>
      <w:r w:rsidR="000D1AC0" w:rsidRPr="000D1AC0">
        <w:fldChar w:fldCharType="end"/>
      </w:r>
      <w:r w:rsidR="000D1AC0" w:rsidRPr="000D1AC0">
        <w:t>, “</w:t>
      </w:r>
      <w:r w:rsidR="000D1AC0" w:rsidRPr="000D1AC0">
        <w:rPr>
          <w:color w:val="231F20"/>
        </w:rPr>
        <w:t>Large data sets from Internet sources are often unreliable, prone to outages and losses, and these errors and gaps are magnified when multiple data sets are used together</w:t>
      </w:r>
      <w:r w:rsidR="00ED215F">
        <w:rPr>
          <w:color w:val="231F20"/>
        </w:rPr>
        <w:t>”</w:t>
      </w:r>
      <w:r w:rsidR="000D1AC0" w:rsidRPr="000D1AC0">
        <w:rPr>
          <w:color w:val="231F20"/>
        </w:rPr>
        <w:t xml:space="preserve">. </w:t>
      </w:r>
      <w:r w:rsidR="000D1AC0">
        <w:t xml:space="preserve">Therefore, establishing </w:t>
      </w:r>
      <w:r w:rsidR="0033625C" w:rsidRPr="000D1AC0">
        <w:t xml:space="preserve">veracity </w:t>
      </w:r>
      <w:r w:rsidR="00002D9F" w:rsidRPr="000D1AC0">
        <w:t>should be a</w:t>
      </w:r>
      <w:r w:rsidR="00AC010F" w:rsidRPr="000D1AC0">
        <w:t xml:space="preserve"> </w:t>
      </w:r>
      <w:r w:rsidRPr="000D1AC0">
        <w:t xml:space="preserve">prerequisite to </w:t>
      </w:r>
      <w:r w:rsidR="00002D9F" w:rsidRPr="000D1AC0">
        <w:t xml:space="preserve">the pursuit for </w:t>
      </w:r>
      <w:r w:rsidRPr="000D1AC0">
        <w:t xml:space="preserve">value </w:t>
      </w:r>
      <w:r w:rsidR="00002D9F" w:rsidRPr="000D1AC0">
        <w:t>from data</w:t>
      </w:r>
      <w:r w:rsidR="000D1AC0">
        <w:t>, big or small</w:t>
      </w:r>
      <w:r w:rsidR="00002D9F" w:rsidRPr="000D1AC0">
        <w:t xml:space="preserve"> </w:t>
      </w:r>
      <w:r w:rsidRPr="000D1AC0">
        <w:fldChar w:fldCharType="begin" w:fldLock="1"/>
      </w:r>
      <w:r w:rsidR="009165C9" w:rsidRPr="000D1AC0">
        <w:instrText>ADDIN CSL_CITATION {"citationItems":[{"id":"ITEM-1","itemData":{"abstract":"This paper argues that big data can possess different characteristics, which affect its quality. Depending on its origin, data processing technologies, and methodologies used for data collection and scientific discoveries, big data can have biases, ambiguities, and inaccuracies which need to be identified and accounted for to reduce inference errors and improve the accuracy of generated insights. Big data veracity is now being recognized as a necessary property for its utilization, complementing the three previously established quality dimensions (volume, variety, and velocity), But there has been little discussion of the concept of veracity thus far. This paper provides a roadmap for theoretical and empirical definitions of veracity along with its practical implications. We explore veracity across three main dimensions: 1) objectivity/subjectivity, 2) truthfulness/deception, 3) credibility/implausibility – and propose to operationalize each of these dimensions with either existing computational tools or potential ones, relevant particularly to textual data analytics. We combine the measures of veracity dimensions into one composite index – the big data veracity index. This newly developed veracity index provides a useful way of assessing systematic variations in big data quality across datasets with textual information. The paper contributes to the big data research by categorizing the range of existing tools to measure the suggested dimensions, and to Library and Information Science (LIS) by proposing to account for heterogeneity of diverse big data, and to identify information quality dimensions important for each big data type.","author":[{"dropping-particle":"","family":"Lukoianova","given":"Tatiana","non-dropping-particle":"","parse-names":false,"suffix":""},{"dropping-particle":"","family":"Rubin","given":"Victoria L","non-dropping-particle":"","parse-names":false,"suffix":""}],"container-title":"Advances in Classification Research Online; 24th ASIS SIG/CR Classification Research Workshop","id":"ITEM-1","issue":"1","issued":{"date-parts":[["2014"]]},"page":"4-15","title":"Veracity Roadmap: Is Big Data Objective, Truthful and Credible?","type":"article-journal","volume":"24"},"uris":["http://www.mendeley.com/documents/?uuid=4fc17717-0d0c-4729-a948-19cdc450408c"]}],"mendeley":{"formattedCitation":"(Lukoianova &amp; Rubin, 2014)","plainTextFormattedCitation":"(Lukoianova &amp; Rubin, 2014)","previouslyFormattedCitation":"(Lukoianova &amp; Rubin, 2014)"},"properties":{"noteIndex":0},"schema":"https://github.com/citation-style-language/schema/raw/master/csl-citation.json"}</w:instrText>
      </w:r>
      <w:r w:rsidRPr="000D1AC0">
        <w:fldChar w:fldCharType="separate"/>
      </w:r>
      <w:r w:rsidRPr="000D1AC0">
        <w:rPr>
          <w:noProof/>
        </w:rPr>
        <w:t>(Lukoianova &amp; Rubin, 2014)</w:t>
      </w:r>
      <w:r w:rsidRPr="000D1AC0">
        <w:fldChar w:fldCharType="end"/>
      </w:r>
      <w:r w:rsidR="00AC010F" w:rsidRPr="000D1AC0">
        <w:t>.</w:t>
      </w:r>
      <w:r w:rsidR="00002D9F" w:rsidRPr="000D1AC0">
        <w:t xml:space="preserve"> </w:t>
      </w:r>
    </w:p>
    <w:p w14:paraId="4D5FA695" w14:textId="0D294A97" w:rsidR="00795986" w:rsidRPr="002313C4" w:rsidRDefault="00DB4B37" w:rsidP="00E75130">
      <w:pPr>
        <w:pStyle w:val="Text01"/>
      </w:pPr>
      <w:r>
        <w:t>R</w:t>
      </w:r>
      <w:r w:rsidR="004053E4">
        <w:t>eliance on the existence and accessibility of data alone fall</w:t>
      </w:r>
      <w:r w:rsidR="001E4BE5">
        <w:t>s</w:t>
      </w:r>
      <w:r w:rsidR="004053E4">
        <w:t xml:space="preserve"> short of offering credible </w:t>
      </w:r>
      <w:r w:rsidR="00623C2C">
        <w:t xml:space="preserve">and actionable </w:t>
      </w:r>
      <w:r w:rsidR="004053E4">
        <w:t>insight</w:t>
      </w:r>
      <w:r>
        <w:t>s</w:t>
      </w:r>
      <w:r w:rsidR="004053E4">
        <w:t xml:space="preserve"> in support of the UNSDGs if its veracity </w:t>
      </w:r>
      <w:r w:rsidR="00623C2C">
        <w:t>cannot be</w:t>
      </w:r>
      <w:r w:rsidR="004053E4">
        <w:t xml:space="preserve"> evaluated</w:t>
      </w:r>
      <w:r w:rsidR="001E4BE5">
        <w:t xml:space="preserve"> - eroding</w:t>
      </w:r>
      <w:r w:rsidR="00DD76A7">
        <w:t xml:space="preserve"> trust </w:t>
      </w:r>
      <w:r w:rsidR="001E4BE5">
        <w:t xml:space="preserve">in </w:t>
      </w:r>
      <w:r w:rsidR="00DD76A7">
        <w:t>outputs created from data that are of questionable or unknown veracity</w:t>
      </w:r>
      <w:r w:rsidR="001E4BE5">
        <w:t>.</w:t>
      </w:r>
      <w:r w:rsidR="00DD76A7">
        <w:t xml:space="preserve">  </w:t>
      </w:r>
      <w:r w:rsidR="00E4665C" w:rsidRPr="002313C4">
        <w:t>Logic dictates that data that are not veracious are likely to lead to insights that are misleading or incorrect</w:t>
      </w:r>
      <w:r w:rsidR="00E4665C">
        <w:t xml:space="preserve"> </w:t>
      </w:r>
      <w:r w:rsidR="00E4665C">
        <w:fldChar w:fldCharType="begin" w:fldLock="1"/>
      </w:r>
      <w:r w:rsidR="00E4665C">
        <w:instrText>ADDIN CSL_CITATION {"citationItems":[{"id":"ITEM-1","itemData":{"DOI":"10.1111/isj.12088","ISBN":"13501917","PMID":"111872724","abstract":"The 'big data' literature, academic as well as professional, has a very strong focus on opportunities. Far less attention has been paid to the threats that arise from repurposing data, consolidating data from multiple sources, applying analytical tools to the resulting collections, drawing inferences, and acting on them. On the basis of a review of quality factors in 'big data' and 'big data analytics', illustrated by means of scenario analysis, this paper draws attention to the moral and legal responsibility of computing researchers and professionals to temper their excitement, and apply reality checks to their promotional activities. [ABSTRACT FROM AUTHOR] Copyright of Information Systems Journal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Abstracts.)","author":[{"dropping-particle":"","family":"Clarke","given":"Roger","non-dropping-particle":"","parse-names":false,"suffix":""}],"container-title":"Information Systems Journal","id":"ITEM-1","issue":"1","issued":{"date-parts":[["2016"]]},"note":"Clarke, Roger 1,2,3; Affiliations: 1: Xamax Consultancy Pty Ltd; 2: Research School of Computer Science, ANU; 3: UNSW Law; Issue Info: Jan2016, Vol. 26 Issue 1, p77; Thesaurus Term: Software analytics; Thesaurus Term: Information technology industry; Subject Term: Big data; Subject Term: Data quality; Subject Term: Social impact assessment; Subject Term: Information storage &amp;amp; retrieval systems -- Periodicals; Author-Supplied Keyword: data quality; Author-Supplied Keyword: decision quality; Author-Supplied Keyword: impact assessment; Author-Supplied Keyword: scenario analysis; Number of Pages: 14p; Illustrations: 2 Charts; Document Type: Article","page":"77-90","publisher":"Wiley-Blackwell","title":"Big data, big risks","type":"article-journal","volume":"26"},"uris":["http://www.mendeley.com/documents/?uuid=c5b05beb-288f-4922-bdbe-b127b4e0ccf1"]}],"mendeley":{"formattedCitation":"(Clarke, 2016)","plainTextFormattedCitation":"(Clarke, 2016)","previouslyFormattedCitation":"(Clarke, 2016)"},"properties":{"noteIndex":0},"schema":"https://github.com/citation-style-language/schema/raw/master/csl-citation.json"}</w:instrText>
      </w:r>
      <w:r w:rsidR="00E4665C">
        <w:fldChar w:fldCharType="separate"/>
      </w:r>
      <w:r w:rsidR="00E4665C" w:rsidRPr="005B3CF7">
        <w:rPr>
          <w:noProof/>
        </w:rPr>
        <w:t>(Clarke, 2016)</w:t>
      </w:r>
      <w:r w:rsidR="00E4665C">
        <w:fldChar w:fldCharType="end"/>
      </w:r>
      <w:r w:rsidR="00E4665C">
        <w:t xml:space="preserve">. </w:t>
      </w:r>
      <w:r w:rsidR="00795986" w:rsidRPr="002313C4">
        <w:t>Creating algorithms, models and visualisations without understanding the veracity of the data on which these artefacts are based is to risk analyses that form false perceptions, or potentially worse, trigger erroneous actions</w:t>
      </w:r>
      <w:r w:rsidR="005B3CF7">
        <w:t xml:space="preserve"> </w:t>
      </w:r>
      <w:r w:rsidR="005B3CF7">
        <w:fldChar w:fldCharType="begin" w:fldLock="1"/>
      </w:r>
      <w:r w:rsidR="005B3CF7">
        <w:instrText>ADDIN CSL_CITATION {"citationItems":[{"id":"ITEM-1","itemData":{"author":[{"dropping-particle":"","family":"D'Mello","given":"Noah","non-dropping-particle":"","parse-names":false,"suffix":""}],"container-title":"CIO","id":"ITEM-1","issued":{"date-parts":[["2016"]]},"language":"English","publisher":"IDG","title":"5 cases where big data was a big flop","type":"article-magazine"},"uris":["http://www.mendeley.com/documents/?uuid=19b9c66a-d070-41f2-a57a-3fc8a1cf3a1a"]}],"mendeley":{"formattedCitation":"(D’Mello, 2016)","plainTextFormattedCitation":"(D’Mello, 2016)","previouslyFormattedCitation":"(D’Mello, 2016)"},"properties":{"noteIndex":0},"schema":"https://github.com/citation-style-language/schema/raw/master/csl-citation.json"}</w:instrText>
      </w:r>
      <w:r w:rsidR="005B3CF7">
        <w:fldChar w:fldCharType="separate"/>
      </w:r>
      <w:r w:rsidR="005B3CF7" w:rsidRPr="005B3CF7">
        <w:rPr>
          <w:noProof/>
        </w:rPr>
        <w:t>(D’Mello, 2016)</w:t>
      </w:r>
      <w:r w:rsidR="005B3CF7">
        <w:fldChar w:fldCharType="end"/>
      </w:r>
      <w:r w:rsidR="005B3CF7">
        <w:t xml:space="preserve">. </w:t>
      </w:r>
      <w:r w:rsidR="00795986" w:rsidRPr="002313C4">
        <w:t xml:space="preserve">Hence, regardless of the scale or magnitude of the data being analysed there is a need to </w:t>
      </w:r>
      <w:r w:rsidR="00D37B36">
        <w:t xml:space="preserve">(openly and transparently) </w:t>
      </w:r>
      <w:r w:rsidR="00795986" w:rsidRPr="002313C4">
        <w:t>gauge the extent to which the data can be trusted and identify any weakness</w:t>
      </w:r>
      <w:r w:rsidR="00CF6F0F">
        <w:t>es</w:t>
      </w:r>
      <w:r w:rsidR="00795986" w:rsidRPr="002313C4">
        <w:t xml:space="preserve"> that must be addressed or accepted</w:t>
      </w:r>
      <w:r w:rsidR="00D37B36">
        <w:t xml:space="preserve"> (</w:t>
      </w:r>
      <w:r w:rsidR="00795986" w:rsidRPr="002313C4">
        <w:t>or that may in fact render the data unfit for purpose</w:t>
      </w:r>
      <w:r w:rsidR="00D37B36">
        <w:t>)</w:t>
      </w:r>
      <w:r w:rsidR="00795986" w:rsidRPr="002313C4">
        <w:t>.</w:t>
      </w:r>
    </w:p>
    <w:p w14:paraId="3D8CEBC0" w14:textId="13A22D50" w:rsidR="001C5961" w:rsidRDefault="00795986" w:rsidP="00E75130">
      <w:pPr>
        <w:pStyle w:val="Text01"/>
      </w:pPr>
      <w:r w:rsidRPr="002313C4">
        <w:t>Having stressed the importance of knowing the veracity of the data being u</w:t>
      </w:r>
      <w:r w:rsidR="00DD3D9F">
        <w:t xml:space="preserve">sed, </w:t>
      </w:r>
      <w:r w:rsidR="00240DDE">
        <w:t>the extant</w:t>
      </w:r>
      <w:r w:rsidRPr="002313C4">
        <w:t xml:space="preserve"> literature </w:t>
      </w:r>
      <w:r w:rsidR="00DD3D9F">
        <w:t xml:space="preserve">offers </w:t>
      </w:r>
      <w:r w:rsidRPr="002313C4">
        <w:t xml:space="preserve">no </w:t>
      </w:r>
      <w:r w:rsidR="002267B5">
        <w:t>consensus as to the</w:t>
      </w:r>
      <w:r w:rsidRPr="002313C4">
        <w:t xml:space="preserve"> definition of data veracity. </w:t>
      </w:r>
      <w:r w:rsidR="00240DDE">
        <w:t>The concept is</w:t>
      </w:r>
      <w:r w:rsidRPr="002313C4">
        <w:t xml:space="preserve"> often described in the negative</w:t>
      </w:r>
      <w:r w:rsidR="00240DDE">
        <w:t xml:space="preserve"> </w:t>
      </w:r>
      <w:r w:rsidRPr="002313C4">
        <w:t>– e.g.</w:t>
      </w:r>
      <w:r w:rsidR="00240DDE">
        <w:t>,</w:t>
      </w:r>
      <w:r w:rsidRPr="002313C4">
        <w:t xml:space="preserve"> </w:t>
      </w:r>
      <w:r w:rsidR="00401F60">
        <w:t xml:space="preserve">‘misinformation’, </w:t>
      </w:r>
      <w:r w:rsidRPr="002313C4">
        <w:t xml:space="preserve">‘data in doubt’, ‘uncertain’, ‘abnormal’, </w:t>
      </w:r>
      <w:r w:rsidR="00746AF1">
        <w:t xml:space="preserve">‘untruthful’, </w:t>
      </w:r>
      <w:r w:rsidRPr="002313C4">
        <w:t xml:space="preserve">‘noisy’ and ‘biased’ </w:t>
      </w:r>
      <w:r w:rsidR="00746AF1" w:rsidRPr="00BE3FAC">
        <w:fldChar w:fldCharType="begin" w:fldLock="1"/>
      </w:r>
      <w:r w:rsidR="009C4431">
        <w:instrText>ADDIN CSL_CITATION {"citationItems":[{"id":"ITEM-1","itemData":{"ISBN":"Print: 9781627057714; Ebook: 9781627057721","abstract":"The evolution of the Web from a technology platform to a social ecosystem has resulted in unprecedented data volumes being continuously generated, exchanged, and consumed. Usergenerated content on the Web is massive, highly dynamic, and characterized by a combination of factual data and opinion data. False information, rumors, and fake contents across multiple sources can be easily spread, making it hard to distinguish between what is true and what is not. Truth discovery also called fact-checking has recently gained lot of interest in Data Science communities. Ascertaining the veracity of data and understanding the dynamics of misinformation in the Web are two interdependent challenges for researchers and practitioners in Databases, Information Retrieval, and Knowledge Management. This book explores the progress that has been made in discovering truth, checking facts, and modeling the propagation of falsified and distorted information in the context of Big Data. We will review in details current models, algorithms, and techniques proposed by various research communities in Complex System Modeling, Data Management, and Knowledge Discovery, for ascertaining the veracity of data in a dynamic world. Finally, this book will identify a wide range of open problems and research directions for discovering truth from falsehood(s) in the Web Data and understanding the evolution and propagation of information source trustworthiness.","author":[{"dropping-particle":"","family":"Berti-Equille","given":"Laure","non-dropping-particle":"","parse-names":false,"suffix":""},{"dropping-particle":"","family":"Borge-Holthoefer","given":"Javier","non-dropping-particle":"","parse-names":false,"suffix":""}],"chapter-number":"1","container-title":"Synthesis Lectures on Data Management","id":"ITEM-1","issued":{"date-parts":[["2015"]]},"page":"1 - 9","publisher":"Morgan &amp; Claypool","title":"Veracity of data: From truth discovery computation algorithms to models of misinformation dynamics","type":"chapter"},"uris":["http://www.mendeley.com/documents/?uuid=05e2c5aa-d719-48c3-9b81-ae983eb73002"]},{"id":"ITEM-2","itemData":{"DOI":"10.1145/2935753","ISBN":"1936-1955","author":[{"dropping-particle":"","family":"Berti-Equille","given":"Laure","non-dropping-particle":"","parse-names":false,"suffix":""},{"dropping-particle":"","family":"Lamine Ba","given":"Mouhamadou","non-dropping-particle":"","parse-names":false,"suffix":""}],"container-title":"Journal of Data and Information Quality (JDIQ)","id":"ITEM-2","issue":"3","issued":{"date-parts":[["2016"]]},"page":"1-3","title":"Veracity of Big Data: Challenges of Cross-Modal Truth Discovery","type":"article-journal","volume":"7"},"uris":["http://www.mendeley.com/documents/?uuid=de47328d-21cb-4ffe-8bd7-e95fe29bec97"]},{"id":"ITEM-3","itemData":{"URL":"http://www-05.ibm.com/fr/events/netezzaDM_2012/Solutions_Big_Data.pdf","author":[{"dropping-particle":"","family":"Claverie-Berge","given":"Isabelle","non-dropping-particle":"","parse-names":false,"suffix":""}],"container-title":"Netezza","editor":[{"dropping-particle":"","family":"IBM","given":"","non-dropping-particle":"","parse-names":false,"suffix":""}],"id":"ITEM-3","issue":"03 March 2017","issued":{"date-parts":[["2012"]]},"language":"English","page":"17","publisher":"IBM","publisher-place":"On-line","title":"Solutions Big Data","type":"webpage","volume":"2017"},"uris":["http://www.mendeley.com/documents/?uuid=d329cc77-b62c-4d7d-b31b-17c9baaa1e5a","http://www.mendeley.com/documents/?uuid=e996379b-a413-4d9a-afc9-2aeb3879d4be"]},{"id":"ITEM-4","itemData":{"abstract":"This paper argues that big data can possess different characteristics, which affect its quality. Depending on its origin, data processing technologies, and methodologies used for data collection and scientific discoveries, big data can have biases, ambiguities, and inaccuracies which need to be identified and accounted for to reduce inference errors and improve the accuracy of generated insights. Big data veracity is now being recognized as a necessary property for its utilization, complementing the three previously established quality dimensions (volume, variety, and velocity), But there has been little discussion of the concept of veracity thus far. This paper provides a roadmap for theoretical and empirical definitions of veracity along with its practical implications. We explore veracity across three main dimensions: 1) objectivity/subjectivity, 2) truthfulness/deception, 3) credibility/implausibility – and propose to operationalize each of these dimensions with either existing computational tools or potential ones, relevant particularly to textual data analytics. We combine the measures of veracity dimensions into one composite index – the big data veracity index. This newly developed veracity index provides a useful way of assessing systematic variations in big data quality across datasets with textual information. The paper contributes to the big data research by categorizing the range of existing tools to measure the suggested dimensions, and to Library and Information Science (LIS) by proposing to account for heterogeneity of diverse big data, and to identify information quality dimensions important for each big data type.","author":[{"dropping-particle":"","family":"Lukoianova","given":"Tatiana","non-dropping-particle":"","parse-names":false,"suffix":""},{"dropping-particle":"","family":"Rubin","given":"Victoria L","non-dropping-particle":"","parse-names":false,"suffix":""}],"container-title":"Advances in Classification Research Online; 24th ASIS SIG/CR Classification Research Workshop","id":"ITEM-4","issue":"1","issued":{"date-parts":[["2014"]]},"page":"4-15","title":"Veracity Roadmap: Is Big Data Objective, Truthful and Credible?","type":"article-journal","volume":"24"},"uris":["http://www.mendeley.com/documents/?uuid=4fc17717-0d0c-4729-a948-19cdc450408c"]},{"id":"ITEM-5","itemData":{"URL":"http://insidebigdata.com/2013/09/12/beyond-volume-variety-velocity-issue-big-data-veracity/","author":[{"dropping-particle":"","family":"Normandeau","given":"Kevin","non-dropping-particle":"","parse-names":false,"suffix":""}],"container-title":"InsideBigData","editor":[{"dropping-particle":"","family":"InsideBigData","given":"","non-dropping-particle":"","parse-names":false,"suffix":""}],"id":"ITEM-5","issue":"01 March 2017","issued":{"date-parts":[["2013"]]},"language":"English","page":"Website about Machine Learning and Deep Learning","publisher":"InsideBigData","publisher-place":"on-line","title":"Beyond Volume, Variety and Velocity is the Issue of Big Data Veracity","type":"webpage","volume":"2017"},"uris":["http://www.mendeley.com/documents/?uuid=ad5816e9-bd7a-4dd6-ab3f-b32be175a942"]},{"id":"ITEM-6","itemData":{"author":[{"dropping-particle":"","family":"Schroeck","given":"M","non-dropping-particle":"","parse-names":false,"suffix":""}],"container-title":"IBM Institute for Business Value","id":"ITEM-6","issued":{"date-parts":[["2012"]]},"title":"Analytics: the real-world use of Big Data. How innovative enterprises extract value from uncertain data. IBM Global Business Services","type":"report"},"uris":["http://www.mendeley.com/documents/?uuid=39f4bf11-14f3-4020-9a36-8eb0223a5fbe"]}],"mendeley":{"formattedCitation":"(Berti-Equille &amp; Borge-Holthoefer, 2015; Berti-Equille &amp; Lamine Ba, 2016; Claverie-Berge, 2012; Lukoianova &amp; Rubin, 2014; Normandeau, 2013; Schroeck, 2012)","plainTextFormattedCitation":"(Berti-Equille &amp; Borge-Holthoefer, 2015; Berti-Equille &amp; Lamine Ba, 2016; Claverie-Berge, 2012; Lukoianova &amp; Rubin, 2014; Normandeau, 2013; Schroeck, 2012)","previouslyFormattedCitation":"(Berti-Equille &amp; Borge-Holthoefer, 2015; Berti-Equille &amp; Lamine Ba, 2016; Claverie-Berge, 2012; Lukoianova &amp; Rubin, 2014; Normandeau, 2013; Schroeck, 2012)"},"properties":{"noteIndex":0},"schema":"https://github.com/citation-style-language/schema/raw/master/csl-citation.json"}</w:instrText>
      </w:r>
      <w:r w:rsidR="00746AF1" w:rsidRPr="00BE3FAC">
        <w:fldChar w:fldCharType="separate"/>
      </w:r>
      <w:r w:rsidR="001920E6" w:rsidRPr="00240DDE">
        <w:rPr>
          <w:noProof/>
        </w:rPr>
        <w:t>(Berti-Equille &amp; Borge-Holthoefer, 2015; Berti-Equille &amp; Lamine Ba, 2016; Claverie-Berge, 2012; Lukoianova &amp; Rubin, 2014; Normandeau, 2013; Schroeck, 2012)</w:t>
      </w:r>
      <w:r w:rsidR="00746AF1" w:rsidRPr="00BE3FAC">
        <w:fldChar w:fldCharType="end"/>
      </w:r>
      <w:r w:rsidR="00240DDE">
        <w:t>. As the state-of-the-art stands there is a paucity of work oriented at</w:t>
      </w:r>
      <w:r w:rsidR="00AE7613">
        <w:t xml:space="preserve">: (a) </w:t>
      </w:r>
      <w:r w:rsidR="00AE7613">
        <w:lastRenderedPageBreak/>
        <w:t>Providing foundational</w:t>
      </w:r>
      <w:r w:rsidR="00240DDE">
        <w:t xml:space="preserve"> definitions</w:t>
      </w:r>
      <w:r w:rsidR="00AE7613">
        <w:t xml:space="preserve">; </w:t>
      </w:r>
      <w:r w:rsidR="00F14D46">
        <w:t>and</w:t>
      </w:r>
      <w:r w:rsidR="00AE7613">
        <w:t xml:space="preserve"> (b)</w:t>
      </w:r>
      <w:r w:rsidR="00240DDE">
        <w:t xml:space="preserve">, more importantly, </w:t>
      </w:r>
      <w:r w:rsidR="00AE7613">
        <w:t xml:space="preserve">the development of </w:t>
      </w:r>
      <w:r w:rsidR="00CF6F0F">
        <w:t>models</w:t>
      </w:r>
      <w:r w:rsidR="00C86EF8">
        <w:t xml:space="preserve">, methods </w:t>
      </w:r>
      <w:r w:rsidR="007273D2">
        <w:t>and/</w:t>
      </w:r>
      <w:r w:rsidR="00C86EF8">
        <w:t>or technologies</w:t>
      </w:r>
      <w:r w:rsidR="00CF6F0F">
        <w:t xml:space="preserve"> </w:t>
      </w:r>
      <w:r w:rsidR="00C86EF8">
        <w:t>to determine the veracity of data</w:t>
      </w:r>
      <w:r w:rsidR="00240DDE">
        <w:t xml:space="preserve">. </w:t>
      </w:r>
      <w:r w:rsidR="007273D2">
        <w:t>Arguably, the f</w:t>
      </w:r>
      <w:r w:rsidR="00240DDE">
        <w:t xml:space="preserve">oundations for such work exists in </w:t>
      </w:r>
      <w:r w:rsidR="004F2BB4" w:rsidRPr="002313C4">
        <w:t>seminal work in data</w:t>
      </w:r>
      <w:r w:rsidR="00B70D2E">
        <w:t xml:space="preserve"> quality</w:t>
      </w:r>
      <w:r w:rsidR="004F2BB4" w:rsidRPr="002313C4">
        <w:t xml:space="preserve"> </w:t>
      </w:r>
      <w:r w:rsidR="00036BBA">
        <w:fldChar w:fldCharType="begin" w:fldLock="1"/>
      </w:r>
      <w:r w:rsidR="00036BBA">
        <w:instrText>ADDIN CSL_CITATION {"citationItems":[{"id":"ITEM-1","itemData":{"DOI":"10.1016/s0378-7206(02)00043-5","ISBN":"0378-7206","abstract":"Information quality (IQ) is critical in organizations. Yet, despite a decade of active research and practice, the field lacks comprehensive methodologies for its assessment and improvement. Here, we develop such a methodology, which we call AIM quality (AIMQ) to form a basis for IQ assessment and benchmarking. The methodology is illustrated through its application to five major organizations. The methodology encompasses a model of IQ, a questionnaire to measure IQ, and analysis techniques for interpreting the IQ measures. We develop and validate the questionnaire and use it to collect data on the status of organizational IQ. These data are used to assess and benchmark IQ for four quadrants of the model. These analysis techniques are applied to analyze the gap between an organization and best practices. They are also applied to analyze gaps between IS professionals and information consumers. The results of the techniques are useful for determining the best area for IQ improvement activities.","author":[{"dropping-particle":"","family":"Lee","given":"Yang W","non-dropping-particle":"","parse-names":false,"suffix":""},{"dropping-particle":"","family":"Strong","given":"Diane M","non-dropping-particle":"","parse-names":false,"suffix":""},{"dropping-particle":"","family":"Kahn","given":"Beverly K","non-dropping-particle":"","parse-names":false,"suffix":""},{"dropping-particle":"","family":"Wang","given":"Richard Y","non-dropping-particle":"","parse-names":false,"suffix":""}],"container-title":"Information Management","id":"ITEM-1","issue":"2","issued":{"date-parts":[["2002"]]},"page":"133-146","title":"AIMQ: a methodology for information quality assessment","type":"article-journal","volume":"40"},"uris":["http://www.mendeley.com/documents/?uuid=6d1e60d4-931f-4716-9776-187d3f5eec79"]},{"id":"ITEM-2","itemData":{"DOI":"10.1145/253769.253804","ISBN":"0001-0782","author":[{"dropping-particle":"","family":"Strong","given":"Diane M","non-dropping-particle":"","parse-names":false,"suffix":""},{"dropping-particle":"","family":"Lee","given":"Yang W","non-dropping-particle":"","parse-names":false,"suffix":""},{"dropping-particle":"","family":"Wang","given":"Richard Y","non-dropping-particle":"","parse-names":false,"suffix":""}],"container-title":"Commun. ACM","id":"ITEM-2","issue":"5","issued":{"date-parts":[["1997"]]},"page":"103-110","title":"Data Quality in Context","type":"article-journal","volume":"40"},"uris":["http://www.mendeley.com/documents/?uuid=8a625dcd-bf08-4d79-a7bd-5f8ff387c48c"]},{"id":"ITEM-3","itemData":{"DOI":"10.1145/240455.240479","ISBN":"0001-0782","author":[{"dropping-particle":"","family":"Wand","given":"Yair","non-dropping-particle":"","parse-names":false,"suffix":""},{"dropping-particle":"","family":"Wang","given":"Richard","non-dropping-particle":"","parse-names":false,"suffix":""}],"container-title":"Communications of the ACM","id":"ITEM-3","issue":"11","issued":{"date-parts":[["1996"]]},"page":"86-95","title":"Anchoring data quality dimensions in ontological foundations","type":"article-journal","volume":"39"},"uris":["http://www.mendeley.com/documents/?uuid=afe56e73-c1cd-4439-a20a-10118b94678e"]},{"id":"ITEM-4","itemData":{"DOI":"10.1080/07421222.1996.11518099","ISBN":"0742-1222","abstract":"Abstract: Poor data quality (DQ) can have substantial social and economic impacts. Although firms are improving data quality with practical approaches and tools, their improvement efforts tend to focus narrowly on accuracy. We believe that data consumers have a much broader data quality conceptualization than IS professionals realize. The purpose of this paper is to develop a framework that captures the aspects of data quality that are important to data consumers. Intrinsic DQContextual DQRepresentational DQaccessibility DQ A two-stage survey and a two-phase sorting study were conducted to develop a hierarchical framework for organizing data quality dimensions. This framework captures dimensions of data quality that are important to data consumers. Intrinsic DQ denotes that data have quality in their own right. Contextual DQ highlights the requirement that data quality must be considered within the context ofthe task at hand. Representational DQ and accessibility DQ emphasize the importance of the role of systems. These findings are consistent with our understanding that high-quality data should be intrinsically good, contextually appropriate for the task, clearly represented, and accessible to the data consumer. Our framework has been used effectively in industry and government. Using this framework, IS managers were able to better understand and meet their data consumers’ data quality needs. The salient feature of this research study is that quality attributes of data are collected from data consumers instead of being defined theoretically or based on researchers’ experience. Although exploratory, this research provides a basis for future studies that measure data quality along the dimensions of this framework.","author":[{"dropping-particle":"","family":"Wang","given":"Richard Y","non-dropping-particle":"","parse-names":false,"suffix":""},{"dropping-particle":"","family":"Strong","given":"Diane M","non-dropping-particle":"","parse-names":false,"suffix":""}],"container-title":"Journal of Management Information Systems","id":"ITEM-4","issue":"4","issued":{"date-parts":[["1996"]]},"page":"5-33","publisher":"Routledge","title":"Beyond Accuracy: What Data Quality Means to Data Consumers","type":"article-journal","volume":"12"},"uris":["http://www.mendeley.com/documents/?uuid=5b3a76af-470a-4375-8078-2480a1709560"]}],"mendeley":{"formattedCitation":"(Lee et al., 2002; Strong et al., 1997; Wand &amp; Wang, 1996; R. Y. Wang &amp; Strong, 1996)","plainTextFormattedCitation":"(Lee et al., 2002; Strong et al., 1997; Wand &amp; Wang, 1996; R. Y. Wang &amp; Strong, 1996)","previouslyFormattedCitation":"(Lee et al., 2002; Strong et al., 1997; Wand &amp; Wang, 1996; R. Y. Wang &amp; Strong, 1996)"},"properties":{"noteIndex":0},"schema":"https://github.com/citation-style-language/schema/raw/master/csl-citation.json"}</w:instrText>
      </w:r>
      <w:r w:rsidR="00036BBA">
        <w:fldChar w:fldCharType="separate"/>
      </w:r>
      <w:r w:rsidR="00036BBA" w:rsidRPr="00036BBA">
        <w:rPr>
          <w:noProof/>
        </w:rPr>
        <w:t>(Lee et al., 2002; Strong et al., 1997; Wand &amp; Wang, 1996; R. Y. Wang &amp; Strong, 1996)</w:t>
      </w:r>
      <w:r w:rsidR="00036BBA">
        <w:fldChar w:fldCharType="end"/>
      </w:r>
      <w:r w:rsidR="004F2BB4" w:rsidRPr="002313C4">
        <w:t xml:space="preserve"> </w:t>
      </w:r>
      <w:r w:rsidR="00240DDE">
        <w:t>and</w:t>
      </w:r>
      <w:r w:rsidR="004F2BB4" w:rsidRPr="002313C4">
        <w:t xml:space="preserve"> concep</w:t>
      </w:r>
      <w:r w:rsidR="00C86EF8">
        <w:t>ts from the big d</w:t>
      </w:r>
      <w:r w:rsidR="00B70D2E">
        <w:t xml:space="preserve">ata </w:t>
      </w:r>
      <w:r w:rsidR="00F14D46">
        <w:t>literature</w:t>
      </w:r>
      <w:r w:rsidR="004F2BB4" w:rsidRPr="002313C4">
        <w:t xml:space="preserve"> </w:t>
      </w:r>
      <w:r w:rsidR="00036BBA">
        <w:fldChar w:fldCharType="begin" w:fldLock="1"/>
      </w:r>
      <w:r w:rsidR="009C4431">
        <w:instrText>ADDIN CSL_CITATION {"citationItems":[{"id":"ITEM-1","itemData":{"URL":"http://blogs.gartner.com/doug-laney/batman-on-big-data/","accessed":{"date-parts":[["2017","3","1"]]},"author":[{"dropping-particle":"","family":"Laney","given":"Doug","non-dropping-particle":"","parse-names":false,"suffix":""}],"container-title":"Gartner Blog Network","editor":[{"dropping-particle":"","family":"Gartner","given":"","non-dropping-particle":"","parse-names":false,"suffix":""}],"id":"ITEM-1","issue":"01 Mar 2017","issued":{"date-parts":[["2013"]]},"language":"English","page":"Gartner Blog Network - Entry by Doug Laney (of 3V","publisher":"Gartner","publisher-place":"On-line","title":"Batman on Big Data","type":"webpage","volume":"2017"},"uris":["http://www.mendeley.com/documents/?uuid=d24a5898-5376-412e-8959-9c29b98ba2bb"]},{"id":"ITEM-2","itemData":{"URL":"http://www.informationweek.com/big-data/big-data-analytics/big-data-avoid-wanna-v-confusion/d/d-id/1111077","accessed":{"date-parts":[["2017","3","3"]]},"author":[{"dropping-particle":"","family":"Grimes","given":"Seth","non-dropping-particle":"","parse-names":false,"suffix":""}],"container-title":"InformationWeek","editor":[{"dropping-particle":"","family":"Week","given":"Information","non-dropping-particle":"","parse-names":false,"suffix":""}],"id":"ITEM-2","issue":"8 August 2013","issued":{"date-parts":[["2013"]]},"language":"English","publisher":"Information Week","publisher-place":"On-line","title":"Big Data: Avoid 'Wanna V' Confusion","type":"webpage"},"uris":["http://www.mendeley.com/documents/?uuid=b98db55f-0ac1-4a4b-ac9d-3405c63c6c0b"]},{"id":"ITEM-3","itemData":{"DOI":"10.1145/2935753","ISBN":"1936-1955","author":[{"dropping-particle":"","family":"Berti-Equille","given":"Laure","non-dropping-particle":"","parse-names":false,"suffix":""},{"dropping-particle":"","family":"Lamine Ba","given":"Mouhamadou","non-dropping-particle":"","parse-names":false,"suffix":""}],"container-title":"Journal of Data and Information Quality (JDIQ)","id":"ITEM-3","issue":"3","issued":{"date-parts":[["2016"]]},"page":"1-3","title":"Veracity of Big Data: Challenges of Cross-Modal Truth Discovery","type":"article-journal","volume":"7"},"uris":["http://www.mendeley.com/documents/?uuid=de47328d-21cb-4ffe-8bd7-e95fe29bec97"]},{"id":"ITEM-4","itemData":{"abstract":"This paper argues that big data can possess different characteristics, which affect its quality. Depending on its origin, data processing technologies, and methodologies used for data collection and scientific discoveries, big data can have biases, ambiguities, and inaccuracies which need to be identified and accounted for to reduce inference errors and improve the accuracy of generated insights. Big data veracity is now being recognized as a necessary property for its utilization, complementing the three previously established quality dimensions (volume, variety, and velocity), But there has been little discussion of the concept of veracity thus far. This paper provides a roadmap for theoretical and empirical definitions of veracity along with its practical implications. We explore veracity across three main dimensions: 1) objectivity/subjectivity, 2) truthfulness/deception, 3) credibility/implausibility – and propose to operationalize each of these dimensions with either existing computational tools or potential ones, relevant particularly to textual data analytics. We combine the measures of veracity dimensions into one composite index – the big data veracity index. This newly developed veracity index provides a useful way of assessing systematic variations in big data quality across datasets with textual information. The paper contributes to the big data research by categorizing the range of existing tools to measure the suggested dimensions, and to Library and Information Science (LIS) by proposing to account for heterogeneity of diverse big data, and to identify information quality dimensions important for each big data type.","author":[{"dropping-particle":"","family":"Lukoianova","given":"Tatiana","non-dropping-particle":"","parse-names":false,"suffix":""},{"dropping-particle":"","family":"Rubin","given":"Victoria L","non-dropping-particle":"","parse-names":false,"suffix":""}],"container-title":"Advances in Classification Research Online; 24th ASIS SIG/CR Classification Research Workshop","id":"ITEM-4","issue":"1","issued":{"date-parts":[["2014"]]},"page":"4-15","title":"Veracity Roadmap: Is Big Data Objective, Truthful and Credible?","type":"article-journal","volume":"24"},"uris":["http://www.mendeley.com/documents/?uuid=4fc17717-0d0c-4729-a948-19cdc450408c"]},{"id":"ITEM-5","itemData":{"URL":"http://insidebigdata.com/2013/09/12/beyond-volume-variety-velocity-issue-big-data-veracity/","author":[{"dropping-particle":"","family":"Normandeau","given":"Kevin","non-dropping-particle":"","parse-names":false,"suffix":""}],"container-title":"InsideBigData","editor":[{"dropping-particle":"","family":"InsideBigData","given":"","non-dropping-particle":"","parse-names":false,"suffix":""}],"id":"ITEM-5","issue":"01 March 2017","issued":{"date-parts":[["2013"]]},"language":"English","page":"Website about Machine Learning and Deep Learning","publisher":"InsideBigData","publisher-place":"on-line","title":"Beyond Volume, Variety and Velocity is the Issue of Big Data Veracity","type":"webpage","volume":"2017"},"uris":["http://www.mendeley.com/documents/?uuid=ad5816e9-bd7a-4dd6-ab3f-b32be175a942"]},{"id":"ITEM-6","itemData":{"DOI":"10.15453/2168-6408.1324","author":[{"dropping-particle":"","family":"Powers Dirette","given":"Diane","non-dropping-particle":"","parse-names":false,"suffix":""}],"container-title":"The Open Journal of Occupational Therapy","id":"ITEM-6","issue":"4","issued":{"date-parts":[["2016"]]},"page":"1-4","title":"Why the Veracity of Data Matters in Health Care Research","type":"article-journal","volume":"4"},"uris":["http://www.mendeley.com/documents/?uuid=4258868a-c989-4e87-a1d3-f61f83f82bb9"]}],"mendeley":{"formattedCitation":"(Berti-Equille &amp; Lamine Ba, 2016; Grimes, 2013; Laney, 2013; Lukoianova &amp; Rubin, 2014; Normandeau, 2013; Powers Dirette, 2016)","plainTextFormattedCitation":"(Berti-Equille &amp; Lamine Ba, 2016; Grimes, 2013; Laney, 2013; Lukoianova &amp; Rubin, 2014; Normandeau, 2013; Powers Dirette, 2016)","previouslyFormattedCitation":"(Berti-Equille &amp; Lamine Ba, 2016; Grimes, 2013; Laney, 2013; Lukoianova &amp; Rubin, 2014; Normandeau, 2013; Powers Dirette, 2016)"},"properties":{"noteIndex":0},"schema":"https://github.com/citation-style-language/schema/raw/master/csl-citation.json"}</w:instrText>
      </w:r>
      <w:r w:rsidR="00036BBA">
        <w:fldChar w:fldCharType="separate"/>
      </w:r>
      <w:r w:rsidR="00832D3E" w:rsidRPr="00832D3E">
        <w:rPr>
          <w:noProof/>
        </w:rPr>
        <w:t>(Berti-Equille &amp; Lamine Ba, 2016; Grimes, 2013; Laney, 2013; Lukoianova &amp; Rubin, 2014; Normandeau, 2013; Powers Dirette, 2016)</w:t>
      </w:r>
      <w:r w:rsidR="00036BBA">
        <w:fldChar w:fldCharType="end"/>
      </w:r>
      <w:r w:rsidR="00832D3E">
        <w:rPr>
          <w:noProof/>
        </w:rPr>
        <w:t>.</w:t>
      </w:r>
      <w:r w:rsidR="009227D0">
        <w:t xml:space="preserve"> </w:t>
      </w:r>
      <w:r w:rsidR="007273D2">
        <w:t>Neither</w:t>
      </w:r>
      <w:r w:rsidR="009227D0">
        <w:t xml:space="preserve"> </w:t>
      </w:r>
      <w:r w:rsidR="00DC3211">
        <w:t xml:space="preserve">offer complete answers, </w:t>
      </w:r>
      <w:r w:rsidR="007273D2">
        <w:t xml:space="preserve">however, so the </w:t>
      </w:r>
      <w:r w:rsidR="000F6845">
        <w:t xml:space="preserve">humanitarian </w:t>
      </w:r>
      <w:r w:rsidR="000F6845" w:rsidRPr="00FB6219">
        <w:t>ecosystem</w:t>
      </w:r>
      <w:r w:rsidR="000F6845">
        <w:t xml:space="preserve"> </w:t>
      </w:r>
      <w:r w:rsidR="00FB6219">
        <w:t xml:space="preserve">currently </w:t>
      </w:r>
      <w:r w:rsidR="000F6845">
        <w:t>lack</w:t>
      </w:r>
      <w:r w:rsidR="00F126B2">
        <w:t>s</w:t>
      </w:r>
      <w:r w:rsidR="000F6845">
        <w:t xml:space="preserve"> a means of consistently and comprehensively evaluating the veracity of its data assets</w:t>
      </w:r>
      <w:r w:rsidR="007273D2">
        <w:t xml:space="preserve">, </w:t>
      </w:r>
      <w:r w:rsidR="00F126B2">
        <w:t>calling</w:t>
      </w:r>
      <w:r w:rsidR="000F6845">
        <w:t xml:space="preserve"> into question the </w:t>
      </w:r>
      <w:r w:rsidR="00F126B2">
        <w:t>credibility of the</w:t>
      </w:r>
      <w:r w:rsidR="000F6845">
        <w:t xml:space="preserve"> data </w:t>
      </w:r>
      <w:r w:rsidR="00F126B2">
        <w:t xml:space="preserve">used to support the </w:t>
      </w:r>
      <w:r w:rsidR="000F6845">
        <w:t xml:space="preserve">UNSDGs. </w:t>
      </w:r>
    </w:p>
    <w:p w14:paraId="776B26AA" w14:textId="77777777" w:rsidR="0078325E" w:rsidRPr="001365B0" w:rsidRDefault="0078325E" w:rsidP="0078325E">
      <w:pPr>
        <w:keepNext/>
        <w:keepLines/>
        <w:spacing w:before="0" w:after="0"/>
      </w:pPr>
      <w:r w:rsidRPr="001365B0">
        <w:t>This leads us to the following future research proposition:</w:t>
      </w:r>
    </w:p>
    <w:p w14:paraId="2FB3EF46" w14:textId="1E3372FF" w:rsidR="00D90D05" w:rsidRPr="00D90D05" w:rsidRDefault="007273D2" w:rsidP="00D9071C">
      <w:pPr>
        <w:pStyle w:val="NListParagraph"/>
        <w:numPr>
          <w:ilvl w:val="0"/>
          <w:numId w:val="10"/>
        </w:numPr>
      </w:pPr>
      <w:r w:rsidRPr="007273D2">
        <w:t>The veracity of data assets require</w:t>
      </w:r>
      <w:r w:rsidR="00F46CA7">
        <w:t>s</w:t>
      </w:r>
      <w:r w:rsidRPr="007273D2">
        <w:t xml:space="preserve"> </w:t>
      </w:r>
      <w:r w:rsidR="00F14D46">
        <w:t xml:space="preserve">transparent </w:t>
      </w:r>
      <w:r w:rsidRPr="007273D2">
        <w:t>evaluation if trust is to be established and maintained.</w:t>
      </w:r>
      <w:r w:rsidR="00C22C36" w:rsidRPr="00C22C36">
        <w:t xml:space="preserve"> </w:t>
      </w:r>
    </w:p>
    <w:p w14:paraId="11CD4B63" w14:textId="3FD7A922" w:rsidR="00923C08" w:rsidRDefault="00CF11AA" w:rsidP="00C22C36">
      <w:pPr>
        <w:pStyle w:val="Heading3"/>
      </w:pPr>
      <w:r>
        <w:t xml:space="preserve">RP </w:t>
      </w:r>
      <w:r w:rsidR="009C3569">
        <w:t xml:space="preserve">3: </w:t>
      </w:r>
      <w:r w:rsidR="000966F8">
        <w:t>Value and Data Privacy</w:t>
      </w:r>
    </w:p>
    <w:p w14:paraId="0044DDBE" w14:textId="2F24BDC0" w:rsidR="0074008B" w:rsidRDefault="008854EA" w:rsidP="004B4F6B">
      <w:pPr>
        <w:pStyle w:val="Text01"/>
      </w:pPr>
      <w:r>
        <w:t>There are s</w:t>
      </w:r>
      <w:r w:rsidR="006B52E0">
        <w:t>ignificant opportunities</w:t>
      </w:r>
      <w:r w:rsidR="00716E21">
        <w:t xml:space="preserve"> </w:t>
      </w:r>
      <w:r>
        <w:t>to create</w:t>
      </w:r>
      <w:r w:rsidR="005337FB">
        <w:t xml:space="preserve"> value</w:t>
      </w:r>
      <w:r w:rsidR="0078050C">
        <w:t xml:space="preserve"> from data within</w:t>
      </w:r>
      <w:r w:rsidR="00716E21">
        <w:t xml:space="preserve"> the h</w:t>
      </w:r>
      <w:r>
        <w:t xml:space="preserve">umanitarian ecosystem. These include </w:t>
      </w:r>
      <w:r w:rsidR="00716E21">
        <w:t>descriptive, prescriptive and predictive possibilities across humanitarian operation</w:t>
      </w:r>
      <w:r w:rsidR="006B52E0">
        <w:t xml:space="preserve">s </w:t>
      </w:r>
      <w:r w:rsidR="0078050C" w:rsidRPr="001365B0">
        <w:fldChar w:fldCharType="begin" w:fldLock="1"/>
      </w:r>
      <w:r w:rsidR="00775B54">
        <w:instrText>ADDIN CSL_CITATION {"citationItems":[{"id":"ITEM-1","itemData":{"DOI":"10.1108/ijlm-02-2017-0039","ISBN":"0957-4093","abstract":"Purpose The purpose of this paper is to understand how big data and predictive analytics (BDPA), as an organizational capability, can improve both visibility and coordination in humanitarian supply chains. Design/methodology/approach The authors conceptualize a research model grounded in contingent resource-based view where the authors propose that BDPA capabilities affect visibility and coordination under the moderating effect of swift trust. Using ordinary least squares regression, the authors test the hypotheses using survey data collected from informants at 205 international non-government organizations. Findings The results indicate that BDPA has a significant influence on visibility and coordination. Further, the results suggest that swift trust does not have an amplifying effect on the relationships between BDPA and visibility and coordination. However, the mediation test suggests that swift trust acts as a mediating construct. Hence, the authors argue that swift trust is not the condition for improving coordination among the actors in humanitarian supply chains. Research limitations/implications The major limitation of the study is that the authors have used cross-sectional survey data to test the research hypotheses. Following Guide and Ketokivi (2015), the authors present arguments on how to address the limitations of cross-sectional data or use of longitudinal data that can address common method bias or endogeneity-related problems. Practical implications Managers can use this framework to understand: first, how organizational resources can be used to create BDPA, and second, how BDPA can help build swift trust and be used to improve visibility and coordination in the humanitarian supply chain. Originality/value This is the first research that has empirically tested the anecdotal and conceptual evidence. The findings make notable contributions to existing humanitarian supply chain literature and may be useful to managers who are contemplating the use of BDPA to improve disaster-relief-related activities.","author":[{"dropping-particle":"","family":"Dubey","given":"Rameshwar","non-dropping-particle":"","parse-names":false,"suffix":""},{"dropping-particle":"","family":"Luo","given":"Zongwei","non-dropping-particle":"","parse-names":false,"suffix":""},{"dropping-particle":"","family":"Gunasekaran","given":"Angappa","non-dropping-particle":"","parse-names":false,"suffix":""},{"dropping-particle":"","family":"Akter","given":"Shahriar","non-dropping-particle":"","parse-names":false,"suffix":""},{"dropping-particle":"","family":"Hazen","given":"Benjamin T","non-dropping-particle":"","parse-names":false,"suffix":""},{"dropping-particle":"","family":"Douglas","given":"Matthew A","non-dropping-particle":"","parse-names":false,"suffix":""}],"container-title":"The International Journal of Logistics Management","id":"ITEM-1","issue":"2","issued":{"date-parts":[["2018"]]},"page":"485-512","publisher":"Emerald","title":"Big data and predictive analytics in humanitarian supply chains: Enabling visibility and coordination in the presence of swift trust","type":"article-journal","volume":"29"},"uris":["http://www.mendeley.com/documents/?uuid=6cc61482-69ed-4c51-a0d2-a70326eaf133"]},{"id":"ITEM-2","itemData":{"ISBN":"1479924024","author":[{"dropping-particle":"","family":"Lycett","given":"Mark","non-dropping-particle":"","parse-names":false,"suffix":""},{"dropping-particle":"","family":"Monaghan","given":"Asmat","non-dropping-particle":"","parse-names":false,"suffix":""}],"id":"ITEM-2","issued":{"date-parts":[["2013"]]},"page":"432-437","publisher":"IEEE","title":"Big data and humanitarian supply networks: Can Big Data give voice to the voiceless?","type":"paper-conference"},"uris":["http://www.mendeley.com/documents/?uuid=fa42d01b-39b4-470f-9395-25774349747b"]},{"id":"ITEM-3","itemData":{"DOI":"10.1111/poms.12840","ISBN":"1059-1478","abstract":"There has been a significant increase in the scale and scope of humanitarian efforts over the last decade. Humanitarian operations need to be?rapid, impactful, sustained, and efficient (RISE). Big data offers many opportunities to enable RISE humanitarian operations. In this study, we introduce the role of big data in humanitarian settings and discuss data streams which could be utilized to develop descriptive, prescriptive, and predictive models to significantly impact the lives of people in need.","author":[{"dropping-particle":"","family":"Swaminathan","given":"Jayashankar M","non-dropping-particle":"","parse-names":false,"suffix":""}],"container-title":"Production and Operations Management","id":"ITEM-3","issue":"9","issued":{"date-parts":[["2018"]]},"page":"1696-1700","publisher":"John Wiley &amp; Sons, Ltd (10.1111)","title":"Big Data Analytics for Rapid, Impactful, Sustained, and Efficient (RISE) Humanitarian Operations","type":"article-journal","volume":"27"},"uris":["http://www.mendeley.com/documents/?uuid=cd41d833-8104-4243-bf40-3ce11a8cc3ef"]}],"mendeley":{"formattedCitation":"(Dubey et al., 2018; Lycett &amp; Monaghan, 2013; Swaminathan, 2018)","plainTextFormattedCitation":"(Dubey et al., 2018; Lycett &amp; Monaghan, 2013; Swaminathan, 2018)","previouslyFormattedCitation":"(Dubey et al., 2018; Lycett &amp; Monaghan, 2013; Swaminathan, 2018)"},"properties":{"noteIndex":0},"schema":"https://github.com/citation-style-language/schema/raw/master/csl-citation.json"}</w:instrText>
      </w:r>
      <w:r w:rsidR="0078050C" w:rsidRPr="001365B0">
        <w:fldChar w:fldCharType="separate"/>
      </w:r>
      <w:r w:rsidR="009046D3" w:rsidRPr="009046D3">
        <w:rPr>
          <w:noProof/>
        </w:rPr>
        <w:t>(Dubey et al., 2018; Lycett &amp; Monaghan, 2013; Swaminathan, 2018)</w:t>
      </w:r>
      <w:r w:rsidR="0078050C" w:rsidRPr="001365B0">
        <w:fldChar w:fldCharType="end"/>
      </w:r>
      <w:r>
        <w:t xml:space="preserve"> and </w:t>
      </w:r>
      <w:r w:rsidR="009046D3">
        <w:t xml:space="preserve">the </w:t>
      </w:r>
      <w:r w:rsidR="006B52E0">
        <w:t xml:space="preserve">capture and sharing of </w:t>
      </w:r>
      <w:r w:rsidR="00C8034F">
        <w:t xml:space="preserve">critical </w:t>
      </w:r>
      <w:r w:rsidR="006B52E0">
        <w:t xml:space="preserve">data </w:t>
      </w:r>
      <w:r w:rsidR="00C16398">
        <w:t>to</w:t>
      </w:r>
      <w:r w:rsidR="00375244">
        <w:t xml:space="preserve"> support </w:t>
      </w:r>
      <w:r w:rsidR="006B52E0">
        <w:t xml:space="preserve">the UNSDGs </w:t>
      </w:r>
      <w:r w:rsidR="002F6BAE">
        <w:fldChar w:fldCharType="begin" w:fldLock="1"/>
      </w:r>
      <w:r w:rsidR="002F6BAE">
        <w:instrText>ADDIN CSL_CITATION {"citationItems":[{"id":"ITEM-1","itemData":{"author":[{"dropping-particle":"","family":"Ki-moon","given":"Ban","non-dropping-particle":"","parse-names":false,"suffix":""}],"container-title":"World Humanitarian Summit","id":"ITEM-1","issued":{"date-parts":[["2016"]]},"number-of-pages":"62","publisher-place":"New York","title":"One humanity: Shared responsibility (Report of the Secretary-General for the World Humanitarian Summit)","type":"report"},"suffix":" Paragraphs 58, 60, 80, 93, 120, 122–124, 128, 137, 150, 156 and Annexe pages 52, 56, 57–59","uris":["http://www.mendeley.com/documents/?uuid=c8f29af3-4680-4961-ae91-7362c0e66c48"]}],"mendeley":{"formattedCitation":"(Ki-moon, 2016 Paragraphs 58, 60, 80, 93, 120, 122–124, 128, 137, 150, 156 and Annexe pages 52, 56, 57–59)","plainTextFormattedCitation":"(Ki-moon, 2016 Paragraphs 58, 60, 80, 93, 120, 122–124, 128, 137, 150, 156 and Annexe pages 52, 56, 57–59)","previouslyFormattedCitation":"(Ki-moon, 2016 Paragraphs 58, 60, 80, 93, 120, 122–124, 128, 137, 150, 156 and Annexe pages 52, 56, 57–59)"},"properties":{"noteIndex":0},"schema":"https://github.com/citation-style-language/schema/raw/master/csl-citation.json"}</w:instrText>
      </w:r>
      <w:r w:rsidR="002F6BAE">
        <w:fldChar w:fldCharType="separate"/>
      </w:r>
      <w:r w:rsidR="002F6BAE" w:rsidRPr="00095A72">
        <w:rPr>
          <w:noProof/>
        </w:rPr>
        <w:t>(Ki-moon, 2016 Paragraphs 58, 60, 80, 93, 120, 122–124, 128, 137, 150, 156 and Annexe pages 52, 56, 57–59)</w:t>
      </w:r>
      <w:r w:rsidR="002F6BAE">
        <w:fldChar w:fldCharType="end"/>
      </w:r>
      <w:r w:rsidR="002F6BAE">
        <w:t>.</w:t>
      </w:r>
      <w:r w:rsidR="006B52E0">
        <w:t xml:space="preserve"> </w:t>
      </w:r>
      <w:r>
        <w:t xml:space="preserve"> The juxtaposition of privacy with value however highlights that these </w:t>
      </w:r>
      <w:r w:rsidR="00AE2E0B">
        <w:t>can</w:t>
      </w:r>
      <w:r w:rsidR="00BB16B3">
        <w:t xml:space="preserve"> be conflicting needs that raise questions of balance and compromise in the humanitarian </w:t>
      </w:r>
      <w:r w:rsidR="00D65DA5">
        <w:t>ecosystem</w:t>
      </w:r>
      <w:r w:rsidR="00BB16B3">
        <w:t xml:space="preserve">. </w:t>
      </w:r>
      <w:r w:rsidR="00AE2E0B">
        <w:t>Simply put</w:t>
      </w:r>
      <w:r w:rsidR="00BB16B3">
        <w:t xml:space="preserve">, </w:t>
      </w:r>
      <w:r w:rsidR="001E4BE5">
        <w:t>there is a need to carefully consider</w:t>
      </w:r>
      <w:r w:rsidR="00BB16B3">
        <w:t xml:space="preserve"> </w:t>
      </w:r>
      <w:r w:rsidR="00CE6206">
        <w:t xml:space="preserve">the </w:t>
      </w:r>
      <w:r w:rsidR="00BB16B3">
        <w:t xml:space="preserve">circumstances </w:t>
      </w:r>
      <w:r w:rsidR="001E4BE5">
        <w:t>in which it</w:t>
      </w:r>
      <w:r w:rsidR="008B3484">
        <w:t xml:space="preserve"> </w:t>
      </w:r>
      <w:r w:rsidR="001E4BE5">
        <w:t xml:space="preserve">is </w:t>
      </w:r>
      <w:r w:rsidR="008B3484">
        <w:t>appropriate</w:t>
      </w:r>
      <w:r w:rsidR="00EA7D4C">
        <w:t xml:space="preserve"> </w:t>
      </w:r>
      <w:r w:rsidR="008931FE">
        <w:t xml:space="preserve">to infringe </w:t>
      </w:r>
      <w:r w:rsidR="008B3484">
        <w:t xml:space="preserve">privacy </w:t>
      </w:r>
      <w:r w:rsidR="008931FE">
        <w:t>in pursuit of</w:t>
      </w:r>
      <w:r w:rsidR="008B3484">
        <w:t xml:space="preserve"> value</w:t>
      </w:r>
      <w:r w:rsidR="0074008B">
        <w:t xml:space="preserve"> or</w:t>
      </w:r>
      <w:r w:rsidR="008931FE">
        <w:t xml:space="preserve"> </w:t>
      </w:r>
      <w:r w:rsidR="00C15785">
        <w:t>sacrifice</w:t>
      </w:r>
      <w:r w:rsidR="008B3484">
        <w:t xml:space="preserve"> value </w:t>
      </w:r>
      <w:r w:rsidR="008931FE">
        <w:t>to protect</w:t>
      </w:r>
      <w:r w:rsidR="008B3484">
        <w:t xml:space="preserve"> privacy</w:t>
      </w:r>
      <w:r w:rsidR="00AE2E0B">
        <w:t>, when value in this context is likely to be measurable in terms of human survival and well-being</w:t>
      </w:r>
      <w:r w:rsidR="00CE6206">
        <w:t>.</w:t>
      </w:r>
      <w:r w:rsidR="00AE2E0B">
        <w:t xml:space="preserve"> </w:t>
      </w:r>
      <w:r w:rsidR="00FD64F3">
        <w:t xml:space="preserve">Consider </w:t>
      </w:r>
      <w:r w:rsidR="008931FE">
        <w:t>the differing</w:t>
      </w:r>
      <w:r w:rsidR="005D5E2D">
        <w:t xml:space="preserve"> </w:t>
      </w:r>
      <w:r w:rsidR="008931FE">
        <w:t xml:space="preserve">approaches of two of the </w:t>
      </w:r>
      <w:r w:rsidR="00CF5723">
        <w:t xml:space="preserve">six </w:t>
      </w:r>
      <w:r w:rsidR="005D5E2D">
        <w:t xml:space="preserve">disaster </w:t>
      </w:r>
      <w:r w:rsidR="00C15785">
        <w:t>data sources</w:t>
      </w:r>
      <w:r w:rsidR="00FD64F3">
        <w:t xml:space="preserve"> </w:t>
      </w:r>
      <w:r w:rsidR="005D5E2D">
        <w:t>used in</w:t>
      </w:r>
      <w:r w:rsidR="00FD64F3">
        <w:t xml:space="preserve"> our empirical example</w:t>
      </w:r>
      <w:r w:rsidR="0074008B">
        <w:t>:</w:t>
      </w:r>
    </w:p>
    <w:p w14:paraId="6E55080D" w14:textId="6FDCA86B" w:rsidR="003B6F16" w:rsidRDefault="00775B54" w:rsidP="003B6F16">
      <w:pPr>
        <w:pStyle w:val="NL01BDB"/>
        <w:keepNext w:val="0"/>
        <w:spacing w:after="0" w:line="300" w:lineRule="auto"/>
      </w:pPr>
      <w:r>
        <w:t>UNHCR</w:t>
      </w:r>
      <w:r w:rsidR="003B6F16" w:rsidRPr="003B6F16">
        <w:rPr>
          <w:b w:val="0"/>
        </w:rPr>
        <w:t xml:space="preserve">: persons of concern, </w:t>
      </w:r>
      <w:r w:rsidRPr="003B6F16">
        <w:rPr>
          <w:b w:val="0"/>
        </w:rPr>
        <w:t xml:space="preserve">annualised </w:t>
      </w:r>
      <w:r w:rsidR="003B6F16" w:rsidRPr="003B6F16">
        <w:rPr>
          <w:b w:val="0"/>
        </w:rPr>
        <w:t xml:space="preserve">totals of displaced populations </w:t>
      </w:r>
      <w:r w:rsidRPr="003B6F16">
        <w:rPr>
          <w:b w:val="0"/>
        </w:rPr>
        <w:t xml:space="preserve"> </w:t>
      </w:r>
      <w:r w:rsidR="0074008B" w:rsidRPr="003B6F16">
        <w:rPr>
          <w:b w:val="0"/>
        </w:rPr>
        <w:fldChar w:fldCharType="begin" w:fldLock="1"/>
      </w:r>
      <w:r w:rsidR="00BF09C8" w:rsidRPr="003B6F16">
        <w:rPr>
          <w:b w:val="0"/>
        </w:rPr>
        <w:instrText>ADDIN CSL_CITATION {"citationItems":[{"id":"ITEM-1","itemData":{"URL":"http://popstats.unhcr.org/en/overview","accessed":{"date-parts":[["2017","1","7"]]},"author":[{"dropping-particle":"","family":"UNHCR","given":"","non-dropping-particle":"","parse-names":false,"suffix":""}],"container-title":"Population Statistics","editor":[{"dropping-particle":"","family":"UNHCR","given":"","non-dropping-particle":"","parse-names":false,"suffix":""}],"id":"ITEM-1","issue":"07 January 2017","issued":{"date-parts":[["2017"]]},"language":"English","publisher":"UNHCR","publisher-place":"Geneva, Switzerland","title":"United Nations High Commissioner for Refugees (UNHCR), Population Statistics Database Overview","type":"webpage","volume":"2017"},"uris":["http://www.mendeley.com/documents/?uuid=dc49c7f4-f29a-43f7-9ea9-7352128195fb"]}],"mendeley":{"formattedCitation":"(UNHCR, 2017)","plainTextFormattedCitation":"(UNHCR, 2017)","previouslyFormattedCitation":"(UNHCR, 2017)"},"properties":{"noteIndex":0},"schema":"https://github.com/citation-style-language/schema/raw/master/csl-citation.json"}</w:instrText>
      </w:r>
      <w:r w:rsidR="0074008B" w:rsidRPr="003B6F16">
        <w:rPr>
          <w:b w:val="0"/>
        </w:rPr>
        <w:fldChar w:fldCharType="separate"/>
      </w:r>
      <w:r w:rsidRPr="003B6F16">
        <w:rPr>
          <w:b w:val="0"/>
          <w:noProof/>
        </w:rPr>
        <w:t>(UNHCR, 2017)</w:t>
      </w:r>
      <w:r w:rsidR="0074008B" w:rsidRPr="003B6F16">
        <w:rPr>
          <w:b w:val="0"/>
        </w:rPr>
        <w:fldChar w:fldCharType="end"/>
      </w:r>
      <w:r w:rsidR="0074008B" w:rsidRPr="003B6F16">
        <w:rPr>
          <w:b w:val="0"/>
        </w:rPr>
        <w:t>.</w:t>
      </w:r>
      <w:r w:rsidR="0074008B">
        <w:t xml:space="preserve"> </w:t>
      </w:r>
    </w:p>
    <w:p w14:paraId="42A12BC3" w14:textId="33C2AD3A" w:rsidR="008931FE" w:rsidRDefault="003B6F16" w:rsidP="004B4F6B">
      <w:pPr>
        <w:pStyle w:val="Text02"/>
      </w:pPr>
      <w:r>
        <w:t>This dataset enables aggregate analysis of scale and trends as it provides</w:t>
      </w:r>
      <w:r w:rsidR="00F351A7">
        <w:t xml:space="preserve"> totals for </w:t>
      </w:r>
      <w:r>
        <w:t xml:space="preserve">displaced populations by origin and destination, subdivide </w:t>
      </w:r>
      <w:r w:rsidR="00F351A7">
        <w:t xml:space="preserve">into </w:t>
      </w:r>
      <w:r>
        <w:t>values</w:t>
      </w:r>
      <w:r w:rsidR="00F351A7">
        <w:t xml:space="preserve"> for leav</w:t>
      </w:r>
      <w:r w:rsidR="008931FE">
        <w:t xml:space="preserve">ing or </w:t>
      </w:r>
      <w:r w:rsidR="00F351A7">
        <w:t>returning refugees</w:t>
      </w:r>
      <w:r w:rsidR="002515C1">
        <w:t>, l</w:t>
      </w:r>
      <w:r w:rsidR="008931FE">
        <w:t xml:space="preserve">eaving or </w:t>
      </w:r>
      <w:r w:rsidR="00F351A7">
        <w:t>returning i</w:t>
      </w:r>
      <w:r w:rsidR="00F351A7" w:rsidRPr="00F351A7">
        <w:t>nternally displaced persons (IDPs)</w:t>
      </w:r>
      <w:r w:rsidR="00F351A7">
        <w:t>, asylum-</w:t>
      </w:r>
      <w:r w:rsidR="002515C1">
        <w:t xml:space="preserve">seekers, stateless people and </w:t>
      </w:r>
      <w:r w:rsidR="002515C1" w:rsidRPr="002515C1">
        <w:rPr>
          <w:i/>
        </w:rPr>
        <w:t>other</w:t>
      </w:r>
      <w:r w:rsidR="002515C1">
        <w:t xml:space="preserve">. Where any of the </w:t>
      </w:r>
      <w:r w:rsidR="00B11806">
        <w:t>numbers are fewer than 4,</w:t>
      </w:r>
      <w:r w:rsidR="002515C1">
        <w:t xml:space="preserve"> an asterisk is published</w:t>
      </w:r>
      <w:r w:rsidR="008931FE">
        <w:t xml:space="preserve"> instead of a number to reduce the risk of exposing the identities of </w:t>
      </w:r>
      <w:r w:rsidR="008931FE">
        <w:lastRenderedPageBreak/>
        <w:t>those concerned.</w:t>
      </w:r>
    </w:p>
    <w:p w14:paraId="74CE1A76" w14:textId="6D5AA032" w:rsidR="003B6F16" w:rsidRDefault="00B23599" w:rsidP="009F3985">
      <w:pPr>
        <w:pStyle w:val="NL01BDB"/>
        <w:spacing w:after="0" w:line="300" w:lineRule="auto"/>
      </w:pPr>
      <w:r>
        <w:t>VDC-SY</w:t>
      </w:r>
      <w:r w:rsidR="003B6F16" w:rsidRPr="003B6F16">
        <w:rPr>
          <w:b w:val="0"/>
        </w:rPr>
        <w:t>:</w:t>
      </w:r>
      <w:r w:rsidR="003B6F16">
        <w:t xml:space="preserve"> </w:t>
      </w:r>
      <w:r w:rsidR="003B6F16">
        <w:rPr>
          <w:b w:val="0"/>
        </w:rPr>
        <w:t>individuals</w:t>
      </w:r>
      <w:r w:rsidR="002515C1" w:rsidRPr="003B6F16">
        <w:rPr>
          <w:b w:val="0"/>
        </w:rPr>
        <w:t xml:space="preserve"> </w:t>
      </w:r>
      <w:r w:rsidRPr="003B6F16">
        <w:rPr>
          <w:b w:val="0"/>
        </w:rPr>
        <w:t xml:space="preserve">killed, detained or </w:t>
      </w:r>
      <w:r w:rsidR="002515C1" w:rsidRPr="003B6F16">
        <w:rPr>
          <w:b w:val="0"/>
        </w:rPr>
        <w:t xml:space="preserve">are </w:t>
      </w:r>
      <w:r w:rsidRPr="003B6F16">
        <w:rPr>
          <w:b w:val="0"/>
        </w:rPr>
        <w:t>missing</w:t>
      </w:r>
      <w:r w:rsidR="002515C1" w:rsidRPr="003B6F16">
        <w:rPr>
          <w:b w:val="0"/>
        </w:rPr>
        <w:t xml:space="preserve"> </w:t>
      </w:r>
      <w:r w:rsidR="003B6F16" w:rsidRPr="003B6F16">
        <w:rPr>
          <w:b w:val="0"/>
        </w:rPr>
        <w:t>in</w:t>
      </w:r>
      <w:r w:rsidR="002515C1" w:rsidRPr="003B6F16">
        <w:rPr>
          <w:b w:val="0"/>
        </w:rPr>
        <w:t xml:space="preserve"> the</w:t>
      </w:r>
      <w:r w:rsidRPr="003B6F16">
        <w:rPr>
          <w:b w:val="0"/>
        </w:rPr>
        <w:t xml:space="preserve"> Syrian conflict </w:t>
      </w:r>
      <w:r w:rsidRPr="003B6F16">
        <w:rPr>
          <w:b w:val="0"/>
        </w:rPr>
        <w:fldChar w:fldCharType="begin" w:fldLock="1"/>
      </w:r>
      <w:r w:rsidRPr="003B6F16">
        <w:rPr>
          <w:b w:val="0"/>
        </w:rPr>
        <w:instrText>ADDIN CSL_CITATION {"citationItems":[{"id":"ITEM-1","itemData":{"URL":"http://vdc-sy.net/en/","accessed":{"date-parts":[["2016","7","10"]]},"container-title":"VDC-SY","editor":[{"dropping-particle":"","family":"VDC-SY","given":"","non-dropping-particle":"","parse-names":false,"suffix":""}],"id":"ITEM-1","issue":"10 July 2016","issued":{"date-parts":[["2016"]]},"language":"English","publisher":"VDC-SY","publisher-place":"Syria","title":"Violations Documentation Center in Syria","type":"webpage","volume":"2016"},"uris":["http://www.mendeley.com/documents/?uuid=ecb1a38d-9332-4995-8378-0219e4ab95ad"]}],"mendeley":{"formattedCitation":"(VDC-SY, 2016)","plainTextFormattedCitation":"(VDC-SY, 2016)","previouslyFormattedCitation":"(VDC-SY, 2016)"},"properties":{"noteIndex":0},"schema":"https://github.com/citation-style-language/schema/raw/master/csl-citation.json"}</w:instrText>
      </w:r>
      <w:r w:rsidRPr="003B6F16">
        <w:rPr>
          <w:b w:val="0"/>
        </w:rPr>
        <w:fldChar w:fldCharType="separate"/>
      </w:r>
      <w:r w:rsidRPr="003B6F16">
        <w:rPr>
          <w:b w:val="0"/>
          <w:noProof/>
        </w:rPr>
        <w:t>(VDC-SY, 2016)</w:t>
      </w:r>
      <w:r w:rsidRPr="003B6F16">
        <w:rPr>
          <w:b w:val="0"/>
        </w:rPr>
        <w:fldChar w:fldCharType="end"/>
      </w:r>
      <w:r w:rsidRPr="003B6F16">
        <w:rPr>
          <w:b w:val="0"/>
        </w:rPr>
        <w:t>.</w:t>
      </w:r>
      <w:r w:rsidR="002515C1">
        <w:t xml:space="preserve"> </w:t>
      </w:r>
    </w:p>
    <w:p w14:paraId="0FB271A7" w14:textId="6564BA44" w:rsidR="00B23599" w:rsidRDefault="003B6F16" w:rsidP="004B4F6B">
      <w:pPr>
        <w:pStyle w:val="Text02"/>
      </w:pPr>
      <w:r>
        <w:t>Personal and identifying</w:t>
      </w:r>
      <w:r w:rsidR="00252DC5">
        <w:t xml:space="preserve"> information is collected</w:t>
      </w:r>
      <w:r w:rsidR="008931FE">
        <w:t xml:space="preserve"> and made openly available via a searchable database, e.g. </w:t>
      </w:r>
      <w:r w:rsidR="0059199F">
        <w:t xml:space="preserve">the victim’s </w:t>
      </w:r>
      <w:r w:rsidR="00252DC5">
        <w:t>name; mother’s name; province; cause of death; location of death or where last seen, marital status, civilian/non-civilian</w:t>
      </w:r>
      <w:r w:rsidR="0059199F">
        <w:t xml:space="preserve">, who were the actors involved </w:t>
      </w:r>
      <w:r w:rsidR="00252DC5">
        <w:t>etc.</w:t>
      </w:r>
    </w:p>
    <w:p w14:paraId="23948537" w14:textId="34FA0F95" w:rsidR="008B40B2" w:rsidRDefault="00CE6206" w:rsidP="004B4F6B">
      <w:pPr>
        <w:pStyle w:val="Text01"/>
      </w:pPr>
      <w:r w:rsidRPr="009D624B">
        <w:rPr>
          <w:bCs/>
        </w:rPr>
        <w:t>The former dataset</w:t>
      </w:r>
      <w:r w:rsidR="00CF5723">
        <w:t xml:space="preserve"> makes</w:t>
      </w:r>
      <w:r w:rsidR="004D61BC">
        <w:t xml:space="preserve"> macro-le</w:t>
      </w:r>
      <w:r w:rsidR="00CF5723">
        <w:t>vel analysis</w:t>
      </w:r>
      <w:r w:rsidR="004D61BC">
        <w:t xml:space="preserve"> feasible</w:t>
      </w:r>
      <w:r>
        <w:t xml:space="preserve"> – </w:t>
      </w:r>
      <w:r w:rsidR="004D61BC">
        <w:t xml:space="preserve">e.g. </w:t>
      </w:r>
      <w:r w:rsidR="00610418">
        <w:t xml:space="preserve">annual </w:t>
      </w:r>
      <w:r w:rsidR="004D61BC">
        <w:t>patterns of forced displa</w:t>
      </w:r>
      <w:r w:rsidR="00610418">
        <w:t>cement across African countries</w:t>
      </w:r>
      <w:r>
        <w:t xml:space="preserve">. </w:t>
      </w:r>
      <w:r w:rsidR="008D3DBF">
        <w:t>This</w:t>
      </w:r>
      <w:r>
        <w:t xml:space="preserve"> </w:t>
      </w:r>
      <w:r w:rsidR="00CD76E1">
        <w:t xml:space="preserve">limits the </w:t>
      </w:r>
      <w:r w:rsidR="00472B40" w:rsidRPr="009D624B">
        <w:rPr>
          <w:bCs/>
        </w:rPr>
        <w:t>value</w:t>
      </w:r>
      <w:r w:rsidR="00472B40">
        <w:t xml:space="preserve"> </w:t>
      </w:r>
      <w:r w:rsidR="00CD76E1">
        <w:t>to be gained</w:t>
      </w:r>
      <w:r w:rsidR="00472B40">
        <w:t xml:space="preserve"> </w:t>
      </w:r>
      <w:r w:rsidR="00610418">
        <w:t xml:space="preserve">by not being able to </w:t>
      </w:r>
      <w:r>
        <w:t xml:space="preserve">examine aspects such </w:t>
      </w:r>
      <w:r w:rsidR="00610418">
        <w:t>as</w:t>
      </w:r>
      <w:r w:rsidR="00472B40">
        <w:t>:</w:t>
      </w:r>
      <w:r w:rsidR="00230F2F">
        <w:t xml:space="preserve"> </w:t>
      </w:r>
      <w:r>
        <w:t>(a) P</w:t>
      </w:r>
      <w:r w:rsidR="00572F39">
        <w:t>atterns of displaced people associated with specific humanitarian</w:t>
      </w:r>
      <w:r w:rsidR="00CD76E1">
        <w:t xml:space="preserve"> crises</w:t>
      </w:r>
      <w:r>
        <w:t>; (b)</w:t>
      </w:r>
      <w:r w:rsidR="00572F39">
        <w:t xml:space="preserve"> people who were displaced because of insufficient aid in response to a crisis</w:t>
      </w:r>
      <w:r>
        <w:t>; (c) whether</w:t>
      </w:r>
      <w:r w:rsidR="00CD76E1">
        <w:t xml:space="preserve"> those that flee crises </w:t>
      </w:r>
      <w:r w:rsidR="008D3DBF">
        <w:t xml:space="preserve">are </w:t>
      </w:r>
      <w:r w:rsidR="00CD76E1">
        <w:t>also counted as those affected</w:t>
      </w:r>
      <w:r>
        <w:t>; (d)</w:t>
      </w:r>
      <w:r w:rsidR="004C17A1">
        <w:t xml:space="preserve"> the per day/week/month persons of concern displacement per country</w:t>
      </w:r>
      <w:r>
        <w:t>; and/or (e) h</w:t>
      </w:r>
      <w:r w:rsidR="00CD76E1">
        <w:t xml:space="preserve">ow many </w:t>
      </w:r>
      <w:r w:rsidR="00981E19">
        <w:t>women and children</w:t>
      </w:r>
      <w:r w:rsidR="00CD76E1">
        <w:t xml:space="preserve"> are in each of the displaced groups</w:t>
      </w:r>
      <w:r>
        <w:t xml:space="preserve">. </w:t>
      </w:r>
      <w:r w:rsidR="00981E19">
        <w:t xml:space="preserve"> Answers to </w:t>
      </w:r>
      <w:r>
        <w:t xml:space="preserve">such </w:t>
      </w:r>
      <w:r w:rsidR="00981E19">
        <w:t xml:space="preserve">questions are dependent on more granular data </w:t>
      </w:r>
      <w:r w:rsidR="00136C01">
        <w:t xml:space="preserve">than contained in </w:t>
      </w:r>
      <w:r w:rsidR="00F678AE">
        <w:t>UNHCR’s ‘persons of interest’ dataset</w:t>
      </w:r>
      <w:r w:rsidR="00AE2E0B">
        <w:t xml:space="preserve"> and the ability to coherently combine this data to other datasets</w:t>
      </w:r>
      <w:r w:rsidR="006F5960">
        <w:t xml:space="preserve"> – the</w:t>
      </w:r>
      <w:r>
        <w:t xml:space="preserve">  relationality point </w:t>
      </w:r>
      <w:r w:rsidR="006F5960">
        <w:t xml:space="preserve">noted by </w:t>
      </w:r>
      <w:r w:rsidR="008B40B2">
        <w:fldChar w:fldCharType="begin" w:fldLock="1"/>
      </w:r>
      <w:r w:rsidR="00D12908">
        <w:instrText>ADDIN CSL_CITATION {"citationItems":[{"id":"ITEM-1","itemData":{"DOI":"10.1080/1369118X.2012.678878","ISSN":"1369-118X","abstract":"Exploiting vast new fl ows of information can radically improve your company’s performance. But fi rst you’ll have to change your decision-making culture.","author":[{"dropping-particle":"","family":"Boyd","given":"Danah","non-dropping-particle":"","parse-names":false,"suffix":""},{"dropping-particle":"","family":"Crawford","given":"Kate","non-dropping-particle":"","parse-names":false,"suffix":""}],"container-title":"Information, Communication &amp; Society","id":"ITEM-1","issue":"5","issued":{"date-parts":[["2012"]]},"page":"662-679","title":"Critical Questions for Big Data","type":"article-magazine","volume":"15"},"uris":["http://www.mendeley.com/documents/?uuid=b4f992dc-895f-477b-89ce-8076216e8103"]}],"mendeley":{"formattedCitation":"(Boyd &amp; Crawford, 2012a)","manualFormatting":"Boyd &amp; Crawford (2012 p.663)","plainTextFormattedCitation":"(Boyd &amp; Crawford, 2012a)","previouslyFormattedCitation":"(Boyd &amp; Crawford, 2012a)"},"properties":{"noteIndex":0},"schema":"https://github.com/citation-style-language/schema/raw/master/csl-citation.json"}</w:instrText>
      </w:r>
      <w:r w:rsidR="008B40B2">
        <w:fldChar w:fldCharType="separate"/>
      </w:r>
      <w:r w:rsidR="008B40B2">
        <w:rPr>
          <w:noProof/>
        </w:rPr>
        <w:t>Boyd &amp; Crawford</w:t>
      </w:r>
      <w:r w:rsidR="008B40B2" w:rsidRPr="002D1ED6">
        <w:rPr>
          <w:noProof/>
        </w:rPr>
        <w:t xml:space="preserve"> </w:t>
      </w:r>
      <w:r w:rsidR="008B40B2">
        <w:rPr>
          <w:noProof/>
        </w:rPr>
        <w:t>(</w:t>
      </w:r>
      <w:r w:rsidR="008B40B2" w:rsidRPr="002D1ED6">
        <w:rPr>
          <w:noProof/>
        </w:rPr>
        <w:t>2012</w:t>
      </w:r>
      <w:r w:rsidR="008B40B2">
        <w:rPr>
          <w:noProof/>
        </w:rPr>
        <w:t xml:space="preserve"> p.663</w:t>
      </w:r>
      <w:r w:rsidR="008B40B2" w:rsidRPr="002D1ED6">
        <w:rPr>
          <w:noProof/>
        </w:rPr>
        <w:t>)</w:t>
      </w:r>
      <w:r w:rsidR="008B40B2">
        <w:fldChar w:fldCharType="end"/>
      </w:r>
      <w:r>
        <w:t>.</w:t>
      </w:r>
    </w:p>
    <w:p w14:paraId="12C0EF58" w14:textId="4822F6CC" w:rsidR="002D7589" w:rsidRDefault="008D3DBF" w:rsidP="004B4F6B">
      <w:pPr>
        <w:pStyle w:val="Text01"/>
      </w:pPr>
      <w:r>
        <w:rPr>
          <w:bCs/>
        </w:rPr>
        <w:t>Conversely, t</w:t>
      </w:r>
      <w:r w:rsidR="00CE6206" w:rsidRPr="009D624B">
        <w:rPr>
          <w:bCs/>
        </w:rPr>
        <w:t>he latter dataset</w:t>
      </w:r>
      <w:r w:rsidR="00B64838" w:rsidRPr="005A6F4C">
        <w:t xml:space="preserve"> </w:t>
      </w:r>
      <w:r>
        <w:t>above</w:t>
      </w:r>
      <w:r w:rsidR="004C17A1">
        <w:t xml:space="preserve"> is designed to be specific to each victim</w:t>
      </w:r>
      <w:r w:rsidR="00551482">
        <w:t xml:space="preserve">, thus humanising those </w:t>
      </w:r>
      <w:r w:rsidR="00B64838">
        <w:t xml:space="preserve">who have died or suffered in Syria because of human rights violations </w:t>
      </w:r>
      <w:r w:rsidR="00B64838" w:rsidRPr="001365B0">
        <w:fldChar w:fldCharType="begin" w:fldLock="1"/>
      </w:r>
      <w:r w:rsidR="00B64838">
        <w:instrText>ADDIN CSL_CITATION {"citationItems":[{"id":"ITEM-1","itemData":{"URL":"http://vdc-sy.net/en/","accessed":{"date-parts":[["2016","7","10"]]},"container-title":"VDC-SY","editor":[{"dropping-particle":"","family":"VDC-SY","given":"","non-dropping-particle":"","parse-names":false,"suffix":""}],"id":"ITEM-1","issue":"10 July 2016","issued":{"date-parts":[["2016"]]},"language":"English","publisher":"VDC-SY","publisher-place":"Syria","title":"Violations Documentation Center in Syria","type":"webpage","volume":"2016"},"uris":["http://www.mendeley.com/documents/?uuid=ecb1a38d-9332-4995-8378-0219e4ab95ad"]}],"mendeley":{"formattedCitation":"(VDC-SY, 2016)","plainTextFormattedCitation":"(VDC-SY, 2016)","previouslyFormattedCitation":"(VDC-SY, 2016)"},"properties":{"noteIndex":0},"schema":"https://github.com/citation-style-language/schema/raw/master/csl-citation.json"}</w:instrText>
      </w:r>
      <w:r w:rsidR="00B64838" w:rsidRPr="001365B0">
        <w:fldChar w:fldCharType="separate"/>
      </w:r>
      <w:r w:rsidR="00B64838" w:rsidRPr="00555739">
        <w:rPr>
          <w:noProof/>
        </w:rPr>
        <w:t>(VDC-SY, 2016)</w:t>
      </w:r>
      <w:r w:rsidR="00B64838" w:rsidRPr="001365B0">
        <w:fldChar w:fldCharType="end"/>
      </w:r>
      <w:r w:rsidR="00B64838">
        <w:t xml:space="preserve">. </w:t>
      </w:r>
      <w:r w:rsidR="00551482">
        <w:t xml:space="preserve">Analysis </w:t>
      </w:r>
      <w:r>
        <w:t>here</w:t>
      </w:r>
      <w:r w:rsidR="00A716BA">
        <w:t xml:space="preserve"> can be </w:t>
      </w:r>
      <w:r w:rsidR="00551482">
        <w:t>at a micro-level, where patterns of killing, detentions and disappearances can be examined using dimensions such as the victim’s age, gender, marital status, regional affiliation, civilian or non-civilian status, where they were killed, detained, or last seen, who were the perpetrators</w:t>
      </w:r>
      <w:r w:rsidR="002C378C">
        <w:t xml:space="preserve"> etc</w:t>
      </w:r>
      <w:r w:rsidR="00551482">
        <w:t xml:space="preserve">. </w:t>
      </w:r>
      <w:r w:rsidR="00B64838">
        <w:t>The ability to gain value from</w:t>
      </w:r>
      <w:r w:rsidR="00551482">
        <w:t xml:space="preserve"> this</w:t>
      </w:r>
      <w:r w:rsidR="00B64838">
        <w:t xml:space="preserve"> level of granularity </w:t>
      </w:r>
      <w:r w:rsidR="00551482">
        <w:t xml:space="preserve">is considerable, but </w:t>
      </w:r>
      <w:r>
        <w:t>comes at a</w:t>
      </w:r>
      <w:r w:rsidR="00551482">
        <w:t xml:space="preserve"> cost to </w:t>
      </w:r>
      <w:r w:rsidR="00551482" w:rsidRPr="009D624B">
        <w:rPr>
          <w:bCs/>
        </w:rPr>
        <w:t>privacy</w:t>
      </w:r>
      <w:r>
        <w:t xml:space="preserve">, which is generally held as sacrosanct. </w:t>
      </w:r>
      <w:r w:rsidR="008B40B2">
        <w:t>F</w:t>
      </w:r>
      <w:r w:rsidR="00104B5B">
        <w:t>or example</w:t>
      </w:r>
      <w:r w:rsidR="006A3B0C">
        <w:t xml:space="preserve"> </w:t>
      </w:r>
      <w:r w:rsidR="00713059">
        <w:t>UNSDG 16</w:t>
      </w:r>
      <w:r w:rsidR="00104B5B">
        <w:t xml:space="preserve"> </w:t>
      </w:r>
      <w:r w:rsidR="00713059">
        <w:t>“</w:t>
      </w:r>
      <w:r w:rsidR="00713059" w:rsidRPr="00713059">
        <w:rPr>
          <w:i/>
        </w:rPr>
        <w:t>Peace, Justice and Strong Institutions</w:t>
      </w:r>
      <w:r w:rsidR="00713059">
        <w:t>”</w:t>
      </w:r>
      <w:r w:rsidR="00104B5B">
        <w:t xml:space="preserve">, </w:t>
      </w:r>
      <w:r w:rsidR="000D259C">
        <w:t>Target 16.9</w:t>
      </w:r>
      <w:r w:rsidR="00923624">
        <w:t xml:space="preserve"> is based on the premise that </w:t>
      </w:r>
      <w:r w:rsidR="00CE579F">
        <w:t>control</w:t>
      </w:r>
      <w:r w:rsidR="00923624">
        <w:t>ling</w:t>
      </w:r>
      <w:r w:rsidR="00CE579F">
        <w:t xml:space="preserve"> </w:t>
      </w:r>
      <w:r w:rsidR="00B5326B">
        <w:t xml:space="preserve">our </w:t>
      </w:r>
      <w:r w:rsidR="00CE579F">
        <w:t xml:space="preserve">identity is </w:t>
      </w:r>
      <w:r w:rsidR="00B5326B">
        <w:t>crucial to our ability to exercise our other fundamental rights</w:t>
      </w:r>
      <w:r w:rsidR="002C378C">
        <w:t xml:space="preserve"> </w:t>
      </w:r>
      <w:r w:rsidR="002C378C">
        <w:fldChar w:fldCharType="begin" w:fldLock="1"/>
      </w:r>
      <w:r w:rsidR="002C378C">
        <w:instrText>ADDIN CSL_CITATION {"citationItems":[{"id":"ITEM-1","itemData":{"URL":"https://sustainabledevelopment.un.org/sdg16","author":[{"dropping-particle":"","family":"United Nations","given":"","non-dropping-particle":"","parse-names":false,"suffix":""}],"container-title":"United Nations","editor":[{"dropping-particle":"","family":"Nations","given":"United","non-dropping-particle":"","parse-names":false,"suffix":""}],"id":"ITEM-1","issued":{"date-parts":[["2015"]]},"publisher-place":"On-line","title":"Sustainable Development Goal 16: Peace, Justice and Strong Institutions","type":"webpage"},"uris":["http://www.mendeley.com/documents/?uuid=ff6fbbd9-55b5-41eb-aa68-12e310356e51"]}],"mendeley":{"formattedCitation":"(United Nations, 2015a)","plainTextFormattedCitation":"(United Nations, 2015a)","previouslyFormattedCitation":"(United Nations, 2015a)"},"properties":{"noteIndex":0},"schema":"https://github.com/citation-style-language/schema/raw/master/csl-citation.json"}</w:instrText>
      </w:r>
      <w:r w:rsidR="002C378C">
        <w:fldChar w:fldCharType="separate"/>
      </w:r>
      <w:r w:rsidR="002C378C" w:rsidRPr="00104B5B">
        <w:rPr>
          <w:noProof/>
        </w:rPr>
        <w:t>(United Nations, 2015a)</w:t>
      </w:r>
      <w:r w:rsidR="002C378C">
        <w:fldChar w:fldCharType="end"/>
      </w:r>
      <w:r w:rsidR="000D259C">
        <w:t xml:space="preserve">. Nevertheless, as </w:t>
      </w:r>
      <w:r w:rsidR="00E313F9">
        <w:t>solutions</w:t>
      </w:r>
      <w:r w:rsidR="00923624">
        <w:t xml:space="preserve"> </w:t>
      </w:r>
      <w:r w:rsidR="00AD515C">
        <w:t>such as identity cards, biometrics and blockchain are tested</w:t>
      </w:r>
      <w:r w:rsidR="002C378C">
        <w:t xml:space="preserve">, which take the UN notion of </w:t>
      </w:r>
      <w:r w:rsidR="00AD515C">
        <w:t xml:space="preserve">identity beyond recording births, </w:t>
      </w:r>
      <w:r w:rsidR="002C378C">
        <w:t xml:space="preserve">understandable </w:t>
      </w:r>
      <w:r w:rsidR="00AD515C">
        <w:t xml:space="preserve">fears of </w:t>
      </w:r>
      <w:r w:rsidR="00E313F9" w:rsidRPr="00E313F9">
        <w:t>surveillance, tracking and profiling</w:t>
      </w:r>
      <w:r w:rsidR="00E313F9">
        <w:t xml:space="preserve"> emerge </w:t>
      </w:r>
      <w:r w:rsidR="00B5326B">
        <w:fldChar w:fldCharType="begin" w:fldLock="1"/>
      </w:r>
      <w:r w:rsidR="00984D58">
        <w:instrText>ADDIN CSL_CITATION {"citationItems":[{"id":"ITEM-1","itemData":{"URL":"https://privacyinternational.org/feature/2237/sustainable-development-goals-identity-and-privacy-does-their-implementation-risk","accessed":{"date-parts":[["2019","7","1"]]},"author":[{"dropping-particle":"","family":"Privacy International","given":"","non-dropping-particle":"","parse-names":false,"suffix":""}],"container-title":"Privacy International","id":"ITEM-1","issued":{"date-parts":[["2018"]]},"publisher-place":"London. UK","title":"The Sustainable Development Goals, Identity, and Privacy: Does their implementation risk human rights? Identity and its Dimensions","type":"webpage"},"uris":["http://www.mendeley.com/documents/?uuid=0b36f64a-9063-4bbd-8721-3b268463f248"]}],"mendeley":{"formattedCitation":"(Privacy International, 2018)","plainTextFormattedCitation":"(Privacy International, 2018)","previouslyFormattedCitation":"(Privacy International, 2018)"},"properties":{"noteIndex":0},"schema":"https://github.com/citation-style-language/schema/raw/master/csl-citation.json"}</w:instrText>
      </w:r>
      <w:r w:rsidR="00B5326B">
        <w:fldChar w:fldCharType="separate"/>
      </w:r>
      <w:r w:rsidR="00B5326B" w:rsidRPr="00B5326B">
        <w:rPr>
          <w:noProof/>
        </w:rPr>
        <w:t>(Privacy International, 2018)</w:t>
      </w:r>
      <w:r w:rsidR="00B5326B">
        <w:fldChar w:fldCharType="end"/>
      </w:r>
      <w:r w:rsidR="00B5326B">
        <w:t xml:space="preserve">. </w:t>
      </w:r>
      <w:r w:rsidR="0050493C">
        <w:t>I</w:t>
      </w:r>
      <w:r>
        <w:t xml:space="preserve">n addition, </w:t>
      </w:r>
      <w:r w:rsidR="002C378C">
        <w:t>such fears</w:t>
      </w:r>
      <w:r w:rsidR="0050493C">
        <w:t xml:space="preserve"> do n</w:t>
      </w:r>
      <w:r w:rsidR="008D55D6">
        <w:t>ot apply exclusively to the personal data of</w:t>
      </w:r>
      <w:r w:rsidR="002C378C">
        <w:t>/</w:t>
      </w:r>
      <w:r w:rsidR="008D55D6">
        <w:t>associated with individuals, as</w:t>
      </w:r>
      <w:r w:rsidR="00662659">
        <w:t xml:space="preserve"> even access to seemingly peripher</w:t>
      </w:r>
      <w:r w:rsidR="002C378C">
        <w:t>al</w:t>
      </w:r>
      <w:r w:rsidR="00662659">
        <w:t xml:space="preserve"> information may risk the safety of </w:t>
      </w:r>
      <w:r w:rsidR="002D7589">
        <w:t>co</w:t>
      </w:r>
      <w:r w:rsidR="008D55D6">
        <w:t>llectives</w:t>
      </w:r>
      <w:r w:rsidR="00662659">
        <w:t xml:space="preserve"> such as </w:t>
      </w:r>
      <w:r w:rsidR="008D55D6">
        <w:t>refugee caravans</w:t>
      </w:r>
      <w:r w:rsidR="00662659">
        <w:t xml:space="preserve">, villages </w:t>
      </w:r>
      <w:r w:rsidR="008D55D6">
        <w:t>and</w:t>
      </w:r>
      <w:r w:rsidR="00662659">
        <w:t xml:space="preserve"> </w:t>
      </w:r>
      <w:r w:rsidR="002D7589">
        <w:t>religious factions</w:t>
      </w:r>
      <w:r w:rsidR="00D25BFB">
        <w:t xml:space="preserve"> </w:t>
      </w:r>
      <w:r w:rsidR="002D7589">
        <w:fldChar w:fldCharType="begin" w:fldLock="1"/>
      </w:r>
      <w:r w:rsidR="002D7589">
        <w:instrText>ADDIN CSL_CITATION {"citationItems":[{"id":"ITEM-1","itemData":{"author":[{"dropping-particle":"","family":"Marelli","given":"Massimo","non-dropping-particle":"","parse-names":false,"suffix":""},{"dropping-particle":"","family":"Apraxine","given":"Pierre","non-dropping-particle":"","parse-names":false,"suffix":""},{"dropping-particle":"","family":"Bircher","given":"Romain","non-dropping-particle":"","parse-names":false,"suffix":""},{"dropping-particle":"","family":"Kuner","given":"Christopher","non-dropping-particle":"","parse-names":false,"suffix":""},{"dropping-particle":"","family":"Papakonstantinou","given":"Vagelis","non-dropping-particle":"","parse-names":false,"suffix":""},{"dropping-particle":"","family":"Jasmontaite","given":"Lina","non-dropping-particle":"","parse-names":false,"suffix":""},{"dropping-particle":"","family":"Konstantinou","given":"Ioulia","non-dropping-particle":"","parse-names":false,"suffix":""},{"dropping-particle":"","family":"Weatherburn","given":"Amy","non-dropping-particle":"","parse-names":false,"suffix":""},{"dropping-particle":"","family":"Lennman","given":"Catherine","non-dropping-particle":"","parse-names":false,"suffix":""},{"dropping-particle":"","family":"Bosch","given":"Alba","non-dropping-particle":"","parse-names":false,"suffix":""},{"dropping-particle":"","family":"Brass","given":"Caroline Dulin","non-dropping-particle":"","parse-names":false,"suffix":""},{"dropping-particle":"","family":"Kokkinaki","given":"Christina Vasala","non-dropping-particle":"","parse-names":false,"suffix":""},{"dropping-particle":"","family":"Haskell","given":"Leslie","non-dropping-particle":"","parse-names":false,"suffix":""},{"dropping-particle":"","family":"(ICRC);","given":"International Committee of the Red Cross","non-dropping-particle":"","parse-names":false,"suffix":""},{"dropping-particle":"","family":"(VUB)","given":"Brussels Privacy Hub (BPH) an entity of Vrije Universiteit Brussel","non-dropping-particle":"","parse-names":false,"suffix":""}],"container-title":"ICRC","editor":[{"dropping-particle":"","family":"Kuner","given":"Christopher","non-dropping-particle":"","parse-names":false,"suffix":""},{"dropping-particle":"","family":"Marelli","given":"Massimo","non-dropping-particle":"","parse-names":false,"suffix":""}],"id":"ITEM-1","issued":{"date-parts":[["2017"]]},"number-of-pages":"164","publisher":"International Committee of the Red Cross (ICRC); Brussels Privacy Hub (BPH) an entity of Vrije Universiteit Brussel (VUB)","title":"Handbook on Data Protection in Humanitarian Action","type":"report"},"uris":["http://www.mendeley.com/documents/?uuid=24f23381-a14d-484c-8e30-8ddf7c69bb50"]}],"mendeley":{"formattedCitation":"(Marelli et al., 2017)","plainTextFormattedCitation":"(Marelli et al., 2017)","previouslyFormattedCitation":"(Marelli et al., 2017)"},"properties":{"noteIndex":0},"schema":"https://github.com/citation-style-language/schema/raw/master/csl-citation.json"}</w:instrText>
      </w:r>
      <w:r w:rsidR="002D7589">
        <w:fldChar w:fldCharType="separate"/>
      </w:r>
      <w:r w:rsidR="002D7589" w:rsidRPr="00205A6A">
        <w:rPr>
          <w:noProof/>
        </w:rPr>
        <w:t xml:space="preserve">(Marelli </w:t>
      </w:r>
      <w:r w:rsidR="002D7589" w:rsidRPr="00205A6A">
        <w:rPr>
          <w:noProof/>
        </w:rPr>
        <w:lastRenderedPageBreak/>
        <w:t>et al., 2017)</w:t>
      </w:r>
      <w:r w:rsidR="002D7589">
        <w:fldChar w:fldCharType="end"/>
      </w:r>
      <w:r w:rsidR="002D7589">
        <w:t xml:space="preserve">. </w:t>
      </w:r>
    </w:p>
    <w:p w14:paraId="1363DA7A" w14:textId="7D76FE94" w:rsidR="00966240" w:rsidRPr="00BC401D" w:rsidRDefault="00333F46" w:rsidP="004B4F6B">
      <w:pPr>
        <w:pStyle w:val="Text01"/>
      </w:pPr>
      <w:r>
        <w:t xml:space="preserve">Arguably, what lies beneath the surface here is the significance of context to both value and privacy. </w:t>
      </w:r>
      <w:r>
        <w:fldChar w:fldCharType="begin" w:fldLock="1"/>
      </w:r>
      <w:r w:rsidR="00D12908">
        <w:instrText>ADDIN CSL_CITATION {"citationItems":[{"id":"ITEM-1","itemData":{"DOI":"10.1080/1369118X.2012.678878","ISSN":"1369-118X","abstract":"Exploiting vast new fl ows of information can radically improve your company’s performance. But fi rst you’ll have to change your decision-making culture.","author":[{"dropping-particle":"","family":"Boyd","given":"Danah","non-dropping-particle":"","parse-names":false,"suffix":""},{"dropping-particle":"","family":"Crawford","given":"Kate","non-dropping-particle":"","parse-names":false,"suffix":""}],"container-title":"Information, Communication &amp; Society","id":"ITEM-1","issue":"5","issued":{"date-parts":[["2012"]]},"page":"662-679","title":"Critical Questions for Big Data","type":"article-magazine","volume":"15"},"uris":["http://www.mendeley.com/documents/?uuid=b4f992dc-895f-477b-89ce-8076216e8103"]}],"mendeley":{"formattedCitation":"(Boyd &amp; Crawford, 2012a)","manualFormatting":"Boyd &amp; Crawford (2012)","plainTextFormattedCitation":"(Boyd &amp; Crawford, 2012a)","previouslyFormattedCitation":"(Boyd &amp; Crawford, 2012a)"},"properties":{"noteIndex":0},"schema":"https://github.com/citation-style-language/schema/raw/master/csl-citation.json"}</w:instrText>
      </w:r>
      <w:r>
        <w:fldChar w:fldCharType="separate"/>
      </w:r>
      <w:r>
        <w:rPr>
          <w:noProof/>
        </w:rPr>
        <w:t>Boyd &amp; Crawford</w:t>
      </w:r>
      <w:r w:rsidRPr="002D1ED6">
        <w:rPr>
          <w:noProof/>
        </w:rPr>
        <w:t xml:space="preserve"> </w:t>
      </w:r>
      <w:r>
        <w:rPr>
          <w:noProof/>
        </w:rPr>
        <w:t>(</w:t>
      </w:r>
      <w:r w:rsidRPr="002D1ED6">
        <w:rPr>
          <w:noProof/>
        </w:rPr>
        <w:t>2012)</w:t>
      </w:r>
      <w:r>
        <w:fldChar w:fldCharType="end"/>
      </w:r>
      <w:r>
        <w:t>, argue that (big)</w:t>
      </w:r>
      <w:r w:rsidR="004E1457">
        <w:t xml:space="preserve"> data taken out of context </w:t>
      </w:r>
      <w:r>
        <w:t xml:space="preserve">loses </w:t>
      </w:r>
      <w:r w:rsidRPr="007D5EEB">
        <w:rPr>
          <w:i/>
        </w:rPr>
        <w:t>meaning</w:t>
      </w:r>
      <w:r>
        <w:t xml:space="preserve"> as data is not generic and retaining context is critical. R</w:t>
      </w:r>
      <w:r w:rsidR="007E2593">
        <w:t xml:space="preserve">eal-world </w:t>
      </w:r>
      <w:r w:rsidR="00EF0689">
        <w:t>scenarios</w:t>
      </w:r>
      <w:r>
        <w:t xml:space="preserve">, particularly in the humanitarian domain, </w:t>
      </w:r>
      <w:r w:rsidR="00895F70">
        <w:t>are often highly</w:t>
      </w:r>
      <w:r w:rsidR="00EF0689">
        <w:t xml:space="preserve"> nuanced raising</w:t>
      </w:r>
      <w:r w:rsidR="00E02944">
        <w:t xml:space="preserve"> complex questions </w:t>
      </w:r>
      <w:r w:rsidR="007A425F">
        <w:t>about</w:t>
      </w:r>
      <w:r w:rsidR="00E02944">
        <w:t xml:space="preserve"> the right to</w:t>
      </w:r>
      <w:r w:rsidR="008C32BD">
        <w:t xml:space="preserve"> and appropriate use of data </w:t>
      </w:r>
      <w:r w:rsidR="00BE2F13">
        <w:fldChar w:fldCharType="begin" w:fldLock="1"/>
      </w:r>
      <w:r w:rsidR="003343FA">
        <w:instrText>ADDIN CSL_CITATION {"citationItems":[{"id":"ITEM-1","itemData":{"URL":"https://play.acast.com/s/theeconomistbabbage/1481f4c7-5690-4f8f-8044-36c7c8818dd8","author":[{"dropping-particle":"","family":"Cukier","given":"Kenneth","non-dropping-particle":"","parse-names":false,"suffix":""}],"container-title":"Babbage, The Economist","editor":[{"dropping-particle":"","family":"Cukier","given":"Kenneth","non-dropping-particle":"","parse-names":false,"suffix":""}],"id":"ITEM-1","issued":{"date-parts":[["2019"]]},"publisher":"The Economist","title":"Babbage: Data to the rescue","type":"webpage"},"uris":["http://www.mendeley.com/documents/?uuid=7c5da995-7fae-44e2-ae7b-36d481138da1"]},{"id":"ITEM-2","itemData":{"URL":"https://www.unocha.org/publication/policy-briefs-studies/building-data-responsibility-humanitarian-action","abstract":"KEY MESSAGES • Affected populations can be helped as well as harmed by the use of data. Protecting vulnerable populations from harms posed by data use is the collective responsibility of the entire humanitarian data ecosystem. • The disclosure of sensitive personal and demographic data in the humanitarian space can lead to already vulnerable individuals and communities being further harmed or exploited. • Data responsibility goes beyond the concepts of “data privacy” and “data protection”. It entails a set of principles, processes and tools that seek to leverage data to improve people’s lives in a responsible manner. • Data responsibility can be achieved through a four-step process: 1. Evaluating the context and purpose within which data is being generated and shared 2. Taking inventory of the data and how it is stored 3. Pre-identifying risks and harms associated with a proposed use of data before data is collected 4. Developing strategies to mitigate those risks. • Minimum humanitarian standards for the responsible use of data should include: • Identifying the need: Data should never be used simply because they can be; the humanitarian need and potential benefits should be clear and defined. • Assessing core competencies: Humanitarian actors should identify what core competencies are needed to deploy a specific data-driven approach during a response, and only proceed if those competencies are available to them. • Managing risk to vulnerable populations: Humanitarians should identify risks and harms to individuals and communities before operations commence and adopt a plan to manage and mitigate those risks. • Adherence to legal and ethical standards: Practitioners are responsible for determining what legal and ethical standards apply to proposed applications of data in specific contexts, and for adhering to these to prevent potential violations of laws and rights. • Characteristics of humanitarian organizations that use data responsibly: • Responsibility as a process, not only a policy: Responsible use of data is an integrated and iterative set of processes with the necessary capacities to support them. • “Bright line” rules and “red button” responses: Organizations develop and adhere to clear rules before they deploy data-based interventions. They identify and plan to address moments requiring the immediate cessation of a project. • Transparency: Organizations intentionally capture and share information about their projects, critical incidents and sh…","accessed":{"date-parts":[["2019","7","1"]]},"author":[{"dropping-particle":"","family":"Raymond","given":"Nathaniel","non-dropping-particle":"","parse-names":false,"suffix":""},{"dropping-particle":"","family":"Achkar","given":"Ziad","non-dropping-particle":"Al","parse-names":false,"suffix":""},{"dropping-particle":"","family":"Verhulst","given":"Stefaan","non-dropping-particle":"","parse-names":false,"suffix":""},{"dropping-particle":"","family":"Berens","given":"Jos","non-dropping-particle":"","parse-names":false,"suffix":""},{"dropping-particle":"","family":"Barajas","given":"Lilian","non-dropping-particle":"","parse-names":false,"suffix":""},{"dropping-particle":"","family":"Easton","given":"Matthew","non-dropping-particle":"","parse-names":false,"suffix":""}],"container-title":"OCHA Policy and Studies Series","id":"ITEM-2","issued":{"date-parts":[["2016"]]},"page":"18","title":"Building data responsibility into humanitarian action","type":"webpage"},"uris":["http://www.mendeley.com/documents/?uuid=fd88cc1c-b46d-4cb2-91db-c6857f19d9c5"]}],"mendeley":{"formattedCitation":"(Cukier, 2019; Raymond et al., 2016)","plainTextFormattedCitation":"(Cukier, 2019; Raymond et al., 2016)","previouslyFormattedCitation":"(Cukier, 2019; Raymond et al., 2016)"},"properties":{"noteIndex":0},"schema":"https://github.com/citation-style-language/schema/raw/master/csl-citation.json"}</w:instrText>
      </w:r>
      <w:r w:rsidR="00BE2F13">
        <w:fldChar w:fldCharType="separate"/>
      </w:r>
      <w:r w:rsidR="00E14F22" w:rsidRPr="00E14F22">
        <w:rPr>
          <w:noProof/>
        </w:rPr>
        <w:t>(Cukier, 2019; Raymond et al., 2016)</w:t>
      </w:r>
      <w:r w:rsidR="00BE2F13">
        <w:fldChar w:fldCharType="end"/>
      </w:r>
      <w:r w:rsidR="00E02944">
        <w:t>.</w:t>
      </w:r>
      <w:r w:rsidR="007A425F">
        <w:t xml:space="preserve"> </w:t>
      </w:r>
      <w:r w:rsidR="00895F70">
        <w:t>Thus, common conceptions</w:t>
      </w:r>
      <w:r w:rsidR="00504255">
        <w:t xml:space="preserve"> </w:t>
      </w:r>
      <w:r w:rsidR="00895F70">
        <w:t>of</w:t>
      </w:r>
      <w:r w:rsidR="00504255">
        <w:t xml:space="preserve"> privacy </w:t>
      </w:r>
      <w:r w:rsidR="00895F70">
        <w:t xml:space="preserve">are not always </w:t>
      </w:r>
      <w:r w:rsidR="00504255">
        <w:t xml:space="preserve">easily aligned to the </w:t>
      </w:r>
      <w:r w:rsidR="0009666F">
        <w:t>intricate</w:t>
      </w:r>
      <w:r w:rsidR="00895F70">
        <w:t>,</w:t>
      </w:r>
      <w:r w:rsidR="00504255">
        <w:t xml:space="preserve"> </w:t>
      </w:r>
      <w:r w:rsidR="0009666F">
        <w:t>and sometimes incompatible</w:t>
      </w:r>
      <w:r w:rsidR="00895F70">
        <w:t>,</w:t>
      </w:r>
      <w:r w:rsidR="0009666F">
        <w:t xml:space="preserve"> </w:t>
      </w:r>
      <w:proofErr w:type="gramStart"/>
      <w:r w:rsidR="00504255">
        <w:t>ethical</w:t>
      </w:r>
      <w:proofErr w:type="gramEnd"/>
      <w:r w:rsidR="00504255">
        <w:t xml:space="preserve"> and moral challenges within the humanitarian domain where the value of data </w:t>
      </w:r>
      <w:r w:rsidR="0009666F">
        <w:t>is</w:t>
      </w:r>
      <w:r w:rsidR="00504255">
        <w:t xml:space="preserve"> measured in terms of </w:t>
      </w:r>
      <w:r w:rsidR="0009666F">
        <w:t>human lives</w:t>
      </w:r>
      <w:r w:rsidR="00504255">
        <w:t xml:space="preserve">. </w:t>
      </w:r>
      <w:r w:rsidR="00895F70">
        <w:t xml:space="preserve">Outside of the humanitarian domain, some have started to recognise this issue. </w:t>
      </w:r>
      <w:r w:rsidR="00C00D78">
        <w:fldChar w:fldCharType="begin" w:fldLock="1"/>
      </w:r>
      <w:r w:rsidR="000232AE">
        <w:instrText>ADDIN CSL_CITATION {"citationItems":[{"id":"ITEM-1","itemData":{"author":[{"dropping-particle":"","family":"Nissenbaum","given":"Helen","non-dropping-particle":"","parse-names":false,"suffix":""}],"container-title":"Washington Law Review, Symposium - Technology, Values, and the Justice System","id":"ITEM-1","issued":{"date-parts":[["2004"]]},"language":"eng","page":"119-158","title":"Privacy as Contextual Integrity","type":"paper-conference","volume":"79"},"uris":["http://www.mendeley.com/documents/?uuid=d050c1ce-874f-42c8-8832-98629211605b"]},{"id":"ITEM-2","itemData":{"author":[{"dropping-particle":"","family":"Nissenbaum","given":"Helen","non-dropping-particle":"","parse-names":false,"suffix":""}],"id":"ITEM-2","issued":{"date-parts":[["2010"]]},"note":"Includes bibliographical references and index.","number-of-pages":"304","publisher":"Stanford, Calif. : Stanford Law","publisher-place":"Stanford, Calif.","title":"Privacy in context : technology, policy, and the integrity of social life","type":"book"},"uris":["http://www.mendeley.com/documents/?uuid=75e58cff-8b45-4d82-9346-daef87f7887a"]}],"mendeley":{"formattedCitation":"(Nissenbaum, 2004, 2010)","manualFormatting":"Nissenbaum's (2004, 2010)","plainTextFormattedCitation":"(Nissenbaum, 2004, 2010)","previouslyFormattedCitation":"(Nissenbaum, 2004, 2010)"},"properties":{"noteIndex":0},"schema":"https://github.com/citation-style-language/schema/raw/master/csl-citation.json"}</w:instrText>
      </w:r>
      <w:r w:rsidR="00C00D78">
        <w:fldChar w:fldCharType="separate"/>
      </w:r>
      <w:r w:rsidR="00C00D78">
        <w:rPr>
          <w:noProof/>
        </w:rPr>
        <w:t>Nissenbaum's</w:t>
      </w:r>
      <w:r w:rsidR="00C00D78" w:rsidRPr="00C00D78">
        <w:rPr>
          <w:noProof/>
        </w:rPr>
        <w:t xml:space="preserve"> </w:t>
      </w:r>
      <w:r w:rsidR="00C00D78">
        <w:rPr>
          <w:noProof/>
        </w:rPr>
        <w:t>(</w:t>
      </w:r>
      <w:r w:rsidR="00C00D78" w:rsidRPr="00C00D78">
        <w:rPr>
          <w:noProof/>
        </w:rPr>
        <w:t>2004, 2010)</w:t>
      </w:r>
      <w:r w:rsidR="00C00D78">
        <w:fldChar w:fldCharType="end"/>
      </w:r>
      <w:r w:rsidR="00C00D78">
        <w:t xml:space="preserve"> theory of contextual integrity with </w:t>
      </w:r>
      <w:r w:rsidR="000232AE">
        <w:t>respect to privacy</w:t>
      </w:r>
      <w:r w:rsidR="00895F70">
        <w:t xml:space="preserve">, for example, </w:t>
      </w:r>
      <w:r w:rsidR="00C00D78">
        <w:t xml:space="preserve">challenges the more commonly perceived </w:t>
      </w:r>
      <w:r w:rsidR="00240F05">
        <w:t xml:space="preserve">proprietary relationship between </w:t>
      </w:r>
      <w:r w:rsidR="00C00D78">
        <w:t>the individual</w:t>
      </w:r>
      <w:r w:rsidR="000232AE">
        <w:t xml:space="preserve"> and privacy</w:t>
      </w:r>
      <w:r w:rsidR="00895F70">
        <w:t>. I</w:t>
      </w:r>
      <w:r w:rsidR="000232AE">
        <w:t>n essence</w:t>
      </w:r>
      <w:r w:rsidR="00895F70">
        <w:t>, the theory</w:t>
      </w:r>
      <w:r w:rsidR="000232AE">
        <w:t xml:space="preserve"> </w:t>
      </w:r>
      <w:r w:rsidR="00C00D78">
        <w:t xml:space="preserve">posits </w:t>
      </w:r>
      <w:r w:rsidR="00895F70">
        <w:t xml:space="preserve">that the </w:t>
      </w:r>
      <w:r w:rsidR="000232AE">
        <w:t xml:space="preserve">infringement of privacy is caused by a failure in contextual integrity, where context is defined as a social domain </w:t>
      </w:r>
      <w:r w:rsidR="000232AE">
        <w:fldChar w:fldCharType="begin" w:fldLock="1"/>
      </w:r>
      <w:r w:rsidR="00576DA9">
        <w:instrText>ADDIN CSL_CITATION {"citationItems":[{"id":"ITEM-1","itemData":{"ISBN":"1353-3452","author":[{"dropping-particle":"","family":"Nissenbaum","given":"Helen","non-dropping-particle":"","parse-names":false,"suffix":""}],"container-title":"Science and engineering ethics","id":"ITEM-1","issue":"3","issued":{"date-parts":[["2018"]]},"page":"831-852","publisher":"Springer","title":"Respecting context to protect privacy: Why meaning matters","type":"article-journal","volume":"24"},"uris":["http://www.mendeley.com/documents/?uuid=3844e6b3-5657-406e-9e9b-e561aa5f773c"]},{"id":"ITEM-2","itemData":{"DOI":"10.1386/iscc.6.2.233_1","ISBN":"17572681","PMID":"103640257","abstract":"Twitter, Instagram and SMS messages have entered into the defining images and texts of humanitarian disasters, theoretically allowing survivors to play a role in the framing of such crises. Yet research suggests that both mainstream media and NGOs - whose symbiotic relationships traditionally framed such stories - have cloned and absorbed such content, potentially restricting whose voices are heard. Issues around privacy and copyright are yet to be resolved in the mainstream media, while NGOs have turned to western bloggers rather than beneficiaries to mediate their message. This article draws on around 50 semi-structured interviews with those whose content was used by UK mainstream media; journalists from the main broadcast and print outlets in the UK; and members of each of the thirteen UK Disaster Emergency Committee aid agencies who responded to recent crises including the 2011 Great East Japan earthquake. It aims to answer how voices of citizens in crises are being mediated and mediatized, and what issues the use of this content raise around contextual integrity of privacy. It concludes by examining whether NGOs' engagement online allows the voices of the marginalized to emerge. [ABSTRACT FROM AUTHOR] Copyright of Interactions: Studies in Communication &amp; Culture is the property of Intellect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Abstracts.)","author":[{"dropping-particle":"","family":"Cooper","given":"Glenda","non-dropping-particle":"","parse-names":false,"suffix":""}],"container-title":"Interactions: Studies in Communication &amp; Culture","id":"ITEM-2","issue":"2","issued":{"date-parts":[["2015"]]},"note":"Cooper, Glenda 1; Affiliations: 1 : City University London; Source Info: Jul2015, Vol. 6 Issue 2, p233; Thesaurus Term: Tags (Metadata); Thesaurus Term: Nongovernmental organizations; Thesaurus Term: Blogs; Thesaurus Term: Journalists; Subject Term: Hurricanes; Subject Term: Disasters; Author-Supplied Keyword: disasters; Author-Supplied Keyword: humanitarian crises; Author-Supplied Keyword: journalist; Author-Supplied Keyword: NGOs; Author-Supplied Keyword: social media; Author-Supplied Keyword: Twitter; Author-Supplied Keyword: user-generated content; Number of Pages: 12p; Document Type: Article","page":"233-244","publisher":"Intellect Ltd.","title":"Hurricanes and hashtags: How the media and NGOs treat citizens' voices online in humanitarian emergencies","type":"article-journal","volume":"6"},"uris":["http://www.mendeley.com/documents/?uuid=020042d1-af94-4370-a832-aadbd6d049c5"]}],"mendeley":{"formattedCitation":"(Cooper, 2015; Nissenbaum, 2018)","plainTextFormattedCitation":"(Cooper, 2015; Nissenbaum, 2018)","previouslyFormattedCitation":"(Cooper, 2015; Nissenbaum, 2018)"},"properties":{"noteIndex":0},"schema":"https://github.com/citation-style-language/schema/raw/master/csl-citation.json"}</w:instrText>
      </w:r>
      <w:r w:rsidR="000232AE">
        <w:fldChar w:fldCharType="separate"/>
      </w:r>
      <w:r w:rsidR="000232AE" w:rsidRPr="000232AE">
        <w:rPr>
          <w:noProof/>
        </w:rPr>
        <w:t>(Cooper, 2015; Nissenbaum, 2018)</w:t>
      </w:r>
      <w:r w:rsidR="000232AE">
        <w:fldChar w:fldCharType="end"/>
      </w:r>
      <w:r w:rsidR="00895F70">
        <w:t xml:space="preserve">. </w:t>
      </w:r>
      <w:proofErr w:type="spellStart"/>
      <w:r w:rsidR="00895F70">
        <w:t>Nissenbaum</w:t>
      </w:r>
      <w:proofErr w:type="spellEnd"/>
      <w:r w:rsidR="00895F70">
        <w:t xml:space="preserve"> </w:t>
      </w:r>
      <w:r w:rsidR="000232AE">
        <w:t xml:space="preserve">stresses the importance of social values </w:t>
      </w:r>
      <w:r w:rsidR="008D3D80">
        <w:t xml:space="preserve">and </w:t>
      </w:r>
      <w:r w:rsidR="00895F70">
        <w:t>examines</w:t>
      </w:r>
      <w:r w:rsidR="007C348A">
        <w:t xml:space="preserve"> context</w:t>
      </w:r>
      <w:r w:rsidR="00B3776D">
        <w:t>ual</w:t>
      </w:r>
      <w:r w:rsidR="007C348A">
        <w:t xml:space="preserve"> integrity as a product of three independent </w:t>
      </w:r>
      <w:r w:rsidR="00895F70">
        <w:t>(</w:t>
      </w:r>
      <w:r w:rsidR="007C348A">
        <w:t>mandatory</w:t>
      </w:r>
      <w:r w:rsidR="00895F70">
        <w:t>)</w:t>
      </w:r>
      <w:r w:rsidR="007C348A">
        <w:t xml:space="preserve"> components: (1) </w:t>
      </w:r>
      <w:r w:rsidR="0061560C">
        <w:t>A</w:t>
      </w:r>
      <w:r w:rsidR="007C348A">
        <w:t xml:space="preserve">ctors – the sender, recipient and subject of the data; (2) the information – the data; and (3) the transmission principle – </w:t>
      </w:r>
      <w:r w:rsidR="00576DA9">
        <w:t xml:space="preserve">the terms or constraints of the flow </w:t>
      </w:r>
      <w:r w:rsidR="00576DA9">
        <w:fldChar w:fldCharType="begin" w:fldLock="1"/>
      </w:r>
      <w:r w:rsidR="00810B17">
        <w:instrText>ADDIN CSL_CITATION {"citationItems":[{"id":"ITEM-1","itemData":{"ISBN":"1353-3452","author":[{"dropping-particle":"","family":"Nissenbaum","given":"Helen","non-dropping-particle":"","parse-names":false,"suffix":""}],"container-title":"Science and engineering ethics","id":"ITEM-1","issue":"3","issued":{"date-parts":[["2018"]]},"page":"831-852","publisher":"Springer","title":"Respecting context to protect privacy: Why meaning matters","type":"article-journal","volume":"24"},"uris":["http://www.mendeley.com/documents/?uuid=3844e6b3-5657-406e-9e9b-e561aa5f773c"]}],"mendeley":{"formattedCitation":"(Nissenbaum, 2018)","plainTextFormattedCitation":"(Nissenbaum, 2018)","previouslyFormattedCitation":"(Nissenbaum, 2018)"},"properties":{"noteIndex":0},"schema":"https://github.com/citation-style-language/schema/raw/master/csl-citation.json"}</w:instrText>
      </w:r>
      <w:r w:rsidR="00576DA9">
        <w:fldChar w:fldCharType="separate"/>
      </w:r>
      <w:r w:rsidR="00576DA9" w:rsidRPr="00576DA9">
        <w:rPr>
          <w:noProof/>
        </w:rPr>
        <w:t>(Nissenbaum, 2018)</w:t>
      </w:r>
      <w:r w:rsidR="00576DA9">
        <w:fldChar w:fldCharType="end"/>
      </w:r>
      <w:r w:rsidR="00576DA9">
        <w:t>.</w:t>
      </w:r>
      <w:r w:rsidR="00CD2410">
        <w:t xml:space="preserve"> </w:t>
      </w:r>
      <w:r w:rsidR="00663A49">
        <w:t xml:space="preserve">The sense that privacy has been compromised is argued by </w:t>
      </w:r>
      <w:r w:rsidR="00663A49">
        <w:fldChar w:fldCharType="begin" w:fldLock="1"/>
      </w:r>
      <w:r w:rsidR="00810B17">
        <w:instrText>ADDIN CSL_CITATION {"citationItems":[{"id":"ITEM-1","itemData":{"ISBN":"1353-3452","author":[{"dropping-particle":"","family":"Nissenbaum","given":"Helen","non-dropping-particle":"","parse-names":false,"suffix":""}],"container-title":"Science and engineering ethics","id":"ITEM-1","issue":"3","issued":{"date-parts":[["2018"]]},"page":"831-852","publisher":"Springer","title":"Respecting context to protect privacy: Why meaning matters","type":"article-journal","volume":"24"},"uris":["http://www.mendeley.com/documents/?uuid=3844e6b3-5657-406e-9e9b-e561aa5f773c"]}],"mendeley":{"formattedCitation":"(Nissenbaum, 2018)","manualFormatting":"Nissenbaum (2018)","plainTextFormattedCitation":"(Nissenbaum, 2018)","previouslyFormattedCitation":"(Nissenbaum, 2018)"},"properties":{"noteIndex":0},"schema":"https://github.com/citation-style-language/schema/raw/master/csl-citation.json"}</w:instrText>
      </w:r>
      <w:r w:rsidR="00663A49">
        <w:fldChar w:fldCharType="separate"/>
      </w:r>
      <w:r w:rsidR="00663A49">
        <w:rPr>
          <w:noProof/>
        </w:rPr>
        <w:t>Nissenbaum</w:t>
      </w:r>
      <w:r w:rsidR="00663A49" w:rsidRPr="00576DA9">
        <w:rPr>
          <w:noProof/>
        </w:rPr>
        <w:t xml:space="preserve"> </w:t>
      </w:r>
      <w:r w:rsidR="00663A49">
        <w:rPr>
          <w:noProof/>
        </w:rPr>
        <w:t>(</w:t>
      </w:r>
      <w:r w:rsidR="00663A49" w:rsidRPr="00576DA9">
        <w:rPr>
          <w:noProof/>
        </w:rPr>
        <w:t>2018)</w:t>
      </w:r>
      <w:r w:rsidR="00663A49">
        <w:fldChar w:fldCharType="end"/>
      </w:r>
      <w:r w:rsidR="00663A49">
        <w:t xml:space="preserve"> to occur when contextual integrity has been violated. </w:t>
      </w:r>
      <w:r w:rsidR="00810B17">
        <w:t xml:space="preserve"> Put simply, privacy is compromised when the informational norms of </w:t>
      </w:r>
      <w:r w:rsidR="00810B17" w:rsidRPr="00810B17">
        <w:rPr>
          <w:i/>
        </w:rPr>
        <w:t>appropriateness</w:t>
      </w:r>
      <w:r w:rsidR="00810B17">
        <w:t xml:space="preserve"> (what may be shared), </w:t>
      </w:r>
      <w:r w:rsidR="00810B17" w:rsidRPr="00810B17">
        <w:rPr>
          <w:i/>
        </w:rPr>
        <w:t>flow</w:t>
      </w:r>
      <w:r w:rsidR="00810B17" w:rsidRPr="00810B17">
        <w:t xml:space="preserve"> </w:t>
      </w:r>
      <w:r w:rsidR="00FB27A4">
        <w:t>(how it may be shared) or</w:t>
      </w:r>
      <w:r w:rsidR="00810B17">
        <w:t xml:space="preserve"> </w:t>
      </w:r>
      <w:r w:rsidR="00810B17" w:rsidRPr="00810B17">
        <w:rPr>
          <w:i/>
        </w:rPr>
        <w:t>distribution</w:t>
      </w:r>
      <w:r w:rsidR="00810B17">
        <w:t xml:space="preserve"> (by and with whom it may be shared)</w:t>
      </w:r>
      <w:r w:rsidR="00FB27A4">
        <w:t xml:space="preserve"> are violated</w:t>
      </w:r>
      <w:r w:rsidR="00810B17">
        <w:t xml:space="preserve"> </w:t>
      </w:r>
      <w:r w:rsidR="00810B17">
        <w:fldChar w:fldCharType="begin" w:fldLock="1"/>
      </w:r>
      <w:r w:rsidR="00BC401D">
        <w:instrText>ADDIN CSL_CITATION {"citationItems":[{"id":"ITEM-1","itemData":{"DOI":"10.1386/iscc.6.2.233_1","ISBN":"17572681","PMID":"103640257","abstract":"Twitter, Instagram and SMS messages have entered into the defining images and texts of humanitarian disasters, theoretically allowing survivors to play a role in the framing of such crises. Yet research suggests that both mainstream media and NGOs - whose symbiotic relationships traditionally framed such stories - have cloned and absorbed such content, potentially restricting whose voices are heard. Issues around privacy and copyright are yet to be resolved in the mainstream media, while NGOs have turned to western bloggers rather than beneficiaries to mediate their message. This article draws on around 50 semi-structured interviews with those whose content was used by UK mainstream media; journalists from the main broadcast and print outlets in the UK; and members of each of the thirteen UK Disaster Emergency Committee aid agencies who responded to recent crises including the 2011 Great East Japan earthquake. It aims to answer how voices of citizens in crises are being mediated and mediatized, and what issues the use of this content raise around contextual integrity of privacy. It concludes by examining whether NGOs' engagement online allows the voices of the marginalized to emerge. [ABSTRACT FROM AUTHOR] Copyright of Interactions: Studies in Communication &amp; Culture is the property of Intellect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Abstracts.)","author":[{"dropping-particle":"","family":"Cooper","given":"Glenda","non-dropping-particle":"","parse-names":false,"suffix":""}],"container-title":"Interactions: Studies in Communication &amp; Culture","id":"ITEM-1","issue":"2","issued":{"date-parts":[["2015"]]},"note":"Cooper, Glenda 1; Affiliations: 1 : City University London; Source Info: Jul2015, Vol. 6 Issue 2, p233; Thesaurus Term: Tags (Metadata); Thesaurus Term: Nongovernmental organizations; Thesaurus Term: Blogs; Thesaurus Term: Journalists; Subject Term: Hurricanes; Subject Term: Disasters; Author-Supplied Keyword: disasters; Author-Supplied Keyword: humanitarian crises; Author-Supplied Keyword: journalist; Author-Supplied Keyword: NGOs; Author-Supplied Keyword: social media; Author-Supplied Keyword: Twitter; Author-Supplied Keyword: user-generated content; Number of Pages: 12p; Document Type: Article","page":"233-244","publisher":"Intellect Ltd.","title":"Hurricanes and hashtags: How the media and NGOs treat citizens' voices online in humanitarian emergencies","type":"article-journal","volume":"6"},"uris":["http://www.mendeley.com/documents/?uuid=020042d1-af94-4370-a832-aadbd6d049c5"]}],"mendeley":{"formattedCitation":"(Cooper, 2015)","plainTextFormattedCitation":"(Cooper, 2015)","previouslyFormattedCitation":"(Cooper, 2015)"},"properties":{"noteIndex":0},"schema":"https://github.com/citation-style-language/schema/raw/master/csl-citation.json"}</w:instrText>
      </w:r>
      <w:r w:rsidR="00810B17">
        <w:fldChar w:fldCharType="separate"/>
      </w:r>
      <w:r w:rsidR="00810B17" w:rsidRPr="00810B17">
        <w:rPr>
          <w:noProof/>
        </w:rPr>
        <w:t>(Cooper, 2015)</w:t>
      </w:r>
      <w:r w:rsidR="00810B17">
        <w:fldChar w:fldCharType="end"/>
      </w:r>
      <w:r w:rsidR="00810B17">
        <w:t>.</w:t>
      </w:r>
      <w:r w:rsidR="00BC401D">
        <w:t xml:space="preserve"> The challenge in </w:t>
      </w:r>
      <w:r w:rsidR="001C3A71">
        <w:t xml:space="preserve">the </w:t>
      </w:r>
      <w:r w:rsidR="00BC401D">
        <w:t>humanitarian ecosystem</w:t>
      </w:r>
      <w:r w:rsidR="001C3A71">
        <w:t>, therefore,</w:t>
      </w:r>
      <w:r w:rsidR="00BC401D">
        <w:t xml:space="preserve"> is to maintain contextual integrity without compromising value through obfuscation and aggregation </w:t>
      </w:r>
      <w:r w:rsidR="00BC401D">
        <w:fldChar w:fldCharType="begin" w:fldLock="1"/>
      </w:r>
      <w:r w:rsidR="00751991">
        <w:instrText>ADDIN CSL_CITATION {"citationItems":[{"id":"ITEM-1","itemData":{"DOI":"10.1080/01972243.2018.1542648","ISBN":"0197-2243","abstract":"AbstractPervasive digitization and aggregation of personal health information (PHI), along with artificial intelligence (AI) and other advanced analytical techniques, hold promise of improved health and healthcare services. These advances also pose significant data governance challenges for ensuring value for individual, organizational, and societal stakeholders as well as individual privacy and autonomy. Through a case study of a controversial public-private partnership between Royal Free Trust, a National Health Service hospital system in the United Kingdom, and Alphabet?s AI venture DeepMind Health, we investigate how forms of data governance were adapted, as PHI data flowed into new use contexts, to address concerns of contextual integrity, which is violated when personal information collected in one use context moves to another use context with different norms of appropriateness.","author":[{"dropping-particle":"","family":"Winter","given":"Jenifer Sunrise","non-dropping-particle":"","parse-names":false,"suffix":""},{"dropping-particle":"","family":"Davidson","given":"Elizabeth","non-dropping-particle":"","parse-names":false,"suffix":""}],"container-title":"The Information Society","id":"ITEM-1","issue":"1","issued":{"date-parts":[["2019"]]},"page":"36-51","publisher":"Routledge","title":"Big data governance of personal health information and challenges to contextual integrity","type":"article-journal","volume":"35"},"uris":["http://www.mendeley.com/documents/?uuid=ff200894-76df-4e18-ad5b-4b9c011ee799"]}],"mendeley":{"formattedCitation":"(Winter &amp; Davidson, 2019)","plainTextFormattedCitation":"(Winter &amp; Davidson, 2019)","previouslyFormattedCitation":"(Winter &amp; Davidson, 2019)"},"properties":{"noteIndex":0},"schema":"https://github.com/citation-style-language/schema/raw/master/csl-citation.json"}</w:instrText>
      </w:r>
      <w:r w:rsidR="00BC401D">
        <w:fldChar w:fldCharType="separate"/>
      </w:r>
      <w:r w:rsidR="00BC401D" w:rsidRPr="00BC401D">
        <w:rPr>
          <w:noProof/>
        </w:rPr>
        <w:t>(Winter &amp; Davidson, 2019)</w:t>
      </w:r>
      <w:r w:rsidR="00BC401D">
        <w:fldChar w:fldCharType="end"/>
      </w:r>
      <w:r w:rsidR="00BC401D">
        <w:t xml:space="preserve">. </w:t>
      </w:r>
    </w:p>
    <w:p w14:paraId="686C9AB8" w14:textId="5B26DE65" w:rsidR="00923C08" w:rsidRDefault="00923C08" w:rsidP="00C22C36">
      <w:r>
        <w:t>This leads us to the following research proposition:</w:t>
      </w:r>
    </w:p>
    <w:p w14:paraId="4EE5C023" w14:textId="1FE4D4B5" w:rsidR="00375A19" w:rsidRDefault="00A94FCB" w:rsidP="00D9071C">
      <w:pPr>
        <w:pStyle w:val="NListParagraph"/>
        <w:numPr>
          <w:ilvl w:val="0"/>
          <w:numId w:val="10"/>
        </w:numPr>
      </w:pPr>
      <w:r w:rsidRPr="00A94FCB">
        <w:t xml:space="preserve">Mechanisms are required for addressing the conflict between value in the humanitarian domain and the privacy, </w:t>
      </w:r>
      <w:proofErr w:type="gramStart"/>
      <w:r w:rsidRPr="00A94FCB">
        <w:t>autonomy</w:t>
      </w:r>
      <w:proofErr w:type="gramEnd"/>
      <w:r w:rsidRPr="00A94FCB">
        <w:t xml:space="preserve"> and liberty of individuals</w:t>
      </w:r>
      <w:r w:rsidR="00375A19">
        <w:t>.</w:t>
      </w:r>
    </w:p>
    <w:p w14:paraId="5B29C2C5" w14:textId="2B2BBA5D" w:rsidR="005C0D2A" w:rsidRDefault="005C0D2A" w:rsidP="005C0D2A">
      <w:pPr>
        <w:pStyle w:val="Heading3"/>
        <w:keepNext w:val="0"/>
        <w:keepLines w:val="0"/>
      </w:pPr>
      <w:r>
        <w:t>RP 4: Data Transparency</w:t>
      </w:r>
    </w:p>
    <w:p w14:paraId="29E35891" w14:textId="3EB5BD8F" w:rsidR="00A22843" w:rsidRDefault="005C0D2A" w:rsidP="004B4F6B">
      <w:pPr>
        <w:pStyle w:val="Text01"/>
      </w:pPr>
      <w:r>
        <w:t xml:space="preserve">Our empirical example underscores the difficulties of gaining a comprehensive, coherent and </w:t>
      </w:r>
      <w:proofErr w:type="gramStart"/>
      <w:r>
        <w:t>contextually-informed</w:t>
      </w:r>
      <w:proofErr w:type="gramEnd"/>
      <w:r>
        <w:t xml:space="preserve"> view of the global patterns of disasters and human survival over </w:t>
      </w:r>
      <w:r>
        <w:lastRenderedPageBreak/>
        <w:t xml:space="preserve">time by </w:t>
      </w:r>
      <w:r w:rsidR="00F340ED">
        <w:t>integrating</w:t>
      </w:r>
      <w:r>
        <w:t xml:space="preserve"> published data from </w:t>
      </w:r>
      <w:r w:rsidR="00061F91">
        <w:t xml:space="preserve">(only) </w:t>
      </w:r>
      <w:r>
        <w:t xml:space="preserve">six different sources. </w:t>
      </w:r>
      <w:r w:rsidR="00F340ED">
        <w:t xml:space="preserve">In working with the </w:t>
      </w:r>
      <w:proofErr w:type="gramStart"/>
      <w:r w:rsidR="00F340ED">
        <w:t>datasets</w:t>
      </w:r>
      <w:proofErr w:type="gramEnd"/>
      <w:r w:rsidR="00F340ED">
        <w:t xml:space="preserve"> it became clear that</w:t>
      </w:r>
      <w:r w:rsidR="00B9134E">
        <w:t>,</w:t>
      </w:r>
      <w:r w:rsidR="00107F3F">
        <w:t xml:space="preserve"> </w:t>
      </w:r>
      <w:r w:rsidR="00F340ED">
        <w:t xml:space="preserve">in some instances, more detailed data existed but was not publicly available. Consequently, </w:t>
      </w:r>
      <w:r w:rsidR="00107F3F">
        <w:t xml:space="preserve">a more general issue of data transparency </w:t>
      </w:r>
      <w:r w:rsidR="00F340ED">
        <w:t>is</w:t>
      </w:r>
      <w:r w:rsidR="00107F3F">
        <w:t xml:space="preserve"> apparent</w:t>
      </w:r>
      <w:r w:rsidR="00B9134E">
        <w:t xml:space="preserve"> – which, in essence, relates to how parties within the domain can openly share data without damaging themselves</w:t>
      </w:r>
      <w:r w:rsidR="00061F91">
        <w:t xml:space="preserve">, </w:t>
      </w:r>
      <w:r w:rsidR="00F340ED">
        <w:t xml:space="preserve">or </w:t>
      </w:r>
      <w:r w:rsidR="00B9134E">
        <w:t>allowing data breaches to happen</w:t>
      </w:r>
      <w:r w:rsidR="00274D94">
        <w:t xml:space="preserve">, </w:t>
      </w:r>
      <w:r w:rsidR="00645215">
        <w:t>while meeting legislative requirements</w:t>
      </w:r>
      <w:r w:rsidR="00B9134E">
        <w:t xml:space="preserve">. There are several aspects </w:t>
      </w:r>
      <w:r w:rsidR="00645215">
        <w:t>of transparency</w:t>
      </w:r>
      <w:r w:rsidR="00B9134E">
        <w:t xml:space="preserve"> </w:t>
      </w:r>
      <w:r w:rsidR="00061F91">
        <w:t>to note here</w:t>
      </w:r>
      <w:r w:rsidR="00073B87">
        <w:t>, which straddle policy and technical conceptions of governance</w:t>
      </w:r>
      <w:r w:rsidR="00B9134E">
        <w:t>. First, that</w:t>
      </w:r>
      <w:r w:rsidR="00CE4CBC">
        <w:t xml:space="preserve"> there needs to be an ecosystem-</w:t>
      </w:r>
      <w:r w:rsidR="00B9134E">
        <w:t xml:space="preserve">based consensus in relation to </w:t>
      </w:r>
      <w:r w:rsidR="00274D94">
        <w:t xml:space="preserve">domain understanding – </w:t>
      </w:r>
      <w:r w:rsidR="00B9134E">
        <w:t>the things that matter within the domain, the relationships between those things</w:t>
      </w:r>
      <w:r w:rsidR="00A22843">
        <w:t>, general and party specific policy constraints on the representation and use of knowledge etc</w:t>
      </w:r>
      <w:r w:rsidR="00274D94">
        <w:t xml:space="preserve">. These are </w:t>
      </w:r>
      <w:r w:rsidR="00A22843">
        <w:t>elements which, though instantiated as data or capability assets, are crucial to transformation and completion</w:t>
      </w:r>
      <w:r w:rsidR="00061F91">
        <w:t xml:space="preserve"> processes</w:t>
      </w:r>
      <w:r w:rsidR="00A22843">
        <w:t xml:space="preserve">. </w:t>
      </w:r>
      <w:r w:rsidR="00BB0681">
        <w:t xml:space="preserve">The immediate difficulty here is that even the </w:t>
      </w:r>
      <w:r w:rsidR="00A22843">
        <w:t>most obvious efforts that may facilitate ecosystem-wide transparency</w:t>
      </w:r>
      <w:r w:rsidR="00645215">
        <w:t xml:space="preserve"> – </w:t>
      </w:r>
      <w:r w:rsidR="00A22843">
        <w:t>such as domain repositories for data sharing</w:t>
      </w:r>
      <w:r w:rsidR="00645215">
        <w:t>,</w:t>
      </w:r>
      <w:r w:rsidR="00BB0681">
        <w:t xml:space="preserve"> </w:t>
      </w:r>
      <w:r w:rsidR="00690661">
        <w:t xml:space="preserve">a </w:t>
      </w:r>
      <w:r w:rsidR="00A22843">
        <w:t>domain-specific</w:t>
      </w:r>
      <w:r w:rsidR="00C911AD">
        <w:t xml:space="preserve"> </w:t>
      </w:r>
      <w:r w:rsidR="00A22843">
        <w:t xml:space="preserve">language, </w:t>
      </w:r>
      <w:r w:rsidR="00690661">
        <w:t xml:space="preserve">a </w:t>
      </w:r>
      <w:r w:rsidR="00A22843">
        <w:t xml:space="preserve">domain-wide ontology and disaster classification standards </w:t>
      </w:r>
      <w:r w:rsidR="00BB0681">
        <w:t>–</w:t>
      </w:r>
      <w:r w:rsidR="00A22843">
        <w:t xml:space="preserve"> </w:t>
      </w:r>
      <w:r w:rsidR="00B8710E">
        <w:t xml:space="preserve">where they exist, </w:t>
      </w:r>
      <w:r w:rsidR="00A22843">
        <w:t>have been less than consistently or comprehensively employed</w:t>
      </w:r>
      <w:r w:rsidR="00645215">
        <w:t xml:space="preserve"> </w:t>
      </w:r>
      <w:r w:rsidR="00F340ED">
        <w:t xml:space="preserve">in the humanitarian domain </w:t>
      </w:r>
      <w:r w:rsidR="00645215">
        <w:t>to-date</w:t>
      </w:r>
      <w:r w:rsidR="00A22843">
        <w:t xml:space="preserve"> </w:t>
      </w:r>
      <w:r w:rsidR="006D6370">
        <w:fldChar w:fldCharType="begin" w:fldLock="1"/>
      </w:r>
      <w:r w:rsidR="008169F9">
        <w:instrText>ADDIN CSL_CITATION {"citationItems":[{"id":"ITEM-1","itemData":{"URL":"http://fts.unocha.org/","accessed":{"date-parts":[["2017","5","30"]]},"author":[{"dropping-particle":"","family":"FTS","given":"","non-dropping-particle":"","parse-names":false,"suffix":""}],"container-title":"Tracking Humanitarian Aid Flows","editor":[{"dropping-particle":"","family":"Humanitarian Programme Cycle Information Services Unit (HPC-IS)","given":"","non-dropping-particle":"","parse-names":false,"suffix":""}],"id":"ITEM-1","issue":"2017","issued":{"date-parts":[["2017"]]},"language":"English","publisher":"United Nations Office for the Coordination of Humanitarian Affairs (UNOCHA)","publisher-place":"Geneva, Switzerland","title":"Financial Tracking Services","type":"webpage","volume":"2017"},"uris":["http://www.mendeley.com/documents/?uuid=51780581-57e7-4df9-a65c-3d6dce75306c"]},{"id":"ITEM-2","itemData":{"author":[{"dropping-particle":"","family":"Lattimer","given":"Charlotte","non-dropping-particle":"","parse-names":false,"suffix":""},{"dropping-particle":"","family":"Swithern","given":"Sophia","non-dropping-particle":"","parse-names":false,"suffix":""},{"dropping-particle":"","family":"Tuchel","given":"Luminita","non-dropping-particle":"","parse-names":false,"suffix":""},{"dropping-particle":"","family":"Beecher","given":"Jordan","non-dropping-particle":"","parse-names":false,"suffix":""},{"dropping-particle":"","family":"Cecilia Caio","given":"","non-dropping-particle":"","parse-names":false,"suffix":""},{"dropping-particle":"","family":"Collins","given":"Rosanna","non-dropping-particle":"","parse-names":false,"suffix":""},{"dropping-particle":"","family":"Dalrymple","given":"Sarah","non-dropping-particle":"","parse-names":false,"suffix":""},{"dropping-particle":"","family":"Galinié","given":"Arnaud","non-dropping-particle":"","parse-names":false,"suffix":""},{"dropping-particle":"","family":"Kenei","given":"Steve","non-dropping-particle":"","parse-names":false,"suffix":""},{"dropping-particle":"","family":"Knox","given":"Duncan","non-dropping-particle":"","parse-names":false,"suffix":""},{"dropping-particle":"","family":"Miller","given":"Alex","non-dropping-particle":"","parse-names":false,"suffix":""},{"dropping-particle":"","family":"Shaikh","given":"Lylaa","non-dropping-particle":"","parse-names":false,"suffix":""},{"dropping-particle":"","family":"Simenon","given":"Manon","non-dropping-particle":"","parse-names":false,"suffix":""},{"dropping-particle":"","family":"Parrish","given":"Chloe","non-dropping-particle":"","parse-names":false,"suffix":""},{"dropping-particle":"","family":"Watts","given":"Richard","non-dropping-particle":"","parse-names":false,"suffix":""}],"container-title":"Global Humanitarian Assistance Reports","editor":[{"dropping-particle":"","family":"(GHA)","given":"Global Humanitarian Assistance","non-dropping-particle":"","parse-names":false,"suffix":""}],"id":"ITEM-2","issued":{"date-parts":[["2016"]]},"language":"English","number-of-pages":"101","publisher":"Global Humanitarian Assistance (GHA)","title":"Global Humanitarian Assistance Report 2016","type":"report","volume":"2016"},"uris":["http://www.mendeley.com/documents/?uuid=08f71604-2bc0-458f-9276-54f2217a27ac"]},{"id":"ITEM-3","itemData":{"URL":"http://www.aidtransparency.net/","accessed":{"date-parts":[["2017","2","1"]]},"container-title":"International Aid Transparency Initiative","editor":[{"dropping-particle":"","family":"IATI","given":"","non-dropping-particle":"","parse-names":false,"suffix":""}],"id":"ITEM-3","issue":"01 February 2017","issued":{"date-parts":[["2017"]]},"language":"English","publisher":"Secretariat Giverments of Ghana and Sweden, UNOPS, Development Initiatives, UNDP","publisher-place":"On-line","title":"International Aid Transparency Initiative (IATI)","type":"webpage","volume":"2017"},"uris":["http://www.mendeley.com/documents/?uuid=c443369c-78f4-4491-be2e-b269d093e00e"]},{"id":"ITEM-4","itemData":{"URL":"http://www.oecd.org/dac/stats/humanitarian-assistance.htm","container-title":"Development finance statistics","editor":[{"dropping-particle":"","family":"OECD","given":"","non-dropping-particle":"","parse-names":false,"suffix":""}],"id":"ITEM-4","issued":{"date-parts":[["2017"]]},"language":"English","publisher":"Organisation for Economic Co-operation and Development (OECD)","publisher-place":"Paris, France","title":"Humanitarian Assistance","type":"webpage","volume":"2017"},"uris":["http://www.mendeley.com/documents/?uuid=11cff123-902e-4a00-8bec-865d0bce4a84"]},{"id":"ITEM-5","itemData":{"URL":"http://ati.publishwhatyoufund.org/","container-title":"Publish What you Fund","editor":[{"dropping-particle":"","family":"Global Campaign for Aid Transparency","given":"","non-dropping-particle":"","parse-names":false,"suffix":""}],"id":"ITEM-5","issue":"01 February 2017","issued":{"date-parts":[["2017"]]},"language":"English","publisher":"Global Campaign for Aid Transparency","publisher-place":"On-line","title":"Aid Transparency Index (ATI)","type":"webpage","volume":"2017"},"uris":["http://www.mendeley.com/documents/?uuid=115f5990-dcf6-44b2-a1fb-f44d9eff942f"]},{"id":"ITEM-6","itemData":{"URL":"http://ec.europa.eu/echo/","accessed":{"date-parts":[["2016","7","12"]]},"author":[{"dropping-particle":"","family":"EDRIS","given":"","non-dropping-particle":"","parse-names":false,"suffix":""}],"editor":[{"dropping-particle":"","family":"Directorate-General for European Civil Protection and Humanitarian Aid Operations (ECHO);","given":"","non-dropping-particle":"","parse-names":false,"suffix":""}],"id":"ITEM-6","issue":"July 2016","issued":{"date-parts":[["2017"]]},"language":"EDRIS","note":"ECHO based on previous name the European Community Humanitarian Aid Office","publisher-place":"On-line","title":"European Disaster Response Information System (EDRIS)","type":"webpage","volume":"2016"},"uris":["http://www.mendeley.com/documents/?uuid=3f021900-5170-4471-a52d-f196d130db93"]},{"id":"ITEM-7","itemData":{"URL":"http://data.humdata.org/","accessed":{"date-parts":[["2017","1","6"]]},"author":[{"dropping-particle":"","family":"HDX","given":"","non-dropping-particle":"","parse-names":false,"suffix":""}],"id":"ITEM-7","issue":"06 January 2017","issued":{"date-parts":[["2017"]]},"language":"English","publisher":"United Nations Office for the Coordination of Humanitarian Affairs (OCHA)","publisher-place":"On-line","title":"Humanitarian Data Exchange (HDX)","type":"webpage","volume":"2017"},"uris":["http://www.mendeley.com/documents/?uuid=01d95df7-3e22-4678-b559-a51b096f716e"]},{"id":"ITEM-8","itemData":{"ISBN":"Report No 1","author":[{"dropping-particle":"","family":"IRDR","given":"","non-dropping-particle":"","parse-names":false,"suffix":""}],"container-title":"Data Project Report n°1","editor":[{"dropping-particle":"","family":"Integrated Research on Disaster Risk (IRDR)","given":"","non-dropping-particle":"","parse-names":false,"suffix":""}],"id":"ITEM-8","issued":{"date-parts":[["2014"]]},"language":"English","number-of-pages":"28","publisher":"International Social Science Council (ISSC); United Nations International Strategy for Disaster Reduction (UNISDR)","publisher-place":"Beijing, China","title":"Peril Classification and Hazard Glossary","type":"report"},"uris":["http://www.mendeley.com/documents/?uuid=d6123b0e-f12a-48e1-a4da-4cf7257b4d14"]},{"id":"ITEM-9","itemData":{"URL":"https://www.aiddata.org/","accessed":{"date-parts":[["2018","9","5"]]},"editor":[{"dropping-particle":"","family":"William &amp; Mary University","given":"","non-dropping-particle":"","parse-names":false,"suffix":""}],"id":"ITEM-9","issue":"05 September 2018","issued":{"date-parts":[["2018"]]},"language":"English","note":"AidData is a research lab at William &amp;amp; Mary. We equip policymakers and practitioners with better evidence to improve how sustainable development investments are targeted, monitored, and evaluated. We use rigorous methods, cutting-edge tools, and granular data to answer the question: who is doing what, where, for whom, and to what effect?","publisher":"William &amp; Mary University, USA","publisher-place":"On-line","title":"AidData","type":"webpage","volume":"2018"},"uris":["http://www.mendeley.com/documents/?uuid=7638e54d-c7d0-44d8-9a88-69fb32f38f08"]},{"id":"ITEM-10","itemData":{"URL":"http://hxlstandard.org/","accessed":{"date-parts":[["2019","8","1"]]},"author":[{"dropping-particle":"","family":"HXL","given":"","non-dropping-particle":"","parse-names":false,"suffix":""}],"id":"ITEM-10","issued":{"date-parts":[["2019"]]},"language":"English","publisher":"United Nations Office for the Coordination of Humanitarian Affairs (OCHA)","publisher-place":"On-line","title":"The Humanitarian Exchange Language","type":"webpage","volume":"2019"},"uris":["http://www.mendeley.com/documents/?uuid=3096693d-713c-46f1-aada-c6fad7b8ae50"]}],"mendeley":{"formattedCitation":"(EDRIS, 2017; FTS, 2017; Global Campaign for Aid Transparency, 2017; HDX, 2017; HXL, 2019; IATI, 2017; IRDR, 2014; Lattimer et al., 2016; OECD, 2017a; William &amp; Mary University, 2018)","plainTextFormattedCitation":"(EDRIS, 2017; FTS, 2017; Global Campaign for Aid Transparency, 2017; HDX, 2017; HXL, 2019; IATI, 2017; IRDR, 2014; Lattimer et al., 2016; OECD, 2017a; William &amp; Mary University, 2018)","previouslyFormattedCitation":"(EDRIS, 2017; FTS, 2017; Global Campaign for Aid Transparency, 2017; HDX, 2017; HXL, 2019; IATI, 2017; IRDR, 2014; Lattimer et al., 2016; OECD, 2017a; William &amp; Mary University, 2018)"},"properties":{"noteIndex":0},"schema":"https://github.com/citation-style-language/schema/raw/master/csl-citation.json"}</w:instrText>
      </w:r>
      <w:r w:rsidR="006D6370">
        <w:fldChar w:fldCharType="separate"/>
      </w:r>
      <w:r w:rsidR="00F22766" w:rsidRPr="00F22766">
        <w:rPr>
          <w:noProof/>
        </w:rPr>
        <w:t>(EDRIS, 2017; FTS, 2017; Global Campaign for Aid Transparency, 2017; HDX, 2017; HXL, 2019; IATI, 2017; IRDR, 2014; Lattimer et al., 2016; OECD, 2017a; William &amp; Mary University, 2018)</w:t>
      </w:r>
      <w:r w:rsidR="006D6370">
        <w:fldChar w:fldCharType="end"/>
      </w:r>
      <w:r w:rsidR="00F22766">
        <w:t>.</w:t>
      </w:r>
    </w:p>
    <w:p w14:paraId="5B041BE3" w14:textId="14E013A0" w:rsidR="00C911AD" w:rsidRDefault="00BB0681" w:rsidP="004B4F6B">
      <w:pPr>
        <w:pStyle w:val="Text01"/>
      </w:pPr>
      <w:r>
        <w:t xml:space="preserve">Second, </w:t>
      </w:r>
      <w:r w:rsidR="00A60A9A">
        <w:t>greater consideration needs to be given to</w:t>
      </w:r>
      <w:r w:rsidR="00C911AD">
        <w:t xml:space="preserve"> </w:t>
      </w:r>
      <w:r w:rsidR="00274D94">
        <w:t>metadata</w:t>
      </w:r>
      <w:r w:rsidR="00B46411">
        <w:t>, particularly</w:t>
      </w:r>
      <w:r w:rsidR="00A60A9A">
        <w:t xml:space="preserve"> </w:t>
      </w:r>
      <w:r w:rsidR="00C911AD">
        <w:t xml:space="preserve">in the context </w:t>
      </w:r>
      <w:r w:rsidR="00A60A9A">
        <w:t>of integration.</w:t>
      </w:r>
      <w:r w:rsidR="00274D94">
        <w:t xml:space="preserve"> </w:t>
      </w:r>
      <w:r w:rsidR="00C911AD">
        <w:t xml:space="preserve">Though not well addressed in the academic literature, there is an increasing realisation in the commercial big data world that significant insight can be gained from data about (big) data – </w:t>
      </w:r>
      <w:r w:rsidR="00B46411">
        <w:t>i.e</w:t>
      </w:r>
      <w:r w:rsidR="00C911AD">
        <w:t xml:space="preserve">., </w:t>
      </w:r>
      <w:r w:rsidR="00B46411">
        <w:t xml:space="preserve">data that describes the content/raw data such as </w:t>
      </w:r>
      <w:r w:rsidR="00B46411" w:rsidRPr="00C911AD">
        <w:t>origin, time, date, format</w:t>
      </w:r>
      <w:r w:rsidR="00B46411">
        <w:t xml:space="preserve"> etc. </w:t>
      </w:r>
      <w:r w:rsidR="00166F90">
        <w:fldChar w:fldCharType="begin" w:fldLock="1"/>
      </w:r>
      <w:r w:rsidR="005D4573">
        <w:instrText>ADDIN CSL_CITATION {"citationItems":[{"id":"ITEM-1","itemData":{"DOI":"10.1073/pnas.1508081113","abstract":"Privacy protections against government surveillance are often scoped to communications content and exclude communications metadata. In the United States, the National Security Agency operated a particularly controversial program, collecting bulk telephone metadata nationwide. We investigate the privacy properties of telephone metadata to assess the impact of policies that distinguish between content and metadata. We find that telephone metadata is densely interconnected, can trivially be reidentified, enables automated location and relationship inferences, and can be used to determine highly sensitive traits.Since 2013, a stream of disclosures has prompted reconsideration of surveillance law and policy. One of the most controversial principles, both in the United States and abroad, is that communications metadata receives substantially less protection than communications content. Several nations currently collect telephone metadata in bulk, including on their own citizens. In this paper, we attempt to shed light on the privacy properties of telephone metadata. Using a crowdsourcing methodology, we demonstrate that telephone metadata is densely interconnected, can trivially be reidentified, and can be used to draw sensitive inferences.","author":[{"dropping-particle":"","family":"Mayer","given":"Jonathan","non-dropping-particle":"","parse-names":false,"suffix":""},{"dropping-particle":"","family":"Mutchler","given":"Patrick","non-dropping-particle":"","parse-names":false,"suffix":""},{"dropping-particle":"","family":"Mitchell","given":"John C","non-dropping-particle":"","parse-names":false,"suffix":""}],"container-title":"Proceedings of the National Academy of Sciences","id":"ITEM-1","issue":"20","issued":{"date-parts":[["2016"]]},"page":"5536","title":"Evaluating the privacy properties of telephone metadata","type":"article-journal","volume":"113"},"uris":["http://www.mendeley.com/documents/?uuid=4bfe9ceb-a16d-4faf-8be9-b18050e207c6"]}],"mendeley":{"formattedCitation":"(Mayer et al., 2016)","plainTextFormattedCitation":"(Mayer et al., 2016)","previouslyFormattedCitation":"(Mayer et al., 2016)"},"properties":{"noteIndex":0},"schema":"https://github.com/citation-style-language/schema/raw/master/csl-citation.json"}</w:instrText>
      </w:r>
      <w:r w:rsidR="00166F90">
        <w:fldChar w:fldCharType="separate"/>
      </w:r>
      <w:r w:rsidR="00166F90" w:rsidRPr="00166F90">
        <w:rPr>
          <w:noProof/>
        </w:rPr>
        <w:t>(Mayer et al., 2016)</w:t>
      </w:r>
      <w:r w:rsidR="00166F90">
        <w:fldChar w:fldCharType="end"/>
      </w:r>
      <w:r w:rsidR="00166F90">
        <w:t xml:space="preserve">, </w:t>
      </w:r>
      <w:r w:rsidR="00A9394E">
        <w:t>for example, illustrate the insight that can be gleaned from mobile call metadata and, indeed, the unintentional infringement of privacy that can occur</w:t>
      </w:r>
      <w:r w:rsidR="00654C3C">
        <w:t xml:space="preserve"> via that insight</w:t>
      </w:r>
      <w:r w:rsidR="00A9394E">
        <w:t>. The aspects that we point researchers to in this respect are the need to capture metadata related to the</w:t>
      </w:r>
      <w:r w:rsidR="00073B87">
        <w:t xml:space="preserve"> data assets themselves such that judgements can be made about them in relation to the: (a) Veracity</w:t>
      </w:r>
      <w:r w:rsidR="00654C3C">
        <w:t xml:space="preserve"> of the data</w:t>
      </w:r>
      <w:r w:rsidR="00073B87">
        <w:t>; and (b) the process associated with contextual integrity if a balance between privacy and appropriateness</w:t>
      </w:r>
      <w:r w:rsidR="00654C3C">
        <w:t xml:space="preserve"> is to be achieved</w:t>
      </w:r>
      <w:r w:rsidR="00073B87">
        <w:t xml:space="preserve">. In addition, </w:t>
      </w:r>
      <w:r w:rsidR="00654C3C">
        <w:t xml:space="preserve">metadata needs to be captured re the </w:t>
      </w:r>
      <w:r w:rsidR="00A9394E">
        <w:t xml:space="preserve">process of integration itself, such that other parties can understand and reproduce the (big) data integration process (such as the integration in our empirical example). </w:t>
      </w:r>
      <w:r w:rsidR="00654C3C">
        <w:t xml:space="preserve">We see these as important aspects of </w:t>
      </w:r>
      <w:r w:rsidR="00F23FA8" w:rsidRPr="00F23FA8">
        <w:t xml:space="preserve">digital asset </w:t>
      </w:r>
      <w:r w:rsidR="00F23FA8" w:rsidRPr="00F23FA8">
        <w:lastRenderedPageBreak/>
        <w:t>management</w:t>
      </w:r>
      <w:r w:rsidR="00654C3C">
        <w:t xml:space="preserve">, which is a subject that </w:t>
      </w:r>
      <w:r w:rsidR="00166F90">
        <w:t xml:space="preserve">does not appear to have been addressed </w:t>
      </w:r>
      <w:r w:rsidR="00654C3C">
        <w:t>in the humanitarian domain.</w:t>
      </w:r>
    </w:p>
    <w:p w14:paraId="1D283A1E" w14:textId="1D93CE1B" w:rsidR="005C0D2A" w:rsidRDefault="00061F91" w:rsidP="004B4F6B">
      <w:pPr>
        <w:pStyle w:val="Text01"/>
      </w:pPr>
      <w:r>
        <w:t>Third, there is the consideration</w:t>
      </w:r>
      <w:r w:rsidR="005C0D2A">
        <w:t xml:space="preserve"> of data voids</w:t>
      </w:r>
      <w:r>
        <w:t xml:space="preserve"> – that no one party gets to hold data ‘hostage’ without undue reason</w:t>
      </w:r>
      <w:r w:rsidR="005C0D2A">
        <w:t>. While the logistical difficulties in p</w:t>
      </w:r>
      <w:r w:rsidR="005C0D2A" w:rsidRPr="002313C4">
        <w:t xml:space="preserve">ost-disaster data collection </w:t>
      </w:r>
      <w:r w:rsidR="005C0D2A">
        <w:t>are relatively easy to understand</w:t>
      </w:r>
      <w:r w:rsidR="00645215">
        <w:t xml:space="preserve"> for example</w:t>
      </w:r>
      <w:r w:rsidR="00166F90">
        <w:t xml:space="preserve"> </w:t>
      </w:r>
      <w:r w:rsidR="005D4573">
        <w:fldChar w:fldCharType="begin" w:fldLock="1"/>
      </w:r>
      <w:r w:rsidR="00F84723">
        <w:instrText>ADDIN CSL_CITATION {"citationItems":[{"id":"ITEM-1","itemData":{"ISBN":"978-0199544462","author":[{"dropping-particle":"","family":"Riddell","given":"Roger C","non-dropping-particle":"","parse-names":false,"suffix":""}],"chapter-number":"18","container-title":"Does Foreign Aid Really Work?","id":"ITEM-1","issued":{"date-parts":[["2008"]]},"note":"Amazon Summary\n\n&amp;quot;Foreign aid is now a $100bn business and is expanding more rapidly today than it has for a generation. But does it work? Indeed, is it needed at all?\nOther attempts to answer these important questions have been dominated by a focus on the impact of official aid provided by governments. But today possibly as much as 30 percent of aid is provided by Non-Governmental Organizations (NGOs), and over 10 percent is provided as emergency assistance.\nIn this first-ever attempt to provide an overall assessment of aid, Roger Riddell presents a rigorous but highly readable account of aid, warts and all. Does Foreign Aid Really Work? sets out the evidence and exposes the instances where aid has failed and explains why. The book also examines the way that politics distorts aid, and disentangles the moral and ethical assumptions that lie behind the belief that aid does good. The book concludes by detailing the practical ways that aid needs to change if it is to be the effective force for good that its providers claim it is.&amp;quot;","page":"311-324","publisher":"Oxford University Press","publisher-place":"Oxford, United Kingdom","title":"The growth of emergencies and the humanitarian response","type":"chapter"},"uris":["http://www.mendeley.com/documents/?uuid=8325730b-1ee7-43b0-88ba-d11a96b1f40d"]},{"id":"ITEM-2","itemData":{"author":[{"dropping-particle":"","family":"Tatham","given":"Peter","non-dropping-particle":"","parse-names":false,"suffix":""},{"dropping-particle":"","family":"Hughes","given":"Kate","non-dropping-particle":"","parse-names":false,"suffix":""}],"chapter-number":"4","container-title":"Humanitarian logistics : meeting the challenge of preparing for and responding to disasters","edition":"1st","editor":[{"dropping-particle":"","family":"Christopher","given":"Martin","non-dropping-particle":"","parse-names":false,"suffix":""},{"dropping-particle":"","family":"Tatham","given":"Peter","non-dropping-particle":"","parse-names":false,"suffix":""}],"id":"ITEM-2","issued":{"date-parts":[["2011"]]},"note":"The management of a supply network is, by any measure, a complex undertaking, and this is reflected in the broad range of prescriptions found within the literature. As a means of guiding management in subsequent decision making, one might reasonably anticipate that considerable effort would be invested in the design of appropriate performance metrics - but, surprisingly, this does not appear to be the case. Furthermore, in non-profit organizations the challenge is much larger given the absence of a (or, perhaps, the) core metric of profitability. In the humanitarian logistic field, there is a recognition of the need for appropriate metrics, but capturing the data in a robust way is hampered by the particular circumstances of operating in an environment with its inherent limitations on communications and IT. However, such metrics that do exist are, typically, focused on operational data - the number of boxes delivered on time, the associated cost, etc. Such efficiency-based metrics are clearly important, but the authors argue that the key challenge is that of developing outcome or effectiveness metrics so that the achievements of the relief operation as a whole can be more readily understood. It is suggested that this process may be aided through the use of 'quality of life' metrics borrowed from the medical field.","page":"Pages 65-84","publisher":"Kogan Page Limited","publisher-place":"London, United Kingdom","title":"Humanitarian logistics metrics : where we are and how we might improve","type":"chapter"},"uris":["http://www.mendeley.com/documents/?uuid=b1b66497-91d2-47dc-a292-4b26c3dfbb5d"]},{"id":"ITEM-3","itemData":{"DOI":"10.1109/ipcc.2005.1494163","abstract":"An effective information and communication system (ICS) is a central component of successful humanitarian relief efforts. An ICS involves not only IT but also people, practices, policies, and organizational environments. This paper explores major issues and challenges inherent to developing an effective ICS within the humanitarian relief non-governmental organization (NGO) sector. Although closely related, the issues and challenges inherent in both intraand inter-organizational communication in NGOs are discussed separately. The analysis goes beyond the IT issues usually focused on, emphasizing the enormous impacts of human, organizational, and environmental issues such as organizational structure, coordination, security, politics, and funding. We discuss both the strategic impact of these issues as well as the impact on an NGO's ability to communicate effectively during emergency response efforts.","author":[{"dropping-particle":"","family":"Maiers","given":"C","non-dropping-particle":"","parse-names":false,"suffix":""},{"dropping-particle":"","family":"Reynolds","given":"M","non-dropping-particle":"","parse-names":false,"suffix":""},{"dropping-particle":"","family":"Haselkorn","given":"M","non-dropping-particle":"","parse-names":false,"suffix":""}],"container-title":"Professional Communication Conference, 2005. IPCC 2005. Proceedings. International","id":"ITEM-3","issued":{"date-parts":[["2005"]]},"page":"pp.82-91","title":"Challenges to effective information and communication systems in humanitarian relief organizations","type":"paper-conference"},"uris":["http://www.mendeley.com/documents/?uuid=5f11ad2d-7caa-4b6c-8b8a-6d5275be76ae"]}],"mendeley":{"formattedCitation":"(Maiers et al., 2005; Riddell, 2008; Tatham &amp; Hughes, 2011)","plainTextFormattedCitation":"(Maiers et al., 2005; Riddell, 2008; Tatham &amp; Hughes, 2011)","previouslyFormattedCitation":"(Maiers et al., 2005; Riddell, 2008; Tatham &amp; Hughes, 2011)"},"properties":{"noteIndex":0},"schema":"https://github.com/citation-style-language/schema/raw/master/csl-citation.json"}</w:instrText>
      </w:r>
      <w:r w:rsidR="005D4573">
        <w:fldChar w:fldCharType="separate"/>
      </w:r>
      <w:r w:rsidR="005D4573" w:rsidRPr="005D4573">
        <w:rPr>
          <w:noProof/>
        </w:rPr>
        <w:t>(Maiers et al., 2005; Riddell, 2008; Tatham &amp; Hughes, 2011)</w:t>
      </w:r>
      <w:r w:rsidR="005D4573">
        <w:fldChar w:fldCharType="end"/>
      </w:r>
      <w:r w:rsidR="005D4573">
        <w:t>,</w:t>
      </w:r>
      <w:r w:rsidR="005C0D2A">
        <w:t xml:space="preserve"> the prospect of instinctive or intentional data voids </w:t>
      </w:r>
      <w:r w:rsidR="00645215">
        <w:t>are no less real</w:t>
      </w:r>
      <w:r w:rsidR="005C0D2A">
        <w:t xml:space="preserve">. </w:t>
      </w:r>
      <w:r w:rsidR="00F340ED">
        <w:t>In this respect</w:t>
      </w:r>
      <w:r w:rsidR="005C0D2A">
        <w:t>, the study of ignorance</w:t>
      </w:r>
      <w:r w:rsidR="00F340ED">
        <w:t xml:space="preserve"> (agnotology)</w:t>
      </w:r>
      <w:r w:rsidR="005C0D2A">
        <w:t xml:space="preserve">, may be of use here to explore the existence and effect of data </w:t>
      </w:r>
      <w:r w:rsidR="00645215">
        <w:t>voids</w:t>
      </w:r>
      <w:r w:rsidR="005C0D2A">
        <w:t xml:space="preserve"> in the humanitarian domain </w:t>
      </w:r>
      <w:r w:rsidR="005C0D2A">
        <w:fldChar w:fldCharType="begin" w:fldLock="1"/>
      </w:r>
      <w:r w:rsidR="00690661">
        <w:instrText>ADDIN CSL_CITATION {"citationItems":[{"id":"ITEM-1","itemData":{"ISBN":"978-0-8047-5652.-5","author":[{"dropping-particle":"","family":"Proctor","given":"Robert N","non-dropping-particle":"","parse-names":false,"suffix":""}],"chapter-number":"Chapter 1","container-title":"Agnotology: The making and unmaking of ignorance","edition":"1st editio","editor":[{"dropping-particle":"","family":"Proctor","given":"Robert N","non-dropping-particle":"","parse-names":false,"suffix":""},{"dropping-particle":"","family":"Schiebinger","given":"Londa","non-dropping-particle":"","parse-names":false,"suffix":""}],"id":"ITEM-1","issued":{"date-parts":[["2008"]]},"page":"312","publisher":"Stanford University Press","publisher-place":"Stanford, California USA","title":"Agnotology, A Missing Term to Describe the Cultural Production of Ignorance (and Its Study)","type":"chapter"},"uris":["http://www.mendeley.com/documents/?uuid=44747f86-831d-470d-b31d-6461da455801"]},{"id":"ITEM-2","itemData":{"ISBN":"0964-4563","author":[{"dropping-particle":"","family":"Proctor","given":"Robert N","non-dropping-particle":"","parse-names":false,"suffix":""}],"container-title":"Tobacco control","id":"ITEM-2","issue":"suppl 4","issued":{"date-parts":[["2006"]]},"page":"iv117-iv125","publisher":"BMJ Publishing Group Ltd","title":"“Everyone knew but no one had proof”: tobacco industry use of medical history expertise in US courts, 1990–2002","type":"article-journal","volume":"15"},"uris":["http://www.mendeley.com/documents/?uuid=21a2834a-13c1-4082-85c4-1e0a85cc01a5"]}],"mendeley":{"formattedCitation":"(Proctor, 2006, 2008)","plainTextFormattedCitation":"(Proctor, 2006, 2008)","previouslyFormattedCitation":"(Proctor, 2006, 2008)"},"properties":{"noteIndex":0},"schema":"https://github.com/citation-style-language/schema/raw/master/csl-citation.json"}</w:instrText>
      </w:r>
      <w:r w:rsidR="005C0D2A">
        <w:fldChar w:fldCharType="separate"/>
      </w:r>
      <w:r w:rsidR="00F837AC" w:rsidRPr="00F837AC">
        <w:rPr>
          <w:noProof/>
        </w:rPr>
        <w:t>(Proctor, 2006, 2008)</w:t>
      </w:r>
      <w:r w:rsidR="005C0D2A">
        <w:fldChar w:fldCharType="end"/>
      </w:r>
      <w:r w:rsidR="005C0D2A">
        <w:t xml:space="preserve">. </w:t>
      </w:r>
      <w:r w:rsidR="005C0D2A">
        <w:fldChar w:fldCharType="begin" w:fldLock="1"/>
      </w:r>
      <w:r w:rsidR="005C0D2A">
        <w:instrText>ADDIN CSL_CITATION {"citationItems":[{"id":"ITEM-1","itemData":{"ISBN":"978-0-8047-5652.-5","author":[{"dropping-particle":"","family":"Proctor","given":"Robert N","non-dropping-particle":"","parse-names":false,"suffix":""}],"chapter-number":"Chapter 1","container-title":"Agnotology: The making and unmaking of ignorance","edition":"1st editio","editor":[{"dropping-particle":"","family":"Proctor","given":"Robert N","non-dropping-particle":"","parse-names":false,"suffix":""},{"dropping-particle":"","family":"Schiebinger","given":"Londa","non-dropping-particle":"","parse-names":false,"suffix":""}],"id":"ITEM-1","issued":{"date-parts":[["2008"]]},"page":"312","publisher":"Stanford University Press","publisher-place":"Stanford, California USA","title":"Agnotology, A Missing Term to Describe the Cultural Production of Ignorance (and Its Study)","type":"chapter"},"uris":["http://www.mendeley.com/documents/?uuid=44747f86-831d-470d-b31d-6461da455801"]}],"mendeley":{"formattedCitation":"(Proctor, 2008)","manualFormatting":"Proctor (2008 p.3)","plainTextFormattedCitation":"(Proctor, 2008)","previouslyFormattedCitation":"(Proctor, 2008)"},"properties":{"noteIndex":0},"schema":"https://github.com/citation-style-language/schema/raw/master/csl-citation.json"}</w:instrText>
      </w:r>
      <w:r w:rsidR="005C0D2A">
        <w:fldChar w:fldCharType="separate"/>
      </w:r>
      <w:r w:rsidR="005C0D2A">
        <w:rPr>
          <w:noProof/>
        </w:rPr>
        <w:t>Proctor (</w:t>
      </w:r>
      <w:r w:rsidR="005C0D2A" w:rsidRPr="00A024FC">
        <w:rPr>
          <w:noProof/>
        </w:rPr>
        <w:t>2008</w:t>
      </w:r>
      <w:r w:rsidR="005C0D2A">
        <w:rPr>
          <w:noProof/>
        </w:rPr>
        <w:t xml:space="preserve"> p.3</w:t>
      </w:r>
      <w:r w:rsidR="005C0D2A" w:rsidRPr="00A024FC">
        <w:rPr>
          <w:noProof/>
        </w:rPr>
        <w:t>)</w:t>
      </w:r>
      <w:r w:rsidR="005C0D2A">
        <w:fldChar w:fldCharType="end"/>
      </w:r>
      <w:r w:rsidR="005C0D2A">
        <w:t xml:space="preserve"> delineates ignorance into three forms: </w:t>
      </w:r>
      <w:r w:rsidR="005C0D2A" w:rsidRPr="00806317">
        <w:rPr>
          <w:iCs/>
        </w:rPr>
        <w:t>(</w:t>
      </w:r>
      <w:r w:rsidR="005C0D2A">
        <w:rPr>
          <w:iCs/>
        </w:rPr>
        <w:t>1</w:t>
      </w:r>
      <w:r w:rsidR="005C0D2A" w:rsidRPr="00806317">
        <w:rPr>
          <w:iCs/>
        </w:rPr>
        <w:t xml:space="preserve">) </w:t>
      </w:r>
      <w:r w:rsidR="005C0D2A">
        <w:rPr>
          <w:iCs/>
        </w:rPr>
        <w:t>I</w:t>
      </w:r>
      <w:r w:rsidR="005C0D2A" w:rsidRPr="00806317">
        <w:rPr>
          <w:iCs/>
        </w:rPr>
        <w:t>gnorance as a native state; (</w:t>
      </w:r>
      <w:r w:rsidR="005C0D2A">
        <w:rPr>
          <w:iCs/>
        </w:rPr>
        <w:t>2</w:t>
      </w:r>
      <w:r w:rsidR="005C0D2A" w:rsidRPr="00806317">
        <w:rPr>
          <w:iCs/>
        </w:rPr>
        <w:t>) ignorance as choice; (</w:t>
      </w:r>
      <w:r w:rsidR="005C0D2A">
        <w:rPr>
          <w:iCs/>
        </w:rPr>
        <w:t>3</w:t>
      </w:r>
      <w:r w:rsidR="005C0D2A" w:rsidRPr="00806317">
        <w:rPr>
          <w:iCs/>
        </w:rPr>
        <w:t>) ignorance as an active construct</w:t>
      </w:r>
      <w:r w:rsidR="005C0D2A">
        <w:rPr>
          <w:iCs/>
        </w:rPr>
        <w:t>. A</w:t>
      </w:r>
      <w:r w:rsidR="005C0D2A">
        <w:t xml:space="preserve">ll three forms of ignorance may exist in the humanitarian domain. </w:t>
      </w:r>
      <w:r w:rsidR="00274D94">
        <w:t>In terms of native state</w:t>
      </w:r>
      <w:r w:rsidR="005C0D2A">
        <w:t xml:space="preserve">, it is entirely possible that humanitarian aid executors are ignorant of what data should be collected. </w:t>
      </w:r>
      <w:r w:rsidR="00274D94">
        <w:t>In terms of choice</w:t>
      </w:r>
      <w:r w:rsidR="005C0D2A">
        <w:t xml:space="preserve">, there is the possibility that data will not be collected </w:t>
      </w:r>
      <w:r w:rsidR="00F340ED">
        <w:t xml:space="preserve">or shared </w:t>
      </w:r>
      <w:r w:rsidR="005C0D2A">
        <w:t xml:space="preserve">as there is no benefit to the collector </w:t>
      </w:r>
      <w:r w:rsidR="005C0D2A">
        <w:rPr>
          <w:i/>
        </w:rPr>
        <w:t>(</w:t>
      </w:r>
      <w:r w:rsidR="005C0D2A" w:rsidRPr="0023786E">
        <w:rPr>
          <w:i/>
        </w:rPr>
        <w:t>choice</w:t>
      </w:r>
      <w:r w:rsidR="005C0D2A">
        <w:rPr>
          <w:i/>
        </w:rPr>
        <w:t xml:space="preserve">). </w:t>
      </w:r>
      <w:r w:rsidR="00F340ED" w:rsidRPr="00F837AC">
        <w:rPr>
          <w:iCs/>
        </w:rPr>
        <w:t xml:space="preserve">For example, </w:t>
      </w:r>
      <w:r w:rsidR="00F340ED">
        <w:t xml:space="preserve">data that might suggest poor use of funds or poor outcomes is likely to have a significant detrimental effect on future funding </w:t>
      </w:r>
      <w:r w:rsidR="00F340ED">
        <w:fldChar w:fldCharType="begin" w:fldLock="1"/>
      </w:r>
      <w:r w:rsidR="00F340ED">
        <w:instrText>ADDIN CSL_CITATION {"citationItems":[{"id":"ITEM-1","itemData":{"author":[{"dropping-particle":"","family":"The Lancet","given":"","non-dropping-particle":"","parse-names":false,"suffix":""}],"container-title":"The Lancet","id":"ITEM-1","issued":{"date-parts":[["2010"]]},"language":"English","page":"253 (Editorial)","publisher":"The Lancet","title":"Growth of aid and the decline of humanitarianism","title-short":"The Lancet","type":"article-journal","volume":"375"},"uris":["http://www.mendeley.com/documents/?uuid=80a7fad3-3d06-4c52-98b9-a3a8b5e8e582"]}],"mendeley":{"formattedCitation":"(The Lancet, 2010)","plainTextFormattedCitation":"(The Lancet, 2010)","previouslyFormattedCitation":"(The Lancet, 2010)"},"properties":{"noteIndex":0},"schema":"https://github.com/citation-style-language/schema/raw/master/csl-citation.json"}</w:instrText>
      </w:r>
      <w:r w:rsidR="00F340ED">
        <w:fldChar w:fldCharType="separate"/>
      </w:r>
      <w:r w:rsidR="00F340ED" w:rsidRPr="0071353F">
        <w:rPr>
          <w:noProof/>
        </w:rPr>
        <w:t>(The Lancet, 2010)</w:t>
      </w:r>
      <w:r w:rsidR="00F340ED">
        <w:fldChar w:fldCharType="end"/>
      </w:r>
      <w:r w:rsidR="00F340ED">
        <w:t xml:space="preserve">. </w:t>
      </w:r>
      <w:r w:rsidR="005C0D2A">
        <w:t xml:space="preserve">Last, </w:t>
      </w:r>
      <w:r w:rsidR="00274D94">
        <w:t xml:space="preserve">in terms of active construct, </w:t>
      </w:r>
      <w:r w:rsidR="005C0D2A">
        <w:t xml:space="preserve">it may be the case that </w:t>
      </w:r>
      <w:r w:rsidR="005C0D2A" w:rsidRPr="0023786E">
        <w:t xml:space="preserve">data are </w:t>
      </w:r>
      <w:r w:rsidR="005C0D2A">
        <w:t>intentionally</w:t>
      </w:r>
      <w:r w:rsidR="005C0D2A" w:rsidRPr="0023786E">
        <w:t xml:space="preserve"> </w:t>
      </w:r>
      <w:r w:rsidR="005C0D2A">
        <w:t>concealed, such as the ‘sex for food’ shame of well-known charities</w:t>
      </w:r>
      <w:r w:rsidR="00274D94">
        <w:rPr>
          <w:iCs/>
        </w:rPr>
        <w:t xml:space="preserve"> </w:t>
      </w:r>
      <w:r w:rsidR="005C0D2A">
        <w:rPr>
          <w:i/>
        </w:rPr>
        <w:fldChar w:fldCharType="begin" w:fldLock="1"/>
      </w:r>
      <w:r w:rsidR="00F837AC">
        <w:rPr>
          <w:i/>
        </w:rPr>
        <w:instrText>ADDIN CSL_CITATION {"citationItems":[{"id":"ITEM-1","itemData":{"author":[{"dropping-particle":"","family":"O’Neill","given":"Sean","non-dropping-particle":"","parse-names":false,"suffix":""}],"container-title":"The Sunday Times","id":"ITEM-1","issued":{"date-parts":[["2018"]]},"language":"English","publisher":"The Sunday Times","publisher-place":"On-line","title":"UN knew of sex-for-food scandal at top charities","type":"article-newspaper"},"uris":["http://www.mendeley.com/documents/?uuid=bc896ab3-0385-4f9b-88b8-1fb1dfb63ed0"]}],"mendeley":{"formattedCitation":"(O’Neill, 2018)","plainTextFormattedCitation":"(O’Neill, 2018)","previouslyFormattedCitation":"(O’Neill, 2018)"},"properties":{"noteIndex":0},"schema":"https://github.com/citation-style-language/schema/raw/master/csl-citation.json"}</w:instrText>
      </w:r>
      <w:r w:rsidR="005C0D2A">
        <w:rPr>
          <w:i/>
        </w:rPr>
        <w:fldChar w:fldCharType="separate"/>
      </w:r>
      <w:r w:rsidR="005C0D2A" w:rsidRPr="00C07207">
        <w:rPr>
          <w:noProof/>
        </w:rPr>
        <w:t>(O’Neill, 2018)</w:t>
      </w:r>
      <w:r w:rsidR="005C0D2A">
        <w:rPr>
          <w:i/>
        </w:rPr>
        <w:fldChar w:fldCharType="end"/>
      </w:r>
      <w:r w:rsidR="005C0D2A">
        <w:t xml:space="preserve">. Any one of these forms of ignorance may distort the humanitarian landscape; </w:t>
      </w:r>
      <w:proofErr w:type="gramStart"/>
      <w:r w:rsidR="005C0D2A">
        <w:t>therefore</w:t>
      </w:r>
      <w:proofErr w:type="gramEnd"/>
      <w:r w:rsidR="005C0D2A">
        <w:t xml:space="preserve"> there may be merit in studying the absence of data and its causes, distribution and scale. Paradoxically, a study of ignorance may contribute knowledge about the humanitarian domain and yield opportunities to actively address data voids through methodological change (e.g. education and incentivisation) and/or technological innovation (e.g. algorithmic extrapolation to bridge data gaps).   </w:t>
      </w:r>
    </w:p>
    <w:p w14:paraId="2B4A4E91" w14:textId="77777777" w:rsidR="005C0D2A" w:rsidRDefault="005C0D2A" w:rsidP="004B4F6B">
      <w:pPr>
        <w:pStyle w:val="Text01"/>
      </w:pPr>
      <w:r>
        <w:t>This leads us to the following research proposition:</w:t>
      </w:r>
    </w:p>
    <w:p w14:paraId="73067E57" w14:textId="4FF063F7" w:rsidR="005C0D2A" w:rsidRDefault="005C0D2A" w:rsidP="00D9071C">
      <w:pPr>
        <w:pStyle w:val="NListParagraph"/>
        <w:numPr>
          <w:ilvl w:val="0"/>
          <w:numId w:val="10"/>
        </w:numPr>
      </w:pPr>
      <w:r>
        <w:t>Mechanisms are required to manage and maintain data transparency across ecosystems.</w:t>
      </w:r>
    </w:p>
    <w:p w14:paraId="33A50215" w14:textId="474DE105" w:rsidR="00A979D2" w:rsidRPr="001365B0" w:rsidRDefault="00CF11AA" w:rsidP="002A0CCB">
      <w:pPr>
        <w:pStyle w:val="Heading3"/>
      </w:pPr>
      <w:r>
        <w:t xml:space="preserve">RP </w:t>
      </w:r>
      <w:r w:rsidR="00107F3F">
        <w:t>5</w:t>
      </w:r>
      <w:r w:rsidR="009C3569">
        <w:t xml:space="preserve">: </w:t>
      </w:r>
      <w:r w:rsidR="009C3569" w:rsidRPr="009C3569">
        <w:t>Data Granularity and Boundaries</w:t>
      </w:r>
    </w:p>
    <w:p w14:paraId="5C4D9CEC" w14:textId="43C7915B" w:rsidR="00A979D2" w:rsidRPr="001365B0" w:rsidRDefault="007728BA" w:rsidP="004B4F6B">
      <w:pPr>
        <w:pStyle w:val="Text01"/>
      </w:pPr>
      <w:r>
        <w:t xml:space="preserve">From our empirical work, it is apparent that what a data asset is remains loosely defined – </w:t>
      </w:r>
      <w:r w:rsidR="002821D8">
        <w:t xml:space="preserve">in this case </w:t>
      </w:r>
      <w:r>
        <w:t>an asset equates to the dataset that a particular organisation makes available</w:t>
      </w:r>
      <w:r w:rsidR="002821D8">
        <w:t xml:space="preserve"> in essence</w:t>
      </w:r>
      <w:r>
        <w:t>. This position is the case more broadly as</w:t>
      </w:r>
      <w:r w:rsidR="00A979D2" w:rsidRPr="001365B0">
        <w:t xml:space="preserve"> the state-of-the-art stands</w:t>
      </w:r>
      <w:r>
        <w:t xml:space="preserve"> </w:t>
      </w:r>
      <w:r w:rsidR="00A979D2" w:rsidRPr="001365B0">
        <w:t xml:space="preserve">– </w:t>
      </w:r>
      <w:r>
        <w:t xml:space="preserve">an asset </w:t>
      </w:r>
      <w:r w:rsidR="00A979D2" w:rsidRPr="001365B0">
        <w:lastRenderedPageBreak/>
        <w:t xml:space="preserve">ranging, at its most general, from any entity that comprises data through to the result of taking the ‘raw material’ of operational data and transforming it in some way in the data warehousing world. Within organisational confines this is less of an issue as data integration is a well-trodden path (a situation that also applies, to a lesser extent, between collaborating organisations). The clear advantage within such contexts is that a focal organisation has control over both the asset and capability creation processes – the purpose for asset creation (whatever that might be) is normally well-defined and the capabilities to </w:t>
      </w:r>
      <w:r w:rsidR="002821D8">
        <w:t xml:space="preserve">(dynamically) </w:t>
      </w:r>
      <w:r w:rsidR="00A979D2" w:rsidRPr="001365B0">
        <w:t xml:space="preserve">deliver it in place. Where organisations collaborate and share data, the grounds for doing that are either agreed and/or a focal organisation dictates the systems and/or standards for sharing. </w:t>
      </w:r>
    </w:p>
    <w:p w14:paraId="2889E1ED" w14:textId="226771E9" w:rsidR="00A979D2" w:rsidRPr="001365B0" w:rsidRDefault="00A979D2" w:rsidP="004B4F6B">
      <w:pPr>
        <w:pStyle w:val="Text01"/>
      </w:pPr>
      <w:r w:rsidRPr="001365B0">
        <w:t xml:space="preserve">From an ecosystem perspective, where control cannot be leveraged in the same manner, the situation is </w:t>
      </w:r>
      <w:r w:rsidR="004B34B6">
        <w:t xml:space="preserve">much </w:t>
      </w:r>
      <w:r w:rsidRPr="001365B0">
        <w:t>more problematic.  At the outset, as illustrated by the empirical case here, there are issues of data availability and the granularity of the data that is available. From a computational perspective, modularity provides a general set of principles for managing complexity</w:t>
      </w:r>
      <w:r w:rsidR="00F837AC">
        <w:t xml:space="preserve"> – </w:t>
      </w:r>
      <w:r w:rsidRPr="001365B0">
        <w:t xml:space="preserve">viewing a (eco)system as a complex system of discrete entities that communicate/interoperate through standardised interfaces and architectures </w:t>
      </w:r>
      <w:r w:rsidRPr="001365B0">
        <w:fldChar w:fldCharType="begin" w:fldLock="1"/>
      </w:r>
      <w:r w:rsidR="00690661">
        <w:instrText>ADDIN CSL_CITATION {"citationItems":[{"id":"ITEM-1","itemData":{"ISBN":"00178012","PMID":"9709112720","abstract":"Modularity is a familiar principle in the computer industry. Different companies can independently design and produce components, such as disk drives or operating software, and those modules will fit together into a complex and smoothly functioning product because the module makers obey a given set of design rules. Modularity in manufacturing is already common in many companies. But now a number of them are beginning to extend the approach into the design of their products and services. Modularity in design should tremendously boost the rate of innovation in many industries as it did in the computer industry. As businesses as diverse as auto manufacturing and financial services move toward modular designs, the authors say, competitive dynamics will change enormously. No longer will assemblers control the final product: suppliers of key modules will gain leverage and even take on responsibility for design rules. Companies will compete either by specifying the dominant design rules (as Microsoft does) or by producing excellent modules (as disk drive maker Quantum does). Leaders in a modular industry will control less, so they will have to watch the competitive environment closely for opportunities to link up with other module makers. They will also need to know more: engineering details that seemed trivial at the corporate level may now play a large part in strategic decisions. Leaders will also become knowledge managers internally because they will need to coordinate the efforts of development groups in order to keep them focused on the modular strategies the company is pursuing. INSETS: A Guide to Modularity.;How Palm Computing Became an Architect.;How Quantum Mines Hidden Knowledge.;Further Reading [ABSTRACT FROM PUBLISHER] Harvard Business Review Notice of Use Restrictions, May 2009Harvard Business Review and Harvard Business Publishing Newsletter content on EBSCOhost is licensed for the private individual use of authorized EBSCOhost users. It is not intended for use as assigned course material in academic institutions nor as corporate learning or training materials in businesses. Academic licensees may not use this content in electronic reserves, electronic course packs, persistent linking from syllabi or by any other means of incorporating the content into course resources. Business licensees may not host this content on learning management systems or use persistent linking or other means to incorporate the content into learning management systems. …","author":[{"dropping-particle":"","family":"Baldwin","given":"Carliss Y","non-dropping-particle":"","parse-names":false,"suffix":""},{"dropping-particle":"","family":"Clark","given":"Kim B","non-dropping-particle":"","parse-names":false,"suffix":""}],"container-title":"Harvard Business Review","id":"ITEM-1","issue":"5","issued":{"date-parts":[["1997"]]},"note":"Baldwin, Carliss Y. 1; Clark, Kim B. 2,3; Affiliations: 1: William L. White Professor of Business Administration, Harvard Business School, Boston, Massachusetts; 2: Harry E. Figgie, Jr., Professor of Business Adminstration, Harvard Business School; 3: Dean of the Faculty, Harvard Business School; Issue Info: Sep/Oct97, Vol. 75 Issue 5, p84; Thesaurus Term: Modular design; Thesaurus Term: Computer industry; Thesaurus Term: Business models; Thesaurus Term: Industrial management; Thesaurus Term: Competitive advantage in business; Thesaurus Term: Strategic planning; Thesaurus Term: High technology industries; Thesaurus Term: Knowledge management; Thesaurus Term: Corporate culture; Thesaurus Term: Interorganizational relations; NAICS/Industry Codes: 334110 Computer and peripheral equipment manufacturing; NAICS/Industry Codes: 334111 Electronic Computer Manufacturing; NAICS/Industry Codes: 443144 Computer and software stores; NAICS/Industry Codes: 443142 Electronics Stores; NAICS/Industry Codes: 417310 Computer, computer peripheral and pre-packaged software merchant wholesalers; Number of Pages: 10p; Document Type: Article; Full Text Word Count: 6516","page":"84-93","publisher":"Harvard Business School Publication Corp.","title":"Managing In An Age Of Modularity","type":"article-journal","volume":"75"},"uris":["http://www.mendeley.com/documents/?uuid=e6cc31c0-5fee-4cdd-88d1-948ec8b82699"]}],"mendeley":{"formattedCitation":"(Baldwin &amp; Clark, 1997)","plainTextFormattedCitation":"(Baldwin &amp; Clark, 1997)","previouslyFormattedCitation":"(Baldwin &amp; Clark, 1997)"},"properties":{"noteIndex":0},"schema":"https://github.com/citation-style-language/schema/raw/master/csl-citation.json"}</w:instrText>
      </w:r>
      <w:r w:rsidRPr="001365B0">
        <w:fldChar w:fldCharType="separate"/>
      </w:r>
      <w:r w:rsidRPr="001365B0">
        <w:rPr>
          <w:noProof/>
        </w:rPr>
        <w:t>(Baldwin &amp; Clark, 1997)</w:t>
      </w:r>
      <w:r w:rsidRPr="001365B0">
        <w:fldChar w:fldCharType="end"/>
      </w:r>
      <w:r w:rsidRPr="001365B0">
        <w:t xml:space="preserve">. Such approaches provide a </w:t>
      </w:r>
      <w:r w:rsidR="007728BA">
        <w:t xml:space="preserve">plausible </w:t>
      </w:r>
      <w:r w:rsidRPr="001365B0">
        <w:t>means</w:t>
      </w:r>
      <w:r w:rsidR="007728BA">
        <w:t xml:space="preserve"> of integration within ecosystems</w:t>
      </w:r>
      <w:r w:rsidRPr="001365B0">
        <w:t xml:space="preserve"> but</w:t>
      </w:r>
      <w:r w:rsidR="007728BA">
        <w:t>, arguably,</w:t>
      </w:r>
      <w:r w:rsidRPr="001365B0">
        <w:t xml:space="preserve"> additional attention is required re the granularity of content</w:t>
      </w:r>
      <w:r w:rsidR="007728BA">
        <w:t xml:space="preserve"> (where content is not controlled by </w:t>
      </w:r>
      <w:r w:rsidR="002821D8">
        <w:t xml:space="preserve">any </w:t>
      </w:r>
      <w:r w:rsidR="007728BA">
        <w:t xml:space="preserve">one </w:t>
      </w:r>
      <w:r w:rsidR="002821D8">
        <w:t>party</w:t>
      </w:r>
      <w:r w:rsidR="007728BA">
        <w:t>)</w:t>
      </w:r>
      <w:r w:rsidRPr="001365B0">
        <w:t>. The lesson from data warehousing is that integrated data needs to be of the same grain (level of detail)</w:t>
      </w:r>
      <w:r w:rsidR="00AD76E1">
        <w:t xml:space="preserve"> and analysis at different levels of abstraction is dealt with by storing </w:t>
      </w:r>
      <w:r w:rsidR="001614C2">
        <w:t xml:space="preserve">data </w:t>
      </w:r>
      <w:r w:rsidR="00AD76E1">
        <w:t>at the lowest level of detail</w:t>
      </w:r>
      <w:r w:rsidR="001614C2">
        <w:t xml:space="preserve">, </w:t>
      </w:r>
      <w:r w:rsidR="00AD76E1">
        <w:t>pre-aggregating data at higher levels</w:t>
      </w:r>
      <w:r w:rsidR="001614C2">
        <w:t xml:space="preserve"> and using the principles of modularity for access</w:t>
      </w:r>
      <w:r w:rsidRPr="001365B0">
        <w:t xml:space="preserve">. </w:t>
      </w:r>
      <w:r w:rsidR="004B34B6" w:rsidRPr="001365B0">
        <w:t>F</w:t>
      </w:r>
      <w:r w:rsidR="001614C2">
        <w:t xml:space="preserve">rom our empirical work, we have found little evidence that even these common approaches are being applied. This is of importance in the context of big data analysis due to the </w:t>
      </w:r>
      <w:r w:rsidR="004B34B6" w:rsidRPr="001365B0">
        <w:t xml:space="preserve">multiple data granularities that </w:t>
      </w:r>
      <w:r w:rsidR="001614C2">
        <w:t>have to be</w:t>
      </w:r>
      <w:r w:rsidR="004B34B6" w:rsidRPr="001365B0">
        <w:t xml:space="preserve"> deal</w:t>
      </w:r>
      <w:r w:rsidR="001614C2">
        <w:t>t</w:t>
      </w:r>
      <w:r w:rsidR="004B34B6" w:rsidRPr="001365B0">
        <w:t xml:space="preserve"> with while extracting value from big data </w:t>
      </w:r>
      <w:r w:rsidR="004B34B6" w:rsidRPr="001365B0">
        <w:fldChar w:fldCharType="begin" w:fldLock="1"/>
      </w:r>
      <w:r w:rsidR="004B34B6" w:rsidRPr="001365B0">
        <w:instrText>ADDIN CSL_CITATION {"citationItems":[{"id":"ITEM-1","itemData":{"DOI":"10.1016/j.ijar.2015.06.005","ISSN":"0888613X","abstract":"The study is concerned with a design of granular fuzzy models. We exploit a concept of information granularity by developing a model coming as a network of intuitively structured collection of interval information granules described in the output space and a family of induced information granules (in the form of fuzzy sets) formed in the input space. In contrast to most fuzzy models encountered in the literature, the results produced by granular models are information granules rather than plain numeric entities. The design of the model concentrates on a construction of information granules that form a backbone of the overall construct. Interval information granules positioned in the output space are built by considering intervals of equal length, equal probability, and developing an optimized version of the intervals. The induced fuzzy information granules localized in the input space are realized by running a conditional Fuzzy C-Means (FCM). The performance of the model is assessed by considering criteria of coverage and information specificity (information granularity). Further optimization of the model is proposed along the line of an optimal re-distribution of input information granules induced by the individual interval information granules located in the output space. Experimental results involve some synthetic low-dimensional data and publicly available benchmark data sets.","author":[{"dropping-particle":"","family":"Reyes-Galaviz","given":"Orion F.","non-dropping-particle":"","parse-names":false,"suffix":""},{"dropping-particle":"","family":"Pedrycz","given":"Witold","non-dropping-particle":"","parse-names":false,"suffix":""}],"container-title":"International Journal of Approximate Reasoning","id":"ITEM-1","issued":{"date-parts":[["2015"]]},"page":"1-19","publisher":"Elsevier Inc.","title":"Granular fuzzy models: Analysis, design, and evaluation","type":"article-journal","volume":"64"},"uris":["http://www.mendeley.com/documents/?uuid=e1913641-5817-46d5-9faf-7fcf62b30966"]}],"mendeley":{"formattedCitation":"(Reyes-Galaviz &amp; Pedrycz, 2015)","plainTextFormattedCitation":"(Reyes-Galaviz &amp; Pedrycz, 2015)","previouslyFormattedCitation":"(Reyes-Galaviz &amp; Pedrycz, 2015)"},"properties":{"noteIndex":0},"schema":"https://github.com/citation-style-language/schema/raw/master/csl-citation.json"}</w:instrText>
      </w:r>
      <w:r w:rsidR="004B34B6" w:rsidRPr="001365B0">
        <w:fldChar w:fldCharType="separate"/>
      </w:r>
      <w:r w:rsidR="004B34B6" w:rsidRPr="001365B0">
        <w:rPr>
          <w:noProof/>
        </w:rPr>
        <w:t>(Reyes-Galaviz &amp; Pedrycz, 2015)</w:t>
      </w:r>
      <w:r w:rsidR="004B34B6" w:rsidRPr="001365B0">
        <w:fldChar w:fldCharType="end"/>
      </w:r>
      <w:r w:rsidR="004B34B6" w:rsidRPr="001365B0">
        <w:t>.</w:t>
      </w:r>
    </w:p>
    <w:p w14:paraId="4CAD12EB" w14:textId="5016C762" w:rsidR="00A979D2" w:rsidRPr="001365B0" w:rsidRDefault="001614C2" w:rsidP="004B4F6B">
      <w:pPr>
        <w:pStyle w:val="Text01"/>
      </w:pPr>
      <w:r>
        <w:t xml:space="preserve">In addition to common practice, </w:t>
      </w:r>
      <w:r w:rsidR="00A979D2" w:rsidRPr="001365B0">
        <w:t xml:space="preserve">the concept of granular computing has </w:t>
      </w:r>
      <w:r>
        <w:t xml:space="preserve">recently </w:t>
      </w:r>
      <w:r w:rsidR="00A979D2" w:rsidRPr="001365B0">
        <w:t>emerged</w:t>
      </w:r>
      <w:r>
        <w:t xml:space="preserve"> – </w:t>
      </w:r>
      <w:r w:rsidR="00A979D2" w:rsidRPr="001365B0">
        <w:t xml:space="preserve">broadly predicated on the observation that different and interesting patterns or regularities appear in the data at different levels of granularity and that real-world problems require processing at different levels of granularity/abstraction </w:t>
      </w:r>
      <w:r w:rsidR="00A979D2" w:rsidRPr="001365B0">
        <w:fldChar w:fldCharType="begin" w:fldLock="1"/>
      </w:r>
      <w:r w:rsidR="00A979D2" w:rsidRPr="001365B0">
        <w:instrText>ADDIN CSL_CITATION {"citationItems":[{"id":"ITEM-1","itemData":{"DOI":"10.1016/j.ijar.2015.06.005","ISSN":"0888613X","abstract":"The study is concerned with a design of granular fuzzy models. We exploit a concept of information granularity by developing a model coming as a network of intuitively structured collection of interval information granules described in the output space and a family of induced information granules (in the form of fuzzy sets) formed in the input space. In contrast to most fuzzy models encountered in the literature, the results produced by granular models are information granules rather than plain numeric entities. The design of the model concentrates on a construction of information granules that form a backbone of the overall construct. Interval information granules positioned in the output space are built by considering intervals of equal length, equal probability, and developing an optimized version of the intervals. The induced fuzzy information granules localized in the input space are realized by running a conditional Fuzzy C-Means (FCM). The performance of the model is assessed by considering criteria of coverage and information specificity (information granularity). Further optimization of the model is proposed along the line of an optimal re-distribution of input information granules induced by the individual interval information granules located in the output space. Experimental results involve some synthetic low-dimensional data and publicly available benchmark data sets.","author":[{"dropping-particle":"","family":"Reyes-Galaviz","given":"Orion F.","non-dropping-particle":"","parse-names":false,"suffix":""},{"dropping-particle":"","family":"Pedrycz","given":"Witold","non-dropping-particle":"","parse-names":false,"suffix":""}],"container-title":"International Journal of Approximate Reasoning","id":"ITEM-1","issued":{"date-parts":[["2015"]]},"page":"1-19","publisher":"Elsevier Inc.","title":"Granular fuzzy models: Analysis, design, and evaluation","type":"article-journal","volume":"64"},"uris":["http://www.mendeley.com/documents/?uuid=e1913641-5817-46d5-9faf-7fcf62b30966"]}],"mendeley":{"formattedCitation":"(Reyes-Galaviz &amp; Pedrycz, 2015)","plainTextFormattedCitation":"(Reyes-Galaviz &amp; Pedrycz, 2015)","previouslyFormattedCitation":"(Reyes-Galaviz &amp; Pedrycz, 2015)"},"properties":{"noteIndex":0},"schema":"https://github.com/citation-style-language/schema/raw/master/csl-citation.json"}</w:instrText>
      </w:r>
      <w:r w:rsidR="00A979D2" w:rsidRPr="001365B0">
        <w:fldChar w:fldCharType="separate"/>
      </w:r>
      <w:r w:rsidR="00A979D2" w:rsidRPr="001365B0">
        <w:rPr>
          <w:noProof/>
        </w:rPr>
        <w:t>(Reyes-Galaviz &amp; Pedrycz, 2015)</w:t>
      </w:r>
      <w:r w:rsidR="00A979D2" w:rsidRPr="001365B0">
        <w:fldChar w:fldCharType="end"/>
      </w:r>
      <w:r w:rsidR="00A979D2" w:rsidRPr="001365B0">
        <w:t>. Research in thi</w:t>
      </w:r>
      <w:r w:rsidR="002A0CCB">
        <w:t>s area relates to the granularis</w:t>
      </w:r>
      <w:r w:rsidR="00A979D2" w:rsidRPr="001365B0">
        <w:t xml:space="preserve">ation on data values, variables (features), systems and concepts. Granular computing (GrC) is an umbrella term that cover any </w:t>
      </w:r>
      <w:r w:rsidR="00A979D2" w:rsidRPr="001365B0">
        <w:lastRenderedPageBreak/>
        <w:t xml:space="preserve">theories, methodologies, techniques, and tools that make use of information granules in problem solving </w:t>
      </w:r>
      <w:r w:rsidR="00A979D2" w:rsidRPr="001365B0">
        <w:fldChar w:fldCharType="begin" w:fldLock="1"/>
      </w:r>
      <w:r w:rsidR="00317A2D">
        <w:instrText>ADDIN CSL_CITATION {"citationItems":[{"id":"ITEM-1","itemData":{"DOI":"10.1016/j.patrec.2015.08.001","ISSN":"01678655","abstract":"Big data has a role in its promising usefulness in many fields, such as commerce and business, biology, medicine, public administration, material science, and cognition in human brain. The objective of big data is to develop complex procedure running over large-scale enormous-sized data repositories for extracting useful knowledge hidden there in and delivering accurate predictions of various kinds within a reasonable time period. Mining of big data can be made effective with the methodologies that can deal with their characteristics, such as heterogeneity, dynamism or time varying, redundancy, uncertainty and impreciseness.","author":[{"dropping-particle":"","family":"Pal","given":"Sankar K.","non-dropping-particle":"","parse-names":false,"suffix":""},{"dropping-particle":"","family":"Meher","given":"Saroj K.","non-dropping-particle":"","parse-names":false,"suffix":""},{"dropping-particle":"","family":"Skowron","given":"Andrzej","non-dropping-particle":"","parse-names":false,"suffix":""}],"container-title":"Pattern Recognition Letters","id":"ITEM-1","issued":{"date-parts":[["2015"]]},"page":"109-112","title":"Data science, big data and granular mining","type":"article-journal","volume":"67"},"uris":["http://www.mendeley.com/documents/?uuid=be87e9a5-7ed3-4606-8be8-466b46e272bb"]},{"id":"ITEM-2","itemData":{"abstract":"Granular computing (GrC) may be regarded as a label of theories, methodologies, techniques, and tools that make use of granules, i.e., groups, classes, or clusters of a universe, in the process of problem solving. The main objective of this paper is to discuss basic issues of GrC, with emphasis on the construction of granules and computation with granules. After a brief review of existing studies, a set-theoretic model of GrC is proposed based on the notion of power algebras.","author":[{"dropping-particle":"","family":"Yao","given":"Y Y","non-dropping-particle":"","parse-names":false,"suffix":""}],"container-title":"Proceedings of the 5th Joint Conference on Information Sciences","id":"ITEM-2","issued":{"date-parts":[["2000"]]},"page":"186-189","title":"Granular Computing: Basic Issues and Possible Solutions","type":"article-journal","volume":"1"},"uris":["http://www.mendeley.com/documents/?uuid=97958d0c-6cb6-4f65-8ebd-c482334d2678"]}],"mendeley":{"formattedCitation":"(Pal et al., 2015; Yao, 2000)","plainTextFormattedCitation":"(Pal et al., 2015; Yao, 2000)","previouslyFormattedCitation":"(Pal et al., 2015; Yao, 2000)"},"properties":{"noteIndex":0},"schema":"https://github.com/citation-style-language/schema/raw/master/csl-citation.json"}</w:instrText>
      </w:r>
      <w:r w:rsidR="00A979D2" w:rsidRPr="001365B0">
        <w:fldChar w:fldCharType="separate"/>
      </w:r>
      <w:r w:rsidR="00317A2D" w:rsidRPr="00317A2D">
        <w:rPr>
          <w:noProof/>
        </w:rPr>
        <w:t>(Pal et al., 2015; Yao, 2000)</w:t>
      </w:r>
      <w:r w:rsidR="00A979D2" w:rsidRPr="001365B0">
        <w:fldChar w:fldCharType="end"/>
      </w:r>
      <w:r w:rsidR="00A979D2" w:rsidRPr="001365B0">
        <w:t>. The idea behind GrC is to mimic how human brain works to use a structured representation of the real-world problem to understand and process different levels of information granularity and abstraction related to that problem</w:t>
      </w:r>
      <w:r w:rsidR="002821D8">
        <w:t xml:space="preserve"> using AI techniques (such as </w:t>
      </w:r>
      <w:r w:rsidR="00A979D2" w:rsidRPr="001365B0">
        <w:t>fuzzy and rough sets technologies</w:t>
      </w:r>
      <w:r w:rsidR="002821D8">
        <w:t>)</w:t>
      </w:r>
      <w:r w:rsidR="00A979D2" w:rsidRPr="001365B0">
        <w:t xml:space="preserve">. </w:t>
      </w:r>
      <w:r w:rsidR="002821D8">
        <w:t xml:space="preserve">The granular approach is in its infancy, however, and </w:t>
      </w:r>
      <w:r w:rsidR="004B34B6">
        <w:t>significant</w:t>
      </w:r>
      <w:r w:rsidR="00A979D2" w:rsidRPr="001365B0">
        <w:t xml:space="preserve"> research is required to create an effective dynamic model for the </w:t>
      </w:r>
      <w:r w:rsidR="002821D8">
        <w:t xml:space="preserve">intelligent processing </w:t>
      </w:r>
      <w:r w:rsidR="00A979D2" w:rsidRPr="001365B0">
        <w:t xml:space="preserve">multi-source heterogeneous big data </w:t>
      </w:r>
      <w:r w:rsidR="00C85C1E">
        <w:fldChar w:fldCharType="begin" w:fldLock="1"/>
      </w:r>
      <w:r w:rsidR="00E6742B">
        <w:instrText>ADDIN CSL_CITATION {"citationItems":[{"id":"ITEM-1","itemData":{"DOI":"10.1007/s41066-016-0032-3","ISSN":"2364-4966","abstract":"Human beings solve problems in different granularity worlds and shift from one granularity world to another quickly. It reflects human beings’ intelligence in problem solving to some extent. In the era of big data, some new problems are emerging in real life. For example, traditional big data processing models always compute from raw data, failing to consider the granularity feature of human. Thus, they are hard to solve the 3 V characteristics of big data. Granular computing (GrC) combines the multi-granularity thinking pattern of human intelligence with problem solving mode to deal with big data. Based on the related notions and characteristics of GrC, this paper reviews the previous studies of GrC in three progressive levels: granularity optimization, granularity conversion and multi-granularity joint problem solving. Then we proposed the diagram for relationship among three basic modes of GrC. Furthermore, the feasibility of GrC for big data processing is analyzed. Some research prospects of granular computing are given.","author":[{"dropping-particle":"","family":"Wang","given":"Guoyin","non-dropping-particle":"","parse-names":false,"suffix":""},{"dropping-particle":"","family":"Yang","given":"Jie","non-dropping-particle":"","parse-names":false,"suffix":""},{"dropping-particle":"","family":"Xu","given":"Ji","non-dropping-particle":"","parse-names":false,"suffix":""}],"container-title":"Granular Computing","id":"ITEM-1","issue":"3","issued":{"date-parts":[["2017"]]},"page":"105-120","title":"Granular computing: from granularity optimization to multi-granularity joint problem solving","type":"article-journal","volume":"2"},"uris":["http://www.mendeley.com/documents/?uuid=84a3f19b-93ea-4196-9993-88a0d46855a6"]}],"mendeley":{"formattedCitation":"(G. Wang et al., 2017)","plainTextFormattedCitation":"(G. Wang et al., 2017)","previouslyFormattedCitation":"(G. Wang et al., 2017)"},"properties":{"noteIndex":0},"schema":"https://github.com/citation-style-language/schema/raw/master/csl-citation.json"}</w:instrText>
      </w:r>
      <w:r w:rsidR="00C85C1E">
        <w:fldChar w:fldCharType="separate"/>
      </w:r>
      <w:r w:rsidR="00C85C1E" w:rsidRPr="00C85C1E">
        <w:rPr>
          <w:noProof/>
        </w:rPr>
        <w:t>(G. Wang et al., 2017)</w:t>
      </w:r>
      <w:r w:rsidR="00C85C1E">
        <w:fldChar w:fldCharType="end"/>
      </w:r>
      <w:r w:rsidR="00A979D2" w:rsidRPr="001365B0">
        <w:t xml:space="preserve">. </w:t>
      </w:r>
    </w:p>
    <w:p w14:paraId="26BBA8B3" w14:textId="77777777" w:rsidR="00A979D2" w:rsidRPr="001365B0" w:rsidRDefault="00A979D2" w:rsidP="00897532">
      <w:pPr>
        <w:spacing w:after="120"/>
      </w:pPr>
      <w:r w:rsidRPr="001365B0">
        <w:t>This leads us to the following future research proposition:</w:t>
      </w:r>
    </w:p>
    <w:p w14:paraId="2584BC98" w14:textId="5F18C87A" w:rsidR="00A979D2" w:rsidRDefault="00A979D2" w:rsidP="00D9071C">
      <w:pPr>
        <w:pStyle w:val="NListParagraph"/>
        <w:numPr>
          <w:ilvl w:val="0"/>
          <w:numId w:val="10"/>
        </w:numPr>
      </w:pPr>
      <w:r w:rsidRPr="00A979D2">
        <w:t>Data assets require well-defined boundaries and clear interfaces to the data they contain to deliver data at clearly defined levels of granularity</w:t>
      </w:r>
      <w:r w:rsidR="00897532">
        <w:t>.</w:t>
      </w:r>
    </w:p>
    <w:p w14:paraId="62207670" w14:textId="00085A09" w:rsidR="00E75130" w:rsidRPr="005C4EA3" w:rsidRDefault="00E75130" w:rsidP="005C4EA3">
      <w:pPr>
        <w:pStyle w:val="Heading3"/>
      </w:pPr>
      <w:r w:rsidRPr="005C4EA3">
        <w:t>Limitations</w:t>
      </w:r>
      <w:r w:rsidR="00C40B25" w:rsidRPr="005C4EA3">
        <w:t xml:space="preserve"> </w:t>
      </w:r>
    </w:p>
    <w:p w14:paraId="6E28D20D" w14:textId="5C601DC1" w:rsidR="00B36420" w:rsidRPr="00F75090" w:rsidRDefault="004B4F6B" w:rsidP="005B4B95">
      <w:pPr>
        <w:pStyle w:val="Text01"/>
        <w:keepLines/>
      </w:pPr>
      <w:r w:rsidRPr="00930624">
        <w:t>It is important to note that these research propositions are neither exhaustive nor mutually exclusive. There exist areas of overlap and elements of interconnection that viably link these research propositions to each other and as such may also be worthy of study.</w:t>
      </w:r>
      <w:r w:rsidR="00C55429" w:rsidRPr="00930624">
        <w:t xml:space="preserve"> </w:t>
      </w:r>
      <w:proofErr w:type="gramStart"/>
      <w:r w:rsidR="00EB4E9D" w:rsidRPr="00FC74D2">
        <w:t>Additionally</w:t>
      </w:r>
      <w:proofErr w:type="gramEnd"/>
      <w:r w:rsidR="00EB4E9D" w:rsidRPr="00FC74D2">
        <w:t xml:space="preserve"> the empirical work carried out </w:t>
      </w:r>
      <w:r w:rsidR="00882A8E" w:rsidRPr="00FC74D2">
        <w:t xml:space="preserve">here </w:t>
      </w:r>
      <w:r w:rsidR="00EB4E9D" w:rsidRPr="00FC74D2">
        <w:t xml:space="preserve">is limited to static historic data </w:t>
      </w:r>
      <w:r w:rsidR="00C40B25" w:rsidRPr="00FC74D2">
        <w:t>readily</w:t>
      </w:r>
      <w:r w:rsidR="00EB4E9D" w:rsidRPr="00FC74D2">
        <w:t xml:space="preserve"> available </w:t>
      </w:r>
      <w:r w:rsidR="00C40B25" w:rsidRPr="00FC74D2">
        <w:t>via the web</w:t>
      </w:r>
      <w:r w:rsidR="00EB4E9D" w:rsidRPr="00FC74D2">
        <w:t xml:space="preserve">. </w:t>
      </w:r>
      <w:r w:rsidR="00930624" w:rsidRPr="00FC74D2">
        <w:t>W</w:t>
      </w:r>
      <w:r w:rsidR="0078057A">
        <w:t>e</w:t>
      </w:r>
      <w:r w:rsidR="00930624" w:rsidRPr="00FC74D2">
        <w:t xml:space="preserve"> note </w:t>
      </w:r>
      <w:r w:rsidR="00C40B25" w:rsidRPr="00FC74D2">
        <w:t>that</w:t>
      </w:r>
      <w:r w:rsidR="00930624" w:rsidRPr="00FC74D2">
        <w:t xml:space="preserve">, were the </w:t>
      </w:r>
      <w:r w:rsidR="00882A8E" w:rsidRPr="00FC74D2">
        <w:t>stud</w:t>
      </w:r>
      <w:r w:rsidR="00930624" w:rsidRPr="00FC74D2">
        <w:t>y</w:t>
      </w:r>
      <w:r w:rsidR="00882A8E" w:rsidRPr="00FC74D2">
        <w:t xml:space="preserve"> extended to the </w:t>
      </w:r>
      <w:r w:rsidR="00C40B25" w:rsidRPr="00FC74D2">
        <w:t>c</w:t>
      </w:r>
      <w:r w:rsidR="00EB4E9D" w:rsidRPr="00FC74D2">
        <w:t>onsolidati</w:t>
      </w:r>
      <w:r w:rsidR="00882A8E" w:rsidRPr="00FC74D2">
        <w:t>on and alignment of</w:t>
      </w:r>
      <w:r w:rsidR="00EB4E9D" w:rsidRPr="00FC74D2">
        <w:t xml:space="preserve"> proprietary data held by multilateral, governmental and non-governmental organisations</w:t>
      </w:r>
      <w:r w:rsidR="00930624" w:rsidRPr="00FC74D2">
        <w:t>,</w:t>
      </w:r>
      <w:r w:rsidR="00EB4E9D" w:rsidRPr="00FC74D2">
        <w:t xml:space="preserve"> </w:t>
      </w:r>
      <w:r w:rsidR="0078057A">
        <w:t>potential</w:t>
      </w:r>
      <w:r w:rsidR="00C40B25" w:rsidRPr="00FC74D2">
        <w:t xml:space="preserve"> opportunities for additional</w:t>
      </w:r>
      <w:r w:rsidR="00EB4E9D" w:rsidRPr="00FC74D2">
        <w:t xml:space="preserve"> research propositions</w:t>
      </w:r>
      <w:r w:rsidR="0078057A">
        <w:t xml:space="preserve"> may result</w:t>
      </w:r>
      <w:r w:rsidR="00EB4E9D" w:rsidRPr="00FC74D2">
        <w:t xml:space="preserve">. </w:t>
      </w:r>
      <w:r w:rsidR="00930624" w:rsidRPr="00FC74D2">
        <w:t>Last</w:t>
      </w:r>
      <w:r w:rsidR="00EB4E9D" w:rsidRPr="00FC74D2">
        <w:t xml:space="preserve">, the increasing use </w:t>
      </w:r>
      <w:r w:rsidR="00B36420" w:rsidRPr="00FC74D2">
        <w:t xml:space="preserve">of </w:t>
      </w:r>
      <w:r w:rsidR="00EB4E9D" w:rsidRPr="00FC74D2">
        <w:t>technologies</w:t>
      </w:r>
      <w:r w:rsidR="00930624" w:rsidRPr="00FC74D2">
        <w:t>/approaches</w:t>
      </w:r>
      <w:r w:rsidR="00EB4E9D" w:rsidRPr="00FC74D2">
        <w:t xml:space="preserve"> such </w:t>
      </w:r>
      <w:r w:rsidR="00C9367A" w:rsidRPr="00FC74D2">
        <w:t xml:space="preserve">as </w:t>
      </w:r>
      <w:r w:rsidR="00930624" w:rsidRPr="00FC74D2">
        <w:t xml:space="preserve">crowdsourcing of data, </w:t>
      </w:r>
      <w:r w:rsidR="00EB4E9D" w:rsidRPr="00FC74D2">
        <w:t xml:space="preserve">drones, sensors and distributed ledgers in the humanitarian domain </w:t>
      </w:r>
      <w:r w:rsidR="00882A8E" w:rsidRPr="00FC74D2">
        <w:t>will undoubtedly expose</w:t>
      </w:r>
      <w:r w:rsidR="00C9367A" w:rsidRPr="00FC74D2">
        <w:t xml:space="preserve"> research </w:t>
      </w:r>
      <w:r w:rsidR="00882A8E" w:rsidRPr="00FC74D2">
        <w:t>opportunities</w:t>
      </w:r>
      <w:r w:rsidR="00C9367A" w:rsidRPr="00FC74D2">
        <w:t xml:space="preserve"> in </w:t>
      </w:r>
      <w:r w:rsidR="00882A8E" w:rsidRPr="00FC74D2">
        <w:t xml:space="preserve">the </w:t>
      </w:r>
      <w:r w:rsidR="00C9367A" w:rsidRPr="00FC74D2">
        <w:t>data analytics of multi-sourced live-steamed data</w:t>
      </w:r>
      <w:r w:rsidR="00930624" w:rsidRPr="00FC74D2">
        <w:t xml:space="preserve">: Though these technologies are </w:t>
      </w:r>
      <w:r w:rsidR="00882A8E" w:rsidRPr="00FC74D2">
        <w:t>beyond the scope of the empirical work done here</w:t>
      </w:r>
      <w:r w:rsidR="00930624" w:rsidRPr="00FC74D2">
        <w:t>, we acknowledge the point and refer the reader to articles that are of starting to emerge in these areas</w:t>
      </w:r>
      <w:r w:rsidR="00C9367A" w:rsidRPr="00FC74D2">
        <w:t xml:space="preserve"> </w:t>
      </w:r>
      <w:r w:rsidR="00C40B25" w:rsidRPr="00FC74D2">
        <w:fldChar w:fldCharType="begin" w:fldLock="1"/>
      </w:r>
      <w:r w:rsidR="003F1EEC">
        <w:instrText>ADDIN CSL_CITATION {"citationItems":[{"id":"ITEM-1","itemData":{"ISBN":"9781577357049","abstract":"Large-scale distributed computing has made available the resources necessary to solve \"Al-hard\" problems. As a result, it becomes feasible to automate the processing of such problems, but accuracy is not very high due to the conceptual difficulty of these problems. In this paper, we integrated crowdsourcing with MapReduce to provide a scalable innovative human-machine solution to Al-hard problems, which is called CrowdMR. In CrowdMR, the majority of problem instances are automatically processed by machine while the troublesome instances are redirected to human via crowdsourcing. The results returned from crowdsourcing are validated in the form of CAPTCHA (Completely Automated Public Turing test to Tell Computers and Humans Apart) before adding to the output. An incremental scheduling method was brought forward to combine the results from machine and human in a \"pay-as-you-go\" way.","author":[{"dropping-particle":"","family":"Chen","given":"Jun","non-dropping-particle":"","parse-names":false,"suffix":""},{"dropping-particle":"","family":"Wang","given":"Chaokun","non-dropping-particle":"","parse-names":false,"suffix":""},{"dropping-particle":"","family":"Bai","given":"Yiyuan","non-dropping-particle":"","parse-names":false,"suffix":""}],"container-title":"Proceedings of the National Conference on Artificial Intelligence","id":"ITEM-1","issue":"3","issued":{"date-parts":[["2015"]]},"page":"4272-4273","title":"CrowdMR: Integrating crowdsourcing with MapReduce for AI-hard problems","type":"article-journal","volume":"6"},"uris":["http://www.mendeley.com/documents/?uuid=07e0b25c-fe75-4f67-989c-34e7a38af817"]},{"id":"ITEM-2","itemData":{"DOI":"10.1186/s41018-018-0044-5","ISSN":"2364-3404","abstract":"Blockchain technology is swiftly entering the fields of humanitarian and development aid. While it has the potential to revolutionize the aid sector, e.g., through pairing smart contracts with forecast-based financing, it also has the potential to perpetuate societal problems and add new risks. This essay outlines the use cases of Blockchain technology for the humanitarian and development sectors and reflects on potentials and pitfalls that come with the adaptation of this new technology.","author":[{"dropping-particle":"","family":"Zwitter","given":"Andrej","non-dropping-particle":"","parse-names":false,"suffix":""},{"dropping-particle":"","family":"Boisse-Despiaux","given":"Mathilde","non-dropping-particle":"","parse-names":false,"suffix":""}],"container-title":"Journal of International Humanitarian Action","id":"ITEM-2","issue":"1","issued":{"date-parts":[["2018"]]},"page":"16","title":"Blockchain for humanitarian action and development aid","type":"article-journal","volume":"3"},"uris":["http://www.mendeley.com/documents/?uuid=d1c3c1b1-ae11-4321-8e56-c147cde787c1"]},{"id":"ITEM-3","itemData":{"DOI":"10.1098/rsta.2017.0363","author":[{"dropping-particle":"","family":"Quinn","given":"John A","non-dropping-particle":"","parse-names":false,"suffix":""},{"dropping-particle":"","family":"Nyhan","given":"Marguerite M","non-dropping-particle":"","parse-names":false,"suffix":""},{"dropping-particle":"","family":"Navarro","given":"Celia","non-dropping-particle":"","parse-names":false,"suffix":""},{"dropping-particle":"","family":"Coluccia","given":"Davide","non-dropping-particle":"","parse-names":false,"suffix":""},{"dropping-particle":"","family":"Bromley","given":"Lars","non-dropping-particle":"","parse-names":false,"suffix":""},{"dropping-particle":"","family":"Luengo-Oroz","given":"Miguel","non-dropping-particle":"","parse-names":false,"suffix":""}],"container-title":"Philosophical Transactions of the Royal Society A: Mathematical, Physical and Engineering Sciences","id":"ITEM-3","issue":"2128","issued":{"date-parts":[["2018","9","13"]]},"note":"doi: 10.1098/rsta.2017.0363","page":"20170363","publisher":"Royal Society","title":"Humanitarian applications of machine learning with remote-sensing data: review and case study in refugee settlement mapping","type":"article-journal","volume":"376"},"uris":["http://www.mendeley.com/documents/?uuid=d5a4ee2f-8301-49b4-8c1a-accfded89f97"]},{"id":"ITEM-4","itemData":{"DOI":"10.1177/0305829814529470","ISSN":"0305-8298","abstract":"This article explores and attempts to define the emerging concept of the humanitarian drone by critically examining actual and anticipated transfers of unmanned aerial vehicles (UAVs), or drones, from the global battlespace to the humanitarian emergency zone. Focusing on the relationship between the diffusion of new technology and institutional power, we explore the humanitarian drone as a ?war dividend? arising from the transfer of surveillance UAVs, cargo-carrying UAVs and weaponised UAVs. We then reflect on the ways in which military practices and rationales guiding drone deployment may also shape humanitarian use, giving particular attention to the concept of surgical precision, the implications of targeting logic, and the ambiguous role of distance. Next, we consider the broader implications for humanitarian action, including the promise of global justice and improved aid delivery. Finally, we analyse the most difficult aspect of the humanitarian drone: namely, its political currency as a ?humanitarian weapon? in conflict scenarios.","author":[{"dropping-particle":"","family":"Sandvik","given":"Kristin Bergtora","non-dropping-particle":"","parse-names":false,"suffix":""},{"dropping-particle":"","family":"Lohne","given":"Kjersti","non-dropping-particle":"","parse-names":false,"suffix":""}],"container-title":"Millennium","id":"ITEM-4","issue":"1","issued":{"date-parts":[["2014","6","27"]]},"note":"doi: 10.1177/0305829814529470","page":"145-164","publisher":"SAGE Publications Ltd","title":"The Rise of the Humanitarian Drone: Giving Content to an Emerging Concept","type":"article-journal","volume":"43"},"uris":["http://www.mendeley.com/documents/?uuid=38fb1a88-fe5e-4c71-bd7c-987113b0f0de"]},{"id":"ITEM-5","itemData":{"DOI":"https://doi.org/10.1016/j.procs.2019.01.151","ISSN":"1877-0509","abstract":"This paper evaluates the crucial role of unmanned aerial vehicles –UAV’s- (or Drones) in the case of natural disasters response and humanitarian relief aid. The primary objective of this paper is to evaluate how unmanned aerial vehicles –UAV’s- (or Drones) in the present or near future can help survivors in the case of a tsunami, earthquake, flooding, and any natural disaster. Initially, we assume that in any natural disaster always exist the high possibility of damage to the infrastructure, transportation systems, telecommunications systems access, and basic services immediately. This research proposes three areas the uses of unmanned aerial vehicles –UAV’s- (or Drones) in the case of natural disasters response and humanitarian relief aid. These are (i) the aerial monitoring post-natural disaster damage evaluation, (ii) the natural disaster logistic and cargo delivery, (iii) the post-natural disaster aerial assessment.","author":[{"dropping-particle":"","family":"Estrada","given":"Mario Arturo Ruiz","non-dropping-particle":"","parse-names":false,"suffix":""},{"dropping-particle":"","family":"Ndoma","given":"Abrahim","non-dropping-particle":"","parse-names":false,"suffix":""}],"container-title":"Procedia Computer Science","id":"ITEM-5","issued":{"date-parts":[["2019"]]},"page":"375-383","title":"The uses of unmanned aerial vehicles –UAV’s- (or drones) in social logistic: Natural disasters response and humanitarian relief aid","type":"article-journal","volume":"149"},"uris":["http://www.mendeley.com/documents/?uuid=b489d7af-974e-4ff0-aa5f-70323ab5e0ca"]}],"mendeley":{"formattedCitation":"(J. Chen et al., 2015; Estrada &amp; Ndoma, 2019; Quinn et al., 2018; Sandvik &amp; Lohne, 2014; Zwitter &amp; Boisse-Despiaux, 2018)","manualFormatting":"(Chen et al., 2015; Estrada &amp; Ndoma, 2019; Quinn et al., 2018; Sandvik &amp; Lohne, 2014; Zwitter &amp; Boisse-Despiaux, 2018)","plainTextFormattedCitation":"(J. Chen et al., 2015; Estrada &amp; Ndoma, 2019; Quinn et al., 2018; Sandvik &amp; Lohne, 2014; Zwitter &amp; Boisse-Despiaux, 2018)","previouslyFormattedCitation":"(J. Chen et al., 2015; Estrada &amp; Ndoma, 2019; Quinn et al., 2018; Sandvik &amp; Lohne, 2014; Zwitter &amp; Boisse-Despiaux, 2018)"},"properties":{"noteIndex":0},"schema":"https://github.com/citation-style-language/schema/raw/master/csl-citation.json"}</w:instrText>
      </w:r>
      <w:r w:rsidR="00C40B25" w:rsidRPr="00FC74D2">
        <w:fldChar w:fldCharType="separate"/>
      </w:r>
      <w:r w:rsidR="003F1EEC">
        <w:rPr>
          <w:noProof/>
        </w:rPr>
        <w:t>(</w:t>
      </w:r>
      <w:r w:rsidR="00882A8E" w:rsidRPr="00FC74D2">
        <w:rPr>
          <w:noProof/>
        </w:rPr>
        <w:t>Chen et al., 2015; Estrada &amp; Ndoma, 2019; Quinn et al., 2018; Sandvik &amp; Lohne, 2014; Zwitter &amp; Boisse-Despiaux, 2018)</w:t>
      </w:r>
      <w:r w:rsidR="00C40B25" w:rsidRPr="00FC74D2">
        <w:fldChar w:fldCharType="end"/>
      </w:r>
      <w:r w:rsidR="00C9367A" w:rsidRPr="00FC74D2">
        <w:t>.</w:t>
      </w:r>
    </w:p>
    <w:p w14:paraId="516455FE" w14:textId="16F6A2D2" w:rsidR="00CF09F8" w:rsidRPr="005C4EA3" w:rsidRDefault="00CF09F8" w:rsidP="005C4EA3">
      <w:pPr>
        <w:pStyle w:val="Heading2"/>
      </w:pPr>
      <w:r w:rsidRPr="001365B0">
        <w:t>Conclusion</w:t>
      </w:r>
    </w:p>
    <w:p w14:paraId="051BEA36" w14:textId="0792BE40" w:rsidR="00B36B1F" w:rsidRDefault="00B36B1F" w:rsidP="004B4F6B">
      <w:pPr>
        <w:pStyle w:val="Text01"/>
      </w:pPr>
      <w:r>
        <w:t xml:space="preserve">In the humanitarian and development domains, more widely available (big) data has the potential to drive a better integrative and predictive understanding yielding the intrinsic value of saving lives and reducing human suffering. Further, such an understanding would </w:t>
      </w:r>
      <w:r>
        <w:lastRenderedPageBreak/>
        <w:t xml:space="preserve">provide a platform for developing a greater degree of resilience and preventing complex emergencies that would move toward the </w:t>
      </w:r>
      <w:r w:rsidR="0078325E">
        <w:t xml:space="preserve">UN </w:t>
      </w:r>
      <w:r w:rsidR="0056692B">
        <w:t>g</w:t>
      </w:r>
      <w:r w:rsidR="0078325E">
        <w:t xml:space="preserve">oal of the humanitarian sector </w:t>
      </w:r>
      <w:r w:rsidR="0056692B">
        <w:t xml:space="preserve">contributing to the achievement of longer-term sustainable development. </w:t>
      </w:r>
      <w:r w:rsidR="00323D0D">
        <w:t>Guided by</w:t>
      </w:r>
      <w:r w:rsidR="00473B25">
        <w:t xml:space="preserve"> the UN imperative for ‘quality, </w:t>
      </w:r>
      <w:r w:rsidR="00473B25" w:rsidRPr="00497B37">
        <w:t>accessible, timely and reliable dis-aggregated data</w:t>
      </w:r>
      <w:r w:rsidR="00473B25">
        <w:t>’ our work here has explored the difficulties in extracting value from data in the humanitarian domain</w:t>
      </w:r>
      <w:r w:rsidR="00323D0D">
        <w:t xml:space="preserve">. Guided by a model that explains </w:t>
      </w:r>
      <w:r w:rsidR="00C43FAF">
        <w:t>h</w:t>
      </w:r>
      <w:r w:rsidR="00323D0D">
        <w:t xml:space="preserve">ow big data can be transformed to derive value, we propose that </w:t>
      </w:r>
      <w:r w:rsidR="00323D0D" w:rsidRPr="001365B0">
        <w:t>s</w:t>
      </w:r>
      <w:r w:rsidR="003A10E7">
        <w:t>ignificant</w:t>
      </w:r>
      <w:r w:rsidR="00323D0D" w:rsidRPr="001365B0">
        <w:t xml:space="preserve"> distance remains between the </w:t>
      </w:r>
      <w:r w:rsidR="00323D0D">
        <w:t>‘</w:t>
      </w:r>
      <w:r w:rsidR="00323D0D" w:rsidRPr="001365B0">
        <w:t>vision</w:t>
      </w:r>
      <w:r w:rsidR="00323D0D">
        <w:t>’</w:t>
      </w:r>
      <w:r w:rsidR="00323D0D" w:rsidRPr="001365B0">
        <w:t xml:space="preserve"> of big data </w:t>
      </w:r>
      <w:r w:rsidR="00323D0D">
        <w:t xml:space="preserve">(analytics) </w:t>
      </w:r>
      <w:r w:rsidR="00323D0D" w:rsidRPr="001365B0">
        <w:t>and the current reality</w:t>
      </w:r>
      <w:r w:rsidR="00323D0D">
        <w:t xml:space="preserve">. </w:t>
      </w:r>
      <w:r w:rsidR="003A10E7">
        <w:t>B</w:t>
      </w:r>
      <w:r w:rsidR="00323D0D">
        <w:t>ig data is not of note because of its size but, rather, because of its relationality – value comes from the ability to integrate heterogeneous data effectively</w:t>
      </w:r>
      <w:r w:rsidR="003A10E7">
        <w:t xml:space="preserve"> and that remains challenging</w:t>
      </w:r>
      <w:r w:rsidR="00323D0D">
        <w:t>.</w:t>
      </w:r>
    </w:p>
    <w:p w14:paraId="45038AB2" w14:textId="6A704716" w:rsidR="00692A77" w:rsidRDefault="003A10E7" w:rsidP="004B4F6B">
      <w:pPr>
        <w:pStyle w:val="Text01"/>
      </w:pPr>
      <w:r>
        <w:t xml:space="preserve">Our empirical example evidenced these challenges, drawing eight distinct sources of data together </w:t>
      </w:r>
      <w:proofErr w:type="gramStart"/>
      <w:r>
        <w:t>in an attempt to</w:t>
      </w:r>
      <w:proofErr w:type="gramEnd"/>
      <w:r>
        <w:t xml:space="preserve"> gain a perspective of global disasters and aid sent in response. What transpired from that analysis were significant losses in relation to the detail, visibility, specificity, </w:t>
      </w:r>
      <w:proofErr w:type="gramStart"/>
      <w:r>
        <w:t>nuance</w:t>
      </w:r>
      <w:proofErr w:type="gramEnd"/>
      <w:r>
        <w:t xml:space="preserve"> and history of that data. These losses </w:t>
      </w:r>
      <w:r w:rsidR="00F41217">
        <w:t xml:space="preserve">severely impacted the analytical value of the integrated data and </w:t>
      </w:r>
      <w:r>
        <w:t>are rooted in the fact that the individual datasets concerned were neither designed nor developed with integration in mind – thus, our key observation</w:t>
      </w:r>
      <w:r w:rsidR="00F41217">
        <w:t xml:space="preserve"> is that an ecosystem perspective need to be adopted and that data asset creation and capability processes need to be considered from that perspective. In such a context, the vehicles of integration are not definable a priori and, thus, an added burden is placed upon designing for relationality.</w:t>
      </w:r>
    </w:p>
    <w:p w14:paraId="1B64D361" w14:textId="41441707" w:rsidR="00692A77" w:rsidRDefault="00473B25" w:rsidP="004B4F6B">
      <w:pPr>
        <w:pStyle w:val="Text01"/>
      </w:pPr>
      <w:r>
        <w:t xml:space="preserve">In addressing the issues that arose in our attempt to integrate heterogeneous humanitarian datasets, we distilled five propositions as a means of directing future research to areas that we argue will bear fruit in relation </w:t>
      </w:r>
      <w:r w:rsidR="003A10E7">
        <w:t xml:space="preserve">to </w:t>
      </w:r>
      <w:r>
        <w:t xml:space="preserve">the UNSDGs aspirations </w:t>
      </w:r>
      <w:r w:rsidR="003A10E7">
        <w:t>re</w:t>
      </w:r>
      <w:r>
        <w:t xml:space="preserve"> </w:t>
      </w:r>
      <w:r w:rsidR="005001E9">
        <w:t xml:space="preserve">‘dis-aggregated’ </w:t>
      </w:r>
      <w:r w:rsidR="003A10E7">
        <w:t>(</w:t>
      </w:r>
      <w:r>
        <w:t>big</w:t>
      </w:r>
      <w:r w:rsidR="003A10E7">
        <w:t>)</w:t>
      </w:r>
      <w:r>
        <w:t xml:space="preserve"> data.  </w:t>
      </w:r>
      <w:r w:rsidR="00323D0D">
        <w:t>T</w:t>
      </w:r>
      <w:r>
        <w:t xml:space="preserve">hese propositions covered the need for research </w:t>
      </w:r>
      <w:r w:rsidR="00634CD3">
        <w:t>related to</w:t>
      </w:r>
      <w:r>
        <w:t xml:space="preserve">: (a) </w:t>
      </w:r>
      <w:r w:rsidR="00634CD3">
        <w:t>M</w:t>
      </w:r>
      <w:r>
        <w:t xml:space="preserve">odels of governance </w:t>
      </w:r>
      <w:r w:rsidR="00634CD3">
        <w:t xml:space="preserve">appropriate to </w:t>
      </w:r>
      <w:r>
        <w:t>ecosystems</w:t>
      </w:r>
      <w:r w:rsidR="00634CD3">
        <w:t xml:space="preserve">; (b) means for evaluating the veracity of data; (c) addressing the tension between value and the need for privacy; (d) developing mechanisms to manage and maintain the transparency of data; and (e) the need to better define data assets and the ways in which they can interact. </w:t>
      </w:r>
      <w:r w:rsidR="00692A77">
        <w:t xml:space="preserve">We do not suggest that </w:t>
      </w:r>
      <w:r w:rsidR="00A5158B">
        <w:t>our</w:t>
      </w:r>
      <w:r w:rsidR="00692A77">
        <w:t xml:space="preserve"> propositions </w:t>
      </w:r>
      <w:r w:rsidR="00A5158B">
        <w:t xml:space="preserve">are the only ones </w:t>
      </w:r>
      <w:r w:rsidR="00692A77">
        <w:t xml:space="preserve">of importance re the use of (big) data in the humanitarian domain but, rather, </w:t>
      </w:r>
      <w:r w:rsidR="00A5158B">
        <w:t xml:space="preserve">we </w:t>
      </w:r>
      <w:r w:rsidR="00692A77">
        <w:t xml:space="preserve">have sought to confine </w:t>
      </w:r>
      <w:r w:rsidR="00A5158B">
        <w:t>our observations to</w:t>
      </w:r>
      <w:r w:rsidR="00692A77">
        <w:t xml:space="preserve"> those that have emerged from our empirical work – wh</w:t>
      </w:r>
      <w:r w:rsidR="00A5158B">
        <w:t>ich we approached with the ideals of big data in mind.</w:t>
      </w:r>
    </w:p>
    <w:p w14:paraId="29FF9CE2" w14:textId="77777777" w:rsidR="00CF09F8" w:rsidRPr="005C4EA3" w:rsidRDefault="00F7667F" w:rsidP="00203940">
      <w:pPr>
        <w:pStyle w:val="Heading2"/>
        <w:pageBreakBefore/>
        <w:spacing w:before="0"/>
      </w:pPr>
      <w:r w:rsidRPr="005C4EA3">
        <w:lastRenderedPageBreak/>
        <w:t>References</w:t>
      </w:r>
    </w:p>
    <w:p w14:paraId="771909A3" w14:textId="33D2FC90" w:rsidR="00E540EB" w:rsidRPr="00E540EB" w:rsidRDefault="00F7667F" w:rsidP="00E540EB">
      <w:pPr>
        <w:pStyle w:val="Biblio"/>
        <w:suppressAutoHyphens/>
        <w:rPr>
          <w:noProof/>
        </w:rPr>
      </w:pPr>
      <w:r w:rsidRPr="002A3E19">
        <w:rPr>
          <w:szCs w:val="20"/>
        </w:rPr>
        <w:fldChar w:fldCharType="begin" w:fldLock="1"/>
      </w:r>
      <w:r w:rsidRPr="002A3E19">
        <w:rPr>
          <w:szCs w:val="20"/>
        </w:rPr>
        <w:instrText xml:space="preserve">ADDIN Mendeley Bibliography CSL_BIBLIOGRAPHY </w:instrText>
      </w:r>
      <w:r w:rsidRPr="002A3E19">
        <w:rPr>
          <w:szCs w:val="20"/>
        </w:rPr>
        <w:fldChar w:fldCharType="separate"/>
      </w:r>
      <w:r w:rsidR="00E540EB" w:rsidRPr="00E540EB">
        <w:rPr>
          <w:noProof/>
        </w:rPr>
        <w:t xml:space="preserve">Almeida, F. L. F., &amp; Calistru, C. (2012). The main challenges and issues of big data management. </w:t>
      </w:r>
      <w:r w:rsidR="00E540EB" w:rsidRPr="00E540EB">
        <w:rPr>
          <w:i/>
          <w:iCs/>
          <w:noProof/>
        </w:rPr>
        <w:t>International Journal of Research Studies in Computing</w:t>
      </w:r>
      <w:r w:rsidR="00E540EB" w:rsidRPr="00E540EB">
        <w:rPr>
          <w:noProof/>
        </w:rPr>
        <w:t xml:space="preserve">, </w:t>
      </w:r>
      <w:r w:rsidR="00E540EB" w:rsidRPr="00E540EB">
        <w:rPr>
          <w:i/>
          <w:iCs/>
          <w:noProof/>
        </w:rPr>
        <w:t>2</w:t>
      </w:r>
      <w:r w:rsidR="00E540EB" w:rsidRPr="00E540EB">
        <w:rPr>
          <w:noProof/>
        </w:rPr>
        <w:t>(1), 11–20. https://doi.org/10.5861/ijrsc.2012.209</w:t>
      </w:r>
    </w:p>
    <w:p w14:paraId="1693B02C" w14:textId="77777777" w:rsidR="00E540EB" w:rsidRPr="00E540EB" w:rsidRDefault="00E540EB" w:rsidP="00E540EB">
      <w:pPr>
        <w:pStyle w:val="Biblio"/>
        <w:suppressAutoHyphens/>
        <w:rPr>
          <w:noProof/>
        </w:rPr>
      </w:pPr>
      <w:r w:rsidRPr="00E540EB">
        <w:rPr>
          <w:noProof/>
        </w:rPr>
        <w:t xml:space="preserve">Anand, A., Coltman, T., &amp; Sharma, R. (2016). Four steps to realizing business value from digital data streams. </w:t>
      </w:r>
      <w:r w:rsidRPr="00E540EB">
        <w:rPr>
          <w:i/>
          <w:iCs/>
          <w:noProof/>
        </w:rPr>
        <w:t>MIS Quarterly Executive</w:t>
      </w:r>
      <w:r w:rsidRPr="00E540EB">
        <w:rPr>
          <w:noProof/>
        </w:rPr>
        <w:t xml:space="preserve">, </w:t>
      </w:r>
      <w:r w:rsidRPr="00E540EB">
        <w:rPr>
          <w:i/>
          <w:iCs/>
          <w:noProof/>
        </w:rPr>
        <w:t>15</w:t>
      </w:r>
      <w:r w:rsidRPr="00E540EB">
        <w:rPr>
          <w:noProof/>
        </w:rPr>
        <w:t>(4), 259–277.</w:t>
      </w:r>
    </w:p>
    <w:p w14:paraId="3ADA4880" w14:textId="77777777" w:rsidR="00E540EB" w:rsidRPr="00E540EB" w:rsidRDefault="00E540EB" w:rsidP="00E540EB">
      <w:pPr>
        <w:pStyle w:val="Biblio"/>
        <w:suppressAutoHyphens/>
        <w:rPr>
          <w:noProof/>
        </w:rPr>
      </w:pPr>
      <w:r w:rsidRPr="00E540EB">
        <w:rPr>
          <w:noProof/>
        </w:rPr>
        <w:t>Anderson, C. (2008). The End of Theory: The Data Deluge Makes the Scientific Method Obsolete (C. Anderson, Ed.). Retrieved from Wired Magazine website: https://www.wired.com/2008/06/pb-theory/</w:t>
      </w:r>
    </w:p>
    <w:p w14:paraId="631C1909" w14:textId="77777777" w:rsidR="00E540EB" w:rsidRPr="00E540EB" w:rsidRDefault="00E540EB" w:rsidP="00E540EB">
      <w:pPr>
        <w:pStyle w:val="Biblio"/>
        <w:suppressAutoHyphens/>
        <w:rPr>
          <w:noProof/>
        </w:rPr>
      </w:pPr>
      <w:r w:rsidRPr="00E540EB">
        <w:rPr>
          <w:noProof/>
        </w:rPr>
        <w:t xml:space="preserve">Baldwin, C. Y., &amp; Clark, K. B. (1997). Managing In An Age Of Modularity. </w:t>
      </w:r>
      <w:r w:rsidRPr="00E540EB">
        <w:rPr>
          <w:i/>
          <w:iCs/>
          <w:noProof/>
        </w:rPr>
        <w:t>Harvard Business Review</w:t>
      </w:r>
      <w:r w:rsidRPr="00E540EB">
        <w:rPr>
          <w:noProof/>
        </w:rPr>
        <w:t xml:space="preserve">, </w:t>
      </w:r>
      <w:r w:rsidRPr="00E540EB">
        <w:rPr>
          <w:i/>
          <w:iCs/>
          <w:noProof/>
        </w:rPr>
        <w:t>75</w:t>
      </w:r>
      <w:r w:rsidRPr="00E540EB">
        <w:rPr>
          <w:noProof/>
        </w:rPr>
        <w:t>(5), 84–93. Retrieved from http://search.ebscohost.com/login.aspx?direct=true&amp;db=bth&amp;AN=9709112720&amp;site=ehost-live</w:t>
      </w:r>
    </w:p>
    <w:p w14:paraId="47F9537F" w14:textId="77777777" w:rsidR="00E540EB" w:rsidRPr="00E540EB" w:rsidRDefault="00E540EB" w:rsidP="00E540EB">
      <w:pPr>
        <w:pStyle w:val="Biblio"/>
        <w:suppressAutoHyphens/>
        <w:rPr>
          <w:noProof/>
        </w:rPr>
      </w:pPr>
      <w:r w:rsidRPr="00E540EB">
        <w:rPr>
          <w:noProof/>
        </w:rPr>
        <w:t xml:space="preserve">Bärenfänger, R., Otto, B., &amp; Österle, H. (2014). Business value of in-memory technology – multiple-case study insights. </w:t>
      </w:r>
      <w:r w:rsidRPr="00E540EB">
        <w:rPr>
          <w:i/>
          <w:iCs/>
          <w:noProof/>
        </w:rPr>
        <w:t>Industrial Management &amp; Data Systems</w:t>
      </w:r>
      <w:r w:rsidRPr="00E540EB">
        <w:rPr>
          <w:noProof/>
        </w:rPr>
        <w:t xml:space="preserve">, </w:t>
      </w:r>
      <w:r w:rsidRPr="00E540EB">
        <w:rPr>
          <w:i/>
          <w:iCs/>
          <w:noProof/>
        </w:rPr>
        <w:t>114</w:t>
      </w:r>
      <w:r w:rsidRPr="00E540EB">
        <w:rPr>
          <w:noProof/>
        </w:rPr>
        <w:t>(9), 1396–1414. https://doi.org/10.1108/imds-07-2014-0212</w:t>
      </w:r>
    </w:p>
    <w:p w14:paraId="43051830" w14:textId="77777777" w:rsidR="00E540EB" w:rsidRPr="00E540EB" w:rsidRDefault="00E540EB" w:rsidP="00E540EB">
      <w:pPr>
        <w:pStyle w:val="Biblio"/>
        <w:suppressAutoHyphens/>
        <w:rPr>
          <w:noProof/>
        </w:rPr>
      </w:pPr>
      <w:r w:rsidRPr="00E540EB">
        <w:rPr>
          <w:noProof/>
        </w:rPr>
        <w:t xml:space="preserve">Bedi, P., Jindal, V., &amp; Gautam, A. (2014). Beginning with big data simplified. </w:t>
      </w:r>
      <w:r w:rsidRPr="00E540EB">
        <w:rPr>
          <w:i/>
          <w:iCs/>
          <w:noProof/>
        </w:rPr>
        <w:t>2014 International Conference on Data Mining and Intelligent Computing (ICDMIC)</w:t>
      </w:r>
      <w:r w:rsidRPr="00E540EB">
        <w:rPr>
          <w:noProof/>
        </w:rPr>
        <w:t>, 1–7. https://doi.org/10.1109/icdmic.2014.6954229</w:t>
      </w:r>
    </w:p>
    <w:p w14:paraId="357DB63D" w14:textId="77777777" w:rsidR="00E540EB" w:rsidRPr="00E540EB" w:rsidRDefault="00E540EB" w:rsidP="00E540EB">
      <w:pPr>
        <w:pStyle w:val="Biblio"/>
        <w:suppressAutoHyphens/>
        <w:rPr>
          <w:noProof/>
        </w:rPr>
      </w:pPr>
      <w:r w:rsidRPr="00E540EB">
        <w:rPr>
          <w:noProof/>
        </w:rPr>
        <w:t xml:space="preserve">Berti-Equille, L., &amp; Borge-Holthoefer, J. (2015). Veracity of data: From truth discovery computation algorithms to models of misinformation dynamics. In </w:t>
      </w:r>
      <w:r w:rsidRPr="00E540EB">
        <w:rPr>
          <w:i/>
          <w:iCs/>
          <w:noProof/>
        </w:rPr>
        <w:t>Synthesis Lectures on Data Management</w:t>
      </w:r>
      <w:r w:rsidRPr="00E540EB">
        <w:rPr>
          <w:noProof/>
        </w:rPr>
        <w:t xml:space="preserve"> (pp. 1–9). Morgan &amp; Claypool.</w:t>
      </w:r>
    </w:p>
    <w:p w14:paraId="32C522F8" w14:textId="77777777" w:rsidR="00E540EB" w:rsidRPr="00E540EB" w:rsidRDefault="00E540EB" w:rsidP="00E540EB">
      <w:pPr>
        <w:pStyle w:val="Biblio"/>
        <w:suppressAutoHyphens/>
        <w:rPr>
          <w:noProof/>
        </w:rPr>
      </w:pPr>
      <w:r w:rsidRPr="00E540EB">
        <w:rPr>
          <w:noProof/>
        </w:rPr>
        <w:t xml:space="preserve">Berti-Equille, L., &amp; Lamine Ba, M. (2016). Veracity of Big Data: Challenges of Cross-Modal Truth Discovery. </w:t>
      </w:r>
      <w:r w:rsidRPr="00E540EB">
        <w:rPr>
          <w:i/>
          <w:iCs/>
          <w:noProof/>
        </w:rPr>
        <w:t>Journal of Data and Information Quality (JDIQ)</w:t>
      </w:r>
      <w:r w:rsidRPr="00E540EB">
        <w:rPr>
          <w:noProof/>
        </w:rPr>
        <w:t xml:space="preserve">, </w:t>
      </w:r>
      <w:r w:rsidRPr="00E540EB">
        <w:rPr>
          <w:i/>
          <w:iCs/>
          <w:noProof/>
        </w:rPr>
        <w:t>7</w:t>
      </w:r>
      <w:r w:rsidRPr="00E540EB">
        <w:rPr>
          <w:noProof/>
        </w:rPr>
        <w:t>(3), 1–3. https://doi.org/10.1145/2935753</w:t>
      </w:r>
    </w:p>
    <w:p w14:paraId="4FDB51A5" w14:textId="77777777" w:rsidR="00E540EB" w:rsidRPr="00E540EB" w:rsidRDefault="00E540EB" w:rsidP="00E540EB">
      <w:pPr>
        <w:pStyle w:val="Biblio"/>
        <w:suppressAutoHyphens/>
        <w:rPr>
          <w:noProof/>
        </w:rPr>
      </w:pPr>
      <w:r w:rsidRPr="00E540EB">
        <w:rPr>
          <w:noProof/>
        </w:rPr>
        <w:t xml:space="preserve">Blyler, M., &amp; Coff, R. W. (2003). Dynamic capabilities, social capital, and rent appropriation: Ties that split pies. </w:t>
      </w:r>
      <w:r w:rsidRPr="00E540EB">
        <w:rPr>
          <w:i/>
          <w:iCs/>
          <w:noProof/>
        </w:rPr>
        <w:t>Strategic Management Journal</w:t>
      </w:r>
      <w:r w:rsidRPr="00E540EB">
        <w:rPr>
          <w:noProof/>
        </w:rPr>
        <w:t xml:space="preserve">, </w:t>
      </w:r>
      <w:r w:rsidRPr="00E540EB">
        <w:rPr>
          <w:i/>
          <w:iCs/>
          <w:noProof/>
        </w:rPr>
        <w:t>24</w:t>
      </w:r>
      <w:r w:rsidRPr="00E540EB">
        <w:rPr>
          <w:noProof/>
        </w:rPr>
        <w:t>(7), 677–686. https://doi.org/10.1002/smj.327</w:t>
      </w:r>
    </w:p>
    <w:p w14:paraId="2BD800B5" w14:textId="77777777" w:rsidR="00E540EB" w:rsidRPr="00E540EB" w:rsidRDefault="00E540EB" w:rsidP="00E540EB">
      <w:pPr>
        <w:pStyle w:val="Biblio"/>
        <w:suppressAutoHyphens/>
        <w:rPr>
          <w:noProof/>
        </w:rPr>
      </w:pPr>
      <w:r w:rsidRPr="00E540EB">
        <w:rPr>
          <w:noProof/>
        </w:rPr>
        <w:t xml:space="preserve">Boyd, D., &amp; Crawford, K. (2012a). Critical Questions for Big Data. </w:t>
      </w:r>
      <w:r w:rsidRPr="00E540EB">
        <w:rPr>
          <w:i/>
          <w:iCs/>
          <w:noProof/>
        </w:rPr>
        <w:t>Information, Communication &amp; Society</w:t>
      </w:r>
      <w:r w:rsidRPr="00E540EB">
        <w:rPr>
          <w:noProof/>
        </w:rPr>
        <w:t xml:space="preserve">, </w:t>
      </w:r>
      <w:r w:rsidRPr="00E540EB">
        <w:rPr>
          <w:i/>
          <w:iCs/>
          <w:noProof/>
        </w:rPr>
        <w:t>15</w:t>
      </w:r>
      <w:r w:rsidRPr="00E540EB">
        <w:rPr>
          <w:noProof/>
        </w:rPr>
        <w:t>(5), 662–679. https://doi.org/10.1080/1369118X.2012.678878</w:t>
      </w:r>
    </w:p>
    <w:p w14:paraId="189FEA76" w14:textId="77777777" w:rsidR="00E540EB" w:rsidRPr="00E540EB" w:rsidRDefault="00E540EB" w:rsidP="00E540EB">
      <w:pPr>
        <w:pStyle w:val="Biblio"/>
        <w:suppressAutoHyphens/>
        <w:rPr>
          <w:noProof/>
        </w:rPr>
      </w:pPr>
      <w:r w:rsidRPr="00E540EB">
        <w:rPr>
          <w:noProof/>
        </w:rPr>
        <w:t xml:space="preserve">Boyd, D., &amp; Crawford, K. (2012b). Critical Questions for Big Data. </w:t>
      </w:r>
      <w:r w:rsidRPr="00E540EB">
        <w:rPr>
          <w:i/>
          <w:iCs/>
          <w:noProof/>
        </w:rPr>
        <w:t>Information, Communication &amp; Society</w:t>
      </w:r>
      <w:r w:rsidRPr="00E540EB">
        <w:rPr>
          <w:noProof/>
        </w:rPr>
        <w:t xml:space="preserve">, </w:t>
      </w:r>
      <w:r w:rsidRPr="00E540EB">
        <w:rPr>
          <w:i/>
          <w:iCs/>
          <w:noProof/>
        </w:rPr>
        <w:t>15</w:t>
      </w:r>
      <w:r w:rsidRPr="00E540EB">
        <w:rPr>
          <w:noProof/>
        </w:rPr>
        <w:t>(5), 662–679. https://doi.org/10.1080/1369118X.2012.678878</w:t>
      </w:r>
    </w:p>
    <w:p w14:paraId="49F26804" w14:textId="77777777" w:rsidR="00E540EB" w:rsidRPr="00E540EB" w:rsidRDefault="00E540EB" w:rsidP="00E540EB">
      <w:pPr>
        <w:pStyle w:val="Biblio"/>
        <w:suppressAutoHyphens/>
        <w:rPr>
          <w:noProof/>
        </w:rPr>
      </w:pPr>
      <w:r w:rsidRPr="00E540EB">
        <w:rPr>
          <w:noProof/>
        </w:rPr>
        <w:t xml:space="preserve">Buchanan-Smith, M., &amp; Fabbri, P. (2005). Linking relief, rehabilitation and development. A review of the debate. In T. E. Coalition (Ed.), </w:t>
      </w:r>
      <w:r w:rsidRPr="00E540EB">
        <w:rPr>
          <w:i/>
          <w:iCs/>
          <w:noProof/>
        </w:rPr>
        <w:t>Tsunami Evaluation Coalition</w:t>
      </w:r>
      <w:r w:rsidRPr="00E540EB">
        <w:rPr>
          <w:noProof/>
        </w:rPr>
        <w:t>. Retrieved from http://www.alnap.org/pool/files/lRRD-review-debate.pdf</w:t>
      </w:r>
    </w:p>
    <w:p w14:paraId="738D2F4D" w14:textId="77777777" w:rsidR="00E540EB" w:rsidRPr="00E540EB" w:rsidRDefault="00E540EB" w:rsidP="00E540EB">
      <w:pPr>
        <w:pStyle w:val="Biblio"/>
        <w:suppressAutoHyphens/>
        <w:rPr>
          <w:noProof/>
        </w:rPr>
      </w:pPr>
      <w:r w:rsidRPr="00E540EB">
        <w:rPr>
          <w:noProof/>
        </w:rPr>
        <w:t xml:space="preserve">Chatterjee, D., &amp; Ravichandran, T. (2013). Governance of interorganizational information systems: A resource dependence perspective. </w:t>
      </w:r>
      <w:r w:rsidRPr="00E540EB">
        <w:rPr>
          <w:i/>
          <w:iCs/>
          <w:noProof/>
        </w:rPr>
        <w:t>Information Systems Research</w:t>
      </w:r>
      <w:r w:rsidRPr="00E540EB">
        <w:rPr>
          <w:noProof/>
        </w:rPr>
        <w:t xml:space="preserve">, </w:t>
      </w:r>
      <w:r w:rsidRPr="00E540EB">
        <w:rPr>
          <w:i/>
          <w:iCs/>
          <w:noProof/>
        </w:rPr>
        <w:t>24</w:t>
      </w:r>
      <w:r w:rsidRPr="00E540EB">
        <w:rPr>
          <w:noProof/>
        </w:rPr>
        <w:t>(2), 261–278. https://doi.org/10.1287/isre.1120.0432</w:t>
      </w:r>
    </w:p>
    <w:p w14:paraId="0A5C929D" w14:textId="77777777" w:rsidR="00E540EB" w:rsidRPr="00E540EB" w:rsidRDefault="00E540EB" w:rsidP="00E540EB">
      <w:pPr>
        <w:pStyle w:val="Biblio"/>
        <w:suppressAutoHyphens/>
        <w:rPr>
          <w:noProof/>
        </w:rPr>
      </w:pPr>
      <w:r w:rsidRPr="00E540EB">
        <w:rPr>
          <w:noProof/>
        </w:rPr>
        <w:t xml:space="preserve">Chen, H., Chiang, R. H. L., Storey, V. C., &amp; Robinson, J. M. (2012). Business Intelligence and Analytics: From Big Data To Big Impact. </w:t>
      </w:r>
      <w:r w:rsidRPr="00E540EB">
        <w:rPr>
          <w:i/>
          <w:iCs/>
          <w:noProof/>
        </w:rPr>
        <w:t>MIS Quarterly</w:t>
      </w:r>
      <w:r w:rsidRPr="00E540EB">
        <w:rPr>
          <w:noProof/>
        </w:rPr>
        <w:t xml:space="preserve">, </w:t>
      </w:r>
      <w:r w:rsidRPr="00E540EB">
        <w:rPr>
          <w:i/>
          <w:iCs/>
          <w:noProof/>
        </w:rPr>
        <w:t>36</w:t>
      </w:r>
      <w:r w:rsidRPr="00E540EB">
        <w:rPr>
          <w:noProof/>
        </w:rPr>
        <w:t>(4), 1165–1188. Retrieved from www.freakonomics.com/2008/02/25/hal-varian-answers-your-questions/</w:t>
      </w:r>
    </w:p>
    <w:p w14:paraId="1C714B42" w14:textId="77777777" w:rsidR="00E540EB" w:rsidRPr="00E540EB" w:rsidRDefault="00E540EB" w:rsidP="00E540EB">
      <w:pPr>
        <w:pStyle w:val="Biblio"/>
        <w:suppressAutoHyphens/>
        <w:rPr>
          <w:noProof/>
        </w:rPr>
      </w:pPr>
      <w:r w:rsidRPr="00E540EB">
        <w:rPr>
          <w:noProof/>
        </w:rPr>
        <w:t xml:space="preserve">Chen, J., Wang, C., &amp; Bai, Y. (2015). CrowdMR: Integrating crowdsourcing with MapReduce for AI-hard problems. </w:t>
      </w:r>
      <w:r w:rsidRPr="00E540EB">
        <w:rPr>
          <w:i/>
          <w:iCs/>
          <w:noProof/>
        </w:rPr>
        <w:t>Proceedings of the National Conference on Artificial Intelligence</w:t>
      </w:r>
      <w:r w:rsidRPr="00E540EB">
        <w:rPr>
          <w:noProof/>
        </w:rPr>
        <w:t xml:space="preserve">, </w:t>
      </w:r>
      <w:r w:rsidRPr="00E540EB">
        <w:rPr>
          <w:i/>
          <w:iCs/>
          <w:noProof/>
        </w:rPr>
        <w:t>6</w:t>
      </w:r>
      <w:r w:rsidRPr="00E540EB">
        <w:rPr>
          <w:noProof/>
        </w:rPr>
        <w:t>(3), 4272–4273.</w:t>
      </w:r>
    </w:p>
    <w:p w14:paraId="4160DB9F" w14:textId="77777777" w:rsidR="00E540EB" w:rsidRPr="00E540EB" w:rsidRDefault="00E540EB" w:rsidP="00E540EB">
      <w:pPr>
        <w:pStyle w:val="Biblio"/>
        <w:suppressAutoHyphens/>
        <w:rPr>
          <w:noProof/>
        </w:rPr>
      </w:pPr>
      <w:r w:rsidRPr="00E540EB">
        <w:rPr>
          <w:noProof/>
        </w:rPr>
        <w:lastRenderedPageBreak/>
        <w:t xml:space="preserve">Chesbrough, H. (2010). Business model innovation: Opportunities and barriers. </w:t>
      </w:r>
      <w:r w:rsidRPr="00E540EB">
        <w:rPr>
          <w:i/>
          <w:iCs/>
          <w:noProof/>
        </w:rPr>
        <w:t>Long Range Planning</w:t>
      </w:r>
      <w:r w:rsidRPr="00E540EB">
        <w:rPr>
          <w:noProof/>
        </w:rPr>
        <w:t xml:space="preserve">, </w:t>
      </w:r>
      <w:r w:rsidRPr="00E540EB">
        <w:rPr>
          <w:i/>
          <w:iCs/>
          <w:noProof/>
        </w:rPr>
        <w:t>43</w:t>
      </w:r>
      <w:r w:rsidRPr="00E540EB">
        <w:rPr>
          <w:noProof/>
        </w:rPr>
        <w:t>(2–3), 354–363. https://doi.org/10.1016/j.lrp.2009.07.010</w:t>
      </w:r>
    </w:p>
    <w:p w14:paraId="3BD648E4" w14:textId="77777777" w:rsidR="00E540EB" w:rsidRPr="00E540EB" w:rsidRDefault="00E540EB" w:rsidP="00E540EB">
      <w:pPr>
        <w:pStyle w:val="Biblio"/>
        <w:suppressAutoHyphens/>
        <w:rPr>
          <w:noProof/>
        </w:rPr>
      </w:pPr>
      <w:r w:rsidRPr="00E540EB">
        <w:rPr>
          <w:noProof/>
        </w:rPr>
        <w:t xml:space="preserve">Clarke, R. (2016). Big data, big risks. </w:t>
      </w:r>
      <w:r w:rsidRPr="00E540EB">
        <w:rPr>
          <w:i/>
          <w:iCs/>
          <w:noProof/>
        </w:rPr>
        <w:t>Information Systems Journal</w:t>
      </w:r>
      <w:r w:rsidRPr="00E540EB">
        <w:rPr>
          <w:noProof/>
        </w:rPr>
        <w:t xml:space="preserve">, </w:t>
      </w:r>
      <w:r w:rsidRPr="00E540EB">
        <w:rPr>
          <w:i/>
          <w:iCs/>
          <w:noProof/>
        </w:rPr>
        <w:t>26</w:t>
      </w:r>
      <w:r w:rsidRPr="00E540EB">
        <w:rPr>
          <w:noProof/>
        </w:rPr>
        <w:t>(1), 77–90. https://doi.org/10.1111/isj.12088</w:t>
      </w:r>
    </w:p>
    <w:p w14:paraId="26B71C69" w14:textId="77777777" w:rsidR="00E540EB" w:rsidRPr="00E540EB" w:rsidRDefault="00E540EB" w:rsidP="00E540EB">
      <w:pPr>
        <w:pStyle w:val="Biblio"/>
        <w:suppressAutoHyphens/>
        <w:rPr>
          <w:noProof/>
        </w:rPr>
      </w:pPr>
      <w:r w:rsidRPr="00E540EB">
        <w:rPr>
          <w:noProof/>
        </w:rPr>
        <w:t>Claverie-Berge, I. (2012). Solutions Big Data (IBM, Ed.). Retrieved from Netezza website: http://www-05.ibm.com/fr/events/netezzaDM_2012/Solutions_Big_Data.pdf</w:t>
      </w:r>
    </w:p>
    <w:p w14:paraId="59C9A9DB" w14:textId="77777777" w:rsidR="00E540EB" w:rsidRPr="00E540EB" w:rsidRDefault="00E540EB" w:rsidP="00E540EB">
      <w:pPr>
        <w:pStyle w:val="Biblio"/>
        <w:suppressAutoHyphens/>
        <w:rPr>
          <w:noProof/>
        </w:rPr>
      </w:pPr>
      <w:r w:rsidRPr="00E540EB">
        <w:rPr>
          <w:noProof/>
        </w:rPr>
        <w:t xml:space="preserve">Comuzzi, M., &amp; Patel, A. (2016). How organisations leverage Big Data: a maturity model. </w:t>
      </w:r>
      <w:r w:rsidRPr="00E540EB">
        <w:rPr>
          <w:i/>
          <w:iCs/>
          <w:noProof/>
        </w:rPr>
        <w:t>IMDS 116,8 1468 Received 9 December 2015 Revised 25 February 2016 29 March 2016 Accepted 30 March 2016 How Organisations Leverage Big Data: A Maturity Model Marco Comuzzi School of Management Engineering, Ulsan National Institute of Science and Technology</w:t>
      </w:r>
      <w:r w:rsidRPr="00E540EB">
        <w:rPr>
          <w:noProof/>
        </w:rPr>
        <w:t xml:space="preserve">, </w:t>
      </w:r>
      <w:r w:rsidRPr="00E540EB">
        <w:rPr>
          <w:i/>
          <w:iCs/>
          <w:noProof/>
        </w:rPr>
        <w:t>116</w:t>
      </w:r>
      <w:r w:rsidRPr="00E540EB">
        <w:rPr>
          <w:noProof/>
        </w:rPr>
        <w:t>(8), 1468–1492. https://doi.org/10.1108/IMDS-07-2014-0202</w:t>
      </w:r>
    </w:p>
    <w:p w14:paraId="28861BDD" w14:textId="77777777" w:rsidR="00E540EB" w:rsidRPr="00E540EB" w:rsidRDefault="00E540EB" w:rsidP="00E540EB">
      <w:pPr>
        <w:pStyle w:val="Biblio"/>
        <w:suppressAutoHyphens/>
        <w:rPr>
          <w:noProof/>
        </w:rPr>
      </w:pPr>
      <w:r w:rsidRPr="00E540EB">
        <w:rPr>
          <w:noProof/>
        </w:rPr>
        <w:t xml:space="preserve">Constantiou, I. D., &amp; Kallinikos, J. (2015). New games, new rules: Big data and the changing context of strategy. </w:t>
      </w:r>
      <w:r w:rsidRPr="00E540EB">
        <w:rPr>
          <w:i/>
          <w:iCs/>
          <w:noProof/>
        </w:rPr>
        <w:t>Journal of Information Technology</w:t>
      </w:r>
      <w:r w:rsidRPr="00E540EB">
        <w:rPr>
          <w:noProof/>
        </w:rPr>
        <w:t xml:space="preserve">, </w:t>
      </w:r>
      <w:r w:rsidRPr="00E540EB">
        <w:rPr>
          <w:i/>
          <w:iCs/>
          <w:noProof/>
        </w:rPr>
        <w:t>30</w:t>
      </w:r>
      <w:r w:rsidRPr="00E540EB">
        <w:rPr>
          <w:noProof/>
        </w:rPr>
        <w:t>(1), 44–57. https://doi.org/10.1057/jit.2014.17</w:t>
      </w:r>
    </w:p>
    <w:p w14:paraId="3BE7B6F1" w14:textId="77777777" w:rsidR="00E540EB" w:rsidRPr="00E540EB" w:rsidRDefault="00E540EB" w:rsidP="00E540EB">
      <w:pPr>
        <w:pStyle w:val="Biblio"/>
        <w:suppressAutoHyphens/>
        <w:rPr>
          <w:noProof/>
        </w:rPr>
      </w:pPr>
      <w:r w:rsidRPr="00E540EB">
        <w:rPr>
          <w:noProof/>
        </w:rPr>
        <w:t xml:space="preserve">Cooper, G. (2015). Hurricanes and hashtags: How the media and NGOs treat citizens’ voices online in humanitarian emergencies. </w:t>
      </w:r>
      <w:r w:rsidRPr="00E540EB">
        <w:rPr>
          <w:i/>
          <w:iCs/>
          <w:noProof/>
        </w:rPr>
        <w:t>Interactions: Studies in Communication &amp; Culture</w:t>
      </w:r>
      <w:r w:rsidRPr="00E540EB">
        <w:rPr>
          <w:noProof/>
        </w:rPr>
        <w:t xml:space="preserve">, </w:t>
      </w:r>
      <w:r w:rsidRPr="00E540EB">
        <w:rPr>
          <w:i/>
          <w:iCs/>
          <w:noProof/>
        </w:rPr>
        <w:t>6</w:t>
      </w:r>
      <w:r w:rsidRPr="00E540EB">
        <w:rPr>
          <w:noProof/>
        </w:rPr>
        <w:t>(2), 233–244. https://doi.org/10.1386/iscc.6.2.233_1</w:t>
      </w:r>
    </w:p>
    <w:p w14:paraId="4362043B" w14:textId="77777777" w:rsidR="00E540EB" w:rsidRPr="00E540EB" w:rsidRDefault="00E540EB" w:rsidP="00E540EB">
      <w:pPr>
        <w:pStyle w:val="Biblio"/>
        <w:suppressAutoHyphens/>
        <w:rPr>
          <w:noProof/>
        </w:rPr>
      </w:pPr>
      <w:r w:rsidRPr="00E540EB">
        <w:rPr>
          <w:noProof/>
        </w:rPr>
        <w:t xml:space="preserve">Croicu, M., &amp; Sundberg, R. (2015). </w:t>
      </w:r>
      <w:r w:rsidRPr="00E540EB">
        <w:rPr>
          <w:i/>
          <w:iCs/>
          <w:noProof/>
        </w:rPr>
        <w:t>UCDP GED Codebook version 5.0</w:t>
      </w:r>
      <w:r w:rsidRPr="00E540EB">
        <w:rPr>
          <w:noProof/>
        </w:rPr>
        <w:t>. Retrieved from Department of Peace and Conflict Research, Uppsala University website: http://ucdp.uu.se/downloads/ged/ucdp-ged-50-codebook.pdf</w:t>
      </w:r>
    </w:p>
    <w:p w14:paraId="22492C9E" w14:textId="77777777" w:rsidR="00E540EB" w:rsidRPr="00E540EB" w:rsidRDefault="00E540EB" w:rsidP="00E540EB">
      <w:pPr>
        <w:pStyle w:val="Biblio"/>
        <w:suppressAutoHyphens/>
        <w:rPr>
          <w:noProof/>
        </w:rPr>
      </w:pPr>
      <w:r w:rsidRPr="00E540EB">
        <w:rPr>
          <w:noProof/>
        </w:rPr>
        <w:t>Cukier, K. (2019). Babbage: Data to the rescue (K. Cukier, Ed.). Retrieved from Babbage, The Economist website: https://play.acast.com/s/theeconomistbabbage/1481f4c7-5690-4f8f-8044-36c7c8818dd8</w:t>
      </w:r>
    </w:p>
    <w:p w14:paraId="6C41736D" w14:textId="77777777" w:rsidR="00E540EB" w:rsidRPr="00E540EB" w:rsidRDefault="00E540EB" w:rsidP="00E540EB">
      <w:pPr>
        <w:pStyle w:val="Biblio"/>
        <w:suppressAutoHyphens/>
        <w:rPr>
          <w:noProof/>
        </w:rPr>
      </w:pPr>
      <w:r w:rsidRPr="00E540EB">
        <w:rPr>
          <w:noProof/>
        </w:rPr>
        <w:t xml:space="preserve">D’Mello, N. (2016). 5 cases where big data was a big flop. </w:t>
      </w:r>
      <w:r w:rsidRPr="00E540EB">
        <w:rPr>
          <w:i/>
          <w:iCs/>
          <w:noProof/>
        </w:rPr>
        <w:t>CIO</w:t>
      </w:r>
      <w:r w:rsidRPr="00E540EB">
        <w:rPr>
          <w:noProof/>
        </w:rPr>
        <w:t>. Retrieved from http://www.cio.in/feature/5-cases-where-big-data-was-big-flop</w:t>
      </w:r>
    </w:p>
    <w:p w14:paraId="25F6081F" w14:textId="77777777" w:rsidR="00E540EB" w:rsidRPr="00E540EB" w:rsidRDefault="00E540EB" w:rsidP="00E540EB">
      <w:pPr>
        <w:pStyle w:val="Biblio"/>
        <w:suppressAutoHyphens/>
        <w:rPr>
          <w:noProof/>
        </w:rPr>
      </w:pPr>
      <w:r w:rsidRPr="00E540EB">
        <w:rPr>
          <w:noProof/>
        </w:rPr>
        <w:t xml:space="preserve">Davenport, T. (2014). </w:t>
      </w:r>
      <w:r w:rsidRPr="00E540EB">
        <w:rPr>
          <w:i/>
          <w:iCs/>
          <w:noProof/>
        </w:rPr>
        <w:t>Big Data at Work: Dispelling the Myths, Uncovering the Opportunities</w:t>
      </w:r>
      <w:r w:rsidRPr="00E540EB">
        <w:rPr>
          <w:noProof/>
        </w:rPr>
        <w:t>. Boston, MA: Harvard Business Review Press.</w:t>
      </w:r>
    </w:p>
    <w:p w14:paraId="6AA259E9" w14:textId="77777777" w:rsidR="00E540EB" w:rsidRPr="00E540EB" w:rsidRDefault="00E540EB" w:rsidP="00E540EB">
      <w:pPr>
        <w:pStyle w:val="Biblio"/>
        <w:suppressAutoHyphens/>
        <w:rPr>
          <w:noProof/>
        </w:rPr>
      </w:pPr>
      <w:r w:rsidRPr="00E540EB">
        <w:rPr>
          <w:noProof/>
        </w:rPr>
        <w:t xml:space="preserve">Davenport, T. H., Barth, P. F. P., &amp; Bean, R. (2012). How ‘Big Data’ is Different. </w:t>
      </w:r>
      <w:r w:rsidRPr="00E540EB">
        <w:rPr>
          <w:i/>
          <w:iCs/>
          <w:noProof/>
        </w:rPr>
        <w:t>MIT Sloan Management Review</w:t>
      </w:r>
      <w:r w:rsidRPr="00E540EB">
        <w:rPr>
          <w:noProof/>
        </w:rPr>
        <w:t xml:space="preserve">, </w:t>
      </w:r>
      <w:r w:rsidRPr="00E540EB">
        <w:rPr>
          <w:i/>
          <w:iCs/>
          <w:noProof/>
        </w:rPr>
        <w:t>54</w:t>
      </w:r>
      <w:r w:rsidRPr="00E540EB">
        <w:rPr>
          <w:noProof/>
        </w:rPr>
        <w:t>(1), 43–46. Retrieved from https://www.semanticscholar.org/paper/How-‘-Big-Data-’-is-Different-FALL-2012-Davenport-Barth/b82282089d3ff97f133a172ee38804d2357c71b1</w:t>
      </w:r>
    </w:p>
    <w:p w14:paraId="716038E0" w14:textId="77777777" w:rsidR="00E540EB" w:rsidRPr="00E540EB" w:rsidRDefault="00E540EB" w:rsidP="00E540EB">
      <w:pPr>
        <w:pStyle w:val="Biblio"/>
        <w:suppressAutoHyphens/>
        <w:rPr>
          <w:noProof/>
        </w:rPr>
      </w:pPr>
      <w:r w:rsidRPr="00E540EB">
        <w:rPr>
          <w:noProof/>
        </w:rPr>
        <w:t>DesInventar. (2017). Disaster Information Management System - OnLine Database (LA RED, Ed.). Retrieved January 7, 2017, from Network of Social Studies in the Prevention of Disasters in Latin America (Red de Estudios Sociales en Prevención de Desastres en América Latina - LA RED) website: http://www.desinventar.net</w:t>
      </w:r>
    </w:p>
    <w:p w14:paraId="1372E589" w14:textId="77777777" w:rsidR="00E540EB" w:rsidRPr="00E540EB" w:rsidRDefault="00E540EB" w:rsidP="00E540EB">
      <w:pPr>
        <w:pStyle w:val="Biblio"/>
        <w:suppressAutoHyphens/>
        <w:rPr>
          <w:noProof/>
        </w:rPr>
      </w:pPr>
      <w:r w:rsidRPr="00E540EB">
        <w:rPr>
          <w:noProof/>
        </w:rPr>
        <w:t xml:space="preserve">Dubey, R., Luo, Z., Gunasekaran, A., Akter, S., Hazen, B. T., &amp; Douglas, M. A. (2018). Big data and predictive analytics in humanitarian supply chains: Enabling visibility and coordination in the presence of swift trust. </w:t>
      </w:r>
      <w:r w:rsidRPr="00E540EB">
        <w:rPr>
          <w:i/>
          <w:iCs/>
          <w:noProof/>
        </w:rPr>
        <w:t>The International Journal of Logistics Management</w:t>
      </w:r>
      <w:r w:rsidRPr="00E540EB">
        <w:rPr>
          <w:noProof/>
        </w:rPr>
        <w:t xml:space="preserve">, </w:t>
      </w:r>
      <w:r w:rsidRPr="00E540EB">
        <w:rPr>
          <w:i/>
          <w:iCs/>
          <w:noProof/>
        </w:rPr>
        <w:t>29</w:t>
      </w:r>
      <w:r w:rsidRPr="00E540EB">
        <w:rPr>
          <w:noProof/>
        </w:rPr>
        <w:t>(2), 485–512. https://doi.org/10.1108/ijlm-02-2017-0039</w:t>
      </w:r>
    </w:p>
    <w:p w14:paraId="39DC6B7F" w14:textId="77777777" w:rsidR="00E540EB" w:rsidRPr="00E540EB" w:rsidRDefault="00E540EB" w:rsidP="00E540EB">
      <w:pPr>
        <w:pStyle w:val="Biblio"/>
        <w:suppressAutoHyphens/>
        <w:rPr>
          <w:noProof/>
        </w:rPr>
      </w:pPr>
      <w:r w:rsidRPr="00E540EB">
        <w:rPr>
          <w:noProof/>
        </w:rPr>
        <w:t xml:space="preserve">DuBois, M. (2016). Don’t blur the lines between development and humanitarian work . </w:t>
      </w:r>
      <w:r w:rsidRPr="00E540EB">
        <w:rPr>
          <w:i/>
          <w:iCs/>
          <w:noProof/>
        </w:rPr>
        <w:t>The Guardian</w:t>
      </w:r>
      <w:r w:rsidRPr="00E540EB">
        <w:rPr>
          <w:noProof/>
        </w:rPr>
        <w:t>. Retrieved from https://www.theguardian.com/global-development-professionals-network/2016/may/12/dont-blur-the-lines-between-development-and-humanitarian-work</w:t>
      </w:r>
    </w:p>
    <w:p w14:paraId="5814BFDA" w14:textId="77777777" w:rsidR="00E540EB" w:rsidRPr="00E540EB" w:rsidRDefault="00E540EB" w:rsidP="00E540EB">
      <w:pPr>
        <w:pStyle w:val="Biblio"/>
        <w:suppressAutoHyphens/>
        <w:rPr>
          <w:noProof/>
        </w:rPr>
      </w:pPr>
      <w:r w:rsidRPr="00E540EB">
        <w:rPr>
          <w:noProof/>
        </w:rPr>
        <w:t xml:space="preserve">Dutta, D., &amp; Bose, I. (2015). Managing a Big Data project: The case of Ramco Cements Limited. </w:t>
      </w:r>
      <w:r w:rsidRPr="00E540EB">
        <w:rPr>
          <w:i/>
          <w:iCs/>
          <w:noProof/>
        </w:rPr>
        <w:t>International Journal of Production Economics</w:t>
      </w:r>
      <w:r w:rsidRPr="00E540EB">
        <w:rPr>
          <w:noProof/>
        </w:rPr>
        <w:t xml:space="preserve">, </w:t>
      </w:r>
      <w:r w:rsidRPr="00E540EB">
        <w:rPr>
          <w:i/>
          <w:iCs/>
          <w:noProof/>
        </w:rPr>
        <w:t>165</w:t>
      </w:r>
      <w:r w:rsidRPr="00E540EB">
        <w:rPr>
          <w:noProof/>
        </w:rPr>
        <w:t>, 293–306. https://doi.org/https://doi.org/10.1016/j.ijpe.2014.12.032</w:t>
      </w:r>
    </w:p>
    <w:p w14:paraId="2F10EA6F" w14:textId="77777777" w:rsidR="00E540EB" w:rsidRPr="00E540EB" w:rsidRDefault="00E540EB" w:rsidP="00E540EB">
      <w:pPr>
        <w:pStyle w:val="Biblio"/>
        <w:suppressAutoHyphens/>
        <w:rPr>
          <w:noProof/>
        </w:rPr>
      </w:pPr>
      <w:r w:rsidRPr="00E540EB">
        <w:rPr>
          <w:noProof/>
        </w:rPr>
        <w:lastRenderedPageBreak/>
        <w:t xml:space="preserve">Dyer, J. H., Gregersen, H. B., &amp; Christensen, C. M. (2009). The Innovator’s DNA. </w:t>
      </w:r>
      <w:r w:rsidRPr="00E540EB">
        <w:rPr>
          <w:i/>
          <w:iCs/>
          <w:noProof/>
        </w:rPr>
        <w:t>Harvard Business Review</w:t>
      </w:r>
      <w:r w:rsidRPr="00E540EB">
        <w:rPr>
          <w:noProof/>
        </w:rPr>
        <w:t>, (December), 1–9.</w:t>
      </w:r>
    </w:p>
    <w:p w14:paraId="36FE6ECE" w14:textId="77777777" w:rsidR="00E540EB" w:rsidRPr="00E540EB" w:rsidRDefault="00E540EB" w:rsidP="00E540EB">
      <w:pPr>
        <w:pStyle w:val="Biblio"/>
        <w:suppressAutoHyphens/>
        <w:rPr>
          <w:noProof/>
        </w:rPr>
      </w:pPr>
      <w:r w:rsidRPr="00E540EB">
        <w:rPr>
          <w:noProof/>
        </w:rPr>
        <w:t>EDRIS. (2017). European Disaster Response Information System (EDRIS) (Directorate-General for European Civil Protection and Humanitarian Aid Operations (ECHO);, Ed.). Retrieved July 12, 2016, from http://ec.europa.eu/echo/</w:t>
      </w:r>
    </w:p>
    <w:p w14:paraId="59ED9D71" w14:textId="77777777" w:rsidR="00E540EB" w:rsidRPr="00E540EB" w:rsidRDefault="00E540EB" w:rsidP="00E540EB">
      <w:pPr>
        <w:pStyle w:val="Biblio"/>
        <w:suppressAutoHyphens/>
        <w:rPr>
          <w:noProof/>
        </w:rPr>
      </w:pPr>
      <w:r w:rsidRPr="00E540EB">
        <w:rPr>
          <w:noProof/>
        </w:rPr>
        <w:t xml:space="preserve">Ekbia, H., Mattioli, M., Kouper, I., Arave, G., Ghazinejad, A., Bowman, T., … Sugimoto, C. R. (2015). Big data, bigger dilemmas: A critical review. </w:t>
      </w:r>
      <w:r w:rsidRPr="00E540EB">
        <w:rPr>
          <w:i/>
          <w:iCs/>
          <w:noProof/>
        </w:rPr>
        <w:t>Journal of the Association for Information Science and Technology</w:t>
      </w:r>
      <w:r w:rsidRPr="00E540EB">
        <w:rPr>
          <w:noProof/>
        </w:rPr>
        <w:t xml:space="preserve">, </w:t>
      </w:r>
      <w:r w:rsidRPr="00E540EB">
        <w:rPr>
          <w:i/>
          <w:iCs/>
          <w:noProof/>
        </w:rPr>
        <w:t>66</w:t>
      </w:r>
      <w:r w:rsidRPr="00E540EB">
        <w:rPr>
          <w:noProof/>
        </w:rPr>
        <w:t>(8), 1523–1545. https://doi.org/10.1002/asi.23294</w:t>
      </w:r>
    </w:p>
    <w:p w14:paraId="0BBDD245" w14:textId="77777777" w:rsidR="00E540EB" w:rsidRPr="00E540EB" w:rsidRDefault="00E540EB" w:rsidP="00E540EB">
      <w:pPr>
        <w:pStyle w:val="Biblio"/>
        <w:suppressAutoHyphens/>
        <w:rPr>
          <w:noProof/>
        </w:rPr>
      </w:pPr>
      <w:r w:rsidRPr="00E540EB">
        <w:rPr>
          <w:noProof/>
        </w:rPr>
        <w:t xml:space="preserve">Elgendy, N., &amp; Elragal, A. (2014). Advances in Data Mining. Applications and Theoretical Aspects. </w:t>
      </w:r>
      <w:r w:rsidRPr="00E540EB">
        <w:rPr>
          <w:i/>
          <w:iCs/>
          <w:noProof/>
        </w:rPr>
        <w:t>Proceedings of The14th Industrial Conference, ICDM</w:t>
      </w:r>
      <w:r w:rsidRPr="00E540EB">
        <w:rPr>
          <w:noProof/>
        </w:rPr>
        <w:t xml:space="preserve">, </w:t>
      </w:r>
      <w:r w:rsidRPr="00E540EB">
        <w:rPr>
          <w:i/>
          <w:iCs/>
          <w:noProof/>
        </w:rPr>
        <w:t>7987</w:t>
      </w:r>
      <w:r w:rsidRPr="00E540EB">
        <w:rPr>
          <w:noProof/>
        </w:rPr>
        <w:t>. https://doi.org/10.1007/978-3-642-39736-3</w:t>
      </w:r>
    </w:p>
    <w:p w14:paraId="0C3848DB" w14:textId="77777777" w:rsidR="00E540EB" w:rsidRPr="00E540EB" w:rsidRDefault="00E540EB" w:rsidP="00E540EB">
      <w:pPr>
        <w:pStyle w:val="Biblio"/>
        <w:suppressAutoHyphens/>
        <w:rPr>
          <w:noProof/>
        </w:rPr>
      </w:pPr>
      <w:r w:rsidRPr="00E540EB">
        <w:rPr>
          <w:noProof/>
        </w:rPr>
        <w:t xml:space="preserve">Estrada, M. A. R., &amp; Ndoma, A. (2019). The uses of unmanned aerial vehicles –UAV’s- (or drones) in social logistic: Natural disasters response and humanitarian relief aid. </w:t>
      </w:r>
      <w:r w:rsidRPr="00E540EB">
        <w:rPr>
          <w:i/>
          <w:iCs/>
          <w:noProof/>
        </w:rPr>
        <w:t>Procedia Computer Science</w:t>
      </w:r>
      <w:r w:rsidRPr="00E540EB">
        <w:rPr>
          <w:noProof/>
        </w:rPr>
        <w:t xml:space="preserve">, </w:t>
      </w:r>
      <w:r w:rsidRPr="00E540EB">
        <w:rPr>
          <w:i/>
          <w:iCs/>
          <w:noProof/>
        </w:rPr>
        <w:t>149</w:t>
      </w:r>
      <w:r w:rsidRPr="00E540EB">
        <w:rPr>
          <w:noProof/>
        </w:rPr>
        <w:t>, 375–383. https://doi.org/https://doi.org/10.1016/j.procs.2019.01.151</w:t>
      </w:r>
    </w:p>
    <w:p w14:paraId="664FBE57" w14:textId="77777777" w:rsidR="00E540EB" w:rsidRPr="00E540EB" w:rsidRDefault="00E540EB" w:rsidP="00E540EB">
      <w:pPr>
        <w:pStyle w:val="Biblio"/>
        <w:suppressAutoHyphens/>
        <w:rPr>
          <w:noProof/>
        </w:rPr>
      </w:pPr>
      <w:r w:rsidRPr="00E540EB">
        <w:rPr>
          <w:noProof/>
        </w:rPr>
        <w:t>FTS. (2017). Financial Tracking Services (Humanitarian Programme Cycle Information Services Unit (HPC-IS), Ed.). Retrieved May 30, 2017, from Tracking Humanitarian Aid Flows website: http://fts.unocha.org/</w:t>
      </w:r>
    </w:p>
    <w:p w14:paraId="1C460612" w14:textId="77777777" w:rsidR="00E540EB" w:rsidRPr="00E540EB" w:rsidRDefault="00E540EB" w:rsidP="00E540EB">
      <w:pPr>
        <w:pStyle w:val="Biblio"/>
        <w:suppressAutoHyphens/>
        <w:rPr>
          <w:noProof/>
        </w:rPr>
      </w:pPr>
      <w:r w:rsidRPr="00E540EB">
        <w:rPr>
          <w:noProof/>
        </w:rPr>
        <w:t xml:space="preserve">Gandomi, A., &amp; Haider, M. (2015). Beyond the hype: Big data concepts, methods, and analytics. </w:t>
      </w:r>
      <w:r w:rsidRPr="00E540EB">
        <w:rPr>
          <w:i/>
          <w:iCs/>
          <w:noProof/>
        </w:rPr>
        <w:t>International Journal of Information Management</w:t>
      </w:r>
      <w:r w:rsidRPr="00E540EB">
        <w:rPr>
          <w:noProof/>
        </w:rPr>
        <w:t xml:space="preserve">, </w:t>
      </w:r>
      <w:r w:rsidRPr="00E540EB">
        <w:rPr>
          <w:i/>
          <w:iCs/>
          <w:noProof/>
        </w:rPr>
        <w:t>35</w:t>
      </w:r>
      <w:r w:rsidRPr="00E540EB">
        <w:rPr>
          <w:noProof/>
        </w:rPr>
        <w:t>(2), 137–144. https://doi.org/10.1016/j.ijinfomgt.2014.10.007</w:t>
      </w:r>
    </w:p>
    <w:p w14:paraId="45639AAF" w14:textId="77777777" w:rsidR="00E540EB" w:rsidRPr="00E540EB" w:rsidRDefault="00E540EB" w:rsidP="00E540EB">
      <w:pPr>
        <w:pStyle w:val="Biblio"/>
        <w:suppressAutoHyphens/>
        <w:rPr>
          <w:noProof/>
        </w:rPr>
      </w:pPr>
      <w:r w:rsidRPr="00E540EB">
        <w:rPr>
          <w:noProof/>
        </w:rPr>
        <w:t xml:space="preserve">Gantz, J., &amp; Reinsel, D. (2011). Extracting Value from Chaos State of the Universe. </w:t>
      </w:r>
      <w:r w:rsidRPr="00E540EB">
        <w:rPr>
          <w:i/>
          <w:iCs/>
          <w:noProof/>
        </w:rPr>
        <w:t>IDC IView</w:t>
      </w:r>
      <w:r w:rsidRPr="00E540EB">
        <w:rPr>
          <w:noProof/>
        </w:rPr>
        <w:t>, (June), 1–12. https://doi.org/10.1007/s10916-016-0565-7</w:t>
      </w:r>
    </w:p>
    <w:p w14:paraId="1932039E" w14:textId="77777777" w:rsidR="00E540EB" w:rsidRPr="00E540EB" w:rsidRDefault="00E540EB" w:rsidP="00E540EB">
      <w:pPr>
        <w:pStyle w:val="Biblio"/>
        <w:suppressAutoHyphens/>
        <w:rPr>
          <w:noProof/>
        </w:rPr>
      </w:pPr>
      <w:r w:rsidRPr="00E540EB">
        <w:rPr>
          <w:noProof/>
        </w:rPr>
        <w:t>Global Campaign for Aid Transparency (Ed.). (2017). Aid Transparency Index (ATI). Retrieved from Publish What you Fund website: http://ati.publishwhatyoufund.org/</w:t>
      </w:r>
    </w:p>
    <w:p w14:paraId="2EC18849" w14:textId="77777777" w:rsidR="00E540EB" w:rsidRPr="00E540EB" w:rsidRDefault="00E540EB" w:rsidP="00E540EB">
      <w:pPr>
        <w:pStyle w:val="Biblio"/>
        <w:suppressAutoHyphens/>
        <w:rPr>
          <w:noProof/>
        </w:rPr>
      </w:pPr>
      <w:r w:rsidRPr="00E540EB">
        <w:rPr>
          <w:noProof/>
        </w:rPr>
        <w:t>Grimes, S. (2013). Big Data: Avoid “Wanna V” Confusion (I. Week, Ed.). Retrieved March 3, 2017, from InformationWeek website: http://www.informationweek.com/big-data/big-data-analytics/big-data-avoid-wanna-v-confusion/d/d-id/1111077</w:t>
      </w:r>
    </w:p>
    <w:p w14:paraId="519621B9" w14:textId="77777777" w:rsidR="00E540EB" w:rsidRPr="00E540EB" w:rsidRDefault="00E540EB" w:rsidP="00E540EB">
      <w:pPr>
        <w:pStyle w:val="Biblio"/>
        <w:suppressAutoHyphens/>
        <w:rPr>
          <w:noProof/>
        </w:rPr>
      </w:pPr>
      <w:r w:rsidRPr="00E540EB">
        <w:rPr>
          <w:noProof/>
        </w:rPr>
        <w:t xml:space="preserve">Grogan, B., &amp; Strohmeyer, H. (2016). </w:t>
      </w:r>
      <w:r w:rsidRPr="00E540EB">
        <w:rPr>
          <w:i/>
          <w:iCs/>
          <w:noProof/>
        </w:rPr>
        <w:t>Leaving No One Behind</w:t>
      </w:r>
      <w:r w:rsidRPr="00E540EB">
        <w:rPr>
          <w:noProof/>
        </w:rPr>
        <w:t xml:space="preserve"> (P. D. and S. B. OCHA Policy Analysis and Innovation Section, Ed.). Retrieved from https://www.unocha.org/sites/dms/Documents/HEStudy_20151109_Small.pdf</w:t>
      </w:r>
    </w:p>
    <w:p w14:paraId="0798A1CF" w14:textId="77777777" w:rsidR="00E540EB" w:rsidRPr="00E540EB" w:rsidRDefault="00E540EB" w:rsidP="00E540EB">
      <w:pPr>
        <w:pStyle w:val="Biblio"/>
        <w:suppressAutoHyphens/>
        <w:rPr>
          <w:noProof/>
        </w:rPr>
      </w:pPr>
      <w:r w:rsidRPr="00E540EB">
        <w:rPr>
          <w:noProof/>
        </w:rPr>
        <w:t>GTD. (2017). Global Terrorism Database (GTD), National Consortium for the Study of Terrorism and Responses to Terrorism (START) (University of Maryland, Ed.). Retrieved January 7, 2017, from START: A Center of Excellence of the U.S. Department of Homeland Security website: http://www.start.umd.edu/gtd/</w:t>
      </w:r>
    </w:p>
    <w:p w14:paraId="05842F63" w14:textId="77777777" w:rsidR="00E540EB" w:rsidRPr="00E540EB" w:rsidRDefault="00E540EB" w:rsidP="00E540EB">
      <w:pPr>
        <w:pStyle w:val="Biblio"/>
        <w:suppressAutoHyphens/>
        <w:rPr>
          <w:noProof/>
        </w:rPr>
      </w:pPr>
      <w:r w:rsidRPr="00E540EB">
        <w:rPr>
          <w:noProof/>
        </w:rPr>
        <w:t>Guha-Sapir, D., Below, R., &amp; Hoyois, P. (2017). Emergency Events Database (EM-DAT): The CRED/OFDA International Disaster Database (U. C. de Louvain, Ed.). Retrieved August 16, 2016, from EM-DAT website: http://emdat.be</w:t>
      </w:r>
    </w:p>
    <w:p w14:paraId="3B1A8A62" w14:textId="77777777" w:rsidR="00E540EB" w:rsidRPr="00E540EB" w:rsidRDefault="00E540EB" w:rsidP="00E540EB">
      <w:pPr>
        <w:pStyle w:val="Biblio"/>
        <w:suppressAutoHyphens/>
        <w:rPr>
          <w:noProof/>
        </w:rPr>
      </w:pPr>
      <w:r w:rsidRPr="00E540EB">
        <w:rPr>
          <w:noProof/>
        </w:rPr>
        <w:t xml:space="preserve">Günther, W. A., Rezazade Mehrizi, M. H., Huysman, M., &amp; Feldberg, F. (2017). Debating big data: A literature review on realizing value from big data. </w:t>
      </w:r>
      <w:r w:rsidRPr="00E540EB">
        <w:rPr>
          <w:i/>
          <w:iCs/>
          <w:noProof/>
        </w:rPr>
        <w:t>Journal of Strategic Information Systems</w:t>
      </w:r>
      <w:r w:rsidRPr="00E540EB">
        <w:rPr>
          <w:noProof/>
        </w:rPr>
        <w:t xml:space="preserve">, </w:t>
      </w:r>
      <w:r w:rsidRPr="00E540EB">
        <w:rPr>
          <w:i/>
          <w:iCs/>
          <w:noProof/>
        </w:rPr>
        <w:t>26</w:t>
      </w:r>
      <w:r w:rsidRPr="00E540EB">
        <w:rPr>
          <w:noProof/>
        </w:rPr>
        <w:t>(3), 191–209. https://doi.org/10.1016/j.jsis.2017.07.003</w:t>
      </w:r>
    </w:p>
    <w:p w14:paraId="043BABE5" w14:textId="77777777" w:rsidR="00E540EB" w:rsidRPr="00E540EB" w:rsidRDefault="00E540EB" w:rsidP="00E540EB">
      <w:pPr>
        <w:pStyle w:val="Biblio"/>
        <w:suppressAutoHyphens/>
        <w:rPr>
          <w:noProof/>
        </w:rPr>
      </w:pPr>
      <w:r w:rsidRPr="00E540EB">
        <w:rPr>
          <w:noProof/>
        </w:rPr>
        <w:t xml:space="preserve">Hansen, H. K., &amp; Porter, T. (2017). What do big data do in global governance? </w:t>
      </w:r>
      <w:r w:rsidRPr="00E540EB">
        <w:rPr>
          <w:i/>
          <w:iCs/>
          <w:noProof/>
        </w:rPr>
        <w:t>Global Governance</w:t>
      </w:r>
      <w:r w:rsidRPr="00E540EB">
        <w:rPr>
          <w:noProof/>
        </w:rPr>
        <w:t xml:space="preserve">, </w:t>
      </w:r>
      <w:r w:rsidRPr="00E540EB">
        <w:rPr>
          <w:i/>
          <w:iCs/>
          <w:noProof/>
        </w:rPr>
        <w:t>23</w:t>
      </w:r>
      <w:r w:rsidRPr="00E540EB">
        <w:rPr>
          <w:noProof/>
        </w:rPr>
        <w:t>(1), 31–42. Retrieved from https://www.scopus.com/inward/record.uri?eid=2-s2.0-85012226949&amp;partnerID=40&amp;md5=d1c86788e793119f93cbc8663a13a11d</w:t>
      </w:r>
    </w:p>
    <w:p w14:paraId="003E1EF3" w14:textId="77777777" w:rsidR="00E540EB" w:rsidRPr="00E540EB" w:rsidRDefault="00E540EB" w:rsidP="00E540EB">
      <w:pPr>
        <w:pStyle w:val="Biblio"/>
        <w:suppressAutoHyphens/>
        <w:rPr>
          <w:noProof/>
        </w:rPr>
      </w:pPr>
      <w:r w:rsidRPr="00E540EB">
        <w:rPr>
          <w:noProof/>
        </w:rPr>
        <w:lastRenderedPageBreak/>
        <w:t xml:space="preserve">Hazen, B. T., Bradley, R. V., Bell, J. E., In, J., &amp; Byrd, T. A. (2017). Enterprise architecture: A competence-based approach to achieving agility and firm performance. </w:t>
      </w:r>
      <w:r w:rsidRPr="00E540EB">
        <w:rPr>
          <w:i/>
          <w:iCs/>
          <w:noProof/>
        </w:rPr>
        <w:t>International Journal of Production Economics</w:t>
      </w:r>
      <w:r w:rsidRPr="00E540EB">
        <w:rPr>
          <w:noProof/>
        </w:rPr>
        <w:t xml:space="preserve">, </w:t>
      </w:r>
      <w:r w:rsidRPr="00E540EB">
        <w:rPr>
          <w:i/>
          <w:iCs/>
          <w:noProof/>
        </w:rPr>
        <w:t>193</w:t>
      </w:r>
      <w:r w:rsidRPr="00E540EB">
        <w:rPr>
          <w:noProof/>
        </w:rPr>
        <w:t>(July), 566–577. https://doi.org/10.1016/j.ijpe.2017.08.022</w:t>
      </w:r>
    </w:p>
    <w:p w14:paraId="6A3610F0" w14:textId="77777777" w:rsidR="00E540EB" w:rsidRPr="00E540EB" w:rsidRDefault="00E540EB" w:rsidP="00E540EB">
      <w:pPr>
        <w:pStyle w:val="Biblio"/>
        <w:suppressAutoHyphens/>
        <w:rPr>
          <w:noProof/>
        </w:rPr>
      </w:pPr>
      <w:r w:rsidRPr="00E540EB">
        <w:rPr>
          <w:noProof/>
        </w:rPr>
        <w:t>HDX. (2017). Humanitarian Data Exchange (HDX). Retrieved January 6, 2017, from http://data.humdata.org/</w:t>
      </w:r>
    </w:p>
    <w:p w14:paraId="3734BE07" w14:textId="77777777" w:rsidR="00E540EB" w:rsidRPr="00E540EB" w:rsidRDefault="00E540EB" w:rsidP="00E540EB">
      <w:pPr>
        <w:pStyle w:val="Biblio"/>
        <w:suppressAutoHyphens/>
        <w:rPr>
          <w:noProof/>
        </w:rPr>
      </w:pPr>
      <w:r w:rsidRPr="00E540EB">
        <w:rPr>
          <w:noProof/>
        </w:rPr>
        <w:t xml:space="preserve">Huberty, M. (2015). Awaiting the Second Big Data Revolution: From Digital Noise to Value Creation. </w:t>
      </w:r>
      <w:r w:rsidRPr="00E540EB">
        <w:rPr>
          <w:i/>
          <w:iCs/>
          <w:noProof/>
        </w:rPr>
        <w:t>Journal of Industry, Competition and Trade</w:t>
      </w:r>
      <w:r w:rsidRPr="00E540EB">
        <w:rPr>
          <w:noProof/>
        </w:rPr>
        <w:t xml:space="preserve">, </w:t>
      </w:r>
      <w:r w:rsidRPr="00E540EB">
        <w:rPr>
          <w:i/>
          <w:iCs/>
          <w:noProof/>
        </w:rPr>
        <w:t>15</w:t>
      </w:r>
      <w:r w:rsidRPr="00E540EB">
        <w:rPr>
          <w:noProof/>
        </w:rPr>
        <w:t>(1), 35–47. https://doi.org/10.1007/s10842-014-0190-4</w:t>
      </w:r>
    </w:p>
    <w:p w14:paraId="7D6AD78C" w14:textId="77777777" w:rsidR="00E540EB" w:rsidRPr="00E540EB" w:rsidRDefault="00E540EB" w:rsidP="00E540EB">
      <w:pPr>
        <w:pStyle w:val="Biblio"/>
        <w:suppressAutoHyphens/>
        <w:rPr>
          <w:noProof/>
        </w:rPr>
      </w:pPr>
      <w:r w:rsidRPr="00E540EB">
        <w:rPr>
          <w:noProof/>
        </w:rPr>
        <w:t>HXL. (2019). The Humanitarian Exchange Language. Retrieved August 1, 2019, from http://hxlstandard.org/</w:t>
      </w:r>
    </w:p>
    <w:p w14:paraId="06DC213B" w14:textId="77777777" w:rsidR="00E540EB" w:rsidRPr="00E540EB" w:rsidRDefault="00E540EB" w:rsidP="00E540EB">
      <w:pPr>
        <w:pStyle w:val="Biblio"/>
        <w:suppressAutoHyphens/>
        <w:rPr>
          <w:noProof/>
        </w:rPr>
      </w:pPr>
      <w:r w:rsidRPr="00E540EB">
        <w:rPr>
          <w:noProof/>
        </w:rPr>
        <w:t xml:space="preserve">IAEG-SDGs. (2017). Sendai Framework for Disaster Risk Reduction 2015-2030 &amp; 2030 Agenda for Sustainable Development-Multi-Purpose Data. In </w:t>
      </w:r>
      <w:r w:rsidRPr="00E540EB">
        <w:rPr>
          <w:i/>
          <w:iCs/>
          <w:noProof/>
        </w:rPr>
        <w:t>Inter-agency and Expert Group on Sustainable Development Goal Indicators (IAEG-SDGs)</w:t>
      </w:r>
      <w:r w:rsidRPr="00E540EB">
        <w:rPr>
          <w:noProof/>
        </w:rPr>
        <w:t>. Retrieved from United Nations Statistics Division (UNSD) website: https://unstats.un.org/sdgs/files/meetings/iaeg-sdgs-meeting-06/5. UNISDR Disaster Risk Reduction Indicators.pdf</w:t>
      </w:r>
    </w:p>
    <w:p w14:paraId="45F38237" w14:textId="77777777" w:rsidR="00E540EB" w:rsidRPr="00E540EB" w:rsidRDefault="00E540EB" w:rsidP="00E540EB">
      <w:pPr>
        <w:pStyle w:val="Biblio"/>
        <w:suppressAutoHyphens/>
        <w:rPr>
          <w:noProof/>
        </w:rPr>
      </w:pPr>
      <w:r w:rsidRPr="00E540EB">
        <w:rPr>
          <w:noProof/>
        </w:rPr>
        <w:t>IATI (Ed.). (2017). International Aid Transparency Initiative (IATI). Retrieved February 1, 2017, from International Aid Transparency Initiative website: http://www.aidtransparency.net/</w:t>
      </w:r>
    </w:p>
    <w:p w14:paraId="29D75126" w14:textId="77777777" w:rsidR="00E540EB" w:rsidRPr="00E540EB" w:rsidRDefault="00E540EB" w:rsidP="00E540EB">
      <w:pPr>
        <w:pStyle w:val="Biblio"/>
        <w:suppressAutoHyphens/>
        <w:rPr>
          <w:noProof/>
        </w:rPr>
      </w:pPr>
      <w:r w:rsidRPr="00E540EB">
        <w:rPr>
          <w:noProof/>
        </w:rPr>
        <w:t>IBM. (2013). The Four V’s of Big Data (IBM Big Data &amp; Analytics Hub, Ed.). Retrieved May 12, 2014, from IBM Big Data &amp; Analytics Hub website: http://www.ibmbigdatahub.com/infographic/four-vs-big-data</w:t>
      </w:r>
    </w:p>
    <w:p w14:paraId="4450D820" w14:textId="77777777" w:rsidR="00E540EB" w:rsidRPr="00E540EB" w:rsidRDefault="00E540EB" w:rsidP="00E540EB">
      <w:pPr>
        <w:pStyle w:val="Biblio"/>
        <w:suppressAutoHyphens/>
        <w:rPr>
          <w:noProof/>
        </w:rPr>
      </w:pPr>
      <w:r w:rsidRPr="00E540EB">
        <w:rPr>
          <w:noProof/>
        </w:rPr>
        <w:t xml:space="preserve">IRDR. (2014). Peril Classification and Hazard Glossary. In Integrated Research on Disaster Risk (IRDR) (Ed.), </w:t>
      </w:r>
      <w:r w:rsidRPr="00E540EB">
        <w:rPr>
          <w:i/>
          <w:iCs/>
          <w:noProof/>
        </w:rPr>
        <w:t>Data Project Report n°1</w:t>
      </w:r>
      <w:r w:rsidRPr="00E540EB">
        <w:rPr>
          <w:noProof/>
        </w:rPr>
        <w:t>. Retrieved from International Social Science Council (ISSC); United Nations International Strategy for Disaster Reduction (UNISDR) website: http://www.irdrinternational.org/wp-content/uploads/2014/04/IRDR_DATA-Project-Report-No.-1.pdf</w:t>
      </w:r>
    </w:p>
    <w:p w14:paraId="6C801BBD" w14:textId="77777777" w:rsidR="00E540EB" w:rsidRPr="00E540EB" w:rsidRDefault="00E540EB" w:rsidP="00E540EB">
      <w:pPr>
        <w:pStyle w:val="Biblio"/>
        <w:suppressAutoHyphens/>
        <w:rPr>
          <w:noProof/>
        </w:rPr>
      </w:pPr>
      <w:r w:rsidRPr="00E540EB">
        <w:rPr>
          <w:noProof/>
        </w:rPr>
        <w:t>ISO. (2017). International Organization for Standardization (International Organization for Standardization, Ed.). Retrieved January 9, 2017, from http://www.iso.org/iso/home.html</w:t>
      </w:r>
    </w:p>
    <w:p w14:paraId="09B512E1" w14:textId="77777777" w:rsidR="00E540EB" w:rsidRPr="00E540EB" w:rsidRDefault="00E540EB" w:rsidP="00E540EB">
      <w:pPr>
        <w:pStyle w:val="Biblio"/>
        <w:suppressAutoHyphens/>
        <w:rPr>
          <w:noProof/>
        </w:rPr>
      </w:pPr>
      <w:r w:rsidRPr="00E540EB">
        <w:rPr>
          <w:noProof/>
        </w:rPr>
        <w:t xml:space="preserve">Jagadish, H. V., Gehrke, J., Labrinidis, A., Papakonstantinou, Y., Patel, J. M., Ramakrishnan, R., &amp; Shahabi, C. (2014). Big data and its technical challenges. </w:t>
      </w:r>
      <w:r w:rsidRPr="00E540EB">
        <w:rPr>
          <w:i/>
          <w:iCs/>
          <w:noProof/>
        </w:rPr>
        <w:t>Communications of the ACM</w:t>
      </w:r>
      <w:r w:rsidRPr="00E540EB">
        <w:rPr>
          <w:noProof/>
        </w:rPr>
        <w:t xml:space="preserve">, </w:t>
      </w:r>
      <w:r w:rsidRPr="00E540EB">
        <w:rPr>
          <w:i/>
          <w:iCs/>
          <w:noProof/>
        </w:rPr>
        <w:t>57</w:t>
      </w:r>
      <w:r w:rsidRPr="00E540EB">
        <w:rPr>
          <w:noProof/>
        </w:rPr>
        <w:t>(7), 86–94. https://doi.org/10.1145/2611567</w:t>
      </w:r>
    </w:p>
    <w:p w14:paraId="02A206E7" w14:textId="77777777" w:rsidR="00E540EB" w:rsidRPr="00E540EB" w:rsidRDefault="00E540EB" w:rsidP="00E540EB">
      <w:pPr>
        <w:pStyle w:val="Biblio"/>
        <w:suppressAutoHyphens/>
        <w:rPr>
          <w:noProof/>
        </w:rPr>
      </w:pPr>
      <w:r w:rsidRPr="00E540EB">
        <w:rPr>
          <w:noProof/>
        </w:rPr>
        <w:t xml:space="preserve">Janssen, M., van der Voort, H., &amp; Wahyudi, A. (2017). Factors influencing big data decision-making quality. </w:t>
      </w:r>
      <w:r w:rsidRPr="00E540EB">
        <w:rPr>
          <w:i/>
          <w:iCs/>
          <w:noProof/>
        </w:rPr>
        <w:t>Journal of Business Research</w:t>
      </w:r>
      <w:r w:rsidRPr="00E540EB">
        <w:rPr>
          <w:noProof/>
        </w:rPr>
        <w:t xml:space="preserve">, </w:t>
      </w:r>
      <w:r w:rsidRPr="00E540EB">
        <w:rPr>
          <w:i/>
          <w:iCs/>
          <w:noProof/>
        </w:rPr>
        <w:t>70</w:t>
      </w:r>
      <w:r w:rsidRPr="00E540EB">
        <w:rPr>
          <w:noProof/>
        </w:rPr>
        <w:t>, 338–345. https://doi.org/10.1016/j.jbusres.2016.08.007</w:t>
      </w:r>
    </w:p>
    <w:p w14:paraId="1CEF7222" w14:textId="77777777" w:rsidR="00E540EB" w:rsidRPr="00E540EB" w:rsidRDefault="00E540EB" w:rsidP="00E540EB">
      <w:pPr>
        <w:pStyle w:val="Biblio"/>
        <w:suppressAutoHyphens/>
        <w:rPr>
          <w:noProof/>
        </w:rPr>
      </w:pPr>
      <w:r w:rsidRPr="00E540EB">
        <w:rPr>
          <w:noProof/>
        </w:rPr>
        <w:t>Kamper, H. (2019). Digital Humanitarianism: Using Big Data. Retrieved from https://borgenproject.org/digital-humanitarianism/</w:t>
      </w:r>
    </w:p>
    <w:p w14:paraId="28FA4E42" w14:textId="77777777" w:rsidR="00E540EB" w:rsidRPr="00E540EB" w:rsidRDefault="00E540EB" w:rsidP="00E540EB">
      <w:pPr>
        <w:pStyle w:val="Biblio"/>
        <w:suppressAutoHyphens/>
        <w:rPr>
          <w:noProof/>
        </w:rPr>
      </w:pPr>
      <w:r w:rsidRPr="00E540EB">
        <w:rPr>
          <w:noProof/>
        </w:rPr>
        <w:t xml:space="preserve">Keen, J., Calinescu, R., Paige, R., &amp; Rooksby, J. (2013). Big data + politics = open data: The case of health care data in England. </w:t>
      </w:r>
      <w:r w:rsidRPr="00E540EB">
        <w:rPr>
          <w:i/>
          <w:iCs/>
          <w:noProof/>
        </w:rPr>
        <w:t>Policy and Internet</w:t>
      </w:r>
      <w:r w:rsidRPr="00E540EB">
        <w:rPr>
          <w:noProof/>
        </w:rPr>
        <w:t xml:space="preserve">, </w:t>
      </w:r>
      <w:r w:rsidRPr="00E540EB">
        <w:rPr>
          <w:i/>
          <w:iCs/>
          <w:noProof/>
        </w:rPr>
        <w:t>5</w:t>
      </w:r>
      <w:r w:rsidRPr="00E540EB">
        <w:rPr>
          <w:noProof/>
        </w:rPr>
        <w:t>(2), 228–243. https://doi.org/10.1002/1944-2866.POI330</w:t>
      </w:r>
    </w:p>
    <w:p w14:paraId="25990488" w14:textId="77777777" w:rsidR="00E540EB" w:rsidRPr="00E540EB" w:rsidRDefault="00E540EB" w:rsidP="00E540EB">
      <w:pPr>
        <w:pStyle w:val="Biblio"/>
        <w:suppressAutoHyphens/>
        <w:rPr>
          <w:noProof/>
        </w:rPr>
      </w:pPr>
      <w:r w:rsidRPr="00E540EB">
        <w:rPr>
          <w:noProof/>
        </w:rPr>
        <w:t xml:space="preserve">Khan, N., Yaqoob, I., Hashem, I. A. T., Inayat, Z., Mahmoud Ali, W. K., Alam, M., … Gani, A. (2014). Big data: Survey, technologies, opportunities, and challenges. </w:t>
      </w:r>
      <w:r w:rsidRPr="00E540EB">
        <w:rPr>
          <w:i/>
          <w:iCs/>
          <w:noProof/>
        </w:rPr>
        <w:t>Scientific World Journal</w:t>
      </w:r>
      <w:r w:rsidRPr="00E540EB">
        <w:rPr>
          <w:noProof/>
        </w:rPr>
        <w:t xml:space="preserve">, </w:t>
      </w:r>
      <w:r w:rsidRPr="00E540EB">
        <w:rPr>
          <w:i/>
          <w:iCs/>
          <w:noProof/>
        </w:rPr>
        <w:t>2014</w:t>
      </w:r>
      <w:r w:rsidRPr="00E540EB">
        <w:rPr>
          <w:noProof/>
        </w:rPr>
        <w:t>. https://doi.org/10.1155/2014/712826</w:t>
      </w:r>
    </w:p>
    <w:p w14:paraId="7A4FA4FA" w14:textId="77777777" w:rsidR="00E540EB" w:rsidRPr="00E540EB" w:rsidRDefault="00E540EB" w:rsidP="00E540EB">
      <w:pPr>
        <w:pStyle w:val="Biblio"/>
        <w:suppressAutoHyphens/>
        <w:rPr>
          <w:noProof/>
        </w:rPr>
      </w:pPr>
      <w:r w:rsidRPr="00E540EB">
        <w:rPr>
          <w:noProof/>
        </w:rPr>
        <w:t xml:space="preserve">Ki-moon, B. (2016). One humanity: Shared responsibility (Report of the Secretary-General for the World Humanitarian Summit). In </w:t>
      </w:r>
      <w:r w:rsidRPr="00E540EB">
        <w:rPr>
          <w:i/>
          <w:iCs/>
          <w:noProof/>
        </w:rPr>
        <w:t>World Humanitarian Summit</w:t>
      </w:r>
      <w:r w:rsidRPr="00E540EB">
        <w:rPr>
          <w:noProof/>
        </w:rPr>
        <w:t>. Retrieved from https://sgreport.worldhumanitariansummit.org/</w:t>
      </w:r>
    </w:p>
    <w:p w14:paraId="5C790746" w14:textId="77777777" w:rsidR="00E540EB" w:rsidRPr="00E540EB" w:rsidRDefault="00E540EB" w:rsidP="00E540EB">
      <w:pPr>
        <w:pStyle w:val="Biblio"/>
        <w:suppressAutoHyphens/>
        <w:rPr>
          <w:noProof/>
        </w:rPr>
      </w:pPr>
      <w:r w:rsidRPr="00E540EB">
        <w:rPr>
          <w:noProof/>
        </w:rPr>
        <w:lastRenderedPageBreak/>
        <w:t xml:space="preserve">Laney, D. (2001). 3D Data Management: Controlling Data Volume, Velocity, and Variety. In M. Group (Ed.), </w:t>
      </w:r>
      <w:r w:rsidRPr="00E540EB">
        <w:rPr>
          <w:i/>
          <w:iCs/>
          <w:noProof/>
        </w:rPr>
        <w:t>Application Delivery Strategies</w:t>
      </w:r>
      <w:r w:rsidRPr="00E540EB">
        <w:rPr>
          <w:noProof/>
        </w:rPr>
        <w:t xml:space="preserve"> (Vol. 949). Retrieved from Meta Group website: http://blogs.gartner.com/doug-laney/files/2012/01/ad949-3D-Data-Management-Controlling-Data-Volume-Velocity-and-Variety.pdf</w:t>
      </w:r>
    </w:p>
    <w:p w14:paraId="2A18FD65" w14:textId="77777777" w:rsidR="00E540EB" w:rsidRPr="00E540EB" w:rsidRDefault="00E540EB" w:rsidP="00E540EB">
      <w:pPr>
        <w:pStyle w:val="Biblio"/>
        <w:suppressAutoHyphens/>
        <w:rPr>
          <w:noProof/>
        </w:rPr>
      </w:pPr>
      <w:r w:rsidRPr="00E540EB">
        <w:rPr>
          <w:noProof/>
        </w:rPr>
        <w:t>Laney, D. (2012). Deja VVVu: Others Claiming Gartner’s Construct for Big Data (Gartner, Ed.). Retrieved March 1, 2017, from Gartner Blog Network website: http://blogs.gartner.com/doug-laney/deja-vvvue-others-claiming-gartners-volume-velocity-variety-construct-for-big-data/</w:t>
      </w:r>
    </w:p>
    <w:p w14:paraId="1BBDD3ED" w14:textId="77777777" w:rsidR="00E540EB" w:rsidRPr="00E540EB" w:rsidRDefault="00E540EB" w:rsidP="00E540EB">
      <w:pPr>
        <w:pStyle w:val="Biblio"/>
        <w:suppressAutoHyphens/>
        <w:rPr>
          <w:noProof/>
        </w:rPr>
      </w:pPr>
      <w:r w:rsidRPr="00E540EB">
        <w:rPr>
          <w:noProof/>
        </w:rPr>
        <w:t>Laney, D. (2013). Batman on Big Data (Gartner, Ed.). Retrieved March 1, 2017, from Gartner Blog Network website: http://blogs.gartner.com/doug-laney/batman-on-big-data/</w:t>
      </w:r>
    </w:p>
    <w:p w14:paraId="5C77E278" w14:textId="77777777" w:rsidR="00E540EB" w:rsidRPr="00E540EB" w:rsidRDefault="00E540EB" w:rsidP="00E540EB">
      <w:pPr>
        <w:pStyle w:val="Biblio"/>
        <w:suppressAutoHyphens/>
        <w:rPr>
          <w:noProof/>
        </w:rPr>
      </w:pPr>
      <w:r w:rsidRPr="00E540EB">
        <w:rPr>
          <w:noProof/>
        </w:rPr>
        <w:t xml:space="preserve">Lattimer, C., Swithern, S., Tuchel, L., Beecher, J., Cecilia Caio, Collins, R., … Watts, R. (2016). Global Humanitarian Assistance Report 2016. In G. H. A. (GHA) (Ed.), </w:t>
      </w:r>
      <w:r w:rsidRPr="00E540EB">
        <w:rPr>
          <w:i/>
          <w:iCs/>
          <w:noProof/>
        </w:rPr>
        <w:t>Global Humanitarian Assistance Reports</w:t>
      </w:r>
      <w:r w:rsidRPr="00E540EB">
        <w:rPr>
          <w:noProof/>
        </w:rPr>
        <w:t xml:space="preserve"> (Vol. 2016). Retrieved from Global Humanitarian Assistance (GHA) website: http://www.globalhumanitarianassistance.org/wp.../2016/07/GHA-report-2016-full-report.pdf</w:t>
      </w:r>
    </w:p>
    <w:p w14:paraId="7E37F859" w14:textId="77777777" w:rsidR="00E540EB" w:rsidRPr="00E540EB" w:rsidRDefault="00E540EB" w:rsidP="00E540EB">
      <w:pPr>
        <w:pStyle w:val="Biblio"/>
        <w:suppressAutoHyphens/>
        <w:rPr>
          <w:noProof/>
        </w:rPr>
      </w:pPr>
      <w:r w:rsidRPr="00E540EB">
        <w:rPr>
          <w:noProof/>
        </w:rPr>
        <w:t>Lau, C. H. (2019). 5 Steps of a Data Science Project Lifecycle. Retrieved February 7, 2020, from Towards Data Science website: https://towardsdatascience.com/5-steps-of-a-data-science-project-lifecycle-26c50372b492</w:t>
      </w:r>
    </w:p>
    <w:p w14:paraId="443F579B" w14:textId="77777777" w:rsidR="00E540EB" w:rsidRPr="00E540EB" w:rsidRDefault="00E540EB" w:rsidP="00E540EB">
      <w:pPr>
        <w:pStyle w:val="Biblio"/>
        <w:suppressAutoHyphens/>
        <w:rPr>
          <w:noProof/>
        </w:rPr>
      </w:pPr>
      <w:r w:rsidRPr="00E540EB">
        <w:rPr>
          <w:noProof/>
        </w:rPr>
        <w:t xml:space="preserve">Lavalle, S., Lesser, E., Shockley, R., Hopkins, M. S., &amp; Kruschwitz, N. (2011). Big Data, Analytics and the Path From Insights to Value. </w:t>
      </w:r>
      <w:r w:rsidRPr="00E540EB">
        <w:rPr>
          <w:i/>
          <w:iCs/>
          <w:noProof/>
        </w:rPr>
        <w:t>MIT Sloan Management Review</w:t>
      </w:r>
      <w:r w:rsidRPr="00E540EB">
        <w:rPr>
          <w:noProof/>
        </w:rPr>
        <w:t>, (52205). https://doi.org/10.0000/PMID57750728</w:t>
      </w:r>
    </w:p>
    <w:p w14:paraId="4D10B717" w14:textId="77777777" w:rsidR="00E540EB" w:rsidRPr="00E540EB" w:rsidRDefault="00E540EB" w:rsidP="00E540EB">
      <w:pPr>
        <w:pStyle w:val="Biblio"/>
        <w:suppressAutoHyphens/>
        <w:rPr>
          <w:noProof/>
        </w:rPr>
      </w:pPr>
      <w:r w:rsidRPr="00E540EB">
        <w:rPr>
          <w:noProof/>
        </w:rPr>
        <w:t xml:space="preserve">Lee, Y. W., Strong, D. M., Kahn, B. K., &amp; Wang, R. Y. (2002). AIMQ: a methodology for information quality assessment. </w:t>
      </w:r>
      <w:r w:rsidRPr="00E540EB">
        <w:rPr>
          <w:i/>
          <w:iCs/>
          <w:noProof/>
        </w:rPr>
        <w:t>Information Management</w:t>
      </w:r>
      <w:r w:rsidRPr="00E540EB">
        <w:rPr>
          <w:noProof/>
        </w:rPr>
        <w:t xml:space="preserve">, </w:t>
      </w:r>
      <w:r w:rsidRPr="00E540EB">
        <w:rPr>
          <w:i/>
          <w:iCs/>
          <w:noProof/>
        </w:rPr>
        <w:t>40</w:t>
      </w:r>
      <w:r w:rsidRPr="00E540EB">
        <w:rPr>
          <w:noProof/>
        </w:rPr>
        <w:t>(2), 133–146. https://doi.org/10.1016/s0378-7206(02)00043-5</w:t>
      </w:r>
    </w:p>
    <w:p w14:paraId="154CC8C5" w14:textId="77777777" w:rsidR="00E540EB" w:rsidRPr="00E540EB" w:rsidRDefault="00E540EB" w:rsidP="00E540EB">
      <w:pPr>
        <w:pStyle w:val="Biblio"/>
        <w:suppressAutoHyphens/>
        <w:rPr>
          <w:noProof/>
        </w:rPr>
      </w:pPr>
      <w:r w:rsidRPr="00E540EB">
        <w:rPr>
          <w:noProof/>
        </w:rPr>
        <w:t>Lisowska, B. (2017). Joining up data in the humanitarian–development nexus: Why does it matter? (U N Sustainable Development Goals, Ed.). Retrieved May 19, 2019, from Silo Fighters website: https://undg.org/silofighters_blog/joining-up-data-in-the-humanitarian-development-nexus-why-does-it-matter/</w:t>
      </w:r>
    </w:p>
    <w:p w14:paraId="3DBEF81F" w14:textId="77777777" w:rsidR="00E540EB" w:rsidRPr="00E540EB" w:rsidRDefault="00E540EB" w:rsidP="00E540EB">
      <w:pPr>
        <w:pStyle w:val="Biblio"/>
        <w:suppressAutoHyphens/>
        <w:rPr>
          <w:noProof/>
        </w:rPr>
      </w:pPr>
      <w:r w:rsidRPr="00E540EB">
        <w:rPr>
          <w:noProof/>
        </w:rPr>
        <w:t xml:space="preserve">Lukoianova, T., &amp; Rubin, V. L. (2014). Veracity Roadmap: Is Big Data Objective, Truthful and Credible? </w:t>
      </w:r>
      <w:r w:rsidRPr="00E540EB">
        <w:rPr>
          <w:i/>
          <w:iCs/>
          <w:noProof/>
        </w:rPr>
        <w:t>Advances in Classification Research Online; 24th ASIS SIG/CR Classification Research Workshop</w:t>
      </w:r>
      <w:r w:rsidRPr="00E540EB">
        <w:rPr>
          <w:noProof/>
        </w:rPr>
        <w:t xml:space="preserve">, </w:t>
      </w:r>
      <w:r w:rsidRPr="00E540EB">
        <w:rPr>
          <w:i/>
          <w:iCs/>
          <w:noProof/>
        </w:rPr>
        <w:t>24</w:t>
      </w:r>
      <w:r w:rsidRPr="00E540EB">
        <w:rPr>
          <w:noProof/>
        </w:rPr>
        <w:t>(1), 4–15. Retrieved from http://journals.lib.washington.edu/index.php/acro/article/view/14671/12311</w:t>
      </w:r>
    </w:p>
    <w:p w14:paraId="62418CD5" w14:textId="77777777" w:rsidR="00E540EB" w:rsidRPr="00E540EB" w:rsidRDefault="00E540EB" w:rsidP="00E540EB">
      <w:pPr>
        <w:pStyle w:val="Biblio"/>
        <w:suppressAutoHyphens/>
        <w:rPr>
          <w:noProof/>
        </w:rPr>
      </w:pPr>
      <w:r w:rsidRPr="00E540EB">
        <w:rPr>
          <w:noProof/>
        </w:rPr>
        <w:t xml:space="preserve">Lycett, M. (2013). ‘Datafication’: making sense of (big) data in a complex world. </w:t>
      </w:r>
      <w:r w:rsidRPr="00E540EB">
        <w:rPr>
          <w:i/>
          <w:iCs/>
          <w:noProof/>
        </w:rPr>
        <w:t>European Journal of Information Systems</w:t>
      </w:r>
      <w:r w:rsidRPr="00E540EB">
        <w:rPr>
          <w:noProof/>
        </w:rPr>
        <w:t xml:space="preserve">, </w:t>
      </w:r>
      <w:r w:rsidRPr="00E540EB">
        <w:rPr>
          <w:i/>
          <w:iCs/>
          <w:noProof/>
        </w:rPr>
        <w:t>22</w:t>
      </w:r>
      <w:r w:rsidRPr="00E540EB">
        <w:rPr>
          <w:noProof/>
        </w:rPr>
        <w:t>(4), 381–386. https://doi.org/10.1057/ejis.2013.10</w:t>
      </w:r>
    </w:p>
    <w:p w14:paraId="07C4C3D7" w14:textId="77777777" w:rsidR="00E540EB" w:rsidRPr="00E540EB" w:rsidRDefault="00E540EB" w:rsidP="00E540EB">
      <w:pPr>
        <w:pStyle w:val="Biblio"/>
        <w:suppressAutoHyphens/>
        <w:rPr>
          <w:noProof/>
        </w:rPr>
      </w:pPr>
      <w:r w:rsidRPr="00E540EB">
        <w:rPr>
          <w:noProof/>
        </w:rPr>
        <w:t xml:space="preserve">Lycett, M., &amp; Monaghan, A. (2013). </w:t>
      </w:r>
      <w:r w:rsidRPr="00E540EB">
        <w:rPr>
          <w:i/>
          <w:iCs/>
          <w:noProof/>
        </w:rPr>
        <w:t>Big data and humanitarian supply networks: Can Big Data give voice to the voiceless?</w:t>
      </w:r>
      <w:r w:rsidRPr="00E540EB">
        <w:rPr>
          <w:noProof/>
        </w:rPr>
        <w:t xml:space="preserve"> 432–437. IEEE.</w:t>
      </w:r>
    </w:p>
    <w:p w14:paraId="2299B745" w14:textId="77777777" w:rsidR="00E540EB" w:rsidRPr="00E540EB" w:rsidRDefault="00E540EB" w:rsidP="00E540EB">
      <w:pPr>
        <w:pStyle w:val="Biblio"/>
        <w:suppressAutoHyphens/>
        <w:rPr>
          <w:noProof/>
        </w:rPr>
      </w:pPr>
      <w:r w:rsidRPr="00E540EB">
        <w:rPr>
          <w:noProof/>
        </w:rPr>
        <w:t xml:space="preserve">Maiers, C., Reynolds, M., &amp; Haselkorn, M. (2005). Challenges to effective information and communication systems in humanitarian relief organizations. </w:t>
      </w:r>
      <w:r w:rsidRPr="00E540EB">
        <w:rPr>
          <w:i/>
          <w:iCs/>
          <w:noProof/>
        </w:rPr>
        <w:t>Professional Communication Conference, 2005. IPCC 2005. Proceedings. International</w:t>
      </w:r>
      <w:r w:rsidRPr="00E540EB">
        <w:rPr>
          <w:noProof/>
        </w:rPr>
        <w:t>, pp.82-91. https://doi.org/10.1109/ipcc.2005.1494163</w:t>
      </w:r>
    </w:p>
    <w:p w14:paraId="7E189353" w14:textId="77777777" w:rsidR="00E540EB" w:rsidRPr="00E540EB" w:rsidRDefault="00E540EB" w:rsidP="00E540EB">
      <w:pPr>
        <w:pStyle w:val="Biblio"/>
        <w:suppressAutoHyphens/>
        <w:rPr>
          <w:noProof/>
        </w:rPr>
      </w:pPr>
      <w:r w:rsidRPr="00E540EB">
        <w:rPr>
          <w:noProof/>
        </w:rPr>
        <w:t xml:space="preserve">Maitlis, S. (2005). The social processes of sensemaking. </w:t>
      </w:r>
      <w:r w:rsidRPr="00E540EB">
        <w:rPr>
          <w:i/>
          <w:iCs/>
          <w:noProof/>
        </w:rPr>
        <w:t>The Academy of Management Journal</w:t>
      </w:r>
      <w:r w:rsidRPr="00E540EB">
        <w:rPr>
          <w:noProof/>
        </w:rPr>
        <w:t xml:space="preserve">, </w:t>
      </w:r>
      <w:r w:rsidRPr="00E540EB">
        <w:rPr>
          <w:i/>
          <w:iCs/>
          <w:noProof/>
        </w:rPr>
        <w:t>48</w:t>
      </w:r>
      <w:r w:rsidRPr="00E540EB">
        <w:rPr>
          <w:noProof/>
        </w:rPr>
        <w:t>(1), 21–49. https://doi.org/10.5465/amj.2005.15993111</w:t>
      </w:r>
    </w:p>
    <w:p w14:paraId="0FD8DF60" w14:textId="77777777" w:rsidR="00E540EB" w:rsidRPr="00E540EB" w:rsidRDefault="00E540EB" w:rsidP="00E540EB">
      <w:pPr>
        <w:pStyle w:val="Biblio"/>
        <w:suppressAutoHyphens/>
        <w:rPr>
          <w:noProof/>
        </w:rPr>
      </w:pPr>
      <w:r w:rsidRPr="00E540EB">
        <w:rPr>
          <w:noProof/>
        </w:rPr>
        <w:t xml:space="preserve">Manyika, J., Chui, M., Brown, B., Bughin, J., Dobbs, R., Roxburgh, C., &amp; Byers, A. H. (2011). </w:t>
      </w:r>
      <w:r w:rsidRPr="00E540EB">
        <w:rPr>
          <w:i/>
          <w:iCs/>
          <w:noProof/>
        </w:rPr>
        <w:t>Big Data: the next frontier for innovation, competition, and productivity</w:t>
      </w:r>
      <w:r w:rsidRPr="00E540EB">
        <w:rPr>
          <w:noProof/>
        </w:rPr>
        <w:t xml:space="preserve"> (M. G. Institute, Ed.). Retrieved from McKinsey Global Institute website: http://www.mckinsey.com/~/media/McKinsey/Business Functions/McKinsey Digital/Our Insights/Big data The next frontier for innovation/MGI_big_data_exec_summary.ashx</w:t>
      </w:r>
    </w:p>
    <w:p w14:paraId="0DFE21E5" w14:textId="77777777" w:rsidR="00E540EB" w:rsidRPr="00E540EB" w:rsidRDefault="00E540EB" w:rsidP="00E540EB">
      <w:pPr>
        <w:pStyle w:val="Biblio"/>
        <w:suppressAutoHyphens/>
        <w:rPr>
          <w:noProof/>
        </w:rPr>
      </w:pPr>
      <w:r w:rsidRPr="00E540EB">
        <w:rPr>
          <w:noProof/>
        </w:rPr>
        <w:lastRenderedPageBreak/>
        <w:t xml:space="preserve">Marelli, M., Apraxine, P., Bircher, R., Kuner, C., Papakonstantinou, V., Jasmontaite, L., … (VUB), B. P. H. (BPH) an entity of V. U. B. (2017). Handbook on Data Protection in Humanitarian Action. In C. Kuner &amp; M. Marelli (Eds.), </w:t>
      </w:r>
      <w:r w:rsidRPr="00E540EB">
        <w:rPr>
          <w:i/>
          <w:iCs/>
          <w:noProof/>
        </w:rPr>
        <w:t>ICRC</w:t>
      </w:r>
      <w:r w:rsidRPr="00E540EB">
        <w:rPr>
          <w:noProof/>
        </w:rPr>
        <w:t>. Retrieved from International Committee of the Red Cross (ICRC); Brussels Privacy Hub (BPH) an entity of Vrije Universiteit Brussel (VUB) website: https://www.icrc.org/en/publication/handbook-data-protection-humanitarian-action</w:t>
      </w:r>
    </w:p>
    <w:p w14:paraId="6967149F" w14:textId="77777777" w:rsidR="00E540EB" w:rsidRPr="00E540EB" w:rsidRDefault="00E540EB" w:rsidP="00E540EB">
      <w:pPr>
        <w:pStyle w:val="Biblio"/>
        <w:suppressAutoHyphens/>
        <w:rPr>
          <w:noProof/>
        </w:rPr>
      </w:pPr>
      <w:r w:rsidRPr="00E540EB">
        <w:rPr>
          <w:noProof/>
        </w:rPr>
        <w:t xml:space="preserve">Mayer, J., Mutchler, P., &amp; Mitchell, J. C. (2016). Evaluating the privacy properties of telephone metadata. </w:t>
      </w:r>
      <w:r w:rsidRPr="00E540EB">
        <w:rPr>
          <w:i/>
          <w:iCs/>
          <w:noProof/>
        </w:rPr>
        <w:t>Proceedings of the National Academy of Sciences</w:t>
      </w:r>
      <w:r w:rsidRPr="00E540EB">
        <w:rPr>
          <w:noProof/>
        </w:rPr>
        <w:t xml:space="preserve">, </w:t>
      </w:r>
      <w:r w:rsidRPr="00E540EB">
        <w:rPr>
          <w:i/>
          <w:iCs/>
          <w:noProof/>
        </w:rPr>
        <w:t>113</w:t>
      </w:r>
      <w:r w:rsidRPr="00E540EB">
        <w:rPr>
          <w:noProof/>
        </w:rPr>
        <w:t>(20), 5536. https://doi.org/10.1073/pnas.1508081113</w:t>
      </w:r>
    </w:p>
    <w:p w14:paraId="328F0E13" w14:textId="77777777" w:rsidR="00E540EB" w:rsidRPr="00E540EB" w:rsidRDefault="00E540EB" w:rsidP="00E540EB">
      <w:pPr>
        <w:pStyle w:val="Biblio"/>
        <w:suppressAutoHyphens/>
        <w:rPr>
          <w:noProof/>
        </w:rPr>
      </w:pPr>
      <w:r w:rsidRPr="00E540EB">
        <w:rPr>
          <w:noProof/>
        </w:rPr>
        <w:t xml:space="preserve">McAfee, A., &amp; Brynjolfsson, E. (2012). Big Data : The Management Revolution. </w:t>
      </w:r>
      <w:r w:rsidRPr="00E540EB">
        <w:rPr>
          <w:i/>
          <w:iCs/>
          <w:noProof/>
        </w:rPr>
        <w:t>Harvard Business Review</w:t>
      </w:r>
      <w:r w:rsidRPr="00E540EB">
        <w:rPr>
          <w:noProof/>
        </w:rPr>
        <w:t>, (October), 1–12. Retrieved from http://tarjomefa.com/wp-content/uploads/2017/04/6539-English-TarjomeFa-1.pdf</w:t>
      </w:r>
    </w:p>
    <w:p w14:paraId="351BC179" w14:textId="77777777" w:rsidR="00E540EB" w:rsidRPr="00E540EB" w:rsidRDefault="00E540EB" w:rsidP="00E540EB">
      <w:pPr>
        <w:pStyle w:val="Biblio"/>
        <w:suppressAutoHyphens/>
        <w:rPr>
          <w:noProof/>
        </w:rPr>
      </w:pPr>
      <w:r w:rsidRPr="00E540EB">
        <w:rPr>
          <w:noProof/>
        </w:rPr>
        <w:t>Meier, P. (2015). Digital humanitarians, big data and disaster response (T. B. Institution, Ed.). Retrieved from The Brookings Institution website: https://www.brookings.edu/blog/techtank/2015/02/19/digital-humanitarians-big-data-and-disaster-response/</w:t>
      </w:r>
    </w:p>
    <w:p w14:paraId="04DA1F3E" w14:textId="77777777" w:rsidR="00E540EB" w:rsidRPr="00E540EB" w:rsidRDefault="00E540EB" w:rsidP="00E540EB">
      <w:pPr>
        <w:pStyle w:val="Biblio"/>
        <w:suppressAutoHyphens/>
        <w:rPr>
          <w:noProof/>
        </w:rPr>
      </w:pPr>
      <w:r w:rsidRPr="00E540EB">
        <w:rPr>
          <w:noProof/>
        </w:rPr>
        <w:t xml:space="preserve">Merino, J., Caballero, I., Rivas, B., Serrano, M., &amp; Piattini, M. (2016). A Data Quality in Use model for Big Data. </w:t>
      </w:r>
      <w:r w:rsidRPr="00E540EB">
        <w:rPr>
          <w:i/>
          <w:iCs/>
          <w:noProof/>
        </w:rPr>
        <w:t>Future Generation Computer Systems</w:t>
      </w:r>
      <w:r w:rsidRPr="00E540EB">
        <w:rPr>
          <w:noProof/>
        </w:rPr>
        <w:t xml:space="preserve">, </w:t>
      </w:r>
      <w:r w:rsidRPr="00E540EB">
        <w:rPr>
          <w:i/>
          <w:iCs/>
          <w:noProof/>
        </w:rPr>
        <w:t>63</w:t>
      </w:r>
      <w:r w:rsidRPr="00E540EB">
        <w:rPr>
          <w:noProof/>
        </w:rPr>
        <w:t>, 123–130. https://doi.org/10.1016/j.future.2015.11.024</w:t>
      </w:r>
    </w:p>
    <w:p w14:paraId="3EED50A9" w14:textId="77777777" w:rsidR="00E540EB" w:rsidRPr="00E540EB" w:rsidRDefault="00E540EB" w:rsidP="00E540EB">
      <w:pPr>
        <w:pStyle w:val="Biblio"/>
        <w:suppressAutoHyphens/>
        <w:rPr>
          <w:noProof/>
        </w:rPr>
      </w:pPr>
      <w:r w:rsidRPr="00E540EB">
        <w:rPr>
          <w:noProof/>
        </w:rPr>
        <w:t xml:space="preserve">Mithas, Ramasubbu, &amp; Sambamurthy. (2011). How Information Management Capability Influences Firm Performance. </w:t>
      </w:r>
      <w:r w:rsidRPr="00E540EB">
        <w:rPr>
          <w:i/>
          <w:iCs/>
          <w:noProof/>
        </w:rPr>
        <w:t>MIS Quarterly</w:t>
      </w:r>
      <w:r w:rsidRPr="00E540EB">
        <w:rPr>
          <w:noProof/>
        </w:rPr>
        <w:t xml:space="preserve">, </w:t>
      </w:r>
      <w:r w:rsidRPr="00E540EB">
        <w:rPr>
          <w:i/>
          <w:iCs/>
          <w:noProof/>
        </w:rPr>
        <w:t>35</w:t>
      </w:r>
      <w:r w:rsidRPr="00E540EB">
        <w:rPr>
          <w:noProof/>
        </w:rPr>
        <w:t>(1), 237–256. https://doi.org/10.2307/23043496</w:t>
      </w:r>
    </w:p>
    <w:p w14:paraId="313C33A5" w14:textId="77777777" w:rsidR="00E540EB" w:rsidRPr="00E540EB" w:rsidRDefault="00E540EB" w:rsidP="00E540EB">
      <w:pPr>
        <w:pStyle w:val="Biblio"/>
        <w:suppressAutoHyphens/>
        <w:rPr>
          <w:noProof/>
        </w:rPr>
      </w:pPr>
      <w:r w:rsidRPr="00E540EB">
        <w:rPr>
          <w:noProof/>
        </w:rPr>
        <w:t xml:space="preserve">Moorhead, J., &amp; Sandler Clarke, J. (2015). The global humanitarian crisis “can’t depend on a continuous increase in funding.” </w:t>
      </w:r>
      <w:r w:rsidRPr="00E540EB">
        <w:rPr>
          <w:i/>
          <w:iCs/>
          <w:noProof/>
        </w:rPr>
        <w:t>The Guardian</w:t>
      </w:r>
      <w:r w:rsidRPr="00E540EB">
        <w:rPr>
          <w:noProof/>
        </w:rPr>
        <w:t>. Retrieved from http://www.theguardian.com/global-development-professionals-network/2015/dec/10/global-humanitarian-crisis-continuous-increase-funding</w:t>
      </w:r>
    </w:p>
    <w:p w14:paraId="6D960905" w14:textId="77777777" w:rsidR="00E540EB" w:rsidRPr="00E540EB" w:rsidRDefault="00E540EB" w:rsidP="00E540EB">
      <w:pPr>
        <w:pStyle w:val="Biblio"/>
        <w:suppressAutoHyphens/>
        <w:rPr>
          <w:noProof/>
        </w:rPr>
      </w:pPr>
      <w:r w:rsidRPr="00E540EB">
        <w:rPr>
          <w:noProof/>
        </w:rPr>
        <w:t xml:space="preserve">Newell, S., &amp; Marabelli, M. (2015). Strategic opportunities (and challenges) of algorithmic decision-making: A call for action on the long-term societal effects of “datification.” </w:t>
      </w:r>
      <w:r w:rsidRPr="00E540EB">
        <w:rPr>
          <w:i/>
          <w:iCs/>
          <w:noProof/>
        </w:rPr>
        <w:t>Journal of Strategic Information Systems</w:t>
      </w:r>
      <w:r w:rsidRPr="00E540EB">
        <w:rPr>
          <w:noProof/>
        </w:rPr>
        <w:t xml:space="preserve">, </w:t>
      </w:r>
      <w:r w:rsidRPr="00E540EB">
        <w:rPr>
          <w:i/>
          <w:iCs/>
          <w:noProof/>
        </w:rPr>
        <w:t>24</w:t>
      </w:r>
      <w:r w:rsidRPr="00E540EB">
        <w:rPr>
          <w:noProof/>
        </w:rPr>
        <w:t>(1), 3–14. https://doi.org/10.1016/j.jsis.2015.02.001</w:t>
      </w:r>
    </w:p>
    <w:p w14:paraId="2FE4FAFB" w14:textId="77777777" w:rsidR="00E540EB" w:rsidRPr="00E540EB" w:rsidRDefault="00E540EB" w:rsidP="00E540EB">
      <w:pPr>
        <w:pStyle w:val="Biblio"/>
        <w:suppressAutoHyphens/>
        <w:rPr>
          <w:noProof/>
        </w:rPr>
      </w:pPr>
      <w:r w:rsidRPr="00E540EB">
        <w:rPr>
          <w:noProof/>
        </w:rPr>
        <w:t xml:space="preserve">Nissenbaum, H. (2004). Privacy as Contextual Integrity. </w:t>
      </w:r>
      <w:r w:rsidRPr="00E540EB">
        <w:rPr>
          <w:i/>
          <w:iCs/>
          <w:noProof/>
        </w:rPr>
        <w:t>Washington Law Review, Symposium - Technology, Values, and the Justice System</w:t>
      </w:r>
      <w:r w:rsidRPr="00E540EB">
        <w:rPr>
          <w:noProof/>
        </w:rPr>
        <w:t xml:space="preserve">, </w:t>
      </w:r>
      <w:r w:rsidRPr="00E540EB">
        <w:rPr>
          <w:i/>
          <w:iCs/>
          <w:noProof/>
        </w:rPr>
        <w:t>79</w:t>
      </w:r>
      <w:r w:rsidRPr="00E540EB">
        <w:rPr>
          <w:noProof/>
        </w:rPr>
        <w:t>, 119–158. Retrieved from https://heinonline.org/HOL/P?h=hein.journals/washlr79&amp;i=129</w:t>
      </w:r>
    </w:p>
    <w:p w14:paraId="7E7D33E4" w14:textId="77777777" w:rsidR="00E540EB" w:rsidRPr="00E540EB" w:rsidRDefault="00E540EB" w:rsidP="00E540EB">
      <w:pPr>
        <w:pStyle w:val="Biblio"/>
        <w:suppressAutoHyphens/>
        <w:rPr>
          <w:noProof/>
        </w:rPr>
      </w:pPr>
      <w:r w:rsidRPr="00E540EB">
        <w:rPr>
          <w:noProof/>
        </w:rPr>
        <w:t xml:space="preserve">Nissenbaum, H. (2010). </w:t>
      </w:r>
      <w:r w:rsidRPr="00E540EB">
        <w:rPr>
          <w:i/>
          <w:iCs/>
          <w:noProof/>
        </w:rPr>
        <w:t>Privacy in context : technology, policy, and the integrity of social life</w:t>
      </w:r>
      <w:r w:rsidRPr="00E540EB">
        <w:rPr>
          <w:noProof/>
        </w:rPr>
        <w:t>. Stanford, Calif.: Stanford, Calif. : Stanford Law.</w:t>
      </w:r>
    </w:p>
    <w:p w14:paraId="243CA153" w14:textId="77777777" w:rsidR="00E540EB" w:rsidRPr="00E540EB" w:rsidRDefault="00E540EB" w:rsidP="00E540EB">
      <w:pPr>
        <w:pStyle w:val="Biblio"/>
        <w:suppressAutoHyphens/>
        <w:rPr>
          <w:noProof/>
        </w:rPr>
      </w:pPr>
      <w:r w:rsidRPr="00E540EB">
        <w:rPr>
          <w:noProof/>
        </w:rPr>
        <w:t xml:space="preserve">Nissenbaum, H. (2018). Respecting context to protect privacy: Why meaning matters. </w:t>
      </w:r>
      <w:r w:rsidRPr="00E540EB">
        <w:rPr>
          <w:i/>
          <w:iCs/>
          <w:noProof/>
        </w:rPr>
        <w:t>Science and Engineering Ethics</w:t>
      </w:r>
      <w:r w:rsidRPr="00E540EB">
        <w:rPr>
          <w:noProof/>
        </w:rPr>
        <w:t xml:space="preserve">, </w:t>
      </w:r>
      <w:r w:rsidRPr="00E540EB">
        <w:rPr>
          <w:i/>
          <w:iCs/>
          <w:noProof/>
        </w:rPr>
        <w:t>24</w:t>
      </w:r>
      <w:r w:rsidRPr="00E540EB">
        <w:rPr>
          <w:noProof/>
        </w:rPr>
        <w:t>(3), 831–852.</w:t>
      </w:r>
    </w:p>
    <w:p w14:paraId="4505AB6B" w14:textId="77777777" w:rsidR="00E540EB" w:rsidRPr="00E540EB" w:rsidRDefault="00E540EB" w:rsidP="00E540EB">
      <w:pPr>
        <w:pStyle w:val="Biblio"/>
        <w:suppressAutoHyphens/>
        <w:rPr>
          <w:noProof/>
        </w:rPr>
      </w:pPr>
      <w:r w:rsidRPr="00E540EB">
        <w:rPr>
          <w:noProof/>
        </w:rPr>
        <w:t>Normandeau, K. (2013). Beyond Volume, Variety and Velocity is the Issue of Big Data Veracity (InsideBigData, Ed.). Retrieved from InsideBigData website: http://insidebigdata.com/2013/09/12/beyond-volume-variety-velocity-issue-big-data-veracity/</w:t>
      </w:r>
    </w:p>
    <w:p w14:paraId="058DFF8B" w14:textId="77777777" w:rsidR="00E540EB" w:rsidRPr="00E540EB" w:rsidRDefault="00E540EB" w:rsidP="00E540EB">
      <w:pPr>
        <w:pStyle w:val="Biblio"/>
        <w:suppressAutoHyphens/>
        <w:rPr>
          <w:noProof/>
        </w:rPr>
      </w:pPr>
      <w:r w:rsidRPr="00E540EB">
        <w:rPr>
          <w:noProof/>
        </w:rPr>
        <w:t xml:space="preserve">O’Neill, S. (2018). UN knew of sex-for-food scandal at top charities. </w:t>
      </w:r>
      <w:r w:rsidRPr="00E540EB">
        <w:rPr>
          <w:i/>
          <w:iCs/>
          <w:noProof/>
        </w:rPr>
        <w:t>The Sunday Times</w:t>
      </w:r>
      <w:r w:rsidRPr="00E540EB">
        <w:rPr>
          <w:noProof/>
        </w:rPr>
        <w:t>. Retrieved from http://www.thetimes.co.uk/edition/news/un-knew-of-sex-for-food-scandal-at-top-charities-xlkgkt0kb</w:t>
      </w:r>
    </w:p>
    <w:p w14:paraId="3391188A" w14:textId="77777777" w:rsidR="00E540EB" w:rsidRPr="00E540EB" w:rsidRDefault="00E540EB" w:rsidP="00E540EB">
      <w:pPr>
        <w:pStyle w:val="Biblio"/>
        <w:suppressAutoHyphens/>
        <w:rPr>
          <w:noProof/>
        </w:rPr>
      </w:pPr>
      <w:r w:rsidRPr="00E540EB">
        <w:rPr>
          <w:noProof/>
        </w:rPr>
        <w:t>OECD (Ed.). (2017a). Humanitarian Assistance. Retrieved from Development finance statistics website: http://www.oecd.org/dac/stats/humanitarian-assistance.htm</w:t>
      </w:r>
    </w:p>
    <w:p w14:paraId="606743F1" w14:textId="77777777" w:rsidR="00E540EB" w:rsidRPr="00E540EB" w:rsidRDefault="00E540EB" w:rsidP="00E540EB">
      <w:pPr>
        <w:pStyle w:val="Biblio"/>
        <w:suppressAutoHyphens/>
        <w:rPr>
          <w:noProof/>
        </w:rPr>
      </w:pPr>
      <w:r w:rsidRPr="00E540EB">
        <w:rPr>
          <w:noProof/>
        </w:rPr>
        <w:t>OECD. (2017b). Organisation for Economic Co-operation and Development (OECD) (Organisation for Economic Co-operation and Development (OECD), Ed.). Retrieved January 8, 2017, from http://www.oecd.org/</w:t>
      </w:r>
    </w:p>
    <w:p w14:paraId="74A65E46" w14:textId="77777777" w:rsidR="00E540EB" w:rsidRPr="00E540EB" w:rsidRDefault="00E540EB" w:rsidP="00E540EB">
      <w:pPr>
        <w:pStyle w:val="Biblio"/>
        <w:suppressAutoHyphens/>
        <w:rPr>
          <w:noProof/>
        </w:rPr>
      </w:pPr>
      <w:r w:rsidRPr="00E540EB">
        <w:rPr>
          <w:noProof/>
        </w:rPr>
        <w:lastRenderedPageBreak/>
        <w:t xml:space="preserve">Oestreicher-Singer, G., &amp; Zalmanson, L. (2013). Content or Community? A Digital Business Strategy for Content. </w:t>
      </w:r>
      <w:r w:rsidRPr="00E540EB">
        <w:rPr>
          <w:i/>
          <w:iCs/>
          <w:noProof/>
        </w:rPr>
        <w:t>Management Information Systems Quarterly</w:t>
      </w:r>
      <w:r w:rsidRPr="00E540EB">
        <w:rPr>
          <w:noProof/>
        </w:rPr>
        <w:t xml:space="preserve">, </w:t>
      </w:r>
      <w:r w:rsidRPr="00E540EB">
        <w:rPr>
          <w:i/>
          <w:iCs/>
          <w:noProof/>
        </w:rPr>
        <w:t>37</w:t>
      </w:r>
      <w:r w:rsidRPr="00E540EB">
        <w:rPr>
          <w:noProof/>
        </w:rPr>
        <w:t>(2), 591–616. Retrieved from http://aisel.aisnet.org/misq/vol37/iss2/15</w:t>
      </w:r>
    </w:p>
    <w:p w14:paraId="2D7B8896" w14:textId="77777777" w:rsidR="00E540EB" w:rsidRPr="00E540EB" w:rsidRDefault="00E540EB" w:rsidP="00E540EB">
      <w:pPr>
        <w:pStyle w:val="Biblio"/>
        <w:suppressAutoHyphens/>
        <w:rPr>
          <w:noProof/>
        </w:rPr>
      </w:pPr>
      <w:r w:rsidRPr="00E540EB">
        <w:rPr>
          <w:noProof/>
        </w:rPr>
        <w:t>Orrell, T., &amp; Lisowska, B. (2017). What are the principles of joined-up data? (Open Data Watch, Ed.). Retrieved May 19, 2019, from Open Data Watch website: https://opendatawatch.com/blog/what-are-the-principles-of-joined-up-data/</w:t>
      </w:r>
    </w:p>
    <w:p w14:paraId="77339E35" w14:textId="77777777" w:rsidR="00E540EB" w:rsidRPr="00E540EB" w:rsidRDefault="00E540EB" w:rsidP="00E540EB">
      <w:pPr>
        <w:pStyle w:val="Biblio"/>
        <w:suppressAutoHyphens/>
        <w:rPr>
          <w:noProof/>
        </w:rPr>
      </w:pPr>
      <w:r w:rsidRPr="00E540EB">
        <w:rPr>
          <w:noProof/>
        </w:rPr>
        <w:t xml:space="preserve">Pal, S. K., Meher, S. K., &amp; Skowron, A. (2015). Data science, big data and granular mining. </w:t>
      </w:r>
      <w:r w:rsidRPr="00E540EB">
        <w:rPr>
          <w:i/>
          <w:iCs/>
          <w:noProof/>
        </w:rPr>
        <w:t>Pattern Recognition Letters</w:t>
      </w:r>
      <w:r w:rsidRPr="00E540EB">
        <w:rPr>
          <w:noProof/>
        </w:rPr>
        <w:t xml:space="preserve">, </w:t>
      </w:r>
      <w:r w:rsidRPr="00E540EB">
        <w:rPr>
          <w:i/>
          <w:iCs/>
          <w:noProof/>
        </w:rPr>
        <w:t>67</w:t>
      </w:r>
      <w:r w:rsidRPr="00E540EB">
        <w:rPr>
          <w:noProof/>
        </w:rPr>
        <w:t>, 109–112. https://doi.org/10.1016/j.patrec.2015.08.001</w:t>
      </w:r>
    </w:p>
    <w:p w14:paraId="12494E8B" w14:textId="77777777" w:rsidR="00E540EB" w:rsidRPr="00E540EB" w:rsidRDefault="00E540EB" w:rsidP="00E540EB">
      <w:pPr>
        <w:pStyle w:val="Biblio"/>
        <w:suppressAutoHyphens/>
        <w:rPr>
          <w:noProof/>
        </w:rPr>
      </w:pPr>
      <w:r w:rsidRPr="00E540EB">
        <w:rPr>
          <w:noProof/>
        </w:rPr>
        <w:t xml:space="preserve">Piccoli, G., &amp; Pigni, F. (2013). Harvesting external data: The potential of digital data streams. </w:t>
      </w:r>
      <w:r w:rsidRPr="00E540EB">
        <w:rPr>
          <w:i/>
          <w:iCs/>
          <w:noProof/>
        </w:rPr>
        <w:t>MIS Quarterly Executive</w:t>
      </w:r>
      <w:r w:rsidRPr="00E540EB">
        <w:rPr>
          <w:noProof/>
        </w:rPr>
        <w:t xml:space="preserve">, </w:t>
      </w:r>
      <w:r w:rsidRPr="00E540EB">
        <w:rPr>
          <w:i/>
          <w:iCs/>
          <w:noProof/>
        </w:rPr>
        <w:t>12</w:t>
      </w:r>
      <w:r w:rsidRPr="00E540EB">
        <w:rPr>
          <w:noProof/>
        </w:rPr>
        <w:t>(1).</w:t>
      </w:r>
    </w:p>
    <w:p w14:paraId="2156E491" w14:textId="77777777" w:rsidR="00E540EB" w:rsidRPr="00E540EB" w:rsidRDefault="00E540EB" w:rsidP="00E540EB">
      <w:pPr>
        <w:pStyle w:val="Biblio"/>
        <w:suppressAutoHyphens/>
        <w:rPr>
          <w:noProof/>
        </w:rPr>
      </w:pPr>
      <w:r w:rsidRPr="00E540EB">
        <w:rPr>
          <w:noProof/>
        </w:rPr>
        <w:t xml:space="preserve">Popovič, A., Hackney, R., Tassabehji, R., &amp; Castelli, M. (2018). The impact of big data analytics on firms’ high value business performance. </w:t>
      </w:r>
      <w:r w:rsidRPr="00E540EB">
        <w:rPr>
          <w:i/>
          <w:iCs/>
          <w:noProof/>
        </w:rPr>
        <w:t>Information Systems Frontiers</w:t>
      </w:r>
      <w:r w:rsidRPr="00E540EB">
        <w:rPr>
          <w:noProof/>
        </w:rPr>
        <w:t xml:space="preserve">, </w:t>
      </w:r>
      <w:r w:rsidRPr="00E540EB">
        <w:rPr>
          <w:i/>
          <w:iCs/>
          <w:noProof/>
        </w:rPr>
        <w:t>20</w:t>
      </w:r>
      <w:r w:rsidRPr="00E540EB">
        <w:rPr>
          <w:noProof/>
        </w:rPr>
        <w:t>(2), 209–222.</w:t>
      </w:r>
    </w:p>
    <w:p w14:paraId="1D8B5FC0" w14:textId="77777777" w:rsidR="00E540EB" w:rsidRPr="00E540EB" w:rsidRDefault="00E540EB" w:rsidP="00E540EB">
      <w:pPr>
        <w:pStyle w:val="Biblio"/>
        <w:suppressAutoHyphens/>
        <w:rPr>
          <w:noProof/>
        </w:rPr>
      </w:pPr>
      <w:r w:rsidRPr="00E540EB">
        <w:rPr>
          <w:noProof/>
        </w:rPr>
        <w:t xml:space="preserve">Powers Dirette, D. (2016). Why the Veracity of Data Matters in Health Care Research. </w:t>
      </w:r>
      <w:r w:rsidRPr="00E540EB">
        <w:rPr>
          <w:i/>
          <w:iCs/>
          <w:noProof/>
        </w:rPr>
        <w:t>The Open Journal of Occupational Therapy</w:t>
      </w:r>
      <w:r w:rsidRPr="00E540EB">
        <w:rPr>
          <w:noProof/>
        </w:rPr>
        <w:t xml:space="preserve">, </w:t>
      </w:r>
      <w:r w:rsidRPr="00E540EB">
        <w:rPr>
          <w:i/>
          <w:iCs/>
          <w:noProof/>
        </w:rPr>
        <w:t>4</w:t>
      </w:r>
      <w:r w:rsidRPr="00E540EB">
        <w:rPr>
          <w:noProof/>
        </w:rPr>
        <w:t>(4), 1–4. https://doi.org/10.15453/2168-6408.1324</w:t>
      </w:r>
    </w:p>
    <w:p w14:paraId="06E510C3" w14:textId="77777777" w:rsidR="00E540EB" w:rsidRPr="00E540EB" w:rsidRDefault="00E540EB" w:rsidP="00E540EB">
      <w:pPr>
        <w:pStyle w:val="Biblio"/>
        <w:suppressAutoHyphens/>
        <w:rPr>
          <w:noProof/>
        </w:rPr>
      </w:pPr>
      <w:r w:rsidRPr="00E540EB">
        <w:rPr>
          <w:noProof/>
        </w:rPr>
        <w:t>Privacy International. (2018). The Sustainable Development Goals, Identity, and Privacy: Does their implementation risk human rights? Identity and its Dimensions. Retrieved July 1, 2019, from Privacy International website: https://privacyinternational.org/feature/2237/sustainable-development-goals-identity-and-privacy-does-their-implementation-risk</w:t>
      </w:r>
    </w:p>
    <w:p w14:paraId="1CC0AB4F" w14:textId="77777777" w:rsidR="00E540EB" w:rsidRPr="00E540EB" w:rsidRDefault="00E540EB" w:rsidP="00E540EB">
      <w:pPr>
        <w:pStyle w:val="Biblio"/>
        <w:suppressAutoHyphens/>
        <w:rPr>
          <w:noProof/>
        </w:rPr>
      </w:pPr>
      <w:r w:rsidRPr="00E540EB">
        <w:rPr>
          <w:noProof/>
        </w:rPr>
        <w:t xml:space="preserve">Proctor, R. N. (2006). “Everyone knew but no one had proof”: tobacco industry use of medical history expertise in US courts, 1990–2002. </w:t>
      </w:r>
      <w:r w:rsidRPr="00E540EB">
        <w:rPr>
          <w:i/>
          <w:iCs/>
          <w:noProof/>
        </w:rPr>
        <w:t>Tobacco Control</w:t>
      </w:r>
      <w:r w:rsidRPr="00E540EB">
        <w:rPr>
          <w:noProof/>
        </w:rPr>
        <w:t xml:space="preserve">, </w:t>
      </w:r>
      <w:r w:rsidRPr="00E540EB">
        <w:rPr>
          <w:i/>
          <w:iCs/>
          <w:noProof/>
        </w:rPr>
        <w:t>15</w:t>
      </w:r>
      <w:r w:rsidRPr="00E540EB">
        <w:rPr>
          <w:noProof/>
        </w:rPr>
        <w:t>(suppl 4), iv117–iv125.</w:t>
      </w:r>
    </w:p>
    <w:p w14:paraId="2678BE75" w14:textId="77777777" w:rsidR="00E540EB" w:rsidRPr="00E540EB" w:rsidRDefault="00E540EB" w:rsidP="00E540EB">
      <w:pPr>
        <w:pStyle w:val="Biblio"/>
        <w:suppressAutoHyphens/>
        <w:rPr>
          <w:noProof/>
        </w:rPr>
      </w:pPr>
      <w:r w:rsidRPr="00E540EB">
        <w:rPr>
          <w:noProof/>
        </w:rPr>
        <w:t xml:space="preserve">Proctor, R. N. (2008). Agnotology, A Missing Term to Describe the Cultural Production of Ignorance (and Its Study). In R. N. Proctor &amp; L. Schiebinger (Eds.), </w:t>
      </w:r>
      <w:r w:rsidRPr="00E540EB">
        <w:rPr>
          <w:i/>
          <w:iCs/>
          <w:noProof/>
        </w:rPr>
        <w:t>Agnotology: The making and unmaking of ignorance</w:t>
      </w:r>
      <w:r w:rsidRPr="00E540EB">
        <w:rPr>
          <w:noProof/>
        </w:rPr>
        <w:t xml:space="preserve"> (1st editio, p. 312). Stanford, California USA: Stanford University Press.</w:t>
      </w:r>
    </w:p>
    <w:p w14:paraId="012F504C" w14:textId="77777777" w:rsidR="00E540EB" w:rsidRPr="00E540EB" w:rsidRDefault="00E540EB" w:rsidP="00E540EB">
      <w:pPr>
        <w:pStyle w:val="Biblio"/>
        <w:suppressAutoHyphens/>
        <w:rPr>
          <w:noProof/>
        </w:rPr>
      </w:pPr>
      <w:r w:rsidRPr="00E540EB">
        <w:rPr>
          <w:noProof/>
        </w:rPr>
        <w:t xml:space="preserve">Provan, K. G., &amp; Kenis, P. (2008). Modes of network governance: Structure, management, and effectiveness. </w:t>
      </w:r>
      <w:r w:rsidRPr="00E540EB">
        <w:rPr>
          <w:i/>
          <w:iCs/>
          <w:noProof/>
        </w:rPr>
        <w:t>Journal of Public Administration Research and Theory</w:t>
      </w:r>
      <w:r w:rsidRPr="00E540EB">
        <w:rPr>
          <w:noProof/>
        </w:rPr>
        <w:t xml:space="preserve">, </w:t>
      </w:r>
      <w:r w:rsidRPr="00E540EB">
        <w:rPr>
          <w:i/>
          <w:iCs/>
          <w:noProof/>
        </w:rPr>
        <w:t>18</w:t>
      </w:r>
      <w:r w:rsidRPr="00E540EB">
        <w:rPr>
          <w:noProof/>
        </w:rPr>
        <w:t>(2), 229–252. https://doi.org/10.1093/jopart/mum015</w:t>
      </w:r>
    </w:p>
    <w:p w14:paraId="0F281328" w14:textId="77777777" w:rsidR="00E540EB" w:rsidRPr="00E540EB" w:rsidRDefault="00E540EB" w:rsidP="00E540EB">
      <w:pPr>
        <w:pStyle w:val="Biblio"/>
        <w:suppressAutoHyphens/>
        <w:rPr>
          <w:noProof/>
        </w:rPr>
      </w:pPr>
      <w:r w:rsidRPr="00E540EB">
        <w:rPr>
          <w:noProof/>
        </w:rPr>
        <w:t xml:space="preserve">Purvis, K. (2015). Delivering aid: agencies struggle with increasing needs, costs and insecurity. </w:t>
      </w:r>
      <w:r w:rsidRPr="00E540EB">
        <w:rPr>
          <w:i/>
          <w:iCs/>
          <w:noProof/>
        </w:rPr>
        <w:t>The Guardian</w:t>
      </w:r>
      <w:r w:rsidRPr="00E540EB">
        <w:rPr>
          <w:noProof/>
        </w:rPr>
        <w:t>. Retrieved from http://www.theguardian.com/global-development-professionals-network/2015/dec/16/delivering-humanitarian-aid-increasing-needs-costs-insecurity-conflict-</w:t>
      </w:r>
    </w:p>
    <w:p w14:paraId="0F73AB12" w14:textId="77777777" w:rsidR="00E540EB" w:rsidRPr="00E540EB" w:rsidRDefault="00E540EB" w:rsidP="00E540EB">
      <w:pPr>
        <w:pStyle w:val="Biblio"/>
        <w:suppressAutoHyphens/>
        <w:rPr>
          <w:noProof/>
        </w:rPr>
      </w:pPr>
      <w:r w:rsidRPr="00E540EB">
        <w:rPr>
          <w:noProof/>
        </w:rPr>
        <w:t xml:space="preserve">Quinn, J. A., Nyhan, M. M., Navarro, C., Coluccia, D., Bromley, L., &amp; Luengo-Oroz, M. (2018). Humanitarian applications of machine learning with remote-sensing data: review and case study in refugee settlement mapping. </w:t>
      </w:r>
      <w:r w:rsidRPr="00E540EB">
        <w:rPr>
          <w:i/>
          <w:iCs/>
          <w:noProof/>
        </w:rPr>
        <w:t>Philosophical Transactions of the Royal Society A: Mathematical, Physical and Engineering Sciences</w:t>
      </w:r>
      <w:r w:rsidRPr="00E540EB">
        <w:rPr>
          <w:noProof/>
        </w:rPr>
        <w:t xml:space="preserve">, </w:t>
      </w:r>
      <w:r w:rsidRPr="00E540EB">
        <w:rPr>
          <w:i/>
          <w:iCs/>
          <w:noProof/>
        </w:rPr>
        <w:t>376</w:t>
      </w:r>
      <w:r w:rsidRPr="00E540EB">
        <w:rPr>
          <w:noProof/>
        </w:rPr>
        <w:t>(2128), 20170363. https://doi.org/10.1098/rsta.2017.0363</w:t>
      </w:r>
    </w:p>
    <w:p w14:paraId="63767FBB" w14:textId="77777777" w:rsidR="00E540EB" w:rsidRPr="00E540EB" w:rsidRDefault="00E540EB" w:rsidP="00E540EB">
      <w:pPr>
        <w:pStyle w:val="Biblio"/>
        <w:suppressAutoHyphens/>
        <w:rPr>
          <w:noProof/>
        </w:rPr>
      </w:pPr>
      <w:r w:rsidRPr="00E540EB">
        <w:rPr>
          <w:noProof/>
        </w:rPr>
        <w:t>Raymond, N., Al Achkar, Z., Verhulst, S., Berens, J., Barajas, L., &amp; Easton, M. (2016). Building data responsibility into humanitarian action. Retrieved July 1, 2019, from OCHA Policy and Studies Series website: https://www.unocha.org/publication/policy-briefs-studies/building-data-responsibility-humanitarian-action</w:t>
      </w:r>
    </w:p>
    <w:p w14:paraId="540F153E" w14:textId="77777777" w:rsidR="00E540EB" w:rsidRPr="00E540EB" w:rsidRDefault="00E540EB" w:rsidP="00E540EB">
      <w:pPr>
        <w:pStyle w:val="Biblio"/>
        <w:suppressAutoHyphens/>
        <w:rPr>
          <w:noProof/>
        </w:rPr>
      </w:pPr>
      <w:r w:rsidRPr="00E540EB">
        <w:rPr>
          <w:noProof/>
        </w:rPr>
        <w:t xml:space="preserve">Reyes-Galaviz, O. F., &amp; Pedrycz, W. (2015). Granular fuzzy models: Analysis, design, and evaluation. </w:t>
      </w:r>
      <w:r w:rsidRPr="00E540EB">
        <w:rPr>
          <w:i/>
          <w:iCs/>
          <w:noProof/>
        </w:rPr>
        <w:t>International Journal of Approximate Reasoning</w:t>
      </w:r>
      <w:r w:rsidRPr="00E540EB">
        <w:rPr>
          <w:noProof/>
        </w:rPr>
        <w:t xml:space="preserve">, </w:t>
      </w:r>
      <w:r w:rsidRPr="00E540EB">
        <w:rPr>
          <w:i/>
          <w:iCs/>
          <w:noProof/>
        </w:rPr>
        <w:t>64</w:t>
      </w:r>
      <w:r w:rsidRPr="00E540EB">
        <w:rPr>
          <w:noProof/>
        </w:rPr>
        <w:t>, 1–19. https://doi.org/10.1016/j.ijar.2015.06.005</w:t>
      </w:r>
    </w:p>
    <w:p w14:paraId="61AEC7C2" w14:textId="77777777" w:rsidR="00E540EB" w:rsidRPr="00E540EB" w:rsidRDefault="00E540EB" w:rsidP="00E540EB">
      <w:pPr>
        <w:pStyle w:val="Biblio"/>
        <w:suppressAutoHyphens/>
        <w:rPr>
          <w:noProof/>
        </w:rPr>
      </w:pPr>
      <w:r w:rsidRPr="00E540EB">
        <w:rPr>
          <w:noProof/>
        </w:rPr>
        <w:t xml:space="preserve">Riddell, R. C. (2008). The growth of emergencies and the humanitarian response. In </w:t>
      </w:r>
      <w:r w:rsidRPr="00E540EB">
        <w:rPr>
          <w:i/>
          <w:iCs/>
          <w:noProof/>
        </w:rPr>
        <w:t>Does Foreign Aid Really Work?</w:t>
      </w:r>
      <w:r w:rsidRPr="00E540EB">
        <w:rPr>
          <w:noProof/>
        </w:rPr>
        <w:t xml:space="preserve"> (pp. 311–324). Oxford, United Kingdom: Oxford University Press.</w:t>
      </w:r>
    </w:p>
    <w:p w14:paraId="09324E52" w14:textId="77777777" w:rsidR="00E540EB" w:rsidRPr="00E540EB" w:rsidRDefault="00E540EB" w:rsidP="00E540EB">
      <w:pPr>
        <w:pStyle w:val="Biblio"/>
        <w:suppressAutoHyphens/>
        <w:rPr>
          <w:noProof/>
        </w:rPr>
      </w:pPr>
      <w:r w:rsidRPr="00E540EB">
        <w:rPr>
          <w:noProof/>
        </w:rPr>
        <w:lastRenderedPageBreak/>
        <w:t xml:space="preserve">Rubin, V. L., &amp; Vashchilko, T. (2012). Extending information quality assessment methodology: A new veracity/deception dimension and its measures. </w:t>
      </w:r>
      <w:r w:rsidRPr="00E540EB">
        <w:rPr>
          <w:i/>
          <w:iCs/>
          <w:noProof/>
        </w:rPr>
        <w:t>Proceedings of the American Society for Information Science and Technology</w:t>
      </w:r>
      <w:r w:rsidRPr="00E540EB">
        <w:rPr>
          <w:noProof/>
        </w:rPr>
        <w:t xml:space="preserve">, </w:t>
      </w:r>
      <w:r w:rsidRPr="00E540EB">
        <w:rPr>
          <w:i/>
          <w:iCs/>
          <w:noProof/>
        </w:rPr>
        <w:t>49</w:t>
      </w:r>
      <w:r w:rsidRPr="00E540EB">
        <w:rPr>
          <w:noProof/>
        </w:rPr>
        <w:t>(1), 1–6. https://doi.org/10.1002/meet.14504901350</w:t>
      </w:r>
    </w:p>
    <w:p w14:paraId="69F36864" w14:textId="77777777" w:rsidR="00E540EB" w:rsidRPr="00E540EB" w:rsidRDefault="00E540EB" w:rsidP="00E540EB">
      <w:pPr>
        <w:pStyle w:val="Biblio"/>
        <w:suppressAutoHyphens/>
        <w:rPr>
          <w:noProof/>
        </w:rPr>
      </w:pPr>
      <w:r w:rsidRPr="00E540EB">
        <w:rPr>
          <w:noProof/>
        </w:rPr>
        <w:t xml:space="preserve">Sagiroglu, S., &amp; Sinanc, D. (2013). Big data - A review. </w:t>
      </w:r>
      <w:r w:rsidRPr="00E540EB">
        <w:rPr>
          <w:i/>
          <w:iCs/>
          <w:noProof/>
        </w:rPr>
        <w:t>Proceedings of the International Conference on Collaboration Tech</w:t>
      </w:r>
      <w:r w:rsidRPr="00E540EB">
        <w:rPr>
          <w:rFonts w:ascii="Cambria Math" w:hAnsi="Cambria Math" w:cs="Cambria Math"/>
          <w:i/>
          <w:iCs/>
          <w:noProof/>
        </w:rPr>
        <w:t>‑</w:t>
      </w:r>
      <w:r w:rsidRPr="00E540EB">
        <w:rPr>
          <w:i/>
          <w:iCs/>
          <w:noProof/>
        </w:rPr>
        <w:t>nologies and Systems</w:t>
      </w:r>
      <w:r w:rsidRPr="00E540EB">
        <w:rPr>
          <w:noProof/>
        </w:rPr>
        <w:t>, 42–47. https://doi.org/10.1109/CTS.2013.6567202</w:t>
      </w:r>
    </w:p>
    <w:p w14:paraId="39F8C4E8" w14:textId="77777777" w:rsidR="00E540EB" w:rsidRPr="00E540EB" w:rsidRDefault="00E540EB" w:rsidP="00E540EB">
      <w:pPr>
        <w:pStyle w:val="Biblio"/>
        <w:suppressAutoHyphens/>
        <w:rPr>
          <w:noProof/>
        </w:rPr>
      </w:pPr>
      <w:r w:rsidRPr="00E540EB">
        <w:rPr>
          <w:noProof/>
        </w:rPr>
        <w:t xml:space="preserve">Sandberg, B., &amp; Aarikka-Stenroos, L. (2014). What makes it so difficult? A systematic review on barriers to radical innovation. </w:t>
      </w:r>
      <w:r w:rsidRPr="00E540EB">
        <w:rPr>
          <w:i/>
          <w:iCs/>
          <w:noProof/>
        </w:rPr>
        <w:t>Industrial Marketing Management</w:t>
      </w:r>
      <w:r w:rsidRPr="00E540EB">
        <w:rPr>
          <w:noProof/>
        </w:rPr>
        <w:t xml:space="preserve">, </w:t>
      </w:r>
      <w:r w:rsidRPr="00E540EB">
        <w:rPr>
          <w:i/>
          <w:iCs/>
          <w:noProof/>
        </w:rPr>
        <w:t>43</w:t>
      </w:r>
      <w:r w:rsidRPr="00E540EB">
        <w:rPr>
          <w:noProof/>
        </w:rPr>
        <w:t>(8), 1293–1305. https://doi.org/10.1016/j.indmarman.2014.08.003</w:t>
      </w:r>
    </w:p>
    <w:p w14:paraId="17A6C66F" w14:textId="77777777" w:rsidR="00E540EB" w:rsidRPr="00E540EB" w:rsidRDefault="00E540EB" w:rsidP="00E540EB">
      <w:pPr>
        <w:pStyle w:val="Biblio"/>
        <w:suppressAutoHyphens/>
        <w:rPr>
          <w:noProof/>
        </w:rPr>
      </w:pPr>
      <w:r w:rsidRPr="00E540EB">
        <w:rPr>
          <w:noProof/>
        </w:rPr>
        <w:t xml:space="preserve">Sandvik, K. B., &amp; Lohne, K. (2014). The Rise of the Humanitarian Drone: Giving Content to an Emerging Concept. </w:t>
      </w:r>
      <w:r w:rsidRPr="00E540EB">
        <w:rPr>
          <w:i/>
          <w:iCs/>
          <w:noProof/>
        </w:rPr>
        <w:t>Millennium</w:t>
      </w:r>
      <w:r w:rsidRPr="00E540EB">
        <w:rPr>
          <w:noProof/>
        </w:rPr>
        <w:t xml:space="preserve">, </w:t>
      </w:r>
      <w:r w:rsidRPr="00E540EB">
        <w:rPr>
          <w:i/>
          <w:iCs/>
          <w:noProof/>
        </w:rPr>
        <w:t>43</w:t>
      </w:r>
      <w:r w:rsidRPr="00E540EB">
        <w:rPr>
          <w:noProof/>
        </w:rPr>
        <w:t>(1), 145–164. https://doi.org/10.1177/0305829814529470</w:t>
      </w:r>
    </w:p>
    <w:p w14:paraId="7417551B" w14:textId="77777777" w:rsidR="00E540EB" w:rsidRPr="00E540EB" w:rsidRDefault="00E540EB" w:rsidP="00E540EB">
      <w:pPr>
        <w:pStyle w:val="Biblio"/>
        <w:suppressAutoHyphens/>
        <w:rPr>
          <w:noProof/>
        </w:rPr>
      </w:pPr>
      <w:r w:rsidRPr="00E540EB">
        <w:rPr>
          <w:noProof/>
        </w:rPr>
        <w:t xml:space="preserve">Schroeck, M. (2012). Analytics: the real-world use of Big Data. How innovative enterprises extract value from uncertain data. IBM Global Business Services. In </w:t>
      </w:r>
      <w:r w:rsidRPr="00E540EB">
        <w:rPr>
          <w:i/>
          <w:iCs/>
          <w:noProof/>
        </w:rPr>
        <w:t>IBM Institute for Business Value</w:t>
      </w:r>
      <w:r w:rsidRPr="00E540EB">
        <w:rPr>
          <w:noProof/>
        </w:rPr>
        <w:t>. Retrieved from http://www-01.ibm.com/common/ssi/cgi-bin/ssialias?htmlfid=GBE03519USEN</w:t>
      </w:r>
    </w:p>
    <w:p w14:paraId="3E28E345" w14:textId="77777777" w:rsidR="00E540EB" w:rsidRPr="00E540EB" w:rsidRDefault="00E540EB" w:rsidP="00E540EB">
      <w:pPr>
        <w:pStyle w:val="Biblio"/>
        <w:suppressAutoHyphens/>
        <w:rPr>
          <w:noProof/>
        </w:rPr>
      </w:pPr>
      <w:r w:rsidRPr="00E540EB">
        <w:rPr>
          <w:noProof/>
        </w:rPr>
        <w:t xml:space="preserve">Sharma, R., Mithas, S., &amp; Kankanhalli, A. (2014). Transforming decision-making processes: a research agenda for understanding the impact of business analytics on organisations. </w:t>
      </w:r>
      <w:r w:rsidRPr="00E540EB">
        <w:rPr>
          <w:i/>
          <w:iCs/>
          <w:noProof/>
        </w:rPr>
        <w:t>European Journal of Information Systems</w:t>
      </w:r>
      <w:r w:rsidRPr="00E540EB">
        <w:rPr>
          <w:noProof/>
        </w:rPr>
        <w:t xml:space="preserve">, </w:t>
      </w:r>
      <w:r w:rsidRPr="00E540EB">
        <w:rPr>
          <w:i/>
          <w:iCs/>
          <w:noProof/>
        </w:rPr>
        <w:t>23</w:t>
      </w:r>
      <w:r w:rsidRPr="00E540EB">
        <w:rPr>
          <w:noProof/>
        </w:rPr>
        <w:t>(4), 433–441. https://doi.org/10.1057/ejis.2014.17</w:t>
      </w:r>
    </w:p>
    <w:p w14:paraId="41A3AEA6" w14:textId="77777777" w:rsidR="00E540EB" w:rsidRPr="00E540EB" w:rsidRDefault="00E540EB" w:rsidP="00E540EB">
      <w:pPr>
        <w:pStyle w:val="Biblio"/>
        <w:suppressAutoHyphens/>
        <w:rPr>
          <w:noProof/>
        </w:rPr>
      </w:pPr>
      <w:r w:rsidRPr="00E540EB">
        <w:rPr>
          <w:noProof/>
        </w:rPr>
        <w:t xml:space="preserve">Sivarajah, U., Kamal, M. M., Irani, Z., &amp; Weerakkody, V. (2017). Critical analysis of Big Data challenges and analytical methods. </w:t>
      </w:r>
      <w:r w:rsidRPr="00E540EB">
        <w:rPr>
          <w:i/>
          <w:iCs/>
          <w:noProof/>
        </w:rPr>
        <w:t>Journal of Business Research</w:t>
      </w:r>
      <w:r w:rsidRPr="00E540EB">
        <w:rPr>
          <w:noProof/>
        </w:rPr>
        <w:t xml:space="preserve">, </w:t>
      </w:r>
      <w:r w:rsidRPr="00E540EB">
        <w:rPr>
          <w:i/>
          <w:iCs/>
          <w:noProof/>
        </w:rPr>
        <w:t>70</w:t>
      </w:r>
      <w:r w:rsidRPr="00E540EB">
        <w:rPr>
          <w:noProof/>
        </w:rPr>
        <w:t>, 263–286. https://doi.org/10.1016/j.jbusres.2016.08.001</w:t>
      </w:r>
    </w:p>
    <w:p w14:paraId="3F6FF550" w14:textId="77777777" w:rsidR="00E540EB" w:rsidRPr="00E540EB" w:rsidRDefault="00E540EB" w:rsidP="00E540EB">
      <w:pPr>
        <w:pStyle w:val="Biblio"/>
        <w:suppressAutoHyphens/>
        <w:rPr>
          <w:noProof/>
        </w:rPr>
      </w:pPr>
      <w:r w:rsidRPr="00E540EB">
        <w:rPr>
          <w:noProof/>
        </w:rPr>
        <w:t xml:space="preserve">Stephenson, M. (2005). Making humanitarian relief networks more effective: operational coordination, trust and sense making. </w:t>
      </w:r>
      <w:r w:rsidRPr="00E540EB">
        <w:rPr>
          <w:i/>
          <w:iCs/>
          <w:noProof/>
        </w:rPr>
        <w:t>Disasters</w:t>
      </w:r>
      <w:r w:rsidRPr="00E540EB">
        <w:rPr>
          <w:noProof/>
        </w:rPr>
        <w:t xml:space="preserve">, </w:t>
      </w:r>
      <w:r w:rsidRPr="00E540EB">
        <w:rPr>
          <w:i/>
          <w:iCs/>
          <w:noProof/>
        </w:rPr>
        <w:t>29</w:t>
      </w:r>
      <w:r w:rsidRPr="00E540EB">
        <w:rPr>
          <w:noProof/>
        </w:rPr>
        <w:t>(4), 337–350. https://doi.org/10.1111/j.0361-3666.2005.00296.x</w:t>
      </w:r>
    </w:p>
    <w:p w14:paraId="4522E431" w14:textId="77777777" w:rsidR="00E540EB" w:rsidRPr="00E540EB" w:rsidRDefault="00E540EB" w:rsidP="00E540EB">
      <w:pPr>
        <w:pStyle w:val="Biblio"/>
        <w:suppressAutoHyphens/>
        <w:rPr>
          <w:noProof/>
        </w:rPr>
      </w:pPr>
      <w:r w:rsidRPr="00E540EB">
        <w:rPr>
          <w:noProof/>
        </w:rPr>
        <w:t xml:space="preserve">Strong, D. M., Lee, Y. W., &amp; Wang, R. Y. (1997). Data Quality in Context. </w:t>
      </w:r>
      <w:r w:rsidRPr="00E540EB">
        <w:rPr>
          <w:i/>
          <w:iCs/>
          <w:noProof/>
        </w:rPr>
        <w:t>Commun. ACM</w:t>
      </w:r>
      <w:r w:rsidRPr="00E540EB">
        <w:rPr>
          <w:noProof/>
        </w:rPr>
        <w:t xml:space="preserve">, </w:t>
      </w:r>
      <w:r w:rsidRPr="00E540EB">
        <w:rPr>
          <w:i/>
          <w:iCs/>
          <w:noProof/>
        </w:rPr>
        <w:t>40</w:t>
      </w:r>
      <w:r w:rsidRPr="00E540EB">
        <w:rPr>
          <w:noProof/>
        </w:rPr>
        <w:t>(5), 103–110. https://doi.org/10.1145/253769.253804</w:t>
      </w:r>
    </w:p>
    <w:p w14:paraId="6698F561" w14:textId="77777777" w:rsidR="00E540EB" w:rsidRPr="00E540EB" w:rsidRDefault="00E540EB" w:rsidP="00E540EB">
      <w:pPr>
        <w:pStyle w:val="Biblio"/>
        <w:suppressAutoHyphens/>
        <w:rPr>
          <w:noProof/>
        </w:rPr>
      </w:pPr>
      <w:r w:rsidRPr="00E540EB">
        <w:rPr>
          <w:noProof/>
        </w:rPr>
        <w:t xml:space="preserve">Swaminathan, J. M. (2018). Big Data Analytics for Rapid, Impactful, Sustained, and Efficient (RISE) Humanitarian Operations. </w:t>
      </w:r>
      <w:r w:rsidRPr="00E540EB">
        <w:rPr>
          <w:i/>
          <w:iCs/>
          <w:noProof/>
        </w:rPr>
        <w:t>Production and Operations Management</w:t>
      </w:r>
      <w:r w:rsidRPr="00E540EB">
        <w:rPr>
          <w:noProof/>
        </w:rPr>
        <w:t xml:space="preserve">, </w:t>
      </w:r>
      <w:r w:rsidRPr="00E540EB">
        <w:rPr>
          <w:i/>
          <w:iCs/>
          <w:noProof/>
        </w:rPr>
        <w:t>27</w:t>
      </w:r>
      <w:r w:rsidRPr="00E540EB">
        <w:rPr>
          <w:noProof/>
        </w:rPr>
        <w:t>(9), 1696–1700. https://doi.org/10.1111/poms.12840</w:t>
      </w:r>
    </w:p>
    <w:p w14:paraId="150A7251" w14:textId="77777777" w:rsidR="00E540EB" w:rsidRPr="00E540EB" w:rsidRDefault="00E540EB" w:rsidP="00E540EB">
      <w:pPr>
        <w:pStyle w:val="Biblio"/>
        <w:suppressAutoHyphens/>
        <w:rPr>
          <w:noProof/>
        </w:rPr>
      </w:pPr>
      <w:r w:rsidRPr="00E540EB">
        <w:rPr>
          <w:noProof/>
        </w:rPr>
        <w:t xml:space="preserve">Tatham, P., &amp; Hughes, K. (2011). Humanitarian logistics metrics : where we are and how we might improve. In M. Christopher &amp; P. Tatham (Eds.), </w:t>
      </w:r>
      <w:r w:rsidRPr="00E540EB">
        <w:rPr>
          <w:i/>
          <w:iCs/>
          <w:noProof/>
        </w:rPr>
        <w:t>Humanitarian logistics : meeting the challenge of preparing for and responding to disasters</w:t>
      </w:r>
      <w:r w:rsidRPr="00E540EB">
        <w:rPr>
          <w:noProof/>
        </w:rPr>
        <w:t xml:space="preserve"> (1st ed., p. Pages 65-84). London, United Kingdom: Kogan Page Limited.</w:t>
      </w:r>
    </w:p>
    <w:p w14:paraId="4CD04C5D" w14:textId="77777777" w:rsidR="00E540EB" w:rsidRPr="00E540EB" w:rsidRDefault="00E540EB" w:rsidP="00E540EB">
      <w:pPr>
        <w:pStyle w:val="Biblio"/>
        <w:suppressAutoHyphens/>
        <w:rPr>
          <w:noProof/>
        </w:rPr>
      </w:pPr>
      <w:r w:rsidRPr="00E540EB">
        <w:rPr>
          <w:noProof/>
        </w:rPr>
        <w:t xml:space="preserve">The Economist. (2010). </w:t>
      </w:r>
      <w:r w:rsidRPr="00E540EB">
        <w:rPr>
          <w:i/>
          <w:iCs/>
          <w:noProof/>
        </w:rPr>
        <w:t>Data , data everywhere</w:t>
      </w:r>
      <w:r w:rsidRPr="00E540EB">
        <w:rPr>
          <w:noProof/>
        </w:rPr>
        <w:t>.</w:t>
      </w:r>
    </w:p>
    <w:p w14:paraId="6E0E7BCD" w14:textId="77777777" w:rsidR="00E540EB" w:rsidRPr="00E540EB" w:rsidRDefault="00E540EB" w:rsidP="00E540EB">
      <w:pPr>
        <w:pStyle w:val="Biblio"/>
        <w:suppressAutoHyphens/>
        <w:rPr>
          <w:noProof/>
        </w:rPr>
      </w:pPr>
      <w:r w:rsidRPr="00E540EB">
        <w:rPr>
          <w:noProof/>
        </w:rPr>
        <w:t xml:space="preserve">The Lancet. (2010). Growth of aid and the decline of humanitarianism. </w:t>
      </w:r>
      <w:r w:rsidRPr="00E540EB">
        <w:rPr>
          <w:i/>
          <w:iCs/>
          <w:noProof/>
        </w:rPr>
        <w:t>The Lancet</w:t>
      </w:r>
      <w:r w:rsidRPr="00E540EB">
        <w:rPr>
          <w:noProof/>
        </w:rPr>
        <w:t xml:space="preserve">, </w:t>
      </w:r>
      <w:r w:rsidRPr="00E540EB">
        <w:rPr>
          <w:i/>
          <w:iCs/>
          <w:noProof/>
        </w:rPr>
        <w:t>375</w:t>
      </w:r>
      <w:r w:rsidRPr="00E540EB">
        <w:rPr>
          <w:noProof/>
        </w:rPr>
        <w:t>, 253 (Editorial). Retrieved from http://www.thelancet.com/journals/lancet/article/PIIS0140-6736(10)60110-9/abstract</w:t>
      </w:r>
    </w:p>
    <w:p w14:paraId="3CB05684" w14:textId="77777777" w:rsidR="00E540EB" w:rsidRPr="00E540EB" w:rsidRDefault="00E540EB" w:rsidP="00E540EB">
      <w:pPr>
        <w:pStyle w:val="Biblio"/>
        <w:suppressAutoHyphens/>
        <w:rPr>
          <w:noProof/>
        </w:rPr>
      </w:pPr>
      <w:r w:rsidRPr="00E540EB">
        <w:rPr>
          <w:noProof/>
        </w:rPr>
        <w:t xml:space="preserve">Truyens, M., &amp; Eecke, P. Van. (2014). Legal aspects of text mining. </w:t>
      </w:r>
      <w:r w:rsidRPr="00E540EB">
        <w:rPr>
          <w:i/>
          <w:iCs/>
          <w:noProof/>
        </w:rPr>
        <w:t>Computer Law &amp; Security Review</w:t>
      </w:r>
      <w:r w:rsidRPr="00E540EB">
        <w:rPr>
          <w:noProof/>
        </w:rPr>
        <w:t xml:space="preserve">, </w:t>
      </w:r>
      <w:r w:rsidRPr="00E540EB">
        <w:rPr>
          <w:i/>
          <w:iCs/>
          <w:noProof/>
        </w:rPr>
        <w:t>30</w:t>
      </w:r>
      <w:r w:rsidRPr="00E540EB">
        <w:rPr>
          <w:noProof/>
        </w:rPr>
        <w:t>(2), 153–170. https://doi.org/10.1016/j.clsr.2014.01.009</w:t>
      </w:r>
    </w:p>
    <w:p w14:paraId="53F3E722" w14:textId="77777777" w:rsidR="00E540EB" w:rsidRPr="00E540EB" w:rsidRDefault="00E540EB" w:rsidP="00E540EB">
      <w:pPr>
        <w:pStyle w:val="Biblio"/>
        <w:suppressAutoHyphens/>
        <w:rPr>
          <w:noProof/>
        </w:rPr>
      </w:pPr>
      <w:r w:rsidRPr="00E540EB">
        <w:rPr>
          <w:noProof/>
        </w:rPr>
        <w:t>UCDP. (2017). Department of Peace and Conflict Research, Uppsala University (Uppsala University, Ed.). Retrieved January 9, 2017, from Uppsala Conflict Data Program (UCDP) website: http://www.pcr.uu.se/</w:t>
      </w:r>
    </w:p>
    <w:p w14:paraId="4EF6F3BE" w14:textId="77777777" w:rsidR="00E540EB" w:rsidRPr="00E540EB" w:rsidRDefault="00E540EB" w:rsidP="00E540EB">
      <w:pPr>
        <w:pStyle w:val="Biblio"/>
        <w:suppressAutoHyphens/>
        <w:rPr>
          <w:noProof/>
        </w:rPr>
      </w:pPr>
      <w:r w:rsidRPr="00E540EB">
        <w:rPr>
          <w:noProof/>
        </w:rPr>
        <w:t>UN News. (2018). ‘Fire-fighting approach’ to humanitarian aid ‘not sustainable.’ Retrieved May 19, 2019, from UN News website: https://news.un.org/en/story/2018/12/1028421</w:t>
      </w:r>
    </w:p>
    <w:p w14:paraId="72F1AB8B" w14:textId="77777777" w:rsidR="00E540EB" w:rsidRPr="00E540EB" w:rsidRDefault="00E540EB" w:rsidP="00E540EB">
      <w:pPr>
        <w:pStyle w:val="Biblio"/>
        <w:suppressAutoHyphens/>
        <w:rPr>
          <w:noProof/>
        </w:rPr>
      </w:pPr>
      <w:r w:rsidRPr="00E540EB">
        <w:rPr>
          <w:noProof/>
        </w:rPr>
        <w:lastRenderedPageBreak/>
        <w:t>UNHCR. (2017). United Nations High Commissioner for Refugees (UNHCR), Population Statistics Database Overview (UNHCR, Ed.). Retrieved January 7, 2017, from Population Statistics website: http://popstats.unhcr.org/en/overview</w:t>
      </w:r>
    </w:p>
    <w:p w14:paraId="3C4EE670" w14:textId="77777777" w:rsidR="00E540EB" w:rsidRPr="00E540EB" w:rsidRDefault="00E540EB" w:rsidP="00E540EB">
      <w:pPr>
        <w:pStyle w:val="Biblio"/>
        <w:suppressAutoHyphens/>
        <w:rPr>
          <w:noProof/>
        </w:rPr>
      </w:pPr>
      <w:r w:rsidRPr="00E540EB">
        <w:rPr>
          <w:noProof/>
        </w:rPr>
        <w:t>United Nations. (2015a). Sustainable Development Goal 16: Peace, Justice and Strong Institutions (U. Nations, Ed.). Retrieved from United Nations website: https://sustainabledevelopment.un.org/sdg16</w:t>
      </w:r>
    </w:p>
    <w:p w14:paraId="39EB2297" w14:textId="77777777" w:rsidR="00E540EB" w:rsidRPr="00E540EB" w:rsidRDefault="00E540EB" w:rsidP="00E540EB">
      <w:pPr>
        <w:pStyle w:val="Biblio"/>
        <w:suppressAutoHyphens/>
        <w:rPr>
          <w:noProof/>
        </w:rPr>
      </w:pPr>
      <w:r w:rsidRPr="00E540EB">
        <w:rPr>
          <w:noProof/>
        </w:rPr>
        <w:t>United Nations. (2015b). Sustainable Development Goal 17: Partnerships for the Goals (United Nations, Ed.). Retrieved May 19, 2019, from United Nations website: https://sustainabledevelopment.un.org/sdg17</w:t>
      </w:r>
    </w:p>
    <w:p w14:paraId="0C9AD4C6" w14:textId="77777777" w:rsidR="00E540EB" w:rsidRPr="00E540EB" w:rsidRDefault="00E540EB" w:rsidP="00E540EB">
      <w:pPr>
        <w:pStyle w:val="Biblio"/>
        <w:suppressAutoHyphens/>
        <w:rPr>
          <w:noProof/>
        </w:rPr>
      </w:pPr>
      <w:r w:rsidRPr="00E540EB">
        <w:rPr>
          <w:noProof/>
        </w:rPr>
        <w:t>United Nations. (2015c). Sustainable Development Goals (United Nations, Ed.). Retrieved May 19, 2019, from UNSDG website: https://www.un.org/sustainabledevelopment/</w:t>
      </w:r>
    </w:p>
    <w:p w14:paraId="2AE16235" w14:textId="77777777" w:rsidR="00E540EB" w:rsidRPr="00E540EB" w:rsidRDefault="00E540EB" w:rsidP="00E540EB">
      <w:pPr>
        <w:pStyle w:val="Biblio"/>
        <w:suppressAutoHyphens/>
        <w:rPr>
          <w:noProof/>
        </w:rPr>
      </w:pPr>
      <w:r w:rsidRPr="00E540EB">
        <w:rPr>
          <w:noProof/>
        </w:rPr>
        <w:t xml:space="preserve">United Nations. (2015d). Transforming our world: The 2030 agenda for sustainable development. In </w:t>
      </w:r>
      <w:r w:rsidRPr="00E540EB">
        <w:rPr>
          <w:i/>
          <w:iCs/>
          <w:noProof/>
        </w:rPr>
        <w:t>Resolution adopted by the General Assembly</w:t>
      </w:r>
      <w:r w:rsidRPr="00E540EB">
        <w:rPr>
          <w:noProof/>
        </w:rPr>
        <w:t>. Retrieved from United Nations General Assembly website: https://www.un.org/ga/search/view_doc.asp?symbol=A/RES/70/1&amp;Lang=E; https://sustainabledevelopment.un.org/content/documents/21252030 Agenda for Sustainable Development web.pdf</w:t>
      </w:r>
    </w:p>
    <w:p w14:paraId="23816086" w14:textId="77777777" w:rsidR="00E540EB" w:rsidRPr="00E540EB" w:rsidRDefault="00E540EB" w:rsidP="00E540EB">
      <w:pPr>
        <w:pStyle w:val="Biblio"/>
        <w:suppressAutoHyphens/>
        <w:rPr>
          <w:noProof/>
        </w:rPr>
      </w:pPr>
      <w:r w:rsidRPr="00E540EB">
        <w:rPr>
          <w:noProof/>
        </w:rPr>
        <w:t>UNOCHA. (2017). United Nations Office for the Coordination of Humanitarian Affairs (UNOCHA) (Humanitarian Programme Cycle Information Services Unit (HPC-IS), Ed.). Retrieved May 30, 2017, from http://www.unocha.org/</w:t>
      </w:r>
    </w:p>
    <w:p w14:paraId="3560C348" w14:textId="77777777" w:rsidR="00E540EB" w:rsidRPr="00E540EB" w:rsidRDefault="00E540EB" w:rsidP="00E540EB">
      <w:pPr>
        <w:pStyle w:val="Biblio"/>
        <w:suppressAutoHyphens/>
        <w:rPr>
          <w:noProof/>
        </w:rPr>
      </w:pPr>
      <w:r w:rsidRPr="00E540EB">
        <w:rPr>
          <w:noProof/>
        </w:rPr>
        <w:t xml:space="preserve">UNSD. (2018). </w:t>
      </w:r>
      <w:r w:rsidRPr="00E540EB">
        <w:rPr>
          <w:i/>
          <w:iCs/>
          <w:noProof/>
        </w:rPr>
        <w:t>United Nations Sustainable Development Goal indicators</w:t>
      </w:r>
      <w:r w:rsidRPr="00E540EB">
        <w:rPr>
          <w:noProof/>
        </w:rPr>
        <w:t>. Retrieved from United Nations Statistics Division website: https://unstats.un.org/sdgs/report/2018/overview/, https://unstats.un.org/sdgs/files/report/2018/TheSustainableDevelopmentGoalsReport2018-EN.pdf</w:t>
      </w:r>
    </w:p>
    <w:p w14:paraId="5C306963" w14:textId="77777777" w:rsidR="00E540EB" w:rsidRPr="00E540EB" w:rsidRDefault="00E540EB" w:rsidP="00E540EB">
      <w:pPr>
        <w:pStyle w:val="Biblio"/>
        <w:suppressAutoHyphens/>
        <w:rPr>
          <w:noProof/>
        </w:rPr>
      </w:pPr>
      <w:r w:rsidRPr="00E540EB">
        <w:rPr>
          <w:noProof/>
        </w:rPr>
        <w:t xml:space="preserve">van den Broek, T., &amp; van Veenstra, A. F. (2018). Governance of big data collaborations: How to balance regulatory compliance and disruptive innovation. </w:t>
      </w:r>
      <w:r w:rsidRPr="00E540EB">
        <w:rPr>
          <w:i/>
          <w:iCs/>
          <w:noProof/>
        </w:rPr>
        <w:t>Technological Forecasting and Social Change</w:t>
      </w:r>
      <w:r w:rsidRPr="00E540EB">
        <w:rPr>
          <w:noProof/>
        </w:rPr>
        <w:t xml:space="preserve">, </w:t>
      </w:r>
      <w:r w:rsidRPr="00E540EB">
        <w:rPr>
          <w:i/>
          <w:iCs/>
          <w:noProof/>
        </w:rPr>
        <w:t>129</w:t>
      </w:r>
      <w:r w:rsidRPr="00E540EB">
        <w:rPr>
          <w:noProof/>
        </w:rPr>
        <w:t>, 330–338. https://doi.org/10.1016/j.techfore.2017.09.040</w:t>
      </w:r>
    </w:p>
    <w:p w14:paraId="4847D8B3" w14:textId="77777777" w:rsidR="00E540EB" w:rsidRPr="00E540EB" w:rsidRDefault="00E540EB" w:rsidP="00E540EB">
      <w:pPr>
        <w:pStyle w:val="Biblio"/>
        <w:suppressAutoHyphens/>
        <w:rPr>
          <w:noProof/>
        </w:rPr>
      </w:pPr>
      <w:r w:rsidRPr="00E540EB">
        <w:rPr>
          <w:noProof/>
        </w:rPr>
        <w:t xml:space="preserve">van der Zee, B. (2015). UN launches its biggest ever annual appeal for humanitarian funding. </w:t>
      </w:r>
      <w:r w:rsidRPr="00E540EB">
        <w:rPr>
          <w:i/>
          <w:iCs/>
          <w:noProof/>
        </w:rPr>
        <w:t>The Guardian</w:t>
      </w:r>
      <w:r w:rsidRPr="00E540EB">
        <w:rPr>
          <w:noProof/>
        </w:rPr>
        <w:t>. Retrieved from http://www.theguardian.com/global-development-professionals-network/2015/dec/07/un-launches-biggest-ever-annual-appeal-for-humanitarian-funding</w:t>
      </w:r>
    </w:p>
    <w:p w14:paraId="07512DC9" w14:textId="77777777" w:rsidR="00E540EB" w:rsidRPr="00E540EB" w:rsidRDefault="00E540EB" w:rsidP="00E540EB">
      <w:pPr>
        <w:pStyle w:val="Biblio"/>
        <w:suppressAutoHyphens/>
        <w:rPr>
          <w:noProof/>
        </w:rPr>
      </w:pPr>
      <w:r w:rsidRPr="00E540EB">
        <w:rPr>
          <w:noProof/>
        </w:rPr>
        <w:t>VDC-SY (Ed.). (2016). Violations Documentation Center in Syria. Retrieved July 10, 2016, from VDC-SY website: http://vdc-sy.net/en/</w:t>
      </w:r>
    </w:p>
    <w:p w14:paraId="50563AEE" w14:textId="77777777" w:rsidR="00E540EB" w:rsidRPr="00E540EB" w:rsidRDefault="00E540EB" w:rsidP="00E540EB">
      <w:pPr>
        <w:pStyle w:val="Biblio"/>
        <w:suppressAutoHyphens/>
        <w:rPr>
          <w:noProof/>
        </w:rPr>
      </w:pPr>
      <w:r w:rsidRPr="00E540EB">
        <w:rPr>
          <w:noProof/>
        </w:rPr>
        <w:t xml:space="preserve">Vidgen, R., Shaw, S., &amp; Grant, D. B. (2017). Management challenges in creating value from business analytics. </w:t>
      </w:r>
      <w:r w:rsidRPr="00E540EB">
        <w:rPr>
          <w:i/>
          <w:iCs/>
          <w:noProof/>
        </w:rPr>
        <w:t>European Journal of Operational Research</w:t>
      </w:r>
      <w:r w:rsidRPr="00E540EB">
        <w:rPr>
          <w:noProof/>
        </w:rPr>
        <w:t xml:space="preserve">, </w:t>
      </w:r>
      <w:r w:rsidRPr="00E540EB">
        <w:rPr>
          <w:i/>
          <w:iCs/>
          <w:noProof/>
        </w:rPr>
        <w:t>261</w:t>
      </w:r>
      <w:r w:rsidRPr="00E540EB">
        <w:rPr>
          <w:noProof/>
        </w:rPr>
        <w:t>(2), 626–639. https://doi.org/10.1016/j.ejor.2017.02.023</w:t>
      </w:r>
    </w:p>
    <w:p w14:paraId="171F9E2C" w14:textId="77777777" w:rsidR="00E540EB" w:rsidRPr="00E540EB" w:rsidRDefault="00E540EB" w:rsidP="00E540EB">
      <w:pPr>
        <w:pStyle w:val="Biblio"/>
        <w:suppressAutoHyphens/>
        <w:rPr>
          <w:noProof/>
        </w:rPr>
      </w:pPr>
      <w:r w:rsidRPr="00E540EB">
        <w:rPr>
          <w:noProof/>
        </w:rPr>
        <w:t xml:space="preserve">Völz, C. (2005). Humanitarian coordination in Indonesia: an NGO viewpoint. In </w:t>
      </w:r>
      <w:r w:rsidRPr="00E540EB">
        <w:rPr>
          <w:i/>
          <w:iCs/>
          <w:noProof/>
        </w:rPr>
        <w:t>Forced Migration Review</w:t>
      </w:r>
      <w:r w:rsidRPr="00E540EB">
        <w:rPr>
          <w:noProof/>
        </w:rPr>
        <w:t xml:space="preserve"> (Vol. 18). Retrieved from http://www.fmreview.org/sites/fmr/files/FMRdownloads/en/FMRpdfs/Tsunami/11.pdf</w:t>
      </w:r>
    </w:p>
    <w:p w14:paraId="3303AC11" w14:textId="77777777" w:rsidR="00E540EB" w:rsidRPr="00E540EB" w:rsidRDefault="00E540EB" w:rsidP="00E540EB">
      <w:pPr>
        <w:pStyle w:val="Biblio"/>
        <w:suppressAutoHyphens/>
        <w:rPr>
          <w:noProof/>
        </w:rPr>
      </w:pPr>
      <w:r w:rsidRPr="00E540EB">
        <w:rPr>
          <w:noProof/>
        </w:rPr>
        <w:t xml:space="preserve">Wahlström, M. (2015). Sendai Framework for Disaster Risk Reduction 2015-2030. </w:t>
      </w:r>
      <w:r w:rsidRPr="00E540EB">
        <w:rPr>
          <w:i/>
          <w:iCs/>
          <w:noProof/>
        </w:rPr>
        <w:t>Third United Nations World Conference on Disaster Risk Reduction</w:t>
      </w:r>
      <w:r w:rsidRPr="00E540EB">
        <w:rPr>
          <w:noProof/>
        </w:rPr>
        <w:t>. Sendai, Miyagi, Japan: United Nations (UN).</w:t>
      </w:r>
    </w:p>
    <w:p w14:paraId="2EECD6DA" w14:textId="77777777" w:rsidR="00E540EB" w:rsidRPr="00E540EB" w:rsidRDefault="00E540EB" w:rsidP="00E540EB">
      <w:pPr>
        <w:pStyle w:val="Biblio"/>
        <w:suppressAutoHyphens/>
        <w:rPr>
          <w:noProof/>
        </w:rPr>
      </w:pPr>
      <w:r w:rsidRPr="00E540EB">
        <w:rPr>
          <w:noProof/>
        </w:rPr>
        <w:t xml:space="preserve">Wand, Y., &amp; Wang, R. (1996). Anchoring data quality dimensions in ontological foundations. </w:t>
      </w:r>
      <w:r w:rsidRPr="00E540EB">
        <w:rPr>
          <w:i/>
          <w:iCs/>
          <w:noProof/>
        </w:rPr>
        <w:t>Communications of the ACM</w:t>
      </w:r>
      <w:r w:rsidRPr="00E540EB">
        <w:rPr>
          <w:noProof/>
        </w:rPr>
        <w:t xml:space="preserve">, </w:t>
      </w:r>
      <w:r w:rsidRPr="00E540EB">
        <w:rPr>
          <w:i/>
          <w:iCs/>
          <w:noProof/>
        </w:rPr>
        <w:t>39</w:t>
      </w:r>
      <w:r w:rsidRPr="00E540EB">
        <w:rPr>
          <w:noProof/>
        </w:rPr>
        <w:t>(11), 86–95. https://doi.org/10.1145/240455.240479</w:t>
      </w:r>
    </w:p>
    <w:p w14:paraId="4EFB3865" w14:textId="77777777" w:rsidR="00E540EB" w:rsidRPr="00E540EB" w:rsidRDefault="00E540EB" w:rsidP="00E540EB">
      <w:pPr>
        <w:pStyle w:val="Biblio"/>
        <w:suppressAutoHyphens/>
        <w:rPr>
          <w:noProof/>
        </w:rPr>
      </w:pPr>
      <w:r w:rsidRPr="00E540EB">
        <w:rPr>
          <w:noProof/>
        </w:rPr>
        <w:t xml:space="preserve">Wang, G., Yang, J., &amp; Xu, J. (2017). Granular computing: from granularity optimization to multi-granularity joint problem solving. </w:t>
      </w:r>
      <w:r w:rsidRPr="00E540EB">
        <w:rPr>
          <w:i/>
          <w:iCs/>
          <w:noProof/>
        </w:rPr>
        <w:t>Granular Computing</w:t>
      </w:r>
      <w:r w:rsidRPr="00E540EB">
        <w:rPr>
          <w:noProof/>
        </w:rPr>
        <w:t xml:space="preserve">, </w:t>
      </w:r>
      <w:r w:rsidRPr="00E540EB">
        <w:rPr>
          <w:i/>
          <w:iCs/>
          <w:noProof/>
        </w:rPr>
        <w:t>2</w:t>
      </w:r>
      <w:r w:rsidRPr="00E540EB">
        <w:rPr>
          <w:noProof/>
        </w:rPr>
        <w:t>(3), 105–120. https://doi.org/10.1007/s41066-016-0032-3</w:t>
      </w:r>
    </w:p>
    <w:p w14:paraId="16AF544F" w14:textId="77777777" w:rsidR="00E540EB" w:rsidRPr="00E540EB" w:rsidRDefault="00E540EB" w:rsidP="00E540EB">
      <w:pPr>
        <w:pStyle w:val="Biblio"/>
        <w:suppressAutoHyphens/>
        <w:rPr>
          <w:noProof/>
        </w:rPr>
      </w:pPr>
      <w:r w:rsidRPr="00E540EB">
        <w:rPr>
          <w:noProof/>
        </w:rPr>
        <w:lastRenderedPageBreak/>
        <w:t xml:space="preserve">Wang, R. Y., &amp; Strong, D. M. (1996). Beyond Accuracy: What Data Quality Means to Data Consumers. </w:t>
      </w:r>
      <w:r w:rsidRPr="00E540EB">
        <w:rPr>
          <w:i/>
          <w:iCs/>
          <w:noProof/>
        </w:rPr>
        <w:t>Journal of Management Information Systems</w:t>
      </w:r>
      <w:r w:rsidRPr="00E540EB">
        <w:rPr>
          <w:noProof/>
        </w:rPr>
        <w:t xml:space="preserve">, </w:t>
      </w:r>
      <w:r w:rsidRPr="00E540EB">
        <w:rPr>
          <w:i/>
          <w:iCs/>
          <w:noProof/>
        </w:rPr>
        <w:t>12</w:t>
      </w:r>
      <w:r w:rsidRPr="00E540EB">
        <w:rPr>
          <w:noProof/>
        </w:rPr>
        <w:t>(4), 5–33. https://doi.org/10.1080/07421222.1996.11518099</w:t>
      </w:r>
    </w:p>
    <w:p w14:paraId="5F421777" w14:textId="77777777" w:rsidR="00E540EB" w:rsidRPr="00E540EB" w:rsidRDefault="00E540EB" w:rsidP="00E540EB">
      <w:pPr>
        <w:pStyle w:val="Biblio"/>
        <w:suppressAutoHyphens/>
        <w:rPr>
          <w:noProof/>
        </w:rPr>
      </w:pPr>
      <w:r w:rsidRPr="00E540EB">
        <w:rPr>
          <w:noProof/>
        </w:rPr>
        <w:t xml:space="preserve">White, M. (2012). Digital workplaces: Vision and reality. </w:t>
      </w:r>
      <w:r w:rsidRPr="00E540EB">
        <w:rPr>
          <w:i/>
          <w:iCs/>
          <w:noProof/>
        </w:rPr>
        <w:t>Business Information Review</w:t>
      </w:r>
      <w:r w:rsidRPr="00E540EB">
        <w:rPr>
          <w:noProof/>
        </w:rPr>
        <w:t xml:space="preserve">, </w:t>
      </w:r>
      <w:r w:rsidRPr="00E540EB">
        <w:rPr>
          <w:i/>
          <w:iCs/>
          <w:noProof/>
        </w:rPr>
        <w:t>29</w:t>
      </w:r>
      <w:r w:rsidRPr="00E540EB">
        <w:rPr>
          <w:noProof/>
        </w:rPr>
        <w:t>(4), 205–214. https://doi.org/10.1177/0266382112470412</w:t>
      </w:r>
    </w:p>
    <w:p w14:paraId="058B15FD" w14:textId="77777777" w:rsidR="00E540EB" w:rsidRPr="00E540EB" w:rsidRDefault="00E540EB" w:rsidP="00E540EB">
      <w:pPr>
        <w:pStyle w:val="Biblio"/>
        <w:suppressAutoHyphens/>
        <w:rPr>
          <w:noProof/>
        </w:rPr>
      </w:pPr>
      <w:r w:rsidRPr="00E540EB">
        <w:rPr>
          <w:noProof/>
        </w:rPr>
        <w:t>William &amp; Mary University (Ed.). (2018). AidData. Retrieved September 5, 2018, from https://www.aiddata.org/</w:t>
      </w:r>
    </w:p>
    <w:p w14:paraId="43D731A6" w14:textId="77777777" w:rsidR="00E540EB" w:rsidRPr="00E540EB" w:rsidRDefault="00E540EB" w:rsidP="00E540EB">
      <w:pPr>
        <w:pStyle w:val="Biblio"/>
        <w:suppressAutoHyphens/>
        <w:rPr>
          <w:noProof/>
        </w:rPr>
      </w:pPr>
      <w:r w:rsidRPr="00E540EB">
        <w:rPr>
          <w:noProof/>
        </w:rPr>
        <w:t xml:space="preserve">Winter, J. S., &amp; Davidson, E. (2019). Big data governance of personal health information and challenges to contextual integrity. </w:t>
      </w:r>
      <w:r w:rsidRPr="00E540EB">
        <w:rPr>
          <w:i/>
          <w:iCs/>
          <w:noProof/>
        </w:rPr>
        <w:t>The Information Society</w:t>
      </w:r>
      <w:r w:rsidRPr="00E540EB">
        <w:rPr>
          <w:noProof/>
        </w:rPr>
        <w:t xml:space="preserve">, </w:t>
      </w:r>
      <w:r w:rsidRPr="00E540EB">
        <w:rPr>
          <w:i/>
          <w:iCs/>
          <w:noProof/>
        </w:rPr>
        <w:t>35</w:t>
      </w:r>
      <w:r w:rsidRPr="00E540EB">
        <w:rPr>
          <w:noProof/>
        </w:rPr>
        <w:t>(1), 36–51. https://doi.org/10.1080/01972243.2018.1542648</w:t>
      </w:r>
    </w:p>
    <w:p w14:paraId="319883A0" w14:textId="77777777" w:rsidR="00E540EB" w:rsidRPr="00E540EB" w:rsidRDefault="00E540EB" w:rsidP="00E540EB">
      <w:pPr>
        <w:pStyle w:val="Biblio"/>
        <w:suppressAutoHyphens/>
        <w:rPr>
          <w:noProof/>
        </w:rPr>
      </w:pPr>
      <w:r w:rsidRPr="00E540EB">
        <w:rPr>
          <w:noProof/>
        </w:rPr>
        <w:t xml:space="preserve">Yao, Y. Y. (2000). Granular Computing: Basic Issues and Possible Solutions. </w:t>
      </w:r>
      <w:r w:rsidRPr="00E540EB">
        <w:rPr>
          <w:i/>
          <w:iCs/>
          <w:noProof/>
        </w:rPr>
        <w:t>Proceedings of the 5th Joint Conference on Information Sciences</w:t>
      </w:r>
      <w:r w:rsidRPr="00E540EB">
        <w:rPr>
          <w:noProof/>
        </w:rPr>
        <w:t xml:space="preserve">, </w:t>
      </w:r>
      <w:r w:rsidRPr="00E540EB">
        <w:rPr>
          <w:i/>
          <w:iCs/>
          <w:noProof/>
        </w:rPr>
        <w:t>1</w:t>
      </w:r>
      <w:r w:rsidRPr="00E540EB">
        <w:rPr>
          <w:noProof/>
        </w:rPr>
        <w:t>, 186–189.</w:t>
      </w:r>
    </w:p>
    <w:p w14:paraId="42FE4E31" w14:textId="77777777" w:rsidR="00E540EB" w:rsidRPr="00E540EB" w:rsidRDefault="00E540EB" w:rsidP="00E540EB">
      <w:pPr>
        <w:pStyle w:val="Biblio"/>
        <w:suppressAutoHyphens/>
        <w:rPr>
          <w:noProof/>
        </w:rPr>
      </w:pPr>
      <w:r w:rsidRPr="00E540EB">
        <w:rPr>
          <w:noProof/>
        </w:rPr>
        <w:t xml:space="preserve">Ylijoki, O. (2018). A recipe for big data value creation. </w:t>
      </w:r>
      <w:r w:rsidRPr="00E540EB">
        <w:rPr>
          <w:i/>
          <w:iCs/>
          <w:noProof/>
        </w:rPr>
        <w:t>Business Process Management Journal</w:t>
      </w:r>
      <w:r w:rsidRPr="00E540EB">
        <w:rPr>
          <w:noProof/>
        </w:rPr>
        <w:t xml:space="preserve">, </w:t>
      </w:r>
      <w:r w:rsidRPr="00E540EB">
        <w:rPr>
          <w:i/>
          <w:iCs/>
          <w:noProof/>
        </w:rPr>
        <w:t>4</w:t>
      </w:r>
      <w:r w:rsidRPr="00E540EB">
        <w:rPr>
          <w:noProof/>
        </w:rPr>
        <w:t>(1), 69–91. https://doi.org/http://dx.doi.org/10.1108/MRR-09-2015-0216</w:t>
      </w:r>
    </w:p>
    <w:p w14:paraId="310A8911" w14:textId="77777777" w:rsidR="00E540EB" w:rsidRPr="00E540EB" w:rsidRDefault="00E540EB" w:rsidP="00E540EB">
      <w:pPr>
        <w:pStyle w:val="Biblio"/>
        <w:suppressAutoHyphens/>
        <w:rPr>
          <w:noProof/>
        </w:rPr>
      </w:pPr>
      <w:r w:rsidRPr="00E540EB">
        <w:rPr>
          <w:noProof/>
        </w:rPr>
        <w:t xml:space="preserve">Zott, C., &amp; Amit, R. (2010). Business model design: An activity system perspective. </w:t>
      </w:r>
      <w:r w:rsidRPr="00E540EB">
        <w:rPr>
          <w:i/>
          <w:iCs/>
          <w:noProof/>
        </w:rPr>
        <w:t>Long Range Planning</w:t>
      </w:r>
      <w:r w:rsidRPr="00E540EB">
        <w:rPr>
          <w:noProof/>
        </w:rPr>
        <w:t xml:space="preserve">, </w:t>
      </w:r>
      <w:r w:rsidRPr="00E540EB">
        <w:rPr>
          <w:i/>
          <w:iCs/>
          <w:noProof/>
        </w:rPr>
        <w:t>43</w:t>
      </w:r>
      <w:r w:rsidRPr="00E540EB">
        <w:rPr>
          <w:noProof/>
        </w:rPr>
        <w:t>(2–3), 216–226. https://doi.org/10.1016/j.lrp.2009.07.004</w:t>
      </w:r>
    </w:p>
    <w:p w14:paraId="7C390DCA" w14:textId="77777777" w:rsidR="00E540EB" w:rsidRPr="00E540EB" w:rsidRDefault="00E540EB" w:rsidP="00E540EB">
      <w:pPr>
        <w:pStyle w:val="Biblio"/>
        <w:suppressAutoHyphens/>
        <w:rPr>
          <w:noProof/>
        </w:rPr>
      </w:pPr>
      <w:r w:rsidRPr="00E540EB">
        <w:rPr>
          <w:noProof/>
        </w:rPr>
        <w:t xml:space="preserve">Zwitter, A., &amp; Boisse-Despiaux, M. (2018). Blockchain for humanitarian action and development aid. </w:t>
      </w:r>
      <w:r w:rsidRPr="00E540EB">
        <w:rPr>
          <w:i/>
          <w:iCs/>
          <w:noProof/>
        </w:rPr>
        <w:t>Journal of International Humanitarian Action</w:t>
      </w:r>
      <w:r w:rsidRPr="00E540EB">
        <w:rPr>
          <w:noProof/>
        </w:rPr>
        <w:t xml:space="preserve">, </w:t>
      </w:r>
      <w:r w:rsidRPr="00E540EB">
        <w:rPr>
          <w:i/>
          <w:iCs/>
          <w:noProof/>
        </w:rPr>
        <w:t>3</w:t>
      </w:r>
      <w:r w:rsidRPr="00E540EB">
        <w:rPr>
          <w:noProof/>
        </w:rPr>
        <w:t>(1), 16. https://doi.org/10.1186/s41018-018-0044-5</w:t>
      </w:r>
    </w:p>
    <w:p w14:paraId="32523ADD" w14:textId="2E6F8A35" w:rsidR="00107F3F" w:rsidRPr="002A3E19" w:rsidRDefault="00F7667F" w:rsidP="00E540EB">
      <w:pPr>
        <w:pStyle w:val="Biblio"/>
        <w:suppressAutoHyphens/>
        <w:ind w:left="0" w:firstLine="0"/>
        <w:rPr>
          <w:szCs w:val="20"/>
        </w:rPr>
      </w:pPr>
      <w:r w:rsidRPr="002A3E19">
        <w:rPr>
          <w:szCs w:val="20"/>
        </w:rPr>
        <w:fldChar w:fldCharType="end"/>
      </w:r>
    </w:p>
    <w:sectPr w:rsidR="00107F3F" w:rsidRPr="002A3E19" w:rsidSect="008F317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0211D" w14:textId="77777777" w:rsidR="00AA525D" w:rsidRDefault="00AA525D" w:rsidP="003F1CDC">
      <w:pPr>
        <w:spacing w:before="0" w:after="0" w:line="240" w:lineRule="auto"/>
      </w:pPr>
      <w:r>
        <w:separator/>
      </w:r>
    </w:p>
  </w:endnote>
  <w:endnote w:type="continuationSeparator" w:id="0">
    <w:p w14:paraId="4FF5752F" w14:textId="77777777" w:rsidR="00AA525D" w:rsidRDefault="00AA525D" w:rsidP="003F1C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KBOJ J+ Gulliver">
    <w:altName w:val="Cambria"/>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CF03F" w14:textId="77777777" w:rsidR="00AA525D" w:rsidRDefault="00AA525D" w:rsidP="003F1CDC">
      <w:pPr>
        <w:spacing w:before="0" w:after="0" w:line="240" w:lineRule="auto"/>
      </w:pPr>
      <w:r>
        <w:separator/>
      </w:r>
    </w:p>
  </w:footnote>
  <w:footnote w:type="continuationSeparator" w:id="0">
    <w:p w14:paraId="4F126B01" w14:textId="77777777" w:rsidR="00AA525D" w:rsidRDefault="00AA525D" w:rsidP="003F1CD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E7282"/>
    <w:multiLevelType w:val="hybridMultilevel"/>
    <w:tmpl w:val="1082AD44"/>
    <w:lvl w:ilvl="0" w:tplc="8F6477E2">
      <w:start w:val="1"/>
      <w:numFmt w:val="decimal"/>
      <w:pStyle w:val="L3N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7214FA"/>
    <w:multiLevelType w:val="hybridMultilevel"/>
    <w:tmpl w:val="F476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A6FD5"/>
    <w:multiLevelType w:val="hybridMultilevel"/>
    <w:tmpl w:val="F90AB6A6"/>
    <w:lvl w:ilvl="0" w:tplc="B08A3B70">
      <w:start w:val="1"/>
      <w:numFmt w:val="lowerLetter"/>
      <w:pStyle w:val="ListParagraph"/>
      <w:lvlText w:val="%1)"/>
      <w:lvlJc w:val="left"/>
      <w:pPr>
        <w:ind w:left="720" w:hanging="360"/>
      </w:pPr>
    </w:lvl>
    <w:lvl w:ilvl="1" w:tplc="08090019" w:tentative="1">
      <w:start w:val="1"/>
      <w:numFmt w:val="lowerLetter"/>
      <w:pStyle w:val="ListParagraph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915E05"/>
    <w:multiLevelType w:val="hybridMultilevel"/>
    <w:tmpl w:val="D632E8D8"/>
    <w:lvl w:ilvl="0" w:tplc="29062698">
      <w:start w:val="1"/>
      <w:numFmt w:val="upperRoman"/>
      <w:pStyle w:val="NL01BDB"/>
      <w:lvlText w:val="(%1)"/>
      <w:lvlJc w:val="left"/>
      <w:pPr>
        <w:ind w:left="720" w:hanging="360"/>
      </w:pPr>
      <w:rPr>
        <w:rFonts w:asciiTheme="minorHAnsi" w:hAnsiTheme="minorHAnsi"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F3479"/>
    <w:multiLevelType w:val="hybridMultilevel"/>
    <w:tmpl w:val="6DA4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320DC"/>
    <w:multiLevelType w:val="hybridMultilevel"/>
    <w:tmpl w:val="666A5BE6"/>
    <w:lvl w:ilvl="0" w:tplc="060C41E8">
      <w:start w:val="1"/>
      <w:numFmt w:val="bullet"/>
      <w:lvlText w:val=""/>
      <w:lvlJc w:val="left"/>
      <w:pPr>
        <w:ind w:left="720" w:hanging="360"/>
      </w:pPr>
      <w:rPr>
        <w:rFonts w:ascii="Symbol" w:hAnsi="Symbol" w:hint="default"/>
      </w:rPr>
    </w:lvl>
    <w:lvl w:ilvl="1" w:tplc="2146E704">
      <w:start w:val="1"/>
      <w:numFmt w:val="bullet"/>
      <w:lvlText w:val=""/>
      <w:lvlJc w:val="left"/>
      <w:pPr>
        <w:ind w:left="1440" w:hanging="360"/>
      </w:pPr>
      <w:rPr>
        <w:rFonts w:ascii="Wingdings" w:hAnsi="Wingding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74274"/>
    <w:multiLevelType w:val="hybridMultilevel"/>
    <w:tmpl w:val="B5865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F5F48"/>
    <w:multiLevelType w:val="hybridMultilevel"/>
    <w:tmpl w:val="4286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72FB8"/>
    <w:multiLevelType w:val="hybridMultilevel"/>
    <w:tmpl w:val="C9F40D3C"/>
    <w:lvl w:ilvl="0" w:tplc="3B78CA14">
      <w:start w:val="1"/>
      <w:numFmt w:val="bullet"/>
      <w:pStyle w:val="Noteb01"/>
      <w:lvlText w:val=""/>
      <w:lvlJc w:val="left"/>
      <w:pPr>
        <w:ind w:left="720" w:hanging="360"/>
      </w:pPr>
      <w:rPr>
        <w:rFonts w:ascii="Wingdings" w:hAnsi="Wingdings" w:hint="default"/>
      </w:rPr>
    </w:lvl>
    <w:lvl w:ilvl="1" w:tplc="F24E5730">
      <w:start w:val="1"/>
      <w:numFmt w:val="bullet"/>
      <w:pStyle w:val="Noteb02"/>
      <w:lvlText w:val="―"/>
      <w:lvlJc w:val="left"/>
      <w:pPr>
        <w:ind w:left="1440" w:hanging="360"/>
      </w:pPr>
      <w:rPr>
        <w:rFonts w:ascii="Calibri" w:hAnsi="Calibri" w:hint="default"/>
      </w:rPr>
    </w:lvl>
    <w:lvl w:ilvl="2" w:tplc="31AE36AC">
      <w:start w:val="1"/>
      <w:numFmt w:val="bullet"/>
      <w:pStyle w:val="Noteb0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51B23"/>
    <w:multiLevelType w:val="hybridMultilevel"/>
    <w:tmpl w:val="73588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6A6D22"/>
    <w:multiLevelType w:val="hybridMultilevel"/>
    <w:tmpl w:val="EB30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6B277F"/>
    <w:multiLevelType w:val="hybridMultilevel"/>
    <w:tmpl w:val="1B54B26E"/>
    <w:lvl w:ilvl="0" w:tplc="DA6E5FDC">
      <w:start w:val="1"/>
      <w:numFmt w:val="lowerLetter"/>
      <w:pStyle w:val="Lista1"/>
      <w:lvlText w:val="(%1)"/>
      <w:lvlJc w:val="left"/>
      <w:pPr>
        <w:ind w:left="720" w:hanging="360"/>
      </w:pPr>
      <w:rPr>
        <w:rFonts w:ascii="Corbel" w:hAnsi="Corbe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B82FAD"/>
    <w:multiLevelType w:val="hybridMultilevel"/>
    <w:tmpl w:val="B63A4D54"/>
    <w:lvl w:ilvl="0" w:tplc="6FC8EADE">
      <w:start w:val="1"/>
      <w:numFmt w:val="bullet"/>
      <w:pStyle w:val="List02"/>
      <w:lvlText w:val="‒"/>
      <w:lvlJc w:val="left"/>
      <w:pPr>
        <w:ind w:left="360" w:hanging="360"/>
      </w:pPr>
      <w:rPr>
        <w:rFonts w:ascii="Calibri" w:hAnsi="Calibri"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36F4A8C"/>
    <w:multiLevelType w:val="hybridMultilevel"/>
    <w:tmpl w:val="6F7A1D02"/>
    <w:lvl w:ilvl="0" w:tplc="D2F496DE">
      <w:start w:val="1"/>
      <w:numFmt w:val="bullet"/>
      <w:pStyle w:val="List0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53D01BB"/>
    <w:multiLevelType w:val="hybridMultilevel"/>
    <w:tmpl w:val="202A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537744"/>
    <w:multiLevelType w:val="hybridMultilevel"/>
    <w:tmpl w:val="B7BE95BA"/>
    <w:lvl w:ilvl="0" w:tplc="9F3410EC">
      <w:start w:val="1"/>
      <w:numFmt w:val="decimal"/>
      <w:pStyle w:val="NListParagraph"/>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6609F6"/>
    <w:multiLevelType w:val="hybridMultilevel"/>
    <w:tmpl w:val="40205D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5"/>
  </w:num>
  <w:num w:numId="4">
    <w:abstractNumId w:val="13"/>
  </w:num>
  <w:num w:numId="5">
    <w:abstractNumId w:val="12"/>
  </w:num>
  <w:num w:numId="6">
    <w:abstractNumId w:val="0"/>
  </w:num>
  <w:num w:numId="7">
    <w:abstractNumId w:val="16"/>
  </w:num>
  <w:num w:numId="8">
    <w:abstractNumId w:val="15"/>
    <w:lvlOverride w:ilvl="0">
      <w:startOverride w:val="1"/>
    </w:lvlOverride>
  </w:num>
  <w:num w:numId="9">
    <w:abstractNumId w:val="8"/>
  </w:num>
  <w:num w:numId="10">
    <w:abstractNumId w:val="9"/>
  </w:num>
  <w:num w:numId="11">
    <w:abstractNumId w:val="14"/>
  </w:num>
  <w:num w:numId="12">
    <w:abstractNumId w:val="11"/>
  </w:num>
  <w:num w:numId="13">
    <w:abstractNumId w:val="11"/>
    <w:lvlOverride w:ilvl="0">
      <w:startOverride w:val="1"/>
    </w:lvlOverride>
  </w:num>
  <w:num w:numId="14">
    <w:abstractNumId w:val="10"/>
  </w:num>
  <w:num w:numId="15">
    <w:abstractNumId w:val="7"/>
  </w:num>
  <w:num w:numId="16">
    <w:abstractNumId w:val="8"/>
  </w:num>
  <w:num w:numId="17">
    <w:abstractNumId w:val="8"/>
  </w:num>
  <w:num w:numId="18">
    <w:abstractNumId w:val="4"/>
  </w:num>
  <w:num w:numId="19">
    <w:abstractNumId w:val="15"/>
  </w:num>
  <w:num w:numId="20">
    <w:abstractNumId w:val="2"/>
  </w:num>
  <w:num w:numId="21">
    <w:abstractNumId w:val="6"/>
  </w:num>
  <w:num w:numId="2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BAJjCzMTC3MDIyMzIyUdpeDU4uLM/DyQAuNaAL/aX2ksAAAA"/>
    <w:docVar w:name="EN.InstantFormat" w:val="&lt;ENInstantFormat&gt;&lt;Enabled&gt;1&lt;/Enabled&gt;&lt;ScanUnformatted&gt;1&lt;/ScanUnformatted&gt;&lt;ScanChanges&gt;1&lt;/ScanChanges&gt;&lt;Suspended&gt;1&lt;/Suspended&gt;&lt;/ENInstantFormat&gt;"/>
  </w:docVars>
  <w:rsids>
    <w:rsidRoot w:val="00CF09F8"/>
    <w:rsid w:val="00001FD8"/>
    <w:rsid w:val="00002B87"/>
    <w:rsid w:val="00002D9F"/>
    <w:rsid w:val="00003583"/>
    <w:rsid w:val="00005FA2"/>
    <w:rsid w:val="000077B7"/>
    <w:rsid w:val="00011646"/>
    <w:rsid w:val="00012745"/>
    <w:rsid w:val="00012F8F"/>
    <w:rsid w:val="000139F9"/>
    <w:rsid w:val="00014273"/>
    <w:rsid w:val="0001714B"/>
    <w:rsid w:val="000177B8"/>
    <w:rsid w:val="0002002C"/>
    <w:rsid w:val="000216C7"/>
    <w:rsid w:val="000232AE"/>
    <w:rsid w:val="00026C35"/>
    <w:rsid w:val="0003455A"/>
    <w:rsid w:val="00034C57"/>
    <w:rsid w:val="00035292"/>
    <w:rsid w:val="00035315"/>
    <w:rsid w:val="00036BBA"/>
    <w:rsid w:val="000431F0"/>
    <w:rsid w:val="0004533F"/>
    <w:rsid w:val="00050231"/>
    <w:rsid w:val="0005581A"/>
    <w:rsid w:val="000560C8"/>
    <w:rsid w:val="00057EC4"/>
    <w:rsid w:val="00060149"/>
    <w:rsid w:val="000601F8"/>
    <w:rsid w:val="00061F91"/>
    <w:rsid w:val="000667BF"/>
    <w:rsid w:val="00066E93"/>
    <w:rsid w:val="00067B4E"/>
    <w:rsid w:val="00072F7D"/>
    <w:rsid w:val="00073ACF"/>
    <w:rsid w:val="00073B87"/>
    <w:rsid w:val="00075B26"/>
    <w:rsid w:val="0007659A"/>
    <w:rsid w:val="000820ED"/>
    <w:rsid w:val="00082E51"/>
    <w:rsid w:val="00083550"/>
    <w:rsid w:val="00083704"/>
    <w:rsid w:val="00084F37"/>
    <w:rsid w:val="00086A12"/>
    <w:rsid w:val="00092F9D"/>
    <w:rsid w:val="0009361B"/>
    <w:rsid w:val="000937B8"/>
    <w:rsid w:val="00095A72"/>
    <w:rsid w:val="0009666F"/>
    <w:rsid w:val="000966F8"/>
    <w:rsid w:val="000A07DE"/>
    <w:rsid w:val="000A439E"/>
    <w:rsid w:val="000A43AC"/>
    <w:rsid w:val="000B043B"/>
    <w:rsid w:val="000B5A77"/>
    <w:rsid w:val="000B69D7"/>
    <w:rsid w:val="000C0BF7"/>
    <w:rsid w:val="000C1284"/>
    <w:rsid w:val="000C1897"/>
    <w:rsid w:val="000C1D4F"/>
    <w:rsid w:val="000C4E35"/>
    <w:rsid w:val="000C4ED6"/>
    <w:rsid w:val="000C514E"/>
    <w:rsid w:val="000C53AF"/>
    <w:rsid w:val="000C57A9"/>
    <w:rsid w:val="000C78A0"/>
    <w:rsid w:val="000D0573"/>
    <w:rsid w:val="000D182D"/>
    <w:rsid w:val="000D1AC0"/>
    <w:rsid w:val="000D24D5"/>
    <w:rsid w:val="000D259C"/>
    <w:rsid w:val="000D4DD3"/>
    <w:rsid w:val="000E10AF"/>
    <w:rsid w:val="000E23CF"/>
    <w:rsid w:val="000E261C"/>
    <w:rsid w:val="000E3C49"/>
    <w:rsid w:val="000E485C"/>
    <w:rsid w:val="000F151F"/>
    <w:rsid w:val="000F6311"/>
    <w:rsid w:val="000F63A1"/>
    <w:rsid w:val="000F6845"/>
    <w:rsid w:val="000F7041"/>
    <w:rsid w:val="000F764E"/>
    <w:rsid w:val="00101760"/>
    <w:rsid w:val="0010192C"/>
    <w:rsid w:val="00102B80"/>
    <w:rsid w:val="001044D6"/>
    <w:rsid w:val="0010497A"/>
    <w:rsid w:val="00104A80"/>
    <w:rsid w:val="00104B5B"/>
    <w:rsid w:val="00104C7D"/>
    <w:rsid w:val="00104E80"/>
    <w:rsid w:val="00105A67"/>
    <w:rsid w:val="00107F3F"/>
    <w:rsid w:val="00111688"/>
    <w:rsid w:val="00113C27"/>
    <w:rsid w:val="00113F4C"/>
    <w:rsid w:val="0011580F"/>
    <w:rsid w:val="00117BC6"/>
    <w:rsid w:val="00117EB8"/>
    <w:rsid w:val="001207B2"/>
    <w:rsid w:val="00125936"/>
    <w:rsid w:val="001262F6"/>
    <w:rsid w:val="00126865"/>
    <w:rsid w:val="00127B14"/>
    <w:rsid w:val="0013246C"/>
    <w:rsid w:val="00132A53"/>
    <w:rsid w:val="00134519"/>
    <w:rsid w:val="00136279"/>
    <w:rsid w:val="001365B0"/>
    <w:rsid w:val="00136C01"/>
    <w:rsid w:val="001406D3"/>
    <w:rsid w:val="00143165"/>
    <w:rsid w:val="00144C5C"/>
    <w:rsid w:val="00146E0D"/>
    <w:rsid w:val="0014732E"/>
    <w:rsid w:val="00147E3E"/>
    <w:rsid w:val="00154A6C"/>
    <w:rsid w:val="001610C9"/>
    <w:rsid w:val="001614C2"/>
    <w:rsid w:val="00162B1A"/>
    <w:rsid w:val="00162D51"/>
    <w:rsid w:val="00163646"/>
    <w:rsid w:val="00165E59"/>
    <w:rsid w:val="00166F90"/>
    <w:rsid w:val="00173CBD"/>
    <w:rsid w:val="00173E5E"/>
    <w:rsid w:val="001743EF"/>
    <w:rsid w:val="00174459"/>
    <w:rsid w:val="001817C7"/>
    <w:rsid w:val="00183243"/>
    <w:rsid w:val="001835F7"/>
    <w:rsid w:val="001840B8"/>
    <w:rsid w:val="0019153F"/>
    <w:rsid w:val="001920E6"/>
    <w:rsid w:val="001959FE"/>
    <w:rsid w:val="001A0B08"/>
    <w:rsid w:val="001A4DA6"/>
    <w:rsid w:val="001A5ED7"/>
    <w:rsid w:val="001A7C72"/>
    <w:rsid w:val="001B0EA7"/>
    <w:rsid w:val="001B7E83"/>
    <w:rsid w:val="001C14AC"/>
    <w:rsid w:val="001C3A71"/>
    <w:rsid w:val="001C4C07"/>
    <w:rsid w:val="001C5334"/>
    <w:rsid w:val="001C57DB"/>
    <w:rsid w:val="001C5961"/>
    <w:rsid w:val="001C7780"/>
    <w:rsid w:val="001D0112"/>
    <w:rsid w:val="001D1847"/>
    <w:rsid w:val="001D1D2D"/>
    <w:rsid w:val="001D2D71"/>
    <w:rsid w:val="001E2751"/>
    <w:rsid w:val="001E3583"/>
    <w:rsid w:val="001E4A33"/>
    <w:rsid w:val="001E4BE5"/>
    <w:rsid w:val="001E6BB1"/>
    <w:rsid w:val="001F15AB"/>
    <w:rsid w:val="001F38B7"/>
    <w:rsid w:val="001F68E5"/>
    <w:rsid w:val="00200D4E"/>
    <w:rsid w:val="0020186C"/>
    <w:rsid w:val="00201E62"/>
    <w:rsid w:val="00202B99"/>
    <w:rsid w:val="00203940"/>
    <w:rsid w:val="00205A6A"/>
    <w:rsid w:val="00205E9F"/>
    <w:rsid w:val="00214A4D"/>
    <w:rsid w:val="002175BC"/>
    <w:rsid w:val="00225793"/>
    <w:rsid w:val="002267B5"/>
    <w:rsid w:val="00227A11"/>
    <w:rsid w:val="00230430"/>
    <w:rsid w:val="0023060A"/>
    <w:rsid w:val="00230B07"/>
    <w:rsid w:val="00230F2F"/>
    <w:rsid w:val="00232A54"/>
    <w:rsid w:val="0023786E"/>
    <w:rsid w:val="00240924"/>
    <w:rsid w:val="00240DDE"/>
    <w:rsid w:val="00240F05"/>
    <w:rsid w:val="00241611"/>
    <w:rsid w:val="00241E18"/>
    <w:rsid w:val="0024207A"/>
    <w:rsid w:val="002515C1"/>
    <w:rsid w:val="0025191A"/>
    <w:rsid w:val="00252DC5"/>
    <w:rsid w:val="002539D6"/>
    <w:rsid w:val="00263B70"/>
    <w:rsid w:val="00265C00"/>
    <w:rsid w:val="00267D70"/>
    <w:rsid w:val="00274D94"/>
    <w:rsid w:val="00281BB1"/>
    <w:rsid w:val="002821D8"/>
    <w:rsid w:val="002829B3"/>
    <w:rsid w:val="00284BFE"/>
    <w:rsid w:val="00296144"/>
    <w:rsid w:val="002A04FC"/>
    <w:rsid w:val="002A0CCB"/>
    <w:rsid w:val="002A2518"/>
    <w:rsid w:val="002A3E19"/>
    <w:rsid w:val="002A7E67"/>
    <w:rsid w:val="002B2EC7"/>
    <w:rsid w:val="002B7474"/>
    <w:rsid w:val="002C03A8"/>
    <w:rsid w:val="002C378C"/>
    <w:rsid w:val="002C6F6B"/>
    <w:rsid w:val="002D1ED6"/>
    <w:rsid w:val="002D6CB8"/>
    <w:rsid w:val="002D7589"/>
    <w:rsid w:val="002D76B2"/>
    <w:rsid w:val="002E0165"/>
    <w:rsid w:val="002E0568"/>
    <w:rsid w:val="002E14B0"/>
    <w:rsid w:val="002E1E61"/>
    <w:rsid w:val="002E3273"/>
    <w:rsid w:val="002F4069"/>
    <w:rsid w:val="002F6BAE"/>
    <w:rsid w:val="002F6D66"/>
    <w:rsid w:val="00306918"/>
    <w:rsid w:val="0030723E"/>
    <w:rsid w:val="003109DD"/>
    <w:rsid w:val="00315102"/>
    <w:rsid w:val="00317A2D"/>
    <w:rsid w:val="003218D9"/>
    <w:rsid w:val="00323924"/>
    <w:rsid w:val="00323D0D"/>
    <w:rsid w:val="00324550"/>
    <w:rsid w:val="00324853"/>
    <w:rsid w:val="00324F4C"/>
    <w:rsid w:val="003259BC"/>
    <w:rsid w:val="00325A58"/>
    <w:rsid w:val="0032604E"/>
    <w:rsid w:val="003264A0"/>
    <w:rsid w:val="003315D7"/>
    <w:rsid w:val="0033379A"/>
    <w:rsid w:val="00333F46"/>
    <w:rsid w:val="003343FA"/>
    <w:rsid w:val="00334D11"/>
    <w:rsid w:val="0033625C"/>
    <w:rsid w:val="0033683C"/>
    <w:rsid w:val="003372D3"/>
    <w:rsid w:val="003409FA"/>
    <w:rsid w:val="00340CEA"/>
    <w:rsid w:val="00344459"/>
    <w:rsid w:val="003506A4"/>
    <w:rsid w:val="00350C25"/>
    <w:rsid w:val="00355713"/>
    <w:rsid w:val="00355C3A"/>
    <w:rsid w:val="0036159D"/>
    <w:rsid w:val="00362A6F"/>
    <w:rsid w:val="00362D4D"/>
    <w:rsid w:val="00362D5E"/>
    <w:rsid w:val="00367279"/>
    <w:rsid w:val="00367850"/>
    <w:rsid w:val="00373697"/>
    <w:rsid w:val="00375244"/>
    <w:rsid w:val="00375A19"/>
    <w:rsid w:val="0037609E"/>
    <w:rsid w:val="00376382"/>
    <w:rsid w:val="003770EF"/>
    <w:rsid w:val="003806E6"/>
    <w:rsid w:val="00382DEF"/>
    <w:rsid w:val="003859D7"/>
    <w:rsid w:val="00386572"/>
    <w:rsid w:val="003916E2"/>
    <w:rsid w:val="00392689"/>
    <w:rsid w:val="00395DF0"/>
    <w:rsid w:val="00395E8F"/>
    <w:rsid w:val="003A10E7"/>
    <w:rsid w:val="003A2374"/>
    <w:rsid w:val="003A413C"/>
    <w:rsid w:val="003A4526"/>
    <w:rsid w:val="003A5738"/>
    <w:rsid w:val="003A5E26"/>
    <w:rsid w:val="003A7616"/>
    <w:rsid w:val="003B0938"/>
    <w:rsid w:val="003B32B0"/>
    <w:rsid w:val="003B5AB8"/>
    <w:rsid w:val="003B6F16"/>
    <w:rsid w:val="003C5653"/>
    <w:rsid w:val="003C7FF9"/>
    <w:rsid w:val="003D2836"/>
    <w:rsid w:val="003D4352"/>
    <w:rsid w:val="003D448C"/>
    <w:rsid w:val="003E09FD"/>
    <w:rsid w:val="003E0A5F"/>
    <w:rsid w:val="003E134F"/>
    <w:rsid w:val="003E19F6"/>
    <w:rsid w:val="003E533A"/>
    <w:rsid w:val="003E6C4E"/>
    <w:rsid w:val="003E7CD1"/>
    <w:rsid w:val="003F1C40"/>
    <w:rsid w:val="003F1CDC"/>
    <w:rsid w:val="003F1D22"/>
    <w:rsid w:val="003F1EEC"/>
    <w:rsid w:val="003F2695"/>
    <w:rsid w:val="003F4C3E"/>
    <w:rsid w:val="003F7271"/>
    <w:rsid w:val="004016E4"/>
    <w:rsid w:val="00401F60"/>
    <w:rsid w:val="00404AA8"/>
    <w:rsid w:val="004053E4"/>
    <w:rsid w:val="0041210A"/>
    <w:rsid w:val="00412501"/>
    <w:rsid w:val="00414068"/>
    <w:rsid w:val="004166CC"/>
    <w:rsid w:val="00416CB7"/>
    <w:rsid w:val="00417ABB"/>
    <w:rsid w:val="004202FF"/>
    <w:rsid w:val="00422055"/>
    <w:rsid w:val="00424C4A"/>
    <w:rsid w:val="0042555F"/>
    <w:rsid w:val="004257A8"/>
    <w:rsid w:val="00427133"/>
    <w:rsid w:val="00432124"/>
    <w:rsid w:val="004329C8"/>
    <w:rsid w:val="00434210"/>
    <w:rsid w:val="00436063"/>
    <w:rsid w:val="00436286"/>
    <w:rsid w:val="00437DBD"/>
    <w:rsid w:val="004402E6"/>
    <w:rsid w:val="00440C5C"/>
    <w:rsid w:val="00442272"/>
    <w:rsid w:val="004467C4"/>
    <w:rsid w:val="00447134"/>
    <w:rsid w:val="0044772F"/>
    <w:rsid w:val="004501F8"/>
    <w:rsid w:val="004511E0"/>
    <w:rsid w:val="004533F0"/>
    <w:rsid w:val="004542BA"/>
    <w:rsid w:val="00455302"/>
    <w:rsid w:val="00456E11"/>
    <w:rsid w:val="00460055"/>
    <w:rsid w:val="0046068B"/>
    <w:rsid w:val="00472735"/>
    <w:rsid w:val="00472B40"/>
    <w:rsid w:val="00473B25"/>
    <w:rsid w:val="00476B79"/>
    <w:rsid w:val="00477676"/>
    <w:rsid w:val="00480AE7"/>
    <w:rsid w:val="004867F0"/>
    <w:rsid w:val="00490025"/>
    <w:rsid w:val="00492D12"/>
    <w:rsid w:val="00497B37"/>
    <w:rsid w:val="004A2B03"/>
    <w:rsid w:val="004A3820"/>
    <w:rsid w:val="004A404D"/>
    <w:rsid w:val="004A557B"/>
    <w:rsid w:val="004A5A86"/>
    <w:rsid w:val="004B1080"/>
    <w:rsid w:val="004B31B0"/>
    <w:rsid w:val="004B34B6"/>
    <w:rsid w:val="004B3DC5"/>
    <w:rsid w:val="004B4F6B"/>
    <w:rsid w:val="004B6BFB"/>
    <w:rsid w:val="004B6DD2"/>
    <w:rsid w:val="004C0AF1"/>
    <w:rsid w:val="004C17A1"/>
    <w:rsid w:val="004C25F4"/>
    <w:rsid w:val="004C25FE"/>
    <w:rsid w:val="004D1A88"/>
    <w:rsid w:val="004D1F98"/>
    <w:rsid w:val="004D22B3"/>
    <w:rsid w:val="004D3F78"/>
    <w:rsid w:val="004D46B0"/>
    <w:rsid w:val="004D5797"/>
    <w:rsid w:val="004D61BC"/>
    <w:rsid w:val="004E06AE"/>
    <w:rsid w:val="004E0C65"/>
    <w:rsid w:val="004E1457"/>
    <w:rsid w:val="004E2155"/>
    <w:rsid w:val="004F029F"/>
    <w:rsid w:val="004F1D15"/>
    <w:rsid w:val="004F2BB4"/>
    <w:rsid w:val="004F3DD6"/>
    <w:rsid w:val="004F6DD4"/>
    <w:rsid w:val="005001E9"/>
    <w:rsid w:val="00500A26"/>
    <w:rsid w:val="00501610"/>
    <w:rsid w:val="00503DDC"/>
    <w:rsid w:val="00504255"/>
    <w:rsid w:val="005042A6"/>
    <w:rsid w:val="00504342"/>
    <w:rsid w:val="0050493C"/>
    <w:rsid w:val="00510739"/>
    <w:rsid w:val="00510EC2"/>
    <w:rsid w:val="00512678"/>
    <w:rsid w:val="00514003"/>
    <w:rsid w:val="00521D84"/>
    <w:rsid w:val="00522D91"/>
    <w:rsid w:val="00523A02"/>
    <w:rsid w:val="00524A8D"/>
    <w:rsid w:val="00525A54"/>
    <w:rsid w:val="00525EAD"/>
    <w:rsid w:val="00525EBE"/>
    <w:rsid w:val="005276D6"/>
    <w:rsid w:val="00531A2C"/>
    <w:rsid w:val="005337FB"/>
    <w:rsid w:val="0053559A"/>
    <w:rsid w:val="00536D05"/>
    <w:rsid w:val="00541D43"/>
    <w:rsid w:val="005430A3"/>
    <w:rsid w:val="005454A2"/>
    <w:rsid w:val="005504AB"/>
    <w:rsid w:val="00551482"/>
    <w:rsid w:val="005534FF"/>
    <w:rsid w:val="005541E2"/>
    <w:rsid w:val="00554337"/>
    <w:rsid w:val="005545F3"/>
    <w:rsid w:val="005546D9"/>
    <w:rsid w:val="005550EF"/>
    <w:rsid w:val="00555739"/>
    <w:rsid w:val="00555806"/>
    <w:rsid w:val="00555A7F"/>
    <w:rsid w:val="00563169"/>
    <w:rsid w:val="00564144"/>
    <w:rsid w:val="0056692B"/>
    <w:rsid w:val="00570E08"/>
    <w:rsid w:val="0057109B"/>
    <w:rsid w:val="00572F39"/>
    <w:rsid w:val="00574057"/>
    <w:rsid w:val="00575F6B"/>
    <w:rsid w:val="005763E1"/>
    <w:rsid w:val="00576DA9"/>
    <w:rsid w:val="00577C3B"/>
    <w:rsid w:val="00580EC4"/>
    <w:rsid w:val="00583B84"/>
    <w:rsid w:val="00586FEA"/>
    <w:rsid w:val="00587BDF"/>
    <w:rsid w:val="00590F4D"/>
    <w:rsid w:val="0059199F"/>
    <w:rsid w:val="005932E3"/>
    <w:rsid w:val="0059530C"/>
    <w:rsid w:val="00597520"/>
    <w:rsid w:val="0059794E"/>
    <w:rsid w:val="00597CB0"/>
    <w:rsid w:val="005A315F"/>
    <w:rsid w:val="005A364D"/>
    <w:rsid w:val="005A496F"/>
    <w:rsid w:val="005A6420"/>
    <w:rsid w:val="005A6F4C"/>
    <w:rsid w:val="005B007B"/>
    <w:rsid w:val="005B203F"/>
    <w:rsid w:val="005B272C"/>
    <w:rsid w:val="005B3CF7"/>
    <w:rsid w:val="005B4A15"/>
    <w:rsid w:val="005B4B95"/>
    <w:rsid w:val="005B6964"/>
    <w:rsid w:val="005B7459"/>
    <w:rsid w:val="005C0D2A"/>
    <w:rsid w:val="005C0D7B"/>
    <w:rsid w:val="005C2711"/>
    <w:rsid w:val="005C4EA3"/>
    <w:rsid w:val="005C7571"/>
    <w:rsid w:val="005D4573"/>
    <w:rsid w:val="005D5E2D"/>
    <w:rsid w:val="005D68CF"/>
    <w:rsid w:val="005D75C0"/>
    <w:rsid w:val="005E0840"/>
    <w:rsid w:val="005E2457"/>
    <w:rsid w:val="005E3F50"/>
    <w:rsid w:val="005E50DC"/>
    <w:rsid w:val="005E6061"/>
    <w:rsid w:val="005F36A5"/>
    <w:rsid w:val="005F3F9B"/>
    <w:rsid w:val="00601222"/>
    <w:rsid w:val="006035BF"/>
    <w:rsid w:val="006071EC"/>
    <w:rsid w:val="00607BDA"/>
    <w:rsid w:val="00610418"/>
    <w:rsid w:val="00612205"/>
    <w:rsid w:val="00613E3B"/>
    <w:rsid w:val="00613FD4"/>
    <w:rsid w:val="00614FF9"/>
    <w:rsid w:val="0061560C"/>
    <w:rsid w:val="00615888"/>
    <w:rsid w:val="00616C12"/>
    <w:rsid w:val="00616EA4"/>
    <w:rsid w:val="00622869"/>
    <w:rsid w:val="0062327D"/>
    <w:rsid w:val="00623580"/>
    <w:rsid w:val="00623C2C"/>
    <w:rsid w:val="006250E5"/>
    <w:rsid w:val="0062563B"/>
    <w:rsid w:val="00625A34"/>
    <w:rsid w:val="00625D71"/>
    <w:rsid w:val="0062718E"/>
    <w:rsid w:val="00634022"/>
    <w:rsid w:val="006341BE"/>
    <w:rsid w:val="00634371"/>
    <w:rsid w:val="00634CD3"/>
    <w:rsid w:val="00634EED"/>
    <w:rsid w:val="0063636A"/>
    <w:rsid w:val="00640FD7"/>
    <w:rsid w:val="00641949"/>
    <w:rsid w:val="00643230"/>
    <w:rsid w:val="006435EB"/>
    <w:rsid w:val="00645215"/>
    <w:rsid w:val="006469E9"/>
    <w:rsid w:val="00646B1F"/>
    <w:rsid w:val="00650F53"/>
    <w:rsid w:val="0065222B"/>
    <w:rsid w:val="00652FBA"/>
    <w:rsid w:val="00654C3C"/>
    <w:rsid w:val="00654F41"/>
    <w:rsid w:val="0065724F"/>
    <w:rsid w:val="00657985"/>
    <w:rsid w:val="00657C45"/>
    <w:rsid w:val="006603A8"/>
    <w:rsid w:val="00660EAC"/>
    <w:rsid w:val="006618A9"/>
    <w:rsid w:val="00661BCD"/>
    <w:rsid w:val="00662659"/>
    <w:rsid w:val="00663310"/>
    <w:rsid w:val="00663A49"/>
    <w:rsid w:val="0067227E"/>
    <w:rsid w:val="00672D51"/>
    <w:rsid w:val="00677025"/>
    <w:rsid w:val="00680CE7"/>
    <w:rsid w:val="006900C3"/>
    <w:rsid w:val="00690661"/>
    <w:rsid w:val="0069068B"/>
    <w:rsid w:val="00691C2F"/>
    <w:rsid w:val="00692611"/>
    <w:rsid w:val="00692875"/>
    <w:rsid w:val="00692A77"/>
    <w:rsid w:val="00696666"/>
    <w:rsid w:val="0069754B"/>
    <w:rsid w:val="006A3B0C"/>
    <w:rsid w:val="006B0CB5"/>
    <w:rsid w:val="006B0FFF"/>
    <w:rsid w:val="006B1FF1"/>
    <w:rsid w:val="006B38C8"/>
    <w:rsid w:val="006B524A"/>
    <w:rsid w:val="006B52E0"/>
    <w:rsid w:val="006B6A5C"/>
    <w:rsid w:val="006C1E4A"/>
    <w:rsid w:val="006C6530"/>
    <w:rsid w:val="006D07D4"/>
    <w:rsid w:val="006D11DC"/>
    <w:rsid w:val="006D6370"/>
    <w:rsid w:val="006E0123"/>
    <w:rsid w:val="006E028D"/>
    <w:rsid w:val="006E0D2D"/>
    <w:rsid w:val="006E0E8E"/>
    <w:rsid w:val="006E41B0"/>
    <w:rsid w:val="006E5920"/>
    <w:rsid w:val="006E6B5B"/>
    <w:rsid w:val="006F0F94"/>
    <w:rsid w:val="006F3B00"/>
    <w:rsid w:val="006F5960"/>
    <w:rsid w:val="006F5CDE"/>
    <w:rsid w:val="006F5DEA"/>
    <w:rsid w:val="006F6ECF"/>
    <w:rsid w:val="006F7523"/>
    <w:rsid w:val="0070784C"/>
    <w:rsid w:val="007109F4"/>
    <w:rsid w:val="00711C86"/>
    <w:rsid w:val="00711DFB"/>
    <w:rsid w:val="00713059"/>
    <w:rsid w:val="0071353F"/>
    <w:rsid w:val="00713D8D"/>
    <w:rsid w:val="0071594E"/>
    <w:rsid w:val="00716BD2"/>
    <w:rsid w:val="00716E21"/>
    <w:rsid w:val="00717033"/>
    <w:rsid w:val="00725019"/>
    <w:rsid w:val="00725BD8"/>
    <w:rsid w:val="00726D18"/>
    <w:rsid w:val="007273D2"/>
    <w:rsid w:val="0073164F"/>
    <w:rsid w:val="00733391"/>
    <w:rsid w:val="0074008B"/>
    <w:rsid w:val="007407AD"/>
    <w:rsid w:val="00740B0F"/>
    <w:rsid w:val="00746AF1"/>
    <w:rsid w:val="00751991"/>
    <w:rsid w:val="00753993"/>
    <w:rsid w:val="00756F91"/>
    <w:rsid w:val="007572E2"/>
    <w:rsid w:val="00763CF5"/>
    <w:rsid w:val="0076484A"/>
    <w:rsid w:val="007665B1"/>
    <w:rsid w:val="007728BA"/>
    <w:rsid w:val="00773B7D"/>
    <w:rsid w:val="00773E0C"/>
    <w:rsid w:val="007740D4"/>
    <w:rsid w:val="00775504"/>
    <w:rsid w:val="00775768"/>
    <w:rsid w:val="00775B54"/>
    <w:rsid w:val="007776FC"/>
    <w:rsid w:val="0078050C"/>
    <w:rsid w:val="0078057A"/>
    <w:rsid w:val="0078325E"/>
    <w:rsid w:val="0078367A"/>
    <w:rsid w:val="007917F0"/>
    <w:rsid w:val="00792F6C"/>
    <w:rsid w:val="00793014"/>
    <w:rsid w:val="007958BF"/>
    <w:rsid w:val="00795986"/>
    <w:rsid w:val="007A3C7A"/>
    <w:rsid w:val="007A425F"/>
    <w:rsid w:val="007A4ED5"/>
    <w:rsid w:val="007A5833"/>
    <w:rsid w:val="007B005C"/>
    <w:rsid w:val="007B38E7"/>
    <w:rsid w:val="007B4ADF"/>
    <w:rsid w:val="007C05F5"/>
    <w:rsid w:val="007C348A"/>
    <w:rsid w:val="007C609E"/>
    <w:rsid w:val="007C63D8"/>
    <w:rsid w:val="007D0012"/>
    <w:rsid w:val="007D5211"/>
    <w:rsid w:val="007D5EEB"/>
    <w:rsid w:val="007D6263"/>
    <w:rsid w:val="007D6B59"/>
    <w:rsid w:val="007D7E55"/>
    <w:rsid w:val="007E0D4A"/>
    <w:rsid w:val="007E2593"/>
    <w:rsid w:val="007E3067"/>
    <w:rsid w:val="007E615B"/>
    <w:rsid w:val="007E617D"/>
    <w:rsid w:val="007F0F9F"/>
    <w:rsid w:val="007F1D44"/>
    <w:rsid w:val="007F3B6E"/>
    <w:rsid w:val="007F5EAC"/>
    <w:rsid w:val="007F6642"/>
    <w:rsid w:val="007F7860"/>
    <w:rsid w:val="007F7D58"/>
    <w:rsid w:val="00805DC8"/>
    <w:rsid w:val="0080695D"/>
    <w:rsid w:val="00810B17"/>
    <w:rsid w:val="0081137D"/>
    <w:rsid w:val="008119FA"/>
    <w:rsid w:val="00811FD9"/>
    <w:rsid w:val="00812115"/>
    <w:rsid w:val="00813EF6"/>
    <w:rsid w:val="008145E8"/>
    <w:rsid w:val="00814E61"/>
    <w:rsid w:val="00814F9C"/>
    <w:rsid w:val="0081512C"/>
    <w:rsid w:val="008169F9"/>
    <w:rsid w:val="008170C8"/>
    <w:rsid w:val="0082144C"/>
    <w:rsid w:val="00821C0A"/>
    <w:rsid w:val="008225FE"/>
    <w:rsid w:val="00824132"/>
    <w:rsid w:val="008241BF"/>
    <w:rsid w:val="008262E9"/>
    <w:rsid w:val="008306EB"/>
    <w:rsid w:val="00830D6D"/>
    <w:rsid w:val="00832D3E"/>
    <w:rsid w:val="00833958"/>
    <w:rsid w:val="00834B98"/>
    <w:rsid w:val="008442ED"/>
    <w:rsid w:val="00844EF5"/>
    <w:rsid w:val="00845085"/>
    <w:rsid w:val="0084719B"/>
    <w:rsid w:val="00850537"/>
    <w:rsid w:val="00861752"/>
    <w:rsid w:val="00864AC9"/>
    <w:rsid w:val="00876CCC"/>
    <w:rsid w:val="00877D84"/>
    <w:rsid w:val="00880963"/>
    <w:rsid w:val="00882A8E"/>
    <w:rsid w:val="00882F3A"/>
    <w:rsid w:val="008854EA"/>
    <w:rsid w:val="008858DC"/>
    <w:rsid w:val="00885EC2"/>
    <w:rsid w:val="008871E6"/>
    <w:rsid w:val="00892D14"/>
    <w:rsid w:val="008931FE"/>
    <w:rsid w:val="00895A4F"/>
    <w:rsid w:val="00895F70"/>
    <w:rsid w:val="00897532"/>
    <w:rsid w:val="008A0E92"/>
    <w:rsid w:val="008A5EB4"/>
    <w:rsid w:val="008A7E08"/>
    <w:rsid w:val="008B0DF6"/>
    <w:rsid w:val="008B2067"/>
    <w:rsid w:val="008B3484"/>
    <w:rsid w:val="008B40B2"/>
    <w:rsid w:val="008B60C9"/>
    <w:rsid w:val="008B7372"/>
    <w:rsid w:val="008B7C9F"/>
    <w:rsid w:val="008C32BD"/>
    <w:rsid w:val="008C4620"/>
    <w:rsid w:val="008C54CF"/>
    <w:rsid w:val="008C5B59"/>
    <w:rsid w:val="008D2248"/>
    <w:rsid w:val="008D3D80"/>
    <w:rsid w:val="008D3DBF"/>
    <w:rsid w:val="008D4B63"/>
    <w:rsid w:val="008D525A"/>
    <w:rsid w:val="008D55D6"/>
    <w:rsid w:val="008D60BF"/>
    <w:rsid w:val="008E0F63"/>
    <w:rsid w:val="008E1675"/>
    <w:rsid w:val="008E1C4F"/>
    <w:rsid w:val="008E2F28"/>
    <w:rsid w:val="008F3178"/>
    <w:rsid w:val="008F4C50"/>
    <w:rsid w:val="008F5BFB"/>
    <w:rsid w:val="008F654D"/>
    <w:rsid w:val="009008CA"/>
    <w:rsid w:val="0090201E"/>
    <w:rsid w:val="009046D3"/>
    <w:rsid w:val="0090722E"/>
    <w:rsid w:val="009102E2"/>
    <w:rsid w:val="009109CA"/>
    <w:rsid w:val="009115DD"/>
    <w:rsid w:val="00911ABC"/>
    <w:rsid w:val="00914874"/>
    <w:rsid w:val="009165C9"/>
    <w:rsid w:val="00916990"/>
    <w:rsid w:val="00917A8D"/>
    <w:rsid w:val="00920F83"/>
    <w:rsid w:val="00921071"/>
    <w:rsid w:val="00921493"/>
    <w:rsid w:val="00921AD0"/>
    <w:rsid w:val="009227D0"/>
    <w:rsid w:val="00923111"/>
    <w:rsid w:val="009234CD"/>
    <w:rsid w:val="00923624"/>
    <w:rsid w:val="00923C08"/>
    <w:rsid w:val="009255DA"/>
    <w:rsid w:val="0092607C"/>
    <w:rsid w:val="00930624"/>
    <w:rsid w:val="00932013"/>
    <w:rsid w:val="0093601B"/>
    <w:rsid w:val="00936C10"/>
    <w:rsid w:val="00941A91"/>
    <w:rsid w:val="0094204E"/>
    <w:rsid w:val="009471F8"/>
    <w:rsid w:val="009523E5"/>
    <w:rsid w:val="009548CD"/>
    <w:rsid w:val="009552FF"/>
    <w:rsid w:val="00964B97"/>
    <w:rsid w:val="0096532A"/>
    <w:rsid w:val="00966240"/>
    <w:rsid w:val="00967067"/>
    <w:rsid w:val="009715AF"/>
    <w:rsid w:val="009715D4"/>
    <w:rsid w:val="00973C35"/>
    <w:rsid w:val="00977778"/>
    <w:rsid w:val="00981E19"/>
    <w:rsid w:val="0098215D"/>
    <w:rsid w:val="00984D58"/>
    <w:rsid w:val="00985126"/>
    <w:rsid w:val="00985AD7"/>
    <w:rsid w:val="00985CEA"/>
    <w:rsid w:val="00986AA0"/>
    <w:rsid w:val="009A2EED"/>
    <w:rsid w:val="009A31B6"/>
    <w:rsid w:val="009A487B"/>
    <w:rsid w:val="009A675C"/>
    <w:rsid w:val="009B08DD"/>
    <w:rsid w:val="009B54E9"/>
    <w:rsid w:val="009B7BE8"/>
    <w:rsid w:val="009C013E"/>
    <w:rsid w:val="009C1C00"/>
    <w:rsid w:val="009C3569"/>
    <w:rsid w:val="009C4431"/>
    <w:rsid w:val="009C4B72"/>
    <w:rsid w:val="009C5A3A"/>
    <w:rsid w:val="009D3158"/>
    <w:rsid w:val="009D3AF6"/>
    <w:rsid w:val="009D624B"/>
    <w:rsid w:val="009D664E"/>
    <w:rsid w:val="009D7FB7"/>
    <w:rsid w:val="009E04EC"/>
    <w:rsid w:val="009E5CD8"/>
    <w:rsid w:val="009F0151"/>
    <w:rsid w:val="009F20F4"/>
    <w:rsid w:val="009F325B"/>
    <w:rsid w:val="009F3985"/>
    <w:rsid w:val="009F5805"/>
    <w:rsid w:val="009F59DC"/>
    <w:rsid w:val="009F5CD8"/>
    <w:rsid w:val="009F5DE0"/>
    <w:rsid w:val="009F7615"/>
    <w:rsid w:val="00A01CB3"/>
    <w:rsid w:val="00A024FC"/>
    <w:rsid w:val="00A02655"/>
    <w:rsid w:val="00A068B9"/>
    <w:rsid w:val="00A10282"/>
    <w:rsid w:val="00A113D8"/>
    <w:rsid w:val="00A14398"/>
    <w:rsid w:val="00A17447"/>
    <w:rsid w:val="00A21D92"/>
    <w:rsid w:val="00A22843"/>
    <w:rsid w:val="00A23AD9"/>
    <w:rsid w:val="00A30021"/>
    <w:rsid w:val="00A306AA"/>
    <w:rsid w:val="00A3210C"/>
    <w:rsid w:val="00A349FF"/>
    <w:rsid w:val="00A350F1"/>
    <w:rsid w:val="00A40218"/>
    <w:rsid w:val="00A41521"/>
    <w:rsid w:val="00A4339C"/>
    <w:rsid w:val="00A43FC4"/>
    <w:rsid w:val="00A44E15"/>
    <w:rsid w:val="00A45229"/>
    <w:rsid w:val="00A45EA8"/>
    <w:rsid w:val="00A5117D"/>
    <w:rsid w:val="00A5158B"/>
    <w:rsid w:val="00A54CB9"/>
    <w:rsid w:val="00A576DE"/>
    <w:rsid w:val="00A60A9A"/>
    <w:rsid w:val="00A61D99"/>
    <w:rsid w:val="00A61E0C"/>
    <w:rsid w:val="00A62351"/>
    <w:rsid w:val="00A64319"/>
    <w:rsid w:val="00A646B0"/>
    <w:rsid w:val="00A65DB6"/>
    <w:rsid w:val="00A67E08"/>
    <w:rsid w:val="00A7090D"/>
    <w:rsid w:val="00A716BA"/>
    <w:rsid w:val="00A7578E"/>
    <w:rsid w:val="00A773E4"/>
    <w:rsid w:val="00A77ABF"/>
    <w:rsid w:val="00A77CE8"/>
    <w:rsid w:val="00A82553"/>
    <w:rsid w:val="00A87942"/>
    <w:rsid w:val="00A90AC0"/>
    <w:rsid w:val="00A9394E"/>
    <w:rsid w:val="00A93DCB"/>
    <w:rsid w:val="00A94E50"/>
    <w:rsid w:val="00A94FCB"/>
    <w:rsid w:val="00A95276"/>
    <w:rsid w:val="00A971D6"/>
    <w:rsid w:val="00A9775C"/>
    <w:rsid w:val="00A979D2"/>
    <w:rsid w:val="00AA0585"/>
    <w:rsid w:val="00AA08AA"/>
    <w:rsid w:val="00AA1314"/>
    <w:rsid w:val="00AA2099"/>
    <w:rsid w:val="00AA395C"/>
    <w:rsid w:val="00AA525D"/>
    <w:rsid w:val="00AB0826"/>
    <w:rsid w:val="00AB1D91"/>
    <w:rsid w:val="00AB28F9"/>
    <w:rsid w:val="00AB2F4F"/>
    <w:rsid w:val="00AB3BE5"/>
    <w:rsid w:val="00AB7EFD"/>
    <w:rsid w:val="00AC010F"/>
    <w:rsid w:val="00AC0285"/>
    <w:rsid w:val="00AC07C1"/>
    <w:rsid w:val="00AC3045"/>
    <w:rsid w:val="00AC3388"/>
    <w:rsid w:val="00AC6A4B"/>
    <w:rsid w:val="00AC6E9C"/>
    <w:rsid w:val="00AC7AEA"/>
    <w:rsid w:val="00AD1A2E"/>
    <w:rsid w:val="00AD42A8"/>
    <w:rsid w:val="00AD515C"/>
    <w:rsid w:val="00AD55C6"/>
    <w:rsid w:val="00AD5E07"/>
    <w:rsid w:val="00AD76E1"/>
    <w:rsid w:val="00AE189F"/>
    <w:rsid w:val="00AE1FA3"/>
    <w:rsid w:val="00AE2E0B"/>
    <w:rsid w:val="00AE3411"/>
    <w:rsid w:val="00AE4A01"/>
    <w:rsid w:val="00AE7613"/>
    <w:rsid w:val="00AF1EDB"/>
    <w:rsid w:val="00B04B13"/>
    <w:rsid w:val="00B07E62"/>
    <w:rsid w:val="00B11806"/>
    <w:rsid w:val="00B13600"/>
    <w:rsid w:val="00B13A5E"/>
    <w:rsid w:val="00B1645B"/>
    <w:rsid w:val="00B16BA7"/>
    <w:rsid w:val="00B20DE1"/>
    <w:rsid w:val="00B23280"/>
    <w:rsid w:val="00B23599"/>
    <w:rsid w:val="00B237EF"/>
    <w:rsid w:val="00B25433"/>
    <w:rsid w:val="00B26D94"/>
    <w:rsid w:val="00B272BD"/>
    <w:rsid w:val="00B27888"/>
    <w:rsid w:val="00B31230"/>
    <w:rsid w:val="00B31432"/>
    <w:rsid w:val="00B31B84"/>
    <w:rsid w:val="00B34A1D"/>
    <w:rsid w:val="00B358AA"/>
    <w:rsid w:val="00B35C14"/>
    <w:rsid w:val="00B36420"/>
    <w:rsid w:val="00B36B1F"/>
    <w:rsid w:val="00B3776D"/>
    <w:rsid w:val="00B40245"/>
    <w:rsid w:val="00B4191F"/>
    <w:rsid w:val="00B439DE"/>
    <w:rsid w:val="00B43A3A"/>
    <w:rsid w:val="00B4607D"/>
    <w:rsid w:val="00B46411"/>
    <w:rsid w:val="00B475EC"/>
    <w:rsid w:val="00B51D42"/>
    <w:rsid w:val="00B5326B"/>
    <w:rsid w:val="00B56452"/>
    <w:rsid w:val="00B566C1"/>
    <w:rsid w:val="00B618F6"/>
    <w:rsid w:val="00B64838"/>
    <w:rsid w:val="00B649D5"/>
    <w:rsid w:val="00B663E8"/>
    <w:rsid w:val="00B6794F"/>
    <w:rsid w:val="00B67BB0"/>
    <w:rsid w:val="00B70D2E"/>
    <w:rsid w:val="00B72C45"/>
    <w:rsid w:val="00B74D93"/>
    <w:rsid w:val="00B75CF9"/>
    <w:rsid w:val="00B802C0"/>
    <w:rsid w:val="00B82861"/>
    <w:rsid w:val="00B83FD0"/>
    <w:rsid w:val="00B854BA"/>
    <w:rsid w:val="00B85648"/>
    <w:rsid w:val="00B8710E"/>
    <w:rsid w:val="00B90D58"/>
    <w:rsid w:val="00B910A9"/>
    <w:rsid w:val="00B9134E"/>
    <w:rsid w:val="00B93C35"/>
    <w:rsid w:val="00BA1A2B"/>
    <w:rsid w:val="00BA1C26"/>
    <w:rsid w:val="00BA3E25"/>
    <w:rsid w:val="00BA46B6"/>
    <w:rsid w:val="00BB0681"/>
    <w:rsid w:val="00BB16B3"/>
    <w:rsid w:val="00BB3E4E"/>
    <w:rsid w:val="00BB7522"/>
    <w:rsid w:val="00BC06E3"/>
    <w:rsid w:val="00BC20F1"/>
    <w:rsid w:val="00BC3863"/>
    <w:rsid w:val="00BC3C00"/>
    <w:rsid w:val="00BC3FD5"/>
    <w:rsid w:val="00BC401D"/>
    <w:rsid w:val="00BC418F"/>
    <w:rsid w:val="00BC79F4"/>
    <w:rsid w:val="00BD1142"/>
    <w:rsid w:val="00BD398E"/>
    <w:rsid w:val="00BD5165"/>
    <w:rsid w:val="00BD5884"/>
    <w:rsid w:val="00BE12D1"/>
    <w:rsid w:val="00BE2F13"/>
    <w:rsid w:val="00BE3B61"/>
    <w:rsid w:val="00BE3FAC"/>
    <w:rsid w:val="00BE446E"/>
    <w:rsid w:val="00BE68F5"/>
    <w:rsid w:val="00BE7140"/>
    <w:rsid w:val="00BE7DD0"/>
    <w:rsid w:val="00BF09C8"/>
    <w:rsid w:val="00BF173E"/>
    <w:rsid w:val="00BF1C28"/>
    <w:rsid w:val="00BF274A"/>
    <w:rsid w:val="00BF3ADE"/>
    <w:rsid w:val="00BF6D07"/>
    <w:rsid w:val="00BF74FA"/>
    <w:rsid w:val="00BF793F"/>
    <w:rsid w:val="00C00427"/>
    <w:rsid w:val="00C00D78"/>
    <w:rsid w:val="00C0342C"/>
    <w:rsid w:val="00C037EB"/>
    <w:rsid w:val="00C0440D"/>
    <w:rsid w:val="00C06FF7"/>
    <w:rsid w:val="00C07207"/>
    <w:rsid w:val="00C1127B"/>
    <w:rsid w:val="00C15785"/>
    <w:rsid w:val="00C16398"/>
    <w:rsid w:val="00C1772C"/>
    <w:rsid w:val="00C20709"/>
    <w:rsid w:val="00C22C36"/>
    <w:rsid w:val="00C25B26"/>
    <w:rsid w:val="00C30F80"/>
    <w:rsid w:val="00C32E9C"/>
    <w:rsid w:val="00C40B25"/>
    <w:rsid w:val="00C43FAF"/>
    <w:rsid w:val="00C4649D"/>
    <w:rsid w:val="00C46C76"/>
    <w:rsid w:val="00C47BB8"/>
    <w:rsid w:val="00C51129"/>
    <w:rsid w:val="00C531EE"/>
    <w:rsid w:val="00C53351"/>
    <w:rsid w:val="00C54649"/>
    <w:rsid w:val="00C55429"/>
    <w:rsid w:val="00C56ECE"/>
    <w:rsid w:val="00C606BA"/>
    <w:rsid w:val="00C61ACD"/>
    <w:rsid w:val="00C648DD"/>
    <w:rsid w:val="00C664CF"/>
    <w:rsid w:val="00C66DED"/>
    <w:rsid w:val="00C70263"/>
    <w:rsid w:val="00C70F54"/>
    <w:rsid w:val="00C724F6"/>
    <w:rsid w:val="00C74880"/>
    <w:rsid w:val="00C8034F"/>
    <w:rsid w:val="00C82B3A"/>
    <w:rsid w:val="00C82FAF"/>
    <w:rsid w:val="00C83ECE"/>
    <w:rsid w:val="00C8447F"/>
    <w:rsid w:val="00C85C1E"/>
    <w:rsid w:val="00C86A52"/>
    <w:rsid w:val="00C86BA7"/>
    <w:rsid w:val="00C86EF8"/>
    <w:rsid w:val="00C902C2"/>
    <w:rsid w:val="00C906C9"/>
    <w:rsid w:val="00C911AD"/>
    <w:rsid w:val="00C9367A"/>
    <w:rsid w:val="00CA0CE2"/>
    <w:rsid w:val="00CA1573"/>
    <w:rsid w:val="00CA161B"/>
    <w:rsid w:val="00CA1FDD"/>
    <w:rsid w:val="00CA254A"/>
    <w:rsid w:val="00CA416D"/>
    <w:rsid w:val="00CA7A09"/>
    <w:rsid w:val="00CB4687"/>
    <w:rsid w:val="00CB478E"/>
    <w:rsid w:val="00CC21D1"/>
    <w:rsid w:val="00CC6232"/>
    <w:rsid w:val="00CC731F"/>
    <w:rsid w:val="00CD0E5C"/>
    <w:rsid w:val="00CD1EA0"/>
    <w:rsid w:val="00CD2410"/>
    <w:rsid w:val="00CD631D"/>
    <w:rsid w:val="00CD76E1"/>
    <w:rsid w:val="00CE1062"/>
    <w:rsid w:val="00CE3594"/>
    <w:rsid w:val="00CE4CBC"/>
    <w:rsid w:val="00CE538C"/>
    <w:rsid w:val="00CE579F"/>
    <w:rsid w:val="00CE5E3B"/>
    <w:rsid w:val="00CE6206"/>
    <w:rsid w:val="00CE7502"/>
    <w:rsid w:val="00CF09F8"/>
    <w:rsid w:val="00CF11AA"/>
    <w:rsid w:val="00CF1306"/>
    <w:rsid w:val="00CF1C31"/>
    <w:rsid w:val="00CF5723"/>
    <w:rsid w:val="00CF6F0F"/>
    <w:rsid w:val="00D00F18"/>
    <w:rsid w:val="00D017BC"/>
    <w:rsid w:val="00D01AA7"/>
    <w:rsid w:val="00D01C31"/>
    <w:rsid w:val="00D020A1"/>
    <w:rsid w:val="00D053BB"/>
    <w:rsid w:val="00D12908"/>
    <w:rsid w:val="00D13803"/>
    <w:rsid w:val="00D1437F"/>
    <w:rsid w:val="00D1475F"/>
    <w:rsid w:val="00D15E9C"/>
    <w:rsid w:val="00D16D6A"/>
    <w:rsid w:val="00D20E3A"/>
    <w:rsid w:val="00D22D39"/>
    <w:rsid w:val="00D2362D"/>
    <w:rsid w:val="00D236CC"/>
    <w:rsid w:val="00D25BFB"/>
    <w:rsid w:val="00D26B8A"/>
    <w:rsid w:val="00D27248"/>
    <w:rsid w:val="00D32C19"/>
    <w:rsid w:val="00D33DA7"/>
    <w:rsid w:val="00D3454C"/>
    <w:rsid w:val="00D34F00"/>
    <w:rsid w:val="00D36CCE"/>
    <w:rsid w:val="00D37B36"/>
    <w:rsid w:val="00D410D6"/>
    <w:rsid w:val="00D417EC"/>
    <w:rsid w:val="00D41903"/>
    <w:rsid w:val="00D445B4"/>
    <w:rsid w:val="00D452A8"/>
    <w:rsid w:val="00D45DC7"/>
    <w:rsid w:val="00D524BA"/>
    <w:rsid w:val="00D52B26"/>
    <w:rsid w:val="00D540C2"/>
    <w:rsid w:val="00D54361"/>
    <w:rsid w:val="00D543EB"/>
    <w:rsid w:val="00D563EE"/>
    <w:rsid w:val="00D56720"/>
    <w:rsid w:val="00D609DC"/>
    <w:rsid w:val="00D624DC"/>
    <w:rsid w:val="00D654D4"/>
    <w:rsid w:val="00D65DA5"/>
    <w:rsid w:val="00D665A1"/>
    <w:rsid w:val="00D66E22"/>
    <w:rsid w:val="00D7441B"/>
    <w:rsid w:val="00D74931"/>
    <w:rsid w:val="00D756CC"/>
    <w:rsid w:val="00D7582E"/>
    <w:rsid w:val="00D75DFE"/>
    <w:rsid w:val="00D76EFC"/>
    <w:rsid w:val="00D77ABD"/>
    <w:rsid w:val="00D8004D"/>
    <w:rsid w:val="00D82520"/>
    <w:rsid w:val="00D82853"/>
    <w:rsid w:val="00D849CD"/>
    <w:rsid w:val="00D84E2B"/>
    <w:rsid w:val="00D85006"/>
    <w:rsid w:val="00D86300"/>
    <w:rsid w:val="00D9071C"/>
    <w:rsid w:val="00D90D05"/>
    <w:rsid w:val="00D92037"/>
    <w:rsid w:val="00D9475E"/>
    <w:rsid w:val="00DA05FD"/>
    <w:rsid w:val="00DA0DBE"/>
    <w:rsid w:val="00DA4040"/>
    <w:rsid w:val="00DA4150"/>
    <w:rsid w:val="00DA597F"/>
    <w:rsid w:val="00DB0E68"/>
    <w:rsid w:val="00DB4B37"/>
    <w:rsid w:val="00DB5597"/>
    <w:rsid w:val="00DB7383"/>
    <w:rsid w:val="00DB748D"/>
    <w:rsid w:val="00DC0569"/>
    <w:rsid w:val="00DC1097"/>
    <w:rsid w:val="00DC1168"/>
    <w:rsid w:val="00DC3211"/>
    <w:rsid w:val="00DC5AA9"/>
    <w:rsid w:val="00DD34AD"/>
    <w:rsid w:val="00DD3D9F"/>
    <w:rsid w:val="00DD4092"/>
    <w:rsid w:val="00DD4B6C"/>
    <w:rsid w:val="00DD76A7"/>
    <w:rsid w:val="00DE022F"/>
    <w:rsid w:val="00DE7F97"/>
    <w:rsid w:val="00DF0CD9"/>
    <w:rsid w:val="00DF2E36"/>
    <w:rsid w:val="00DF318B"/>
    <w:rsid w:val="00DF3B8E"/>
    <w:rsid w:val="00DF5906"/>
    <w:rsid w:val="00DF6520"/>
    <w:rsid w:val="00E01CC6"/>
    <w:rsid w:val="00E02349"/>
    <w:rsid w:val="00E02944"/>
    <w:rsid w:val="00E02BFD"/>
    <w:rsid w:val="00E03032"/>
    <w:rsid w:val="00E05F47"/>
    <w:rsid w:val="00E06994"/>
    <w:rsid w:val="00E14348"/>
    <w:rsid w:val="00E14407"/>
    <w:rsid w:val="00E14F22"/>
    <w:rsid w:val="00E15A1E"/>
    <w:rsid w:val="00E25649"/>
    <w:rsid w:val="00E2564C"/>
    <w:rsid w:val="00E279C2"/>
    <w:rsid w:val="00E30494"/>
    <w:rsid w:val="00E31166"/>
    <w:rsid w:val="00E313F9"/>
    <w:rsid w:val="00E33B6B"/>
    <w:rsid w:val="00E349EB"/>
    <w:rsid w:val="00E3557E"/>
    <w:rsid w:val="00E40A68"/>
    <w:rsid w:val="00E4194F"/>
    <w:rsid w:val="00E4243F"/>
    <w:rsid w:val="00E42714"/>
    <w:rsid w:val="00E45226"/>
    <w:rsid w:val="00E4665C"/>
    <w:rsid w:val="00E468F8"/>
    <w:rsid w:val="00E5128D"/>
    <w:rsid w:val="00E5182D"/>
    <w:rsid w:val="00E52584"/>
    <w:rsid w:val="00E528C7"/>
    <w:rsid w:val="00E540EB"/>
    <w:rsid w:val="00E54AF1"/>
    <w:rsid w:val="00E56693"/>
    <w:rsid w:val="00E568D5"/>
    <w:rsid w:val="00E605E5"/>
    <w:rsid w:val="00E611F5"/>
    <w:rsid w:val="00E6742B"/>
    <w:rsid w:val="00E67C3A"/>
    <w:rsid w:val="00E72864"/>
    <w:rsid w:val="00E72D7C"/>
    <w:rsid w:val="00E736FF"/>
    <w:rsid w:val="00E75130"/>
    <w:rsid w:val="00E76A87"/>
    <w:rsid w:val="00E82439"/>
    <w:rsid w:val="00E83FA1"/>
    <w:rsid w:val="00E841DE"/>
    <w:rsid w:val="00E84489"/>
    <w:rsid w:val="00E84B15"/>
    <w:rsid w:val="00E8547C"/>
    <w:rsid w:val="00E865E0"/>
    <w:rsid w:val="00E913E6"/>
    <w:rsid w:val="00E919EB"/>
    <w:rsid w:val="00E93ACA"/>
    <w:rsid w:val="00E93C32"/>
    <w:rsid w:val="00E9474F"/>
    <w:rsid w:val="00E9709A"/>
    <w:rsid w:val="00EA2240"/>
    <w:rsid w:val="00EA26DB"/>
    <w:rsid w:val="00EA7D4C"/>
    <w:rsid w:val="00EB0BD0"/>
    <w:rsid w:val="00EB16C8"/>
    <w:rsid w:val="00EB4E9D"/>
    <w:rsid w:val="00EB5C0B"/>
    <w:rsid w:val="00EB6631"/>
    <w:rsid w:val="00EB6C41"/>
    <w:rsid w:val="00EC4144"/>
    <w:rsid w:val="00EC42EA"/>
    <w:rsid w:val="00EC605A"/>
    <w:rsid w:val="00ED1416"/>
    <w:rsid w:val="00ED215F"/>
    <w:rsid w:val="00ED3878"/>
    <w:rsid w:val="00EE063A"/>
    <w:rsid w:val="00EE223F"/>
    <w:rsid w:val="00EE38C1"/>
    <w:rsid w:val="00EE390A"/>
    <w:rsid w:val="00EE7DF0"/>
    <w:rsid w:val="00EF0689"/>
    <w:rsid w:val="00EF122B"/>
    <w:rsid w:val="00EF39D0"/>
    <w:rsid w:val="00EF3EDC"/>
    <w:rsid w:val="00F00F75"/>
    <w:rsid w:val="00F102A0"/>
    <w:rsid w:val="00F1219C"/>
    <w:rsid w:val="00F126B2"/>
    <w:rsid w:val="00F12A73"/>
    <w:rsid w:val="00F14211"/>
    <w:rsid w:val="00F14D46"/>
    <w:rsid w:val="00F17972"/>
    <w:rsid w:val="00F22766"/>
    <w:rsid w:val="00F22A17"/>
    <w:rsid w:val="00F22FBF"/>
    <w:rsid w:val="00F23F8A"/>
    <w:rsid w:val="00F23FA8"/>
    <w:rsid w:val="00F30555"/>
    <w:rsid w:val="00F30E5D"/>
    <w:rsid w:val="00F32414"/>
    <w:rsid w:val="00F32632"/>
    <w:rsid w:val="00F340ED"/>
    <w:rsid w:val="00F34CCE"/>
    <w:rsid w:val="00F351A7"/>
    <w:rsid w:val="00F368CA"/>
    <w:rsid w:val="00F4031D"/>
    <w:rsid w:val="00F41217"/>
    <w:rsid w:val="00F41F5A"/>
    <w:rsid w:val="00F43244"/>
    <w:rsid w:val="00F43A9C"/>
    <w:rsid w:val="00F4468D"/>
    <w:rsid w:val="00F44CC5"/>
    <w:rsid w:val="00F45A7F"/>
    <w:rsid w:val="00F463E9"/>
    <w:rsid w:val="00F4640A"/>
    <w:rsid w:val="00F46781"/>
    <w:rsid w:val="00F46CA7"/>
    <w:rsid w:val="00F50B09"/>
    <w:rsid w:val="00F52A0A"/>
    <w:rsid w:val="00F539AC"/>
    <w:rsid w:val="00F60354"/>
    <w:rsid w:val="00F60A24"/>
    <w:rsid w:val="00F619D9"/>
    <w:rsid w:val="00F62FBE"/>
    <w:rsid w:val="00F644D5"/>
    <w:rsid w:val="00F64A38"/>
    <w:rsid w:val="00F64F53"/>
    <w:rsid w:val="00F6675E"/>
    <w:rsid w:val="00F66D18"/>
    <w:rsid w:val="00F6783F"/>
    <w:rsid w:val="00F67872"/>
    <w:rsid w:val="00F678AE"/>
    <w:rsid w:val="00F678BD"/>
    <w:rsid w:val="00F72C4C"/>
    <w:rsid w:val="00F75090"/>
    <w:rsid w:val="00F75E13"/>
    <w:rsid w:val="00F7667F"/>
    <w:rsid w:val="00F76A7A"/>
    <w:rsid w:val="00F81D85"/>
    <w:rsid w:val="00F837AC"/>
    <w:rsid w:val="00F83B1B"/>
    <w:rsid w:val="00F84723"/>
    <w:rsid w:val="00F85382"/>
    <w:rsid w:val="00F8606F"/>
    <w:rsid w:val="00F86FD0"/>
    <w:rsid w:val="00F908C2"/>
    <w:rsid w:val="00F93B21"/>
    <w:rsid w:val="00F94006"/>
    <w:rsid w:val="00F94772"/>
    <w:rsid w:val="00F96BC8"/>
    <w:rsid w:val="00F9704F"/>
    <w:rsid w:val="00FA0995"/>
    <w:rsid w:val="00FA18D1"/>
    <w:rsid w:val="00FA2A29"/>
    <w:rsid w:val="00FA31B4"/>
    <w:rsid w:val="00FA5B00"/>
    <w:rsid w:val="00FA5F39"/>
    <w:rsid w:val="00FB1C6A"/>
    <w:rsid w:val="00FB27A4"/>
    <w:rsid w:val="00FB2F21"/>
    <w:rsid w:val="00FB6219"/>
    <w:rsid w:val="00FB70BA"/>
    <w:rsid w:val="00FB7BEE"/>
    <w:rsid w:val="00FC2E0C"/>
    <w:rsid w:val="00FC48BE"/>
    <w:rsid w:val="00FC65D6"/>
    <w:rsid w:val="00FC74D2"/>
    <w:rsid w:val="00FD0C66"/>
    <w:rsid w:val="00FD2B1B"/>
    <w:rsid w:val="00FD432F"/>
    <w:rsid w:val="00FD64F3"/>
    <w:rsid w:val="00FD68BD"/>
    <w:rsid w:val="00FD7412"/>
    <w:rsid w:val="00FE3670"/>
    <w:rsid w:val="00FE7447"/>
    <w:rsid w:val="00FF1BE5"/>
    <w:rsid w:val="00FF3F56"/>
    <w:rsid w:val="00FF6363"/>
    <w:rsid w:val="00FF6428"/>
    <w:rsid w:val="00FF6C05"/>
    <w:rsid w:val="67578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2E85F"/>
  <w15:docId w15:val="{34A96A5F-33E9-438C-B8DD-BA1F0F0C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8C2"/>
    <w:pPr>
      <w:spacing w:before="120" w:after="240" w:line="360" w:lineRule="auto"/>
    </w:pPr>
  </w:style>
  <w:style w:type="paragraph" w:styleId="Heading1">
    <w:name w:val="heading 1"/>
    <w:basedOn w:val="Normal"/>
    <w:next w:val="Normal"/>
    <w:link w:val="Heading1Char"/>
    <w:uiPriority w:val="9"/>
    <w:qFormat/>
    <w:rsid w:val="00C8447F"/>
    <w:pPr>
      <w:keepNext/>
      <w:keepLines/>
      <w:spacing w:after="0"/>
      <w:outlineLvl w:val="0"/>
    </w:pPr>
    <w:rPr>
      <w:rFonts w:asciiTheme="majorHAnsi" w:eastAsiaTheme="majorEastAsia" w:hAnsiTheme="majorHAnsi" w:cstheme="majorBidi"/>
      <w:b/>
      <w:color w:val="7F7F7F" w:themeColor="text1" w:themeTint="80"/>
      <w:sz w:val="32"/>
      <w:szCs w:val="32"/>
    </w:rPr>
  </w:style>
  <w:style w:type="paragraph" w:styleId="Heading2">
    <w:name w:val="heading 2"/>
    <w:basedOn w:val="Normal"/>
    <w:next w:val="Normal"/>
    <w:link w:val="Heading2Char"/>
    <w:uiPriority w:val="9"/>
    <w:unhideWhenUsed/>
    <w:qFormat/>
    <w:rsid w:val="00C8447F"/>
    <w:pPr>
      <w:keepNext/>
      <w:keepLines/>
      <w:spacing w:after="0"/>
      <w:outlineLvl w:val="1"/>
    </w:pPr>
    <w:rPr>
      <w:rFonts w:asciiTheme="majorHAnsi" w:eastAsiaTheme="majorEastAsia" w:hAnsiTheme="majorHAnsi" w:cstheme="majorBidi"/>
      <w:b/>
      <w:color w:val="7F7F7F" w:themeColor="text1" w:themeTint="80"/>
      <w:sz w:val="26"/>
      <w:szCs w:val="26"/>
    </w:rPr>
  </w:style>
  <w:style w:type="paragraph" w:styleId="Heading3">
    <w:name w:val="heading 3"/>
    <w:basedOn w:val="Normal"/>
    <w:next w:val="Normal"/>
    <w:link w:val="Heading3Char"/>
    <w:uiPriority w:val="9"/>
    <w:unhideWhenUsed/>
    <w:qFormat/>
    <w:rsid w:val="00C8447F"/>
    <w:pPr>
      <w:keepNext/>
      <w:keepLines/>
      <w:spacing w:after="0"/>
      <w:outlineLvl w:val="2"/>
    </w:pPr>
    <w:rPr>
      <w:rFonts w:asciiTheme="majorHAnsi" w:eastAsiaTheme="majorEastAsia" w:hAnsiTheme="majorHAnsi" w:cstheme="majorBidi"/>
      <w:b/>
      <w:color w:val="7F7F7F" w:themeColor="text1" w:themeTint="80"/>
    </w:rPr>
  </w:style>
  <w:style w:type="paragraph" w:styleId="Heading4">
    <w:name w:val="heading 4"/>
    <w:basedOn w:val="Normal"/>
    <w:next w:val="Normal"/>
    <w:link w:val="Heading4Char"/>
    <w:uiPriority w:val="9"/>
    <w:unhideWhenUsed/>
    <w:qFormat/>
    <w:rsid w:val="00CF09F8"/>
    <w:pPr>
      <w:keepNext/>
      <w:keepLines/>
      <w:spacing w:before="40" w:after="0"/>
      <w:outlineLvl w:val="3"/>
    </w:pPr>
    <w:rPr>
      <w:rFonts w:asciiTheme="majorHAnsi" w:eastAsiaTheme="majorEastAsia" w:hAnsiTheme="majorHAnsi" w:cstheme="majorBidi"/>
      <w:i/>
      <w:iCs/>
      <w:color w:val="7F7F7F" w:themeColor="text1" w:themeTint="80"/>
    </w:rPr>
  </w:style>
  <w:style w:type="paragraph" w:styleId="Heading5">
    <w:name w:val="heading 5"/>
    <w:basedOn w:val="Normal"/>
    <w:next w:val="Normal"/>
    <w:link w:val="Heading5Char"/>
    <w:uiPriority w:val="9"/>
    <w:unhideWhenUsed/>
    <w:qFormat/>
    <w:rsid w:val="00CF09F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47F"/>
    <w:rPr>
      <w:rFonts w:asciiTheme="majorHAnsi" w:eastAsiaTheme="majorEastAsia" w:hAnsiTheme="majorHAnsi" w:cstheme="majorBidi"/>
      <w:b/>
      <w:color w:val="7F7F7F" w:themeColor="text1" w:themeTint="80"/>
      <w:sz w:val="32"/>
      <w:szCs w:val="32"/>
    </w:rPr>
  </w:style>
  <w:style w:type="character" w:customStyle="1" w:styleId="Heading2Char">
    <w:name w:val="Heading 2 Char"/>
    <w:basedOn w:val="DefaultParagraphFont"/>
    <w:link w:val="Heading2"/>
    <w:uiPriority w:val="9"/>
    <w:rsid w:val="00C8447F"/>
    <w:rPr>
      <w:rFonts w:asciiTheme="majorHAnsi" w:eastAsiaTheme="majorEastAsia" w:hAnsiTheme="majorHAnsi" w:cstheme="majorBidi"/>
      <w:b/>
      <w:color w:val="7F7F7F" w:themeColor="text1" w:themeTint="80"/>
      <w:sz w:val="26"/>
      <w:szCs w:val="26"/>
    </w:rPr>
  </w:style>
  <w:style w:type="character" w:customStyle="1" w:styleId="Heading3Char">
    <w:name w:val="Heading 3 Char"/>
    <w:basedOn w:val="DefaultParagraphFont"/>
    <w:link w:val="Heading3"/>
    <w:uiPriority w:val="9"/>
    <w:rsid w:val="00C8447F"/>
    <w:rPr>
      <w:rFonts w:asciiTheme="majorHAnsi" w:eastAsiaTheme="majorEastAsia" w:hAnsiTheme="majorHAnsi" w:cstheme="majorBidi"/>
      <w:b/>
      <w:color w:val="7F7F7F" w:themeColor="text1" w:themeTint="80"/>
    </w:rPr>
  </w:style>
  <w:style w:type="character" w:customStyle="1" w:styleId="Heading4Char">
    <w:name w:val="Heading 4 Char"/>
    <w:basedOn w:val="DefaultParagraphFont"/>
    <w:link w:val="Heading4"/>
    <w:uiPriority w:val="9"/>
    <w:rsid w:val="00CF09F8"/>
    <w:rPr>
      <w:rFonts w:asciiTheme="majorHAnsi" w:eastAsiaTheme="majorEastAsia" w:hAnsiTheme="majorHAnsi" w:cstheme="majorBidi"/>
      <w:i/>
      <w:iCs/>
      <w:color w:val="7F7F7F" w:themeColor="text1" w:themeTint="80"/>
    </w:rPr>
  </w:style>
  <w:style w:type="character" w:customStyle="1" w:styleId="Heading5Char">
    <w:name w:val="Heading 5 Char"/>
    <w:basedOn w:val="DefaultParagraphFont"/>
    <w:link w:val="Heading5"/>
    <w:uiPriority w:val="9"/>
    <w:rsid w:val="00CF09F8"/>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4B4F6B"/>
    <w:pPr>
      <w:numPr>
        <w:numId w:val="20"/>
      </w:numPr>
      <w:spacing w:before="0" w:after="120" w:line="300" w:lineRule="auto"/>
      <w:ind w:left="426" w:hanging="284"/>
      <w:contextualSpacing/>
      <w:jc w:val="both"/>
    </w:pPr>
    <w:rPr>
      <w:i/>
    </w:rPr>
  </w:style>
  <w:style w:type="character" w:styleId="Hyperlink">
    <w:name w:val="Hyperlink"/>
    <w:basedOn w:val="DefaultParagraphFont"/>
    <w:uiPriority w:val="99"/>
    <w:unhideWhenUsed/>
    <w:rsid w:val="00CF09F8"/>
    <w:rPr>
      <w:color w:val="0000FF" w:themeColor="hyperlink"/>
      <w:u w:val="single"/>
    </w:rPr>
  </w:style>
  <w:style w:type="character" w:customStyle="1" w:styleId="UnresolvedMention1">
    <w:name w:val="Unresolved Mention1"/>
    <w:basedOn w:val="DefaultParagraphFont"/>
    <w:uiPriority w:val="99"/>
    <w:rsid w:val="00CF09F8"/>
    <w:rPr>
      <w:color w:val="605E5C"/>
      <w:shd w:val="clear" w:color="auto" w:fill="E1DFDD"/>
    </w:rPr>
  </w:style>
  <w:style w:type="character" w:styleId="CommentReference">
    <w:name w:val="annotation reference"/>
    <w:basedOn w:val="DefaultParagraphFont"/>
    <w:uiPriority w:val="99"/>
    <w:semiHidden/>
    <w:unhideWhenUsed/>
    <w:rsid w:val="00CF09F8"/>
    <w:rPr>
      <w:sz w:val="16"/>
      <w:szCs w:val="16"/>
    </w:rPr>
  </w:style>
  <w:style w:type="paragraph" w:styleId="CommentText">
    <w:name w:val="annotation text"/>
    <w:basedOn w:val="Normal"/>
    <w:link w:val="CommentTextChar"/>
    <w:uiPriority w:val="99"/>
    <w:unhideWhenUsed/>
    <w:rsid w:val="00CF09F8"/>
    <w:pPr>
      <w:spacing w:line="240" w:lineRule="auto"/>
    </w:pPr>
    <w:rPr>
      <w:sz w:val="20"/>
      <w:szCs w:val="20"/>
    </w:rPr>
  </w:style>
  <w:style w:type="character" w:customStyle="1" w:styleId="CommentTextChar">
    <w:name w:val="Comment Text Char"/>
    <w:basedOn w:val="DefaultParagraphFont"/>
    <w:link w:val="CommentText"/>
    <w:uiPriority w:val="99"/>
    <w:rsid w:val="00CF09F8"/>
    <w:rPr>
      <w:sz w:val="20"/>
      <w:szCs w:val="20"/>
    </w:rPr>
  </w:style>
  <w:style w:type="paragraph" w:styleId="CommentSubject">
    <w:name w:val="annotation subject"/>
    <w:basedOn w:val="CommentText"/>
    <w:next w:val="CommentText"/>
    <w:link w:val="CommentSubjectChar"/>
    <w:uiPriority w:val="99"/>
    <w:semiHidden/>
    <w:unhideWhenUsed/>
    <w:rsid w:val="00CF09F8"/>
    <w:rPr>
      <w:b/>
      <w:bCs/>
    </w:rPr>
  </w:style>
  <w:style w:type="character" w:customStyle="1" w:styleId="CommentSubjectChar">
    <w:name w:val="Comment Subject Char"/>
    <w:basedOn w:val="CommentTextChar"/>
    <w:link w:val="CommentSubject"/>
    <w:uiPriority w:val="99"/>
    <w:semiHidden/>
    <w:rsid w:val="00CF09F8"/>
    <w:rPr>
      <w:b/>
      <w:bCs/>
      <w:sz w:val="20"/>
      <w:szCs w:val="20"/>
    </w:rPr>
  </w:style>
  <w:style w:type="paragraph" w:styleId="BalloonText">
    <w:name w:val="Balloon Text"/>
    <w:basedOn w:val="Normal"/>
    <w:link w:val="BalloonTextChar"/>
    <w:uiPriority w:val="99"/>
    <w:semiHidden/>
    <w:unhideWhenUsed/>
    <w:rsid w:val="00CF09F8"/>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09F8"/>
    <w:rPr>
      <w:rFonts w:ascii="Times New Roman" w:hAnsi="Times New Roman" w:cs="Times New Roman"/>
      <w:sz w:val="18"/>
      <w:szCs w:val="18"/>
    </w:rPr>
  </w:style>
  <w:style w:type="character" w:customStyle="1" w:styleId="citationref">
    <w:name w:val="citationref"/>
    <w:basedOn w:val="DefaultParagraphFont"/>
    <w:rsid w:val="00CF09F8"/>
  </w:style>
  <w:style w:type="paragraph" w:customStyle="1" w:styleId="Default">
    <w:name w:val="Default"/>
    <w:rsid w:val="00CF09F8"/>
    <w:pPr>
      <w:autoSpaceDE w:val="0"/>
      <w:autoSpaceDN w:val="0"/>
      <w:adjustRightInd w:val="0"/>
      <w:spacing w:after="0" w:line="240" w:lineRule="auto"/>
    </w:pPr>
    <w:rPr>
      <w:rFonts w:ascii="AKBOJ J+ Gulliver" w:hAnsi="AKBOJ J+ Gulliver" w:cs="AKBOJ J+ Gulliver"/>
      <w:color w:val="000000"/>
      <w:sz w:val="24"/>
      <w:szCs w:val="24"/>
    </w:rPr>
  </w:style>
  <w:style w:type="character" w:customStyle="1" w:styleId="current-selection">
    <w:name w:val="current-selection"/>
    <w:basedOn w:val="DefaultParagraphFont"/>
    <w:rsid w:val="00CF09F8"/>
  </w:style>
  <w:style w:type="paragraph" w:customStyle="1" w:styleId="Text01">
    <w:name w:val="Text01"/>
    <w:basedOn w:val="Normal"/>
    <w:qFormat/>
    <w:rsid w:val="00C8447F"/>
    <w:pPr>
      <w:widowControl w:val="0"/>
      <w:tabs>
        <w:tab w:val="left" w:pos="4410"/>
      </w:tabs>
      <w:spacing w:after="120"/>
    </w:pPr>
    <w:rPr>
      <w:rFonts w:eastAsia="MS Mincho" w:cs="Times New Roman"/>
      <w:sz w:val="24"/>
      <w:lang w:eastAsia="en-GB"/>
    </w:rPr>
  </w:style>
  <w:style w:type="paragraph" w:customStyle="1" w:styleId="NL01BDB">
    <w:name w:val="NL01B_DB"/>
    <w:basedOn w:val="Normal"/>
    <w:next w:val="Text01"/>
    <w:qFormat/>
    <w:rsid w:val="005A6F4C"/>
    <w:pPr>
      <w:keepNext/>
      <w:numPr>
        <w:numId w:val="2"/>
      </w:numPr>
      <w:spacing w:after="120"/>
      <w:ind w:left="357" w:hanging="357"/>
      <w:contextualSpacing/>
    </w:pPr>
    <w:rPr>
      <w:rFonts w:eastAsia="MS Mincho" w:cstheme="minorHAnsi"/>
      <w:b/>
    </w:rPr>
  </w:style>
  <w:style w:type="table" w:styleId="TableGrid">
    <w:name w:val="Table Grid"/>
    <w:basedOn w:val="TableNormal"/>
    <w:uiPriority w:val="39"/>
    <w:rsid w:val="00CF09F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4FF9"/>
    <w:pPr>
      <w:spacing w:line="240" w:lineRule="auto"/>
      <w:jc w:val="center"/>
    </w:pPr>
    <w:rPr>
      <w:b/>
      <w:bCs/>
      <w:color w:val="000000" w:themeColor="text1"/>
      <w:sz w:val="18"/>
      <w:szCs w:val="18"/>
    </w:rPr>
  </w:style>
  <w:style w:type="character" w:customStyle="1" w:styleId="UnresolvedMention2">
    <w:name w:val="Unresolved Mention2"/>
    <w:basedOn w:val="DefaultParagraphFont"/>
    <w:uiPriority w:val="99"/>
    <w:semiHidden/>
    <w:unhideWhenUsed/>
    <w:rsid w:val="00CF09F8"/>
    <w:rPr>
      <w:color w:val="605E5C"/>
      <w:shd w:val="clear" w:color="auto" w:fill="E1DFDD"/>
    </w:rPr>
  </w:style>
  <w:style w:type="paragraph" w:styleId="Revision">
    <w:name w:val="Revision"/>
    <w:hidden/>
    <w:uiPriority w:val="99"/>
    <w:semiHidden/>
    <w:rsid w:val="00F76A7A"/>
    <w:pPr>
      <w:spacing w:after="0" w:line="240" w:lineRule="auto"/>
    </w:pPr>
  </w:style>
  <w:style w:type="paragraph" w:customStyle="1" w:styleId="NListParagraph">
    <w:name w:val="NList Paragraph"/>
    <w:basedOn w:val="ListParagraph"/>
    <w:qFormat/>
    <w:rsid w:val="00376382"/>
    <w:pPr>
      <w:widowControl w:val="0"/>
      <w:numPr>
        <w:numId w:val="3"/>
      </w:numPr>
      <w:spacing w:before="120" w:line="360" w:lineRule="auto"/>
      <w:ind w:left="357" w:hanging="357"/>
      <w:jc w:val="left"/>
    </w:pPr>
    <w:rPr>
      <w:i w:val="0"/>
      <w:sz w:val="24"/>
    </w:rPr>
  </w:style>
  <w:style w:type="paragraph" w:customStyle="1" w:styleId="List01">
    <w:name w:val="List01"/>
    <w:basedOn w:val="Text01"/>
    <w:qFormat/>
    <w:rsid w:val="005545F3"/>
    <w:pPr>
      <w:numPr>
        <w:numId w:val="4"/>
      </w:numPr>
      <w:ind w:left="357" w:hanging="357"/>
      <w:contextualSpacing/>
    </w:pPr>
    <w:rPr>
      <w:rFonts w:eastAsia="Times New Roman"/>
      <w:szCs w:val="20"/>
    </w:rPr>
  </w:style>
  <w:style w:type="paragraph" w:customStyle="1" w:styleId="List02">
    <w:name w:val="List02"/>
    <w:basedOn w:val="List01"/>
    <w:qFormat/>
    <w:rsid w:val="00510EC2"/>
    <w:pPr>
      <w:numPr>
        <w:numId w:val="5"/>
      </w:numPr>
    </w:pPr>
  </w:style>
  <w:style w:type="paragraph" w:customStyle="1" w:styleId="ListParagraph2">
    <w:name w:val="List Paragraph2"/>
    <w:basedOn w:val="ListParagraph"/>
    <w:qFormat/>
    <w:rsid w:val="00E31166"/>
    <w:pPr>
      <w:numPr>
        <w:ilvl w:val="1"/>
      </w:numPr>
    </w:pPr>
  </w:style>
  <w:style w:type="paragraph" w:styleId="FootnoteText">
    <w:name w:val="footnote text"/>
    <w:basedOn w:val="Normal"/>
    <w:link w:val="FootnoteTextChar"/>
    <w:uiPriority w:val="99"/>
    <w:semiHidden/>
    <w:unhideWhenUsed/>
    <w:rsid w:val="003F1CD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F1CDC"/>
    <w:rPr>
      <w:sz w:val="20"/>
      <w:szCs w:val="20"/>
    </w:rPr>
  </w:style>
  <w:style w:type="character" w:styleId="FootnoteReference">
    <w:name w:val="footnote reference"/>
    <w:basedOn w:val="DefaultParagraphFont"/>
    <w:uiPriority w:val="99"/>
    <w:semiHidden/>
    <w:unhideWhenUsed/>
    <w:rsid w:val="003F1CDC"/>
    <w:rPr>
      <w:vertAlign w:val="superscript"/>
    </w:rPr>
  </w:style>
  <w:style w:type="paragraph" w:styleId="NoSpacing">
    <w:name w:val="No Spacing"/>
    <w:uiPriority w:val="1"/>
    <w:qFormat/>
    <w:rsid w:val="00DF3B8E"/>
    <w:pPr>
      <w:spacing w:after="0" w:line="240" w:lineRule="auto"/>
    </w:pPr>
  </w:style>
  <w:style w:type="character" w:customStyle="1" w:styleId="UnresolvedMention3">
    <w:name w:val="Unresolved Mention3"/>
    <w:basedOn w:val="DefaultParagraphFont"/>
    <w:uiPriority w:val="99"/>
    <w:semiHidden/>
    <w:unhideWhenUsed/>
    <w:rsid w:val="00641949"/>
    <w:rPr>
      <w:color w:val="605E5C"/>
      <w:shd w:val="clear" w:color="auto" w:fill="E1DFDD"/>
    </w:rPr>
  </w:style>
  <w:style w:type="paragraph" w:styleId="Title">
    <w:name w:val="Title"/>
    <w:basedOn w:val="Normal"/>
    <w:next w:val="Normal"/>
    <w:link w:val="TitleChar"/>
    <w:uiPriority w:val="10"/>
    <w:qFormat/>
    <w:rsid w:val="000E485C"/>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485C"/>
    <w:rPr>
      <w:rFonts w:asciiTheme="majorHAnsi" w:eastAsiaTheme="majorEastAsia" w:hAnsiTheme="majorHAnsi" w:cstheme="majorBidi"/>
      <w:color w:val="17365D" w:themeColor="text2" w:themeShade="BF"/>
      <w:spacing w:val="5"/>
      <w:kern w:val="28"/>
      <w:sz w:val="52"/>
      <w:szCs w:val="52"/>
    </w:rPr>
  </w:style>
  <w:style w:type="paragraph" w:customStyle="1" w:styleId="Abstract">
    <w:name w:val="Abstract"/>
    <w:basedOn w:val="Normal"/>
    <w:qFormat/>
    <w:rsid w:val="00202B99"/>
    <w:pPr>
      <w:spacing w:after="120"/>
      <w:jc w:val="both"/>
    </w:pPr>
  </w:style>
  <w:style w:type="paragraph" w:styleId="BodyText">
    <w:name w:val="Body Text"/>
    <w:basedOn w:val="Normal"/>
    <w:link w:val="BodyTextChar"/>
    <w:uiPriority w:val="99"/>
    <w:rsid w:val="002E0568"/>
    <w:pPr>
      <w:tabs>
        <w:tab w:val="left" w:pos="288"/>
      </w:tabs>
      <w:spacing w:before="0" w:after="120" w:line="228" w:lineRule="auto"/>
      <w:ind w:firstLine="288"/>
      <w:jc w:val="both"/>
    </w:pPr>
    <w:rPr>
      <w:rFonts w:ascii="Times New Roman" w:eastAsia="MS Mincho" w:hAnsi="Times New Roman" w:cs="Times New Roman"/>
      <w:sz w:val="20"/>
      <w:szCs w:val="20"/>
      <w:lang w:val="x-none" w:eastAsia="x-none"/>
    </w:rPr>
  </w:style>
  <w:style w:type="character" w:customStyle="1" w:styleId="BodyTextChar">
    <w:name w:val="Body Text Char"/>
    <w:basedOn w:val="DefaultParagraphFont"/>
    <w:link w:val="BodyText"/>
    <w:uiPriority w:val="99"/>
    <w:rsid w:val="002E0568"/>
    <w:rPr>
      <w:rFonts w:ascii="Times New Roman" w:eastAsia="MS Mincho" w:hAnsi="Times New Roman" w:cs="Times New Roman"/>
      <w:sz w:val="20"/>
      <w:szCs w:val="20"/>
      <w:lang w:val="x-none" w:eastAsia="x-none"/>
    </w:rPr>
  </w:style>
  <w:style w:type="paragraph" w:customStyle="1" w:styleId="Biblio">
    <w:name w:val="Biblio"/>
    <w:basedOn w:val="Normal"/>
    <w:qFormat/>
    <w:rsid w:val="005C4EA3"/>
    <w:pPr>
      <w:keepLines/>
      <w:autoSpaceDE w:val="0"/>
      <w:autoSpaceDN w:val="0"/>
      <w:adjustRightInd w:val="0"/>
      <w:spacing w:after="120" w:line="240" w:lineRule="auto"/>
      <w:ind w:left="482" w:hanging="482"/>
    </w:pPr>
    <w:rPr>
      <w:rFonts w:cstheme="minorHAnsi"/>
      <w:szCs w:val="18"/>
    </w:rPr>
  </w:style>
  <w:style w:type="paragraph" w:styleId="Header">
    <w:name w:val="header"/>
    <w:basedOn w:val="Normal"/>
    <w:link w:val="HeaderChar"/>
    <w:uiPriority w:val="99"/>
    <w:unhideWhenUsed/>
    <w:rsid w:val="00773B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73B7D"/>
  </w:style>
  <w:style w:type="paragraph" w:styleId="Footer">
    <w:name w:val="footer"/>
    <w:basedOn w:val="Normal"/>
    <w:link w:val="FooterChar"/>
    <w:uiPriority w:val="99"/>
    <w:unhideWhenUsed/>
    <w:rsid w:val="00773B7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73B7D"/>
  </w:style>
  <w:style w:type="character" w:customStyle="1" w:styleId="highlight">
    <w:name w:val="highlight"/>
    <w:basedOn w:val="DefaultParagraphFont"/>
    <w:rsid w:val="00510EC2"/>
  </w:style>
  <w:style w:type="character" w:customStyle="1" w:styleId="tgc">
    <w:name w:val="_tgc"/>
    <w:rsid w:val="00920F83"/>
  </w:style>
  <w:style w:type="paragraph" w:customStyle="1" w:styleId="L3NLIST">
    <w:name w:val="L3_NLIST"/>
    <w:basedOn w:val="ListParagraph"/>
    <w:qFormat/>
    <w:rsid w:val="00920F83"/>
    <w:pPr>
      <w:keepNext/>
      <w:keepLines/>
      <w:numPr>
        <w:numId w:val="6"/>
      </w:numPr>
      <w:spacing w:before="40" w:after="40" w:line="240" w:lineRule="auto"/>
      <w:ind w:left="312" w:hanging="312"/>
    </w:pPr>
    <w:rPr>
      <w:rFonts w:ascii="Corbel" w:eastAsia="Times New Roman" w:hAnsi="Corbel" w:cs="Times New Roman"/>
      <w:b/>
      <w:szCs w:val="16"/>
      <w:lang w:eastAsia="en-GB"/>
    </w:rPr>
  </w:style>
  <w:style w:type="paragraph" w:customStyle="1" w:styleId="Text02">
    <w:name w:val="Text02"/>
    <w:basedOn w:val="Text01"/>
    <w:qFormat/>
    <w:rsid w:val="006E0E8E"/>
    <w:pPr>
      <w:ind w:left="357"/>
    </w:pPr>
  </w:style>
  <w:style w:type="paragraph" w:customStyle="1" w:styleId="Note">
    <w:name w:val="Note"/>
    <w:basedOn w:val="Text01"/>
    <w:qFormat/>
    <w:rsid w:val="00DD4092"/>
    <w:pPr>
      <w:spacing w:before="240"/>
    </w:pPr>
    <w:rPr>
      <w:rFonts w:ascii="Times New Roman" w:hAnsi="Times New Roman"/>
      <w:i/>
    </w:rPr>
  </w:style>
  <w:style w:type="character" w:customStyle="1" w:styleId="field">
    <w:name w:val="field"/>
    <w:basedOn w:val="DefaultParagraphFont"/>
    <w:rsid w:val="00E14348"/>
  </w:style>
  <w:style w:type="character" w:customStyle="1" w:styleId="e24kjd">
    <w:name w:val="e24kjd"/>
    <w:basedOn w:val="DefaultParagraphFont"/>
    <w:rsid w:val="00A068B9"/>
  </w:style>
  <w:style w:type="paragraph" w:styleId="NormalWeb">
    <w:name w:val="Normal (Web)"/>
    <w:basedOn w:val="Normal"/>
    <w:uiPriority w:val="99"/>
    <w:semiHidden/>
    <w:unhideWhenUsed/>
    <w:rsid w:val="006B52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B524A"/>
    <w:rPr>
      <w:b/>
      <w:bCs/>
    </w:rPr>
  </w:style>
  <w:style w:type="paragraph" w:customStyle="1" w:styleId="Noteb01">
    <w:name w:val="Note_b01"/>
    <w:basedOn w:val="Note"/>
    <w:qFormat/>
    <w:rsid w:val="00814F9C"/>
    <w:pPr>
      <w:numPr>
        <w:numId w:val="9"/>
      </w:numPr>
      <w:spacing w:before="0" w:after="0"/>
    </w:pPr>
  </w:style>
  <w:style w:type="character" w:customStyle="1" w:styleId="title-text">
    <w:name w:val="title-text"/>
    <w:basedOn w:val="DefaultParagraphFont"/>
    <w:rsid w:val="00814F9C"/>
  </w:style>
  <w:style w:type="paragraph" w:customStyle="1" w:styleId="Quote01">
    <w:name w:val="Quote01"/>
    <w:basedOn w:val="Normal"/>
    <w:qFormat/>
    <w:rsid w:val="00205A6A"/>
    <w:pPr>
      <w:spacing w:before="200" w:after="120" w:line="276" w:lineRule="auto"/>
      <w:ind w:left="714"/>
    </w:pPr>
    <w:rPr>
      <w:rFonts w:ascii="Times New Roman" w:hAnsi="Times New Roman" w:cs="Times New Roman"/>
      <w:i/>
      <w:color w:val="17365D" w:themeColor="text2" w:themeShade="BF"/>
    </w:rPr>
  </w:style>
  <w:style w:type="paragraph" w:customStyle="1" w:styleId="Lista1">
    <w:name w:val="List_a1"/>
    <w:basedOn w:val="ListParagraph"/>
    <w:qFormat/>
    <w:rsid w:val="001743EF"/>
    <w:pPr>
      <w:numPr>
        <w:numId w:val="12"/>
      </w:numPr>
      <w:ind w:left="357" w:hanging="357"/>
    </w:pPr>
  </w:style>
  <w:style w:type="paragraph" w:customStyle="1" w:styleId="Noteb02">
    <w:name w:val="Note_b02"/>
    <w:basedOn w:val="Noteb01"/>
    <w:qFormat/>
    <w:rsid w:val="00AB7EFD"/>
    <w:pPr>
      <w:numPr>
        <w:ilvl w:val="1"/>
      </w:numPr>
      <w:ind w:left="993" w:hanging="284"/>
    </w:pPr>
  </w:style>
  <w:style w:type="paragraph" w:customStyle="1" w:styleId="Noteb03">
    <w:name w:val="Note_b03"/>
    <w:basedOn w:val="Noteb01"/>
    <w:qFormat/>
    <w:rsid w:val="00AB7EFD"/>
    <w:pPr>
      <w:numPr>
        <w:ilvl w:val="2"/>
      </w:numPr>
      <w:ind w:left="1276" w:hanging="283"/>
    </w:pPr>
  </w:style>
  <w:style w:type="paragraph" w:customStyle="1" w:styleId="Captionline2">
    <w:name w:val="Caption_line2"/>
    <w:basedOn w:val="Caption"/>
    <w:qFormat/>
    <w:rsid w:val="00503DDC"/>
    <w:pPr>
      <w:spacing w:before="0"/>
    </w:pPr>
    <w:rPr>
      <w:b w:val="0"/>
    </w:rPr>
  </w:style>
  <w:style w:type="character" w:customStyle="1" w:styleId="italicized">
    <w:name w:val="italicized"/>
    <w:basedOn w:val="DefaultParagraphFont"/>
    <w:rsid w:val="00A87942"/>
  </w:style>
  <w:style w:type="character" w:customStyle="1" w:styleId="UnresolvedMention4">
    <w:name w:val="Unresolved Mention4"/>
    <w:basedOn w:val="DefaultParagraphFont"/>
    <w:uiPriority w:val="99"/>
    <w:semiHidden/>
    <w:unhideWhenUsed/>
    <w:rsid w:val="00B46411"/>
    <w:rPr>
      <w:color w:val="605E5C"/>
      <w:shd w:val="clear" w:color="auto" w:fill="E1DFDD"/>
    </w:rPr>
  </w:style>
  <w:style w:type="character" w:customStyle="1" w:styleId="UnresolvedMention5">
    <w:name w:val="Unresolved Mention5"/>
    <w:basedOn w:val="DefaultParagraphFont"/>
    <w:uiPriority w:val="99"/>
    <w:semiHidden/>
    <w:unhideWhenUsed/>
    <w:rsid w:val="0090201E"/>
    <w:rPr>
      <w:color w:val="605E5C"/>
      <w:shd w:val="clear" w:color="auto" w:fill="E1DFDD"/>
    </w:rPr>
  </w:style>
  <w:style w:type="paragraph" w:customStyle="1" w:styleId="Authornames">
    <w:name w:val="Author names"/>
    <w:basedOn w:val="Normal"/>
    <w:next w:val="Normal"/>
    <w:qFormat/>
    <w:rsid w:val="00FC65D6"/>
    <w:pPr>
      <w:spacing w:before="240" w:after="0"/>
    </w:pPr>
    <w:rPr>
      <w:rFonts w:ascii="Times New Roman" w:eastAsia="Times New Roman" w:hAnsi="Times New Roman" w:cs="Times New Roman"/>
      <w:sz w:val="28"/>
      <w:szCs w:val="24"/>
      <w:lang w:eastAsia="en-GB"/>
    </w:rPr>
  </w:style>
  <w:style w:type="paragraph" w:customStyle="1" w:styleId="Affiliation">
    <w:name w:val="Affiliation"/>
    <w:basedOn w:val="Normal"/>
    <w:qFormat/>
    <w:rsid w:val="00FC65D6"/>
    <w:pPr>
      <w:spacing w:before="240" w:after="0"/>
    </w:pPr>
    <w:rPr>
      <w:rFonts w:ascii="Times New Roman" w:eastAsia="Times New Roman" w:hAnsi="Times New Roman" w:cs="Times New Roman"/>
      <w: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63108">
      <w:bodyDiv w:val="1"/>
      <w:marLeft w:val="0"/>
      <w:marRight w:val="0"/>
      <w:marTop w:val="0"/>
      <w:marBottom w:val="0"/>
      <w:divBdr>
        <w:top w:val="none" w:sz="0" w:space="0" w:color="auto"/>
        <w:left w:val="none" w:sz="0" w:space="0" w:color="auto"/>
        <w:bottom w:val="none" w:sz="0" w:space="0" w:color="auto"/>
        <w:right w:val="none" w:sz="0" w:space="0" w:color="auto"/>
      </w:divBdr>
    </w:div>
    <w:div w:id="58989125">
      <w:bodyDiv w:val="1"/>
      <w:marLeft w:val="0"/>
      <w:marRight w:val="0"/>
      <w:marTop w:val="0"/>
      <w:marBottom w:val="0"/>
      <w:divBdr>
        <w:top w:val="none" w:sz="0" w:space="0" w:color="auto"/>
        <w:left w:val="none" w:sz="0" w:space="0" w:color="auto"/>
        <w:bottom w:val="none" w:sz="0" w:space="0" w:color="auto"/>
        <w:right w:val="none" w:sz="0" w:space="0" w:color="auto"/>
      </w:divBdr>
    </w:div>
    <w:div w:id="257829253">
      <w:bodyDiv w:val="1"/>
      <w:marLeft w:val="0"/>
      <w:marRight w:val="0"/>
      <w:marTop w:val="0"/>
      <w:marBottom w:val="0"/>
      <w:divBdr>
        <w:top w:val="none" w:sz="0" w:space="0" w:color="auto"/>
        <w:left w:val="none" w:sz="0" w:space="0" w:color="auto"/>
        <w:bottom w:val="none" w:sz="0" w:space="0" w:color="auto"/>
        <w:right w:val="none" w:sz="0" w:space="0" w:color="auto"/>
      </w:divBdr>
    </w:div>
    <w:div w:id="416440185">
      <w:bodyDiv w:val="1"/>
      <w:marLeft w:val="0"/>
      <w:marRight w:val="0"/>
      <w:marTop w:val="0"/>
      <w:marBottom w:val="0"/>
      <w:divBdr>
        <w:top w:val="none" w:sz="0" w:space="0" w:color="auto"/>
        <w:left w:val="none" w:sz="0" w:space="0" w:color="auto"/>
        <w:bottom w:val="none" w:sz="0" w:space="0" w:color="auto"/>
        <w:right w:val="none" w:sz="0" w:space="0" w:color="auto"/>
      </w:divBdr>
    </w:div>
    <w:div w:id="490870607">
      <w:bodyDiv w:val="1"/>
      <w:marLeft w:val="0"/>
      <w:marRight w:val="0"/>
      <w:marTop w:val="0"/>
      <w:marBottom w:val="0"/>
      <w:divBdr>
        <w:top w:val="none" w:sz="0" w:space="0" w:color="auto"/>
        <w:left w:val="none" w:sz="0" w:space="0" w:color="auto"/>
        <w:bottom w:val="none" w:sz="0" w:space="0" w:color="auto"/>
        <w:right w:val="none" w:sz="0" w:space="0" w:color="auto"/>
      </w:divBdr>
    </w:div>
    <w:div w:id="575088043">
      <w:bodyDiv w:val="1"/>
      <w:marLeft w:val="0"/>
      <w:marRight w:val="0"/>
      <w:marTop w:val="0"/>
      <w:marBottom w:val="0"/>
      <w:divBdr>
        <w:top w:val="none" w:sz="0" w:space="0" w:color="auto"/>
        <w:left w:val="none" w:sz="0" w:space="0" w:color="auto"/>
        <w:bottom w:val="none" w:sz="0" w:space="0" w:color="auto"/>
        <w:right w:val="none" w:sz="0" w:space="0" w:color="auto"/>
      </w:divBdr>
      <w:divsChild>
        <w:div w:id="1866556263">
          <w:marLeft w:val="0"/>
          <w:marRight w:val="360"/>
          <w:marTop w:val="0"/>
          <w:marBottom w:val="0"/>
          <w:divBdr>
            <w:top w:val="none" w:sz="0" w:space="0" w:color="auto"/>
            <w:left w:val="none" w:sz="0" w:space="0" w:color="auto"/>
            <w:bottom w:val="none" w:sz="0" w:space="0" w:color="auto"/>
            <w:right w:val="none" w:sz="0" w:space="0" w:color="auto"/>
          </w:divBdr>
          <w:divsChild>
            <w:div w:id="423112487">
              <w:marLeft w:val="0"/>
              <w:marRight w:val="0"/>
              <w:marTop w:val="0"/>
              <w:marBottom w:val="0"/>
              <w:divBdr>
                <w:top w:val="none" w:sz="0" w:space="0" w:color="auto"/>
                <w:left w:val="none" w:sz="0" w:space="0" w:color="auto"/>
                <w:bottom w:val="none" w:sz="0" w:space="0" w:color="auto"/>
                <w:right w:val="none" w:sz="0" w:space="0" w:color="auto"/>
              </w:divBdr>
            </w:div>
          </w:divsChild>
        </w:div>
        <w:div w:id="173691183">
          <w:marLeft w:val="0"/>
          <w:marRight w:val="150"/>
          <w:marTop w:val="0"/>
          <w:marBottom w:val="0"/>
          <w:divBdr>
            <w:top w:val="none" w:sz="0" w:space="0" w:color="auto"/>
            <w:left w:val="none" w:sz="0" w:space="0" w:color="auto"/>
            <w:bottom w:val="none" w:sz="0" w:space="0" w:color="auto"/>
            <w:right w:val="none" w:sz="0" w:space="0" w:color="auto"/>
          </w:divBdr>
        </w:div>
      </w:divsChild>
    </w:div>
    <w:div w:id="1160584029">
      <w:bodyDiv w:val="1"/>
      <w:marLeft w:val="0"/>
      <w:marRight w:val="0"/>
      <w:marTop w:val="0"/>
      <w:marBottom w:val="0"/>
      <w:divBdr>
        <w:top w:val="none" w:sz="0" w:space="0" w:color="auto"/>
        <w:left w:val="none" w:sz="0" w:space="0" w:color="auto"/>
        <w:bottom w:val="none" w:sz="0" w:space="0" w:color="auto"/>
        <w:right w:val="none" w:sz="0" w:space="0" w:color="auto"/>
      </w:divBdr>
    </w:div>
    <w:div w:id="1358848121">
      <w:bodyDiv w:val="1"/>
      <w:marLeft w:val="0"/>
      <w:marRight w:val="0"/>
      <w:marTop w:val="0"/>
      <w:marBottom w:val="0"/>
      <w:divBdr>
        <w:top w:val="none" w:sz="0" w:space="0" w:color="auto"/>
        <w:left w:val="none" w:sz="0" w:space="0" w:color="auto"/>
        <w:bottom w:val="none" w:sz="0" w:space="0" w:color="auto"/>
        <w:right w:val="none" w:sz="0" w:space="0" w:color="auto"/>
      </w:divBdr>
    </w:div>
    <w:div w:id="1386756469">
      <w:bodyDiv w:val="1"/>
      <w:marLeft w:val="0"/>
      <w:marRight w:val="0"/>
      <w:marTop w:val="0"/>
      <w:marBottom w:val="0"/>
      <w:divBdr>
        <w:top w:val="none" w:sz="0" w:space="0" w:color="auto"/>
        <w:left w:val="none" w:sz="0" w:space="0" w:color="auto"/>
        <w:bottom w:val="none" w:sz="0" w:space="0" w:color="auto"/>
        <w:right w:val="none" w:sz="0" w:space="0" w:color="auto"/>
      </w:divBdr>
    </w:div>
    <w:div w:id="1420058191">
      <w:bodyDiv w:val="1"/>
      <w:marLeft w:val="0"/>
      <w:marRight w:val="0"/>
      <w:marTop w:val="0"/>
      <w:marBottom w:val="0"/>
      <w:divBdr>
        <w:top w:val="none" w:sz="0" w:space="0" w:color="auto"/>
        <w:left w:val="none" w:sz="0" w:space="0" w:color="auto"/>
        <w:bottom w:val="none" w:sz="0" w:space="0" w:color="auto"/>
        <w:right w:val="none" w:sz="0" w:space="0" w:color="auto"/>
      </w:divBdr>
    </w:div>
    <w:div w:id="1421874093">
      <w:bodyDiv w:val="1"/>
      <w:marLeft w:val="0"/>
      <w:marRight w:val="0"/>
      <w:marTop w:val="0"/>
      <w:marBottom w:val="0"/>
      <w:divBdr>
        <w:top w:val="none" w:sz="0" w:space="0" w:color="auto"/>
        <w:left w:val="none" w:sz="0" w:space="0" w:color="auto"/>
        <w:bottom w:val="none" w:sz="0" w:space="0" w:color="auto"/>
        <w:right w:val="none" w:sz="0" w:space="0" w:color="auto"/>
      </w:divBdr>
    </w:div>
    <w:div w:id="1595506106">
      <w:bodyDiv w:val="1"/>
      <w:marLeft w:val="0"/>
      <w:marRight w:val="0"/>
      <w:marTop w:val="0"/>
      <w:marBottom w:val="0"/>
      <w:divBdr>
        <w:top w:val="none" w:sz="0" w:space="0" w:color="auto"/>
        <w:left w:val="none" w:sz="0" w:space="0" w:color="auto"/>
        <w:bottom w:val="none" w:sz="0" w:space="0" w:color="auto"/>
        <w:right w:val="none" w:sz="0" w:space="0" w:color="auto"/>
      </w:divBdr>
    </w:div>
    <w:div w:id="1784492059">
      <w:bodyDiv w:val="1"/>
      <w:marLeft w:val="0"/>
      <w:marRight w:val="0"/>
      <w:marTop w:val="0"/>
      <w:marBottom w:val="0"/>
      <w:divBdr>
        <w:top w:val="none" w:sz="0" w:space="0" w:color="auto"/>
        <w:left w:val="none" w:sz="0" w:space="0" w:color="auto"/>
        <w:bottom w:val="none" w:sz="0" w:space="0" w:color="auto"/>
        <w:right w:val="none" w:sz="0" w:space="0" w:color="auto"/>
      </w:divBdr>
    </w:div>
    <w:div w:id="1855264151">
      <w:bodyDiv w:val="1"/>
      <w:marLeft w:val="0"/>
      <w:marRight w:val="0"/>
      <w:marTop w:val="0"/>
      <w:marBottom w:val="0"/>
      <w:divBdr>
        <w:top w:val="none" w:sz="0" w:space="0" w:color="auto"/>
        <w:left w:val="none" w:sz="0" w:space="0" w:color="auto"/>
        <w:bottom w:val="none" w:sz="0" w:space="0" w:color="auto"/>
        <w:right w:val="none" w:sz="0" w:space="0" w:color="auto"/>
      </w:divBdr>
    </w:div>
    <w:div w:id="1911497913">
      <w:bodyDiv w:val="1"/>
      <w:marLeft w:val="0"/>
      <w:marRight w:val="0"/>
      <w:marTop w:val="0"/>
      <w:marBottom w:val="0"/>
      <w:divBdr>
        <w:top w:val="none" w:sz="0" w:space="0" w:color="auto"/>
        <w:left w:val="none" w:sz="0" w:space="0" w:color="auto"/>
        <w:bottom w:val="none" w:sz="0" w:space="0" w:color="auto"/>
        <w:right w:val="none" w:sz="0" w:space="0" w:color="auto"/>
      </w:divBdr>
    </w:div>
    <w:div w:id="1918905186">
      <w:bodyDiv w:val="1"/>
      <w:marLeft w:val="0"/>
      <w:marRight w:val="0"/>
      <w:marTop w:val="0"/>
      <w:marBottom w:val="0"/>
      <w:divBdr>
        <w:top w:val="none" w:sz="0" w:space="0" w:color="auto"/>
        <w:left w:val="none" w:sz="0" w:space="0" w:color="auto"/>
        <w:bottom w:val="none" w:sz="0" w:space="0" w:color="auto"/>
        <w:right w:val="none" w:sz="0" w:space="0" w:color="auto"/>
      </w:divBdr>
    </w:div>
    <w:div w:id="1989554588">
      <w:bodyDiv w:val="1"/>
      <w:marLeft w:val="0"/>
      <w:marRight w:val="0"/>
      <w:marTop w:val="0"/>
      <w:marBottom w:val="0"/>
      <w:divBdr>
        <w:top w:val="none" w:sz="0" w:space="0" w:color="auto"/>
        <w:left w:val="none" w:sz="0" w:space="0" w:color="auto"/>
        <w:bottom w:val="none" w:sz="0" w:space="0" w:color="auto"/>
        <w:right w:val="none" w:sz="0" w:space="0" w:color="auto"/>
      </w:divBdr>
    </w:div>
    <w:div w:id="2068533902">
      <w:bodyDiv w:val="1"/>
      <w:marLeft w:val="0"/>
      <w:marRight w:val="0"/>
      <w:marTop w:val="0"/>
      <w:marBottom w:val="0"/>
      <w:divBdr>
        <w:top w:val="none" w:sz="0" w:space="0" w:color="auto"/>
        <w:left w:val="none" w:sz="0" w:space="0" w:color="auto"/>
        <w:bottom w:val="none" w:sz="0" w:space="0" w:color="auto"/>
        <w:right w:val="none" w:sz="0" w:space="0" w:color="auto"/>
      </w:divBdr>
    </w:div>
    <w:div w:id="2074425798">
      <w:bodyDiv w:val="1"/>
      <w:marLeft w:val="0"/>
      <w:marRight w:val="0"/>
      <w:marTop w:val="0"/>
      <w:marBottom w:val="0"/>
      <w:divBdr>
        <w:top w:val="none" w:sz="0" w:space="0" w:color="auto"/>
        <w:left w:val="none" w:sz="0" w:space="0" w:color="auto"/>
        <w:bottom w:val="none" w:sz="0" w:space="0" w:color="auto"/>
        <w:right w:val="none" w:sz="0" w:space="0" w:color="auto"/>
      </w:divBdr>
      <w:divsChild>
        <w:div w:id="1134560913">
          <w:marLeft w:val="0"/>
          <w:marRight w:val="0"/>
          <w:marTop w:val="0"/>
          <w:marBottom w:val="0"/>
          <w:divBdr>
            <w:top w:val="none" w:sz="0" w:space="0" w:color="auto"/>
            <w:left w:val="none" w:sz="0" w:space="0" w:color="auto"/>
            <w:bottom w:val="none" w:sz="0" w:space="0" w:color="auto"/>
            <w:right w:val="none" w:sz="0" w:space="0" w:color="auto"/>
          </w:divBdr>
          <w:divsChild>
            <w:div w:id="525870298">
              <w:marLeft w:val="0"/>
              <w:marRight w:val="0"/>
              <w:marTop w:val="0"/>
              <w:marBottom w:val="0"/>
              <w:divBdr>
                <w:top w:val="none" w:sz="0" w:space="0" w:color="auto"/>
                <w:left w:val="none" w:sz="0" w:space="0" w:color="auto"/>
                <w:bottom w:val="none" w:sz="0" w:space="0" w:color="auto"/>
                <w:right w:val="none" w:sz="0" w:space="0" w:color="auto"/>
              </w:divBdr>
              <w:divsChild>
                <w:div w:id="4734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7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ell@brunel.ac.uk" TargetMode="Externa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mat.monaghan@rhul.ac.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mark.lycett@rhul.ac.uk" TargetMode="External"/><Relationship Id="rId4" Type="http://schemas.openxmlformats.org/officeDocument/2006/relationships/settings" Target="settings.xml"/><Relationship Id="rId9" Type="http://schemas.openxmlformats.org/officeDocument/2006/relationships/hyperlink" Target="mailto:alaa.marshan@brunel.ac.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0D9F8-951B-4630-8DD2-11E6C31F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81060</Words>
  <Characters>462044</Characters>
  <Application>Microsoft Office Word</Application>
  <DocSecurity>0</DocSecurity>
  <Lines>3850</Lines>
  <Paragraphs>1084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Asmat</dc:creator>
  <cp:lastModifiedBy>Monaghan, Asmat</cp:lastModifiedBy>
  <cp:revision>5</cp:revision>
  <cp:lastPrinted>2020-09-23T13:28:00Z</cp:lastPrinted>
  <dcterms:created xsi:type="dcterms:W3CDTF">2020-09-23T13:22:00Z</dcterms:created>
  <dcterms:modified xsi:type="dcterms:W3CDTF">2020-10-03T10:53:00Z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http://www.zotero.org/styles/journal-of-business-research</vt:lpwstr>
  </property>
  <property fmtid="{D5CDD505-2E9C-101B-9397-08002B2CF9AE}" pid="11" name="Mendeley Recent Style Name 4_1">
    <vt:lpwstr>Journal of Business Research</vt:lpwstr>
  </property>
  <property fmtid="{D5CDD505-2E9C-101B-9397-08002B2CF9AE}" pid="12" name="Mendeley Recent Style Id 5_1">
    <vt:lpwstr>http://csl.mendeley.com/styles/544397051/JBR-AM</vt:lpwstr>
  </property>
  <property fmtid="{D5CDD505-2E9C-101B-9397-08002B2CF9AE}" pid="13" name="Mendeley Recent Style Name 5_1">
    <vt:lpwstr>Journal of Business Research (Asmat)</vt:lpwstr>
  </property>
  <property fmtid="{D5CDD505-2E9C-101B-9397-08002B2CF9AE}" pid="14" name="Mendeley Recent Style Id 6_1">
    <vt:lpwstr>http://www.zotero.org/styles/journal-of-management-information-systems</vt:lpwstr>
  </property>
  <property fmtid="{D5CDD505-2E9C-101B-9397-08002B2CF9AE}" pid="15" name="Mendeley Recent Style Name 6_1">
    <vt:lpwstr>Journal of Management Information Systems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d8014a32-742b-3b04-9ec2-3298ad5baa7c</vt:lpwstr>
  </property>
  <property fmtid="{D5CDD505-2E9C-101B-9397-08002B2CF9AE}" pid="24" name="Mendeley Citation Style_1">
    <vt:lpwstr>http://csl.mendeley.com/styles/544397051/JBR-AM</vt:lpwstr>
  </property>
</Properties>
</file>