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4A8E" w14:textId="0738B227" w:rsidR="006926AB" w:rsidRDefault="006926AB" w:rsidP="006926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9EE216" w14:textId="4F406B23" w:rsidR="006926AB" w:rsidRDefault="006926AB" w:rsidP="006926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AFB13" w14:textId="77777777" w:rsidR="006926AB" w:rsidRDefault="006926AB" w:rsidP="006926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417D2" w14:textId="77777777" w:rsidR="006926AB" w:rsidRDefault="006926AB" w:rsidP="006926AB">
      <w:pPr>
        <w:spacing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Hlk38611582"/>
      <w:r w:rsidRPr="007D5E94">
        <w:rPr>
          <w:rFonts w:ascii="Times New Roman" w:hAnsi="Times New Roman" w:cs="Times New Roman"/>
          <w:iCs/>
          <w:sz w:val="24"/>
          <w:szCs w:val="24"/>
        </w:rPr>
        <w:t>Elder abuse detection and intervention: Challenges for professionals and strategies for engagement from a Canadian specialist service</w:t>
      </w:r>
    </w:p>
    <w:p w14:paraId="0022A51E" w14:textId="77777777" w:rsidR="006926AB" w:rsidRDefault="006926AB" w:rsidP="006926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4C2515F6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9E4">
        <w:rPr>
          <w:rFonts w:ascii="Times New Roman" w:hAnsi="Times New Roman" w:cs="Times New Roman"/>
          <w:sz w:val="24"/>
          <w:szCs w:val="24"/>
        </w:rPr>
        <w:t>Silvia Fraga Dominguez</w:t>
      </w:r>
      <w:r>
        <w:rPr>
          <w:rFonts w:ascii="Times New Roman" w:hAnsi="Times New Roman" w:cs="Times New Roman"/>
          <w:sz w:val="24"/>
          <w:szCs w:val="24"/>
        </w:rPr>
        <w:t>, MSc, PhD student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29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C862B3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51">
        <w:rPr>
          <w:rFonts w:ascii="Times New Roman" w:hAnsi="Times New Roman" w:cs="Times New Roman"/>
          <w:sz w:val="24"/>
          <w:szCs w:val="24"/>
        </w:rPr>
        <w:t xml:space="preserve">Jennifer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2D51">
        <w:rPr>
          <w:rFonts w:ascii="Times New Roman" w:hAnsi="Times New Roman" w:cs="Times New Roman"/>
          <w:sz w:val="24"/>
          <w:szCs w:val="24"/>
        </w:rPr>
        <w:t>aliquette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39D">
        <w:rPr>
          <w:rFonts w:ascii="Times New Roman" w:hAnsi="Times New Roman" w:cs="Times New Roman"/>
          <w:sz w:val="24"/>
          <w:szCs w:val="24"/>
          <w:lang w:val="fr-FR"/>
        </w:rPr>
        <w:t>RN,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C339D">
        <w:rPr>
          <w:rFonts w:ascii="Times New Roman" w:hAnsi="Times New Roman" w:cs="Times New Roman"/>
          <w:sz w:val="24"/>
          <w:szCs w:val="24"/>
          <w:lang w:val="fr-FR"/>
        </w:rPr>
        <w:t>BScN, SANE(A)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BC339D">
        <w:rPr>
          <w:rFonts w:ascii="Times New Roman" w:hAnsi="Times New Roman" w:cs="Times New Roman"/>
          <w:sz w:val="24"/>
          <w:szCs w:val="24"/>
        </w:rPr>
        <w:t>Clinical Nursing Manager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F3735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E. Storey, PhD, Lecturer in Forensic Psychology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75BF5A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Emily Glorney, PhD, Senior Lecturer in Forensic Psychology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A3AA407" w14:textId="77777777" w:rsidR="006926AB" w:rsidRPr="005E5341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B3938E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Royal Holloway, University of London, UK</w:t>
      </w:r>
    </w:p>
    <w:p w14:paraId="1230A7D3" w14:textId="77777777" w:rsidR="006926AB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22D51">
        <w:t xml:space="preserve"> </w:t>
      </w:r>
      <w:r w:rsidRPr="00D22D51">
        <w:rPr>
          <w:rFonts w:ascii="Times New Roman" w:hAnsi="Times New Roman" w:cs="Times New Roman"/>
          <w:sz w:val="24"/>
          <w:szCs w:val="24"/>
        </w:rPr>
        <w:t>Renfrew Victoria Hospital</w:t>
      </w:r>
      <w:r>
        <w:rPr>
          <w:rFonts w:ascii="Times New Roman" w:hAnsi="Times New Roman" w:cs="Times New Roman"/>
          <w:sz w:val="24"/>
          <w:szCs w:val="24"/>
        </w:rPr>
        <w:t>, ON, Canada</w:t>
      </w:r>
    </w:p>
    <w:p w14:paraId="6FA2F914" w14:textId="77777777" w:rsidR="006926AB" w:rsidRPr="00BC509A" w:rsidRDefault="006926AB" w:rsidP="0069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University of Kent, UK</w:t>
      </w:r>
    </w:p>
    <w:p w14:paraId="5A3A73A4" w14:textId="77777777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352B1" w14:textId="251745C1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BD0D0" w14:textId="73E66AEA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08B6A" w14:textId="4F115DD0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8DB83" w14:textId="4E1A2075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37B5D" w14:textId="77777777" w:rsidR="006926AB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80A4B" w14:textId="77777777" w:rsidR="006926AB" w:rsidRPr="00C632F9" w:rsidRDefault="006926AB" w:rsidP="00692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2F9">
        <w:rPr>
          <w:rFonts w:ascii="Times New Roman" w:hAnsi="Times New Roman" w:cs="Times New Roman"/>
          <w:sz w:val="24"/>
          <w:szCs w:val="24"/>
        </w:rPr>
        <w:t>Author Note</w:t>
      </w:r>
    </w:p>
    <w:p w14:paraId="3EEFCFB7" w14:textId="77777777" w:rsidR="006926AB" w:rsidRPr="00C632F9" w:rsidRDefault="006926AB" w:rsidP="006926AB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declare no conflict of interest. The first author has been supported by a college scholarship by the Department of Law and Criminology at Royal Holloway, University of London. </w:t>
      </w:r>
    </w:p>
    <w:p w14:paraId="11006B9C" w14:textId="77777777" w:rsidR="006926AB" w:rsidRPr="00B5666C" w:rsidRDefault="006926AB" w:rsidP="0069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9D4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Jennifer E. Storey, </w:t>
      </w:r>
      <w:r>
        <w:rPr>
          <w:rFonts w:ascii="Times New Roman" w:hAnsi="Times New Roman" w:cs="Times New Roman"/>
          <w:sz w:val="24"/>
          <w:szCs w:val="24"/>
          <w:lang w:val="en-CA"/>
        </w:rPr>
        <w:t>School</w:t>
      </w:r>
      <w:r w:rsidRPr="003539D4">
        <w:rPr>
          <w:rFonts w:ascii="Times New Roman" w:hAnsi="Times New Roman" w:cs="Times New Roman"/>
          <w:sz w:val="24"/>
          <w:szCs w:val="24"/>
          <w:lang w:val="en-CA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CA"/>
        </w:rPr>
        <w:t>Psychology</w:t>
      </w:r>
      <w:r w:rsidRPr="003539D4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University of Kent, </w:t>
      </w:r>
      <w:r w:rsidRPr="00BC509A">
        <w:rPr>
          <w:rFonts w:ascii="Times New Roman" w:hAnsi="Times New Roman" w:cs="Times New Roman"/>
          <w:sz w:val="24"/>
          <w:szCs w:val="24"/>
          <w:lang w:val="en-CA"/>
        </w:rPr>
        <w:t>Canterbury CT2 7NP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Telephone number: </w:t>
      </w:r>
      <w:r w:rsidRPr="00B5666C">
        <w:rPr>
          <w:rFonts w:ascii="Times New Roman" w:hAnsi="Times New Roman" w:cs="Times New Roman"/>
          <w:sz w:val="24"/>
          <w:szCs w:val="24"/>
        </w:rPr>
        <w:t>01227 823138</w:t>
      </w:r>
      <w:r>
        <w:rPr>
          <w:rFonts w:ascii="Times New Roman" w:hAnsi="Times New Roman" w:cs="Times New Roman"/>
          <w:sz w:val="24"/>
          <w:szCs w:val="24"/>
        </w:rPr>
        <w:t>. E-mail: J.storey@kent.ac.uk</w:t>
      </w:r>
    </w:p>
    <w:p w14:paraId="567B1C2F" w14:textId="0E15431B" w:rsidR="002C60D7" w:rsidRDefault="002C60D7" w:rsidP="002C60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8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1949D1DB" w14:textId="3E5EEE2E" w:rsidR="00CC5436" w:rsidRPr="00C05891" w:rsidRDefault="006926AB" w:rsidP="006926AB">
      <w:pPr>
        <w:tabs>
          <w:tab w:val="left" w:pos="794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16EF3B0" w14:textId="5DBF371D" w:rsidR="00CC5436" w:rsidRPr="000E2A30" w:rsidRDefault="00CC5436" w:rsidP="00CC5436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Elder abuse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(EA)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 of increasing relevance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context of an aging society and this has implications </w:t>
      </w:r>
      <w:r w:rsidR="00304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detection and intervention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several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7B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types of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DE26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including forensic nurses. </w:t>
      </w:r>
      <w:r w:rsidR="00E42570">
        <w:rPr>
          <w:rFonts w:ascii="Times New Roman" w:eastAsia="Calibri" w:hAnsi="Times New Roman" w:cs="Times New Roman"/>
          <w:sz w:val="24"/>
          <w:szCs w:val="24"/>
          <w:lang w:val="en-US"/>
        </w:rPr>
        <w:t>Knowledge related to</w:t>
      </w:r>
      <w:r w:rsidR="00304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E268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304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4B1">
        <w:rPr>
          <w:rFonts w:ascii="Times New Roman" w:eastAsia="Calibri" w:hAnsi="Times New Roman" w:cs="Times New Roman"/>
          <w:sz w:val="24"/>
          <w:szCs w:val="24"/>
          <w:lang w:val="en-US"/>
        </w:rPr>
        <w:t>is important</w:t>
      </w:r>
      <w:r w:rsidR="00304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425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304A2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ictims are li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kely to interact with </w:t>
      </w:r>
      <w:r w:rsidR="00DE2687">
        <w:rPr>
          <w:rFonts w:ascii="Times New Roman" w:eastAsia="Calibri" w:hAnsi="Times New Roman" w:cs="Times New Roman"/>
          <w:sz w:val="24"/>
          <w:szCs w:val="24"/>
          <w:lang w:val="en-US"/>
        </w:rPr>
        <w:t>providers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either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existing health problems</w:t>
      </w:r>
      <w:r w:rsidR="002B7B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</w:t>
      </w:r>
      <w:r w:rsidR="002B7B1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consequences of abuse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This paper 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>provides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="00F524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brief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overview of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followed by an outline of 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current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detection and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intervention efforts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used 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="00065C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DE26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community and hospital settings. In addition, knowledge about help-seeking and barriers to disclos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ure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discussed to inform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E425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care provider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interactions with </w:t>
      </w:r>
      <w:r w:rsidR="002B7B11">
        <w:rPr>
          <w:rFonts w:ascii="Times New Roman" w:eastAsia="Calibri" w:hAnsi="Times New Roman" w:cs="Times New Roman"/>
          <w:sz w:val="24"/>
          <w:szCs w:val="24"/>
          <w:lang w:val="en-US"/>
        </w:rPr>
        <w:t>older adults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where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suspected or disclosed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illustrate challenges faced by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DE26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this area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 cases of </w:t>
      </w:r>
      <w:r w:rsidR="00CF757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involving case management by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forensic nurse </w:t>
      </w:r>
      <w:r w:rsidR="00F524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a specialist service in Canada </w:t>
      </w:r>
      <w:r w:rsidR="00CB0A17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presented. </w:t>
      </w:r>
    </w:p>
    <w:p w14:paraId="1728C98F" w14:textId="5B186A12" w:rsidR="002C60D7" w:rsidRPr="00C05891" w:rsidRDefault="002C60D7" w:rsidP="002C60D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 words: </w:t>
      </w:r>
      <w:r w:rsidR="002E6931">
        <w:rPr>
          <w:rFonts w:ascii="Times New Roman" w:hAnsi="Times New Roman" w:cs="Times New Roman"/>
          <w:i/>
          <w:sz w:val="24"/>
          <w:szCs w:val="24"/>
          <w:lang w:val="en-US"/>
        </w:rPr>
        <w:t>older adult</w:t>
      </w:r>
      <w:r w:rsidR="002E6931" w:rsidRPr="00C0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mistreatment, </w:t>
      </w:r>
      <w:r w:rsidR="002E6931">
        <w:rPr>
          <w:rFonts w:ascii="Times New Roman" w:hAnsi="Times New Roman" w:cs="Times New Roman"/>
          <w:i/>
          <w:sz w:val="24"/>
          <w:szCs w:val="24"/>
          <w:lang w:val="en-US"/>
        </w:rPr>
        <w:t>older adult</w:t>
      </w:r>
      <w:r w:rsidR="002E6931" w:rsidRPr="00C0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58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neglect, </w:t>
      </w:r>
      <w:r w:rsidR="00A11AED">
        <w:rPr>
          <w:rFonts w:ascii="Times New Roman" w:hAnsi="Times New Roman" w:cs="Times New Roman"/>
          <w:i/>
          <w:sz w:val="24"/>
          <w:szCs w:val="24"/>
          <w:lang w:val="en-US"/>
        </w:rPr>
        <w:t>disclosure</w:t>
      </w:r>
      <w:r w:rsidRPr="00C05891">
        <w:rPr>
          <w:rFonts w:ascii="Times New Roman" w:hAnsi="Times New Roman" w:cs="Times New Roman"/>
          <w:i/>
          <w:sz w:val="24"/>
          <w:szCs w:val="24"/>
          <w:lang w:val="en-US"/>
        </w:rPr>
        <w:t>, barriers</w:t>
      </w:r>
      <w:r w:rsidR="00A11AED">
        <w:rPr>
          <w:rFonts w:ascii="Times New Roman" w:hAnsi="Times New Roman" w:cs="Times New Roman"/>
          <w:i/>
          <w:sz w:val="24"/>
          <w:szCs w:val="24"/>
          <w:lang w:val="en-US"/>
        </w:rPr>
        <w:t>, engagement</w:t>
      </w:r>
    </w:p>
    <w:p w14:paraId="4EEFD5B9" w14:textId="77777777" w:rsidR="002C60D7" w:rsidRDefault="002C60D7" w:rsidP="002C60D7">
      <w:pPr>
        <w:spacing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7086C82" w14:textId="79379BB4" w:rsidR="002C60D7" w:rsidRDefault="002C60D7">
      <w:pPr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14:paraId="60AFEA66" w14:textId="7683E34A" w:rsidR="002E6931" w:rsidRPr="0018370B" w:rsidRDefault="00901F09" w:rsidP="0018370B">
      <w:pPr>
        <w:spacing w:line="48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_Hlk37433769"/>
      <w:bookmarkStart w:id="3" w:name="_Hlk37318807"/>
      <w:r w:rsidRPr="00901F0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Elder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A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buse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etection and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ntervention: Challenges for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rofessionals and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trategies for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ngagement from a Canadian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 xml:space="preserve">pecialist </w:t>
      </w:r>
      <w:r w:rsidR="00A776F1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Pr="00901F09">
        <w:rPr>
          <w:rFonts w:ascii="Times New Roman" w:eastAsia="Calibri" w:hAnsi="Times New Roman" w:cs="Times New Roman"/>
          <w:iCs/>
          <w:sz w:val="24"/>
          <w:szCs w:val="24"/>
        </w:rPr>
        <w:t>ervice</w:t>
      </w:r>
      <w:bookmarkEnd w:id="2"/>
      <w:bookmarkEnd w:id="3"/>
    </w:p>
    <w:p w14:paraId="4E4AE8EF" w14:textId="619510D4" w:rsidR="003B79DD" w:rsidRPr="000E2A30" w:rsidRDefault="001E4DE1" w:rsidP="004C00B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C5436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Elder abuse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, also known as older adult abuse or mistreatment,</w:t>
      </w:r>
      <w:r w:rsidR="00CC5436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5436">
        <w:rPr>
          <w:rFonts w:ascii="Times New Roman" w:eastAsia="Calibri" w:hAnsi="Times New Roman" w:cs="Times New Roman"/>
          <w:sz w:val="24"/>
          <w:szCs w:val="24"/>
          <w:lang w:val="en-US"/>
        </w:rPr>
        <w:t>is of increasing relevance</w:t>
      </w:r>
      <w:r w:rsidR="00CC5436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context of an aging society </w:t>
      </w:r>
      <w:r w:rsidR="00CC5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constitutes </w:t>
      </w:r>
      <w:r w:rsidR="00810F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prevalent</w:t>
      </w:r>
      <w:r w:rsidR="00810F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 of interpersonal violence</w:t>
      </w:r>
      <w:r w:rsidR="00E92124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10F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estimated to affect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more than </w:t>
      </w:r>
      <w:r w:rsidR="002F39C8">
        <w:rPr>
          <w:rFonts w:ascii="Times New Roman" w:eastAsia="Calibri" w:hAnsi="Times New Roman" w:cs="Times New Roman"/>
          <w:sz w:val="24"/>
          <w:szCs w:val="24"/>
          <w:lang w:val="en-US"/>
        </w:rPr>
        <w:t>140</w:t>
      </w:r>
      <w:r w:rsidR="002F39C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million </w:t>
      </w:r>
      <w:r w:rsidR="00CC5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older adults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annually worldwide (</w:t>
      </w:r>
      <w:r w:rsidR="00CC5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United Nations, 2017;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Yon</w:t>
      </w:r>
      <w:r w:rsidR="00AF0F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Mikton, Gassoumis, &amp; Wilber, </w:t>
      </w:r>
      <w:r w:rsidR="000B4378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2017). 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Elder abuse (EA)</w:t>
      </w:r>
      <w:r w:rsidR="00C469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4042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often 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defined as “a single or repeated act or lack of appropriate action, which occurs within a relationship of trust, and which causes harm or distress to an older person” (W</w:t>
      </w:r>
      <w:r w:rsidR="00AA29A1">
        <w:rPr>
          <w:rFonts w:ascii="Times New Roman" w:eastAsia="Calibri" w:hAnsi="Times New Roman" w:cs="Times New Roman"/>
          <w:sz w:val="24"/>
          <w:szCs w:val="24"/>
          <w:lang w:val="en-US"/>
        </w:rPr>
        <w:t>orld Health Organization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2018, para. 2). 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There</w:t>
      </w:r>
      <w:r w:rsidR="00D66F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no universally agree</w:t>
      </w:r>
      <w:r w:rsidR="003746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 </w:t>
      </w:r>
      <w:r w:rsidR="00D66F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definition of 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6C62C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92124" w:rsidRPr="000E2A30">
        <w:rPr>
          <w:rFonts w:ascii="Times New Roman" w:hAnsi="Times New Roman" w:cs="Times New Roman"/>
          <w:sz w:val="24"/>
          <w:lang w:val="en-US"/>
        </w:rPr>
        <w:t>(</w:t>
      </w:r>
      <w:r w:rsidR="00924408">
        <w:rPr>
          <w:rFonts w:ascii="Times New Roman" w:hAnsi="Times New Roman" w:cs="Times New Roman"/>
          <w:sz w:val="24"/>
          <w:lang w:val="en-US"/>
        </w:rPr>
        <w:t>Bows, 2018</w:t>
      </w:r>
      <w:r w:rsidR="00E92124" w:rsidRPr="000E2A30">
        <w:rPr>
          <w:rFonts w:ascii="Times New Roman" w:hAnsi="Times New Roman" w:cs="Times New Roman"/>
          <w:sz w:val="24"/>
          <w:lang w:val="en-US"/>
        </w:rPr>
        <w:t>)</w:t>
      </w:r>
      <w:r w:rsidR="00E92124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4693B" w:rsidRPr="000E2A30" w:rsidDel="00C469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However, there is</w:t>
      </w:r>
      <w:r w:rsidR="00850C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</w:t>
      </w:r>
      <w:r w:rsidR="00C77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agreement </w:t>
      </w:r>
      <w:r w:rsidR="00850C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regarding the </w:t>
      </w:r>
      <w:r w:rsidR="00352A01">
        <w:rPr>
          <w:rFonts w:ascii="Times New Roman" w:eastAsia="Calibri" w:hAnsi="Times New Roman" w:cs="Times New Roman"/>
          <w:sz w:val="24"/>
          <w:szCs w:val="24"/>
          <w:lang w:val="en-US"/>
        </w:rPr>
        <w:t>five</w:t>
      </w:r>
      <w:r w:rsidR="00C77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main</w:t>
      </w:r>
      <w:r w:rsidR="00352A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types of abuse</w:t>
      </w:r>
      <w:r w:rsidR="00352A0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B4378" w:rsidRPr="000E2A30">
        <w:rPr>
          <w:rFonts w:ascii="Times New Roman" w:hAnsi="Times New Roman" w:cs="Times New Roman"/>
          <w:sz w:val="24"/>
          <w:lang w:val="en-US"/>
        </w:rPr>
        <w:t>financial abuse or exploitation; physical abuse; psychological or emotional abuse; neglect; and sexual abuse (Lachs &amp; Pillemer, 2015).</w:t>
      </w:r>
      <w:r w:rsidR="00991620" w:rsidRPr="000E2A30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AD6E6E7" w14:textId="22F674B9" w:rsidR="003B79DD" w:rsidRPr="000E2A30" w:rsidRDefault="003C7EA9" w:rsidP="00D47448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Professional Detection</w:t>
      </w:r>
      <w:r w:rsidR="00C922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Intervention</w:t>
      </w:r>
    </w:p>
    <w:p w14:paraId="14031C2D" w14:textId="01AD5709" w:rsidR="002E6931" w:rsidRDefault="001E4DE1" w:rsidP="00D47448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Despite the importance of </w:t>
      </w:r>
      <w:r w:rsidR="0038229F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2500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prevention, </w:t>
      </w:r>
      <w:r w:rsidR="008E5045">
        <w:rPr>
          <w:rFonts w:ascii="Times New Roman" w:eastAsia="Calibri" w:hAnsi="Times New Roman" w:cs="Times New Roman"/>
          <w:sz w:val="24"/>
          <w:szCs w:val="24"/>
          <w:lang w:val="en-US"/>
        </w:rPr>
        <w:t>initiatives worldwide have generally focused on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professional detection of existing abuse, as well as</w:t>
      </w:r>
      <w:r w:rsidR="008E50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intervention (Rosen et al., 2019).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924408">
        <w:rPr>
          <w:rFonts w:ascii="Times New Roman" w:eastAsia="Calibri" w:hAnsi="Times New Roman" w:cs="Times New Roman"/>
          <w:sz w:val="24"/>
          <w:szCs w:val="24"/>
          <w:lang w:val="en-US"/>
        </w:rPr>
        <w:t>, including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forensic nurses</w:t>
      </w:r>
      <w:r w:rsidR="0092440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0995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encounter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EA cases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may be legally required to report suspected or identified cases (</w:t>
      </w:r>
      <w:r w:rsidR="009B4107">
        <w:rPr>
          <w:rFonts w:ascii="Times New Roman" w:eastAsia="Calibri" w:hAnsi="Times New Roman" w:cs="Times New Roman"/>
          <w:sz w:val="24"/>
          <w:szCs w:val="24"/>
          <w:lang w:val="en-US"/>
        </w:rPr>
        <w:t>Lachs &amp; Pillemer, 2015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actions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take when they </w:t>
      </w:r>
      <w:r w:rsidR="00784A3D">
        <w:rPr>
          <w:rFonts w:ascii="Times New Roman" w:eastAsia="Calibri" w:hAnsi="Times New Roman" w:cs="Times New Roman"/>
          <w:sz w:val="24"/>
          <w:szCs w:val="24"/>
          <w:lang w:val="en-US"/>
        </w:rPr>
        <w:t>identify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vary depending on the laws and regulations of the country and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jurisdiction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where they work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(Donnelly, 2019)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Encounters with EA victims can 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occur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in both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hospital settings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in the community. In hospital settings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, victims could be admitted due to existing physical or mental health problems, but also as a result of the abuse (e.g., injuries, malnutrition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Yunus, Hairi, &amp; Choo, 2017).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n community settings, victims may be receiving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health care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services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>on a regular basis</w:t>
      </w:r>
      <w:r w:rsidR="002E693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Given that some EA victims are isolated, </w:t>
      </w:r>
      <w:r w:rsidR="009244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accessing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health services in the community may be their 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only chance to disclose abuse concerns, thus stressing the importance of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detectors of abuse and disclosure recipients in these settings (Lachs &amp; Pillemer, 2015). The interaction between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victims may differ depending on the setting, potentially creating specific challenges for detection</w:t>
      </w:r>
      <w:r w:rsidR="006E6E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barriers to engagement</w:t>
      </w:r>
      <w:r w:rsidR="00784A3D" w:rsidRPr="00491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which will be </w:t>
      </w:r>
      <w:r w:rsidR="00623BE7">
        <w:rPr>
          <w:rFonts w:ascii="Times New Roman" w:eastAsia="Calibri" w:hAnsi="Times New Roman" w:cs="Times New Roman"/>
          <w:sz w:val="24"/>
          <w:szCs w:val="24"/>
          <w:lang w:val="en-US"/>
        </w:rPr>
        <w:t>addressed within</w:t>
      </w:r>
      <w:r w:rsidR="00784A3D" w:rsidRPr="00491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manuscript</w:t>
      </w:r>
      <w:r w:rsidR="002E6931" w:rsidRPr="004914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E69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F0EBC8F" w14:textId="3F046E98" w:rsidR="003B79DD" w:rsidRPr="000E2A30" w:rsidRDefault="002E6931" w:rsidP="000E2A30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D12E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ntervention efforts vary widely by country</w:t>
      </w:r>
      <w:r w:rsidR="006059CE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many countries lack </w:t>
      </w:r>
      <w:r w:rsidR="005D12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dedicated </w:t>
      </w:r>
      <w:r w:rsidR="00C4693B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5D12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59CE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services (Butchard &amp; Mikton, 2014)</w:t>
      </w:r>
      <w:r w:rsidR="003B79DD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 </w:t>
      </w:r>
      <w:r w:rsidR="003C7E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perpetrators </w:t>
      </w:r>
      <w:r w:rsidR="005D12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38229F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5D12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receive services </w:t>
      </w:r>
      <w:r w:rsidR="00FD3DFA">
        <w:rPr>
          <w:rFonts w:ascii="Times New Roman" w:eastAsia="Calibri" w:hAnsi="Times New Roman" w:cs="Times New Roman"/>
          <w:sz w:val="24"/>
          <w:szCs w:val="24"/>
          <w:lang w:val="en-US"/>
        </w:rPr>
        <w:t>from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adult protection/safeguarding</w:t>
      </w:r>
      <w:r w:rsidR="00FD3D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organi</w:t>
      </w:r>
      <w:r w:rsidR="00CA1F9E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="00FD3DFA">
        <w:rPr>
          <w:rFonts w:ascii="Times New Roman" w:eastAsia="Calibri" w:hAnsi="Times New Roman" w:cs="Times New Roman"/>
          <w:sz w:val="24"/>
          <w:szCs w:val="24"/>
          <w:lang w:val="en-US"/>
        </w:rPr>
        <w:t>ations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(Crome et al., 2014).</w:t>
      </w:r>
      <w:r w:rsidR="000D75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8229F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 may also be addressed within the </w:t>
      </w:r>
      <w:r w:rsidR="00F2487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riminal </w:t>
      </w:r>
      <w:r w:rsidR="00F2487F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ustice </w:t>
      </w:r>
      <w:r w:rsidR="00F2487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F719B">
        <w:rPr>
          <w:rFonts w:ascii="Times New Roman" w:eastAsia="Calibri" w:hAnsi="Times New Roman" w:cs="Times New Roman"/>
          <w:sz w:val="24"/>
          <w:szCs w:val="24"/>
          <w:lang w:val="en-US"/>
        </w:rPr>
        <w:t>ystem, but</w:t>
      </w:r>
      <w:r w:rsidR="002500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</w:t>
      </w:r>
      <w:r w:rsidR="00CA1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less frequent due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3B28D3">
        <w:rPr>
          <w:rFonts w:ascii="Times New Roman" w:eastAsia="Calibri" w:hAnsi="Times New Roman" w:cs="Times New Roman"/>
          <w:sz w:val="24"/>
          <w:szCs w:val="24"/>
          <w:lang w:val="en-US"/>
        </w:rPr>
        <w:t>under-reporting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CA1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victims’ </w:t>
      </w:r>
      <w:r w:rsidR="008B71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low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receptivity to criminal justice involvement</w:t>
      </w:r>
      <w:r w:rsidR="00CA1F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Jackson &amp; Hafemeister, 2013)</w:t>
      </w:r>
      <w:r w:rsidR="00250056">
        <w:rPr>
          <w:rFonts w:ascii="Times New Roman" w:eastAsia="Calibri" w:hAnsi="Times New Roman" w:cs="Times New Roman"/>
          <w:sz w:val="24"/>
          <w:szCs w:val="24"/>
          <w:lang w:val="en-US"/>
        </w:rPr>
        <w:t>. Despite cross-country differences, i</w:t>
      </w:r>
      <w:r w:rsidR="000E2A30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ntervention has generally focused on victim</w:t>
      </w:r>
      <w:r w:rsidR="00B53CE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E2A30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0E2A30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ost services targeting perpetrators are tailored </w:t>
      </w:r>
      <w:r w:rsidR="003B2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</w:t>
      </w:r>
      <w:r w:rsidR="000E2A30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141BD1">
        <w:rPr>
          <w:rFonts w:ascii="Times New Roman" w:eastAsia="Calibri" w:hAnsi="Times New Roman" w:cs="Times New Roman"/>
          <w:sz w:val="24"/>
          <w:szCs w:val="24"/>
          <w:lang w:val="en-US"/>
        </w:rPr>
        <w:t>caregivers</w:t>
      </w:r>
      <w:r w:rsidR="006414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which </w:t>
      </w:r>
      <w:r w:rsidR="00B53CEA">
        <w:rPr>
          <w:rFonts w:ascii="Times New Roman" w:eastAsia="Calibri" w:hAnsi="Times New Roman" w:cs="Times New Roman"/>
          <w:sz w:val="24"/>
          <w:szCs w:val="24"/>
          <w:lang w:val="en-US"/>
        </w:rPr>
        <w:t>ignores</w:t>
      </w:r>
      <w:r w:rsidR="00526B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large proportion of perpetrators</w:t>
      </w:r>
      <w:r w:rsidR="00CD12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641412" w:rsidRPr="00C45F82">
        <w:rPr>
          <w:rFonts w:ascii="Times New Roman" w:hAnsi="Times New Roman" w:cs="Times New Roman"/>
          <w:sz w:val="24"/>
        </w:rPr>
        <w:t>Labrum &amp; Solomon, 201</w:t>
      </w:r>
      <w:r w:rsidR="00641412">
        <w:rPr>
          <w:rFonts w:ascii="Times New Roman" w:hAnsi="Times New Roman" w:cs="Times New Roman"/>
          <w:sz w:val="24"/>
        </w:rPr>
        <w:t xml:space="preserve">8; </w:t>
      </w:r>
      <w:r w:rsidR="00CD12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Rosen et al., 2019). </w:t>
      </w:r>
      <w:r w:rsidR="003C7EA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4A37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FE23461" w14:textId="4E045069" w:rsidR="00752723" w:rsidRDefault="00784042" w:rsidP="00752723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2A3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Victim Disclosure and Help-Seeking Behaviors</w:t>
      </w:r>
    </w:p>
    <w:p w14:paraId="6C83A3AE" w14:textId="420FEDC1" w:rsidR="00D7012B" w:rsidRDefault="00701635" w:rsidP="00D7012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46DDF">
        <w:rPr>
          <w:rFonts w:ascii="Times New Roman" w:eastAsia="Calibri" w:hAnsi="Times New Roman" w:cs="Times New Roman"/>
          <w:sz w:val="24"/>
          <w:szCs w:val="24"/>
          <w:lang w:val="en-US"/>
        </w:rPr>
        <w:t>To date</w:t>
      </w:r>
      <w:r w:rsidR="003D4B5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4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957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research 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literature has</w:t>
      </w:r>
      <w:r w:rsidR="00F35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focused on </w:t>
      </w:r>
      <w:r w:rsidR="00491471">
        <w:rPr>
          <w:rFonts w:ascii="Times New Roman" w:eastAsia="Calibri" w:hAnsi="Times New Roman" w:cs="Times New Roman"/>
          <w:sz w:val="24"/>
          <w:szCs w:val="24"/>
          <w:lang w:val="en-US"/>
        </w:rPr>
        <w:t>EA detection</w:t>
      </w:r>
      <w:r w:rsidR="00F46D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F46DD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While </w:t>
      </w:r>
      <w:r w:rsidR="00E234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essential to have 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knowledge about </w:t>
      </w:r>
      <w:r w:rsidR="00E234DC">
        <w:rPr>
          <w:rFonts w:ascii="Times New Roman" w:eastAsia="Calibri" w:hAnsi="Times New Roman" w:cs="Times New Roman"/>
          <w:sz w:val="24"/>
          <w:szCs w:val="24"/>
          <w:lang w:val="en-US"/>
        </w:rPr>
        <w:t>possible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6285">
        <w:rPr>
          <w:rFonts w:ascii="Times New Roman" w:eastAsia="Calibri" w:hAnsi="Times New Roman" w:cs="Times New Roman"/>
          <w:sz w:val="24"/>
          <w:szCs w:val="24"/>
          <w:lang w:val="en-US"/>
        </w:rPr>
        <w:t>indicators of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234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 to enhance 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>detection</w:t>
      </w:r>
      <w:r w:rsidR="00E234D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</w:t>
      </w:r>
      <w:r w:rsidR="00AB5133">
        <w:rPr>
          <w:rFonts w:ascii="Times New Roman" w:eastAsia="Calibri" w:hAnsi="Times New Roman" w:cs="Times New Roman"/>
          <w:sz w:val="24"/>
          <w:szCs w:val="24"/>
          <w:lang w:val="en-US"/>
        </w:rPr>
        <w:t>elatively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little has been written about how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CE11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 facilitate disclosure if they suspect abuse, or how 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to engage victims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1A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intervention efforts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(Fraga Domingue</w:t>
      </w:r>
      <w:r w:rsidR="00852BBC">
        <w:rPr>
          <w:rFonts w:ascii="Times New Roman" w:eastAsia="Calibri" w:hAnsi="Times New Roman" w:cs="Times New Roman"/>
          <w:sz w:val="24"/>
          <w:szCs w:val="24"/>
          <w:lang w:val="en-US"/>
        </w:rPr>
        <w:t>z, Storey, &amp; Glorney</w:t>
      </w:r>
      <w:r w:rsidR="0021257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, 2019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="00491471">
        <w:rPr>
          <w:rFonts w:ascii="Times New Roman" w:eastAsia="Calibri" w:hAnsi="Times New Roman" w:cs="Times New Roman"/>
          <w:sz w:val="24"/>
          <w:szCs w:val="24"/>
          <w:lang w:val="en-US"/>
        </w:rPr>
        <w:t>However,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victims’ rejection of intervention</w:t>
      </w:r>
      <w:r w:rsidR="00797FC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32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a </w:t>
      </w:r>
      <w:r w:rsidR="00614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critical 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>challenge in this field</w:t>
      </w:r>
      <w:r w:rsidR="00491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7A39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F1A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has shown that </w:t>
      </w:r>
      <w:r w:rsidR="00A9623B">
        <w:rPr>
          <w:rFonts w:ascii="Times New Roman" w:eastAsia="Calibri" w:hAnsi="Times New Roman" w:cs="Times New Roman"/>
          <w:sz w:val="24"/>
          <w:szCs w:val="24"/>
          <w:lang w:val="en-US"/>
        </w:rPr>
        <w:t>supportive formal networks</w:t>
      </w:r>
      <w:r w:rsidR="00FC628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4F1A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including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FC628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962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facilitate victim disclosure</w:t>
      </w:r>
      <w:r w:rsidR="003D4B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engagement</w:t>
      </w:r>
      <w:r w:rsidR="00A962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6140A8">
        <w:rPr>
          <w:rFonts w:ascii="Times New Roman" w:hAnsi="Times New Roman" w:cs="Times New Roman"/>
          <w:sz w:val="24"/>
        </w:rPr>
        <w:t>Burnes, Lachs, Burnette, &amp; Pillemer, 2017</w:t>
      </w:r>
      <w:r w:rsidR="006140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6D5999">
        <w:rPr>
          <w:rFonts w:ascii="Times New Roman" w:eastAsia="Calibri" w:hAnsi="Times New Roman" w:cs="Times New Roman"/>
          <w:sz w:val="24"/>
          <w:szCs w:val="24"/>
          <w:lang w:val="en-US"/>
        </w:rPr>
        <w:t>Jackson &amp; Hafemeister, 2015</w:t>
      </w:r>
      <w:r w:rsidR="00A962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14:paraId="03EA2C79" w14:textId="589591DC" w:rsidR="0008174F" w:rsidRPr="00D7012B" w:rsidRDefault="007E57D8" w:rsidP="00AD5A07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care </w:t>
      </w:r>
      <w:r w:rsidR="00E30D69">
        <w:rPr>
          <w:rFonts w:ascii="Times New Roman" w:eastAsia="Calibri" w:hAnsi="Times New Roman" w:cs="Times New Roman"/>
          <w:sz w:val="24"/>
          <w:szCs w:val="24"/>
          <w:lang w:val="en-US"/>
        </w:rPr>
        <w:t>providers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</w:t>
      </w:r>
      <w:r w:rsidR="00A01E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interact with older adults </w:t>
      </w:r>
      <w:r w:rsidR="004A6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where they suspect EA but </w:t>
      </w:r>
      <w:r w:rsidR="00A031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</w:t>
      </w:r>
      <w:r w:rsidR="004A69C2">
        <w:rPr>
          <w:rFonts w:ascii="Times New Roman" w:eastAsia="Calibri" w:hAnsi="Times New Roman" w:cs="Times New Roman"/>
          <w:sz w:val="24"/>
          <w:szCs w:val="24"/>
          <w:lang w:val="en-US"/>
        </w:rPr>
        <w:t>require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disclosure</w:t>
      </w:r>
      <w:r w:rsidR="002568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consent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50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order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A031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provide comprehensive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interven</w:t>
      </w:r>
      <w:r w:rsidR="00A031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tion to address </w:t>
      </w:r>
      <w:r w:rsidR="00A0318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consequences of abuse</w:t>
      </w:r>
      <w:r w:rsidR="00A01E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When a disclosure does occur, providers 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in a privileged position to secure engagement 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positively impact victims’ attitudes towards help.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fact, listening to the victim’s disclosure 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also 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help other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understand the victim’s wishes and guide further intervention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alking about what happened may have a positive impact on </w:t>
      </w:r>
      <w:r w:rsidR="002568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>victim’s wellbeing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(Storey &amp; Perka, 2018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>; Truong</w:t>
      </w:r>
      <w:r w:rsidR="005D59F8">
        <w:rPr>
          <w:rFonts w:ascii="Times New Roman" w:eastAsia="Calibri" w:hAnsi="Times New Roman" w:cs="Times New Roman"/>
          <w:sz w:val="24"/>
          <w:szCs w:val="24"/>
          <w:lang w:val="en-US"/>
        </w:rPr>
        <w:t>, Burnes, Al</w:t>
      </w:r>
      <w:r w:rsidR="00976DE3">
        <w:rPr>
          <w:rFonts w:ascii="Times New Roman" w:eastAsia="Calibri" w:hAnsi="Times New Roman" w:cs="Times New Roman"/>
          <w:sz w:val="24"/>
          <w:szCs w:val="24"/>
          <w:lang w:val="en-US"/>
        </w:rPr>
        <w:t>ag</w:t>
      </w:r>
      <w:r w:rsidR="005D59F8">
        <w:rPr>
          <w:rFonts w:ascii="Times New Roman" w:eastAsia="Calibri" w:hAnsi="Times New Roman" w:cs="Times New Roman"/>
          <w:sz w:val="24"/>
          <w:szCs w:val="24"/>
          <w:lang w:val="en-US"/>
        </w:rPr>
        <w:t>gia, Elman, &amp; Rosen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>, 2019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871F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A469E5">
        <w:rPr>
          <w:rFonts w:ascii="Times New Roman" w:eastAsia="Calibri" w:hAnsi="Times New Roman" w:cs="Times New Roman"/>
          <w:sz w:val="24"/>
          <w:szCs w:val="24"/>
          <w:lang w:val="en-US"/>
        </w:rPr>
        <w:t>The role of</w:t>
      </w:r>
      <w:r w:rsidR="00DF01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E436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A4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remains essential even after abuse </w:t>
      </w:r>
      <w:r w:rsidR="00CE11BA">
        <w:rPr>
          <w:rFonts w:ascii="Times New Roman" w:eastAsia="Calibri" w:hAnsi="Times New Roman" w:cs="Times New Roman"/>
          <w:sz w:val="24"/>
          <w:szCs w:val="24"/>
          <w:lang w:val="en-US"/>
        </w:rPr>
        <w:t>has</w:t>
      </w:r>
      <w:r w:rsidR="00A4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been reported </w:t>
      </w:r>
      <w:r w:rsidR="004F1A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victims or others </w:t>
      </w:r>
      <w:r w:rsidR="00A4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intervention </w:t>
      </w:r>
      <w:r w:rsidR="00CE11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 </w:t>
      </w:r>
      <w:r w:rsidR="00DF01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taken </w:t>
      </w:r>
      <w:r w:rsidR="00A469E5">
        <w:rPr>
          <w:rFonts w:ascii="Times New Roman" w:eastAsia="Calibri" w:hAnsi="Times New Roman" w:cs="Times New Roman"/>
          <w:sz w:val="24"/>
          <w:szCs w:val="24"/>
          <w:lang w:val="en-US"/>
        </w:rPr>
        <w:t>place.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example, forensic nurses may </w:t>
      </w:r>
      <w:r w:rsidR="00544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support engagement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with a victim wh</w:t>
      </w:r>
      <w:r w:rsidR="005444FC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feel</w:t>
      </w:r>
      <w:r w:rsidR="005444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ambivalent about 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continuing to accept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help (</w:t>
      </w:r>
      <w:r w:rsidR="001D5407" w:rsidRPr="00C05891">
        <w:rPr>
          <w:rFonts w:ascii="Times New Roman" w:hAnsi="Times New Roman" w:cs="Times New Roman"/>
          <w:sz w:val="24"/>
          <w:szCs w:val="24"/>
          <w:lang w:val="en-US"/>
        </w:rPr>
        <w:t>Vrantsidis, Dow, Jooste</w:t>
      </w:r>
      <w:r w:rsidR="001D54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D5407" w:rsidRPr="00C05891">
        <w:rPr>
          <w:rFonts w:ascii="Times New Roman" w:hAnsi="Times New Roman" w:cs="Times New Roman"/>
          <w:sz w:val="24"/>
          <w:szCs w:val="24"/>
          <w:lang w:val="en-US"/>
        </w:rPr>
        <w:t>, Walmsley, &amp; Blakey, 2016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14:paraId="04628A0A" w14:textId="7A96461A" w:rsidR="0008174F" w:rsidRPr="000E2A30" w:rsidRDefault="00A9623B" w:rsidP="009871F1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bookmarkStart w:id="4" w:name="_Hlk41319324"/>
      <w:r w:rsidR="00AD5A07" w:rsidRPr="000160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 of </w:t>
      </w:r>
      <w:r w:rsidR="00477ED9" w:rsidRPr="00016048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AD5A07" w:rsidRPr="000160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a diverse group</w:t>
      </w:r>
      <w:bookmarkEnd w:id="4"/>
      <w:r w:rsidR="00D72E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bookmarkStart w:id="5" w:name="_Hlk43109042"/>
      <w:r w:rsidR="00D72ED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ental </w:t>
      </w:r>
      <w:r w:rsidR="00D72EDE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physical health, as well as factors related to the abuse or perpetrator</w:t>
      </w:r>
      <w:r w:rsidR="00B133F0">
        <w:rPr>
          <w:rFonts w:ascii="Times New Roman" w:eastAsia="Calibri" w:hAnsi="Times New Roman" w:cs="Times New Roman"/>
          <w:sz w:val="24"/>
          <w:szCs w:val="24"/>
          <w:lang w:val="en-US"/>
        </w:rPr>
        <w:t>, such as culture, social support, and formal support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impact </w:t>
      </w:r>
      <w:r w:rsidR="00305B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victims’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ability</w:t>
      </w:r>
      <w:r w:rsidR="00D72E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willingness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disclose</w:t>
      </w:r>
      <w:r w:rsidR="00B254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5B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abuse </w:t>
      </w:r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(Fraga Dominguez et al., 2019</w:t>
      </w:r>
      <w:bookmarkEnd w:id="5"/>
      <w:r w:rsidR="00AD5A0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72E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all of which impact the necessary health care response. </w:t>
      </w:r>
      <w:r w:rsidR="008B71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Considering </w:t>
      </w:r>
      <w:r w:rsidR="00B133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of </w:t>
      </w:r>
      <w:r w:rsidR="008B71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these factors, </w:t>
      </w:r>
      <w:r w:rsidR="006324BC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491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victims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be classified into </w:t>
      </w:r>
      <w:r w:rsidR="00553BF9"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553BF9">
        <w:rPr>
          <w:rFonts w:ascii="Times New Roman" w:eastAsia="Calibri" w:hAnsi="Times New Roman" w:cs="Times New Roman"/>
          <w:sz w:val="24"/>
          <w:szCs w:val="24"/>
          <w:lang w:val="en-US"/>
        </w:rPr>
        <w:t>four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presentation types</w:t>
      </w:r>
      <w:r w:rsidR="005E4C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 with mental capacity who </w:t>
      </w:r>
      <w:r w:rsidR="00795168" w:rsidRPr="00901F0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do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="00795168" w:rsidRPr="00901F0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do not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disclose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abuse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 victims without mental capacity who </w:t>
      </w:r>
      <w:r w:rsidR="00795168" w:rsidRPr="00901F0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do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="00795168" w:rsidRPr="00901F0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do not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disclose abuse</w:t>
      </w:r>
      <w:r w:rsidR="0070163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951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Th</w:t>
      </w:r>
      <w:r w:rsidR="00D81B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specific 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presentation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depend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whether the victim 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capacity to 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>understand and appreciate decisions related to their health</w:t>
      </w:r>
      <w:r w:rsidR="00952E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personal care or finances 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whether they </w:t>
      </w:r>
      <w:r w:rsidR="00B254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 </w:t>
      </w:r>
      <w:r w:rsidR="00726A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want to </w:t>
      </w:r>
      <w:r w:rsidR="00835FE8">
        <w:rPr>
          <w:rFonts w:ascii="Times New Roman" w:eastAsia="Calibri" w:hAnsi="Times New Roman" w:cs="Times New Roman"/>
          <w:sz w:val="24"/>
          <w:szCs w:val="24"/>
          <w:lang w:val="en-US"/>
        </w:rPr>
        <w:t>make a disclosure of abuse.</w:t>
      </w:r>
      <w:r w:rsidR="0008174F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6" w:name="_Hlk43114240"/>
      <w:bookmarkStart w:id="7" w:name="_Hlk43114293"/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>aim of this paper is to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discuss existing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>research findings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relevant to each of the </w:t>
      </w:r>
      <w:r w:rsidR="00305B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four 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>presentation</w:t>
      </w:r>
      <w:r w:rsidR="00305B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types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identify 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B52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unique challenges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they present and how forensic nurses and other </w:t>
      </w:r>
      <w:r w:rsidR="00FB7027">
        <w:rPr>
          <w:rFonts w:ascii="Times New Roman" w:eastAsia="Calibri" w:hAnsi="Times New Roman" w:cs="Times New Roman"/>
          <w:sz w:val="24"/>
          <w:szCs w:val="24"/>
          <w:lang w:val="en-US"/>
        </w:rPr>
        <w:t>providers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1140F">
        <w:rPr>
          <w:rFonts w:ascii="Times New Roman" w:eastAsia="Calibri" w:hAnsi="Times New Roman" w:cs="Times New Roman"/>
          <w:sz w:val="24"/>
          <w:szCs w:val="24"/>
          <w:lang w:val="en-US"/>
        </w:rPr>
        <w:t>should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respond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these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>different s</w:t>
      </w:r>
      <w:r w:rsidR="00305BA5">
        <w:rPr>
          <w:rFonts w:ascii="Times New Roman" w:eastAsia="Calibri" w:hAnsi="Times New Roman" w:cs="Times New Roman"/>
          <w:sz w:val="24"/>
          <w:szCs w:val="24"/>
          <w:lang w:val="en-US"/>
        </w:rPr>
        <w:t>ituations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End w:id="6"/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8" w:name="_Hlk41059681"/>
      <w:bookmarkEnd w:id="7"/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>Following this</w:t>
      </w:r>
      <w:r w:rsidR="0091140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 of the four presentation </w:t>
      </w:r>
      <w:r w:rsidR="003972CA">
        <w:rPr>
          <w:rFonts w:ascii="Times New Roman" w:eastAsia="Calibri" w:hAnsi="Times New Roman" w:cs="Times New Roman"/>
          <w:sz w:val="24"/>
          <w:szCs w:val="24"/>
          <w:lang w:val="en-US"/>
        </w:rPr>
        <w:t>types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be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demonstrated in two </w:t>
      </w:r>
      <w:r w:rsidR="002F38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 studies. </w:t>
      </w:r>
    </w:p>
    <w:bookmarkEnd w:id="8"/>
    <w:p w14:paraId="1ADF540F" w14:textId="5F16AD9B" w:rsidR="00A9623B" w:rsidRPr="000E2A30" w:rsidRDefault="00795168" w:rsidP="00A9623B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Victims with mental capacity</w:t>
      </w:r>
      <w:r w:rsidR="00C77E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AD5A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who </w:t>
      </w:r>
      <w:r w:rsidR="0008174F" w:rsidRPr="00A962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disclos</w:t>
      </w:r>
      <w:r w:rsidR="00AD5A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="00A962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="002901D9">
        <w:rPr>
          <w:rFonts w:ascii="Times New Roman" w:eastAsia="Calibri" w:hAnsi="Times New Roman" w:cs="Times New Roman"/>
          <w:sz w:val="24"/>
          <w:szCs w:val="24"/>
          <w:lang w:val="en-US"/>
        </w:rPr>
        <w:t>In addition to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being aware of mandatory reporting laws applicable to each professional</w:t>
      </w:r>
      <w:r w:rsidR="00C640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jurisdiction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there are other considerations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>when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victim makes a disclosure (</w:t>
      </w:r>
      <w:r w:rsidR="000E0B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Donnelly, 2019; </w:t>
      </w:r>
      <w:r w:rsidR="009B4107">
        <w:rPr>
          <w:rFonts w:ascii="Times New Roman" w:eastAsia="Calibri" w:hAnsi="Times New Roman" w:cs="Times New Roman"/>
          <w:sz w:val="24"/>
          <w:szCs w:val="24"/>
          <w:lang w:val="en-US"/>
        </w:rPr>
        <w:t>Lachs &amp; Pillemer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>, 201</w:t>
      </w:r>
      <w:r w:rsidR="009B410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bookmarkStart w:id="9" w:name="_Hlk43114490"/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important 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that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disclosures are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responded </w:t>
      </w:r>
      <w:r w:rsidR="003666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supportively. </w:t>
      </w:r>
      <w:bookmarkEnd w:id="9"/>
      <w:r w:rsidR="00477ED9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victims, </w:t>
      </w:r>
      <w:r w:rsidR="008325B7">
        <w:rPr>
          <w:rFonts w:ascii="Times New Roman" w:eastAsia="Calibri" w:hAnsi="Times New Roman" w:cs="Times New Roman"/>
          <w:sz w:val="24"/>
          <w:szCs w:val="24"/>
          <w:lang w:val="en-US"/>
        </w:rPr>
        <w:t>like all victims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are likely </w:t>
      </w:r>
      <w:r w:rsidR="003775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be 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sensitive to the reactions of others</w:t>
      </w:r>
      <w:r w:rsidR="0097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775DE">
        <w:rPr>
          <w:rFonts w:ascii="Times New Roman" w:eastAsia="Calibri" w:hAnsi="Times New Roman" w:cs="Times New Roman"/>
          <w:sz w:val="24"/>
          <w:szCs w:val="24"/>
          <w:lang w:val="en-US"/>
        </w:rPr>
        <w:t>Sylaska &amp; Edwards, 2014</w:t>
      </w:r>
      <w:r w:rsidR="0097696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10" w:name="_Hlk43114551"/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Certain </w:t>
      </w:r>
      <w:r w:rsidR="009871F1">
        <w:rPr>
          <w:rFonts w:ascii="Times New Roman" w:eastAsia="Calibri" w:hAnsi="Times New Roman" w:cs="Times New Roman"/>
          <w:sz w:val="24"/>
          <w:szCs w:val="24"/>
          <w:lang w:val="en-US"/>
        </w:rPr>
        <w:t>reactions</w:t>
      </w:r>
      <w:r w:rsidR="00710F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>(e.g.,</w:t>
      </w:r>
      <w:r w:rsidR="00A106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believing the victim</w:t>
      </w:r>
      <w:r w:rsidR="00AE28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="00F512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negatively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0FC5">
        <w:rPr>
          <w:rFonts w:ascii="Times New Roman" w:eastAsia="Calibri" w:hAnsi="Times New Roman" w:cs="Times New Roman"/>
          <w:sz w:val="24"/>
          <w:szCs w:val="24"/>
          <w:lang w:val="en-US"/>
        </w:rPr>
        <w:t>impact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0FC5"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help-seeking behavior</w:t>
      </w:r>
      <w:r w:rsidR="00CD6D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making the victim feel hopeless</w:t>
      </w:r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EB5757" w:rsidRPr="00B048C3">
        <w:rPr>
          <w:rFonts w:ascii="Times New Roman" w:eastAsia="Calibri" w:hAnsi="Times New Roman" w:cs="Times New Roman"/>
          <w:sz w:val="24"/>
          <w:szCs w:val="24"/>
          <w:lang w:val="en-US"/>
        </w:rPr>
        <w:t>Truong et al., 2019</w:t>
      </w:r>
      <w:r w:rsidR="00A9623B" w:rsidRPr="00B048C3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bookmarkEnd w:id="10"/>
      <w:r w:rsidR="00A9623B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D6F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complete </w:t>
      </w:r>
      <w:r w:rsidR="00071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disclosure of </w:t>
      </w:r>
      <w:r w:rsidR="006D6F85">
        <w:rPr>
          <w:rFonts w:ascii="Times New Roman" w:eastAsia="Calibri" w:hAnsi="Times New Roman" w:cs="Times New Roman"/>
          <w:sz w:val="24"/>
          <w:szCs w:val="24"/>
          <w:lang w:val="en-US"/>
        </w:rPr>
        <w:t>abuse</w:t>
      </w:r>
      <w:r w:rsidR="00071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also </w:t>
      </w:r>
      <w:r w:rsidR="00456EBD">
        <w:rPr>
          <w:rFonts w:ascii="Times New Roman" w:eastAsia="Calibri" w:hAnsi="Times New Roman" w:cs="Times New Roman"/>
          <w:sz w:val="24"/>
          <w:szCs w:val="24"/>
          <w:lang w:val="en-US"/>
        </w:rPr>
        <w:t>occur</w:t>
      </w:r>
      <w:r w:rsidR="00071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over several conversations</w:t>
      </w:r>
      <w:r w:rsidR="00071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6D6F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nature of a </w:t>
      </w:r>
      <w:r w:rsidR="007136D6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3972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36D6">
        <w:rPr>
          <w:rFonts w:ascii="Times New Roman" w:eastAsia="Calibri" w:hAnsi="Times New Roman" w:cs="Times New Roman"/>
          <w:sz w:val="24"/>
          <w:szCs w:val="24"/>
          <w:lang w:val="en-US"/>
        </w:rPr>
        <w:t>care provider’s</w:t>
      </w:r>
      <w:r w:rsidR="006D6F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reaction could impact whether </w:t>
      </w:r>
      <w:r w:rsidR="003D69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 </w:t>
      </w:r>
      <w:r w:rsidR="003A0BBD">
        <w:rPr>
          <w:rFonts w:ascii="Times New Roman" w:eastAsia="Calibri" w:hAnsi="Times New Roman" w:cs="Times New Roman"/>
          <w:sz w:val="24"/>
          <w:szCs w:val="24"/>
          <w:lang w:val="en-US"/>
        </w:rPr>
        <w:t>choose to</w:t>
      </w:r>
      <w:r w:rsidR="003D69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fully report their experience </w:t>
      </w:r>
      <w:r w:rsidR="00071522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(Truong et al., 2019</w:t>
      </w:r>
      <w:r w:rsidR="00A106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bookmarkStart w:id="11" w:name="_Hlk43114631"/>
      <w:r w:rsidR="00A75F4C">
        <w:rPr>
          <w:rFonts w:ascii="Times New Roman" w:eastAsia="Calibri" w:hAnsi="Times New Roman" w:cs="Times New Roman"/>
          <w:sz w:val="24"/>
          <w:szCs w:val="24"/>
          <w:lang w:val="en-US"/>
        </w:rPr>
        <w:t>Following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disclosure</w:t>
      </w:r>
      <w:bookmarkEnd w:id="11"/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there is still a need to </w:t>
      </w:r>
      <w:r w:rsidR="00BF32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encourage </w:t>
      </w:r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>engagement</w:t>
      </w:r>
      <w:r w:rsidR="008E6A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facilitate intervention and ensure victim</w:t>
      </w:r>
      <w:r w:rsidR="00935E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E6AF6">
        <w:rPr>
          <w:rFonts w:ascii="Times New Roman" w:eastAsia="Calibri" w:hAnsi="Times New Roman" w:cs="Times New Roman"/>
          <w:sz w:val="24"/>
          <w:szCs w:val="24"/>
          <w:lang w:val="en-US"/>
        </w:rPr>
        <w:t>safety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12" w:name="_Hlk43114699"/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can be </w:t>
      </w:r>
      <w:r w:rsidR="00A75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accomplished </w:t>
      </w:r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respecting victims’ wishes </w:t>
      </w:r>
      <w:r w:rsidR="000715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autonomy </w:t>
      </w:r>
      <w:r w:rsidR="00A75F4C">
        <w:rPr>
          <w:rFonts w:ascii="Times New Roman" w:eastAsia="Calibri" w:hAnsi="Times New Roman" w:cs="Times New Roman"/>
          <w:sz w:val="24"/>
          <w:szCs w:val="24"/>
          <w:lang w:val="en-US"/>
        </w:rPr>
        <w:t>when planning and implementing interventions</w:t>
      </w:r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071522">
        <w:rPr>
          <w:rFonts w:ascii="Times New Roman" w:hAnsi="Times New Roman" w:cs="Times New Roman"/>
          <w:sz w:val="24"/>
        </w:rPr>
        <w:t>M</w:t>
      </w:r>
      <w:r w:rsidR="00456EBD">
        <w:rPr>
          <w:rFonts w:ascii="Times New Roman" w:hAnsi="Times New Roman" w:cs="Times New Roman"/>
          <w:sz w:val="24"/>
        </w:rPr>
        <w:t>a</w:t>
      </w:r>
      <w:r w:rsidR="00071522">
        <w:rPr>
          <w:rFonts w:ascii="Times New Roman" w:hAnsi="Times New Roman" w:cs="Times New Roman"/>
          <w:sz w:val="24"/>
        </w:rPr>
        <w:t>cKay, 2017</w:t>
      </w:r>
      <w:r w:rsidR="00BB10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bookmarkEnd w:id="12"/>
    <w:p w14:paraId="5709947B" w14:textId="31677A01" w:rsidR="00820B38" w:rsidRDefault="00795168" w:rsidP="00820B38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Victims with mental capacity</w:t>
      </w:r>
      <w:r w:rsidR="00A87CC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who do not</w:t>
      </w:r>
      <w:r w:rsidR="00C77EC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disclos</w:t>
      </w:r>
      <w:r w:rsidR="00A87CC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="007132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="009769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13" w:name="_Hlk43114934"/>
      <w:r w:rsidR="00E952F6" w:rsidRPr="00A10676">
        <w:rPr>
          <w:rFonts w:ascii="Times New Roman" w:eastAsia="Calibri" w:hAnsi="Times New Roman" w:cs="Times New Roman"/>
          <w:sz w:val="24"/>
          <w:szCs w:val="24"/>
          <w:lang w:val="en-US"/>
        </w:rPr>
        <w:t>There are several reasons why</w:t>
      </w:r>
      <w:r w:rsidR="00E952F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 victims </w:t>
      </w:r>
      <w:r w:rsidR="00E952F6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5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mental capacity to disclose </w:t>
      </w:r>
      <w:r w:rsidR="00A75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choose not to do so </w:t>
      </w:r>
      <w:r w:rsidR="00A10676">
        <w:rPr>
          <w:rFonts w:ascii="Times New Roman" w:eastAsia="Calibri" w:hAnsi="Times New Roman" w:cs="Times New Roman"/>
          <w:sz w:val="24"/>
          <w:szCs w:val="24"/>
          <w:lang w:val="en-US"/>
        </w:rPr>
        <w:t>(Fraga Dominguez et al., 2019)</w:t>
      </w:r>
      <w:bookmarkEnd w:id="13"/>
      <w:r w:rsidR="00F0260A" w:rsidRPr="00E436A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0260A" w:rsidRPr="000F1749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="004125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example, </w:t>
      </w:r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fear of consequences for themselves or the perpetrator, feelings 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shame or embarrassment, and barriers related to </w:t>
      </w:r>
      <w:r w:rsidR="00C055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lack of effective access to or support from 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formal services or their informal network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(Fraga Dominguez et al., 2019)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bookmarkStart w:id="14" w:name="_Hlk41319394"/>
      <w:r w:rsidR="009737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</w:t>
      </w:r>
      <w:r w:rsidR="00E952F6">
        <w:rPr>
          <w:rFonts w:ascii="Times New Roman" w:eastAsia="Calibri" w:hAnsi="Times New Roman" w:cs="Times New Roman"/>
          <w:sz w:val="24"/>
          <w:szCs w:val="24"/>
          <w:lang w:val="en-US"/>
        </w:rPr>
        <w:t>factors</w:t>
      </w:r>
      <w:r w:rsidR="009737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such as cultural norms and </w:t>
      </w:r>
      <w:r w:rsidR="00E95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societal </w:t>
      </w:r>
      <w:r w:rsidR="00973786">
        <w:rPr>
          <w:rFonts w:ascii="Times New Roman" w:eastAsia="Calibri" w:hAnsi="Times New Roman" w:cs="Times New Roman"/>
          <w:sz w:val="24"/>
          <w:szCs w:val="24"/>
          <w:lang w:val="en-US"/>
        </w:rPr>
        <w:t>expectations may</w:t>
      </w:r>
      <w:r w:rsidR="007A0D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also</w:t>
      </w:r>
      <w:r w:rsidR="009737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influence help-seeking behaviors (Dong, 2012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9737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Fraga Dominguez et al., 2019). </w:t>
      </w:r>
      <w:bookmarkEnd w:id="14"/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>The l</w:t>
      </w:r>
      <w:r w:rsidR="003A5B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ikelihood of 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engaging in </w:t>
      </w:r>
      <w:r w:rsidR="003A5B9E">
        <w:rPr>
          <w:rFonts w:ascii="Times New Roman" w:eastAsia="Calibri" w:hAnsi="Times New Roman" w:cs="Times New Roman"/>
          <w:sz w:val="24"/>
          <w:szCs w:val="24"/>
          <w:lang w:val="en-US"/>
        </w:rPr>
        <w:t>help-seeking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>can vary based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relationship </w:t>
      </w:r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>between the victim and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perpetrator and</w:t>
      </w:r>
      <w:r w:rsidR="00976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type(s) of abuse experienced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935E12">
        <w:rPr>
          <w:rFonts w:ascii="Times New Roman" w:eastAsia="Calibri" w:hAnsi="Times New Roman" w:cs="Times New Roman"/>
          <w:sz w:val="24"/>
          <w:szCs w:val="24"/>
          <w:lang w:val="en-US"/>
        </w:rPr>
        <w:t>Jackson &amp; Hafemeister, 2015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For example, abuse perpetrated by family members or 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close</w:t>
      </w:r>
      <w:r w:rsidR="000C06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r w:rsidR="003D69CB">
        <w:rPr>
          <w:rFonts w:ascii="Times New Roman" w:eastAsia="Calibri" w:hAnsi="Times New Roman" w:cs="Times New Roman"/>
          <w:sz w:val="24"/>
          <w:szCs w:val="24"/>
          <w:lang w:val="en-US"/>
        </w:rPr>
        <w:t>rather than superficial</w:t>
      </w:r>
      <w:r w:rsidR="000C066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3D69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relationships 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>may be more difficult to report</w:t>
      </w:r>
      <w:r w:rsidR="00976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>Jackson &amp; Hafemeister, 2015; Vrantsidis et al., 2016</w:t>
      </w:r>
      <w:r w:rsidR="0097696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76965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addition, psychological </w:t>
      </w:r>
      <w:r w:rsidR="005E34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abuse 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neglect may be </w:t>
      </w:r>
      <w:r w:rsidR="00935E12">
        <w:rPr>
          <w:rFonts w:ascii="Times New Roman" w:eastAsia="Calibri" w:hAnsi="Times New Roman" w:cs="Times New Roman"/>
          <w:sz w:val="24"/>
          <w:szCs w:val="24"/>
          <w:lang w:val="en-US"/>
        </w:rPr>
        <w:t>harder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report compared to financial </w:t>
      </w:r>
      <w:r w:rsidR="00644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abuse </w:t>
      </w:r>
      <w:r w:rsidR="00881C7E">
        <w:rPr>
          <w:rFonts w:ascii="Times New Roman" w:eastAsia="Calibri" w:hAnsi="Times New Roman" w:cs="Times New Roman"/>
          <w:sz w:val="24"/>
          <w:szCs w:val="24"/>
          <w:lang w:val="en-US"/>
        </w:rPr>
        <w:t>because</w:t>
      </w:r>
      <w:r w:rsidR="003A0B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latter is perceived as more common and less shameful to discuss </w:t>
      </w:r>
      <w:r w:rsidR="003D0D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(Fraga Dominguez et al., 2019). </w:t>
      </w:r>
      <w:bookmarkStart w:id="15" w:name="_Hlk43115700"/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these cases, providers </w:t>
      </w:r>
      <w:r w:rsidR="00625419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="005116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abuse by </w:t>
      </w:r>
      <w:r w:rsidR="00511630">
        <w:rPr>
          <w:rFonts w:ascii="Times New Roman" w:eastAsia="Calibri" w:hAnsi="Times New Roman" w:cs="Times New Roman"/>
          <w:sz w:val="24"/>
          <w:szCs w:val="24"/>
          <w:lang w:val="en-US"/>
        </w:rPr>
        <w:t>utiliz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5116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F1749">
        <w:rPr>
          <w:rFonts w:ascii="Times New Roman" w:eastAsia="Calibri" w:hAnsi="Times New Roman" w:cs="Times New Roman"/>
          <w:sz w:val="24"/>
          <w:szCs w:val="24"/>
          <w:lang w:val="en-US"/>
        </w:rPr>
        <w:t>indicator-based</w:t>
      </w:r>
      <w:r w:rsidR="005116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screening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tools during</w:t>
      </w:r>
      <w:r w:rsidR="00E847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each future encounter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suspected victim, 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facilitate disclosure by 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providing </w:t>
      </w:r>
      <w:r w:rsidR="00467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privacy, 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>support</w:t>
      </w:r>
      <w:r w:rsidR="000F174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941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information about </w:t>
      </w:r>
      <w:r w:rsidR="00B578D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End w:id="15"/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449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health care provider will need to consider mandatory </w:t>
      </w:r>
      <w:r w:rsidR="00E4490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reporting laws that require only reasonable suspicion of abuse to report </w:t>
      </w:r>
      <w:r w:rsidR="00E4490E" w:rsidRPr="009B410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B71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Donnelly, 2019; </w:t>
      </w:r>
      <w:r w:rsidR="009B4107" w:rsidRPr="009B4107">
        <w:rPr>
          <w:rFonts w:ascii="Times New Roman" w:eastAsia="Calibri" w:hAnsi="Times New Roman" w:cs="Times New Roman"/>
          <w:sz w:val="24"/>
          <w:szCs w:val="24"/>
          <w:lang w:val="en-US"/>
        </w:rPr>
        <w:t>Lachs &amp; Pille</w:t>
      </w:r>
      <w:r w:rsidR="009B410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9B4107" w:rsidRPr="009B410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9B410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9B4107" w:rsidRPr="009B4107">
        <w:rPr>
          <w:rFonts w:ascii="Times New Roman" w:eastAsia="Calibri" w:hAnsi="Times New Roman" w:cs="Times New Roman"/>
          <w:sz w:val="24"/>
          <w:szCs w:val="24"/>
          <w:lang w:val="en-US"/>
        </w:rPr>
        <w:t>, 2015</w:t>
      </w:r>
      <w:r w:rsidR="00E4490E" w:rsidRPr="009B4107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1A0CAA0E" w14:textId="6BAAA996" w:rsidR="00820B38" w:rsidRPr="000E2A30" w:rsidRDefault="00820B38" w:rsidP="00820B38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951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Victims without mental capacity</w:t>
      </w:r>
      <w:r w:rsidR="007136D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who disclose.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Specific challenges may arise for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F565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when an older adult suffers from 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>cognitive impairments, such as those associated with dementia</w:t>
      </w:r>
      <w:r w:rsidR="00AE4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other degenerative brain conditions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5D556B">
        <w:rPr>
          <w:rFonts w:ascii="Times New Roman" w:eastAsia="Calibri" w:hAnsi="Times New Roman" w:cs="Times New Roman"/>
          <w:sz w:val="24"/>
          <w:szCs w:val="24"/>
          <w:lang w:val="en-US"/>
        </w:rPr>
        <w:t>Such impairments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uncommon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among</w:t>
      </w:r>
      <w:r w:rsidR="00B44121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 of </w:t>
      </w:r>
      <w:r w:rsidR="00477ED9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3264E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fact, cognitive impairments place older adults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increased risk of abuse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(Storey, </w:t>
      </w:r>
      <w:r w:rsidR="008A161C">
        <w:rPr>
          <w:rFonts w:ascii="Times New Roman" w:eastAsia="Calibri" w:hAnsi="Times New Roman" w:cs="Times New Roman"/>
          <w:sz w:val="24"/>
          <w:szCs w:val="24"/>
          <w:lang w:val="en-US"/>
        </w:rPr>
        <w:t>2020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Unfortunately, when a victim </w:t>
      </w:r>
      <w:r w:rsidR="00E971E9">
        <w:rPr>
          <w:rFonts w:ascii="Times New Roman" w:eastAsia="Calibri" w:hAnsi="Times New Roman" w:cs="Times New Roman"/>
          <w:sz w:val="24"/>
          <w:szCs w:val="24"/>
          <w:lang w:val="en-US"/>
        </w:rPr>
        <w:t>suffering from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F1749">
        <w:rPr>
          <w:rFonts w:ascii="Times New Roman" w:eastAsia="Calibri" w:hAnsi="Times New Roman" w:cs="Times New Roman"/>
          <w:sz w:val="24"/>
          <w:szCs w:val="24"/>
          <w:lang w:val="en-US"/>
        </w:rPr>
        <w:t>cognitive impairments</w:t>
      </w:r>
      <w:r w:rsidR="000F1749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makes a disclosure,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be unsure of its veracity</w:t>
      </w:r>
      <w:r w:rsidR="003666B7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perpetrators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 the </w:t>
      </w:r>
      <w:r w:rsidR="00832862">
        <w:rPr>
          <w:rFonts w:ascii="Times New Roman" w:eastAsia="Calibri" w:hAnsi="Times New Roman" w:cs="Times New Roman"/>
          <w:sz w:val="24"/>
          <w:szCs w:val="24"/>
          <w:lang w:val="en-US"/>
        </w:rPr>
        <w:t>victim’s cognitive limitations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 w:rsidR="003666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cast 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>doubt on the victim’s credibility (</w:t>
      </w:r>
      <w:r w:rsidR="00B461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Bows, 2018; </w:t>
      </w:r>
      <w:r w:rsidR="001B5BAE">
        <w:rPr>
          <w:rFonts w:ascii="Times New Roman" w:hAnsi="Times New Roman" w:cs="Times New Roman"/>
          <w:sz w:val="24"/>
        </w:rPr>
        <w:t>Walsh, Olson, Ploeg, Lohfeld, &amp; MacMillan, 2010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B2196">
        <w:rPr>
          <w:rFonts w:ascii="Times New Roman" w:eastAsia="Calibri" w:hAnsi="Times New Roman" w:cs="Times New Roman"/>
          <w:sz w:val="24"/>
          <w:szCs w:val="24"/>
          <w:lang w:val="en-US"/>
        </w:rPr>
        <w:t>For this reason, i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 is important that these disclosures are </w:t>
      </w:r>
      <w:r w:rsidR="00454E5E">
        <w:rPr>
          <w:rFonts w:ascii="Times New Roman" w:eastAsia="Calibri" w:hAnsi="Times New Roman" w:cs="Times New Roman"/>
          <w:sz w:val="24"/>
          <w:szCs w:val="24"/>
          <w:lang w:val="en-US"/>
        </w:rPr>
        <w:t>fully investigated</w:t>
      </w:r>
      <w:r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bookmarkStart w:id="16" w:name="_Hlk43115882"/>
      <w:r w:rsidR="0099244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>orensic nurse</w:t>
      </w:r>
      <w:r w:rsidR="00992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can play a key role in the assessment 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EA victims without mental capacity who make disclosures, </w:t>
      </w:r>
      <w:r w:rsidR="00454E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identifying 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>indicators of abuse and document</w:t>
      </w:r>
      <w:r w:rsidR="00454E5E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findings</w:t>
      </w:r>
      <w:r w:rsidR="00B5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including forensic photography of injuries. </w:t>
      </w:r>
      <w:r w:rsidR="00191C8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B578D7">
        <w:rPr>
          <w:rFonts w:ascii="Times New Roman" w:eastAsia="Calibri" w:hAnsi="Times New Roman" w:cs="Times New Roman"/>
          <w:sz w:val="24"/>
          <w:szCs w:val="24"/>
          <w:lang w:val="en-US"/>
        </w:rPr>
        <w:t>orensic n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>urse</w:t>
      </w:r>
      <w:r w:rsidR="00191C8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also be required to report EA</w:t>
      </w:r>
      <w:r w:rsidR="00467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governed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relevant legislation, professional standards</w:t>
      </w:r>
      <w:r w:rsidR="00B856A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AE4F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organizational policies.</w:t>
      </w:r>
      <w:bookmarkEnd w:id="16"/>
      <w:r w:rsidR="00F026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EF9225A" w14:textId="57276139" w:rsidR="00FD7F47" w:rsidRDefault="0083211E" w:rsidP="007136D6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7951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Victims without mental capacity</w:t>
      </w:r>
      <w:r w:rsidR="00644C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who do not</w:t>
      </w:r>
      <w:r w:rsidR="00C77EC0" w:rsidRPr="00553BF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disclose.</w:t>
      </w:r>
      <w:r w:rsidR="00C77E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57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cases where victims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suffer from cognitive impairments and do not disclose abuse</w:t>
      </w:r>
      <w:r w:rsidR="00BE374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EB57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B57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 w:rsidR="00EB57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5BAE">
        <w:rPr>
          <w:rFonts w:ascii="Times New Roman" w:eastAsia="Calibri" w:hAnsi="Times New Roman" w:cs="Times New Roman"/>
          <w:sz w:val="24"/>
          <w:szCs w:val="24"/>
          <w:lang w:val="en-US"/>
        </w:rPr>
        <w:t>must rely</w:t>
      </w:r>
      <w:r w:rsidR="00EB57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r w:rsidR="00B44121">
        <w:rPr>
          <w:rFonts w:ascii="Times New Roman" w:eastAsia="Calibri" w:hAnsi="Times New Roman" w:cs="Times New Roman"/>
          <w:sz w:val="24"/>
          <w:szCs w:val="24"/>
          <w:lang w:val="en-US"/>
        </w:rPr>
        <w:t>their ability to detect abuse</w:t>
      </w:r>
      <w:r w:rsidR="00EB57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B5757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is </w:t>
      </w:r>
      <w:r w:rsidR="00785186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large volume of </w:t>
      </w:r>
      <w:r w:rsidR="00EB5757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</w:t>
      </w:r>
      <w:r w:rsidR="005D556B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identifying the</w:t>
      </w:r>
      <w:r w:rsidR="00EB5757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signs of </w:t>
      </w:r>
      <w:r w:rsidR="00477ED9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EB5757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a health</w:t>
      </w:r>
      <w:r w:rsidR="00C155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B5757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care perspective</w:t>
      </w:r>
      <w:r w:rsidR="00FF45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(Lachs &amp; Pillemer, 2015)</w:t>
      </w:r>
      <w:r w:rsidR="004A4E17">
        <w:rPr>
          <w:rFonts w:ascii="Times New Roman" w:eastAsia="Calibri" w:hAnsi="Times New Roman" w:cs="Times New Roman"/>
          <w:sz w:val="24"/>
          <w:szCs w:val="24"/>
          <w:lang w:val="en-US"/>
        </w:rPr>
        <w:t>. For example, researchers such as Burgess and Phillips (2006) have highlighted the importance of behavioral cues of distress displayed by older adults with dementia who have experienced sexual abuse. M</w:t>
      </w:r>
      <w:r w:rsidR="0079752D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any of those signs have been consolidated into tools </w:t>
      </w:r>
      <w:r w:rsidR="00741359">
        <w:rPr>
          <w:rFonts w:ascii="Times New Roman" w:eastAsia="Calibri" w:hAnsi="Times New Roman" w:cs="Times New Roman"/>
          <w:sz w:val="24"/>
          <w:szCs w:val="24"/>
          <w:lang w:val="en-US"/>
        </w:rPr>
        <w:t>that use different methods</w:t>
      </w:r>
      <w:r w:rsidR="00935E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814CE">
        <w:rPr>
          <w:rFonts w:ascii="Times New Roman" w:eastAsia="Calibri" w:hAnsi="Times New Roman" w:cs="Times New Roman"/>
          <w:sz w:val="24"/>
          <w:szCs w:val="24"/>
          <w:lang w:val="en-US"/>
        </w:rPr>
        <w:t>to identify cases of suspected EA</w:t>
      </w:r>
      <w:r w:rsidR="007413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9752D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916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Gallione et al., 2017; </w:t>
      </w:r>
      <w:r w:rsidR="0079752D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A4E17">
        <w:rPr>
          <w:rFonts w:ascii="Times New Roman" w:eastAsia="Calibri" w:hAnsi="Times New Roman" w:cs="Times New Roman"/>
          <w:sz w:val="24"/>
          <w:szCs w:val="24"/>
          <w:lang w:val="en-US"/>
        </w:rPr>
        <w:t>pencer</w:t>
      </w:r>
      <w:r w:rsidR="0079752D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, 20</w:t>
      </w:r>
      <w:r w:rsidR="004A4E1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79752D" w:rsidRPr="00863B8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79752D" w:rsidRPr="00784A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bookmarkStart w:id="17" w:name="_Hlk43117178"/>
      <w:r w:rsidR="00467E3C">
        <w:rPr>
          <w:rFonts w:ascii="Times New Roman" w:eastAsia="Calibri" w:hAnsi="Times New Roman" w:cs="Times New Roman"/>
          <w:sz w:val="24"/>
          <w:szCs w:val="24"/>
          <w:lang w:val="en-US"/>
        </w:rPr>
        <w:t>Once indicators of abuse have been identified</w:t>
      </w:r>
      <w:r w:rsidR="00A814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through the use of such tools</w:t>
      </w:r>
      <w:r w:rsidR="00467E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multidisciplinary approach </w:t>
      </w:r>
      <w:r w:rsidR="0071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intervention and prevention </w:t>
      </w:r>
      <w:r w:rsidR="00467E3C">
        <w:rPr>
          <w:rFonts w:ascii="Times New Roman" w:eastAsia="Calibri" w:hAnsi="Times New Roman" w:cs="Times New Roman"/>
          <w:sz w:val="24"/>
          <w:szCs w:val="24"/>
          <w:lang w:val="en-US"/>
        </w:rPr>
        <w:t>of future harm</w:t>
      </w:r>
      <w:r w:rsidR="0071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814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systematically considers case specific risk factors (Storey, </w:t>
      </w:r>
      <w:r w:rsidR="00A814C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2020) </w:t>
      </w:r>
      <w:r w:rsidR="0071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most effective </w:t>
      </w:r>
      <w:r w:rsidR="00780B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managing the case </w:t>
      </w:r>
      <w:r w:rsidR="007110D0">
        <w:rPr>
          <w:rFonts w:ascii="Times New Roman" w:eastAsia="Calibri" w:hAnsi="Times New Roman" w:cs="Times New Roman"/>
          <w:sz w:val="24"/>
          <w:szCs w:val="24"/>
          <w:lang w:val="en-US"/>
        </w:rPr>
        <w:t>and may include mandatory reporting based on relevant legislation.</w:t>
      </w:r>
    </w:p>
    <w:bookmarkEnd w:id="17"/>
    <w:p w14:paraId="62AF2291" w14:textId="0C1D1743" w:rsidR="005C1962" w:rsidRPr="009F760E" w:rsidRDefault="005C1962" w:rsidP="009F760E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2473D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Case</w:t>
      </w:r>
      <w:r w:rsidRPr="009F760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Examples </w:t>
      </w:r>
    </w:p>
    <w:p w14:paraId="15085A0B" w14:textId="5CDDEB8C" w:rsidR="00BE3748" w:rsidRDefault="00C1553B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is a lack of r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esearch about what works for </w:t>
      </w:r>
      <w:r w:rsidR="00810A95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A95">
        <w:rPr>
          <w:rFonts w:ascii="Times New Roman" w:hAnsi="Times New Roman" w:cs="Times New Roman"/>
          <w:sz w:val="24"/>
          <w:szCs w:val="24"/>
        </w:rPr>
        <w:t>care providers</w:t>
      </w:r>
      <w:r w:rsidR="002473D4">
        <w:rPr>
          <w:rFonts w:ascii="Times New Roman" w:hAnsi="Times New Roman" w:cs="Times New Roman"/>
          <w:sz w:val="24"/>
          <w:szCs w:val="24"/>
        </w:rPr>
        <w:t>,</w:t>
      </w:r>
      <w:r w:rsidR="00BE3748">
        <w:rPr>
          <w:rFonts w:ascii="Times New Roman" w:hAnsi="Times New Roman" w:cs="Times New Roman"/>
          <w:sz w:val="24"/>
          <w:szCs w:val="24"/>
        </w:rPr>
        <w:t xml:space="preserve"> </w:t>
      </w:r>
      <w:r w:rsidR="00AB5EA8">
        <w:rPr>
          <w:rFonts w:ascii="Times New Roman" w:hAnsi="Times New Roman" w:cs="Times New Roman"/>
          <w:sz w:val="24"/>
          <w:szCs w:val="24"/>
        </w:rPr>
        <w:t>like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 forensic nurses</w:t>
      </w:r>
      <w:r w:rsidR="002473D4">
        <w:rPr>
          <w:rFonts w:ascii="Times New Roman" w:hAnsi="Times New Roman" w:cs="Times New Roman"/>
          <w:sz w:val="24"/>
          <w:szCs w:val="24"/>
        </w:rPr>
        <w:t>,</w:t>
      </w:r>
      <w:r w:rsidR="00BE3748">
        <w:rPr>
          <w:rFonts w:ascii="Times New Roman" w:hAnsi="Times New Roman" w:cs="Times New Roman"/>
          <w:sz w:val="24"/>
          <w:szCs w:val="24"/>
        </w:rPr>
        <w:t xml:space="preserve"> 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when </w:t>
      </w:r>
      <w:r w:rsidR="006B4715">
        <w:rPr>
          <w:rFonts w:ascii="Times New Roman" w:hAnsi="Times New Roman" w:cs="Times New Roman"/>
          <w:sz w:val="24"/>
          <w:szCs w:val="24"/>
        </w:rPr>
        <w:t xml:space="preserve">attempting to </w:t>
      </w:r>
      <w:r w:rsidR="00BE3748" w:rsidRPr="00BE3748">
        <w:rPr>
          <w:rFonts w:ascii="Times New Roman" w:hAnsi="Times New Roman" w:cs="Times New Roman"/>
          <w:sz w:val="24"/>
          <w:szCs w:val="24"/>
        </w:rPr>
        <w:t>engag</w:t>
      </w:r>
      <w:r w:rsidR="006B4715">
        <w:rPr>
          <w:rFonts w:ascii="Times New Roman" w:hAnsi="Times New Roman" w:cs="Times New Roman"/>
          <w:sz w:val="24"/>
          <w:szCs w:val="24"/>
        </w:rPr>
        <w:t>e</w:t>
      </w:r>
      <w:r w:rsidR="004B34F7">
        <w:rPr>
          <w:rFonts w:ascii="Times New Roman" w:hAnsi="Times New Roman" w:cs="Times New Roman"/>
          <w:sz w:val="24"/>
          <w:szCs w:val="24"/>
        </w:rPr>
        <w:t xml:space="preserve"> or facilitate </w:t>
      </w:r>
      <w:r w:rsidR="00AB5EA8">
        <w:rPr>
          <w:rFonts w:ascii="Times New Roman" w:hAnsi="Times New Roman" w:cs="Times New Roman"/>
          <w:sz w:val="24"/>
          <w:szCs w:val="24"/>
        </w:rPr>
        <w:t xml:space="preserve">EA </w:t>
      </w:r>
      <w:r w:rsidR="004B34F7">
        <w:rPr>
          <w:rFonts w:ascii="Times New Roman" w:hAnsi="Times New Roman" w:cs="Times New Roman"/>
          <w:sz w:val="24"/>
          <w:szCs w:val="24"/>
        </w:rPr>
        <w:t>disclosures from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 </w:t>
      </w:r>
      <w:r w:rsidR="004B34F7">
        <w:rPr>
          <w:rFonts w:ascii="Times New Roman" w:hAnsi="Times New Roman" w:cs="Times New Roman"/>
          <w:sz w:val="24"/>
          <w:szCs w:val="24"/>
        </w:rPr>
        <w:t>victims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. </w:t>
      </w:r>
      <w:r w:rsidR="004B34F7">
        <w:rPr>
          <w:rFonts w:ascii="Times New Roman" w:hAnsi="Times New Roman" w:cs="Times New Roman"/>
          <w:sz w:val="24"/>
          <w:szCs w:val="24"/>
        </w:rPr>
        <w:t>To assist providers</w:t>
      </w:r>
      <w:r w:rsidR="00E30D69">
        <w:rPr>
          <w:rFonts w:ascii="Times New Roman" w:hAnsi="Times New Roman" w:cs="Times New Roman"/>
          <w:sz w:val="24"/>
          <w:szCs w:val="24"/>
        </w:rPr>
        <w:t>,</w:t>
      </w:r>
      <w:r w:rsidR="004B34F7">
        <w:rPr>
          <w:rFonts w:ascii="Times New Roman" w:hAnsi="Times New Roman" w:cs="Times New Roman"/>
          <w:sz w:val="24"/>
          <w:szCs w:val="24"/>
        </w:rPr>
        <w:t xml:space="preserve"> </w:t>
      </w:r>
      <w:r w:rsidR="00134A52">
        <w:rPr>
          <w:rFonts w:ascii="Times New Roman" w:hAnsi="Times New Roman" w:cs="Times New Roman"/>
          <w:sz w:val="24"/>
          <w:szCs w:val="24"/>
        </w:rPr>
        <w:t xml:space="preserve">two examples of good practice from </w:t>
      </w:r>
      <w:r w:rsidR="00D80088">
        <w:rPr>
          <w:rFonts w:ascii="Times New Roman" w:hAnsi="Times New Roman" w:cs="Times New Roman"/>
          <w:sz w:val="24"/>
          <w:szCs w:val="24"/>
        </w:rPr>
        <w:t>a</w:t>
      </w:r>
      <w:r w:rsidR="00AB5EA8">
        <w:rPr>
          <w:rFonts w:ascii="Times New Roman" w:hAnsi="Times New Roman" w:cs="Times New Roman"/>
          <w:sz w:val="24"/>
          <w:szCs w:val="24"/>
        </w:rPr>
        <w:t xml:space="preserve">n older adult protection unit in </w:t>
      </w:r>
      <w:r w:rsidR="00D80088">
        <w:rPr>
          <w:rFonts w:ascii="Times New Roman" w:hAnsi="Times New Roman" w:cs="Times New Roman"/>
          <w:sz w:val="24"/>
          <w:szCs w:val="24"/>
        </w:rPr>
        <w:t>Canada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 will be </w:t>
      </w:r>
      <w:r w:rsidR="00AB5EA8">
        <w:rPr>
          <w:rFonts w:ascii="Times New Roman" w:hAnsi="Times New Roman" w:cs="Times New Roman"/>
          <w:sz w:val="24"/>
          <w:szCs w:val="24"/>
        </w:rPr>
        <w:t>presented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. </w:t>
      </w:r>
      <w:r w:rsidR="00134A52">
        <w:rPr>
          <w:rFonts w:ascii="Times New Roman" w:hAnsi="Times New Roman" w:cs="Times New Roman"/>
          <w:sz w:val="24"/>
          <w:szCs w:val="24"/>
        </w:rPr>
        <w:t>A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dditional points </w:t>
      </w:r>
      <w:r w:rsidR="00863923">
        <w:rPr>
          <w:rFonts w:ascii="Times New Roman" w:hAnsi="Times New Roman" w:cs="Times New Roman"/>
          <w:sz w:val="24"/>
          <w:szCs w:val="24"/>
        </w:rPr>
        <w:t>to consider when working with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 rural communities</w:t>
      </w:r>
      <w:r w:rsidR="00134A52">
        <w:rPr>
          <w:rFonts w:ascii="Times New Roman" w:hAnsi="Times New Roman" w:cs="Times New Roman"/>
          <w:sz w:val="24"/>
          <w:szCs w:val="24"/>
        </w:rPr>
        <w:t xml:space="preserve"> will also be included</w:t>
      </w:r>
      <w:r w:rsidR="00BE3748" w:rsidRPr="00BE3748">
        <w:rPr>
          <w:rFonts w:ascii="Times New Roman" w:hAnsi="Times New Roman" w:cs="Times New Roman"/>
          <w:sz w:val="24"/>
          <w:szCs w:val="24"/>
        </w:rPr>
        <w:t xml:space="preserve">. </w:t>
      </w:r>
      <w:r w:rsidR="008E0FE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summary of </w:t>
      </w:r>
      <w:r w:rsidR="008E0FE3">
        <w:rPr>
          <w:rFonts w:ascii="Times New Roman" w:eastAsia="Calibri" w:hAnsi="Times New Roman" w:cs="Times New Roman"/>
          <w:sz w:val="24"/>
          <w:szCs w:val="24"/>
          <w:lang w:val="en-US"/>
        </w:rPr>
        <w:t>the research and case information can</w:t>
      </w:r>
      <w:r w:rsidR="008E0FE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found </w:t>
      </w:r>
      <w:r w:rsidR="008E0F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8E0FE3" w:rsidRPr="000E2A30">
        <w:rPr>
          <w:rFonts w:ascii="Times New Roman" w:eastAsia="Calibri" w:hAnsi="Times New Roman" w:cs="Times New Roman"/>
          <w:sz w:val="24"/>
          <w:szCs w:val="24"/>
          <w:lang w:val="en-US"/>
        </w:rPr>
        <w:t>n Table 1.</w:t>
      </w:r>
    </w:p>
    <w:p w14:paraId="0BEA130F" w14:textId="66F5A8CE" w:rsidR="00BE3748" w:rsidRPr="00BE3748" w:rsidRDefault="003640E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Older Adult Protection Services</w:t>
      </w:r>
    </w:p>
    <w:p w14:paraId="73CE0417" w14:textId="68B042EE" w:rsidR="005C1962" w:rsidRPr="005279CF" w:rsidRDefault="00C1553B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962" w:rsidRPr="005C1962">
        <w:rPr>
          <w:rFonts w:ascii="Times New Roman" w:hAnsi="Times New Roman" w:cs="Times New Roman"/>
          <w:sz w:val="24"/>
          <w:szCs w:val="24"/>
        </w:rPr>
        <w:t>The Renfrew Victoria Hospital Regional Assault Care Program</w:t>
      </w:r>
      <w:r w:rsidR="005C6C83">
        <w:rPr>
          <w:rFonts w:ascii="Times New Roman" w:hAnsi="Times New Roman" w:cs="Times New Roman"/>
          <w:sz w:val="24"/>
          <w:szCs w:val="24"/>
        </w:rPr>
        <w:t xml:space="preserve"> is </w:t>
      </w:r>
      <w:r w:rsidR="009F760E">
        <w:rPr>
          <w:rFonts w:ascii="Times New Roman" w:hAnsi="Times New Roman" w:cs="Times New Roman"/>
          <w:sz w:val="24"/>
          <w:szCs w:val="24"/>
        </w:rPr>
        <w:t>one</w:t>
      </w:r>
      <w:r w:rsidR="005C6C83">
        <w:rPr>
          <w:rFonts w:ascii="Times New Roman" w:hAnsi="Times New Roman" w:cs="Times New Roman"/>
          <w:sz w:val="24"/>
          <w:szCs w:val="24"/>
        </w:rPr>
        <w:t xml:space="preserve"> of 36 government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 funded Sexual Assault/Domestic Violence Treatment Centres in Ontario, Canada. Staffed by forensi</w:t>
      </w:r>
      <w:r w:rsidR="005C6C83">
        <w:rPr>
          <w:rFonts w:ascii="Times New Roman" w:hAnsi="Times New Roman" w:cs="Times New Roman"/>
          <w:sz w:val="24"/>
          <w:szCs w:val="24"/>
        </w:rPr>
        <w:t>c nurses, its mandates include</w:t>
      </w:r>
      <w:r w:rsidR="007E6DE7">
        <w:rPr>
          <w:rFonts w:ascii="Times New Roman" w:hAnsi="Times New Roman" w:cs="Times New Roman"/>
          <w:sz w:val="24"/>
          <w:szCs w:val="24"/>
        </w:rPr>
        <w:t xml:space="preserve"> </w:t>
      </w:r>
      <w:r w:rsidR="000405A8">
        <w:rPr>
          <w:rFonts w:ascii="Times New Roman" w:hAnsi="Times New Roman" w:cs="Times New Roman"/>
          <w:sz w:val="24"/>
          <w:szCs w:val="24"/>
        </w:rPr>
        <w:t xml:space="preserve">the care of </w:t>
      </w:r>
      <w:r w:rsidR="007E6DE7">
        <w:rPr>
          <w:rFonts w:ascii="Times New Roman" w:hAnsi="Times New Roman" w:cs="Times New Roman"/>
          <w:sz w:val="24"/>
          <w:szCs w:val="24"/>
        </w:rPr>
        <w:t>s</w:t>
      </w:r>
      <w:r w:rsidR="005C1962" w:rsidRPr="005C1962">
        <w:rPr>
          <w:rFonts w:ascii="Times New Roman" w:hAnsi="Times New Roman" w:cs="Times New Roman"/>
          <w:sz w:val="24"/>
          <w:szCs w:val="24"/>
        </w:rPr>
        <w:t>ex</w:t>
      </w:r>
      <w:r w:rsidR="007E6DE7">
        <w:rPr>
          <w:rFonts w:ascii="Times New Roman" w:hAnsi="Times New Roman" w:cs="Times New Roman"/>
          <w:sz w:val="24"/>
          <w:szCs w:val="24"/>
        </w:rPr>
        <w:t xml:space="preserve">ual assault, domestic </w:t>
      </w:r>
      <w:r w:rsidR="00326ABB">
        <w:rPr>
          <w:rFonts w:ascii="Times New Roman" w:hAnsi="Times New Roman" w:cs="Times New Roman"/>
          <w:sz w:val="24"/>
          <w:szCs w:val="24"/>
        </w:rPr>
        <w:t>violence,</w:t>
      </w:r>
      <w:r w:rsidR="007E6DE7">
        <w:rPr>
          <w:rFonts w:ascii="Times New Roman" w:hAnsi="Times New Roman" w:cs="Times New Roman"/>
          <w:sz w:val="24"/>
          <w:szCs w:val="24"/>
        </w:rPr>
        <w:t xml:space="preserve"> and </w:t>
      </w:r>
      <w:r w:rsidR="005C1962" w:rsidRPr="005C1962">
        <w:rPr>
          <w:rFonts w:ascii="Times New Roman" w:hAnsi="Times New Roman" w:cs="Times New Roman"/>
          <w:sz w:val="24"/>
          <w:szCs w:val="24"/>
        </w:rPr>
        <w:t>child maltreatment</w:t>
      </w:r>
      <w:r w:rsidR="000405A8">
        <w:rPr>
          <w:rFonts w:ascii="Times New Roman" w:hAnsi="Times New Roman" w:cs="Times New Roman"/>
          <w:sz w:val="24"/>
          <w:szCs w:val="24"/>
        </w:rPr>
        <w:t xml:space="preserve"> cases</w:t>
      </w:r>
      <w:r w:rsidR="007E6DE7">
        <w:rPr>
          <w:rFonts w:ascii="Times New Roman" w:hAnsi="Times New Roman" w:cs="Times New Roman"/>
          <w:sz w:val="24"/>
          <w:szCs w:val="24"/>
        </w:rPr>
        <w:t xml:space="preserve">. In 2010, </w:t>
      </w:r>
      <w:r w:rsidR="005C6C83">
        <w:rPr>
          <w:rFonts w:ascii="Times New Roman" w:hAnsi="Times New Roman" w:cs="Times New Roman"/>
          <w:sz w:val="24"/>
          <w:szCs w:val="24"/>
        </w:rPr>
        <w:t>this rural</w:t>
      </w:r>
      <w:r w:rsidR="009F760E">
        <w:rPr>
          <w:rFonts w:ascii="Times New Roman" w:hAnsi="Times New Roman" w:cs="Times New Roman"/>
          <w:sz w:val="24"/>
          <w:szCs w:val="24"/>
        </w:rPr>
        <w:t>-</w:t>
      </w:r>
      <w:r w:rsidR="005C6C83">
        <w:rPr>
          <w:rFonts w:ascii="Times New Roman" w:hAnsi="Times New Roman" w:cs="Times New Roman"/>
          <w:sz w:val="24"/>
          <w:szCs w:val="24"/>
        </w:rPr>
        <w:t>based service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 </w:t>
      </w:r>
      <w:r w:rsidR="007E6DE7">
        <w:rPr>
          <w:rFonts w:ascii="Times New Roman" w:hAnsi="Times New Roman" w:cs="Times New Roman"/>
          <w:sz w:val="24"/>
          <w:szCs w:val="24"/>
        </w:rPr>
        <w:t>implemente</w:t>
      </w:r>
      <w:r w:rsidR="005C6C83">
        <w:rPr>
          <w:rFonts w:ascii="Times New Roman" w:hAnsi="Times New Roman" w:cs="Times New Roman"/>
          <w:sz w:val="24"/>
          <w:szCs w:val="24"/>
        </w:rPr>
        <w:t xml:space="preserve">d an </w:t>
      </w:r>
      <w:r w:rsidR="00477ED9">
        <w:rPr>
          <w:rFonts w:ascii="Times New Roman" w:hAnsi="Times New Roman" w:cs="Times New Roman"/>
          <w:sz w:val="24"/>
          <w:szCs w:val="24"/>
        </w:rPr>
        <w:t>EA</w:t>
      </w:r>
      <w:r w:rsidR="005C6C83">
        <w:rPr>
          <w:rFonts w:ascii="Times New Roman" w:hAnsi="Times New Roman" w:cs="Times New Roman"/>
          <w:sz w:val="24"/>
          <w:szCs w:val="24"/>
        </w:rPr>
        <w:t xml:space="preserve"> program. </w:t>
      </w:r>
      <w:r w:rsidR="00510AB4">
        <w:rPr>
          <w:rFonts w:ascii="Times New Roman" w:hAnsi="Times New Roman" w:cs="Times New Roman"/>
          <w:sz w:val="24"/>
          <w:szCs w:val="24"/>
        </w:rPr>
        <w:t xml:space="preserve">Forensic nurses are trained </w:t>
      </w:r>
      <w:r w:rsidR="008A161C">
        <w:rPr>
          <w:rFonts w:ascii="Times New Roman" w:hAnsi="Times New Roman" w:cs="Times New Roman"/>
          <w:sz w:val="24"/>
          <w:szCs w:val="24"/>
        </w:rPr>
        <w:t>users of the Elder Abuse Risk Level Index (EARLI</w:t>
      </w:r>
      <w:r w:rsidR="000405A8">
        <w:rPr>
          <w:rFonts w:ascii="Times New Roman" w:hAnsi="Times New Roman" w:cs="Times New Roman"/>
          <w:sz w:val="24"/>
          <w:szCs w:val="24"/>
        </w:rPr>
        <w:t>)</w:t>
      </w:r>
      <w:r w:rsidR="008A161C">
        <w:rPr>
          <w:rFonts w:ascii="Times New Roman" w:hAnsi="Times New Roman" w:cs="Times New Roman"/>
          <w:sz w:val="24"/>
          <w:szCs w:val="24"/>
        </w:rPr>
        <w:t xml:space="preserve"> </w:t>
      </w:r>
      <w:r w:rsidR="000405A8">
        <w:rPr>
          <w:rFonts w:ascii="Times New Roman" w:hAnsi="Times New Roman" w:cs="Times New Roman"/>
          <w:sz w:val="24"/>
          <w:szCs w:val="24"/>
        </w:rPr>
        <w:t>(</w:t>
      </w:r>
      <w:r w:rsidR="008A161C">
        <w:rPr>
          <w:rFonts w:ascii="Times New Roman" w:hAnsi="Times New Roman" w:cs="Times New Roman"/>
          <w:sz w:val="24"/>
          <w:szCs w:val="24"/>
        </w:rPr>
        <w:t>Storey, 2020</w:t>
      </w:r>
      <w:r w:rsidR="000405A8">
        <w:rPr>
          <w:rFonts w:ascii="Times New Roman" w:hAnsi="Times New Roman" w:cs="Times New Roman"/>
          <w:sz w:val="24"/>
          <w:szCs w:val="24"/>
        </w:rPr>
        <w:t>)</w:t>
      </w:r>
      <w:r w:rsidR="00977904">
        <w:rPr>
          <w:rFonts w:ascii="Times New Roman" w:hAnsi="Times New Roman" w:cs="Times New Roman"/>
          <w:sz w:val="24"/>
          <w:szCs w:val="24"/>
        </w:rPr>
        <w:t>,</w:t>
      </w:r>
      <w:r w:rsidR="00510AB4">
        <w:rPr>
          <w:rFonts w:ascii="Times New Roman" w:hAnsi="Times New Roman" w:cs="Times New Roman"/>
          <w:sz w:val="24"/>
          <w:szCs w:val="24"/>
        </w:rPr>
        <w:t xml:space="preserve"> </w:t>
      </w:r>
      <w:r w:rsidR="00AB1B1B">
        <w:rPr>
          <w:rFonts w:ascii="Times New Roman" w:hAnsi="Times New Roman" w:cs="Times New Roman"/>
          <w:sz w:val="24"/>
          <w:szCs w:val="24"/>
        </w:rPr>
        <w:t>and</w:t>
      </w:r>
      <w:r w:rsidR="00510AB4">
        <w:rPr>
          <w:rFonts w:ascii="Times New Roman" w:hAnsi="Times New Roman" w:cs="Times New Roman"/>
          <w:sz w:val="24"/>
          <w:szCs w:val="24"/>
        </w:rPr>
        <w:t xml:space="preserve"> participate in</w:t>
      </w:r>
      <w:r w:rsidR="00BD1C79">
        <w:rPr>
          <w:rFonts w:ascii="Times New Roman" w:hAnsi="Times New Roman" w:cs="Times New Roman"/>
          <w:sz w:val="24"/>
          <w:szCs w:val="24"/>
        </w:rPr>
        <w:t xml:space="preserve"> </w:t>
      </w:r>
      <w:r w:rsidR="00977904">
        <w:rPr>
          <w:rFonts w:ascii="Times New Roman" w:hAnsi="Times New Roman" w:cs="Times New Roman"/>
          <w:sz w:val="24"/>
          <w:szCs w:val="24"/>
        </w:rPr>
        <w:t>EA</w:t>
      </w:r>
      <w:r w:rsidR="00BD1C79">
        <w:rPr>
          <w:rFonts w:ascii="Times New Roman" w:hAnsi="Times New Roman" w:cs="Times New Roman"/>
          <w:sz w:val="24"/>
          <w:szCs w:val="24"/>
        </w:rPr>
        <w:t xml:space="preserve"> trainings offered by the International Association of Forensic Nurses, the Ontario Network of Sexual Assault/Domestic Violence Treatment Centres, </w:t>
      </w:r>
      <w:r w:rsidR="00977904">
        <w:rPr>
          <w:rFonts w:ascii="Times New Roman" w:hAnsi="Times New Roman" w:cs="Times New Roman"/>
          <w:sz w:val="24"/>
          <w:szCs w:val="24"/>
        </w:rPr>
        <w:t xml:space="preserve">the </w:t>
      </w:r>
      <w:r w:rsidR="00BD1C79">
        <w:rPr>
          <w:rFonts w:ascii="Times New Roman" w:hAnsi="Times New Roman" w:cs="Times New Roman"/>
          <w:sz w:val="24"/>
          <w:szCs w:val="24"/>
        </w:rPr>
        <w:t>Registered Nurses’ Association of Ontario,</w:t>
      </w:r>
      <w:r w:rsidR="00977904">
        <w:rPr>
          <w:rFonts w:ascii="Times New Roman" w:hAnsi="Times New Roman" w:cs="Times New Roman"/>
          <w:sz w:val="24"/>
          <w:szCs w:val="24"/>
        </w:rPr>
        <w:t xml:space="preserve"> and</w:t>
      </w:r>
      <w:r w:rsidR="00BD1C79">
        <w:rPr>
          <w:rFonts w:ascii="Times New Roman" w:hAnsi="Times New Roman" w:cs="Times New Roman"/>
          <w:sz w:val="24"/>
          <w:szCs w:val="24"/>
        </w:rPr>
        <w:t xml:space="preserve"> Elder Abuse Prevention O</w:t>
      </w:r>
      <w:r w:rsidR="00510AB4">
        <w:rPr>
          <w:rFonts w:ascii="Times New Roman" w:hAnsi="Times New Roman" w:cs="Times New Roman"/>
          <w:sz w:val="24"/>
          <w:szCs w:val="24"/>
        </w:rPr>
        <w:t>ntario.</w:t>
      </w:r>
      <w:r w:rsidR="00BD1C79">
        <w:rPr>
          <w:rFonts w:ascii="Times New Roman" w:hAnsi="Times New Roman" w:cs="Times New Roman"/>
          <w:sz w:val="24"/>
          <w:szCs w:val="24"/>
        </w:rPr>
        <w:t xml:space="preserve"> </w:t>
      </w:r>
      <w:r w:rsidR="00AB5EA8">
        <w:rPr>
          <w:rFonts w:ascii="Times New Roman" w:hAnsi="Times New Roman" w:cs="Times New Roman"/>
          <w:sz w:val="24"/>
          <w:szCs w:val="24"/>
        </w:rPr>
        <w:t>The f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orensic nurses provide case management for older adults </w:t>
      </w:r>
      <w:r w:rsidR="007E6DE7">
        <w:rPr>
          <w:rFonts w:ascii="Times New Roman" w:hAnsi="Times New Roman" w:cs="Times New Roman"/>
          <w:sz w:val="24"/>
          <w:szCs w:val="24"/>
        </w:rPr>
        <w:t>at high risk for maltreatment or</w:t>
      </w:r>
      <w:r w:rsidR="000405A8">
        <w:rPr>
          <w:rFonts w:ascii="Times New Roman" w:hAnsi="Times New Roman" w:cs="Times New Roman"/>
          <w:sz w:val="24"/>
          <w:szCs w:val="24"/>
        </w:rPr>
        <w:t xml:space="preserve"> who are</w:t>
      </w:r>
      <w:r w:rsidR="007E6DE7">
        <w:rPr>
          <w:rFonts w:ascii="Times New Roman" w:hAnsi="Times New Roman" w:cs="Times New Roman"/>
          <w:sz w:val="24"/>
          <w:szCs w:val="24"/>
        </w:rPr>
        <w:t xml:space="preserve"> experiencing abuse.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 Referrals come from the community as well as emergency department</w:t>
      </w:r>
      <w:r w:rsidR="005645C2">
        <w:rPr>
          <w:rFonts w:ascii="Times New Roman" w:hAnsi="Times New Roman" w:cs="Times New Roman"/>
          <w:sz w:val="24"/>
          <w:szCs w:val="24"/>
        </w:rPr>
        <w:t>s</w:t>
      </w:r>
      <w:r w:rsidR="000405A8">
        <w:rPr>
          <w:rFonts w:ascii="Times New Roman" w:hAnsi="Times New Roman" w:cs="Times New Roman"/>
          <w:sz w:val="24"/>
          <w:szCs w:val="24"/>
        </w:rPr>
        <w:t xml:space="preserve"> (EDs)</w:t>
      </w:r>
      <w:r w:rsidR="005C6C83">
        <w:rPr>
          <w:rFonts w:ascii="Times New Roman" w:hAnsi="Times New Roman" w:cs="Times New Roman"/>
          <w:sz w:val="24"/>
          <w:szCs w:val="24"/>
        </w:rPr>
        <w:t xml:space="preserve"> </w:t>
      </w:r>
      <w:r w:rsidR="005645C2">
        <w:rPr>
          <w:rFonts w:ascii="Times New Roman" w:hAnsi="Times New Roman" w:cs="Times New Roman"/>
          <w:sz w:val="24"/>
          <w:szCs w:val="24"/>
        </w:rPr>
        <w:t>or hospital units</w:t>
      </w:r>
      <w:r w:rsidR="009F760E">
        <w:rPr>
          <w:rFonts w:ascii="Times New Roman" w:hAnsi="Times New Roman" w:cs="Times New Roman"/>
          <w:sz w:val="24"/>
          <w:szCs w:val="24"/>
        </w:rPr>
        <w:t>, and f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unding </w:t>
      </w:r>
      <w:r w:rsidR="005645C2">
        <w:rPr>
          <w:rFonts w:ascii="Times New Roman" w:hAnsi="Times New Roman" w:cs="Times New Roman"/>
          <w:sz w:val="24"/>
          <w:szCs w:val="24"/>
        </w:rPr>
        <w:t xml:space="preserve">also covers costs </w:t>
      </w:r>
      <w:r w:rsidR="005C1962" w:rsidRPr="005C1962">
        <w:rPr>
          <w:rFonts w:ascii="Times New Roman" w:hAnsi="Times New Roman" w:cs="Times New Roman"/>
          <w:sz w:val="24"/>
          <w:szCs w:val="24"/>
        </w:rPr>
        <w:t>for short</w:t>
      </w:r>
      <w:r w:rsidR="00AB1B1B">
        <w:rPr>
          <w:rFonts w:ascii="Times New Roman" w:hAnsi="Times New Roman" w:cs="Times New Roman"/>
          <w:sz w:val="24"/>
          <w:szCs w:val="24"/>
        </w:rPr>
        <w:t>-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term crisis respite. </w:t>
      </w:r>
      <w:r w:rsidR="00042826">
        <w:rPr>
          <w:rFonts w:ascii="Times New Roman" w:hAnsi="Times New Roman" w:cs="Times New Roman"/>
          <w:sz w:val="24"/>
          <w:szCs w:val="24"/>
        </w:rPr>
        <w:t xml:space="preserve">Interventions are </w:t>
      </w:r>
      <w:r w:rsidR="007110D0">
        <w:rPr>
          <w:rFonts w:ascii="Times New Roman" w:hAnsi="Times New Roman" w:cs="Times New Roman"/>
          <w:sz w:val="24"/>
          <w:szCs w:val="24"/>
        </w:rPr>
        <w:t xml:space="preserve">patient centered </w:t>
      </w:r>
      <w:r w:rsidR="00042826">
        <w:rPr>
          <w:rFonts w:ascii="Times New Roman" w:hAnsi="Times New Roman" w:cs="Times New Roman"/>
          <w:sz w:val="24"/>
          <w:szCs w:val="24"/>
        </w:rPr>
        <w:t xml:space="preserve">with the goal of </w:t>
      </w:r>
      <w:r w:rsidR="00AB5EA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042826">
        <w:rPr>
          <w:rFonts w:ascii="Times New Roman" w:hAnsi="Times New Roman" w:cs="Times New Roman"/>
          <w:sz w:val="24"/>
          <w:szCs w:val="24"/>
        </w:rPr>
        <w:t xml:space="preserve">care </w:t>
      </w:r>
      <w:r w:rsidR="007E6DE7">
        <w:rPr>
          <w:rFonts w:ascii="Times New Roman" w:hAnsi="Times New Roman" w:cs="Times New Roman"/>
          <w:sz w:val="24"/>
          <w:szCs w:val="24"/>
        </w:rPr>
        <w:t>to prevent</w:t>
      </w:r>
      <w:r w:rsidR="00042826">
        <w:rPr>
          <w:rFonts w:ascii="Times New Roman" w:hAnsi="Times New Roman" w:cs="Times New Roman"/>
          <w:sz w:val="24"/>
          <w:szCs w:val="24"/>
        </w:rPr>
        <w:t xml:space="preserve"> harm and increase </w:t>
      </w:r>
      <w:r w:rsidR="005C1962" w:rsidRPr="005C1962">
        <w:rPr>
          <w:rFonts w:ascii="Times New Roman" w:hAnsi="Times New Roman" w:cs="Times New Roman"/>
          <w:sz w:val="24"/>
          <w:szCs w:val="24"/>
        </w:rPr>
        <w:t>safety.</w:t>
      </w:r>
      <w:r w:rsidR="00B56312">
        <w:rPr>
          <w:rFonts w:ascii="Times New Roman" w:hAnsi="Times New Roman" w:cs="Times New Roman"/>
          <w:sz w:val="24"/>
          <w:szCs w:val="24"/>
        </w:rPr>
        <w:t xml:space="preserve"> To facilitate engagement by victims, caregivers and abusers</w:t>
      </w:r>
      <w:r w:rsidR="005645C2">
        <w:rPr>
          <w:rFonts w:ascii="Times New Roman" w:hAnsi="Times New Roman" w:cs="Times New Roman"/>
          <w:sz w:val="24"/>
          <w:szCs w:val="24"/>
        </w:rPr>
        <w:t>,</w:t>
      </w:r>
      <w:r w:rsidR="005C6C83">
        <w:rPr>
          <w:rFonts w:ascii="Times New Roman" w:hAnsi="Times New Roman" w:cs="Times New Roman"/>
          <w:sz w:val="24"/>
          <w:szCs w:val="24"/>
        </w:rPr>
        <w:t xml:space="preserve"> the program</w:t>
      </w:r>
      <w:r w:rsidR="00B56312">
        <w:rPr>
          <w:rFonts w:ascii="Times New Roman" w:hAnsi="Times New Roman" w:cs="Times New Roman"/>
          <w:sz w:val="24"/>
          <w:szCs w:val="24"/>
        </w:rPr>
        <w:t xml:space="preserve"> was named </w:t>
      </w:r>
      <w:r w:rsidR="005645C2">
        <w:rPr>
          <w:rFonts w:ascii="Times New Roman" w:hAnsi="Times New Roman" w:cs="Times New Roman"/>
          <w:sz w:val="24"/>
          <w:szCs w:val="24"/>
        </w:rPr>
        <w:t xml:space="preserve">the </w:t>
      </w:r>
      <w:r w:rsidR="00B56312">
        <w:rPr>
          <w:rFonts w:ascii="Times New Roman" w:hAnsi="Times New Roman" w:cs="Times New Roman"/>
          <w:sz w:val="24"/>
          <w:szCs w:val="24"/>
        </w:rPr>
        <w:t>Older Adult Protection Services</w:t>
      </w:r>
      <w:r w:rsidR="00FA7A62">
        <w:rPr>
          <w:rFonts w:ascii="Times New Roman" w:hAnsi="Times New Roman" w:cs="Times New Roman"/>
          <w:sz w:val="24"/>
          <w:szCs w:val="24"/>
        </w:rPr>
        <w:t xml:space="preserve"> (OAPS)</w:t>
      </w:r>
      <w:r w:rsidR="00B56312">
        <w:rPr>
          <w:rFonts w:ascii="Times New Roman" w:hAnsi="Times New Roman" w:cs="Times New Roman"/>
          <w:sz w:val="24"/>
          <w:szCs w:val="24"/>
        </w:rPr>
        <w:t>.</w:t>
      </w:r>
      <w:r w:rsidR="00042826">
        <w:rPr>
          <w:rFonts w:ascii="Times New Roman" w:hAnsi="Times New Roman" w:cs="Times New Roman"/>
          <w:sz w:val="24"/>
          <w:szCs w:val="24"/>
        </w:rPr>
        <w:t xml:space="preserve"> In Ontario</w:t>
      </w:r>
      <w:r w:rsidR="00AB5EA8">
        <w:rPr>
          <w:rFonts w:ascii="Times New Roman" w:hAnsi="Times New Roman" w:cs="Times New Roman"/>
          <w:sz w:val="24"/>
          <w:szCs w:val="24"/>
        </w:rPr>
        <w:t>,</w:t>
      </w:r>
      <w:r w:rsidR="00042826">
        <w:rPr>
          <w:rFonts w:ascii="Times New Roman" w:hAnsi="Times New Roman" w:cs="Times New Roman"/>
          <w:sz w:val="24"/>
          <w:szCs w:val="24"/>
        </w:rPr>
        <w:t xml:space="preserve"> t</w:t>
      </w:r>
      <w:r w:rsidR="005C1962" w:rsidRPr="005C1962">
        <w:rPr>
          <w:rFonts w:ascii="Times New Roman" w:hAnsi="Times New Roman" w:cs="Times New Roman"/>
          <w:sz w:val="24"/>
          <w:szCs w:val="24"/>
        </w:rPr>
        <w:t>here is no mandatory reporting for community</w:t>
      </w:r>
      <w:r w:rsidR="00FC74BB">
        <w:rPr>
          <w:rFonts w:ascii="Times New Roman" w:hAnsi="Times New Roman" w:cs="Times New Roman"/>
          <w:sz w:val="24"/>
          <w:szCs w:val="24"/>
        </w:rPr>
        <w:t>-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dwelling </w:t>
      </w:r>
      <w:r w:rsidR="00477ED9">
        <w:rPr>
          <w:rFonts w:ascii="Times New Roman" w:hAnsi="Times New Roman" w:cs="Times New Roman"/>
          <w:sz w:val="24"/>
          <w:szCs w:val="24"/>
        </w:rPr>
        <w:t>EA</w:t>
      </w:r>
      <w:r w:rsidR="00FC74BB">
        <w:rPr>
          <w:rFonts w:ascii="Times New Roman" w:hAnsi="Times New Roman" w:cs="Times New Roman"/>
          <w:sz w:val="24"/>
          <w:szCs w:val="24"/>
        </w:rPr>
        <w:t xml:space="preserve"> victims</w:t>
      </w:r>
      <w:r w:rsidR="005C1962" w:rsidRPr="005C1962">
        <w:rPr>
          <w:rFonts w:ascii="Times New Roman" w:hAnsi="Times New Roman" w:cs="Times New Roman"/>
          <w:sz w:val="24"/>
          <w:szCs w:val="24"/>
        </w:rPr>
        <w:t xml:space="preserve">. </w:t>
      </w:r>
      <w:r w:rsidR="005279CF" w:rsidRPr="005C1962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279CF">
        <w:rPr>
          <w:rFonts w:ascii="Times New Roman" w:hAnsi="Times New Roman" w:cs="Times New Roman"/>
          <w:sz w:val="24"/>
          <w:szCs w:val="24"/>
        </w:rPr>
        <w:t>two</w:t>
      </w:r>
      <w:r w:rsidR="005279CF" w:rsidRPr="005C1962">
        <w:rPr>
          <w:rFonts w:ascii="Times New Roman" w:hAnsi="Times New Roman" w:cs="Times New Roman"/>
          <w:sz w:val="24"/>
          <w:szCs w:val="24"/>
        </w:rPr>
        <w:t xml:space="preserve"> case examples highlight unique challenges </w:t>
      </w:r>
      <w:r w:rsidR="005279CF">
        <w:rPr>
          <w:rFonts w:ascii="Times New Roman" w:hAnsi="Times New Roman" w:cs="Times New Roman"/>
          <w:sz w:val="24"/>
          <w:szCs w:val="24"/>
        </w:rPr>
        <w:t xml:space="preserve">for care providers </w:t>
      </w:r>
      <w:r w:rsidR="005279CF" w:rsidRPr="005C1962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5279CF">
        <w:rPr>
          <w:rFonts w:ascii="Times New Roman" w:hAnsi="Times New Roman" w:cs="Times New Roman"/>
          <w:sz w:val="24"/>
          <w:szCs w:val="24"/>
        </w:rPr>
        <w:t>two</w:t>
      </w:r>
      <w:r w:rsidR="005279CF" w:rsidRPr="005C1962">
        <w:rPr>
          <w:rFonts w:ascii="Times New Roman" w:hAnsi="Times New Roman" w:cs="Times New Roman"/>
          <w:sz w:val="24"/>
          <w:szCs w:val="24"/>
        </w:rPr>
        <w:t xml:space="preserve"> of the </w:t>
      </w:r>
      <w:r w:rsidR="005279CF">
        <w:rPr>
          <w:rFonts w:ascii="Times New Roman" w:hAnsi="Times New Roman" w:cs="Times New Roman"/>
          <w:sz w:val="24"/>
          <w:szCs w:val="24"/>
        </w:rPr>
        <w:t>four</w:t>
      </w:r>
      <w:r w:rsidR="005279CF" w:rsidRPr="005C1962">
        <w:rPr>
          <w:rFonts w:ascii="Times New Roman" w:hAnsi="Times New Roman" w:cs="Times New Roman"/>
          <w:sz w:val="24"/>
          <w:szCs w:val="24"/>
        </w:rPr>
        <w:t xml:space="preserve"> presentation types</w:t>
      </w:r>
      <w:r w:rsidR="005279CF">
        <w:rPr>
          <w:rFonts w:ascii="Times New Roman" w:hAnsi="Times New Roman" w:cs="Times New Roman"/>
          <w:sz w:val="24"/>
          <w:szCs w:val="24"/>
        </w:rPr>
        <w:t xml:space="preserve">. </w:t>
      </w:r>
      <w:r w:rsidR="005279CF" w:rsidRPr="005279CF">
        <w:rPr>
          <w:rFonts w:ascii="Times New Roman" w:hAnsi="Times New Roman" w:cs="Times New Roman"/>
          <w:sz w:val="24"/>
          <w:szCs w:val="24"/>
        </w:rPr>
        <w:t>T</w:t>
      </w:r>
      <w:r w:rsidR="000405A8">
        <w:rPr>
          <w:rFonts w:ascii="Times New Roman" w:hAnsi="Times New Roman" w:cs="Times New Roman"/>
          <w:sz w:val="24"/>
          <w:szCs w:val="24"/>
        </w:rPr>
        <w:t xml:space="preserve">o </w:t>
      </w:r>
      <w:r w:rsidR="000405A8">
        <w:rPr>
          <w:rFonts w:ascii="Times New Roman" w:hAnsi="Times New Roman" w:cs="Times New Roman"/>
          <w:sz w:val="24"/>
          <w:szCs w:val="24"/>
        </w:rPr>
        <w:lastRenderedPageBreak/>
        <w:t>preserve anonymity, t</w:t>
      </w:r>
      <w:r w:rsidR="005279CF" w:rsidRPr="005279CF">
        <w:rPr>
          <w:rFonts w:ascii="Times New Roman" w:hAnsi="Times New Roman" w:cs="Times New Roman"/>
          <w:sz w:val="24"/>
          <w:szCs w:val="24"/>
        </w:rPr>
        <w:t xml:space="preserve">he cases presented are not </w:t>
      </w:r>
      <w:r w:rsidR="000405A8">
        <w:rPr>
          <w:rFonts w:ascii="Times New Roman" w:hAnsi="Times New Roman" w:cs="Times New Roman"/>
          <w:sz w:val="24"/>
          <w:szCs w:val="24"/>
        </w:rPr>
        <w:t>actual</w:t>
      </w:r>
      <w:r w:rsidR="000405A8" w:rsidRPr="005279CF">
        <w:rPr>
          <w:rFonts w:ascii="Times New Roman" w:hAnsi="Times New Roman" w:cs="Times New Roman"/>
          <w:sz w:val="24"/>
          <w:szCs w:val="24"/>
        </w:rPr>
        <w:t xml:space="preserve"> </w:t>
      </w:r>
      <w:r w:rsidR="005279CF" w:rsidRPr="005279CF">
        <w:rPr>
          <w:rFonts w:ascii="Times New Roman" w:hAnsi="Times New Roman" w:cs="Times New Roman"/>
          <w:sz w:val="24"/>
          <w:szCs w:val="24"/>
        </w:rPr>
        <w:t xml:space="preserve">cases but an amalgamation of different </w:t>
      </w:r>
      <w:r w:rsidR="00AB5EA8">
        <w:rPr>
          <w:rFonts w:ascii="Times New Roman" w:hAnsi="Times New Roman" w:cs="Times New Roman"/>
          <w:sz w:val="24"/>
          <w:szCs w:val="24"/>
        </w:rPr>
        <w:t>cases</w:t>
      </w:r>
      <w:r w:rsidR="000405A8" w:rsidRPr="005279CF">
        <w:rPr>
          <w:rFonts w:ascii="Times New Roman" w:hAnsi="Times New Roman" w:cs="Times New Roman"/>
          <w:sz w:val="24"/>
          <w:szCs w:val="24"/>
        </w:rPr>
        <w:t xml:space="preserve"> </w:t>
      </w:r>
      <w:r w:rsidR="00AB5EA8">
        <w:rPr>
          <w:rFonts w:ascii="Times New Roman" w:hAnsi="Times New Roman" w:cs="Times New Roman"/>
          <w:sz w:val="24"/>
          <w:szCs w:val="24"/>
        </w:rPr>
        <w:t>representing</w:t>
      </w:r>
      <w:r w:rsidR="005279CF" w:rsidRPr="005279CF">
        <w:rPr>
          <w:rFonts w:ascii="Times New Roman" w:hAnsi="Times New Roman" w:cs="Times New Roman"/>
          <w:sz w:val="24"/>
          <w:szCs w:val="24"/>
        </w:rPr>
        <w:t xml:space="preserve"> typical presentations to the service.</w:t>
      </w:r>
    </w:p>
    <w:p w14:paraId="417FEA61" w14:textId="14732CBF" w:rsidR="005C1962" w:rsidRDefault="00573B47" w:rsidP="005C19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Victim </w:t>
      </w:r>
      <w:r w:rsidR="005279CF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Mental Capacity</w:t>
      </w:r>
      <w:r w:rsidR="00135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Who Discloses</w:t>
      </w:r>
    </w:p>
    <w:p w14:paraId="4F3426D2" w14:textId="63FB7A8A" w:rsidR="0043223C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60E">
        <w:rPr>
          <w:rFonts w:ascii="Times New Roman" w:hAnsi="Times New Roman" w:cs="Times New Roman"/>
          <w:sz w:val="24"/>
          <w:szCs w:val="24"/>
        </w:rPr>
        <w:t>A 75-year-old</w:t>
      </w:r>
      <w:r w:rsidR="009369F0">
        <w:rPr>
          <w:rFonts w:ascii="Times New Roman" w:hAnsi="Times New Roman" w:cs="Times New Roman"/>
          <w:sz w:val="24"/>
          <w:szCs w:val="24"/>
        </w:rPr>
        <w:t xml:space="preserve"> woman</w:t>
      </w:r>
      <w:r w:rsidR="009726B2">
        <w:rPr>
          <w:rFonts w:ascii="Times New Roman" w:hAnsi="Times New Roman" w:cs="Times New Roman"/>
          <w:sz w:val="24"/>
          <w:szCs w:val="24"/>
        </w:rPr>
        <w:t xml:space="preserve">,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9726B2">
        <w:rPr>
          <w:rFonts w:ascii="Times New Roman" w:hAnsi="Times New Roman" w:cs="Times New Roman"/>
          <w:sz w:val="24"/>
          <w:szCs w:val="24"/>
        </w:rPr>
        <w:t>,</w:t>
      </w:r>
      <w:r w:rsidR="009369F0">
        <w:rPr>
          <w:rFonts w:ascii="Times New Roman" w:hAnsi="Times New Roman" w:cs="Times New Roman"/>
          <w:sz w:val="24"/>
          <w:szCs w:val="24"/>
        </w:rPr>
        <w:t xml:space="preserve"> pres</w:t>
      </w:r>
      <w:r w:rsidR="005C6C83">
        <w:rPr>
          <w:rFonts w:ascii="Times New Roman" w:hAnsi="Times New Roman" w:cs="Times New Roman"/>
          <w:sz w:val="24"/>
          <w:szCs w:val="24"/>
        </w:rPr>
        <w:t>ent</w:t>
      </w:r>
      <w:r w:rsidR="00FC74BB">
        <w:rPr>
          <w:rFonts w:ascii="Times New Roman" w:hAnsi="Times New Roman" w:cs="Times New Roman"/>
          <w:sz w:val="24"/>
          <w:szCs w:val="24"/>
        </w:rPr>
        <w:t>ed</w:t>
      </w:r>
      <w:r w:rsidR="005C6C83">
        <w:rPr>
          <w:rFonts w:ascii="Times New Roman" w:hAnsi="Times New Roman" w:cs="Times New Roman"/>
          <w:sz w:val="24"/>
          <w:szCs w:val="24"/>
        </w:rPr>
        <w:t xml:space="preserve"> </w:t>
      </w:r>
      <w:r w:rsidR="0025238C">
        <w:rPr>
          <w:rFonts w:ascii="Times New Roman" w:hAnsi="Times New Roman" w:cs="Times New Roman"/>
          <w:sz w:val="24"/>
          <w:szCs w:val="24"/>
        </w:rPr>
        <w:t>with her son</w:t>
      </w:r>
      <w:r w:rsidR="00135CB5">
        <w:rPr>
          <w:rFonts w:ascii="Times New Roman" w:hAnsi="Times New Roman" w:cs="Times New Roman"/>
          <w:sz w:val="24"/>
          <w:szCs w:val="24"/>
        </w:rPr>
        <w:t>, John,</w:t>
      </w:r>
      <w:r w:rsidR="0025238C">
        <w:rPr>
          <w:rFonts w:ascii="Times New Roman" w:hAnsi="Times New Roman" w:cs="Times New Roman"/>
          <w:sz w:val="24"/>
          <w:szCs w:val="24"/>
        </w:rPr>
        <w:t xml:space="preserve"> </w:t>
      </w:r>
      <w:r w:rsidR="005C6C83">
        <w:rPr>
          <w:rFonts w:ascii="Times New Roman" w:hAnsi="Times New Roman" w:cs="Times New Roman"/>
          <w:sz w:val="24"/>
          <w:szCs w:val="24"/>
        </w:rPr>
        <w:t xml:space="preserve">to the </w:t>
      </w:r>
      <w:r w:rsidR="0024176C">
        <w:rPr>
          <w:rFonts w:ascii="Times New Roman" w:hAnsi="Times New Roman" w:cs="Times New Roman"/>
          <w:sz w:val="24"/>
          <w:szCs w:val="24"/>
        </w:rPr>
        <w:t>ED</w:t>
      </w:r>
      <w:r w:rsidR="0025238C">
        <w:rPr>
          <w:rFonts w:ascii="Times New Roman" w:hAnsi="Times New Roman" w:cs="Times New Roman"/>
          <w:sz w:val="24"/>
          <w:szCs w:val="24"/>
        </w:rPr>
        <w:t xml:space="preserve"> </w:t>
      </w:r>
      <w:r w:rsidR="00E87884">
        <w:rPr>
          <w:rFonts w:ascii="Times New Roman" w:hAnsi="Times New Roman" w:cs="Times New Roman"/>
          <w:sz w:val="24"/>
          <w:szCs w:val="24"/>
        </w:rPr>
        <w:t>by ambulance with a fractured hip</w:t>
      </w:r>
      <w:r w:rsidR="008F4C97">
        <w:rPr>
          <w:rFonts w:ascii="Times New Roman" w:hAnsi="Times New Roman" w:cs="Times New Roman"/>
          <w:sz w:val="24"/>
          <w:szCs w:val="24"/>
        </w:rPr>
        <w:t xml:space="preserve">. </w:t>
      </w:r>
      <w:r w:rsidR="003A12D3">
        <w:rPr>
          <w:rFonts w:ascii="Times New Roman" w:hAnsi="Times New Roman" w:cs="Times New Roman"/>
          <w:sz w:val="24"/>
          <w:szCs w:val="24"/>
        </w:rPr>
        <w:t>Her</w:t>
      </w:r>
      <w:r w:rsidR="00FC74BB">
        <w:rPr>
          <w:rFonts w:ascii="Times New Roman" w:hAnsi="Times New Roman" w:cs="Times New Roman"/>
          <w:sz w:val="24"/>
          <w:szCs w:val="24"/>
        </w:rPr>
        <w:t xml:space="preserve"> injuries </w:t>
      </w:r>
      <w:r w:rsidR="0025238C">
        <w:rPr>
          <w:rFonts w:ascii="Times New Roman" w:hAnsi="Times New Roman" w:cs="Times New Roman"/>
          <w:sz w:val="24"/>
          <w:szCs w:val="24"/>
        </w:rPr>
        <w:t xml:space="preserve">were consistent with the history provided and the reported accidental fall. However, </w:t>
      </w:r>
      <w:r w:rsidR="00614D99">
        <w:rPr>
          <w:rFonts w:ascii="Times New Roman" w:hAnsi="Times New Roman" w:cs="Times New Roman"/>
          <w:sz w:val="24"/>
          <w:szCs w:val="24"/>
        </w:rPr>
        <w:t xml:space="preserve">later on </w:t>
      </w:r>
      <w:r w:rsidR="000405A8">
        <w:rPr>
          <w:rFonts w:ascii="Times New Roman" w:hAnsi="Times New Roman" w:cs="Times New Roman"/>
          <w:sz w:val="24"/>
          <w:szCs w:val="24"/>
        </w:rPr>
        <w:t xml:space="preserve">during </w:t>
      </w:r>
      <w:r w:rsidR="00614D99">
        <w:rPr>
          <w:rFonts w:ascii="Times New Roman" w:hAnsi="Times New Roman" w:cs="Times New Roman"/>
          <w:sz w:val="24"/>
          <w:szCs w:val="24"/>
        </w:rPr>
        <w:t xml:space="preserve">the </w:t>
      </w:r>
      <w:r w:rsidR="000405A8">
        <w:rPr>
          <w:rFonts w:ascii="Times New Roman" w:hAnsi="Times New Roman" w:cs="Times New Roman"/>
          <w:sz w:val="24"/>
          <w:szCs w:val="24"/>
        </w:rPr>
        <w:t xml:space="preserve">course of treatment,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614D99">
        <w:rPr>
          <w:rFonts w:ascii="Times New Roman" w:hAnsi="Times New Roman" w:cs="Times New Roman"/>
          <w:sz w:val="24"/>
          <w:szCs w:val="24"/>
        </w:rPr>
        <w:t xml:space="preserve"> would disclose that the</w:t>
      </w:r>
      <w:r w:rsidR="00B613B7">
        <w:rPr>
          <w:rFonts w:ascii="Times New Roman" w:hAnsi="Times New Roman" w:cs="Times New Roman"/>
          <w:sz w:val="24"/>
          <w:szCs w:val="24"/>
        </w:rPr>
        <w:t xml:space="preserve"> fall was a result of a</w:t>
      </w:r>
      <w:r w:rsidR="0025238C">
        <w:rPr>
          <w:rFonts w:ascii="Times New Roman" w:hAnsi="Times New Roman" w:cs="Times New Roman"/>
          <w:sz w:val="24"/>
          <w:szCs w:val="24"/>
        </w:rPr>
        <w:t xml:space="preserve"> physical assault by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25238C">
        <w:rPr>
          <w:rFonts w:ascii="Times New Roman" w:hAnsi="Times New Roman" w:cs="Times New Roman"/>
          <w:sz w:val="24"/>
          <w:szCs w:val="24"/>
        </w:rPr>
        <w:t xml:space="preserve">.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9F760E">
        <w:rPr>
          <w:rFonts w:ascii="Times New Roman" w:hAnsi="Times New Roman" w:cs="Times New Roman"/>
          <w:sz w:val="24"/>
          <w:szCs w:val="24"/>
        </w:rPr>
        <w:t xml:space="preserve"> faced multiple barriers to </w:t>
      </w:r>
      <w:r w:rsidR="005645C2">
        <w:rPr>
          <w:rFonts w:ascii="Times New Roman" w:hAnsi="Times New Roman" w:cs="Times New Roman"/>
          <w:sz w:val="24"/>
          <w:szCs w:val="24"/>
        </w:rPr>
        <w:t>spontaneous</w:t>
      </w:r>
      <w:r w:rsidR="00FB1B10">
        <w:rPr>
          <w:rFonts w:ascii="Times New Roman" w:hAnsi="Times New Roman" w:cs="Times New Roman"/>
          <w:sz w:val="24"/>
          <w:szCs w:val="24"/>
        </w:rPr>
        <w:t xml:space="preserve"> disclosure</w:t>
      </w:r>
      <w:r w:rsidR="009C4738">
        <w:rPr>
          <w:rFonts w:ascii="Times New Roman" w:hAnsi="Times New Roman" w:cs="Times New Roman"/>
          <w:sz w:val="24"/>
          <w:szCs w:val="24"/>
        </w:rPr>
        <w:t>.</w:t>
      </w:r>
      <w:r w:rsidR="00FB1B10">
        <w:rPr>
          <w:rFonts w:ascii="Times New Roman" w:hAnsi="Times New Roman" w:cs="Times New Roman"/>
          <w:sz w:val="24"/>
          <w:szCs w:val="24"/>
        </w:rPr>
        <w:t xml:space="preserve"> </w:t>
      </w:r>
      <w:r w:rsidR="0024176C">
        <w:rPr>
          <w:rFonts w:ascii="Times New Roman" w:hAnsi="Times New Roman" w:cs="Times New Roman"/>
          <w:sz w:val="24"/>
          <w:szCs w:val="24"/>
        </w:rPr>
        <w:t>Generally t</w:t>
      </w:r>
      <w:r w:rsidR="00A926BA">
        <w:rPr>
          <w:rFonts w:ascii="Times New Roman" w:hAnsi="Times New Roman" w:cs="Times New Roman"/>
          <w:sz w:val="24"/>
          <w:szCs w:val="24"/>
        </w:rPr>
        <w:t xml:space="preserve">here are challenges for detection and screening in </w:t>
      </w:r>
      <w:r w:rsidR="00692BD8">
        <w:rPr>
          <w:rFonts w:ascii="Times New Roman" w:hAnsi="Times New Roman" w:cs="Times New Roman"/>
          <w:sz w:val="24"/>
          <w:szCs w:val="24"/>
        </w:rPr>
        <w:t>E</w:t>
      </w:r>
      <w:r w:rsidR="00FD1905">
        <w:rPr>
          <w:rFonts w:ascii="Times New Roman" w:hAnsi="Times New Roman" w:cs="Times New Roman"/>
          <w:sz w:val="24"/>
          <w:szCs w:val="24"/>
        </w:rPr>
        <w:t>D</w:t>
      </w:r>
      <w:r w:rsidR="00692BD8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3A12D3">
        <w:rPr>
          <w:rFonts w:ascii="Times New Roman" w:hAnsi="Times New Roman" w:cs="Times New Roman"/>
          <w:sz w:val="24"/>
          <w:szCs w:val="24"/>
        </w:rPr>
        <w:t>s</w:t>
      </w:r>
      <w:r w:rsidR="008F4C97">
        <w:rPr>
          <w:rFonts w:ascii="Times New Roman" w:hAnsi="Times New Roman" w:cs="Times New Roman"/>
          <w:sz w:val="24"/>
          <w:szCs w:val="24"/>
        </w:rPr>
        <w:t>,</w:t>
      </w:r>
      <w:r w:rsidR="003A12D3">
        <w:rPr>
          <w:rFonts w:ascii="Times New Roman" w:hAnsi="Times New Roman" w:cs="Times New Roman"/>
          <w:sz w:val="24"/>
          <w:szCs w:val="24"/>
        </w:rPr>
        <w:t xml:space="preserve"> including brief encounters with staff that limit rapport and trust building opportunities</w:t>
      </w:r>
      <w:r w:rsidR="003456B0">
        <w:rPr>
          <w:rFonts w:ascii="Times New Roman" w:hAnsi="Times New Roman" w:cs="Times New Roman"/>
          <w:sz w:val="24"/>
          <w:szCs w:val="24"/>
        </w:rPr>
        <w:t xml:space="preserve">. </w:t>
      </w:r>
      <w:r w:rsidR="0024176C">
        <w:rPr>
          <w:rFonts w:ascii="Times New Roman" w:hAnsi="Times New Roman" w:cs="Times New Roman"/>
          <w:sz w:val="24"/>
          <w:szCs w:val="24"/>
        </w:rPr>
        <w:t>I</w:t>
      </w:r>
      <w:r w:rsidR="003A12D3">
        <w:rPr>
          <w:rFonts w:ascii="Times New Roman" w:hAnsi="Times New Roman" w:cs="Times New Roman"/>
          <w:sz w:val="24"/>
          <w:szCs w:val="24"/>
        </w:rPr>
        <w:t>n this case</w:t>
      </w:r>
      <w:r w:rsidR="008F4C97">
        <w:rPr>
          <w:rFonts w:ascii="Times New Roman" w:hAnsi="Times New Roman" w:cs="Times New Roman"/>
          <w:sz w:val="24"/>
          <w:szCs w:val="24"/>
        </w:rPr>
        <w:t>,</w:t>
      </w:r>
      <w:r w:rsidR="003A12D3">
        <w:rPr>
          <w:rFonts w:ascii="Times New Roman" w:hAnsi="Times New Roman" w:cs="Times New Roman"/>
          <w:sz w:val="24"/>
          <w:szCs w:val="24"/>
        </w:rPr>
        <w:t xml:space="preserve"> t</w:t>
      </w:r>
      <w:r w:rsidR="00FC74BB">
        <w:rPr>
          <w:rFonts w:ascii="Times New Roman" w:hAnsi="Times New Roman" w:cs="Times New Roman"/>
          <w:sz w:val="24"/>
          <w:szCs w:val="24"/>
        </w:rPr>
        <w:t>he l</w:t>
      </w:r>
      <w:r w:rsidR="00FB1B10">
        <w:rPr>
          <w:rFonts w:ascii="Times New Roman" w:hAnsi="Times New Roman" w:cs="Times New Roman"/>
          <w:sz w:val="24"/>
          <w:szCs w:val="24"/>
        </w:rPr>
        <w:t>evel of pain,</w:t>
      </w:r>
      <w:r w:rsidR="003456B0">
        <w:rPr>
          <w:rFonts w:ascii="Times New Roman" w:hAnsi="Times New Roman" w:cs="Times New Roman"/>
          <w:sz w:val="24"/>
          <w:szCs w:val="24"/>
        </w:rPr>
        <w:t xml:space="preserve"> l</w:t>
      </w:r>
      <w:r w:rsidR="00E87884">
        <w:rPr>
          <w:rFonts w:ascii="Times New Roman" w:hAnsi="Times New Roman" w:cs="Times New Roman"/>
          <w:sz w:val="24"/>
          <w:szCs w:val="24"/>
        </w:rPr>
        <w:t>ack of privacy</w:t>
      </w:r>
      <w:r w:rsidR="007D493C">
        <w:rPr>
          <w:rFonts w:ascii="Times New Roman" w:hAnsi="Times New Roman" w:cs="Times New Roman"/>
          <w:sz w:val="24"/>
          <w:szCs w:val="24"/>
        </w:rPr>
        <w:t>,</w:t>
      </w:r>
      <w:r w:rsidR="00E87884">
        <w:rPr>
          <w:rFonts w:ascii="Times New Roman" w:hAnsi="Times New Roman" w:cs="Times New Roman"/>
          <w:sz w:val="24"/>
          <w:szCs w:val="24"/>
        </w:rPr>
        <w:t xml:space="preserve"> and presence of the abuser </w:t>
      </w:r>
      <w:r w:rsidR="003A12D3">
        <w:rPr>
          <w:rFonts w:ascii="Times New Roman" w:hAnsi="Times New Roman" w:cs="Times New Roman"/>
          <w:sz w:val="24"/>
          <w:szCs w:val="24"/>
        </w:rPr>
        <w:t xml:space="preserve">during </w:t>
      </w:r>
      <w:r w:rsidR="00E87884">
        <w:rPr>
          <w:rFonts w:ascii="Times New Roman" w:hAnsi="Times New Roman" w:cs="Times New Roman"/>
          <w:sz w:val="24"/>
          <w:szCs w:val="24"/>
        </w:rPr>
        <w:t>history taking</w:t>
      </w:r>
      <w:r w:rsidR="005645C2">
        <w:rPr>
          <w:rFonts w:ascii="Times New Roman" w:hAnsi="Times New Roman" w:cs="Times New Roman"/>
          <w:sz w:val="24"/>
          <w:szCs w:val="24"/>
        </w:rPr>
        <w:t xml:space="preserve"> and assessments</w:t>
      </w:r>
      <w:r w:rsidR="00FB1B10">
        <w:rPr>
          <w:rFonts w:ascii="Times New Roman" w:hAnsi="Times New Roman" w:cs="Times New Roman"/>
          <w:sz w:val="24"/>
          <w:szCs w:val="24"/>
        </w:rPr>
        <w:t xml:space="preserve"> </w:t>
      </w:r>
      <w:r w:rsidR="003A12D3">
        <w:rPr>
          <w:rFonts w:ascii="Times New Roman" w:hAnsi="Times New Roman" w:cs="Times New Roman"/>
          <w:sz w:val="24"/>
          <w:szCs w:val="24"/>
        </w:rPr>
        <w:t xml:space="preserve">likely </w:t>
      </w:r>
      <w:r w:rsidR="00FB1B10">
        <w:rPr>
          <w:rFonts w:ascii="Times New Roman" w:hAnsi="Times New Roman" w:cs="Times New Roman"/>
          <w:sz w:val="24"/>
          <w:szCs w:val="24"/>
        </w:rPr>
        <w:t>contributed to</w:t>
      </w:r>
      <w:r w:rsidR="005645C2">
        <w:rPr>
          <w:rFonts w:ascii="Times New Roman" w:hAnsi="Times New Roman" w:cs="Times New Roman"/>
          <w:sz w:val="24"/>
          <w:szCs w:val="24"/>
        </w:rPr>
        <w:t xml:space="preserve">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3456B0">
        <w:rPr>
          <w:rFonts w:ascii="Times New Roman" w:hAnsi="Times New Roman" w:cs="Times New Roman"/>
          <w:sz w:val="24"/>
          <w:szCs w:val="24"/>
        </w:rPr>
        <w:t xml:space="preserve"> </w:t>
      </w:r>
      <w:r w:rsidR="0024176C">
        <w:rPr>
          <w:rFonts w:ascii="Times New Roman" w:hAnsi="Times New Roman" w:cs="Times New Roman"/>
          <w:sz w:val="24"/>
          <w:szCs w:val="24"/>
        </w:rPr>
        <w:t xml:space="preserve">initially </w:t>
      </w:r>
      <w:r w:rsidR="003456B0">
        <w:rPr>
          <w:rFonts w:ascii="Times New Roman" w:hAnsi="Times New Roman" w:cs="Times New Roman"/>
          <w:sz w:val="24"/>
          <w:szCs w:val="24"/>
        </w:rPr>
        <w:t>reporting the fall as accidental.</w:t>
      </w:r>
      <w:r w:rsidR="00E87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D6369" w14:textId="4198F625" w:rsidR="00A77685" w:rsidRDefault="00FB5BB9" w:rsidP="00A776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43223C">
        <w:rPr>
          <w:rFonts w:ascii="Times New Roman" w:hAnsi="Times New Roman" w:cs="Times New Roman"/>
          <w:sz w:val="24"/>
          <w:szCs w:val="24"/>
        </w:rPr>
        <w:t xml:space="preserve"> was admitted for surgery and then to the rehab department where she form</w:t>
      </w:r>
      <w:r w:rsidR="009C4738">
        <w:rPr>
          <w:rFonts w:ascii="Times New Roman" w:hAnsi="Times New Roman" w:cs="Times New Roman"/>
          <w:sz w:val="24"/>
          <w:szCs w:val="24"/>
        </w:rPr>
        <w:t>ed a trusting rapport with the social worker</w:t>
      </w:r>
      <w:r w:rsidR="00DA7450">
        <w:rPr>
          <w:rFonts w:ascii="Times New Roman" w:hAnsi="Times New Roman" w:cs="Times New Roman"/>
          <w:sz w:val="24"/>
          <w:szCs w:val="24"/>
        </w:rPr>
        <w:t xml:space="preserve"> (SW)</w:t>
      </w:r>
      <w:r w:rsidR="0043223C">
        <w:rPr>
          <w:rFonts w:ascii="Times New Roman" w:hAnsi="Times New Roman" w:cs="Times New Roman"/>
          <w:sz w:val="24"/>
          <w:szCs w:val="24"/>
        </w:rPr>
        <w:t xml:space="preserve"> responsible for discharge planning. During her </w:t>
      </w:r>
      <w:r w:rsidR="00DA7450">
        <w:rPr>
          <w:rFonts w:ascii="Times New Roman" w:hAnsi="Times New Roman" w:cs="Times New Roman"/>
          <w:sz w:val="24"/>
          <w:szCs w:val="24"/>
        </w:rPr>
        <w:t>admission</w:t>
      </w:r>
      <w:r w:rsidR="00692BD8">
        <w:rPr>
          <w:rFonts w:ascii="Times New Roman" w:hAnsi="Times New Roman" w:cs="Times New Roman"/>
          <w:sz w:val="24"/>
          <w:szCs w:val="24"/>
        </w:rPr>
        <w:t>,</w:t>
      </w:r>
      <w:r w:rsidR="00DA7450">
        <w:rPr>
          <w:rFonts w:ascii="Times New Roman" w:hAnsi="Times New Roman" w:cs="Times New Roman"/>
          <w:sz w:val="24"/>
          <w:szCs w:val="24"/>
        </w:rPr>
        <w:t xml:space="preserve"> the SW</w:t>
      </w:r>
      <w:r w:rsidR="0043223C">
        <w:rPr>
          <w:rFonts w:ascii="Times New Roman" w:hAnsi="Times New Roman" w:cs="Times New Roman"/>
          <w:sz w:val="24"/>
          <w:szCs w:val="24"/>
        </w:rPr>
        <w:t xml:space="preserve"> witnessed </w:t>
      </w:r>
      <w:r w:rsidR="00122D33">
        <w:rPr>
          <w:rFonts w:ascii="Times New Roman" w:hAnsi="Times New Roman" w:cs="Times New Roman"/>
          <w:sz w:val="24"/>
          <w:szCs w:val="24"/>
        </w:rPr>
        <w:t xml:space="preserve">an </w:t>
      </w:r>
      <w:r w:rsidR="00A77685">
        <w:rPr>
          <w:rFonts w:ascii="Times New Roman" w:hAnsi="Times New Roman" w:cs="Times New Roman"/>
          <w:sz w:val="24"/>
          <w:szCs w:val="24"/>
        </w:rPr>
        <w:t xml:space="preserve">aggressive verbal </w:t>
      </w:r>
      <w:r w:rsidR="00122D33">
        <w:rPr>
          <w:rFonts w:ascii="Times New Roman" w:hAnsi="Times New Roman" w:cs="Times New Roman"/>
          <w:sz w:val="24"/>
          <w:szCs w:val="24"/>
        </w:rPr>
        <w:t>interaction</w:t>
      </w:r>
      <w:r w:rsidR="00A77685">
        <w:rPr>
          <w:rFonts w:ascii="Times New Roman" w:hAnsi="Times New Roman" w:cs="Times New Roman"/>
          <w:sz w:val="24"/>
          <w:szCs w:val="24"/>
        </w:rPr>
        <w:t xml:space="preserve"> </w:t>
      </w:r>
      <w:r w:rsidR="0025238C">
        <w:rPr>
          <w:rFonts w:ascii="Times New Roman" w:hAnsi="Times New Roman" w:cs="Times New Roman"/>
          <w:sz w:val="24"/>
          <w:szCs w:val="24"/>
        </w:rPr>
        <w:t xml:space="preserve">between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25238C">
        <w:rPr>
          <w:rFonts w:ascii="Times New Roman" w:hAnsi="Times New Roman" w:cs="Times New Roman"/>
          <w:sz w:val="24"/>
          <w:szCs w:val="24"/>
        </w:rPr>
        <w:t xml:space="preserve"> and</w:t>
      </w:r>
      <w:r w:rsidR="00A77685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A77685">
        <w:rPr>
          <w:rFonts w:ascii="Times New Roman" w:hAnsi="Times New Roman" w:cs="Times New Roman"/>
          <w:sz w:val="24"/>
          <w:szCs w:val="24"/>
        </w:rPr>
        <w:t xml:space="preserve">. </w:t>
      </w:r>
      <w:r w:rsidR="00692BD8">
        <w:rPr>
          <w:rFonts w:ascii="Times New Roman" w:hAnsi="Times New Roman" w:cs="Times New Roman"/>
          <w:sz w:val="24"/>
          <w:szCs w:val="24"/>
        </w:rPr>
        <w:t>When</w:t>
      </w:r>
      <w:r w:rsidR="00DA7450">
        <w:rPr>
          <w:rFonts w:ascii="Times New Roman" w:hAnsi="Times New Roman" w:cs="Times New Roman"/>
          <w:sz w:val="24"/>
          <w:szCs w:val="24"/>
        </w:rPr>
        <w:t xml:space="preserve"> the SW</w:t>
      </w:r>
      <w:r w:rsidR="00A77685">
        <w:rPr>
          <w:rFonts w:ascii="Times New Roman" w:hAnsi="Times New Roman" w:cs="Times New Roman"/>
          <w:sz w:val="24"/>
          <w:szCs w:val="24"/>
        </w:rPr>
        <w:t xml:space="preserve"> directly expressed her concerns to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FC74BB">
        <w:rPr>
          <w:rFonts w:ascii="Times New Roman" w:hAnsi="Times New Roman" w:cs="Times New Roman"/>
          <w:sz w:val="24"/>
          <w:szCs w:val="24"/>
        </w:rPr>
        <w:t>,</w:t>
      </w:r>
      <w:r w:rsidR="00A77685">
        <w:rPr>
          <w:rFonts w:ascii="Times New Roman" w:hAnsi="Times New Roman" w:cs="Times New Roman"/>
          <w:sz w:val="24"/>
          <w:szCs w:val="24"/>
        </w:rPr>
        <w:t xml:space="preserve"> she admitte</w:t>
      </w:r>
      <w:r w:rsidR="009C4738">
        <w:rPr>
          <w:rFonts w:ascii="Times New Roman" w:hAnsi="Times New Roman" w:cs="Times New Roman"/>
          <w:sz w:val="24"/>
          <w:szCs w:val="24"/>
        </w:rPr>
        <w:t xml:space="preserve">d to a history of </w:t>
      </w:r>
      <w:r w:rsidR="00A77685">
        <w:rPr>
          <w:rFonts w:ascii="Times New Roman" w:hAnsi="Times New Roman" w:cs="Times New Roman"/>
          <w:sz w:val="24"/>
          <w:szCs w:val="24"/>
        </w:rPr>
        <w:t>emotional abuse</w:t>
      </w:r>
      <w:r w:rsidR="00266F13">
        <w:rPr>
          <w:rFonts w:ascii="Times New Roman" w:hAnsi="Times New Roman" w:cs="Times New Roman"/>
          <w:sz w:val="24"/>
          <w:szCs w:val="24"/>
        </w:rPr>
        <w:t xml:space="preserve"> and </w:t>
      </w:r>
      <w:r w:rsidR="00692BD8">
        <w:rPr>
          <w:rFonts w:ascii="Times New Roman" w:hAnsi="Times New Roman" w:cs="Times New Roman"/>
          <w:sz w:val="24"/>
          <w:szCs w:val="24"/>
        </w:rPr>
        <w:t xml:space="preserve">communicated </w:t>
      </w:r>
      <w:r w:rsidR="00266F13">
        <w:rPr>
          <w:rFonts w:ascii="Times New Roman" w:hAnsi="Times New Roman" w:cs="Times New Roman"/>
          <w:sz w:val="24"/>
          <w:szCs w:val="24"/>
        </w:rPr>
        <w:t xml:space="preserve">that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266F13">
        <w:rPr>
          <w:rFonts w:ascii="Times New Roman" w:hAnsi="Times New Roman" w:cs="Times New Roman"/>
          <w:sz w:val="24"/>
          <w:szCs w:val="24"/>
        </w:rPr>
        <w:t xml:space="preserve"> suffered from schizophrenia</w:t>
      </w:r>
      <w:r w:rsidR="00A77685">
        <w:rPr>
          <w:rFonts w:ascii="Times New Roman" w:hAnsi="Times New Roman" w:cs="Times New Roman"/>
          <w:sz w:val="24"/>
          <w:szCs w:val="24"/>
        </w:rPr>
        <w:t>.</w:t>
      </w:r>
      <w:r w:rsidR="0043223C">
        <w:rPr>
          <w:rFonts w:ascii="Times New Roman" w:hAnsi="Times New Roman" w:cs="Times New Roman"/>
          <w:sz w:val="24"/>
          <w:szCs w:val="24"/>
        </w:rPr>
        <w:t xml:space="preserve"> </w:t>
      </w:r>
      <w:r w:rsidR="00757455">
        <w:rPr>
          <w:rFonts w:ascii="Times New Roman" w:hAnsi="Times New Roman" w:cs="Times New Roman"/>
          <w:sz w:val="24"/>
          <w:szCs w:val="24"/>
        </w:rPr>
        <w:t xml:space="preserve">The SW had previously established a good working relationship with a </w:t>
      </w:r>
      <w:r w:rsidR="00A926BA">
        <w:rPr>
          <w:rFonts w:ascii="Times New Roman" w:hAnsi="Times New Roman" w:cs="Times New Roman"/>
          <w:sz w:val="24"/>
          <w:szCs w:val="24"/>
        </w:rPr>
        <w:t>particular</w:t>
      </w:r>
      <w:r w:rsidR="00757455">
        <w:rPr>
          <w:rFonts w:ascii="Times New Roman" w:hAnsi="Times New Roman" w:cs="Times New Roman"/>
          <w:sz w:val="24"/>
          <w:szCs w:val="24"/>
        </w:rPr>
        <w:t xml:space="preserve"> OAPS</w:t>
      </w:r>
      <w:r w:rsidR="00A926BA">
        <w:rPr>
          <w:rFonts w:ascii="Times New Roman" w:hAnsi="Times New Roman" w:cs="Times New Roman"/>
          <w:sz w:val="24"/>
          <w:szCs w:val="24"/>
        </w:rPr>
        <w:t xml:space="preserve"> </w:t>
      </w:r>
      <w:r w:rsidR="00614D99">
        <w:rPr>
          <w:rFonts w:ascii="Times New Roman" w:hAnsi="Times New Roman" w:cs="Times New Roman"/>
          <w:sz w:val="24"/>
          <w:szCs w:val="24"/>
        </w:rPr>
        <w:t xml:space="preserve">forensic </w:t>
      </w:r>
      <w:r w:rsidR="00A926BA">
        <w:rPr>
          <w:rFonts w:ascii="Times New Roman" w:hAnsi="Times New Roman" w:cs="Times New Roman"/>
          <w:sz w:val="24"/>
          <w:szCs w:val="24"/>
        </w:rPr>
        <w:t>nurse</w:t>
      </w:r>
      <w:r w:rsidR="00757455">
        <w:rPr>
          <w:rFonts w:ascii="Times New Roman" w:hAnsi="Times New Roman" w:cs="Times New Roman"/>
          <w:sz w:val="24"/>
          <w:szCs w:val="24"/>
        </w:rPr>
        <w:t xml:space="preserve">, and this relationship supported how the SW was able to respond to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757455">
        <w:rPr>
          <w:rFonts w:ascii="Times New Roman" w:hAnsi="Times New Roman" w:cs="Times New Roman"/>
          <w:sz w:val="24"/>
          <w:szCs w:val="24"/>
        </w:rPr>
        <w:t xml:space="preserve"> in that moment. </w:t>
      </w:r>
      <w:r w:rsidR="00DA7450">
        <w:rPr>
          <w:rFonts w:ascii="Times New Roman" w:hAnsi="Times New Roman" w:cs="Times New Roman"/>
          <w:sz w:val="24"/>
          <w:szCs w:val="24"/>
        </w:rPr>
        <w:t>The SW</w:t>
      </w:r>
      <w:r w:rsidR="00A77685">
        <w:rPr>
          <w:rFonts w:ascii="Times New Roman" w:hAnsi="Times New Roman" w:cs="Times New Roman"/>
          <w:sz w:val="24"/>
          <w:szCs w:val="24"/>
        </w:rPr>
        <w:t xml:space="preserve"> was able to </w:t>
      </w:r>
      <w:r w:rsidR="00757455">
        <w:rPr>
          <w:rFonts w:ascii="Times New Roman" w:hAnsi="Times New Roman" w:cs="Times New Roman"/>
          <w:sz w:val="24"/>
          <w:szCs w:val="24"/>
        </w:rPr>
        <w:t xml:space="preserve">vouch for the expertise and trustworthiness of the forensic nurse, and prior positive outcomes for her clients. The SW was able to </w:t>
      </w:r>
      <w:r w:rsidR="00A77685">
        <w:rPr>
          <w:rFonts w:ascii="Times New Roman" w:hAnsi="Times New Roman" w:cs="Times New Roman"/>
          <w:sz w:val="24"/>
          <w:szCs w:val="24"/>
        </w:rPr>
        <w:t>leverage trust</w:t>
      </w:r>
      <w:r w:rsidR="00757455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757455">
        <w:rPr>
          <w:rFonts w:ascii="Times New Roman" w:hAnsi="Times New Roman" w:cs="Times New Roman"/>
          <w:sz w:val="24"/>
          <w:szCs w:val="24"/>
        </w:rPr>
        <w:t xml:space="preserve"> consented to </w:t>
      </w:r>
      <w:r w:rsidR="00281AB5">
        <w:rPr>
          <w:rFonts w:ascii="Times New Roman" w:hAnsi="Times New Roman" w:cs="Times New Roman"/>
          <w:sz w:val="24"/>
          <w:szCs w:val="24"/>
        </w:rPr>
        <w:t xml:space="preserve">a </w:t>
      </w:r>
      <w:r w:rsidR="00757455">
        <w:rPr>
          <w:rFonts w:ascii="Times New Roman" w:hAnsi="Times New Roman" w:cs="Times New Roman"/>
          <w:sz w:val="24"/>
          <w:szCs w:val="24"/>
        </w:rPr>
        <w:t>referral to OAPS.</w:t>
      </w:r>
      <w:r w:rsidR="00A77685">
        <w:rPr>
          <w:rFonts w:ascii="Times New Roman" w:hAnsi="Times New Roman" w:cs="Times New Roman"/>
          <w:sz w:val="24"/>
          <w:szCs w:val="24"/>
        </w:rPr>
        <w:t xml:space="preserve"> </w:t>
      </w:r>
      <w:r w:rsidR="00EE73E2">
        <w:rPr>
          <w:rFonts w:ascii="Times New Roman" w:hAnsi="Times New Roman" w:cs="Times New Roman"/>
          <w:sz w:val="24"/>
          <w:szCs w:val="24"/>
        </w:rPr>
        <w:t>Within a rural community, the</w:t>
      </w:r>
      <w:r w:rsidR="00D73C4C">
        <w:rPr>
          <w:rFonts w:ascii="Times New Roman" w:hAnsi="Times New Roman" w:cs="Times New Roman"/>
          <w:sz w:val="24"/>
          <w:szCs w:val="24"/>
        </w:rPr>
        <w:t xml:space="preserve"> development of relationships betwe</w:t>
      </w:r>
      <w:r w:rsidR="009C4738">
        <w:rPr>
          <w:rFonts w:ascii="Times New Roman" w:hAnsi="Times New Roman" w:cs="Times New Roman"/>
          <w:sz w:val="24"/>
          <w:szCs w:val="24"/>
        </w:rPr>
        <w:t xml:space="preserve">en the forensic nurse and referral </w:t>
      </w:r>
      <w:r w:rsidR="00D73C4C">
        <w:rPr>
          <w:rFonts w:ascii="Times New Roman" w:hAnsi="Times New Roman" w:cs="Times New Roman"/>
          <w:sz w:val="24"/>
          <w:szCs w:val="24"/>
        </w:rPr>
        <w:t>service providers is essent</w:t>
      </w:r>
      <w:r w:rsidR="009C4738">
        <w:rPr>
          <w:rFonts w:ascii="Times New Roman" w:hAnsi="Times New Roman" w:cs="Times New Roman"/>
          <w:sz w:val="24"/>
          <w:szCs w:val="24"/>
        </w:rPr>
        <w:t>ial to succ</w:t>
      </w:r>
      <w:r w:rsidR="00DA7450">
        <w:rPr>
          <w:rFonts w:ascii="Times New Roman" w:hAnsi="Times New Roman" w:cs="Times New Roman"/>
          <w:sz w:val="24"/>
          <w:szCs w:val="24"/>
        </w:rPr>
        <w:t xml:space="preserve">essful access. The </w:t>
      </w:r>
      <w:r w:rsidR="00DA7450">
        <w:rPr>
          <w:rFonts w:ascii="Times New Roman" w:hAnsi="Times New Roman" w:cs="Times New Roman"/>
          <w:sz w:val="24"/>
          <w:szCs w:val="24"/>
        </w:rPr>
        <w:lastRenderedPageBreak/>
        <w:t>SW</w:t>
      </w:r>
      <w:r w:rsidR="00EE73E2">
        <w:rPr>
          <w:rFonts w:ascii="Times New Roman" w:hAnsi="Times New Roman" w:cs="Times New Roman"/>
          <w:sz w:val="24"/>
          <w:szCs w:val="24"/>
        </w:rPr>
        <w:t xml:space="preserve"> facilitated the first meeting </w:t>
      </w:r>
      <w:r w:rsidR="00757455">
        <w:rPr>
          <w:rFonts w:ascii="Times New Roman" w:hAnsi="Times New Roman" w:cs="Times New Roman"/>
          <w:sz w:val="24"/>
          <w:szCs w:val="24"/>
        </w:rPr>
        <w:t xml:space="preserve">between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757455">
        <w:rPr>
          <w:rFonts w:ascii="Times New Roman" w:hAnsi="Times New Roman" w:cs="Times New Roman"/>
          <w:sz w:val="24"/>
          <w:szCs w:val="24"/>
        </w:rPr>
        <w:t xml:space="preserve"> and the forensic </w:t>
      </w:r>
      <w:r w:rsidR="00537168">
        <w:rPr>
          <w:rFonts w:ascii="Times New Roman" w:hAnsi="Times New Roman" w:cs="Times New Roman"/>
          <w:sz w:val="24"/>
          <w:szCs w:val="24"/>
        </w:rPr>
        <w:t>nurse and</w:t>
      </w:r>
      <w:r w:rsidR="00EE73E2">
        <w:rPr>
          <w:rFonts w:ascii="Times New Roman" w:hAnsi="Times New Roman" w:cs="Times New Roman"/>
          <w:sz w:val="24"/>
          <w:szCs w:val="24"/>
        </w:rPr>
        <w:t xml:space="preserve"> left when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EE73E2">
        <w:rPr>
          <w:rFonts w:ascii="Times New Roman" w:hAnsi="Times New Roman" w:cs="Times New Roman"/>
          <w:sz w:val="24"/>
          <w:szCs w:val="24"/>
        </w:rPr>
        <w:t xml:space="preserve"> indicated she was comfortable.</w:t>
      </w:r>
    </w:p>
    <w:p w14:paraId="322BE913" w14:textId="3AA549CA" w:rsidR="00E87884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4C">
        <w:rPr>
          <w:rFonts w:ascii="Times New Roman" w:hAnsi="Times New Roman" w:cs="Times New Roman"/>
          <w:sz w:val="24"/>
          <w:szCs w:val="24"/>
        </w:rPr>
        <w:t xml:space="preserve">The forensic nurse met with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D73C4C">
        <w:rPr>
          <w:rFonts w:ascii="Times New Roman" w:hAnsi="Times New Roman" w:cs="Times New Roman"/>
          <w:sz w:val="24"/>
          <w:szCs w:val="24"/>
        </w:rPr>
        <w:t xml:space="preserve"> several times </w:t>
      </w:r>
      <w:r w:rsidR="0024176C">
        <w:rPr>
          <w:rFonts w:ascii="Times New Roman" w:hAnsi="Times New Roman" w:cs="Times New Roman"/>
          <w:sz w:val="24"/>
          <w:szCs w:val="24"/>
        </w:rPr>
        <w:t xml:space="preserve">during </w:t>
      </w:r>
      <w:r w:rsidR="00371A08">
        <w:rPr>
          <w:rFonts w:ascii="Times New Roman" w:hAnsi="Times New Roman" w:cs="Times New Roman"/>
          <w:sz w:val="24"/>
          <w:szCs w:val="24"/>
        </w:rPr>
        <w:t xml:space="preserve">the course of </w:t>
      </w:r>
      <w:r w:rsidR="00281AB5">
        <w:rPr>
          <w:rFonts w:ascii="Times New Roman" w:hAnsi="Times New Roman" w:cs="Times New Roman"/>
          <w:sz w:val="24"/>
          <w:szCs w:val="24"/>
        </w:rPr>
        <w:t xml:space="preserve">the </w:t>
      </w:r>
      <w:r w:rsidR="00371A08">
        <w:rPr>
          <w:rFonts w:ascii="Times New Roman" w:hAnsi="Times New Roman" w:cs="Times New Roman"/>
          <w:sz w:val="24"/>
          <w:szCs w:val="24"/>
        </w:rPr>
        <w:t>disclosure</w:t>
      </w:r>
      <w:r w:rsidR="009C4738">
        <w:rPr>
          <w:rFonts w:ascii="Times New Roman" w:hAnsi="Times New Roman" w:cs="Times New Roman"/>
          <w:sz w:val="24"/>
          <w:szCs w:val="24"/>
        </w:rPr>
        <w:t xml:space="preserve"> of the physical and emotional</w:t>
      </w:r>
      <w:r w:rsidR="00D73C4C">
        <w:rPr>
          <w:rFonts w:ascii="Times New Roman" w:hAnsi="Times New Roman" w:cs="Times New Roman"/>
          <w:sz w:val="24"/>
          <w:szCs w:val="24"/>
        </w:rPr>
        <w:t xml:space="preserve"> </w:t>
      </w:r>
      <w:r w:rsidR="008C1A2A">
        <w:rPr>
          <w:rFonts w:ascii="Times New Roman" w:hAnsi="Times New Roman" w:cs="Times New Roman"/>
          <w:sz w:val="24"/>
          <w:szCs w:val="24"/>
        </w:rPr>
        <w:t>abuse</w:t>
      </w:r>
      <w:r w:rsidR="00D73C4C">
        <w:rPr>
          <w:rFonts w:ascii="Times New Roman" w:hAnsi="Times New Roman" w:cs="Times New Roman"/>
          <w:sz w:val="24"/>
          <w:szCs w:val="24"/>
        </w:rPr>
        <w:t xml:space="preserve">. </w:t>
      </w:r>
      <w:r w:rsidR="00614D99">
        <w:rPr>
          <w:rFonts w:ascii="Times New Roman" w:hAnsi="Times New Roman" w:cs="Times New Roman"/>
          <w:sz w:val="24"/>
          <w:szCs w:val="24"/>
        </w:rPr>
        <w:t>Mary eventually disclosed that John had developed paranoid i</w:t>
      </w:r>
      <w:r w:rsidR="00503C32">
        <w:rPr>
          <w:rFonts w:ascii="Times New Roman" w:hAnsi="Times New Roman" w:cs="Times New Roman"/>
          <w:sz w:val="24"/>
          <w:szCs w:val="24"/>
        </w:rPr>
        <w:t>deas that she had been withholding his mail which escalated to an incident involving being slapped across the face and pushed, leading to her fall.</w:t>
      </w:r>
      <w:r w:rsidR="00AA2BA6">
        <w:rPr>
          <w:rFonts w:ascii="Times New Roman" w:hAnsi="Times New Roman" w:cs="Times New Roman"/>
          <w:sz w:val="24"/>
          <w:szCs w:val="24"/>
        </w:rPr>
        <w:t xml:space="preserve"> </w:t>
      </w:r>
      <w:r w:rsidR="00D73C4C">
        <w:rPr>
          <w:rFonts w:ascii="Times New Roman" w:hAnsi="Times New Roman" w:cs="Times New Roman"/>
          <w:sz w:val="24"/>
          <w:szCs w:val="24"/>
        </w:rPr>
        <w:t>Throu</w:t>
      </w:r>
      <w:r w:rsidR="003F0CB5">
        <w:rPr>
          <w:rFonts w:ascii="Times New Roman" w:hAnsi="Times New Roman" w:cs="Times New Roman"/>
          <w:sz w:val="24"/>
          <w:szCs w:val="24"/>
        </w:rPr>
        <w:t xml:space="preserve">gh the process of </w:t>
      </w:r>
      <w:r w:rsidR="00D73C4C">
        <w:rPr>
          <w:rFonts w:ascii="Times New Roman" w:hAnsi="Times New Roman" w:cs="Times New Roman"/>
          <w:sz w:val="24"/>
          <w:szCs w:val="24"/>
        </w:rPr>
        <w:t xml:space="preserve">engaging with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D73C4C">
        <w:rPr>
          <w:rFonts w:ascii="Times New Roman" w:hAnsi="Times New Roman" w:cs="Times New Roman"/>
          <w:sz w:val="24"/>
          <w:szCs w:val="24"/>
        </w:rPr>
        <w:t>, barriers to discl</w:t>
      </w:r>
      <w:r w:rsidR="00EE73E2">
        <w:rPr>
          <w:rFonts w:ascii="Times New Roman" w:hAnsi="Times New Roman" w:cs="Times New Roman"/>
          <w:sz w:val="24"/>
          <w:szCs w:val="24"/>
        </w:rPr>
        <w:t>osure were</w:t>
      </w:r>
      <w:r w:rsidR="00D73C4C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AB7A04">
        <w:rPr>
          <w:rFonts w:ascii="Times New Roman" w:hAnsi="Times New Roman" w:cs="Times New Roman"/>
          <w:sz w:val="24"/>
          <w:szCs w:val="24"/>
        </w:rPr>
        <w:t xml:space="preserve"> and addressed</w:t>
      </w:r>
      <w:r w:rsidR="00371A08">
        <w:rPr>
          <w:rFonts w:ascii="Times New Roman" w:hAnsi="Times New Roman" w:cs="Times New Roman"/>
          <w:sz w:val="24"/>
          <w:szCs w:val="24"/>
        </w:rPr>
        <w:t>,</w:t>
      </w:r>
      <w:r w:rsidR="00D73C4C">
        <w:rPr>
          <w:rFonts w:ascii="Times New Roman" w:hAnsi="Times New Roman" w:cs="Times New Roman"/>
          <w:sz w:val="24"/>
          <w:szCs w:val="24"/>
        </w:rPr>
        <w:t xml:space="preserve"> </w:t>
      </w:r>
      <w:r w:rsidR="003F0CB5">
        <w:rPr>
          <w:rFonts w:ascii="Times New Roman" w:hAnsi="Times New Roman" w:cs="Times New Roman"/>
          <w:sz w:val="24"/>
          <w:szCs w:val="24"/>
        </w:rPr>
        <w:t xml:space="preserve">beginning with </w:t>
      </w:r>
      <w:r w:rsidR="008C1A2A">
        <w:rPr>
          <w:rFonts w:ascii="Times New Roman" w:hAnsi="Times New Roman" w:cs="Times New Roman"/>
          <w:sz w:val="24"/>
          <w:szCs w:val="24"/>
        </w:rPr>
        <w:t>confidentiality</w:t>
      </w:r>
      <w:r w:rsidR="00EE73E2">
        <w:rPr>
          <w:rFonts w:ascii="Times New Roman" w:hAnsi="Times New Roman" w:cs="Times New Roman"/>
          <w:sz w:val="24"/>
          <w:szCs w:val="24"/>
        </w:rPr>
        <w:t>.</w:t>
      </w:r>
      <w:r w:rsidR="008C1A2A">
        <w:rPr>
          <w:rFonts w:ascii="Times New Roman" w:hAnsi="Times New Roman" w:cs="Times New Roman"/>
          <w:sz w:val="24"/>
          <w:szCs w:val="24"/>
        </w:rPr>
        <w:t xml:space="preserve"> Meetings occurred in locations that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8C1A2A">
        <w:rPr>
          <w:rFonts w:ascii="Times New Roman" w:hAnsi="Times New Roman" w:cs="Times New Roman"/>
          <w:sz w:val="24"/>
          <w:szCs w:val="24"/>
        </w:rPr>
        <w:t xml:space="preserve"> could not </w:t>
      </w:r>
      <w:r w:rsidR="00111290">
        <w:rPr>
          <w:rFonts w:ascii="Times New Roman" w:hAnsi="Times New Roman" w:cs="Times New Roman"/>
          <w:sz w:val="24"/>
          <w:szCs w:val="24"/>
        </w:rPr>
        <w:t>access,</w:t>
      </w:r>
      <w:r w:rsidR="008C1A2A">
        <w:rPr>
          <w:rFonts w:ascii="Times New Roman" w:hAnsi="Times New Roman" w:cs="Times New Roman"/>
          <w:sz w:val="24"/>
          <w:szCs w:val="24"/>
        </w:rPr>
        <w:t xml:space="preserve"> and unit </w:t>
      </w:r>
      <w:r w:rsidR="005279CF">
        <w:rPr>
          <w:rFonts w:ascii="Times New Roman" w:hAnsi="Times New Roman" w:cs="Times New Roman"/>
          <w:sz w:val="24"/>
          <w:szCs w:val="24"/>
        </w:rPr>
        <w:t>staff w</w:t>
      </w:r>
      <w:r w:rsidR="0024176C">
        <w:rPr>
          <w:rFonts w:ascii="Times New Roman" w:hAnsi="Times New Roman" w:cs="Times New Roman"/>
          <w:sz w:val="24"/>
          <w:szCs w:val="24"/>
        </w:rPr>
        <w:t>ere</w:t>
      </w:r>
      <w:r w:rsidR="008C1A2A">
        <w:rPr>
          <w:rFonts w:ascii="Times New Roman" w:hAnsi="Times New Roman" w:cs="Times New Roman"/>
          <w:sz w:val="24"/>
          <w:szCs w:val="24"/>
        </w:rPr>
        <w:t xml:space="preserve"> prompted on how to manage</w:t>
      </w:r>
      <w:r w:rsidR="00111290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8C1A2A">
        <w:rPr>
          <w:rFonts w:ascii="Times New Roman" w:hAnsi="Times New Roman" w:cs="Times New Roman"/>
          <w:sz w:val="24"/>
          <w:szCs w:val="24"/>
        </w:rPr>
        <w:t xml:space="preserve">’s enquiries if he presented to the unit. Confidentiality </w:t>
      </w:r>
      <w:r w:rsidR="007530CB">
        <w:rPr>
          <w:rFonts w:ascii="Times New Roman" w:hAnsi="Times New Roman" w:cs="Times New Roman"/>
          <w:sz w:val="24"/>
          <w:szCs w:val="24"/>
        </w:rPr>
        <w:t>was</w:t>
      </w:r>
      <w:r w:rsidR="00AB7A04">
        <w:rPr>
          <w:rFonts w:ascii="Times New Roman" w:hAnsi="Times New Roman" w:cs="Times New Roman"/>
          <w:sz w:val="24"/>
          <w:szCs w:val="24"/>
        </w:rPr>
        <w:t xml:space="preserve"> discussed with emphasis on the fact that no disclos</w:t>
      </w:r>
      <w:r w:rsidR="003F0CB5">
        <w:rPr>
          <w:rFonts w:ascii="Times New Roman" w:hAnsi="Times New Roman" w:cs="Times New Roman"/>
          <w:sz w:val="24"/>
          <w:szCs w:val="24"/>
        </w:rPr>
        <w:t>ure of information</w:t>
      </w:r>
      <w:r w:rsidR="00AB7A04">
        <w:rPr>
          <w:rFonts w:ascii="Times New Roman" w:hAnsi="Times New Roman" w:cs="Times New Roman"/>
          <w:sz w:val="24"/>
          <w:szCs w:val="24"/>
        </w:rPr>
        <w:t xml:space="preserve"> could be made without consent.</w:t>
      </w:r>
      <w:r w:rsidR="008C1A2A">
        <w:rPr>
          <w:rFonts w:ascii="Times New Roman" w:hAnsi="Times New Roman" w:cs="Times New Roman"/>
          <w:sz w:val="24"/>
          <w:szCs w:val="24"/>
        </w:rPr>
        <w:t xml:space="preserve"> </w:t>
      </w:r>
      <w:r w:rsidR="00E87884">
        <w:rPr>
          <w:rFonts w:ascii="Times New Roman" w:hAnsi="Times New Roman" w:cs="Times New Roman"/>
          <w:sz w:val="24"/>
          <w:szCs w:val="24"/>
        </w:rPr>
        <w:t xml:space="preserve">Confidentiality concerns can be amplified in </w:t>
      </w:r>
      <w:r w:rsidR="008C1A2A">
        <w:rPr>
          <w:rFonts w:ascii="Times New Roman" w:hAnsi="Times New Roman" w:cs="Times New Roman"/>
          <w:sz w:val="24"/>
          <w:szCs w:val="24"/>
        </w:rPr>
        <w:t>a rural setting given the inter</w:t>
      </w:r>
      <w:r w:rsidR="00E87884">
        <w:rPr>
          <w:rFonts w:ascii="Times New Roman" w:hAnsi="Times New Roman" w:cs="Times New Roman"/>
          <w:sz w:val="24"/>
          <w:szCs w:val="24"/>
        </w:rPr>
        <w:t xml:space="preserve">connectedness of </w:t>
      </w:r>
      <w:r w:rsidR="0024176C">
        <w:rPr>
          <w:rFonts w:ascii="Times New Roman" w:hAnsi="Times New Roman" w:cs="Times New Roman"/>
          <w:sz w:val="24"/>
          <w:szCs w:val="24"/>
        </w:rPr>
        <w:t>residents</w:t>
      </w:r>
      <w:r w:rsidR="00E87884">
        <w:rPr>
          <w:rFonts w:ascii="Times New Roman" w:hAnsi="Times New Roman" w:cs="Times New Roman"/>
          <w:sz w:val="24"/>
          <w:szCs w:val="24"/>
        </w:rPr>
        <w:t xml:space="preserve"> in small communiti</w:t>
      </w:r>
      <w:r w:rsidR="003F0CB5">
        <w:rPr>
          <w:rFonts w:ascii="Times New Roman" w:hAnsi="Times New Roman" w:cs="Times New Roman"/>
          <w:sz w:val="24"/>
          <w:szCs w:val="24"/>
        </w:rPr>
        <w:t>es</w:t>
      </w:r>
      <w:r w:rsidR="001C09A5">
        <w:rPr>
          <w:rFonts w:ascii="Times New Roman" w:hAnsi="Times New Roman" w:cs="Times New Roman"/>
          <w:sz w:val="24"/>
          <w:szCs w:val="24"/>
        </w:rPr>
        <w:t xml:space="preserve"> (Warren &amp; Blundell, 2019)</w:t>
      </w:r>
      <w:r w:rsidR="003F0CB5">
        <w:rPr>
          <w:rFonts w:ascii="Times New Roman" w:hAnsi="Times New Roman" w:cs="Times New Roman"/>
          <w:sz w:val="24"/>
          <w:szCs w:val="24"/>
        </w:rPr>
        <w:t>. T</w:t>
      </w:r>
      <w:r w:rsidR="008C1A2A">
        <w:rPr>
          <w:rFonts w:ascii="Times New Roman" w:hAnsi="Times New Roman" w:cs="Times New Roman"/>
          <w:sz w:val="24"/>
          <w:szCs w:val="24"/>
        </w:rPr>
        <w:t>hrough direct exploration</w:t>
      </w:r>
      <w:r w:rsidR="007530CB">
        <w:rPr>
          <w:rFonts w:ascii="Times New Roman" w:hAnsi="Times New Roman" w:cs="Times New Roman"/>
          <w:sz w:val="24"/>
          <w:szCs w:val="24"/>
        </w:rPr>
        <w:t>,</w:t>
      </w:r>
      <w:r w:rsidR="008C1A2A">
        <w:rPr>
          <w:rFonts w:ascii="Times New Roman" w:hAnsi="Times New Roman" w:cs="Times New Roman"/>
          <w:sz w:val="24"/>
          <w:szCs w:val="24"/>
        </w:rPr>
        <w:t xml:space="preserve">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8C1A2A">
        <w:rPr>
          <w:rFonts w:ascii="Times New Roman" w:hAnsi="Times New Roman" w:cs="Times New Roman"/>
          <w:sz w:val="24"/>
          <w:szCs w:val="24"/>
        </w:rPr>
        <w:t xml:space="preserve"> identified that her</w:t>
      </w:r>
      <w:r w:rsidR="00E87884">
        <w:rPr>
          <w:rFonts w:ascii="Times New Roman" w:hAnsi="Times New Roman" w:cs="Times New Roman"/>
          <w:sz w:val="24"/>
          <w:szCs w:val="24"/>
        </w:rPr>
        <w:t xml:space="preserve"> niece worked at </w:t>
      </w:r>
      <w:r w:rsidR="00614D99">
        <w:rPr>
          <w:rFonts w:ascii="Times New Roman" w:hAnsi="Times New Roman" w:cs="Times New Roman"/>
          <w:sz w:val="24"/>
          <w:szCs w:val="24"/>
        </w:rPr>
        <w:t>the hospital</w:t>
      </w:r>
      <w:r w:rsidR="00462849">
        <w:rPr>
          <w:rFonts w:ascii="Times New Roman" w:hAnsi="Times New Roman" w:cs="Times New Roman"/>
          <w:sz w:val="24"/>
          <w:szCs w:val="24"/>
        </w:rPr>
        <w:t xml:space="preserve"> </w:t>
      </w:r>
      <w:r w:rsidR="00E87884">
        <w:rPr>
          <w:rFonts w:ascii="Times New Roman" w:hAnsi="Times New Roman" w:cs="Times New Roman"/>
          <w:sz w:val="24"/>
          <w:szCs w:val="24"/>
        </w:rPr>
        <w:t>registration</w:t>
      </w:r>
      <w:r w:rsidR="003F0CB5">
        <w:rPr>
          <w:rFonts w:ascii="Times New Roman" w:hAnsi="Times New Roman" w:cs="Times New Roman"/>
          <w:sz w:val="24"/>
          <w:szCs w:val="24"/>
        </w:rPr>
        <w:t xml:space="preserve"> and she feared that </w:t>
      </w:r>
      <w:r w:rsidR="007D493C">
        <w:rPr>
          <w:rFonts w:ascii="Times New Roman" w:hAnsi="Times New Roman" w:cs="Times New Roman"/>
          <w:sz w:val="24"/>
          <w:szCs w:val="24"/>
        </w:rPr>
        <w:t>she</w:t>
      </w:r>
      <w:r w:rsidR="003F0CB5">
        <w:rPr>
          <w:rFonts w:ascii="Times New Roman" w:hAnsi="Times New Roman" w:cs="Times New Roman"/>
          <w:sz w:val="24"/>
          <w:szCs w:val="24"/>
        </w:rPr>
        <w:t xml:space="preserve"> would have access to </w:t>
      </w:r>
      <w:r w:rsidR="00912038">
        <w:rPr>
          <w:rFonts w:ascii="Times New Roman" w:hAnsi="Times New Roman" w:cs="Times New Roman"/>
          <w:sz w:val="24"/>
          <w:szCs w:val="24"/>
        </w:rPr>
        <w:t xml:space="preserve">her </w:t>
      </w:r>
      <w:r w:rsidR="00462849">
        <w:rPr>
          <w:rFonts w:ascii="Times New Roman" w:hAnsi="Times New Roman" w:cs="Times New Roman"/>
          <w:sz w:val="24"/>
          <w:szCs w:val="24"/>
        </w:rPr>
        <w:t>case file</w:t>
      </w:r>
      <w:r w:rsidR="003F0CB5">
        <w:rPr>
          <w:rFonts w:ascii="Times New Roman" w:hAnsi="Times New Roman" w:cs="Times New Roman"/>
          <w:sz w:val="24"/>
          <w:szCs w:val="24"/>
        </w:rPr>
        <w:t>.</w:t>
      </w:r>
      <w:r w:rsidR="003456B0">
        <w:rPr>
          <w:rFonts w:ascii="Times New Roman" w:hAnsi="Times New Roman" w:cs="Times New Roman"/>
          <w:sz w:val="24"/>
          <w:szCs w:val="24"/>
        </w:rPr>
        <w:t xml:space="preserve"> </w:t>
      </w:r>
      <w:r w:rsidR="003F0CB5">
        <w:rPr>
          <w:rFonts w:ascii="Times New Roman" w:hAnsi="Times New Roman" w:cs="Times New Roman"/>
          <w:sz w:val="24"/>
          <w:szCs w:val="24"/>
        </w:rPr>
        <w:t>A thorough review</w:t>
      </w:r>
      <w:r w:rsidR="00497B72">
        <w:rPr>
          <w:rFonts w:ascii="Times New Roman" w:hAnsi="Times New Roman" w:cs="Times New Roman"/>
          <w:sz w:val="24"/>
          <w:szCs w:val="24"/>
        </w:rPr>
        <w:t xml:space="preserve"> </w:t>
      </w:r>
      <w:r w:rsidR="003F0CB5">
        <w:rPr>
          <w:rFonts w:ascii="Times New Roman" w:hAnsi="Times New Roman" w:cs="Times New Roman"/>
          <w:sz w:val="24"/>
          <w:szCs w:val="24"/>
        </w:rPr>
        <w:t xml:space="preserve">of </w:t>
      </w:r>
      <w:r w:rsidR="00FC74BB">
        <w:rPr>
          <w:rFonts w:ascii="Times New Roman" w:hAnsi="Times New Roman" w:cs="Times New Roman"/>
          <w:sz w:val="24"/>
          <w:szCs w:val="24"/>
        </w:rPr>
        <w:t xml:space="preserve">privacy </w:t>
      </w:r>
      <w:r w:rsidR="00497B72">
        <w:rPr>
          <w:rFonts w:ascii="Times New Roman" w:hAnsi="Times New Roman" w:cs="Times New Roman"/>
          <w:sz w:val="24"/>
          <w:szCs w:val="24"/>
        </w:rPr>
        <w:t xml:space="preserve">policies </w:t>
      </w:r>
      <w:r w:rsidR="003F0CB5">
        <w:rPr>
          <w:rFonts w:ascii="Times New Roman" w:hAnsi="Times New Roman" w:cs="Times New Roman"/>
          <w:sz w:val="24"/>
          <w:szCs w:val="24"/>
        </w:rPr>
        <w:t xml:space="preserve">and processes </w:t>
      </w:r>
      <w:r w:rsidR="005645C2">
        <w:rPr>
          <w:rFonts w:ascii="Times New Roman" w:hAnsi="Times New Roman" w:cs="Times New Roman"/>
          <w:sz w:val="24"/>
          <w:szCs w:val="24"/>
        </w:rPr>
        <w:t xml:space="preserve">reassured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371A08">
        <w:rPr>
          <w:rFonts w:ascii="Times New Roman" w:hAnsi="Times New Roman" w:cs="Times New Roman"/>
          <w:sz w:val="24"/>
          <w:szCs w:val="24"/>
        </w:rPr>
        <w:t xml:space="preserve"> of confidentiality</w:t>
      </w:r>
      <w:r w:rsidR="008C1A2A">
        <w:rPr>
          <w:rFonts w:ascii="Times New Roman" w:hAnsi="Times New Roman" w:cs="Times New Roman"/>
          <w:sz w:val="24"/>
          <w:szCs w:val="24"/>
        </w:rPr>
        <w:t>.</w:t>
      </w:r>
      <w:r w:rsidR="0049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14805" w14:textId="757E133F" w:rsidR="008C1A2A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B72">
        <w:rPr>
          <w:rFonts w:ascii="Times New Roman" w:hAnsi="Times New Roman" w:cs="Times New Roman"/>
          <w:sz w:val="24"/>
          <w:szCs w:val="24"/>
        </w:rPr>
        <w:t xml:space="preserve">Other identified barriers to </w:t>
      </w:r>
      <w:r w:rsidR="0006785C">
        <w:rPr>
          <w:rFonts w:ascii="Times New Roman" w:hAnsi="Times New Roman" w:cs="Times New Roman"/>
          <w:sz w:val="24"/>
          <w:szCs w:val="24"/>
        </w:rPr>
        <w:t>Mary’s</w:t>
      </w:r>
      <w:r w:rsidR="0009579B">
        <w:rPr>
          <w:rFonts w:ascii="Times New Roman" w:hAnsi="Times New Roman" w:cs="Times New Roman"/>
          <w:sz w:val="24"/>
          <w:szCs w:val="24"/>
        </w:rPr>
        <w:t xml:space="preserve"> </w:t>
      </w:r>
      <w:r w:rsidR="00497B72">
        <w:rPr>
          <w:rFonts w:ascii="Times New Roman" w:hAnsi="Times New Roman" w:cs="Times New Roman"/>
          <w:sz w:val="24"/>
          <w:szCs w:val="24"/>
        </w:rPr>
        <w:t>full disclosu</w:t>
      </w:r>
      <w:r w:rsidR="003F0CB5">
        <w:rPr>
          <w:rFonts w:ascii="Times New Roman" w:hAnsi="Times New Roman" w:cs="Times New Roman"/>
          <w:sz w:val="24"/>
          <w:szCs w:val="24"/>
        </w:rPr>
        <w:t>re included shame</w:t>
      </w:r>
      <w:r w:rsidR="0064670F">
        <w:rPr>
          <w:rFonts w:ascii="Times New Roman" w:hAnsi="Times New Roman" w:cs="Times New Roman"/>
          <w:sz w:val="24"/>
          <w:szCs w:val="24"/>
        </w:rPr>
        <w:t>,</w:t>
      </w:r>
      <w:r w:rsidR="002E6026">
        <w:rPr>
          <w:rFonts w:ascii="Times New Roman" w:hAnsi="Times New Roman" w:cs="Times New Roman"/>
          <w:sz w:val="24"/>
          <w:szCs w:val="24"/>
        </w:rPr>
        <w:t xml:space="preserve"> </w:t>
      </w:r>
      <w:r w:rsidR="00497B72">
        <w:rPr>
          <w:rFonts w:ascii="Times New Roman" w:hAnsi="Times New Roman" w:cs="Times New Roman"/>
          <w:sz w:val="24"/>
          <w:szCs w:val="24"/>
        </w:rPr>
        <w:t xml:space="preserve">fear of consequences for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7D493C">
        <w:rPr>
          <w:rFonts w:ascii="Times New Roman" w:hAnsi="Times New Roman" w:cs="Times New Roman"/>
          <w:sz w:val="24"/>
          <w:szCs w:val="24"/>
        </w:rPr>
        <w:t>,</w:t>
      </w:r>
      <w:r w:rsidR="002E6026">
        <w:rPr>
          <w:rFonts w:ascii="Times New Roman" w:hAnsi="Times New Roman" w:cs="Times New Roman"/>
          <w:sz w:val="24"/>
          <w:szCs w:val="24"/>
        </w:rPr>
        <w:t xml:space="preserve"> and hopelessness</w:t>
      </w:r>
      <w:r w:rsidR="00497B72">
        <w:rPr>
          <w:rFonts w:ascii="Times New Roman" w:hAnsi="Times New Roman" w:cs="Times New Roman"/>
          <w:sz w:val="24"/>
          <w:szCs w:val="24"/>
        </w:rPr>
        <w:t>.</w:t>
      </w:r>
      <w:r w:rsidR="008C1A2A">
        <w:rPr>
          <w:rFonts w:ascii="Times New Roman" w:hAnsi="Times New Roman" w:cs="Times New Roman"/>
          <w:sz w:val="24"/>
          <w:szCs w:val="24"/>
        </w:rPr>
        <w:t xml:space="preserve"> </w:t>
      </w:r>
      <w:r w:rsidR="00B60E50">
        <w:rPr>
          <w:rFonts w:ascii="Times New Roman" w:hAnsi="Times New Roman" w:cs="Times New Roman"/>
          <w:sz w:val="24"/>
          <w:szCs w:val="24"/>
        </w:rPr>
        <w:t>Direct</w:t>
      </w:r>
      <w:r w:rsidR="00497B72">
        <w:rPr>
          <w:rFonts w:ascii="Times New Roman" w:hAnsi="Times New Roman" w:cs="Times New Roman"/>
          <w:sz w:val="24"/>
          <w:szCs w:val="24"/>
        </w:rPr>
        <w:t xml:space="preserve"> e</w:t>
      </w:r>
      <w:r w:rsidR="00B60E50">
        <w:rPr>
          <w:rFonts w:ascii="Times New Roman" w:hAnsi="Times New Roman" w:cs="Times New Roman"/>
          <w:sz w:val="24"/>
          <w:szCs w:val="24"/>
        </w:rPr>
        <w:t>xploration and validation of</w:t>
      </w:r>
      <w:r w:rsidR="00497B72">
        <w:rPr>
          <w:rFonts w:ascii="Times New Roman" w:hAnsi="Times New Roman" w:cs="Times New Roman"/>
          <w:sz w:val="24"/>
          <w:szCs w:val="24"/>
        </w:rPr>
        <w:t xml:space="preserve"> </w:t>
      </w:r>
      <w:r w:rsidR="0064670F">
        <w:rPr>
          <w:rFonts w:ascii="Times New Roman" w:hAnsi="Times New Roman" w:cs="Times New Roman"/>
          <w:sz w:val="24"/>
          <w:szCs w:val="24"/>
        </w:rPr>
        <w:t>feelings</w:t>
      </w:r>
      <w:r w:rsidR="0024176C">
        <w:rPr>
          <w:rFonts w:ascii="Times New Roman" w:hAnsi="Times New Roman" w:cs="Times New Roman"/>
          <w:sz w:val="24"/>
          <w:szCs w:val="24"/>
        </w:rPr>
        <w:t xml:space="preserve"> was</w:t>
      </w:r>
      <w:r w:rsidR="00497B72">
        <w:rPr>
          <w:rFonts w:ascii="Times New Roman" w:hAnsi="Times New Roman" w:cs="Times New Roman"/>
          <w:sz w:val="24"/>
          <w:szCs w:val="24"/>
        </w:rPr>
        <w:t xml:space="preserve"> </w:t>
      </w:r>
      <w:r w:rsidR="00B60E50">
        <w:rPr>
          <w:rFonts w:ascii="Times New Roman" w:hAnsi="Times New Roman" w:cs="Times New Roman"/>
          <w:sz w:val="24"/>
          <w:szCs w:val="24"/>
        </w:rPr>
        <w:t xml:space="preserve">central to understanding </w:t>
      </w:r>
      <w:r w:rsidR="0006785C">
        <w:rPr>
          <w:rFonts w:ascii="Times New Roman" w:hAnsi="Times New Roman" w:cs="Times New Roman"/>
          <w:sz w:val="24"/>
          <w:szCs w:val="24"/>
        </w:rPr>
        <w:t>Mary’s</w:t>
      </w:r>
      <w:r w:rsidR="00912038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B60E50">
        <w:rPr>
          <w:rFonts w:ascii="Times New Roman" w:hAnsi="Times New Roman" w:cs="Times New Roman"/>
          <w:sz w:val="24"/>
          <w:szCs w:val="24"/>
        </w:rPr>
        <w:t>. H</w:t>
      </w:r>
      <w:r w:rsidR="00497B72">
        <w:rPr>
          <w:rFonts w:ascii="Times New Roman" w:hAnsi="Times New Roman" w:cs="Times New Roman"/>
          <w:sz w:val="24"/>
          <w:szCs w:val="24"/>
        </w:rPr>
        <w:t xml:space="preserve">er </w:t>
      </w:r>
      <w:r w:rsidR="003F0CB5">
        <w:rPr>
          <w:rFonts w:ascii="Times New Roman" w:hAnsi="Times New Roman" w:cs="Times New Roman"/>
          <w:sz w:val="24"/>
          <w:szCs w:val="24"/>
        </w:rPr>
        <w:t>shame</w:t>
      </w:r>
      <w:r w:rsidR="006937B9">
        <w:rPr>
          <w:rFonts w:ascii="Times New Roman" w:hAnsi="Times New Roman" w:cs="Times New Roman"/>
          <w:sz w:val="24"/>
          <w:szCs w:val="24"/>
        </w:rPr>
        <w:t xml:space="preserve"> </w:t>
      </w:r>
      <w:r w:rsidR="00B60E50">
        <w:rPr>
          <w:rFonts w:ascii="Times New Roman" w:hAnsi="Times New Roman" w:cs="Times New Roman"/>
          <w:sz w:val="24"/>
          <w:szCs w:val="24"/>
        </w:rPr>
        <w:t xml:space="preserve">was </w:t>
      </w:r>
      <w:r w:rsidR="00FD7F47">
        <w:rPr>
          <w:rFonts w:ascii="Times New Roman" w:hAnsi="Times New Roman" w:cs="Times New Roman"/>
          <w:sz w:val="24"/>
          <w:szCs w:val="24"/>
        </w:rPr>
        <w:t>lessened</w:t>
      </w:r>
      <w:r w:rsidR="00B60E50">
        <w:rPr>
          <w:rFonts w:ascii="Times New Roman" w:hAnsi="Times New Roman" w:cs="Times New Roman"/>
          <w:sz w:val="24"/>
          <w:szCs w:val="24"/>
        </w:rPr>
        <w:t xml:space="preserve"> by</w:t>
      </w:r>
      <w:r w:rsidR="006937B9">
        <w:rPr>
          <w:rFonts w:ascii="Times New Roman" w:hAnsi="Times New Roman" w:cs="Times New Roman"/>
          <w:sz w:val="24"/>
          <w:szCs w:val="24"/>
        </w:rPr>
        <w:t xml:space="preserve"> reducing </w:t>
      </w:r>
      <w:r w:rsidR="00FD7F47">
        <w:rPr>
          <w:rFonts w:ascii="Times New Roman" w:hAnsi="Times New Roman" w:cs="Times New Roman"/>
          <w:sz w:val="24"/>
          <w:szCs w:val="24"/>
        </w:rPr>
        <w:t>the</w:t>
      </w:r>
      <w:r w:rsidR="006937B9">
        <w:rPr>
          <w:rFonts w:ascii="Times New Roman" w:hAnsi="Times New Roman" w:cs="Times New Roman"/>
          <w:sz w:val="24"/>
          <w:szCs w:val="24"/>
        </w:rPr>
        <w:t xml:space="preserve"> isolation</w:t>
      </w:r>
      <w:r w:rsidR="00FD7F47">
        <w:rPr>
          <w:rFonts w:ascii="Times New Roman" w:hAnsi="Times New Roman" w:cs="Times New Roman"/>
          <w:sz w:val="24"/>
          <w:szCs w:val="24"/>
        </w:rPr>
        <w:t xml:space="preserve"> she felt</w:t>
      </w:r>
      <w:r w:rsidR="00122D33">
        <w:rPr>
          <w:rFonts w:ascii="Times New Roman" w:hAnsi="Times New Roman" w:cs="Times New Roman"/>
          <w:sz w:val="24"/>
          <w:szCs w:val="24"/>
        </w:rPr>
        <w:t xml:space="preserve"> </w:t>
      </w:r>
      <w:r w:rsidR="0024176C">
        <w:rPr>
          <w:rFonts w:ascii="Times New Roman" w:hAnsi="Times New Roman" w:cs="Times New Roman"/>
          <w:sz w:val="24"/>
          <w:szCs w:val="24"/>
        </w:rPr>
        <w:t>through</w:t>
      </w:r>
      <w:r w:rsidR="00122D33">
        <w:rPr>
          <w:rFonts w:ascii="Times New Roman" w:hAnsi="Times New Roman" w:cs="Times New Roman"/>
          <w:sz w:val="24"/>
          <w:szCs w:val="24"/>
        </w:rPr>
        <w:t xml:space="preserve"> h</w:t>
      </w:r>
      <w:r w:rsidR="00293405">
        <w:rPr>
          <w:rFonts w:ascii="Times New Roman" w:hAnsi="Times New Roman" w:cs="Times New Roman"/>
          <w:sz w:val="24"/>
          <w:szCs w:val="24"/>
        </w:rPr>
        <w:t xml:space="preserve">elping her </w:t>
      </w:r>
      <w:r w:rsidR="00B60E50">
        <w:rPr>
          <w:rFonts w:ascii="Times New Roman" w:hAnsi="Times New Roman" w:cs="Times New Roman"/>
          <w:sz w:val="24"/>
          <w:szCs w:val="24"/>
        </w:rPr>
        <w:t>to</w:t>
      </w:r>
      <w:r w:rsidR="0064670F">
        <w:rPr>
          <w:rFonts w:ascii="Times New Roman" w:hAnsi="Times New Roman" w:cs="Times New Roman"/>
          <w:sz w:val="24"/>
          <w:szCs w:val="24"/>
        </w:rPr>
        <w:t xml:space="preserve"> </w:t>
      </w:r>
      <w:r w:rsidR="00DA7450">
        <w:rPr>
          <w:rFonts w:ascii="Times New Roman" w:hAnsi="Times New Roman" w:cs="Times New Roman"/>
          <w:sz w:val="24"/>
          <w:szCs w:val="24"/>
        </w:rPr>
        <w:t xml:space="preserve">recognize how common </w:t>
      </w:r>
      <w:r w:rsidR="00477ED9">
        <w:rPr>
          <w:rFonts w:ascii="Times New Roman" w:hAnsi="Times New Roman" w:cs="Times New Roman"/>
          <w:sz w:val="24"/>
          <w:szCs w:val="24"/>
        </w:rPr>
        <w:t>EA</w:t>
      </w:r>
      <w:r w:rsidR="00DA7450">
        <w:rPr>
          <w:rFonts w:ascii="Times New Roman" w:hAnsi="Times New Roman" w:cs="Times New Roman"/>
          <w:sz w:val="24"/>
          <w:szCs w:val="24"/>
        </w:rPr>
        <w:t xml:space="preserve"> is</w:t>
      </w:r>
      <w:r w:rsidR="007530CB">
        <w:rPr>
          <w:rFonts w:ascii="Times New Roman" w:hAnsi="Times New Roman" w:cs="Times New Roman"/>
          <w:sz w:val="24"/>
          <w:szCs w:val="24"/>
        </w:rPr>
        <w:t>,</w:t>
      </w:r>
      <w:r w:rsidR="00AB7A04">
        <w:rPr>
          <w:rFonts w:ascii="Times New Roman" w:hAnsi="Times New Roman" w:cs="Times New Roman"/>
          <w:sz w:val="24"/>
          <w:szCs w:val="24"/>
        </w:rPr>
        <w:t xml:space="preserve"> </w:t>
      </w:r>
      <w:r w:rsidR="00B60E50">
        <w:rPr>
          <w:rFonts w:ascii="Times New Roman" w:hAnsi="Times New Roman" w:cs="Times New Roman"/>
          <w:sz w:val="24"/>
          <w:szCs w:val="24"/>
        </w:rPr>
        <w:t>especially for women</w:t>
      </w:r>
      <w:r w:rsidR="00FC74BB">
        <w:rPr>
          <w:rFonts w:ascii="Times New Roman" w:hAnsi="Times New Roman" w:cs="Times New Roman"/>
          <w:sz w:val="24"/>
          <w:szCs w:val="24"/>
        </w:rPr>
        <w:t>, and that she was not alone</w:t>
      </w:r>
      <w:r w:rsidR="0064670F">
        <w:rPr>
          <w:rFonts w:ascii="Times New Roman" w:hAnsi="Times New Roman" w:cs="Times New Roman"/>
          <w:sz w:val="24"/>
          <w:szCs w:val="24"/>
        </w:rPr>
        <w:t>.</w:t>
      </w:r>
      <w:r w:rsidR="00F752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43124801"/>
      <w:bookmarkStart w:id="19" w:name="_Hlk42585098"/>
      <w:r w:rsidR="00891666">
        <w:rPr>
          <w:rFonts w:ascii="Times New Roman" w:hAnsi="Times New Roman" w:cs="Times New Roman"/>
          <w:sz w:val="24"/>
          <w:szCs w:val="24"/>
        </w:rPr>
        <w:t>A key strategy for gaining Mary’s engagement and trust was a non-judgmental approach to her experience of the situation and how this impacted her decisions for management.</w:t>
      </w:r>
      <w:bookmarkEnd w:id="18"/>
      <w:r w:rsidR="00891666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B60E50">
        <w:rPr>
          <w:rFonts w:ascii="Times New Roman" w:hAnsi="Times New Roman" w:cs="Times New Roman"/>
          <w:sz w:val="24"/>
          <w:szCs w:val="24"/>
        </w:rPr>
        <w:t xml:space="preserve">Focusing on </w:t>
      </w:r>
      <w:r w:rsidR="0006785C">
        <w:rPr>
          <w:rFonts w:ascii="Times New Roman" w:hAnsi="Times New Roman" w:cs="Times New Roman"/>
          <w:sz w:val="24"/>
          <w:szCs w:val="24"/>
        </w:rPr>
        <w:t>Mary’s</w:t>
      </w:r>
      <w:r w:rsidR="00B60E50">
        <w:rPr>
          <w:rFonts w:ascii="Times New Roman" w:hAnsi="Times New Roman" w:cs="Times New Roman"/>
          <w:sz w:val="24"/>
          <w:szCs w:val="24"/>
        </w:rPr>
        <w:t xml:space="preserve"> feelings of fear and the</w:t>
      </w:r>
      <w:r w:rsidR="00F75225">
        <w:rPr>
          <w:rFonts w:ascii="Times New Roman" w:hAnsi="Times New Roman" w:cs="Times New Roman"/>
          <w:sz w:val="24"/>
          <w:szCs w:val="24"/>
        </w:rPr>
        <w:t xml:space="preserve"> impact of </w:t>
      </w:r>
      <w:r w:rsidR="00135CB5">
        <w:rPr>
          <w:rFonts w:ascii="Times New Roman" w:hAnsi="Times New Roman" w:cs="Times New Roman"/>
          <w:sz w:val="24"/>
          <w:szCs w:val="24"/>
        </w:rPr>
        <w:t>John’s</w:t>
      </w:r>
      <w:r w:rsidR="00912038">
        <w:rPr>
          <w:rFonts w:ascii="Times New Roman" w:hAnsi="Times New Roman" w:cs="Times New Roman"/>
          <w:sz w:val="24"/>
          <w:szCs w:val="24"/>
        </w:rPr>
        <w:t xml:space="preserve"> </w:t>
      </w:r>
      <w:r w:rsidR="00F75225">
        <w:rPr>
          <w:rFonts w:ascii="Times New Roman" w:hAnsi="Times New Roman" w:cs="Times New Roman"/>
          <w:sz w:val="24"/>
          <w:szCs w:val="24"/>
        </w:rPr>
        <w:t xml:space="preserve">behaviours </w:t>
      </w:r>
      <w:r w:rsidR="009D1210">
        <w:rPr>
          <w:rFonts w:ascii="Times New Roman" w:hAnsi="Times New Roman" w:cs="Times New Roman"/>
          <w:sz w:val="24"/>
          <w:szCs w:val="24"/>
        </w:rPr>
        <w:t xml:space="preserve">on her wellbeing was </w:t>
      </w:r>
      <w:r w:rsidR="00F75225">
        <w:rPr>
          <w:rFonts w:ascii="Times New Roman" w:hAnsi="Times New Roman" w:cs="Times New Roman"/>
          <w:sz w:val="24"/>
          <w:szCs w:val="24"/>
        </w:rPr>
        <w:t>more effective than labelling her son an abuser</w:t>
      </w:r>
      <w:r w:rsidR="00912038">
        <w:rPr>
          <w:rFonts w:ascii="Times New Roman" w:hAnsi="Times New Roman" w:cs="Times New Roman"/>
          <w:sz w:val="24"/>
          <w:szCs w:val="24"/>
        </w:rPr>
        <w:t>. Expressions of disgust</w:t>
      </w:r>
      <w:r w:rsidR="00FB1698">
        <w:rPr>
          <w:rFonts w:ascii="Times New Roman" w:hAnsi="Times New Roman" w:cs="Times New Roman"/>
          <w:sz w:val="24"/>
          <w:szCs w:val="24"/>
        </w:rPr>
        <w:t xml:space="preserve"> or anger</w:t>
      </w:r>
      <w:r w:rsidR="00912038">
        <w:rPr>
          <w:rFonts w:ascii="Times New Roman" w:hAnsi="Times New Roman" w:cs="Times New Roman"/>
          <w:sz w:val="24"/>
          <w:szCs w:val="24"/>
        </w:rPr>
        <w:t xml:space="preserve"> towards the abuser when a close familial relationship </w:t>
      </w:r>
      <w:r w:rsidR="004A37E7">
        <w:rPr>
          <w:rFonts w:ascii="Times New Roman" w:hAnsi="Times New Roman" w:cs="Times New Roman"/>
          <w:sz w:val="24"/>
          <w:szCs w:val="24"/>
        </w:rPr>
        <w:t>exists</w:t>
      </w:r>
      <w:r w:rsidR="00912038">
        <w:rPr>
          <w:rFonts w:ascii="Times New Roman" w:hAnsi="Times New Roman" w:cs="Times New Roman"/>
          <w:sz w:val="24"/>
          <w:szCs w:val="24"/>
        </w:rPr>
        <w:t xml:space="preserve"> will </w:t>
      </w:r>
      <w:r w:rsidR="00015CC1">
        <w:rPr>
          <w:rFonts w:ascii="Times New Roman" w:hAnsi="Times New Roman" w:cs="Times New Roman"/>
          <w:sz w:val="24"/>
          <w:szCs w:val="24"/>
        </w:rPr>
        <w:t>often silence the victim reinforcing feelings of shame</w:t>
      </w:r>
      <w:r w:rsidR="001C09A5">
        <w:rPr>
          <w:rFonts w:ascii="Times New Roman" w:hAnsi="Times New Roman" w:cs="Times New Roman"/>
          <w:sz w:val="24"/>
          <w:szCs w:val="24"/>
        </w:rPr>
        <w:t xml:space="preserve"> (Fraga Dominguez et al., 2019; Ramsey-</w:t>
      </w:r>
      <w:r w:rsidR="001C09A5">
        <w:rPr>
          <w:rFonts w:ascii="Times New Roman" w:hAnsi="Times New Roman" w:cs="Times New Roman"/>
          <w:sz w:val="24"/>
          <w:szCs w:val="24"/>
        </w:rPr>
        <w:lastRenderedPageBreak/>
        <w:t>Klawsnik &amp; Miller, 2017)</w:t>
      </w:r>
      <w:r w:rsidR="00015CC1">
        <w:rPr>
          <w:rFonts w:ascii="Times New Roman" w:hAnsi="Times New Roman" w:cs="Times New Roman"/>
          <w:sz w:val="24"/>
          <w:szCs w:val="24"/>
        </w:rPr>
        <w:t>.</w:t>
      </w:r>
      <w:r w:rsidR="00912038">
        <w:rPr>
          <w:rFonts w:ascii="Times New Roman" w:hAnsi="Times New Roman" w:cs="Times New Roman"/>
          <w:sz w:val="24"/>
          <w:szCs w:val="24"/>
        </w:rPr>
        <w:t xml:space="preserve">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015CC1">
        <w:rPr>
          <w:rFonts w:ascii="Times New Roman" w:hAnsi="Times New Roman" w:cs="Times New Roman"/>
          <w:sz w:val="24"/>
          <w:szCs w:val="24"/>
        </w:rPr>
        <w:t xml:space="preserve"> </w:t>
      </w:r>
      <w:r w:rsidR="0064670F">
        <w:rPr>
          <w:rFonts w:ascii="Times New Roman" w:hAnsi="Times New Roman" w:cs="Times New Roman"/>
          <w:sz w:val="24"/>
          <w:szCs w:val="24"/>
        </w:rPr>
        <w:t>was adamant that she</w:t>
      </w:r>
      <w:r w:rsidR="008C1A2A">
        <w:rPr>
          <w:rFonts w:ascii="Times New Roman" w:hAnsi="Times New Roman" w:cs="Times New Roman"/>
          <w:sz w:val="24"/>
          <w:szCs w:val="24"/>
        </w:rPr>
        <w:t xml:space="preserve"> would never agree </w:t>
      </w:r>
      <w:r w:rsidR="00497B72">
        <w:rPr>
          <w:rFonts w:ascii="Times New Roman" w:hAnsi="Times New Roman" w:cs="Times New Roman"/>
          <w:sz w:val="24"/>
          <w:szCs w:val="24"/>
        </w:rPr>
        <w:t xml:space="preserve">to police </w:t>
      </w:r>
      <w:r w:rsidR="009726B2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B60E50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135CB5">
        <w:rPr>
          <w:rFonts w:ascii="Times New Roman" w:hAnsi="Times New Roman" w:cs="Times New Roman"/>
          <w:sz w:val="24"/>
          <w:szCs w:val="24"/>
        </w:rPr>
        <w:t>John’s</w:t>
      </w:r>
      <w:r w:rsidR="00B60E50">
        <w:rPr>
          <w:rFonts w:ascii="Times New Roman" w:hAnsi="Times New Roman" w:cs="Times New Roman"/>
          <w:sz w:val="24"/>
          <w:szCs w:val="24"/>
        </w:rPr>
        <w:t xml:space="preserve"> illness and her role as his caregiver</w:t>
      </w:r>
      <w:r w:rsidR="008C1A2A">
        <w:rPr>
          <w:rFonts w:ascii="Times New Roman" w:hAnsi="Times New Roman" w:cs="Times New Roman"/>
          <w:sz w:val="24"/>
          <w:szCs w:val="24"/>
        </w:rPr>
        <w:t>. Helping her to understa</w:t>
      </w:r>
      <w:r w:rsidR="00DA7450">
        <w:rPr>
          <w:rFonts w:ascii="Times New Roman" w:hAnsi="Times New Roman" w:cs="Times New Roman"/>
          <w:sz w:val="24"/>
          <w:szCs w:val="24"/>
        </w:rPr>
        <w:t xml:space="preserve">nd that her choices </w:t>
      </w:r>
      <w:r w:rsidR="0064670F">
        <w:rPr>
          <w:rFonts w:ascii="Times New Roman" w:hAnsi="Times New Roman" w:cs="Times New Roman"/>
          <w:sz w:val="24"/>
          <w:szCs w:val="24"/>
        </w:rPr>
        <w:t>would be respected was instrumental in gaining her trust.</w:t>
      </w:r>
      <w:r w:rsidR="006937B9">
        <w:rPr>
          <w:rFonts w:ascii="Times New Roman" w:hAnsi="Times New Roman" w:cs="Times New Roman"/>
          <w:sz w:val="24"/>
          <w:szCs w:val="24"/>
        </w:rPr>
        <w:t xml:space="preserve"> </w:t>
      </w:r>
      <w:r w:rsidR="00FD7F47">
        <w:rPr>
          <w:rFonts w:ascii="Times New Roman" w:hAnsi="Times New Roman" w:cs="Times New Roman"/>
          <w:sz w:val="24"/>
          <w:szCs w:val="24"/>
        </w:rPr>
        <w:t>The forensic nurse facilitated her access to</w:t>
      </w:r>
      <w:r w:rsidR="00015CC1">
        <w:rPr>
          <w:rFonts w:ascii="Times New Roman" w:hAnsi="Times New Roman" w:cs="Times New Roman"/>
          <w:sz w:val="24"/>
          <w:szCs w:val="24"/>
        </w:rPr>
        <w:t xml:space="preserve"> </w:t>
      </w:r>
      <w:r w:rsidR="006937B9">
        <w:rPr>
          <w:rFonts w:ascii="Times New Roman" w:hAnsi="Times New Roman" w:cs="Times New Roman"/>
          <w:sz w:val="24"/>
          <w:szCs w:val="24"/>
        </w:rPr>
        <w:t xml:space="preserve">services </w:t>
      </w:r>
      <w:r w:rsidR="00AE6A02">
        <w:rPr>
          <w:rFonts w:ascii="Times New Roman" w:hAnsi="Times New Roman" w:cs="Times New Roman"/>
          <w:sz w:val="24"/>
          <w:szCs w:val="24"/>
        </w:rPr>
        <w:t xml:space="preserve">and </w:t>
      </w:r>
      <w:r w:rsidR="00015CC1">
        <w:rPr>
          <w:rFonts w:ascii="Times New Roman" w:hAnsi="Times New Roman" w:cs="Times New Roman"/>
          <w:sz w:val="24"/>
          <w:szCs w:val="24"/>
        </w:rPr>
        <w:t xml:space="preserve">reconnection with supportive </w:t>
      </w:r>
      <w:r w:rsidR="00AE6A02">
        <w:rPr>
          <w:rFonts w:ascii="Times New Roman" w:hAnsi="Times New Roman" w:cs="Times New Roman"/>
          <w:sz w:val="24"/>
          <w:szCs w:val="24"/>
        </w:rPr>
        <w:t>family members</w:t>
      </w:r>
      <w:r w:rsidR="00015CC1">
        <w:rPr>
          <w:rFonts w:ascii="Times New Roman" w:hAnsi="Times New Roman" w:cs="Times New Roman"/>
          <w:sz w:val="24"/>
          <w:szCs w:val="24"/>
        </w:rPr>
        <w:t>,</w:t>
      </w:r>
      <w:r w:rsidR="00AE6A02">
        <w:rPr>
          <w:rFonts w:ascii="Times New Roman" w:hAnsi="Times New Roman" w:cs="Times New Roman"/>
          <w:sz w:val="24"/>
          <w:szCs w:val="24"/>
        </w:rPr>
        <w:t xml:space="preserve"> </w:t>
      </w:r>
      <w:r w:rsidR="00FD7F47">
        <w:rPr>
          <w:rFonts w:ascii="Times New Roman" w:hAnsi="Times New Roman" w:cs="Times New Roman"/>
          <w:sz w:val="24"/>
          <w:szCs w:val="24"/>
        </w:rPr>
        <w:t xml:space="preserve">enabling her feelings of hope </w:t>
      </w:r>
      <w:r w:rsidR="00EF0CA6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C8439D">
        <w:rPr>
          <w:rFonts w:ascii="Times New Roman" w:hAnsi="Times New Roman" w:cs="Times New Roman"/>
          <w:sz w:val="24"/>
          <w:szCs w:val="24"/>
        </w:rPr>
        <w:t>and</w:t>
      </w:r>
      <w:r w:rsidR="00EF0CA6">
        <w:rPr>
          <w:rFonts w:ascii="Times New Roman" w:hAnsi="Times New Roman" w:cs="Times New Roman"/>
          <w:sz w:val="24"/>
          <w:szCs w:val="24"/>
        </w:rPr>
        <w:t xml:space="preserve"> increasing her receptivity to intervention.</w:t>
      </w:r>
      <w:r w:rsidR="00122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41AFB" w14:textId="172B7549" w:rsidR="00AB7A04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CA6">
        <w:rPr>
          <w:rFonts w:ascii="Times New Roman" w:hAnsi="Times New Roman" w:cs="Times New Roman"/>
          <w:sz w:val="24"/>
          <w:szCs w:val="24"/>
        </w:rPr>
        <w:t>Prior to</w:t>
      </w:r>
      <w:r w:rsidR="006937B9">
        <w:rPr>
          <w:rFonts w:ascii="Times New Roman" w:hAnsi="Times New Roman" w:cs="Times New Roman"/>
          <w:sz w:val="24"/>
          <w:szCs w:val="24"/>
        </w:rPr>
        <w:t xml:space="preserve"> discussing options for intervention</w:t>
      </w:r>
      <w:r w:rsidR="00EF0CA6">
        <w:rPr>
          <w:rFonts w:ascii="Times New Roman" w:hAnsi="Times New Roman" w:cs="Times New Roman"/>
          <w:sz w:val="24"/>
          <w:szCs w:val="24"/>
        </w:rPr>
        <w:t>,</w:t>
      </w:r>
      <w:r w:rsidR="006937B9">
        <w:rPr>
          <w:rFonts w:ascii="Times New Roman" w:hAnsi="Times New Roman" w:cs="Times New Roman"/>
          <w:sz w:val="24"/>
          <w:szCs w:val="24"/>
        </w:rPr>
        <w:t xml:space="preserve"> the forensic nurse utilize</w:t>
      </w:r>
      <w:r w:rsidR="00871B06">
        <w:rPr>
          <w:rFonts w:ascii="Times New Roman" w:hAnsi="Times New Roman" w:cs="Times New Roman"/>
          <w:sz w:val="24"/>
          <w:szCs w:val="24"/>
        </w:rPr>
        <w:t>d</w:t>
      </w:r>
      <w:r w:rsidR="006937B9">
        <w:rPr>
          <w:rFonts w:ascii="Times New Roman" w:hAnsi="Times New Roman" w:cs="Times New Roman"/>
          <w:sz w:val="24"/>
          <w:szCs w:val="24"/>
        </w:rPr>
        <w:t xml:space="preserve"> the Stages of Change </w:t>
      </w:r>
      <w:r w:rsidR="00AE6A02">
        <w:rPr>
          <w:rFonts w:ascii="Times New Roman" w:hAnsi="Times New Roman" w:cs="Times New Roman"/>
          <w:sz w:val="24"/>
          <w:szCs w:val="24"/>
        </w:rPr>
        <w:t>M</w:t>
      </w:r>
      <w:r w:rsidR="006937B9">
        <w:rPr>
          <w:rFonts w:ascii="Times New Roman" w:hAnsi="Times New Roman" w:cs="Times New Roman"/>
          <w:sz w:val="24"/>
          <w:szCs w:val="24"/>
        </w:rPr>
        <w:t>odel ad</w:t>
      </w:r>
      <w:r w:rsidR="00AE6A02">
        <w:rPr>
          <w:rFonts w:ascii="Times New Roman" w:hAnsi="Times New Roman" w:cs="Times New Roman"/>
          <w:sz w:val="24"/>
          <w:szCs w:val="24"/>
        </w:rPr>
        <w:t>a</w:t>
      </w:r>
      <w:r w:rsidR="006937B9">
        <w:rPr>
          <w:rFonts w:ascii="Times New Roman" w:hAnsi="Times New Roman" w:cs="Times New Roman"/>
          <w:sz w:val="24"/>
          <w:szCs w:val="24"/>
        </w:rPr>
        <w:t>pted from Prochaska and DiClemente’</w:t>
      </w:r>
      <w:r w:rsidR="00FB1698">
        <w:rPr>
          <w:rFonts w:ascii="Times New Roman" w:hAnsi="Times New Roman" w:cs="Times New Roman"/>
          <w:sz w:val="24"/>
          <w:szCs w:val="24"/>
        </w:rPr>
        <w:t>s t</w:t>
      </w:r>
      <w:r w:rsidR="000A771F">
        <w:rPr>
          <w:rFonts w:ascii="Times New Roman" w:hAnsi="Times New Roman" w:cs="Times New Roman"/>
          <w:sz w:val="24"/>
          <w:szCs w:val="24"/>
        </w:rPr>
        <w:t>heo</w:t>
      </w:r>
      <w:r w:rsidR="006937B9">
        <w:rPr>
          <w:rFonts w:ascii="Times New Roman" w:hAnsi="Times New Roman" w:cs="Times New Roman"/>
          <w:sz w:val="24"/>
          <w:szCs w:val="24"/>
        </w:rPr>
        <w:t>ry</w:t>
      </w:r>
      <w:r w:rsidR="00CC5436">
        <w:rPr>
          <w:rFonts w:ascii="Times New Roman" w:hAnsi="Times New Roman" w:cs="Times New Roman"/>
          <w:sz w:val="24"/>
          <w:szCs w:val="24"/>
        </w:rPr>
        <w:t xml:space="preserve"> (Prochaska &amp; DiClemente, 1986)</w:t>
      </w:r>
      <w:r w:rsidR="006937B9">
        <w:rPr>
          <w:rFonts w:ascii="Times New Roman" w:hAnsi="Times New Roman" w:cs="Times New Roman"/>
          <w:sz w:val="24"/>
          <w:szCs w:val="24"/>
        </w:rPr>
        <w:t xml:space="preserve"> </w:t>
      </w:r>
      <w:r w:rsidR="00AE6A02">
        <w:rPr>
          <w:rFonts w:ascii="Times New Roman" w:hAnsi="Times New Roman" w:cs="Times New Roman"/>
          <w:sz w:val="24"/>
          <w:szCs w:val="24"/>
        </w:rPr>
        <w:t xml:space="preserve">.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822594">
        <w:rPr>
          <w:rFonts w:ascii="Times New Roman" w:hAnsi="Times New Roman" w:cs="Times New Roman"/>
          <w:sz w:val="24"/>
          <w:szCs w:val="24"/>
        </w:rPr>
        <w:t xml:space="preserve"> was</w:t>
      </w:r>
      <w:r w:rsidR="00AE6A02">
        <w:rPr>
          <w:rFonts w:ascii="Times New Roman" w:hAnsi="Times New Roman" w:cs="Times New Roman"/>
          <w:sz w:val="24"/>
          <w:szCs w:val="24"/>
        </w:rPr>
        <w:t xml:space="preserve"> </w:t>
      </w:r>
      <w:r w:rsidR="00233E0B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4176CF">
        <w:rPr>
          <w:rFonts w:ascii="Times New Roman" w:hAnsi="Times New Roman" w:cs="Times New Roman"/>
          <w:sz w:val="24"/>
          <w:szCs w:val="24"/>
        </w:rPr>
        <w:t xml:space="preserve">to be </w:t>
      </w:r>
      <w:r w:rsidR="00233E0B">
        <w:rPr>
          <w:rFonts w:ascii="Times New Roman" w:hAnsi="Times New Roman" w:cs="Times New Roman"/>
          <w:sz w:val="24"/>
          <w:szCs w:val="24"/>
        </w:rPr>
        <w:t>at the</w:t>
      </w:r>
      <w:r w:rsidR="000A771F">
        <w:rPr>
          <w:rFonts w:ascii="Times New Roman" w:hAnsi="Times New Roman" w:cs="Times New Roman"/>
          <w:sz w:val="24"/>
          <w:szCs w:val="24"/>
        </w:rPr>
        <w:t xml:space="preserve"> Preparation S</w:t>
      </w:r>
      <w:r w:rsidR="00233E0B">
        <w:rPr>
          <w:rFonts w:ascii="Times New Roman" w:hAnsi="Times New Roman" w:cs="Times New Roman"/>
          <w:sz w:val="24"/>
          <w:szCs w:val="24"/>
        </w:rPr>
        <w:t>tage</w:t>
      </w:r>
      <w:r w:rsidR="00631C34">
        <w:rPr>
          <w:rFonts w:ascii="Times New Roman" w:hAnsi="Times New Roman" w:cs="Times New Roman"/>
          <w:sz w:val="24"/>
          <w:szCs w:val="24"/>
        </w:rPr>
        <w:t xml:space="preserve">, accepting </w:t>
      </w:r>
      <w:r w:rsidR="00FB1698">
        <w:rPr>
          <w:rFonts w:ascii="Times New Roman" w:hAnsi="Times New Roman" w:cs="Times New Roman"/>
          <w:sz w:val="24"/>
          <w:szCs w:val="24"/>
        </w:rPr>
        <w:t xml:space="preserve">of </w:t>
      </w:r>
      <w:r w:rsidR="00631C34">
        <w:rPr>
          <w:rFonts w:ascii="Times New Roman" w:hAnsi="Times New Roman" w:cs="Times New Roman"/>
          <w:sz w:val="24"/>
          <w:szCs w:val="24"/>
        </w:rPr>
        <w:t>the fact that she needed to make changes</w:t>
      </w:r>
      <w:r w:rsidR="00EF0CA6">
        <w:rPr>
          <w:rFonts w:ascii="Times New Roman" w:hAnsi="Times New Roman" w:cs="Times New Roman"/>
          <w:sz w:val="24"/>
          <w:szCs w:val="24"/>
        </w:rPr>
        <w:t xml:space="preserve"> to enhance her safety</w:t>
      </w:r>
      <w:r w:rsidR="00FB1698">
        <w:rPr>
          <w:rFonts w:ascii="Times New Roman" w:hAnsi="Times New Roman" w:cs="Times New Roman"/>
          <w:sz w:val="24"/>
          <w:szCs w:val="24"/>
        </w:rPr>
        <w:t xml:space="preserve"> but needing assistance to overcome obstacles, connect with supports</w:t>
      </w:r>
      <w:r w:rsidR="007530CB">
        <w:rPr>
          <w:rFonts w:ascii="Times New Roman" w:hAnsi="Times New Roman" w:cs="Times New Roman"/>
          <w:sz w:val="24"/>
          <w:szCs w:val="24"/>
        </w:rPr>
        <w:t>,</w:t>
      </w:r>
      <w:r w:rsidR="00FB1698">
        <w:rPr>
          <w:rFonts w:ascii="Times New Roman" w:hAnsi="Times New Roman" w:cs="Times New Roman"/>
          <w:sz w:val="24"/>
          <w:szCs w:val="24"/>
        </w:rPr>
        <w:t xml:space="preserve"> and build confidence</w:t>
      </w:r>
      <w:r w:rsidR="00EF0CA6">
        <w:rPr>
          <w:rFonts w:ascii="Times New Roman" w:hAnsi="Times New Roman" w:cs="Times New Roman"/>
          <w:sz w:val="24"/>
          <w:szCs w:val="24"/>
        </w:rPr>
        <w:t xml:space="preserve">. She was </w:t>
      </w:r>
      <w:r w:rsidR="00233E0B">
        <w:rPr>
          <w:rFonts w:ascii="Times New Roman" w:hAnsi="Times New Roman" w:cs="Times New Roman"/>
          <w:sz w:val="24"/>
          <w:szCs w:val="24"/>
        </w:rPr>
        <w:t>motivated by h</w:t>
      </w:r>
      <w:r w:rsidR="00C36EA6">
        <w:rPr>
          <w:rFonts w:ascii="Times New Roman" w:hAnsi="Times New Roman" w:cs="Times New Roman"/>
          <w:sz w:val="24"/>
          <w:szCs w:val="24"/>
        </w:rPr>
        <w:t xml:space="preserve">er fear of further </w:t>
      </w:r>
      <w:r w:rsidR="00233E0B">
        <w:rPr>
          <w:rFonts w:ascii="Times New Roman" w:hAnsi="Times New Roman" w:cs="Times New Roman"/>
          <w:sz w:val="24"/>
          <w:szCs w:val="24"/>
        </w:rPr>
        <w:t>injuries</w:t>
      </w:r>
      <w:r w:rsidR="00C36EA6">
        <w:rPr>
          <w:rFonts w:ascii="Times New Roman" w:hAnsi="Times New Roman" w:cs="Times New Roman"/>
          <w:sz w:val="24"/>
          <w:szCs w:val="24"/>
        </w:rPr>
        <w:t xml:space="preserve"> and negative consequences for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B30FCD">
        <w:rPr>
          <w:rFonts w:ascii="Times New Roman" w:hAnsi="Times New Roman" w:cs="Times New Roman"/>
          <w:sz w:val="24"/>
          <w:szCs w:val="24"/>
        </w:rPr>
        <w:t xml:space="preserve"> related to future </w:t>
      </w:r>
      <w:r w:rsidR="00C36EA6">
        <w:rPr>
          <w:rFonts w:ascii="Times New Roman" w:hAnsi="Times New Roman" w:cs="Times New Roman"/>
          <w:sz w:val="24"/>
          <w:szCs w:val="24"/>
        </w:rPr>
        <w:t>violent behaviour</w:t>
      </w:r>
      <w:r w:rsidR="00B30FCD">
        <w:rPr>
          <w:rFonts w:ascii="Times New Roman" w:hAnsi="Times New Roman" w:cs="Times New Roman"/>
          <w:sz w:val="24"/>
          <w:szCs w:val="24"/>
        </w:rPr>
        <w:t>,</w:t>
      </w:r>
      <w:r w:rsidR="00C36EA6">
        <w:rPr>
          <w:rFonts w:ascii="Times New Roman" w:hAnsi="Times New Roman" w:cs="Times New Roman"/>
          <w:sz w:val="24"/>
          <w:szCs w:val="24"/>
        </w:rPr>
        <w:t xml:space="preserve"> knowing she may not always be able to pr</w:t>
      </w:r>
      <w:r w:rsidR="00FB1698">
        <w:rPr>
          <w:rFonts w:ascii="Times New Roman" w:hAnsi="Times New Roman" w:cs="Times New Roman"/>
          <w:sz w:val="24"/>
          <w:szCs w:val="24"/>
        </w:rPr>
        <w:t>otect him from</w:t>
      </w:r>
      <w:r w:rsidR="00EF0CA6">
        <w:rPr>
          <w:rFonts w:ascii="Times New Roman" w:hAnsi="Times New Roman" w:cs="Times New Roman"/>
          <w:sz w:val="24"/>
          <w:szCs w:val="24"/>
        </w:rPr>
        <w:t xml:space="preserve"> legal consequences</w:t>
      </w:r>
      <w:r w:rsidR="00C36EA6">
        <w:rPr>
          <w:rFonts w:ascii="Times New Roman" w:hAnsi="Times New Roman" w:cs="Times New Roman"/>
          <w:sz w:val="24"/>
          <w:szCs w:val="24"/>
        </w:rPr>
        <w:t xml:space="preserve">. </w:t>
      </w:r>
      <w:r w:rsidR="00233E0B">
        <w:rPr>
          <w:rFonts w:ascii="Times New Roman" w:hAnsi="Times New Roman" w:cs="Times New Roman"/>
          <w:sz w:val="24"/>
          <w:szCs w:val="24"/>
        </w:rPr>
        <w:t>Po</w:t>
      </w:r>
      <w:r w:rsidR="00C36EA6">
        <w:rPr>
          <w:rFonts w:ascii="Times New Roman" w:hAnsi="Times New Roman" w:cs="Times New Roman"/>
          <w:sz w:val="24"/>
          <w:szCs w:val="24"/>
        </w:rPr>
        <w:t>st</w:t>
      </w:r>
      <w:r w:rsidR="007530CB">
        <w:rPr>
          <w:rFonts w:ascii="Times New Roman" w:hAnsi="Times New Roman" w:cs="Times New Roman"/>
          <w:sz w:val="24"/>
          <w:szCs w:val="24"/>
        </w:rPr>
        <w:t>-</w:t>
      </w:r>
      <w:r w:rsidR="00B30FCD">
        <w:rPr>
          <w:rFonts w:ascii="Times New Roman" w:hAnsi="Times New Roman" w:cs="Times New Roman"/>
          <w:sz w:val="24"/>
          <w:szCs w:val="24"/>
        </w:rPr>
        <w:t>assault</w:t>
      </w:r>
      <w:r w:rsidR="00FC74BB">
        <w:rPr>
          <w:rFonts w:ascii="Times New Roman" w:hAnsi="Times New Roman" w:cs="Times New Roman"/>
          <w:sz w:val="24"/>
          <w:szCs w:val="24"/>
        </w:rPr>
        <w:t>,</w:t>
      </w:r>
      <w:r w:rsidR="00C36EA6">
        <w:rPr>
          <w:rFonts w:ascii="Times New Roman" w:hAnsi="Times New Roman" w:cs="Times New Roman"/>
          <w:sz w:val="24"/>
          <w:szCs w:val="24"/>
        </w:rPr>
        <w:t xml:space="preserve"> </w:t>
      </w:r>
      <w:r w:rsidR="00FB1698">
        <w:rPr>
          <w:rFonts w:ascii="Times New Roman" w:hAnsi="Times New Roman" w:cs="Times New Roman"/>
          <w:sz w:val="24"/>
          <w:szCs w:val="24"/>
        </w:rPr>
        <w:t xml:space="preserve">her level of functioning declined </w:t>
      </w:r>
      <w:r w:rsidR="00871B06">
        <w:rPr>
          <w:rFonts w:ascii="Times New Roman" w:hAnsi="Times New Roman" w:cs="Times New Roman"/>
          <w:sz w:val="24"/>
          <w:szCs w:val="24"/>
        </w:rPr>
        <w:t xml:space="preserve">substantially: </w:t>
      </w:r>
      <w:r w:rsidR="00FC74BB">
        <w:rPr>
          <w:rFonts w:ascii="Times New Roman" w:hAnsi="Times New Roman" w:cs="Times New Roman"/>
          <w:sz w:val="24"/>
          <w:szCs w:val="24"/>
        </w:rPr>
        <w:t>s</w:t>
      </w:r>
      <w:r w:rsidR="00C36EA6">
        <w:rPr>
          <w:rFonts w:ascii="Times New Roman" w:hAnsi="Times New Roman" w:cs="Times New Roman"/>
          <w:sz w:val="24"/>
          <w:szCs w:val="24"/>
        </w:rPr>
        <w:t>h</w:t>
      </w:r>
      <w:r w:rsidR="00EF0CA6">
        <w:rPr>
          <w:rFonts w:ascii="Times New Roman" w:hAnsi="Times New Roman" w:cs="Times New Roman"/>
          <w:sz w:val="24"/>
          <w:szCs w:val="24"/>
        </w:rPr>
        <w:t xml:space="preserve">e </w:t>
      </w:r>
      <w:r w:rsidR="009726B2">
        <w:rPr>
          <w:rFonts w:ascii="Times New Roman" w:hAnsi="Times New Roman" w:cs="Times New Roman"/>
          <w:sz w:val="24"/>
          <w:szCs w:val="24"/>
        </w:rPr>
        <w:t>had to use</w:t>
      </w:r>
      <w:r w:rsidR="00EF0CA6">
        <w:rPr>
          <w:rFonts w:ascii="Times New Roman" w:hAnsi="Times New Roman" w:cs="Times New Roman"/>
          <w:sz w:val="24"/>
          <w:szCs w:val="24"/>
        </w:rPr>
        <w:t xml:space="preserve"> </w:t>
      </w:r>
      <w:r w:rsidR="006A52D4">
        <w:rPr>
          <w:rFonts w:ascii="Times New Roman" w:hAnsi="Times New Roman" w:cs="Times New Roman"/>
          <w:sz w:val="24"/>
          <w:szCs w:val="24"/>
        </w:rPr>
        <w:t xml:space="preserve">a walker, </w:t>
      </w:r>
      <w:r w:rsidR="00FC74BB">
        <w:rPr>
          <w:rFonts w:ascii="Times New Roman" w:hAnsi="Times New Roman" w:cs="Times New Roman"/>
          <w:sz w:val="24"/>
          <w:szCs w:val="24"/>
        </w:rPr>
        <w:t xml:space="preserve">could not </w:t>
      </w:r>
      <w:r w:rsidR="006A52D4">
        <w:rPr>
          <w:rFonts w:ascii="Times New Roman" w:hAnsi="Times New Roman" w:cs="Times New Roman"/>
          <w:sz w:val="24"/>
          <w:szCs w:val="24"/>
        </w:rPr>
        <w:t>manage shopping</w:t>
      </w:r>
      <w:r w:rsidR="00EF0CA6">
        <w:rPr>
          <w:rFonts w:ascii="Times New Roman" w:hAnsi="Times New Roman" w:cs="Times New Roman"/>
          <w:sz w:val="24"/>
          <w:szCs w:val="24"/>
        </w:rPr>
        <w:t xml:space="preserve">, </w:t>
      </w:r>
      <w:r w:rsidR="006728BF">
        <w:rPr>
          <w:rFonts w:ascii="Times New Roman" w:hAnsi="Times New Roman" w:cs="Times New Roman"/>
          <w:sz w:val="24"/>
          <w:szCs w:val="24"/>
        </w:rPr>
        <w:t>housework</w:t>
      </w:r>
      <w:r w:rsidR="00EF0CA6">
        <w:rPr>
          <w:rFonts w:ascii="Times New Roman" w:hAnsi="Times New Roman" w:cs="Times New Roman"/>
          <w:sz w:val="24"/>
          <w:szCs w:val="24"/>
        </w:rPr>
        <w:t>, or</w:t>
      </w:r>
      <w:r w:rsidR="00631C34">
        <w:rPr>
          <w:rFonts w:ascii="Times New Roman" w:hAnsi="Times New Roman" w:cs="Times New Roman"/>
          <w:sz w:val="24"/>
          <w:szCs w:val="24"/>
        </w:rPr>
        <w:t xml:space="preserve"> climb</w:t>
      </w:r>
      <w:r w:rsidR="00FC74BB">
        <w:rPr>
          <w:rFonts w:ascii="Times New Roman" w:hAnsi="Times New Roman" w:cs="Times New Roman"/>
          <w:sz w:val="24"/>
          <w:szCs w:val="24"/>
        </w:rPr>
        <w:t>ing</w:t>
      </w:r>
      <w:r w:rsidR="00631C34">
        <w:rPr>
          <w:rFonts w:ascii="Times New Roman" w:hAnsi="Times New Roman" w:cs="Times New Roman"/>
          <w:sz w:val="24"/>
          <w:szCs w:val="24"/>
        </w:rPr>
        <w:t xml:space="preserve"> stairs</w:t>
      </w:r>
      <w:r w:rsidR="007D493C">
        <w:rPr>
          <w:rFonts w:ascii="Times New Roman" w:hAnsi="Times New Roman" w:cs="Times New Roman"/>
          <w:sz w:val="24"/>
          <w:szCs w:val="24"/>
        </w:rPr>
        <w:t>,</w:t>
      </w:r>
      <w:r w:rsidR="00631C34">
        <w:rPr>
          <w:rFonts w:ascii="Times New Roman" w:hAnsi="Times New Roman" w:cs="Times New Roman"/>
          <w:sz w:val="24"/>
          <w:szCs w:val="24"/>
        </w:rPr>
        <w:t xml:space="preserve"> </w:t>
      </w:r>
      <w:r w:rsidR="006A52D4">
        <w:rPr>
          <w:rFonts w:ascii="Times New Roman" w:hAnsi="Times New Roman" w:cs="Times New Roman"/>
          <w:sz w:val="24"/>
          <w:szCs w:val="24"/>
        </w:rPr>
        <w:t>and require</w:t>
      </w:r>
      <w:r w:rsidR="006728BF">
        <w:rPr>
          <w:rFonts w:ascii="Times New Roman" w:hAnsi="Times New Roman" w:cs="Times New Roman"/>
          <w:sz w:val="24"/>
          <w:szCs w:val="24"/>
        </w:rPr>
        <w:t>d</w:t>
      </w:r>
      <w:r w:rsidR="00631C34">
        <w:rPr>
          <w:rFonts w:ascii="Times New Roman" w:hAnsi="Times New Roman" w:cs="Times New Roman"/>
          <w:sz w:val="24"/>
          <w:szCs w:val="24"/>
        </w:rPr>
        <w:t xml:space="preserve"> </w:t>
      </w:r>
      <w:r w:rsidR="00233E0B">
        <w:rPr>
          <w:rFonts w:ascii="Times New Roman" w:hAnsi="Times New Roman" w:cs="Times New Roman"/>
          <w:sz w:val="24"/>
          <w:szCs w:val="24"/>
        </w:rPr>
        <w:t>assistance</w:t>
      </w:r>
      <w:r w:rsidR="00631C34">
        <w:rPr>
          <w:rFonts w:ascii="Times New Roman" w:hAnsi="Times New Roman" w:cs="Times New Roman"/>
          <w:sz w:val="24"/>
          <w:szCs w:val="24"/>
        </w:rPr>
        <w:t xml:space="preserve"> with bathing</w:t>
      </w:r>
      <w:r w:rsidR="00CA396D">
        <w:rPr>
          <w:rFonts w:ascii="Times New Roman" w:hAnsi="Times New Roman" w:cs="Times New Roman"/>
          <w:sz w:val="24"/>
          <w:szCs w:val="24"/>
        </w:rPr>
        <w:t>. The f</w:t>
      </w:r>
      <w:r w:rsidR="00233E0B">
        <w:rPr>
          <w:rFonts w:ascii="Times New Roman" w:hAnsi="Times New Roman" w:cs="Times New Roman"/>
          <w:sz w:val="24"/>
          <w:szCs w:val="24"/>
        </w:rPr>
        <w:t xml:space="preserve">orensic nurse </w:t>
      </w:r>
      <w:r w:rsidR="00631C34">
        <w:rPr>
          <w:rFonts w:ascii="Times New Roman" w:hAnsi="Times New Roman" w:cs="Times New Roman"/>
          <w:sz w:val="24"/>
          <w:szCs w:val="24"/>
        </w:rPr>
        <w:t>assisted</w:t>
      </w:r>
      <w:r w:rsidR="00233E0B">
        <w:rPr>
          <w:rFonts w:ascii="Times New Roman" w:hAnsi="Times New Roman" w:cs="Times New Roman"/>
          <w:sz w:val="24"/>
          <w:szCs w:val="24"/>
        </w:rPr>
        <w:t xml:space="preserve"> </w:t>
      </w:r>
      <w:r w:rsidR="0006785C">
        <w:rPr>
          <w:rFonts w:ascii="Times New Roman" w:hAnsi="Times New Roman" w:cs="Times New Roman"/>
          <w:sz w:val="24"/>
          <w:szCs w:val="24"/>
        </w:rPr>
        <w:t>Mary</w:t>
      </w:r>
      <w:r w:rsidR="00233E0B">
        <w:rPr>
          <w:rFonts w:ascii="Times New Roman" w:hAnsi="Times New Roman" w:cs="Times New Roman"/>
          <w:sz w:val="24"/>
          <w:szCs w:val="24"/>
        </w:rPr>
        <w:t xml:space="preserve"> in identifying areas of </w:t>
      </w:r>
      <w:r w:rsidR="00FB1698">
        <w:rPr>
          <w:rFonts w:ascii="Times New Roman" w:hAnsi="Times New Roman" w:cs="Times New Roman"/>
          <w:sz w:val="24"/>
          <w:szCs w:val="24"/>
        </w:rPr>
        <w:t xml:space="preserve">need, </w:t>
      </w:r>
      <w:r w:rsidR="00233E0B">
        <w:rPr>
          <w:rFonts w:ascii="Times New Roman" w:hAnsi="Times New Roman" w:cs="Times New Roman"/>
          <w:sz w:val="24"/>
          <w:szCs w:val="24"/>
        </w:rPr>
        <w:t>risk</w:t>
      </w:r>
      <w:r w:rsidR="00FB1698">
        <w:rPr>
          <w:rFonts w:ascii="Times New Roman" w:hAnsi="Times New Roman" w:cs="Times New Roman"/>
          <w:sz w:val="24"/>
          <w:szCs w:val="24"/>
        </w:rPr>
        <w:t>s</w:t>
      </w:r>
      <w:r w:rsidR="00233E0B">
        <w:rPr>
          <w:rFonts w:ascii="Times New Roman" w:hAnsi="Times New Roman" w:cs="Times New Roman"/>
          <w:sz w:val="24"/>
          <w:szCs w:val="24"/>
        </w:rPr>
        <w:t xml:space="preserve"> </w:t>
      </w:r>
      <w:r w:rsidR="00EF0CA6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135CB5">
        <w:rPr>
          <w:rFonts w:ascii="Times New Roman" w:hAnsi="Times New Roman" w:cs="Times New Roman"/>
          <w:sz w:val="24"/>
          <w:szCs w:val="24"/>
        </w:rPr>
        <w:t>John’s</w:t>
      </w:r>
      <w:r w:rsidR="00EF0CA6">
        <w:rPr>
          <w:rFonts w:ascii="Times New Roman" w:hAnsi="Times New Roman" w:cs="Times New Roman"/>
          <w:sz w:val="24"/>
          <w:szCs w:val="24"/>
        </w:rPr>
        <w:t xml:space="preserve"> </w:t>
      </w:r>
      <w:r w:rsidR="00C36EA6">
        <w:rPr>
          <w:rFonts w:ascii="Times New Roman" w:hAnsi="Times New Roman" w:cs="Times New Roman"/>
          <w:sz w:val="24"/>
          <w:szCs w:val="24"/>
        </w:rPr>
        <w:t>behaviours</w:t>
      </w:r>
      <w:r w:rsidR="00FC74BB">
        <w:rPr>
          <w:rFonts w:ascii="Times New Roman" w:hAnsi="Times New Roman" w:cs="Times New Roman"/>
          <w:sz w:val="24"/>
          <w:szCs w:val="24"/>
        </w:rPr>
        <w:t>,</w:t>
      </w:r>
      <w:r w:rsidR="00822594">
        <w:rPr>
          <w:rFonts w:ascii="Times New Roman" w:hAnsi="Times New Roman" w:cs="Times New Roman"/>
          <w:sz w:val="24"/>
          <w:szCs w:val="24"/>
        </w:rPr>
        <w:t xml:space="preserve"> and his inability to </w:t>
      </w:r>
      <w:r w:rsidR="006A52D4">
        <w:rPr>
          <w:rFonts w:ascii="Times New Roman" w:hAnsi="Times New Roman" w:cs="Times New Roman"/>
          <w:sz w:val="24"/>
          <w:szCs w:val="24"/>
        </w:rPr>
        <w:t xml:space="preserve">cope with </w:t>
      </w:r>
      <w:r w:rsidR="00EF0CA6">
        <w:rPr>
          <w:rFonts w:ascii="Times New Roman" w:hAnsi="Times New Roman" w:cs="Times New Roman"/>
          <w:sz w:val="24"/>
          <w:szCs w:val="24"/>
        </w:rPr>
        <w:t>services entering the home</w:t>
      </w:r>
      <w:r w:rsidR="00822594">
        <w:rPr>
          <w:rFonts w:ascii="Times New Roman" w:hAnsi="Times New Roman" w:cs="Times New Roman"/>
          <w:sz w:val="24"/>
          <w:szCs w:val="24"/>
        </w:rPr>
        <w:t xml:space="preserve"> due to his paranoid ideation</w:t>
      </w:r>
      <w:r w:rsidR="00631C34">
        <w:rPr>
          <w:rFonts w:ascii="Times New Roman" w:hAnsi="Times New Roman" w:cs="Times New Roman"/>
          <w:sz w:val="24"/>
          <w:szCs w:val="24"/>
        </w:rPr>
        <w:t xml:space="preserve">. </w:t>
      </w:r>
      <w:r w:rsidR="000A771F">
        <w:rPr>
          <w:rFonts w:ascii="Times New Roman" w:hAnsi="Times New Roman" w:cs="Times New Roman"/>
          <w:sz w:val="24"/>
          <w:szCs w:val="24"/>
        </w:rPr>
        <w:t>Information was provided on o</w:t>
      </w:r>
      <w:r w:rsidR="00233E0B">
        <w:rPr>
          <w:rFonts w:ascii="Times New Roman" w:hAnsi="Times New Roman" w:cs="Times New Roman"/>
          <w:sz w:val="24"/>
          <w:szCs w:val="24"/>
        </w:rPr>
        <w:t xml:space="preserve">ptions </w:t>
      </w:r>
      <w:r w:rsidR="009726B2">
        <w:rPr>
          <w:rFonts w:ascii="Times New Roman" w:hAnsi="Times New Roman" w:cs="Times New Roman"/>
          <w:sz w:val="24"/>
          <w:szCs w:val="24"/>
        </w:rPr>
        <w:t xml:space="preserve">that </w:t>
      </w:r>
      <w:r w:rsidR="00233E0B">
        <w:rPr>
          <w:rFonts w:ascii="Times New Roman" w:hAnsi="Times New Roman" w:cs="Times New Roman"/>
          <w:sz w:val="24"/>
          <w:szCs w:val="24"/>
        </w:rPr>
        <w:t>c</w:t>
      </w:r>
      <w:r w:rsidR="000A771F">
        <w:rPr>
          <w:rFonts w:ascii="Times New Roman" w:hAnsi="Times New Roman" w:cs="Times New Roman"/>
          <w:sz w:val="24"/>
          <w:szCs w:val="24"/>
        </w:rPr>
        <w:t>ould assist in</w:t>
      </w:r>
      <w:r w:rsidR="00233E0B">
        <w:rPr>
          <w:rFonts w:ascii="Times New Roman" w:hAnsi="Times New Roman" w:cs="Times New Roman"/>
          <w:sz w:val="24"/>
          <w:szCs w:val="24"/>
        </w:rPr>
        <w:t xml:space="preserve"> prevent</w:t>
      </w:r>
      <w:r w:rsidR="000A771F">
        <w:rPr>
          <w:rFonts w:ascii="Times New Roman" w:hAnsi="Times New Roman" w:cs="Times New Roman"/>
          <w:sz w:val="24"/>
          <w:szCs w:val="24"/>
        </w:rPr>
        <w:t>ing future harm</w:t>
      </w:r>
      <w:r w:rsidR="006A52D4">
        <w:rPr>
          <w:rFonts w:ascii="Times New Roman" w:hAnsi="Times New Roman" w:cs="Times New Roman"/>
          <w:sz w:val="24"/>
          <w:szCs w:val="24"/>
        </w:rPr>
        <w:t xml:space="preserve"> by decreasing</w:t>
      </w:r>
      <w:r w:rsidR="002E6026">
        <w:rPr>
          <w:rFonts w:ascii="Times New Roman" w:hAnsi="Times New Roman" w:cs="Times New Roman"/>
          <w:sz w:val="24"/>
          <w:szCs w:val="24"/>
        </w:rPr>
        <w:t xml:space="preserve"> </w:t>
      </w:r>
      <w:r w:rsidR="0006785C">
        <w:rPr>
          <w:rFonts w:ascii="Times New Roman" w:hAnsi="Times New Roman" w:cs="Times New Roman"/>
          <w:sz w:val="24"/>
          <w:szCs w:val="24"/>
        </w:rPr>
        <w:t>Mary’s</w:t>
      </w:r>
      <w:r w:rsidR="009726B2">
        <w:rPr>
          <w:rFonts w:ascii="Times New Roman" w:hAnsi="Times New Roman" w:cs="Times New Roman"/>
          <w:sz w:val="24"/>
          <w:szCs w:val="24"/>
        </w:rPr>
        <w:t xml:space="preserve"> </w:t>
      </w:r>
      <w:r w:rsidR="002E6026">
        <w:rPr>
          <w:rFonts w:ascii="Times New Roman" w:hAnsi="Times New Roman" w:cs="Times New Roman"/>
          <w:sz w:val="24"/>
          <w:szCs w:val="24"/>
        </w:rPr>
        <w:t xml:space="preserve">dependence on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4235DA">
        <w:rPr>
          <w:rFonts w:ascii="Times New Roman" w:hAnsi="Times New Roman" w:cs="Times New Roman"/>
          <w:sz w:val="24"/>
          <w:szCs w:val="24"/>
        </w:rPr>
        <w:t>;</w:t>
      </w:r>
      <w:r w:rsidR="002E6026">
        <w:rPr>
          <w:rFonts w:ascii="Times New Roman" w:hAnsi="Times New Roman" w:cs="Times New Roman"/>
          <w:sz w:val="24"/>
          <w:szCs w:val="24"/>
        </w:rPr>
        <w:t xml:space="preserve"> </w:t>
      </w:r>
      <w:r w:rsidR="00624309">
        <w:rPr>
          <w:rFonts w:ascii="Times New Roman" w:hAnsi="Times New Roman" w:cs="Times New Roman"/>
          <w:sz w:val="24"/>
          <w:szCs w:val="24"/>
        </w:rPr>
        <w:t>the implications of each option were reviewed</w:t>
      </w:r>
      <w:r w:rsidR="00631C34">
        <w:rPr>
          <w:rFonts w:ascii="Times New Roman" w:hAnsi="Times New Roman" w:cs="Times New Roman"/>
          <w:sz w:val="24"/>
          <w:szCs w:val="24"/>
        </w:rPr>
        <w:t>.</w:t>
      </w:r>
      <w:r w:rsidR="002E6026">
        <w:rPr>
          <w:rFonts w:ascii="Times New Roman" w:hAnsi="Times New Roman" w:cs="Times New Roman"/>
          <w:sz w:val="24"/>
          <w:szCs w:val="24"/>
        </w:rPr>
        <w:t xml:space="preserve"> </w:t>
      </w:r>
      <w:r w:rsidR="00581634">
        <w:rPr>
          <w:rFonts w:ascii="Times New Roman" w:hAnsi="Times New Roman" w:cs="Times New Roman"/>
          <w:sz w:val="24"/>
          <w:szCs w:val="24"/>
        </w:rPr>
        <w:t>Mary’s</w:t>
      </w:r>
      <w:r w:rsidR="002E6026">
        <w:rPr>
          <w:rFonts w:ascii="Times New Roman" w:hAnsi="Times New Roman" w:cs="Times New Roman"/>
          <w:sz w:val="24"/>
          <w:szCs w:val="24"/>
        </w:rPr>
        <w:t xml:space="preserve"> engagement was sustained by </w:t>
      </w:r>
      <w:r w:rsidR="00581634">
        <w:rPr>
          <w:rFonts w:ascii="Times New Roman" w:hAnsi="Times New Roman" w:cs="Times New Roman"/>
          <w:sz w:val="24"/>
          <w:szCs w:val="24"/>
        </w:rPr>
        <w:t xml:space="preserve">also </w:t>
      </w:r>
      <w:r w:rsidR="002E6026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FC74BB">
        <w:rPr>
          <w:rFonts w:ascii="Times New Roman" w:hAnsi="Times New Roman" w:cs="Times New Roman"/>
          <w:sz w:val="24"/>
          <w:szCs w:val="24"/>
        </w:rPr>
        <w:t>’s need</w:t>
      </w:r>
      <w:r w:rsidR="00581634">
        <w:rPr>
          <w:rFonts w:ascii="Times New Roman" w:hAnsi="Times New Roman" w:cs="Times New Roman"/>
          <w:sz w:val="24"/>
          <w:szCs w:val="24"/>
        </w:rPr>
        <w:t>s,</w:t>
      </w:r>
      <w:r w:rsidR="006C7AC2">
        <w:rPr>
          <w:rFonts w:ascii="Times New Roman" w:hAnsi="Times New Roman" w:cs="Times New Roman"/>
          <w:sz w:val="24"/>
          <w:szCs w:val="24"/>
        </w:rPr>
        <w:t xml:space="preserve"> </w:t>
      </w:r>
      <w:r w:rsidR="004176CF">
        <w:rPr>
          <w:rFonts w:ascii="Times New Roman" w:hAnsi="Times New Roman" w:cs="Times New Roman"/>
          <w:sz w:val="24"/>
          <w:szCs w:val="24"/>
        </w:rPr>
        <w:t>related to</w:t>
      </w:r>
      <w:r w:rsidR="00293405">
        <w:rPr>
          <w:rFonts w:ascii="Times New Roman" w:hAnsi="Times New Roman" w:cs="Times New Roman"/>
          <w:sz w:val="24"/>
          <w:szCs w:val="24"/>
        </w:rPr>
        <w:t xml:space="preserve"> decreas</w:t>
      </w:r>
      <w:r w:rsidR="004176CF">
        <w:rPr>
          <w:rFonts w:ascii="Times New Roman" w:hAnsi="Times New Roman" w:cs="Times New Roman"/>
          <w:sz w:val="24"/>
          <w:szCs w:val="24"/>
        </w:rPr>
        <w:t>ing</w:t>
      </w:r>
      <w:r w:rsidR="00293405">
        <w:rPr>
          <w:rFonts w:ascii="Times New Roman" w:hAnsi="Times New Roman" w:cs="Times New Roman"/>
          <w:sz w:val="24"/>
          <w:szCs w:val="24"/>
        </w:rPr>
        <w:t xml:space="preserve"> his </w:t>
      </w:r>
      <w:r w:rsidR="005279CF">
        <w:rPr>
          <w:rFonts w:ascii="Times New Roman" w:hAnsi="Times New Roman" w:cs="Times New Roman"/>
          <w:sz w:val="24"/>
          <w:szCs w:val="24"/>
        </w:rPr>
        <w:t xml:space="preserve">emotional and financial </w:t>
      </w:r>
      <w:r w:rsidR="00293405">
        <w:rPr>
          <w:rFonts w:ascii="Times New Roman" w:hAnsi="Times New Roman" w:cs="Times New Roman"/>
          <w:sz w:val="24"/>
          <w:szCs w:val="24"/>
        </w:rPr>
        <w:t>depend</w:t>
      </w:r>
      <w:r w:rsidR="002E6026">
        <w:rPr>
          <w:rFonts w:ascii="Times New Roman" w:hAnsi="Times New Roman" w:cs="Times New Roman"/>
          <w:sz w:val="24"/>
          <w:szCs w:val="24"/>
        </w:rPr>
        <w:t>ence on his mot</w:t>
      </w:r>
      <w:r w:rsidR="003900E1">
        <w:rPr>
          <w:rFonts w:ascii="Times New Roman" w:hAnsi="Times New Roman" w:cs="Times New Roman"/>
          <w:sz w:val="24"/>
          <w:szCs w:val="24"/>
        </w:rPr>
        <w:t>her</w:t>
      </w:r>
      <w:r w:rsidR="002E6026">
        <w:rPr>
          <w:rFonts w:ascii="Times New Roman" w:hAnsi="Times New Roman" w:cs="Times New Roman"/>
          <w:sz w:val="24"/>
          <w:szCs w:val="24"/>
        </w:rPr>
        <w:t xml:space="preserve"> and </w:t>
      </w:r>
      <w:r w:rsidR="00293405">
        <w:rPr>
          <w:rFonts w:ascii="Times New Roman" w:hAnsi="Times New Roman" w:cs="Times New Roman"/>
          <w:sz w:val="24"/>
          <w:szCs w:val="24"/>
        </w:rPr>
        <w:t>address</w:t>
      </w:r>
      <w:r w:rsidR="004176CF">
        <w:rPr>
          <w:rFonts w:ascii="Times New Roman" w:hAnsi="Times New Roman" w:cs="Times New Roman"/>
          <w:sz w:val="24"/>
          <w:szCs w:val="24"/>
        </w:rPr>
        <w:t>ing</w:t>
      </w:r>
      <w:r w:rsidR="00293405">
        <w:rPr>
          <w:rFonts w:ascii="Times New Roman" w:hAnsi="Times New Roman" w:cs="Times New Roman"/>
          <w:sz w:val="24"/>
          <w:szCs w:val="24"/>
        </w:rPr>
        <w:t xml:space="preserve"> underlying motivation</w:t>
      </w:r>
      <w:r w:rsidR="002E6026">
        <w:rPr>
          <w:rFonts w:ascii="Times New Roman" w:hAnsi="Times New Roman" w:cs="Times New Roman"/>
          <w:sz w:val="24"/>
          <w:szCs w:val="24"/>
        </w:rPr>
        <w:t>s</w:t>
      </w:r>
      <w:r w:rsidR="00293405">
        <w:rPr>
          <w:rFonts w:ascii="Times New Roman" w:hAnsi="Times New Roman" w:cs="Times New Roman"/>
          <w:sz w:val="24"/>
          <w:szCs w:val="24"/>
        </w:rPr>
        <w:t xml:space="preserve"> f</w:t>
      </w:r>
      <w:r w:rsidR="002E6026">
        <w:rPr>
          <w:rFonts w:ascii="Times New Roman" w:hAnsi="Times New Roman" w:cs="Times New Roman"/>
          <w:sz w:val="24"/>
          <w:szCs w:val="24"/>
        </w:rPr>
        <w:t>or aggression.</w:t>
      </w:r>
    </w:p>
    <w:p w14:paraId="36E9A283" w14:textId="72CF4857" w:rsidR="00C36EA6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96D">
        <w:rPr>
          <w:rFonts w:ascii="Times New Roman" w:hAnsi="Times New Roman" w:cs="Times New Roman"/>
          <w:sz w:val="24"/>
          <w:szCs w:val="24"/>
        </w:rPr>
        <w:t xml:space="preserve">Over a </w:t>
      </w:r>
      <w:r w:rsidR="0056028A">
        <w:rPr>
          <w:rFonts w:ascii="Times New Roman" w:hAnsi="Times New Roman" w:cs="Times New Roman"/>
          <w:sz w:val="24"/>
          <w:szCs w:val="24"/>
        </w:rPr>
        <w:t>six</w:t>
      </w:r>
      <w:r w:rsidR="006728BF">
        <w:rPr>
          <w:rFonts w:ascii="Times New Roman" w:hAnsi="Times New Roman" w:cs="Times New Roman"/>
          <w:sz w:val="24"/>
          <w:szCs w:val="24"/>
        </w:rPr>
        <w:t>-</w:t>
      </w:r>
      <w:r w:rsidR="00CA396D">
        <w:rPr>
          <w:rFonts w:ascii="Times New Roman" w:hAnsi="Times New Roman" w:cs="Times New Roman"/>
          <w:sz w:val="24"/>
          <w:szCs w:val="24"/>
        </w:rPr>
        <w:t>mo</w:t>
      </w:r>
      <w:r w:rsidR="00FA7A62">
        <w:rPr>
          <w:rFonts w:ascii="Times New Roman" w:hAnsi="Times New Roman" w:cs="Times New Roman"/>
          <w:sz w:val="24"/>
          <w:szCs w:val="24"/>
        </w:rPr>
        <w:t xml:space="preserve">nth </w:t>
      </w:r>
      <w:r w:rsidR="00462849">
        <w:rPr>
          <w:rFonts w:ascii="Times New Roman" w:hAnsi="Times New Roman" w:cs="Times New Roman"/>
          <w:sz w:val="24"/>
          <w:szCs w:val="24"/>
        </w:rPr>
        <w:t>period,</w:t>
      </w:r>
      <w:r w:rsidR="00FA7A62">
        <w:rPr>
          <w:rFonts w:ascii="Times New Roman" w:hAnsi="Times New Roman" w:cs="Times New Roman"/>
          <w:sz w:val="24"/>
          <w:szCs w:val="24"/>
        </w:rPr>
        <w:t xml:space="preserve"> an intervention plan </w:t>
      </w:r>
      <w:r w:rsidR="00CA396D">
        <w:rPr>
          <w:rFonts w:ascii="Times New Roman" w:hAnsi="Times New Roman" w:cs="Times New Roman"/>
          <w:sz w:val="24"/>
          <w:szCs w:val="24"/>
        </w:rPr>
        <w:t xml:space="preserve">was implemented. </w:t>
      </w:r>
      <w:r w:rsidR="007879C8">
        <w:rPr>
          <w:rFonts w:ascii="Times New Roman" w:hAnsi="Times New Roman" w:cs="Times New Roman"/>
          <w:sz w:val="24"/>
          <w:szCs w:val="24"/>
        </w:rPr>
        <w:t>Services engaged</w:t>
      </w:r>
      <w:r w:rsidR="00B44568">
        <w:rPr>
          <w:rFonts w:ascii="Times New Roman" w:hAnsi="Times New Roman" w:cs="Times New Roman"/>
          <w:sz w:val="24"/>
          <w:szCs w:val="24"/>
        </w:rPr>
        <w:t xml:space="preserve"> with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B44568">
        <w:rPr>
          <w:rFonts w:ascii="Times New Roman" w:hAnsi="Times New Roman" w:cs="Times New Roman"/>
          <w:sz w:val="24"/>
          <w:szCs w:val="24"/>
        </w:rPr>
        <w:t xml:space="preserve"> to develop rapport</w:t>
      </w:r>
      <w:r w:rsidR="007879C8">
        <w:rPr>
          <w:rFonts w:ascii="Times New Roman" w:hAnsi="Times New Roman" w:cs="Times New Roman"/>
          <w:sz w:val="24"/>
          <w:szCs w:val="24"/>
        </w:rPr>
        <w:t xml:space="preserve"> and trust, mediate conversations with his mother</w:t>
      </w:r>
      <w:r w:rsidR="00CA396D">
        <w:rPr>
          <w:rFonts w:ascii="Times New Roman" w:hAnsi="Times New Roman" w:cs="Times New Roman"/>
          <w:sz w:val="24"/>
          <w:szCs w:val="24"/>
        </w:rPr>
        <w:t>,</w:t>
      </w:r>
      <w:r w:rsidR="00B44568">
        <w:rPr>
          <w:rFonts w:ascii="Times New Roman" w:hAnsi="Times New Roman" w:cs="Times New Roman"/>
          <w:sz w:val="24"/>
          <w:szCs w:val="24"/>
        </w:rPr>
        <w:t xml:space="preserve"> facilitate connection with</w:t>
      </w:r>
      <w:r w:rsidR="003900E1">
        <w:rPr>
          <w:rFonts w:ascii="Times New Roman" w:hAnsi="Times New Roman" w:cs="Times New Roman"/>
          <w:sz w:val="24"/>
          <w:szCs w:val="24"/>
        </w:rPr>
        <w:t xml:space="preserve"> supportive family,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900E1">
        <w:rPr>
          <w:rFonts w:ascii="Times New Roman" w:hAnsi="Times New Roman" w:cs="Times New Roman"/>
          <w:sz w:val="24"/>
          <w:szCs w:val="24"/>
        </w:rPr>
        <w:t xml:space="preserve"> engage </w:t>
      </w:r>
      <w:r w:rsidR="00B44568">
        <w:rPr>
          <w:rFonts w:ascii="Times New Roman" w:hAnsi="Times New Roman" w:cs="Times New Roman"/>
          <w:sz w:val="24"/>
          <w:szCs w:val="24"/>
        </w:rPr>
        <w:t>community mental health services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900E1">
        <w:rPr>
          <w:rFonts w:ascii="Times New Roman" w:hAnsi="Times New Roman" w:cs="Times New Roman"/>
          <w:sz w:val="24"/>
          <w:szCs w:val="24"/>
        </w:rPr>
        <w:t xml:space="preserve"> </w:t>
      </w:r>
      <w:r w:rsidR="00CA396D">
        <w:rPr>
          <w:rFonts w:ascii="Times New Roman" w:hAnsi="Times New Roman" w:cs="Times New Roman"/>
          <w:sz w:val="24"/>
          <w:szCs w:val="24"/>
        </w:rPr>
        <w:t xml:space="preserve">his </w:t>
      </w:r>
      <w:r w:rsidR="00B44568">
        <w:rPr>
          <w:rFonts w:ascii="Times New Roman" w:hAnsi="Times New Roman" w:cs="Times New Roman"/>
          <w:sz w:val="24"/>
          <w:szCs w:val="24"/>
        </w:rPr>
        <w:t>family physician</w:t>
      </w:r>
      <w:r w:rsidR="00CA396D">
        <w:rPr>
          <w:rFonts w:ascii="Times New Roman" w:hAnsi="Times New Roman" w:cs="Times New Roman"/>
          <w:sz w:val="24"/>
          <w:szCs w:val="24"/>
        </w:rPr>
        <w:t xml:space="preserve"> to address</w:t>
      </w:r>
      <w:r w:rsidR="006A52D4">
        <w:rPr>
          <w:rFonts w:ascii="Times New Roman" w:hAnsi="Times New Roman" w:cs="Times New Roman"/>
          <w:sz w:val="24"/>
          <w:szCs w:val="24"/>
        </w:rPr>
        <w:t xml:space="preserve"> escalation in his</w:t>
      </w:r>
      <w:r w:rsidR="00CA396D">
        <w:rPr>
          <w:rFonts w:ascii="Times New Roman" w:hAnsi="Times New Roman" w:cs="Times New Roman"/>
          <w:sz w:val="24"/>
          <w:szCs w:val="24"/>
        </w:rPr>
        <w:t xml:space="preserve"> symptoms</w:t>
      </w:r>
      <w:r w:rsidR="00B44568">
        <w:rPr>
          <w:rFonts w:ascii="Times New Roman" w:hAnsi="Times New Roman" w:cs="Times New Roman"/>
          <w:sz w:val="24"/>
          <w:szCs w:val="24"/>
        </w:rPr>
        <w:t xml:space="preserve">. </w:t>
      </w:r>
      <w:r w:rsidR="00135CB5">
        <w:rPr>
          <w:rFonts w:ascii="Times New Roman" w:hAnsi="Times New Roman" w:cs="Times New Roman"/>
          <w:sz w:val="24"/>
          <w:szCs w:val="24"/>
        </w:rPr>
        <w:t>Mary</w:t>
      </w:r>
      <w:r w:rsidR="00B44568">
        <w:rPr>
          <w:rFonts w:ascii="Times New Roman" w:hAnsi="Times New Roman" w:cs="Times New Roman"/>
          <w:sz w:val="24"/>
          <w:szCs w:val="24"/>
        </w:rPr>
        <w:t xml:space="preserve"> chose </w:t>
      </w:r>
      <w:r w:rsidR="007879C8">
        <w:rPr>
          <w:rFonts w:ascii="Times New Roman" w:hAnsi="Times New Roman" w:cs="Times New Roman"/>
          <w:sz w:val="24"/>
          <w:szCs w:val="24"/>
        </w:rPr>
        <w:t>to move to a ret</w:t>
      </w:r>
      <w:r w:rsidR="006A52D4">
        <w:rPr>
          <w:rFonts w:ascii="Times New Roman" w:hAnsi="Times New Roman" w:cs="Times New Roman"/>
          <w:sz w:val="24"/>
          <w:szCs w:val="24"/>
        </w:rPr>
        <w:t xml:space="preserve">irement </w:t>
      </w:r>
      <w:r w:rsidR="00462849">
        <w:rPr>
          <w:rFonts w:ascii="Times New Roman" w:hAnsi="Times New Roman" w:cs="Times New Roman"/>
          <w:sz w:val="24"/>
          <w:szCs w:val="24"/>
        </w:rPr>
        <w:t>home but</w:t>
      </w:r>
      <w:r w:rsidR="006A52D4">
        <w:rPr>
          <w:rFonts w:ascii="Times New Roman" w:hAnsi="Times New Roman" w:cs="Times New Roman"/>
          <w:sz w:val="24"/>
          <w:szCs w:val="24"/>
        </w:rPr>
        <w:t xml:space="preserve"> selected one</w:t>
      </w:r>
      <w:r w:rsidR="007879C8">
        <w:rPr>
          <w:rFonts w:ascii="Times New Roman" w:hAnsi="Times New Roman" w:cs="Times New Roman"/>
          <w:sz w:val="24"/>
          <w:szCs w:val="24"/>
        </w:rPr>
        <w:t xml:space="preserve"> she could afford while continuing to </w:t>
      </w:r>
      <w:r w:rsidR="006A52D4">
        <w:rPr>
          <w:rFonts w:ascii="Times New Roman" w:hAnsi="Times New Roman" w:cs="Times New Roman"/>
          <w:sz w:val="24"/>
          <w:szCs w:val="24"/>
        </w:rPr>
        <w:t>fund expenses</w:t>
      </w:r>
      <w:r w:rsidR="00B44568">
        <w:rPr>
          <w:rFonts w:ascii="Times New Roman" w:hAnsi="Times New Roman" w:cs="Times New Roman"/>
          <w:sz w:val="24"/>
          <w:szCs w:val="24"/>
        </w:rPr>
        <w:t xml:space="preserve"> for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B44568">
        <w:rPr>
          <w:rFonts w:ascii="Times New Roman" w:hAnsi="Times New Roman" w:cs="Times New Roman"/>
          <w:sz w:val="24"/>
          <w:szCs w:val="24"/>
        </w:rPr>
        <w:t xml:space="preserve">. </w:t>
      </w:r>
      <w:r w:rsidR="00910E05">
        <w:rPr>
          <w:rFonts w:ascii="Times New Roman" w:hAnsi="Times New Roman" w:cs="Times New Roman"/>
          <w:sz w:val="24"/>
          <w:szCs w:val="24"/>
        </w:rPr>
        <w:t xml:space="preserve">With </w:t>
      </w:r>
      <w:r w:rsidR="00135CB5">
        <w:rPr>
          <w:rFonts w:ascii="Times New Roman" w:hAnsi="Times New Roman" w:cs="Times New Roman"/>
          <w:sz w:val="24"/>
          <w:szCs w:val="24"/>
        </w:rPr>
        <w:lastRenderedPageBreak/>
        <w:t>Mary</w:t>
      </w:r>
      <w:r w:rsidR="00581634">
        <w:rPr>
          <w:rFonts w:ascii="Times New Roman" w:hAnsi="Times New Roman" w:cs="Times New Roman"/>
          <w:sz w:val="24"/>
          <w:szCs w:val="24"/>
        </w:rPr>
        <w:t>’s</w:t>
      </w:r>
      <w:r w:rsidR="00910E05">
        <w:rPr>
          <w:rFonts w:ascii="Times New Roman" w:hAnsi="Times New Roman" w:cs="Times New Roman"/>
          <w:sz w:val="24"/>
          <w:szCs w:val="24"/>
        </w:rPr>
        <w:t xml:space="preserve"> consent</w:t>
      </w:r>
      <w:r w:rsidR="0056028A">
        <w:rPr>
          <w:rFonts w:ascii="Times New Roman" w:hAnsi="Times New Roman" w:cs="Times New Roman"/>
          <w:sz w:val="24"/>
          <w:szCs w:val="24"/>
        </w:rPr>
        <w:t>,</w:t>
      </w:r>
      <w:r w:rsidR="00910E05">
        <w:rPr>
          <w:rFonts w:ascii="Times New Roman" w:hAnsi="Times New Roman" w:cs="Times New Roman"/>
          <w:sz w:val="24"/>
          <w:szCs w:val="24"/>
        </w:rPr>
        <w:t xml:space="preserve"> a</w:t>
      </w:r>
      <w:r w:rsidR="00CA396D">
        <w:rPr>
          <w:rFonts w:ascii="Times New Roman" w:hAnsi="Times New Roman" w:cs="Times New Roman"/>
          <w:sz w:val="24"/>
          <w:szCs w:val="24"/>
        </w:rPr>
        <w:t xml:space="preserve"> </w:t>
      </w:r>
      <w:r w:rsidR="006A52D4">
        <w:rPr>
          <w:rFonts w:ascii="Times New Roman" w:hAnsi="Times New Roman" w:cs="Times New Roman"/>
          <w:sz w:val="24"/>
          <w:szCs w:val="24"/>
        </w:rPr>
        <w:t xml:space="preserve">summary of the abuse history </w:t>
      </w:r>
      <w:r w:rsidR="00CA396D">
        <w:rPr>
          <w:rFonts w:ascii="Times New Roman" w:hAnsi="Times New Roman" w:cs="Times New Roman"/>
          <w:sz w:val="24"/>
          <w:szCs w:val="24"/>
        </w:rPr>
        <w:t>was</w:t>
      </w:r>
      <w:r w:rsidR="006A52D4">
        <w:rPr>
          <w:rFonts w:ascii="Times New Roman" w:hAnsi="Times New Roman" w:cs="Times New Roman"/>
          <w:sz w:val="24"/>
          <w:szCs w:val="24"/>
        </w:rPr>
        <w:t xml:space="preserve"> provided to her</w:t>
      </w:r>
      <w:r w:rsidR="000A771F">
        <w:rPr>
          <w:rFonts w:ascii="Times New Roman" w:hAnsi="Times New Roman" w:cs="Times New Roman"/>
          <w:sz w:val="24"/>
          <w:szCs w:val="24"/>
        </w:rPr>
        <w:t xml:space="preserve"> doctor</w:t>
      </w:r>
      <w:r w:rsidR="003900E1">
        <w:rPr>
          <w:rFonts w:ascii="Times New Roman" w:hAnsi="Times New Roman" w:cs="Times New Roman"/>
          <w:sz w:val="24"/>
          <w:szCs w:val="24"/>
        </w:rPr>
        <w:t>, retirement home administrators</w:t>
      </w:r>
      <w:r w:rsidR="007D493C">
        <w:rPr>
          <w:rFonts w:ascii="Times New Roman" w:hAnsi="Times New Roman" w:cs="Times New Roman"/>
          <w:sz w:val="24"/>
          <w:szCs w:val="24"/>
        </w:rPr>
        <w:t>,</w:t>
      </w:r>
      <w:r w:rsidR="00CA396D">
        <w:rPr>
          <w:rFonts w:ascii="Times New Roman" w:hAnsi="Times New Roman" w:cs="Times New Roman"/>
          <w:sz w:val="24"/>
          <w:szCs w:val="24"/>
        </w:rPr>
        <w:t xml:space="preserve"> and community care coordinator</w:t>
      </w:r>
      <w:r w:rsidR="006A52D4">
        <w:rPr>
          <w:rFonts w:ascii="Times New Roman" w:hAnsi="Times New Roman" w:cs="Times New Roman"/>
          <w:sz w:val="24"/>
          <w:szCs w:val="24"/>
        </w:rPr>
        <w:t xml:space="preserve"> as part of </w:t>
      </w:r>
      <w:r w:rsidR="004A37E7">
        <w:rPr>
          <w:rFonts w:ascii="Times New Roman" w:hAnsi="Times New Roman" w:cs="Times New Roman"/>
          <w:sz w:val="24"/>
          <w:szCs w:val="24"/>
        </w:rPr>
        <w:t xml:space="preserve">her safety </w:t>
      </w:r>
      <w:r w:rsidR="003900E1">
        <w:rPr>
          <w:rFonts w:ascii="Times New Roman" w:hAnsi="Times New Roman" w:cs="Times New Roman"/>
          <w:sz w:val="24"/>
          <w:szCs w:val="24"/>
        </w:rPr>
        <w:t>plan.</w:t>
      </w:r>
      <w:r w:rsidR="00CA396D">
        <w:rPr>
          <w:rFonts w:ascii="Times New Roman" w:hAnsi="Times New Roman" w:cs="Times New Roman"/>
          <w:sz w:val="24"/>
          <w:szCs w:val="24"/>
        </w:rPr>
        <w:t xml:space="preserve"> </w:t>
      </w:r>
      <w:r w:rsidR="000A771F">
        <w:rPr>
          <w:rFonts w:ascii="Times New Roman" w:hAnsi="Times New Roman" w:cs="Times New Roman"/>
          <w:sz w:val="24"/>
          <w:szCs w:val="24"/>
        </w:rPr>
        <w:t xml:space="preserve">Future planning </w:t>
      </w:r>
      <w:r w:rsidR="006A52D4">
        <w:rPr>
          <w:rFonts w:ascii="Times New Roman" w:hAnsi="Times New Roman" w:cs="Times New Roman"/>
          <w:sz w:val="24"/>
          <w:szCs w:val="24"/>
        </w:rPr>
        <w:t>involved</w:t>
      </w:r>
      <w:r w:rsidR="000A771F">
        <w:rPr>
          <w:rFonts w:ascii="Times New Roman" w:hAnsi="Times New Roman" w:cs="Times New Roman"/>
          <w:sz w:val="24"/>
          <w:szCs w:val="24"/>
        </w:rPr>
        <w:t xml:space="preserve"> assigning a trusted family membe</w:t>
      </w:r>
      <w:r w:rsidR="00EC42BB">
        <w:rPr>
          <w:rFonts w:ascii="Times New Roman" w:hAnsi="Times New Roman" w:cs="Times New Roman"/>
          <w:sz w:val="24"/>
          <w:szCs w:val="24"/>
        </w:rPr>
        <w:t>r as P</w:t>
      </w:r>
      <w:r w:rsidR="009D1210">
        <w:rPr>
          <w:rFonts w:ascii="Times New Roman" w:hAnsi="Times New Roman" w:cs="Times New Roman"/>
          <w:sz w:val="24"/>
          <w:szCs w:val="24"/>
        </w:rPr>
        <w:t xml:space="preserve">ower of </w:t>
      </w:r>
      <w:r w:rsidR="00EC42BB">
        <w:rPr>
          <w:rFonts w:ascii="Times New Roman" w:hAnsi="Times New Roman" w:cs="Times New Roman"/>
          <w:sz w:val="24"/>
          <w:szCs w:val="24"/>
        </w:rPr>
        <w:t>A</w:t>
      </w:r>
      <w:r w:rsidR="009D1210">
        <w:rPr>
          <w:rFonts w:ascii="Times New Roman" w:hAnsi="Times New Roman" w:cs="Times New Roman"/>
          <w:sz w:val="24"/>
          <w:szCs w:val="24"/>
        </w:rPr>
        <w:t>ttorney (POA)</w:t>
      </w:r>
      <w:r w:rsidR="00EC42BB">
        <w:rPr>
          <w:rFonts w:ascii="Times New Roman" w:hAnsi="Times New Roman" w:cs="Times New Roman"/>
          <w:sz w:val="24"/>
          <w:szCs w:val="24"/>
        </w:rPr>
        <w:t xml:space="preserve"> for Personal Care and P</w:t>
      </w:r>
      <w:r w:rsidR="000A771F">
        <w:rPr>
          <w:rFonts w:ascii="Times New Roman" w:hAnsi="Times New Roman" w:cs="Times New Roman"/>
          <w:sz w:val="24"/>
          <w:szCs w:val="24"/>
        </w:rPr>
        <w:t xml:space="preserve">roperty in the event </w:t>
      </w:r>
      <w:r w:rsidR="004176CF">
        <w:rPr>
          <w:rFonts w:ascii="Times New Roman" w:hAnsi="Times New Roman" w:cs="Times New Roman"/>
          <w:sz w:val="24"/>
          <w:szCs w:val="24"/>
        </w:rPr>
        <w:t xml:space="preserve">that </w:t>
      </w:r>
      <w:r w:rsidR="000A771F">
        <w:rPr>
          <w:rFonts w:ascii="Times New Roman" w:hAnsi="Times New Roman" w:cs="Times New Roman"/>
          <w:sz w:val="24"/>
          <w:szCs w:val="24"/>
        </w:rPr>
        <w:t xml:space="preserve">she </w:t>
      </w:r>
      <w:r w:rsidR="0056028A">
        <w:rPr>
          <w:rFonts w:ascii="Times New Roman" w:hAnsi="Times New Roman" w:cs="Times New Roman"/>
          <w:sz w:val="24"/>
          <w:szCs w:val="24"/>
        </w:rPr>
        <w:t xml:space="preserve">lost mental capacity to make legal decisions </w:t>
      </w:r>
      <w:r w:rsidR="000A771F">
        <w:rPr>
          <w:rFonts w:ascii="Times New Roman" w:hAnsi="Times New Roman" w:cs="Times New Roman"/>
          <w:sz w:val="24"/>
          <w:szCs w:val="24"/>
        </w:rPr>
        <w:t>in the future</w:t>
      </w:r>
      <w:r w:rsidR="009133FE">
        <w:rPr>
          <w:rFonts w:ascii="Times New Roman" w:hAnsi="Times New Roman" w:cs="Times New Roman"/>
          <w:sz w:val="24"/>
          <w:szCs w:val="24"/>
        </w:rPr>
        <w:t>.</w:t>
      </w:r>
      <w:r w:rsidR="000A771F">
        <w:rPr>
          <w:rFonts w:ascii="Times New Roman" w:hAnsi="Times New Roman" w:cs="Times New Roman"/>
          <w:sz w:val="24"/>
          <w:szCs w:val="24"/>
        </w:rPr>
        <w:t xml:space="preserve"> </w:t>
      </w:r>
      <w:r w:rsidR="006A52D4">
        <w:rPr>
          <w:rFonts w:ascii="Times New Roman" w:hAnsi="Times New Roman" w:cs="Times New Roman"/>
          <w:sz w:val="24"/>
          <w:szCs w:val="24"/>
        </w:rPr>
        <w:t>M</w:t>
      </w:r>
      <w:r w:rsidR="00293405">
        <w:rPr>
          <w:rFonts w:ascii="Times New Roman" w:hAnsi="Times New Roman" w:cs="Times New Roman"/>
          <w:sz w:val="24"/>
          <w:szCs w:val="24"/>
        </w:rPr>
        <w:t>oni</w:t>
      </w:r>
      <w:r w:rsidR="0099620F">
        <w:rPr>
          <w:rFonts w:ascii="Times New Roman" w:hAnsi="Times New Roman" w:cs="Times New Roman"/>
          <w:sz w:val="24"/>
          <w:szCs w:val="24"/>
        </w:rPr>
        <w:t xml:space="preserve">toring coordinated by the forensic nurse enabled evaluation of outcomes and </w:t>
      </w:r>
      <w:r w:rsidR="009133FE">
        <w:rPr>
          <w:rFonts w:ascii="Times New Roman" w:hAnsi="Times New Roman" w:cs="Times New Roman"/>
          <w:sz w:val="24"/>
          <w:szCs w:val="24"/>
        </w:rPr>
        <w:t xml:space="preserve">ongoing </w:t>
      </w:r>
      <w:r w:rsidR="0099620F">
        <w:rPr>
          <w:rFonts w:ascii="Times New Roman" w:hAnsi="Times New Roman" w:cs="Times New Roman"/>
          <w:sz w:val="24"/>
          <w:szCs w:val="24"/>
        </w:rPr>
        <w:t>risk management.</w:t>
      </w:r>
      <w:r w:rsidR="00293405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Mary</w:t>
      </w:r>
      <w:r w:rsidR="0099620F">
        <w:rPr>
          <w:rFonts w:ascii="Times New Roman" w:hAnsi="Times New Roman" w:cs="Times New Roman"/>
          <w:sz w:val="24"/>
          <w:szCs w:val="24"/>
        </w:rPr>
        <w:t xml:space="preserve"> was </w:t>
      </w:r>
      <w:r w:rsidR="004176CF">
        <w:rPr>
          <w:rFonts w:ascii="Times New Roman" w:hAnsi="Times New Roman" w:cs="Times New Roman"/>
          <w:sz w:val="24"/>
          <w:szCs w:val="24"/>
        </w:rPr>
        <w:t>un</w:t>
      </w:r>
      <w:r w:rsidR="0099620F">
        <w:rPr>
          <w:rFonts w:ascii="Times New Roman" w:hAnsi="Times New Roman" w:cs="Times New Roman"/>
          <w:sz w:val="24"/>
          <w:szCs w:val="24"/>
        </w:rPr>
        <w:t xml:space="preserve">willing to </w:t>
      </w:r>
      <w:r w:rsidR="004176CF">
        <w:rPr>
          <w:rFonts w:ascii="Times New Roman" w:hAnsi="Times New Roman" w:cs="Times New Roman"/>
          <w:sz w:val="24"/>
          <w:szCs w:val="24"/>
        </w:rPr>
        <w:t xml:space="preserve">end </w:t>
      </w:r>
      <w:r w:rsidR="0099620F">
        <w:rPr>
          <w:rFonts w:ascii="Times New Roman" w:hAnsi="Times New Roman" w:cs="Times New Roman"/>
          <w:sz w:val="24"/>
          <w:szCs w:val="24"/>
        </w:rPr>
        <w:t xml:space="preserve">contact with </w:t>
      </w:r>
      <w:r w:rsidR="00135CB5">
        <w:rPr>
          <w:rFonts w:ascii="Times New Roman" w:hAnsi="Times New Roman" w:cs="Times New Roman"/>
          <w:sz w:val="24"/>
          <w:szCs w:val="24"/>
        </w:rPr>
        <w:t>John</w:t>
      </w:r>
      <w:r w:rsidR="00EC42BB">
        <w:rPr>
          <w:rFonts w:ascii="Times New Roman" w:hAnsi="Times New Roman" w:cs="Times New Roman"/>
          <w:sz w:val="24"/>
          <w:szCs w:val="24"/>
        </w:rPr>
        <w:t xml:space="preserve"> but due to </w:t>
      </w:r>
      <w:r w:rsidR="009133FE">
        <w:rPr>
          <w:rFonts w:ascii="Times New Roman" w:hAnsi="Times New Roman" w:cs="Times New Roman"/>
          <w:sz w:val="24"/>
          <w:szCs w:val="24"/>
        </w:rPr>
        <w:t>ongoing</w:t>
      </w:r>
      <w:r w:rsidR="0099620F">
        <w:rPr>
          <w:rFonts w:ascii="Times New Roman" w:hAnsi="Times New Roman" w:cs="Times New Roman"/>
          <w:sz w:val="24"/>
          <w:szCs w:val="24"/>
        </w:rPr>
        <w:t xml:space="preserve"> </w:t>
      </w:r>
      <w:r w:rsidR="006A52D4">
        <w:rPr>
          <w:rFonts w:ascii="Times New Roman" w:hAnsi="Times New Roman" w:cs="Times New Roman"/>
          <w:sz w:val="24"/>
          <w:szCs w:val="24"/>
        </w:rPr>
        <w:t>verbal abuse</w:t>
      </w:r>
      <w:r w:rsidR="009133FE">
        <w:rPr>
          <w:rFonts w:ascii="Times New Roman" w:hAnsi="Times New Roman" w:cs="Times New Roman"/>
          <w:sz w:val="24"/>
          <w:szCs w:val="24"/>
        </w:rPr>
        <w:t xml:space="preserve"> </w:t>
      </w:r>
      <w:r w:rsidR="00EC42BB">
        <w:rPr>
          <w:rFonts w:ascii="Times New Roman" w:hAnsi="Times New Roman" w:cs="Times New Roman"/>
          <w:sz w:val="24"/>
          <w:szCs w:val="24"/>
        </w:rPr>
        <w:t xml:space="preserve">she </w:t>
      </w:r>
      <w:r w:rsidR="009133FE">
        <w:rPr>
          <w:rFonts w:ascii="Times New Roman" w:hAnsi="Times New Roman" w:cs="Times New Roman"/>
          <w:sz w:val="24"/>
          <w:szCs w:val="24"/>
        </w:rPr>
        <w:t>conceded to supervised visits involving family or his mental h</w:t>
      </w:r>
      <w:r w:rsidR="00EC42BB">
        <w:rPr>
          <w:rFonts w:ascii="Times New Roman" w:hAnsi="Times New Roman" w:cs="Times New Roman"/>
          <w:sz w:val="24"/>
          <w:szCs w:val="24"/>
        </w:rPr>
        <w:t>ealth workers.</w:t>
      </w:r>
      <w:r w:rsidR="006A52D4">
        <w:rPr>
          <w:rFonts w:ascii="Times New Roman" w:hAnsi="Times New Roman" w:cs="Times New Roman"/>
          <w:sz w:val="24"/>
          <w:szCs w:val="24"/>
        </w:rPr>
        <w:t xml:space="preserve"> Outcomes included n</w:t>
      </w:r>
      <w:r w:rsidR="0052157F">
        <w:rPr>
          <w:rFonts w:ascii="Times New Roman" w:hAnsi="Times New Roman" w:cs="Times New Roman"/>
          <w:sz w:val="24"/>
          <w:szCs w:val="24"/>
        </w:rPr>
        <w:t>o further in</w:t>
      </w:r>
      <w:r w:rsidR="009133FE">
        <w:rPr>
          <w:rFonts w:ascii="Times New Roman" w:hAnsi="Times New Roman" w:cs="Times New Roman"/>
          <w:sz w:val="24"/>
          <w:szCs w:val="24"/>
        </w:rPr>
        <w:t>cidents</w:t>
      </w:r>
      <w:r w:rsidR="006A52D4">
        <w:rPr>
          <w:rFonts w:ascii="Times New Roman" w:hAnsi="Times New Roman" w:cs="Times New Roman"/>
          <w:sz w:val="24"/>
          <w:szCs w:val="24"/>
        </w:rPr>
        <w:t xml:space="preserve"> of physical aggression, growth of her informal support system</w:t>
      </w:r>
      <w:r w:rsidR="009D1210">
        <w:rPr>
          <w:rFonts w:ascii="Times New Roman" w:hAnsi="Times New Roman" w:cs="Times New Roman"/>
          <w:sz w:val="24"/>
          <w:szCs w:val="24"/>
        </w:rPr>
        <w:t xml:space="preserve"> </w:t>
      </w:r>
      <w:r w:rsidR="00FC74BB">
        <w:rPr>
          <w:rFonts w:ascii="Times New Roman" w:hAnsi="Times New Roman" w:cs="Times New Roman"/>
          <w:sz w:val="24"/>
          <w:szCs w:val="24"/>
        </w:rPr>
        <w:t>through reconnecting</w:t>
      </w:r>
      <w:r w:rsidR="004A37E7">
        <w:rPr>
          <w:rFonts w:ascii="Times New Roman" w:hAnsi="Times New Roman" w:cs="Times New Roman"/>
          <w:sz w:val="24"/>
          <w:szCs w:val="24"/>
        </w:rPr>
        <w:t xml:space="preserve"> with family/friends</w:t>
      </w:r>
      <w:r w:rsidR="00FC74BB">
        <w:rPr>
          <w:rFonts w:ascii="Times New Roman" w:hAnsi="Times New Roman" w:cs="Times New Roman"/>
          <w:sz w:val="24"/>
          <w:szCs w:val="24"/>
        </w:rPr>
        <w:t>,</w:t>
      </w:r>
      <w:r w:rsidR="004A37E7">
        <w:rPr>
          <w:rFonts w:ascii="Times New Roman" w:hAnsi="Times New Roman" w:cs="Times New Roman"/>
          <w:sz w:val="24"/>
          <w:szCs w:val="24"/>
        </w:rPr>
        <w:t xml:space="preserve"> and</w:t>
      </w:r>
      <w:r w:rsidR="009133FE">
        <w:rPr>
          <w:rFonts w:ascii="Times New Roman" w:hAnsi="Times New Roman" w:cs="Times New Roman"/>
          <w:sz w:val="24"/>
          <w:szCs w:val="24"/>
        </w:rPr>
        <w:t xml:space="preserve"> </w:t>
      </w:r>
      <w:r w:rsidR="00F031DA">
        <w:rPr>
          <w:rFonts w:ascii="Times New Roman" w:hAnsi="Times New Roman" w:cs="Times New Roman"/>
          <w:sz w:val="24"/>
          <w:szCs w:val="24"/>
        </w:rPr>
        <w:t xml:space="preserve">significant improvements in her </w:t>
      </w:r>
      <w:r w:rsidR="009133FE">
        <w:rPr>
          <w:rFonts w:ascii="Times New Roman" w:hAnsi="Times New Roman" w:cs="Times New Roman"/>
          <w:sz w:val="24"/>
          <w:szCs w:val="24"/>
        </w:rPr>
        <w:t xml:space="preserve">quality </w:t>
      </w:r>
      <w:r w:rsidR="00F031DA">
        <w:rPr>
          <w:rFonts w:ascii="Times New Roman" w:hAnsi="Times New Roman" w:cs="Times New Roman"/>
          <w:sz w:val="24"/>
          <w:szCs w:val="24"/>
        </w:rPr>
        <w:t>of life</w:t>
      </w:r>
      <w:r w:rsidR="009D1210">
        <w:rPr>
          <w:rFonts w:ascii="Times New Roman" w:hAnsi="Times New Roman" w:cs="Times New Roman"/>
          <w:sz w:val="24"/>
          <w:szCs w:val="24"/>
        </w:rPr>
        <w:t>.</w:t>
      </w:r>
    </w:p>
    <w:p w14:paraId="15A83D72" w14:textId="658C7EC9" w:rsidR="00AC0F10" w:rsidRDefault="00573B47" w:rsidP="005C19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Victim Without</w:t>
      </w:r>
      <w:r w:rsidR="00581634">
        <w:rPr>
          <w:rFonts w:ascii="Times New Roman" w:hAnsi="Times New Roman" w:cs="Times New Roman"/>
          <w:b/>
          <w:sz w:val="24"/>
          <w:szCs w:val="24"/>
        </w:rPr>
        <w:t xml:space="preserve"> Mental</w:t>
      </w:r>
      <w:r>
        <w:rPr>
          <w:rFonts w:ascii="Times New Roman" w:hAnsi="Times New Roman" w:cs="Times New Roman"/>
          <w:b/>
          <w:sz w:val="24"/>
          <w:szCs w:val="24"/>
        </w:rPr>
        <w:t xml:space="preserve"> Capacity</w:t>
      </w:r>
      <w:r w:rsidR="00BA63CA" w:rsidRPr="00CA6EED">
        <w:rPr>
          <w:rFonts w:ascii="Times New Roman" w:hAnsi="Times New Roman" w:cs="Times New Roman"/>
          <w:b/>
          <w:sz w:val="24"/>
          <w:szCs w:val="24"/>
        </w:rPr>
        <w:t xml:space="preserve"> Who Discloses</w:t>
      </w:r>
    </w:p>
    <w:p w14:paraId="3A6E8CD7" w14:textId="56F2817E" w:rsidR="00BA63CA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31DA">
        <w:rPr>
          <w:rFonts w:ascii="Times New Roman" w:hAnsi="Times New Roman" w:cs="Times New Roman"/>
          <w:sz w:val="24"/>
          <w:szCs w:val="24"/>
        </w:rPr>
        <w:t>Community</w:t>
      </w:r>
      <w:r w:rsidR="00227B1F">
        <w:rPr>
          <w:rFonts w:ascii="Times New Roman" w:hAnsi="Times New Roman" w:cs="Times New Roman"/>
          <w:sz w:val="24"/>
          <w:szCs w:val="24"/>
        </w:rPr>
        <w:t xml:space="preserve"> referra</w:t>
      </w:r>
      <w:r w:rsidR="00143855">
        <w:rPr>
          <w:rFonts w:ascii="Times New Roman" w:hAnsi="Times New Roman" w:cs="Times New Roman"/>
          <w:sz w:val="24"/>
          <w:szCs w:val="24"/>
        </w:rPr>
        <w:t xml:space="preserve">l </w:t>
      </w:r>
      <w:r w:rsidR="00E03C17">
        <w:rPr>
          <w:rFonts w:ascii="Times New Roman" w:hAnsi="Times New Roman" w:cs="Times New Roman"/>
          <w:sz w:val="24"/>
          <w:szCs w:val="24"/>
        </w:rPr>
        <w:t xml:space="preserve">was made </w:t>
      </w:r>
      <w:r w:rsidR="00581634">
        <w:rPr>
          <w:rFonts w:ascii="Times New Roman" w:hAnsi="Times New Roman" w:cs="Times New Roman"/>
          <w:sz w:val="24"/>
          <w:szCs w:val="24"/>
        </w:rPr>
        <w:t>by</w:t>
      </w:r>
      <w:r w:rsidR="00143855">
        <w:rPr>
          <w:rFonts w:ascii="Times New Roman" w:hAnsi="Times New Roman" w:cs="Times New Roman"/>
          <w:sz w:val="24"/>
          <w:szCs w:val="24"/>
        </w:rPr>
        <w:t xml:space="preserve"> a health</w:t>
      </w:r>
      <w:r w:rsidR="00281AB5">
        <w:rPr>
          <w:rFonts w:ascii="Times New Roman" w:hAnsi="Times New Roman" w:cs="Times New Roman"/>
          <w:sz w:val="24"/>
          <w:szCs w:val="24"/>
        </w:rPr>
        <w:t xml:space="preserve"> </w:t>
      </w:r>
      <w:r w:rsidR="00143855">
        <w:rPr>
          <w:rFonts w:ascii="Times New Roman" w:hAnsi="Times New Roman" w:cs="Times New Roman"/>
          <w:sz w:val="24"/>
          <w:szCs w:val="24"/>
        </w:rPr>
        <w:t>care provider</w:t>
      </w:r>
      <w:r w:rsidR="00BA63CA">
        <w:rPr>
          <w:rFonts w:ascii="Times New Roman" w:hAnsi="Times New Roman" w:cs="Times New Roman"/>
          <w:sz w:val="24"/>
          <w:szCs w:val="24"/>
        </w:rPr>
        <w:t xml:space="preserve"> for a 71</w:t>
      </w:r>
      <w:r w:rsidR="006728BF">
        <w:rPr>
          <w:rFonts w:ascii="Times New Roman" w:hAnsi="Times New Roman" w:cs="Times New Roman"/>
          <w:sz w:val="24"/>
          <w:szCs w:val="24"/>
        </w:rPr>
        <w:t>-</w:t>
      </w:r>
      <w:r w:rsidR="00BA63CA">
        <w:rPr>
          <w:rFonts w:ascii="Times New Roman" w:hAnsi="Times New Roman" w:cs="Times New Roman"/>
          <w:sz w:val="24"/>
          <w:szCs w:val="24"/>
        </w:rPr>
        <w:t>year</w:t>
      </w:r>
      <w:r w:rsidR="006728BF">
        <w:rPr>
          <w:rFonts w:ascii="Times New Roman" w:hAnsi="Times New Roman" w:cs="Times New Roman"/>
          <w:sz w:val="24"/>
          <w:szCs w:val="24"/>
        </w:rPr>
        <w:t>-</w:t>
      </w:r>
      <w:r w:rsidR="00BA63CA">
        <w:rPr>
          <w:rFonts w:ascii="Times New Roman" w:hAnsi="Times New Roman" w:cs="Times New Roman"/>
          <w:sz w:val="24"/>
          <w:szCs w:val="24"/>
        </w:rPr>
        <w:t>old woman</w:t>
      </w:r>
      <w:r w:rsidR="00E03C17">
        <w:rPr>
          <w:rFonts w:ascii="Times New Roman" w:hAnsi="Times New Roman" w:cs="Times New Roman"/>
          <w:sz w:val="24"/>
          <w:szCs w:val="24"/>
        </w:rPr>
        <w:t xml:space="preserve">,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E03C17">
        <w:rPr>
          <w:rFonts w:ascii="Times New Roman" w:hAnsi="Times New Roman" w:cs="Times New Roman"/>
          <w:sz w:val="24"/>
          <w:szCs w:val="24"/>
        </w:rPr>
        <w:t>,</w:t>
      </w:r>
      <w:r w:rsidR="00BA63CA">
        <w:rPr>
          <w:rFonts w:ascii="Times New Roman" w:hAnsi="Times New Roman" w:cs="Times New Roman"/>
          <w:sz w:val="24"/>
          <w:szCs w:val="24"/>
        </w:rPr>
        <w:t xml:space="preserve"> with </w:t>
      </w:r>
      <w:r w:rsidR="00227B1F">
        <w:rPr>
          <w:rFonts w:ascii="Times New Roman" w:hAnsi="Times New Roman" w:cs="Times New Roman"/>
          <w:sz w:val="24"/>
          <w:szCs w:val="24"/>
        </w:rPr>
        <w:t xml:space="preserve">moderate dementia.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EC42BB">
        <w:rPr>
          <w:rFonts w:ascii="Times New Roman" w:hAnsi="Times New Roman" w:cs="Times New Roman"/>
          <w:sz w:val="24"/>
          <w:szCs w:val="24"/>
        </w:rPr>
        <w:t xml:space="preserve"> live</w:t>
      </w:r>
      <w:r w:rsidR="00CA6EED">
        <w:rPr>
          <w:rFonts w:ascii="Times New Roman" w:hAnsi="Times New Roman" w:cs="Times New Roman"/>
          <w:sz w:val="24"/>
          <w:szCs w:val="24"/>
        </w:rPr>
        <w:t>d</w:t>
      </w:r>
      <w:r w:rsidR="00BA63CA">
        <w:rPr>
          <w:rFonts w:ascii="Times New Roman" w:hAnsi="Times New Roman" w:cs="Times New Roman"/>
          <w:sz w:val="24"/>
          <w:szCs w:val="24"/>
        </w:rPr>
        <w:t xml:space="preserve"> with her spouse</w:t>
      </w:r>
      <w:r w:rsidR="009D60D3">
        <w:rPr>
          <w:rFonts w:ascii="Times New Roman" w:hAnsi="Times New Roman" w:cs="Times New Roman"/>
          <w:sz w:val="24"/>
          <w:szCs w:val="24"/>
        </w:rPr>
        <w:t xml:space="preserve">,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9D60D3">
        <w:rPr>
          <w:rFonts w:ascii="Times New Roman" w:hAnsi="Times New Roman" w:cs="Times New Roman"/>
          <w:sz w:val="24"/>
          <w:szCs w:val="24"/>
        </w:rPr>
        <w:t>,</w:t>
      </w:r>
      <w:r w:rsidR="00BA63CA">
        <w:rPr>
          <w:rFonts w:ascii="Times New Roman" w:hAnsi="Times New Roman" w:cs="Times New Roman"/>
          <w:sz w:val="24"/>
          <w:szCs w:val="24"/>
        </w:rPr>
        <w:t xml:space="preserve"> and </w:t>
      </w:r>
      <w:r w:rsidR="00CA6EED">
        <w:rPr>
          <w:rFonts w:ascii="Times New Roman" w:hAnsi="Times New Roman" w:cs="Times New Roman"/>
          <w:sz w:val="24"/>
          <w:szCs w:val="24"/>
        </w:rPr>
        <w:t>wa</w:t>
      </w:r>
      <w:r w:rsidR="00BA63CA">
        <w:rPr>
          <w:rFonts w:ascii="Times New Roman" w:hAnsi="Times New Roman" w:cs="Times New Roman"/>
          <w:sz w:val="24"/>
          <w:szCs w:val="24"/>
        </w:rPr>
        <w:t xml:space="preserve">s functionally dependent for all activities of daily living (ADL) and Instrumental ADL. </w:t>
      </w:r>
      <w:r w:rsidR="006728BF">
        <w:rPr>
          <w:rFonts w:ascii="Times New Roman" w:hAnsi="Times New Roman" w:cs="Times New Roman"/>
          <w:sz w:val="24"/>
          <w:szCs w:val="24"/>
        </w:rPr>
        <w:t>She a</w:t>
      </w:r>
      <w:r w:rsidR="00BA63CA">
        <w:rPr>
          <w:rFonts w:ascii="Times New Roman" w:hAnsi="Times New Roman" w:cs="Times New Roman"/>
          <w:sz w:val="24"/>
          <w:szCs w:val="24"/>
        </w:rPr>
        <w:t>mbulate</w:t>
      </w:r>
      <w:r w:rsidR="006C47B2">
        <w:rPr>
          <w:rFonts w:ascii="Times New Roman" w:hAnsi="Times New Roman" w:cs="Times New Roman"/>
          <w:sz w:val="24"/>
          <w:szCs w:val="24"/>
        </w:rPr>
        <w:t>d</w:t>
      </w:r>
      <w:r w:rsidR="00BA63CA">
        <w:rPr>
          <w:rFonts w:ascii="Times New Roman" w:hAnsi="Times New Roman" w:cs="Times New Roman"/>
          <w:sz w:val="24"/>
          <w:szCs w:val="24"/>
        </w:rPr>
        <w:t xml:space="preserve"> without use of mobility aids and ha</w:t>
      </w:r>
      <w:r w:rsidR="006C47B2">
        <w:rPr>
          <w:rFonts w:ascii="Times New Roman" w:hAnsi="Times New Roman" w:cs="Times New Roman"/>
          <w:sz w:val="24"/>
          <w:szCs w:val="24"/>
        </w:rPr>
        <w:t>d</w:t>
      </w:r>
      <w:r w:rsidR="00BA63CA">
        <w:rPr>
          <w:rFonts w:ascii="Times New Roman" w:hAnsi="Times New Roman" w:cs="Times New Roman"/>
          <w:sz w:val="24"/>
          <w:szCs w:val="24"/>
        </w:rPr>
        <w:t xml:space="preserve"> no other comorbidities. She ha</w:t>
      </w:r>
      <w:r w:rsidR="006C47B2">
        <w:rPr>
          <w:rFonts w:ascii="Times New Roman" w:hAnsi="Times New Roman" w:cs="Times New Roman"/>
          <w:sz w:val="24"/>
          <w:szCs w:val="24"/>
        </w:rPr>
        <w:t>d</w:t>
      </w:r>
      <w:r w:rsidR="00BA63CA">
        <w:rPr>
          <w:rFonts w:ascii="Times New Roman" w:hAnsi="Times New Roman" w:cs="Times New Roman"/>
          <w:sz w:val="24"/>
          <w:szCs w:val="24"/>
        </w:rPr>
        <w:t xml:space="preserve"> an activated </w:t>
      </w:r>
      <w:r w:rsidR="00BA171E">
        <w:rPr>
          <w:rFonts w:ascii="Times New Roman" w:hAnsi="Times New Roman" w:cs="Times New Roman"/>
          <w:sz w:val="24"/>
          <w:szCs w:val="24"/>
        </w:rPr>
        <w:t>C</w:t>
      </w:r>
      <w:r w:rsidR="00227B1F">
        <w:rPr>
          <w:rFonts w:ascii="Times New Roman" w:hAnsi="Times New Roman" w:cs="Times New Roman"/>
          <w:sz w:val="24"/>
          <w:szCs w:val="24"/>
        </w:rPr>
        <w:t>ontinuing POA</w:t>
      </w:r>
      <w:r w:rsidR="00BA63CA">
        <w:rPr>
          <w:rFonts w:ascii="Times New Roman" w:hAnsi="Times New Roman" w:cs="Times New Roman"/>
          <w:sz w:val="24"/>
          <w:szCs w:val="24"/>
        </w:rPr>
        <w:t xml:space="preserve"> for Property assigned to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6728BF">
        <w:rPr>
          <w:rFonts w:ascii="Times New Roman" w:hAnsi="Times New Roman" w:cs="Times New Roman"/>
          <w:sz w:val="24"/>
          <w:szCs w:val="24"/>
        </w:rPr>
        <w:t xml:space="preserve">, who </w:t>
      </w:r>
      <w:r w:rsidR="00581634">
        <w:rPr>
          <w:rFonts w:ascii="Times New Roman" w:hAnsi="Times New Roman" w:cs="Times New Roman"/>
          <w:sz w:val="24"/>
          <w:szCs w:val="24"/>
        </w:rPr>
        <w:t xml:space="preserve">also </w:t>
      </w:r>
      <w:r w:rsidR="001B772F">
        <w:rPr>
          <w:rFonts w:ascii="Times New Roman" w:hAnsi="Times New Roman" w:cs="Times New Roman"/>
          <w:sz w:val="24"/>
          <w:szCs w:val="24"/>
        </w:rPr>
        <w:t>act</w:t>
      </w:r>
      <w:r w:rsidR="006C47B2">
        <w:rPr>
          <w:rFonts w:ascii="Times New Roman" w:hAnsi="Times New Roman" w:cs="Times New Roman"/>
          <w:sz w:val="24"/>
          <w:szCs w:val="24"/>
        </w:rPr>
        <w:t>ed</w:t>
      </w:r>
      <w:r w:rsidR="001B772F">
        <w:rPr>
          <w:rFonts w:ascii="Times New Roman" w:hAnsi="Times New Roman" w:cs="Times New Roman"/>
          <w:sz w:val="24"/>
          <w:szCs w:val="24"/>
        </w:rPr>
        <w:t xml:space="preserve"> as her</w:t>
      </w:r>
      <w:r w:rsidR="00227B1F">
        <w:rPr>
          <w:rFonts w:ascii="Times New Roman" w:hAnsi="Times New Roman" w:cs="Times New Roman"/>
          <w:sz w:val="24"/>
          <w:szCs w:val="24"/>
        </w:rPr>
        <w:t xml:space="preserve"> substitute d</w:t>
      </w:r>
      <w:r w:rsidR="00BA63CA">
        <w:rPr>
          <w:rFonts w:ascii="Times New Roman" w:hAnsi="Times New Roman" w:cs="Times New Roman"/>
          <w:sz w:val="24"/>
          <w:szCs w:val="24"/>
        </w:rPr>
        <w:t>ecisi</w:t>
      </w:r>
      <w:r w:rsidR="00BA171E">
        <w:rPr>
          <w:rFonts w:ascii="Times New Roman" w:hAnsi="Times New Roman" w:cs="Times New Roman"/>
          <w:sz w:val="24"/>
          <w:szCs w:val="24"/>
        </w:rPr>
        <w:t xml:space="preserve">on maker for </w:t>
      </w:r>
      <w:r w:rsidR="0081242F">
        <w:rPr>
          <w:rFonts w:ascii="Times New Roman" w:hAnsi="Times New Roman" w:cs="Times New Roman"/>
          <w:sz w:val="24"/>
          <w:szCs w:val="24"/>
        </w:rPr>
        <w:t>health</w:t>
      </w:r>
      <w:r w:rsidR="00BA63CA">
        <w:rPr>
          <w:rFonts w:ascii="Times New Roman" w:hAnsi="Times New Roman" w:cs="Times New Roman"/>
          <w:sz w:val="24"/>
          <w:szCs w:val="24"/>
        </w:rPr>
        <w:t>.</w:t>
      </w:r>
      <w:r w:rsidR="00BA1831">
        <w:rPr>
          <w:rFonts w:ascii="Times New Roman" w:hAnsi="Times New Roman" w:cs="Times New Roman"/>
          <w:sz w:val="24"/>
          <w:szCs w:val="24"/>
        </w:rPr>
        <w:t xml:space="preserve"> No other family members </w:t>
      </w:r>
      <w:r w:rsidR="006C47B2">
        <w:rPr>
          <w:rFonts w:ascii="Times New Roman" w:hAnsi="Times New Roman" w:cs="Times New Roman"/>
          <w:sz w:val="24"/>
          <w:szCs w:val="24"/>
        </w:rPr>
        <w:t>we</w:t>
      </w:r>
      <w:r w:rsidR="00AF524F">
        <w:rPr>
          <w:rFonts w:ascii="Times New Roman" w:hAnsi="Times New Roman" w:cs="Times New Roman"/>
          <w:sz w:val="24"/>
          <w:szCs w:val="24"/>
        </w:rPr>
        <w:t xml:space="preserve">re </w:t>
      </w:r>
      <w:r w:rsidR="00BA1831">
        <w:rPr>
          <w:rFonts w:ascii="Times New Roman" w:hAnsi="Times New Roman" w:cs="Times New Roman"/>
          <w:sz w:val="24"/>
          <w:szCs w:val="24"/>
        </w:rPr>
        <w:t>actively involved</w:t>
      </w:r>
      <w:r w:rsidR="00581634">
        <w:rPr>
          <w:rFonts w:ascii="Times New Roman" w:hAnsi="Times New Roman" w:cs="Times New Roman"/>
          <w:sz w:val="24"/>
          <w:szCs w:val="24"/>
        </w:rPr>
        <w:t xml:space="preserve"> in her care</w:t>
      </w:r>
      <w:r w:rsidR="00227B1F">
        <w:rPr>
          <w:rFonts w:ascii="Times New Roman" w:hAnsi="Times New Roman" w:cs="Times New Roman"/>
          <w:sz w:val="24"/>
          <w:szCs w:val="24"/>
        </w:rPr>
        <w:t>.</w:t>
      </w:r>
      <w:r w:rsidR="00135CB5">
        <w:rPr>
          <w:rFonts w:ascii="Times New Roman" w:hAnsi="Times New Roman" w:cs="Times New Roman"/>
          <w:sz w:val="24"/>
          <w:szCs w:val="24"/>
        </w:rPr>
        <w:t xml:space="preserve"> Rose</w:t>
      </w:r>
      <w:r w:rsidR="0081242F">
        <w:rPr>
          <w:rFonts w:ascii="Times New Roman" w:hAnsi="Times New Roman" w:cs="Times New Roman"/>
          <w:sz w:val="24"/>
          <w:szCs w:val="24"/>
        </w:rPr>
        <w:t xml:space="preserve"> attended a day program three days per week and had </w:t>
      </w:r>
      <w:r w:rsidR="00581634">
        <w:rPr>
          <w:rFonts w:ascii="Times New Roman" w:hAnsi="Times New Roman" w:cs="Times New Roman"/>
          <w:sz w:val="24"/>
          <w:szCs w:val="24"/>
        </w:rPr>
        <w:t xml:space="preserve">a </w:t>
      </w:r>
      <w:r w:rsidR="0081242F">
        <w:rPr>
          <w:rFonts w:ascii="Times New Roman" w:hAnsi="Times New Roman" w:cs="Times New Roman"/>
          <w:sz w:val="24"/>
          <w:szCs w:val="24"/>
        </w:rPr>
        <w:t xml:space="preserve">personal support worker for respite, who took her on outings twice per week. There were no personal care services in the home as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42F">
        <w:rPr>
          <w:rFonts w:ascii="Times New Roman" w:hAnsi="Times New Roman" w:cs="Times New Roman"/>
          <w:sz w:val="24"/>
          <w:szCs w:val="24"/>
        </w:rPr>
        <w:t xml:space="preserve"> reported she was resistant to care. </w:t>
      </w:r>
      <w:r w:rsidR="00AF524F">
        <w:rPr>
          <w:rFonts w:ascii="Times New Roman" w:hAnsi="Times New Roman" w:cs="Times New Roman"/>
          <w:sz w:val="24"/>
          <w:szCs w:val="24"/>
        </w:rPr>
        <w:t>The p</w:t>
      </w:r>
      <w:r w:rsidR="00E4339D">
        <w:rPr>
          <w:rFonts w:ascii="Times New Roman" w:hAnsi="Times New Roman" w:cs="Times New Roman"/>
          <w:sz w:val="24"/>
          <w:szCs w:val="24"/>
        </w:rPr>
        <w:t>rovider expressed concerns about caregiver burnout</w:t>
      </w:r>
      <w:r w:rsidR="00F031DA">
        <w:rPr>
          <w:rFonts w:ascii="Times New Roman" w:hAnsi="Times New Roman" w:cs="Times New Roman"/>
          <w:sz w:val="24"/>
          <w:szCs w:val="24"/>
        </w:rPr>
        <w:t>,</w:t>
      </w:r>
      <w:r w:rsidR="00E4339D">
        <w:rPr>
          <w:rFonts w:ascii="Times New Roman" w:hAnsi="Times New Roman" w:cs="Times New Roman"/>
          <w:sz w:val="24"/>
          <w:szCs w:val="24"/>
        </w:rPr>
        <w:t xml:space="preserve"> with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E4339D">
        <w:rPr>
          <w:rFonts w:ascii="Times New Roman" w:hAnsi="Times New Roman" w:cs="Times New Roman"/>
          <w:sz w:val="24"/>
          <w:szCs w:val="24"/>
        </w:rPr>
        <w:t xml:space="preserve"> presenting as anxious and disorganize</w:t>
      </w:r>
      <w:r w:rsidR="00AF524F">
        <w:rPr>
          <w:rFonts w:ascii="Times New Roman" w:hAnsi="Times New Roman" w:cs="Times New Roman"/>
          <w:sz w:val="24"/>
          <w:szCs w:val="24"/>
        </w:rPr>
        <w:t xml:space="preserve">d, and </w:t>
      </w:r>
      <w:r w:rsidR="006C47B2">
        <w:rPr>
          <w:rFonts w:ascii="Times New Roman" w:hAnsi="Times New Roman" w:cs="Times New Roman"/>
          <w:sz w:val="24"/>
          <w:szCs w:val="24"/>
        </w:rPr>
        <w:t xml:space="preserve">there was </w:t>
      </w:r>
      <w:r w:rsidR="00AF524F">
        <w:rPr>
          <w:rFonts w:ascii="Times New Roman" w:hAnsi="Times New Roman" w:cs="Times New Roman"/>
          <w:sz w:val="24"/>
          <w:szCs w:val="24"/>
        </w:rPr>
        <w:t>an o</w:t>
      </w:r>
      <w:r w:rsidR="00BA171E">
        <w:rPr>
          <w:rFonts w:ascii="Times New Roman" w:hAnsi="Times New Roman" w:cs="Times New Roman"/>
          <w:sz w:val="24"/>
          <w:szCs w:val="24"/>
        </w:rPr>
        <w:t xml:space="preserve">bserved incident </w:t>
      </w:r>
      <w:r w:rsidR="0015215A">
        <w:rPr>
          <w:rFonts w:ascii="Times New Roman" w:hAnsi="Times New Roman" w:cs="Times New Roman"/>
          <w:sz w:val="24"/>
          <w:szCs w:val="24"/>
        </w:rPr>
        <w:t xml:space="preserve">of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15215A">
        <w:rPr>
          <w:rFonts w:ascii="Times New Roman" w:hAnsi="Times New Roman" w:cs="Times New Roman"/>
          <w:sz w:val="24"/>
          <w:szCs w:val="24"/>
        </w:rPr>
        <w:t xml:space="preserve"> </w:t>
      </w:r>
      <w:r w:rsidR="00BA171E">
        <w:rPr>
          <w:rFonts w:ascii="Times New Roman" w:hAnsi="Times New Roman" w:cs="Times New Roman"/>
          <w:sz w:val="24"/>
          <w:szCs w:val="24"/>
        </w:rPr>
        <w:t>yelling</w:t>
      </w:r>
      <w:r w:rsidR="0015215A">
        <w:rPr>
          <w:rFonts w:ascii="Times New Roman" w:hAnsi="Times New Roman" w:cs="Times New Roman"/>
          <w:sz w:val="24"/>
          <w:szCs w:val="24"/>
        </w:rPr>
        <w:t xml:space="preserve"> at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A171E">
        <w:rPr>
          <w:rFonts w:ascii="Times New Roman" w:hAnsi="Times New Roman" w:cs="Times New Roman"/>
          <w:sz w:val="24"/>
          <w:szCs w:val="24"/>
        </w:rPr>
        <w:t xml:space="preserve">. </w:t>
      </w:r>
      <w:r w:rsidR="00033E13">
        <w:rPr>
          <w:rFonts w:ascii="Times New Roman" w:hAnsi="Times New Roman" w:cs="Times New Roman"/>
          <w:sz w:val="24"/>
          <w:szCs w:val="24"/>
        </w:rPr>
        <w:t xml:space="preserve">Medical </w:t>
      </w:r>
      <w:r w:rsidR="0081242F">
        <w:rPr>
          <w:rFonts w:ascii="Times New Roman" w:hAnsi="Times New Roman" w:cs="Times New Roman"/>
          <w:sz w:val="24"/>
          <w:szCs w:val="24"/>
        </w:rPr>
        <w:t>assessment</w:t>
      </w:r>
      <w:r w:rsidR="00033E13">
        <w:rPr>
          <w:rFonts w:ascii="Times New Roman" w:hAnsi="Times New Roman" w:cs="Times New Roman"/>
          <w:sz w:val="24"/>
          <w:szCs w:val="24"/>
        </w:rPr>
        <w:t>s</w:t>
      </w:r>
      <w:r w:rsidR="002B7489">
        <w:rPr>
          <w:rFonts w:ascii="Times New Roman" w:hAnsi="Times New Roman" w:cs="Times New Roman"/>
          <w:sz w:val="24"/>
          <w:szCs w:val="24"/>
        </w:rPr>
        <w:t xml:space="preserve"> were</w:t>
      </w:r>
      <w:r w:rsidR="0015215A">
        <w:rPr>
          <w:rFonts w:ascii="Times New Roman" w:hAnsi="Times New Roman" w:cs="Times New Roman"/>
          <w:sz w:val="24"/>
          <w:szCs w:val="24"/>
        </w:rPr>
        <w:t xml:space="preserve"> </w:t>
      </w:r>
      <w:r w:rsidR="00033E13">
        <w:rPr>
          <w:rFonts w:ascii="Times New Roman" w:hAnsi="Times New Roman" w:cs="Times New Roman"/>
          <w:sz w:val="24"/>
          <w:szCs w:val="24"/>
        </w:rPr>
        <w:t xml:space="preserve">initiated </w:t>
      </w:r>
      <w:r w:rsidR="0081242F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>’s</w:t>
      </w:r>
      <w:r w:rsidR="0097415F">
        <w:rPr>
          <w:rFonts w:ascii="Times New Roman" w:hAnsi="Times New Roman" w:cs="Times New Roman"/>
          <w:sz w:val="24"/>
          <w:szCs w:val="24"/>
        </w:rPr>
        <w:t xml:space="preserve"> </w:t>
      </w:r>
      <w:r w:rsidR="001B772F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81242F">
        <w:rPr>
          <w:rFonts w:ascii="Times New Roman" w:hAnsi="Times New Roman" w:cs="Times New Roman"/>
          <w:sz w:val="24"/>
          <w:szCs w:val="24"/>
        </w:rPr>
        <w:t xml:space="preserve"> </w:t>
      </w:r>
      <w:r w:rsidR="001B772F">
        <w:rPr>
          <w:rFonts w:ascii="Times New Roman" w:hAnsi="Times New Roman" w:cs="Times New Roman"/>
          <w:sz w:val="24"/>
          <w:szCs w:val="24"/>
        </w:rPr>
        <w:t>frequent falls</w:t>
      </w:r>
      <w:r w:rsidR="00BA171E">
        <w:rPr>
          <w:rFonts w:ascii="Times New Roman" w:hAnsi="Times New Roman" w:cs="Times New Roman"/>
          <w:sz w:val="24"/>
          <w:szCs w:val="24"/>
        </w:rPr>
        <w:t xml:space="preserve"> with injuries</w:t>
      </w:r>
      <w:r w:rsidR="001B772F">
        <w:rPr>
          <w:rFonts w:ascii="Times New Roman" w:hAnsi="Times New Roman" w:cs="Times New Roman"/>
          <w:sz w:val="24"/>
          <w:szCs w:val="24"/>
        </w:rPr>
        <w:t>, resistance to care</w:t>
      </w:r>
      <w:r w:rsidR="00AF524F">
        <w:rPr>
          <w:rFonts w:ascii="Times New Roman" w:hAnsi="Times New Roman" w:cs="Times New Roman"/>
          <w:sz w:val="24"/>
          <w:szCs w:val="24"/>
        </w:rPr>
        <w:t>,</w:t>
      </w:r>
      <w:r w:rsidR="00B1080A">
        <w:rPr>
          <w:rFonts w:ascii="Times New Roman" w:hAnsi="Times New Roman" w:cs="Times New Roman"/>
          <w:sz w:val="24"/>
          <w:szCs w:val="24"/>
        </w:rPr>
        <w:t xml:space="preserve"> </w:t>
      </w:r>
      <w:r w:rsidR="001B772F">
        <w:rPr>
          <w:rFonts w:ascii="Times New Roman" w:hAnsi="Times New Roman" w:cs="Times New Roman"/>
          <w:sz w:val="24"/>
          <w:szCs w:val="24"/>
        </w:rPr>
        <w:t xml:space="preserve">and </w:t>
      </w:r>
      <w:r w:rsidR="00FA7A62">
        <w:rPr>
          <w:rFonts w:ascii="Times New Roman" w:hAnsi="Times New Roman" w:cs="Times New Roman"/>
          <w:sz w:val="24"/>
          <w:szCs w:val="24"/>
        </w:rPr>
        <w:t>long term</w:t>
      </w:r>
      <w:r w:rsidR="00FC39E2">
        <w:rPr>
          <w:rFonts w:ascii="Times New Roman" w:hAnsi="Times New Roman" w:cs="Times New Roman"/>
          <w:sz w:val="24"/>
          <w:szCs w:val="24"/>
        </w:rPr>
        <w:t>,</w:t>
      </w:r>
      <w:r w:rsidR="00FA7A62">
        <w:rPr>
          <w:rFonts w:ascii="Times New Roman" w:hAnsi="Times New Roman" w:cs="Times New Roman"/>
          <w:sz w:val="24"/>
          <w:szCs w:val="24"/>
        </w:rPr>
        <w:t xml:space="preserve"> </w:t>
      </w:r>
      <w:r w:rsidR="001B772F">
        <w:rPr>
          <w:rFonts w:ascii="Times New Roman" w:hAnsi="Times New Roman" w:cs="Times New Roman"/>
          <w:sz w:val="24"/>
          <w:szCs w:val="24"/>
        </w:rPr>
        <w:t>self</w:t>
      </w:r>
      <w:r w:rsidR="00B1080A">
        <w:rPr>
          <w:rFonts w:ascii="Times New Roman" w:hAnsi="Times New Roman" w:cs="Times New Roman"/>
          <w:sz w:val="24"/>
          <w:szCs w:val="24"/>
        </w:rPr>
        <w:t>-</w:t>
      </w:r>
      <w:r w:rsidR="001B772F">
        <w:rPr>
          <w:rFonts w:ascii="Times New Roman" w:hAnsi="Times New Roman" w:cs="Times New Roman"/>
          <w:sz w:val="24"/>
          <w:szCs w:val="24"/>
        </w:rPr>
        <w:t>injur</w:t>
      </w:r>
      <w:r w:rsidR="00B1080A">
        <w:rPr>
          <w:rFonts w:ascii="Times New Roman" w:hAnsi="Times New Roman" w:cs="Times New Roman"/>
          <w:sz w:val="24"/>
          <w:szCs w:val="24"/>
        </w:rPr>
        <w:t>i</w:t>
      </w:r>
      <w:r w:rsidR="001B772F">
        <w:rPr>
          <w:rFonts w:ascii="Times New Roman" w:hAnsi="Times New Roman" w:cs="Times New Roman"/>
          <w:sz w:val="24"/>
          <w:szCs w:val="24"/>
        </w:rPr>
        <w:t>ous behaviours</w:t>
      </w:r>
      <w:r w:rsidR="00B1080A">
        <w:rPr>
          <w:rFonts w:ascii="Times New Roman" w:hAnsi="Times New Roman" w:cs="Times New Roman"/>
          <w:sz w:val="24"/>
          <w:szCs w:val="24"/>
        </w:rPr>
        <w:t xml:space="preserve">. </w:t>
      </w:r>
      <w:r w:rsidR="0015215A">
        <w:rPr>
          <w:rFonts w:ascii="Times New Roman" w:hAnsi="Times New Roman" w:cs="Times New Roman"/>
          <w:sz w:val="24"/>
          <w:szCs w:val="24"/>
        </w:rPr>
        <w:t>Unable to</w:t>
      </w:r>
      <w:r w:rsidR="00B1080A">
        <w:rPr>
          <w:rFonts w:ascii="Times New Roman" w:hAnsi="Times New Roman" w:cs="Times New Roman"/>
          <w:sz w:val="24"/>
          <w:szCs w:val="24"/>
        </w:rPr>
        <w:t xml:space="preserve"> i</w:t>
      </w:r>
      <w:r w:rsidR="00F031DA">
        <w:rPr>
          <w:rFonts w:ascii="Times New Roman" w:hAnsi="Times New Roman" w:cs="Times New Roman"/>
          <w:sz w:val="24"/>
          <w:szCs w:val="24"/>
        </w:rPr>
        <w:t>dentify any medical reasons for</w:t>
      </w:r>
      <w:r w:rsidR="00B56312">
        <w:rPr>
          <w:rFonts w:ascii="Times New Roman" w:hAnsi="Times New Roman" w:cs="Times New Roman"/>
          <w:sz w:val="24"/>
          <w:szCs w:val="24"/>
        </w:rPr>
        <w:t xml:space="preserve"> history of </w:t>
      </w:r>
      <w:r w:rsidR="00B1080A">
        <w:rPr>
          <w:rFonts w:ascii="Times New Roman" w:hAnsi="Times New Roman" w:cs="Times New Roman"/>
          <w:sz w:val="24"/>
          <w:szCs w:val="24"/>
        </w:rPr>
        <w:t>falls</w:t>
      </w:r>
      <w:r w:rsidR="0081242F">
        <w:rPr>
          <w:rFonts w:ascii="Times New Roman" w:hAnsi="Times New Roman" w:cs="Times New Roman"/>
          <w:sz w:val="24"/>
          <w:szCs w:val="24"/>
        </w:rPr>
        <w:t>,</w:t>
      </w:r>
      <w:r w:rsidR="002B7489">
        <w:rPr>
          <w:rFonts w:ascii="Times New Roman" w:hAnsi="Times New Roman" w:cs="Times New Roman"/>
          <w:sz w:val="24"/>
          <w:szCs w:val="24"/>
        </w:rPr>
        <w:t xml:space="preserve"> the</w:t>
      </w:r>
      <w:r w:rsidR="00143855">
        <w:rPr>
          <w:rFonts w:ascii="Times New Roman" w:hAnsi="Times New Roman" w:cs="Times New Roman"/>
          <w:sz w:val="24"/>
          <w:szCs w:val="24"/>
        </w:rPr>
        <w:t xml:space="preserve"> </w:t>
      </w:r>
      <w:r w:rsidR="00033E13">
        <w:rPr>
          <w:rFonts w:ascii="Times New Roman" w:hAnsi="Times New Roman" w:cs="Times New Roman"/>
          <w:sz w:val="24"/>
          <w:szCs w:val="24"/>
        </w:rPr>
        <w:t xml:space="preserve">provider </w:t>
      </w:r>
      <w:r w:rsidR="00143855">
        <w:rPr>
          <w:rFonts w:ascii="Times New Roman" w:hAnsi="Times New Roman" w:cs="Times New Roman"/>
          <w:sz w:val="24"/>
          <w:szCs w:val="24"/>
        </w:rPr>
        <w:t>recommend</w:t>
      </w:r>
      <w:r w:rsidR="00033E13">
        <w:rPr>
          <w:rFonts w:ascii="Times New Roman" w:hAnsi="Times New Roman" w:cs="Times New Roman"/>
          <w:sz w:val="24"/>
          <w:szCs w:val="24"/>
        </w:rPr>
        <w:t>ed</w:t>
      </w:r>
      <w:r w:rsidR="00BA1831">
        <w:rPr>
          <w:rFonts w:ascii="Times New Roman" w:hAnsi="Times New Roman" w:cs="Times New Roman"/>
          <w:sz w:val="24"/>
          <w:szCs w:val="24"/>
        </w:rPr>
        <w:t xml:space="preserve"> </w:t>
      </w:r>
      <w:r w:rsidR="00143855">
        <w:rPr>
          <w:rFonts w:ascii="Times New Roman" w:hAnsi="Times New Roman" w:cs="Times New Roman"/>
          <w:sz w:val="24"/>
          <w:szCs w:val="24"/>
        </w:rPr>
        <w:t xml:space="preserve">a </w:t>
      </w:r>
      <w:r w:rsidR="00BA1831">
        <w:rPr>
          <w:rFonts w:ascii="Times New Roman" w:hAnsi="Times New Roman" w:cs="Times New Roman"/>
          <w:sz w:val="24"/>
          <w:szCs w:val="24"/>
        </w:rPr>
        <w:t>home environment</w:t>
      </w:r>
      <w:r w:rsidR="0015215A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BA1831">
        <w:rPr>
          <w:rFonts w:ascii="Times New Roman" w:hAnsi="Times New Roman" w:cs="Times New Roman"/>
          <w:sz w:val="24"/>
          <w:szCs w:val="24"/>
        </w:rPr>
        <w:t xml:space="preserve"> for safety hazards</w:t>
      </w:r>
      <w:r w:rsidR="00F031DA">
        <w:rPr>
          <w:rFonts w:ascii="Times New Roman" w:hAnsi="Times New Roman" w:cs="Times New Roman"/>
          <w:sz w:val="24"/>
          <w:szCs w:val="24"/>
        </w:rPr>
        <w:t>. R</w:t>
      </w:r>
      <w:r w:rsidR="00143855">
        <w:rPr>
          <w:rFonts w:ascii="Times New Roman" w:hAnsi="Times New Roman" w:cs="Times New Roman"/>
          <w:sz w:val="24"/>
          <w:szCs w:val="24"/>
        </w:rPr>
        <w:t>isk factors identified include</w:t>
      </w:r>
      <w:r w:rsidR="0081242F">
        <w:rPr>
          <w:rFonts w:ascii="Times New Roman" w:hAnsi="Times New Roman" w:cs="Times New Roman"/>
          <w:sz w:val="24"/>
          <w:szCs w:val="24"/>
        </w:rPr>
        <w:t>d</w:t>
      </w:r>
      <w:r w:rsidR="00B1080A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81242F">
        <w:rPr>
          <w:rFonts w:ascii="Times New Roman" w:hAnsi="Times New Roman" w:cs="Times New Roman"/>
          <w:sz w:val="24"/>
          <w:szCs w:val="24"/>
        </w:rPr>
        <w:t xml:space="preserve"> isolation, dependency </w:t>
      </w:r>
      <w:r w:rsidR="0081242F">
        <w:rPr>
          <w:rFonts w:ascii="Times New Roman" w:hAnsi="Times New Roman" w:cs="Times New Roman"/>
          <w:sz w:val="24"/>
          <w:szCs w:val="24"/>
        </w:rPr>
        <w:lastRenderedPageBreak/>
        <w:t xml:space="preserve">on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42F">
        <w:rPr>
          <w:rFonts w:ascii="Times New Roman" w:hAnsi="Times New Roman" w:cs="Times New Roman"/>
          <w:sz w:val="24"/>
          <w:szCs w:val="24"/>
        </w:rPr>
        <w:t xml:space="preserve">, inability to access help independently, and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>’s</w:t>
      </w:r>
      <w:r w:rsidR="0081242F">
        <w:rPr>
          <w:rFonts w:ascii="Times New Roman" w:hAnsi="Times New Roman" w:cs="Times New Roman"/>
          <w:sz w:val="24"/>
          <w:szCs w:val="24"/>
        </w:rPr>
        <w:t xml:space="preserve"> poor </w:t>
      </w:r>
      <w:r w:rsidR="00B1080A">
        <w:rPr>
          <w:rFonts w:ascii="Times New Roman" w:hAnsi="Times New Roman" w:cs="Times New Roman"/>
          <w:sz w:val="24"/>
          <w:szCs w:val="24"/>
        </w:rPr>
        <w:t>copin</w:t>
      </w:r>
      <w:r w:rsidR="0081242F">
        <w:rPr>
          <w:rFonts w:ascii="Times New Roman" w:hAnsi="Times New Roman" w:cs="Times New Roman"/>
          <w:sz w:val="24"/>
          <w:szCs w:val="24"/>
        </w:rPr>
        <w:t xml:space="preserve">g. </w:t>
      </w:r>
      <w:r w:rsidR="00033E13">
        <w:rPr>
          <w:rFonts w:ascii="Times New Roman" w:hAnsi="Times New Roman" w:cs="Times New Roman"/>
          <w:sz w:val="24"/>
          <w:szCs w:val="24"/>
        </w:rPr>
        <w:t>T</w:t>
      </w:r>
      <w:r w:rsidR="00E03C17">
        <w:rPr>
          <w:rFonts w:ascii="Times New Roman" w:hAnsi="Times New Roman" w:cs="Times New Roman"/>
          <w:sz w:val="24"/>
          <w:szCs w:val="24"/>
        </w:rPr>
        <w:t xml:space="preserve">he </w:t>
      </w:r>
      <w:r w:rsidR="00033E13">
        <w:rPr>
          <w:rFonts w:ascii="Times New Roman" w:hAnsi="Times New Roman" w:cs="Times New Roman"/>
          <w:sz w:val="24"/>
          <w:szCs w:val="24"/>
        </w:rPr>
        <w:t xml:space="preserve">goal </w:t>
      </w:r>
      <w:r w:rsidR="00F031DA">
        <w:rPr>
          <w:rFonts w:ascii="Times New Roman" w:hAnsi="Times New Roman" w:cs="Times New Roman"/>
          <w:sz w:val="24"/>
          <w:szCs w:val="24"/>
        </w:rPr>
        <w:t xml:space="preserve">of </w:t>
      </w:r>
      <w:r w:rsidR="00BA171E">
        <w:rPr>
          <w:rFonts w:ascii="Times New Roman" w:hAnsi="Times New Roman" w:cs="Times New Roman"/>
          <w:sz w:val="24"/>
          <w:szCs w:val="24"/>
        </w:rPr>
        <w:t>referral</w:t>
      </w:r>
      <w:r w:rsidR="00033E13">
        <w:rPr>
          <w:rFonts w:ascii="Times New Roman" w:hAnsi="Times New Roman" w:cs="Times New Roman"/>
          <w:sz w:val="24"/>
          <w:szCs w:val="24"/>
        </w:rPr>
        <w:t xml:space="preserve"> to OAPS</w:t>
      </w:r>
      <w:r w:rsidR="00BA171E">
        <w:rPr>
          <w:rFonts w:ascii="Times New Roman" w:hAnsi="Times New Roman" w:cs="Times New Roman"/>
          <w:sz w:val="24"/>
          <w:szCs w:val="24"/>
        </w:rPr>
        <w:t xml:space="preserve"> was preventative interventions to improve</w:t>
      </w:r>
      <w:r w:rsidR="00E2272D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9D60D3">
        <w:rPr>
          <w:rFonts w:ascii="Times New Roman" w:hAnsi="Times New Roman" w:cs="Times New Roman"/>
          <w:sz w:val="24"/>
          <w:szCs w:val="24"/>
        </w:rPr>
        <w:t xml:space="preserve"> </w:t>
      </w:r>
      <w:r w:rsidR="00143855">
        <w:rPr>
          <w:rFonts w:ascii="Times New Roman" w:hAnsi="Times New Roman" w:cs="Times New Roman"/>
          <w:sz w:val="24"/>
          <w:szCs w:val="24"/>
        </w:rPr>
        <w:t>wellbeing</w:t>
      </w:r>
      <w:r w:rsidR="0097415F">
        <w:rPr>
          <w:rFonts w:ascii="Times New Roman" w:hAnsi="Times New Roman" w:cs="Times New Roman"/>
          <w:sz w:val="24"/>
          <w:szCs w:val="24"/>
        </w:rPr>
        <w:t xml:space="preserve"> and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 xml:space="preserve">’s </w:t>
      </w:r>
      <w:r w:rsidR="00BA171E">
        <w:rPr>
          <w:rFonts w:ascii="Times New Roman" w:hAnsi="Times New Roman" w:cs="Times New Roman"/>
          <w:sz w:val="24"/>
          <w:szCs w:val="24"/>
        </w:rPr>
        <w:t>coping</w:t>
      </w:r>
      <w:r w:rsidR="0097415F">
        <w:rPr>
          <w:rFonts w:ascii="Times New Roman" w:hAnsi="Times New Roman" w:cs="Times New Roman"/>
          <w:sz w:val="24"/>
          <w:szCs w:val="24"/>
        </w:rPr>
        <w:t xml:space="preserve"> </w:t>
      </w:r>
      <w:r w:rsidR="00F031DA">
        <w:rPr>
          <w:rFonts w:ascii="Times New Roman" w:hAnsi="Times New Roman" w:cs="Times New Roman"/>
          <w:sz w:val="24"/>
          <w:szCs w:val="24"/>
        </w:rPr>
        <w:t xml:space="preserve">through </w:t>
      </w:r>
      <w:r w:rsidR="00336464">
        <w:rPr>
          <w:rFonts w:ascii="Times New Roman" w:hAnsi="Times New Roman" w:cs="Times New Roman"/>
          <w:sz w:val="24"/>
          <w:szCs w:val="24"/>
        </w:rPr>
        <w:t xml:space="preserve">caregiver </w:t>
      </w:r>
      <w:r w:rsidR="00BA171E">
        <w:rPr>
          <w:rFonts w:ascii="Times New Roman" w:hAnsi="Times New Roman" w:cs="Times New Roman"/>
          <w:sz w:val="24"/>
          <w:szCs w:val="24"/>
        </w:rPr>
        <w:t xml:space="preserve">support and education. </w:t>
      </w:r>
    </w:p>
    <w:p w14:paraId="431D1316" w14:textId="78EFA416" w:rsidR="009D60D3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0" w:name="_Hlk43124864"/>
      <w:r w:rsidR="0097415F">
        <w:rPr>
          <w:rFonts w:ascii="Times New Roman" w:hAnsi="Times New Roman" w:cs="Times New Roman"/>
          <w:sz w:val="24"/>
          <w:szCs w:val="24"/>
        </w:rPr>
        <w:t>One of th</w:t>
      </w:r>
      <w:r w:rsidR="00143855">
        <w:rPr>
          <w:rFonts w:ascii="Times New Roman" w:hAnsi="Times New Roman" w:cs="Times New Roman"/>
          <w:sz w:val="24"/>
          <w:szCs w:val="24"/>
        </w:rPr>
        <w:t xml:space="preserve">e challenges </w:t>
      </w:r>
      <w:r w:rsidR="00FC39E2">
        <w:rPr>
          <w:rFonts w:ascii="Times New Roman" w:hAnsi="Times New Roman" w:cs="Times New Roman"/>
          <w:sz w:val="24"/>
          <w:szCs w:val="24"/>
        </w:rPr>
        <w:t xml:space="preserve">faced by the OAPS </w:t>
      </w:r>
      <w:r w:rsidR="00143855">
        <w:rPr>
          <w:rFonts w:ascii="Times New Roman" w:hAnsi="Times New Roman" w:cs="Times New Roman"/>
          <w:sz w:val="24"/>
          <w:szCs w:val="24"/>
        </w:rPr>
        <w:t xml:space="preserve">in </w:t>
      </w:r>
      <w:r w:rsidR="00362C12">
        <w:rPr>
          <w:rFonts w:ascii="Times New Roman" w:hAnsi="Times New Roman" w:cs="Times New Roman"/>
          <w:sz w:val="24"/>
          <w:szCs w:val="24"/>
        </w:rPr>
        <w:t>supporting Rose was Bill’s control over her access to health care and support systems</w:t>
      </w:r>
      <w:r w:rsidR="0097415F">
        <w:rPr>
          <w:rFonts w:ascii="Times New Roman" w:hAnsi="Times New Roman" w:cs="Times New Roman"/>
          <w:sz w:val="24"/>
          <w:szCs w:val="24"/>
        </w:rPr>
        <w:t xml:space="preserve">. </w:t>
      </w:r>
      <w:bookmarkEnd w:id="20"/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FA7A62">
        <w:rPr>
          <w:rFonts w:ascii="Times New Roman" w:hAnsi="Times New Roman" w:cs="Times New Roman"/>
          <w:sz w:val="24"/>
          <w:szCs w:val="24"/>
        </w:rPr>
        <w:t xml:space="preserve"> refused home </w:t>
      </w:r>
      <w:r w:rsidR="00E2272D">
        <w:rPr>
          <w:rFonts w:ascii="Times New Roman" w:hAnsi="Times New Roman" w:cs="Times New Roman"/>
          <w:sz w:val="24"/>
          <w:szCs w:val="24"/>
        </w:rPr>
        <w:t xml:space="preserve">visits </w:t>
      </w:r>
      <w:r w:rsidR="00F031DA">
        <w:rPr>
          <w:rFonts w:ascii="Times New Roman" w:hAnsi="Times New Roman" w:cs="Times New Roman"/>
          <w:sz w:val="24"/>
          <w:szCs w:val="24"/>
        </w:rPr>
        <w:t>by involved services</w:t>
      </w:r>
      <w:r w:rsidR="00ED313D">
        <w:rPr>
          <w:rFonts w:ascii="Times New Roman" w:hAnsi="Times New Roman" w:cs="Times New Roman"/>
          <w:sz w:val="24"/>
          <w:szCs w:val="24"/>
        </w:rPr>
        <w:t xml:space="preserve">, but </w:t>
      </w:r>
      <w:r w:rsidR="00F031DA">
        <w:rPr>
          <w:rFonts w:ascii="Times New Roman" w:hAnsi="Times New Roman" w:cs="Times New Roman"/>
          <w:sz w:val="24"/>
          <w:szCs w:val="24"/>
        </w:rPr>
        <w:t>consented</w:t>
      </w:r>
      <w:r w:rsidR="00FA7A62">
        <w:rPr>
          <w:rFonts w:ascii="Times New Roman" w:hAnsi="Times New Roman" w:cs="Times New Roman"/>
          <w:sz w:val="24"/>
          <w:szCs w:val="24"/>
        </w:rPr>
        <w:t xml:space="preserve"> to </w:t>
      </w:r>
      <w:r w:rsidR="00BF18B3">
        <w:rPr>
          <w:rFonts w:ascii="Times New Roman" w:hAnsi="Times New Roman" w:cs="Times New Roman"/>
          <w:sz w:val="24"/>
          <w:szCs w:val="24"/>
        </w:rPr>
        <w:t xml:space="preserve">an </w:t>
      </w:r>
      <w:r w:rsidR="00FA7A62">
        <w:rPr>
          <w:rFonts w:ascii="Times New Roman" w:hAnsi="Times New Roman" w:cs="Times New Roman"/>
          <w:sz w:val="24"/>
          <w:szCs w:val="24"/>
        </w:rPr>
        <w:t>OAPS</w:t>
      </w:r>
      <w:r w:rsidR="0097415F">
        <w:rPr>
          <w:rFonts w:ascii="Times New Roman" w:hAnsi="Times New Roman" w:cs="Times New Roman"/>
          <w:sz w:val="24"/>
          <w:szCs w:val="24"/>
        </w:rPr>
        <w:t xml:space="preserve"> </w:t>
      </w:r>
      <w:r w:rsidR="00F031DA">
        <w:rPr>
          <w:rFonts w:ascii="Times New Roman" w:hAnsi="Times New Roman" w:cs="Times New Roman"/>
          <w:sz w:val="24"/>
          <w:szCs w:val="24"/>
        </w:rPr>
        <w:t>referral</w:t>
      </w:r>
      <w:r w:rsidR="00B56312">
        <w:rPr>
          <w:rFonts w:ascii="Times New Roman" w:hAnsi="Times New Roman" w:cs="Times New Roman"/>
          <w:sz w:val="24"/>
          <w:szCs w:val="24"/>
        </w:rPr>
        <w:t xml:space="preserve">. </w:t>
      </w:r>
      <w:r w:rsidR="00252326">
        <w:rPr>
          <w:rFonts w:ascii="Times New Roman" w:hAnsi="Times New Roman" w:cs="Times New Roman"/>
          <w:sz w:val="24"/>
          <w:szCs w:val="24"/>
        </w:rPr>
        <w:t xml:space="preserve">Building rapport and trust with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252326">
        <w:rPr>
          <w:rFonts w:ascii="Times New Roman" w:hAnsi="Times New Roman" w:cs="Times New Roman"/>
          <w:sz w:val="24"/>
          <w:szCs w:val="24"/>
        </w:rPr>
        <w:t xml:space="preserve"> involved using a non-judgemental approach, </w:t>
      </w:r>
      <w:r w:rsidR="00776E9C">
        <w:rPr>
          <w:rFonts w:ascii="Times New Roman" w:hAnsi="Times New Roman" w:cs="Times New Roman"/>
          <w:sz w:val="24"/>
          <w:szCs w:val="24"/>
        </w:rPr>
        <w:t>validation</w:t>
      </w:r>
      <w:r w:rsidR="00310844">
        <w:rPr>
          <w:rFonts w:ascii="Times New Roman" w:hAnsi="Times New Roman" w:cs="Times New Roman"/>
          <w:sz w:val="24"/>
          <w:szCs w:val="24"/>
        </w:rPr>
        <w:t xml:space="preserve"> of </w:t>
      </w:r>
      <w:r w:rsidR="00776E9C">
        <w:rPr>
          <w:rFonts w:ascii="Times New Roman" w:hAnsi="Times New Roman" w:cs="Times New Roman"/>
          <w:sz w:val="24"/>
          <w:szCs w:val="24"/>
        </w:rPr>
        <w:t xml:space="preserve">his </w:t>
      </w:r>
      <w:r w:rsidR="00252326">
        <w:rPr>
          <w:rFonts w:ascii="Times New Roman" w:hAnsi="Times New Roman" w:cs="Times New Roman"/>
          <w:sz w:val="24"/>
          <w:szCs w:val="24"/>
        </w:rPr>
        <w:t>feelings, listening</w:t>
      </w:r>
      <w:r w:rsidR="007D493C">
        <w:rPr>
          <w:rFonts w:ascii="Times New Roman" w:hAnsi="Times New Roman" w:cs="Times New Roman"/>
          <w:sz w:val="24"/>
          <w:szCs w:val="24"/>
        </w:rPr>
        <w:t>,</w:t>
      </w:r>
      <w:r w:rsidR="00252326">
        <w:rPr>
          <w:rFonts w:ascii="Times New Roman" w:hAnsi="Times New Roman" w:cs="Times New Roman"/>
          <w:sz w:val="24"/>
          <w:szCs w:val="24"/>
        </w:rPr>
        <w:t xml:space="preserve"> and </w:t>
      </w:r>
      <w:r w:rsidR="00776E9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52326">
        <w:rPr>
          <w:rFonts w:ascii="Times New Roman" w:hAnsi="Times New Roman" w:cs="Times New Roman"/>
          <w:sz w:val="24"/>
          <w:szCs w:val="24"/>
        </w:rPr>
        <w:t>encourag</w:t>
      </w:r>
      <w:r w:rsidR="00776E9C">
        <w:rPr>
          <w:rFonts w:ascii="Times New Roman" w:hAnsi="Times New Roman" w:cs="Times New Roman"/>
          <w:sz w:val="24"/>
          <w:szCs w:val="24"/>
        </w:rPr>
        <w:t>ement</w:t>
      </w:r>
      <w:r w:rsidR="00252326">
        <w:rPr>
          <w:rFonts w:ascii="Times New Roman" w:hAnsi="Times New Roman" w:cs="Times New Roman"/>
          <w:sz w:val="24"/>
          <w:szCs w:val="24"/>
        </w:rPr>
        <w:t xml:space="preserve">. </w:t>
      </w:r>
      <w:r w:rsidR="0077728B">
        <w:rPr>
          <w:rFonts w:ascii="Times New Roman" w:hAnsi="Times New Roman" w:cs="Times New Roman"/>
          <w:sz w:val="24"/>
          <w:szCs w:val="24"/>
        </w:rPr>
        <w:t>The f</w:t>
      </w:r>
      <w:r w:rsidR="00B56312">
        <w:rPr>
          <w:rFonts w:ascii="Times New Roman" w:hAnsi="Times New Roman" w:cs="Times New Roman"/>
          <w:sz w:val="24"/>
          <w:szCs w:val="24"/>
        </w:rPr>
        <w:t>orensic nurse had diffi</w:t>
      </w:r>
      <w:r w:rsidR="00F031DA">
        <w:rPr>
          <w:rFonts w:ascii="Times New Roman" w:hAnsi="Times New Roman" w:cs="Times New Roman"/>
          <w:sz w:val="24"/>
          <w:szCs w:val="24"/>
        </w:rPr>
        <w:t xml:space="preserve">culty engaging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252326">
        <w:rPr>
          <w:rFonts w:ascii="Times New Roman" w:hAnsi="Times New Roman" w:cs="Times New Roman"/>
          <w:sz w:val="24"/>
          <w:szCs w:val="24"/>
        </w:rPr>
        <w:t xml:space="preserve"> (e.g.</w:t>
      </w:r>
      <w:r w:rsidR="00776E9C">
        <w:rPr>
          <w:rFonts w:ascii="Times New Roman" w:hAnsi="Times New Roman" w:cs="Times New Roman"/>
          <w:sz w:val="24"/>
          <w:szCs w:val="24"/>
        </w:rPr>
        <w:t>,</w:t>
      </w:r>
      <w:r w:rsidR="00252326">
        <w:rPr>
          <w:rFonts w:ascii="Times New Roman" w:hAnsi="Times New Roman" w:cs="Times New Roman"/>
          <w:sz w:val="24"/>
          <w:szCs w:val="24"/>
        </w:rPr>
        <w:t xml:space="preserve"> unavailable due to stress),</w:t>
      </w:r>
      <w:r w:rsidR="00F031DA">
        <w:rPr>
          <w:rFonts w:ascii="Times New Roman" w:hAnsi="Times New Roman" w:cs="Times New Roman"/>
          <w:sz w:val="24"/>
          <w:szCs w:val="24"/>
        </w:rPr>
        <w:t xml:space="preserve"> leading to</w:t>
      </w:r>
      <w:r w:rsidR="00BA1831">
        <w:rPr>
          <w:rFonts w:ascii="Times New Roman" w:hAnsi="Times New Roman" w:cs="Times New Roman"/>
          <w:sz w:val="24"/>
          <w:szCs w:val="24"/>
        </w:rPr>
        <w:t xml:space="preserve"> delays between contacts</w:t>
      </w:r>
      <w:r w:rsidR="00B56312">
        <w:rPr>
          <w:rFonts w:ascii="Times New Roman" w:hAnsi="Times New Roman" w:cs="Times New Roman"/>
          <w:sz w:val="24"/>
          <w:szCs w:val="24"/>
        </w:rPr>
        <w:t xml:space="preserve">. </w:t>
      </w:r>
      <w:r w:rsidR="00CA1CFA">
        <w:rPr>
          <w:rFonts w:ascii="Times New Roman" w:hAnsi="Times New Roman" w:cs="Times New Roman"/>
          <w:sz w:val="24"/>
          <w:szCs w:val="24"/>
        </w:rPr>
        <w:t xml:space="preserve">After </w:t>
      </w:r>
      <w:r w:rsidR="00ED313D">
        <w:rPr>
          <w:rFonts w:ascii="Times New Roman" w:hAnsi="Times New Roman" w:cs="Times New Roman"/>
          <w:sz w:val="24"/>
          <w:szCs w:val="24"/>
        </w:rPr>
        <w:t xml:space="preserve">six </w:t>
      </w:r>
      <w:r w:rsidR="00481D2A">
        <w:rPr>
          <w:rFonts w:ascii="Times New Roman" w:hAnsi="Times New Roman" w:cs="Times New Roman"/>
          <w:sz w:val="24"/>
          <w:szCs w:val="24"/>
        </w:rPr>
        <w:t>weeks</w:t>
      </w:r>
      <w:r w:rsidR="00BA1831">
        <w:rPr>
          <w:rFonts w:ascii="Times New Roman" w:hAnsi="Times New Roman" w:cs="Times New Roman"/>
          <w:sz w:val="24"/>
          <w:szCs w:val="24"/>
        </w:rPr>
        <w:t xml:space="preserve"> </w:t>
      </w:r>
      <w:r w:rsidR="00693DEA">
        <w:rPr>
          <w:rFonts w:ascii="Times New Roman" w:hAnsi="Times New Roman" w:cs="Times New Roman"/>
          <w:sz w:val="24"/>
          <w:szCs w:val="24"/>
        </w:rPr>
        <w:t xml:space="preserve">of </w:t>
      </w:r>
      <w:r w:rsidR="00252326">
        <w:rPr>
          <w:rFonts w:ascii="Times New Roman" w:hAnsi="Times New Roman" w:cs="Times New Roman"/>
          <w:sz w:val="24"/>
          <w:szCs w:val="24"/>
        </w:rPr>
        <w:t>tele</w:t>
      </w:r>
      <w:r w:rsidR="00BA1831">
        <w:rPr>
          <w:rFonts w:ascii="Times New Roman" w:hAnsi="Times New Roman" w:cs="Times New Roman"/>
          <w:sz w:val="24"/>
          <w:szCs w:val="24"/>
        </w:rPr>
        <w:t>phone</w:t>
      </w:r>
      <w:r w:rsidR="00481D2A">
        <w:rPr>
          <w:rFonts w:ascii="Times New Roman" w:hAnsi="Times New Roman" w:cs="Times New Roman"/>
          <w:sz w:val="24"/>
          <w:szCs w:val="24"/>
        </w:rPr>
        <w:t xml:space="preserve"> support</w:t>
      </w:r>
      <w:r w:rsidR="00CA1CFA">
        <w:rPr>
          <w:rFonts w:ascii="Times New Roman" w:hAnsi="Times New Roman" w:cs="Times New Roman"/>
          <w:sz w:val="24"/>
          <w:szCs w:val="24"/>
        </w:rPr>
        <w:t>,</w:t>
      </w:r>
      <w:r w:rsidR="00E30DDF">
        <w:rPr>
          <w:rFonts w:ascii="Times New Roman" w:hAnsi="Times New Roman" w:cs="Times New Roman"/>
          <w:sz w:val="24"/>
          <w:szCs w:val="24"/>
        </w:rPr>
        <w:t xml:space="preserve"> he</w:t>
      </w:r>
      <w:r w:rsidR="00CA1CFA">
        <w:rPr>
          <w:rFonts w:ascii="Times New Roman" w:hAnsi="Times New Roman" w:cs="Times New Roman"/>
          <w:sz w:val="24"/>
          <w:szCs w:val="24"/>
        </w:rPr>
        <w:t xml:space="preserve"> verbally consented to </w:t>
      </w:r>
      <w:r w:rsidR="00E2272D">
        <w:rPr>
          <w:rFonts w:ascii="Times New Roman" w:hAnsi="Times New Roman" w:cs="Times New Roman"/>
          <w:sz w:val="24"/>
          <w:szCs w:val="24"/>
        </w:rPr>
        <w:t xml:space="preserve">the </w:t>
      </w:r>
      <w:r w:rsidR="00CA1CFA">
        <w:rPr>
          <w:rFonts w:ascii="Times New Roman" w:hAnsi="Times New Roman" w:cs="Times New Roman"/>
          <w:sz w:val="24"/>
          <w:szCs w:val="24"/>
        </w:rPr>
        <w:t>for</w:t>
      </w:r>
      <w:r w:rsidR="00BA1831">
        <w:rPr>
          <w:rFonts w:ascii="Times New Roman" w:hAnsi="Times New Roman" w:cs="Times New Roman"/>
          <w:sz w:val="24"/>
          <w:szCs w:val="24"/>
        </w:rPr>
        <w:t xml:space="preserve">ensic nurse meeting with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A1831">
        <w:rPr>
          <w:rFonts w:ascii="Times New Roman" w:hAnsi="Times New Roman" w:cs="Times New Roman"/>
          <w:sz w:val="24"/>
          <w:szCs w:val="24"/>
        </w:rPr>
        <w:t xml:space="preserve"> </w:t>
      </w:r>
      <w:r w:rsidR="00481D2A">
        <w:rPr>
          <w:rFonts w:ascii="Times New Roman" w:hAnsi="Times New Roman" w:cs="Times New Roman"/>
          <w:sz w:val="24"/>
          <w:szCs w:val="24"/>
        </w:rPr>
        <w:t xml:space="preserve">and </w:t>
      </w:r>
      <w:r w:rsidR="004A37E7">
        <w:rPr>
          <w:rFonts w:ascii="Times New Roman" w:hAnsi="Times New Roman" w:cs="Times New Roman"/>
          <w:sz w:val="24"/>
          <w:szCs w:val="24"/>
        </w:rPr>
        <w:t>staff at</w:t>
      </w:r>
      <w:r w:rsidR="00481D2A">
        <w:rPr>
          <w:rFonts w:ascii="Times New Roman" w:hAnsi="Times New Roman" w:cs="Times New Roman"/>
          <w:sz w:val="24"/>
          <w:szCs w:val="24"/>
        </w:rPr>
        <w:t xml:space="preserve"> the Day P</w:t>
      </w:r>
      <w:r w:rsidR="00CA1CFA">
        <w:rPr>
          <w:rFonts w:ascii="Times New Roman" w:hAnsi="Times New Roman" w:cs="Times New Roman"/>
          <w:sz w:val="24"/>
          <w:szCs w:val="24"/>
        </w:rPr>
        <w:t xml:space="preserve">rogram. He followed through with instructions to notify the administrator </w:t>
      </w:r>
      <w:r w:rsidR="00BA1831">
        <w:rPr>
          <w:rFonts w:ascii="Times New Roman" w:hAnsi="Times New Roman" w:cs="Times New Roman"/>
          <w:sz w:val="24"/>
          <w:szCs w:val="24"/>
        </w:rPr>
        <w:t>of his consent for the</w:t>
      </w:r>
      <w:r w:rsidR="00CA1CFA">
        <w:rPr>
          <w:rFonts w:ascii="Times New Roman" w:hAnsi="Times New Roman" w:cs="Times New Roman"/>
          <w:sz w:val="24"/>
          <w:szCs w:val="24"/>
        </w:rPr>
        <w:t xml:space="preserve"> visit and sharing of </w:t>
      </w:r>
      <w:r w:rsidR="00E2272D">
        <w:rPr>
          <w:rFonts w:ascii="Times New Roman" w:hAnsi="Times New Roman" w:cs="Times New Roman"/>
          <w:sz w:val="24"/>
          <w:szCs w:val="24"/>
        </w:rPr>
        <w:t>information.</w:t>
      </w:r>
      <w:r w:rsidR="009D60D3" w:rsidRPr="009D6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5E20A" w14:textId="47E5138F" w:rsidR="0097415F" w:rsidRDefault="009D60D3" w:rsidP="0092443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first appointment, the Day Program administrator contacted OAPS to </w:t>
      </w:r>
      <w:r w:rsidR="00BF18B3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had made a disclosure of </w:t>
      </w:r>
      <w:r w:rsidR="00BF18B3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 xml:space="preserve">abuse. She disclosed </w:t>
      </w:r>
      <w:r w:rsidR="007D493C">
        <w:rPr>
          <w:rFonts w:ascii="Times New Roman" w:hAnsi="Times New Roman" w:cs="Times New Roman"/>
          <w:sz w:val="24"/>
          <w:szCs w:val="24"/>
        </w:rPr>
        <w:t>“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hit my head on the wall, he’s mad at me”.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fell and when asked if he had her assessed he stated he brought her to the E</w:t>
      </w:r>
      <w:r w:rsidR="00FD1905">
        <w:rPr>
          <w:rFonts w:ascii="Times New Roman" w:hAnsi="Times New Roman" w:cs="Times New Roman"/>
          <w:sz w:val="24"/>
          <w:szCs w:val="24"/>
        </w:rPr>
        <w:t>D</w:t>
      </w:r>
      <w:r w:rsidR="00776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 visible injury to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head was noted. </w:t>
      </w:r>
      <w:r w:rsidR="00812EF5">
        <w:rPr>
          <w:rFonts w:ascii="Times New Roman" w:hAnsi="Times New Roman" w:cs="Times New Roman"/>
          <w:sz w:val="24"/>
          <w:szCs w:val="24"/>
        </w:rPr>
        <w:t>The f</w:t>
      </w:r>
      <w:r>
        <w:rPr>
          <w:rFonts w:ascii="Times New Roman" w:hAnsi="Times New Roman" w:cs="Times New Roman"/>
          <w:sz w:val="24"/>
          <w:szCs w:val="24"/>
        </w:rPr>
        <w:t xml:space="preserve">orensic nurse met with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at the Day Program. Barriers to disclosure included an inability to provide a coherent history, significant short-term memory impairments and word finding issues.</w:t>
      </w:r>
    </w:p>
    <w:p w14:paraId="12559A5D" w14:textId="000AD3C1" w:rsidR="009306CA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326">
        <w:rPr>
          <w:rFonts w:ascii="Times New Roman" w:hAnsi="Times New Roman" w:cs="Times New Roman"/>
          <w:sz w:val="24"/>
          <w:szCs w:val="24"/>
        </w:rPr>
        <w:t>In this example, c</w:t>
      </w:r>
      <w:r w:rsidR="00336464">
        <w:rPr>
          <w:rFonts w:ascii="Times New Roman" w:hAnsi="Times New Roman" w:cs="Times New Roman"/>
          <w:sz w:val="24"/>
          <w:szCs w:val="24"/>
        </w:rPr>
        <w:t>hallenges identified include</w:t>
      </w:r>
      <w:r w:rsidR="00481D2A">
        <w:rPr>
          <w:rFonts w:ascii="Times New Roman" w:hAnsi="Times New Roman" w:cs="Times New Roman"/>
          <w:sz w:val="24"/>
          <w:szCs w:val="24"/>
        </w:rPr>
        <w:t>d</w:t>
      </w:r>
      <w:r w:rsidR="00336464">
        <w:rPr>
          <w:rFonts w:ascii="Times New Roman" w:hAnsi="Times New Roman" w:cs="Times New Roman"/>
          <w:sz w:val="24"/>
          <w:szCs w:val="24"/>
        </w:rPr>
        <w:t xml:space="preserve"> </w:t>
      </w:r>
      <w:r w:rsidR="001D4AA1">
        <w:rPr>
          <w:rFonts w:ascii="Times New Roman" w:hAnsi="Times New Roman" w:cs="Times New Roman"/>
          <w:sz w:val="24"/>
          <w:szCs w:val="24"/>
        </w:rPr>
        <w:t>vague</w:t>
      </w:r>
      <w:r w:rsidR="00336464">
        <w:rPr>
          <w:rFonts w:ascii="Times New Roman" w:hAnsi="Times New Roman" w:cs="Times New Roman"/>
          <w:sz w:val="24"/>
          <w:szCs w:val="24"/>
        </w:rPr>
        <w:t xml:space="preserve"> disclosures</w:t>
      </w:r>
      <w:r w:rsidR="001D4AA1">
        <w:rPr>
          <w:rFonts w:ascii="Times New Roman" w:hAnsi="Times New Roman" w:cs="Times New Roman"/>
          <w:sz w:val="24"/>
          <w:szCs w:val="24"/>
        </w:rPr>
        <w:t>,</w:t>
      </w:r>
      <w:r w:rsidR="00E30DDF">
        <w:rPr>
          <w:rFonts w:ascii="Times New Roman" w:hAnsi="Times New Roman" w:cs="Times New Roman"/>
          <w:sz w:val="24"/>
          <w:szCs w:val="24"/>
        </w:rPr>
        <w:t xml:space="preserve"> </w:t>
      </w:r>
      <w:r w:rsidR="00336464">
        <w:rPr>
          <w:rFonts w:ascii="Times New Roman" w:hAnsi="Times New Roman" w:cs="Times New Roman"/>
          <w:sz w:val="24"/>
          <w:szCs w:val="24"/>
        </w:rPr>
        <w:t xml:space="preserve">no witnesses, </w:t>
      </w:r>
      <w:r w:rsidR="00865F66">
        <w:rPr>
          <w:rFonts w:ascii="Times New Roman" w:hAnsi="Times New Roman" w:cs="Times New Roman"/>
          <w:sz w:val="24"/>
          <w:szCs w:val="24"/>
        </w:rPr>
        <w:t xml:space="preserve">a </w:t>
      </w:r>
      <w:r w:rsidR="00E30DDF">
        <w:rPr>
          <w:rFonts w:ascii="Times New Roman" w:hAnsi="Times New Roman" w:cs="Times New Roman"/>
          <w:sz w:val="24"/>
          <w:szCs w:val="24"/>
        </w:rPr>
        <w:t>h</w:t>
      </w:r>
      <w:r w:rsidR="00336464">
        <w:rPr>
          <w:rFonts w:ascii="Times New Roman" w:hAnsi="Times New Roman" w:cs="Times New Roman"/>
          <w:sz w:val="24"/>
          <w:szCs w:val="24"/>
        </w:rPr>
        <w:t>istory provided by</w:t>
      </w:r>
      <w:r w:rsidR="00956709">
        <w:rPr>
          <w:rFonts w:ascii="Times New Roman" w:hAnsi="Times New Roman" w:cs="Times New Roman"/>
          <w:sz w:val="24"/>
          <w:szCs w:val="24"/>
        </w:rPr>
        <w:t xml:space="preserve"> </w:t>
      </w:r>
      <w:r w:rsidR="00252326">
        <w:rPr>
          <w:rFonts w:ascii="Times New Roman" w:hAnsi="Times New Roman" w:cs="Times New Roman"/>
          <w:sz w:val="24"/>
          <w:szCs w:val="24"/>
        </w:rPr>
        <w:t xml:space="preserve">the </w:t>
      </w:r>
      <w:r w:rsidR="00956709">
        <w:rPr>
          <w:rFonts w:ascii="Times New Roman" w:hAnsi="Times New Roman" w:cs="Times New Roman"/>
          <w:sz w:val="24"/>
          <w:szCs w:val="24"/>
        </w:rPr>
        <w:t>suspected</w:t>
      </w:r>
      <w:r w:rsidR="00336464">
        <w:rPr>
          <w:rFonts w:ascii="Times New Roman" w:hAnsi="Times New Roman" w:cs="Times New Roman"/>
          <w:sz w:val="24"/>
          <w:szCs w:val="24"/>
        </w:rPr>
        <w:t xml:space="preserve"> abuser</w:t>
      </w:r>
      <w:r w:rsidR="00A9171F">
        <w:rPr>
          <w:rFonts w:ascii="Times New Roman" w:hAnsi="Times New Roman" w:cs="Times New Roman"/>
          <w:sz w:val="24"/>
          <w:szCs w:val="24"/>
        </w:rPr>
        <w:t xml:space="preserve">, </w:t>
      </w:r>
      <w:r w:rsidR="001D4AA1">
        <w:rPr>
          <w:rFonts w:ascii="Times New Roman" w:hAnsi="Times New Roman" w:cs="Times New Roman"/>
          <w:sz w:val="24"/>
          <w:szCs w:val="24"/>
        </w:rPr>
        <w:t>lack of</w:t>
      </w:r>
      <w:r w:rsidR="00A9171F">
        <w:rPr>
          <w:rFonts w:ascii="Times New Roman" w:hAnsi="Times New Roman" w:cs="Times New Roman"/>
          <w:sz w:val="24"/>
          <w:szCs w:val="24"/>
        </w:rPr>
        <w:t xml:space="preserve"> communication or</w:t>
      </w:r>
      <w:r w:rsidR="006216B0">
        <w:rPr>
          <w:rFonts w:ascii="Times New Roman" w:hAnsi="Times New Roman" w:cs="Times New Roman"/>
          <w:sz w:val="24"/>
          <w:szCs w:val="24"/>
        </w:rPr>
        <w:t xml:space="preserve"> consent to share</w:t>
      </w:r>
      <w:r w:rsidR="00E30DDF">
        <w:rPr>
          <w:rFonts w:ascii="Times New Roman" w:hAnsi="Times New Roman" w:cs="Times New Roman"/>
          <w:sz w:val="24"/>
          <w:szCs w:val="24"/>
        </w:rPr>
        <w:t xml:space="preserve"> information between care providers</w:t>
      </w:r>
      <w:r w:rsidR="00252326">
        <w:rPr>
          <w:rFonts w:ascii="Times New Roman" w:hAnsi="Times New Roman" w:cs="Times New Roman"/>
          <w:sz w:val="24"/>
          <w:szCs w:val="24"/>
        </w:rPr>
        <w:t>,</w:t>
      </w:r>
      <w:r w:rsidR="00336464">
        <w:rPr>
          <w:rFonts w:ascii="Times New Roman" w:hAnsi="Times New Roman" w:cs="Times New Roman"/>
          <w:sz w:val="24"/>
          <w:szCs w:val="24"/>
        </w:rPr>
        <w:t xml:space="preserve"> and </w:t>
      </w:r>
      <w:r w:rsidR="003138A8">
        <w:rPr>
          <w:rFonts w:ascii="Times New Roman" w:hAnsi="Times New Roman" w:cs="Times New Roman"/>
          <w:sz w:val="24"/>
          <w:szCs w:val="24"/>
        </w:rPr>
        <w:t xml:space="preserve">staff </w:t>
      </w:r>
      <w:r w:rsidR="00336464">
        <w:rPr>
          <w:rFonts w:ascii="Times New Roman" w:hAnsi="Times New Roman" w:cs="Times New Roman"/>
          <w:sz w:val="24"/>
          <w:szCs w:val="24"/>
        </w:rPr>
        <w:t>lack of awareness</w:t>
      </w:r>
      <w:r w:rsidR="00A9171F">
        <w:rPr>
          <w:rFonts w:ascii="Times New Roman" w:hAnsi="Times New Roman" w:cs="Times New Roman"/>
          <w:sz w:val="24"/>
          <w:szCs w:val="24"/>
        </w:rPr>
        <w:t xml:space="preserve"> of indicators of abuse and risk</w:t>
      </w:r>
      <w:r w:rsidR="00336464">
        <w:rPr>
          <w:rFonts w:ascii="Times New Roman" w:hAnsi="Times New Roman" w:cs="Times New Roman"/>
          <w:sz w:val="24"/>
          <w:szCs w:val="24"/>
        </w:rPr>
        <w:t xml:space="preserve"> factors</w:t>
      </w:r>
      <w:r w:rsidR="00E30DDF">
        <w:rPr>
          <w:rFonts w:ascii="Times New Roman" w:hAnsi="Times New Roman" w:cs="Times New Roman"/>
          <w:sz w:val="24"/>
          <w:szCs w:val="24"/>
        </w:rPr>
        <w:t xml:space="preserve">. </w:t>
      </w:r>
      <w:r w:rsidR="00812EF5">
        <w:rPr>
          <w:rFonts w:ascii="Times New Roman" w:hAnsi="Times New Roman" w:cs="Times New Roman"/>
          <w:sz w:val="24"/>
          <w:szCs w:val="24"/>
        </w:rPr>
        <w:t>To address this, c</w:t>
      </w:r>
      <w:r w:rsidR="001D4AA1">
        <w:rPr>
          <w:rFonts w:ascii="Times New Roman" w:hAnsi="Times New Roman" w:cs="Times New Roman"/>
          <w:sz w:val="24"/>
          <w:szCs w:val="24"/>
        </w:rPr>
        <w:t xml:space="preserve">ollateral history </w:t>
      </w:r>
      <w:r w:rsidR="00956709">
        <w:rPr>
          <w:rFonts w:ascii="Times New Roman" w:hAnsi="Times New Roman" w:cs="Times New Roman"/>
          <w:sz w:val="24"/>
          <w:szCs w:val="24"/>
        </w:rPr>
        <w:t xml:space="preserve">was </w:t>
      </w:r>
      <w:r w:rsidR="00481D2A">
        <w:rPr>
          <w:rFonts w:ascii="Times New Roman" w:hAnsi="Times New Roman" w:cs="Times New Roman"/>
          <w:sz w:val="24"/>
          <w:szCs w:val="24"/>
        </w:rPr>
        <w:t>obtained from various</w:t>
      </w:r>
      <w:r w:rsidR="00956709">
        <w:rPr>
          <w:rFonts w:ascii="Times New Roman" w:hAnsi="Times New Roman" w:cs="Times New Roman"/>
          <w:sz w:val="24"/>
          <w:szCs w:val="24"/>
        </w:rPr>
        <w:t xml:space="preserve"> Day P</w:t>
      </w:r>
      <w:r w:rsidR="00481D2A">
        <w:rPr>
          <w:rFonts w:ascii="Times New Roman" w:hAnsi="Times New Roman" w:cs="Times New Roman"/>
          <w:sz w:val="24"/>
          <w:szCs w:val="24"/>
        </w:rPr>
        <w:t>rogram staff</w:t>
      </w:r>
      <w:r w:rsidR="00A46F1F">
        <w:rPr>
          <w:rFonts w:ascii="Times New Roman" w:hAnsi="Times New Roman" w:cs="Times New Roman"/>
          <w:sz w:val="24"/>
          <w:szCs w:val="24"/>
        </w:rPr>
        <w:t xml:space="preserve"> an</w:t>
      </w:r>
      <w:r w:rsidR="00481D2A">
        <w:rPr>
          <w:rFonts w:ascii="Times New Roman" w:hAnsi="Times New Roman" w:cs="Times New Roman"/>
          <w:sz w:val="24"/>
          <w:szCs w:val="24"/>
        </w:rPr>
        <w:t>d a timeline of events,</w:t>
      </w:r>
      <w:r w:rsidR="00A46F1F">
        <w:rPr>
          <w:rFonts w:ascii="Times New Roman" w:hAnsi="Times New Roman" w:cs="Times New Roman"/>
          <w:sz w:val="24"/>
          <w:szCs w:val="24"/>
        </w:rPr>
        <w:t xml:space="preserve"> </w:t>
      </w:r>
      <w:r w:rsidR="00C0360D">
        <w:rPr>
          <w:rFonts w:ascii="Times New Roman" w:hAnsi="Times New Roman" w:cs="Times New Roman"/>
          <w:sz w:val="24"/>
          <w:szCs w:val="24"/>
        </w:rPr>
        <w:t>injuries,</w:t>
      </w:r>
      <w:r w:rsidR="00481D2A">
        <w:rPr>
          <w:rFonts w:ascii="Times New Roman" w:hAnsi="Times New Roman" w:cs="Times New Roman"/>
          <w:sz w:val="24"/>
          <w:szCs w:val="24"/>
        </w:rPr>
        <w:t xml:space="preserve"> and disclosures made </w:t>
      </w:r>
      <w:r w:rsidR="00327AB2">
        <w:rPr>
          <w:rFonts w:ascii="Times New Roman" w:hAnsi="Times New Roman" w:cs="Times New Roman"/>
          <w:sz w:val="24"/>
          <w:szCs w:val="24"/>
        </w:rPr>
        <w:t xml:space="preserve">by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C0360D">
        <w:rPr>
          <w:rFonts w:ascii="Times New Roman" w:hAnsi="Times New Roman" w:cs="Times New Roman"/>
          <w:sz w:val="24"/>
          <w:szCs w:val="24"/>
        </w:rPr>
        <w:t xml:space="preserve"> was created</w:t>
      </w:r>
      <w:r w:rsidR="00A46F1F">
        <w:rPr>
          <w:rFonts w:ascii="Times New Roman" w:hAnsi="Times New Roman" w:cs="Times New Roman"/>
          <w:sz w:val="24"/>
          <w:szCs w:val="24"/>
        </w:rPr>
        <w:t xml:space="preserve">. </w:t>
      </w:r>
      <w:r w:rsidR="001231A3">
        <w:rPr>
          <w:rFonts w:ascii="Times New Roman" w:hAnsi="Times New Roman" w:cs="Times New Roman"/>
          <w:sz w:val="24"/>
          <w:szCs w:val="24"/>
        </w:rPr>
        <w:t>There was n</w:t>
      </w:r>
      <w:r w:rsidR="00A46F1F">
        <w:rPr>
          <w:rFonts w:ascii="Times New Roman" w:hAnsi="Times New Roman" w:cs="Times New Roman"/>
          <w:sz w:val="24"/>
          <w:szCs w:val="24"/>
        </w:rPr>
        <w:t>o</w:t>
      </w:r>
      <w:r w:rsidR="00481D2A">
        <w:rPr>
          <w:rFonts w:ascii="Times New Roman" w:hAnsi="Times New Roman" w:cs="Times New Roman"/>
          <w:sz w:val="24"/>
          <w:szCs w:val="24"/>
        </w:rPr>
        <w:t xml:space="preserve"> history of falls </w:t>
      </w:r>
      <w:r w:rsidR="00A46F1F">
        <w:rPr>
          <w:rFonts w:ascii="Times New Roman" w:hAnsi="Times New Roman" w:cs="Times New Roman"/>
          <w:sz w:val="24"/>
          <w:szCs w:val="24"/>
        </w:rPr>
        <w:t xml:space="preserve">over </w:t>
      </w:r>
      <w:r w:rsidR="00BC25C8">
        <w:rPr>
          <w:rFonts w:ascii="Times New Roman" w:hAnsi="Times New Roman" w:cs="Times New Roman"/>
          <w:sz w:val="24"/>
          <w:szCs w:val="24"/>
        </w:rPr>
        <w:t xml:space="preserve">a </w:t>
      </w:r>
      <w:r w:rsidR="001231A3">
        <w:rPr>
          <w:rFonts w:ascii="Times New Roman" w:hAnsi="Times New Roman" w:cs="Times New Roman"/>
          <w:sz w:val="24"/>
          <w:szCs w:val="24"/>
        </w:rPr>
        <w:t>three-year</w:t>
      </w:r>
      <w:r w:rsidR="004A37E7">
        <w:rPr>
          <w:rFonts w:ascii="Times New Roman" w:hAnsi="Times New Roman" w:cs="Times New Roman"/>
          <w:sz w:val="24"/>
          <w:szCs w:val="24"/>
        </w:rPr>
        <w:t xml:space="preserve"> period while</w:t>
      </w:r>
      <w:r w:rsidR="00481D2A">
        <w:rPr>
          <w:rFonts w:ascii="Times New Roman" w:hAnsi="Times New Roman" w:cs="Times New Roman"/>
          <w:sz w:val="24"/>
          <w:szCs w:val="24"/>
        </w:rPr>
        <w:t xml:space="preserve"> attending</w:t>
      </w:r>
      <w:r w:rsidR="00865F66">
        <w:rPr>
          <w:rFonts w:ascii="Times New Roman" w:hAnsi="Times New Roman" w:cs="Times New Roman"/>
          <w:sz w:val="24"/>
          <w:szCs w:val="24"/>
        </w:rPr>
        <w:t xml:space="preserve"> the</w:t>
      </w:r>
      <w:r w:rsidR="00481D2A">
        <w:rPr>
          <w:rFonts w:ascii="Times New Roman" w:hAnsi="Times New Roman" w:cs="Times New Roman"/>
          <w:sz w:val="24"/>
          <w:szCs w:val="24"/>
        </w:rPr>
        <w:t xml:space="preserve"> Day P</w:t>
      </w:r>
      <w:r w:rsidR="00E62C62">
        <w:rPr>
          <w:rFonts w:ascii="Times New Roman" w:hAnsi="Times New Roman" w:cs="Times New Roman"/>
          <w:sz w:val="24"/>
          <w:szCs w:val="24"/>
        </w:rPr>
        <w:t>rogram</w:t>
      </w:r>
      <w:r w:rsidR="00956709">
        <w:rPr>
          <w:rFonts w:ascii="Times New Roman" w:hAnsi="Times New Roman" w:cs="Times New Roman"/>
          <w:sz w:val="24"/>
          <w:szCs w:val="24"/>
        </w:rPr>
        <w:t xml:space="preserve">.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A46F1F">
        <w:rPr>
          <w:rFonts w:ascii="Times New Roman" w:hAnsi="Times New Roman" w:cs="Times New Roman"/>
          <w:sz w:val="24"/>
          <w:szCs w:val="24"/>
        </w:rPr>
        <w:t xml:space="preserve"> follow</w:t>
      </w:r>
      <w:r w:rsidR="001231A3">
        <w:rPr>
          <w:rFonts w:ascii="Times New Roman" w:hAnsi="Times New Roman" w:cs="Times New Roman"/>
          <w:sz w:val="24"/>
          <w:szCs w:val="24"/>
        </w:rPr>
        <w:t xml:space="preserve">ed </w:t>
      </w:r>
      <w:r w:rsidR="00A46F1F">
        <w:rPr>
          <w:rFonts w:ascii="Times New Roman" w:hAnsi="Times New Roman" w:cs="Times New Roman"/>
          <w:sz w:val="24"/>
          <w:szCs w:val="24"/>
        </w:rPr>
        <w:t>direction and accept</w:t>
      </w:r>
      <w:r w:rsidR="001231A3">
        <w:rPr>
          <w:rFonts w:ascii="Times New Roman" w:hAnsi="Times New Roman" w:cs="Times New Roman"/>
          <w:sz w:val="24"/>
          <w:szCs w:val="24"/>
        </w:rPr>
        <w:t>ed</w:t>
      </w:r>
      <w:r w:rsidR="00A46F1F">
        <w:rPr>
          <w:rFonts w:ascii="Times New Roman" w:hAnsi="Times New Roman" w:cs="Times New Roman"/>
          <w:sz w:val="24"/>
          <w:szCs w:val="24"/>
        </w:rPr>
        <w:t xml:space="preserve"> assistance readily.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1231A3">
        <w:rPr>
          <w:rFonts w:ascii="Times New Roman" w:hAnsi="Times New Roman" w:cs="Times New Roman"/>
          <w:sz w:val="24"/>
          <w:szCs w:val="24"/>
        </w:rPr>
        <w:t xml:space="preserve"> f</w:t>
      </w:r>
      <w:r w:rsidR="00A46F1F">
        <w:rPr>
          <w:rFonts w:ascii="Times New Roman" w:hAnsi="Times New Roman" w:cs="Times New Roman"/>
          <w:sz w:val="24"/>
          <w:szCs w:val="24"/>
        </w:rPr>
        <w:t>requently present</w:t>
      </w:r>
      <w:r w:rsidR="001231A3">
        <w:rPr>
          <w:rFonts w:ascii="Times New Roman" w:hAnsi="Times New Roman" w:cs="Times New Roman"/>
          <w:sz w:val="24"/>
          <w:szCs w:val="24"/>
        </w:rPr>
        <w:t>ed</w:t>
      </w:r>
      <w:r w:rsidR="00A46F1F">
        <w:rPr>
          <w:rFonts w:ascii="Times New Roman" w:hAnsi="Times New Roman" w:cs="Times New Roman"/>
          <w:sz w:val="24"/>
          <w:szCs w:val="24"/>
        </w:rPr>
        <w:t xml:space="preserve"> </w:t>
      </w:r>
      <w:r w:rsidR="00BF18B3">
        <w:rPr>
          <w:rFonts w:ascii="Times New Roman" w:hAnsi="Times New Roman" w:cs="Times New Roman"/>
          <w:sz w:val="24"/>
          <w:szCs w:val="24"/>
        </w:rPr>
        <w:t xml:space="preserve">to the Day Program </w:t>
      </w:r>
      <w:r w:rsidR="00A46F1F">
        <w:rPr>
          <w:rFonts w:ascii="Times New Roman" w:hAnsi="Times New Roman" w:cs="Times New Roman"/>
          <w:sz w:val="24"/>
          <w:szCs w:val="24"/>
        </w:rPr>
        <w:t xml:space="preserve">in </w:t>
      </w:r>
      <w:r w:rsidR="00A46F1F">
        <w:rPr>
          <w:rFonts w:ascii="Times New Roman" w:hAnsi="Times New Roman" w:cs="Times New Roman"/>
          <w:sz w:val="24"/>
          <w:szCs w:val="24"/>
        </w:rPr>
        <w:lastRenderedPageBreak/>
        <w:t>soiled clothing with poor hygiene and grooming</w:t>
      </w:r>
      <w:r w:rsidR="00812EF5">
        <w:rPr>
          <w:rFonts w:ascii="Times New Roman" w:hAnsi="Times New Roman" w:cs="Times New Roman"/>
          <w:sz w:val="24"/>
          <w:szCs w:val="24"/>
        </w:rPr>
        <w:t>.</w:t>
      </w:r>
      <w:r w:rsidR="001231A3">
        <w:rPr>
          <w:rFonts w:ascii="Times New Roman" w:hAnsi="Times New Roman" w:cs="Times New Roman"/>
          <w:sz w:val="24"/>
          <w:szCs w:val="24"/>
        </w:rPr>
        <w:t xml:space="preserve"> </w:t>
      </w:r>
      <w:r w:rsidR="00812EF5">
        <w:rPr>
          <w:rFonts w:ascii="Times New Roman" w:hAnsi="Times New Roman" w:cs="Times New Roman"/>
          <w:sz w:val="24"/>
          <w:szCs w:val="24"/>
        </w:rPr>
        <w:t>O</w:t>
      </w:r>
      <w:r w:rsidR="001231A3">
        <w:rPr>
          <w:rFonts w:ascii="Times New Roman" w:hAnsi="Times New Roman" w:cs="Times New Roman"/>
          <w:sz w:val="24"/>
          <w:szCs w:val="24"/>
        </w:rPr>
        <w:t xml:space="preserve">n two occasions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812EF5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481D2A">
        <w:rPr>
          <w:rFonts w:ascii="Times New Roman" w:hAnsi="Times New Roman" w:cs="Times New Roman"/>
          <w:sz w:val="24"/>
          <w:szCs w:val="24"/>
        </w:rPr>
        <w:t>with untreated infections</w:t>
      </w:r>
      <w:r w:rsidR="004E7FAE">
        <w:rPr>
          <w:rFonts w:ascii="Times New Roman" w:hAnsi="Times New Roman" w:cs="Times New Roman"/>
          <w:sz w:val="24"/>
          <w:szCs w:val="24"/>
        </w:rPr>
        <w:t xml:space="preserve">, </w:t>
      </w:r>
      <w:r w:rsidR="00033E13">
        <w:rPr>
          <w:rFonts w:ascii="Times New Roman" w:hAnsi="Times New Roman" w:cs="Times New Roman"/>
          <w:sz w:val="24"/>
          <w:szCs w:val="24"/>
        </w:rPr>
        <w:t xml:space="preserve">and staff </w:t>
      </w:r>
      <w:r w:rsidR="00C0360D">
        <w:rPr>
          <w:rFonts w:ascii="Times New Roman" w:hAnsi="Times New Roman" w:cs="Times New Roman"/>
          <w:sz w:val="24"/>
          <w:szCs w:val="24"/>
        </w:rPr>
        <w:t xml:space="preserve">facilitated medical assessment when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 w:rsidR="00C0360D">
        <w:rPr>
          <w:rFonts w:ascii="Times New Roman" w:hAnsi="Times New Roman" w:cs="Times New Roman"/>
          <w:sz w:val="24"/>
          <w:szCs w:val="24"/>
        </w:rPr>
        <w:t>did not act o</w:t>
      </w:r>
      <w:r w:rsidR="00BC25C8">
        <w:rPr>
          <w:rFonts w:ascii="Times New Roman" w:hAnsi="Times New Roman" w:cs="Times New Roman"/>
          <w:sz w:val="24"/>
          <w:szCs w:val="24"/>
        </w:rPr>
        <w:t xml:space="preserve">n advice that she needed treatment. </w:t>
      </w:r>
      <w:r w:rsidR="001231A3">
        <w:rPr>
          <w:rFonts w:ascii="Times New Roman" w:hAnsi="Times New Roman" w:cs="Times New Roman"/>
          <w:sz w:val="24"/>
          <w:szCs w:val="24"/>
        </w:rPr>
        <w:t>There were d</w:t>
      </w:r>
      <w:r w:rsidR="00BC25C8">
        <w:rPr>
          <w:rFonts w:ascii="Times New Roman" w:hAnsi="Times New Roman" w:cs="Times New Roman"/>
          <w:sz w:val="24"/>
          <w:szCs w:val="24"/>
        </w:rPr>
        <w:t>ocumented incident</w:t>
      </w:r>
      <w:r w:rsidR="00956709">
        <w:rPr>
          <w:rFonts w:ascii="Times New Roman" w:hAnsi="Times New Roman" w:cs="Times New Roman"/>
          <w:sz w:val="24"/>
          <w:szCs w:val="24"/>
        </w:rPr>
        <w:t>s</w:t>
      </w:r>
      <w:r w:rsidR="00A46F1F">
        <w:rPr>
          <w:rFonts w:ascii="Times New Roman" w:hAnsi="Times New Roman" w:cs="Times New Roman"/>
          <w:sz w:val="24"/>
          <w:szCs w:val="24"/>
        </w:rPr>
        <w:t xml:space="preserve"> of verbal ab</w:t>
      </w:r>
      <w:r w:rsidR="00481D2A">
        <w:rPr>
          <w:rFonts w:ascii="Times New Roman" w:hAnsi="Times New Roman" w:cs="Times New Roman"/>
          <w:sz w:val="24"/>
          <w:szCs w:val="24"/>
        </w:rPr>
        <w:t>use and rough handling</w:t>
      </w:r>
      <w:r w:rsidR="00DC13AA">
        <w:rPr>
          <w:rFonts w:ascii="Times New Roman" w:hAnsi="Times New Roman" w:cs="Times New Roman"/>
          <w:sz w:val="24"/>
          <w:szCs w:val="24"/>
        </w:rPr>
        <w:t xml:space="preserve"> by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 xml:space="preserve">, </w:t>
      </w:r>
      <w:r w:rsidR="00DC13AA">
        <w:rPr>
          <w:rFonts w:ascii="Times New Roman" w:hAnsi="Times New Roman" w:cs="Times New Roman"/>
          <w:sz w:val="24"/>
          <w:szCs w:val="24"/>
        </w:rPr>
        <w:t>including</w:t>
      </w:r>
      <w:r w:rsidR="00BC25C8">
        <w:rPr>
          <w:rFonts w:ascii="Times New Roman" w:hAnsi="Times New Roman" w:cs="Times New Roman"/>
          <w:sz w:val="24"/>
          <w:szCs w:val="24"/>
        </w:rPr>
        <w:t xml:space="preserve"> </w:t>
      </w:r>
      <w:r w:rsidR="00DC13AA">
        <w:rPr>
          <w:rFonts w:ascii="Times New Roman" w:hAnsi="Times New Roman" w:cs="Times New Roman"/>
          <w:sz w:val="24"/>
          <w:szCs w:val="24"/>
        </w:rPr>
        <w:t>screaming</w:t>
      </w:r>
      <w:r w:rsidR="008777F5">
        <w:rPr>
          <w:rFonts w:ascii="Times New Roman" w:hAnsi="Times New Roman" w:cs="Times New Roman"/>
          <w:sz w:val="24"/>
          <w:szCs w:val="24"/>
        </w:rPr>
        <w:t xml:space="preserve"> and</w:t>
      </w:r>
      <w:r w:rsidR="00956709">
        <w:rPr>
          <w:rFonts w:ascii="Times New Roman" w:hAnsi="Times New Roman" w:cs="Times New Roman"/>
          <w:sz w:val="24"/>
          <w:szCs w:val="24"/>
        </w:rPr>
        <w:t xml:space="preserve"> pulling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956709">
        <w:rPr>
          <w:rFonts w:ascii="Times New Roman" w:hAnsi="Times New Roman" w:cs="Times New Roman"/>
          <w:sz w:val="24"/>
          <w:szCs w:val="24"/>
        </w:rPr>
        <w:t xml:space="preserve"> </w:t>
      </w:r>
      <w:r w:rsidR="00BC25C8">
        <w:rPr>
          <w:rFonts w:ascii="Times New Roman" w:hAnsi="Times New Roman" w:cs="Times New Roman"/>
          <w:sz w:val="24"/>
          <w:szCs w:val="24"/>
        </w:rPr>
        <w:t xml:space="preserve">to </w:t>
      </w:r>
      <w:r w:rsidR="00812EF5">
        <w:rPr>
          <w:rFonts w:ascii="Times New Roman" w:hAnsi="Times New Roman" w:cs="Times New Roman"/>
          <w:sz w:val="24"/>
          <w:szCs w:val="24"/>
        </w:rPr>
        <w:t xml:space="preserve">a </w:t>
      </w:r>
      <w:r w:rsidR="00BC25C8">
        <w:rPr>
          <w:rFonts w:ascii="Times New Roman" w:hAnsi="Times New Roman" w:cs="Times New Roman"/>
          <w:sz w:val="24"/>
          <w:szCs w:val="24"/>
        </w:rPr>
        <w:t xml:space="preserve">standing position by </w:t>
      </w:r>
      <w:r w:rsidR="00812EF5">
        <w:rPr>
          <w:rFonts w:ascii="Times New Roman" w:hAnsi="Times New Roman" w:cs="Times New Roman"/>
          <w:sz w:val="24"/>
          <w:szCs w:val="24"/>
        </w:rPr>
        <w:t xml:space="preserve">her </w:t>
      </w:r>
      <w:r w:rsidR="00BC25C8">
        <w:rPr>
          <w:rFonts w:ascii="Times New Roman" w:hAnsi="Times New Roman" w:cs="Times New Roman"/>
          <w:sz w:val="24"/>
          <w:szCs w:val="24"/>
        </w:rPr>
        <w:t>head</w:t>
      </w:r>
      <w:r w:rsidR="00A46F1F">
        <w:rPr>
          <w:rFonts w:ascii="Times New Roman" w:hAnsi="Times New Roman" w:cs="Times New Roman"/>
          <w:sz w:val="24"/>
          <w:szCs w:val="24"/>
        </w:rPr>
        <w:t xml:space="preserve"> and arms.</w:t>
      </w:r>
      <w:r w:rsidR="001231A3">
        <w:rPr>
          <w:rFonts w:ascii="Times New Roman" w:hAnsi="Times New Roman" w:cs="Times New Roman"/>
          <w:sz w:val="24"/>
          <w:szCs w:val="24"/>
        </w:rPr>
        <w:t xml:space="preserve"> There was a three-</w:t>
      </w:r>
      <w:r w:rsidR="00956709">
        <w:rPr>
          <w:rFonts w:ascii="Times New Roman" w:hAnsi="Times New Roman" w:cs="Times New Roman"/>
          <w:sz w:val="24"/>
          <w:szCs w:val="24"/>
        </w:rPr>
        <w:t xml:space="preserve">year history of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 w:rsidR="00DC13AA">
        <w:rPr>
          <w:rFonts w:ascii="Times New Roman" w:hAnsi="Times New Roman" w:cs="Times New Roman"/>
          <w:sz w:val="24"/>
          <w:szCs w:val="24"/>
        </w:rPr>
        <w:t xml:space="preserve">presenting with </w:t>
      </w:r>
      <w:r w:rsidR="008777F5">
        <w:rPr>
          <w:rFonts w:ascii="Times New Roman" w:hAnsi="Times New Roman" w:cs="Times New Roman"/>
          <w:sz w:val="24"/>
          <w:szCs w:val="24"/>
        </w:rPr>
        <w:t xml:space="preserve">multiple </w:t>
      </w:r>
      <w:r w:rsidR="00DC13AA">
        <w:rPr>
          <w:rFonts w:ascii="Times New Roman" w:hAnsi="Times New Roman" w:cs="Times New Roman"/>
          <w:sz w:val="24"/>
          <w:szCs w:val="24"/>
        </w:rPr>
        <w:t>scratches</w:t>
      </w:r>
      <w:r w:rsidR="00A9171F">
        <w:rPr>
          <w:rFonts w:ascii="Times New Roman" w:hAnsi="Times New Roman" w:cs="Times New Roman"/>
          <w:sz w:val="24"/>
          <w:szCs w:val="24"/>
        </w:rPr>
        <w:t xml:space="preserve"> reported by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A9171F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>as</w:t>
      </w:r>
      <w:r w:rsidR="00A9171F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>self-inflicted,</w:t>
      </w:r>
      <w:r w:rsidR="00C0360D">
        <w:rPr>
          <w:rFonts w:ascii="Times New Roman" w:hAnsi="Times New Roman" w:cs="Times New Roman"/>
          <w:sz w:val="24"/>
          <w:szCs w:val="24"/>
        </w:rPr>
        <w:t xml:space="preserve"> but </w:t>
      </w:r>
      <w:r w:rsidR="001231A3">
        <w:rPr>
          <w:rFonts w:ascii="Times New Roman" w:hAnsi="Times New Roman" w:cs="Times New Roman"/>
          <w:sz w:val="24"/>
          <w:szCs w:val="24"/>
        </w:rPr>
        <w:t xml:space="preserve">this </w:t>
      </w:r>
      <w:r w:rsidR="00C0360D">
        <w:rPr>
          <w:rFonts w:ascii="Times New Roman" w:hAnsi="Times New Roman" w:cs="Times New Roman"/>
          <w:sz w:val="24"/>
          <w:szCs w:val="24"/>
        </w:rPr>
        <w:t xml:space="preserve">behaviour </w:t>
      </w:r>
      <w:r w:rsidR="001231A3">
        <w:rPr>
          <w:rFonts w:ascii="Times New Roman" w:hAnsi="Times New Roman" w:cs="Times New Roman"/>
          <w:sz w:val="24"/>
          <w:szCs w:val="24"/>
        </w:rPr>
        <w:t xml:space="preserve">was </w:t>
      </w:r>
      <w:r w:rsidR="00C0360D">
        <w:rPr>
          <w:rFonts w:ascii="Times New Roman" w:hAnsi="Times New Roman" w:cs="Times New Roman"/>
          <w:sz w:val="24"/>
          <w:szCs w:val="24"/>
        </w:rPr>
        <w:t>not</w:t>
      </w:r>
      <w:r w:rsidR="00956709">
        <w:rPr>
          <w:rFonts w:ascii="Times New Roman" w:hAnsi="Times New Roman" w:cs="Times New Roman"/>
          <w:sz w:val="24"/>
          <w:szCs w:val="24"/>
        </w:rPr>
        <w:t xml:space="preserve"> observed by staff.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DC13AA">
        <w:rPr>
          <w:rFonts w:ascii="Times New Roman" w:hAnsi="Times New Roman" w:cs="Times New Roman"/>
          <w:sz w:val="24"/>
          <w:szCs w:val="24"/>
        </w:rPr>
        <w:t xml:space="preserve"> frequently present</w:t>
      </w:r>
      <w:r w:rsidR="001231A3">
        <w:rPr>
          <w:rFonts w:ascii="Times New Roman" w:hAnsi="Times New Roman" w:cs="Times New Roman"/>
          <w:sz w:val="24"/>
          <w:szCs w:val="24"/>
        </w:rPr>
        <w:t>ed</w:t>
      </w:r>
      <w:r w:rsidR="00DC13AA">
        <w:rPr>
          <w:rFonts w:ascii="Times New Roman" w:hAnsi="Times New Roman" w:cs="Times New Roman"/>
          <w:sz w:val="24"/>
          <w:szCs w:val="24"/>
        </w:rPr>
        <w:t xml:space="preserve"> with bruising to </w:t>
      </w:r>
      <w:r w:rsidR="00812EF5">
        <w:rPr>
          <w:rFonts w:ascii="Times New Roman" w:hAnsi="Times New Roman" w:cs="Times New Roman"/>
          <w:sz w:val="24"/>
          <w:szCs w:val="24"/>
        </w:rPr>
        <w:t xml:space="preserve">her </w:t>
      </w:r>
      <w:r w:rsidR="00DC13AA">
        <w:rPr>
          <w:rFonts w:ascii="Times New Roman" w:hAnsi="Times New Roman" w:cs="Times New Roman"/>
          <w:sz w:val="24"/>
          <w:szCs w:val="24"/>
        </w:rPr>
        <w:t xml:space="preserve">arms, hands, </w:t>
      </w:r>
      <w:r w:rsidR="00962A06">
        <w:rPr>
          <w:rFonts w:ascii="Times New Roman" w:hAnsi="Times New Roman" w:cs="Times New Roman"/>
          <w:sz w:val="24"/>
          <w:szCs w:val="24"/>
        </w:rPr>
        <w:t>face,</w:t>
      </w:r>
      <w:r w:rsidR="00DC13AA">
        <w:rPr>
          <w:rFonts w:ascii="Times New Roman" w:hAnsi="Times New Roman" w:cs="Times New Roman"/>
          <w:sz w:val="24"/>
          <w:szCs w:val="24"/>
        </w:rPr>
        <w:t xml:space="preserve"> and ears. </w:t>
      </w:r>
      <w:r w:rsidR="001762B9">
        <w:rPr>
          <w:rFonts w:ascii="Times New Roman" w:hAnsi="Times New Roman" w:cs="Times New Roman"/>
          <w:sz w:val="24"/>
          <w:szCs w:val="24"/>
        </w:rPr>
        <w:t>In a</w:t>
      </w:r>
      <w:r w:rsidR="00A9171F">
        <w:rPr>
          <w:rFonts w:ascii="Times New Roman" w:hAnsi="Times New Roman" w:cs="Times New Roman"/>
          <w:sz w:val="24"/>
          <w:szCs w:val="24"/>
        </w:rPr>
        <w:t xml:space="preserve"> recent </w:t>
      </w:r>
      <w:r w:rsidR="001762B9">
        <w:rPr>
          <w:rFonts w:ascii="Times New Roman" w:hAnsi="Times New Roman" w:cs="Times New Roman"/>
          <w:sz w:val="24"/>
          <w:szCs w:val="24"/>
        </w:rPr>
        <w:t xml:space="preserve">incident, </w:t>
      </w:r>
      <w:r w:rsidR="00A9171F">
        <w:rPr>
          <w:rFonts w:ascii="Times New Roman" w:hAnsi="Times New Roman" w:cs="Times New Roman"/>
          <w:sz w:val="24"/>
          <w:szCs w:val="24"/>
        </w:rPr>
        <w:t xml:space="preserve">bruising to </w:t>
      </w:r>
      <w:r w:rsidR="002B7489">
        <w:rPr>
          <w:rFonts w:ascii="Times New Roman" w:hAnsi="Times New Roman" w:cs="Times New Roman"/>
          <w:sz w:val="24"/>
          <w:szCs w:val="24"/>
        </w:rPr>
        <w:t xml:space="preserve">her </w:t>
      </w:r>
      <w:r w:rsidR="00A9171F">
        <w:rPr>
          <w:rFonts w:ascii="Times New Roman" w:hAnsi="Times New Roman" w:cs="Times New Roman"/>
          <w:sz w:val="24"/>
          <w:szCs w:val="24"/>
        </w:rPr>
        <w:t>eye</w:t>
      </w:r>
      <w:r w:rsidR="00DC13AA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 xml:space="preserve">was </w:t>
      </w:r>
      <w:r w:rsidR="00DC13AA">
        <w:rPr>
          <w:rFonts w:ascii="Times New Roman" w:hAnsi="Times New Roman" w:cs="Times New Roman"/>
          <w:sz w:val="24"/>
          <w:szCs w:val="24"/>
        </w:rPr>
        <w:t xml:space="preserve">covered </w:t>
      </w:r>
      <w:r w:rsidR="00C0360D">
        <w:rPr>
          <w:rFonts w:ascii="Times New Roman" w:hAnsi="Times New Roman" w:cs="Times New Roman"/>
          <w:sz w:val="24"/>
          <w:szCs w:val="24"/>
        </w:rPr>
        <w:t>in make-</w:t>
      </w:r>
      <w:r w:rsidR="00A9171F">
        <w:rPr>
          <w:rFonts w:ascii="Times New Roman" w:hAnsi="Times New Roman" w:cs="Times New Roman"/>
          <w:sz w:val="24"/>
          <w:szCs w:val="24"/>
        </w:rPr>
        <w:t>up</w:t>
      </w:r>
      <w:r w:rsidR="00DC13AA">
        <w:rPr>
          <w:rFonts w:ascii="Times New Roman" w:hAnsi="Times New Roman" w:cs="Times New Roman"/>
          <w:sz w:val="24"/>
          <w:szCs w:val="24"/>
        </w:rPr>
        <w:t xml:space="preserve"> and </w:t>
      </w:r>
      <w:r w:rsidR="001231A3">
        <w:rPr>
          <w:rFonts w:ascii="Times New Roman" w:hAnsi="Times New Roman" w:cs="Times New Roman"/>
          <w:sz w:val="24"/>
          <w:szCs w:val="24"/>
        </w:rPr>
        <w:t xml:space="preserve">there was </w:t>
      </w:r>
      <w:r w:rsidR="00DC13AA">
        <w:rPr>
          <w:rFonts w:ascii="Times New Roman" w:hAnsi="Times New Roman" w:cs="Times New Roman"/>
          <w:sz w:val="24"/>
          <w:szCs w:val="24"/>
        </w:rPr>
        <w:t>no disclosure</w:t>
      </w:r>
      <w:r w:rsidR="00481D2A">
        <w:rPr>
          <w:rFonts w:ascii="Times New Roman" w:hAnsi="Times New Roman" w:cs="Times New Roman"/>
          <w:sz w:val="24"/>
          <w:szCs w:val="24"/>
        </w:rPr>
        <w:t xml:space="preserve"> by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481D2A">
        <w:rPr>
          <w:rFonts w:ascii="Times New Roman" w:hAnsi="Times New Roman" w:cs="Times New Roman"/>
          <w:sz w:val="24"/>
          <w:szCs w:val="24"/>
        </w:rPr>
        <w:t>.</w:t>
      </w:r>
      <w:r w:rsidR="00B23C32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>There were also m</w:t>
      </w:r>
      <w:r w:rsidR="00DC13AA">
        <w:rPr>
          <w:rFonts w:ascii="Times New Roman" w:hAnsi="Times New Roman" w:cs="Times New Roman"/>
          <w:sz w:val="24"/>
          <w:szCs w:val="24"/>
        </w:rPr>
        <w:t>ultiple incidents docum</w:t>
      </w:r>
      <w:r w:rsidR="00C0360D">
        <w:rPr>
          <w:rFonts w:ascii="Times New Roman" w:hAnsi="Times New Roman" w:cs="Times New Roman"/>
          <w:sz w:val="24"/>
          <w:szCs w:val="24"/>
        </w:rPr>
        <w:t>ented where</w:t>
      </w:r>
      <w:r w:rsidR="00B23C32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 xml:space="preserve">the </w:t>
      </w:r>
      <w:r w:rsidR="00B23C32">
        <w:rPr>
          <w:rFonts w:ascii="Times New Roman" w:hAnsi="Times New Roman" w:cs="Times New Roman"/>
          <w:sz w:val="24"/>
          <w:szCs w:val="24"/>
        </w:rPr>
        <w:t>cause of injury</w:t>
      </w:r>
      <w:r w:rsidR="00DC13AA">
        <w:rPr>
          <w:rFonts w:ascii="Times New Roman" w:hAnsi="Times New Roman" w:cs="Times New Roman"/>
          <w:sz w:val="24"/>
          <w:szCs w:val="24"/>
        </w:rPr>
        <w:t xml:space="preserve"> </w:t>
      </w:r>
      <w:r w:rsidR="00B23C32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12EF5">
        <w:rPr>
          <w:rFonts w:ascii="Times New Roman" w:hAnsi="Times New Roman" w:cs="Times New Roman"/>
          <w:sz w:val="24"/>
          <w:szCs w:val="24"/>
        </w:rPr>
        <w:t xml:space="preserve"> </w:t>
      </w:r>
      <w:r w:rsidR="00BC25C8">
        <w:rPr>
          <w:rFonts w:ascii="Times New Roman" w:hAnsi="Times New Roman" w:cs="Times New Roman"/>
          <w:sz w:val="24"/>
          <w:szCs w:val="24"/>
        </w:rPr>
        <w:t>was questionable</w:t>
      </w:r>
      <w:r w:rsidR="00DC1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112C2" w14:textId="0967AB77" w:rsidR="001F40D1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E03">
        <w:rPr>
          <w:rFonts w:ascii="Times New Roman" w:hAnsi="Times New Roman" w:cs="Times New Roman"/>
          <w:sz w:val="24"/>
          <w:szCs w:val="24"/>
        </w:rPr>
        <w:t xml:space="preserve">In response to the investigation of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B27E03">
        <w:rPr>
          <w:rFonts w:ascii="Times New Roman" w:hAnsi="Times New Roman" w:cs="Times New Roman"/>
          <w:sz w:val="24"/>
          <w:szCs w:val="24"/>
        </w:rPr>
        <w:t xml:space="preserve"> disclosure of abuse,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C25C8">
        <w:rPr>
          <w:rFonts w:ascii="Times New Roman" w:hAnsi="Times New Roman" w:cs="Times New Roman"/>
          <w:sz w:val="24"/>
          <w:szCs w:val="24"/>
        </w:rPr>
        <w:t xml:space="preserve"> was </w:t>
      </w:r>
      <w:r w:rsidR="00B27E03">
        <w:rPr>
          <w:rFonts w:ascii="Times New Roman" w:hAnsi="Times New Roman" w:cs="Times New Roman"/>
          <w:sz w:val="24"/>
          <w:szCs w:val="24"/>
        </w:rPr>
        <w:t xml:space="preserve">taken </w:t>
      </w:r>
      <w:r w:rsidR="00BC25C8">
        <w:rPr>
          <w:rFonts w:ascii="Times New Roman" w:hAnsi="Times New Roman" w:cs="Times New Roman"/>
          <w:sz w:val="24"/>
          <w:szCs w:val="24"/>
        </w:rPr>
        <w:t>to</w:t>
      </w:r>
      <w:r w:rsidR="00B12238">
        <w:rPr>
          <w:rFonts w:ascii="Times New Roman" w:hAnsi="Times New Roman" w:cs="Times New Roman"/>
          <w:sz w:val="24"/>
          <w:szCs w:val="24"/>
        </w:rPr>
        <w:t xml:space="preserve"> the</w:t>
      </w:r>
      <w:r w:rsidR="00BC25C8">
        <w:rPr>
          <w:rFonts w:ascii="Times New Roman" w:hAnsi="Times New Roman" w:cs="Times New Roman"/>
          <w:sz w:val="24"/>
          <w:szCs w:val="24"/>
        </w:rPr>
        <w:t xml:space="preserve"> </w:t>
      </w:r>
      <w:r w:rsidR="005D7FA2">
        <w:rPr>
          <w:rFonts w:ascii="Times New Roman" w:hAnsi="Times New Roman" w:cs="Times New Roman"/>
          <w:sz w:val="24"/>
          <w:szCs w:val="24"/>
        </w:rPr>
        <w:t>E</w:t>
      </w:r>
      <w:r w:rsidR="00FD1905">
        <w:rPr>
          <w:rFonts w:ascii="Times New Roman" w:hAnsi="Times New Roman" w:cs="Times New Roman"/>
          <w:sz w:val="24"/>
          <w:szCs w:val="24"/>
        </w:rPr>
        <w:t>D</w:t>
      </w:r>
      <w:r w:rsidR="00B23C32">
        <w:rPr>
          <w:rFonts w:ascii="Times New Roman" w:hAnsi="Times New Roman" w:cs="Times New Roman"/>
          <w:sz w:val="24"/>
          <w:szCs w:val="24"/>
        </w:rPr>
        <w:t xml:space="preserve"> for</w:t>
      </w:r>
      <w:r w:rsidR="00BC25C8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956709">
        <w:rPr>
          <w:rFonts w:ascii="Times New Roman" w:hAnsi="Times New Roman" w:cs="Times New Roman"/>
          <w:sz w:val="24"/>
          <w:szCs w:val="24"/>
        </w:rPr>
        <w:t>,</w:t>
      </w:r>
      <w:r w:rsidR="0081137D">
        <w:rPr>
          <w:rFonts w:ascii="Times New Roman" w:hAnsi="Times New Roman" w:cs="Times New Roman"/>
          <w:sz w:val="24"/>
          <w:szCs w:val="24"/>
        </w:rPr>
        <w:t xml:space="preserve"> </w:t>
      </w:r>
      <w:r w:rsidR="00BC25C8">
        <w:rPr>
          <w:rFonts w:ascii="Times New Roman" w:hAnsi="Times New Roman" w:cs="Times New Roman"/>
          <w:sz w:val="24"/>
          <w:szCs w:val="24"/>
        </w:rPr>
        <w:t>do</w:t>
      </w:r>
      <w:r w:rsidR="0081137D">
        <w:rPr>
          <w:rFonts w:ascii="Times New Roman" w:hAnsi="Times New Roman" w:cs="Times New Roman"/>
          <w:sz w:val="24"/>
          <w:szCs w:val="24"/>
        </w:rPr>
        <w:t>cumentation of injuries</w:t>
      </w:r>
      <w:r w:rsidR="00B27E03">
        <w:rPr>
          <w:rFonts w:ascii="Times New Roman" w:hAnsi="Times New Roman" w:cs="Times New Roman"/>
          <w:sz w:val="24"/>
          <w:szCs w:val="24"/>
        </w:rPr>
        <w:t xml:space="preserve">, </w:t>
      </w:r>
      <w:r w:rsidR="00956709">
        <w:rPr>
          <w:rFonts w:ascii="Times New Roman" w:hAnsi="Times New Roman" w:cs="Times New Roman"/>
          <w:sz w:val="24"/>
          <w:szCs w:val="24"/>
        </w:rPr>
        <w:t>and forensic photograph</w:t>
      </w:r>
      <w:r w:rsidR="00B27E03">
        <w:rPr>
          <w:rFonts w:ascii="Times New Roman" w:hAnsi="Times New Roman" w:cs="Times New Roman"/>
          <w:sz w:val="24"/>
          <w:szCs w:val="24"/>
        </w:rPr>
        <w:t xml:space="preserve">y;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B27E03">
        <w:rPr>
          <w:rFonts w:ascii="Times New Roman" w:hAnsi="Times New Roman" w:cs="Times New Roman"/>
          <w:sz w:val="24"/>
          <w:szCs w:val="24"/>
        </w:rPr>
        <w:t xml:space="preserve"> provided consent.</w:t>
      </w:r>
      <w:r w:rsidR="0081137D">
        <w:rPr>
          <w:rFonts w:ascii="Times New Roman" w:hAnsi="Times New Roman" w:cs="Times New Roman"/>
          <w:sz w:val="24"/>
          <w:szCs w:val="24"/>
        </w:rPr>
        <w:t xml:space="preserve"> </w:t>
      </w:r>
      <w:r w:rsidR="00B27E03">
        <w:rPr>
          <w:rFonts w:ascii="Times New Roman" w:hAnsi="Times New Roman" w:cs="Times New Roman"/>
          <w:sz w:val="24"/>
          <w:szCs w:val="24"/>
        </w:rPr>
        <w:t>E</w:t>
      </w:r>
      <w:r w:rsidR="00B23C32">
        <w:rPr>
          <w:rFonts w:ascii="Times New Roman" w:hAnsi="Times New Roman" w:cs="Times New Roman"/>
          <w:sz w:val="24"/>
          <w:szCs w:val="24"/>
        </w:rPr>
        <w:t>xamination revealed bruising to palms of hands,</w:t>
      </w:r>
      <w:r w:rsidR="00956709">
        <w:rPr>
          <w:rFonts w:ascii="Times New Roman" w:hAnsi="Times New Roman" w:cs="Times New Roman"/>
          <w:sz w:val="24"/>
          <w:szCs w:val="24"/>
        </w:rPr>
        <w:t xml:space="preserve"> swelling</w:t>
      </w:r>
      <w:r w:rsidR="00B23C32">
        <w:rPr>
          <w:rFonts w:ascii="Times New Roman" w:hAnsi="Times New Roman" w:cs="Times New Roman"/>
          <w:sz w:val="24"/>
          <w:szCs w:val="24"/>
        </w:rPr>
        <w:t xml:space="preserve"> to hands with</w:t>
      </w:r>
      <w:r w:rsidR="00956709">
        <w:rPr>
          <w:rFonts w:ascii="Times New Roman" w:hAnsi="Times New Roman" w:cs="Times New Roman"/>
          <w:sz w:val="24"/>
          <w:szCs w:val="24"/>
        </w:rPr>
        <w:t xml:space="preserve"> multiple </w:t>
      </w:r>
      <w:r w:rsidR="00B23C32">
        <w:rPr>
          <w:rFonts w:ascii="Times New Roman" w:hAnsi="Times New Roman" w:cs="Times New Roman"/>
          <w:sz w:val="24"/>
          <w:szCs w:val="24"/>
        </w:rPr>
        <w:t xml:space="preserve">deep cuts and </w:t>
      </w:r>
      <w:r w:rsidR="00956709">
        <w:rPr>
          <w:rFonts w:ascii="Times New Roman" w:hAnsi="Times New Roman" w:cs="Times New Roman"/>
          <w:sz w:val="24"/>
          <w:szCs w:val="24"/>
        </w:rPr>
        <w:t>scratches</w:t>
      </w:r>
      <w:r w:rsidR="001231A3">
        <w:rPr>
          <w:rFonts w:ascii="Times New Roman" w:hAnsi="Times New Roman" w:cs="Times New Roman"/>
          <w:sz w:val="24"/>
          <w:szCs w:val="24"/>
        </w:rPr>
        <w:t>, and there was g</w:t>
      </w:r>
      <w:r w:rsidR="00956709">
        <w:rPr>
          <w:rFonts w:ascii="Times New Roman" w:hAnsi="Times New Roman" w:cs="Times New Roman"/>
          <w:sz w:val="24"/>
          <w:szCs w:val="24"/>
        </w:rPr>
        <w:t xml:space="preserve">rimacing observed when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27E03">
        <w:rPr>
          <w:rFonts w:ascii="Times New Roman" w:hAnsi="Times New Roman" w:cs="Times New Roman"/>
          <w:sz w:val="24"/>
          <w:szCs w:val="24"/>
        </w:rPr>
        <w:t xml:space="preserve"> </w:t>
      </w:r>
      <w:r w:rsidR="00956709">
        <w:rPr>
          <w:rFonts w:ascii="Times New Roman" w:hAnsi="Times New Roman" w:cs="Times New Roman"/>
          <w:sz w:val="24"/>
          <w:szCs w:val="24"/>
        </w:rPr>
        <w:t>us</w:t>
      </w:r>
      <w:r w:rsidR="00B27E03">
        <w:rPr>
          <w:rFonts w:ascii="Times New Roman" w:hAnsi="Times New Roman" w:cs="Times New Roman"/>
          <w:sz w:val="24"/>
          <w:szCs w:val="24"/>
        </w:rPr>
        <w:t>ed</w:t>
      </w:r>
      <w:r w:rsidR="00956709">
        <w:rPr>
          <w:rFonts w:ascii="Times New Roman" w:hAnsi="Times New Roman" w:cs="Times New Roman"/>
          <w:sz w:val="24"/>
          <w:szCs w:val="24"/>
        </w:rPr>
        <w:t xml:space="preserve"> her hands.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1231A3">
        <w:rPr>
          <w:rFonts w:ascii="Times New Roman" w:hAnsi="Times New Roman" w:cs="Times New Roman"/>
          <w:sz w:val="24"/>
          <w:szCs w:val="24"/>
        </w:rPr>
        <w:t xml:space="preserve"> </w:t>
      </w:r>
      <w:r w:rsidR="008777F5">
        <w:rPr>
          <w:rFonts w:ascii="Times New Roman" w:hAnsi="Times New Roman" w:cs="Times New Roman"/>
          <w:sz w:val="24"/>
          <w:szCs w:val="24"/>
        </w:rPr>
        <w:t>ears</w:t>
      </w:r>
      <w:r w:rsidR="00956709">
        <w:rPr>
          <w:rFonts w:ascii="Times New Roman" w:hAnsi="Times New Roman" w:cs="Times New Roman"/>
          <w:sz w:val="24"/>
          <w:szCs w:val="24"/>
        </w:rPr>
        <w:t xml:space="preserve"> </w:t>
      </w:r>
      <w:r w:rsidR="001231A3">
        <w:rPr>
          <w:rFonts w:ascii="Times New Roman" w:hAnsi="Times New Roman" w:cs="Times New Roman"/>
          <w:sz w:val="24"/>
          <w:szCs w:val="24"/>
        </w:rPr>
        <w:t>w</w:t>
      </w:r>
      <w:r w:rsidR="008777F5">
        <w:rPr>
          <w:rFonts w:ascii="Times New Roman" w:hAnsi="Times New Roman" w:cs="Times New Roman"/>
          <w:sz w:val="24"/>
          <w:szCs w:val="24"/>
        </w:rPr>
        <w:t>ere</w:t>
      </w:r>
      <w:r w:rsidR="001231A3">
        <w:rPr>
          <w:rFonts w:ascii="Times New Roman" w:hAnsi="Times New Roman" w:cs="Times New Roman"/>
          <w:sz w:val="24"/>
          <w:szCs w:val="24"/>
        </w:rPr>
        <w:t xml:space="preserve"> </w:t>
      </w:r>
      <w:r w:rsidR="00956709">
        <w:rPr>
          <w:rFonts w:ascii="Times New Roman" w:hAnsi="Times New Roman" w:cs="Times New Roman"/>
          <w:sz w:val="24"/>
          <w:szCs w:val="24"/>
        </w:rPr>
        <w:t>covered in superficial scratches</w:t>
      </w:r>
      <w:r w:rsidR="001231A3">
        <w:rPr>
          <w:rFonts w:ascii="Times New Roman" w:hAnsi="Times New Roman" w:cs="Times New Roman"/>
          <w:sz w:val="24"/>
          <w:szCs w:val="24"/>
        </w:rPr>
        <w:t>, and there was b</w:t>
      </w:r>
      <w:r w:rsidR="0081137D">
        <w:rPr>
          <w:rFonts w:ascii="Times New Roman" w:hAnsi="Times New Roman" w:cs="Times New Roman"/>
          <w:sz w:val="24"/>
          <w:szCs w:val="24"/>
        </w:rPr>
        <w:t xml:space="preserve">ruising to </w:t>
      </w:r>
      <w:r w:rsidR="00B27E03">
        <w:rPr>
          <w:rFonts w:ascii="Times New Roman" w:hAnsi="Times New Roman" w:cs="Times New Roman"/>
          <w:sz w:val="24"/>
          <w:szCs w:val="24"/>
        </w:rPr>
        <w:t xml:space="preserve">her </w:t>
      </w:r>
      <w:r w:rsidR="0081137D">
        <w:rPr>
          <w:rFonts w:ascii="Times New Roman" w:hAnsi="Times New Roman" w:cs="Times New Roman"/>
          <w:sz w:val="24"/>
          <w:szCs w:val="24"/>
        </w:rPr>
        <w:t xml:space="preserve">back, </w:t>
      </w:r>
      <w:r w:rsidR="00962A06">
        <w:rPr>
          <w:rFonts w:ascii="Times New Roman" w:hAnsi="Times New Roman" w:cs="Times New Roman"/>
          <w:sz w:val="24"/>
          <w:szCs w:val="24"/>
        </w:rPr>
        <w:t>chest,</w:t>
      </w:r>
      <w:r w:rsidR="0081137D">
        <w:rPr>
          <w:rFonts w:ascii="Times New Roman" w:hAnsi="Times New Roman" w:cs="Times New Roman"/>
          <w:sz w:val="24"/>
          <w:szCs w:val="24"/>
        </w:rPr>
        <w:t xml:space="preserve"> an</w:t>
      </w:r>
      <w:r w:rsidR="00B23C32">
        <w:rPr>
          <w:rFonts w:ascii="Times New Roman" w:hAnsi="Times New Roman" w:cs="Times New Roman"/>
          <w:sz w:val="24"/>
          <w:szCs w:val="24"/>
        </w:rPr>
        <w:t xml:space="preserve">d </w:t>
      </w:r>
      <w:r w:rsidR="0081137D">
        <w:rPr>
          <w:rFonts w:ascii="Times New Roman" w:hAnsi="Times New Roman" w:cs="Times New Roman"/>
          <w:sz w:val="24"/>
          <w:szCs w:val="24"/>
        </w:rPr>
        <w:t xml:space="preserve">arms. </w:t>
      </w:r>
      <w:r w:rsidR="001231A3">
        <w:rPr>
          <w:rFonts w:ascii="Times New Roman" w:hAnsi="Times New Roman" w:cs="Times New Roman"/>
          <w:sz w:val="24"/>
          <w:szCs w:val="24"/>
        </w:rPr>
        <w:t>The f</w:t>
      </w:r>
      <w:r w:rsidR="00EE5123">
        <w:rPr>
          <w:rFonts w:ascii="Times New Roman" w:hAnsi="Times New Roman" w:cs="Times New Roman"/>
          <w:sz w:val="24"/>
          <w:szCs w:val="24"/>
        </w:rPr>
        <w:t xml:space="preserve">orensic nurse met </w:t>
      </w:r>
      <w:r w:rsidR="00B27E03">
        <w:rPr>
          <w:rFonts w:ascii="Times New Roman" w:hAnsi="Times New Roman" w:cs="Times New Roman"/>
          <w:sz w:val="24"/>
          <w:szCs w:val="24"/>
        </w:rPr>
        <w:t>individually with</w:t>
      </w:r>
      <w:r w:rsidR="00EE5123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EE5123">
        <w:rPr>
          <w:rFonts w:ascii="Times New Roman" w:hAnsi="Times New Roman" w:cs="Times New Roman"/>
          <w:sz w:val="24"/>
          <w:szCs w:val="24"/>
        </w:rPr>
        <w:t xml:space="preserve"> a</w:t>
      </w:r>
      <w:r w:rsidR="005D7FA2">
        <w:rPr>
          <w:rFonts w:ascii="Times New Roman" w:hAnsi="Times New Roman" w:cs="Times New Roman"/>
          <w:sz w:val="24"/>
          <w:szCs w:val="24"/>
        </w:rPr>
        <w:t>nd used a</w:t>
      </w:r>
      <w:r w:rsidR="00EE5123">
        <w:rPr>
          <w:rFonts w:ascii="Times New Roman" w:hAnsi="Times New Roman" w:cs="Times New Roman"/>
          <w:sz w:val="24"/>
          <w:szCs w:val="24"/>
        </w:rPr>
        <w:t xml:space="preserve"> direct but supportive, non-judgemental approach to engage disclosure related to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EB4EF8">
        <w:rPr>
          <w:rFonts w:ascii="Times New Roman" w:hAnsi="Times New Roman" w:cs="Times New Roman"/>
          <w:sz w:val="24"/>
          <w:szCs w:val="24"/>
        </w:rPr>
        <w:t xml:space="preserve"> </w:t>
      </w:r>
      <w:r w:rsidR="00EE5123">
        <w:rPr>
          <w:rFonts w:ascii="Times New Roman" w:hAnsi="Times New Roman" w:cs="Times New Roman"/>
          <w:sz w:val="24"/>
          <w:szCs w:val="24"/>
        </w:rPr>
        <w:t xml:space="preserve">injuries.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1231A3">
        <w:rPr>
          <w:rFonts w:ascii="Times New Roman" w:hAnsi="Times New Roman" w:cs="Times New Roman"/>
          <w:sz w:val="24"/>
          <w:szCs w:val="24"/>
        </w:rPr>
        <w:t xml:space="preserve"> disclosed </w:t>
      </w:r>
      <w:r w:rsidR="00EE5123">
        <w:rPr>
          <w:rFonts w:ascii="Times New Roman" w:hAnsi="Times New Roman" w:cs="Times New Roman"/>
          <w:sz w:val="24"/>
          <w:szCs w:val="24"/>
        </w:rPr>
        <w:t xml:space="preserve">rough handling of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635E45">
        <w:rPr>
          <w:rFonts w:ascii="Times New Roman" w:hAnsi="Times New Roman" w:cs="Times New Roman"/>
          <w:sz w:val="24"/>
          <w:szCs w:val="24"/>
        </w:rPr>
        <w:t xml:space="preserve"> in response to her </w:t>
      </w:r>
      <w:r w:rsidR="00A46F2C">
        <w:rPr>
          <w:rFonts w:ascii="Times New Roman" w:hAnsi="Times New Roman" w:cs="Times New Roman"/>
          <w:sz w:val="24"/>
          <w:szCs w:val="24"/>
        </w:rPr>
        <w:t>“</w:t>
      </w:r>
      <w:r w:rsidR="000745D7">
        <w:rPr>
          <w:rFonts w:ascii="Times New Roman" w:hAnsi="Times New Roman" w:cs="Times New Roman"/>
          <w:sz w:val="24"/>
          <w:szCs w:val="24"/>
        </w:rPr>
        <w:t>resistance to</w:t>
      </w:r>
      <w:r w:rsidR="00EE5123">
        <w:rPr>
          <w:rFonts w:ascii="Times New Roman" w:hAnsi="Times New Roman" w:cs="Times New Roman"/>
          <w:sz w:val="24"/>
          <w:szCs w:val="24"/>
        </w:rPr>
        <w:t xml:space="preserve"> care</w:t>
      </w:r>
      <w:r w:rsidR="00A46F2C">
        <w:rPr>
          <w:rFonts w:ascii="Times New Roman" w:hAnsi="Times New Roman" w:cs="Times New Roman"/>
          <w:sz w:val="24"/>
          <w:szCs w:val="24"/>
        </w:rPr>
        <w:t>”</w:t>
      </w:r>
      <w:r w:rsidR="00635E45">
        <w:rPr>
          <w:rFonts w:ascii="Times New Roman" w:hAnsi="Times New Roman" w:cs="Times New Roman"/>
          <w:sz w:val="24"/>
          <w:szCs w:val="24"/>
        </w:rPr>
        <w:t>, a</w:t>
      </w:r>
      <w:r w:rsidR="00EE5123">
        <w:rPr>
          <w:rFonts w:ascii="Times New Roman" w:hAnsi="Times New Roman" w:cs="Times New Roman"/>
          <w:sz w:val="24"/>
          <w:szCs w:val="24"/>
        </w:rPr>
        <w:t xml:space="preserve">nd </w:t>
      </w:r>
      <w:r w:rsidR="00635E45">
        <w:rPr>
          <w:rFonts w:ascii="Times New Roman" w:hAnsi="Times New Roman" w:cs="Times New Roman"/>
          <w:sz w:val="24"/>
          <w:szCs w:val="24"/>
        </w:rPr>
        <w:t xml:space="preserve">attributed injuries to her hands to </w:t>
      </w:r>
      <w:r w:rsidR="00EE5123">
        <w:rPr>
          <w:rFonts w:ascii="Times New Roman" w:hAnsi="Times New Roman" w:cs="Times New Roman"/>
          <w:sz w:val="24"/>
          <w:szCs w:val="24"/>
        </w:rPr>
        <w:t>unsafe behaviours</w:t>
      </w:r>
      <w:r w:rsidR="00635E45">
        <w:rPr>
          <w:rFonts w:ascii="Times New Roman" w:hAnsi="Times New Roman" w:cs="Times New Roman"/>
          <w:sz w:val="24"/>
          <w:szCs w:val="24"/>
        </w:rPr>
        <w:t xml:space="preserve"> such as using sharp knives unsupervised, or sustaining falls.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635E45">
        <w:rPr>
          <w:rFonts w:ascii="Times New Roman" w:hAnsi="Times New Roman" w:cs="Times New Roman"/>
          <w:sz w:val="24"/>
          <w:szCs w:val="24"/>
        </w:rPr>
        <w:t xml:space="preserve"> </w:t>
      </w:r>
      <w:r w:rsidR="005D7FA2">
        <w:rPr>
          <w:rFonts w:ascii="Times New Roman" w:hAnsi="Times New Roman" w:cs="Times New Roman"/>
          <w:sz w:val="24"/>
          <w:szCs w:val="24"/>
        </w:rPr>
        <w:t xml:space="preserve">was highly anxious and </w:t>
      </w:r>
      <w:r w:rsidR="00956709">
        <w:rPr>
          <w:rFonts w:ascii="Times New Roman" w:hAnsi="Times New Roman" w:cs="Times New Roman"/>
          <w:sz w:val="24"/>
          <w:szCs w:val="24"/>
        </w:rPr>
        <w:t>admitted to caregiver strain</w:t>
      </w:r>
      <w:r w:rsidR="000745D7">
        <w:rPr>
          <w:rFonts w:ascii="Times New Roman" w:hAnsi="Times New Roman" w:cs="Times New Roman"/>
          <w:sz w:val="24"/>
          <w:szCs w:val="24"/>
        </w:rPr>
        <w:t xml:space="preserve"> but denied any substance abuse issues.</w:t>
      </w:r>
      <w:r w:rsidR="00EE5123">
        <w:rPr>
          <w:rFonts w:ascii="Times New Roman" w:hAnsi="Times New Roman" w:cs="Times New Roman"/>
          <w:sz w:val="24"/>
          <w:szCs w:val="24"/>
        </w:rPr>
        <w:t xml:space="preserve"> Consents </w:t>
      </w:r>
      <w:r w:rsidR="00C444C3">
        <w:rPr>
          <w:rFonts w:ascii="Times New Roman" w:hAnsi="Times New Roman" w:cs="Times New Roman"/>
          <w:sz w:val="24"/>
          <w:szCs w:val="24"/>
        </w:rPr>
        <w:t xml:space="preserve">were </w:t>
      </w:r>
      <w:r w:rsidR="00EE5123">
        <w:rPr>
          <w:rFonts w:ascii="Times New Roman" w:hAnsi="Times New Roman" w:cs="Times New Roman"/>
          <w:sz w:val="24"/>
          <w:szCs w:val="24"/>
        </w:rPr>
        <w:t xml:space="preserve">signed to share information between </w:t>
      </w:r>
      <w:r w:rsidR="00693DEA">
        <w:rPr>
          <w:rFonts w:ascii="Times New Roman" w:hAnsi="Times New Roman" w:cs="Times New Roman"/>
          <w:sz w:val="24"/>
          <w:szCs w:val="24"/>
        </w:rPr>
        <w:t xml:space="preserve">services and </w:t>
      </w:r>
      <w:r w:rsidR="00810A95">
        <w:rPr>
          <w:rFonts w:ascii="Times New Roman" w:hAnsi="Times New Roman" w:cs="Times New Roman"/>
          <w:sz w:val="24"/>
          <w:szCs w:val="24"/>
        </w:rPr>
        <w:t>health</w:t>
      </w:r>
      <w:r w:rsidR="00BF18B3">
        <w:rPr>
          <w:rFonts w:ascii="Times New Roman" w:hAnsi="Times New Roman" w:cs="Times New Roman"/>
          <w:sz w:val="24"/>
          <w:szCs w:val="24"/>
        </w:rPr>
        <w:t xml:space="preserve"> </w:t>
      </w:r>
      <w:r w:rsidR="00810A95">
        <w:rPr>
          <w:rFonts w:ascii="Times New Roman" w:hAnsi="Times New Roman" w:cs="Times New Roman"/>
          <w:sz w:val="24"/>
          <w:szCs w:val="24"/>
        </w:rPr>
        <w:t>care providers</w:t>
      </w:r>
      <w:r w:rsidR="00EE5123">
        <w:rPr>
          <w:rFonts w:ascii="Times New Roman" w:hAnsi="Times New Roman" w:cs="Times New Roman"/>
          <w:sz w:val="24"/>
          <w:szCs w:val="24"/>
        </w:rPr>
        <w:t>.</w:t>
      </w:r>
      <w:r w:rsidR="000745D7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C444C3">
        <w:rPr>
          <w:rFonts w:ascii="Times New Roman" w:hAnsi="Times New Roman" w:cs="Times New Roman"/>
          <w:sz w:val="24"/>
          <w:szCs w:val="24"/>
        </w:rPr>
        <w:t xml:space="preserve"> </w:t>
      </w:r>
      <w:r w:rsidR="00B23C32">
        <w:rPr>
          <w:rFonts w:ascii="Times New Roman" w:hAnsi="Times New Roman" w:cs="Times New Roman"/>
          <w:sz w:val="24"/>
          <w:szCs w:val="24"/>
        </w:rPr>
        <w:t xml:space="preserve">was agreeable to a </w:t>
      </w:r>
      <w:r w:rsidR="000745D7">
        <w:rPr>
          <w:rFonts w:ascii="Times New Roman" w:hAnsi="Times New Roman" w:cs="Times New Roman"/>
          <w:sz w:val="24"/>
          <w:szCs w:val="24"/>
        </w:rPr>
        <w:t>res</w:t>
      </w:r>
      <w:r w:rsidR="005D7FA2">
        <w:rPr>
          <w:rFonts w:ascii="Times New Roman" w:hAnsi="Times New Roman" w:cs="Times New Roman"/>
          <w:sz w:val="24"/>
          <w:szCs w:val="24"/>
        </w:rPr>
        <w:t>pite</w:t>
      </w:r>
      <w:r w:rsidR="00B23C32">
        <w:rPr>
          <w:rFonts w:ascii="Times New Roman" w:hAnsi="Times New Roman" w:cs="Times New Roman"/>
          <w:sz w:val="24"/>
          <w:szCs w:val="24"/>
        </w:rPr>
        <w:t xml:space="preserve"> stay</w:t>
      </w:r>
      <w:r w:rsidR="005D7FA2">
        <w:rPr>
          <w:rFonts w:ascii="Times New Roman" w:hAnsi="Times New Roman" w:cs="Times New Roman"/>
          <w:sz w:val="24"/>
          <w:szCs w:val="24"/>
        </w:rPr>
        <w:t xml:space="preserve"> for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5D7FA2">
        <w:rPr>
          <w:rFonts w:ascii="Times New Roman" w:hAnsi="Times New Roman" w:cs="Times New Roman"/>
          <w:sz w:val="24"/>
          <w:szCs w:val="24"/>
        </w:rPr>
        <w:t>.</w:t>
      </w:r>
      <w:r w:rsidR="000745D7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43125334"/>
      <w:bookmarkStart w:id="22" w:name="_Hlk42584981"/>
      <w:r w:rsidR="00362C12">
        <w:rPr>
          <w:rFonts w:ascii="Times New Roman" w:hAnsi="Times New Roman" w:cs="Times New Roman"/>
          <w:sz w:val="24"/>
          <w:szCs w:val="24"/>
        </w:rPr>
        <w:t xml:space="preserve">The aim of the respite was to ensure Rose’s safety, enable further observation and assessment, time for connection with collateral informal sources, supervised observations with Bill, and care planning meetings. </w:t>
      </w:r>
      <w:bookmarkEnd w:id="21"/>
      <w:r w:rsidR="00FC74C2">
        <w:rPr>
          <w:rFonts w:ascii="Times New Roman" w:hAnsi="Times New Roman" w:cs="Times New Roman"/>
          <w:sz w:val="24"/>
          <w:szCs w:val="24"/>
        </w:rPr>
        <w:t xml:space="preserve">The respite stay was funded by the OAPS. </w:t>
      </w:r>
      <w:bookmarkEnd w:id="22"/>
    </w:p>
    <w:p w14:paraId="5B74CBAE" w14:textId="3E483721" w:rsidR="0022797D" w:rsidRDefault="00FB5BB9" w:rsidP="005C1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7FA2">
        <w:rPr>
          <w:rFonts w:ascii="Times New Roman" w:hAnsi="Times New Roman" w:cs="Times New Roman"/>
          <w:sz w:val="24"/>
          <w:szCs w:val="24"/>
        </w:rPr>
        <w:t xml:space="preserve">During </w:t>
      </w:r>
      <w:r w:rsidR="001F40D1">
        <w:rPr>
          <w:rFonts w:ascii="Times New Roman" w:hAnsi="Times New Roman" w:cs="Times New Roman"/>
          <w:sz w:val="24"/>
          <w:szCs w:val="24"/>
        </w:rPr>
        <w:t>respite stay</w:t>
      </w:r>
      <w:r w:rsidR="00217692">
        <w:rPr>
          <w:rFonts w:ascii="Times New Roman" w:hAnsi="Times New Roman" w:cs="Times New Roman"/>
          <w:sz w:val="24"/>
          <w:szCs w:val="24"/>
        </w:rPr>
        <w:t>,</w:t>
      </w:r>
      <w:r w:rsidR="00B23C32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327AB2">
        <w:rPr>
          <w:rFonts w:ascii="Times New Roman" w:hAnsi="Times New Roman" w:cs="Times New Roman"/>
          <w:sz w:val="24"/>
          <w:szCs w:val="24"/>
        </w:rPr>
        <w:t xml:space="preserve"> was cooperative, with no need for physical interventions to ensure safety. N</w:t>
      </w:r>
      <w:r w:rsidR="001F40D1">
        <w:rPr>
          <w:rFonts w:ascii="Times New Roman" w:hAnsi="Times New Roman" w:cs="Times New Roman"/>
          <w:sz w:val="24"/>
          <w:szCs w:val="24"/>
        </w:rPr>
        <w:t xml:space="preserve">o observed self-injurious behaviour </w:t>
      </w:r>
      <w:r w:rsidR="00217692">
        <w:rPr>
          <w:rFonts w:ascii="Times New Roman" w:hAnsi="Times New Roman" w:cs="Times New Roman"/>
          <w:sz w:val="24"/>
          <w:szCs w:val="24"/>
        </w:rPr>
        <w:t xml:space="preserve">or falls </w:t>
      </w:r>
      <w:r w:rsidR="00817090">
        <w:rPr>
          <w:rFonts w:ascii="Times New Roman" w:hAnsi="Times New Roman" w:cs="Times New Roman"/>
          <w:sz w:val="24"/>
          <w:szCs w:val="24"/>
        </w:rPr>
        <w:t>w</w:t>
      </w:r>
      <w:r w:rsidR="00217692">
        <w:rPr>
          <w:rFonts w:ascii="Times New Roman" w:hAnsi="Times New Roman" w:cs="Times New Roman"/>
          <w:sz w:val="24"/>
          <w:szCs w:val="24"/>
        </w:rPr>
        <w:t>ere</w:t>
      </w:r>
      <w:r w:rsidR="00817090">
        <w:rPr>
          <w:rFonts w:ascii="Times New Roman" w:hAnsi="Times New Roman" w:cs="Times New Roman"/>
          <w:sz w:val="24"/>
          <w:szCs w:val="24"/>
        </w:rPr>
        <w:t xml:space="preserve"> </w:t>
      </w:r>
      <w:r w:rsidR="005D7FA2">
        <w:rPr>
          <w:rFonts w:ascii="Times New Roman" w:hAnsi="Times New Roman" w:cs="Times New Roman"/>
          <w:sz w:val="24"/>
          <w:szCs w:val="24"/>
        </w:rPr>
        <w:t>noted</w:t>
      </w:r>
      <w:r w:rsidR="00217692">
        <w:rPr>
          <w:rFonts w:ascii="Times New Roman" w:hAnsi="Times New Roman" w:cs="Times New Roman"/>
          <w:sz w:val="24"/>
          <w:szCs w:val="24"/>
        </w:rPr>
        <w:t>, and all swelling, bruising, and scratch</w:t>
      </w:r>
      <w:r w:rsidR="006178A2">
        <w:rPr>
          <w:rFonts w:ascii="Times New Roman" w:hAnsi="Times New Roman" w:cs="Times New Roman"/>
          <w:sz w:val="24"/>
          <w:szCs w:val="24"/>
        </w:rPr>
        <w:t>es</w:t>
      </w:r>
      <w:r w:rsidR="00217692">
        <w:rPr>
          <w:rFonts w:ascii="Times New Roman" w:hAnsi="Times New Roman" w:cs="Times New Roman"/>
          <w:sz w:val="24"/>
          <w:szCs w:val="24"/>
        </w:rPr>
        <w:t xml:space="preserve"> healed. </w:t>
      </w:r>
      <w:r w:rsidR="00E4339D">
        <w:rPr>
          <w:rFonts w:ascii="Times New Roman" w:hAnsi="Times New Roman" w:cs="Times New Roman"/>
          <w:sz w:val="24"/>
          <w:szCs w:val="24"/>
        </w:rPr>
        <w:t xml:space="preserve">Supervised visitation </w:t>
      </w:r>
      <w:r w:rsidR="00217692">
        <w:rPr>
          <w:rFonts w:ascii="Times New Roman" w:hAnsi="Times New Roman" w:cs="Times New Roman"/>
          <w:sz w:val="24"/>
          <w:szCs w:val="24"/>
        </w:rPr>
        <w:t xml:space="preserve">indicated </w:t>
      </w:r>
      <w:r w:rsidR="00E4339D">
        <w:rPr>
          <w:rFonts w:ascii="Times New Roman" w:hAnsi="Times New Roman" w:cs="Times New Roman"/>
          <w:sz w:val="24"/>
          <w:szCs w:val="24"/>
        </w:rPr>
        <w:t xml:space="preserve">that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217692">
        <w:rPr>
          <w:rFonts w:ascii="Times New Roman" w:hAnsi="Times New Roman" w:cs="Times New Roman"/>
          <w:sz w:val="24"/>
          <w:szCs w:val="24"/>
        </w:rPr>
        <w:t xml:space="preserve"> </w:t>
      </w:r>
      <w:r w:rsidR="008F306A">
        <w:rPr>
          <w:rFonts w:ascii="Times New Roman" w:hAnsi="Times New Roman" w:cs="Times New Roman"/>
          <w:sz w:val="24"/>
          <w:szCs w:val="24"/>
        </w:rPr>
        <w:t xml:space="preserve">became anxious and </w:t>
      </w:r>
      <w:r w:rsidR="00E4339D">
        <w:rPr>
          <w:rFonts w:ascii="Times New Roman" w:hAnsi="Times New Roman" w:cs="Times New Roman"/>
          <w:sz w:val="24"/>
          <w:szCs w:val="24"/>
        </w:rPr>
        <w:t>fearful</w:t>
      </w:r>
      <w:r w:rsidR="00A12796">
        <w:rPr>
          <w:rFonts w:ascii="Times New Roman" w:hAnsi="Times New Roman" w:cs="Times New Roman"/>
          <w:sz w:val="24"/>
          <w:szCs w:val="24"/>
        </w:rPr>
        <w:t xml:space="preserve"> with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8F306A">
        <w:rPr>
          <w:rFonts w:ascii="Times New Roman" w:hAnsi="Times New Roman" w:cs="Times New Roman"/>
          <w:sz w:val="24"/>
          <w:szCs w:val="24"/>
        </w:rPr>
        <w:t>.</w:t>
      </w:r>
      <w:r w:rsidR="001F40D1">
        <w:rPr>
          <w:rFonts w:ascii="Times New Roman" w:hAnsi="Times New Roman" w:cs="Times New Roman"/>
          <w:sz w:val="24"/>
          <w:szCs w:val="24"/>
        </w:rPr>
        <w:t xml:space="preserve"> </w:t>
      </w:r>
      <w:r w:rsidR="00327AB2">
        <w:rPr>
          <w:rFonts w:ascii="Times New Roman" w:hAnsi="Times New Roman" w:cs="Times New Roman"/>
          <w:sz w:val="24"/>
          <w:szCs w:val="24"/>
        </w:rPr>
        <w:t>Further c</w:t>
      </w:r>
      <w:r w:rsidR="008F306A">
        <w:rPr>
          <w:rFonts w:ascii="Times New Roman" w:hAnsi="Times New Roman" w:cs="Times New Roman"/>
          <w:sz w:val="24"/>
          <w:szCs w:val="24"/>
        </w:rPr>
        <w:t xml:space="preserve">ollateral </w:t>
      </w:r>
      <w:r w:rsidR="00327AB2">
        <w:rPr>
          <w:rFonts w:ascii="Times New Roman" w:hAnsi="Times New Roman" w:cs="Times New Roman"/>
          <w:sz w:val="24"/>
          <w:szCs w:val="24"/>
        </w:rPr>
        <w:t xml:space="preserve">information was sought </w:t>
      </w:r>
      <w:r w:rsidR="004A37E7">
        <w:rPr>
          <w:rFonts w:ascii="Times New Roman" w:hAnsi="Times New Roman" w:cs="Times New Roman"/>
          <w:sz w:val="24"/>
          <w:szCs w:val="24"/>
        </w:rPr>
        <w:t xml:space="preserve">from </w:t>
      </w:r>
      <w:r w:rsidR="00327AB2">
        <w:rPr>
          <w:rFonts w:ascii="Times New Roman" w:hAnsi="Times New Roman" w:cs="Times New Roman"/>
          <w:sz w:val="24"/>
          <w:szCs w:val="24"/>
        </w:rPr>
        <w:t xml:space="preserve">the </w:t>
      </w:r>
      <w:r w:rsidR="004A37E7">
        <w:rPr>
          <w:rFonts w:ascii="Times New Roman" w:hAnsi="Times New Roman" w:cs="Times New Roman"/>
          <w:sz w:val="24"/>
          <w:szCs w:val="24"/>
        </w:rPr>
        <w:t>community</w:t>
      </w:r>
      <w:r w:rsidR="008F306A">
        <w:rPr>
          <w:rFonts w:ascii="Times New Roman" w:hAnsi="Times New Roman" w:cs="Times New Roman"/>
          <w:sz w:val="24"/>
          <w:szCs w:val="24"/>
        </w:rPr>
        <w:t xml:space="preserve"> personal support worker</w:t>
      </w:r>
      <w:r w:rsidR="00327AB2">
        <w:rPr>
          <w:rFonts w:ascii="Times New Roman" w:hAnsi="Times New Roman" w:cs="Times New Roman"/>
          <w:sz w:val="24"/>
          <w:szCs w:val="24"/>
        </w:rPr>
        <w:t>, who</w:t>
      </w:r>
      <w:r w:rsidR="008F306A">
        <w:rPr>
          <w:rFonts w:ascii="Times New Roman" w:hAnsi="Times New Roman" w:cs="Times New Roman"/>
          <w:sz w:val="24"/>
          <w:szCs w:val="24"/>
        </w:rPr>
        <w:t xml:space="preserve"> </w:t>
      </w:r>
      <w:r w:rsidR="00327AB2">
        <w:rPr>
          <w:rFonts w:ascii="Times New Roman" w:hAnsi="Times New Roman" w:cs="Times New Roman"/>
          <w:sz w:val="24"/>
          <w:szCs w:val="24"/>
        </w:rPr>
        <w:t xml:space="preserve">had observed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27AB2">
        <w:rPr>
          <w:rFonts w:ascii="Times New Roman" w:hAnsi="Times New Roman" w:cs="Times New Roman"/>
          <w:sz w:val="24"/>
          <w:szCs w:val="24"/>
        </w:rPr>
        <w:t xml:space="preserve"> with slurred speech, unsteady gait, ang</w:t>
      </w:r>
      <w:r w:rsidR="008D33B4">
        <w:rPr>
          <w:rFonts w:ascii="Times New Roman" w:hAnsi="Times New Roman" w:cs="Times New Roman"/>
          <w:sz w:val="24"/>
          <w:szCs w:val="24"/>
        </w:rPr>
        <w:t>e</w:t>
      </w:r>
      <w:r w:rsidR="00327AB2">
        <w:rPr>
          <w:rFonts w:ascii="Times New Roman" w:hAnsi="Times New Roman" w:cs="Times New Roman"/>
          <w:sz w:val="24"/>
          <w:szCs w:val="24"/>
        </w:rPr>
        <w:t xml:space="preserve">r, and </w:t>
      </w:r>
      <w:r w:rsidR="00962A06">
        <w:rPr>
          <w:rFonts w:ascii="Times New Roman" w:hAnsi="Times New Roman" w:cs="Times New Roman"/>
          <w:sz w:val="24"/>
          <w:szCs w:val="24"/>
        </w:rPr>
        <w:t xml:space="preserve">had seen </w:t>
      </w:r>
      <w:r w:rsidR="00327AB2">
        <w:rPr>
          <w:rFonts w:ascii="Times New Roman" w:hAnsi="Times New Roman" w:cs="Times New Roman"/>
          <w:sz w:val="24"/>
          <w:szCs w:val="24"/>
        </w:rPr>
        <w:t>many empty alcohol bottles outside the house. Furthermore, t</w:t>
      </w:r>
      <w:r w:rsidR="00F5044B">
        <w:rPr>
          <w:rFonts w:ascii="Times New Roman" w:hAnsi="Times New Roman" w:cs="Times New Roman"/>
          <w:sz w:val="24"/>
          <w:szCs w:val="24"/>
        </w:rPr>
        <w:t>he f</w:t>
      </w:r>
      <w:r w:rsidR="008F306A">
        <w:rPr>
          <w:rFonts w:ascii="Times New Roman" w:hAnsi="Times New Roman" w:cs="Times New Roman"/>
          <w:sz w:val="24"/>
          <w:szCs w:val="24"/>
        </w:rPr>
        <w:t xml:space="preserve">orensic nurse confirmed that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1F40D1">
        <w:rPr>
          <w:rFonts w:ascii="Times New Roman" w:hAnsi="Times New Roman" w:cs="Times New Roman"/>
          <w:sz w:val="24"/>
          <w:szCs w:val="24"/>
        </w:rPr>
        <w:t xml:space="preserve"> had n</w:t>
      </w:r>
      <w:r w:rsidR="008F306A">
        <w:rPr>
          <w:rFonts w:ascii="Times New Roman" w:hAnsi="Times New Roman" w:cs="Times New Roman"/>
          <w:sz w:val="24"/>
          <w:szCs w:val="24"/>
        </w:rPr>
        <w:t xml:space="preserve">ot been seen by </w:t>
      </w:r>
      <w:r w:rsidR="008D33B4">
        <w:rPr>
          <w:rFonts w:ascii="Times New Roman" w:hAnsi="Times New Roman" w:cs="Times New Roman"/>
          <w:sz w:val="24"/>
          <w:szCs w:val="24"/>
        </w:rPr>
        <w:t xml:space="preserve">the </w:t>
      </w:r>
      <w:r w:rsidR="008F306A">
        <w:rPr>
          <w:rFonts w:ascii="Times New Roman" w:hAnsi="Times New Roman" w:cs="Times New Roman"/>
          <w:sz w:val="24"/>
          <w:szCs w:val="24"/>
        </w:rPr>
        <w:t>E</w:t>
      </w:r>
      <w:r w:rsidR="00FD1905">
        <w:rPr>
          <w:rFonts w:ascii="Times New Roman" w:hAnsi="Times New Roman" w:cs="Times New Roman"/>
          <w:sz w:val="24"/>
          <w:szCs w:val="24"/>
        </w:rPr>
        <w:t>D</w:t>
      </w:r>
      <w:r w:rsidR="008F306A">
        <w:rPr>
          <w:rFonts w:ascii="Times New Roman" w:hAnsi="Times New Roman" w:cs="Times New Roman"/>
          <w:sz w:val="24"/>
          <w:szCs w:val="24"/>
        </w:rPr>
        <w:t xml:space="preserve"> or </w:t>
      </w:r>
      <w:r w:rsidR="000208A2">
        <w:rPr>
          <w:rFonts w:ascii="Times New Roman" w:hAnsi="Times New Roman" w:cs="Times New Roman"/>
          <w:sz w:val="24"/>
          <w:szCs w:val="24"/>
        </w:rPr>
        <w:t>her primary care provider</w:t>
      </w:r>
      <w:r w:rsidR="008F306A">
        <w:rPr>
          <w:rFonts w:ascii="Times New Roman" w:hAnsi="Times New Roman" w:cs="Times New Roman"/>
          <w:sz w:val="24"/>
          <w:szCs w:val="24"/>
        </w:rPr>
        <w:t xml:space="preserve"> </w:t>
      </w:r>
      <w:r w:rsidR="00327AB2">
        <w:rPr>
          <w:rFonts w:ascii="Times New Roman" w:hAnsi="Times New Roman" w:cs="Times New Roman"/>
          <w:sz w:val="24"/>
          <w:szCs w:val="24"/>
        </w:rPr>
        <w:t xml:space="preserve">after </w:t>
      </w:r>
      <w:r w:rsidR="008F306A">
        <w:rPr>
          <w:rFonts w:ascii="Times New Roman" w:hAnsi="Times New Roman" w:cs="Times New Roman"/>
          <w:sz w:val="24"/>
          <w:szCs w:val="24"/>
        </w:rPr>
        <w:t>reported falls</w:t>
      </w:r>
      <w:r w:rsidR="00327AB2">
        <w:rPr>
          <w:rFonts w:ascii="Times New Roman" w:hAnsi="Times New Roman" w:cs="Times New Roman"/>
          <w:sz w:val="24"/>
          <w:szCs w:val="24"/>
        </w:rPr>
        <w:t xml:space="preserve">, even though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27AB2">
        <w:rPr>
          <w:rFonts w:ascii="Times New Roman" w:hAnsi="Times New Roman" w:cs="Times New Roman"/>
          <w:sz w:val="24"/>
          <w:szCs w:val="24"/>
        </w:rPr>
        <w:t xml:space="preserve"> had reportedly pursued medical assessment at these times</w:t>
      </w:r>
      <w:r w:rsidR="008F306A">
        <w:rPr>
          <w:rFonts w:ascii="Times New Roman" w:hAnsi="Times New Roman" w:cs="Times New Roman"/>
          <w:sz w:val="24"/>
          <w:szCs w:val="24"/>
        </w:rPr>
        <w:t xml:space="preserve">. </w:t>
      </w:r>
      <w:r w:rsidR="00327AB2">
        <w:rPr>
          <w:rFonts w:ascii="Times New Roman" w:hAnsi="Times New Roman" w:cs="Times New Roman"/>
          <w:sz w:val="24"/>
          <w:szCs w:val="24"/>
        </w:rPr>
        <w:t xml:space="preserve">Legal information indicated </w:t>
      </w:r>
      <w:r w:rsidR="00A12796">
        <w:rPr>
          <w:rFonts w:ascii="Times New Roman" w:hAnsi="Times New Roman" w:cs="Times New Roman"/>
          <w:sz w:val="24"/>
          <w:szCs w:val="24"/>
        </w:rPr>
        <w:t xml:space="preserve">a POA for Personal Care assigned to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A12796">
        <w:rPr>
          <w:rFonts w:ascii="Times New Roman" w:hAnsi="Times New Roman" w:cs="Times New Roman"/>
          <w:sz w:val="24"/>
          <w:szCs w:val="24"/>
        </w:rPr>
        <w:t>’s sister</w:t>
      </w:r>
      <w:r w:rsidR="00327AB2">
        <w:rPr>
          <w:rFonts w:ascii="Times New Roman" w:hAnsi="Times New Roman" w:cs="Times New Roman"/>
          <w:sz w:val="24"/>
          <w:szCs w:val="24"/>
        </w:rPr>
        <w:t>,</w:t>
      </w:r>
      <w:r w:rsidR="008F306A">
        <w:rPr>
          <w:rFonts w:ascii="Times New Roman" w:hAnsi="Times New Roman" w:cs="Times New Roman"/>
          <w:sz w:val="24"/>
          <w:szCs w:val="24"/>
        </w:rPr>
        <w:t xml:space="preserve"> </w:t>
      </w:r>
      <w:r w:rsidR="00A12796">
        <w:rPr>
          <w:rFonts w:ascii="Times New Roman" w:hAnsi="Times New Roman" w:cs="Times New Roman"/>
          <w:sz w:val="24"/>
          <w:szCs w:val="24"/>
        </w:rPr>
        <w:t>and</w:t>
      </w:r>
      <w:r w:rsidR="008F306A">
        <w:rPr>
          <w:rFonts w:ascii="Times New Roman" w:hAnsi="Times New Roman" w:cs="Times New Roman"/>
          <w:sz w:val="24"/>
          <w:szCs w:val="24"/>
        </w:rPr>
        <w:t xml:space="preserve"> connection was made </w:t>
      </w:r>
      <w:r w:rsidR="00327AB2">
        <w:rPr>
          <w:rFonts w:ascii="Times New Roman" w:hAnsi="Times New Roman" w:cs="Times New Roman"/>
          <w:sz w:val="24"/>
          <w:szCs w:val="24"/>
        </w:rPr>
        <w:t>to obtain history.</w:t>
      </w:r>
      <w:r w:rsidR="008F306A">
        <w:rPr>
          <w:rFonts w:ascii="Times New Roman" w:hAnsi="Times New Roman" w:cs="Times New Roman"/>
          <w:sz w:val="24"/>
          <w:szCs w:val="24"/>
        </w:rPr>
        <w:t xml:space="preserve"> </w:t>
      </w:r>
      <w:r w:rsidR="00F5044B">
        <w:rPr>
          <w:rFonts w:ascii="Times New Roman" w:hAnsi="Times New Roman" w:cs="Times New Roman"/>
          <w:sz w:val="24"/>
          <w:szCs w:val="24"/>
        </w:rPr>
        <w:t>The s</w:t>
      </w:r>
      <w:r w:rsidR="00E4339D">
        <w:rPr>
          <w:rFonts w:ascii="Times New Roman" w:hAnsi="Times New Roman" w:cs="Times New Roman"/>
          <w:sz w:val="24"/>
          <w:szCs w:val="24"/>
        </w:rPr>
        <w:t>ister reported that</w:t>
      </w:r>
      <w:r w:rsidR="00F5044B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E4339D">
        <w:rPr>
          <w:rFonts w:ascii="Times New Roman" w:hAnsi="Times New Roman" w:cs="Times New Roman"/>
          <w:sz w:val="24"/>
          <w:szCs w:val="24"/>
        </w:rPr>
        <w:t xml:space="preserve"> isolated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327AB2">
        <w:rPr>
          <w:rFonts w:ascii="Times New Roman" w:hAnsi="Times New Roman" w:cs="Times New Roman"/>
          <w:sz w:val="24"/>
          <w:szCs w:val="24"/>
        </w:rPr>
        <w:t xml:space="preserve"> </w:t>
      </w:r>
      <w:r w:rsidR="00E4339D">
        <w:rPr>
          <w:rFonts w:ascii="Times New Roman" w:hAnsi="Times New Roman" w:cs="Times New Roman"/>
          <w:sz w:val="24"/>
          <w:szCs w:val="24"/>
        </w:rPr>
        <w:t xml:space="preserve">from </w:t>
      </w:r>
      <w:r w:rsidR="00327AB2">
        <w:rPr>
          <w:rFonts w:ascii="Times New Roman" w:hAnsi="Times New Roman" w:cs="Times New Roman"/>
          <w:sz w:val="24"/>
          <w:szCs w:val="24"/>
        </w:rPr>
        <w:t xml:space="preserve">her </w:t>
      </w:r>
      <w:r w:rsidR="00E4339D">
        <w:rPr>
          <w:rFonts w:ascii="Times New Roman" w:hAnsi="Times New Roman" w:cs="Times New Roman"/>
          <w:sz w:val="24"/>
          <w:szCs w:val="24"/>
        </w:rPr>
        <w:t xml:space="preserve">family </w:t>
      </w:r>
      <w:r w:rsidR="00327AB2">
        <w:rPr>
          <w:rFonts w:ascii="Times New Roman" w:hAnsi="Times New Roman" w:cs="Times New Roman"/>
          <w:sz w:val="24"/>
          <w:szCs w:val="24"/>
        </w:rPr>
        <w:t xml:space="preserve">when she </w:t>
      </w:r>
      <w:r w:rsidR="00E4339D">
        <w:rPr>
          <w:rFonts w:ascii="Times New Roman" w:hAnsi="Times New Roman" w:cs="Times New Roman"/>
          <w:sz w:val="24"/>
          <w:szCs w:val="24"/>
        </w:rPr>
        <w:t>develop</w:t>
      </w:r>
      <w:r w:rsidR="00327AB2">
        <w:rPr>
          <w:rFonts w:ascii="Times New Roman" w:hAnsi="Times New Roman" w:cs="Times New Roman"/>
          <w:sz w:val="24"/>
          <w:szCs w:val="24"/>
        </w:rPr>
        <w:t>ed</w:t>
      </w:r>
      <w:r w:rsidR="00E4339D">
        <w:rPr>
          <w:rFonts w:ascii="Times New Roman" w:hAnsi="Times New Roman" w:cs="Times New Roman"/>
          <w:sz w:val="24"/>
          <w:szCs w:val="24"/>
        </w:rPr>
        <w:t xml:space="preserve"> symptoms of dementia</w:t>
      </w:r>
      <w:r w:rsidR="00327AB2">
        <w:rPr>
          <w:rFonts w:ascii="Times New Roman" w:hAnsi="Times New Roman" w:cs="Times New Roman"/>
          <w:sz w:val="24"/>
          <w:szCs w:val="24"/>
        </w:rPr>
        <w:t>,</w:t>
      </w:r>
      <w:r w:rsidR="00E4339D">
        <w:rPr>
          <w:rFonts w:ascii="Times New Roman" w:hAnsi="Times New Roman" w:cs="Times New Roman"/>
          <w:sz w:val="24"/>
          <w:szCs w:val="24"/>
        </w:rPr>
        <w:t xml:space="preserve"> and </w:t>
      </w:r>
      <w:r w:rsidR="00327AB2">
        <w:rPr>
          <w:rFonts w:ascii="Times New Roman" w:hAnsi="Times New Roman" w:cs="Times New Roman"/>
          <w:sz w:val="24"/>
          <w:szCs w:val="24"/>
        </w:rPr>
        <w:t xml:space="preserve">she </w:t>
      </w:r>
      <w:r w:rsidR="00E4339D">
        <w:rPr>
          <w:rFonts w:ascii="Times New Roman" w:hAnsi="Times New Roman" w:cs="Times New Roman"/>
          <w:sz w:val="24"/>
          <w:szCs w:val="24"/>
        </w:rPr>
        <w:t xml:space="preserve">could no longer self-initiate contact. </w:t>
      </w:r>
      <w:r w:rsidR="00F5044B">
        <w:rPr>
          <w:rFonts w:ascii="Times New Roman" w:hAnsi="Times New Roman" w:cs="Times New Roman"/>
          <w:sz w:val="24"/>
          <w:szCs w:val="24"/>
        </w:rPr>
        <w:t>The s</w:t>
      </w:r>
      <w:r w:rsidR="00E4339D">
        <w:rPr>
          <w:rFonts w:ascii="Times New Roman" w:hAnsi="Times New Roman" w:cs="Times New Roman"/>
          <w:sz w:val="24"/>
          <w:szCs w:val="24"/>
        </w:rPr>
        <w:t>ister</w:t>
      </w:r>
      <w:r w:rsidR="00F5044B">
        <w:rPr>
          <w:rFonts w:ascii="Times New Roman" w:hAnsi="Times New Roman" w:cs="Times New Roman"/>
          <w:sz w:val="24"/>
          <w:szCs w:val="24"/>
        </w:rPr>
        <w:t xml:space="preserve"> was</w:t>
      </w:r>
      <w:r w:rsidR="00E4339D">
        <w:rPr>
          <w:rFonts w:ascii="Times New Roman" w:hAnsi="Times New Roman" w:cs="Times New Roman"/>
          <w:sz w:val="24"/>
          <w:szCs w:val="24"/>
        </w:rPr>
        <w:t xml:space="preserve"> interested in acting as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E4339D">
        <w:rPr>
          <w:rFonts w:ascii="Times New Roman" w:hAnsi="Times New Roman" w:cs="Times New Roman"/>
          <w:sz w:val="24"/>
          <w:szCs w:val="24"/>
        </w:rPr>
        <w:t xml:space="preserve"> decision maker for personal care.</w:t>
      </w:r>
    </w:p>
    <w:p w14:paraId="3064EE43" w14:textId="47D947BD" w:rsidR="00DF23A2" w:rsidRDefault="00FB5BB9" w:rsidP="00227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7D">
        <w:rPr>
          <w:rFonts w:ascii="Times New Roman" w:hAnsi="Times New Roman" w:cs="Times New Roman"/>
          <w:sz w:val="24"/>
          <w:szCs w:val="24"/>
        </w:rPr>
        <w:t xml:space="preserve">When </w:t>
      </w:r>
      <w:r w:rsidR="00477ED9">
        <w:rPr>
          <w:rFonts w:ascii="Times New Roman" w:hAnsi="Times New Roman" w:cs="Times New Roman"/>
          <w:sz w:val="24"/>
          <w:szCs w:val="24"/>
        </w:rPr>
        <w:t>EA</w:t>
      </w:r>
      <w:r w:rsidR="00F5044B">
        <w:rPr>
          <w:rFonts w:ascii="Times New Roman" w:hAnsi="Times New Roman" w:cs="Times New Roman"/>
          <w:sz w:val="24"/>
          <w:szCs w:val="24"/>
        </w:rPr>
        <w:t xml:space="preserve"> victims</w:t>
      </w:r>
      <w:r w:rsidR="0022797D">
        <w:rPr>
          <w:rFonts w:ascii="Times New Roman" w:hAnsi="Times New Roman" w:cs="Times New Roman"/>
          <w:sz w:val="24"/>
          <w:szCs w:val="24"/>
        </w:rPr>
        <w:t xml:space="preserve"> lack the capacity to direct their own </w:t>
      </w:r>
      <w:r w:rsidR="00962A06">
        <w:rPr>
          <w:rFonts w:ascii="Times New Roman" w:hAnsi="Times New Roman" w:cs="Times New Roman"/>
          <w:sz w:val="24"/>
          <w:szCs w:val="24"/>
        </w:rPr>
        <w:t>care,</w:t>
      </w:r>
      <w:r w:rsidR="0022797D">
        <w:rPr>
          <w:rFonts w:ascii="Times New Roman" w:hAnsi="Times New Roman" w:cs="Times New Roman"/>
          <w:sz w:val="24"/>
          <w:szCs w:val="24"/>
        </w:rPr>
        <w:t xml:space="preserve"> </w:t>
      </w:r>
      <w:r w:rsidR="00362C12">
        <w:rPr>
          <w:rFonts w:ascii="Times New Roman" w:hAnsi="Times New Roman" w:cs="Times New Roman"/>
          <w:sz w:val="24"/>
          <w:szCs w:val="24"/>
        </w:rPr>
        <w:t xml:space="preserve">the OAPS </w:t>
      </w:r>
      <w:r w:rsidR="0022797D">
        <w:rPr>
          <w:rFonts w:ascii="Times New Roman" w:hAnsi="Times New Roman" w:cs="Times New Roman"/>
          <w:sz w:val="24"/>
          <w:szCs w:val="24"/>
        </w:rPr>
        <w:t>look</w:t>
      </w:r>
      <w:r w:rsidR="00362C12">
        <w:rPr>
          <w:rFonts w:ascii="Times New Roman" w:hAnsi="Times New Roman" w:cs="Times New Roman"/>
          <w:sz w:val="24"/>
          <w:szCs w:val="24"/>
        </w:rPr>
        <w:t>s</w:t>
      </w:r>
      <w:r w:rsidR="0022797D">
        <w:rPr>
          <w:rFonts w:ascii="Times New Roman" w:hAnsi="Times New Roman" w:cs="Times New Roman"/>
          <w:sz w:val="24"/>
          <w:szCs w:val="24"/>
        </w:rPr>
        <w:t xml:space="preserve"> </w:t>
      </w:r>
      <w:r w:rsidR="00E4339D">
        <w:rPr>
          <w:rFonts w:ascii="Times New Roman" w:hAnsi="Times New Roman" w:cs="Times New Roman"/>
          <w:sz w:val="24"/>
          <w:szCs w:val="24"/>
        </w:rPr>
        <w:t>to advanced</w:t>
      </w:r>
      <w:r w:rsidR="0022797D">
        <w:rPr>
          <w:rFonts w:ascii="Times New Roman" w:hAnsi="Times New Roman" w:cs="Times New Roman"/>
          <w:sz w:val="24"/>
          <w:szCs w:val="24"/>
        </w:rPr>
        <w:t xml:space="preserve"> care planning documents </w:t>
      </w:r>
      <w:r w:rsidR="003C1B2A">
        <w:rPr>
          <w:rFonts w:ascii="Times New Roman" w:hAnsi="Times New Roman" w:cs="Times New Roman"/>
          <w:sz w:val="24"/>
          <w:szCs w:val="24"/>
        </w:rPr>
        <w:t>that</w:t>
      </w:r>
      <w:r w:rsidR="0022797D">
        <w:rPr>
          <w:rFonts w:ascii="Times New Roman" w:hAnsi="Times New Roman" w:cs="Times New Roman"/>
          <w:sz w:val="24"/>
          <w:szCs w:val="24"/>
        </w:rPr>
        <w:t xml:space="preserve"> may outline their</w:t>
      </w:r>
      <w:r w:rsidR="00F07B88">
        <w:rPr>
          <w:rFonts w:ascii="Times New Roman" w:hAnsi="Times New Roman" w:cs="Times New Roman"/>
          <w:sz w:val="24"/>
          <w:szCs w:val="24"/>
        </w:rPr>
        <w:t xml:space="preserve"> prior known wishes. </w:t>
      </w:r>
      <w:r w:rsidR="00362C12">
        <w:rPr>
          <w:rFonts w:ascii="Times New Roman" w:hAnsi="Times New Roman" w:cs="Times New Roman"/>
          <w:sz w:val="24"/>
          <w:szCs w:val="24"/>
        </w:rPr>
        <w:t xml:space="preserve">The OAPS </w:t>
      </w:r>
      <w:r w:rsidR="00F07B88">
        <w:rPr>
          <w:rFonts w:ascii="Times New Roman" w:hAnsi="Times New Roman" w:cs="Times New Roman"/>
          <w:sz w:val="24"/>
          <w:szCs w:val="24"/>
        </w:rPr>
        <w:t>work</w:t>
      </w:r>
      <w:r w:rsidR="00362C12">
        <w:rPr>
          <w:rFonts w:ascii="Times New Roman" w:hAnsi="Times New Roman" w:cs="Times New Roman"/>
          <w:sz w:val="24"/>
          <w:szCs w:val="24"/>
        </w:rPr>
        <w:t>s</w:t>
      </w:r>
      <w:r w:rsidR="00F07B88">
        <w:rPr>
          <w:rFonts w:ascii="Times New Roman" w:hAnsi="Times New Roman" w:cs="Times New Roman"/>
          <w:sz w:val="24"/>
          <w:szCs w:val="24"/>
        </w:rPr>
        <w:t xml:space="preserve"> with substitute decision makers</w:t>
      </w:r>
      <w:r w:rsidR="0022797D">
        <w:rPr>
          <w:rFonts w:ascii="Times New Roman" w:hAnsi="Times New Roman" w:cs="Times New Roman"/>
          <w:sz w:val="24"/>
          <w:szCs w:val="24"/>
        </w:rPr>
        <w:t xml:space="preserve"> guided by what</w:t>
      </w:r>
      <w:r w:rsidR="003C1B2A">
        <w:rPr>
          <w:rFonts w:ascii="Times New Roman" w:hAnsi="Times New Roman" w:cs="Times New Roman"/>
          <w:sz w:val="24"/>
          <w:szCs w:val="24"/>
        </w:rPr>
        <w:t xml:space="preserve"> i</w:t>
      </w:r>
      <w:r w:rsidR="0022797D">
        <w:rPr>
          <w:rFonts w:ascii="Times New Roman" w:hAnsi="Times New Roman" w:cs="Times New Roman"/>
          <w:sz w:val="24"/>
          <w:szCs w:val="24"/>
        </w:rPr>
        <w:t xml:space="preserve">s in </w:t>
      </w:r>
      <w:r w:rsidR="003C1B2A">
        <w:rPr>
          <w:rFonts w:ascii="Times New Roman" w:hAnsi="Times New Roman" w:cs="Times New Roman"/>
          <w:sz w:val="24"/>
          <w:szCs w:val="24"/>
        </w:rPr>
        <w:t>their</w:t>
      </w:r>
      <w:r w:rsidR="0022797D">
        <w:rPr>
          <w:rFonts w:ascii="Times New Roman" w:hAnsi="Times New Roman" w:cs="Times New Roman"/>
          <w:sz w:val="24"/>
          <w:szCs w:val="24"/>
        </w:rPr>
        <w:t xml:space="preserve"> best</w:t>
      </w:r>
      <w:r w:rsidR="00F07B88">
        <w:rPr>
          <w:rFonts w:ascii="Times New Roman" w:hAnsi="Times New Roman" w:cs="Times New Roman"/>
          <w:sz w:val="24"/>
          <w:szCs w:val="24"/>
        </w:rPr>
        <w:t xml:space="preserve"> interest</w:t>
      </w:r>
      <w:r w:rsidR="003C1B2A">
        <w:rPr>
          <w:rFonts w:ascii="Times New Roman" w:hAnsi="Times New Roman" w:cs="Times New Roman"/>
          <w:sz w:val="24"/>
          <w:szCs w:val="24"/>
        </w:rPr>
        <w:t>s</w:t>
      </w:r>
      <w:r w:rsidR="00F07B88">
        <w:rPr>
          <w:rFonts w:ascii="Times New Roman" w:hAnsi="Times New Roman" w:cs="Times New Roman"/>
          <w:sz w:val="24"/>
          <w:szCs w:val="24"/>
        </w:rPr>
        <w:t xml:space="preserve"> and likely to improve </w:t>
      </w:r>
      <w:r w:rsidR="00BD2469">
        <w:rPr>
          <w:rFonts w:ascii="Times New Roman" w:hAnsi="Times New Roman" w:cs="Times New Roman"/>
          <w:sz w:val="24"/>
          <w:szCs w:val="24"/>
        </w:rPr>
        <w:t xml:space="preserve">wellbeing and </w:t>
      </w:r>
      <w:r w:rsidR="0022797D">
        <w:rPr>
          <w:rFonts w:ascii="Times New Roman" w:hAnsi="Times New Roman" w:cs="Times New Roman"/>
          <w:sz w:val="24"/>
          <w:szCs w:val="24"/>
        </w:rPr>
        <w:t xml:space="preserve">quality of life. </w:t>
      </w:r>
      <w:r w:rsidR="003C1B2A">
        <w:rPr>
          <w:rFonts w:ascii="Times New Roman" w:hAnsi="Times New Roman" w:cs="Times New Roman"/>
          <w:sz w:val="24"/>
          <w:szCs w:val="24"/>
        </w:rPr>
        <w:t xml:space="preserve">In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3C1B2A">
        <w:rPr>
          <w:rFonts w:ascii="Times New Roman" w:hAnsi="Times New Roman" w:cs="Times New Roman"/>
          <w:sz w:val="24"/>
          <w:szCs w:val="24"/>
        </w:rPr>
        <w:t xml:space="preserve"> case, p</w:t>
      </w:r>
      <w:r w:rsidR="0022797D">
        <w:rPr>
          <w:rFonts w:ascii="Times New Roman" w:hAnsi="Times New Roman" w:cs="Times New Roman"/>
          <w:sz w:val="24"/>
          <w:szCs w:val="24"/>
        </w:rPr>
        <w:t xml:space="preserve">olice referral was made </w:t>
      </w:r>
      <w:r w:rsidR="00BD2469">
        <w:rPr>
          <w:rFonts w:ascii="Times New Roman" w:hAnsi="Times New Roman" w:cs="Times New Roman"/>
          <w:sz w:val="24"/>
          <w:szCs w:val="24"/>
        </w:rPr>
        <w:t xml:space="preserve">related to concerns of imminent risk of </w:t>
      </w:r>
      <w:r w:rsidR="00FC4842">
        <w:rPr>
          <w:rFonts w:ascii="Times New Roman" w:hAnsi="Times New Roman" w:cs="Times New Roman"/>
          <w:sz w:val="24"/>
          <w:szCs w:val="24"/>
        </w:rPr>
        <w:t>harm,</w:t>
      </w:r>
      <w:r w:rsidR="00BD2469">
        <w:rPr>
          <w:rFonts w:ascii="Times New Roman" w:hAnsi="Times New Roman" w:cs="Times New Roman"/>
          <w:sz w:val="24"/>
          <w:szCs w:val="24"/>
        </w:rPr>
        <w:t xml:space="preserve"> </w:t>
      </w:r>
      <w:r w:rsidR="0022797D">
        <w:rPr>
          <w:rFonts w:ascii="Times New Roman" w:hAnsi="Times New Roman" w:cs="Times New Roman"/>
          <w:sz w:val="24"/>
          <w:szCs w:val="24"/>
        </w:rPr>
        <w:t xml:space="preserve">but no charges were initiated </w:t>
      </w:r>
      <w:r w:rsidR="003C1B2A">
        <w:rPr>
          <w:rFonts w:ascii="Times New Roman" w:hAnsi="Times New Roman" w:cs="Times New Roman"/>
          <w:sz w:val="24"/>
          <w:szCs w:val="24"/>
        </w:rPr>
        <w:t>due to the challenges of providing clear evidence in support of prosecution.</w:t>
      </w:r>
      <w:r w:rsidR="0022797D">
        <w:rPr>
          <w:rFonts w:ascii="Times New Roman" w:hAnsi="Times New Roman" w:cs="Times New Roman"/>
          <w:sz w:val="24"/>
          <w:szCs w:val="24"/>
        </w:rPr>
        <w:t xml:space="preserve"> </w:t>
      </w:r>
      <w:r w:rsidR="00E4339D">
        <w:rPr>
          <w:rFonts w:ascii="Times New Roman" w:hAnsi="Times New Roman" w:cs="Times New Roman"/>
          <w:sz w:val="24"/>
          <w:szCs w:val="24"/>
        </w:rPr>
        <w:t>The f</w:t>
      </w:r>
      <w:r w:rsidR="00BD2469">
        <w:rPr>
          <w:rFonts w:ascii="Times New Roman" w:hAnsi="Times New Roman" w:cs="Times New Roman"/>
          <w:sz w:val="24"/>
          <w:szCs w:val="24"/>
        </w:rPr>
        <w:t xml:space="preserve">orensic nurse facilitated reconnection between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D2469">
        <w:rPr>
          <w:rFonts w:ascii="Times New Roman" w:hAnsi="Times New Roman" w:cs="Times New Roman"/>
          <w:sz w:val="24"/>
          <w:szCs w:val="24"/>
        </w:rPr>
        <w:t xml:space="preserve"> and her f</w:t>
      </w:r>
      <w:r w:rsidR="00E4339D">
        <w:rPr>
          <w:rFonts w:ascii="Times New Roman" w:hAnsi="Times New Roman" w:cs="Times New Roman"/>
          <w:sz w:val="24"/>
          <w:szCs w:val="24"/>
        </w:rPr>
        <w:t>amily</w:t>
      </w:r>
      <w:r w:rsidR="00BD2469">
        <w:rPr>
          <w:rFonts w:ascii="Times New Roman" w:hAnsi="Times New Roman" w:cs="Times New Roman"/>
          <w:sz w:val="24"/>
          <w:szCs w:val="24"/>
        </w:rPr>
        <w:t xml:space="preserve"> to </w:t>
      </w:r>
      <w:r w:rsidR="00E4339D">
        <w:rPr>
          <w:rFonts w:ascii="Times New Roman" w:hAnsi="Times New Roman" w:cs="Times New Roman"/>
          <w:sz w:val="24"/>
          <w:szCs w:val="24"/>
        </w:rPr>
        <w:t>re</w:t>
      </w:r>
      <w:r w:rsidR="00BD2469">
        <w:rPr>
          <w:rFonts w:ascii="Times New Roman" w:hAnsi="Times New Roman" w:cs="Times New Roman"/>
          <w:sz w:val="24"/>
          <w:szCs w:val="24"/>
        </w:rPr>
        <w:t>build her n</w:t>
      </w:r>
      <w:r w:rsidR="00E4339D">
        <w:rPr>
          <w:rFonts w:ascii="Times New Roman" w:hAnsi="Times New Roman" w:cs="Times New Roman"/>
          <w:sz w:val="24"/>
          <w:szCs w:val="24"/>
        </w:rPr>
        <w:t>etwork of support</w:t>
      </w:r>
      <w:r w:rsidR="00BD2469">
        <w:rPr>
          <w:rFonts w:ascii="Times New Roman" w:hAnsi="Times New Roman" w:cs="Times New Roman"/>
          <w:sz w:val="24"/>
          <w:szCs w:val="24"/>
        </w:rPr>
        <w:t xml:space="preserve">. </w:t>
      </w:r>
      <w:r w:rsidR="003C1B2A">
        <w:rPr>
          <w:rFonts w:ascii="Times New Roman" w:hAnsi="Times New Roman" w:cs="Times New Roman"/>
          <w:sz w:val="24"/>
          <w:szCs w:val="24"/>
        </w:rPr>
        <w:t>A</w:t>
      </w:r>
      <w:r w:rsidR="00F5044B">
        <w:rPr>
          <w:rFonts w:ascii="Times New Roman" w:hAnsi="Times New Roman" w:cs="Times New Roman"/>
          <w:sz w:val="24"/>
          <w:szCs w:val="24"/>
        </w:rPr>
        <w:t xml:space="preserve"> c</w:t>
      </w:r>
      <w:r w:rsidR="00BD2469">
        <w:rPr>
          <w:rFonts w:ascii="Times New Roman" w:hAnsi="Times New Roman" w:cs="Times New Roman"/>
          <w:sz w:val="24"/>
          <w:szCs w:val="24"/>
        </w:rPr>
        <w:t xml:space="preserve">are planning meeting </w:t>
      </w:r>
      <w:r w:rsidR="003C1B2A">
        <w:rPr>
          <w:rFonts w:ascii="Times New Roman" w:hAnsi="Times New Roman" w:cs="Times New Roman"/>
          <w:sz w:val="24"/>
          <w:szCs w:val="24"/>
        </w:rPr>
        <w:t xml:space="preserve">was held </w:t>
      </w:r>
      <w:r w:rsidR="00BD2469">
        <w:rPr>
          <w:rFonts w:ascii="Times New Roman" w:hAnsi="Times New Roman" w:cs="Times New Roman"/>
          <w:sz w:val="24"/>
          <w:szCs w:val="24"/>
        </w:rPr>
        <w:t xml:space="preserve">with involved </w:t>
      </w:r>
      <w:r w:rsidR="00810A95">
        <w:rPr>
          <w:rFonts w:ascii="Times New Roman" w:hAnsi="Times New Roman" w:cs="Times New Roman"/>
          <w:sz w:val="24"/>
          <w:szCs w:val="24"/>
        </w:rPr>
        <w:t>health</w:t>
      </w:r>
      <w:r w:rsidR="000208A2">
        <w:rPr>
          <w:rFonts w:ascii="Times New Roman" w:hAnsi="Times New Roman" w:cs="Times New Roman"/>
          <w:sz w:val="24"/>
          <w:szCs w:val="24"/>
        </w:rPr>
        <w:t xml:space="preserve"> </w:t>
      </w:r>
      <w:r w:rsidR="00810A95">
        <w:rPr>
          <w:rFonts w:ascii="Times New Roman" w:hAnsi="Times New Roman" w:cs="Times New Roman"/>
          <w:sz w:val="24"/>
          <w:szCs w:val="24"/>
        </w:rPr>
        <w:t>care providers</w:t>
      </w:r>
      <w:r w:rsidR="00BD2469">
        <w:rPr>
          <w:rFonts w:ascii="Times New Roman" w:hAnsi="Times New Roman" w:cs="Times New Roman"/>
          <w:sz w:val="24"/>
          <w:szCs w:val="24"/>
        </w:rPr>
        <w:t>,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C1B2A">
        <w:rPr>
          <w:rFonts w:ascii="Times New Roman" w:hAnsi="Times New Roman" w:cs="Times New Roman"/>
          <w:sz w:val="24"/>
          <w:szCs w:val="24"/>
        </w:rPr>
        <w:t xml:space="preserve">, </w:t>
      </w:r>
      <w:r w:rsidR="000208A2">
        <w:rPr>
          <w:rFonts w:ascii="Times New Roman" w:hAnsi="Times New Roman" w:cs="Times New Roman"/>
          <w:sz w:val="24"/>
          <w:szCs w:val="24"/>
        </w:rPr>
        <w:t xml:space="preserve">and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BD2469">
        <w:rPr>
          <w:rFonts w:ascii="Times New Roman" w:hAnsi="Times New Roman" w:cs="Times New Roman"/>
          <w:sz w:val="24"/>
          <w:szCs w:val="24"/>
        </w:rPr>
        <w:t>sister</w:t>
      </w:r>
      <w:r w:rsidR="000208A2">
        <w:rPr>
          <w:rFonts w:ascii="Times New Roman" w:hAnsi="Times New Roman" w:cs="Times New Roman"/>
          <w:sz w:val="24"/>
          <w:szCs w:val="24"/>
        </w:rPr>
        <w:t>.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0208A2">
        <w:rPr>
          <w:rFonts w:ascii="Times New Roman" w:hAnsi="Times New Roman" w:cs="Times New Roman"/>
          <w:sz w:val="24"/>
          <w:szCs w:val="24"/>
        </w:rPr>
        <w:t>D</w:t>
      </w:r>
      <w:r w:rsidR="003C1B2A">
        <w:rPr>
          <w:rFonts w:ascii="Times New Roman" w:hAnsi="Times New Roman" w:cs="Times New Roman"/>
          <w:sz w:val="24"/>
          <w:szCs w:val="24"/>
        </w:rPr>
        <w:t xml:space="preserve">uring </w:t>
      </w:r>
      <w:r w:rsidR="000208A2">
        <w:rPr>
          <w:rFonts w:ascii="Times New Roman" w:hAnsi="Times New Roman" w:cs="Times New Roman"/>
          <w:sz w:val="24"/>
          <w:szCs w:val="24"/>
        </w:rPr>
        <w:t xml:space="preserve">the meeting, </w:t>
      </w:r>
      <w:r w:rsidR="009614C1">
        <w:rPr>
          <w:rFonts w:ascii="Times New Roman" w:hAnsi="Times New Roman" w:cs="Times New Roman"/>
          <w:sz w:val="24"/>
          <w:szCs w:val="24"/>
        </w:rPr>
        <w:t>concerns</w:t>
      </w:r>
      <w:r w:rsidR="003C1B2A">
        <w:rPr>
          <w:rFonts w:ascii="Times New Roman" w:hAnsi="Times New Roman" w:cs="Times New Roman"/>
          <w:sz w:val="24"/>
          <w:szCs w:val="24"/>
        </w:rPr>
        <w:t xml:space="preserve"> were expressed</w:t>
      </w:r>
      <w:r w:rsidR="009614C1">
        <w:rPr>
          <w:rFonts w:ascii="Times New Roman" w:hAnsi="Times New Roman" w:cs="Times New Roman"/>
          <w:sz w:val="24"/>
          <w:szCs w:val="24"/>
        </w:rPr>
        <w:t xml:space="preserve"> </w:t>
      </w:r>
      <w:r w:rsidR="00F71E3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C1B2A">
        <w:rPr>
          <w:rFonts w:ascii="Times New Roman" w:hAnsi="Times New Roman" w:cs="Times New Roman"/>
          <w:sz w:val="24"/>
          <w:szCs w:val="24"/>
        </w:rPr>
        <w:t xml:space="preserve">’s </w:t>
      </w:r>
      <w:r w:rsidR="009614C1">
        <w:rPr>
          <w:rFonts w:ascii="Times New Roman" w:hAnsi="Times New Roman" w:cs="Times New Roman"/>
          <w:sz w:val="24"/>
          <w:szCs w:val="24"/>
        </w:rPr>
        <w:t xml:space="preserve">ability to safely care for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9614C1">
        <w:rPr>
          <w:rFonts w:ascii="Times New Roman" w:hAnsi="Times New Roman" w:cs="Times New Roman"/>
          <w:sz w:val="24"/>
          <w:szCs w:val="24"/>
        </w:rPr>
        <w:t xml:space="preserve">at home, </w:t>
      </w:r>
      <w:r w:rsidR="003C1B2A">
        <w:rPr>
          <w:rFonts w:ascii="Times New Roman" w:hAnsi="Times New Roman" w:cs="Times New Roman"/>
          <w:sz w:val="24"/>
          <w:szCs w:val="24"/>
        </w:rPr>
        <w:t xml:space="preserve">and the </w:t>
      </w:r>
      <w:r w:rsidR="00BD2469">
        <w:rPr>
          <w:rFonts w:ascii="Times New Roman" w:hAnsi="Times New Roman" w:cs="Times New Roman"/>
          <w:sz w:val="24"/>
          <w:szCs w:val="24"/>
        </w:rPr>
        <w:t xml:space="preserve">authority of </w:t>
      </w:r>
      <w:r w:rsidR="003C1B2A">
        <w:rPr>
          <w:rFonts w:ascii="Times New Roman" w:hAnsi="Times New Roman" w:cs="Times New Roman"/>
          <w:sz w:val="24"/>
          <w:szCs w:val="24"/>
        </w:rPr>
        <w:t xml:space="preserve">her </w:t>
      </w:r>
      <w:r w:rsidR="00BD2469">
        <w:rPr>
          <w:rFonts w:ascii="Times New Roman" w:hAnsi="Times New Roman" w:cs="Times New Roman"/>
          <w:sz w:val="24"/>
          <w:szCs w:val="24"/>
        </w:rPr>
        <w:t>sister as POA for personal care</w:t>
      </w:r>
      <w:r w:rsidR="003C1B2A">
        <w:rPr>
          <w:rFonts w:ascii="Times New Roman" w:hAnsi="Times New Roman" w:cs="Times New Roman"/>
          <w:sz w:val="24"/>
          <w:szCs w:val="24"/>
        </w:rPr>
        <w:t>. A</w:t>
      </w:r>
      <w:r w:rsidR="00BD2469">
        <w:rPr>
          <w:rFonts w:ascii="Times New Roman" w:hAnsi="Times New Roman" w:cs="Times New Roman"/>
          <w:sz w:val="24"/>
          <w:szCs w:val="24"/>
        </w:rPr>
        <w:t xml:space="preserve"> recommendation </w:t>
      </w:r>
      <w:r w:rsidR="003C1B2A">
        <w:rPr>
          <w:rFonts w:ascii="Times New Roman" w:hAnsi="Times New Roman" w:cs="Times New Roman"/>
          <w:sz w:val="24"/>
          <w:szCs w:val="24"/>
        </w:rPr>
        <w:t xml:space="preserve">was made </w:t>
      </w:r>
      <w:r w:rsidR="00BD2469">
        <w:rPr>
          <w:rFonts w:ascii="Times New Roman" w:hAnsi="Times New Roman" w:cs="Times New Roman"/>
          <w:sz w:val="24"/>
          <w:szCs w:val="24"/>
        </w:rPr>
        <w:t xml:space="preserve">for permanent nursing home placement.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C1B2A">
        <w:rPr>
          <w:rFonts w:ascii="Times New Roman" w:hAnsi="Times New Roman" w:cs="Times New Roman"/>
          <w:sz w:val="24"/>
          <w:szCs w:val="24"/>
        </w:rPr>
        <w:t xml:space="preserve"> was offered resources to support his alcohol use and coping. </w:t>
      </w:r>
      <w:r w:rsidR="00BD2469">
        <w:rPr>
          <w:rFonts w:ascii="Times New Roman" w:hAnsi="Times New Roman" w:cs="Times New Roman"/>
          <w:sz w:val="24"/>
          <w:szCs w:val="24"/>
        </w:rPr>
        <w:t>Contact between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135CB5">
        <w:rPr>
          <w:rFonts w:ascii="Times New Roman" w:hAnsi="Times New Roman" w:cs="Times New Roman"/>
          <w:sz w:val="24"/>
          <w:szCs w:val="24"/>
        </w:rPr>
        <w:t>Rose</w:t>
      </w:r>
      <w:r w:rsidR="00BD2469">
        <w:rPr>
          <w:rFonts w:ascii="Times New Roman" w:hAnsi="Times New Roman" w:cs="Times New Roman"/>
          <w:sz w:val="24"/>
          <w:szCs w:val="24"/>
        </w:rPr>
        <w:t xml:space="preserve"> and </w:t>
      </w:r>
      <w:r w:rsidR="00135CB5">
        <w:rPr>
          <w:rFonts w:ascii="Times New Roman" w:hAnsi="Times New Roman" w:cs="Times New Roman"/>
          <w:sz w:val="24"/>
          <w:szCs w:val="24"/>
        </w:rPr>
        <w:t>Bill</w:t>
      </w:r>
      <w:r w:rsidR="003C1B2A">
        <w:rPr>
          <w:rFonts w:ascii="Times New Roman" w:hAnsi="Times New Roman" w:cs="Times New Roman"/>
          <w:sz w:val="24"/>
          <w:szCs w:val="24"/>
        </w:rPr>
        <w:t xml:space="preserve"> </w:t>
      </w:r>
      <w:r w:rsidR="00BD2469">
        <w:rPr>
          <w:rFonts w:ascii="Times New Roman" w:hAnsi="Times New Roman" w:cs="Times New Roman"/>
          <w:sz w:val="24"/>
          <w:szCs w:val="24"/>
        </w:rPr>
        <w:t xml:space="preserve">was ended due to </w:t>
      </w:r>
      <w:r w:rsidR="003C1B2A">
        <w:rPr>
          <w:rFonts w:ascii="Times New Roman" w:hAnsi="Times New Roman" w:cs="Times New Roman"/>
          <w:sz w:val="24"/>
          <w:szCs w:val="24"/>
        </w:rPr>
        <w:t xml:space="preserve">consistent </w:t>
      </w:r>
      <w:r w:rsidR="00BD2469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3C1B2A">
        <w:rPr>
          <w:rFonts w:ascii="Times New Roman" w:hAnsi="Times New Roman" w:cs="Times New Roman"/>
          <w:sz w:val="24"/>
          <w:szCs w:val="24"/>
        </w:rPr>
        <w:t>her</w:t>
      </w:r>
      <w:r w:rsidR="00BD2469">
        <w:rPr>
          <w:rFonts w:ascii="Times New Roman" w:hAnsi="Times New Roman" w:cs="Times New Roman"/>
          <w:sz w:val="24"/>
          <w:szCs w:val="24"/>
        </w:rPr>
        <w:t xml:space="preserve"> distress</w:t>
      </w:r>
      <w:r w:rsidR="003C1B2A">
        <w:rPr>
          <w:rFonts w:ascii="Times New Roman" w:hAnsi="Times New Roman" w:cs="Times New Roman"/>
          <w:sz w:val="24"/>
          <w:szCs w:val="24"/>
        </w:rPr>
        <w:t xml:space="preserve"> in his company</w:t>
      </w:r>
      <w:r w:rsidR="00BD2469">
        <w:rPr>
          <w:rFonts w:ascii="Times New Roman" w:hAnsi="Times New Roman" w:cs="Times New Roman"/>
          <w:sz w:val="24"/>
          <w:szCs w:val="24"/>
        </w:rPr>
        <w:t xml:space="preserve">. </w:t>
      </w:r>
      <w:r w:rsidR="006178A2">
        <w:rPr>
          <w:rFonts w:ascii="Times New Roman" w:hAnsi="Times New Roman" w:cs="Times New Roman"/>
          <w:sz w:val="24"/>
          <w:szCs w:val="24"/>
        </w:rPr>
        <w:t>A</w:t>
      </w:r>
      <w:r w:rsidR="00F5044B">
        <w:rPr>
          <w:rFonts w:ascii="Times New Roman" w:hAnsi="Times New Roman" w:cs="Times New Roman"/>
          <w:sz w:val="24"/>
          <w:szCs w:val="24"/>
        </w:rPr>
        <w:t xml:space="preserve"> s</w:t>
      </w:r>
      <w:r w:rsidR="00BD2469">
        <w:rPr>
          <w:rFonts w:ascii="Times New Roman" w:hAnsi="Times New Roman" w:cs="Times New Roman"/>
          <w:sz w:val="24"/>
          <w:szCs w:val="24"/>
        </w:rPr>
        <w:t xml:space="preserve">afety plan was implemented at the nursing home to ensure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271D5E">
        <w:rPr>
          <w:rFonts w:ascii="Times New Roman" w:hAnsi="Times New Roman" w:cs="Times New Roman"/>
          <w:sz w:val="24"/>
          <w:szCs w:val="24"/>
        </w:rPr>
        <w:t xml:space="preserve"> </w:t>
      </w:r>
      <w:r w:rsidR="009614C1">
        <w:rPr>
          <w:rFonts w:ascii="Times New Roman" w:hAnsi="Times New Roman" w:cs="Times New Roman"/>
          <w:sz w:val="24"/>
          <w:szCs w:val="24"/>
        </w:rPr>
        <w:t>safet</w:t>
      </w:r>
      <w:r w:rsidR="00271D5E">
        <w:rPr>
          <w:rFonts w:ascii="Times New Roman" w:hAnsi="Times New Roman" w:cs="Times New Roman"/>
          <w:sz w:val="24"/>
          <w:szCs w:val="24"/>
        </w:rPr>
        <w:t>y</w:t>
      </w:r>
      <w:r w:rsidR="009614C1">
        <w:rPr>
          <w:rFonts w:ascii="Times New Roman" w:hAnsi="Times New Roman" w:cs="Times New Roman"/>
          <w:sz w:val="24"/>
          <w:szCs w:val="24"/>
        </w:rPr>
        <w:t xml:space="preserve">. </w:t>
      </w:r>
      <w:r w:rsidR="00F5044B">
        <w:rPr>
          <w:rFonts w:ascii="Times New Roman" w:hAnsi="Times New Roman" w:cs="Times New Roman"/>
          <w:sz w:val="24"/>
          <w:szCs w:val="24"/>
        </w:rPr>
        <w:lastRenderedPageBreak/>
        <w:t>The d</w:t>
      </w:r>
      <w:r w:rsidR="00E4339D">
        <w:rPr>
          <w:rFonts w:ascii="Times New Roman" w:hAnsi="Times New Roman" w:cs="Times New Roman"/>
          <w:sz w:val="24"/>
          <w:szCs w:val="24"/>
        </w:rPr>
        <w:t xml:space="preserve">ocumentation related to history of abuse was provided to </w:t>
      </w:r>
      <w:r w:rsidR="00810A95">
        <w:rPr>
          <w:rFonts w:ascii="Times New Roman" w:hAnsi="Times New Roman" w:cs="Times New Roman"/>
          <w:sz w:val="24"/>
          <w:szCs w:val="24"/>
        </w:rPr>
        <w:t>health</w:t>
      </w:r>
      <w:r w:rsidR="000208A2">
        <w:rPr>
          <w:rFonts w:ascii="Times New Roman" w:hAnsi="Times New Roman" w:cs="Times New Roman"/>
          <w:sz w:val="24"/>
          <w:szCs w:val="24"/>
        </w:rPr>
        <w:t xml:space="preserve"> </w:t>
      </w:r>
      <w:r w:rsidR="00810A95">
        <w:rPr>
          <w:rFonts w:ascii="Times New Roman" w:hAnsi="Times New Roman" w:cs="Times New Roman"/>
          <w:sz w:val="24"/>
          <w:szCs w:val="24"/>
        </w:rPr>
        <w:t>care providers</w:t>
      </w:r>
      <w:r w:rsidR="00E4339D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135CB5">
        <w:rPr>
          <w:rFonts w:ascii="Times New Roman" w:hAnsi="Times New Roman" w:cs="Times New Roman"/>
          <w:sz w:val="24"/>
          <w:szCs w:val="24"/>
        </w:rPr>
        <w:t>Rose’s</w:t>
      </w:r>
      <w:r w:rsidR="00271D5E">
        <w:rPr>
          <w:rFonts w:ascii="Times New Roman" w:hAnsi="Times New Roman" w:cs="Times New Roman"/>
          <w:sz w:val="24"/>
          <w:szCs w:val="24"/>
        </w:rPr>
        <w:t xml:space="preserve"> </w:t>
      </w:r>
      <w:r w:rsidR="00E4339D">
        <w:rPr>
          <w:rFonts w:ascii="Times New Roman" w:hAnsi="Times New Roman" w:cs="Times New Roman"/>
          <w:sz w:val="24"/>
          <w:szCs w:val="24"/>
        </w:rPr>
        <w:t>care as part of her ongoing safety plan.</w:t>
      </w:r>
    </w:p>
    <w:p w14:paraId="10E9FD99" w14:textId="28F3279A" w:rsidR="00BC0DA1" w:rsidRPr="00781C0F" w:rsidRDefault="000208A2" w:rsidP="000208A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and </w:t>
      </w:r>
      <w:r w:rsidR="00BC0DA1" w:rsidRPr="00781C0F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5CD3C417" w14:textId="4FEFD8C6" w:rsidR="003367D1" w:rsidRDefault="00BC0DA1" w:rsidP="0022797D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paper aimed to provide an overview of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on EA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victims’ help-seeking behavior, and guidance for detection and intervention efforts by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health</w:t>
      </w:r>
      <w:r w:rsidR="00EA4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0A95">
        <w:rPr>
          <w:rFonts w:ascii="Times New Roman" w:eastAsia="Calibri" w:hAnsi="Times New Roman" w:cs="Times New Roman"/>
          <w:sz w:val="24"/>
          <w:szCs w:val="24"/>
          <w:lang w:val="en-US"/>
        </w:rPr>
        <w:t>care providers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3B500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>his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guidance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based 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79752D">
        <w:rPr>
          <w:rFonts w:ascii="Times New Roman" w:eastAsia="Calibri" w:hAnsi="Times New Roman" w:cs="Times New Roman"/>
          <w:sz w:val="24"/>
          <w:szCs w:val="24"/>
          <w:lang w:val="en-US"/>
        </w:rPr>
        <w:t>n research literature</w:t>
      </w:r>
      <w:r w:rsidR="008639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BA3A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practic</w:t>
      </w:r>
      <w:r w:rsidR="003B5007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experience</w:t>
      </w:r>
      <w:r w:rsidR="003B50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A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3B500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216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forensic 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>nurse</w:t>
      </w:r>
      <w:r w:rsidR="00336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5221D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our potential </w:t>
      </w:r>
      <w:r w:rsidR="003367D1">
        <w:rPr>
          <w:rFonts w:ascii="Times New Roman" w:eastAsia="Calibri" w:hAnsi="Times New Roman" w:cs="Times New Roman"/>
          <w:sz w:val="24"/>
          <w:szCs w:val="24"/>
          <w:lang w:val="en-US"/>
        </w:rPr>
        <w:t>presentation</w:t>
      </w:r>
      <w:r w:rsidR="00A46F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types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221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were identified </w:t>
      </w:r>
      <w:r w:rsidR="00EA4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based 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 w:rsidR="00336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>victim’s mental capacity and disclos</w:t>
      </w:r>
      <w:r w:rsidR="00EA4A6B">
        <w:rPr>
          <w:rFonts w:ascii="Times New Roman" w:eastAsia="Calibri" w:hAnsi="Times New Roman" w:cs="Times New Roman"/>
          <w:sz w:val="24"/>
          <w:szCs w:val="24"/>
          <w:lang w:val="en-US"/>
        </w:rPr>
        <w:t>ur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EA4A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EA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EA4A6B">
        <w:rPr>
          <w:rFonts w:ascii="Times New Roman" w:eastAsia="Calibri" w:hAnsi="Times New Roman" w:cs="Times New Roman"/>
          <w:sz w:val="24"/>
          <w:szCs w:val="24"/>
          <w:lang w:val="en-US"/>
        </w:rPr>
        <w:t>Each</w:t>
      </w:r>
      <w:r w:rsidR="00336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presentation</w:t>
      </w:r>
      <w:r w:rsidR="004868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has its unique challenges, which have been described in the literature review and case studies. </w:t>
      </w:r>
    </w:p>
    <w:p w14:paraId="3BA6D0A4" w14:textId="3F5BF860" w:rsidR="003367D1" w:rsidRDefault="003367D1" w:rsidP="0022797D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he first case study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221DF">
        <w:rPr>
          <w:rFonts w:ascii="Times New Roman" w:eastAsia="Calibri" w:hAnsi="Times New Roman" w:cs="Times New Roman"/>
          <w:sz w:val="24"/>
          <w:szCs w:val="24"/>
          <w:lang w:val="en-US"/>
        </w:rPr>
        <w:t>involving disclosure by an older adult with mental capacity,</w:t>
      </w:r>
      <w:r w:rsidR="00EF60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>illustrates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C7FDB">
        <w:rPr>
          <w:rFonts w:ascii="Times New Roman" w:eastAsia="Calibri" w:hAnsi="Times New Roman" w:cs="Times New Roman"/>
          <w:sz w:val="24"/>
          <w:szCs w:val="24"/>
          <w:lang w:val="en-US"/>
        </w:rPr>
        <w:t>the importance of</w:t>
      </w:r>
      <w:r w:rsidR="00EF60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D22C4">
        <w:rPr>
          <w:rFonts w:ascii="Times New Roman" w:eastAsia="Calibri" w:hAnsi="Times New Roman" w:cs="Times New Roman"/>
          <w:sz w:val="24"/>
          <w:szCs w:val="24"/>
          <w:lang w:val="en-US"/>
        </w:rPr>
        <w:t>consider</w:t>
      </w:r>
      <w:r w:rsidR="004C7FDB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victim</w:t>
      </w:r>
      <w:r w:rsidR="00396C09">
        <w:rPr>
          <w:rFonts w:ascii="Times New Roman" w:eastAsia="Calibri" w:hAnsi="Times New Roman" w:cs="Times New Roman"/>
          <w:sz w:val="24"/>
          <w:szCs w:val="24"/>
          <w:lang w:val="en-US"/>
        </w:rPr>
        <w:t>’s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needs</w:t>
      </w:r>
      <w:r w:rsidR="00EF60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C7F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>wishes, a</w:t>
      </w:r>
      <w:r w:rsidR="004C7FDB">
        <w:rPr>
          <w:rFonts w:ascii="Times New Roman" w:eastAsia="Calibri" w:hAnsi="Times New Roman" w:cs="Times New Roman"/>
          <w:sz w:val="24"/>
          <w:szCs w:val="24"/>
          <w:lang w:val="en-US"/>
        </w:rPr>
        <w:t>s well as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offer</w:t>
      </w:r>
      <w:r w:rsidR="004C7FDB"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information to support informed choices, consistent with a victim-centered approach (Spangler &amp; Brandl, 2007). Case two highlighted the 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unique 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challenges 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>for health care providers when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3A4D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older adult lack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ability to express what is happening to them</w:t>
      </w:r>
      <w:r w:rsidR="001C09A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(Burgess &amp; Phillips, 2006)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 </w:t>
      </w:r>
      <w:r w:rsidR="00BA3A4D">
        <w:rPr>
          <w:rFonts w:ascii="Times New Roman" w:eastAsia="Calibri" w:hAnsi="Times New Roman" w:cs="Times New Roman"/>
          <w:sz w:val="24"/>
          <w:szCs w:val="24"/>
          <w:lang w:val="en-US"/>
        </w:rPr>
        <w:t>such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cases, the need </w:t>
      </w:r>
      <w:r w:rsidR="001C09A5">
        <w:rPr>
          <w:rFonts w:ascii="Times New Roman" w:eastAsia="Calibri" w:hAnsi="Times New Roman" w:cs="Times New Roman"/>
          <w:sz w:val="24"/>
          <w:szCs w:val="24"/>
          <w:lang w:val="en-US"/>
        </w:rPr>
        <w:t>to obtain corroborating evidence and collaborate with other professionals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</w:t>
      </w:r>
      <w:r w:rsidR="001C09A5">
        <w:rPr>
          <w:rFonts w:ascii="Times New Roman" w:eastAsia="Calibri" w:hAnsi="Times New Roman" w:cs="Times New Roman"/>
          <w:sz w:val="24"/>
          <w:szCs w:val="24"/>
          <w:lang w:val="en-US"/>
        </w:rPr>
        <w:t>essential</w:t>
      </w:r>
      <w:r w:rsidR="002E20F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forensic nurse</w:t>
      </w:r>
      <w:r w:rsidR="00BA3A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can play a pivotal role here </w:t>
      </w:r>
      <w:r w:rsidR="00611F2E">
        <w:rPr>
          <w:rFonts w:ascii="Times New Roman" w:eastAsia="Calibri" w:hAnsi="Times New Roman" w:cs="Times New Roman"/>
          <w:sz w:val="24"/>
          <w:szCs w:val="24"/>
          <w:lang w:val="en-US"/>
        </w:rPr>
        <w:t>in the assessment and documentation of indicators of abuse</w:t>
      </w:r>
      <w:r w:rsidR="00123C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882BB6">
        <w:rPr>
          <w:rFonts w:ascii="Times New Roman" w:eastAsia="Calibri" w:hAnsi="Times New Roman" w:cs="Times New Roman"/>
          <w:sz w:val="24"/>
          <w:szCs w:val="24"/>
          <w:lang w:val="en-US"/>
        </w:rPr>
        <w:t>Both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 have also highlighted specific challenges associated to rural communities, </w:t>
      </w:r>
      <w:r w:rsidR="00DA2CDF">
        <w:rPr>
          <w:rFonts w:ascii="Times New Roman" w:eastAsia="Calibri" w:hAnsi="Times New Roman" w:cs="Times New Roman"/>
          <w:sz w:val="24"/>
          <w:szCs w:val="24"/>
          <w:lang w:val="en-US"/>
        </w:rPr>
        <w:t>stressing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importance of </w:t>
      </w:r>
      <w:r w:rsidR="005251CD">
        <w:rPr>
          <w:rFonts w:ascii="Times New Roman" w:eastAsia="Calibri" w:hAnsi="Times New Roman" w:cs="Times New Roman"/>
          <w:sz w:val="24"/>
          <w:szCs w:val="24"/>
          <w:lang w:val="en-US"/>
        </w:rPr>
        <w:t>local context</w:t>
      </w:r>
      <w:r w:rsidR="000455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(e.g.,</w:t>
      </w:r>
      <w:r w:rsidR="00403D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degree of</w:t>
      </w:r>
      <w:r w:rsidR="000455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03D4C">
        <w:rPr>
          <w:rFonts w:ascii="Times New Roman" w:eastAsia="Calibri" w:hAnsi="Times New Roman" w:cs="Times New Roman"/>
          <w:sz w:val="24"/>
          <w:szCs w:val="24"/>
          <w:lang w:val="en-US"/>
        </w:rPr>
        <w:t>interconnectedness or geographical isolation</w:t>
      </w:r>
      <w:r w:rsidR="000455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when considering the older adult’s ability to disclose abuse and </w:t>
      </w:r>
      <w:r w:rsidR="001C09A5">
        <w:rPr>
          <w:rFonts w:ascii="Times New Roman" w:eastAsia="Calibri" w:hAnsi="Times New Roman" w:cs="Times New Roman"/>
          <w:sz w:val="24"/>
          <w:szCs w:val="24"/>
          <w:lang w:val="en-US"/>
        </w:rPr>
        <w:t>when implementing interventions (Warren &amp; Blundell, 2019)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CE7D879" w14:textId="2A96756C" w:rsidR="0079752D" w:rsidRDefault="003367D1" w:rsidP="0022797D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1A50">
        <w:rPr>
          <w:rFonts w:ascii="Times New Roman" w:eastAsia="Calibri" w:hAnsi="Times New Roman" w:cs="Times New Roman"/>
          <w:sz w:val="24"/>
          <w:szCs w:val="24"/>
          <w:lang w:val="en-US"/>
        </w:rPr>
        <w:t>This</w:t>
      </w:r>
      <w:r w:rsidR="001D3F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paper was able to identify relevant research to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support many of the recommendations </w:t>
      </w:r>
      <w:r w:rsidR="00651A50">
        <w:rPr>
          <w:rFonts w:ascii="Times New Roman" w:eastAsia="Calibri" w:hAnsi="Times New Roman" w:cs="Times New Roman"/>
          <w:sz w:val="24"/>
          <w:szCs w:val="24"/>
          <w:lang w:val="en-US"/>
        </w:rPr>
        <w:t>provided and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utilized practitioner experience to expand on those points</w:t>
      </w:r>
      <w:r w:rsidR="00651A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However,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still many gaps in the empirical literature around best practices in EA case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management</w:t>
      </w:r>
      <w:r w:rsidR="00DD71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victims’ experiences of elder abuse and help-seeking</w:t>
      </w:r>
      <w:r w:rsidR="00651A50">
        <w:rPr>
          <w:rFonts w:ascii="Times New Roman" w:eastAsia="Calibri" w:hAnsi="Times New Roman" w:cs="Times New Roman"/>
          <w:sz w:val="24"/>
          <w:szCs w:val="24"/>
          <w:lang w:val="en-US"/>
        </w:rPr>
        <w:t>, especially when victims suffer from cognitive impairments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. To facilitate disclosure and successful case management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92752">
        <w:rPr>
          <w:rFonts w:ascii="Times New Roman" w:eastAsia="Calibri" w:hAnsi="Times New Roman" w:cs="Times New Roman"/>
          <w:sz w:val="24"/>
          <w:szCs w:val="24"/>
          <w:lang w:val="en-US"/>
        </w:rPr>
        <w:t>research needs to focus on how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victims experience intervention by health</w:t>
      </w:r>
      <w:r w:rsidR="00E436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care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providers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A9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explore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approaches that they find helpful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unhelpful. Much of the research 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date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has focused on the pro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viders’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perspective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>By integrating victims’ voices in</w:t>
      </w:r>
      <w:r w:rsidR="00097965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C09A5">
        <w:rPr>
          <w:rFonts w:ascii="Times New Roman" w:eastAsia="Calibri" w:hAnsi="Times New Roman" w:cs="Times New Roman"/>
          <w:sz w:val="24"/>
          <w:szCs w:val="24"/>
          <w:lang w:val="en-US"/>
        </w:rPr>
        <w:t>studies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intervention 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able to </w:t>
      </w:r>
      <w:r w:rsidR="002377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best meet </w:t>
      </w:r>
      <w:r w:rsidR="000A229F">
        <w:rPr>
          <w:rFonts w:ascii="Times New Roman" w:eastAsia="Calibri" w:hAnsi="Times New Roman" w:cs="Times New Roman"/>
          <w:sz w:val="24"/>
          <w:szCs w:val="24"/>
          <w:lang w:val="en-US"/>
        </w:rPr>
        <w:t>victims’ wishes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5E32537D" w14:textId="77777777" w:rsidR="00DD7A65" w:rsidRDefault="00DD7A65" w:rsidP="008D0A78">
      <w:pPr>
        <w:tabs>
          <w:tab w:val="left" w:pos="1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70C515" w14:textId="5130F4F6" w:rsidR="00F5044B" w:rsidRPr="0022797D" w:rsidRDefault="00952BEA" w:rsidP="008D0A78">
      <w:pPr>
        <w:tabs>
          <w:tab w:val="left" w:pos="1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0C22D9" w14:textId="3A8E294C" w:rsidR="00D62F1E" w:rsidRDefault="00D62F1E" w:rsidP="00D62F1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</w:t>
      </w:r>
    </w:p>
    <w:p w14:paraId="006EF774" w14:textId="77777777" w:rsidR="0064188C" w:rsidRDefault="0064188C" w:rsidP="003D0D47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4F6517">
        <w:rPr>
          <w:rFonts w:ascii="Times New Roman" w:hAnsi="Times New Roman" w:cs="Times New Roman"/>
          <w:sz w:val="24"/>
        </w:rPr>
        <w:t xml:space="preserve">Bows, H. (2018). Practitioner views on the impacts, challenges, and barriers in supporting older survivors of sexual violence. </w:t>
      </w:r>
      <w:r w:rsidRPr="008D0A78">
        <w:rPr>
          <w:rFonts w:ascii="Times New Roman" w:hAnsi="Times New Roman" w:cs="Times New Roman"/>
          <w:i/>
          <w:iCs/>
          <w:sz w:val="24"/>
        </w:rPr>
        <w:t>Violence Against Women, 24</w:t>
      </w:r>
      <w:r w:rsidRPr="004F6517">
        <w:rPr>
          <w:rFonts w:ascii="Times New Roman" w:hAnsi="Times New Roman" w:cs="Times New Roman"/>
          <w:sz w:val="24"/>
        </w:rPr>
        <w:t>, 1070–1090. doi:10.1177/1077801217732348</w:t>
      </w:r>
    </w:p>
    <w:p w14:paraId="3C17D2CA" w14:textId="77777777" w:rsidR="0064188C" w:rsidRPr="002E68A4" w:rsidRDefault="0064188C" w:rsidP="003D0D47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773367">
        <w:rPr>
          <w:rFonts w:ascii="Times New Roman" w:hAnsi="Times New Roman" w:cs="Times New Roman"/>
          <w:sz w:val="24"/>
        </w:rPr>
        <w:t xml:space="preserve">Burgess, A. W., &amp; Phillips, S. L. (2006). Sexual abuse, trauma and dementia in the elderly: A retrospective study of 284 cases. </w:t>
      </w:r>
      <w:r w:rsidRPr="0025349D">
        <w:rPr>
          <w:rFonts w:ascii="Times New Roman" w:hAnsi="Times New Roman" w:cs="Times New Roman"/>
          <w:i/>
          <w:iCs/>
          <w:sz w:val="24"/>
        </w:rPr>
        <w:t>Victims and Offenders</w:t>
      </w:r>
      <w:r w:rsidRPr="0025349D">
        <w:rPr>
          <w:rFonts w:ascii="Times New Roman" w:hAnsi="Times New Roman" w:cs="Times New Roman"/>
          <w:sz w:val="24"/>
        </w:rPr>
        <w:t xml:space="preserve">, </w:t>
      </w:r>
      <w:r w:rsidRPr="0025349D">
        <w:rPr>
          <w:rFonts w:ascii="Times New Roman" w:hAnsi="Times New Roman" w:cs="Times New Roman"/>
          <w:i/>
          <w:iCs/>
          <w:sz w:val="24"/>
        </w:rPr>
        <w:t>1</w:t>
      </w:r>
      <w:r w:rsidRPr="0025349D">
        <w:rPr>
          <w:rFonts w:ascii="Times New Roman" w:hAnsi="Times New Roman" w:cs="Times New Roman"/>
          <w:sz w:val="24"/>
        </w:rPr>
        <w:t>(2), 193-204.</w:t>
      </w:r>
      <w:r>
        <w:rPr>
          <w:rFonts w:ascii="Times New Roman" w:hAnsi="Times New Roman" w:cs="Times New Roman"/>
          <w:sz w:val="24"/>
        </w:rPr>
        <w:t xml:space="preserve"> doi:</w:t>
      </w:r>
      <w:r w:rsidRPr="002E68A4">
        <w:rPr>
          <w:rFonts w:ascii="Times New Roman" w:hAnsi="Times New Roman" w:cs="Times New Roman"/>
          <w:sz w:val="24"/>
        </w:rPr>
        <w:t>10.1080/15564880600663935</w:t>
      </w:r>
    </w:p>
    <w:p w14:paraId="78FE6B51" w14:textId="77777777" w:rsidR="0064188C" w:rsidRPr="002E68A4" w:rsidRDefault="0064188C" w:rsidP="00797FCF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84089">
        <w:rPr>
          <w:rFonts w:ascii="Times New Roman" w:hAnsi="Times New Roman" w:cs="Times New Roman"/>
          <w:sz w:val="24"/>
        </w:rPr>
        <w:t xml:space="preserve">Burnes, D., Lachs, M. S., Burnette, D., &amp; Pillemer, K. (2017). Varying appraisals of elder mistreatment among victims: Findings from a population-based study. </w:t>
      </w:r>
      <w:r w:rsidRPr="00EB6657">
        <w:rPr>
          <w:rFonts w:ascii="Times New Roman" w:hAnsi="Times New Roman" w:cs="Times New Roman"/>
          <w:i/>
          <w:iCs/>
          <w:sz w:val="24"/>
        </w:rPr>
        <w:t>The Journals of Gerontology: Series B</w:t>
      </w:r>
      <w:r w:rsidRPr="00EB66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doi:</w:t>
      </w:r>
      <w:r w:rsidRPr="002E68A4">
        <w:rPr>
          <w:rFonts w:ascii="Times New Roman" w:hAnsi="Times New Roman" w:cs="Times New Roman"/>
          <w:sz w:val="24"/>
        </w:rPr>
        <w:t>10.1093/geronb/gbx005</w:t>
      </w:r>
    </w:p>
    <w:p w14:paraId="53680939" w14:textId="77777777" w:rsidR="0064188C" w:rsidRDefault="0064188C" w:rsidP="00CB384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166063">
        <w:rPr>
          <w:rFonts w:ascii="Times New Roman" w:hAnsi="Times New Roman" w:cs="Times New Roman"/>
          <w:sz w:val="24"/>
        </w:rPr>
        <w:t xml:space="preserve">Butchart, A. and Mikton, C. (2014) </w:t>
      </w:r>
      <w:r w:rsidRPr="00166063">
        <w:rPr>
          <w:rFonts w:ascii="Times New Roman" w:hAnsi="Times New Roman" w:cs="Times New Roman"/>
          <w:i/>
          <w:iCs/>
          <w:sz w:val="24"/>
        </w:rPr>
        <w:t>Global statu</w:t>
      </w:r>
      <w:r>
        <w:rPr>
          <w:rFonts w:ascii="Times New Roman" w:hAnsi="Times New Roman" w:cs="Times New Roman"/>
          <w:i/>
          <w:iCs/>
          <w:sz w:val="24"/>
        </w:rPr>
        <w:t xml:space="preserve">s report on violence prevention, </w:t>
      </w:r>
      <w:r w:rsidRPr="002E68A4">
        <w:rPr>
          <w:rFonts w:ascii="Times New Roman" w:hAnsi="Times New Roman" w:cs="Times New Roman"/>
          <w:i/>
          <w:iCs/>
          <w:sz w:val="24"/>
        </w:rPr>
        <w:t>t</w:t>
      </w:r>
      <w:r>
        <w:rPr>
          <w:rFonts w:ascii="Times New Roman" w:hAnsi="Times New Roman" w:cs="Times New Roman"/>
          <w:i/>
          <w:sz w:val="24"/>
        </w:rPr>
        <w:t>echnical r</w:t>
      </w:r>
      <w:r w:rsidRPr="002E68A4">
        <w:rPr>
          <w:rFonts w:ascii="Times New Roman" w:hAnsi="Times New Roman" w:cs="Times New Roman"/>
          <w:i/>
          <w:sz w:val="24"/>
        </w:rPr>
        <w:t>eport</w:t>
      </w:r>
      <w:r w:rsidRPr="00166063">
        <w:rPr>
          <w:rFonts w:ascii="Times New Roman" w:hAnsi="Times New Roman" w:cs="Times New Roman"/>
          <w:sz w:val="24"/>
        </w:rPr>
        <w:t xml:space="preserve">. World Health Organization. Available from: </w:t>
      </w:r>
      <w:hyperlink r:id="rId8" w:history="1">
        <w:r w:rsidRPr="00166063">
          <w:rPr>
            <w:rStyle w:val="Hyperlink"/>
            <w:rFonts w:ascii="Times New Roman" w:hAnsi="Times New Roman" w:cs="Times New Roman"/>
            <w:sz w:val="24"/>
          </w:rPr>
          <w:t>http://eprints.uwe.ac.uk/30034</w:t>
        </w:r>
      </w:hyperlink>
    </w:p>
    <w:p w14:paraId="1FC5C089" w14:textId="624AD5FB" w:rsidR="0064188C" w:rsidRDefault="0064188C" w:rsidP="006F719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5349D">
        <w:rPr>
          <w:rFonts w:ascii="Times New Roman" w:hAnsi="Times New Roman" w:cs="Times New Roman"/>
          <w:sz w:val="24"/>
          <w:szCs w:val="24"/>
          <w:lang w:val="en-GB"/>
        </w:rPr>
        <w:t xml:space="preserve">Crome, P., Moulias, R., Sánchez-Castellano, C., Tilvis, R., Arora, A., Busby, F., ... </w:t>
      </w:r>
      <w:r w:rsidRPr="0095179C">
        <w:rPr>
          <w:rFonts w:ascii="Times New Roman" w:hAnsi="Times New Roman" w:cs="Times New Roman"/>
          <w:sz w:val="24"/>
          <w:szCs w:val="24"/>
          <w:lang w:val="en-GB"/>
        </w:rPr>
        <w:t xml:space="preserve">&amp; Cruz-Jentoft, A. J. (2014). Elder abuse in Finland, France, Spain and United Kingdom. </w:t>
      </w:r>
      <w:r w:rsidRPr="0025349D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 Geriatric Medicine</w:t>
      </w:r>
      <w:r w:rsidRPr="002534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5349D">
        <w:rPr>
          <w:rFonts w:ascii="Times New Roman" w:hAnsi="Times New Roman" w:cs="Times New Roman"/>
          <w:i/>
          <w:iCs/>
          <w:sz w:val="24"/>
          <w:szCs w:val="24"/>
          <w:lang w:val="en-GB"/>
        </w:rPr>
        <w:t>5</w:t>
      </w:r>
      <w:r w:rsidRPr="0025349D">
        <w:rPr>
          <w:rFonts w:ascii="Times New Roman" w:hAnsi="Times New Roman" w:cs="Times New Roman"/>
          <w:sz w:val="24"/>
          <w:szCs w:val="24"/>
          <w:lang w:val="en-GB"/>
        </w:rPr>
        <w:t>(4), 277-284.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doi:</w:t>
      </w:r>
      <w:r w:rsidRPr="002E68A4">
        <w:rPr>
          <w:rFonts w:ascii="Times New Roman" w:hAnsi="Times New Roman" w:cs="Times New Roman"/>
          <w:sz w:val="24"/>
          <w:szCs w:val="24"/>
          <w:lang w:val="en-GB"/>
        </w:rPr>
        <w:t>10.1016/j.eurger.2014.05.008</w:t>
      </w:r>
    </w:p>
    <w:p w14:paraId="6BFFD6D2" w14:textId="60464E9F" w:rsidR="00B01DCB" w:rsidRPr="006F719B" w:rsidRDefault="00B01DCB" w:rsidP="006F719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01DC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Dong, X. (2012). Culture diversity and elder abuse: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01DCB">
        <w:rPr>
          <w:rFonts w:ascii="Times New Roman" w:hAnsi="Times New Roman" w:cs="Times New Roman"/>
          <w:sz w:val="24"/>
          <w:szCs w:val="24"/>
          <w:lang w:val="en-GB"/>
        </w:rPr>
        <w:t xml:space="preserve">mplications for research, education, and policy. </w:t>
      </w:r>
      <w:r w:rsidRPr="00B01DCB">
        <w:rPr>
          <w:rFonts w:ascii="Times New Roman" w:hAnsi="Times New Roman" w:cs="Times New Roman"/>
          <w:i/>
          <w:iCs/>
          <w:sz w:val="24"/>
          <w:szCs w:val="24"/>
          <w:lang w:val="en-GB"/>
        </w:rPr>
        <w:t>Generations, 36</w:t>
      </w:r>
      <w:r w:rsidRPr="00B01DCB">
        <w:rPr>
          <w:rFonts w:ascii="Times New Roman" w:hAnsi="Times New Roman" w:cs="Times New Roman"/>
          <w:sz w:val="24"/>
          <w:szCs w:val="24"/>
          <w:lang w:val="en-GB"/>
        </w:rPr>
        <w:t>(3), 40-42.</w:t>
      </w:r>
    </w:p>
    <w:p w14:paraId="00780C7C" w14:textId="77777777" w:rsidR="0064188C" w:rsidRPr="001C3005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bookmarkStart w:id="23" w:name="_Hlk26980487"/>
      <w:r w:rsidRPr="00456EBD">
        <w:rPr>
          <w:rFonts w:ascii="Times New Roman" w:hAnsi="Times New Roman" w:cs="Times New Roman"/>
          <w:sz w:val="24"/>
        </w:rPr>
        <w:t>Donnelly, S. (2019). Mandatory reporting and adult safeguarding:</w:t>
      </w:r>
      <w:r>
        <w:rPr>
          <w:rFonts w:ascii="Times New Roman" w:hAnsi="Times New Roman" w:cs="Times New Roman"/>
          <w:sz w:val="24"/>
        </w:rPr>
        <w:t xml:space="preserve"> A</w:t>
      </w:r>
      <w:r w:rsidRPr="00456EBD">
        <w:rPr>
          <w:rFonts w:ascii="Times New Roman" w:hAnsi="Times New Roman" w:cs="Times New Roman"/>
          <w:sz w:val="24"/>
        </w:rPr>
        <w:t xml:space="preserve"> rapid realist review. </w:t>
      </w:r>
      <w:r w:rsidRPr="00456EBD">
        <w:rPr>
          <w:rFonts w:ascii="Times New Roman" w:hAnsi="Times New Roman" w:cs="Times New Roman"/>
          <w:i/>
          <w:iCs/>
          <w:sz w:val="24"/>
        </w:rPr>
        <w:t>The Journal of Adult Protection</w:t>
      </w:r>
      <w:r>
        <w:rPr>
          <w:rFonts w:ascii="Times New Roman" w:hAnsi="Times New Roman" w:cs="Times New Roman"/>
          <w:i/>
          <w:iCs/>
          <w:sz w:val="24"/>
        </w:rPr>
        <w:t xml:space="preserve">, 21, </w:t>
      </w:r>
      <w:r>
        <w:rPr>
          <w:rFonts w:ascii="Times New Roman" w:hAnsi="Times New Roman" w:cs="Times New Roman"/>
          <w:sz w:val="24"/>
        </w:rPr>
        <w:t>241-251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doi:</w:t>
      </w:r>
      <w:r w:rsidRPr="00456EBD">
        <w:rPr>
          <w:rFonts w:ascii="Times New Roman" w:hAnsi="Times New Roman" w:cs="Times New Roman"/>
          <w:sz w:val="24"/>
        </w:rPr>
        <w:t>10.1108/JAP-03-2019-0011</w:t>
      </w:r>
    </w:p>
    <w:bookmarkEnd w:id="23"/>
    <w:p w14:paraId="0ACA7732" w14:textId="6C6B6E3C" w:rsidR="0064188C" w:rsidRDefault="0064188C" w:rsidP="00C91393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F6517">
        <w:rPr>
          <w:rFonts w:ascii="Times New Roman" w:hAnsi="Times New Roman" w:cs="Times New Roman"/>
          <w:sz w:val="24"/>
          <w:szCs w:val="24"/>
          <w:lang w:val="en-GB"/>
        </w:rPr>
        <w:t xml:space="preserve">Fraga Dominguez, S., Storey, J. E., &amp; Glorney, E. (2019). Help-seeking behavior in victims of elder abuse: </w:t>
      </w:r>
      <w:r w:rsidR="00FB4F9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F6517">
        <w:rPr>
          <w:rFonts w:ascii="Times New Roman" w:hAnsi="Times New Roman" w:cs="Times New Roman"/>
          <w:sz w:val="24"/>
          <w:szCs w:val="24"/>
          <w:lang w:val="en-GB"/>
        </w:rPr>
        <w:t xml:space="preserve"> systematic review. </w:t>
      </w:r>
      <w:r w:rsidRPr="004F6517">
        <w:rPr>
          <w:rFonts w:ascii="Times New Roman" w:hAnsi="Times New Roman" w:cs="Times New Roman"/>
          <w:i/>
          <w:iCs/>
          <w:sz w:val="24"/>
          <w:szCs w:val="24"/>
          <w:lang w:val="en-GB"/>
        </w:rPr>
        <w:t>Trauma, Violence, &amp; Abuse</w:t>
      </w:r>
      <w:r w:rsidRPr="004F6517">
        <w:rPr>
          <w:rFonts w:ascii="Times New Roman" w:hAnsi="Times New Roman" w:cs="Times New Roman"/>
          <w:sz w:val="24"/>
          <w:szCs w:val="24"/>
          <w:lang w:val="en-GB"/>
        </w:rPr>
        <w:t>, 1524838019860616.</w:t>
      </w:r>
    </w:p>
    <w:p w14:paraId="69E90389" w14:textId="26269AE8" w:rsidR="00006F63" w:rsidRDefault="00006F63" w:rsidP="00C91393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006F63">
        <w:rPr>
          <w:rFonts w:ascii="Times New Roman" w:hAnsi="Times New Roman" w:cs="Times New Roman"/>
          <w:sz w:val="24"/>
          <w:szCs w:val="24"/>
        </w:rPr>
        <w:t>Gallione,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Molin,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Cristina,</w:t>
      </w:r>
      <w:r w:rsidRPr="00006F63"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Ferns,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Mattioli,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M.,</w:t>
      </w:r>
      <w:r w:rsidRPr="00006F63">
        <w:rPr>
          <w:rFonts w:ascii="Times New Roman" w:hAnsi="Times New Roman" w:cs="Times New Roman"/>
          <w:sz w:val="24"/>
          <w:szCs w:val="24"/>
        </w:rPr>
        <w:tab/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Suardi,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(2017).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elder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abuse: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 xml:space="preserve">systematic review. </w:t>
      </w:r>
      <w:r w:rsidRPr="00006F63">
        <w:rPr>
          <w:rFonts w:ascii="Times New Roman" w:hAnsi="Times New Roman" w:cs="Times New Roman"/>
          <w:i/>
          <w:iCs/>
          <w:sz w:val="24"/>
          <w:szCs w:val="24"/>
        </w:rPr>
        <w:t>Journal of Clinical Nursing, 26</w:t>
      </w:r>
      <w:r w:rsidRPr="00006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F63">
        <w:rPr>
          <w:rFonts w:ascii="Times New Roman" w:hAnsi="Times New Roman" w:cs="Times New Roman"/>
          <w:sz w:val="24"/>
          <w:szCs w:val="24"/>
        </w:rPr>
        <w:t>2154–2176.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006F63">
        <w:rPr>
          <w:rFonts w:ascii="Times New Roman" w:hAnsi="Times New Roman" w:cs="Times New Roman"/>
          <w:sz w:val="24"/>
          <w:szCs w:val="24"/>
        </w:rPr>
        <w:t>10.1111/jocn.2017.26.issue-15pt16</w:t>
      </w:r>
    </w:p>
    <w:p w14:paraId="144B75F9" w14:textId="77777777" w:rsidR="0064188C" w:rsidRDefault="0064188C" w:rsidP="00C91393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872B81">
        <w:rPr>
          <w:rFonts w:ascii="Times New Roman" w:hAnsi="Times New Roman" w:cs="Times New Roman"/>
          <w:sz w:val="24"/>
          <w:szCs w:val="24"/>
          <w:lang w:val="en-GB"/>
        </w:rPr>
        <w:t xml:space="preserve">Jackson, S. L., &amp; Hafemeister, T. L. (2013). How do abused elderly persons and their adult protective services caseworkers view law enforcement involvement and criminal prosecution, and what impact do these views have on case processing?.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E</w:t>
      </w:r>
      <w:r w:rsidRPr="00872B8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lder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Abuse &amp; N</w:t>
      </w:r>
      <w:r w:rsidRPr="00872B81">
        <w:rPr>
          <w:rFonts w:ascii="Times New Roman" w:hAnsi="Times New Roman" w:cs="Times New Roman"/>
          <w:i/>
          <w:iCs/>
          <w:sz w:val="24"/>
          <w:szCs w:val="24"/>
          <w:lang w:val="en-GB"/>
        </w:rPr>
        <w:t>eglect</w:t>
      </w:r>
      <w:r w:rsidRPr="00872B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72B81">
        <w:rPr>
          <w:rFonts w:ascii="Times New Roman" w:hAnsi="Times New Roman" w:cs="Times New Roman"/>
          <w:i/>
          <w:iCs/>
          <w:sz w:val="24"/>
          <w:szCs w:val="24"/>
          <w:lang w:val="en-GB"/>
        </w:rPr>
        <w:t>25</w:t>
      </w:r>
      <w:r w:rsidRPr="00872B81">
        <w:rPr>
          <w:rFonts w:ascii="Times New Roman" w:hAnsi="Times New Roman" w:cs="Times New Roman"/>
          <w:sz w:val="24"/>
          <w:szCs w:val="24"/>
          <w:lang w:val="en-GB"/>
        </w:rPr>
        <w:t>(3), 254-280.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doi:</w:t>
      </w:r>
      <w:r w:rsidRPr="00872B81">
        <w:rPr>
          <w:rFonts w:ascii="Times New Roman" w:hAnsi="Times New Roman" w:cs="Times New Roman"/>
          <w:sz w:val="24"/>
          <w:szCs w:val="24"/>
          <w:lang w:val="en-GB"/>
        </w:rPr>
        <w:t>10.1080/08946566.2012.751843</w:t>
      </w:r>
    </w:p>
    <w:p w14:paraId="2DF98126" w14:textId="77777777" w:rsidR="0064188C" w:rsidRDefault="0064188C" w:rsidP="00C91393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05891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>, S. L.</w:t>
      </w:r>
      <w:r w:rsidRPr="00C05891">
        <w:rPr>
          <w:rFonts w:ascii="Times New Roman" w:hAnsi="Times New Roman" w:cs="Times New Roman"/>
          <w:sz w:val="24"/>
          <w:szCs w:val="24"/>
        </w:rPr>
        <w:t xml:space="preserve">, &amp; Hafemeister, T. L. (2015). The impact of relationship dynamics on the detection and reporting of elder abuse occurring in domestic settings. </w:t>
      </w:r>
      <w:r w:rsidRPr="00C05891">
        <w:rPr>
          <w:rFonts w:ascii="Times New Roman" w:hAnsi="Times New Roman" w:cs="Times New Roman"/>
          <w:i/>
          <w:sz w:val="24"/>
          <w:szCs w:val="24"/>
        </w:rPr>
        <w:t>Journal of Elder Abuse &amp; Neglect, 27</w:t>
      </w:r>
      <w:r w:rsidRPr="00C05891">
        <w:rPr>
          <w:rFonts w:ascii="Times New Roman" w:hAnsi="Times New Roman" w:cs="Times New Roman"/>
          <w:sz w:val="24"/>
          <w:szCs w:val="24"/>
        </w:rPr>
        <w:t>(2), 121-145. doi:10.1080/08946566.2015.1008085</w:t>
      </w:r>
    </w:p>
    <w:p w14:paraId="57DC6D07" w14:textId="7070EF93" w:rsidR="0064188C" w:rsidRPr="00641412" w:rsidRDefault="0064188C" w:rsidP="00641412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EB6657">
        <w:rPr>
          <w:rFonts w:ascii="Times New Roman" w:hAnsi="Times New Roman" w:cs="Times New Roman"/>
          <w:sz w:val="24"/>
        </w:rPr>
        <w:t xml:space="preserve">Labrum, T., &amp; Solomon, P. L. (2018). Elder mistreatment perpetrators with substance abuse and/or mental health conditions: </w:t>
      </w:r>
      <w:r w:rsidR="00FB4F9A">
        <w:rPr>
          <w:rFonts w:ascii="Times New Roman" w:hAnsi="Times New Roman" w:cs="Times New Roman"/>
          <w:sz w:val="24"/>
        </w:rPr>
        <w:t>R</w:t>
      </w:r>
      <w:r w:rsidRPr="00EB6657">
        <w:rPr>
          <w:rFonts w:ascii="Times New Roman" w:hAnsi="Times New Roman" w:cs="Times New Roman"/>
          <w:sz w:val="24"/>
        </w:rPr>
        <w:t xml:space="preserve">esults from the National Elder Mistreatment Study. </w:t>
      </w:r>
      <w:r>
        <w:rPr>
          <w:rFonts w:ascii="Times New Roman" w:hAnsi="Times New Roman" w:cs="Times New Roman"/>
          <w:i/>
          <w:iCs/>
          <w:sz w:val="24"/>
        </w:rPr>
        <w:t>Psychiatric Q</w:t>
      </w:r>
      <w:r w:rsidRPr="0025349D">
        <w:rPr>
          <w:rFonts w:ascii="Times New Roman" w:hAnsi="Times New Roman" w:cs="Times New Roman"/>
          <w:i/>
          <w:iCs/>
          <w:sz w:val="24"/>
        </w:rPr>
        <w:t>uarterly</w:t>
      </w:r>
      <w:r w:rsidRPr="0025349D">
        <w:rPr>
          <w:rFonts w:ascii="Times New Roman" w:hAnsi="Times New Roman" w:cs="Times New Roman"/>
          <w:sz w:val="24"/>
        </w:rPr>
        <w:t xml:space="preserve">, </w:t>
      </w:r>
      <w:r w:rsidRPr="0025349D">
        <w:rPr>
          <w:rFonts w:ascii="Times New Roman" w:hAnsi="Times New Roman" w:cs="Times New Roman"/>
          <w:i/>
          <w:iCs/>
          <w:sz w:val="24"/>
        </w:rPr>
        <w:t>89</w:t>
      </w:r>
      <w:r w:rsidRPr="0025349D">
        <w:rPr>
          <w:rFonts w:ascii="Times New Roman" w:hAnsi="Times New Roman" w:cs="Times New Roman"/>
          <w:sz w:val="24"/>
        </w:rPr>
        <w:t>(1), 117-128.</w:t>
      </w:r>
      <w:r>
        <w:rPr>
          <w:rFonts w:ascii="Times New Roman" w:hAnsi="Times New Roman" w:cs="Times New Roman"/>
          <w:sz w:val="24"/>
        </w:rPr>
        <w:t xml:space="preserve"> doi:</w:t>
      </w:r>
      <w:r w:rsidRPr="009F2D9A">
        <w:rPr>
          <w:rFonts w:ascii="Times New Roman" w:hAnsi="Times New Roman" w:cs="Times New Roman"/>
          <w:sz w:val="24"/>
        </w:rPr>
        <w:t>10.1007/s11126-017-9513-z</w:t>
      </w:r>
    </w:p>
    <w:p w14:paraId="3E4F7C0C" w14:textId="77777777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4F026A">
        <w:rPr>
          <w:rFonts w:ascii="Times New Roman" w:hAnsi="Times New Roman" w:cs="Times New Roman"/>
          <w:sz w:val="24"/>
        </w:rPr>
        <w:t xml:space="preserve">Lachs, M. S., &amp; Pillemer, K. A. (2015). Elder abuse. </w:t>
      </w:r>
      <w:r w:rsidRPr="004F026A">
        <w:rPr>
          <w:rFonts w:ascii="Times New Roman" w:hAnsi="Times New Roman" w:cs="Times New Roman"/>
          <w:i/>
          <w:iCs/>
          <w:sz w:val="24"/>
        </w:rPr>
        <w:t>New England Journal of Medicine</w:t>
      </w:r>
      <w:r w:rsidRPr="004F026A">
        <w:rPr>
          <w:rFonts w:ascii="Times New Roman" w:hAnsi="Times New Roman" w:cs="Times New Roman"/>
          <w:sz w:val="24"/>
        </w:rPr>
        <w:t xml:space="preserve">, </w:t>
      </w:r>
      <w:r w:rsidRPr="004F026A">
        <w:rPr>
          <w:rFonts w:ascii="Times New Roman" w:hAnsi="Times New Roman" w:cs="Times New Roman"/>
          <w:i/>
          <w:iCs/>
          <w:sz w:val="24"/>
        </w:rPr>
        <w:t>373</w:t>
      </w:r>
      <w:r w:rsidRPr="004F026A">
        <w:rPr>
          <w:rFonts w:ascii="Times New Roman" w:hAnsi="Times New Roman" w:cs="Times New Roman"/>
          <w:sz w:val="24"/>
        </w:rPr>
        <w:t>(20), 1947-1956.</w:t>
      </w:r>
      <w:r>
        <w:rPr>
          <w:rFonts w:ascii="Times New Roman" w:hAnsi="Times New Roman" w:cs="Times New Roman"/>
          <w:sz w:val="24"/>
        </w:rPr>
        <w:t xml:space="preserve"> doi:</w:t>
      </w:r>
      <w:r w:rsidRPr="009F2D9A">
        <w:rPr>
          <w:rFonts w:ascii="Times New Roman" w:hAnsi="Times New Roman" w:cs="Times New Roman"/>
          <w:sz w:val="24"/>
        </w:rPr>
        <w:t>10.1056/nejmra1404688</w:t>
      </w:r>
    </w:p>
    <w:p w14:paraId="0A56BA12" w14:textId="77777777" w:rsidR="0064188C" w:rsidRPr="00081C8A" w:rsidRDefault="0064188C" w:rsidP="00456EBD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95179C">
        <w:rPr>
          <w:rFonts w:ascii="Times New Roman" w:hAnsi="Times New Roman" w:cs="Times New Roman"/>
          <w:sz w:val="24"/>
        </w:rPr>
        <w:lastRenderedPageBreak/>
        <w:t xml:space="preserve">Mackay, K. (2017). Choosing to live with harm? A presentation of two case studies to explore the perspective of those who experienced adult safeguarding interventions. </w:t>
      </w:r>
      <w:r w:rsidRPr="0025349D">
        <w:rPr>
          <w:rFonts w:ascii="Times New Roman" w:hAnsi="Times New Roman" w:cs="Times New Roman"/>
          <w:i/>
          <w:iCs/>
          <w:sz w:val="24"/>
        </w:rPr>
        <w:t>Ethics and Social Welfare</w:t>
      </w:r>
      <w:r w:rsidRPr="0025349D">
        <w:rPr>
          <w:rFonts w:ascii="Times New Roman" w:hAnsi="Times New Roman" w:cs="Times New Roman"/>
          <w:sz w:val="24"/>
        </w:rPr>
        <w:t xml:space="preserve">, </w:t>
      </w:r>
      <w:r w:rsidRPr="0025349D">
        <w:rPr>
          <w:rFonts w:ascii="Times New Roman" w:hAnsi="Times New Roman" w:cs="Times New Roman"/>
          <w:i/>
          <w:iCs/>
          <w:sz w:val="24"/>
        </w:rPr>
        <w:t>11</w:t>
      </w:r>
      <w:r w:rsidRPr="0025349D">
        <w:rPr>
          <w:rFonts w:ascii="Times New Roman" w:hAnsi="Times New Roman" w:cs="Times New Roman"/>
          <w:sz w:val="24"/>
        </w:rPr>
        <w:t>(1), 33-46.</w:t>
      </w:r>
      <w:r>
        <w:rPr>
          <w:rFonts w:ascii="Times New Roman" w:hAnsi="Times New Roman" w:cs="Times New Roman"/>
          <w:sz w:val="24"/>
        </w:rPr>
        <w:t xml:space="preserve"> doi:</w:t>
      </w:r>
      <w:r w:rsidRPr="00081C8A">
        <w:rPr>
          <w:rFonts w:ascii="Times New Roman" w:hAnsi="Times New Roman" w:cs="Times New Roman"/>
          <w:sz w:val="24"/>
        </w:rPr>
        <w:t>10.1080/17496535.2017.1280069</w:t>
      </w:r>
    </w:p>
    <w:p w14:paraId="3C2CF29F" w14:textId="3C944185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CC5436">
        <w:rPr>
          <w:rFonts w:ascii="Times New Roman" w:hAnsi="Times New Roman" w:cs="Times New Roman"/>
          <w:sz w:val="24"/>
        </w:rPr>
        <w:t xml:space="preserve">Prochaska, J. O., &amp; DiClemente, C. C. (1986). Toward a comprehensive model of change. In </w:t>
      </w:r>
      <w:r w:rsidRPr="00CC5436">
        <w:rPr>
          <w:rFonts w:ascii="Times New Roman" w:hAnsi="Times New Roman" w:cs="Times New Roman"/>
          <w:i/>
          <w:iCs/>
          <w:sz w:val="24"/>
        </w:rPr>
        <w:t>Treating addictive behaviors</w:t>
      </w:r>
      <w:r w:rsidRPr="00CC5436">
        <w:rPr>
          <w:rFonts w:ascii="Times New Roman" w:hAnsi="Times New Roman" w:cs="Times New Roman"/>
          <w:sz w:val="24"/>
        </w:rPr>
        <w:t xml:space="preserve"> (pp. 3-27). Springer</w:t>
      </w:r>
      <w:r>
        <w:rPr>
          <w:rFonts w:ascii="Times New Roman" w:hAnsi="Times New Roman" w:cs="Times New Roman"/>
          <w:sz w:val="24"/>
        </w:rPr>
        <w:t>:</w:t>
      </w:r>
      <w:r w:rsidRPr="00CC5436">
        <w:rPr>
          <w:rFonts w:ascii="Times New Roman" w:hAnsi="Times New Roman" w:cs="Times New Roman"/>
          <w:sz w:val="24"/>
        </w:rPr>
        <w:t xml:space="preserve"> Boston, MA.</w:t>
      </w:r>
    </w:p>
    <w:p w14:paraId="1EA24F34" w14:textId="788A0766" w:rsidR="00B01DCB" w:rsidRDefault="00B01DCB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B01DCB">
        <w:rPr>
          <w:rFonts w:ascii="Times New Roman" w:hAnsi="Times New Roman" w:cs="Times New Roman"/>
          <w:sz w:val="24"/>
        </w:rPr>
        <w:t xml:space="preserve">Ramsey-Klawsnik, H., &amp; Miller, E. (2017). Polyvictimization in later life: Trauma-informed best practices. </w:t>
      </w:r>
      <w:r w:rsidRPr="00B01DCB">
        <w:rPr>
          <w:rFonts w:ascii="Times New Roman" w:hAnsi="Times New Roman" w:cs="Times New Roman"/>
          <w:i/>
          <w:iCs/>
          <w:sz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</w:rPr>
        <w:t>E</w:t>
      </w:r>
      <w:r w:rsidRPr="00B01DCB">
        <w:rPr>
          <w:rFonts w:ascii="Times New Roman" w:hAnsi="Times New Roman" w:cs="Times New Roman"/>
          <w:i/>
          <w:iCs/>
          <w:sz w:val="24"/>
        </w:rPr>
        <w:t xml:space="preserve">lder </w:t>
      </w:r>
      <w:r>
        <w:rPr>
          <w:rFonts w:ascii="Times New Roman" w:hAnsi="Times New Roman" w:cs="Times New Roman"/>
          <w:i/>
          <w:iCs/>
          <w:sz w:val="24"/>
        </w:rPr>
        <w:t>A</w:t>
      </w:r>
      <w:r w:rsidRPr="00B01DCB">
        <w:rPr>
          <w:rFonts w:ascii="Times New Roman" w:hAnsi="Times New Roman" w:cs="Times New Roman"/>
          <w:i/>
          <w:iCs/>
          <w:sz w:val="24"/>
        </w:rPr>
        <w:t xml:space="preserve">buse &amp; </w:t>
      </w:r>
      <w:r>
        <w:rPr>
          <w:rFonts w:ascii="Times New Roman" w:hAnsi="Times New Roman" w:cs="Times New Roman"/>
          <w:i/>
          <w:iCs/>
          <w:sz w:val="24"/>
        </w:rPr>
        <w:t>Ne</w:t>
      </w:r>
      <w:r w:rsidRPr="00B01DCB">
        <w:rPr>
          <w:rFonts w:ascii="Times New Roman" w:hAnsi="Times New Roman" w:cs="Times New Roman"/>
          <w:i/>
          <w:iCs/>
          <w:sz w:val="24"/>
        </w:rPr>
        <w:t>glect</w:t>
      </w:r>
      <w:r w:rsidRPr="00B01DCB">
        <w:rPr>
          <w:rFonts w:ascii="Times New Roman" w:hAnsi="Times New Roman" w:cs="Times New Roman"/>
          <w:sz w:val="24"/>
        </w:rPr>
        <w:t xml:space="preserve">, </w:t>
      </w:r>
      <w:r w:rsidRPr="00B01DCB">
        <w:rPr>
          <w:rFonts w:ascii="Times New Roman" w:hAnsi="Times New Roman" w:cs="Times New Roman"/>
          <w:i/>
          <w:iCs/>
          <w:sz w:val="24"/>
        </w:rPr>
        <w:t>29</w:t>
      </w:r>
      <w:r w:rsidRPr="00B01DCB">
        <w:rPr>
          <w:rFonts w:ascii="Times New Roman" w:hAnsi="Times New Roman" w:cs="Times New Roman"/>
          <w:sz w:val="24"/>
        </w:rPr>
        <w:t>(5), 339-350.</w:t>
      </w:r>
      <w:r>
        <w:rPr>
          <w:rFonts w:ascii="Times New Roman" w:hAnsi="Times New Roman" w:cs="Times New Roman"/>
          <w:sz w:val="24"/>
        </w:rPr>
        <w:t xml:space="preserve"> doi:</w:t>
      </w:r>
      <w:r w:rsidRPr="00B01DCB">
        <w:rPr>
          <w:rFonts w:ascii="Times New Roman" w:hAnsi="Times New Roman" w:cs="Times New Roman"/>
          <w:sz w:val="24"/>
        </w:rPr>
        <w:t>10.1080/08946566.2017.1388017</w:t>
      </w:r>
    </w:p>
    <w:p w14:paraId="23648C70" w14:textId="1A35D963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2F3ADB">
        <w:rPr>
          <w:rFonts w:ascii="Times New Roman" w:hAnsi="Times New Roman" w:cs="Times New Roman"/>
          <w:sz w:val="24"/>
        </w:rPr>
        <w:t xml:space="preserve">Rosen, T., Elman, A., Dion, S., Delgado, D., Demetres, M., Breckman, R., ... </w:t>
      </w:r>
      <w:r>
        <w:rPr>
          <w:rFonts w:ascii="Times New Roman" w:hAnsi="Times New Roman" w:cs="Times New Roman"/>
          <w:sz w:val="24"/>
        </w:rPr>
        <w:t>Burnett, J. (2019). Review of programs to c</w:t>
      </w:r>
      <w:r w:rsidRPr="002F3ADB">
        <w:rPr>
          <w:rFonts w:ascii="Times New Roman" w:hAnsi="Times New Roman" w:cs="Times New Roman"/>
          <w:sz w:val="24"/>
        </w:rPr>
        <w:t>omba</w:t>
      </w:r>
      <w:r>
        <w:rPr>
          <w:rFonts w:ascii="Times New Roman" w:hAnsi="Times New Roman" w:cs="Times New Roman"/>
          <w:sz w:val="24"/>
        </w:rPr>
        <w:t>t Elder Mistreatment: Focus on hospitals and level of resources n</w:t>
      </w:r>
      <w:r w:rsidRPr="002F3ADB">
        <w:rPr>
          <w:rFonts w:ascii="Times New Roman" w:hAnsi="Times New Roman" w:cs="Times New Roman"/>
          <w:sz w:val="24"/>
        </w:rPr>
        <w:t xml:space="preserve">eeded. </w:t>
      </w:r>
      <w:r w:rsidRPr="00EB6657">
        <w:rPr>
          <w:rFonts w:ascii="Times New Roman" w:hAnsi="Times New Roman" w:cs="Times New Roman"/>
          <w:i/>
          <w:iCs/>
          <w:sz w:val="24"/>
        </w:rPr>
        <w:t>Journal of the American Geriatrics Society</w:t>
      </w:r>
      <w:r w:rsidRPr="00EB66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doi:</w:t>
      </w:r>
      <w:r w:rsidRPr="009447E2">
        <w:rPr>
          <w:rFonts w:ascii="Times New Roman" w:hAnsi="Times New Roman" w:cs="Times New Roman"/>
          <w:sz w:val="24"/>
        </w:rPr>
        <w:t>10.1111/jgs.15773</w:t>
      </w:r>
    </w:p>
    <w:p w14:paraId="1EE16A0F" w14:textId="6C1F03A9" w:rsidR="00B01DCB" w:rsidRDefault="00B01DCB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B01DCB">
        <w:rPr>
          <w:rFonts w:ascii="Times New Roman" w:hAnsi="Times New Roman" w:cs="Times New Roman"/>
          <w:sz w:val="24"/>
        </w:rPr>
        <w:t xml:space="preserve">Spangler, D., &amp; Brandl, B. (2007). Abuse in later life: Power and control dynamics and a victim-centered response. </w:t>
      </w:r>
      <w:r w:rsidRPr="00B01DCB">
        <w:rPr>
          <w:rFonts w:ascii="Times New Roman" w:hAnsi="Times New Roman" w:cs="Times New Roman"/>
          <w:i/>
          <w:iCs/>
          <w:sz w:val="24"/>
        </w:rPr>
        <w:t>Journal of the American Psychiatric Nurses Association</w:t>
      </w:r>
      <w:r w:rsidRPr="00B01DCB">
        <w:rPr>
          <w:rFonts w:ascii="Times New Roman" w:hAnsi="Times New Roman" w:cs="Times New Roman"/>
          <w:sz w:val="24"/>
        </w:rPr>
        <w:t xml:space="preserve">, </w:t>
      </w:r>
      <w:r w:rsidRPr="00B01DCB">
        <w:rPr>
          <w:rFonts w:ascii="Times New Roman" w:hAnsi="Times New Roman" w:cs="Times New Roman"/>
          <w:i/>
          <w:iCs/>
          <w:sz w:val="24"/>
        </w:rPr>
        <w:t>12</w:t>
      </w:r>
      <w:r w:rsidRPr="00B01DCB">
        <w:rPr>
          <w:rFonts w:ascii="Times New Roman" w:hAnsi="Times New Roman" w:cs="Times New Roman"/>
          <w:sz w:val="24"/>
        </w:rPr>
        <w:t>(6), 322-331.</w:t>
      </w:r>
      <w:r>
        <w:rPr>
          <w:rFonts w:ascii="Times New Roman" w:hAnsi="Times New Roman" w:cs="Times New Roman"/>
          <w:sz w:val="24"/>
        </w:rPr>
        <w:t xml:space="preserve"> doi:</w:t>
      </w:r>
      <w:r w:rsidRPr="00B01DCB">
        <w:rPr>
          <w:rFonts w:ascii="Times New Roman" w:hAnsi="Times New Roman" w:cs="Times New Roman"/>
          <w:sz w:val="24"/>
        </w:rPr>
        <w:t>10.1177/1078390306298878</w:t>
      </w:r>
    </w:p>
    <w:p w14:paraId="636C73E3" w14:textId="77777777" w:rsidR="0064188C" w:rsidRPr="004A4E17" w:rsidRDefault="0064188C" w:rsidP="004A4E17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05891">
        <w:rPr>
          <w:rFonts w:ascii="Times New Roman" w:hAnsi="Times New Roman" w:cs="Times New Roman"/>
          <w:sz w:val="24"/>
          <w:szCs w:val="24"/>
        </w:rPr>
        <w:t xml:space="preserve">Spencer, C. (2009). </w:t>
      </w:r>
      <w:r w:rsidRPr="00C05891">
        <w:rPr>
          <w:rFonts w:ascii="Times New Roman" w:hAnsi="Times New Roman" w:cs="Times New Roman"/>
          <w:i/>
          <w:sz w:val="24"/>
          <w:szCs w:val="24"/>
        </w:rPr>
        <w:t>Environmental scan and critical analysis of elder abuse screening, assessment and intervention tools for Canadian health care providers</w:t>
      </w:r>
      <w:r w:rsidRPr="00C05891">
        <w:rPr>
          <w:rFonts w:ascii="Times New Roman" w:hAnsi="Times New Roman" w:cs="Times New Roman"/>
          <w:sz w:val="24"/>
          <w:szCs w:val="24"/>
        </w:rPr>
        <w:t>. Public Health Agency of Canada.</w:t>
      </w:r>
    </w:p>
    <w:p w14:paraId="52A6A514" w14:textId="77777777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4F6517">
        <w:rPr>
          <w:rFonts w:ascii="Times New Roman" w:hAnsi="Times New Roman" w:cs="Times New Roman"/>
          <w:sz w:val="24"/>
        </w:rPr>
        <w:t>Storey, J. E. (20</w:t>
      </w:r>
      <w:r>
        <w:rPr>
          <w:rFonts w:ascii="Times New Roman" w:hAnsi="Times New Roman" w:cs="Times New Roman"/>
          <w:sz w:val="24"/>
        </w:rPr>
        <w:t>20</w:t>
      </w:r>
      <w:r w:rsidRPr="004F6517">
        <w:rPr>
          <w:rFonts w:ascii="Times New Roman" w:hAnsi="Times New Roman" w:cs="Times New Roman"/>
          <w:sz w:val="24"/>
        </w:rPr>
        <w:t xml:space="preserve">). Risk factors for elder abuse and neglect: A review of the literature. </w:t>
      </w:r>
      <w:r w:rsidRPr="004F6517">
        <w:rPr>
          <w:rFonts w:ascii="Times New Roman" w:hAnsi="Times New Roman" w:cs="Times New Roman"/>
          <w:i/>
          <w:iCs/>
          <w:sz w:val="24"/>
        </w:rPr>
        <w:t>Aggression and Violent Behavior</w:t>
      </w:r>
      <w:r w:rsidRPr="004F6517">
        <w:rPr>
          <w:rFonts w:ascii="Times New Roman" w:hAnsi="Times New Roman" w:cs="Times New Roman"/>
          <w:sz w:val="24"/>
        </w:rPr>
        <w:t xml:space="preserve">, </w:t>
      </w:r>
      <w:r w:rsidRPr="008A161C">
        <w:rPr>
          <w:rFonts w:ascii="Times New Roman" w:hAnsi="Times New Roman" w:cs="Times New Roman"/>
          <w:i/>
          <w:iCs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, </w:t>
      </w:r>
      <w:r w:rsidRPr="004F6517">
        <w:rPr>
          <w:rFonts w:ascii="Times New Roman" w:hAnsi="Times New Roman" w:cs="Times New Roman"/>
          <w:sz w:val="24"/>
        </w:rPr>
        <w:t>101339.</w:t>
      </w:r>
      <w:r>
        <w:rPr>
          <w:rFonts w:ascii="Times New Roman" w:hAnsi="Times New Roman" w:cs="Times New Roman"/>
          <w:sz w:val="24"/>
        </w:rPr>
        <w:t xml:space="preserve"> doi:</w:t>
      </w:r>
      <w:r w:rsidRPr="008A161C">
        <w:rPr>
          <w:rFonts w:ascii="Times New Roman" w:hAnsi="Times New Roman" w:cs="Times New Roman"/>
          <w:sz w:val="24"/>
        </w:rPr>
        <w:t>10.1016/j.avb.2019.101339</w:t>
      </w:r>
    </w:p>
    <w:p w14:paraId="5E17D365" w14:textId="77777777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4F6517">
        <w:rPr>
          <w:rFonts w:ascii="Times New Roman" w:hAnsi="Times New Roman" w:cs="Times New Roman"/>
          <w:sz w:val="24"/>
        </w:rPr>
        <w:t xml:space="preserve">Storey, J. E., &amp; Perka, M. R. (2018). Reaching out for help: Recommendations for practice based on an in-depth analysis of an elder abuse intervention programme. </w:t>
      </w:r>
      <w:r w:rsidRPr="004F6517">
        <w:rPr>
          <w:rFonts w:ascii="Times New Roman" w:hAnsi="Times New Roman" w:cs="Times New Roman"/>
          <w:i/>
          <w:iCs/>
          <w:sz w:val="24"/>
        </w:rPr>
        <w:t>British Journal of Social Work</w:t>
      </w:r>
      <w:r w:rsidRPr="004F6517">
        <w:rPr>
          <w:rFonts w:ascii="Times New Roman" w:hAnsi="Times New Roman" w:cs="Times New Roman"/>
          <w:sz w:val="24"/>
        </w:rPr>
        <w:t xml:space="preserve">, </w:t>
      </w:r>
      <w:r w:rsidRPr="004F6517">
        <w:rPr>
          <w:rFonts w:ascii="Times New Roman" w:hAnsi="Times New Roman" w:cs="Times New Roman"/>
          <w:i/>
          <w:iCs/>
          <w:sz w:val="24"/>
        </w:rPr>
        <w:t>48</w:t>
      </w:r>
      <w:r w:rsidRPr="004F6517">
        <w:rPr>
          <w:rFonts w:ascii="Times New Roman" w:hAnsi="Times New Roman" w:cs="Times New Roman"/>
          <w:sz w:val="24"/>
        </w:rPr>
        <w:t>(4), 1052-1070.</w:t>
      </w:r>
    </w:p>
    <w:p w14:paraId="5315AF71" w14:textId="77777777" w:rsidR="0064188C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84089">
        <w:rPr>
          <w:rFonts w:ascii="Times New Roman" w:hAnsi="Times New Roman" w:cs="Times New Roman"/>
          <w:sz w:val="24"/>
        </w:rPr>
        <w:lastRenderedPageBreak/>
        <w:t xml:space="preserve">Sylaska, K. M., &amp; Edwards, K. M. (2014). Disclosure of intimate partner violence to informal social support network members: A review of the literature. </w:t>
      </w:r>
      <w:r w:rsidRPr="0025349D">
        <w:rPr>
          <w:rFonts w:ascii="Times New Roman" w:hAnsi="Times New Roman" w:cs="Times New Roman"/>
          <w:i/>
          <w:iCs/>
          <w:sz w:val="24"/>
        </w:rPr>
        <w:t>Trauma, Violence, &amp; Abuse</w:t>
      </w:r>
      <w:r w:rsidRPr="0025349D">
        <w:rPr>
          <w:rFonts w:ascii="Times New Roman" w:hAnsi="Times New Roman" w:cs="Times New Roman"/>
          <w:sz w:val="24"/>
        </w:rPr>
        <w:t xml:space="preserve">, </w:t>
      </w:r>
      <w:r w:rsidRPr="0025349D">
        <w:rPr>
          <w:rFonts w:ascii="Times New Roman" w:hAnsi="Times New Roman" w:cs="Times New Roman"/>
          <w:i/>
          <w:iCs/>
          <w:sz w:val="24"/>
        </w:rPr>
        <w:t>15</w:t>
      </w:r>
      <w:r w:rsidRPr="0025349D">
        <w:rPr>
          <w:rFonts w:ascii="Times New Roman" w:hAnsi="Times New Roman" w:cs="Times New Roman"/>
          <w:sz w:val="24"/>
        </w:rPr>
        <w:t>(1), 3-21.</w:t>
      </w:r>
      <w:r>
        <w:rPr>
          <w:rFonts w:ascii="Times New Roman" w:hAnsi="Times New Roman" w:cs="Times New Roman"/>
          <w:sz w:val="24"/>
        </w:rPr>
        <w:t xml:space="preserve"> doi:</w:t>
      </w:r>
      <w:r w:rsidRPr="009447E2">
        <w:rPr>
          <w:rFonts w:ascii="Times New Roman" w:hAnsi="Times New Roman" w:cs="Times New Roman"/>
          <w:sz w:val="24"/>
        </w:rPr>
        <w:t>10.1177/1524838013496335</w:t>
      </w:r>
    </w:p>
    <w:p w14:paraId="01F87585" w14:textId="37A3DD4E" w:rsidR="0064188C" w:rsidRPr="009447E2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2F3ADB">
        <w:rPr>
          <w:rFonts w:ascii="Times New Roman" w:hAnsi="Times New Roman" w:cs="Times New Roman"/>
          <w:sz w:val="24"/>
        </w:rPr>
        <w:t>Truong, C., Burnes, D., Al</w:t>
      </w:r>
      <w:r w:rsidR="00976DE3">
        <w:rPr>
          <w:rFonts w:ascii="Times New Roman" w:hAnsi="Times New Roman" w:cs="Times New Roman"/>
          <w:sz w:val="24"/>
        </w:rPr>
        <w:t>a</w:t>
      </w:r>
      <w:r w:rsidRPr="002F3ADB">
        <w:rPr>
          <w:rFonts w:ascii="Times New Roman" w:hAnsi="Times New Roman" w:cs="Times New Roman"/>
          <w:sz w:val="24"/>
        </w:rPr>
        <w:t>g</w:t>
      </w:r>
      <w:r w:rsidR="00976DE3">
        <w:rPr>
          <w:rFonts w:ascii="Times New Roman" w:hAnsi="Times New Roman" w:cs="Times New Roman"/>
          <w:sz w:val="24"/>
        </w:rPr>
        <w:t>g</w:t>
      </w:r>
      <w:r w:rsidRPr="002F3ADB">
        <w:rPr>
          <w:rFonts w:ascii="Times New Roman" w:hAnsi="Times New Roman" w:cs="Times New Roman"/>
          <w:sz w:val="24"/>
        </w:rPr>
        <w:t xml:space="preserve">ia, R., Elman, A., &amp; Rosen, T. (2019). Disclosure among victims of elder abuse in healthcare settings: </w:t>
      </w:r>
      <w:r>
        <w:rPr>
          <w:rFonts w:ascii="Times New Roman" w:hAnsi="Times New Roman" w:cs="Times New Roman"/>
          <w:sz w:val="24"/>
        </w:rPr>
        <w:t>A</w:t>
      </w:r>
      <w:r w:rsidRPr="002F3ADB">
        <w:rPr>
          <w:rFonts w:ascii="Times New Roman" w:hAnsi="Times New Roman" w:cs="Times New Roman"/>
          <w:sz w:val="24"/>
        </w:rPr>
        <w:t xml:space="preserve"> missing piece in the overall effort toward detection. </w:t>
      </w:r>
      <w:r w:rsidRPr="00EB6657">
        <w:rPr>
          <w:rFonts w:ascii="Times New Roman" w:hAnsi="Times New Roman" w:cs="Times New Roman"/>
          <w:i/>
          <w:iCs/>
          <w:sz w:val="24"/>
        </w:rPr>
        <w:t>Journal of Elder Abuse &amp; Neglect</w:t>
      </w:r>
      <w:r w:rsidRPr="00EB6657">
        <w:rPr>
          <w:rFonts w:ascii="Times New Roman" w:hAnsi="Times New Roman" w:cs="Times New Roman"/>
          <w:sz w:val="24"/>
        </w:rPr>
        <w:t>, 1-10.</w:t>
      </w:r>
      <w:r>
        <w:rPr>
          <w:rFonts w:ascii="Times New Roman" w:hAnsi="Times New Roman" w:cs="Times New Roman"/>
          <w:sz w:val="24"/>
        </w:rPr>
        <w:t xml:space="preserve"> doi:</w:t>
      </w:r>
      <w:r w:rsidRPr="009447E2">
        <w:rPr>
          <w:rFonts w:ascii="Times New Roman" w:hAnsi="Times New Roman" w:cs="Times New Roman"/>
          <w:sz w:val="24"/>
        </w:rPr>
        <w:t>10.1080/08946566.2019.1588182</w:t>
      </w:r>
    </w:p>
    <w:p w14:paraId="33C11F46" w14:textId="77777777" w:rsidR="0064188C" w:rsidRPr="00C91393" w:rsidRDefault="0064188C" w:rsidP="00C91393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United Nations (2017). </w:t>
      </w:r>
      <w:r w:rsidRPr="007102C4">
        <w:rPr>
          <w:rFonts w:ascii="Times New Roman" w:hAnsi="Times New Roman" w:cs="Times New Roman"/>
          <w:iCs/>
          <w:color w:val="222222"/>
          <w:sz w:val="24"/>
          <w:szCs w:val="24"/>
        </w:rPr>
        <w:t>World population ageing 2017 highlights</w:t>
      </w:r>
      <w:r w:rsidRPr="007102C4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102C4">
        <w:rPr>
          <w:rFonts w:ascii="Times New Roman" w:hAnsi="Times New Roman" w:cs="Times New Roman"/>
          <w:color w:val="222222"/>
          <w:sz w:val="24"/>
          <w:szCs w:val="24"/>
        </w:rPr>
        <w:t xml:space="preserve">ST/ESA/SER.A/397. New York: United Nations.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Available from </w:t>
      </w:r>
      <w:hyperlink r:id="rId9" w:history="1">
        <w:r w:rsidRPr="00C64B44">
          <w:rPr>
            <w:rStyle w:val="Hyperlink"/>
            <w:rFonts w:ascii="Times New Roman" w:hAnsi="Times New Roman" w:cs="Times New Roman"/>
            <w:sz w:val="24"/>
            <w:szCs w:val="24"/>
          </w:rPr>
          <w:t>https://www.un.org/en/development/desa/population/publications/pdf/ageing/WPA2017_Highlights.pdf</w:t>
        </w:r>
      </w:hyperlink>
    </w:p>
    <w:p w14:paraId="12D97D80" w14:textId="77777777" w:rsidR="0064188C" w:rsidRPr="001D5407" w:rsidRDefault="0064188C" w:rsidP="001D5407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C05891">
        <w:rPr>
          <w:rFonts w:ascii="Times New Roman" w:hAnsi="Times New Roman" w:cs="Times New Roman"/>
          <w:sz w:val="24"/>
          <w:szCs w:val="24"/>
          <w:lang w:val="en-GB"/>
        </w:rPr>
        <w:t xml:space="preserve">Vrantsidis, F., Dow, B., Joosten, M., Walmsley, M., &amp; Blakey, J. (2016). The older person’s experience: Outcomes of interventions into elder abuse. </w:t>
      </w:r>
      <w:r w:rsidRPr="00C05891">
        <w:rPr>
          <w:rFonts w:ascii="Times New Roman" w:hAnsi="Times New Roman" w:cs="Times New Roman"/>
          <w:i/>
          <w:iCs/>
          <w:sz w:val="24"/>
          <w:szCs w:val="24"/>
          <w:lang w:val="en-GB"/>
        </w:rPr>
        <w:t>Melbourne, National Ageing Research Institute and Seniors Rights Victoria</w:t>
      </w:r>
      <w:r w:rsidRPr="00C058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CB06367" w14:textId="7CDC4C2C" w:rsidR="0064188C" w:rsidRDefault="0064188C" w:rsidP="00B461DA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7657BF">
        <w:rPr>
          <w:rFonts w:ascii="Times New Roman" w:hAnsi="Times New Roman" w:cs="Times New Roman"/>
          <w:sz w:val="24"/>
        </w:rPr>
        <w:t xml:space="preserve">Walsh, C. A., Olson, J. L., Ploeg, J., Lohfeld, L., &amp; MacMillan, H. L. (2010). Elder abuse and oppression: Voices of marginalized elders. </w:t>
      </w:r>
      <w:r>
        <w:rPr>
          <w:rFonts w:ascii="Times New Roman" w:hAnsi="Times New Roman" w:cs="Times New Roman"/>
          <w:i/>
          <w:iCs/>
          <w:sz w:val="24"/>
        </w:rPr>
        <w:t>Journal of Elder Abuse &amp; N</w:t>
      </w:r>
      <w:r w:rsidRPr="007657BF">
        <w:rPr>
          <w:rFonts w:ascii="Times New Roman" w:hAnsi="Times New Roman" w:cs="Times New Roman"/>
          <w:i/>
          <w:iCs/>
          <w:sz w:val="24"/>
        </w:rPr>
        <w:t>eglect</w:t>
      </w:r>
      <w:r w:rsidRPr="007657BF">
        <w:rPr>
          <w:rFonts w:ascii="Times New Roman" w:hAnsi="Times New Roman" w:cs="Times New Roman"/>
          <w:sz w:val="24"/>
        </w:rPr>
        <w:t xml:space="preserve">, </w:t>
      </w:r>
      <w:r w:rsidRPr="007657BF">
        <w:rPr>
          <w:rFonts w:ascii="Times New Roman" w:hAnsi="Times New Roman" w:cs="Times New Roman"/>
          <w:i/>
          <w:iCs/>
          <w:sz w:val="24"/>
        </w:rPr>
        <w:t>23</w:t>
      </w:r>
      <w:r w:rsidRPr="007657BF">
        <w:rPr>
          <w:rFonts w:ascii="Times New Roman" w:hAnsi="Times New Roman" w:cs="Times New Roman"/>
          <w:sz w:val="24"/>
        </w:rPr>
        <w:t xml:space="preserve">(1), 17-42. </w:t>
      </w:r>
      <w:r>
        <w:rPr>
          <w:rFonts w:ascii="Times New Roman" w:hAnsi="Times New Roman" w:cs="Times New Roman"/>
          <w:sz w:val="24"/>
        </w:rPr>
        <w:t>doi:</w:t>
      </w:r>
      <w:r w:rsidRPr="00570E51">
        <w:rPr>
          <w:rFonts w:ascii="Times New Roman" w:hAnsi="Times New Roman" w:cs="Times New Roman"/>
          <w:sz w:val="24"/>
        </w:rPr>
        <w:t>10.1080/08946566.2011.534705</w:t>
      </w:r>
    </w:p>
    <w:p w14:paraId="2A6335D6" w14:textId="7BB185D5" w:rsidR="00B01DCB" w:rsidRPr="00570E51" w:rsidRDefault="00B01DCB" w:rsidP="00B461DA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B01DCB">
        <w:rPr>
          <w:rFonts w:ascii="Times New Roman" w:hAnsi="Times New Roman" w:cs="Times New Roman"/>
          <w:sz w:val="24"/>
        </w:rPr>
        <w:t xml:space="preserve">Warren, A., &amp; Blundell, B. (2019). Addressing elder abuse in rural and remote communities: </w:t>
      </w:r>
      <w:r>
        <w:rPr>
          <w:rFonts w:ascii="Times New Roman" w:hAnsi="Times New Roman" w:cs="Times New Roman"/>
          <w:sz w:val="24"/>
        </w:rPr>
        <w:t>S</w:t>
      </w:r>
      <w:r w:rsidRPr="00B01DCB">
        <w:rPr>
          <w:rFonts w:ascii="Times New Roman" w:hAnsi="Times New Roman" w:cs="Times New Roman"/>
          <w:sz w:val="24"/>
        </w:rPr>
        <w:t xml:space="preserve">ocial policy, prevention and responses. </w:t>
      </w:r>
      <w:r w:rsidRPr="00B01DCB">
        <w:rPr>
          <w:rFonts w:ascii="Times New Roman" w:hAnsi="Times New Roman" w:cs="Times New Roman"/>
          <w:i/>
          <w:iCs/>
          <w:sz w:val="24"/>
        </w:rPr>
        <w:t>Journal of</w:t>
      </w:r>
      <w:r>
        <w:rPr>
          <w:rFonts w:ascii="Times New Roman" w:hAnsi="Times New Roman" w:cs="Times New Roman"/>
          <w:i/>
          <w:iCs/>
          <w:sz w:val="24"/>
        </w:rPr>
        <w:t xml:space="preserve"> E</w:t>
      </w:r>
      <w:r w:rsidRPr="00B01DCB">
        <w:rPr>
          <w:rFonts w:ascii="Times New Roman" w:hAnsi="Times New Roman" w:cs="Times New Roman"/>
          <w:i/>
          <w:iCs/>
          <w:sz w:val="24"/>
        </w:rPr>
        <w:t xml:space="preserve">lder </w:t>
      </w:r>
      <w:r>
        <w:rPr>
          <w:rFonts w:ascii="Times New Roman" w:hAnsi="Times New Roman" w:cs="Times New Roman"/>
          <w:i/>
          <w:iCs/>
          <w:sz w:val="24"/>
        </w:rPr>
        <w:t>A</w:t>
      </w:r>
      <w:r w:rsidRPr="00B01DCB">
        <w:rPr>
          <w:rFonts w:ascii="Times New Roman" w:hAnsi="Times New Roman" w:cs="Times New Roman"/>
          <w:i/>
          <w:iCs/>
          <w:sz w:val="24"/>
        </w:rPr>
        <w:t xml:space="preserve">buse &amp; </w:t>
      </w:r>
      <w:r>
        <w:rPr>
          <w:rFonts w:ascii="Times New Roman" w:hAnsi="Times New Roman" w:cs="Times New Roman"/>
          <w:i/>
          <w:iCs/>
          <w:sz w:val="24"/>
        </w:rPr>
        <w:t>N</w:t>
      </w:r>
      <w:r w:rsidRPr="00B01DCB">
        <w:rPr>
          <w:rFonts w:ascii="Times New Roman" w:hAnsi="Times New Roman" w:cs="Times New Roman"/>
          <w:i/>
          <w:iCs/>
          <w:sz w:val="24"/>
        </w:rPr>
        <w:t>eglect</w:t>
      </w:r>
      <w:r w:rsidRPr="00B01DCB">
        <w:rPr>
          <w:rFonts w:ascii="Times New Roman" w:hAnsi="Times New Roman" w:cs="Times New Roman"/>
          <w:sz w:val="24"/>
        </w:rPr>
        <w:t xml:space="preserve">, </w:t>
      </w:r>
      <w:r w:rsidRPr="00B01DCB">
        <w:rPr>
          <w:rFonts w:ascii="Times New Roman" w:hAnsi="Times New Roman" w:cs="Times New Roman"/>
          <w:i/>
          <w:iCs/>
          <w:sz w:val="24"/>
        </w:rPr>
        <w:t>31</w:t>
      </w:r>
      <w:r w:rsidRPr="00B01DCB">
        <w:rPr>
          <w:rFonts w:ascii="Times New Roman" w:hAnsi="Times New Roman" w:cs="Times New Roman"/>
          <w:sz w:val="24"/>
        </w:rPr>
        <w:t>(4-5), 424-436.</w:t>
      </w:r>
      <w:r>
        <w:rPr>
          <w:rFonts w:ascii="Times New Roman" w:hAnsi="Times New Roman" w:cs="Times New Roman"/>
          <w:sz w:val="24"/>
        </w:rPr>
        <w:t xml:space="preserve"> doi:</w:t>
      </w:r>
      <w:r w:rsidRPr="00B01DCB">
        <w:rPr>
          <w:rFonts w:ascii="Times New Roman" w:hAnsi="Times New Roman" w:cs="Times New Roman"/>
          <w:sz w:val="24"/>
        </w:rPr>
        <w:t>10.1080/08946566.2019.1663333</w:t>
      </w:r>
    </w:p>
    <w:p w14:paraId="55E24055" w14:textId="77777777" w:rsidR="0064188C" w:rsidRPr="00B835F8" w:rsidRDefault="0064188C" w:rsidP="00B835F8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835F8">
        <w:rPr>
          <w:rFonts w:ascii="Times New Roman" w:eastAsia="Calibri" w:hAnsi="Times New Roman" w:cs="Times New Roman"/>
          <w:noProof/>
          <w:sz w:val="24"/>
          <w:szCs w:val="24"/>
        </w:rPr>
        <w:t xml:space="preserve">World Health Organization (2018, June 8). Elder Abuse. Retrieved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December 10</w:t>
      </w:r>
      <w:r w:rsidRPr="00B835F8">
        <w:rPr>
          <w:rFonts w:ascii="Times New Roman" w:eastAsia="Calibri" w:hAnsi="Times New Roman" w:cs="Times New Roman"/>
          <w:noProof/>
          <w:sz w:val="24"/>
          <w:szCs w:val="24"/>
        </w:rPr>
        <w:t xml:space="preserve">, 2019, from </w:t>
      </w:r>
      <w:hyperlink r:id="rId10" w:history="1">
        <w:r w:rsidRPr="00B835F8">
          <w:rPr>
            <w:rFonts w:ascii="Times New Roman" w:eastAsia="Calibri" w:hAnsi="Times New Roman" w:cs="Times New Roman"/>
            <w:noProof/>
            <w:color w:val="0563C1"/>
            <w:sz w:val="24"/>
            <w:szCs w:val="24"/>
            <w:u w:val="single"/>
          </w:rPr>
          <w:t>https://www.who.int/en/news-room/fact-sheets/detail/elder-abuse</w:t>
        </w:r>
      </w:hyperlink>
      <w:r w:rsidRPr="00B835F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3CAD584" w14:textId="77777777" w:rsidR="0064188C" w:rsidRPr="00570E51" w:rsidRDefault="0064188C" w:rsidP="00AF0FC2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0E21B7">
        <w:rPr>
          <w:rFonts w:ascii="Times New Roman" w:hAnsi="Times New Roman" w:cs="Times New Roman"/>
          <w:sz w:val="24"/>
        </w:rPr>
        <w:lastRenderedPageBreak/>
        <w:t xml:space="preserve">Yon, Y., </w:t>
      </w:r>
      <w:bookmarkStart w:id="24" w:name="_Hlk4955686"/>
      <w:r w:rsidRPr="000E21B7">
        <w:rPr>
          <w:rFonts w:ascii="Times New Roman" w:hAnsi="Times New Roman" w:cs="Times New Roman"/>
          <w:sz w:val="24"/>
        </w:rPr>
        <w:t>Mikton</w:t>
      </w:r>
      <w:bookmarkEnd w:id="24"/>
      <w:r w:rsidRPr="000E21B7">
        <w:rPr>
          <w:rFonts w:ascii="Times New Roman" w:hAnsi="Times New Roman" w:cs="Times New Roman"/>
          <w:sz w:val="24"/>
        </w:rPr>
        <w:t>, C. R., Gassoumis, Z. D., &amp; Wilber, K. H. (2017). Elder abuse pre</w:t>
      </w:r>
      <w:r>
        <w:rPr>
          <w:rFonts w:ascii="Times New Roman" w:hAnsi="Times New Roman" w:cs="Times New Roman"/>
          <w:sz w:val="24"/>
        </w:rPr>
        <w:t>valence in community settings: A</w:t>
      </w:r>
      <w:r w:rsidRPr="000E21B7">
        <w:rPr>
          <w:rFonts w:ascii="Times New Roman" w:hAnsi="Times New Roman" w:cs="Times New Roman"/>
          <w:sz w:val="24"/>
        </w:rPr>
        <w:t xml:space="preserve"> systematic review and meta-analysis. </w:t>
      </w:r>
      <w:r w:rsidRPr="00EB6657">
        <w:rPr>
          <w:rFonts w:ascii="Times New Roman" w:hAnsi="Times New Roman" w:cs="Times New Roman"/>
          <w:i/>
          <w:iCs/>
          <w:sz w:val="24"/>
        </w:rPr>
        <w:t>The Lancet Global Health</w:t>
      </w:r>
      <w:r w:rsidRPr="00EB6657">
        <w:rPr>
          <w:rFonts w:ascii="Times New Roman" w:hAnsi="Times New Roman" w:cs="Times New Roman"/>
          <w:sz w:val="24"/>
        </w:rPr>
        <w:t xml:space="preserve">, </w:t>
      </w:r>
      <w:r w:rsidRPr="00EB6657">
        <w:rPr>
          <w:rFonts w:ascii="Times New Roman" w:hAnsi="Times New Roman" w:cs="Times New Roman"/>
          <w:i/>
          <w:iCs/>
          <w:sz w:val="24"/>
        </w:rPr>
        <w:t>5</w:t>
      </w:r>
      <w:r w:rsidRPr="00EB6657">
        <w:rPr>
          <w:rFonts w:ascii="Times New Roman" w:hAnsi="Times New Roman" w:cs="Times New Roman"/>
          <w:sz w:val="24"/>
        </w:rPr>
        <w:t>(2), e147-e156.</w:t>
      </w:r>
      <w:r>
        <w:rPr>
          <w:rFonts w:ascii="Times New Roman" w:hAnsi="Times New Roman" w:cs="Times New Roman"/>
          <w:sz w:val="24"/>
        </w:rPr>
        <w:t xml:space="preserve"> doi:</w:t>
      </w:r>
      <w:r w:rsidRPr="00570E51">
        <w:rPr>
          <w:rFonts w:ascii="Times New Roman" w:hAnsi="Times New Roman" w:cs="Times New Roman"/>
          <w:sz w:val="24"/>
        </w:rPr>
        <w:t>10.1016/s2214-109x(17)30006-2</w:t>
      </w:r>
    </w:p>
    <w:p w14:paraId="776E2495" w14:textId="4DD314AC" w:rsidR="006926AB" w:rsidRDefault="0064188C" w:rsidP="00BA4CC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4E0E">
        <w:rPr>
          <w:rFonts w:ascii="Times New Roman" w:hAnsi="Times New Roman" w:cs="Times New Roman"/>
          <w:sz w:val="24"/>
          <w:szCs w:val="24"/>
        </w:rPr>
        <w:t xml:space="preserve">Yunus, R. M., Hairi, N. N., &amp; Choo, W. Y. (2017). Consequences of elder abuse and neglect: A systematic review of observational studies. </w:t>
      </w:r>
      <w:r w:rsidRPr="0025349D">
        <w:rPr>
          <w:rFonts w:ascii="Times New Roman" w:hAnsi="Times New Roman" w:cs="Times New Roman"/>
          <w:i/>
          <w:sz w:val="24"/>
          <w:szCs w:val="24"/>
        </w:rPr>
        <w:t>Trauma, Violence, &amp; Abuse</w:t>
      </w:r>
      <w:r w:rsidRPr="0025349D">
        <w:rPr>
          <w:rFonts w:ascii="Times New Roman" w:hAnsi="Times New Roman" w:cs="Times New Roman"/>
          <w:sz w:val="24"/>
          <w:szCs w:val="24"/>
        </w:rPr>
        <w:t>, doi:1524838017692798.</w:t>
      </w:r>
    </w:p>
    <w:p w14:paraId="35CCFB67" w14:textId="77777777" w:rsidR="006926AB" w:rsidRDefault="0069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3E90B7" w14:textId="77777777" w:rsidR="006926AB" w:rsidRDefault="006926AB" w:rsidP="006926AB">
      <w:pPr>
        <w:spacing w:line="480" w:lineRule="auto"/>
        <w:rPr>
          <w:rFonts w:ascii="Times New Roman" w:hAnsi="Times New Roman" w:cs="Times New Roman"/>
        </w:rPr>
      </w:pPr>
      <w:r w:rsidRPr="00C14C58">
        <w:rPr>
          <w:rFonts w:ascii="Times New Roman" w:hAnsi="Times New Roman" w:cs="Times New Roman"/>
        </w:rPr>
        <w:lastRenderedPageBreak/>
        <w:t>Table 1</w:t>
      </w:r>
      <w:r w:rsidRPr="00FD2E2E">
        <w:rPr>
          <w:rFonts w:ascii="Times New Roman" w:hAnsi="Times New Roman" w:cs="Times New Roman"/>
        </w:rPr>
        <w:t xml:space="preserve"> </w:t>
      </w:r>
    </w:p>
    <w:p w14:paraId="2F429B6B" w14:textId="77777777" w:rsidR="006926AB" w:rsidRPr="00C14C58" w:rsidRDefault="006926AB" w:rsidP="006926AB">
      <w:pPr>
        <w:spacing w:line="48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C14C58">
        <w:rPr>
          <w:rFonts w:ascii="Times New Roman" w:hAnsi="Times New Roman" w:cs="Times New Roman"/>
          <w:i/>
          <w:iCs/>
        </w:rPr>
        <w:t>Consid</w:t>
      </w:r>
      <w:r w:rsidRPr="009F2875">
        <w:rPr>
          <w:rFonts w:ascii="Times New Roman" w:hAnsi="Times New Roman" w:cs="Times New Roman"/>
          <w:i/>
          <w:iCs/>
        </w:rPr>
        <w:t xml:space="preserve">erations </w:t>
      </w:r>
      <w:r>
        <w:rPr>
          <w:rFonts w:ascii="Times New Roman" w:hAnsi="Times New Roman" w:cs="Times New Roman"/>
          <w:i/>
          <w:iCs/>
        </w:rPr>
        <w:t>f</w:t>
      </w:r>
      <w:r w:rsidRPr="009F2875">
        <w:rPr>
          <w:rFonts w:ascii="Times New Roman" w:hAnsi="Times New Roman" w:cs="Times New Roman"/>
          <w:i/>
          <w:iCs/>
        </w:rPr>
        <w:t xml:space="preserve">or Providers </w:t>
      </w:r>
      <w:r>
        <w:rPr>
          <w:rFonts w:ascii="Times New Roman" w:hAnsi="Times New Roman" w:cs="Times New Roman"/>
          <w:i/>
          <w:iCs/>
        </w:rPr>
        <w:t>i</w:t>
      </w:r>
      <w:r w:rsidRPr="009F2875">
        <w:rPr>
          <w:rFonts w:ascii="Times New Roman" w:hAnsi="Times New Roman" w:cs="Times New Roman"/>
          <w:i/>
          <w:iCs/>
        </w:rPr>
        <w:t xml:space="preserve">n Working </w:t>
      </w:r>
      <w:r>
        <w:rPr>
          <w:rFonts w:ascii="Times New Roman" w:hAnsi="Times New Roman" w:cs="Times New Roman"/>
          <w:i/>
          <w:iCs/>
        </w:rPr>
        <w:t>w</w:t>
      </w:r>
      <w:r w:rsidRPr="009F2875">
        <w:rPr>
          <w:rFonts w:ascii="Times New Roman" w:hAnsi="Times New Roman" w:cs="Times New Roman"/>
          <w:i/>
          <w:iCs/>
        </w:rPr>
        <w:t xml:space="preserve">ith Potential Elder Abuse </w:t>
      </w:r>
      <w:r>
        <w:rPr>
          <w:rFonts w:ascii="Times New Roman" w:hAnsi="Times New Roman" w:cs="Times New Roman"/>
          <w:i/>
          <w:iCs/>
        </w:rPr>
        <w:t xml:space="preserve">(EA) </w:t>
      </w:r>
      <w:r w:rsidRPr="009F2875">
        <w:rPr>
          <w:rFonts w:ascii="Times New Roman" w:hAnsi="Times New Roman" w:cs="Times New Roman"/>
          <w:i/>
          <w:iCs/>
        </w:rPr>
        <w:t>Victim Presentations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668"/>
        <w:gridCol w:w="3827"/>
        <w:gridCol w:w="3595"/>
      </w:tblGrid>
      <w:tr w:rsidR="006926AB" w:rsidRPr="00FD2E2E" w14:paraId="2436856D" w14:textId="77777777" w:rsidTr="00883E4C">
        <w:trPr>
          <w:trHeight w:val="373"/>
        </w:trPr>
        <w:tc>
          <w:tcPr>
            <w:tcW w:w="1668" w:type="dxa"/>
            <w:vMerge w:val="restart"/>
            <w:tcBorders>
              <w:left w:val="nil"/>
              <w:right w:val="nil"/>
            </w:tcBorders>
          </w:tcPr>
          <w:p w14:paraId="295127AC" w14:textId="77777777" w:rsidR="006926AB" w:rsidRPr="00FD2E2E" w:rsidRDefault="006926AB" w:rsidP="00883E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Victim c</w:t>
            </w:r>
            <w:r w:rsidRPr="00FD2E2E">
              <w:rPr>
                <w:rFonts w:ascii="Times New Roman" w:hAnsi="Times New Roman"/>
                <w:lang w:val="en-US"/>
              </w:rPr>
              <w:t xml:space="preserve">apacity </w:t>
            </w:r>
            <w:r>
              <w:rPr>
                <w:rFonts w:ascii="Times New Roman" w:hAnsi="Times New Roman"/>
                <w:lang w:val="en-US"/>
              </w:rPr>
              <w:t>for decisions related to health, personal care, or finances</w:t>
            </w:r>
            <w:r w:rsidRPr="00FD2E2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422" w:type="dxa"/>
            <w:gridSpan w:val="2"/>
            <w:tcBorders>
              <w:left w:val="nil"/>
              <w:right w:val="nil"/>
            </w:tcBorders>
          </w:tcPr>
          <w:p w14:paraId="296BB61F" w14:textId="77777777" w:rsidR="006926AB" w:rsidRPr="00FD2E2E" w:rsidRDefault="006926AB" w:rsidP="00883E4C">
            <w:pPr>
              <w:jc w:val="center"/>
              <w:rPr>
                <w:rFonts w:ascii="Times New Roman" w:hAnsi="Times New Roman"/>
                <w:lang w:val="en-US"/>
              </w:rPr>
            </w:pPr>
            <w:r w:rsidRPr="00FD2E2E">
              <w:rPr>
                <w:rFonts w:ascii="Times New Roman" w:hAnsi="Times New Roman"/>
                <w:lang w:val="en-US"/>
              </w:rPr>
              <w:t>Disclosure</w:t>
            </w:r>
          </w:p>
        </w:tc>
      </w:tr>
      <w:tr w:rsidR="006926AB" w:rsidRPr="00FD2E2E" w14:paraId="1BD62E53" w14:textId="77777777" w:rsidTr="00883E4C">
        <w:trPr>
          <w:trHeight w:val="373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14:paraId="5AA968FC" w14:textId="77777777" w:rsidR="006926AB" w:rsidRPr="00FD2E2E" w:rsidRDefault="006926AB" w:rsidP="00883E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302D62D7" w14:textId="77777777" w:rsidR="006926AB" w:rsidRPr="00FD2E2E" w:rsidRDefault="006926AB" w:rsidP="00883E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D2E2E"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  <w:tc>
          <w:tcPr>
            <w:tcW w:w="3595" w:type="dxa"/>
            <w:tcBorders>
              <w:left w:val="nil"/>
              <w:right w:val="nil"/>
            </w:tcBorders>
            <w:vAlign w:val="bottom"/>
          </w:tcPr>
          <w:p w14:paraId="58359D08" w14:textId="77777777" w:rsidR="006926AB" w:rsidRPr="00FD2E2E" w:rsidRDefault="006926AB" w:rsidP="00883E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D2E2E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</w:tr>
      <w:tr w:rsidR="006926AB" w:rsidRPr="00FD2E2E" w14:paraId="23518E2E" w14:textId="77777777" w:rsidTr="00883E4C">
        <w:trPr>
          <w:trHeight w:val="742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02BBE7A5" w14:textId="77777777" w:rsidR="006926AB" w:rsidRPr="00FD2E2E" w:rsidRDefault="006926AB" w:rsidP="00883E4C">
            <w:pPr>
              <w:rPr>
                <w:rFonts w:ascii="Times New Roman" w:hAnsi="Times New Roman"/>
                <w:lang w:val="en-US"/>
              </w:rPr>
            </w:pPr>
            <w:r w:rsidRPr="00FD2E2E">
              <w:rPr>
                <w:rFonts w:ascii="Times New Roman" w:hAnsi="Times New Roman"/>
                <w:lang w:val="en-US"/>
              </w:rPr>
              <w:t>Yes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7DB24EF9" w14:textId="77777777" w:rsidR="006926AB" w:rsidRDefault="006926AB" w:rsidP="00883E4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Victim with mental capacity who discloses:**</w:t>
            </w:r>
          </w:p>
          <w:p w14:paraId="3C8CA2D7" w14:textId="77777777" w:rsidR="006926AB" w:rsidRDefault="006926AB" w:rsidP="00883E4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DF23A2">
              <w:rPr>
                <w:rFonts w:ascii="Times New Roman" w:eastAsia="Calibri" w:hAnsi="Times New Roman" w:cs="Times New Roman"/>
                <w:lang w:val="en-US"/>
              </w:rPr>
              <w:t xml:space="preserve">Respond to disclosure </w:t>
            </w:r>
            <w:r>
              <w:rPr>
                <w:rFonts w:ascii="Times New Roman" w:eastAsia="Calibri" w:hAnsi="Times New Roman" w:cs="Times New Roman"/>
                <w:lang w:val="en-US"/>
              </w:rPr>
              <w:t>in a supportive manner</w:t>
            </w:r>
          </w:p>
          <w:p w14:paraId="7A4FF0BD" w14:textId="77777777" w:rsidR="006926AB" w:rsidRDefault="006926AB" w:rsidP="00883E4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962A06">
              <w:rPr>
                <w:rFonts w:ascii="Times New Roman" w:eastAsia="Calibri" w:hAnsi="Times New Roman" w:cs="Times New Roman"/>
                <w:lang w:val="en-US"/>
              </w:rPr>
              <w:t>Ensure privacy, inform of limits to confidentiality early</w:t>
            </w:r>
          </w:p>
          <w:p w14:paraId="67D36C4F" w14:textId="77777777" w:rsidR="006926AB" w:rsidRDefault="006926AB" w:rsidP="00883E4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Build trust and rapport</w:t>
            </w:r>
            <w:r w:rsidRPr="00962A0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4EEF109" w14:textId="77777777" w:rsidR="006926AB" w:rsidRPr="00C14C58" w:rsidRDefault="006926AB" w:rsidP="00883E4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B07CCA">
              <w:rPr>
                <w:rFonts w:ascii="Times New Roman" w:eastAsia="Calibri" w:hAnsi="Times New Roman" w:cs="Times New Roman"/>
                <w:lang w:val="en-US"/>
              </w:rPr>
              <w:t>Identify and address barriers to engagement/intervention</w:t>
            </w:r>
          </w:p>
          <w:p w14:paraId="4DA1B40B" w14:textId="77777777" w:rsidR="006926AB" w:rsidRPr="00C14C58" w:rsidRDefault="006926AB" w:rsidP="00883E4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Engage in victim-</w:t>
            </w:r>
            <w:r w:rsidRPr="008966DF">
              <w:rPr>
                <w:rFonts w:ascii="Times New Roman" w:eastAsia="Calibri" w:hAnsi="Times New Roman" w:cs="Times New Roman"/>
                <w:lang w:val="en-US"/>
              </w:rPr>
              <w:t xml:space="preserve">directed interventions </w:t>
            </w:r>
            <w:r>
              <w:rPr>
                <w:rFonts w:ascii="Times New Roman" w:eastAsia="Calibri" w:hAnsi="Times New Roman" w:cs="Times New Roman"/>
                <w:lang w:val="en-US"/>
              </w:rPr>
              <w:t>and r</w:t>
            </w:r>
            <w:r w:rsidRPr="00C14C58">
              <w:rPr>
                <w:rFonts w:ascii="Times New Roman" w:eastAsia="Calibri" w:hAnsi="Times New Roman" w:cs="Times New Roman"/>
                <w:lang w:val="en-US"/>
              </w:rPr>
              <w:t xml:space="preserve">espect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victims’ </w:t>
            </w:r>
            <w:r w:rsidRPr="00C14C58">
              <w:rPr>
                <w:rFonts w:ascii="Times New Roman" w:eastAsia="Calibri" w:hAnsi="Times New Roman" w:cs="Times New Roman"/>
                <w:lang w:val="en-US"/>
              </w:rPr>
              <w:t>wishes</w:t>
            </w:r>
          </w:p>
          <w:p w14:paraId="4F84F8AA" w14:textId="77777777" w:rsidR="006926AB" w:rsidRPr="00B07CCA" w:rsidRDefault="006926AB" w:rsidP="00883E4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With consent, involve multidisciplinary team in plan of care </w:t>
            </w:r>
          </w:p>
          <w:p w14:paraId="3B447676" w14:textId="77777777" w:rsidR="006926AB" w:rsidRDefault="006926AB" w:rsidP="00883E4C">
            <w:pPr>
              <w:keepNext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Possess knowledge of risk factors (i.e. victim vulnerabilities, perpetrator risk factors) for case management</w:t>
            </w:r>
          </w:p>
          <w:p w14:paraId="4C816B80" w14:textId="77777777" w:rsidR="006926AB" w:rsidRDefault="006926AB" w:rsidP="00883E4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Consider mandatory reporting requirements</w:t>
            </w:r>
          </w:p>
          <w:p w14:paraId="1C05F727" w14:textId="77777777" w:rsidR="006926AB" w:rsidRPr="00962A06" w:rsidRDefault="006926AB" w:rsidP="00883E4C">
            <w:pPr>
              <w:pStyle w:val="ListParagraph"/>
              <w:ind w:left="378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2BE74AFE" w14:textId="77777777" w:rsidR="006926AB" w:rsidRDefault="006926AB" w:rsidP="00883E4C">
            <w:pPr>
              <w:ind w:left="1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Victim with mental capacity who does not disclose</w:t>
            </w:r>
          </w:p>
          <w:p w14:paraId="6334B21C" w14:textId="77777777" w:rsidR="006926AB" w:rsidRPr="00124FC1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Identify indicators of abuse</w:t>
            </w:r>
          </w:p>
          <w:p w14:paraId="77A1D314" w14:textId="77777777" w:rsidR="006926AB" w:rsidRPr="00C14C58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Possess knowledge of risk factors </w:t>
            </w:r>
          </w:p>
          <w:p w14:paraId="162BB096" w14:textId="77777777" w:rsidR="006926AB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Possess k</w:t>
            </w:r>
            <w:r w:rsidRPr="009F760E">
              <w:rPr>
                <w:rFonts w:ascii="Times New Roman" w:eastAsia="Calibri" w:hAnsi="Times New Roman" w:cs="Times New Roman"/>
                <w:lang w:val="en-US"/>
              </w:rPr>
              <w:t>nowledge about common barriers and sensitive situations (i.e., close family perpetrators)</w:t>
            </w:r>
          </w:p>
          <w:p w14:paraId="252229F5" w14:textId="77777777" w:rsidR="006926AB" w:rsidRPr="00B07CCA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B07CCA">
              <w:rPr>
                <w:rFonts w:ascii="Times New Roman" w:eastAsia="Calibri" w:hAnsi="Times New Roman" w:cs="Times New Roman"/>
                <w:lang w:val="en-US"/>
              </w:rPr>
              <w:t>Identify and address barriers to engagement/intervention</w:t>
            </w:r>
          </w:p>
          <w:p w14:paraId="2AB07013" w14:textId="77777777" w:rsidR="006926AB" w:rsidRPr="00D614EF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Speak</w:t>
            </w:r>
            <w:r w:rsidRPr="008966DF">
              <w:rPr>
                <w:rFonts w:ascii="Times New Roman" w:eastAsia="Calibri" w:hAnsi="Times New Roman" w:cs="Times New Roman"/>
                <w:lang w:val="en-US"/>
              </w:rPr>
              <w:t xml:space="preserve"> in private, develop a relationship of trust </w:t>
            </w:r>
          </w:p>
          <w:p w14:paraId="4DC85B19" w14:textId="77777777" w:rsidR="006926AB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Identify unmet needs and opportunities to engage client in services</w:t>
            </w:r>
          </w:p>
          <w:p w14:paraId="1A5BB1E4" w14:textId="77777777" w:rsidR="006926AB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Provide information on EA, safety planning and resources available</w:t>
            </w:r>
          </w:p>
          <w:p w14:paraId="4AC42935" w14:textId="77777777" w:rsidR="006926AB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Educate service providers involved in care on EA and resources </w:t>
            </w:r>
          </w:p>
          <w:p w14:paraId="626DA4A1" w14:textId="77777777" w:rsidR="006926AB" w:rsidRPr="00865F61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7D5549">
              <w:rPr>
                <w:rFonts w:ascii="Times New Roman" w:eastAsia="Calibri" w:hAnsi="Times New Roman" w:cs="Times New Roman"/>
                <w:lang w:val="en-US"/>
              </w:rPr>
              <w:t>Consider mandatory reporting requirements</w:t>
            </w:r>
          </w:p>
        </w:tc>
      </w:tr>
      <w:tr w:rsidR="006926AB" w:rsidRPr="00FD2E2E" w14:paraId="421E3267" w14:textId="77777777" w:rsidTr="00883E4C">
        <w:trPr>
          <w:trHeight w:val="359"/>
        </w:trPr>
        <w:tc>
          <w:tcPr>
            <w:tcW w:w="1668" w:type="dxa"/>
            <w:tcBorders>
              <w:top w:val="single" w:sz="4" w:space="0" w:color="auto"/>
              <w:left w:val="nil"/>
              <w:right w:val="nil"/>
            </w:tcBorders>
          </w:tcPr>
          <w:p w14:paraId="0AC83E73" w14:textId="77777777" w:rsidR="006926AB" w:rsidRPr="00FD2E2E" w:rsidRDefault="006926AB" w:rsidP="00883E4C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FD2E2E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14:paraId="3F107D0C" w14:textId="77777777" w:rsidR="006926AB" w:rsidRDefault="006926AB" w:rsidP="00883E4C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Victim without mental capacity who  discloses:**</w:t>
            </w:r>
          </w:p>
          <w:p w14:paraId="769A02D5" w14:textId="77777777" w:rsidR="006926AB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Document injuries, condition, disclosures, explanations for injuries, history provided </w:t>
            </w:r>
          </w:p>
          <w:p w14:paraId="0D6B9E8B" w14:textId="77777777" w:rsidR="006926AB" w:rsidRPr="00C14C58" w:rsidRDefault="006926AB" w:rsidP="00883E4C">
            <w:pPr>
              <w:keepNext/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Possess knowledge of risk factors </w:t>
            </w:r>
          </w:p>
          <w:p w14:paraId="74ADE308" w14:textId="77777777" w:rsidR="006926AB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Provide support to suspected abuser to gain trust and facilitate disclosures/cooperation </w:t>
            </w:r>
          </w:p>
          <w:p w14:paraId="4DEB8E03" w14:textId="77777777" w:rsidR="006926AB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Get consent to share information with other care providers</w:t>
            </w:r>
          </w:p>
          <w:p w14:paraId="60B3D657" w14:textId="77777777" w:rsidR="006926AB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Validate history with collateral sources</w:t>
            </w:r>
          </w:p>
          <w:p w14:paraId="6E32ABDB" w14:textId="77777777" w:rsidR="006926AB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Provide hospital or respite stay to ensure safety and time for corroboration</w:t>
            </w:r>
          </w:p>
          <w:p w14:paraId="28F7F21D" w14:textId="77777777" w:rsidR="006926AB" w:rsidRPr="00FD2E2E" w:rsidRDefault="006926AB" w:rsidP="00883E4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Consider mandatory reporting requirements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14:paraId="4B0FF842" w14:textId="77777777" w:rsidR="006926AB" w:rsidRPr="00023F67" w:rsidRDefault="006926AB" w:rsidP="00883E4C">
            <w:pPr>
              <w:pStyle w:val="ListParagraph"/>
              <w:ind w:left="1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Victim without mental capacity who does not disclose:</w:t>
            </w:r>
          </w:p>
          <w:p w14:paraId="3EB3DEE2" w14:textId="77777777" w:rsidR="006926AB" w:rsidRPr="00FD2E2E" w:rsidRDefault="006926AB" w:rsidP="00883E4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Possess knowledge of EA</w:t>
            </w:r>
            <w:r w:rsidRPr="00FD2E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indicators</w:t>
            </w:r>
            <w:r w:rsidRPr="00FD2E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to facilitate detection</w:t>
            </w:r>
            <w:r w:rsidRPr="00FD2E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157A54F4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Document indicators of abuse</w:t>
            </w:r>
          </w:p>
          <w:p w14:paraId="1119C7BF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Understand relevance of b</w:t>
            </w:r>
            <w:r w:rsidRPr="00FD2E2E">
              <w:rPr>
                <w:rFonts w:ascii="Times New Roman" w:eastAsia="Calibri" w:hAnsi="Times New Roman" w:cs="Times New Roman"/>
                <w:lang w:val="en-US"/>
              </w:rPr>
              <w:t xml:space="preserve">ehavioral indicators </w:t>
            </w:r>
            <w:r>
              <w:rPr>
                <w:rFonts w:ascii="Times New Roman" w:eastAsia="Calibri" w:hAnsi="Times New Roman" w:cs="Times New Roman"/>
                <w:lang w:val="en-US"/>
              </w:rPr>
              <w:t>where</w:t>
            </w:r>
            <w:r w:rsidRPr="00FD2E2E">
              <w:rPr>
                <w:rFonts w:ascii="Times New Roman" w:eastAsia="Calibri" w:hAnsi="Times New Roman" w:cs="Times New Roman"/>
                <w:lang w:val="en-US"/>
              </w:rPr>
              <w:t xml:space="preserve"> verbal disclosure </w:t>
            </w:r>
            <w:r>
              <w:rPr>
                <w:rFonts w:ascii="Times New Roman" w:eastAsia="Calibri" w:hAnsi="Times New Roman" w:cs="Times New Roman"/>
                <w:lang w:val="en-US"/>
              </w:rPr>
              <w:t>is not possible</w:t>
            </w:r>
          </w:p>
          <w:p w14:paraId="25109938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Possess knowledge of risk factors </w:t>
            </w:r>
          </w:p>
          <w:p w14:paraId="08D2C0FB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Validate history with collateral sources</w:t>
            </w:r>
          </w:p>
          <w:p w14:paraId="1842032D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Multidisciplinary collaboration to address identified EA concerns </w:t>
            </w:r>
          </w:p>
          <w:p w14:paraId="37808C59" w14:textId="77777777" w:rsidR="006926AB" w:rsidRDefault="006926AB" w:rsidP="00883E4C">
            <w:pPr>
              <w:keepNext/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Consider mandatory reporting requirements</w:t>
            </w:r>
          </w:p>
          <w:p w14:paraId="5994F23F" w14:textId="77777777" w:rsidR="006926AB" w:rsidRPr="00FD2E2E" w:rsidRDefault="006926AB" w:rsidP="00883E4C">
            <w:pPr>
              <w:keepNext/>
              <w:ind w:left="378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7DB2C240" w14:textId="58FA1C1C" w:rsidR="0064188C" w:rsidRPr="0025349D" w:rsidRDefault="006926AB" w:rsidP="006926AB">
      <w:pPr>
        <w:tabs>
          <w:tab w:val="left" w:pos="136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2E2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DE45C6">
        <w:rPr>
          <w:rFonts w:ascii="Times New Roman" w:hAnsi="Times New Roman" w:cs="Times New Roman"/>
        </w:rPr>
        <w:t xml:space="preserve">These two presentation types </w:t>
      </w:r>
      <w:r>
        <w:rPr>
          <w:rFonts w:ascii="Times New Roman" w:hAnsi="Times New Roman" w:cs="Times New Roman"/>
        </w:rPr>
        <w:t>are</w:t>
      </w:r>
      <w:r w:rsidRPr="00DE45C6">
        <w:rPr>
          <w:rFonts w:ascii="Times New Roman" w:hAnsi="Times New Roman" w:cs="Times New Roman"/>
        </w:rPr>
        <w:t xml:space="preserve"> addressed </w:t>
      </w:r>
      <w:r>
        <w:rPr>
          <w:rFonts w:ascii="Times New Roman" w:hAnsi="Times New Roman" w:cs="Times New Roman"/>
        </w:rPr>
        <w:t>in</w:t>
      </w:r>
      <w:r w:rsidRPr="00DE45C6">
        <w:rPr>
          <w:rFonts w:ascii="Times New Roman" w:hAnsi="Times New Roman" w:cs="Times New Roman"/>
        </w:rPr>
        <w:t xml:space="preserve"> case examples</w:t>
      </w:r>
    </w:p>
    <w:sectPr w:rsidR="0064188C" w:rsidRPr="0025349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A352" w14:textId="77777777" w:rsidR="00844B71" w:rsidRDefault="00844B71" w:rsidP="0018370B">
      <w:pPr>
        <w:spacing w:after="0" w:line="240" w:lineRule="auto"/>
      </w:pPr>
      <w:r>
        <w:separator/>
      </w:r>
    </w:p>
  </w:endnote>
  <w:endnote w:type="continuationSeparator" w:id="0">
    <w:p w14:paraId="7B6ADF3E" w14:textId="77777777" w:rsidR="00844B71" w:rsidRDefault="00844B71" w:rsidP="001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854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5DEBB" w14:textId="3BBD0CD9" w:rsidR="00A613BA" w:rsidRDefault="00A613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B6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CD14B83" w14:textId="77777777" w:rsidR="00A613BA" w:rsidRDefault="00A6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734B" w14:textId="77777777" w:rsidR="00844B71" w:rsidRDefault="00844B71" w:rsidP="0018370B">
      <w:pPr>
        <w:spacing w:after="0" w:line="240" w:lineRule="auto"/>
      </w:pPr>
      <w:r>
        <w:separator/>
      </w:r>
    </w:p>
  </w:footnote>
  <w:footnote w:type="continuationSeparator" w:id="0">
    <w:p w14:paraId="61775A05" w14:textId="77777777" w:rsidR="00844B71" w:rsidRDefault="00844B71" w:rsidP="001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EF78" w14:textId="10EF7459" w:rsidR="00537168" w:rsidRDefault="005108CE">
    <w:pPr>
      <w:pStyle w:val="Header"/>
    </w:pPr>
    <w:r>
      <w:rPr>
        <w:rFonts w:ascii="Times New Roman" w:hAnsi="Times New Roman" w:cs="Times New Roman"/>
        <w:iCs/>
        <w:sz w:val="24"/>
        <w:szCs w:val="24"/>
      </w:rPr>
      <w:t>ELDER ABUSE DETECTION AND INTERVENTION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0B44"/>
    <w:multiLevelType w:val="hybridMultilevel"/>
    <w:tmpl w:val="0AAE2B54"/>
    <w:lvl w:ilvl="0" w:tplc="324E4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7A9"/>
    <w:multiLevelType w:val="hybridMultilevel"/>
    <w:tmpl w:val="AEFEE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718D"/>
    <w:multiLevelType w:val="hybridMultilevel"/>
    <w:tmpl w:val="240E71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417791E"/>
    <w:multiLevelType w:val="hybridMultilevel"/>
    <w:tmpl w:val="7A68452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B0D"/>
    <w:multiLevelType w:val="hybridMultilevel"/>
    <w:tmpl w:val="329E51E6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2"/>
    <w:rsid w:val="00000001"/>
    <w:rsid w:val="00006F63"/>
    <w:rsid w:val="00015CC1"/>
    <w:rsid w:val="00016048"/>
    <w:rsid w:val="000208A2"/>
    <w:rsid w:val="00023B28"/>
    <w:rsid w:val="00033E13"/>
    <w:rsid w:val="00037BF1"/>
    <w:rsid w:val="000405A8"/>
    <w:rsid w:val="00042826"/>
    <w:rsid w:val="000455D6"/>
    <w:rsid w:val="0005735E"/>
    <w:rsid w:val="00065C3E"/>
    <w:rsid w:val="0006785C"/>
    <w:rsid w:val="00071522"/>
    <w:rsid w:val="000718B8"/>
    <w:rsid w:val="000745D7"/>
    <w:rsid w:val="000747A7"/>
    <w:rsid w:val="000763DB"/>
    <w:rsid w:val="0008174F"/>
    <w:rsid w:val="0008733F"/>
    <w:rsid w:val="00092F91"/>
    <w:rsid w:val="0009579B"/>
    <w:rsid w:val="00097965"/>
    <w:rsid w:val="000A229F"/>
    <w:rsid w:val="000A771F"/>
    <w:rsid w:val="000B4378"/>
    <w:rsid w:val="000C0666"/>
    <w:rsid w:val="000D04FC"/>
    <w:rsid w:val="000D7505"/>
    <w:rsid w:val="000E0BC7"/>
    <w:rsid w:val="000E2A30"/>
    <w:rsid w:val="000E4A5C"/>
    <w:rsid w:val="000F1749"/>
    <w:rsid w:val="000F6FA3"/>
    <w:rsid w:val="001032CE"/>
    <w:rsid w:val="00105555"/>
    <w:rsid w:val="001075A9"/>
    <w:rsid w:val="00111290"/>
    <w:rsid w:val="00112FAA"/>
    <w:rsid w:val="00121278"/>
    <w:rsid w:val="00122D33"/>
    <w:rsid w:val="001231A3"/>
    <w:rsid w:val="00123C9D"/>
    <w:rsid w:val="00124712"/>
    <w:rsid w:val="00134A52"/>
    <w:rsid w:val="00135CB5"/>
    <w:rsid w:val="00141BD1"/>
    <w:rsid w:val="00143855"/>
    <w:rsid w:val="0015215A"/>
    <w:rsid w:val="00165121"/>
    <w:rsid w:val="001762B9"/>
    <w:rsid w:val="00182B2F"/>
    <w:rsid w:val="0018370B"/>
    <w:rsid w:val="0018682B"/>
    <w:rsid w:val="001903A8"/>
    <w:rsid w:val="00191C81"/>
    <w:rsid w:val="001951A3"/>
    <w:rsid w:val="001957FA"/>
    <w:rsid w:val="001A7F95"/>
    <w:rsid w:val="001B4EC5"/>
    <w:rsid w:val="001B5A6E"/>
    <w:rsid w:val="001B5BAE"/>
    <w:rsid w:val="001B7132"/>
    <w:rsid w:val="001B772F"/>
    <w:rsid w:val="001C09A5"/>
    <w:rsid w:val="001D3F87"/>
    <w:rsid w:val="001D4AA1"/>
    <w:rsid w:val="001D5407"/>
    <w:rsid w:val="001E463A"/>
    <w:rsid w:val="001E4DE1"/>
    <w:rsid w:val="001F40D1"/>
    <w:rsid w:val="001F57F0"/>
    <w:rsid w:val="00201B38"/>
    <w:rsid w:val="00212573"/>
    <w:rsid w:val="00216057"/>
    <w:rsid w:val="002175C5"/>
    <w:rsid w:val="00217692"/>
    <w:rsid w:val="0022797D"/>
    <w:rsid w:val="00227B1F"/>
    <w:rsid w:val="00233E0B"/>
    <w:rsid w:val="00234B59"/>
    <w:rsid w:val="002377A7"/>
    <w:rsid w:val="0024071C"/>
    <w:rsid w:val="0024176C"/>
    <w:rsid w:val="0024631B"/>
    <w:rsid w:val="002473D4"/>
    <w:rsid w:val="00250056"/>
    <w:rsid w:val="00252326"/>
    <w:rsid w:val="0025238C"/>
    <w:rsid w:val="002568C5"/>
    <w:rsid w:val="00264EF0"/>
    <w:rsid w:val="00266F13"/>
    <w:rsid w:val="00271D5E"/>
    <w:rsid w:val="00281AB5"/>
    <w:rsid w:val="002871FB"/>
    <w:rsid w:val="002877F7"/>
    <w:rsid w:val="002901D9"/>
    <w:rsid w:val="00292B43"/>
    <w:rsid w:val="00293405"/>
    <w:rsid w:val="002B252A"/>
    <w:rsid w:val="002B3341"/>
    <w:rsid w:val="002B7489"/>
    <w:rsid w:val="002B7B11"/>
    <w:rsid w:val="002C60D7"/>
    <w:rsid w:val="002E134B"/>
    <w:rsid w:val="002E20FC"/>
    <w:rsid w:val="002E6026"/>
    <w:rsid w:val="002E6931"/>
    <w:rsid w:val="002E7BD2"/>
    <w:rsid w:val="002F3854"/>
    <w:rsid w:val="002F39C8"/>
    <w:rsid w:val="00302169"/>
    <w:rsid w:val="00304A2F"/>
    <w:rsid w:val="00305BA5"/>
    <w:rsid w:val="00310844"/>
    <w:rsid w:val="00310A05"/>
    <w:rsid w:val="003138A8"/>
    <w:rsid w:val="00322732"/>
    <w:rsid w:val="00322ECF"/>
    <w:rsid w:val="003234C9"/>
    <w:rsid w:val="003264E4"/>
    <w:rsid w:val="00326ABB"/>
    <w:rsid w:val="00327AB2"/>
    <w:rsid w:val="00333118"/>
    <w:rsid w:val="00336464"/>
    <w:rsid w:val="003367D1"/>
    <w:rsid w:val="00340D75"/>
    <w:rsid w:val="0034534A"/>
    <w:rsid w:val="003456B0"/>
    <w:rsid w:val="00350F65"/>
    <w:rsid w:val="00352A01"/>
    <w:rsid w:val="003554A7"/>
    <w:rsid w:val="00362C12"/>
    <w:rsid w:val="003640E9"/>
    <w:rsid w:val="003666B7"/>
    <w:rsid w:val="003666D5"/>
    <w:rsid w:val="00371A08"/>
    <w:rsid w:val="00374625"/>
    <w:rsid w:val="003775DE"/>
    <w:rsid w:val="0038229F"/>
    <w:rsid w:val="003900E1"/>
    <w:rsid w:val="00396555"/>
    <w:rsid w:val="00396C09"/>
    <w:rsid w:val="003972CA"/>
    <w:rsid w:val="003A0BBD"/>
    <w:rsid w:val="003A12D3"/>
    <w:rsid w:val="003A1D16"/>
    <w:rsid w:val="003A2385"/>
    <w:rsid w:val="003A4ECE"/>
    <w:rsid w:val="003A5B9E"/>
    <w:rsid w:val="003A6F9B"/>
    <w:rsid w:val="003B23B7"/>
    <w:rsid w:val="003B28D3"/>
    <w:rsid w:val="003B5007"/>
    <w:rsid w:val="003B79DD"/>
    <w:rsid w:val="003C07E6"/>
    <w:rsid w:val="003C1B2A"/>
    <w:rsid w:val="003C361D"/>
    <w:rsid w:val="003C6677"/>
    <w:rsid w:val="003C7EA9"/>
    <w:rsid w:val="003D0D47"/>
    <w:rsid w:val="003D2115"/>
    <w:rsid w:val="003D3F0D"/>
    <w:rsid w:val="003D4B5E"/>
    <w:rsid w:val="003D69CB"/>
    <w:rsid w:val="003F0CB5"/>
    <w:rsid w:val="003F0D07"/>
    <w:rsid w:val="003F41B5"/>
    <w:rsid w:val="003F6EE1"/>
    <w:rsid w:val="00403D4C"/>
    <w:rsid w:val="00404D4F"/>
    <w:rsid w:val="0040501B"/>
    <w:rsid w:val="004125A0"/>
    <w:rsid w:val="0041417A"/>
    <w:rsid w:val="004176CF"/>
    <w:rsid w:val="004235DA"/>
    <w:rsid w:val="0043223C"/>
    <w:rsid w:val="00443FFC"/>
    <w:rsid w:val="00454974"/>
    <w:rsid w:val="00454E5E"/>
    <w:rsid w:val="00455E68"/>
    <w:rsid w:val="00456EBD"/>
    <w:rsid w:val="00462849"/>
    <w:rsid w:val="004653FB"/>
    <w:rsid w:val="00467E3C"/>
    <w:rsid w:val="004726CD"/>
    <w:rsid w:val="00477ED9"/>
    <w:rsid w:val="00480A9F"/>
    <w:rsid w:val="00480CF1"/>
    <w:rsid w:val="00481D2A"/>
    <w:rsid w:val="00486890"/>
    <w:rsid w:val="00491471"/>
    <w:rsid w:val="00497460"/>
    <w:rsid w:val="00497B72"/>
    <w:rsid w:val="004A2FC9"/>
    <w:rsid w:val="004A33A0"/>
    <w:rsid w:val="004A37E7"/>
    <w:rsid w:val="004A4E17"/>
    <w:rsid w:val="004A69C2"/>
    <w:rsid w:val="004B1375"/>
    <w:rsid w:val="004B34F7"/>
    <w:rsid w:val="004B73A0"/>
    <w:rsid w:val="004C00B5"/>
    <w:rsid w:val="004C7FDB"/>
    <w:rsid w:val="004D4E09"/>
    <w:rsid w:val="004D623D"/>
    <w:rsid w:val="004E778A"/>
    <w:rsid w:val="004E7FAE"/>
    <w:rsid w:val="004F1A15"/>
    <w:rsid w:val="004F6517"/>
    <w:rsid w:val="00503C32"/>
    <w:rsid w:val="0051006F"/>
    <w:rsid w:val="005108CE"/>
    <w:rsid w:val="00510AB4"/>
    <w:rsid w:val="00511630"/>
    <w:rsid w:val="0052157F"/>
    <w:rsid w:val="005220AE"/>
    <w:rsid w:val="005221DF"/>
    <w:rsid w:val="005251CD"/>
    <w:rsid w:val="00525782"/>
    <w:rsid w:val="00525B2E"/>
    <w:rsid w:val="00526B2F"/>
    <w:rsid w:val="005279CF"/>
    <w:rsid w:val="00537168"/>
    <w:rsid w:val="0054329D"/>
    <w:rsid w:val="005444FC"/>
    <w:rsid w:val="00553BF9"/>
    <w:rsid w:val="0056028A"/>
    <w:rsid w:val="005645C2"/>
    <w:rsid w:val="00571E51"/>
    <w:rsid w:val="00573B47"/>
    <w:rsid w:val="00581634"/>
    <w:rsid w:val="00593733"/>
    <w:rsid w:val="005A6756"/>
    <w:rsid w:val="005B2196"/>
    <w:rsid w:val="005C1962"/>
    <w:rsid w:val="005C6C83"/>
    <w:rsid w:val="005D12EF"/>
    <w:rsid w:val="005D21A1"/>
    <w:rsid w:val="005D4C98"/>
    <w:rsid w:val="005D556B"/>
    <w:rsid w:val="005D59F8"/>
    <w:rsid w:val="005D6054"/>
    <w:rsid w:val="005D7FA2"/>
    <w:rsid w:val="005E34BB"/>
    <w:rsid w:val="005E4C14"/>
    <w:rsid w:val="006059CE"/>
    <w:rsid w:val="00611F2E"/>
    <w:rsid w:val="006140A8"/>
    <w:rsid w:val="00614D99"/>
    <w:rsid w:val="006178A2"/>
    <w:rsid w:val="006216B0"/>
    <w:rsid w:val="00621961"/>
    <w:rsid w:val="00623BE7"/>
    <w:rsid w:val="00624309"/>
    <w:rsid w:val="00625419"/>
    <w:rsid w:val="006279B1"/>
    <w:rsid w:val="00631229"/>
    <w:rsid w:val="00631C34"/>
    <w:rsid w:val="006324BC"/>
    <w:rsid w:val="00635E45"/>
    <w:rsid w:val="00641412"/>
    <w:rsid w:val="0064188C"/>
    <w:rsid w:val="00643C7A"/>
    <w:rsid w:val="00644C5D"/>
    <w:rsid w:val="00646337"/>
    <w:rsid w:val="0064670F"/>
    <w:rsid w:val="00646822"/>
    <w:rsid w:val="00647E86"/>
    <w:rsid w:val="00651A50"/>
    <w:rsid w:val="00653359"/>
    <w:rsid w:val="006572A0"/>
    <w:rsid w:val="00663B90"/>
    <w:rsid w:val="00663FC9"/>
    <w:rsid w:val="006728BF"/>
    <w:rsid w:val="00682484"/>
    <w:rsid w:val="006926AB"/>
    <w:rsid w:val="00692BD8"/>
    <w:rsid w:val="006937B9"/>
    <w:rsid w:val="00693DEA"/>
    <w:rsid w:val="00693ED6"/>
    <w:rsid w:val="006A52D4"/>
    <w:rsid w:val="006B02BD"/>
    <w:rsid w:val="006B4715"/>
    <w:rsid w:val="006B62FE"/>
    <w:rsid w:val="006C47B2"/>
    <w:rsid w:val="006C62C3"/>
    <w:rsid w:val="006C7AC2"/>
    <w:rsid w:val="006D5999"/>
    <w:rsid w:val="006D6F85"/>
    <w:rsid w:val="006E6E9D"/>
    <w:rsid w:val="006F0A88"/>
    <w:rsid w:val="006F719B"/>
    <w:rsid w:val="00701635"/>
    <w:rsid w:val="00710FC5"/>
    <w:rsid w:val="007110D0"/>
    <w:rsid w:val="0071207C"/>
    <w:rsid w:val="0071323B"/>
    <w:rsid w:val="007136C9"/>
    <w:rsid w:val="007136D6"/>
    <w:rsid w:val="00724F83"/>
    <w:rsid w:val="007259F3"/>
    <w:rsid w:val="00726A4E"/>
    <w:rsid w:val="00727F9C"/>
    <w:rsid w:val="00741278"/>
    <w:rsid w:val="00741359"/>
    <w:rsid w:val="00752723"/>
    <w:rsid w:val="007530CB"/>
    <w:rsid w:val="00755AB1"/>
    <w:rsid w:val="00757455"/>
    <w:rsid w:val="00770F9B"/>
    <w:rsid w:val="00773994"/>
    <w:rsid w:val="00774E5B"/>
    <w:rsid w:val="00776D3A"/>
    <w:rsid w:val="00776E9C"/>
    <w:rsid w:val="0077728B"/>
    <w:rsid w:val="00780B9E"/>
    <w:rsid w:val="00781C0F"/>
    <w:rsid w:val="00784042"/>
    <w:rsid w:val="00784A3D"/>
    <w:rsid w:val="00785186"/>
    <w:rsid w:val="0078611D"/>
    <w:rsid w:val="007879C8"/>
    <w:rsid w:val="00793FEE"/>
    <w:rsid w:val="00795168"/>
    <w:rsid w:val="0079752D"/>
    <w:rsid w:val="00797FCF"/>
    <w:rsid w:val="007A0D6F"/>
    <w:rsid w:val="007A11EA"/>
    <w:rsid w:val="007A39FE"/>
    <w:rsid w:val="007A47B1"/>
    <w:rsid w:val="007B20FE"/>
    <w:rsid w:val="007D2D26"/>
    <w:rsid w:val="007D493C"/>
    <w:rsid w:val="007D4D66"/>
    <w:rsid w:val="007E146E"/>
    <w:rsid w:val="007E57D8"/>
    <w:rsid w:val="007E5C13"/>
    <w:rsid w:val="007E6DE7"/>
    <w:rsid w:val="008068FE"/>
    <w:rsid w:val="00810A95"/>
    <w:rsid w:val="00810F50"/>
    <w:rsid w:val="0081137D"/>
    <w:rsid w:val="0081242F"/>
    <w:rsid w:val="00812EF5"/>
    <w:rsid w:val="00814548"/>
    <w:rsid w:val="00817090"/>
    <w:rsid w:val="00820B38"/>
    <w:rsid w:val="00822594"/>
    <w:rsid w:val="00824334"/>
    <w:rsid w:val="00830D99"/>
    <w:rsid w:val="0083211E"/>
    <w:rsid w:val="008325B7"/>
    <w:rsid w:val="00832862"/>
    <w:rsid w:val="00835FE8"/>
    <w:rsid w:val="00844B71"/>
    <w:rsid w:val="00850CDF"/>
    <w:rsid w:val="00852BBC"/>
    <w:rsid w:val="008548E0"/>
    <w:rsid w:val="00857F15"/>
    <w:rsid w:val="00863923"/>
    <w:rsid w:val="00863B82"/>
    <w:rsid w:val="00865F66"/>
    <w:rsid w:val="00867DAC"/>
    <w:rsid w:val="00871B06"/>
    <w:rsid w:val="00872B81"/>
    <w:rsid w:val="008777F5"/>
    <w:rsid w:val="00881C7E"/>
    <w:rsid w:val="00882BB6"/>
    <w:rsid w:val="00891666"/>
    <w:rsid w:val="008966DF"/>
    <w:rsid w:val="008A161C"/>
    <w:rsid w:val="008B2176"/>
    <w:rsid w:val="008B6B0C"/>
    <w:rsid w:val="008B71B8"/>
    <w:rsid w:val="008B7854"/>
    <w:rsid w:val="008C1A2A"/>
    <w:rsid w:val="008C5BC2"/>
    <w:rsid w:val="008D0A78"/>
    <w:rsid w:val="008D33B4"/>
    <w:rsid w:val="008E0FE3"/>
    <w:rsid w:val="008E5045"/>
    <w:rsid w:val="008E6AF6"/>
    <w:rsid w:val="008F1985"/>
    <w:rsid w:val="008F306A"/>
    <w:rsid w:val="008F4C97"/>
    <w:rsid w:val="00901F09"/>
    <w:rsid w:val="00910E05"/>
    <w:rsid w:val="0091140F"/>
    <w:rsid w:val="00912038"/>
    <w:rsid w:val="009133FE"/>
    <w:rsid w:val="00924408"/>
    <w:rsid w:val="00924438"/>
    <w:rsid w:val="00924903"/>
    <w:rsid w:val="009306CA"/>
    <w:rsid w:val="00935E12"/>
    <w:rsid w:val="009369F0"/>
    <w:rsid w:val="00952BEA"/>
    <w:rsid w:val="00952E45"/>
    <w:rsid w:val="00956709"/>
    <w:rsid w:val="009614C1"/>
    <w:rsid w:val="00962A06"/>
    <w:rsid w:val="00963967"/>
    <w:rsid w:val="009726B2"/>
    <w:rsid w:val="00973786"/>
    <w:rsid w:val="0097415F"/>
    <w:rsid w:val="0097618A"/>
    <w:rsid w:val="00976965"/>
    <w:rsid w:val="00976DE3"/>
    <w:rsid w:val="00977904"/>
    <w:rsid w:val="009871F1"/>
    <w:rsid w:val="00991620"/>
    <w:rsid w:val="00992443"/>
    <w:rsid w:val="00993637"/>
    <w:rsid w:val="0099620F"/>
    <w:rsid w:val="009A32C3"/>
    <w:rsid w:val="009A5CA2"/>
    <w:rsid w:val="009A5F05"/>
    <w:rsid w:val="009B4107"/>
    <w:rsid w:val="009C4738"/>
    <w:rsid w:val="009C75D4"/>
    <w:rsid w:val="009C7C76"/>
    <w:rsid w:val="009D1210"/>
    <w:rsid w:val="009D3044"/>
    <w:rsid w:val="009D5EC4"/>
    <w:rsid w:val="009D60D3"/>
    <w:rsid w:val="009D777A"/>
    <w:rsid w:val="009F0BC6"/>
    <w:rsid w:val="009F760E"/>
    <w:rsid w:val="00A01E77"/>
    <w:rsid w:val="00A01F28"/>
    <w:rsid w:val="00A03183"/>
    <w:rsid w:val="00A05343"/>
    <w:rsid w:val="00A10676"/>
    <w:rsid w:val="00A11AED"/>
    <w:rsid w:val="00A12796"/>
    <w:rsid w:val="00A150D2"/>
    <w:rsid w:val="00A165BF"/>
    <w:rsid w:val="00A21B42"/>
    <w:rsid w:val="00A270E6"/>
    <w:rsid w:val="00A42062"/>
    <w:rsid w:val="00A44120"/>
    <w:rsid w:val="00A469E5"/>
    <w:rsid w:val="00A46F1F"/>
    <w:rsid w:val="00A46F2C"/>
    <w:rsid w:val="00A502E4"/>
    <w:rsid w:val="00A613BA"/>
    <w:rsid w:val="00A73271"/>
    <w:rsid w:val="00A74937"/>
    <w:rsid w:val="00A75F4C"/>
    <w:rsid w:val="00A77685"/>
    <w:rsid w:val="00A776F1"/>
    <w:rsid w:val="00A814CE"/>
    <w:rsid w:val="00A87CCB"/>
    <w:rsid w:val="00A9171F"/>
    <w:rsid w:val="00A926BA"/>
    <w:rsid w:val="00A92752"/>
    <w:rsid w:val="00A9419F"/>
    <w:rsid w:val="00A9623B"/>
    <w:rsid w:val="00A97EE0"/>
    <w:rsid w:val="00AA29A1"/>
    <w:rsid w:val="00AA2BA6"/>
    <w:rsid w:val="00AB1B1B"/>
    <w:rsid w:val="00AB3A9D"/>
    <w:rsid w:val="00AB5133"/>
    <w:rsid w:val="00AB5EA8"/>
    <w:rsid w:val="00AB7A04"/>
    <w:rsid w:val="00AC0F10"/>
    <w:rsid w:val="00AC79BF"/>
    <w:rsid w:val="00AD5A07"/>
    <w:rsid w:val="00AE28AC"/>
    <w:rsid w:val="00AE4E58"/>
    <w:rsid w:val="00AE4FA5"/>
    <w:rsid w:val="00AE5D26"/>
    <w:rsid w:val="00AE6A02"/>
    <w:rsid w:val="00AF0FC2"/>
    <w:rsid w:val="00AF524F"/>
    <w:rsid w:val="00AF5AD8"/>
    <w:rsid w:val="00B01DCB"/>
    <w:rsid w:val="00B02904"/>
    <w:rsid w:val="00B02FF2"/>
    <w:rsid w:val="00B048C3"/>
    <w:rsid w:val="00B1080A"/>
    <w:rsid w:val="00B12238"/>
    <w:rsid w:val="00B133F0"/>
    <w:rsid w:val="00B23C32"/>
    <w:rsid w:val="00B240D3"/>
    <w:rsid w:val="00B24311"/>
    <w:rsid w:val="00B254E9"/>
    <w:rsid w:val="00B27E03"/>
    <w:rsid w:val="00B30FCD"/>
    <w:rsid w:val="00B32A1F"/>
    <w:rsid w:val="00B34119"/>
    <w:rsid w:val="00B35152"/>
    <w:rsid w:val="00B4210C"/>
    <w:rsid w:val="00B44121"/>
    <w:rsid w:val="00B44568"/>
    <w:rsid w:val="00B461DA"/>
    <w:rsid w:val="00B53CEA"/>
    <w:rsid w:val="00B56312"/>
    <w:rsid w:val="00B578D7"/>
    <w:rsid w:val="00B60E50"/>
    <w:rsid w:val="00B613B7"/>
    <w:rsid w:val="00B835F8"/>
    <w:rsid w:val="00B83648"/>
    <w:rsid w:val="00B856A1"/>
    <w:rsid w:val="00BA171E"/>
    <w:rsid w:val="00BA1831"/>
    <w:rsid w:val="00BA2FBE"/>
    <w:rsid w:val="00BA3A4D"/>
    <w:rsid w:val="00BA4CC6"/>
    <w:rsid w:val="00BA5F50"/>
    <w:rsid w:val="00BA63CA"/>
    <w:rsid w:val="00BB1062"/>
    <w:rsid w:val="00BB3FE5"/>
    <w:rsid w:val="00BB52AF"/>
    <w:rsid w:val="00BC0DA1"/>
    <w:rsid w:val="00BC25C8"/>
    <w:rsid w:val="00BC4E2D"/>
    <w:rsid w:val="00BC6A44"/>
    <w:rsid w:val="00BD1C79"/>
    <w:rsid w:val="00BD20C6"/>
    <w:rsid w:val="00BD2469"/>
    <w:rsid w:val="00BD6F89"/>
    <w:rsid w:val="00BE11E8"/>
    <w:rsid w:val="00BE3748"/>
    <w:rsid w:val="00BF18B3"/>
    <w:rsid w:val="00BF32BC"/>
    <w:rsid w:val="00BF3965"/>
    <w:rsid w:val="00C008ED"/>
    <w:rsid w:val="00C0360D"/>
    <w:rsid w:val="00C0428D"/>
    <w:rsid w:val="00C05558"/>
    <w:rsid w:val="00C0712E"/>
    <w:rsid w:val="00C13E97"/>
    <w:rsid w:val="00C1553B"/>
    <w:rsid w:val="00C17B6F"/>
    <w:rsid w:val="00C27F16"/>
    <w:rsid w:val="00C30159"/>
    <w:rsid w:val="00C36EA6"/>
    <w:rsid w:val="00C435CD"/>
    <w:rsid w:val="00C444C3"/>
    <w:rsid w:val="00C4488A"/>
    <w:rsid w:val="00C4693B"/>
    <w:rsid w:val="00C56397"/>
    <w:rsid w:val="00C640C5"/>
    <w:rsid w:val="00C73072"/>
    <w:rsid w:val="00C77EC0"/>
    <w:rsid w:val="00C77F78"/>
    <w:rsid w:val="00C8439D"/>
    <w:rsid w:val="00C85F5E"/>
    <w:rsid w:val="00C91393"/>
    <w:rsid w:val="00C92233"/>
    <w:rsid w:val="00CA1CFA"/>
    <w:rsid w:val="00CA1F9E"/>
    <w:rsid w:val="00CA396D"/>
    <w:rsid w:val="00CA6EED"/>
    <w:rsid w:val="00CB0A17"/>
    <w:rsid w:val="00CB3843"/>
    <w:rsid w:val="00CB391E"/>
    <w:rsid w:val="00CB5F82"/>
    <w:rsid w:val="00CB7A47"/>
    <w:rsid w:val="00CC4AB9"/>
    <w:rsid w:val="00CC5436"/>
    <w:rsid w:val="00CD1273"/>
    <w:rsid w:val="00CD4F5D"/>
    <w:rsid w:val="00CD6D7C"/>
    <w:rsid w:val="00CE11BA"/>
    <w:rsid w:val="00CE1D12"/>
    <w:rsid w:val="00CE6293"/>
    <w:rsid w:val="00CF0995"/>
    <w:rsid w:val="00CF7577"/>
    <w:rsid w:val="00CF7DC2"/>
    <w:rsid w:val="00D0609C"/>
    <w:rsid w:val="00D13503"/>
    <w:rsid w:val="00D26F94"/>
    <w:rsid w:val="00D47448"/>
    <w:rsid w:val="00D57565"/>
    <w:rsid w:val="00D62F1E"/>
    <w:rsid w:val="00D66FD3"/>
    <w:rsid w:val="00D6704B"/>
    <w:rsid w:val="00D7012B"/>
    <w:rsid w:val="00D72479"/>
    <w:rsid w:val="00D72EDE"/>
    <w:rsid w:val="00D73C4C"/>
    <w:rsid w:val="00D73F38"/>
    <w:rsid w:val="00D80088"/>
    <w:rsid w:val="00D8122A"/>
    <w:rsid w:val="00D81B1E"/>
    <w:rsid w:val="00D82F5A"/>
    <w:rsid w:val="00D83530"/>
    <w:rsid w:val="00DA2A03"/>
    <w:rsid w:val="00DA2CDF"/>
    <w:rsid w:val="00DA4FEE"/>
    <w:rsid w:val="00DA7450"/>
    <w:rsid w:val="00DC13AA"/>
    <w:rsid w:val="00DD7178"/>
    <w:rsid w:val="00DD7A65"/>
    <w:rsid w:val="00DE2687"/>
    <w:rsid w:val="00DE7D70"/>
    <w:rsid w:val="00DF0129"/>
    <w:rsid w:val="00DF23A2"/>
    <w:rsid w:val="00E02DFD"/>
    <w:rsid w:val="00E03C17"/>
    <w:rsid w:val="00E15AD9"/>
    <w:rsid w:val="00E2272D"/>
    <w:rsid w:val="00E230EC"/>
    <w:rsid w:val="00E234DC"/>
    <w:rsid w:val="00E30D69"/>
    <w:rsid w:val="00E30DDF"/>
    <w:rsid w:val="00E31FFF"/>
    <w:rsid w:val="00E42570"/>
    <w:rsid w:val="00E4339D"/>
    <w:rsid w:val="00E436A3"/>
    <w:rsid w:val="00E4490E"/>
    <w:rsid w:val="00E509B6"/>
    <w:rsid w:val="00E524C7"/>
    <w:rsid w:val="00E62C62"/>
    <w:rsid w:val="00E84770"/>
    <w:rsid w:val="00E87884"/>
    <w:rsid w:val="00E92124"/>
    <w:rsid w:val="00E952F6"/>
    <w:rsid w:val="00E971E9"/>
    <w:rsid w:val="00EA2B0D"/>
    <w:rsid w:val="00EA37E6"/>
    <w:rsid w:val="00EA4A6B"/>
    <w:rsid w:val="00EB4EF8"/>
    <w:rsid w:val="00EB5243"/>
    <w:rsid w:val="00EB5757"/>
    <w:rsid w:val="00EC3C74"/>
    <w:rsid w:val="00EC42BB"/>
    <w:rsid w:val="00EC51E9"/>
    <w:rsid w:val="00EC622D"/>
    <w:rsid w:val="00ED313D"/>
    <w:rsid w:val="00EE5123"/>
    <w:rsid w:val="00EE5934"/>
    <w:rsid w:val="00EE73E2"/>
    <w:rsid w:val="00EF0CA6"/>
    <w:rsid w:val="00EF6085"/>
    <w:rsid w:val="00EF78EE"/>
    <w:rsid w:val="00F01F66"/>
    <w:rsid w:val="00F0260A"/>
    <w:rsid w:val="00F031DA"/>
    <w:rsid w:val="00F07B88"/>
    <w:rsid w:val="00F2487F"/>
    <w:rsid w:val="00F24896"/>
    <w:rsid w:val="00F3260A"/>
    <w:rsid w:val="00F358EA"/>
    <w:rsid w:val="00F46DDF"/>
    <w:rsid w:val="00F5044B"/>
    <w:rsid w:val="00F512E2"/>
    <w:rsid w:val="00F524B1"/>
    <w:rsid w:val="00F5654C"/>
    <w:rsid w:val="00F56FDE"/>
    <w:rsid w:val="00F71E3D"/>
    <w:rsid w:val="00F75225"/>
    <w:rsid w:val="00F80F44"/>
    <w:rsid w:val="00F90247"/>
    <w:rsid w:val="00F95B9D"/>
    <w:rsid w:val="00F96A93"/>
    <w:rsid w:val="00F97342"/>
    <w:rsid w:val="00FA1B10"/>
    <w:rsid w:val="00FA4EC1"/>
    <w:rsid w:val="00FA7A62"/>
    <w:rsid w:val="00FB1698"/>
    <w:rsid w:val="00FB1B10"/>
    <w:rsid w:val="00FB4F9A"/>
    <w:rsid w:val="00FB5BB9"/>
    <w:rsid w:val="00FB7027"/>
    <w:rsid w:val="00FB747E"/>
    <w:rsid w:val="00FC39E2"/>
    <w:rsid w:val="00FC4842"/>
    <w:rsid w:val="00FC6285"/>
    <w:rsid w:val="00FC74BB"/>
    <w:rsid w:val="00FC74C2"/>
    <w:rsid w:val="00FC792E"/>
    <w:rsid w:val="00FD1905"/>
    <w:rsid w:val="00FD22C4"/>
    <w:rsid w:val="00FD2E2E"/>
    <w:rsid w:val="00FD3DFA"/>
    <w:rsid w:val="00FD7288"/>
    <w:rsid w:val="00FD7F47"/>
    <w:rsid w:val="00FE289A"/>
    <w:rsid w:val="00FF1F5C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9E35F"/>
  <w15:docId w15:val="{E72DF563-9EED-4DA4-8E5B-4B605C9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2"/>
    <w:uiPriority w:val="45"/>
    <w:rsid w:val="003B79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45"/>
    <w:rsid w:val="003B79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8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0B"/>
  </w:style>
  <w:style w:type="paragraph" w:styleId="Footer">
    <w:name w:val="footer"/>
    <w:basedOn w:val="Normal"/>
    <w:link w:val="FooterChar"/>
    <w:uiPriority w:val="99"/>
    <w:unhideWhenUsed/>
    <w:rsid w:val="0018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0B"/>
  </w:style>
  <w:style w:type="character" w:styleId="Hyperlink">
    <w:name w:val="Hyperlink"/>
    <w:basedOn w:val="DefaultParagraphFont"/>
    <w:uiPriority w:val="99"/>
    <w:unhideWhenUsed/>
    <w:rsid w:val="00B835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5F8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C91393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1393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2E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we.ac.uk/300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n/news-room/fact-sheets/detail/elder-ab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en/development/desa/population/publications/pdf/ageing/WPA2017_Highligh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DD8F-870B-4715-9BBE-0DA31E00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 Dominguez, Silvia (2017)</dc:creator>
  <cp:lastModifiedBy>Revan, Jade</cp:lastModifiedBy>
  <cp:revision>2</cp:revision>
  <cp:lastPrinted>2020-06-04T21:00:00Z</cp:lastPrinted>
  <dcterms:created xsi:type="dcterms:W3CDTF">2020-09-30T11:52:00Z</dcterms:created>
  <dcterms:modified xsi:type="dcterms:W3CDTF">2020-09-30T11:52:00Z</dcterms:modified>
</cp:coreProperties>
</file>