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4A1" w:rsidRPr="004B3C25" w:rsidRDefault="002044A1" w:rsidP="002044A1">
      <w:pPr>
        <w:pStyle w:val="Heading3"/>
        <w:spacing w:before="0" w:after="120"/>
        <w:jc w:val="both"/>
        <w:rPr>
          <w:rStyle w:val="CommentReference"/>
          <w:rFonts w:cs="Times New Roman"/>
          <w:b w:val="0"/>
          <w:bCs w:val="0"/>
          <w:color w:val="auto"/>
          <w:lang w:val="en-GB"/>
        </w:rPr>
      </w:pPr>
      <w:r w:rsidRPr="004B3C25">
        <w:rPr>
          <w:color w:val="auto"/>
          <w:lang w:val="en-GB"/>
        </w:rPr>
        <w:t xml:space="preserve">Chapter 13: </w:t>
      </w:r>
      <w:r w:rsidRPr="00F16EC7">
        <w:rPr>
          <w:rStyle w:val="CommentReference"/>
          <w:rFonts w:cs="Calibri"/>
          <w:color w:val="auto"/>
          <w:sz w:val="24"/>
          <w:szCs w:val="24"/>
          <w:lang w:val="en-GB"/>
        </w:rPr>
        <w:t>Family heroines: female vulnerability in the writings of Ambrose of Milan</w:t>
      </w:r>
    </w:p>
    <w:p w:rsidR="002044A1" w:rsidRPr="00564795" w:rsidRDefault="002044A1" w:rsidP="002044A1">
      <w:pPr>
        <w:rPr>
          <w:rFonts w:asciiTheme="majorHAnsi" w:hAnsiTheme="majorHAnsi"/>
          <w:lang w:val="en-GB"/>
        </w:rPr>
      </w:pPr>
      <w:r w:rsidRPr="00564795">
        <w:rPr>
          <w:rFonts w:asciiTheme="majorHAnsi" w:hAnsiTheme="majorHAnsi"/>
          <w:lang w:val="en-GB" w:eastAsia="es-ES"/>
        </w:rPr>
        <w:t xml:space="preserve">David Natal, </w:t>
      </w:r>
      <w:r>
        <w:rPr>
          <w:rFonts w:asciiTheme="majorHAnsi" w:hAnsiTheme="majorHAnsi" w:cs="Tahoma"/>
          <w:color w:val="212121"/>
          <w:shd w:val="clear" w:color="auto" w:fill="FFFFFF"/>
          <w:lang w:val="en-GB"/>
        </w:rPr>
        <w:t>Royal Holloway, University of London</w:t>
      </w:r>
    </w:p>
    <w:p w:rsidR="002044A1" w:rsidRPr="004B3C25" w:rsidRDefault="002044A1" w:rsidP="002044A1">
      <w:pPr>
        <w:pStyle w:val="Heading3"/>
        <w:spacing w:before="0" w:after="120"/>
        <w:jc w:val="both"/>
        <w:rPr>
          <w:b w:val="0"/>
          <w:color w:val="auto"/>
          <w:lang w:val="en-GB" w:eastAsia="es-ES"/>
        </w:rPr>
      </w:pPr>
    </w:p>
    <w:p w:rsidR="002044A1" w:rsidRPr="004B3C25" w:rsidRDefault="002044A1" w:rsidP="002044A1">
      <w:pPr>
        <w:widowControl w:val="0"/>
        <w:tabs>
          <w:tab w:val="left" w:pos="142"/>
        </w:tabs>
        <w:autoSpaceDE w:val="0"/>
        <w:autoSpaceDN w:val="0"/>
        <w:adjustRightInd w:val="0"/>
        <w:spacing w:after="120"/>
        <w:jc w:val="both"/>
        <w:rPr>
          <w:rFonts w:asciiTheme="majorHAnsi" w:hAnsiTheme="majorHAnsi" w:cs="Times"/>
          <w:lang w:val="en-GB"/>
        </w:rPr>
      </w:pPr>
      <w:r w:rsidRPr="004B3C25">
        <w:rPr>
          <w:rFonts w:asciiTheme="majorHAnsi" w:hAnsiTheme="majorHAnsi" w:cs="Times"/>
          <w:lang w:val="en-GB"/>
        </w:rPr>
        <w:t xml:space="preserve">Little is known of the family of Aurelius Ambrosius (d. 397), who was the provincial governor of the north Italian province of </w:t>
      </w:r>
      <w:proofErr w:type="spellStart"/>
      <w:r w:rsidRPr="004B3C25">
        <w:rPr>
          <w:rFonts w:asciiTheme="majorHAnsi" w:hAnsiTheme="majorHAnsi" w:cs="Times"/>
          <w:lang w:val="en-GB"/>
        </w:rPr>
        <w:t>Aemilia</w:t>
      </w:r>
      <w:proofErr w:type="spellEnd"/>
      <w:r w:rsidRPr="004B3C25">
        <w:rPr>
          <w:rFonts w:asciiTheme="majorHAnsi" w:hAnsiTheme="majorHAnsi" w:cs="Times"/>
          <w:lang w:val="en-GB"/>
        </w:rPr>
        <w:t xml:space="preserve">-Liguria before becoming the bishop of Milan in 374. He never referred to his parents, who were briefly mentioned in Paulinus’ </w:t>
      </w:r>
      <w:r w:rsidRPr="004B3C25">
        <w:rPr>
          <w:rFonts w:asciiTheme="majorHAnsi" w:hAnsiTheme="majorHAnsi" w:cs="Times"/>
          <w:i/>
          <w:lang w:val="en-GB"/>
        </w:rPr>
        <w:t xml:space="preserve">Vita </w:t>
      </w:r>
      <w:proofErr w:type="spellStart"/>
      <w:r w:rsidRPr="004B3C25">
        <w:rPr>
          <w:rFonts w:asciiTheme="majorHAnsi" w:hAnsiTheme="majorHAnsi" w:cs="Times"/>
          <w:i/>
          <w:lang w:val="en-GB"/>
        </w:rPr>
        <w:t>Ambrosii</w:t>
      </w:r>
      <w:proofErr w:type="spellEnd"/>
      <w:r w:rsidRPr="004B3C25">
        <w:rPr>
          <w:rFonts w:asciiTheme="majorHAnsi" w:hAnsiTheme="majorHAnsi" w:cs="Times"/>
          <w:lang w:val="en-GB"/>
        </w:rPr>
        <w:t xml:space="preserve">, a hagiographical account written in 412, and only alluded to three relatives: his brother </w:t>
      </w:r>
      <w:proofErr w:type="spellStart"/>
      <w:r w:rsidRPr="004B3C25">
        <w:rPr>
          <w:rFonts w:asciiTheme="majorHAnsi" w:hAnsiTheme="majorHAnsi" w:cs="Times"/>
          <w:lang w:val="en-GB"/>
        </w:rPr>
        <w:t>Satyrus</w:t>
      </w:r>
      <w:proofErr w:type="spellEnd"/>
      <w:r w:rsidRPr="004B3C25">
        <w:rPr>
          <w:rFonts w:asciiTheme="majorHAnsi" w:hAnsiTheme="majorHAnsi" w:cs="Times"/>
          <w:lang w:val="en-GB"/>
        </w:rPr>
        <w:t xml:space="preserve">, his sister </w:t>
      </w:r>
      <w:proofErr w:type="spellStart"/>
      <w:r w:rsidRPr="004B3C25">
        <w:rPr>
          <w:rFonts w:asciiTheme="majorHAnsi" w:hAnsiTheme="majorHAnsi" w:cs="Times"/>
          <w:lang w:val="en-GB"/>
        </w:rPr>
        <w:t>Marcellina</w:t>
      </w:r>
      <w:proofErr w:type="spellEnd"/>
      <w:r w:rsidRPr="004B3C25">
        <w:rPr>
          <w:rFonts w:asciiTheme="majorHAnsi" w:hAnsiTheme="majorHAnsi" w:cs="Times"/>
          <w:lang w:val="en-GB"/>
        </w:rPr>
        <w:t xml:space="preserve">, and their common ancestor </w:t>
      </w:r>
      <w:proofErr w:type="spellStart"/>
      <w:r w:rsidRPr="004B3C25">
        <w:rPr>
          <w:rFonts w:asciiTheme="majorHAnsi" w:hAnsiTheme="majorHAnsi" w:cs="Times"/>
          <w:lang w:val="en-GB"/>
        </w:rPr>
        <w:t>Sotheris</w:t>
      </w:r>
      <w:proofErr w:type="spellEnd"/>
      <w:r w:rsidRPr="004B3C25">
        <w:rPr>
          <w:rFonts w:asciiTheme="majorHAnsi" w:hAnsiTheme="majorHAnsi" w:cs="Times"/>
          <w:lang w:val="en-GB"/>
        </w:rPr>
        <w:t>.</w:t>
      </w:r>
      <w:r w:rsidRPr="004B3C25">
        <w:rPr>
          <w:rStyle w:val="FootnoteReference"/>
          <w:rFonts w:asciiTheme="majorHAnsi" w:eastAsiaTheme="majorEastAsia" w:hAnsiTheme="majorHAnsi" w:cs="Times"/>
          <w:lang w:val="en-GB"/>
        </w:rPr>
        <w:footnoteReference w:id="1"/>
      </w:r>
      <w:r w:rsidRPr="004B3C25">
        <w:rPr>
          <w:rFonts w:asciiTheme="majorHAnsi" w:hAnsiTheme="majorHAnsi" w:cs="Times"/>
          <w:lang w:val="en-GB"/>
        </w:rPr>
        <w:t xml:space="preserve"> Ambrose described </w:t>
      </w:r>
      <w:proofErr w:type="spellStart"/>
      <w:r w:rsidRPr="004B3C25">
        <w:rPr>
          <w:rFonts w:asciiTheme="majorHAnsi" w:hAnsiTheme="majorHAnsi" w:cs="Times"/>
          <w:lang w:val="en-GB"/>
        </w:rPr>
        <w:t>Satyrus</w:t>
      </w:r>
      <w:proofErr w:type="spellEnd"/>
      <w:r w:rsidRPr="004B3C25">
        <w:rPr>
          <w:rFonts w:asciiTheme="majorHAnsi" w:hAnsiTheme="majorHAnsi" w:cs="Times"/>
          <w:lang w:val="en-GB"/>
        </w:rPr>
        <w:t xml:space="preserve"> in detail in two funeral speeches delivered after his brother’s death in 379.</w:t>
      </w:r>
      <w:r w:rsidRPr="004B3C25">
        <w:rPr>
          <w:rStyle w:val="FootnoteReference"/>
          <w:rFonts w:asciiTheme="majorHAnsi" w:eastAsiaTheme="majorEastAsia" w:hAnsiTheme="majorHAnsi" w:cs="Times"/>
          <w:lang w:val="en-GB"/>
        </w:rPr>
        <w:footnoteReference w:id="2"/>
      </w:r>
      <w:r w:rsidRPr="004B3C25">
        <w:rPr>
          <w:rFonts w:asciiTheme="majorHAnsi" w:hAnsiTheme="majorHAnsi" w:cs="Times"/>
          <w:lang w:val="en-GB"/>
        </w:rPr>
        <w:t xml:space="preserve"> Much sketchier is the portrait of </w:t>
      </w:r>
      <w:proofErr w:type="spellStart"/>
      <w:r w:rsidRPr="004B3C25">
        <w:rPr>
          <w:rFonts w:asciiTheme="majorHAnsi" w:hAnsiTheme="majorHAnsi" w:cs="Times"/>
          <w:lang w:val="en-GB"/>
        </w:rPr>
        <w:t>Marcellina</w:t>
      </w:r>
      <w:proofErr w:type="spellEnd"/>
      <w:r w:rsidRPr="004B3C25">
        <w:rPr>
          <w:rFonts w:asciiTheme="majorHAnsi" w:hAnsiTheme="majorHAnsi" w:cs="Times"/>
          <w:lang w:val="en-GB"/>
        </w:rPr>
        <w:t xml:space="preserve">; we only know that she was consecrated a virgin by Pope </w:t>
      </w:r>
      <w:proofErr w:type="spellStart"/>
      <w:r w:rsidRPr="004B3C25">
        <w:rPr>
          <w:rFonts w:asciiTheme="majorHAnsi" w:hAnsiTheme="majorHAnsi" w:cs="Times"/>
          <w:lang w:val="en-GB"/>
        </w:rPr>
        <w:t>Liberius</w:t>
      </w:r>
      <w:proofErr w:type="spellEnd"/>
      <w:r w:rsidRPr="004B3C25">
        <w:rPr>
          <w:rFonts w:asciiTheme="majorHAnsi" w:hAnsiTheme="majorHAnsi" w:cs="Times"/>
          <w:lang w:val="en-GB"/>
        </w:rPr>
        <w:t xml:space="preserve"> and lived as an ascetic in Rome.</w:t>
      </w:r>
      <w:r w:rsidRPr="004B3C25">
        <w:rPr>
          <w:rStyle w:val="FootnoteReference"/>
          <w:rFonts w:asciiTheme="majorHAnsi" w:eastAsiaTheme="majorEastAsia" w:hAnsiTheme="majorHAnsi" w:cs="Times"/>
          <w:lang w:val="en-GB"/>
        </w:rPr>
        <w:footnoteReference w:id="3"/>
      </w:r>
      <w:r w:rsidRPr="004B3C25">
        <w:rPr>
          <w:rFonts w:asciiTheme="majorHAnsi" w:hAnsiTheme="majorHAnsi" w:cs="Times"/>
          <w:lang w:val="en-GB"/>
        </w:rPr>
        <w:t xml:space="preserve"> The information about </w:t>
      </w:r>
      <w:proofErr w:type="spellStart"/>
      <w:r w:rsidRPr="004B3C25">
        <w:rPr>
          <w:rFonts w:asciiTheme="majorHAnsi" w:hAnsiTheme="majorHAnsi" w:cs="Times"/>
          <w:lang w:val="en-GB"/>
        </w:rPr>
        <w:t>Sotheris</w:t>
      </w:r>
      <w:proofErr w:type="spellEnd"/>
      <w:r w:rsidRPr="004B3C25">
        <w:rPr>
          <w:rFonts w:asciiTheme="majorHAnsi" w:hAnsiTheme="majorHAnsi" w:cs="Times"/>
          <w:lang w:val="en-GB"/>
        </w:rPr>
        <w:t xml:space="preserve"> is more limited still: Ambrose mentions that she had been martyred without providing any further details or information about the exact nature of their relationship.</w:t>
      </w:r>
    </w:p>
    <w:p w:rsidR="002044A1" w:rsidRPr="004B3C25" w:rsidRDefault="002044A1" w:rsidP="002044A1">
      <w:pPr>
        <w:widowControl w:val="0"/>
        <w:tabs>
          <w:tab w:val="left" w:pos="142"/>
        </w:tabs>
        <w:autoSpaceDE w:val="0"/>
        <w:autoSpaceDN w:val="0"/>
        <w:adjustRightInd w:val="0"/>
        <w:spacing w:after="120"/>
        <w:jc w:val="both"/>
        <w:rPr>
          <w:rFonts w:asciiTheme="majorHAnsi" w:hAnsiTheme="majorHAnsi" w:cs="Times"/>
          <w:lang w:val="en-GB"/>
        </w:rPr>
      </w:pPr>
      <w:r w:rsidRPr="004B3C25">
        <w:rPr>
          <w:rFonts w:asciiTheme="majorHAnsi" w:hAnsiTheme="majorHAnsi" w:cs="Times"/>
          <w:lang w:val="en-GB"/>
        </w:rPr>
        <w:t xml:space="preserve">Despite their incomplete profile, however, </w:t>
      </w:r>
      <w:proofErr w:type="spellStart"/>
      <w:r w:rsidRPr="004B3C25">
        <w:rPr>
          <w:rFonts w:asciiTheme="majorHAnsi" w:hAnsiTheme="majorHAnsi" w:cs="Times"/>
          <w:lang w:val="en-GB"/>
        </w:rPr>
        <w:t>Sotheris</w:t>
      </w:r>
      <w:proofErr w:type="spellEnd"/>
      <w:r w:rsidRPr="004B3C25">
        <w:rPr>
          <w:rFonts w:asciiTheme="majorHAnsi" w:hAnsiTheme="majorHAnsi" w:cs="Times"/>
          <w:lang w:val="en-GB"/>
        </w:rPr>
        <w:t xml:space="preserve"> and </w:t>
      </w:r>
      <w:proofErr w:type="spellStart"/>
      <w:r w:rsidRPr="004B3C25">
        <w:rPr>
          <w:rFonts w:asciiTheme="majorHAnsi" w:hAnsiTheme="majorHAnsi" w:cs="Times"/>
          <w:lang w:val="en-GB"/>
        </w:rPr>
        <w:t>Marcellina</w:t>
      </w:r>
      <w:proofErr w:type="spellEnd"/>
      <w:r w:rsidRPr="004B3C25">
        <w:rPr>
          <w:rFonts w:asciiTheme="majorHAnsi" w:hAnsiTheme="majorHAnsi" w:cs="Times"/>
          <w:lang w:val="en-GB"/>
        </w:rPr>
        <w:t xml:space="preserve"> play an important role in Ambrose’s writings. </w:t>
      </w:r>
      <w:proofErr w:type="spellStart"/>
      <w:r w:rsidRPr="004B3C25">
        <w:rPr>
          <w:rFonts w:asciiTheme="majorHAnsi" w:hAnsiTheme="majorHAnsi" w:cs="Times"/>
          <w:lang w:val="en-GB"/>
        </w:rPr>
        <w:t>Sotheris</w:t>
      </w:r>
      <w:proofErr w:type="spellEnd"/>
      <w:r w:rsidRPr="004B3C25">
        <w:rPr>
          <w:rFonts w:asciiTheme="majorHAnsi" w:hAnsiTheme="majorHAnsi" w:cs="Times"/>
          <w:lang w:val="en-GB"/>
        </w:rPr>
        <w:t xml:space="preserve"> was mentioned in two treatises composed in different moments at which Ambrose was particularly vulnerable. She makes an appearance in the last paragraph of </w:t>
      </w:r>
      <w:r w:rsidRPr="004B3C25">
        <w:rPr>
          <w:rFonts w:asciiTheme="majorHAnsi" w:hAnsiTheme="majorHAnsi" w:cs="Times"/>
          <w:i/>
          <w:lang w:val="en-GB"/>
        </w:rPr>
        <w:t>On the virgins</w:t>
      </w:r>
      <w:r w:rsidRPr="004B3C25">
        <w:rPr>
          <w:rFonts w:asciiTheme="majorHAnsi" w:hAnsiTheme="majorHAnsi" w:cs="Calibri"/>
          <w:lang w:val="en-GB"/>
        </w:rPr>
        <w:t>, one of Ambrose’s earliest treatises, published in 377, when he was trying to build his power as bishop over the divided Christian community of Milan.</w:t>
      </w:r>
      <w:r w:rsidRPr="004B3C25">
        <w:rPr>
          <w:rStyle w:val="FootnoteReference"/>
          <w:rFonts w:asciiTheme="majorHAnsi" w:eastAsiaTheme="majorEastAsia" w:hAnsiTheme="majorHAnsi" w:cs="Calibri"/>
          <w:lang w:val="en-GB"/>
        </w:rPr>
        <w:footnoteReference w:id="4"/>
      </w:r>
      <w:r w:rsidRPr="004B3C25">
        <w:rPr>
          <w:rFonts w:asciiTheme="majorHAnsi" w:hAnsiTheme="majorHAnsi" w:cs="Calibri"/>
          <w:lang w:val="en-GB"/>
        </w:rPr>
        <w:t xml:space="preserve"> </w:t>
      </w:r>
      <w:proofErr w:type="spellStart"/>
      <w:r w:rsidRPr="004B3C25">
        <w:rPr>
          <w:rFonts w:asciiTheme="majorHAnsi" w:hAnsiTheme="majorHAnsi" w:cs="Calibri"/>
          <w:lang w:val="en-GB"/>
        </w:rPr>
        <w:t>Sotheris</w:t>
      </w:r>
      <w:proofErr w:type="spellEnd"/>
      <w:r w:rsidRPr="004B3C25">
        <w:rPr>
          <w:rFonts w:asciiTheme="majorHAnsi" w:hAnsiTheme="majorHAnsi" w:cs="Calibri"/>
          <w:lang w:val="en-GB"/>
        </w:rPr>
        <w:t xml:space="preserve"> was again set as an example of faith and endurance </w:t>
      </w:r>
      <w:r w:rsidRPr="004B3C25">
        <w:rPr>
          <w:rFonts w:asciiTheme="majorHAnsi" w:hAnsiTheme="majorHAnsi" w:cs="Times"/>
          <w:lang w:val="en-GB"/>
        </w:rPr>
        <w:t xml:space="preserve">in Ambrose’s </w:t>
      </w:r>
      <w:r w:rsidRPr="004B3C25">
        <w:rPr>
          <w:rFonts w:asciiTheme="majorHAnsi" w:hAnsiTheme="majorHAnsi" w:cs="Times"/>
          <w:i/>
          <w:lang w:val="en-GB"/>
        </w:rPr>
        <w:t>Exhortation to virginity</w:t>
      </w:r>
      <w:r w:rsidRPr="004B3C25">
        <w:rPr>
          <w:rFonts w:asciiTheme="majorHAnsi" w:hAnsiTheme="majorHAnsi" w:cs="Times"/>
          <w:lang w:val="en-GB"/>
        </w:rPr>
        <w:t>, a sermon preached in 394 in Florence, where he had fled from Milan in order to avoid contact with the usurper Eugenius (d. 394).</w:t>
      </w:r>
      <w:r w:rsidRPr="004B3C25">
        <w:rPr>
          <w:rStyle w:val="FootnoteReference"/>
          <w:rFonts w:asciiTheme="majorHAnsi" w:eastAsiaTheme="majorEastAsia" w:hAnsiTheme="majorHAnsi" w:cs="Calibri"/>
          <w:lang w:val="en-GB"/>
        </w:rPr>
        <w:footnoteReference w:id="5"/>
      </w:r>
      <w:r w:rsidRPr="004B3C25">
        <w:rPr>
          <w:rFonts w:asciiTheme="majorHAnsi" w:hAnsiTheme="majorHAnsi" w:cs="Times"/>
          <w:lang w:val="en-GB"/>
        </w:rPr>
        <w:t xml:space="preserve"> </w:t>
      </w:r>
      <w:proofErr w:type="spellStart"/>
      <w:r w:rsidRPr="004B3C25">
        <w:rPr>
          <w:rFonts w:asciiTheme="majorHAnsi" w:hAnsiTheme="majorHAnsi" w:cs="Times"/>
          <w:lang w:val="en-GB"/>
        </w:rPr>
        <w:t>Marcellina</w:t>
      </w:r>
      <w:proofErr w:type="spellEnd"/>
      <w:r w:rsidRPr="004B3C25">
        <w:rPr>
          <w:rFonts w:asciiTheme="majorHAnsi" w:hAnsiTheme="majorHAnsi" w:cs="Times"/>
          <w:lang w:val="en-GB"/>
        </w:rPr>
        <w:t xml:space="preserve"> was the dedicatee of </w:t>
      </w:r>
      <w:r w:rsidRPr="004B3C25">
        <w:rPr>
          <w:rFonts w:asciiTheme="majorHAnsi" w:hAnsiTheme="majorHAnsi" w:cs="Times"/>
          <w:i/>
          <w:lang w:val="en-GB"/>
        </w:rPr>
        <w:t>On the virgins</w:t>
      </w:r>
      <w:r w:rsidRPr="004B3C25">
        <w:rPr>
          <w:rFonts w:asciiTheme="majorHAnsi" w:hAnsiTheme="majorHAnsi" w:cs="Times"/>
          <w:lang w:val="en-GB"/>
        </w:rPr>
        <w:t xml:space="preserve"> and was the addressee of three letters that recount what are usually considered as some of Ambrose’s most spectacular successes in conflicts with the emperors Valentinian II (d. 392) and Theodosius I (d. 395).</w:t>
      </w:r>
      <w:r w:rsidRPr="004B3C25">
        <w:rPr>
          <w:rStyle w:val="FootnoteReference"/>
          <w:rFonts w:asciiTheme="majorHAnsi" w:eastAsiaTheme="majorEastAsia" w:hAnsiTheme="majorHAnsi" w:cs="Times"/>
          <w:lang w:val="en-GB"/>
        </w:rPr>
        <w:footnoteReference w:id="6"/>
      </w:r>
      <w:r w:rsidRPr="004B3C25">
        <w:rPr>
          <w:rFonts w:asciiTheme="majorHAnsi" w:hAnsiTheme="majorHAnsi" w:cs="Calibri"/>
          <w:lang w:val="en-GB"/>
        </w:rPr>
        <w:t xml:space="preserve"> </w:t>
      </w:r>
    </w:p>
    <w:p w:rsidR="002044A1" w:rsidRPr="004B3C25" w:rsidRDefault="002044A1" w:rsidP="002044A1">
      <w:pPr>
        <w:widowControl w:val="0"/>
        <w:tabs>
          <w:tab w:val="left" w:pos="142"/>
        </w:tabs>
        <w:autoSpaceDE w:val="0"/>
        <w:autoSpaceDN w:val="0"/>
        <w:adjustRightInd w:val="0"/>
        <w:spacing w:after="120"/>
        <w:jc w:val="both"/>
        <w:rPr>
          <w:rFonts w:asciiTheme="majorHAnsi" w:hAnsiTheme="majorHAnsi" w:cs="Times"/>
          <w:lang w:val="en-GB"/>
        </w:rPr>
      </w:pPr>
      <w:r w:rsidRPr="004B3C25">
        <w:rPr>
          <w:rFonts w:asciiTheme="majorHAnsi" w:hAnsiTheme="majorHAnsi" w:cs="Times"/>
          <w:lang w:val="en-GB"/>
        </w:rPr>
        <w:t>The role of women in late antique Christian writings has attracted considerable scholarly attention over the last twenty years. Elizabeth Clark has explored how female characters became a polysemic discursive trope in Christian literature.</w:t>
      </w:r>
      <w:r w:rsidRPr="004B3C25">
        <w:rPr>
          <w:rStyle w:val="FootnoteReference"/>
          <w:rFonts w:asciiTheme="majorHAnsi" w:eastAsiaTheme="majorEastAsia" w:hAnsiTheme="majorHAnsi" w:cs="Times"/>
          <w:lang w:val="en-GB"/>
        </w:rPr>
        <w:t xml:space="preserve"> </w:t>
      </w:r>
      <w:r w:rsidRPr="004B3C25">
        <w:rPr>
          <w:rStyle w:val="FootnoteReference"/>
          <w:rFonts w:asciiTheme="majorHAnsi" w:eastAsiaTheme="majorEastAsia" w:hAnsiTheme="majorHAnsi" w:cs="Times"/>
          <w:lang w:val="en-GB"/>
        </w:rPr>
        <w:footnoteReference w:id="7"/>
      </w:r>
      <w:r w:rsidRPr="004B3C25">
        <w:rPr>
          <w:rFonts w:asciiTheme="majorHAnsi" w:hAnsiTheme="majorHAnsi" w:cs="Times"/>
          <w:lang w:val="en-GB"/>
        </w:rPr>
        <w:t xml:space="preserve"> Kate Cooper has shown how insinuations of undue influence by women were used to delegitimise the political or religious authority of men, and how exposing female relatives to public scrutiny was crucial to the construction of political authority of late Roman aristocrats.</w:t>
      </w:r>
      <w:r w:rsidRPr="004B3C25">
        <w:rPr>
          <w:rStyle w:val="FootnoteReference"/>
          <w:rFonts w:asciiTheme="majorHAnsi" w:eastAsiaTheme="majorEastAsia" w:hAnsiTheme="majorHAnsi" w:cs="Times"/>
          <w:lang w:val="en-GB"/>
        </w:rPr>
        <w:footnoteReference w:id="8"/>
      </w:r>
      <w:r w:rsidRPr="004B3C25">
        <w:rPr>
          <w:rFonts w:asciiTheme="majorHAnsi" w:hAnsiTheme="majorHAnsi" w:cs="Times"/>
          <w:lang w:val="en-GB"/>
        </w:rPr>
        <w:t xml:space="preserve"> Recent historiography on Ambrose has also provided interesting insights into his treatises on virginity and </w:t>
      </w:r>
      <w:r w:rsidRPr="004B3C25">
        <w:rPr>
          <w:rFonts w:asciiTheme="majorHAnsi" w:hAnsiTheme="majorHAnsi" w:cs="Times"/>
          <w:lang w:val="en-GB"/>
        </w:rPr>
        <w:lastRenderedPageBreak/>
        <w:t xml:space="preserve">widowhood. Neil </w:t>
      </w:r>
      <w:proofErr w:type="spellStart"/>
      <w:r w:rsidRPr="004B3C25">
        <w:rPr>
          <w:rFonts w:asciiTheme="majorHAnsi" w:hAnsiTheme="majorHAnsi" w:cs="Times"/>
          <w:lang w:val="en-GB"/>
        </w:rPr>
        <w:t>McLynn</w:t>
      </w:r>
      <w:proofErr w:type="spellEnd"/>
      <w:r w:rsidRPr="004B3C25">
        <w:rPr>
          <w:rFonts w:asciiTheme="majorHAnsi" w:hAnsiTheme="majorHAnsi" w:cs="Times"/>
          <w:lang w:val="en-GB"/>
        </w:rPr>
        <w:t xml:space="preserve"> has unpicked the political implications underlying Ambrose’s moral rhetoric.</w:t>
      </w:r>
      <w:r w:rsidRPr="004B3C25">
        <w:rPr>
          <w:rStyle w:val="FootnoteReference"/>
          <w:rFonts w:asciiTheme="majorHAnsi" w:eastAsiaTheme="majorEastAsia" w:hAnsiTheme="majorHAnsi" w:cs="Times"/>
          <w:lang w:val="en-GB"/>
        </w:rPr>
        <w:footnoteReference w:id="9"/>
      </w:r>
      <w:r w:rsidRPr="004B3C25">
        <w:rPr>
          <w:rFonts w:asciiTheme="majorHAnsi" w:hAnsiTheme="majorHAnsi" w:cs="Times"/>
          <w:lang w:val="en-GB"/>
        </w:rPr>
        <w:t xml:space="preserve"> Similarly, Virginia Burrus and David Hunter have demonstrated how Ambrose’s discourse on female virginity should be read in the light of struggles for power between men.</w:t>
      </w:r>
      <w:r w:rsidRPr="004B3C25">
        <w:rPr>
          <w:rStyle w:val="FootnoteReference"/>
          <w:rFonts w:asciiTheme="majorHAnsi" w:eastAsiaTheme="majorEastAsia" w:hAnsiTheme="majorHAnsi" w:cs="Times"/>
          <w:lang w:val="en-GB"/>
        </w:rPr>
        <w:footnoteReference w:id="10"/>
      </w:r>
      <w:r w:rsidRPr="004B3C25">
        <w:rPr>
          <w:rFonts w:asciiTheme="majorHAnsi" w:hAnsiTheme="majorHAnsi" w:cs="Times"/>
          <w:lang w:val="en-GB"/>
        </w:rPr>
        <w:t xml:space="preserve"> </w:t>
      </w:r>
    </w:p>
    <w:p w:rsidR="002044A1" w:rsidRPr="004B3C25" w:rsidRDefault="002044A1" w:rsidP="002044A1">
      <w:pPr>
        <w:widowControl w:val="0"/>
        <w:tabs>
          <w:tab w:val="left" w:pos="142"/>
        </w:tabs>
        <w:autoSpaceDE w:val="0"/>
        <w:autoSpaceDN w:val="0"/>
        <w:adjustRightInd w:val="0"/>
        <w:spacing w:after="120"/>
        <w:jc w:val="both"/>
        <w:rPr>
          <w:rFonts w:asciiTheme="majorHAnsi" w:hAnsiTheme="majorHAnsi" w:cs="Times"/>
          <w:lang w:val="en-GB"/>
        </w:rPr>
      </w:pPr>
      <w:r w:rsidRPr="004B3C25">
        <w:rPr>
          <w:rFonts w:asciiTheme="majorHAnsi" w:hAnsiTheme="majorHAnsi" w:cs="Times"/>
          <w:lang w:val="en-GB"/>
        </w:rPr>
        <w:t xml:space="preserve">This paper explores a less-studied aspect of the literary use to which Ambrose put his female relatives. I will argue that Ambrose displayed </w:t>
      </w:r>
      <w:proofErr w:type="spellStart"/>
      <w:r w:rsidRPr="004B3C25">
        <w:rPr>
          <w:rFonts w:asciiTheme="majorHAnsi" w:hAnsiTheme="majorHAnsi" w:cs="Times"/>
          <w:lang w:val="en-GB"/>
        </w:rPr>
        <w:t>Sotheris</w:t>
      </w:r>
      <w:proofErr w:type="spellEnd"/>
      <w:r w:rsidRPr="004B3C25">
        <w:rPr>
          <w:rFonts w:asciiTheme="majorHAnsi" w:hAnsiTheme="majorHAnsi" w:cs="Times"/>
          <w:lang w:val="en-GB"/>
        </w:rPr>
        <w:t xml:space="preserve"> and </w:t>
      </w:r>
      <w:proofErr w:type="spellStart"/>
      <w:r w:rsidRPr="004B3C25">
        <w:rPr>
          <w:rFonts w:asciiTheme="majorHAnsi" w:hAnsiTheme="majorHAnsi" w:cs="Times"/>
          <w:lang w:val="en-GB"/>
        </w:rPr>
        <w:t>Marcellina</w:t>
      </w:r>
      <w:proofErr w:type="spellEnd"/>
      <w:r w:rsidRPr="004B3C25">
        <w:rPr>
          <w:rFonts w:asciiTheme="majorHAnsi" w:hAnsiTheme="majorHAnsi" w:cs="Times"/>
          <w:lang w:val="en-GB"/>
        </w:rPr>
        <w:t xml:space="preserve"> symbolically at delicate moments during his episcopate, seeking to strengthen his legitimacy as bishop and to depoliticise his interventions in imperial politics. Ambrose presented </w:t>
      </w:r>
      <w:proofErr w:type="spellStart"/>
      <w:r w:rsidRPr="004B3C25">
        <w:rPr>
          <w:rFonts w:asciiTheme="majorHAnsi" w:hAnsiTheme="majorHAnsi" w:cs="Calibri"/>
          <w:lang w:val="en-GB"/>
        </w:rPr>
        <w:t>Sotheris</w:t>
      </w:r>
      <w:proofErr w:type="spellEnd"/>
      <w:r w:rsidRPr="004B3C25">
        <w:rPr>
          <w:rFonts w:asciiTheme="majorHAnsi" w:hAnsiTheme="majorHAnsi" w:cs="Calibri"/>
          <w:lang w:val="en-GB"/>
        </w:rPr>
        <w:t xml:space="preserve"> in order to construct a Christian family past that correlated with his current position as bishop of Milan, and to dignify the authority of former secular officials who, like him, had subsequently become religious leaders. In a similar fashion, </w:t>
      </w:r>
      <w:r w:rsidRPr="004B3C25">
        <w:rPr>
          <w:rFonts w:asciiTheme="majorHAnsi" w:hAnsiTheme="majorHAnsi"/>
          <w:lang w:val="en-GB"/>
        </w:rPr>
        <w:t xml:space="preserve">Ambrose’s letters to </w:t>
      </w:r>
      <w:proofErr w:type="spellStart"/>
      <w:r w:rsidRPr="004B3C25">
        <w:rPr>
          <w:rFonts w:asciiTheme="majorHAnsi" w:hAnsiTheme="majorHAnsi"/>
          <w:lang w:val="en-GB"/>
        </w:rPr>
        <w:t>Marcellina</w:t>
      </w:r>
      <w:proofErr w:type="spellEnd"/>
      <w:r w:rsidRPr="004B3C25">
        <w:rPr>
          <w:rFonts w:asciiTheme="majorHAnsi" w:hAnsiTheme="majorHAnsi"/>
          <w:lang w:val="en-GB"/>
        </w:rPr>
        <w:t xml:space="preserve"> provided him with an occasion for rewriting his episodes of conflict with emperors, downplaying the political and legal repercussions of events and instead presenting them as struggles for the moral wellbeing of the community. </w:t>
      </w:r>
    </w:p>
    <w:p w:rsidR="002044A1" w:rsidRPr="004B3C25" w:rsidRDefault="002044A1" w:rsidP="002044A1">
      <w:pPr>
        <w:tabs>
          <w:tab w:val="left" w:pos="142"/>
        </w:tabs>
        <w:spacing w:after="120"/>
        <w:ind w:firstLine="567"/>
        <w:jc w:val="both"/>
        <w:rPr>
          <w:rFonts w:asciiTheme="majorHAnsi" w:hAnsiTheme="majorHAnsi"/>
          <w:highlight w:val="yellow"/>
          <w:lang w:val="en-GB"/>
        </w:rPr>
      </w:pPr>
    </w:p>
    <w:p w:rsidR="002044A1" w:rsidRPr="004B3C25" w:rsidRDefault="002044A1" w:rsidP="002044A1">
      <w:pPr>
        <w:tabs>
          <w:tab w:val="left" w:pos="142"/>
        </w:tabs>
        <w:spacing w:after="120"/>
        <w:jc w:val="both"/>
        <w:rPr>
          <w:rFonts w:asciiTheme="majorHAnsi" w:hAnsiTheme="majorHAnsi" w:cs="Calibri"/>
          <w:b/>
          <w:bCs/>
          <w:lang w:val="en-GB" w:eastAsia="es-ES"/>
        </w:rPr>
      </w:pPr>
      <w:r w:rsidRPr="004B3C25">
        <w:rPr>
          <w:rFonts w:asciiTheme="majorHAnsi" w:hAnsiTheme="majorHAnsi" w:cs="Calibri"/>
          <w:b/>
          <w:bCs/>
          <w:lang w:val="en-GB" w:eastAsia="es-ES"/>
        </w:rPr>
        <w:t>Ambrose in Milan</w:t>
      </w:r>
    </w:p>
    <w:p w:rsidR="002044A1" w:rsidRPr="004B3C25" w:rsidRDefault="002044A1" w:rsidP="002044A1">
      <w:pPr>
        <w:tabs>
          <w:tab w:val="left" w:pos="142"/>
        </w:tabs>
        <w:autoSpaceDE w:val="0"/>
        <w:autoSpaceDN w:val="0"/>
        <w:adjustRightInd w:val="0"/>
        <w:spacing w:after="120"/>
        <w:jc w:val="both"/>
        <w:rPr>
          <w:rFonts w:asciiTheme="majorHAnsi" w:hAnsiTheme="majorHAnsi" w:cs="Calibri"/>
          <w:lang w:val="en-GB" w:eastAsia="es-ES"/>
        </w:rPr>
      </w:pPr>
      <w:r w:rsidRPr="004B3C25">
        <w:rPr>
          <w:rFonts w:asciiTheme="majorHAnsi" w:hAnsiTheme="majorHAnsi" w:cs="Calibri"/>
          <w:lang w:val="en-GB" w:eastAsia="es-ES"/>
        </w:rPr>
        <w:t xml:space="preserve">The fact that Ambrose’s writings are our main source of information about his life and episcopacy has deeply skewed our understanding of the true extent of his authority and intellectual reputation. Older scholarship tended to view Ambrose as a strong and influential bishop, who confronted aristocrats and emperors and was faithfully supported by his fellow bishops and the Milanese community. In the last three decades, however, revisionist energy has been directed against such a view. </w:t>
      </w:r>
      <w:r w:rsidRPr="004B3C25">
        <w:rPr>
          <w:rFonts w:asciiTheme="majorHAnsi" w:hAnsiTheme="majorHAnsi" w:cs="Times"/>
          <w:lang w:val="en-GB"/>
        </w:rPr>
        <w:t xml:space="preserve">In their seminal monographs, </w:t>
      </w:r>
      <w:r w:rsidRPr="004B3C25">
        <w:rPr>
          <w:rFonts w:asciiTheme="majorHAnsi" w:hAnsiTheme="majorHAnsi" w:cs="Calibri"/>
          <w:lang w:val="en-GB" w:eastAsia="es-ES"/>
        </w:rPr>
        <w:t xml:space="preserve">Neil </w:t>
      </w:r>
      <w:proofErr w:type="spellStart"/>
      <w:r w:rsidRPr="004B3C25">
        <w:rPr>
          <w:rFonts w:asciiTheme="majorHAnsi" w:hAnsiTheme="majorHAnsi" w:cs="Calibri"/>
          <w:lang w:val="en-GB" w:eastAsia="es-ES"/>
        </w:rPr>
        <w:t>McLynn</w:t>
      </w:r>
      <w:proofErr w:type="spellEnd"/>
      <w:r w:rsidRPr="004B3C25">
        <w:rPr>
          <w:rFonts w:asciiTheme="majorHAnsi" w:hAnsiTheme="majorHAnsi" w:cs="Calibri"/>
          <w:lang w:val="en-GB" w:eastAsia="es-ES"/>
        </w:rPr>
        <w:t xml:space="preserve"> and Daniel Williams have convincingly argued that Ambrose’s authority was much weaker than was previously thought and have fundamentally questioned the extent of the bishop’s intellectual and spiritual prestige.</w:t>
      </w:r>
      <w:r w:rsidRPr="004B3C25">
        <w:rPr>
          <w:rStyle w:val="FootnoteReference"/>
          <w:rFonts w:asciiTheme="majorHAnsi" w:eastAsiaTheme="majorEastAsia" w:hAnsiTheme="majorHAnsi" w:cs="Calibri"/>
          <w:lang w:val="en-GB" w:eastAsia="es-ES"/>
        </w:rPr>
        <w:footnoteReference w:id="11"/>
      </w:r>
      <w:r w:rsidRPr="004B3C25">
        <w:rPr>
          <w:rFonts w:asciiTheme="majorHAnsi" w:hAnsiTheme="majorHAnsi" w:cs="Calibri"/>
          <w:lang w:val="en-GB" w:eastAsia="es-ES"/>
        </w:rPr>
        <w:t xml:space="preserve"> </w:t>
      </w:r>
    </w:p>
    <w:p w:rsidR="002044A1" w:rsidRPr="004B3C25" w:rsidRDefault="002044A1" w:rsidP="002044A1">
      <w:pPr>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cs="Calibri"/>
          <w:lang w:val="en-GB" w:eastAsia="es-ES"/>
        </w:rPr>
        <w:t xml:space="preserve">Ambrose’s weakness was especially evident in his first years as bishop. At that time, Milan was still much affected by </w:t>
      </w:r>
      <w:r w:rsidRPr="004B3C25">
        <w:rPr>
          <w:rFonts w:asciiTheme="majorHAnsi" w:hAnsiTheme="majorHAnsi" w:cs="Calibri"/>
          <w:lang w:val="en-GB"/>
        </w:rPr>
        <w:t xml:space="preserve">doctrinal quarrels between </w:t>
      </w:r>
      <w:proofErr w:type="spellStart"/>
      <w:r w:rsidRPr="004B3C25">
        <w:rPr>
          <w:rFonts w:asciiTheme="majorHAnsi" w:hAnsiTheme="majorHAnsi" w:cs="Calibri"/>
          <w:lang w:val="en-GB"/>
        </w:rPr>
        <w:t>Homoians</w:t>
      </w:r>
      <w:proofErr w:type="spellEnd"/>
      <w:r w:rsidRPr="004B3C25">
        <w:rPr>
          <w:rFonts w:asciiTheme="majorHAnsi" w:hAnsiTheme="majorHAnsi" w:cs="Calibri"/>
          <w:lang w:val="en-GB"/>
        </w:rPr>
        <w:t xml:space="preserve"> and </w:t>
      </w:r>
      <w:proofErr w:type="spellStart"/>
      <w:r w:rsidRPr="004B3C25">
        <w:rPr>
          <w:rFonts w:asciiTheme="majorHAnsi" w:hAnsiTheme="majorHAnsi" w:cs="Calibri"/>
          <w:lang w:val="en-GB"/>
        </w:rPr>
        <w:t>Nicenes</w:t>
      </w:r>
      <w:proofErr w:type="spellEnd"/>
      <w:r w:rsidRPr="004B3C25">
        <w:rPr>
          <w:rFonts w:asciiTheme="majorHAnsi" w:hAnsiTheme="majorHAnsi" w:cs="Calibri"/>
          <w:lang w:val="en-GB"/>
        </w:rPr>
        <w:t xml:space="preserve">, two Christian groups separated by their different theological conception of the Trinity. The controversy had started in 355, when the emperor </w:t>
      </w:r>
      <w:proofErr w:type="spellStart"/>
      <w:r w:rsidRPr="004B3C25">
        <w:rPr>
          <w:rFonts w:asciiTheme="majorHAnsi" w:hAnsiTheme="majorHAnsi" w:cs="Calibri"/>
          <w:lang w:val="en-GB"/>
        </w:rPr>
        <w:t>Constantius</w:t>
      </w:r>
      <w:proofErr w:type="spellEnd"/>
      <w:r w:rsidRPr="004B3C25">
        <w:rPr>
          <w:rFonts w:asciiTheme="majorHAnsi" w:hAnsiTheme="majorHAnsi" w:cs="Calibri"/>
          <w:lang w:val="en-GB"/>
        </w:rPr>
        <w:t xml:space="preserve"> II (d. 361) had summoned the Council of Milan in an attempt to put an end to the division between Arians, who contended that the Son of God was inferior to the Father, and </w:t>
      </w:r>
      <w:proofErr w:type="spellStart"/>
      <w:r w:rsidRPr="004B3C25">
        <w:rPr>
          <w:rFonts w:asciiTheme="majorHAnsi" w:hAnsiTheme="majorHAnsi" w:cs="Calibri"/>
          <w:lang w:val="en-GB"/>
        </w:rPr>
        <w:t>Nicenes</w:t>
      </w:r>
      <w:proofErr w:type="spellEnd"/>
      <w:r w:rsidRPr="004B3C25">
        <w:rPr>
          <w:rFonts w:asciiTheme="majorHAnsi" w:hAnsiTheme="majorHAnsi" w:cs="Calibri"/>
          <w:lang w:val="en-GB"/>
        </w:rPr>
        <w:t xml:space="preserve">, who defended that both shared the same substance. Pressed by the emperor, the majority of the bishops at the council adopted an intermediate theological position, the so-called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creed, which sustained that the Son was ‘similar’ to the Father. Far from putting an end to the debate, however, </w:t>
      </w:r>
      <w:proofErr w:type="spellStart"/>
      <w:r w:rsidRPr="004B3C25">
        <w:rPr>
          <w:rFonts w:asciiTheme="majorHAnsi" w:hAnsiTheme="majorHAnsi" w:cs="Calibri"/>
          <w:lang w:val="en-GB"/>
        </w:rPr>
        <w:t>Constantius</w:t>
      </w:r>
      <w:proofErr w:type="spellEnd"/>
      <w:r w:rsidRPr="004B3C25">
        <w:rPr>
          <w:rFonts w:asciiTheme="majorHAnsi" w:hAnsiTheme="majorHAnsi" w:cs="Calibri"/>
          <w:lang w:val="en-GB"/>
        </w:rPr>
        <w:t xml:space="preserve">’ measures spurred a new wave of religious conflict in the aftermath of the council. </w:t>
      </w:r>
    </w:p>
    <w:p w:rsidR="002044A1" w:rsidRPr="004B3C25" w:rsidRDefault="002044A1" w:rsidP="002044A1">
      <w:pPr>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cs="Calibri"/>
          <w:lang w:val="en-GB"/>
        </w:rPr>
        <w:t xml:space="preserve">Three recalcitrant Nicene bishops, Dionysius of Milan, Eusebius of Vercelli, and Lucifer of Cagliari refused to subscribe the Council of Milan’s new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formula in relation to the </w:t>
      </w:r>
      <w:r w:rsidRPr="004B3C25">
        <w:rPr>
          <w:rFonts w:asciiTheme="majorHAnsi" w:hAnsiTheme="majorHAnsi" w:cs="Calibri"/>
          <w:lang w:val="en-GB"/>
        </w:rPr>
        <w:lastRenderedPageBreak/>
        <w:t>Trinity and were consequently condemned to exile. The banished bishops, however, continued to exert some influence over the north Italian Nicene communities that they represented, preserving a strong sense of Nicene communal belonging and a combative attitude to their opponents. During the following decades, local homiletic collections commemorated Eusebius as a martyr and a saint in Vercelli and the nearby parishes.</w:t>
      </w:r>
      <w:r w:rsidRPr="004B3C25">
        <w:rPr>
          <w:rStyle w:val="FootnoteReference"/>
          <w:rFonts w:asciiTheme="majorHAnsi" w:eastAsiaTheme="majorEastAsia" w:hAnsiTheme="majorHAnsi" w:cs="Calibri"/>
          <w:lang w:val="en-GB"/>
        </w:rPr>
        <w:footnoteReference w:id="12"/>
      </w:r>
      <w:r w:rsidRPr="004B3C25">
        <w:rPr>
          <w:rFonts w:asciiTheme="majorHAnsi" w:hAnsiTheme="majorHAnsi" w:cs="Calibri"/>
          <w:lang w:val="en-GB"/>
        </w:rPr>
        <w:t xml:space="preserve"> Similarly, the Nicene community of Milan celebrated the cult of the ‘Innocent’, remembering the execution of four Milanese Christians under </w:t>
      </w:r>
      <w:proofErr w:type="spellStart"/>
      <w:r w:rsidRPr="004B3C25">
        <w:rPr>
          <w:rFonts w:asciiTheme="majorHAnsi" w:hAnsiTheme="majorHAnsi" w:cs="Calibri"/>
          <w:lang w:val="en-GB"/>
        </w:rPr>
        <w:t>Constantius</w:t>
      </w:r>
      <w:proofErr w:type="spellEnd"/>
      <w:r w:rsidRPr="004B3C25">
        <w:rPr>
          <w:rFonts w:asciiTheme="majorHAnsi" w:hAnsiTheme="majorHAnsi" w:cs="Calibri"/>
          <w:lang w:val="en-GB"/>
        </w:rPr>
        <w:t>, which later became an opportunity for manifesting disagreement with imperial policy.</w:t>
      </w:r>
      <w:r w:rsidRPr="004B3C25">
        <w:rPr>
          <w:rStyle w:val="FootnoteReference"/>
          <w:rFonts w:asciiTheme="majorHAnsi" w:eastAsiaTheme="majorEastAsia" w:hAnsiTheme="majorHAnsi" w:cs="Calibri"/>
          <w:lang w:val="en-GB"/>
        </w:rPr>
        <w:footnoteReference w:id="13"/>
      </w:r>
      <w:r w:rsidRPr="004B3C25">
        <w:rPr>
          <w:rFonts w:asciiTheme="majorHAnsi" w:hAnsiTheme="majorHAnsi" w:cs="Calibri"/>
          <w:lang w:val="en-GB"/>
        </w:rPr>
        <w:t xml:space="preserve"> These developments had traditionally been interpreted as a proof of </w:t>
      </w:r>
      <w:proofErr w:type="spellStart"/>
      <w:r w:rsidRPr="004B3C25">
        <w:rPr>
          <w:rFonts w:asciiTheme="majorHAnsi" w:hAnsiTheme="majorHAnsi" w:cs="Calibri"/>
          <w:lang w:val="en-GB"/>
        </w:rPr>
        <w:t>Constantius</w:t>
      </w:r>
      <w:proofErr w:type="spellEnd"/>
      <w:r w:rsidRPr="004B3C25">
        <w:rPr>
          <w:rFonts w:asciiTheme="majorHAnsi" w:hAnsiTheme="majorHAnsi" w:cs="Calibri"/>
          <w:lang w:val="en-GB"/>
        </w:rPr>
        <w:t xml:space="preserve"> II and those bishops who allied with him to impose the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creed on the population of northern Italy. However, more recent research has suggested that the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party was much stronger than the majority of Nicene sources are willing to admit.</w:t>
      </w:r>
      <w:r w:rsidRPr="004B3C25">
        <w:rPr>
          <w:rStyle w:val="FootnoteReference"/>
          <w:rFonts w:asciiTheme="majorHAnsi" w:eastAsiaTheme="majorEastAsia" w:hAnsiTheme="majorHAnsi" w:cs="Calibri"/>
          <w:lang w:val="en-GB"/>
        </w:rPr>
        <w:footnoteReference w:id="14"/>
      </w:r>
      <w:r w:rsidRPr="004B3C25">
        <w:rPr>
          <w:rFonts w:asciiTheme="majorHAnsi" w:hAnsiTheme="majorHAnsi" w:cs="Calibri"/>
          <w:lang w:val="en-GB"/>
        </w:rPr>
        <w:t xml:space="preserve"> In fact, many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communities seem to have thrived between the 350s and the 370s, and did so not only in Milan, where imperial patronage was strongest, but also in other north Italian towns.</w:t>
      </w:r>
    </w:p>
    <w:p w:rsidR="002044A1" w:rsidRPr="004B3C25" w:rsidRDefault="002044A1" w:rsidP="002044A1">
      <w:pPr>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cs="Calibri"/>
          <w:lang w:val="en-GB"/>
        </w:rPr>
        <w:t xml:space="preserve">The presence of two partisan groups generated instability in the region and clearly affected the election of Ambrose as bishop in 374, when he was still the governor of the province </w:t>
      </w:r>
      <w:proofErr w:type="spellStart"/>
      <w:r w:rsidRPr="004B3C25">
        <w:rPr>
          <w:rFonts w:asciiTheme="majorHAnsi" w:hAnsiTheme="majorHAnsi" w:cs="Calibri"/>
          <w:lang w:val="en-GB"/>
        </w:rPr>
        <w:t>Aemilia</w:t>
      </w:r>
      <w:proofErr w:type="spellEnd"/>
      <w:r w:rsidRPr="004B3C25">
        <w:rPr>
          <w:rFonts w:asciiTheme="majorHAnsi" w:hAnsiTheme="majorHAnsi" w:cs="Calibri"/>
          <w:lang w:val="en-GB"/>
        </w:rPr>
        <w:t xml:space="preserve">-Liguria. Our only source of information for this episode is the </w:t>
      </w:r>
      <w:r w:rsidRPr="004B3C25">
        <w:rPr>
          <w:rFonts w:asciiTheme="majorHAnsi" w:hAnsiTheme="majorHAnsi" w:cs="Calibri"/>
          <w:i/>
          <w:lang w:val="en-GB"/>
        </w:rPr>
        <w:t xml:space="preserve">Vita </w:t>
      </w:r>
      <w:proofErr w:type="spellStart"/>
      <w:r w:rsidRPr="004B3C25">
        <w:rPr>
          <w:rFonts w:asciiTheme="majorHAnsi" w:hAnsiTheme="majorHAnsi" w:cs="Calibri"/>
          <w:i/>
          <w:lang w:val="en-GB"/>
        </w:rPr>
        <w:t>Ambrosii</w:t>
      </w:r>
      <w:proofErr w:type="spellEnd"/>
      <w:r w:rsidRPr="004B3C25">
        <w:rPr>
          <w:rFonts w:asciiTheme="majorHAnsi" w:hAnsiTheme="majorHAnsi" w:cs="Calibri"/>
          <w:lang w:val="en-GB"/>
        </w:rPr>
        <w:t xml:space="preserve">. According to this text, after the death in 374 of </w:t>
      </w:r>
      <w:proofErr w:type="spellStart"/>
      <w:r w:rsidRPr="004B3C25">
        <w:rPr>
          <w:rFonts w:asciiTheme="majorHAnsi" w:hAnsiTheme="majorHAnsi" w:cs="Calibri"/>
          <w:lang w:val="en-GB"/>
        </w:rPr>
        <w:t>Auxentius</w:t>
      </w:r>
      <w:proofErr w:type="spellEnd"/>
      <w:r w:rsidRPr="004B3C25">
        <w:rPr>
          <w:rFonts w:asciiTheme="majorHAnsi" w:hAnsiTheme="majorHAnsi" w:cs="Calibri"/>
          <w:lang w:val="en-GB"/>
        </w:rPr>
        <w:t xml:space="preserve">, the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bishop of Milan, Ambrose went to the main basilica in order to prevent the outbreak of riots between Nicene and </w:t>
      </w:r>
      <w:proofErr w:type="spellStart"/>
      <w:r w:rsidRPr="004B3C25">
        <w:rPr>
          <w:rFonts w:asciiTheme="majorHAnsi" w:hAnsiTheme="majorHAnsi" w:cs="Calibri"/>
          <w:lang w:val="en-GB"/>
        </w:rPr>
        <w:t>Homoians</w:t>
      </w:r>
      <w:proofErr w:type="spellEnd"/>
      <w:r w:rsidRPr="004B3C25">
        <w:rPr>
          <w:rFonts w:asciiTheme="majorHAnsi" w:hAnsiTheme="majorHAnsi" w:cs="Calibri"/>
          <w:lang w:val="en-GB"/>
        </w:rPr>
        <w:t xml:space="preserve">. Ambrose was then acclaimed bishop </w:t>
      </w:r>
      <w:proofErr w:type="spellStart"/>
      <w:r w:rsidRPr="004B3C25">
        <w:rPr>
          <w:rFonts w:asciiTheme="majorHAnsi" w:hAnsiTheme="majorHAnsi" w:cs="Calibri"/>
          <w:i/>
          <w:lang w:val="en-GB"/>
        </w:rPr>
        <w:t>laetitia</w:t>
      </w:r>
      <w:proofErr w:type="spellEnd"/>
      <w:r w:rsidRPr="004B3C25">
        <w:rPr>
          <w:rFonts w:asciiTheme="majorHAnsi" w:hAnsiTheme="majorHAnsi" w:cs="Calibri"/>
          <w:i/>
          <w:lang w:val="en-GB"/>
        </w:rPr>
        <w:t xml:space="preserve"> </w:t>
      </w:r>
      <w:proofErr w:type="spellStart"/>
      <w:r w:rsidRPr="004B3C25">
        <w:rPr>
          <w:rFonts w:asciiTheme="majorHAnsi" w:hAnsiTheme="majorHAnsi" w:cs="Calibri"/>
          <w:i/>
          <w:lang w:val="en-GB"/>
        </w:rPr>
        <w:t>cunctorum</w:t>
      </w:r>
      <w:proofErr w:type="spellEnd"/>
      <w:r w:rsidRPr="004B3C25">
        <w:rPr>
          <w:rFonts w:asciiTheme="majorHAnsi" w:hAnsiTheme="majorHAnsi" w:cs="Calibri"/>
          <w:lang w:val="en-GB"/>
        </w:rPr>
        <w:t>, ‘with the utmost grace and rejoicing among everyone’.</w:t>
      </w:r>
      <w:r w:rsidRPr="004B3C25">
        <w:rPr>
          <w:rStyle w:val="FootnoteReference"/>
          <w:rFonts w:asciiTheme="majorHAnsi" w:eastAsiaTheme="majorEastAsia" w:hAnsiTheme="majorHAnsi" w:cs="Calibri"/>
          <w:lang w:val="en-GB"/>
        </w:rPr>
        <w:footnoteReference w:id="15"/>
      </w:r>
      <w:r w:rsidRPr="004B3C25">
        <w:rPr>
          <w:rFonts w:asciiTheme="majorHAnsi" w:hAnsiTheme="majorHAnsi" w:cs="Calibri"/>
          <w:lang w:val="en-GB"/>
        </w:rPr>
        <w:t xml:space="preserve"> </w:t>
      </w:r>
    </w:p>
    <w:p w:rsidR="002044A1" w:rsidRPr="004B3C25" w:rsidRDefault="002044A1" w:rsidP="002044A1">
      <w:pPr>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cs="Calibri"/>
          <w:lang w:val="en-GB"/>
        </w:rPr>
        <w:t xml:space="preserve">Largely following this narrative, older historiography understood that Ambrose’s special charisma and sanctity had persuaded the </w:t>
      </w:r>
      <w:proofErr w:type="spellStart"/>
      <w:r w:rsidRPr="004B3C25">
        <w:rPr>
          <w:rFonts w:asciiTheme="majorHAnsi" w:hAnsiTheme="majorHAnsi" w:cs="Calibri"/>
          <w:lang w:val="en-GB"/>
        </w:rPr>
        <w:t>Homoians</w:t>
      </w:r>
      <w:proofErr w:type="spellEnd"/>
      <w:r w:rsidRPr="004B3C25">
        <w:rPr>
          <w:rFonts w:asciiTheme="majorHAnsi" w:hAnsiTheme="majorHAnsi" w:cs="Calibri"/>
          <w:lang w:val="en-GB"/>
        </w:rPr>
        <w:t xml:space="preserve"> to accept his election, despite his clear Nicene affinities.</w:t>
      </w:r>
      <w:r w:rsidRPr="004B3C25">
        <w:rPr>
          <w:rStyle w:val="FootnoteReference"/>
          <w:rFonts w:asciiTheme="majorHAnsi" w:eastAsiaTheme="majorEastAsia" w:hAnsiTheme="majorHAnsi" w:cs="Calibri"/>
          <w:lang w:val="en-GB"/>
        </w:rPr>
        <w:footnoteReference w:id="16"/>
      </w:r>
      <w:r w:rsidRPr="004B3C25">
        <w:rPr>
          <w:rFonts w:asciiTheme="majorHAnsi" w:hAnsiTheme="majorHAnsi" w:cs="Calibri"/>
          <w:lang w:val="en-GB"/>
        </w:rPr>
        <w:t xml:space="preserve"> More recent scholarship, however, has suggested that Ambrose was equally far from meeting the expectations of both groups.</w:t>
      </w:r>
      <w:r w:rsidRPr="004B3C25">
        <w:rPr>
          <w:rStyle w:val="FootnoteReference"/>
          <w:rFonts w:asciiTheme="majorHAnsi" w:eastAsiaTheme="majorEastAsia" w:hAnsiTheme="majorHAnsi" w:cs="Calibri"/>
          <w:lang w:val="en-GB"/>
        </w:rPr>
        <w:footnoteReference w:id="17"/>
      </w:r>
      <w:r w:rsidRPr="004B3C25">
        <w:rPr>
          <w:rFonts w:asciiTheme="majorHAnsi" w:hAnsiTheme="majorHAnsi" w:cs="Calibri"/>
          <w:lang w:val="en-GB"/>
        </w:rPr>
        <w:t xml:space="preserve"> Although his connections with well-known </w:t>
      </w:r>
      <w:proofErr w:type="spellStart"/>
      <w:r w:rsidRPr="004B3C25">
        <w:rPr>
          <w:rFonts w:asciiTheme="majorHAnsi" w:hAnsiTheme="majorHAnsi" w:cs="Calibri"/>
          <w:lang w:val="en-GB"/>
        </w:rPr>
        <w:t>Nicenes</w:t>
      </w:r>
      <w:proofErr w:type="spellEnd"/>
      <w:r w:rsidRPr="004B3C25">
        <w:rPr>
          <w:rFonts w:asciiTheme="majorHAnsi" w:hAnsiTheme="majorHAnsi" w:cs="Calibri"/>
          <w:lang w:val="en-GB"/>
        </w:rPr>
        <w:t xml:space="preserve">, such as Probus and the Pope </w:t>
      </w:r>
      <w:proofErr w:type="spellStart"/>
      <w:r w:rsidRPr="004B3C25">
        <w:rPr>
          <w:rFonts w:asciiTheme="majorHAnsi" w:hAnsiTheme="majorHAnsi" w:cs="Calibri"/>
          <w:lang w:val="en-GB"/>
        </w:rPr>
        <w:t>Liberius</w:t>
      </w:r>
      <w:proofErr w:type="spellEnd"/>
      <w:r w:rsidRPr="004B3C25">
        <w:rPr>
          <w:rFonts w:asciiTheme="majorHAnsi" w:hAnsiTheme="majorHAnsi" w:cs="Calibri"/>
          <w:lang w:val="en-GB"/>
        </w:rPr>
        <w:t>, made obvious his position in relation to the Trinitarian controversy, Ambrose had very little in common with the banished bishops.</w:t>
      </w:r>
      <w:r w:rsidRPr="004B3C25">
        <w:rPr>
          <w:rStyle w:val="FootnoteReference"/>
          <w:rFonts w:asciiTheme="majorHAnsi" w:eastAsiaTheme="majorEastAsia" w:hAnsiTheme="majorHAnsi" w:cs="Calibri"/>
          <w:lang w:val="en-GB"/>
        </w:rPr>
        <w:footnoteReference w:id="18"/>
      </w:r>
      <w:r w:rsidRPr="004B3C25">
        <w:rPr>
          <w:rFonts w:asciiTheme="majorHAnsi" w:hAnsiTheme="majorHAnsi" w:cs="Calibri"/>
          <w:lang w:val="en-GB"/>
        </w:rPr>
        <w:t xml:space="preserve"> Unlike Eusebius and Dionysius, he lacked the charismatic halo of those who had suffered exile for his creed. Quite the opposite, in his years as a barrister in Illyricum and as governor of the province </w:t>
      </w:r>
      <w:proofErr w:type="spellStart"/>
      <w:r w:rsidRPr="004B3C25">
        <w:rPr>
          <w:rFonts w:asciiTheme="majorHAnsi" w:hAnsiTheme="majorHAnsi" w:cs="Calibri"/>
          <w:lang w:val="en-GB"/>
        </w:rPr>
        <w:t>Aemilia</w:t>
      </w:r>
      <w:proofErr w:type="spellEnd"/>
      <w:r w:rsidRPr="004B3C25">
        <w:rPr>
          <w:rFonts w:asciiTheme="majorHAnsi" w:hAnsiTheme="majorHAnsi" w:cs="Calibri"/>
          <w:lang w:val="en-GB"/>
        </w:rPr>
        <w:t xml:space="preserve">-Liguria in northern Italy, Ambrose had been in charge of implementing the emperor’s religious policy. It is clear that in Milan he coexisted with the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bishop </w:t>
      </w:r>
      <w:proofErr w:type="spellStart"/>
      <w:r w:rsidRPr="004B3C25">
        <w:rPr>
          <w:rFonts w:asciiTheme="majorHAnsi" w:hAnsiTheme="majorHAnsi" w:cs="Calibri"/>
          <w:lang w:val="en-GB"/>
        </w:rPr>
        <w:t>Auxentius</w:t>
      </w:r>
      <w:proofErr w:type="spellEnd"/>
      <w:r w:rsidRPr="004B3C25">
        <w:rPr>
          <w:rFonts w:asciiTheme="majorHAnsi" w:hAnsiTheme="majorHAnsi" w:cs="Calibri"/>
          <w:lang w:val="en-GB"/>
        </w:rPr>
        <w:t xml:space="preserve">. Neither Ambrose nor his hagiographer mention any conflict with </w:t>
      </w:r>
      <w:proofErr w:type="spellStart"/>
      <w:r w:rsidRPr="004B3C25">
        <w:rPr>
          <w:rFonts w:asciiTheme="majorHAnsi" w:hAnsiTheme="majorHAnsi" w:cs="Calibri"/>
          <w:lang w:val="en-GB"/>
        </w:rPr>
        <w:t>Auxentius</w:t>
      </w:r>
      <w:proofErr w:type="spellEnd"/>
      <w:r w:rsidRPr="004B3C25">
        <w:rPr>
          <w:rFonts w:asciiTheme="majorHAnsi" w:hAnsiTheme="majorHAnsi" w:cs="Calibri"/>
          <w:lang w:val="en-GB"/>
        </w:rPr>
        <w:t xml:space="preserve">, suggesting that they had an unproblematic relationship. In addition, Ambrose did not hide his aversion to diehard </w:t>
      </w:r>
      <w:proofErr w:type="spellStart"/>
      <w:r w:rsidRPr="004B3C25">
        <w:rPr>
          <w:rFonts w:asciiTheme="majorHAnsi" w:hAnsiTheme="majorHAnsi" w:cs="Calibri"/>
          <w:lang w:val="en-GB"/>
        </w:rPr>
        <w:t>Nicenes</w:t>
      </w:r>
      <w:proofErr w:type="spellEnd"/>
      <w:r w:rsidRPr="004B3C25">
        <w:rPr>
          <w:rFonts w:asciiTheme="majorHAnsi" w:hAnsiTheme="majorHAnsi" w:cs="Calibri"/>
          <w:lang w:val="en-GB"/>
        </w:rPr>
        <w:t xml:space="preserve">; in his </w:t>
      </w:r>
      <w:r w:rsidRPr="004B3C25">
        <w:rPr>
          <w:rFonts w:asciiTheme="majorHAnsi" w:hAnsiTheme="majorHAnsi" w:cs="Calibri"/>
          <w:lang w:val="en-GB"/>
        </w:rPr>
        <w:lastRenderedPageBreak/>
        <w:t xml:space="preserve">funeral oration for </w:t>
      </w:r>
      <w:proofErr w:type="spellStart"/>
      <w:r w:rsidRPr="004B3C25">
        <w:rPr>
          <w:rFonts w:asciiTheme="majorHAnsi" w:hAnsiTheme="majorHAnsi" w:cs="Calibri"/>
          <w:lang w:val="en-GB"/>
        </w:rPr>
        <w:t>Satyrus</w:t>
      </w:r>
      <w:proofErr w:type="spellEnd"/>
      <w:r w:rsidRPr="004B3C25">
        <w:rPr>
          <w:rFonts w:asciiTheme="majorHAnsi" w:hAnsiTheme="majorHAnsi" w:cs="Calibri"/>
          <w:lang w:val="en-GB"/>
        </w:rPr>
        <w:t>, he explicitly attacked the followers of the exiled bishop Lucifer of Cagliari.</w:t>
      </w:r>
      <w:r w:rsidRPr="004B3C25">
        <w:rPr>
          <w:rStyle w:val="FootnoteReference"/>
          <w:rFonts w:asciiTheme="majorHAnsi" w:eastAsiaTheme="majorEastAsia" w:hAnsiTheme="majorHAnsi" w:cs="Calibri"/>
          <w:lang w:val="en-GB"/>
        </w:rPr>
        <w:footnoteReference w:id="19"/>
      </w:r>
    </w:p>
    <w:p w:rsidR="002044A1" w:rsidRPr="004B3C25" w:rsidRDefault="002044A1" w:rsidP="002044A1">
      <w:pPr>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cs="Calibri"/>
          <w:lang w:val="en-GB"/>
        </w:rPr>
        <w:t xml:space="preserve">Although Ambrose’s theological neutrality can hardly have satisfied any of the contending Christian groups in Milan, he could rely on the support of powerful secular officials. The </w:t>
      </w:r>
      <w:r w:rsidRPr="004B3C25">
        <w:rPr>
          <w:rFonts w:asciiTheme="majorHAnsi" w:hAnsiTheme="majorHAnsi" w:cs="Calibri"/>
          <w:i/>
          <w:lang w:val="en-GB"/>
        </w:rPr>
        <w:t xml:space="preserve">Vita </w:t>
      </w:r>
      <w:proofErr w:type="spellStart"/>
      <w:r w:rsidRPr="004B3C25">
        <w:rPr>
          <w:rFonts w:asciiTheme="majorHAnsi" w:hAnsiTheme="majorHAnsi" w:cs="Calibri"/>
          <w:i/>
          <w:lang w:val="en-GB"/>
        </w:rPr>
        <w:t>Ambrosii</w:t>
      </w:r>
      <w:proofErr w:type="spellEnd"/>
      <w:r w:rsidRPr="004B3C25">
        <w:rPr>
          <w:rFonts w:asciiTheme="majorHAnsi" w:hAnsiTheme="majorHAnsi" w:cs="Calibri"/>
          <w:lang w:val="en-GB"/>
        </w:rPr>
        <w:t xml:space="preserve"> relates how the prefect Probus had encouraged his election as bishop and the emperor Valentinian had gladly allowed it.</w:t>
      </w:r>
      <w:r w:rsidRPr="004B3C25">
        <w:rPr>
          <w:rStyle w:val="FootnoteReference"/>
          <w:rFonts w:asciiTheme="majorHAnsi" w:eastAsiaTheme="majorEastAsia" w:hAnsiTheme="majorHAnsi" w:cs="Calibri"/>
          <w:lang w:val="en-GB"/>
        </w:rPr>
        <w:footnoteReference w:id="20"/>
      </w:r>
      <w:r w:rsidRPr="004B3C25">
        <w:rPr>
          <w:rFonts w:asciiTheme="majorHAnsi" w:hAnsiTheme="majorHAnsi" w:cs="Calibri"/>
          <w:lang w:val="en-GB"/>
        </w:rPr>
        <w:t xml:space="preserve"> The involvement of important imperial agents may help to explain the irregularities in the process by which he was elected and confirmed in office: Ambrose was baptised by a priest on the same day that he was chosen as bishop, and was not then ordained in the presence of the required number of peers (three).</w:t>
      </w:r>
      <w:r w:rsidRPr="004B3C25">
        <w:rPr>
          <w:rStyle w:val="FootnoteReference"/>
          <w:rFonts w:asciiTheme="majorHAnsi" w:eastAsiaTheme="majorEastAsia" w:hAnsiTheme="majorHAnsi" w:cs="Calibri"/>
          <w:lang w:val="en-GB"/>
        </w:rPr>
        <w:footnoteReference w:id="21"/>
      </w:r>
      <w:r w:rsidRPr="004B3C25">
        <w:rPr>
          <w:rFonts w:asciiTheme="majorHAnsi" w:hAnsiTheme="majorHAnsi" w:cs="Calibri"/>
          <w:lang w:val="en-GB"/>
        </w:rPr>
        <w:t xml:space="preserve"> The episode did not pass unnoticed by Ambrose’s enemies. In 381, </w:t>
      </w:r>
      <w:proofErr w:type="spellStart"/>
      <w:r w:rsidRPr="004B3C25">
        <w:rPr>
          <w:rFonts w:asciiTheme="majorHAnsi" w:hAnsiTheme="majorHAnsi" w:cs="Calibri"/>
          <w:lang w:val="en-GB"/>
        </w:rPr>
        <w:t>Palladius</w:t>
      </w:r>
      <w:proofErr w:type="spellEnd"/>
      <w:r w:rsidRPr="004B3C25">
        <w:rPr>
          <w:rFonts w:asciiTheme="majorHAnsi" w:hAnsiTheme="majorHAnsi" w:cs="Calibri"/>
          <w:lang w:val="en-GB"/>
        </w:rPr>
        <w:t xml:space="preserve">, the </w:t>
      </w:r>
      <w:proofErr w:type="spellStart"/>
      <w:r w:rsidRPr="004B3C25">
        <w:rPr>
          <w:rFonts w:asciiTheme="majorHAnsi" w:hAnsiTheme="majorHAnsi" w:cs="Calibri"/>
          <w:lang w:val="en-GB"/>
        </w:rPr>
        <w:t>Homoain</w:t>
      </w:r>
      <w:proofErr w:type="spellEnd"/>
      <w:r w:rsidRPr="004B3C25">
        <w:rPr>
          <w:rFonts w:asciiTheme="majorHAnsi" w:hAnsiTheme="majorHAnsi" w:cs="Calibri"/>
          <w:lang w:val="en-GB"/>
        </w:rPr>
        <w:t xml:space="preserve"> bishop of </w:t>
      </w:r>
      <w:proofErr w:type="spellStart"/>
      <w:r w:rsidRPr="004B3C25">
        <w:rPr>
          <w:rFonts w:asciiTheme="majorHAnsi" w:hAnsiTheme="majorHAnsi" w:cs="Calibri"/>
          <w:lang w:val="en-GB"/>
        </w:rPr>
        <w:t>Ratiaria</w:t>
      </w:r>
      <w:proofErr w:type="spellEnd"/>
      <w:r w:rsidRPr="004B3C25">
        <w:rPr>
          <w:rFonts w:asciiTheme="majorHAnsi" w:hAnsiTheme="majorHAnsi" w:cs="Calibri"/>
          <w:lang w:val="en-GB"/>
        </w:rPr>
        <w:t xml:space="preserve"> in Illyricum, remarked that Ambrose owed more to his political connections than to his Christian credentials.</w:t>
      </w:r>
      <w:r w:rsidRPr="004B3C25">
        <w:rPr>
          <w:rStyle w:val="FootnoteReference"/>
          <w:rFonts w:asciiTheme="majorHAnsi" w:eastAsiaTheme="majorEastAsia" w:hAnsiTheme="majorHAnsi" w:cs="Calibri"/>
          <w:lang w:val="en-GB"/>
        </w:rPr>
        <w:footnoteReference w:id="22"/>
      </w:r>
      <w:r w:rsidRPr="004B3C25">
        <w:rPr>
          <w:rFonts w:asciiTheme="majorHAnsi" w:hAnsiTheme="majorHAnsi" w:cs="Calibri"/>
          <w:lang w:val="en-GB"/>
        </w:rPr>
        <w:t xml:space="preserve"> </w:t>
      </w:r>
      <w:proofErr w:type="spellStart"/>
      <w:r w:rsidRPr="004B3C25">
        <w:rPr>
          <w:rFonts w:asciiTheme="majorHAnsi" w:hAnsiTheme="majorHAnsi" w:cs="Calibri"/>
          <w:lang w:val="en-GB"/>
        </w:rPr>
        <w:t>Palladius</w:t>
      </w:r>
      <w:proofErr w:type="spellEnd"/>
      <w:r w:rsidRPr="004B3C25">
        <w:rPr>
          <w:rFonts w:asciiTheme="majorHAnsi" w:hAnsiTheme="majorHAnsi" w:cs="Calibri"/>
          <w:lang w:val="en-GB"/>
        </w:rPr>
        <w:t>’ bitterness is understandable because he had been expelled from his see at the Council of Aquileia (381), over which Ambrose had presided. It is likely that this kind of criticism was probably more frequent than our sources reflect and, as I shall explain later in this paper, Ambrose’s anxiety about his past roles in the imperial administration and his lack of qualifications for holding high office within the church left a mark across his literary output. Throughout his episcopacy, Ambrose made great efforts to present himself as an ascetic devoted to the promotion of the Nicene faith and to defending his community. The anxiety that derived from the shakiness of Ambrose’s original position was, however, especially evident during his first years in the episcopate.</w:t>
      </w:r>
    </w:p>
    <w:p w:rsidR="002044A1" w:rsidRPr="004B3C25" w:rsidRDefault="002044A1" w:rsidP="002044A1">
      <w:pPr>
        <w:tabs>
          <w:tab w:val="left" w:pos="142"/>
        </w:tabs>
        <w:autoSpaceDE w:val="0"/>
        <w:autoSpaceDN w:val="0"/>
        <w:adjustRightInd w:val="0"/>
        <w:spacing w:after="120"/>
        <w:ind w:firstLine="567"/>
        <w:jc w:val="both"/>
        <w:rPr>
          <w:rFonts w:asciiTheme="majorHAnsi" w:hAnsiTheme="majorHAnsi" w:cs="Calibri"/>
          <w:b/>
          <w:bCs/>
          <w:lang w:val="en-GB" w:eastAsia="es-ES"/>
        </w:rPr>
      </w:pPr>
    </w:p>
    <w:p w:rsidR="002044A1" w:rsidRPr="004B3C25" w:rsidRDefault="002044A1" w:rsidP="002044A1">
      <w:pPr>
        <w:tabs>
          <w:tab w:val="left" w:pos="142"/>
        </w:tabs>
        <w:spacing w:after="120"/>
        <w:jc w:val="both"/>
        <w:rPr>
          <w:rFonts w:asciiTheme="majorHAnsi" w:hAnsiTheme="majorHAnsi" w:cs="Calibri"/>
          <w:b/>
          <w:bCs/>
          <w:lang w:val="en-GB" w:eastAsia="es-ES"/>
        </w:rPr>
      </w:pPr>
      <w:r w:rsidRPr="004B3C25">
        <w:rPr>
          <w:rFonts w:asciiTheme="majorHAnsi" w:hAnsiTheme="majorHAnsi" w:cs="Calibri"/>
          <w:b/>
          <w:bCs/>
          <w:lang w:val="en-GB" w:eastAsia="es-ES"/>
        </w:rPr>
        <w:t>Building legitimacy: Female relatives in Ambrose’s early episcopate</w:t>
      </w:r>
    </w:p>
    <w:p w:rsidR="002044A1" w:rsidRPr="004B3C25" w:rsidRDefault="002044A1" w:rsidP="002044A1">
      <w:pPr>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cs="Calibri"/>
          <w:lang w:val="en-GB"/>
        </w:rPr>
        <w:t>Conscious about his weak position, Ambrose played it safe after his episcopal election in 374; his first theological composition was only made at the request of the emperor in 378.</w:t>
      </w:r>
      <w:r w:rsidRPr="004B3C25">
        <w:rPr>
          <w:rStyle w:val="FootnoteReference"/>
          <w:rFonts w:asciiTheme="majorHAnsi" w:eastAsiaTheme="majorEastAsia" w:hAnsiTheme="majorHAnsi" w:cs="Calibri"/>
          <w:lang w:val="en-GB"/>
        </w:rPr>
        <w:footnoteReference w:id="23"/>
      </w:r>
      <w:r w:rsidRPr="004B3C25">
        <w:rPr>
          <w:rFonts w:asciiTheme="majorHAnsi" w:hAnsiTheme="majorHAnsi" w:cs="Calibri"/>
          <w:lang w:val="en-GB"/>
        </w:rPr>
        <w:t xml:space="preserve"> Around a year earlier, Ambrose had published his first three treatises, </w:t>
      </w:r>
      <w:r w:rsidRPr="004B3C25">
        <w:rPr>
          <w:rFonts w:asciiTheme="majorHAnsi" w:hAnsiTheme="majorHAnsi" w:cs="Calibri"/>
          <w:i/>
          <w:lang w:val="en-GB"/>
        </w:rPr>
        <w:t>On</w:t>
      </w:r>
      <w:r w:rsidRPr="004B3C25">
        <w:rPr>
          <w:rFonts w:asciiTheme="majorHAnsi" w:hAnsiTheme="majorHAnsi" w:cs="Calibri"/>
          <w:lang w:val="en-GB"/>
        </w:rPr>
        <w:t xml:space="preserve"> </w:t>
      </w:r>
      <w:r w:rsidRPr="004B3C25">
        <w:rPr>
          <w:rFonts w:asciiTheme="majorHAnsi" w:hAnsiTheme="majorHAnsi" w:cs="Calibri"/>
          <w:i/>
          <w:lang w:val="en-GB"/>
        </w:rPr>
        <w:t>the Virgins</w:t>
      </w:r>
      <w:r w:rsidRPr="004B3C25">
        <w:rPr>
          <w:rFonts w:asciiTheme="majorHAnsi" w:hAnsiTheme="majorHAnsi" w:cs="Calibri"/>
          <w:lang w:val="en-GB"/>
        </w:rPr>
        <w:t xml:space="preserve">, </w:t>
      </w:r>
      <w:r w:rsidRPr="004B3C25">
        <w:rPr>
          <w:rFonts w:asciiTheme="majorHAnsi" w:hAnsiTheme="majorHAnsi" w:cs="Calibri"/>
          <w:i/>
          <w:lang w:val="en-GB"/>
        </w:rPr>
        <w:t>On</w:t>
      </w:r>
      <w:r w:rsidRPr="004B3C25">
        <w:rPr>
          <w:rFonts w:asciiTheme="majorHAnsi" w:hAnsiTheme="majorHAnsi" w:cs="Calibri"/>
          <w:lang w:val="en-GB"/>
        </w:rPr>
        <w:t xml:space="preserve"> </w:t>
      </w:r>
      <w:r w:rsidRPr="004B3C25">
        <w:rPr>
          <w:rFonts w:asciiTheme="majorHAnsi" w:hAnsiTheme="majorHAnsi" w:cs="Calibri"/>
          <w:i/>
          <w:lang w:val="en-GB"/>
        </w:rPr>
        <w:t>the Widows</w:t>
      </w:r>
      <w:r w:rsidRPr="004B3C25">
        <w:rPr>
          <w:rFonts w:asciiTheme="majorHAnsi" w:hAnsiTheme="majorHAnsi" w:cs="Calibri"/>
          <w:lang w:val="en-GB"/>
        </w:rPr>
        <w:t xml:space="preserve"> and </w:t>
      </w:r>
      <w:r w:rsidRPr="004B3C25">
        <w:rPr>
          <w:rFonts w:asciiTheme="majorHAnsi" w:hAnsiTheme="majorHAnsi" w:cs="Calibri"/>
          <w:i/>
          <w:lang w:val="en-GB"/>
        </w:rPr>
        <w:t>On</w:t>
      </w:r>
      <w:r w:rsidRPr="004B3C25">
        <w:rPr>
          <w:rFonts w:asciiTheme="majorHAnsi" w:hAnsiTheme="majorHAnsi" w:cs="Calibri"/>
          <w:lang w:val="en-GB"/>
        </w:rPr>
        <w:t xml:space="preserve"> </w:t>
      </w:r>
      <w:r w:rsidRPr="004B3C25">
        <w:rPr>
          <w:rFonts w:asciiTheme="majorHAnsi" w:hAnsiTheme="majorHAnsi" w:cs="Calibri"/>
          <w:i/>
          <w:lang w:val="en-GB"/>
        </w:rPr>
        <w:t>Virginity,</w:t>
      </w:r>
      <w:r w:rsidRPr="004B3C25">
        <w:rPr>
          <w:rFonts w:asciiTheme="majorHAnsi" w:hAnsiTheme="majorHAnsi" w:cs="Calibri"/>
          <w:lang w:val="en-GB"/>
        </w:rPr>
        <w:t xml:space="preserve"> all of which focus on female asceticism</w:t>
      </w:r>
      <w:r w:rsidRPr="004B3C25">
        <w:rPr>
          <w:rFonts w:asciiTheme="majorHAnsi" w:eastAsia="SimSun" w:hAnsiTheme="majorHAnsi" w:cs="Georgia"/>
          <w:lang w:val="en-GB"/>
        </w:rPr>
        <w:t>.</w:t>
      </w:r>
      <w:r w:rsidRPr="004B3C25">
        <w:rPr>
          <w:rFonts w:asciiTheme="majorHAnsi" w:hAnsiTheme="majorHAnsi" w:cs="Calibri"/>
          <w:lang w:val="en-GB"/>
        </w:rPr>
        <w:t xml:space="preserve"> The longest and most elaborated of these writings is </w:t>
      </w:r>
      <w:r w:rsidRPr="004B3C25">
        <w:rPr>
          <w:rFonts w:asciiTheme="majorHAnsi" w:hAnsiTheme="majorHAnsi" w:cs="Calibri"/>
          <w:i/>
          <w:lang w:val="en-GB"/>
        </w:rPr>
        <w:t>On the Virgins</w:t>
      </w:r>
      <w:r w:rsidRPr="004B3C25">
        <w:rPr>
          <w:rFonts w:asciiTheme="majorHAnsi" w:hAnsiTheme="majorHAnsi" w:cs="Calibri"/>
          <w:lang w:val="en-GB"/>
        </w:rPr>
        <w:t xml:space="preserve">, a collection of sermons reworked as a treatise in three books, which contains a passionate exhortation to sexual renunciation as well as Ambrose’s first allusion to </w:t>
      </w:r>
      <w:proofErr w:type="spellStart"/>
      <w:r w:rsidRPr="004B3C25">
        <w:rPr>
          <w:rFonts w:asciiTheme="majorHAnsi" w:hAnsiTheme="majorHAnsi" w:cs="Calibri"/>
          <w:lang w:val="en-GB"/>
        </w:rPr>
        <w:t>Sotheris</w:t>
      </w:r>
      <w:proofErr w:type="spellEnd"/>
      <w:r w:rsidRPr="004B3C25">
        <w:rPr>
          <w:rFonts w:asciiTheme="majorHAnsi" w:hAnsiTheme="majorHAnsi" w:cs="Calibri"/>
          <w:lang w:val="en-GB"/>
        </w:rPr>
        <w:t xml:space="preserve"> and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w:t>
      </w:r>
    </w:p>
    <w:p w:rsidR="002044A1" w:rsidRPr="004B3C25" w:rsidRDefault="002044A1" w:rsidP="002044A1">
      <w:pPr>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cs="Calibri"/>
          <w:lang w:val="en-GB"/>
        </w:rPr>
        <w:t xml:space="preserve">Ambrose’s interest in female asceticism was not coincidental. The topic did not require deep theological knowledge and meant that he could avoid mentioning the Trinitarian controversy, as both </w:t>
      </w:r>
      <w:proofErr w:type="spellStart"/>
      <w:r w:rsidRPr="004B3C25">
        <w:rPr>
          <w:rFonts w:asciiTheme="majorHAnsi" w:hAnsiTheme="majorHAnsi" w:cs="Calibri"/>
          <w:lang w:val="en-GB"/>
        </w:rPr>
        <w:t>Nicenes</w:t>
      </w:r>
      <w:proofErr w:type="spellEnd"/>
      <w:r w:rsidRPr="004B3C25">
        <w:rPr>
          <w:rFonts w:asciiTheme="majorHAnsi" w:hAnsiTheme="majorHAnsi" w:cs="Calibri"/>
          <w:lang w:val="en-GB"/>
        </w:rPr>
        <w:t xml:space="preserve"> and Arians promoted the ideal of renunciation.</w:t>
      </w:r>
      <w:r w:rsidRPr="004B3C25">
        <w:rPr>
          <w:rStyle w:val="FootnoteReference"/>
          <w:rFonts w:asciiTheme="majorHAnsi" w:eastAsiaTheme="majorEastAsia" w:hAnsiTheme="majorHAnsi" w:cs="Calibri"/>
          <w:lang w:val="en-GB"/>
        </w:rPr>
        <w:footnoteReference w:id="24"/>
      </w:r>
      <w:r w:rsidRPr="004B3C25">
        <w:rPr>
          <w:rFonts w:asciiTheme="majorHAnsi" w:hAnsiTheme="majorHAnsi" w:cs="Calibri"/>
          <w:lang w:val="en-GB"/>
        </w:rPr>
        <w:t xml:space="preserve"> However by writing about asceticism Ambrose was able to present himself as a moral and intellectual authority within his community. Ambrose did not reveal that he had borrowed much of the </w:t>
      </w:r>
      <w:r w:rsidRPr="004B3C25">
        <w:rPr>
          <w:rFonts w:asciiTheme="majorHAnsi" w:hAnsiTheme="majorHAnsi" w:cs="Calibri"/>
          <w:lang w:val="en-GB"/>
        </w:rPr>
        <w:lastRenderedPageBreak/>
        <w:t>argument and content of the treatise from the earlier works of authoritative figures such as Cyprian and Athanasius. Jerome praised this act of ‘plagiarism’ with tongue firmly in cheek.</w:t>
      </w:r>
      <w:r w:rsidRPr="004B3C25">
        <w:rPr>
          <w:rStyle w:val="FootnoteReference"/>
          <w:rFonts w:asciiTheme="majorHAnsi" w:eastAsiaTheme="majorEastAsia" w:hAnsiTheme="majorHAnsi" w:cs="Calibri"/>
          <w:lang w:val="en-GB"/>
        </w:rPr>
        <w:footnoteReference w:id="25"/>
      </w:r>
      <w:r w:rsidRPr="004B3C25">
        <w:rPr>
          <w:rFonts w:asciiTheme="majorHAnsi" w:hAnsiTheme="majorHAnsi" w:cs="Calibri"/>
          <w:lang w:val="en-GB"/>
        </w:rPr>
        <w:t xml:space="preserve"> Despite his dependence on earlier Christian authors, </w:t>
      </w:r>
      <w:r w:rsidRPr="004B3C25">
        <w:rPr>
          <w:rFonts w:asciiTheme="majorHAnsi" w:hAnsiTheme="majorHAnsi" w:cs="Calibri"/>
          <w:i/>
          <w:lang w:val="en-GB"/>
        </w:rPr>
        <w:t>On</w:t>
      </w:r>
      <w:r w:rsidRPr="004B3C25">
        <w:rPr>
          <w:rFonts w:asciiTheme="majorHAnsi" w:hAnsiTheme="majorHAnsi" w:cs="Calibri"/>
          <w:lang w:val="en-GB"/>
        </w:rPr>
        <w:t xml:space="preserve"> </w:t>
      </w:r>
      <w:r w:rsidRPr="004B3C25">
        <w:rPr>
          <w:rFonts w:asciiTheme="majorHAnsi" w:hAnsiTheme="majorHAnsi" w:cs="Calibri"/>
          <w:i/>
          <w:lang w:val="en-GB"/>
        </w:rPr>
        <w:t>the Virgins</w:t>
      </w:r>
      <w:r w:rsidRPr="004B3C25">
        <w:rPr>
          <w:rFonts w:asciiTheme="majorHAnsi" w:hAnsiTheme="majorHAnsi" w:cs="Calibri"/>
          <w:lang w:val="en-GB"/>
        </w:rPr>
        <w:t xml:space="preserve"> contains a number of original interventions in which Ambrose sought to justify his past as an imperial bureaucrat, and to define the two pillars of his legitimacy during the first few years of his episcopacy: his family’s ascetic tradition and the Christian nature of his clerical authority, independent of his previous role as an imperial bureaucrat.</w:t>
      </w:r>
    </w:p>
    <w:p w:rsidR="002044A1" w:rsidRPr="004B3C25" w:rsidRDefault="002044A1" w:rsidP="002044A1">
      <w:pPr>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cs="Calibri"/>
          <w:lang w:val="en-GB"/>
        </w:rPr>
        <w:t xml:space="preserve">In </w:t>
      </w:r>
      <w:r w:rsidRPr="004B3C25">
        <w:rPr>
          <w:rFonts w:asciiTheme="majorHAnsi" w:hAnsiTheme="majorHAnsi" w:cs="Calibri"/>
          <w:i/>
          <w:lang w:val="en-GB"/>
        </w:rPr>
        <w:t>On</w:t>
      </w:r>
      <w:r w:rsidRPr="004B3C25">
        <w:rPr>
          <w:rFonts w:asciiTheme="majorHAnsi" w:hAnsiTheme="majorHAnsi" w:cs="Calibri"/>
          <w:lang w:val="en-GB"/>
        </w:rPr>
        <w:t xml:space="preserve"> </w:t>
      </w:r>
      <w:r w:rsidRPr="004B3C25">
        <w:rPr>
          <w:rFonts w:asciiTheme="majorHAnsi" w:hAnsiTheme="majorHAnsi" w:cs="Calibri"/>
          <w:i/>
          <w:lang w:val="en-GB"/>
        </w:rPr>
        <w:t>the Virgins</w:t>
      </w:r>
      <w:r w:rsidRPr="004B3C25">
        <w:rPr>
          <w:rFonts w:asciiTheme="majorHAnsi" w:hAnsiTheme="majorHAnsi" w:cs="Calibri"/>
          <w:lang w:val="en-GB"/>
        </w:rPr>
        <w:t>, Ambrose dignified the imperial service by offering an alternative reading of martyrdom. He consistently minimised</w:t>
      </w:r>
      <w:r w:rsidRPr="004B3C25">
        <w:rPr>
          <w:rFonts w:asciiTheme="majorHAnsi" w:hAnsiTheme="majorHAnsi"/>
          <w:lang w:val="en-GB"/>
        </w:rPr>
        <w:t xml:space="preserve"> the proactive role of imperial authorities in Christian persecutions</w:t>
      </w:r>
      <w:r w:rsidRPr="004B3C25">
        <w:rPr>
          <w:rFonts w:asciiTheme="majorHAnsi" w:hAnsiTheme="majorHAnsi" w:cs="Calibri"/>
          <w:lang w:val="en-GB"/>
        </w:rPr>
        <w:t xml:space="preserve"> and emphasised the involvement of male Roman citizens instead. This is especially perceptible in the first two books of the treatise, in which Ambrose focused on the cases of </w:t>
      </w:r>
      <w:r w:rsidRPr="004B3C25">
        <w:rPr>
          <w:rFonts w:asciiTheme="majorHAnsi" w:hAnsiTheme="majorHAnsi"/>
          <w:lang w:val="en-GB"/>
        </w:rPr>
        <w:t>Thecla, Agnes and an unnamed virgin from Antioch,</w:t>
      </w:r>
      <w:r w:rsidRPr="004B3C25">
        <w:rPr>
          <w:rFonts w:asciiTheme="majorHAnsi" w:hAnsiTheme="majorHAnsi" w:cs="Calibri"/>
          <w:lang w:val="en-GB"/>
        </w:rPr>
        <w:t xml:space="preserve"> </w:t>
      </w:r>
      <w:r w:rsidRPr="004B3C25">
        <w:rPr>
          <w:rFonts w:asciiTheme="majorHAnsi" w:hAnsiTheme="majorHAnsi"/>
          <w:lang w:val="en-GB"/>
        </w:rPr>
        <w:t>young girls who preferred to suffer a painful death rather than to lose their virginity. Ambrose presented martyrdom and virginity as two similar paths to Christian excellence and as the only ways of preserving female liberty and integrity:</w:t>
      </w:r>
      <w:r w:rsidRPr="004B3C25">
        <w:rPr>
          <w:rFonts w:asciiTheme="majorHAnsi" w:hAnsiTheme="majorHAnsi" w:cs="Times"/>
          <w:lang w:val="en-GB"/>
        </w:rPr>
        <w:t xml:space="preserve"> ‘You have thus in one victim a double martyrdom, of modesty and of religion. She both remained a virgin and obtained martyrdom’.</w:t>
      </w:r>
      <w:r w:rsidRPr="004B3C25">
        <w:rPr>
          <w:rStyle w:val="FootnoteReference"/>
          <w:rFonts w:asciiTheme="majorHAnsi" w:eastAsiaTheme="majorEastAsia" w:hAnsiTheme="majorHAnsi"/>
          <w:lang w:val="en-GB"/>
        </w:rPr>
        <w:footnoteReference w:id="26"/>
      </w:r>
      <w:r w:rsidRPr="004B3C25">
        <w:rPr>
          <w:rFonts w:asciiTheme="majorHAnsi" w:hAnsiTheme="majorHAnsi" w:cs="Times"/>
          <w:lang w:val="en-GB"/>
        </w:rPr>
        <w:t xml:space="preserve"> </w:t>
      </w:r>
      <w:r w:rsidRPr="004B3C25">
        <w:rPr>
          <w:rFonts w:asciiTheme="majorHAnsi" w:hAnsiTheme="majorHAnsi"/>
          <w:lang w:val="en-GB"/>
        </w:rPr>
        <w:t>Marriage, conversely, was despised and described as human trade: ‘</w:t>
      </w:r>
      <w:r w:rsidRPr="004B3C25">
        <w:rPr>
          <w:rFonts w:asciiTheme="majorHAnsi" w:eastAsiaTheme="minorEastAsia" w:hAnsiTheme="majorHAnsi" w:cs="ÓvZˇ"/>
          <w:lang w:val="en-GB"/>
        </w:rPr>
        <w:t>This is to buy a son-in-law, not to gain one who would sell a glance of their daughter to her parents’.</w:t>
      </w:r>
      <w:r w:rsidRPr="004B3C25">
        <w:rPr>
          <w:rStyle w:val="FootnoteReference"/>
          <w:rFonts w:asciiTheme="majorHAnsi" w:eastAsiaTheme="minorEastAsia" w:hAnsiTheme="majorHAnsi" w:cs="ÓvZˇ"/>
          <w:lang w:val="en-GB"/>
        </w:rPr>
        <w:footnoteReference w:id="27"/>
      </w:r>
      <w:r w:rsidRPr="004B3C25">
        <w:rPr>
          <w:rFonts w:asciiTheme="majorHAnsi" w:eastAsiaTheme="minorEastAsia" w:hAnsiTheme="majorHAnsi" w:cs="ÓvZˇ"/>
          <w:lang w:val="en-GB"/>
        </w:rPr>
        <w:t xml:space="preserve"> </w:t>
      </w:r>
      <w:r w:rsidRPr="004B3C25">
        <w:rPr>
          <w:rFonts w:asciiTheme="majorHAnsi" w:hAnsiTheme="majorHAnsi"/>
          <w:lang w:val="en-GB"/>
        </w:rPr>
        <w:t xml:space="preserve">Ambrose’s radicalism in relation to marriage, </w:t>
      </w:r>
      <w:r w:rsidRPr="004B3C25">
        <w:rPr>
          <w:rFonts w:asciiTheme="majorHAnsi" w:hAnsiTheme="majorHAnsi" w:cs="Calibri"/>
          <w:lang w:val="en-GB"/>
        </w:rPr>
        <w:t xml:space="preserve">questioning one of the cornerstones of Roman family and society, </w:t>
      </w:r>
      <w:r w:rsidRPr="004B3C25">
        <w:rPr>
          <w:rFonts w:asciiTheme="majorHAnsi" w:hAnsiTheme="majorHAnsi"/>
          <w:lang w:val="en-GB"/>
        </w:rPr>
        <w:t>has puzzled historians.</w:t>
      </w:r>
      <w:r w:rsidRPr="004B3C25">
        <w:rPr>
          <w:rStyle w:val="FootnoteReference"/>
          <w:rFonts w:asciiTheme="majorHAnsi" w:eastAsiaTheme="majorEastAsia" w:hAnsiTheme="majorHAnsi"/>
          <w:lang w:val="en-GB"/>
        </w:rPr>
        <w:footnoteReference w:id="28"/>
      </w:r>
      <w:r w:rsidRPr="004B3C25">
        <w:rPr>
          <w:rFonts w:asciiTheme="majorHAnsi" w:hAnsiTheme="majorHAnsi"/>
          <w:lang w:val="en-GB"/>
        </w:rPr>
        <w:t xml:space="preserve"> </w:t>
      </w:r>
      <w:r w:rsidRPr="004B3C25">
        <w:rPr>
          <w:rFonts w:asciiTheme="majorHAnsi" w:hAnsiTheme="majorHAnsi" w:cs="Times"/>
          <w:lang w:val="en-GB"/>
        </w:rPr>
        <w:t xml:space="preserve">The extreme views of </w:t>
      </w:r>
      <w:r w:rsidRPr="004B3C25">
        <w:rPr>
          <w:rFonts w:asciiTheme="majorHAnsi" w:hAnsiTheme="majorHAnsi" w:cs="Times"/>
          <w:i/>
          <w:lang w:val="en-GB"/>
        </w:rPr>
        <w:t>On the Virgins</w:t>
      </w:r>
      <w:r w:rsidRPr="004B3C25">
        <w:rPr>
          <w:rFonts w:asciiTheme="majorHAnsi" w:hAnsiTheme="majorHAnsi" w:cs="Times"/>
          <w:lang w:val="en-GB"/>
        </w:rPr>
        <w:t xml:space="preserve">, however, contrasted with the more moderate interpretation contained in a slightly later treatise, </w:t>
      </w:r>
      <w:r w:rsidRPr="004B3C25">
        <w:rPr>
          <w:rFonts w:asciiTheme="majorHAnsi" w:hAnsiTheme="majorHAnsi" w:cs="Times"/>
          <w:i/>
          <w:lang w:val="en-GB"/>
        </w:rPr>
        <w:t>De Paradiso</w:t>
      </w:r>
      <w:r w:rsidRPr="004B3C25">
        <w:rPr>
          <w:rFonts w:asciiTheme="majorHAnsi" w:hAnsiTheme="majorHAnsi" w:cs="Times"/>
          <w:lang w:val="en-GB"/>
        </w:rPr>
        <w:t>, in which male authority was considered essential to the instruction and correction of women.</w:t>
      </w:r>
      <w:r w:rsidRPr="004B3C25">
        <w:rPr>
          <w:rStyle w:val="FootnoteReference"/>
          <w:rFonts w:asciiTheme="majorHAnsi" w:eastAsiaTheme="majorEastAsia" w:hAnsiTheme="majorHAnsi" w:cs="Times"/>
          <w:lang w:val="en-GB"/>
        </w:rPr>
        <w:footnoteReference w:id="29"/>
      </w:r>
      <w:r w:rsidRPr="004B3C25">
        <w:rPr>
          <w:rFonts w:asciiTheme="majorHAnsi" w:hAnsiTheme="majorHAnsi"/>
          <w:lang w:val="en-GB"/>
        </w:rPr>
        <w:t xml:space="preserve"> </w:t>
      </w:r>
    </w:p>
    <w:p w:rsidR="002044A1" w:rsidRPr="004B3C25" w:rsidRDefault="002044A1" w:rsidP="002044A1">
      <w:pPr>
        <w:tabs>
          <w:tab w:val="left" w:pos="142"/>
        </w:tabs>
        <w:autoSpaceDE w:val="0"/>
        <w:autoSpaceDN w:val="0"/>
        <w:adjustRightInd w:val="0"/>
        <w:spacing w:after="120"/>
        <w:jc w:val="both"/>
        <w:rPr>
          <w:rFonts w:asciiTheme="majorHAnsi" w:hAnsiTheme="majorHAnsi"/>
          <w:lang w:val="en-GB"/>
        </w:rPr>
      </w:pPr>
      <w:r w:rsidRPr="004B3C25">
        <w:rPr>
          <w:rFonts w:asciiTheme="majorHAnsi" w:hAnsiTheme="majorHAnsi" w:cs="Times"/>
          <w:lang w:val="en-GB"/>
        </w:rPr>
        <w:t xml:space="preserve">Nonetheless, undermining patriarchal authority </w:t>
      </w:r>
      <w:r w:rsidRPr="004B3C25">
        <w:rPr>
          <w:rFonts w:asciiTheme="majorHAnsi" w:hAnsiTheme="majorHAnsi"/>
          <w:lang w:val="en-GB"/>
        </w:rPr>
        <w:t xml:space="preserve">fulfilled a purpose </w:t>
      </w:r>
      <w:r w:rsidRPr="004B3C25">
        <w:rPr>
          <w:rFonts w:asciiTheme="majorHAnsi" w:hAnsiTheme="majorHAnsi" w:cs="Times"/>
          <w:lang w:val="en-GB"/>
        </w:rPr>
        <w:t xml:space="preserve">in </w:t>
      </w:r>
      <w:r w:rsidRPr="004B3C25">
        <w:rPr>
          <w:rFonts w:asciiTheme="majorHAnsi" w:hAnsiTheme="majorHAnsi" w:cs="Times"/>
          <w:i/>
          <w:lang w:val="en-GB"/>
        </w:rPr>
        <w:t>On</w:t>
      </w:r>
      <w:r w:rsidRPr="004B3C25">
        <w:rPr>
          <w:rFonts w:asciiTheme="majorHAnsi" w:hAnsiTheme="majorHAnsi" w:cs="Times"/>
          <w:lang w:val="en-GB"/>
        </w:rPr>
        <w:t xml:space="preserve"> </w:t>
      </w:r>
      <w:r w:rsidRPr="004B3C25">
        <w:rPr>
          <w:rFonts w:asciiTheme="majorHAnsi" w:hAnsiTheme="majorHAnsi" w:cs="Times"/>
          <w:i/>
          <w:lang w:val="en-GB"/>
        </w:rPr>
        <w:t xml:space="preserve">the Virgins, </w:t>
      </w:r>
      <w:r w:rsidRPr="004B3C25">
        <w:rPr>
          <w:rFonts w:asciiTheme="majorHAnsi" w:hAnsiTheme="majorHAnsi" w:cs="Times"/>
          <w:lang w:val="en-GB"/>
        </w:rPr>
        <w:t>allowing</w:t>
      </w:r>
      <w:r w:rsidRPr="004B3C25">
        <w:rPr>
          <w:rFonts w:asciiTheme="majorHAnsi" w:hAnsiTheme="majorHAnsi"/>
          <w:lang w:val="en-GB"/>
        </w:rPr>
        <w:t xml:space="preserve"> Ambrose to reinterpret martyrdom as the result of the actions of male authority figures within the community, but not the Roman government.</w:t>
      </w:r>
      <w:r w:rsidRPr="004B3C25">
        <w:rPr>
          <w:rFonts w:asciiTheme="majorHAnsi" w:hAnsiTheme="majorHAnsi" w:cs="Calibri"/>
          <w:lang w:val="en-GB"/>
        </w:rPr>
        <w:t xml:space="preserve"> </w:t>
      </w:r>
      <w:r w:rsidRPr="004B3C25">
        <w:rPr>
          <w:rFonts w:asciiTheme="majorHAnsi" w:hAnsiTheme="majorHAnsi"/>
          <w:lang w:val="en-GB"/>
        </w:rPr>
        <w:t xml:space="preserve">Accordingly, the narration of Agnes’ death does not contain any reference to imperial courtiers apart from the executioners. Ambrose described how the virgin had refused to marry, but omitted mentioning that a </w:t>
      </w:r>
      <w:proofErr w:type="spellStart"/>
      <w:r w:rsidRPr="004B3C25">
        <w:rPr>
          <w:rFonts w:asciiTheme="majorHAnsi" w:hAnsiTheme="majorHAnsi"/>
          <w:i/>
          <w:lang w:val="en-GB"/>
        </w:rPr>
        <w:t>iudex</w:t>
      </w:r>
      <w:proofErr w:type="spellEnd"/>
      <w:r w:rsidRPr="004B3C25">
        <w:rPr>
          <w:rFonts w:asciiTheme="majorHAnsi" w:hAnsiTheme="majorHAnsi"/>
          <w:lang w:val="en-GB"/>
        </w:rPr>
        <w:t xml:space="preserve"> had condemned her to be dragged to a brothel, an episode that was included in </w:t>
      </w:r>
      <w:proofErr w:type="spellStart"/>
      <w:r w:rsidRPr="004B3C25">
        <w:rPr>
          <w:rFonts w:asciiTheme="majorHAnsi" w:hAnsiTheme="majorHAnsi"/>
          <w:lang w:val="en-GB"/>
        </w:rPr>
        <w:t>Prudentius</w:t>
      </w:r>
      <w:proofErr w:type="spellEnd"/>
      <w:r w:rsidRPr="004B3C25">
        <w:rPr>
          <w:rFonts w:asciiTheme="majorHAnsi" w:hAnsiTheme="majorHAnsi"/>
          <w:lang w:val="en-GB"/>
        </w:rPr>
        <w:t>’ later account.</w:t>
      </w:r>
      <w:r w:rsidRPr="004B3C25">
        <w:rPr>
          <w:rStyle w:val="FootnoteReference"/>
          <w:rFonts w:asciiTheme="majorHAnsi" w:eastAsiaTheme="majorEastAsia" w:hAnsiTheme="majorHAnsi"/>
          <w:lang w:val="en-GB"/>
        </w:rPr>
        <w:footnoteReference w:id="30"/>
      </w:r>
      <w:r w:rsidRPr="004B3C25">
        <w:rPr>
          <w:rFonts w:asciiTheme="majorHAnsi" w:hAnsiTheme="majorHAnsi"/>
          <w:lang w:val="en-GB"/>
        </w:rPr>
        <w:t xml:space="preserve"> The downplaying of official involvement is also evident in Ambrose’s description of the martyrdom of Thecla, who was ‘condemned by her husband’s rage’.</w:t>
      </w:r>
      <w:r w:rsidRPr="004B3C25">
        <w:rPr>
          <w:rStyle w:val="FootnoteReference"/>
          <w:rFonts w:asciiTheme="majorHAnsi" w:eastAsiaTheme="majorEastAsia" w:hAnsiTheme="majorHAnsi"/>
          <w:lang w:val="en-GB"/>
        </w:rPr>
        <w:footnoteReference w:id="31"/>
      </w:r>
      <w:r w:rsidRPr="004B3C25">
        <w:rPr>
          <w:rFonts w:asciiTheme="majorHAnsi" w:hAnsiTheme="majorHAnsi"/>
          <w:lang w:val="en-GB"/>
        </w:rPr>
        <w:t xml:space="preserve"> Forced to serve in a brothel, Thecla’s refusal would ultimately led to her execution, but Ambrose did not mention the judge or any other imperial officers. A similar </w:t>
      </w:r>
      <w:r w:rsidRPr="004B3C25">
        <w:rPr>
          <w:rFonts w:asciiTheme="majorHAnsi" w:hAnsiTheme="majorHAnsi"/>
          <w:lang w:val="en-GB"/>
        </w:rPr>
        <w:lastRenderedPageBreak/>
        <w:t>interpretation is placed on the story of the unnamed virgin of Antioch, for which Ambrose is the only source. He described how some ‘wicked men’ denounced the maiden, who was more concerned about ‘those who plotted against her chastity’ than the imperial authorities.</w:t>
      </w:r>
      <w:r w:rsidRPr="004B3C25">
        <w:rPr>
          <w:rStyle w:val="FootnoteReference"/>
          <w:rFonts w:asciiTheme="majorHAnsi" w:eastAsiaTheme="majorEastAsia" w:hAnsiTheme="majorHAnsi"/>
          <w:lang w:val="en-GB"/>
        </w:rPr>
        <w:footnoteReference w:id="32"/>
      </w:r>
      <w:r w:rsidRPr="004B3C25">
        <w:rPr>
          <w:rFonts w:asciiTheme="majorHAnsi" w:hAnsiTheme="majorHAnsi"/>
          <w:lang w:val="en-GB"/>
        </w:rPr>
        <w:t xml:space="preserve"> </w:t>
      </w:r>
    </w:p>
    <w:p w:rsidR="002044A1" w:rsidRPr="004B3C25" w:rsidRDefault="002044A1" w:rsidP="002044A1">
      <w:pPr>
        <w:widowControl w:val="0"/>
        <w:autoSpaceDE w:val="0"/>
        <w:autoSpaceDN w:val="0"/>
        <w:adjustRightInd w:val="0"/>
        <w:spacing w:after="120"/>
        <w:jc w:val="both"/>
        <w:rPr>
          <w:rFonts w:asciiTheme="majorHAnsi" w:hAnsiTheme="majorHAnsi"/>
          <w:lang w:val="en-GB"/>
        </w:rPr>
      </w:pPr>
      <w:r w:rsidRPr="004B3C25">
        <w:rPr>
          <w:rFonts w:asciiTheme="majorHAnsi" w:hAnsiTheme="majorHAnsi"/>
          <w:lang w:val="en-GB"/>
        </w:rPr>
        <w:t xml:space="preserve">In </w:t>
      </w:r>
      <w:r w:rsidRPr="004B3C25">
        <w:rPr>
          <w:rFonts w:asciiTheme="majorHAnsi" w:hAnsiTheme="majorHAnsi"/>
          <w:i/>
          <w:lang w:val="en-GB"/>
        </w:rPr>
        <w:t>On the virgins</w:t>
      </w:r>
      <w:r w:rsidRPr="004B3C25">
        <w:rPr>
          <w:rFonts w:asciiTheme="majorHAnsi" w:hAnsiTheme="majorHAnsi"/>
          <w:lang w:val="en-GB"/>
        </w:rPr>
        <w:t>, martyrdom was thus not presented as a conflict between the Christians and the empire, but between the ascetic and the family way of life. Ambrose’s text describes two gendered forms of authority. The Church embodies a Christian authority and is presented as a nurturing mother who instructs her children in correct behaviour: ‘</w:t>
      </w:r>
      <w:r w:rsidRPr="004B3C25">
        <w:rPr>
          <w:rFonts w:asciiTheme="majorHAnsi" w:hAnsiTheme="majorHAnsi" w:cs="Times"/>
          <w:lang w:val="en-GB"/>
        </w:rPr>
        <w:t>In this way the holy Church, unspotted with intercourse, but fertile in bearing, is a virgin in chastity and a mother in offspring. She gave birth to us as a virgin, not filled by a man, but by the Spirit. [...] She feeds us as a virgin, not with the milk of the body, but with that of the Apostle, with which he fed the weak age of the arising people.’</w:t>
      </w:r>
      <w:r w:rsidRPr="004B3C25">
        <w:rPr>
          <w:rStyle w:val="FootnoteReference"/>
          <w:rFonts w:asciiTheme="majorHAnsi" w:eastAsiaTheme="majorEastAsia" w:hAnsiTheme="majorHAnsi" w:cs="Times"/>
          <w:lang w:val="en-GB"/>
        </w:rPr>
        <w:footnoteReference w:id="33"/>
      </w:r>
      <w:r w:rsidRPr="004B3C25">
        <w:rPr>
          <w:rFonts w:asciiTheme="majorHAnsi" w:hAnsiTheme="majorHAnsi"/>
          <w:lang w:val="en-GB"/>
        </w:rPr>
        <w:t xml:space="preserve"> In contrast, patriarchal authority is depicted as restrictive and oppressive: ‘</w:t>
      </w:r>
      <w:r w:rsidRPr="004B3C25">
        <w:rPr>
          <w:rFonts w:asciiTheme="majorHAnsi" w:eastAsiaTheme="minorEastAsia" w:hAnsiTheme="majorHAnsi" w:cs="^DUˇ"/>
          <w:lang w:val="en-GB"/>
        </w:rPr>
        <w:t>Parents speak against her […] they threaten to disinherit</w:t>
      </w:r>
      <w:r w:rsidRPr="004B3C25">
        <w:rPr>
          <w:rFonts w:asciiTheme="majorHAnsi" w:hAnsiTheme="majorHAnsi" w:cs="Times"/>
          <w:lang w:val="en-GB"/>
        </w:rPr>
        <w:t xml:space="preserve"> her […]. You practice, virgin, by being urged. And the anxious pleas of your parents are your first battles.’</w:t>
      </w:r>
      <w:r w:rsidRPr="004B3C25">
        <w:rPr>
          <w:rStyle w:val="FootnoteReference"/>
          <w:rFonts w:asciiTheme="majorHAnsi" w:eastAsiaTheme="majorEastAsia" w:hAnsiTheme="majorHAnsi" w:cs="Times"/>
          <w:lang w:val="en-GB"/>
        </w:rPr>
        <w:footnoteReference w:id="34"/>
      </w:r>
      <w:r w:rsidRPr="004B3C25">
        <w:rPr>
          <w:rFonts w:asciiTheme="majorHAnsi" w:hAnsiTheme="majorHAnsi" w:cs="Times"/>
          <w:lang w:val="en-GB"/>
        </w:rPr>
        <w:t xml:space="preserve"> </w:t>
      </w:r>
      <w:r w:rsidRPr="004B3C25">
        <w:rPr>
          <w:rFonts w:asciiTheme="majorHAnsi" w:hAnsiTheme="majorHAnsi"/>
          <w:lang w:val="en-GB"/>
        </w:rPr>
        <w:t>Earlier Christian literature had opposed the persuasiveness of clerics’ unblemished behaviour to the hierarchical violence of imperial institutions.</w:t>
      </w:r>
      <w:r w:rsidRPr="004B3C25">
        <w:rPr>
          <w:rStyle w:val="FootnoteReference"/>
          <w:rFonts w:asciiTheme="majorHAnsi" w:eastAsiaTheme="majorEastAsia" w:hAnsiTheme="majorHAnsi"/>
          <w:lang w:val="en-GB"/>
        </w:rPr>
        <w:footnoteReference w:id="35"/>
      </w:r>
      <w:r w:rsidRPr="004B3C25">
        <w:rPr>
          <w:rFonts w:asciiTheme="majorHAnsi" w:hAnsiTheme="majorHAnsi"/>
          <w:lang w:val="en-GB"/>
        </w:rPr>
        <w:t xml:space="preserve"> Ambrose, however, went here a step further and implicitly blamed patriarchal society for persecuting and oppressing Christian ascetics. </w:t>
      </w:r>
    </w:p>
    <w:p w:rsidR="002044A1" w:rsidRPr="004B3C25" w:rsidRDefault="002044A1" w:rsidP="002044A1">
      <w:pPr>
        <w:widowControl w:val="0"/>
        <w:tabs>
          <w:tab w:val="left" w:pos="142"/>
        </w:tabs>
        <w:autoSpaceDE w:val="0"/>
        <w:autoSpaceDN w:val="0"/>
        <w:adjustRightInd w:val="0"/>
        <w:spacing w:after="120"/>
        <w:jc w:val="both"/>
        <w:rPr>
          <w:rFonts w:asciiTheme="majorHAnsi" w:hAnsiTheme="majorHAnsi" w:cs="Times"/>
          <w:lang w:val="en-GB"/>
        </w:rPr>
      </w:pPr>
      <w:r w:rsidRPr="004B3C25">
        <w:rPr>
          <w:rFonts w:asciiTheme="majorHAnsi" w:hAnsiTheme="majorHAnsi"/>
          <w:lang w:val="en-GB"/>
        </w:rPr>
        <w:t>Ambrose’s idiosyncratic depiction of gender roles underpinned his argument about the nature of the relationship between patriarchy and asceticism. Many martyr writings depict a strident tension between the extreme vulnerability of delicate young girls, and the repressive machinery of the Empire, represented through the fierce actions of male bureaucrats.</w:t>
      </w:r>
      <w:r w:rsidRPr="004B3C25">
        <w:rPr>
          <w:rStyle w:val="FootnoteReference"/>
          <w:rFonts w:asciiTheme="majorHAnsi" w:eastAsiaTheme="majorEastAsia" w:hAnsiTheme="majorHAnsi"/>
          <w:lang w:val="en-GB"/>
        </w:rPr>
        <w:footnoteReference w:id="36"/>
      </w:r>
      <w:r w:rsidRPr="004B3C25">
        <w:rPr>
          <w:rFonts w:asciiTheme="majorHAnsi" w:hAnsiTheme="majorHAnsi"/>
          <w:lang w:val="en-GB"/>
        </w:rPr>
        <w:t xml:space="preserve"> In </w:t>
      </w:r>
      <w:r w:rsidRPr="004B3C25">
        <w:rPr>
          <w:rFonts w:asciiTheme="majorHAnsi" w:hAnsiTheme="majorHAnsi"/>
          <w:i/>
          <w:lang w:val="en-GB"/>
        </w:rPr>
        <w:t>On</w:t>
      </w:r>
      <w:r w:rsidRPr="004B3C25">
        <w:rPr>
          <w:rFonts w:asciiTheme="majorHAnsi" w:hAnsiTheme="majorHAnsi"/>
          <w:lang w:val="en-GB"/>
        </w:rPr>
        <w:t xml:space="preserve"> </w:t>
      </w:r>
      <w:r w:rsidRPr="004B3C25">
        <w:rPr>
          <w:rFonts w:asciiTheme="majorHAnsi" w:hAnsiTheme="majorHAnsi"/>
          <w:i/>
          <w:lang w:val="en-GB"/>
        </w:rPr>
        <w:t>the Virgins</w:t>
      </w:r>
      <w:r w:rsidRPr="004B3C25">
        <w:rPr>
          <w:rFonts w:asciiTheme="majorHAnsi" w:hAnsiTheme="majorHAnsi"/>
          <w:lang w:val="en-GB"/>
        </w:rPr>
        <w:t>, however, this divergence is alleviated as officers turned into defenders of the unarmed maidens. An example is Ambrose’s description of an Antiochene virgin who was saved by a soldier who at first had ‘the aspect of a terrible warrior’, but later dressed up as a virgin.</w:t>
      </w:r>
      <w:r w:rsidRPr="004B3C25">
        <w:rPr>
          <w:rStyle w:val="FootnoteReference"/>
          <w:rFonts w:asciiTheme="majorHAnsi" w:eastAsiaTheme="majorEastAsia" w:hAnsiTheme="majorHAnsi"/>
          <w:lang w:val="en-GB"/>
        </w:rPr>
        <w:footnoteReference w:id="37"/>
      </w:r>
      <w:r w:rsidRPr="004B3C25">
        <w:rPr>
          <w:rFonts w:asciiTheme="majorHAnsi" w:hAnsiTheme="majorHAnsi"/>
          <w:lang w:val="en-GB"/>
        </w:rPr>
        <w:t xml:space="preserve"> Ambrose followed a similar model for the description of Thecla’s frustrated martyrdom. In the oldest version of this story, in the </w:t>
      </w:r>
      <w:r w:rsidRPr="004B3C25">
        <w:rPr>
          <w:rFonts w:asciiTheme="majorHAnsi" w:hAnsiTheme="majorHAnsi"/>
          <w:i/>
          <w:lang w:val="en-GB"/>
        </w:rPr>
        <w:t>Acts of Paul and</w:t>
      </w:r>
      <w:r w:rsidRPr="004B3C25">
        <w:rPr>
          <w:rFonts w:asciiTheme="majorHAnsi" w:hAnsiTheme="majorHAnsi"/>
          <w:i/>
          <w:color w:val="FF0000"/>
          <w:lang w:val="en-GB"/>
        </w:rPr>
        <w:t xml:space="preserve"> </w:t>
      </w:r>
      <w:r w:rsidRPr="004B3C25">
        <w:rPr>
          <w:rFonts w:asciiTheme="majorHAnsi" w:hAnsiTheme="majorHAnsi"/>
          <w:i/>
          <w:lang w:val="en-GB"/>
        </w:rPr>
        <w:t>Thecla</w:t>
      </w:r>
      <w:r w:rsidRPr="004B3C25">
        <w:rPr>
          <w:rFonts w:asciiTheme="majorHAnsi" w:hAnsiTheme="majorHAnsi"/>
          <w:lang w:val="en-GB"/>
        </w:rPr>
        <w:t>, probably composed at different stages during the second century, the virgin was condemned to death and thrown to the beasts. Once in the arena, a fierce lioness defended the virgin and was torn apart by a male bear.</w:t>
      </w:r>
      <w:r w:rsidRPr="004B3C25">
        <w:rPr>
          <w:rStyle w:val="FootnoteReference"/>
          <w:rFonts w:asciiTheme="majorHAnsi" w:eastAsiaTheme="majorEastAsia" w:hAnsiTheme="majorHAnsi"/>
          <w:lang w:val="en-GB"/>
        </w:rPr>
        <w:footnoteReference w:id="38"/>
      </w:r>
      <w:r w:rsidRPr="004B3C25">
        <w:rPr>
          <w:rFonts w:asciiTheme="majorHAnsi" w:hAnsiTheme="majorHAnsi"/>
          <w:lang w:val="en-GB"/>
        </w:rPr>
        <w:t xml:space="preserve"> Conversely, Ambrose emphasised the masculinity of the lion that defended the virgin:</w:t>
      </w:r>
      <w:r w:rsidRPr="004B3C25">
        <w:rPr>
          <w:rFonts w:asciiTheme="majorHAnsi" w:hAnsiTheme="majorHAnsi" w:cs="Times"/>
          <w:lang w:val="en-GB"/>
        </w:rPr>
        <w:t xml:space="preserve"> ‘the beast reverenced his prey and, having forgotten his own nature, assumed the nature that men had rejected.</w:t>
      </w:r>
      <w:r w:rsidRPr="004B3C25">
        <w:rPr>
          <w:rFonts w:asciiTheme="majorHAnsi" w:hAnsiTheme="majorHAnsi"/>
          <w:lang w:val="en-GB"/>
        </w:rPr>
        <w:t xml:space="preserve"> </w:t>
      </w:r>
      <w:r w:rsidRPr="004B3C25">
        <w:rPr>
          <w:rFonts w:asciiTheme="majorHAnsi" w:hAnsiTheme="majorHAnsi" w:cs="Times"/>
          <w:lang w:val="en-GB"/>
        </w:rPr>
        <w:t>By such a transfusion of nature, one could see men dressed in wildness, imposing cruelty on the beast, and the beast kissing the feet of the virgin, teaching them what was due from men’.</w:t>
      </w:r>
      <w:r w:rsidRPr="004B3C25">
        <w:rPr>
          <w:rStyle w:val="FootnoteReference"/>
          <w:rFonts w:asciiTheme="majorHAnsi" w:eastAsiaTheme="majorEastAsia" w:hAnsiTheme="majorHAnsi"/>
          <w:lang w:val="en-GB"/>
        </w:rPr>
        <w:footnoteReference w:id="39"/>
      </w:r>
      <w:r w:rsidRPr="004B3C25">
        <w:rPr>
          <w:rFonts w:asciiTheme="majorHAnsi" w:hAnsiTheme="majorHAnsi" w:cs="Times"/>
          <w:lang w:val="en-GB"/>
        </w:rPr>
        <w:t xml:space="preserve"> </w:t>
      </w:r>
      <w:r w:rsidRPr="004B3C25">
        <w:rPr>
          <w:rFonts w:asciiTheme="majorHAnsi" w:hAnsiTheme="majorHAnsi"/>
          <w:lang w:val="en-GB"/>
        </w:rPr>
        <w:t xml:space="preserve">The metaphor of a male executioner protecting the virgin from the rest of the community was the perfect parallel to Ambrose’s personal story as an imperial officer who had previously been entrusted with enforcing imperial legislation and had subsequently </w:t>
      </w:r>
      <w:r w:rsidRPr="004B3C25">
        <w:rPr>
          <w:rFonts w:asciiTheme="majorHAnsi" w:hAnsiTheme="majorHAnsi"/>
          <w:lang w:val="en-GB"/>
        </w:rPr>
        <w:lastRenderedPageBreak/>
        <w:t xml:space="preserve">turned into a defender of the vulnerable of Milan. </w:t>
      </w:r>
    </w:p>
    <w:p w:rsidR="002044A1" w:rsidRPr="004B3C25" w:rsidRDefault="002044A1" w:rsidP="002044A1">
      <w:pPr>
        <w:tabs>
          <w:tab w:val="left" w:pos="142"/>
          <w:tab w:val="left" w:pos="3119"/>
        </w:tabs>
        <w:autoSpaceDE w:val="0"/>
        <w:autoSpaceDN w:val="0"/>
        <w:adjustRightInd w:val="0"/>
        <w:spacing w:after="120"/>
        <w:jc w:val="both"/>
        <w:rPr>
          <w:rFonts w:asciiTheme="majorHAnsi" w:hAnsiTheme="majorHAnsi"/>
          <w:lang w:val="en-GB"/>
        </w:rPr>
      </w:pPr>
      <w:r w:rsidRPr="004B3C25">
        <w:rPr>
          <w:rFonts w:asciiTheme="majorHAnsi" w:hAnsiTheme="majorHAnsi"/>
          <w:lang w:val="en-GB"/>
        </w:rPr>
        <w:t xml:space="preserve">This self-portrait emerges more clearly in the third book of On </w:t>
      </w:r>
      <w:r w:rsidRPr="004B3C25">
        <w:rPr>
          <w:rFonts w:asciiTheme="majorHAnsi" w:hAnsiTheme="majorHAnsi" w:cs="Calibri"/>
          <w:i/>
          <w:lang w:val="en-GB"/>
        </w:rPr>
        <w:t>the Virgins</w:t>
      </w:r>
      <w:r w:rsidRPr="004B3C25">
        <w:rPr>
          <w:rFonts w:asciiTheme="majorHAnsi" w:hAnsiTheme="majorHAnsi"/>
          <w:lang w:val="en-GB"/>
        </w:rPr>
        <w:t xml:space="preserve">, in which Ambrose recalled his family’s long Christian tradition. The section opens with Ambrose’s account of </w:t>
      </w:r>
      <w:proofErr w:type="spellStart"/>
      <w:r w:rsidRPr="004B3C25">
        <w:rPr>
          <w:rFonts w:asciiTheme="majorHAnsi" w:hAnsiTheme="majorHAnsi"/>
          <w:lang w:val="en-GB"/>
        </w:rPr>
        <w:t>Marcellina’s</w:t>
      </w:r>
      <w:proofErr w:type="spellEnd"/>
      <w:r w:rsidRPr="004B3C25">
        <w:rPr>
          <w:rFonts w:asciiTheme="majorHAnsi" w:hAnsiTheme="majorHAnsi"/>
          <w:lang w:val="en-GB"/>
        </w:rPr>
        <w:t xml:space="preserve"> consecration in Rome by Pope </w:t>
      </w:r>
      <w:proofErr w:type="spellStart"/>
      <w:r w:rsidRPr="004B3C25">
        <w:rPr>
          <w:rFonts w:asciiTheme="majorHAnsi" w:hAnsiTheme="majorHAnsi"/>
          <w:lang w:val="en-GB"/>
        </w:rPr>
        <w:t>Liberius</w:t>
      </w:r>
      <w:proofErr w:type="spellEnd"/>
      <w:r w:rsidRPr="004B3C25">
        <w:rPr>
          <w:rFonts w:asciiTheme="majorHAnsi" w:hAnsiTheme="majorHAnsi"/>
          <w:lang w:val="en-GB"/>
        </w:rPr>
        <w:t xml:space="preserve">, and continues with a description of her especial ascetic virtues. Ambrose went on to mention the example of the virgin </w:t>
      </w:r>
      <w:proofErr w:type="spellStart"/>
      <w:r w:rsidRPr="004B3C25">
        <w:rPr>
          <w:rFonts w:asciiTheme="majorHAnsi" w:hAnsiTheme="majorHAnsi"/>
          <w:lang w:val="en-GB"/>
        </w:rPr>
        <w:t>Pelagia</w:t>
      </w:r>
      <w:proofErr w:type="spellEnd"/>
      <w:r w:rsidRPr="004B3C25">
        <w:rPr>
          <w:rFonts w:asciiTheme="majorHAnsi" w:hAnsiTheme="majorHAnsi"/>
          <w:lang w:val="en-GB"/>
        </w:rPr>
        <w:t xml:space="preserve">, who was martyred in Antioch, and devoted the treatise’s last paragraph to discuss the death of </w:t>
      </w:r>
      <w:proofErr w:type="spellStart"/>
      <w:r w:rsidRPr="004B3C25">
        <w:rPr>
          <w:rFonts w:asciiTheme="majorHAnsi" w:hAnsiTheme="majorHAnsi"/>
          <w:lang w:val="en-GB"/>
        </w:rPr>
        <w:t>Sotheris</w:t>
      </w:r>
      <w:proofErr w:type="spellEnd"/>
      <w:r w:rsidRPr="004B3C25">
        <w:rPr>
          <w:rFonts w:asciiTheme="majorHAnsi" w:hAnsiTheme="majorHAnsi"/>
          <w:lang w:val="en-GB"/>
        </w:rPr>
        <w:t xml:space="preserve">, who is presented as a role model for </w:t>
      </w:r>
      <w:proofErr w:type="spellStart"/>
      <w:r w:rsidRPr="004B3C25">
        <w:rPr>
          <w:rFonts w:asciiTheme="majorHAnsi" w:hAnsiTheme="majorHAnsi"/>
          <w:lang w:val="en-GB"/>
        </w:rPr>
        <w:t>Marcellina</w:t>
      </w:r>
      <w:proofErr w:type="spellEnd"/>
      <w:r w:rsidRPr="004B3C25">
        <w:rPr>
          <w:rFonts w:asciiTheme="majorHAnsi" w:hAnsiTheme="majorHAnsi"/>
          <w:lang w:val="en-GB"/>
        </w:rPr>
        <w:t xml:space="preserve">: </w:t>
      </w:r>
      <w:r w:rsidRPr="004B3C25">
        <w:rPr>
          <w:rFonts w:asciiTheme="majorHAnsi" w:hAnsiTheme="majorHAnsi" w:cs="Calibri"/>
          <w:lang w:val="en-GB"/>
        </w:rPr>
        <w:t>‘But why do I use examples of distant people to you, sister, whom the inspiration of hereditary chastity has taught by descent from a martyred ancestor?’</w:t>
      </w:r>
      <w:r w:rsidRPr="004B3C25">
        <w:rPr>
          <w:rStyle w:val="FootnoteReference"/>
          <w:rFonts w:asciiTheme="majorHAnsi" w:eastAsiaTheme="majorEastAsia" w:hAnsiTheme="majorHAnsi" w:cs="Calibri"/>
          <w:lang w:val="en-GB"/>
        </w:rPr>
        <w:footnoteReference w:id="40"/>
      </w:r>
      <w:r w:rsidRPr="004B3C25">
        <w:rPr>
          <w:rFonts w:asciiTheme="majorHAnsi" w:hAnsiTheme="majorHAnsi" w:cs="Calibri"/>
          <w:lang w:val="en-GB"/>
        </w:rPr>
        <w:t xml:space="preserve"> Despite these references to his female relatives, Ambrose does not provide any further information about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and </w:t>
      </w:r>
      <w:proofErr w:type="spellStart"/>
      <w:r w:rsidRPr="004B3C25">
        <w:rPr>
          <w:rFonts w:asciiTheme="majorHAnsi" w:hAnsiTheme="majorHAnsi" w:cs="Calibri"/>
          <w:lang w:val="en-GB"/>
        </w:rPr>
        <w:t>Sotheris</w:t>
      </w:r>
      <w:proofErr w:type="spellEnd"/>
      <w:r w:rsidRPr="004B3C25">
        <w:rPr>
          <w:rFonts w:asciiTheme="majorHAnsi" w:hAnsiTheme="majorHAnsi" w:cs="Calibri"/>
          <w:lang w:val="en-GB"/>
        </w:rPr>
        <w:t>, apart from some details relating to the latter’s martyrdom. The main focus of this book is therefore</w:t>
      </w:r>
      <w:r w:rsidRPr="004B3C25">
        <w:rPr>
          <w:rFonts w:asciiTheme="majorHAnsi" w:hAnsiTheme="majorHAnsi"/>
          <w:lang w:val="en-GB"/>
        </w:rPr>
        <w:t xml:space="preserve"> Ambrose who, much like the repentant executioner in his martyr narratives, is implicitly presented as the protector of his consecrated sister and his martyred ancestor.</w:t>
      </w:r>
    </w:p>
    <w:p w:rsidR="002044A1" w:rsidRPr="004B3C25" w:rsidRDefault="002044A1" w:rsidP="002044A1">
      <w:pPr>
        <w:widowControl w:val="0"/>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lang w:val="en-GB"/>
        </w:rPr>
        <w:t xml:space="preserve">The particular depictions of </w:t>
      </w:r>
      <w:proofErr w:type="spellStart"/>
      <w:r w:rsidRPr="004B3C25">
        <w:rPr>
          <w:rFonts w:asciiTheme="majorHAnsi" w:hAnsiTheme="majorHAnsi"/>
          <w:lang w:val="en-GB"/>
        </w:rPr>
        <w:t>Sotheris</w:t>
      </w:r>
      <w:proofErr w:type="spellEnd"/>
      <w:r w:rsidRPr="004B3C25">
        <w:rPr>
          <w:rFonts w:asciiTheme="majorHAnsi" w:hAnsiTheme="majorHAnsi"/>
          <w:lang w:val="en-GB"/>
        </w:rPr>
        <w:t xml:space="preserve"> and </w:t>
      </w:r>
      <w:proofErr w:type="spellStart"/>
      <w:r w:rsidRPr="004B3C25">
        <w:rPr>
          <w:rFonts w:asciiTheme="majorHAnsi" w:hAnsiTheme="majorHAnsi"/>
          <w:lang w:val="en-GB"/>
        </w:rPr>
        <w:t>Marcellina</w:t>
      </w:r>
      <w:proofErr w:type="spellEnd"/>
      <w:r w:rsidRPr="004B3C25">
        <w:rPr>
          <w:rFonts w:asciiTheme="majorHAnsi" w:hAnsiTheme="majorHAnsi"/>
          <w:lang w:val="en-GB"/>
        </w:rPr>
        <w:t xml:space="preserve"> enabled Ambrose to foreground a distinctively Christian model of authority, which differed somewhat from traditional aristocratic rule. </w:t>
      </w:r>
      <w:r w:rsidRPr="004B3C25">
        <w:rPr>
          <w:rFonts w:asciiTheme="majorHAnsi" w:hAnsiTheme="majorHAnsi" w:cs="Calibri"/>
          <w:lang w:val="en-GB"/>
        </w:rPr>
        <w:t>For the Roman nobility, family was not simply a domestic institution made up of a series of affective ties; it was politically significant too.</w:t>
      </w:r>
      <w:r w:rsidRPr="004B3C25">
        <w:rPr>
          <w:rStyle w:val="FootnoteReference"/>
          <w:rFonts w:asciiTheme="majorHAnsi" w:eastAsiaTheme="majorEastAsia" w:hAnsiTheme="majorHAnsi" w:cs="Calibri"/>
          <w:lang w:val="en-GB"/>
        </w:rPr>
        <w:footnoteReference w:id="41"/>
      </w:r>
      <w:r w:rsidRPr="004B3C25">
        <w:rPr>
          <w:rFonts w:asciiTheme="majorHAnsi" w:hAnsiTheme="majorHAnsi" w:cs="Calibri"/>
          <w:lang w:val="en-GB"/>
        </w:rPr>
        <w:t xml:space="preserve"> Roman aristocrats had long advertised their illustrious relatives in order to communicate the idea that the holding of public office was their natural place in society. Accordingly, male ancestors and their political achievements were frequently discussed in aristocratic sources from the Republic to late antiquity. An example is Symmachus, a pagan senator and Ambrose’s contemporary, who included twelve letters to his father </w:t>
      </w:r>
      <w:r w:rsidRPr="004B3C25">
        <w:rPr>
          <w:rFonts w:asciiTheme="majorHAnsi" w:hAnsiTheme="majorHAnsi"/>
          <w:lang w:val="en-GB"/>
        </w:rPr>
        <w:t xml:space="preserve">Lucius Aurelius </w:t>
      </w:r>
      <w:proofErr w:type="spellStart"/>
      <w:r w:rsidRPr="004B3C25">
        <w:rPr>
          <w:rFonts w:asciiTheme="majorHAnsi" w:hAnsiTheme="majorHAnsi"/>
          <w:lang w:val="en-GB"/>
        </w:rPr>
        <w:t>Avienus</w:t>
      </w:r>
      <w:proofErr w:type="spellEnd"/>
      <w:r w:rsidRPr="004B3C25">
        <w:rPr>
          <w:rFonts w:asciiTheme="majorHAnsi" w:hAnsiTheme="majorHAnsi"/>
          <w:lang w:val="en-GB"/>
        </w:rPr>
        <w:t>, the prefect of Rome in 364 and 365, in his letter collection. Many of these letters emphasised the importance of patriarchal authority and the family patrimony, stressing aristocratic status and suggesting that Symmachus had been raised to take up office in the imperial bureaucracy.</w:t>
      </w:r>
      <w:r w:rsidRPr="004B3C25">
        <w:rPr>
          <w:rStyle w:val="FootnoteReference"/>
          <w:rFonts w:asciiTheme="majorHAnsi" w:eastAsiaTheme="majorEastAsia" w:hAnsiTheme="majorHAnsi"/>
          <w:lang w:val="en-GB"/>
        </w:rPr>
        <w:footnoteReference w:id="42"/>
      </w:r>
      <w:r w:rsidRPr="004B3C25">
        <w:rPr>
          <w:rFonts w:asciiTheme="majorHAnsi" w:hAnsiTheme="majorHAnsi"/>
          <w:lang w:val="en-GB"/>
        </w:rPr>
        <w:t xml:space="preserve"> </w:t>
      </w:r>
      <w:r w:rsidRPr="004B3C25">
        <w:rPr>
          <w:rFonts w:asciiTheme="majorHAnsi" w:hAnsiTheme="majorHAnsi" w:cs="Calibri"/>
          <w:lang w:val="en-GB"/>
        </w:rPr>
        <w:t xml:space="preserve">On the contrary, Ambrose only makes one reference to his ancestry, to </w:t>
      </w:r>
      <w:proofErr w:type="spellStart"/>
      <w:r w:rsidRPr="004B3C25">
        <w:rPr>
          <w:rFonts w:asciiTheme="majorHAnsi" w:hAnsiTheme="majorHAnsi" w:cs="Calibri"/>
          <w:lang w:val="en-GB"/>
        </w:rPr>
        <w:t>Sotheris</w:t>
      </w:r>
      <w:proofErr w:type="spellEnd"/>
      <w:r w:rsidRPr="004B3C25">
        <w:rPr>
          <w:rFonts w:asciiTheme="majorHAnsi" w:hAnsiTheme="majorHAnsi" w:cs="Calibri"/>
          <w:lang w:val="en-GB"/>
        </w:rPr>
        <w:t xml:space="preserve">. He did not refer to his father who, according to Paulinus had been the prefect of Gaul. This has raised the suspicion of scholars, who have speculated that Ambrose’s father had been executed due to his involvement in an unsuccessful coup against the emperor </w:t>
      </w:r>
      <w:proofErr w:type="spellStart"/>
      <w:r w:rsidRPr="004B3C25">
        <w:rPr>
          <w:rFonts w:asciiTheme="majorHAnsi" w:hAnsiTheme="majorHAnsi" w:cs="Calibri"/>
          <w:lang w:val="en-GB"/>
        </w:rPr>
        <w:t>Constans</w:t>
      </w:r>
      <w:proofErr w:type="spellEnd"/>
      <w:r w:rsidRPr="004B3C25">
        <w:rPr>
          <w:rFonts w:asciiTheme="majorHAnsi" w:hAnsiTheme="majorHAnsi" w:cs="Calibri"/>
          <w:lang w:val="en-GB"/>
        </w:rPr>
        <w:t xml:space="preserve"> (d. 350).</w:t>
      </w:r>
      <w:r w:rsidRPr="004B3C25">
        <w:rPr>
          <w:rStyle w:val="FootnoteReference"/>
          <w:rFonts w:asciiTheme="majorHAnsi" w:eastAsiaTheme="majorEastAsia" w:hAnsiTheme="majorHAnsi" w:cs="Calibri"/>
          <w:lang w:val="en-GB"/>
        </w:rPr>
        <w:footnoteReference w:id="43"/>
      </w:r>
      <w:r w:rsidRPr="004B3C25">
        <w:rPr>
          <w:rFonts w:asciiTheme="majorHAnsi" w:hAnsiTheme="majorHAnsi" w:cs="Calibri"/>
          <w:lang w:val="en-GB"/>
        </w:rPr>
        <w:t xml:space="preserve"> However, silence over male ancestors generated a Christian family history that suited Ambrose’s recently acquired episcopal dignity. This enabled Ambrose to downplay the role of his aristocratic pedigree and prior involvement in the imperial bureaucracy in his election. By using </w:t>
      </w:r>
      <w:proofErr w:type="spellStart"/>
      <w:r w:rsidRPr="004B3C25">
        <w:rPr>
          <w:rFonts w:asciiTheme="majorHAnsi" w:hAnsiTheme="majorHAnsi" w:cs="Calibri"/>
          <w:lang w:val="en-GB"/>
        </w:rPr>
        <w:t>Sotheris</w:t>
      </w:r>
      <w:proofErr w:type="spellEnd"/>
      <w:r w:rsidRPr="004B3C25">
        <w:rPr>
          <w:rFonts w:asciiTheme="majorHAnsi" w:hAnsiTheme="majorHAnsi" w:cs="Calibri"/>
          <w:lang w:val="en-GB"/>
        </w:rPr>
        <w:t xml:space="preserve"> and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as models of social and political behaviour, Ambrose emphatically rejected the imperial administration and embraced the Christian clergy. </w:t>
      </w:r>
    </w:p>
    <w:p w:rsidR="002044A1" w:rsidRPr="004B3C25" w:rsidRDefault="002044A1" w:rsidP="002044A1">
      <w:pPr>
        <w:widowControl w:val="0"/>
        <w:tabs>
          <w:tab w:val="left" w:pos="142"/>
        </w:tabs>
        <w:autoSpaceDE w:val="0"/>
        <w:autoSpaceDN w:val="0"/>
        <w:adjustRightInd w:val="0"/>
        <w:spacing w:after="120"/>
        <w:jc w:val="both"/>
        <w:rPr>
          <w:rFonts w:asciiTheme="majorHAnsi" w:hAnsiTheme="majorHAnsi" w:cs="Calibri"/>
          <w:lang w:val="en-GB"/>
        </w:rPr>
      </w:pPr>
      <w:r w:rsidRPr="004B3C25">
        <w:rPr>
          <w:rFonts w:asciiTheme="majorHAnsi" w:hAnsiTheme="majorHAnsi" w:cs="Calibri"/>
          <w:lang w:val="en-GB"/>
        </w:rPr>
        <w:t xml:space="preserve">Ambrose exploited the potential symbolic capital of his female relatives on other occasions. On the one hand, </w:t>
      </w:r>
      <w:proofErr w:type="spellStart"/>
      <w:r w:rsidRPr="004B3C25">
        <w:rPr>
          <w:rFonts w:asciiTheme="majorHAnsi" w:hAnsiTheme="majorHAnsi" w:cs="Calibri"/>
          <w:lang w:val="en-GB"/>
        </w:rPr>
        <w:t>Sotheris</w:t>
      </w:r>
      <w:proofErr w:type="spellEnd"/>
      <w:r w:rsidRPr="004B3C25">
        <w:rPr>
          <w:rFonts w:asciiTheme="majorHAnsi" w:hAnsiTheme="majorHAnsi" w:cs="Calibri"/>
          <w:lang w:val="en-GB"/>
        </w:rPr>
        <w:t xml:space="preserve"> was mentioned again in the sermon </w:t>
      </w:r>
      <w:r w:rsidRPr="004B3C25">
        <w:rPr>
          <w:rFonts w:asciiTheme="majorHAnsi" w:hAnsiTheme="majorHAnsi" w:cs="Calibri"/>
          <w:i/>
          <w:lang w:val="en-GB"/>
        </w:rPr>
        <w:t>Exhortation to Virginity</w:t>
      </w:r>
      <w:r w:rsidRPr="004B3C25">
        <w:rPr>
          <w:rFonts w:asciiTheme="majorHAnsi" w:hAnsiTheme="majorHAnsi" w:cs="Calibri"/>
          <w:lang w:val="en-GB"/>
        </w:rPr>
        <w:t xml:space="preserve">, preached almost twenty years after On </w:t>
      </w:r>
      <w:r w:rsidRPr="004B3C25">
        <w:rPr>
          <w:rFonts w:asciiTheme="majorHAnsi" w:hAnsiTheme="majorHAnsi" w:cs="Calibri"/>
          <w:i/>
          <w:lang w:val="en-GB"/>
        </w:rPr>
        <w:t>the Virgins</w:t>
      </w:r>
      <w:r w:rsidRPr="004B3C25">
        <w:rPr>
          <w:rFonts w:asciiTheme="majorHAnsi" w:hAnsiTheme="majorHAnsi" w:cs="Calibri"/>
          <w:lang w:val="en-GB"/>
        </w:rPr>
        <w:t xml:space="preserve">. During the intervening period, Ambrose had become one of the most renowned bishops of the West: Gallic and Spanish clerics often appealed to him to sort out their differences, and emperors entrusted him their </w:t>
      </w:r>
      <w:r w:rsidRPr="004B3C25">
        <w:rPr>
          <w:rFonts w:asciiTheme="majorHAnsi" w:hAnsiTheme="majorHAnsi" w:cs="Calibri"/>
          <w:lang w:val="en-GB"/>
        </w:rPr>
        <w:lastRenderedPageBreak/>
        <w:t>spiritual wellbeing.</w:t>
      </w:r>
      <w:r w:rsidRPr="004B3C25">
        <w:rPr>
          <w:rStyle w:val="FootnoteReference"/>
          <w:rFonts w:asciiTheme="majorHAnsi" w:eastAsiaTheme="majorEastAsia" w:hAnsiTheme="majorHAnsi" w:cs="Calibri"/>
          <w:lang w:val="en-GB"/>
        </w:rPr>
        <w:footnoteReference w:id="44"/>
      </w:r>
      <w:r w:rsidRPr="004B3C25">
        <w:rPr>
          <w:rFonts w:asciiTheme="majorHAnsi" w:hAnsiTheme="majorHAnsi" w:cs="Calibri"/>
          <w:lang w:val="en-GB"/>
        </w:rPr>
        <w:t xml:space="preserve"> Ambrose’s position was markedly stronger in the mid-390s, yet he returned to his martyred ancestor in the </w:t>
      </w:r>
      <w:r w:rsidRPr="004B3C25">
        <w:rPr>
          <w:rFonts w:asciiTheme="majorHAnsi" w:hAnsiTheme="majorHAnsi" w:cs="Calibri"/>
          <w:i/>
          <w:lang w:val="en-GB"/>
        </w:rPr>
        <w:t>Exhortation to Virginity</w:t>
      </w:r>
      <w:r w:rsidRPr="004B3C25">
        <w:rPr>
          <w:rFonts w:asciiTheme="majorHAnsi" w:hAnsiTheme="majorHAnsi" w:cs="Calibri"/>
          <w:lang w:val="en-GB"/>
        </w:rPr>
        <w:t xml:space="preserve">. He delivered this sermon in Florence in 394 on the occasion of the consecration of a church that had been paid by the local </w:t>
      </w:r>
      <w:proofErr w:type="spellStart"/>
      <w:r w:rsidRPr="001D3B61">
        <w:rPr>
          <w:rFonts w:asciiTheme="majorHAnsi" w:hAnsiTheme="majorHAnsi" w:cs="Calibri"/>
          <w:i/>
          <w:lang w:val="en-GB"/>
        </w:rPr>
        <w:t>matrona</w:t>
      </w:r>
      <w:proofErr w:type="spellEnd"/>
      <w:r w:rsidRPr="004B3C25">
        <w:rPr>
          <w:rFonts w:asciiTheme="majorHAnsi" w:hAnsiTheme="majorHAnsi" w:cs="Calibri"/>
          <w:lang w:val="en-GB"/>
        </w:rPr>
        <w:t xml:space="preserve"> </w:t>
      </w:r>
      <w:proofErr w:type="spellStart"/>
      <w:r w:rsidRPr="004B3C25">
        <w:rPr>
          <w:rFonts w:asciiTheme="majorHAnsi" w:hAnsiTheme="majorHAnsi" w:cs="Calibri"/>
          <w:lang w:val="en-GB"/>
        </w:rPr>
        <w:t>Iuliana</w:t>
      </w:r>
      <w:proofErr w:type="spellEnd"/>
      <w:r w:rsidRPr="004B3C25">
        <w:rPr>
          <w:rFonts w:asciiTheme="majorHAnsi" w:hAnsiTheme="majorHAnsi" w:cs="Calibri"/>
          <w:lang w:val="en-GB"/>
        </w:rPr>
        <w:t xml:space="preserve">, whose three daughters were consecrated virgins. Ambrose had left Milan on the eve of the invasion of the usurper Eugenius (d. 394), who had assumed the imperial power after the death of the emperor Valentinian II in unclear circumstances in 392. It seems that in order to avoid becoming embroiled in the political conflict, Ambrose started a tour of the churches of </w:t>
      </w:r>
      <w:proofErr w:type="spellStart"/>
      <w:r w:rsidRPr="004B3C25">
        <w:rPr>
          <w:rFonts w:asciiTheme="majorHAnsi" w:hAnsiTheme="majorHAnsi" w:cs="Calibri"/>
          <w:lang w:val="en-GB"/>
        </w:rPr>
        <w:t>Aemilia</w:t>
      </w:r>
      <w:proofErr w:type="spellEnd"/>
      <w:r w:rsidRPr="004B3C25">
        <w:rPr>
          <w:rFonts w:asciiTheme="majorHAnsi" w:hAnsiTheme="majorHAnsi" w:cs="Calibri"/>
          <w:lang w:val="en-GB"/>
        </w:rPr>
        <w:t>-Liguria, including Bologna and Florence. This strategy is also identifiable in Ambrose’s letter to Eugenius, in which he avoids making any reference to the addressee’s political legitimacy, and explains that he had absented himself from Milan out of fear of God, because the usurper had made concessions to the pagans.</w:t>
      </w:r>
      <w:r w:rsidRPr="004B3C25">
        <w:rPr>
          <w:rStyle w:val="FootnoteReference"/>
          <w:rFonts w:asciiTheme="majorHAnsi" w:eastAsiaTheme="majorEastAsia" w:hAnsiTheme="majorHAnsi" w:cs="Calibri"/>
          <w:lang w:val="en-GB"/>
        </w:rPr>
        <w:footnoteReference w:id="45"/>
      </w:r>
      <w:r w:rsidRPr="004B3C25">
        <w:rPr>
          <w:rFonts w:asciiTheme="majorHAnsi" w:hAnsiTheme="majorHAnsi" w:cs="Calibri"/>
          <w:lang w:val="en-GB"/>
        </w:rPr>
        <w:t xml:space="preserve"> In the </w:t>
      </w:r>
      <w:r w:rsidRPr="004B3C25">
        <w:rPr>
          <w:rFonts w:asciiTheme="majorHAnsi" w:hAnsiTheme="majorHAnsi" w:cs="Calibri"/>
          <w:i/>
          <w:lang w:val="en-GB"/>
        </w:rPr>
        <w:t>Exhortation to Virginity</w:t>
      </w:r>
      <w:r w:rsidRPr="004B3C25">
        <w:rPr>
          <w:rFonts w:asciiTheme="majorHAnsi" w:hAnsiTheme="majorHAnsi" w:cs="Calibri"/>
          <w:lang w:val="en-GB"/>
        </w:rPr>
        <w:t xml:space="preserve">, Ambrose presents </w:t>
      </w:r>
      <w:proofErr w:type="spellStart"/>
      <w:r w:rsidRPr="004B3C25">
        <w:rPr>
          <w:rFonts w:asciiTheme="majorHAnsi" w:hAnsiTheme="majorHAnsi" w:cs="Calibri"/>
          <w:lang w:val="en-GB"/>
        </w:rPr>
        <w:t>Sotheris</w:t>
      </w:r>
      <w:proofErr w:type="spellEnd"/>
      <w:r w:rsidRPr="004B3C25">
        <w:rPr>
          <w:rFonts w:asciiTheme="majorHAnsi" w:hAnsiTheme="majorHAnsi" w:cs="Calibri"/>
          <w:lang w:val="en-GB"/>
        </w:rPr>
        <w:t xml:space="preserve">’ martyrdom as an example of female independence and endurance that dignified </w:t>
      </w:r>
      <w:proofErr w:type="spellStart"/>
      <w:r w:rsidRPr="004B3C25">
        <w:rPr>
          <w:rFonts w:asciiTheme="majorHAnsi" w:hAnsiTheme="majorHAnsi" w:cs="Calibri"/>
          <w:lang w:val="en-GB"/>
        </w:rPr>
        <w:t>Iuliana’s</w:t>
      </w:r>
      <w:proofErr w:type="spellEnd"/>
      <w:r w:rsidRPr="004B3C25">
        <w:rPr>
          <w:rFonts w:asciiTheme="majorHAnsi" w:hAnsiTheme="majorHAnsi" w:cs="Calibri"/>
          <w:lang w:val="en-GB"/>
        </w:rPr>
        <w:t xml:space="preserve"> position as the head of an ascetic family. In addition, as at the start of his episcopacy, Ambrose used </w:t>
      </w:r>
      <w:proofErr w:type="spellStart"/>
      <w:r w:rsidRPr="004B3C25">
        <w:rPr>
          <w:rFonts w:asciiTheme="majorHAnsi" w:hAnsiTheme="majorHAnsi" w:cs="Calibri"/>
          <w:lang w:val="en-GB"/>
        </w:rPr>
        <w:t>Sotheris</w:t>
      </w:r>
      <w:proofErr w:type="spellEnd"/>
      <w:r w:rsidRPr="004B3C25">
        <w:rPr>
          <w:rFonts w:asciiTheme="majorHAnsi" w:hAnsiTheme="majorHAnsi" w:cs="Calibri"/>
          <w:lang w:val="en-GB"/>
        </w:rPr>
        <w:t xml:space="preserve"> to emphasise his Christian past and to conceal his involvement in secular politics in a moment of political turmoil. </w:t>
      </w:r>
    </w:p>
    <w:p w:rsidR="002044A1" w:rsidRPr="004B3C25" w:rsidRDefault="002044A1" w:rsidP="002044A1">
      <w:pPr>
        <w:widowControl w:val="0"/>
        <w:autoSpaceDE w:val="0"/>
        <w:autoSpaceDN w:val="0"/>
        <w:adjustRightInd w:val="0"/>
        <w:spacing w:after="120"/>
        <w:jc w:val="both"/>
        <w:rPr>
          <w:rFonts w:asciiTheme="majorHAnsi" w:eastAsiaTheme="minorEastAsia" w:hAnsiTheme="majorHAnsi" w:cs="^DUˇ"/>
          <w:lang w:val="en-GB"/>
        </w:rPr>
      </w:pPr>
      <w:r w:rsidRPr="004B3C25">
        <w:rPr>
          <w:rFonts w:asciiTheme="majorHAnsi" w:hAnsiTheme="majorHAnsi" w:cs="Calibri"/>
          <w:lang w:val="en-GB"/>
        </w:rPr>
        <w:t xml:space="preserve">On the other hand, Ambrose made a number of allusions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in the two funeral orations for their brother </w:t>
      </w:r>
      <w:proofErr w:type="spellStart"/>
      <w:r w:rsidRPr="004B3C25">
        <w:rPr>
          <w:rFonts w:asciiTheme="majorHAnsi" w:hAnsiTheme="majorHAnsi" w:cs="Calibri"/>
          <w:lang w:val="en-GB"/>
        </w:rPr>
        <w:t>Satyrus</w:t>
      </w:r>
      <w:proofErr w:type="spellEnd"/>
      <w:r w:rsidRPr="004B3C25">
        <w:rPr>
          <w:rFonts w:asciiTheme="majorHAnsi" w:hAnsiTheme="majorHAnsi" w:cs="Calibri"/>
          <w:lang w:val="en-GB"/>
        </w:rPr>
        <w:t xml:space="preserve">, delivered in 378. </w:t>
      </w:r>
      <w:r w:rsidRPr="004B3C25">
        <w:rPr>
          <w:rFonts w:asciiTheme="majorHAnsi" w:eastAsia="SimSun" w:hAnsiTheme="majorHAnsi" w:cs="Calibri"/>
          <w:lang w:val="en-GB" w:eastAsia="es-ES"/>
        </w:rPr>
        <w:t>Ambrose seized the opportunity to stress the family’s Christian and aristocratic background in front of the Milanese flock; he alluded to the siblings’ ‘</w:t>
      </w:r>
      <w:r w:rsidRPr="004B3C25">
        <w:rPr>
          <w:rFonts w:asciiTheme="majorHAnsi" w:eastAsiaTheme="minorEastAsia" w:hAnsiTheme="majorHAnsi" w:cs="^DUˇ"/>
          <w:lang w:val="en-GB"/>
        </w:rPr>
        <w:t>inheritance neither distributed nor diminished</w:t>
      </w:r>
      <w:r w:rsidRPr="004B3C25">
        <w:rPr>
          <w:rFonts w:asciiTheme="majorHAnsi" w:eastAsia="SimSun" w:hAnsiTheme="majorHAnsi" w:cs="Calibri"/>
          <w:lang w:val="en-GB" w:eastAsia="es-ES"/>
        </w:rPr>
        <w:t>’, and</w:t>
      </w:r>
      <w:r w:rsidRPr="004B3C25">
        <w:rPr>
          <w:rFonts w:asciiTheme="majorHAnsi" w:hAnsiTheme="majorHAnsi" w:cs="Calibri"/>
          <w:lang w:val="en-GB"/>
        </w:rPr>
        <w:t xml:space="preserve"> described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again as a pious virgin requiring the assistance of her two brothers</w:t>
      </w:r>
      <w:r w:rsidRPr="004B3C25">
        <w:rPr>
          <w:rFonts w:asciiTheme="majorHAnsi" w:eastAsia="SimSun" w:hAnsiTheme="majorHAnsi" w:cs="Calibri"/>
          <w:lang w:val="en-GB" w:eastAsia="es-ES"/>
        </w:rPr>
        <w:t>.</w:t>
      </w:r>
      <w:r w:rsidRPr="004B3C25">
        <w:rPr>
          <w:rStyle w:val="FootnoteReference"/>
          <w:rFonts w:asciiTheme="majorHAnsi" w:eastAsia="SimSun" w:hAnsiTheme="majorHAnsi" w:cs="Calibri"/>
          <w:lang w:val="en-GB" w:eastAsia="es-ES"/>
        </w:rPr>
        <w:footnoteReference w:id="46"/>
      </w:r>
      <w:r w:rsidRPr="004B3C25">
        <w:rPr>
          <w:rFonts w:asciiTheme="majorHAnsi" w:eastAsia="SimSun" w:hAnsiTheme="majorHAnsi" w:cs="Calibri"/>
          <w:lang w:val="en-GB" w:eastAsia="es-ES"/>
        </w:rPr>
        <w:t xml:space="preserve">  Ambrose’s portrait of his sister as a vulnerable domestic figure contrasts sharply with the topics that he discusses in his three letters to her, which contain accounts of some of his most remarkable interventions in imperial politics.</w:t>
      </w:r>
    </w:p>
    <w:p w:rsidR="002044A1" w:rsidRPr="004B3C25" w:rsidRDefault="002044A1" w:rsidP="002044A1">
      <w:pPr>
        <w:pStyle w:val="ListParagraph"/>
        <w:tabs>
          <w:tab w:val="left" w:pos="142"/>
        </w:tabs>
        <w:spacing w:after="120"/>
        <w:ind w:left="0" w:firstLine="567"/>
        <w:contextualSpacing w:val="0"/>
        <w:jc w:val="both"/>
        <w:rPr>
          <w:rFonts w:asciiTheme="majorHAnsi" w:hAnsiTheme="majorHAnsi" w:cs="Calibri"/>
          <w:b/>
          <w:lang w:val="en-GB"/>
        </w:rPr>
      </w:pPr>
    </w:p>
    <w:p w:rsidR="002044A1" w:rsidRPr="004B3C25" w:rsidRDefault="002044A1" w:rsidP="002044A1">
      <w:pPr>
        <w:tabs>
          <w:tab w:val="left" w:pos="142"/>
        </w:tabs>
        <w:spacing w:after="120"/>
        <w:jc w:val="both"/>
        <w:rPr>
          <w:rFonts w:asciiTheme="majorHAnsi" w:hAnsiTheme="majorHAnsi" w:cs="Calibri"/>
          <w:b/>
          <w:lang w:val="en-GB"/>
        </w:rPr>
      </w:pPr>
      <w:r w:rsidRPr="004B3C25">
        <w:rPr>
          <w:rFonts w:asciiTheme="majorHAnsi" w:hAnsiTheme="majorHAnsi" w:cs="Calibri"/>
          <w:b/>
          <w:lang w:val="en-GB"/>
        </w:rPr>
        <w:t>Exposed domesticity and high politics in Ambrose’s letters</w:t>
      </w:r>
    </w:p>
    <w:p w:rsidR="002044A1" w:rsidRPr="004B3C25" w:rsidRDefault="002044A1" w:rsidP="002044A1">
      <w:pPr>
        <w:tabs>
          <w:tab w:val="left" w:pos="142"/>
        </w:tabs>
        <w:spacing w:after="120"/>
        <w:jc w:val="both"/>
        <w:rPr>
          <w:rFonts w:asciiTheme="majorHAnsi" w:hAnsiTheme="majorHAnsi" w:cs="Calibri"/>
          <w:lang w:val="en-GB"/>
        </w:rPr>
      </w:pPr>
      <w:r w:rsidRPr="004B3C25">
        <w:rPr>
          <w:rFonts w:asciiTheme="majorHAnsi" w:hAnsiTheme="majorHAnsi" w:cs="Calibri"/>
          <w:lang w:val="en-GB"/>
        </w:rPr>
        <w:t>Ambrose’s letter collection is a complex composition. It was published in two stages.</w:t>
      </w:r>
      <w:r w:rsidRPr="004B3C25">
        <w:rPr>
          <w:rStyle w:val="FootnoteReference"/>
          <w:rFonts w:asciiTheme="majorHAnsi" w:eastAsiaTheme="majorEastAsia" w:hAnsiTheme="majorHAnsi" w:cs="Calibri"/>
          <w:lang w:val="en-GB"/>
        </w:rPr>
        <w:footnoteReference w:id="47"/>
      </w:r>
      <w:r w:rsidRPr="004B3C25">
        <w:rPr>
          <w:rFonts w:asciiTheme="majorHAnsi" w:hAnsiTheme="majorHAnsi" w:cs="Calibri"/>
          <w:lang w:val="en-GB"/>
        </w:rPr>
        <w:t xml:space="preserve"> A first batch of seventy-nine letters organised in ten books came out shortly before Ambrose’s death. Most of the letters in the first nine books focus on issues of ecclesiastical discipline, such as pastoral care and theology, and were mostly addressed to north Italian clerics and citizens. Letters in book ten of the collection, in contrast, concentrate on issues of empire-wide concern and are addressed to key religious and political actors such as the bishop Theophilus of Alexandria and the Emperors Valentinian II and Theodosius I. After Ambrose’s death in 397, another seventeen letters were published, twelve of which were addressed to the aforementioned emperors and Gratian I (d. 383). This group, the so-called </w:t>
      </w:r>
      <w:r w:rsidRPr="004B3C25">
        <w:rPr>
          <w:rFonts w:asciiTheme="majorHAnsi" w:hAnsiTheme="majorHAnsi" w:cs="Calibri"/>
          <w:i/>
          <w:lang w:val="en-GB"/>
        </w:rPr>
        <w:t xml:space="preserve">Letters outside the collection, </w:t>
      </w:r>
      <w:r w:rsidRPr="004B3C25">
        <w:rPr>
          <w:rFonts w:asciiTheme="majorHAnsi" w:hAnsiTheme="majorHAnsi" w:cs="Calibri"/>
          <w:lang w:val="en-GB"/>
        </w:rPr>
        <w:t xml:space="preserve">deals with some of the most controversial episodes of </w:t>
      </w:r>
      <w:r w:rsidRPr="004B3C25">
        <w:rPr>
          <w:rFonts w:asciiTheme="majorHAnsi" w:hAnsiTheme="majorHAnsi" w:cs="Calibri"/>
          <w:lang w:val="en-GB"/>
        </w:rPr>
        <w:lastRenderedPageBreak/>
        <w:t>Ambrose’s episcopate, such as the excommunication of Theodosius I, the Council of Aquileia, and his interactions with the usurper Eugenius.</w:t>
      </w:r>
    </w:p>
    <w:p w:rsidR="002044A1" w:rsidRPr="004B3C25" w:rsidRDefault="002044A1" w:rsidP="002044A1">
      <w:pPr>
        <w:tabs>
          <w:tab w:val="left" w:pos="142"/>
        </w:tabs>
        <w:spacing w:after="120"/>
        <w:jc w:val="both"/>
        <w:rPr>
          <w:rFonts w:asciiTheme="majorHAnsi" w:hAnsiTheme="majorHAnsi" w:cs="Calibri"/>
          <w:lang w:val="en-GB"/>
        </w:rPr>
      </w:pPr>
      <w:r w:rsidRPr="004B3C25">
        <w:rPr>
          <w:rFonts w:asciiTheme="majorHAnsi" w:hAnsiTheme="majorHAnsi" w:cs="Calibri"/>
          <w:lang w:val="en-GB"/>
        </w:rPr>
        <w:t xml:space="preserve">Two of the letters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w:t>
      </w:r>
      <w:r w:rsidRPr="004B3C25">
        <w:rPr>
          <w:rFonts w:asciiTheme="majorHAnsi" w:hAnsiTheme="majorHAnsi" w:cs="Calibri"/>
          <w:i/>
          <w:lang w:val="en-GB"/>
        </w:rPr>
        <w:t>Ep.</w:t>
      </w:r>
      <w:r w:rsidRPr="004B3C25">
        <w:rPr>
          <w:rFonts w:asciiTheme="majorHAnsi" w:hAnsiTheme="majorHAnsi" w:cs="Calibri"/>
          <w:lang w:val="en-GB"/>
        </w:rPr>
        <w:t xml:space="preserve"> 76 and </w:t>
      </w:r>
      <w:r w:rsidRPr="004B3C25">
        <w:rPr>
          <w:rFonts w:asciiTheme="majorHAnsi" w:hAnsiTheme="majorHAnsi" w:cs="Calibri"/>
          <w:i/>
          <w:lang w:val="en-GB"/>
        </w:rPr>
        <w:t>Ep.</w:t>
      </w:r>
      <w:r w:rsidRPr="004B3C25">
        <w:rPr>
          <w:rFonts w:asciiTheme="majorHAnsi" w:hAnsiTheme="majorHAnsi" w:cs="Calibri"/>
          <w:lang w:val="en-GB"/>
        </w:rPr>
        <w:t xml:space="preserve"> 77, appeared in book ten of the collection, while the other, the </w:t>
      </w:r>
      <w:r w:rsidRPr="004B3C25">
        <w:rPr>
          <w:rFonts w:asciiTheme="majorHAnsi" w:hAnsiTheme="majorHAnsi" w:cs="Calibri"/>
          <w:i/>
          <w:lang w:val="en-GB"/>
        </w:rPr>
        <w:t>Ep. extra coll.</w:t>
      </w:r>
      <w:r w:rsidRPr="004B3C25">
        <w:rPr>
          <w:rFonts w:asciiTheme="majorHAnsi" w:hAnsiTheme="majorHAnsi" w:cs="Calibri"/>
          <w:lang w:val="en-GB"/>
        </w:rPr>
        <w:t xml:space="preserve"> 1, was included among the letters outside the collection. The first two are dated in 386 and focus on the so-called Conflict of the Basilicas, which brought Ambrose into conflict with the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Empress Justina, the mother of Valentinian II.</w:t>
      </w:r>
      <w:r w:rsidRPr="004B3C25">
        <w:rPr>
          <w:rStyle w:val="FootnoteReference"/>
          <w:rFonts w:asciiTheme="majorHAnsi" w:eastAsiaTheme="majorEastAsia" w:hAnsiTheme="majorHAnsi" w:cs="Calibri"/>
          <w:lang w:val="en-GB"/>
        </w:rPr>
        <w:footnoteReference w:id="48"/>
      </w:r>
      <w:r w:rsidRPr="004B3C25">
        <w:rPr>
          <w:rFonts w:asciiTheme="majorHAnsi" w:hAnsiTheme="majorHAnsi" w:cs="Calibri"/>
          <w:lang w:val="en-GB"/>
        </w:rPr>
        <w:t xml:space="preserve"> The episode is only known through Ambrose’s writings, meaning that it is difficult to develop a full understanding of the events, but the dispute seems to have been about the court’s authority to implement its religious agenda without the obstruction of bishops.</w:t>
      </w:r>
      <w:r w:rsidRPr="004B3C25">
        <w:rPr>
          <w:rStyle w:val="FootnoteReference"/>
          <w:rFonts w:asciiTheme="majorHAnsi" w:eastAsiaTheme="majorEastAsia" w:hAnsiTheme="majorHAnsi" w:cs="Calibri"/>
          <w:lang w:val="en-GB"/>
        </w:rPr>
        <w:footnoteReference w:id="49"/>
      </w:r>
      <w:r w:rsidRPr="004B3C25">
        <w:rPr>
          <w:rFonts w:asciiTheme="majorHAnsi" w:hAnsiTheme="majorHAnsi" w:cs="Calibri"/>
          <w:lang w:val="en-GB"/>
        </w:rPr>
        <w:t xml:space="preserve"> The conflict started in 385 and escalated in December that year when the court accused Ambrose of misusing ecclesiastical funds and causing public disturbances. In January 386, the court increased the pressure on Ambrose by issuing a law that imposed the death penalty for those who impeded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ceremonies. Despite the threat, however, Ambrose refused to surrender a Milanese basilica to the </w:t>
      </w:r>
      <w:proofErr w:type="spellStart"/>
      <w:r w:rsidRPr="004B3C25">
        <w:rPr>
          <w:rFonts w:asciiTheme="majorHAnsi" w:hAnsiTheme="majorHAnsi" w:cs="Calibri"/>
          <w:lang w:val="en-GB"/>
        </w:rPr>
        <w:t>Homoians</w:t>
      </w:r>
      <w:proofErr w:type="spellEnd"/>
      <w:r w:rsidRPr="004B3C25">
        <w:rPr>
          <w:rFonts w:asciiTheme="majorHAnsi" w:hAnsiTheme="majorHAnsi" w:cs="Calibri"/>
          <w:lang w:val="en-GB"/>
        </w:rPr>
        <w:t xml:space="preserve">, an act of disobedience that is revealed in </w:t>
      </w:r>
      <w:r w:rsidRPr="004B3C25">
        <w:rPr>
          <w:rFonts w:asciiTheme="majorHAnsi" w:hAnsiTheme="majorHAnsi" w:cs="Calibri"/>
          <w:i/>
          <w:lang w:val="en-GB"/>
        </w:rPr>
        <w:t>Ep</w:t>
      </w:r>
      <w:r w:rsidRPr="004B3C25">
        <w:rPr>
          <w:rFonts w:asciiTheme="majorHAnsi" w:hAnsiTheme="majorHAnsi" w:cs="Calibri"/>
          <w:lang w:val="en-GB"/>
        </w:rPr>
        <w:t xml:space="preserve">. 75 to Valentinian II. Imperial politics gave Ambrose some room for manoeuvre in his conflict with the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court at Milan, which had to share power with two Nicene emperors, Maximus (d. 388) and Theodosius I. Nevertheless, Justina seems to have tried to expel Ambrose from his see and replace him with the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bishop of </w:t>
      </w:r>
      <w:proofErr w:type="spellStart"/>
      <w:r w:rsidRPr="004B3C25">
        <w:rPr>
          <w:rFonts w:asciiTheme="majorHAnsi" w:hAnsiTheme="majorHAnsi" w:cs="Calibri"/>
          <w:lang w:val="en-GB"/>
        </w:rPr>
        <w:t>Durostorum</w:t>
      </w:r>
      <w:proofErr w:type="spellEnd"/>
      <w:r w:rsidRPr="004B3C25">
        <w:rPr>
          <w:rFonts w:asciiTheme="majorHAnsi" w:hAnsiTheme="majorHAnsi" w:cs="Calibri"/>
          <w:lang w:val="en-GB"/>
        </w:rPr>
        <w:t xml:space="preserve">, </w:t>
      </w:r>
      <w:proofErr w:type="spellStart"/>
      <w:r w:rsidRPr="004B3C25">
        <w:rPr>
          <w:rFonts w:asciiTheme="majorHAnsi" w:hAnsiTheme="majorHAnsi" w:cs="Calibri"/>
          <w:lang w:val="en-GB"/>
        </w:rPr>
        <w:t>Auxentius</w:t>
      </w:r>
      <w:proofErr w:type="spellEnd"/>
      <w:r w:rsidRPr="004B3C25">
        <w:rPr>
          <w:rFonts w:asciiTheme="majorHAnsi" w:hAnsiTheme="majorHAnsi" w:cs="Calibri"/>
          <w:lang w:val="en-GB"/>
        </w:rPr>
        <w:t xml:space="preserve">. It was at this moment that Ambrose composed his </w:t>
      </w:r>
      <w:r w:rsidRPr="004B3C25">
        <w:rPr>
          <w:rFonts w:asciiTheme="majorHAnsi" w:hAnsiTheme="majorHAnsi" w:cs="Calibri"/>
          <w:i/>
          <w:lang w:val="en-GB"/>
        </w:rPr>
        <w:t xml:space="preserve">Sermon against </w:t>
      </w:r>
      <w:proofErr w:type="spellStart"/>
      <w:r w:rsidRPr="004B3C25">
        <w:rPr>
          <w:rFonts w:asciiTheme="majorHAnsi" w:hAnsiTheme="majorHAnsi" w:cs="Calibri"/>
          <w:i/>
          <w:lang w:val="en-GB"/>
        </w:rPr>
        <w:t>Auxentius</w:t>
      </w:r>
      <w:proofErr w:type="spellEnd"/>
      <w:r w:rsidRPr="004B3C25">
        <w:rPr>
          <w:rFonts w:asciiTheme="majorHAnsi" w:hAnsiTheme="majorHAnsi" w:cs="Calibri"/>
          <w:lang w:val="en-GB"/>
        </w:rPr>
        <w:t xml:space="preserve">, preserved as </w:t>
      </w:r>
      <w:r w:rsidRPr="004B3C25">
        <w:rPr>
          <w:rFonts w:asciiTheme="majorHAnsi" w:hAnsiTheme="majorHAnsi" w:cs="Calibri"/>
          <w:i/>
          <w:lang w:val="en-GB"/>
        </w:rPr>
        <w:t>Ep</w:t>
      </w:r>
      <w:r w:rsidRPr="004B3C25">
        <w:rPr>
          <w:rFonts w:asciiTheme="majorHAnsi" w:hAnsiTheme="majorHAnsi" w:cs="Calibri"/>
          <w:lang w:val="en-GB"/>
        </w:rPr>
        <w:t xml:space="preserve">. 75a. A second round of the conflict occurred during Easter 386, when Ambrose thwarted the court’s attempts to seize a church for the </w:t>
      </w:r>
      <w:proofErr w:type="spellStart"/>
      <w:r w:rsidRPr="004B3C25">
        <w:rPr>
          <w:rFonts w:asciiTheme="majorHAnsi" w:hAnsiTheme="majorHAnsi" w:cs="Calibri"/>
          <w:lang w:val="en-GB"/>
        </w:rPr>
        <w:t>Homoians</w:t>
      </w:r>
      <w:proofErr w:type="spellEnd"/>
      <w:r w:rsidRPr="004B3C25">
        <w:rPr>
          <w:rFonts w:asciiTheme="majorHAnsi" w:hAnsiTheme="majorHAnsi" w:cs="Calibri"/>
          <w:lang w:val="en-GB"/>
        </w:rPr>
        <w:t xml:space="preserve"> by resisting with his congregation inside one of the Milanese Basilicas. The court replied by besieging the Basilica with imperial soldiers over night, but withdrew the following morning. </w:t>
      </w:r>
      <w:r w:rsidRPr="004B3C25">
        <w:rPr>
          <w:rFonts w:asciiTheme="majorHAnsi" w:hAnsiTheme="majorHAnsi" w:cs="Calibri"/>
          <w:i/>
          <w:lang w:val="en-GB"/>
        </w:rPr>
        <w:t xml:space="preserve">Ep. </w:t>
      </w:r>
      <w:r w:rsidRPr="004B3C25">
        <w:rPr>
          <w:rFonts w:asciiTheme="majorHAnsi" w:hAnsiTheme="majorHAnsi" w:cs="Calibri"/>
          <w:lang w:val="en-GB"/>
        </w:rPr>
        <w:t xml:space="preserve">76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was written after the court had lifted the siege. </w:t>
      </w:r>
    </w:p>
    <w:p w:rsidR="002044A1" w:rsidRPr="004B3C25" w:rsidRDefault="002044A1" w:rsidP="002044A1">
      <w:pPr>
        <w:tabs>
          <w:tab w:val="left" w:pos="142"/>
        </w:tabs>
        <w:spacing w:after="120"/>
        <w:jc w:val="both"/>
        <w:rPr>
          <w:rFonts w:asciiTheme="majorHAnsi" w:hAnsiTheme="majorHAnsi" w:cs="Calibri"/>
          <w:lang w:val="en-GB"/>
        </w:rPr>
      </w:pPr>
      <w:r w:rsidRPr="004B3C25">
        <w:rPr>
          <w:rFonts w:asciiTheme="majorHAnsi" w:hAnsiTheme="majorHAnsi" w:cs="Calibri"/>
          <w:lang w:val="en-GB"/>
        </w:rPr>
        <w:t xml:space="preserve">Two months later, in summer 386, Ambrose discovered the relics of </w:t>
      </w:r>
      <w:proofErr w:type="spellStart"/>
      <w:r w:rsidRPr="004B3C25">
        <w:rPr>
          <w:rFonts w:asciiTheme="majorHAnsi" w:hAnsiTheme="majorHAnsi" w:cs="Calibri"/>
          <w:lang w:val="en-GB"/>
        </w:rPr>
        <w:t>Gervasius</w:t>
      </w:r>
      <w:proofErr w:type="spellEnd"/>
      <w:r w:rsidRPr="004B3C25">
        <w:rPr>
          <w:rFonts w:asciiTheme="majorHAnsi" w:hAnsiTheme="majorHAnsi" w:cs="Calibri"/>
          <w:lang w:val="en-GB"/>
        </w:rPr>
        <w:t xml:space="preserve"> and </w:t>
      </w:r>
      <w:proofErr w:type="spellStart"/>
      <w:r w:rsidRPr="004B3C25">
        <w:rPr>
          <w:rFonts w:asciiTheme="majorHAnsi" w:hAnsiTheme="majorHAnsi" w:cs="Calibri"/>
          <w:lang w:val="en-GB"/>
        </w:rPr>
        <w:t>Protatius</w:t>
      </w:r>
      <w:proofErr w:type="spellEnd"/>
      <w:r w:rsidRPr="004B3C25">
        <w:rPr>
          <w:rFonts w:asciiTheme="majorHAnsi" w:hAnsiTheme="majorHAnsi" w:cs="Calibri"/>
          <w:lang w:val="en-GB"/>
        </w:rPr>
        <w:t>, two saints that soon became a symbol of his recent triumph over the court.</w:t>
      </w:r>
      <w:r w:rsidRPr="004B3C25">
        <w:rPr>
          <w:rStyle w:val="FootnoteReference"/>
          <w:rFonts w:asciiTheme="majorHAnsi" w:eastAsiaTheme="majorEastAsia" w:hAnsiTheme="majorHAnsi" w:cs="Calibri"/>
          <w:lang w:val="en-GB"/>
        </w:rPr>
        <w:footnoteReference w:id="50"/>
      </w:r>
      <w:r w:rsidRPr="004B3C25">
        <w:rPr>
          <w:rFonts w:asciiTheme="majorHAnsi" w:hAnsiTheme="majorHAnsi" w:cs="Calibri"/>
          <w:lang w:val="en-GB"/>
        </w:rPr>
        <w:t xml:space="preserve"> Ambrose’s </w:t>
      </w:r>
      <w:r w:rsidRPr="004B3C25">
        <w:rPr>
          <w:rFonts w:asciiTheme="majorHAnsi" w:hAnsiTheme="majorHAnsi" w:cs="Calibri"/>
          <w:i/>
          <w:lang w:val="en-GB"/>
        </w:rPr>
        <w:t xml:space="preserve">Ep. </w:t>
      </w:r>
      <w:r w:rsidRPr="004B3C25">
        <w:rPr>
          <w:rFonts w:asciiTheme="majorHAnsi" w:hAnsiTheme="majorHAnsi" w:cs="Calibri"/>
          <w:lang w:val="en-GB"/>
        </w:rPr>
        <w:t xml:space="preserve">77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explains the discovery and the ceremonies of relocation of the relics of </w:t>
      </w:r>
      <w:proofErr w:type="spellStart"/>
      <w:r w:rsidRPr="004B3C25">
        <w:rPr>
          <w:rFonts w:asciiTheme="majorHAnsi" w:hAnsiTheme="majorHAnsi" w:cs="Calibri"/>
          <w:lang w:val="en-GB"/>
        </w:rPr>
        <w:t>Gervasius</w:t>
      </w:r>
      <w:proofErr w:type="spellEnd"/>
      <w:r w:rsidRPr="004B3C25">
        <w:rPr>
          <w:rFonts w:asciiTheme="majorHAnsi" w:hAnsiTheme="majorHAnsi" w:cs="Calibri"/>
          <w:lang w:val="en-GB"/>
        </w:rPr>
        <w:t xml:space="preserve"> and </w:t>
      </w:r>
      <w:proofErr w:type="spellStart"/>
      <w:r w:rsidRPr="004B3C25">
        <w:rPr>
          <w:rFonts w:asciiTheme="majorHAnsi" w:hAnsiTheme="majorHAnsi" w:cs="Calibri"/>
          <w:lang w:val="en-GB"/>
        </w:rPr>
        <w:t>Protasius</w:t>
      </w:r>
      <w:proofErr w:type="spellEnd"/>
      <w:r w:rsidRPr="004B3C25">
        <w:rPr>
          <w:rFonts w:asciiTheme="majorHAnsi" w:hAnsiTheme="majorHAnsi" w:cs="Calibri"/>
          <w:lang w:val="en-GB"/>
        </w:rPr>
        <w:t xml:space="preserve"> in Milan and is the only contemporary source for this episode. </w:t>
      </w:r>
    </w:p>
    <w:p w:rsidR="002044A1" w:rsidRPr="004B3C25" w:rsidRDefault="002044A1" w:rsidP="002044A1">
      <w:pPr>
        <w:tabs>
          <w:tab w:val="left" w:pos="142"/>
        </w:tabs>
        <w:spacing w:after="120"/>
        <w:jc w:val="both"/>
        <w:rPr>
          <w:rFonts w:asciiTheme="majorHAnsi" w:hAnsiTheme="majorHAnsi" w:cs="Calibri"/>
          <w:lang w:val="en-GB"/>
        </w:rPr>
      </w:pPr>
      <w:r w:rsidRPr="004B3C25">
        <w:rPr>
          <w:rFonts w:asciiTheme="majorHAnsi" w:hAnsiTheme="majorHAnsi" w:cs="Calibri"/>
          <w:lang w:val="en-GB"/>
        </w:rPr>
        <w:t xml:space="preserve">The other letter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w:t>
      </w:r>
      <w:r w:rsidRPr="004B3C25">
        <w:rPr>
          <w:rFonts w:asciiTheme="majorHAnsi" w:hAnsiTheme="majorHAnsi" w:cs="Calibri"/>
          <w:i/>
          <w:lang w:val="en-GB"/>
        </w:rPr>
        <w:t>Ep. extra coll.</w:t>
      </w:r>
      <w:r w:rsidRPr="004B3C25">
        <w:rPr>
          <w:rFonts w:asciiTheme="majorHAnsi" w:hAnsiTheme="majorHAnsi" w:cs="Calibri"/>
          <w:lang w:val="en-GB"/>
        </w:rPr>
        <w:t xml:space="preserve"> 1) narrates Ambrose’s clash with Theodosius after a church of the Valentinian sect and a synagogue were burned in </w:t>
      </w:r>
      <w:proofErr w:type="spellStart"/>
      <w:r w:rsidRPr="004B3C25">
        <w:rPr>
          <w:rFonts w:asciiTheme="majorHAnsi" w:hAnsiTheme="majorHAnsi" w:cs="Calibri"/>
          <w:lang w:val="en-GB"/>
        </w:rPr>
        <w:t>Callinicum</w:t>
      </w:r>
      <w:proofErr w:type="spellEnd"/>
      <w:r w:rsidRPr="004B3C25">
        <w:rPr>
          <w:rFonts w:asciiTheme="majorHAnsi" w:hAnsiTheme="majorHAnsi" w:cs="Calibri"/>
          <w:lang w:val="en-GB"/>
        </w:rPr>
        <w:t xml:space="preserve"> (Asia Minor) in late 388 or at the beginning of 389. Theodosius ordered the bishop of </w:t>
      </w:r>
      <w:proofErr w:type="spellStart"/>
      <w:r w:rsidRPr="004B3C25">
        <w:rPr>
          <w:rFonts w:asciiTheme="majorHAnsi" w:hAnsiTheme="majorHAnsi" w:cs="Calibri"/>
          <w:lang w:val="en-GB"/>
        </w:rPr>
        <w:t>Callinicum</w:t>
      </w:r>
      <w:proofErr w:type="spellEnd"/>
      <w:r w:rsidRPr="004B3C25">
        <w:rPr>
          <w:rFonts w:asciiTheme="majorHAnsi" w:hAnsiTheme="majorHAnsi" w:cs="Calibri"/>
          <w:lang w:val="en-GB"/>
        </w:rPr>
        <w:t xml:space="preserve"> </w:t>
      </w:r>
      <w:r w:rsidRPr="004B3C25">
        <w:rPr>
          <w:rFonts w:asciiTheme="majorHAnsi" w:hAnsiTheme="majorHAnsi" w:cs="Calibri"/>
          <w:lang w:val="en-GB"/>
        </w:rPr>
        <w:lastRenderedPageBreak/>
        <w:t>to pay for the reconstruction of the synagogue and to put on trial the persons that caused the destruction. Ambrose protested, and Theodosius revoked his decision, which did not prevent Ambrose from later writing two different letters of reproach. In this instance it seems that the bishop had the upper hand. Theodosius had just arrived in Milan after his victory over Maximus in 388 and was trying to consolidate his power in the west. In this context, it was more important for the emperor to maintain the loyalty of the courtiers of the western imperial capital than to deal with a distant case of public disorder.</w:t>
      </w:r>
      <w:r w:rsidRPr="004B3C25">
        <w:rPr>
          <w:rStyle w:val="FootnoteReference"/>
          <w:rFonts w:asciiTheme="majorHAnsi" w:eastAsiaTheme="majorEastAsia" w:hAnsiTheme="majorHAnsi" w:cs="Calibri"/>
          <w:lang w:val="en-GB"/>
        </w:rPr>
        <w:footnoteReference w:id="51"/>
      </w:r>
      <w:r w:rsidRPr="004B3C25">
        <w:rPr>
          <w:rFonts w:asciiTheme="majorHAnsi" w:hAnsiTheme="majorHAnsi" w:cs="Calibri"/>
          <w:lang w:val="en-GB"/>
        </w:rPr>
        <w:t xml:space="preserve"> After Theodosius’ withdrawal Ambrose wrote two almost identical letters to the emperor: </w:t>
      </w:r>
      <w:r w:rsidRPr="004B3C25">
        <w:rPr>
          <w:rFonts w:asciiTheme="majorHAnsi" w:hAnsiTheme="majorHAnsi" w:cs="Calibri"/>
          <w:i/>
          <w:lang w:val="en-GB"/>
        </w:rPr>
        <w:t>Ep. extra coll.</w:t>
      </w:r>
      <w:r w:rsidRPr="004B3C25">
        <w:rPr>
          <w:rFonts w:asciiTheme="majorHAnsi" w:hAnsiTheme="majorHAnsi" w:cs="Calibri"/>
          <w:lang w:val="en-GB"/>
        </w:rPr>
        <w:t xml:space="preserve"> 1a and an edited version of the former, </w:t>
      </w:r>
      <w:r w:rsidRPr="004B3C25">
        <w:rPr>
          <w:rFonts w:asciiTheme="majorHAnsi" w:hAnsiTheme="majorHAnsi" w:cs="Calibri"/>
          <w:i/>
          <w:lang w:val="en-GB"/>
        </w:rPr>
        <w:t>Ep</w:t>
      </w:r>
      <w:r w:rsidRPr="004B3C25">
        <w:rPr>
          <w:rFonts w:asciiTheme="majorHAnsi" w:hAnsiTheme="majorHAnsi" w:cs="Calibri"/>
          <w:lang w:val="en-GB"/>
        </w:rPr>
        <w:t xml:space="preserve">. 74, which reproduces almost verbatim the </w:t>
      </w:r>
      <w:r w:rsidRPr="004B3C25">
        <w:rPr>
          <w:rFonts w:asciiTheme="majorHAnsi" w:hAnsiTheme="majorHAnsi" w:cs="Calibri"/>
          <w:i/>
          <w:lang w:val="en-GB"/>
        </w:rPr>
        <w:t>Ep. extra coll.</w:t>
      </w:r>
      <w:r w:rsidRPr="004B3C25">
        <w:rPr>
          <w:rFonts w:asciiTheme="majorHAnsi" w:hAnsiTheme="majorHAnsi" w:cs="Calibri"/>
          <w:lang w:val="en-GB"/>
        </w:rPr>
        <w:t xml:space="preserve"> 1a, except for the last paragraph, on which I shall comment later in this paper. Lastly, Ambrose wrote the </w:t>
      </w:r>
      <w:r w:rsidRPr="004B3C25">
        <w:rPr>
          <w:rFonts w:asciiTheme="majorHAnsi" w:hAnsiTheme="majorHAnsi" w:cs="Calibri"/>
          <w:i/>
          <w:lang w:val="en-GB"/>
        </w:rPr>
        <w:t>Ep. extra coll.</w:t>
      </w:r>
      <w:r w:rsidRPr="004B3C25">
        <w:rPr>
          <w:rFonts w:asciiTheme="majorHAnsi" w:hAnsiTheme="majorHAnsi" w:cs="Calibri"/>
          <w:lang w:val="en-GB"/>
        </w:rPr>
        <w:t xml:space="preserve"> 1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the only one that narrates the whole episode.</w:t>
      </w:r>
    </w:p>
    <w:p w:rsidR="002044A1" w:rsidRPr="004B3C25" w:rsidRDefault="002044A1" w:rsidP="002044A1">
      <w:pPr>
        <w:tabs>
          <w:tab w:val="left" w:pos="142"/>
        </w:tabs>
        <w:spacing w:after="120"/>
        <w:jc w:val="both"/>
        <w:rPr>
          <w:rFonts w:asciiTheme="majorHAnsi" w:hAnsiTheme="majorHAnsi" w:cs="Calibri"/>
          <w:lang w:val="en-GB"/>
        </w:rPr>
      </w:pPr>
      <w:r w:rsidRPr="004B3C25">
        <w:rPr>
          <w:rFonts w:asciiTheme="majorHAnsi" w:hAnsiTheme="majorHAnsi" w:cs="Calibri"/>
          <w:lang w:val="en-GB"/>
        </w:rPr>
        <w:t xml:space="preserve">The three letters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have three characteristics that differentiate them from the rest of the collection. First,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is the only woman and the only relative among Ambrose’s addressees. Second, all three letters describe controversial episodes in which Ambrose justified public disagreement with imperial policy. Third, these are the only letters that narrate past events. In all of the other letters Ambrose intervenes in on-going affairs. These texts provide chronological accounts that explain and contextualise the Conflict of the Basilicas and the burning of the Synagogue of </w:t>
      </w:r>
      <w:proofErr w:type="spellStart"/>
      <w:r w:rsidRPr="004B3C25">
        <w:rPr>
          <w:rFonts w:asciiTheme="majorHAnsi" w:hAnsiTheme="majorHAnsi" w:cs="Calibri"/>
          <w:lang w:val="en-GB"/>
        </w:rPr>
        <w:t>Callinicum</w:t>
      </w:r>
      <w:proofErr w:type="spellEnd"/>
      <w:r w:rsidRPr="004B3C25">
        <w:rPr>
          <w:rFonts w:asciiTheme="majorHAnsi" w:hAnsiTheme="majorHAnsi" w:cs="Calibri"/>
          <w:lang w:val="en-GB"/>
        </w:rPr>
        <w:t xml:space="preserve">, which were sketchily depicted in other letters, and constitute the only piece of contemporary evidence for the discovery of the relics of </w:t>
      </w:r>
      <w:proofErr w:type="spellStart"/>
      <w:r w:rsidRPr="004B3C25">
        <w:rPr>
          <w:rFonts w:asciiTheme="majorHAnsi" w:hAnsiTheme="majorHAnsi" w:cs="Calibri"/>
          <w:lang w:val="en-GB"/>
        </w:rPr>
        <w:t>Gervasius</w:t>
      </w:r>
      <w:proofErr w:type="spellEnd"/>
      <w:r w:rsidRPr="004B3C25">
        <w:rPr>
          <w:rFonts w:asciiTheme="majorHAnsi" w:hAnsiTheme="majorHAnsi" w:cs="Calibri"/>
          <w:lang w:val="en-GB"/>
        </w:rPr>
        <w:t xml:space="preserve"> and </w:t>
      </w:r>
      <w:proofErr w:type="spellStart"/>
      <w:r w:rsidRPr="004B3C25">
        <w:rPr>
          <w:rFonts w:asciiTheme="majorHAnsi" w:hAnsiTheme="majorHAnsi" w:cs="Calibri"/>
          <w:lang w:val="en-GB"/>
        </w:rPr>
        <w:t>Protasius</w:t>
      </w:r>
      <w:proofErr w:type="spellEnd"/>
      <w:r w:rsidRPr="004B3C25">
        <w:rPr>
          <w:rFonts w:asciiTheme="majorHAnsi" w:hAnsiTheme="majorHAnsi" w:cs="Calibri"/>
          <w:lang w:val="en-GB"/>
        </w:rPr>
        <w:t xml:space="preserve">. These events would be extremely obscure without the letters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which seem to have offered Ambrose opportunities to craft particular accounts of past controversies in an attempt to determine how they were subsequently remembered. </w:t>
      </w:r>
    </w:p>
    <w:p w:rsidR="002044A1" w:rsidRPr="004B3C25" w:rsidRDefault="002044A1" w:rsidP="002044A1">
      <w:pPr>
        <w:tabs>
          <w:tab w:val="left" w:pos="142"/>
        </w:tabs>
        <w:spacing w:after="120"/>
        <w:jc w:val="both"/>
        <w:rPr>
          <w:rFonts w:asciiTheme="majorHAnsi" w:hAnsiTheme="majorHAnsi" w:cs="Calibri"/>
          <w:lang w:val="en-GB"/>
        </w:rPr>
      </w:pPr>
      <w:r w:rsidRPr="004B3C25">
        <w:rPr>
          <w:rFonts w:asciiTheme="majorHAnsi" w:hAnsiTheme="majorHAnsi" w:cs="Calibri"/>
          <w:lang w:val="en-GB"/>
        </w:rPr>
        <w:t>There are three other cases in which additional letters seem to have been incorporated into Ambrose’s collection in order to guide the readers’ interpretation of specific episodes. One example is the records of the Council of Aquileia, which had been held in 381, in which Ambrose is shown taking up a leading role during the council and which accompanied his letter to the emperors announcing the decisions of the assembly.</w:t>
      </w:r>
      <w:r w:rsidRPr="004B3C25">
        <w:rPr>
          <w:rStyle w:val="FootnoteReference"/>
          <w:rFonts w:asciiTheme="majorHAnsi" w:eastAsiaTheme="majorEastAsia" w:hAnsiTheme="majorHAnsi" w:cs="Calibri"/>
          <w:lang w:val="en-GB"/>
        </w:rPr>
        <w:footnoteReference w:id="52"/>
      </w:r>
      <w:r w:rsidRPr="004B3C25">
        <w:rPr>
          <w:rFonts w:asciiTheme="majorHAnsi" w:hAnsiTheme="majorHAnsi" w:cs="Calibri"/>
          <w:lang w:val="en-GB"/>
        </w:rPr>
        <w:t xml:space="preserve"> Another case is the debate about the Altar of Victory, in which Ambrose conflicted with the pagan senator Symmachus. Ambrose included Symmachus’ </w:t>
      </w:r>
      <w:proofErr w:type="spellStart"/>
      <w:r w:rsidRPr="004B3C25">
        <w:rPr>
          <w:rFonts w:asciiTheme="majorHAnsi" w:hAnsiTheme="majorHAnsi" w:cs="Calibri"/>
          <w:i/>
          <w:lang w:val="en-GB"/>
        </w:rPr>
        <w:t>Relatio</w:t>
      </w:r>
      <w:proofErr w:type="spellEnd"/>
      <w:r w:rsidRPr="004B3C25">
        <w:rPr>
          <w:rFonts w:asciiTheme="majorHAnsi" w:hAnsiTheme="majorHAnsi" w:cs="Calibri"/>
          <w:lang w:val="en-GB"/>
        </w:rPr>
        <w:t xml:space="preserve"> 3, asking the emperors to restore the Altar of Victory to the Senate House, within his letter collection but bookends it with his own responses, refuting pagan arguments. This seems to have been intended to highlight Ambrose's rhetorical dexterity when confronting one of the most famous orators of his time.</w:t>
      </w:r>
      <w:r w:rsidRPr="004B3C25">
        <w:rPr>
          <w:rStyle w:val="FootnoteReference"/>
          <w:rFonts w:asciiTheme="majorHAnsi" w:eastAsiaTheme="majorEastAsia" w:hAnsiTheme="majorHAnsi" w:cs="Calibri"/>
          <w:lang w:val="en-GB"/>
        </w:rPr>
        <w:footnoteReference w:id="53"/>
      </w:r>
      <w:r w:rsidRPr="004B3C25">
        <w:rPr>
          <w:rFonts w:asciiTheme="majorHAnsi" w:hAnsiTheme="majorHAnsi" w:cs="Calibri"/>
          <w:lang w:val="en-GB"/>
        </w:rPr>
        <w:t xml:space="preserve"> Finally, Ambrose included a letter from Pope </w:t>
      </w:r>
      <w:proofErr w:type="spellStart"/>
      <w:r w:rsidRPr="004B3C25">
        <w:rPr>
          <w:rFonts w:asciiTheme="majorHAnsi" w:hAnsiTheme="majorHAnsi" w:cs="Calibri"/>
          <w:lang w:val="en-GB"/>
        </w:rPr>
        <w:t>Siricius</w:t>
      </w:r>
      <w:proofErr w:type="spellEnd"/>
      <w:r w:rsidRPr="004B3C25">
        <w:rPr>
          <w:rFonts w:asciiTheme="majorHAnsi" w:hAnsiTheme="majorHAnsi" w:cs="Calibri"/>
          <w:lang w:val="en-GB"/>
        </w:rPr>
        <w:t xml:space="preserve"> asking him to summon a provincial council to condemn the </w:t>
      </w:r>
      <w:proofErr w:type="spellStart"/>
      <w:r w:rsidRPr="004B3C25">
        <w:rPr>
          <w:rFonts w:asciiTheme="majorHAnsi" w:hAnsiTheme="majorHAnsi" w:cs="Calibri"/>
          <w:lang w:val="en-GB"/>
        </w:rPr>
        <w:t>Jovinianist</w:t>
      </w:r>
      <w:proofErr w:type="spellEnd"/>
      <w:r w:rsidRPr="004B3C25">
        <w:rPr>
          <w:rFonts w:asciiTheme="majorHAnsi" w:hAnsiTheme="majorHAnsi" w:cs="Calibri"/>
          <w:lang w:val="en-GB"/>
        </w:rPr>
        <w:t xml:space="preserve"> controversy. This letter functioned as a de facto confirmation of the metropolitan status of Milan – and therefore of Ambrose.</w:t>
      </w:r>
      <w:r w:rsidRPr="004B3C25">
        <w:rPr>
          <w:rStyle w:val="FootnoteReference"/>
          <w:rFonts w:asciiTheme="majorHAnsi" w:eastAsiaTheme="majorEastAsia" w:hAnsiTheme="majorHAnsi" w:cs="Calibri"/>
          <w:lang w:val="en-GB"/>
        </w:rPr>
        <w:footnoteReference w:id="54"/>
      </w:r>
    </w:p>
    <w:p w:rsidR="002044A1" w:rsidRPr="004B3C25" w:rsidRDefault="002044A1" w:rsidP="002044A1">
      <w:pPr>
        <w:widowControl w:val="0"/>
        <w:autoSpaceDE w:val="0"/>
        <w:autoSpaceDN w:val="0"/>
        <w:adjustRightInd w:val="0"/>
        <w:spacing w:after="120"/>
        <w:jc w:val="both"/>
        <w:rPr>
          <w:rFonts w:asciiTheme="majorHAnsi" w:eastAsiaTheme="minorEastAsia" w:hAnsiTheme="majorHAnsi" w:cs="^DUˇ"/>
          <w:lang w:val="en-GB"/>
        </w:rPr>
      </w:pPr>
      <w:r w:rsidRPr="004B3C25">
        <w:rPr>
          <w:rFonts w:asciiTheme="majorHAnsi" w:hAnsiTheme="majorHAnsi" w:cs="Calibri"/>
          <w:lang w:val="en-GB"/>
        </w:rPr>
        <w:t xml:space="preserve">The letters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also seem to have been intended to exaggerate Ambrose’s authority. These texts display an unusually</w:t>
      </w:r>
      <w:r w:rsidRPr="004B3C25">
        <w:rPr>
          <w:rFonts w:asciiTheme="majorHAnsi" w:hAnsiTheme="majorHAnsi" w:cs="Calibri"/>
          <w:color w:val="3366FF"/>
          <w:lang w:val="en-GB"/>
        </w:rPr>
        <w:t xml:space="preserve"> </w:t>
      </w:r>
      <w:r w:rsidRPr="004B3C25">
        <w:rPr>
          <w:rFonts w:asciiTheme="majorHAnsi" w:hAnsiTheme="majorHAnsi" w:cs="Calibri"/>
          <w:lang w:val="en-GB"/>
        </w:rPr>
        <w:t xml:space="preserve">triumphalist tone that contrasts with that adopted in other letters dealing with the same episodes. For instance, </w:t>
      </w:r>
      <w:r w:rsidRPr="004B3C25">
        <w:rPr>
          <w:rFonts w:asciiTheme="majorHAnsi" w:hAnsiTheme="majorHAnsi" w:cs="Calibri"/>
          <w:i/>
          <w:lang w:val="en-GB"/>
        </w:rPr>
        <w:t>Ep</w:t>
      </w:r>
      <w:r w:rsidRPr="004B3C25">
        <w:rPr>
          <w:rFonts w:asciiTheme="majorHAnsi" w:hAnsiTheme="majorHAnsi" w:cs="Calibri"/>
          <w:lang w:val="en-GB"/>
        </w:rPr>
        <w:t xml:space="preserve">. 76 on the Conflict of the Basilicas presented the court’s retreat as the result of the unconditional support of </w:t>
      </w:r>
      <w:r w:rsidRPr="004B3C25">
        <w:rPr>
          <w:rFonts w:asciiTheme="majorHAnsi" w:hAnsiTheme="majorHAnsi" w:cs="Calibri"/>
          <w:lang w:val="en-GB"/>
        </w:rPr>
        <w:lastRenderedPageBreak/>
        <w:t>the Milanese Christians for their bishop: ‘I was asked to restrain the people. I answered that it was in my power not to spur them up; but in God’s hands to appease them.’</w:t>
      </w:r>
      <w:r w:rsidRPr="004B3C25">
        <w:rPr>
          <w:rStyle w:val="FootnoteReference"/>
          <w:rFonts w:asciiTheme="majorHAnsi" w:eastAsiaTheme="majorEastAsia" w:hAnsiTheme="majorHAnsi" w:cs="Calibri"/>
          <w:lang w:val="en-GB"/>
        </w:rPr>
        <w:footnoteReference w:id="55"/>
      </w:r>
      <w:r w:rsidRPr="004B3C25">
        <w:rPr>
          <w:rFonts w:asciiTheme="majorHAnsi" w:hAnsiTheme="majorHAnsi" w:cs="Calibri"/>
          <w:lang w:val="en-GB"/>
        </w:rPr>
        <w:t xml:space="preserve"> On the contrary, Ambrose’s two other writings on the matter, </w:t>
      </w:r>
      <w:r w:rsidRPr="004B3C25">
        <w:rPr>
          <w:rFonts w:asciiTheme="majorHAnsi" w:hAnsiTheme="majorHAnsi" w:cs="Calibri"/>
          <w:i/>
          <w:lang w:val="en-GB"/>
        </w:rPr>
        <w:t>Ep.</w:t>
      </w:r>
      <w:r w:rsidRPr="004B3C25">
        <w:rPr>
          <w:rFonts w:asciiTheme="majorHAnsi" w:hAnsiTheme="majorHAnsi" w:cs="Calibri"/>
          <w:lang w:val="en-GB"/>
        </w:rPr>
        <w:t xml:space="preserve"> 75 and the </w:t>
      </w:r>
      <w:r w:rsidRPr="004B3C25">
        <w:rPr>
          <w:rFonts w:asciiTheme="majorHAnsi" w:hAnsiTheme="majorHAnsi" w:cs="Calibri"/>
          <w:i/>
          <w:lang w:val="en-GB"/>
        </w:rPr>
        <w:t xml:space="preserve">Sermon against </w:t>
      </w:r>
      <w:proofErr w:type="spellStart"/>
      <w:r w:rsidRPr="004B3C25">
        <w:rPr>
          <w:rFonts w:asciiTheme="majorHAnsi" w:hAnsiTheme="majorHAnsi" w:cs="Calibri"/>
          <w:i/>
          <w:lang w:val="en-GB"/>
        </w:rPr>
        <w:t>Auxentius</w:t>
      </w:r>
      <w:proofErr w:type="spellEnd"/>
      <w:r w:rsidRPr="004B3C25">
        <w:rPr>
          <w:rFonts w:asciiTheme="majorHAnsi" w:hAnsiTheme="majorHAnsi" w:cs="Calibri"/>
          <w:lang w:val="en-GB"/>
        </w:rPr>
        <w:t>, suggest that he was in a much weaker position, using legal arguments to defend himself from the charges: ‘</w:t>
      </w:r>
      <w:r w:rsidRPr="004B3C25">
        <w:rPr>
          <w:rFonts w:asciiTheme="majorHAnsi" w:eastAsiaTheme="minorEastAsia" w:hAnsiTheme="majorHAnsi" w:cs="^DUˇ"/>
          <w:lang w:val="en-GB"/>
        </w:rPr>
        <w:t>No one should consider me contumacious when I affirm what your [Valentinian II’s] father of august memory not only replied verbally, but also sanctioned it in his laws, that […] clerics should judge about clerics</w:t>
      </w:r>
      <w:r w:rsidRPr="004B3C25">
        <w:rPr>
          <w:rFonts w:asciiTheme="majorHAnsi" w:hAnsiTheme="majorHAnsi" w:cs="Calibri"/>
          <w:lang w:val="en-GB"/>
        </w:rPr>
        <w:t>.’</w:t>
      </w:r>
      <w:r w:rsidRPr="004B3C25">
        <w:rPr>
          <w:rStyle w:val="FootnoteReference"/>
          <w:rFonts w:asciiTheme="majorHAnsi" w:eastAsiaTheme="majorEastAsia" w:hAnsiTheme="majorHAnsi" w:cs="Calibri"/>
          <w:lang w:val="en-GB"/>
        </w:rPr>
        <w:footnoteReference w:id="56"/>
      </w:r>
      <w:r w:rsidRPr="004B3C25">
        <w:rPr>
          <w:rFonts w:asciiTheme="majorHAnsi" w:hAnsiTheme="majorHAnsi" w:cs="Calibri"/>
          <w:lang w:val="en-GB"/>
        </w:rPr>
        <w:t xml:space="preserve"> </w:t>
      </w:r>
    </w:p>
    <w:p w:rsidR="002044A1" w:rsidRPr="004B3C25" w:rsidRDefault="002044A1" w:rsidP="002044A1">
      <w:pPr>
        <w:widowControl w:val="0"/>
        <w:autoSpaceDE w:val="0"/>
        <w:autoSpaceDN w:val="0"/>
        <w:adjustRightInd w:val="0"/>
        <w:spacing w:after="120"/>
        <w:jc w:val="both"/>
        <w:rPr>
          <w:rFonts w:asciiTheme="majorHAnsi" w:eastAsiaTheme="minorEastAsia" w:hAnsiTheme="majorHAnsi" w:cs="^DUˇ"/>
          <w:lang w:val="en-GB"/>
        </w:rPr>
      </w:pPr>
      <w:r w:rsidRPr="004B3C25">
        <w:rPr>
          <w:rFonts w:asciiTheme="majorHAnsi" w:hAnsiTheme="majorHAnsi" w:cs="Calibri"/>
          <w:lang w:val="en-GB"/>
        </w:rPr>
        <w:t xml:space="preserve">Similarly, </w:t>
      </w:r>
      <w:r w:rsidRPr="004B3C25">
        <w:rPr>
          <w:rFonts w:asciiTheme="majorHAnsi" w:hAnsiTheme="majorHAnsi" w:cs="Calibri"/>
          <w:i/>
          <w:lang w:val="en-GB"/>
        </w:rPr>
        <w:t>Ep</w:t>
      </w:r>
      <w:r w:rsidRPr="004B3C25">
        <w:rPr>
          <w:rFonts w:asciiTheme="majorHAnsi" w:hAnsiTheme="majorHAnsi" w:cs="Calibri"/>
          <w:lang w:val="en-GB"/>
        </w:rPr>
        <w:t xml:space="preserve">. 77 contains an inflated description of the ceremonies of discovery and translation of the relics of </w:t>
      </w:r>
      <w:proofErr w:type="spellStart"/>
      <w:r w:rsidRPr="004B3C25">
        <w:rPr>
          <w:rFonts w:asciiTheme="majorHAnsi" w:hAnsiTheme="majorHAnsi" w:cs="Calibri"/>
          <w:lang w:val="en-GB"/>
        </w:rPr>
        <w:t>Gervasius</w:t>
      </w:r>
      <w:proofErr w:type="spellEnd"/>
      <w:r w:rsidRPr="004B3C25">
        <w:rPr>
          <w:rFonts w:asciiTheme="majorHAnsi" w:hAnsiTheme="majorHAnsi" w:cs="Calibri"/>
          <w:lang w:val="en-GB"/>
        </w:rPr>
        <w:t xml:space="preserve"> and </w:t>
      </w:r>
      <w:proofErr w:type="spellStart"/>
      <w:r w:rsidRPr="004B3C25">
        <w:rPr>
          <w:rFonts w:asciiTheme="majorHAnsi" w:hAnsiTheme="majorHAnsi" w:cs="Calibri"/>
          <w:lang w:val="en-GB"/>
        </w:rPr>
        <w:t>Protasius</w:t>
      </w:r>
      <w:proofErr w:type="spellEnd"/>
      <w:r w:rsidRPr="004B3C25">
        <w:rPr>
          <w:rFonts w:asciiTheme="majorHAnsi" w:hAnsiTheme="majorHAnsi" w:cs="Calibri"/>
          <w:lang w:val="en-GB"/>
        </w:rPr>
        <w:t>.</w:t>
      </w:r>
      <w:r w:rsidRPr="004B3C25">
        <w:rPr>
          <w:rFonts w:asciiTheme="majorHAnsi" w:eastAsia="SimSun" w:hAnsiTheme="majorHAnsi" w:cs="Calibri"/>
          <w:lang w:val="en-GB" w:eastAsia="es-ES"/>
        </w:rPr>
        <w:t xml:space="preserve"> Ambrose briefly admitted that these relics </w:t>
      </w:r>
      <w:r w:rsidRPr="004B3C25">
        <w:rPr>
          <w:rFonts w:asciiTheme="majorHAnsi" w:hAnsiTheme="majorHAnsi" w:cs="Calibri"/>
          <w:lang w:val="en-GB"/>
        </w:rPr>
        <w:t>raised some opposition in Milan: ‘</w:t>
      </w:r>
      <w:r w:rsidRPr="004B3C25">
        <w:rPr>
          <w:rFonts w:asciiTheme="majorHAnsi" w:eastAsia="SimSun" w:hAnsiTheme="majorHAnsi" w:cs="Calibri"/>
          <w:lang w:val="en-GB" w:eastAsia="es-ES"/>
        </w:rPr>
        <w:t>Those who usually do so are jealous of your fame; and because of their envious disposition they cannot endure your fame, they hate the cause of your fame, and go so far in their madness that they deny the merits of the martyrs, whose services even the evil spirits acknowledge.’</w:t>
      </w:r>
      <w:r w:rsidRPr="004B3C25">
        <w:rPr>
          <w:rStyle w:val="FootnoteReference"/>
          <w:rFonts w:asciiTheme="majorHAnsi" w:eastAsia="SimSun" w:hAnsiTheme="majorHAnsi" w:cs="Calibri"/>
          <w:lang w:val="en-GB" w:eastAsia="es-ES"/>
        </w:rPr>
        <w:footnoteReference w:id="57"/>
      </w:r>
      <w:r w:rsidRPr="004B3C25">
        <w:rPr>
          <w:rFonts w:asciiTheme="majorHAnsi" w:eastAsia="SimSun" w:hAnsiTheme="majorHAnsi" w:cs="Calibri"/>
          <w:lang w:val="en-GB" w:eastAsia="es-ES"/>
        </w:rPr>
        <w:t xml:space="preserve"> Most of the letter, however, is devoted to describing the enthusiasm of the Milanese: ‘</w:t>
      </w:r>
      <w:r w:rsidRPr="004B3C25">
        <w:rPr>
          <w:rFonts w:asciiTheme="majorHAnsi" w:eastAsiaTheme="minorEastAsia" w:hAnsiTheme="majorHAnsi" w:cs="^DUˇ"/>
          <w:lang w:val="en-GB"/>
        </w:rPr>
        <w:t>I addressed the people then as follows: When I considered the multitudinous and unheard number of you who are gathered together, and the gifts of divine grace which have shone in the holy martyrs, I must confess that I consider myself unworthy of this</w:t>
      </w:r>
      <w:r w:rsidRPr="004B3C25">
        <w:rPr>
          <w:rFonts w:asciiTheme="majorHAnsi" w:hAnsiTheme="majorHAnsi" w:cs="Times"/>
          <w:lang w:val="en-GB"/>
        </w:rPr>
        <w:t>.’</w:t>
      </w:r>
      <w:r w:rsidRPr="004B3C25">
        <w:rPr>
          <w:rStyle w:val="FootnoteReference"/>
          <w:rFonts w:asciiTheme="majorHAnsi" w:eastAsiaTheme="majorEastAsia" w:hAnsiTheme="majorHAnsi" w:cs="Times"/>
          <w:lang w:val="en-GB"/>
        </w:rPr>
        <w:footnoteReference w:id="58"/>
      </w:r>
    </w:p>
    <w:p w:rsidR="002044A1" w:rsidRPr="004B3C25" w:rsidRDefault="002044A1" w:rsidP="002044A1">
      <w:pPr>
        <w:spacing w:after="120"/>
        <w:jc w:val="both"/>
        <w:rPr>
          <w:rFonts w:asciiTheme="majorHAnsi" w:hAnsiTheme="majorHAnsi" w:cs="Calibri"/>
          <w:lang w:val="en-GB"/>
        </w:rPr>
      </w:pPr>
      <w:r w:rsidRPr="004B3C25">
        <w:rPr>
          <w:rFonts w:asciiTheme="majorHAnsi" w:hAnsiTheme="majorHAnsi" w:cs="Calibri"/>
          <w:lang w:val="en-GB"/>
        </w:rPr>
        <w:t xml:space="preserve">The contrast between the victorious atmosphere of the letters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and those sent to emperors is still more evident in the case of the synagogue of </w:t>
      </w:r>
      <w:proofErr w:type="spellStart"/>
      <w:r w:rsidRPr="004B3C25">
        <w:rPr>
          <w:rFonts w:asciiTheme="majorHAnsi" w:hAnsiTheme="majorHAnsi" w:cs="Calibri"/>
          <w:lang w:val="en-GB"/>
        </w:rPr>
        <w:t>Callinicum</w:t>
      </w:r>
      <w:proofErr w:type="spellEnd"/>
      <w:r w:rsidRPr="004B3C25">
        <w:rPr>
          <w:rFonts w:asciiTheme="majorHAnsi" w:hAnsiTheme="majorHAnsi" w:cs="Calibri"/>
          <w:lang w:val="en-GB"/>
        </w:rPr>
        <w:t xml:space="preserve">. Ambrose’s </w:t>
      </w:r>
      <w:r w:rsidRPr="004B3C25">
        <w:rPr>
          <w:rFonts w:asciiTheme="majorHAnsi" w:hAnsiTheme="majorHAnsi" w:cs="Calibri"/>
          <w:i/>
          <w:lang w:val="en-GB"/>
        </w:rPr>
        <w:t>Ep</w:t>
      </w:r>
      <w:r w:rsidRPr="004B3C25">
        <w:rPr>
          <w:rFonts w:asciiTheme="majorHAnsi" w:hAnsiTheme="majorHAnsi" w:cs="Calibri"/>
          <w:lang w:val="en-GB"/>
        </w:rPr>
        <w:t xml:space="preserve">. 74 to Theodosius shows him obsequiously requesting the revocation of the punishment of the bishop and the monks of </w:t>
      </w:r>
      <w:proofErr w:type="spellStart"/>
      <w:r w:rsidRPr="004B3C25">
        <w:rPr>
          <w:rFonts w:asciiTheme="majorHAnsi" w:hAnsiTheme="majorHAnsi" w:cs="Calibri"/>
          <w:lang w:val="en-GB"/>
        </w:rPr>
        <w:t>Callinicum</w:t>
      </w:r>
      <w:proofErr w:type="spellEnd"/>
      <w:r w:rsidRPr="004B3C25">
        <w:rPr>
          <w:rFonts w:asciiTheme="majorHAnsi" w:hAnsiTheme="majorHAnsi" w:cs="Calibri"/>
          <w:lang w:val="en-GB"/>
        </w:rPr>
        <w:t>: ‘I have gathered these matters in this sermon, Emperor, out of love and fondness for you.’</w:t>
      </w:r>
      <w:r w:rsidRPr="004B3C25">
        <w:rPr>
          <w:rStyle w:val="FootnoteReference"/>
          <w:rFonts w:asciiTheme="majorHAnsi" w:eastAsiaTheme="majorEastAsia" w:hAnsiTheme="majorHAnsi" w:cs="Calibri"/>
          <w:lang w:val="en-GB"/>
        </w:rPr>
        <w:footnoteReference w:id="59"/>
      </w:r>
      <w:r w:rsidRPr="004B3C25">
        <w:rPr>
          <w:rFonts w:asciiTheme="majorHAnsi" w:hAnsiTheme="majorHAnsi" w:cs="Calibri"/>
          <w:lang w:val="en-GB"/>
        </w:rPr>
        <w:t xml:space="preserve"> Ambrose showed more determination in the version that was published after his death, the last paragraph of which includes a threat to the emperor: ‘I certainly have done all I could, while still being respectful, so you hear me in the palace, so it might not be necessary for you to hear me in church.’</w:t>
      </w:r>
      <w:r w:rsidRPr="004B3C25">
        <w:rPr>
          <w:rStyle w:val="FootnoteReference"/>
          <w:rFonts w:asciiTheme="majorHAnsi" w:eastAsiaTheme="majorEastAsia" w:hAnsiTheme="majorHAnsi" w:cs="Calibri"/>
          <w:lang w:val="en-GB"/>
        </w:rPr>
        <w:footnoteReference w:id="60"/>
      </w:r>
      <w:r w:rsidRPr="004B3C25">
        <w:rPr>
          <w:rFonts w:asciiTheme="majorHAnsi" w:hAnsiTheme="majorHAnsi" w:cs="Calibri"/>
          <w:lang w:val="en-GB"/>
        </w:rPr>
        <w:t xml:space="preserve">  The letter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w:t>
      </w:r>
      <w:r w:rsidRPr="004B3C25">
        <w:rPr>
          <w:rFonts w:asciiTheme="majorHAnsi" w:hAnsiTheme="majorHAnsi" w:cs="Calibri"/>
          <w:i/>
          <w:lang w:val="en-GB"/>
        </w:rPr>
        <w:t>Ep. extra coll</w:t>
      </w:r>
      <w:r w:rsidRPr="004B3C25">
        <w:rPr>
          <w:rFonts w:asciiTheme="majorHAnsi" w:hAnsiTheme="majorHAnsi" w:cs="Calibri"/>
          <w:lang w:val="en-GB"/>
        </w:rPr>
        <w:t xml:space="preserve">. 1) describes the supposed meeting in the church between Ambrose and Theodosius: Ambrose interrupted the services to admonish the emperor, who recognised his mistake and agreed to revoke the punishment of the bishop and the monks of </w:t>
      </w:r>
      <w:proofErr w:type="spellStart"/>
      <w:r w:rsidRPr="004B3C25">
        <w:rPr>
          <w:rFonts w:asciiTheme="majorHAnsi" w:hAnsiTheme="majorHAnsi" w:cs="Calibri"/>
          <w:lang w:val="en-GB"/>
        </w:rPr>
        <w:t>Callinicum</w:t>
      </w:r>
      <w:proofErr w:type="spellEnd"/>
      <w:r w:rsidRPr="004B3C25">
        <w:rPr>
          <w:rFonts w:asciiTheme="majorHAnsi" w:hAnsiTheme="majorHAnsi" w:cs="Calibri"/>
          <w:lang w:val="en-GB"/>
        </w:rPr>
        <w:t>. The letter closes with a boastful restatement of Ambrose’s triumph: ‘And so, everything was done as I wished.’</w:t>
      </w:r>
      <w:r w:rsidRPr="004B3C25">
        <w:rPr>
          <w:rStyle w:val="FootnoteReference"/>
          <w:rFonts w:asciiTheme="majorHAnsi" w:eastAsiaTheme="majorEastAsia" w:hAnsiTheme="majorHAnsi" w:cs="Calibri"/>
          <w:lang w:val="en-GB"/>
        </w:rPr>
        <w:footnoteReference w:id="61"/>
      </w:r>
      <w:r w:rsidRPr="004B3C25">
        <w:rPr>
          <w:rFonts w:asciiTheme="majorHAnsi" w:hAnsiTheme="majorHAnsi" w:cs="Calibri"/>
          <w:lang w:val="en-GB"/>
        </w:rPr>
        <w:t xml:space="preserve"> His earlier letter to Theodosius, however, suggests that the emperor had by this point already pulled back.</w:t>
      </w:r>
      <w:r w:rsidRPr="004B3C25">
        <w:rPr>
          <w:rStyle w:val="FootnoteReference"/>
          <w:rFonts w:asciiTheme="majorHAnsi" w:eastAsiaTheme="majorEastAsia" w:hAnsiTheme="majorHAnsi" w:cs="Calibri"/>
          <w:lang w:val="en-GB"/>
        </w:rPr>
        <w:footnoteReference w:id="62"/>
      </w:r>
    </w:p>
    <w:p w:rsidR="002044A1" w:rsidRPr="004B3C25" w:rsidRDefault="002044A1" w:rsidP="002044A1">
      <w:pPr>
        <w:tabs>
          <w:tab w:val="left" w:pos="142"/>
        </w:tabs>
        <w:spacing w:after="120"/>
        <w:jc w:val="both"/>
        <w:rPr>
          <w:rFonts w:asciiTheme="majorHAnsi" w:hAnsiTheme="majorHAnsi" w:cs="Calibri"/>
          <w:lang w:val="en-GB"/>
        </w:rPr>
      </w:pPr>
      <w:r w:rsidRPr="004B3C25">
        <w:rPr>
          <w:rFonts w:asciiTheme="majorHAnsi" w:hAnsiTheme="majorHAnsi" w:cs="Calibri"/>
          <w:lang w:val="en-GB"/>
        </w:rPr>
        <w:t xml:space="preserve">Apart from providing an inflated vision of the scale and success of his political interventions, Ambrose was able to exploit the fact that his sister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was the recipient of these letters. In the epistolary genre, the addressee is not a passive reader, but a key character that mediates the interpretation of the writing. Within Ambrose’s collection,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was a very unique actor and analysis of her presence can thus uncover potential new meanings and nuances. </w:t>
      </w:r>
    </w:p>
    <w:p w:rsidR="002044A1" w:rsidRPr="004B3C25" w:rsidRDefault="002044A1" w:rsidP="002044A1">
      <w:pPr>
        <w:tabs>
          <w:tab w:val="left" w:pos="142"/>
        </w:tabs>
        <w:spacing w:after="120"/>
        <w:jc w:val="both"/>
        <w:rPr>
          <w:rFonts w:asciiTheme="majorHAnsi" w:hAnsiTheme="majorHAnsi" w:cs="Calibri"/>
          <w:lang w:val="en-GB"/>
        </w:rPr>
      </w:pPr>
      <w:r w:rsidRPr="004B3C25">
        <w:rPr>
          <w:rFonts w:asciiTheme="majorHAnsi" w:hAnsiTheme="majorHAnsi" w:cs="Calibri"/>
          <w:lang w:val="en-GB"/>
        </w:rPr>
        <w:lastRenderedPageBreak/>
        <w:t xml:space="preserve">Ancient </w:t>
      </w:r>
      <w:r>
        <w:rPr>
          <w:rFonts w:asciiTheme="majorHAnsi" w:hAnsiTheme="majorHAnsi" w:cs="Calibri"/>
          <w:lang w:val="en-GB"/>
        </w:rPr>
        <w:t>letter collections</w:t>
      </w:r>
      <w:r w:rsidRPr="004B3C25">
        <w:rPr>
          <w:rFonts w:asciiTheme="majorHAnsi" w:hAnsiTheme="majorHAnsi" w:cs="Calibri"/>
          <w:lang w:val="en-GB"/>
        </w:rPr>
        <w:t xml:space="preserve"> were a form of public literature. Authors edited their contents before publication, in the process producing carefully tailored self-portraits.</w:t>
      </w:r>
      <w:r w:rsidRPr="004B3C25">
        <w:rPr>
          <w:rStyle w:val="FootnoteReference"/>
          <w:rFonts w:asciiTheme="majorHAnsi" w:eastAsiaTheme="majorEastAsia" w:hAnsiTheme="majorHAnsi" w:cs="Calibri"/>
          <w:lang w:val="en-GB"/>
        </w:rPr>
        <w:footnoteReference w:id="63"/>
      </w:r>
      <w:r w:rsidRPr="004B3C25">
        <w:rPr>
          <w:rFonts w:asciiTheme="majorHAnsi" w:hAnsiTheme="majorHAnsi" w:cs="Calibri"/>
          <w:lang w:val="en-GB"/>
        </w:rPr>
        <w:t xml:space="preserve"> Given its dialogical nature, however, the epistolary genre creates an illusion of private interaction between the author and the addressee, fostering a feeling of voyeurism among readers that influences the way the latter understand letters.</w:t>
      </w:r>
      <w:r w:rsidRPr="004B3C25">
        <w:rPr>
          <w:rStyle w:val="FootnoteReference"/>
          <w:rFonts w:asciiTheme="majorHAnsi" w:eastAsiaTheme="majorEastAsia" w:hAnsiTheme="majorHAnsi" w:cs="Calibri"/>
          <w:lang w:val="en-GB"/>
        </w:rPr>
        <w:footnoteReference w:id="64"/>
      </w:r>
      <w:r w:rsidRPr="004B3C25">
        <w:rPr>
          <w:rFonts w:asciiTheme="majorHAnsi" w:hAnsiTheme="majorHAnsi" w:cs="Calibri"/>
          <w:lang w:val="en-GB"/>
        </w:rPr>
        <w:t xml:space="preserve"> In so carefully crafting his 'private' letters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Ambrose sought to encourage his audience to lower their critical guard and to assume that he was sincerely describing to his sister real events that could not be explained openly in the official 'public' letters to the emperors. Privacy and sincerity were further emphasised by the use of a closer, less formulaic language and a blunter phrasing, perceptible in Ambrose’s immodest insistence in his own success.  </w:t>
      </w:r>
    </w:p>
    <w:p w:rsidR="002044A1" w:rsidRPr="004B3C25" w:rsidRDefault="002044A1" w:rsidP="002044A1">
      <w:pPr>
        <w:tabs>
          <w:tab w:val="left" w:pos="142"/>
        </w:tabs>
        <w:spacing w:after="120"/>
        <w:jc w:val="both"/>
        <w:rPr>
          <w:rFonts w:asciiTheme="majorHAnsi" w:hAnsiTheme="majorHAnsi" w:cs="Calibri"/>
          <w:lang w:val="en-GB"/>
        </w:rPr>
      </w:pPr>
      <w:r w:rsidRPr="004B3C25">
        <w:rPr>
          <w:rFonts w:asciiTheme="majorHAnsi" w:hAnsiTheme="majorHAnsi" w:cs="Calibri"/>
          <w:lang w:val="en-GB"/>
        </w:rPr>
        <w:t xml:space="preserve">Conversely, with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in the position of addressee, Ambrose was able to 'domesticate' the episodes he was describing, minimising their political implications. Instead they could be presented as Ambrose's honest efforts to defend the spiritual wellbeing of the community. As a consecrated virgin,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was the quintessential embodiment of femininity and domesticity, an outsider who was far from the arena of high politics in which Ambrose was involved. The bishop elaborated his message according to this rationale; these three letters make reference to fewer legal technicalities and contain more Christian language and imagery, helping him to emphasise the risks that he faced in opposing emperors and to mask just how opportunistic his interventions had actually been. </w:t>
      </w:r>
    </w:p>
    <w:p w:rsidR="002044A1" w:rsidRPr="004B3C25" w:rsidRDefault="002044A1" w:rsidP="002044A1">
      <w:pPr>
        <w:tabs>
          <w:tab w:val="left" w:pos="142"/>
        </w:tabs>
        <w:spacing w:after="120"/>
        <w:jc w:val="both"/>
        <w:rPr>
          <w:rFonts w:asciiTheme="majorHAnsi" w:hAnsiTheme="majorHAnsi"/>
          <w:lang w:val="en-GB"/>
        </w:rPr>
      </w:pPr>
      <w:r w:rsidRPr="004B3C25">
        <w:rPr>
          <w:rFonts w:asciiTheme="majorHAnsi" w:hAnsiTheme="majorHAnsi" w:cs="Calibri"/>
          <w:lang w:val="en-GB"/>
        </w:rPr>
        <w:t xml:space="preserve">Ambrose further enhanced the sense of tension through the use of martyr imagery. A good example is the letters about the Conflict of the Basilicas. In </w:t>
      </w:r>
      <w:r w:rsidRPr="004B3C25">
        <w:rPr>
          <w:rFonts w:asciiTheme="majorHAnsi" w:hAnsiTheme="majorHAnsi" w:cs="Calibri"/>
          <w:i/>
          <w:lang w:val="en-GB"/>
        </w:rPr>
        <w:t xml:space="preserve">Ep. </w:t>
      </w:r>
      <w:r w:rsidRPr="004B3C25">
        <w:rPr>
          <w:rFonts w:asciiTheme="majorHAnsi" w:hAnsiTheme="majorHAnsi" w:cs="Calibri"/>
          <w:lang w:val="en-GB"/>
        </w:rPr>
        <w:t xml:space="preserve">75 Ambrose protested the harshness of the January 386 law that prescribed the death penalty for those who impeded </w:t>
      </w:r>
      <w:proofErr w:type="spellStart"/>
      <w:r w:rsidRPr="004B3C25">
        <w:rPr>
          <w:rFonts w:asciiTheme="majorHAnsi" w:hAnsiTheme="majorHAnsi" w:cs="Calibri"/>
          <w:lang w:val="en-GB"/>
        </w:rPr>
        <w:t>Homoian</w:t>
      </w:r>
      <w:proofErr w:type="spellEnd"/>
      <w:r w:rsidRPr="004B3C25">
        <w:rPr>
          <w:rFonts w:asciiTheme="majorHAnsi" w:hAnsiTheme="majorHAnsi" w:cs="Calibri"/>
          <w:lang w:val="en-GB"/>
        </w:rPr>
        <w:t xml:space="preserve"> cult: ‘suddenly through many provinces it has been commanded, that whoever acts against the Emperor will be beheaded, that whoever does not surrender the temple of God will be immediately put to death.’ Ambrose went a step further in </w:t>
      </w:r>
      <w:r w:rsidRPr="004B3C25">
        <w:rPr>
          <w:rFonts w:asciiTheme="majorHAnsi" w:hAnsiTheme="majorHAnsi" w:cs="Calibri"/>
          <w:i/>
          <w:lang w:val="en-GB"/>
        </w:rPr>
        <w:t>Ep.</w:t>
      </w:r>
      <w:r w:rsidRPr="004B3C25">
        <w:rPr>
          <w:rFonts w:asciiTheme="majorHAnsi" w:hAnsiTheme="majorHAnsi" w:cs="Calibri"/>
          <w:lang w:val="en-GB"/>
        </w:rPr>
        <w:t xml:space="preserve"> 76 to </w:t>
      </w:r>
      <w:proofErr w:type="spellStart"/>
      <w:r w:rsidRPr="004B3C25">
        <w:rPr>
          <w:rFonts w:asciiTheme="majorHAnsi" w:hAnsiTheme="majorHAnsi" w:cs="Calibri"/>
          <w:lang w:val="en-GB"/>
        </w:rPr>
        <w:t>Marcellina</w:t>
      </w:r>
      <w:proofErr w:type="spellEnd"/>
      <w:r w:rsidRPr="004B3C25">
        <w:rPr>
          <w:rFonts w:asciiTheme="majorHAnsi" w:hAnsiTheme="majorHAnsi" w:cs="Calibri"/>
          <w:lang w:val="en-GB"/>
        </w:rPr>
        <w:t xml:space="preserve"> and presented the case not as a prosecution against those who opposed imperial law, but as a persecution against the Nicene community: ‘many very heavy penalties were threatened against respectable men, if they did not surrender the basilica. Persecution erupted, and if they had opened the gates; they seemed likely to break into every kind of violence.’</w:t>
      </w:r>
      <w:r w:rsidRPr="004B3C25">
        <w:rPr>
          <w:rStyle w:val="FootnoteReference"/>
          <w:rFonts w:asciiTheme="majorHAnsi" w:eastAsia="SimSun" w:hAnsiTheme="majorHAnsi" w:cs="Calibri"/>
          <w:lang w:val="en-GB" w:eastAsia="es-ES"/>
        </w:rPr>
        <w:footnoteReference w:id="65"/>
      </w:r>
      <w:r w:rsidRPr="004B3C25">
        <w:rPr>
          <w:rFonts w:asciiTheme="majorHAnsi" w:hAnsiTheme="majorHAnsi" w:cs="Calibri"/>
          <w:lang w:val="en-GB"/>
        </w:rPr>
        <w:t xml:space="preserve"> The later letter included four classical elements of martyr narratives: the object of pity, embodied by the Nicene community; the vulnerable virgin; the oppressive empire; and the righteous ex-official who confronted the oppressive state – Ambrose himself.</w:t>
      </w:r>
      <w:r w:rsidRPr="004B3C25">
        <w:rPr>
          <w:rFonts w:asciiTheme="majorHAnsi" w:hAnsiTheme="majorHAnsi"/>
          <w:lang w:val="en-GB"/>
        </w:rPr>
        <w:t xml:space="preserve"> Ambrose presented events in a similar way in his letter about the synagogue of </w:t>
      </w:r>
      <w:proofErr w:type="spellStart"/>
      <w:r w:rsidRPr="004B3C25">
        <w:rPr>
          <w:rFonts w:asciiTheme="majorHAnsi" w:hAnsiTheme="majorHAnsi"/>
          <w:lang w:val="en-GB"/>
        </w:rPr>
        <w:t>Callinicum</w:t>
      </w:r>
      <w:proofErr w:type="spellEnd"/>
      <w:r w:rsidRPr="004B3C25">
        <w:rPr>
          <w:rFonts w:asciiTheme="majorHAnsi" w:hAnsiTheme="majorHAnsi"/>
          <w:lang w:val="en-GB"/>
        </w:rPr>
        <w:t>, recounting how he had defied the emperor by recalling that ‘</w:t>
      </w:r>
      <w:r w:rsidRPr="004B3C25">
        <w:rPr>
          <w:rFonts w:asciiTheme="majorHAnsi" w:eastAsiaTheme="minorEastAsia" w:hAnsiTheme="majorHAnsi" w:cs="^DUˇ"/>
          <w:lang w:val="en-GB"/>
        </w:rPr>
        <w:t>the prophetic or priestly authority has to be straightforward, and to advise not so much what is pleasant as what is useful’.</w:t>
      </w:r>
      <w:r w:rsidRPr="004B3C25">
        <w:rPr>
          <w:rStyle w:val="FootnoteReference"/>
          <w:rFonts w:asciiTheme="majorHAnsi" w:eastAsiaTheme="minorEastAsia" w:hAnsiTheme="majorHAnsi" w:cs="^DUˇ"/>
          <w:lang w:val="en-GB"/>
        </w:rPr>
        <w:footnoteReference w:id="66"/>
      </w:r>
      <w:r w:rsidRPr="004B3C25">
        <w:rPr>
          <w:rFonts w:asciiTheme="majorHAnsi" w:hAnsiTheme="majorHAnsi"/>
          <w:lang w:val="en-GB"/>
        </w:rPr>
        <w:t xml:space="preserve"> However, it seems that in reality and u</w:t>
      </w:r>
      <w:r w:rsidRPr="004B3C25">
        <w:rPr>
          <w:rFonts w:asciiTheme="majorHAnsi" w:hAnsiTheme="majorHAnsi" w:cs="Calibri"/>
          <w:lang w:val="en-GB"/>
        </w:rPr>
        <w:t xml:space="preserve">nlike martyr narratives, Ambrose did not triumph by enduring torture and suffering death, but by a strategic combination of opposition and appeasement of imperial authority. Nor should be underestimate his ability to craft selectively accounts of past events to maximise his spiritual capital and authority as bishop. </w:t>
      </w:r>
      <w:r w:rsidRPr="004B3C25">
        <w:rPr>
          <w:rFonts w:asciiTheme="majorHAnsi" w:hAnsiTheme="majorHAnsi"/>
          <w:lang w:val="en-GB"/>
        </w:rPr>
        <w:t xml:space="preserve">Much like </w:t>
      </w:r>
      <w:r w:rsidRPr="004B3C25">
        <w:rPr>
          <w:rFonts w:asciiTheme="majorHAnsi" w:hAnsiTheme="majorHAnsi"/>
          <w:i/>
          <w:lang w:val="en-GB"/>
        </w:rPr>
        <w:t>On the Virgins</w:t>
      </w:r>
      <w:r w:rsidRPr="004B3C25">
        <w:rPr>
          <w:rFonts w:asciiTheme="majorHAnsi" w:hAnsiTheme="majorHAnsi"/>
          <w:lang w:val="en-GB"/>
        </w:rPr>
        <w:t xml:space="preserve">, therefore, the letters to </w:t>
      </w:r>
      <w:proofErr w:type="spellStart"/>
      <w:r w:rsidRPr="004B3C25">
        <w:rPr>
          <w:rFonts w:asciiTheme="majorHAnsi" w:hAnsiTheme="majorHAnsi"/>
          <w:lang w:val="en-GB"/>
        </w:rPr>
        <w:t>Marcellina</w:t>
      </w:r>
      <w:proofErr w:type="spellEnd"/>
      <w:r w:rsidRPr="004B3C25">
        <w:rPr>
          <w:rFonts w:asciiTheme="majorHAnsi" w:hAnsiTheme="majorHAnsi"/>
          <w:lang w:val="en-GB"/>
        </w:rPr>
        <w:t xml:space="preserve"> were exercises in self-legitimisation. Ambrose overstated the importance of his </w:t>
      </w:r>
      <w:r w:rsidRPr="004B3C25">
        <w:rPr>
          <w:rFonts w:asciiTheme="majorHAnsi" w:hAnsiTheme="majorHAnsi"/>
          <w:lang w:val="en-GB"/>
        </w:rPr>
        <w:lastRenderedPageBreak/>
        <w:t xml:space="preserve">interventions in the imperial arena. In addition, Addressing the letters to </w:t>
      </w:r>
      <w:proofErr w:type="spellStart"/>
      <w:r w:rsidRPr="004B3C25">
        <w:rPr>
          <w:rFonts w:asciiTheme="majorHAnsi" w:hAnsiTheme="majorHAnsi"/>
          <w:lang w:val="en-GB"/>
        </w:rPr>
        <w:t>Marcellina</w:t>
      </w:r>
      <w:proofErr w:type="spellEnd"/>
      <w:r w:rsidRPr="004B3C25">
        <w:rPr>
          <w:rFonts w:asciiTheme="majorHAnsi" w:hAnsiTheme="majorHAnsi"/>
          <w:lang w:val="en-GB"/>
        </w:rPr>
        <w:t xml:space="preserve"> bestowed greater credibility on Ambrose’s account and allowed the bishop to reframe his interventions as martyr narratives, exaggerating the risks he had incurred and the magnitude of his triumph over the emperor.</w:t>
      </w:r>
    </w:p>
    <w:p w:rsidR="002044A1" w:rsidRPr="004B3C25" w:rsidRDefault="002044A1" w:rsidP="002044A1">
      <w:pPr>
        <w:tabs>
          <w:tab w:val="left" w:pos="142"/>
        </w:tabs>
        <w:spacing w:after="120"/>
        <w:ind w:firstLine="567"/>
        <w:jc w:val="both"/>
        <w:rPr>
          <w:rFonts w:asciiTheme="majorHAnsi" w:hAnsiTheme="majorHAnsi"/>
          <w:lang w:val="en-GB"/>
        </w:rPr>
      </w:pPr>
    </w:p>
    <w:p w:rsidR="002044A1" w:rsidRPr="004B3C25" w:rsidRDefault="002044A1" w:rsidP="002044A1">
      <w:pPr>
        <w:tabs>
          <w:tab w:val="left" w:pos="142"/>
        </w:tabs>
        <w:spacing w:after="120"/>
        <w:jc w:val="both"/>
        <w:outlineLvl w:val="0"/>
        <w:rPr>
          <w:rFonts w:asciiTheme="majorHAnsi" w:hAnsiTheme="majorHAnsi"/>
          <w:b/>
          <w:lang w:val="en-GB"/>
        </w:rPr>
      </w:pPr>
      <w:r w:rsidRPr="004B3C25">
        <w:rPr>
          <w:rFonts w:asciiTheme="majorHAnsi" w:hAnsiTheme="majorHAnsi"/>
          <w:b/>
          <w:lang w:val="en-GB"/>
        </w:rPr>
        <w:t>Conclusion</w:t>
      </w:r>
    </w:p>
    <w:p w:rsidR="002044A1" w:rsidRPr="004B3C25" w:rsidRDefault="002044A1" w:rsidP="002044A1">
      <w:pPr>
        <w:tabs>
          <w:tab w:val="left" w:pos="142"/>
        </w:tabs>
        <w:autoSpaceDE w:val="0"/>
        <w:autoSpaceDN w:val="0"/>
        <w:adjustRightInd w:val="0"/>
        <w:spacing w:after="120"/>
        <w:jc w:val="both"/>
        <w:rPr>
          <w:rFonts w:asciiTheme="majorHAnsi" w:hAnsiTheme="majorHAnsi"/>
          <w:lang w:val="en-GB"/>
        </w:rPr>
      </w:pPr>
      <w:r w:rsidRPr="004B3C25">
        <w:rPr>
          <w:rFonts w:asciiTheme="majorHAnsi" w:hAnsiTheme="majorHAnsi"/>
          <w:lang w:val="en-GB"/>
        </w:rPr>
        <w:t xml:space="preserve">Despite their apparent simplicity, Ambrose’s references to his female relatives were the product of a carefully constructed process of rhetorical composition that built on </w:t>
      </w:r>
      <w:r w:rsidRPr="004B3C25">
        <w:rPr>
          <w:rFonts w:asciiTheme="majorHAnsi" w:eastAsia="SimSun" w:hAnsiTheme="majorHAnsi" w:cs="Georgia"/>
          <w:lang w:val="en-GB"/>
        </w:rPr>
        <w:t xml:space="preserve">Roman and Christian traditions. Ancient narratives on womanhood portrayed women as passive, nurturing, and </w:t>
      </w:r>
      <w:r w:rsidRPr="004B3C25">
        <w:rPr>
          <w:rFonts w:asciiTheme="majorHAnsi" w:hAnsiTheme="majorHAnsi" w:cs="Calibri"/>
          <w:lang w:val="en-GB" w:eastAsia="es-ES"/>
        </w:rPr>
        <w:t>fragile individuals that needed male surveillance and protection.</w:t>
      </w:r>
      <w:r w:rsidRPr="004B3C25">
        <w:rPr>
          <w:rStyle w:val="FootnoteReference"/>
          <w:rFonts w:asciiTheme="majorHAnsi" w:eastAsiaTheme="majorEastAsia" w:hAnsiTheme="majorHAnsi" w:cs="Calibri"/>
          <w:lang w:val="en-GB" w:eastAsia="es-ES"/>
        </w:rPr>
        <w:footnoteReference w:id="67"/>
      </w:r>
      <w:r w:rsidRPr="004B3C25">
        <w:rPr>
          <w:rFonts w:asciiTheme="majorHAnsi" w:hAnsiTheme="majorHAnsi" w:cs="Calibri"/>
          <w:lang w:val="en-GB" w:eastAsia="es-ES"/>
        </w:rPr>
        <w:t xml:space="preserve"> </w:t>
      </w:r>
      <w:r w:rsidRPr="004B3C25">
        <w:rPr>
          <w:rFonts w:asciiTheme="majorHAnsi" w:hAnsiTheme="majorHAnsi" w:cs="Times"/>
          <w:lang w:val="en-GB"/>
        </w:rPr>
        <w:t>Female bodies thus acquired important symbolic power</w:t>
      </w:r>
      <w:r w:rsidRPr="004B3C25">
        <w:rPr>
          <w:rFonts w:asciiTheme="majorHAnsi" w:hAnsiTheme="majorHAnsi"/>
          <w:lang w:val="en-GB"/>
        </w:rPr>
        <w:t xml:space="preserve"> and could be deployed rhetorically to convey ideas of (</w:t>
      </w:r>
      <w:proofErr w:type="spellStart"/>
      <w:r w:rsidRPr="004B3C25">
        <w:rPr>
          <w:rFonts w:asciiTheme="majorHAnsi" w:hAnsiTheme="majorHAnsi"/>
          <w:lang w:val="en-GB"/>
        </w:rPr>
        <w:t>il</w:t>
      </w:r>
      <w:proofErr w:type="spellEnd"/>
      <w:r w:rsidRPr="004B3C25">
        <w:rPr>
          <w:rFonts w:asciiTheme="majorHAnsi" w:hAnsiTheme="majorHAnsi"/>
          <w:lang w:val="en-GB"/>
        </w:rPr>
        <w:t>)legitimate authority and (un)righteous violence</w:t>
      </w:r>
      <w:r w:rsidRPr="004B3C25">
        <w:rPr>
          <w:rFonts w:asciiTheme="majorHAnsi" w:hAnsiTheme="majorHAnsi" w:cs="Calibri"/>
          <w:lang w:val="en-GB" w:eastAsia="es-ES"/>
        </w:rPr>
        <w:t>.</w:t>
      </w:r>
      <w:r w:rsidRPr="004B3C25">
        <w:rPr>
          <w:rFonts w:asciiTheme="majorHAnsi" w:hAnsiTheme="majorHAnsi" w:cs="Times"/>
          <w:lang w:val="en-GB"/>
        </w:rPr>
        <w:t xml:space="preserve"> </w:t>
      </w:r>
      <w:r w:rsidRPr="004B3C25">
        <w:rPr>
          <w:rFonts w:asciiTheme="majorHAnsi" w:hAnsiTheme="majorHAnsi" w:cs="Calibri"/>
          <w:lang w:val="en-GB" w:eastAsia="es-ES"/>
        </w:rPr>
        <w:t xml:space="preserve">The motif of illegitimate violence against female bodies became central to Christian martyr literature, a large part of which presented </w:t>
      </w:r>
      <w:r w:rsidRPr="004B3C25">
        <w:rPr>
          <w:rFonts w:asciiTheme="majorHAnsi" w:hAnsiTheme="majorHAnsi" w:cs="Calibri"/>
          <w:lang w:val="en-GB"/>
        </w:rPr>
        <w:t>defenceless women as recipients of excessively cruel male violence</w:t>
      </w:r>
      <w:r w:rsidRPr="004B3C25">
        <w:rPr>
          <w:rFonts w:asciiTheme="majorHAnsi" w:hAnsiTheme="majorHAnsi" w:cs="Calibri"/>
          <w:lang w:val="en-GB" w:eastAsia="es-ES"/>
        </w:rPr>
        <w:t>.</w:t>
      </w:r>
      <w:r w:rsidRPr="004B3C25">
        <w:rPr>
          <w:rStyle w:val="FootnoteReference"/>
          <w:rFonts w:asciiTheme="majorHAnsi" w:eastAsiaTheme="majorEastAsia" w:hAnsiTheme="majorHAnsi" w:cs="Calibri"/>
          <w:lang w:val="en-GB" w:eastAsia="es-ES"/>
        </w:rPr>
        <w:footnoteReference w:id="68"/>
      </w:r>
      <w:r w:rsidRPr="004B3C25">
        <w:rPr>
          <w:rFonts w:asciiTheme="majorHAnsi" w:hAnsiTheme="majorHAnsi" w:cs="Calibri"/>
          <w:lang w:val="en-GB" w:eastAsia="es-ES"/>
        </w:rPr>
        <w:t xml:space="preserve"> </w:t>
      </w:r>
      <w:r w:rsidRPr="004B3C25">
        <w:rPr>
          <w:rFonts w:asciiTheme="majorHAnsi" w:hAnsiTheme="majorHAnsi" w:cs="Calibri"/>
          <w:lang w:val="en-GB"/>
        </w:rPr>
        <w:t>Centuries of production and consumption of such Christian narratives turned vulnerable women into objects with the potential to carry powerful emotional messages and evoke sentimental responses.</w:t>
      </w:r>
      <w:r w:rsidRPr="004B3C25">
        <w:rPr>
          <w:rFonts w:asciiTheme="majorHAnsi" w:hAnsiTheme="majorHAnsi"/>
          <w:lang w:val="en-GB"/>
        </w:rPr>
        <w:t xml:space="preserve"> </w:t>
      </w:r>
      <w:r w:rsidRPr="004B3C25">
        <w:rPr>
          <w:rFonts w:asciiTheme="majorHAnsi" w:hAnsiTheme="majorHAnsi" w:cs="Times"/>
          <w:lang w:val="en-GB"/>
        </w:rPr>
        <w:t xml:space="preserve">After the great persecutions of the third century, </w:t>
      </w:r>
      <w:r w:rsidRPr="004B3C25">
        <w:rPr>
          <w:rFonts w:asciiTheme="majorHAnsi" w:hAnsiTheme="majorHAnsi" w:cs="Calibri"/>
          <w:lang w:val="en-GB" w:eastAsia="es-ES"/>
        </w:rPr>
        <w:t xml:space="preserve">martyr </w:t>
      </w:r>
      <w:r w:rsidRPr="004B3C25">
        <w:rPr>
          <w:rFonts w:asciiTheme="majorHAnsi" w:hAnsiTheme="majorHAnsi" w:cs="Times"/>
          <w:lang w:val="en-GB"/>
        </w:rPr>
        <w:t>literature became a window from which Christian Romans could peer out into the sufferings of their predecessors. Such writings maintained their popularity at the end of the fourth century, when social change and political unrest heightened domestic insecurity and distrust towards imperial authorities. At this point in time, the symbol of imperilled women seems to have had particular potential to spark public fears about the despotic exercise of authority.</w:t>
      </w:r>
      <w:r w:rsidRPr="004B3C25">
        <w:rPr>
          <w:rFonts w:asciiTheme="majorHAnsi" w:hAnsiTheme="majorHAnsi" w:cs="Times"/>
          <w:color w:val="44546A" w:themeColor="text2"/>
          <w:lang w:val="en-GB"/>
        </w:rPr>
        <w:t xml:space="preserve"> </w:t>
      </w:r>
      <w:r w:rsidRPr="004B3C25">
        <w:rPr>
          <w:rFonts w:asciiTheme="majorHAnsi" w:hAnsiTheme="majorHAnsi" w:cs="Calibri"/>
          <w:lang w:val="en-GB"/>
        </w:rPr>
        <w:t>Ambrose's allusions to his female relatives thus seem to have been designed to exploit such ambiguities and anxieties.</w:t>
      </w:r>
      <w:r w:rsidRPr="004B3C25">
        <w:rPr>
          <w:rFonts w:asciiTheme="majorHAnsi" w:hAnsiTheme="majorHAnsi"/>
          <w:lang w:val="en-GB"/>
        </w:rPr>
        <w:t xml:space="preserve"> </w:t>
      </w:r>
    </w:p>
    <w:p w:rsidR="002044A1" w:rsidRPr="004B3C25" w:rsidRDefault="002044A1" w:rsidP="002044A1">
      <w:pPr>
        <w:tabs>
          <w:tab w:val="left" w:pos="142"/>
        </w:tabs>
        <w:autoSpaceDE w:val="0"/>
        <w:autoSpaceDN w:val="0"/>
        <w:adjustRightInd w:val="0"/>
        <w:spacing w:after="120"/>
        <w:jc w:val="both"/>
        <w:rPr>
          <w:rFonts w:asciiTheme="majorHAnsi" w:hAnsiTheme="majorHAnsi" w:cs="Times"/>
          <w:lang w:val="en-GB"/>
        </w:rPr>
      </w:pPr>
      <w:proofErr w:type="spellStart"/>
      <w:r w:rsidRPr="004B3C25">
        <w:rPr>
          <w:rFonts w:asciiTheme="majorHAnsi" w:hAnsiTheme="majorHAnsi"/>
          <w:lang w:val="en-GB"/>
        </w:rPr>
        <w:t>Marcellina</w:t>
      </w:r>
      <w:proofErr w:type="spellEnd"/>
      <w:r w:rsidRPr="004B3C25">
        <w:rPr>
          <w:rFonts w:asciiTheme="majorHAnsi" w:hAnsiTheme="majorHAnsi"/>
          <w:lang w:val="en-GB"/>
        </w:rPr>
        <w:t xml:space="preserve"> and </w:t>
      </w:r>
      <w:proofErr w:type="spellStart"/>
      <w:r w:rsidRPr="004B3C25">
        <w:rPr>
          <w:rFonts w:asciiTheme="majorHAnsi" w:hAnsiTheme="majorHAnsi"/>
          <w:lang w:val="en-GB"/>
        </w:rPr>
        <w:t>Sotheris</w:t>
      </w:r>
      <w:proofErr w:type="spellEnd"/>
      <w:r w:rsidRPr="004B3C25">
        <w:rPr>
          <w:rFonts w:asciiTheme="majorHAnsi" w:hAnsiTheme="majorHAnsi"/>
          <w:lang w:val="en-GB"/>
        </w:rPr>
        <w:t xml:space="preserve"> were presented in Ambrose’s writings in ways that fulfilled two main objectives.  They were key to constructing Ambrose’s identity and authority as a bishop. </w:t>
      </w:r>
      <w:proofErr w:type="spellStart"/>
      <w:r w:rsidRPr="004B3C25">
        <w:rPr>
          <w:rFonts w:asciiTheme="majorHAnsi" w:hAnsiTheme="majorHAnsi"/>
          <w:lang w:val="en-GB"/>
        </w:rPr>
        <w:t>Marcellina</w:t>
      </w:r>
      <w:proofErr w:type="spellEnd"/>
      <w:r w:rsidRPr="004B3C25">
        <w:rPr>
          <w:rFonts w:asciiTheme="majorHAnsi" w:hAnsiTheme="majorHAnsi"/>
          <w:lang w:val="en-GB"/>
        </w:rPr>
        <w:t xml:space="preserve"> and especially </w:t>
      </w:r>
      <w:proofErr w:type="spellStart"/>
      <w:r w:rsidRPr="004B3C25">
        <w:rPr>
          <w:rFonts w:asciiTheme="majorHAnsi" w:hAnsiTheme="majorHAnsi"/>
          <w:lang w:val="en-GB"/>
        </w:rPr>
        <w:t>Sotheris</w:t>
      </w:r>
      <w:proofErr w:type="spellEnd"/>
      <w:r w:rsidRPr="004B3C25">
        <w:rPr>
          <w:rFonts w:asciiTheme="majorHAnsi" w:hAnsiTheme="majorHAnsi"/>
          <w:lang w:val="en-GB"/>
        </w:rPr>
        <w:t xml:space="preserve"> </w:t>
      </w:r>
      <w:r w:rsidRPr="004B3C25">
        <w:rPr>
          <w:rFonts w:asciiTheme="majorHAnsi" w:hAnsiTheme="majorHAnsi" w:cs="Calibri"/>
          <w:lang w:val="en-GB"/>
        </w:rPr>
        <w:t>helped Ambrose to overlook his past as an imperial officer and flaunt an illustrious family history without seeming incongruous his present position as a bishop. In addition, by identifying himself with female ascetic relatives Ambrose’s episcopal legitimacy was enhanced. Traditional attributes of feminine virginity, such as purity, decorum, and modesty were a good fit for the public image and authority of the bishop. Female relatives symbolised affective ties and contrasted with the institutionally sanctioned violence of paternal and imperial authority.</w:t>
      </w:r>
      <w:r w:rsidRPr="004B3C25">
        <w:rPr>
          <w:rStyle w:val="FootnoteReference"/>
          <w:rFonts w:asciiTheme="majorHAnsi" w:eastAsiaTheme="majorEastAsia" w:hAnsiTheme="majorHAnsi" w:cs="Calibri"/>
          <w:lang w:val="en-GB"/>
        </w:rPr>
        <w:footnoteReference w:id="69"/>
      </w:r>
    </w:p>
    <w:p w:rsidR="002044A1" w:rsidRPr="004B3C25" w:rsidRDefault="002044A1" w:rsidP="002044A1">
      <w:pPr>
        <w:spacing w:after="120"/>
        <w:jc w:val="both"/>
        <w:rPr>
          <w:rFonts w:asciiTheme="majorHAnsi" w:hAnsiTheme="majorHAnsi"/>
          <w:lang w:val="en-GB"/>
        </w:rPr>
      </w:pPr>
      <w:r w:rsidRPr="004B3C25">
        <w:rPr>
          <w:rFonts w:asciiTheme="majorHAnsi" w:hAnsiTheme="majorHAnsi"/>
          <w:lang w:val="en-GB"/>
        </w:rPr>
        <w:t xml:space="preserve">Ambrose also used his female relatives to </w:t>
      </w:r>
      <w:r w:rsidRPr="004B3C25">
        <w:rPr>
          <w:rFonts w:asciiTheme="majorHAnsi" w:hAnsiTheme="majorHAnsi" w:cs="Arial"/>
          <w:lang w:val="en-GB"/>
        </w:rPr>
        <w:t xml:space="preserve">present very particular interpretations of </w:t>
      </w:r>
      <w:r w:rsidRPr="004B3C25">
        <w:rPr>
          <w:rFonts w:asciiTheme="majorHAnsi" w:hAnsiTheme="majorHAnsi"/>
          <w:lang w:val="en-GB"/>
        </w:rPr>
        <w:t>his interventions in the arena of imperial politics</w:t>
      </w:r>
      <w:r w:rsidRPr="004B3C25">
        <w:rPr>
          <w:rFonts w:asciiTheme="majorHAnsi" w:hAnsiTheme="majorHAnsi" w:cs="Arial"/>
          <w:lang w:val="en-GB"/>
        </w:rPr>
        <w:t xml:space="preserve">. </w:t>
      </w:r>
      <w:r w:rsidRPr="004B3C25">
        <w:rPr>
          <w:rFonts w:asciiTheme="majorHAnsi" w:hAnsiTheme="majorHAnsi"/>
          <w:lang w:val="en-GB"/>
        </w:rPr>
        <w:t xml:space="preserve">The letters to </w:t>
      </w:r>
      <w:proofErr w:type="spellStart"/>
      <w:r w:rsidRPr="004B3C25">
        <w:rPr>
          <w:rFonts w:asciiTheme="majorHAnsi" w:hAnsiTheme="majorHAnsi"/>
          <w:lang w:val="en-GB"/>
        </w:rPr>
        <w:t>Marcellina</w:t>
      </w:r>
      <w:proofErr w:type="spellEnd"/>
      <w:r w:rsidRPr="004B3C25">
        <w:rPr>
          <w:rFonts w:asciiTheme="majorHAnsi" w:hAnsiTheme="majorHAnsi"/>
          <w:lang w:val="en-GB"/>
        </w:rPr>
        <w:t xml:space="preserve"> offered Ambrose the opportunity to rewrite his controversial </w:t>
      </w:r>
      <w:r w:rsidRPr="004B3C25">
        <w:rPr>
          <w:rFonts w:asciiTheme="majorHAnsi" w:hAnsiTheme="majorHAnsi" w:cs="Arial"/>
          <w:lang w:val="en-GB"/>
        </w:rPr>
        <w:t>conflicts with the emperors</w:t>
      </w:r>
      <w:r w:rsidRPr="004B3C25">
        <w:rPr>
          <w:rFonts w:asciiTheme="majorHAnsi" w:hAnsiTheme="majorHAnsi"/>
          <w:lang w:val="en-GB"/>
        </w:rPr>
        <w:t xml:space="preserve"> in ways, </w:t>
      </w:r>
      <w:r w:rsidRPr="004B3C25">
        <w:rPr>
          <w:rFonts w:asciiTheme="majorHAnsi" w:hAnsiTheme="majorHAnsi"/>
          <w:lang w:val="en-GB"/>
        </w:rPr>
        <w:lastRenderedPageBreak/>
        <w:t xml:space="preserve">understating the motivating role of politics and exaggerating their spiritual and moral dimensions instead. Ambrose did this by minimising the legal and political terminology </w:t>
      </w:r>
      <w:r w:rsidRPr="004B3C25">
        <w:rPr>
          <w:rFonts w:asciiTheme="majorHAnsi" w:hAnsiTheme="majorHAnsi" w:cs="Arial"/>
          <w:lang w:val="en-GB"/>
        </w:rPr>
        <w:t>and by using a purportedly ‘feminised’ language, which built on Christian imagery and evoked a series of sentimental values. He reframed these accounts as martyr narratives,</w:t>
      </w:r>
      <w:r w:rsidRPr="004B3C25">
        <w:rPr>
          <w:rFonts w:asciiTheme="majorHAnsi" w:hAnsiTheme="majorHAnsi"/>
          <w:lang w:val="en-GB"/>
        </w:rPr>
        <w:t xml:space="preserve"> helping him to attribute negative moral characteristics to the groups with which he was disputing and defining himself as the protector of a threatened 'insider' community.</w:t>
      </w:r>
      <w:r w:rsidRPr="004B3C25">
        <w:rPr>
          <w:rStyle w:val="FootnoteReference"/>
          <w:rFonts w:asciiTheme="majorHAnsi" w:eastAsiaTheme="majorEastAsia" w:hAnsiTheme="majorHAnsi"/>
          <w:lang w:val="en-GB"/>
        </w:rPr>
        <w:footnoteReference w:id="70"/>
      </w:r>
      <w:r w:rsidRPr="004B3C25">
        <w:rPr>
          <w:rFonts w:asciiTheme="majorHAnsi" w:hAnsiTheme="majorHAnsi"/>
          <w:lang w:val="en-GB"/>
        </w:rPr>
        <w:t xml:space="preserve"> T</w:t>
      </w:r>
      <w:r w:rsidRPr="004B3C25">
        <w:rPr>
          <w:rFonts w:asciiTheme="majorHAnsi" w:hAnsiTheme="majorHAnsi" w:cs="Calibri"/>
          <w:lang w:val="en-GB"/>
        </w:rPr>
        <w:t xml:space="preserve">he trope of female vulnerability thus contributed to legitimating </w:t>
      </w:r>
      <w:r w:rsidRPr="004B3C25">
        <w:rPr>
          <w:rFonts w:asciiTheme="majorHAnsi" w:hAnsiTheme="majorHAnsi"/>
          <w:lang w:val="en-GB"/>
        </w:rPr>
        <w:t xml:space="preserve">an individual bishop’s resistance against the empire. </w:t>
      </w:r>
    </w:p>
    <w:p w:rsidR="002044A1" w:rsidRPr="004B3C25" w:rsidRDefault="002044A1" w:rsidP="002044A1">
      <w:pPr>
        <w:spacing w:after="120"/>
        <w:jc w:val="both"/>
        <w:rPr>
          <w:rFonts w:asciiTheme="majorHAnsi" w:hAnsiTheme="majorHAnsi"/>
          <w:lang w:val="en-GB"/>
        </w:rPr>
      </w:pPr>
      <w:r w:rsidRPr="004B3C25">
        <w:rPr>
          <w:rFonts w:asciiTheme="majorHAnsi" w:hAnsiTheme="majorHAnsi" w:cs="Arial"/>
          <w:lang w:val="en-GB"/>
        </w:rPr>
        <w:t>Ambrose’s writings were not exceptional. A contemporary rise of sentimentalism and pity in political discourse</w:t>
      </w:r>
      <w:r w:rsidRPr="004B3C25">
        <w:rPr>
          <w:rFonts w:asciiTheme="majorHAnsi" w:hAnsiTheme="majorHAnsi"/>
          <w:lang w:val="en-GB"/>
        </w:rPr>
        <w:t xml:space="preserve"> reveals a change in public language and behaviour, exposing deep social transformations to view. Broader changes in family dynamics at the end of the fourth and into the fifth century led to the rise of a domestic ideology, </w:t>
      </w:r>
      <w:r w:rsidRPr="004B3C25">
        <w:rPr>
          <w:rFonts w:asciiTheme="majorHAnsi" w:hAnsiTheme="majorHAnsi" w:cs="Arial"/>
          <w:lang w:val="en-GB"/>
        </w:rPr>
        <w:t xml:space="preserve">which emphasised the confinement of women to the home, but also increased their potential social and political relevance. </w:t>
      </w:r>
      <w:r w:rsidRPr="004B3C25">
        <w:rPr>
          <w:rFonts w:asciiTheme="majorHAnsi" w:hAnsiTheme="majorHAnsi"/>
          <w:lang w:val="en-GB"/>
        </w:rPr>
        <w:t>Exposing women’s literary and moral achievements to public scrutiny became a way of displaying familial grandeur and negotiating male authority.</w:t>
      </w:r>
      <w:r w:rsidRPr="004B3C25">
        <w:rPr>
          <w:rStyle w:val="FootnoteReference"/>
          <w:rFonts w:asciiTheme="majorHAnsi" w:eastAsiaTheme="majorEastAsia" w:hAnsiTheme="majorHAnsi"/>
          <w:lang w:val="en-GB"/>
        </w:rPr>
        <w:footnoteReference w:id="71"/>
      </w:r>
      <w:r w:rsidRPr="004B3C25">
        <w:rPr>
          <w:rFonts w:asciiTheme="majorHAnsi" w:hAnsiTheme="majorHAnsi"/>
          <w:lang w:val="en-GB"/>
        </w:rPr>
        <w:t xml:space="preserve"> The case of Ambrose shows that the portrayal of female weakness, intended to evoke compassionate responses, enabled authors to put across alternative social and political messages</w:t>
      </w:r>
      <w:r w:rsidRPr="004B3C25">
        <w:rPr>
          <w:rFonts w:asciiTheme="majorHAnsi" w:hAnsiTheme="majorHAnsi" w:cs="Arial"/>
          <w:lang w:val="en-GB"/>
        </w:rPr>
        <w:t>.</w:t>
      </w:r>
      <w:r w:rsidRPr="004B3C25">
        <w:rPr>
          <w:rFonts w:asciiTheme="majorHAnsi" w:hAnsiTheme="majorHAnsi"/>
          <w:color w:val="3366FF"/>
          <w:lang w:val="en-GB"/>
        </w:rPr>
        <w:t xml:space="preserve"> </w:t>
      </w:r>
      <w:r w:rsidRPr="004B3C25">
        <w:rPr>
          <w:rFonts w:asciiTheme="majorHAnsi" w:hAnsiTheme="majorHAnsi"/>
          <w:lang w:val="en-GB"/>
        </w:rPr>
        <w:t>Deploying the trope of female vulnerability reinforced Ambrose’s legitimacy and fuelled support for his agenda as bishop. For Ambrose, as for the Christian martyrs, vulnerability thus functioned as the seed of triumph.</w:t>
      </w:r>
    </w:p>
    <w:p w:rsidR="008D0AAE" w:rsidRDefault="008D0AAE"/>
    <w:sectPr w:rsidR="008D0AAE" w:rsidSect="002044A1">
      <w:pgSz w:w="11906" w:h="16838"/>
      <w:pgMar w:top="1361" w:right="1644"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1966" w:rsidRDefault="00071966" w:rsidP="002044A1">
      <w:r>
        <w:separator/>
      </w:r>
    </w:p>
  </w:endnote>
  <w:endnote w:type="continuationSeparator" w:id="0">
    <w:p w:rsidR="00071966" w:rsidRDefault="00071966" w:rsidP="002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ÓvZˇ">
    <w:altName w:val="Cambria"/>
    <w:panose1 w:val="020B0604020202020204"/>
    <w:charset w:val="4D"/>
    <w:family w:val="auto"/>
    <w:notTrueType/>
    <w:pitch w:val="default"/>
    <w:sig w:usb0="00000003" w:usb1="00000000" w:usb2="00000000" w:usb3="00000000" w:csb0="00000001" w:csb1="00000000"/>
  </w:font>
  <w:font w:name="^DUˇ">
    <w:altName w:val="Cambria"/>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1966" w:rsidRDefault="00071966" w:rsidP="002044A1">
      <w:r>
        <w:separator/>
      </w:r>
    </w:p>
  </w:footnote>
  <w:footnote w:type="continuationSeparator" w:id="0">
    <w:p w:rsidR="00071966" w:rsidRDefault="00071966" w:rsidP="002044A1">
      <w:r>
        <w:continuationSeparator/>
      </w:r>
    </w:p>
  </w:footnote>
  <w:footnote w:id="1">
    <w:p w:rsidR="002044A1" w:rsidRPr="00F16EC7" w:rsidRDefault="002044A1" w:rsidP="00A669E0">
      <w:pPr>
        <w:pStyle w:val="FootnoteText"/>
        <w:spacing w:line="240" w:lineRule="auto"/>
        <w:jc w:val="both"/>
        <w:rPr>
          <w:rFonts w:asciiTheme="majorHAnsi" w:hAnsiTheme="majorHAnsi" w:cstheme="majorHAnsi"/>
          <w:color w:val="000000" w:themeColor="text1"/>
          <w:lang w:val="es-ES_tradnl"/>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lang w:val="es-ES_tradnl"/>
        </w:rPr>
        <w:t xml:space="preserve"> </w:t>
      </w:r>
      <w:proofErr w:type="spellStart"/>
      <w:r w:rsidRPr="00F16EC7">
        <w:rPr>
          <w:rFonts w:asciiTheme="majorHAnsi" w:hAnsiTheme="majorHAnsi" w:cstheme="majorHAnsi"/>
          <w:color w:val="000000" w:themeColor="text1"/>
          <w:lang w:val="es-ES_tradnl"/>
        </w:rPr>
        <w:t>Paulinus</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i/>
          <w:color w:val="000000" w:themeColor="text1"/>
          <w:lang w:val="es-ES_tradnl"/>
        </w:rPr>
        <w:t xml:space="preserve">Vita </w:t>
      </w:r>
      <w:proofErr w:type="spellStart"/>
      <w:r w:rsidRPr="00F16EC7">
        <w:rPr>
          <w:rFonts w:asciiTheme="majorHAnsi" w:hAnsiTheme="majorHAnsi" w:cstheme="majorHAnsi"/>
          <w:i/>
          <w:color w:val="000000" w:themeColor="text1"/>
          <w:lang w:val="es-ES_tradnl"/>
        </w:rPr>
        <w:t>Ambrosii</w:t>
      </w:r>
      <w:proofErr w:type="spellEnd"/>
      <w:r w:rsidRPr="00F16EC7">
        <w:rPr>
          <w:rFonts w:asciiTheme="majorHAnsi" w:hAnsiTheme="majorHAnsi" w:cstheme="majorHAnsi"/>
          <w:color w:val="000000" w:themeColor="text1"/>
          <w:lang w:val="es-ES_tradnl"/>
        </w:rPr>
        <w:t>, 3,</w:t>
      </w:r>
      <w:r w:rsidRPr="00F16EC7">
        <w:rPr>
          <w:rFonts w:asciiTheme="majorHAnsi" w:eastAsiaTheme="minorEastAsia" w:hAnsiTheme="majorHAnsi" w:cstheme="majorHAnsi"/>
          <w:color w:val="000000" w:themeColor="text1"/>
          <w:lang w:val="es-ES_tradnl"/>
        </w:rPr>
        <w:t xml:space="preserve"> A. </w:t>
      </w:r>
      <w:proofErr w:type="spellStart"/>
      <w:r w:rsidRPr="00F16EC7">
        <w:rPr>
          <w:rFonts w:asciiTheme="majorHAnsi" w:eastAsiaTheme="minorEastAsia" w:hAnsiTheme="majorHAnsi" w:cstheme="majorHAnsi"/>
          <w:color w:val="000000" w:themeColor="text1"/>
          <w:lang w:val="es-ES_tradnl"/>
        </w:rPr>
        <w:t>Bastiaensen</w:t>
      </w:r>
      <w:proofErr w:type="spellEnd"/>
      <w:r w:rsidRPr="00F16EC7">
        <w:rPr>
          <w:rFonts w:asciiTheme="majorHAnsi" w:eastAsiaTheme="minorEastAsia" w:hAnsiTheme="majorHAnsi" w:cstheme="majorHAnsi"/>
          <w:color w:val="000000" w:themeColor="text1"/>
          <w:lang w:val="es-ES_tradnl"/>
        </w:rPr>
        <w:t xml:space="preserve"> (ed.) (</w:t>
      </w:r>
      <w:proofErr w:type="spellStart"/>
      <w:r w:rsidRPr="00F16EC7">
        <w:rPr>
          <w:rFonts w:asciiTheme="majorHAnsi" w:eastAsiaTheme="minorEastAsia" w:hAnsiTheme="majorHAnsi" w:cstheme="majorHAnsi"/>
          <w:color w:val="000000" w:themeColor="text1"/>
          <w:lang w:val="es-ES_tradnl"/>
        </w:rPr>
        <w:t>Milan</w:t>
      </w:r>
      <w:proofErr w:type="spellEnd"/>
      <w:r w:rsidRPr="00F16EC7">
        <w:rPr>
          <w:rFonts w:asciiTheme="majorHAnsi" w:eastAsiaTheme="minorEastAsia" w:hAnsiTheme="majorHAnsi" w:cstheme="majorHAnsi"/>
          <w:color w:val="000000" w:themeColor="text1"/>
          <w:lang w:val="es-ES_tradnl"/>
        </w:rPr>
        <w:t xml:space="preserve">: </w:t>
      </w:r>
      <w:proofErr w:type="spellStart"/>
      <w:r w:rsidR="00290D68" w:rsidRPr="00F16EC7">
        <w:rPr>
          <w:rFonts w:asciiTheme="majorHAnsi" w:eastAsiaTheme="minorEastAsia" w:hAnsiTheme="majorHAnsi" w:cstheme="majorHAnsi"/>
          <w:color w:val="000000" w:themeColor="text1"/>
          <w:lang w:val="es-ES_tradnl"/>
        </w:rPr>
        <w:t>Mondadori</w:t>
      </w:r>
      <w:proofErr w:type="spellEnd"/>
      <w:r w:rsidRPr="00F16EC7">
        <w:rPr>
          <w:rFonts w:asciiTheme="majorHAnsi" w:eastAsiaTheme="minorEastAsia" w:hAnsiTheme="majorHAnsi" w:cstheme="majorHAnsi"/>
          <w:color w:val="000000" w:themeColor="text1"/>
          <w:lang w:val="es-ES_tradnl"/>
        </w:rPr>
        <w:t>, 1975), 51-124.</w:t>
      </w:r>
    </w:p>
  </w:footnote>
  <w:footnote w:id="2">
    <w:p w:rsidR="002044A1" w:rsidRPr="00F16EC7" w:rsidRDefault="002044A1" w:rsidP="00A669E0">
      <w:pPr>
        <w:widowControl w:val="0"/>
        <w:autoSpaceDE w:val="0"/>
        <w:autoSpaceDN w:val="0"/>
        <w:adjustRightInd w:val="0"/>
        <w:jc w:val="both"/>
        <w:rPr>
          <w:rFonts w:asciiTheme="majorHAnsi" w:hAnsiTheme="majorHAnsi" w:cstheme="majorHAnsi"/>
          <w:color w:val="000000" w:themeColor="text1"/>
          <w:sz w:val="20"/>
          <w:szCs w:val="20"/>
          <w:lang w:val="es-ES"/>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s-ES"/>
        </w:rPr>
        <w:t xml:space="preserve"> </w:t>
      </w:r>
      <w:proofErr w:type="spellStart"/>
      <w:r w:rsidRPr="00F16EC7">
        <w:rPr>
          <w:rFonts w:asciiTheme="majorHAnsi" w:hAnsiTheme="majorHAnsi" w:cstheme="majorHAnsi"/>
          <w:color w:val="000000" w:themeColor="text1"/>
          <w:sz w:val="20"/>
          <w:szCs w:val="20"/>
          <w:lang w:val="es-ES"/>
        </w:rPr>
        <w:t>Ambrose</w:t>
      </w:r>
      <w:proofErr w:type="spellEnd"/>
      <w:r w:rsidRPr="00F16EC7">
        <w:rPr>
          <w:rFonts w:asciiTheme="majorHAnsi" w:hAnsiTheme="majorHAnsi" w:cstheme="majorHAnsi"/>
          <w:color w:val="000000" w:themeColor="text1"/>
          <w:sz w:val="20"/>
          <w:szCs w:val="20"/>
          <w:lang w:val="es-ES"/>
        </w:rPr>
        <w:t xml:space="preserve">, </w:t>
      </w:r>
      <w:r w:rsidRPr="00F16EC7">
        <w:rPr>
          <w:rFonts w:asciiTheme="majorHAnsi" w:hAnsiTheme="majorHAnsi" w:cstheme="majorHAnsi"/>
          <w:i/>
          <w:color w:val="000000" w:themeColor="text1"/>
          <w:sz w:val="20"/>
          <w:szCs w:val="20"/>
          <w:lang w:val="es-ES"/>
        </w:rPr>
        <w:t xml:space="preserve">De </w:t>
      </w:r>
      <w:proofErr w:type="spellStart"/>
      <w:r w:rsidRPr="00F16EC7">
        <w:rPr>
          <w:rFonts w:asciiTheme="majorHAnsi" w:hAnsiTheme="majorHAnsi" w:cstheme="majorHAnsi"/>
          <w:i/>
          <w:color w:val="000000" w:themeColor="text1"/>
          <w:sz w:val="20"/>
          <w:szCs w:val="20"/>
          <w:lang w:val="es-ES"/>
        </w:rPr>
        <w:t>excessu</w:t>
      </w:r>
      <w:proofErr w:type="spellEnd"/>
      <w:r w:rsidRPr="00F16EC7">
        <w:rPr>
          <w:rFonts w:asciiTheme="majorHAnsi" w:hAnsiTheme="majorHAnsi" w:cstheme="majorHAnsi"/>
          <w:i/>
          <w:color w:val="000000" w:themeColor="text1"/>
          <w:sz w:val="20"/>
          <w:szCs w:val="20"/>
          <w:lang w:val="es-ES"/>
        </w:rPr>
        <w:t xml:space="preserve"> </w:t>
      </w:r>
      <w:proofErr w:type="spellStart"/>
      <w:r w:rsidRPr="00F16EC7">
        <w:rPr>
          <w:rFonts w:asciiTheme="majorHAnsi" w:hAnsiTheme="majorHAnsi" w:cstheme="majorHAnsi"/>
          <w:i/>
          <w:color w:val="000000" w:themeColor="text1"/>
          <w:sz w:val="20"/>
          <w:szCs w:val="20"/>
          <w:lang w:val="es-ES"/>
        </w:rPr>
        <w:t>fratris</w:t>
      </w:r>
      <w:proofErr w:type="spellEnd"/>
      <w:r w:rsidRPr="00F16EC7">
        <w:rPr>
          <w:rFonts w:asciiTheme="majorHAnsi" w:hAnsiTheme="majorHAnsi" w:cstheme="majorHAnsi"/>
          <w:color w:val="000000" w:themeColor="text1"/>
          <w:sz w:val="20"/>
          <w:szCs w:val="20"/>
          <w:lang w:val="es-ES"/>
        </w:rPr>
        <w:t xml:space="preserve">, </w:t>
      </w:r>
      <w:proofErr w:type="spellStart"/>
      <w:proofErr w:type="gramStart"/>
      <w:r w:rsidR="00290D68" w:rsidRPr="00F16EC7">
        <w:rPr>
          <w:rFonts w:asciiTheme="majorHAnsi" w:hAnsiTheme="majorHAnsi" w:cstheme="majorHAnsi"/>
          <w:color w:val="000000" w:themeColor="text1"/>
          <w:sz w:val="20"/>
          <w:szCs w:val="20"/>
          <w:lang w:val="es-ES"/>
        </w:rPr>
        <w:t>O.Faller</w:t>
      </w:r>
      <w:proofErr w:type="spellEnd"/>
      <w:proofErr w:type="gramEnd"/>
      <w:r w:rsidRPr="00F16EC7">
        <w:rPr>
          <w:rFonts w:asciiTheme="majorHAnsi" w:hAnsiTheme="majorHAnsi" w:cstheme="majorHAnsi"/>
          <w:color w:val="000000" w:themeColor="text1"/>
          <w:sz w:val="20"/>
          <w:szCs w:val="20"/>
          <w:lang w:val="es-ES"/>
        </w:rPr>
        <w:t xml:space="preserve"> (ed.),</w:t>
      </w:r>
      <w:r w:rsidR="00290D68" w:rsidRPr="00F16EC7">
        <w:rPr>
          <w:rFonts w:asciiTheme="majorHAnsi" w:hAnsiTheme="majorHAnsi" w:cstheme="majorHAnsi"/>
          <w:color w:val="000000" w:themeColor="text1"/>
          <w:sz w:val="20"/>
          <w:szCs w:val="20"/>
          <w:lang w:val="es-ES"/>
        </w:rPr>
        <w:t xml:space="preserve">Sancti </w:t>
      </w:r>
      <w:proofErr w:type="spellStart"/>
      <w:r w:rsidR="00290D68" w:rsidRPr="00F16EC7">
        <w:rPr>
          <w:rFonts w:asciiTheme="majorHAnsi" w:hAnsiTheme="majorHAnsi" w:cstheme="majorHAnsi"/>
          <w:color w:val="000000" w:themeColor="text1"/>
          <w:sz w:val="20"/>
          <w:szCs w:val="20"/>
          <w:lang w:val="es-ES"/>
        </w:rPr>
        <w:t>Ambrosii</w:t>
      </w:r>
      <w:proofErr w:type="spellEnd"/>
      <w:r w:rsidR="00290D68" w:rsidRPr="00F16EC7">
        <w:rPr>
          <w:rFonts w:asciiTheme="majorHAnsi" w:hAnsiTheme="majorHAnsi" w:cstheme="majorHAnsi"/>
          <w:color w:val="000000" w:themeColor="text1"/>
          <w:sz w:val="20"/>
          <w:szCs w:val="20"/>
          <w:lang w:val="es-ES"/>
        </w:rPr>
        <w:t xml:space="preserve"> Opera,</w:t>
      </w:r>
      <w:r w:rsidRPr="00F16EC7">
        <w:rPr>
          <w:rFonts w:asciiTheme="majorHAnsi" w:hAnsiTheme="majorHAnsi" w:cstheme="majorHAnsi"/>
          <w:color w:val="000000" w:themeColor="text1"/>
          <w:sz w:val="20"/>
          <w:szCs w:val="20"/>
          <w:lang w:val="es-ES"/>
        </w:rPr>
        <w:t xml:space="preserve"> </w:t>
      </w:r>
      <w:r w:rsidRPr="00F16EC7">
        <w:rPr>
          <w:rFonts w:asciiTheme="majorHAnsi" w:hAnsiTheme="majorHAnsi" w:cstheme="majorHAnsi"/>
          <w:iCs/>
          <w:color w:val="000000" w:themeColor="text1"/>
          <w:sz w:val="20"/>
          <w:szCs w:val="20"/>
          <w:lang w:val="es-ES"/>
        </w:rPr>
        <w:t>CSEL</w:t>
      </w:r>
      <w:r w:rsidRPr="00F16EC7">
        <w:rPr>
          <w:rFonts w:asciiTheme="majorHAnsi" w:hAnsiTheme="majorHAnsi" w:cstheme="majorHAnsi"/>
          <w:i/>
          <w:iCs/>
          <w:color w:val="000000" w:themeColor="text1"/>
          <w:sz w:val="20"/>
          <w:szCs w:val="20"/>
          <w:lang w:val="es-ES"/>
        </w:rPr>
        <w:t xml:space="preserve"> </w:t>
      </w:r>
      <w:r w:rsidRPr="00F16EC7">
        <w:rPr>
          <w:rFonts w:asciiTheme="majorHAnsi" w:hAnsiTheme="majorHAnsi" w:cstheme="majorHAnsi"/>
          <w:color w:val="000000" w:themeColor="text1"/>
          <w:sz w:val="20"/>
          <w:szCs w:val="20"/>
          <w:lang w:val="es-ES"/>
        </w:rPr>
        <w:t>73 (</w:t>
      </w:r>
      <w:proofErr w:type="spellStart"/>
      <w:r w:rsidR="00290D68" w:rsidRPr="00F16EC7">
        <w:rPr>
          <w:rFonts w:asciiTheme="majorHAnsi" w:hAnsiTheme="majorHAnsi" w:cstheme="majorHAnsi"/>
          <w:color w:val="000000" w:themeColor="text1"/>
          <w:sz w:val="20"/>
          <w:szCs w:val="20"/>
          <w:lang w:val="es-ES"/>
        </w:rPr>
        <w:t>Vienna</w:t>
      </w:r>
      <w:proofErr w:type="spellEnd"/>
      <w:r w:rsidR="00290D68" w:rsidRPr="00F16EC7">
        <w:rPr>
          <w:rFonts w:asciiTheme="majorHAnsi" w:hAnsiTheme="majorHAnsi" w:cstheme="majorHAnsi"/>
          <w:color w:val="000000" w:themeColor="text1"/>
          <w:sz w:val="20"/>
          <w:szCs w:val="20"/>
          <w:lang w:val="es-ES"/>
        </w:rPr>
        <w:t xml:space="preserve">: </w:t>
      </w:r>
      <w:proofErr w:type="spellStart"/>
      <w:r w:rsidR="00290D68" w:rsidRPr="00F16EC7">
        <w:rPr>
          <w:rFonts w:asciiTheme="majorHAnsi" w:hAnsiTheme="majorHAnsi" w:cstheme="majorHAnsi"/>
          <w:color w:val="000000" w:themeColor="text1"/>
          <w:sz w:val="20"/>
          <w:szCs w:val="20"/>
          <w:lang w:val="es-ES"/>
        </w:rPr>
        <w:t>OeAW</w:t>
      </w:r>
      <w:proofErr w:type="spellEnd"/>
      <w:r w:rsidR="00290D68" w:rsidRPr="00F16EC7">
        <w:rPr>
          <w:rFonts w:asciiTheme="majorHAnsi" w:hAnsiTheme="majorHAnsi" w:cstheme="majorHAnsi"/>
          <w:color w:val="000000" w:themeColor="text1"/>
          <w:sz w:val="20"/>
          <w:szCs w:val="20"/>
          <w:lang w:val="es-ES"/>
        </w:rPr>
        <w:t>, 1955</w:t>
      </w:r>
      <w:r w:rsidRPr="00F16EC7">
        <w:rPr>
          <w:rFonts w:asciiTheme="majorHAnsi" w:hAnsiTheme="majorHAnsi" w:cstheme="majorHAnsi"/>
          <w:color w:val="000000" w:themeColor="text1"/>
          <w:sz w:val="20"/>
          <w:szCs w:val="20"/>
          <w:lang w:val="es-ES"/>
        </w:rPr>
        <w:t>), 207-325.</w:t>
      </w:r>
    </w:p>
  </w:footnote>
  <w:footnote w:id="3">
    <w:p w:rsidR="002044A1" w:rsidRPr="00F16EC7" w:rsidRDefault="002044A1" w:rsidP="00A669E0">
      <w:pPr>
        <w:jc w:val="both"/>
        <w:rPr>
          <w:rFonts w:asciiTheme="majorHAnsi" w:hAnsiTheme="majorHAnsi" w:cstheme="majorHAnsi"/>
          <w:color w:val="000000" w:themeColor="text1"/>
          <w:sz w:val="20"/>
          <w:szCs w:val="20"/>
          <w:lang w:val="es-ES"/>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lang w:val="es-ES"/>
        </w:rPr>
        <w:t xml:space="preserve"> </w:t>
      </w:r>
      <w:proofErr w:type="spellStart"/>
      <w:r w:rsidRPr="00F16EC7">
        <w:rPr>
          <w:rFonts w:asciiTheme="majorHAnsi" w:hAnsiTheme="majorHAnsi" w:cstheme="majorHAnsi"/>
          <w:color w:val="000000" w:themeColor="text1"/>
          <w:sz w:val="20"/>
          <w:szCs w:val="20"/>
          <w:lang w:val="es-ES"/>
        </w:rPr>
        <w:t>Ambrose</w:t>
      </w:r>
      <w:proofErr w:type="spellEnd"/>
      <w:r w:rsidRPr="00F16EC7">
        <w:rPr>
          <w:rFonts w:asciiTheme="majorHAnsi" w:hAnsiTheme="majorHAnsi" w:cstheme="majorHAnsi"/>
          <w:color w:val="000000" w:themeColor="text1"/>
          <w:sz w:val="20"/>
          <w:szCs w:val="20"/>
          <w:lang w:val="es-ES"/>
        </w:rPr>
        <w:t xml:space="preserve">, </w:t>
      </w:r>
      <w:r w:rsidRPr="00F16EC7">
        <w:rPr>
          <w:rFonts w:asciiTheme="majorHAnsi" w:hAnsiTheme="majorHAnsi" w:cstheme="majorHAnsi"/>
          <w:i/>
          <w:color w:val="000000" w:themeColor="text1"/>
          <w:sz w:val="20"/>
          <w:szCs w:val="20"/>
          <w:lang w:val="es-ES"/>
        </w:rPr>
        <w:t xml:space="preserve">De </w:t>
      </w:r>
      <w:proofErr w:type="spellStart"/>
      <w:r w:rsidRPr="00F16EC7">
        <w:rPr>
          <w:rFonts w:asciiTheme="majorHAnsi" w:hAnsiTheme="majorHAnsi" w:cstheme="majorHAnsi"/>
          <w:i/>
          <w:color w:val="000000" w:themeColor="text1"/>
          <w:sz w:val="20"/>
          <w:szCs w:val="20"/>
          <w:lang w:val="es-ES"/>
        </w:rPr>
        <w:t>virginibus</w:t>
      </w:r>
      <w:proofErr w:type="spellEnd"/>
      <w:r w:rsidRPr="00F16EC7">
        <w:rPr>
          <w:rFonts w:asciiTheme="majorHAnsi" w:hAnsiTheme="majorHAnsi" w:cstheme="majorHAnsi"/>
          <w:color w:val="000000" w:themeColor="text1"/>
          <w:sz w:val="20"/>
          <w:szCs w:val="20"/>
          <w:lang w:val="es-ES"/>
        </w:rPr>
        <w:t xml:space="preserve">, 3.1.1, Franco </w:t>
      </w:r>
      <w:proofErr w:type="spellStart"/>
      <w:r w:rsidRPr="00F16EC7">
        <w:rPr>
          <w:rFonts w:asciiTheme="majorHAnsi" w:hAnsiTheme="majorHAnsi" w:cstheme="majorHAnsi"/>
          <w:color w:val="000000" w:themeColor="text1"/>
          <w:sz w:val="20"/>
          <w:szCs w:val="20"/>
          <w:lang w:val="es-ES"/>
        </w:rPr>
        <w:t>Gori</w:t>
      </w:r>
      <w:proofErr w:type="spellEnd"/>
      <w:r w:rsidRPr="00F16EC7">
        <w:rPr>
          <w:rFonts w:asciiTheme="majorHAnsi" w:hAnsiTheme="majorHAnsi" w:cstheme="majorHAnsi"/>
          <w:color w:val="000000" w:themeColor="text1"/>
          <w:sz w:val="20"/>
          <w:szCs w:val="20"/>
          <w:lang w:val="es-ES"/>
        </w:rPr>
        <w:t xml:space="preserve"> (ed.), </w:t>
      </w:r>
      <w:r w:rsidR="00290D68" w:rsidRPr="00F16EC7">
        <w:rPr>
          <w:rFonts w:asciiTheme="majorHAnsi" w:hAnsiTheme="majorHAnsi" w:cstheme="majorHAnsi"/>
          <w:color w:val="000000" w:themeColor="text1"/>
          <w:sz w:val="20"/>
          <w:szCs w:val="20"/>
          <w:shd w:val="clear" w:color="auto" w:fill="FFFFFF"/>
          <w:lang w:val="es-ES"/>
        </w:rPr>
        <w:t xml:space="preserve">Sancti </w:t>
      </w:r>
      <w:proofErr w:type="spellStart"/>
      <w:r w:rsidR="00290D68" w:rsidRPr="00F16EC7">
        <w:rPr>
          <w:rFonts w:asciiTheme="majorHAnsi" w:hAnsiTheme="majorHAnsi" w:cstheme="majorHAnsi"/>
          <w:color w:val="000000" w:themeColor="text1"/>
          <w:sz w:val="20"/>
          <w:szCs w:val="20"/>
          <w:shd w:val="clear" w:color="auto" w:fill="FFFFFF"/>
          <w:lang w:val="es-ES"/>
        </w:rPr>
        <w:t>Ambrosii</w:t>
      </w:r>
      <w:proofErr w:type="spellEnd"/>
      <w:r w:rsidR="00290D68" w:rsidRPr="00F16EC7">
        <w:rPr>
          <w:rFonts w:asciiTheme="majorHAnsi" w:hAnsiTheme="majorHAnsi" w:cstheme="majorHAnsi"/>
          <w:color w:val="000000" w:themeColor="text1"/>
          <w:sz w:val="20"/>
          <w:szCs w:val="20"/>
          <w:shd w:val="clear" w:color="auto" w:fill="FFFFFF"/>
          <w:lang w:val="es-ES"/>
        </w:rPr>
        <w:t xml:space="preserve"> </w:t>
      </w:r>
      <w:proofErr w:type="spellStart"/>
      <w:r w:rsidR="00290D68" w:rsidRPr="00F16EC7">
        <w:rPr>
          <w:rFonts w:asciiTheme="majorHAnsi" w:hAnsiTheme="majorHAnsi" w:cstheme="majorHAnsi"/>
          <w:color w:val="000000" w:themeColor="text1"/>
          <w:sz w:val="20"/>
          <w:szCs w:val="20"/>
          <w:shd w:val="clear" w:color="auto" w:fill="FFFFFF"/>
          <w:lang w:val="es-ES"/>
        </w:rPr>
        <w:t>Episcopi</w:t>
      </w:r>
      <w:proofErr w:type="spellEnd"/>
      <w:r w:rsidR="00290D68" w:rsidRPr="00F16EC7">
        <w:rPr>
          <w:rFonts w:asciiTheme="majorHAnsi" w:hAnsiTheme="majorHAnsi" w:cstheme="majorHAnsi"/>
          <w:color w:val="000000" w:themeColor="text1"/>
          <w:sz w:val="20"/>
          <w:szCs w:val="20"/>
          <w:shd w:val="clear" w:color="auto" w:fill="FFFFFF"/>
          <w:lang w:val="es-ES"/>
        </w:rPr>
        <w:t xml:space="preserve"> </w:t>
      </w:r>
      <w:proofErr w:type="spellStart"/>
      <w:r w:rsidR="00290D68" w:rsidRPr="00F16EC7">
        <w:rPr>
          <w:rFonts w:asciiTheme="majorHAnsi" w:hAnsiTheme="majorHAnsi" w:cstheme="majorHAnsi"/>
          <w:color w:val="000000" w:themeColor="text1"/>
          <w:sz w:val="20"/>
          <w:szCs w:val="20"/>
          <w:shd w:val="clear" w:color="auto" w:fill="FFFFFF"/>
          <w:lang w:val="es-ES"/>
        </w:rPr>
        <w:t>Mediolensis</w:t>
      </w:r>
      <w:proofErr w:type="spellEnd"/>
      <w:r w:rsidR="00290D68" w:rsidRPr="00F16EC7">
        <w:rPr>
          <w:rFonts w:asciiTheme="majorHAnsi" w:hAnsiTheme="majorHAnsi" w:cstheme="majorHAnsi"/>
          <w:color w:val="000000" w:themeColor="text1"/>
          <w:sz w:val="20"/>
          <w:szCs w:val="20"/>
          <w:shd w:val="clear" w:color="auto" w:fill="FFFFFF"/>
          <w:lang w:val="es-ES"/>
        </w:rPr>
        <w:t xml:space="preserve"> Opera</w:t>
      </w:r>
      <w:r w:rsidRPr="00F16EC7">
        <w:rPr>
          <w:rFonts w:asciiTheme="majorHAnsi" w:hAnsiTheme="majorHAnsi" w:cstheme="majorHAnsi"/>
          <w:color w:val="000000" w:themeColor="text1"/>
          <w:sz w:val="20"/>
          <w:szCs w:val="20"/>
          <w:lang w:val="es-ES"/>
        </w:rPr>
        <w:t>, 2 vols. (</w:t>
      </w:r>
      <w:proofErr w:type="spellStart"/>
      <w:r w:rsidRPr="00F16EC7">
        <w:rPr>
          <w:rFonts w:asciiTheme="majorHAnsi" w:hAnsiTheme="majorHAnsi" w:cstheme="majorHAnsi"/>
          <w:color w:val="000000" w:themeColor="text1"/>
          <w:sz w:val="20"/>
          <w:szCs w:val="20"/>
          <w:lang w:val="es-ES"/>
        </w:rPr>
        <w:t>Milan</w:t>
      </w:r>
      <w:proofErr w:type="spellEnd"/>
      <w:r w:rsidRPr="00F16EC7">
        <w:rPr>
          <w:rFonts w:asciiTheme="majorHAnsi" w:hAnsiTheme="majorHAnsi" w:cstheme="majorHAnsi"/>
          <w:color w:val="000000" w:themeColor="text1"/>
          <w:sz w:val="20"/>
          <w:szCs w:val="20"/>
          <w:lang w:val="es-ES"/>
        </w:rPr>
        <w:t xml:space="preserve">: </w:t>
      </w:r>
      <w:r w:rsidRPr="00F16EC7">
        <w:rPr>
          <w:rFonts w:asciiTheme="majorHAnsi" w:hAnsiTheme="majorHAnsi" w:cstheme="majorHAnsi"/>
          <w:color w:val="000000" w:themeColor="text1"/>
          <w:sz w:val="20"/>
          <w:szCs w:val="20"/>
          <w:shd w:val="clear" w:color="auto" w:fill="FFFFFF"/>
          <w:lang w:val="es-ES"/>
        </w:rPr>
        <w:t>Biblioteca Ambrosiana,</w:t>
      </w:r>
      <w:r w:rsidRPr="00F16EC7">
        <w:rPr>
          <w:rFonts w:asciiTheme="majorHAnsi" w:hAnsiTheme="majorHAnsi" w:cstheme="majorHAnsi"/>
          <w:color w:val="000000" w:themeColor="text1"/>
          <w:sz w:val="20"/>
          <w:szCs w:val="20"/>
          <w:lang w:val="es-ES"/>
        </w:rPr>
        <w:t xml:space="preserve"> 1989), vol. I, 99-241.</w:t>
      </w:r>
    </w:p>
  </w:footnote>
  <w:footnote w:id="4">
    <w:p w:rsidR="002044A1" w:rsidRPr="00F16EC7" w:rsidRDefault="002044A1" w:rsidP="00A669E0">
      <w:pPr>
        <w:pStyle w:val="FootnoteText"/>
        <w:spacing w:line="240" w:lineRule="auto"/>
        <w:jc w:val="both"/>
        <w:rPr>
          <w:rFonts w:asciiTheme="majorHAnsi" w:hAnsiTheme="majorHAnsi" w:cstheme="majorHAnsi"/>
          <w:color w:val="000000" w:themeColor="text1"/>
          <w:lang w:val="es-ES_tradnl"/>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lang w:val="es-ES"/>
        </w:rPr>
        <w:t xml:space="preserve"> Am</w:t>
      </w:r>
      <w:proofErr w:type="spellStart"/>
      <w:r w:rsidRPr="00F16EC7">
        <w:rPr>
          <w:rFonts w:asciiTheme="majorHAnsi" w:hAnsiTheme="majorHAnsi" w:cstheme="majorHAnsi"/>
          <w:color w:val="000000" w:themeColor="text1"/>
          <w:lang w:val="es-ES_tradnl"/>
        </w:rPr>
        <w:t>brose</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i/>
          <w:color w:val="000000" w:themeColor="text1"/>
          <w:lang w:val="es-ES_tradnl"/>
        </w:rPr>
        <w:t xml:space="preserve">De </w:t>
      </w:r>
      <w:proofErr w:type="spellStart"/>
      <w:r w:rsidRPr="00F16EC7">
        <w:rPr>
          <w:rFonts w:asciiTheme="majorHAnsi" w:hAnsiTheme="majorHAnsi" w:cstheme="majorHAnsi"/>
          <w:i/>
          <w:color w:val="000000" w:themeColor="text1"/>
          <w:lang w:val="es-ES_tradnl"/>
        </w:rPr>
        <w:t>virginibus</w:t>
      </w:r>
      <w:proofErr w:type="spellEnd"/>
      <w:r w:rsidRPr="00F16EC7">
        <w:rPr>
          <w:rFonts w:asciiTheme="majorHAnsi" w:hAnsiTheme="majorHAnsi" w:cstheme="majorHAnsi"/>
          <w:color w:val="000000" w:themeColor="text1"/>
          <w:lang w:val="es-ES_tradnl"/>
        </w:rPr>
        <w:t>, 3.7.38-39.</w:t>
      </w:r>
    </w:p>
  </w:footnote>
  <w:footnote w:id="5">
    <w:p w:rsidR="002044A1" w:rsidRPr="00F16EC7" w:rsidRDefault="002044A1" w:rsidP="00A669E0">
      <w:pPr>
        <w:jc w:val="both"/>
        <w:rPr>
          <w:rFonts w:asciiTheme="majorHAnsi" w:hAnsiTheme="majorHAnsi" w:cstheme="majorHAnsi"/>
          <w:color w:val="000000" w:themeColor="text1"/>
          <w:sz w:val="20"/>
          <w:szCs w:val="20"/>
          <w:lang w:val="es-ES_tradnl"/>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s-ES_tradnl"/>
        </w:rPr>
        <w:t xml:space="preserve"> </w:t>
      </w:r>
      <w:proofErr w:type="spellStart"/>
      <w:r w:rsidRPr="00F16EC7">
        <w:rPr>
          <w:rFonts w:asciiTheme="majorHAnsi" w:hAnsiTheme="majorHAnsi" w:cstheme="majorHAnsi"/>
          <w:color w:val="000000" w:themeColor="text1"/>
          <w:sz w:val="20"/>
          <w:szCs w:val="20"/>
          <w:lang w:val="es-ES_tradnl"/>
        </w:rPr>
        <w:t>Ambrose</w:t>
      </w:r>
      <w:proofErr w:type="spellEnd"/>
      <w:r w:rsidRPr="00F16EC7">
        <w:rPr>
          <w:rFonts w:asciiTheme="majorHAnsi" w:hAnsiTheme="majorHAnsi" w:cstheme="majorHAnsi"/>
          <w:color w:val="000000" w:themeColor="text1"/>
          <w:sz w:val="20"/>
          <w:szCs w:val="20"/>
          <w:lang w:val="es-ES_tradnl"/>
        </w:rPr>
        <w:t xml:space="preserve">, </w:t>
      </w:r>
      <w:proofErr w:type="spellStart"/>
      <w:r w:rsidRPr="00F16EC7">
        <w:rPr>
          <w:rFonts w:asciiTheme="majorHAnsi" w:hAnsiTheme="majorHAnsi" w:cstheme="majorHAnsi"/>
          <w:i/>
          <w:color w:val="000000" w:themeColor="text1"/>
          <w:sz w:val="20"/>
          <w:szCs w:val="20"/>
          <w:lang w:val="es-ES_tradnl"/>
        </w:rPr>
        <w:t>Exhortatio</w:t>
      </w:r>
      <w:proofErr w:type="spellEnd"/>
      <w:r w:rsidRPr="00F16EC7">
        <w:rPr>
          <w:rFonts w:asciiTheme="majorHAnsi" w:hAnsiTheme="majorHAnsi" w:cstheme="majorHAnsi"/>
          <w:i/>
          <w:color w:val="000000" w:themeColor="text1"/>
          <w:sz w:val="20"/>
          <w:szCs w:val="20"/>
          <w:lang w:val="es-ES_tradnl"/>
        </w:rPr>
        <w:t xml:space="preserve"> </w:t>
      </w:r>
      <w:proofErr w:type="spellStart"/>
      <w:r w:rsidRPr="00F16EC7">
        <w:rPr>
          <w:rFonts w:asciiTheme="majorHAnsi" w:hAnsiTheme="majorHAnsi" w:cstheme="majorHAnsi"/>
          <w:i/>
          <w:color w:val="000000" w:themeColor="text1"/>
          <w:sz w:val="20"/>
          <w:szCs w:val="20"/>
          <w:lang w:val="es-ES_tradnl"/>
        </w:rPr>
        <w:t>Virginitatis</w:t>
      </w:r>
      <w:proofErr w:type="spellEnd"/>
      <w:r w:rsidRPr="00F16EC7">
        <w:rPr>
          <w:rFonts w:asciiTheme="majorHAnsi" w:hAnsiTheme="majorHAnsi" w:cstheme="majorHAnsi"/>
          <w:color w:val="000000" w:themeColor="text1"/>
          <w:sz w:val="20"/>
          <w:szCs w:val="20"/>
          <w:lang w:val="es-ES_tradnl"/>
        </w:rPr>
        <w:t>,</w:t>
      </w:r>
      <w:r w:rsidRPr="00F16EC7">
        <w:rPr>
          <w:rFonts w:asciiTheme="majorHAnsi" w:eastAsiaTheme="minorEastAsia" w:hAnsiTheme="majorHAnsi" w:cstheme="majorHAnsi"/>
          <w:color w:val="000000" w:themeColor="text1"/>
          <w:sz w:val="20"/>
          <w:szCs w:val="20"/>
          <w:lang w:val="es-ES_tradnl"/>
        </w:rPr>
        <w:t xml:space="preserve"> </w:t>
      </w:r>
      <w:r w:rsidRPr="00F16EC7">
        <w:rPr>
          <w:rFonts w:asciiTheme="majorHAnsi" w:hAnsiTheme="majorHAnsi" w:cstheme="majorHAnsi"/>
          <w:color w:val="000000" w:themeColor="text1"/>
          <w:sz w:val="20"/>
          <w:szCs w:val="20"/>
          <w:lang w:val="es-ES_tradnl"/>
        </w:rPr>
        <w:t xml:space="preserve">Franco </w:t>
      </w:r>
      <w:proofErr w:type="spellStart"/>
      <w:r w:rsidRPr="00F16EC7">
        <w:rPr>
          <w:rFonts w:asciiTheme="majorHAnsi" w:hAnsiTheme="majorHAnsi" w:cstheme="majorHAnsi"/>
          <w:color w:val="000000" w:themeColor="text1"/>
          <w:sz w:val="20"/>
          <w:szCs w:val="20"/>
          <w:lang w:val="es-ES_tradnl"/>
        </w:rPr>
        <w:t>Gori</w:t>
      </w:r>
      <w:proofErr w:type="spellEnd"/>
      <w:r w:rsidRPr="00F16EC7">
        <w:rPr>
          <w:rFonts w:asciiTheme="majorHAnsi" w:hAnsiTheme="majorHAnsi" w:cstheme="majorHAnsi"/>
          <w:color w:val="000000" w:themeColor="text1"/>
          <w:sz w:val="20"/>
          <w:szCs w:val="20"/>
          <w:lang w:val="es-ES_tradnl"/>
        </w:rPr>
        <w:t xml:space="preserve"> (ed.)</w:t>
      </w:r>
      <w:r w:rsidRPr="00F16EC7">
        <w:rPr>
          <w:rFonts w:asciiTheme="majorHAnsi" w:eastAsiaTheme="minorEastAsia" w:hAnsiTheme="majorHAnsi" w:cstheme="majorHAnsi"/>
          <w:color w:val="000000" w:themeColor="text1"/>
          <w:sz w:val="20"/>
          <w:szCs w:val="20"/>
          <w:lang w:val="es-ES_tradnl"/>
        </w:rPr>
        <w:t xml:space="preserve">, </w:t>
      </w:r>
      <w:r w:rsidR="00290D68" w:rsidRPr="00F16EC7">
        <w:rPr>
          <w:rFonts w:asciiTheme="majorHAnsi" w:hAnsiTheme="majorHAnsi" w:cstheme="majorHAnsi"/>
          <w:color w:val="000000" w:themeColor="text1"/>
          <w:sz w:val="20"/>
          <w:szCs w:val="20"/>
          <w:shd w:val="clear" w:color="auto" w:fill="FFFFFF"/>
          <w:lang w:val="es-ES"/>
        </w:rPr>
        <w:t xml:space="preserve">Sancti </w:t>
      </w:r>
      <w:proofErr w:type="spellStart"/>
      <w:r w:rsidR="00290D68" w:rsidRPr="00F16EC7">
        <w:rPr>
          <w:rFonts w:asciiTheme="majorHAnsi" w:hAnsiTheme="majorHAnsi" w:cstheme="majorHAnsi"/>
          <w:color w:val="000000" w:themeColor="text1"/>
          <w:sz w:val="20"/>
          <w:szCs w:val="20"/>
          <w:shd w:val="clear" w:color="auto" w:fill="FFFFFF"/>
          <w:lang w:val="es-ES"/>
        </w:rPr>
        <w:t>Ambrosii</w:t>
      </w:r>
      <w:proofErr w:type="spellEnd"/>
      <w:r w:rsidR="00290D68" w:rsidRPr="00F16EC7">
        <w:rPr>
          <w:rFonts w:asciiTheme="majorHAnsi" w:hAnsiTheme="majorHAnsi" w:cstheme="majorHAnsi"/>
          <w:color w:val="000000" w:themeColor="text1"/>
          <w:sz w:val="20"/>
          <w:szCs w:val="20"/>
          <w:shd w:val="clear" w:color="auto" w:fill="FFFFFF"/>
          <w:lang w:val="es-ES"/>
        </w:rPr>
        <w:t xml:space="preserve"> </w:t>
      </w:r>
      <w:proofErr w:type="spellStart"/>
      <w:r w:rsidR="00290D68" w:rsidRPr="00F16EC7">
        <w:rPr>
          <w:rFonts w:asciiTheme="majorHAnsi" w:hAnsiTheme="majorHAnsi" w:cstheme="majorHAnsi"/>
          <w:color w:val="000000" w:themeColor="text1"/>
          <w:sz w:val="20"/>
          <w:szCs w:val="20"/>
          <w:shd w:val="clear" w:color="auto" w:fill="FFFFFF"/>
          <w:lang w:val="es-ES"/>
        </w:rPr>
        <w:t>Episcopi</w:t>
      </w:r>
      <w:proofErr w:type="spellEnd"/>
      <w:r w:rsidR="00290D68" w:rsidRPr="00F16EC7">
        <w:rPr>
          <w:rFonts w:asciiTheme="majorHAnsi" w:hAnsiTheme="majorHAnsi" w:cstheme="majorHAnsi"/>
          <w:color w:val="000000" w:themeColor="text1"/>
          <w:sz w:val="20"/>
          <w:szCs w:val="20"/>
          <w:shd w:val="clear" w:color="auto" w:fill="FFFFFF"/>
          <w:lang w:val="es-ES"/>
        </w:rPr>
        <w:t xml:space="preserve"> </w:t>
      </w:r>
      <w:proofErr w:type="spellStart"/>
      <w:r w:rsidR="00290D68" w:rsidRPr="00F16EC7">
        <w:rPr>
          <w:rFonts w:asciiTheme="majorHAnsi" w:hAnsiTheme="majorHAnsi" w:cstheme="majorHAnsi"/>
          <w:color w:val="000000" w:themeColor="text1"/>
          <w:sz w:val="20"/>
          <w:szCs w:val="20"/>
          <w:shd w:val="clear" w:color="auto" w:fill="FFFFFF"/>
          <w:lang w:val="es-ES"/>
        </w:rPr>
        <w:t>Mediolensis</w:t>
      </w:r>
      <w:proofErr w:type="spellEnd"/>
      <w:r w:rsidR="00290D68" w:rsidRPr="00F16EC7">
        <w:rPr>
          <w:rFonts w:asciiTheme="majorHAnsi" w:hAnsiTheme="majorHAnsi" w:cstheme="majorHAnsi"/>
          <w:color w:val="000000" w:themeColor="text1"/>
          <w:sz w:val="20"/>
          <w:szCs w:val="20"/>
          <w:shd w:val="clear" w:color="auto" w:fill="FFFFFF"/>
          <w:lang w:val="es-ES"/>
        </w:rPr>
        <w:t xml:space="preserve"> Opera</w:t>
      </w:r>
      <w:r w:rsidRPr="00F16EC7">
        <w:rPr>
          <w:rFonts w:asciiTheme="majorHAnsi" w:hAnsiTheme="majorHAnsi" w:cstheme="majorHAnsi"/>
          <w:color w:val="000000" w:themeColor="text1"/>
          <w:sz w:val="20"/>
          <w:szCs w:val="20"/>
          <w:lang w:val="es-ES_tradnl"/>
        </w:rPr>
        <w:t xml:space="preserve">, </w:t>
      </w:r>
      <w:r w:rsidRPr="00F16EC7">
        <w:rPr>
          <w:rFonts w:asciiTheme="majorHAnsi" w:eastAsiaTheme="minorEastAsia" w:hAnsiTheme="majorHAnsi" w:cstheme="majorHAnsi"/>
          <w:color w:val="000000" w:themeColor="text1"/>
          <w:sz w:val="20"/>
          <w:szCs w:val="20"/>
          <w:lang w:val="es-ES_tradnl"/>
        </w:rPr>
        <w:t xml:space="preserve">2 vols. </w:t>
      </w:r>
      <w:r w:rsidRPr="00F16EC7">
        <w:rPr>
          <w:rFonts w:asciiTheme="majorHAnsi" w:eastAsiaTheme="minorEastAsia" w:hAnsiTheme="majorHAnsi" w:cstheme="majorHAnsi"/>
          <w:color w:val="000000" w:themeColor="text1"/>
          <w:sz w:val="20"/>
          <w:szCs w:val="20"/>
          <w:lang w:val="es-ES_tradnl"/>
        </w:rPr>
        <w:t xml:space="preserve">(Milan: </w:t>
      </w:r>
      <w:r w:rsidRPr="00F16EC7">
        <w:rPr>
          <w:rFonts w:asciiTheme="majorHAnsi" w:hAnsiTheme="majorHAnsi" w:cstheme="majorHAnsi"/>
          <w:color w:val="000000" w:themeColor="text1"/>
          <w:sz w:val="20"/>
          <w:szCs w:val="20"/>
          <w:shd w:val="clear" w:color="auto" w:fill="FFFFFF"/>
          <w:lang w:val="es-ES_tradnl"/>
        </w:rPr>
        <w:t>Biblioteca Ambrosiana,</w:t>
      </w:r>
      <w:r w:rsidRPr="00F16EC7">
        <w:rPr>
          <w:rFonts w:asciiTheme="majorHAnsi" w:eastAsiaTheme="minorEastAsia" w:hAnsiTheme="majorHAnsi" w:cstheme="majorHAnsi"/>
          <w:color w:val="000000" w:themeColor="text1"/>
          <w:sz w:val="20"/>
          <w:szCs w:val="20"/>
          <w:lang w:val="es-ES_tradnl"/>
        </w:rPr>
        <w:t xml:space="preserve"> 1989), vol. 2, 197-278.</w:t>
      </w:r>
    </w:p>
  </w:footnote>
  <w:footnote w:id="6">
    <w:p w:rsidR="002044A1" w:rsidRPr="00F16EC7" w:rsidRDefault="002044A1" w:rsidP="00A669E0">
      <w:pPr>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lang w:val="es-ES_tradnl"/>
        </w:rPr>
        <w:t xml:space="preserve"> Ambrose, </w:t>
      </w:r>
      <w:r w:rsidRPr="00F16EC7">
        <w:rPr>
          <w:rFonts w:asciiTheme="majorHAnsi" w:hAnsiTheme="majorHAnsi" w:cstheme="majorHAnsi"/>
          <w:i/>
          <w:color w:val="000000" w:themeColor="text1"/>
          <w:sz w:val="20"/>
          <w:szCs w:val="20"/>
          <w:lang w:val="es-ES_tradnl"/>
        </w:rPr>
        <w:t xml:space="preserve">Epistulae </w:t>
      </w:r>
      <w:r w:rsidRPr="00F16EC7">
        <w:rPr>
          <w:rFonts w:asciiTheme="majorHAnsi" w:hAnsiTheme="majorHAnsi" w:cstheme="majorHAnsi"/>
          <w:color w:val="000000" w:themeColor="text1"/>
          <w:sz w:val="20"/>
          <w:szCs w:val="20"/>
          <w:lang w:val="es-ES_tradnl"/>
        </w:rPr>
        <w:t xml:space="preserve">[hereafter: Ambrose, </w:t>
      </w:r>
      <w:r w:rsidRPr="00F16EC7">
        <w:rPr>
          <w:rFonts w:asciiTheme="majorHAnsi" w:hAnsiTheme="majorHAnsi" w:cstheme="majorHAnsi"/>
          <w:i/>
          <w:color w:val="000000" w:themeColor="text1"/>
          <w:sz w:val="20"/>
          <w:szCs w:val="20"/>
          <w:lang w:val="es-ES_tradnl"/>
        </w:rPr>
        <w:t>Ep</w:t>
      </w:r>
      <w:r w:rsidRPr="00F16EC7">
        <w:rPr>
          <w:rFonts w:asciiTheme="majorHAnsi" w:hAnsiTheme="majorHAnsi" w:cstheme="majorHAnsi"/>
          <w:color w:val="000000" w:themeColor="text1"/>
          <w:sz w:val="20"/>
          <w:szCs w:val="20"/>
          <w:lang w:val="es-ES_tradnl"/>
        </w:rPr>
        <w:t xml:space="preserve">.] 76, </w:t>
      </w:r>
      <w:r w:rsidR="00F30767" w:rsidRPr="00F16EC7">
        <w:rPr>
          <w:rFonts w:asciiTheme="majorHAnsi" w:hAnsiTheme="majorHAnsi" w:cstheme="majorHAnsi"/>
          <w:color w:val="000000" w:themeColor="text1"/>
          <w:sz w:val="20"/>
          <w:szCs w:val="20"/>
          <w:lang w:val="es-ES_tradnl"/>
        </w:rPr>
        <w:t>O.</w:t>
      </w:r>
      <w:r w:rsidR="00A669E0" w:rsidRPr="00F16EC7">
        <w:rPr>
          <w:rFonts w:asciiTheme="majorHAnsi" w:hAnsiTheme="majorHAnsi" w:cstheme="majorHAnsi"/>
          <w:color w:val="000000" w:themeColor="text1"/>
          <w:sz w:val="20"/>
          <w:szCs w:val="20"/>
          <w:lang w:val="es-ES_tradnl"/>
        </w:rPr>
        <w:t xml:space="preserve"> Faller and</w:t>
      </w:r>
      <w:r w:rsidR="00F30767" w:rsidRPr="00F16EC7">
        <w:rPr>
          <w:rFonts w:asciiTheme="majorHAnsi" w:hAnsiTheme="majorHAnsi" w:cstheme="majorHAnsi"/>
          <w:color w:val="000000" w:themeColor="text1"/>
          <w:sz w:val="20"/>
          <w:szCs w:val="20"/>
          <w:lang w:val="es-ES_tradnl"/>
        </w:rPr>
        <w:t xml:space="preserve"> M. Zelzer (eds.), </w:t>
      </w:r>
      <w:r w:rsidR="00F30767" w:rsidRPr="00F16EC7">
        <w:rPr>
          <w:rFonts w:asciiTheme="majorHAnsi" w:hAnsiTheme="majorHAnsi" w:cstheme="majorHAnsi"/>
          <w:i/>
          <w:color w:val="000000" w:themeColor="text1"/>
          <w:sz w:val="20"/>
          <w:szCs w:val="20"/>
          <w:shd w:val="clear" w:color="auto" w:fill="FFFFFF"/>
          <w:lang w:val="es-ES_tradnl"/>
        </w:rPr>
        <w:t>Sancti Ambrosi Opera, Epistulae et Acta</w:t>
      </w:r>
      <w:r w:rsidR="00F30767" w:rsidRPr="00F16EC7">
        <w:rPr>
          <w:rFonts w:asciiTheme="majorHAnsi" w:hAnsiTheme="majorHAnsi" w:cstheme="majorHAnsi"/>
          <w:color w:val="000000" w:themeColor="text1"/>
          <w:sz w:val="20"/>
          <w:szCs w:val="20"/>
          <w:shd w:val="clear" w:color="auto" w:fill="FFFFFF"/>
          <w:lang w:val="es-ES_tradnl"/>
        </w:rPr>
        <w:t xml:space="preserve"> </w:t>
      </w:r>
      <w:r w:rsidR="00A669E0" w:rsidRPr="00F16EC7">
        <w:rPr>
          <w:rFonts w:asciiTheme="majorHAnsi" w:hAnsiTheme="majorHAnsi" w:cstheme="majorHAnsi"/>
          <w:color w:val="000000" w:themeColor="text1"/>
          <w:sz w:val="20"/>
          <w:szCs w:val="20"/>
          <w:lang w:val="es-ES_tradnl"/>
        </w:rPr>
        <w:t xml:space="preserve">CSEL 82.3, </w:t>
      </w:r>
      <w:r w:rsidR="00F30767" w:rsidRPr="00F16EC7">
        <w:rPr>
          <w:rFonts w:asciiTheme="majorHAnsi" w:hAnsiTheme="majorHAnsi" w:cstheme="majorHAnsi"/>
          <w:color w:val="000000" w:themeColor="text1"/>
          <w:sz w:val="20"/>
          <w:szCs w:val="20"/>
          <w:shd w:val="clear" w:color="auto" w:fill="FFFFFF"/>
          <w:lang w:val="es-ES_tradnl"/>
        </w:rPr>
        <w:t>(Vienna: OeAW, 1982)</w:t>
      </w:r>
      <w:r w:rsidR="00A669E0" w:rsidRPr="00F16EC7">
        <w:rPr>
          <w:rFonts w:asciiTheme="majorHAnsi" w:hAnsiTheme="majorHAnsi" w:cstheme="majorHAnsi"/>
          <w:color w:val="000000" w:themeColor="text1"/>
          <w:sz w:val="20"/>
          <w:szCs w:val="20"/>
          <w:shd w:val="clear" w:color="auto" w:fill="FFFFFF"/>
          <w:lang w:val="es-ES_tradnl"/>
        </w:rPr>
        <w:t xml:space="preserve">, </w:t>
      </w:r>
      <w:r w:rsidR="00A669E0" w:rsidRPr="00F16EC7">
        <w:rPr>
          <w:rFonts w:asciiTheme="majorHAnsi" w:hAnsiTheme="majorHAnsi" w:cstheme="majorHAnsi"/>
          <w:color w:val="000000" w:themeColor="text1"/>
          <w:sz w:val="20"/>
          <w:szCs w:val="20"/>
          <w:lang w:val="es-ES_tradnl"/>
        </w:rPr>
        <w:t>123-124</w:t>
      </w:r>
      <w:r w:rsidRPr="00F16EC7">
        <w:rPr>
          <w:rFonts w:asciiTheme="majorHAnsi" w:hAnsiTheme="majorHAnsi" w:cstheme="majorHAnsi"/>
          <w:color w:val="000000" w:themeColor="text1"/>
          <w:sz w:val="20"/>
          <w:szCs w:val="20"/>
          <w:lang w:val="es-ES_tradnl"/>
        </w:rPr>
        <w:t xml:space="preserve">; </w:t>
      </w:r>
      <w:r w:rsidRPr="00F16EC7">
        <w:rPr>
          <w:rFonts w:asciiTheme="majorHAnsi" w:hAnsiTheme="majorHAnsi" w:cstheme="majorHAnsi"/>
          <w:i/>
          <w:color w:val="000000" w:themeColor="text1"/>
          <w:sz w:val="20"/>
          <w:szCs w:val="20"/>
          <w:lang w:val="es-ES_tradnl"/>
        </w:rPr>
        <w:t>Ep</w:t>
      </w:r>
      <w:r w:rsidRPr="00F16EC7">
        <w:rPr>
          <w:rFonts w:asciiTheme="majorHAnsi" w:hAnsiTheme="majorHAnsi" w:cstheme="majorHAnsi"/>
          <w:color w:val="000000" w:themeColor="text1"/>
          <w:sz w:val="20"/>
          <w:szCs w:val="20"/>
          <w:lang w:val="es-ES_tradnl"/>
        </w:rPr>
        <w:t xml:space="preserve">. 77, CSEL 82.3, 135-140; Ambrose, </w:t>
      </w:r>
      <w:r w:rsidRPr="00F16EC7">
        <w:rPr>
          <w:rFonts w:asciiTheme="majorHAnsi" w:hAnsiTheme="majorHAnsi" w:cstheme="majorHAnsi"/>
          <w:i/>
          <w:color w:val="000000" w:themeColor="text1"/>
          <w:sz w:val="20"/>
          <w:szCs w:val="20"/>
          <w:lang w:val="es-ES_tradnl"/>
        </w:rPr>
        <w:t>Epistulae extra Collectionem</w:t>
      </w:r>
      <w:r w:rsidRPr="00F16EC7">
        <w:rPr>
          <w:rFonts w:asciiTheme="majorHAnsi" w:hAnsiTheme="majorHAnsi" w:cstheme="majorHAnsi"/>
          <w:color w:val="000000" w:themeColor="text1"/>
          <w:sz w:val="20"/>
          <w:szCs w:val="20"/>
          <w:lang w:val="es-ES_tradnl"/>
        </w:rPr>
        <w:t xml:space="preserve"> [hereafter: Ambrose, </w:t>
      </w:r>
      <w:r w:rsidRPr="00F16EC7">
        <w:rPr>
          <w:rFonts w:asciiTheme="majorHAnsi" w:hAnsiTheme="majorHAnsi" w:cstheme="majorHAnsi"/>
          <w:i/>
          <w:color w:val="000000" w:themeColor="text1"/>
          <w:sz w:val="20"/>
          <w:szCs w:val="20"/>
          <w:lang w:val="es-ES_tradnl"/>
        </w:rPr>
        <w:t>Ep. extra coll</w:t>
      </w:r>
      <w:r w:rsidRPr="00F16EC7">
        <w:rPr>
          <w:rFonts w:asciiTheme="majorHAnsi" w:hAnsiTheme="majorHAnsi" w:cstheme="majorHAnsi"/>
          <w:color w:val="000000" w:themeColor="text1"/>
          <w:sz w:val="20"/>
          <w:szCs w:val="20"/>
          <w:lang w:val="es-ES_tradnl"/>
        </w:rPr>
        <w:t xml:space="preserve">.] </w:t>
      </w:r>
      <w:r w:rsidRPr="00F16EC7">
        <w:rPr>
          <w:rFonts w:asciiTheme="majorHAnsi" w:hAnsiTheme="majorHAnsi" w:cstheme="majorHAnsi"/>
          <w:color w:val="000000" w:themeColor="text1"/>
          <w:sz w:val="20"/>
          <w:szCs w:val="20"/>
          <w:lang w:val="en-GB"/>
        </w:rPr>
        <w:t>1, CSEL 82.3, 145-160.</w:t>
      </w:r>
    </w:p>
  </w:footnote>
  <w:footnote w:id="7">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E. A. Clark, </w:t>
      </w:r>
      <w:r w:rsidRPr="00F16EC7">
        <w:rPr>
          <w:rFonts w:asciiTheme="majorHAnsi" w:hAnsiTheme="majorHAnsi" w:cstheme="majorHAnsi"/>
          <w:i/>
          <w:iCs/>
          <w:color w:val="000000" w:themeColor="text1"/>
          <w:lang w:val="en-GB"/>
        </w:rPr>
        <w:t>Reading Renunciation: Asceticism and Scripture in Early Christianity</w:t>
      </w:r>
      <w:r w:rsidRPr="00F16EC7">
        <w:rPr>
          <w:rFonts w:asciiTheme="majorHAnsi" w:hAnsiTheme="majorHAnsi" w:cstheme="majorHAnsi"/>
          <w:color w:val="000000" w:themeColor="text1"/>
          <w:lang w:val="en-GB"/>
        </w:rPr>
        <w:t xml:space="preserve"> (</w:t>
      </w:r>
      <w:r w:rsidRPr="00F16EC7">
        <w:rPr>
          <w:rFonts w:asciiTheme="majorHAnsi" w:hAnsiTheme="majorHAnsi" w:cstheme="majorHAnsi"/>
          <w:color w:val="000000" w:themeColor="text1"/>
        </w:rPr>
        <w:t xml:space="preserve">Princeton, NJ: </w:t>
      </w:r>
      <w:r w:rsidRPr="00F16EC7">
        <w:rPr>
          <w:rFonts w:asciiTheme="majorHAnsi" w:hAnsiTheme="majorHAnsi" w:cstheme="majorHAnsi"/>
          <w:color w:val="000000" w:themeColor="text1"/>
          <w:lang w:val="en-GB"/>
        </w:rPr>
        <w:t xml:space="preserve">Princeton University Press, 1999), esp. 177-203; E. A. Clark, 'Ideology, History and the Constitution of "Woman" in Late Ancient Christianity', </w:t>
      </w:r>
      <w:r w:rsidRPr="00F16EC7">
        <w:rPr>
          <w:rFonts w:asciiTheme="majorHAnsi" w:hAnsiTheme="majorHAnsi" w:cstheme="majorHAnsi"/>
          <w:i/>
          <w:iCs/>
          <w:color w:val="000000" w:themeColor="text1"/>
          <w:lang w:val="en-GB"/>
        </w:rPr>
        <w:t>Journal of Early Christian Studies,</w:t>
      </w:r>
      <w:r w:rsidRPr="00F16EC7">
        <w:rPr>
          <w:rFonts w:asciiTheme="majorHAnsi" w:hAnsiTheme="majorHAnsi" w:cstheme="majorHAnsi"/>
          <w:color w:val="000000" w:themeColor="text1"/>
          <w:lang w:val="en-GB"/>
        </w:rPr>
        <w:t xml:space="preserve"> 2 (1994), 155-84.</w:t>
      </w:r>
    </w:p>
  </w:footnote>
  <w:footnote w:id="8">
    <w:p w:rsidR="002044A1" w:rsidRPr="00F16EC7" w:rsidRDefault="002044A1" w:rsidP="00A669E0">
      <w:pPr>
        <w:widowControl w:val="0"/>
        <w:autoSpaceDE w:val="0"/>
        <w:autoSpaceDN w:val="0"/>
        <w:adjustRightInd w:val="0"/>
        <w:jc w:val="both"/>
        <w:rPr>
          <w:rFonts w:asciiTheme="majorHAnsi" w:eastAsiaTheme="minorEastAsia" w:hAnsiTheme="majorHAnsi" w:cstheme="majorHAnsi"/>
          <w:color w:val="000000" w:themeColor="text1"/>
          <w:sz w:val="20"/>
          <w:szCs w:val="20"/>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Kate Cooper, </w:t>
      </w:r>
      <w:r w:rsidRPr="00F16EC7">
        <w:rPr>
          <w:rFonts w:asciiTheme="majorHAnsi" w:hAnsiTheme="majorHAnsi" w:cstheme="majorHAnsi"/>
          <w:i/>
          <w:iCs/>
          <w:color w:val="000000" w:themeColor="text1"/>
          <w:sz w:val="20"/>
          <w:szCs w:val="20"/>
          <w:lang w:val="en-GB"/>
        </w:rPr>
        <w:t>The Fall of the Roman Household</w:t>
      </w:r>
      <w:r w:rsidRPr="00F16EC7">
        <w:rPr>
          <w:rFonts w:asciiTheme="majorHAnsi" w:hAnsiTheme="majorHAnsi" w:cstheme="majorHAnsi"/>
          <w:color w:val="000000" w:themeColor="text1"/>
          <w:sz w:val="20"/>
          <w:szCs w:val="20"/>
          <w:lang w:val="en-GB"/>
        </w:rPr>
        <w:t xml:space="preserve"> (</w:t>
      </w:r>
      <w:r w:rsidRPr="00F16EC7">
        <w:rPr>
          <w:rFonts w:asciiTheme="majorHAnsi" w:hAnsiTheme="majorHAnsi" w:cstheme="majorHAnsi"/>
          <w:color w:val="000000" w:themeColor="text1"/>
          <w:sz w:val="20"/>
          <w:szCs w:val="20"/>
        </w:rPr>
        <w:t xml:space="preserve">Cambridge: </w:t>
      </w:r>
      <w:r w:rsidRPr="00F16EC7">
        <w:rPr>
          <w:rFonts w:asciiTheme="majorHAnsi" w:hAnsiTheme="majorHAnsi" w:cstheme="majorHAnsi"/>
          <w:color w:val="000000" w:themeColor="text1"/>
          <w:sz w:val="20"/>
          <w:szCs w:val="20"/>
          <w:lang w:val="en-GB"/>
        </w:rPr>
        <w:t xml:space="preserve">Cambridge University Press, 2007), esp. 93-101; Kate Cooper, 'Closely Watched Households: Visibility, Exposure and Private Power in the Roman Domus', </w:t>
      </w:r>
      <w:r w:rsidRPr="00F16EC7">
        <w:rPr>
          <w:rFonts w:asciiTheme="majorHAnsi" w:hAnsiTheme="majorHAnsi" w:cstheme="majorHAnsi"/>
          <w:i/>
          <w:iCs/>
          <w:color w:val="000000" w:themeColor="text1"/>
          <w:sz w:val="20"/>
          <w:szCs w:val="20"/>
          <w:lang w:val="en-GB"/>
        </w:rPr>
        <w:t>Past &amp; Present</w:t>
      </w:r>
      <w:r w:rsidRPr="00F16EC7">
        <w:rPr>
          <w:rFonts w:asciiTheme="majorHAnsi" w:hAnsiTheme="majorHAnsi" w:cstheme="majorHAnsi"/>
          <w:iCs/>
          <w:color w:val="000000" w:themeColor="text1"/>
          <w:sz w:val="20"/>
          <w:szCs w:val="20"/>
          <w:lang w:val="en-GB"/>
        </w:rPr>
        <w:t xml:space="preserve">, </w:t>
      </w:r>
      <w:r w:rsidRPr="00F16EC7">
        <w:rPr>
          <w:rFonts w:asciiTheme="majorHAnsi" w:hAnsiTheme="majorHAnsi" w:cstheme="majorHAnsi"/>
          <w:color w:val="000000" w:themeColor="text1"/>
          <w:sz w:val="20"/>
          <w:szCs w:val="20"/>
          <w:lang w:val="en-GB"/>
        </w:rPr>
        <w:t xml:space="preserve">197 (2007), 3-33; K. Cooper, </w:t>
      </w:r>
      <w:r w:rsidRPr="00F16EC7">
        <w:rPr>
          <w:rFonts w:asciiTheme="majorHAnsi" w:eastAsiaTheme="minorEastAsia" w:hAnsiTheme="majorHAnsi" w:cstheme="majorHAnsi"/>
          <w:color w:val="000000" w:themeColor="text1"/>
          <w:sz w:val="20"/>
          <w:szCs w:val="20"/>
        </w:rPr>
        <w:t xml:space="preserve">'Insinuations of Womanly Influence: An Aspect of the Christianization of the Roman Aristocracy', </w:t>
      </w:r>
      <w:r w:rsidRPr="00F16EC7">
        <w:rPr>
          <w:rFonts w:asciiTheme="majorHAnsi" w:eastAsiaTheme="minorEastAsia" w:hAnsiTheme="majorHAnsi" w:cstheme="majorHAnsi"/>
          <w:i/>
          <w:iCs/>
          <w:color w:val="000000" w:themeColor="text1"/>
          <w:sz w:val="20"/>
          <w:szCs w:val="20"/>
        </w:rPr>
        <w:t>Journal of Roman Studies</w:t>
      </w:r>
      <w:r w:rsidRPr="00F16EC7">
        <w:rPr>
          <w:rFonts w:asciiTheme="majorHAnsi" w:eastAsiaTheme="minorEastAsia" w:hAnsiTheme="majorHAnsi" w:cstheme="majorHAnsi"/>
          <w:iCs/>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82 (1992), 150-64.</w:t>
      </w:r>
    </w:p>
  </w:footnote>
  <w:footnote w:id="9">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N. B. </w:t>
      </w:r>
      <w:proofErr w:type="spellStart"/>
      <w:r w:rsidRPr="00F16EC7">
        <w:rPr>
          <w:rFonts w:asciiTheme="majorHAnsi" w:hAnsiTheme="majorHAnsi" w:cstheme="majorHAnsi"/>
          <w:color w:val="000000" w:themeColor="text1"/>
          <w:lang w:val="en-GB"/>
        </w:rPr>
        <w:t>McLynn</w:t>
      </w:r>
      <w:proofErr w:type="spellEnd"/>
      <w:r w:rsidRPr="00F16EC7">
        <w:rPr>
          <w:rFonts w:asciiTheme="majorHAnsi" w:hAnsiTheme="majorHAnsi" w:cstheme="majorHAnsi"/>
          <w:color w:val="000000" w:themeColor="text1"/>
          <w:lang w:val="en-GB"/>
        </w:rPr>
        <w:t xml:space="preserve">, </w:t>
      </w:r>
      <w:r w:rsidRPr="00F16EC7">
        <w:rPr>
          <w:rFonts w:asciiTheme="majorHAnsi" w:hAnsiTheme="majorHAnsi" w:cstheme="majorHAnsi"/>
          <w:i/>
          <w:iCs/>
          <w:color w:val="000000" w:themeColor="text1"/>
          <w:lang w:val="en-GB"/>
        </w:rPr>
        <w:t>Ambrose of Milan: Church and Court in a Christian Capital</w:t>
      </w:r>
      <w:r w:rsidRPr="00F16EC7">
        <w:rPr>
          <w:rFonts w:asciiTheme="majorHAnsi" w:hAnsiTheme="majorHAnsi" w:cstheme="majorHAnsi"/>
          <w:color w:val="000000" w:themeColor="text1"/>
          <w:lang w:val="en-GB"/>
        </w:rPr>
        <w:t xml:space="preserve"> (Berkeley, CA: University of California Press, 1994), 53-68.</w:t>
      </w:r>
    </w:p>
  </w:footnote>
  <w:footnote w:id="10">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V. Burrus, 'Reading Agnes: The rhetoric of gender in Ambrose and </w:t>
      </w:r>
      <w:proofErr w:type="spellStart"/>
      <w:r w:rsidRPr="00F16EC7">
        <w:rPr>
          <w:rFonts w:asciiTheme="majorHAnsi" w:hAnsiTheme="majorHAnsi" w:cstheme="majorHAnsi"/>
          <w:color w:val="000000" w:themeColor="text1"/>
          <w:lang w:val="en-GB"/>
        </w:rPr>
        <w:t>Prudentius</w:t>
      </w:r>
      <w:proofErr w:type="spellEnd"/>
      <w:r w:rsidRPr="00F16EC7">
        <w:rPr>
          <w:rFonts w:asciiTheme="majorHAnsi" w:hAnsiTheme="majorHAnsi" w:cstheme="majorHAnsi"/>
          <w:color w:val="000000" w:themeColor="text1"/>
          <w:lang w:val="en-GB"/>
        </w:rPr>
        <w:t xml:space="preserve">', </w:t>
      </w:r>
      <w:r w:rsidRPr="00F16EC7">
        <w:rPr>
          <w:rFonts w:asciiTheme="majorHAnsi" w:hAnsiTheme="majorHAnsi" w:cstheme="majorHAnsi"/>
          <w:i/>
          <w:iCs/>
          <w:color w:val="000000" w:themeColor="text1"/>
          <w:lang w:val="en-GB"/>
        </w:rPr>
        <w:t xml:space="preserve">Journal of Early Christian Studies, </w:t>
      </w:r>
      <w:r w:rsidRPr="00F16EC7">
        <w:rPr>
          <w:rFonts w:asciiTheme="majorHAnsi" w:hAnsiTheme="majorHAnsi" w:cstheme="majorHAnsi"/>
          <w:color w:val="000000" w:themeColor="text1"/>
          <w:lang w:val="en-GB"/>
        </w:rPr>
        <w:t xml:space="preserve">3 (1995), 25-46; V. Burrus, '"Equipped for Victory": Ambrose and the Gendering of Orthodoxy', </w:t>
      </w:r>
      <w:r w:rsidRPr="00F16EC7">
        <w:rPr>
          <w:rFonts w:asciiTheme="majorHAnsi" w:hAnsiTheme="majorHAnsi" w:cstheme="majorHAnsi"/>
          <w:i/>
          <w:iCs/>
          <w:color w:val="000000" w:themeColor="text1"/>
          <w:lang w:val="en-GB"/>
        </w:rPr>
        <w:t>Journal of Early Christian Studies</w:t>
      </w:r>
      <w:r w:rsidRPr="00F16EC7">
        <w:rPr>
          <w:rFonts w:asciiTheme="majorHAnsi" w:hAnsiTheme="majorHAnsi" w:cstheme="majorHAnsi"/>
          <w:iCs/>
          <w:color w:val="000000" w:themeColor="text1"/>
          <w:lang w:val="en-GB"/>
        </w:rPr>
        <w:t xml:space="preserve">, </w:t>
      </w:r>
      <w:r w:rsidRPr="00F16EC7">
        <w:rPr>
          <w:rFonts w:asciiTheme="majorHAnsi" w:hAnsiTheme="majorHAnsi" w:cstheme="majorHAnsi"/>
          <w:color w:val="000000" w:themeColor="text1"/>
          <w:lang w:val="en-GB"/>
        </w:rPr>
        <w:t xml:space="preserve">4 (1996), 461-75; D. G Hunter, 'The Virgin, the Bride, and the Church: Reading Psalm 45 in Ambrose, Jerome, and Augustine', </w:t>
      </w:r>
      <w:r w:rsidRPr="00F16EC7">
        <w:rPr>
          <w:rFonts w:asciiTheme="majorHAnsi" w:hAnsiTheme="majorHAnsi" w:cstheme="majorHAnsi"/>
          <w:i/>
          <w:iCs/>
          <w:color w:val="000000" w:themeColor="text1"/>
          <w:lang w:val="en-GB"/>
        </w:rPr>
        <w:t>Church History</w:t>
      </w:r>
      <w:r w:rsidRPr="00F16EC7">
        <w:rPr>
          <w:rFonts w:asciiTheme="majorHAnsi" w:hAnsiTheme="majorHAnsi" w:cstheme="majorHAnsi"/>
          <w:iCs/>
          <w:color w:val="000000" w:themeColor="text1"/>
          <w:lang w:val="en-GB"/>
        </w:rPr>
        <w:t xml:space="preserve">, </w:t>
      </w:r>
      <w:r w:rsidRPr="00F16EC7">
        <w:rPr>
          <w:rFonts w:asciiTheme="majorHAnsi" w:hAnsiTheme="majorHAnsi" w:cstheme="majorHAnsi"/>
          <w:color w:val="000000" w:themeColor="text1"/>
          <w:lang w:val="en-GB"/>
        </w:rPr>
        <w:t>69 (2000), 281-303.</w:t>
      </w:r>
    </w:p>
  </w:footnote>
  <w:footnote w:id="11">
    <w:p w:rsidR="002044A1" w:rsidRPr="00F16EC7" w:rsidRDefault="002044A1" w:rsidP="00A669E0">
      <w:pPr>
        <w:widowControl w:val="0"/>
        <w:autoSpaceDE w:val="0"/>
        <w:autoSpaceDN w:val="0"/>
        <w:adjustRightInd w:val="0"/>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w:t>
      </w:r>
      <w:proofErr w:type="spellStart"/>
      <w:r w:rsidRPr="00F16EC7">
        <w:rPr>
          <w:rFonts w:asciiTheme="majorHAnsi" w:hAnsiTheme="majorHAnsi" w:cstheme="majorHAnsi"/>
          <w:color w:val="000000" w:themeColor="text1"/>
          <w:sz w:val="20"/>
          <w:szCs w:val="20"/>
          <w:lang w:val="en-GB"/>
        </w:rPr>
        <w:t>McLynn</w:t>
      </w:r>
      <w:proofErr w:type="spellEnd"/>
      <w:r w:rsidRPr="00F16EC7">
        <w:rPr>
          <w:rFonts w:asciiTheme="majorHAnsi" w:hAnsiTheme="majorHAnsi" w:cstheme="majorHAnsi"/>
          <w:color w:val="000000" w:themeColor="text1"/>
          <w:sz w:val="20"/>
          <w:szCs w:val="20"/>
          <w:lang w:val="en-GB"/>
        </w:rPr>
        <w:t xml:space="preserve">, </w:t>
      </w:r>
      <w:r w:rsidRPr="00F16EC7">
        <w:rPr>
          <w:rFonts w:asciiTheme="majorHAnsi" w:hAnsiTheme="majorHAnsi" w:cstheme="majorHAnsi"/>
          <w:i/>
          <w:iCs/>
          <w:color w:val="000000" w:themeColor="text1"/>
          <w:sz w:val="20"/>
          <w:szCs w:val="20"/>
          <w:lang w:val="en-GB"/>
        </w:rPr>
        <w:t>Ambrose of Milan</w:t>
      </w:r>
      <w:r w:rsidRPr="00F16EC7">
        <w:rPr>
          <w:rFonts w:asciiTheme="majorHAnsi" w:hAnsiTheme="majorHAnsi" w:cstheme="majorHAnsi"/>
          <w:iCs/>
          <w:color w:val="000000" w:themeColor="text1"/>
          <w:sz w:val="20"/>
          <w:szCs w:val="20"/>
          <w:lang w:val="en-GB"/>
        </w:rPr>
        <w:t>, esp.</w:t>
      </w:r>
      <w:r w:rsidRPr="00F16EC7">
        <w:rPr>
          <w:rFonts w:asciiTheme="majorHAnsi" w:hAnsiTheme="majorHAnsi" w:cstheme="majorHAnsi"/>
          <w:i/>
          <w:iCs/>
          <w:color w:val="000000" w:themeColor="text1"/>
          <w:sz w:val="20"/>
          <w:szCs w:val="20"/>
          <w:lang w:val="en-GB"/>
        </w:rPr>
        <w:t xml:space="preserve"> </w:t>
      </w:r>
      <w:r w:rsidRPr="00F16EC7">
        <w:rPr>
          <w:rFonts w:asciiTheme="majorHAnsi" w:hAnsiTheme="majorHAnsi" w:cstheme="majorHAnsi"/>
          <w:iCs/>
          <w:color w:val="000000" w:themeColor="text1"/>
          <w:sz w:val="20"/>
          <w:szCs w:val="20"/>
          <w:lang w:val="en-GB"/>
        </w:rPr>
        <w:t xml:space="preserve">1-53; D. H. </w:t>
      </w:r>
      <w:r w:rsidRPr="00F16EC7">
        <w:rPr>
          <w:rFonts w:asciiTheme="majorHAnsi" w:hAnsiTheme="majorHAnsi" w:cstheme="majorHAnsi"/>
          <w:color w:val="000000" w:themeColor="text1"/>
          <w:sz w:val="20"/>
          <w:szCs w:val="20"/>
          <w:lang w:val="en-GB"/>
        </w:rPr>
        <w:t xml:space="preserve">Williams, </w:t>
      </w:r>
      <w:r w:rsidRPr="00F16EC7">
        <w:rPr>
          <w:rFonts w:asciiTheme="majorHAnsi" w:hAnsiTheme="majorHAnsi" w:cstheme="majorHAnsi"/>
          <w:i/>
          <w:iCs/>
          <w:color w:val="000000" w:themeColor="text1"/>
          <w:sz w:val="20"/>
          <w:szCs w:val="20"/>
          <w:lang w:val="en-GB"/>
        </w:rPr>
        <w:t>Ambrose of Milan and the End of the Nicene-Arian Conflicts</w:t>
      </w:r>
      <w:r w:rsidRPr="00F16EC7">
        <w:rPr>
          <w:rFonts w:asciiTheme="majorHAnsi" w:hAnsiTheme="majorHAnsi" w:cstheme="majorHAnsi"/>
          <w:color w:val="000000" w:themeColor="text1"/>
          <w:sz w:val="20"/>
          <w:szCs w:val="20"/>
          <w:lang w:val="en-GB"/>
        </w:rPr>
        <w:t xml:space="preserve"> (Oxford: Oxford University Press, 1995), 116-27.</w:t>
      </w:r>
    </w:p>
  </w:footnote>
  <w:footnote w:id="12">
    <w:p w:rsidR="002044A1" w:rsidRPr="00F16EC7" w:rsidRDefault="002044A1" w:rsidP="00A669E0">
      <w:pPr>
        <w:jc w:val="both"/>
        <w:rPr>
          <w:rFonts w:asciiTheme="majorHAnsi" w:hAnsiTheme="majorHAnsi" w:cstheme="majorHAnsi"/>
          <w:color w:val="000000" w:themeColor="text1"/>
          <w:sz w:val="20"/>
          <w:szCs w:val="20"/>
          <w:lang w:val="es-ES"/>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lang w:val="es-ES_tradnl"/>
        </w:rPr>
        <w:t xml:space="preserve"> V. </w:t>
      </w:r>
      <w:r w:rsidRPr="00F16EC7">
        <w:rPr>
          <w:rFonts w:asciiTheme="majorHAnsi" w:eastAsiaTheme="minorEastAsia" w:hAnsiTheme="majorHAnsi" w:cstheme="majorHAnsi"/>
          <w:color w:val="000000" w:themeColor="text1"/>
          <w:sz w:val="20"/>
          <w:szCs w:val="20"/>
          <w:lang w:val="de-DE"/>
        </w:rPr>
        <w:t>Zangara,’Eusebio di Vercelli e Massimo di Torino. Tra storia e agiografia’ in E. Dal Covolo, R. Uglione and G. M. Vian (</w:t>
      </w:r>
      <w:proofErr w:type="spellStart"/>
      <w:r w:rsidRPr="00F16EC7">
        <w:rPr>
          <w:rFonts w:asciiTheme="majorHAnsi" w:eastAsiaTheme="minorEastAsia" w:hAnsiTheme="majorHAnsi" w:cstheme="majorHAnsi"/>
          <w:color w:val="000000" w:themeColor="text1"/>
          <w:sz w:val="20"/>
          <w:szCs w:val="20"/>
          <w:lang w:val="de-DE"/>
        </w:rPr>
        <w:t>eds</w:t>
      </w:r>
      <w:proofErr w:type="spellEnd"/>
      <w:r w:rsidRPr="00F16EC7">
        <w:rPr>
          <w:rFonts w:asciiTheme="majorHAnsi" w:eastAsiaTheme="minorEastAsia" w:hAnsiTheme="majorHAnsi" w:cstheme="majorHAnsi"/>
          <w:color w:val="000000" w:themeColor="text1"/>
          <w:sz w:val="20"/>
          <w:szCs w:val="20"/>
          <w:lang w:val="de-DE"/>
        </w:rPr>
        <w:t xml:space="preserve">.), </w:t>
      </w:r>
      <w:r w:rsidRPr="00F16EC7">
        <w:rPr>
          <w:rFonts w:asciiTheme="majorHAnsi" w:eastAsiaTheme="minorEastAsia" w:hAnsiTheme="majorHAnsi" w:cstheme="majorHAnsi"/>
          <w:i/>
          <w:iCs/>
          <w:color w:val="000000" w:themeColor="text1"/>
          <w:sz w:val="20"/>
          <w:szCs w:val="20"/>
          <w:lang w:val="de-DE"/>
        </w:rPr>
        <w:t xml:space="preserve">Eusebio di </w:t>
      </w:r>
      <w:proofErr w:type="spellStart"/>
      <w:r w:rsidRPr="00F16EC7">
        <w:rPr>
          <w:rFonts w:asciiTheme="majorHAnsi" w:eastAsiaTheme="minorEastAsia" w:hAnsiTheme="majorHAnsi" w:cstheme="majorHAnsi"/>
          <w:i/>
          <w:iCs/>
          <w:color w:val="000000" w:themeColor="text1"/>
          <w:sz w:val="20"/>
          <w:szCs w:val="20"/>
          <w:lang w:val="de-DE"/>
        </w:rPr>
        <w:t>Vercelli</w:t>
      </w:r>
      <w:proofErr w:type="spellEnd"/>
      <w:r w:rsidRPr="00F16EC7">
        <w:rPr>
          <w:rFonts w:asciiTheme="majorHAnsi" w:eastAsiaTheme="minorEastAsia" w:hAnsiTheme="majorHAnsi" w:cstheme="majorHAnsi"/>
          <w:i/>
          <w:iCs/>
          <w:color w:val="000000" w:themeColor="text1"/>
          <w:sz w:val="20"/>
          <w:szCs w:val="20"/>
          <w:lang w:val="de-DE"/>
        </w:rPr>
        <w:t xml:space="preserve"> e </w:t>
      </w:r>
      <w:proofErr w:type="spellStart"/>
      <w:r w:rsidRPr="00F16EC7">
        <w:rPr>
          <w:rFonts w:asciiTheme="majorHAnsi" w:eastAsiaTheme="minorEastAsia" w:hAnsiTheme="majorHAnsi" w:cstheme="majorHAnsi"/>
          <w:i/>
          <w:iCs/>
          <w:color w:val="000000" w:themeColor="text1"/>
          <w:sz w:val="20"/>
          <w:szCs w:val="20"/>
          <w:lang w:val="de-DE"/>
        </w:rPr>
        <w:t>il</w:t>
      </w:r>
      <w:proofErr w:type="spellEnd"/>
      <w:r w:rsidRPr="00F16EC7">
        <w:rPr>
          <w:rFonts w:asciiTheme="majorHAnsi" w:eastAsiaTheme="minorEastAsia" w:hAnsiTheme="majorHAnsi" w:cstheme="majorHAnsi"/>
          <w:i/>
          <w:iCs/>
          <w:color w:val="000000" w:themeColor="text1"/>
          <w:sz w:val="20"/>
          <w:szCs w:val="20"/>
          <w:lang w:val="de-DE"/>
        </w:rPr>
        <w:t xml:space="preserve"> </w:t>
      </w:r>
      <w:proofErr w:type="spellStart"/>
      <w:r w:rsidRPr="00F16EC7">
        <w:rPr>
          <w:rFonts w:asciiTheme="majorHAnsi" w:eastAsiaTheme="minorEastAsia" w:hAnsiTheme="majorHAnsi" w:cstheme="majorHAnsi"/>
          <w:i/>
          <w:iCs/>
          <w:color w:val="000000" w:themeColor="text1"/>
          <w:sz w:val="20"/>
          <w:szCs w:val="20"/>
          <w:lang w:val="de-DE"/>
        </w:rPr>
        <w:t>suo</w:t>
      </w:r>
      <w:proofErr w:type="spellEnd"/>
      <w:r w:rsidRPr="00F16EC7">
        <w:rPr>
          <w:rFonts w:asciiTheme="majorHAnsi" w:eastAsiaTheme="minorEastAsia" w:hAnsiTheme="majorHAnsi" w:cstheme="majorHAnsi"/>
          <w:i/>
          <w:iCs/>
          <w:color w:val="000000" w:themeColor="text1"/>
          <w:sz w:val="20"/>
          <w:szCs w:val="20"/>
          <w:lang w:val="de-DE"/>
        </w:rPr>
        <w:t xml:space="preserve"> tempo</w:t>
      </w:r>
      <w:r w:rsidRPr="00F16EC7">
        <w:rPr>
          <w:rFonts w:asciiTheme="majorHAnsi" w:eastAsiaTheme="minorEastAsia" w:hAnsiTheme="majorHAnsi" w:cstheme="majorHAnsi"/>
          <w:iCs/>
          <w:color w:val="000000" w:themeColor="text1"/>
          <w:sz w:val="20"/>
          <w:szCs w:val="20"/>
          <w:lang w:val="de-DE"/>
        </w:rPr>
        <w:t xml:space="preserve">, </w:t>
      </w:r>
      <w:r w:rsidRPr="00F16EC7">
        <w:rPr>
          <w:rFonts w:asciiTheme="majorHAnsi" w:hAnsiTheme="majorHAnsi" w:cstheme="majorHAnsi"/>
          <w:color w:val="000000" w:themeColor="text1"/>
          <w:sz w:val="20"/>
          <w:szCs w:val="20"/>
          <w:shd w:val="clear" w:color="auto" w:fill="FFFFFF"/>
          <w:lang w:val="es-ES"/>
        </w:rPr>
        <w:t xml:space="preserve">Biblioteca di </w:t>
      </w:r>
      <w:proofErr w:type="spellStart"/>
      <w:r w:rsidRPr="00F16EC7">
        <w:rPr>
          <w:rFonts w:asciiTheme="majorHAnsi" w:hAnsiTheme="majorHAnsi" w:cstheme="majorHAnsi"/>
          <w:color w:val="000000" w:themeColor="text1"/>
          <w:sz w:val="20"/>
          <w:szCs w:val="20"/>
          <w:shd w:val="clear" w:color="auto" w:fill="FFFFFF"/>
          <w:lang w:val="es-ES"/>
        </w:rPr>
        <w:t>scienze</w:t>
      </w:r>
      <w:proofErr w:type="spellEnd"/>
      <w:r w:rsidRPr="00F16EC7">
        <w:rPr>
          <w:rFonts w:asciiTheme="majorHAnsi" w:hAnsiTheme="majorHAnsi" w:cstheme="majorHAnsi"/>
          <w:color w:val="000000" w:themeColor="text1"/>
          <w:sz w:val="20"/>
          <w:szCs w:val="20"/>
          <w:shd w:val="clear" w:color="auto" w:fill="FFFFFF"/>
          <w:lang w:val="es-ES"/>
        </w:rPr>
        <w:t xml:space="preserve"> </w:t>
      </w:r>
      <w:proofErr w:type="spellStart"/>
      <w:r w:rsidRPr="00F16EC7">
        <w:rPr>
          <w:rFonts w:asciiTheme="majorHAnsi" w:hAnsiTheme="majorHAnsi" w:cstheme="majorHAnsi"/>
          <w:color w:val="000000" w:themeColor="text1"/>
          <w:sz w:val="20"/>
          <w:szCs w:val="20"/>
          <w:shd w:val="clear" w:color="auto" w:fill="FFFFFF"/>
          <w:lang w:val="es-ES"/>
        </w:rPr>
        <w:t>religiose</w:t>
      </w:r>
      <w:proofErr w:type="spellEnd"/>
      <w:r w:rsidRPr="00F16EC7">
        <w:rPr>
          <w:rFonts w:asciiTheme="majorHAnsi" w:hAnsiTheme="majorHAnsi" w:cstheme="majorHAnsi"/>
          <w:color w:val="000000" w:themeColor="text1"/>
          <w:sz w:val="20"/>
          <w:szCs w:val="20"/>
          <w:shd w:val="clear" w:color="auto" w:fill="FFFFFF"/>
          <w:lang w:val="es-ES"/>
        </w:rPr>
        <w:t xml:space="preserve"> 133</w:t>
      </w:r>
      <w:r w:rsidRPr="00F16EC7">
        <w:rPr>
          <w:rFonts w:asciiTheme="majorHAnsi" w:eastAsiaTheme="minorEastAsia" w:hAnsiTheme="majorHAnsi" w:cstheme="majorHAnsi"/>
          <w:color w:val="000000" w:themeColor="text1"/>
          <w:sz w:val="20"/>
          <w:szCs w:val="20"/>
          <w:lang w:val="de-DE"/>
        </w:rPr>
        <w:t xml:space="preserve"> (</w:t>
      </w:r>
      <w:proofErr w:type="spellStart"/>
      <w:r w:rsidRPr="00F16EC7">
        <w:rPr>
          <w:rFonts w:asciiTheme="majorHAnsi" w:eastAsiaTheme="minorEastAsia" w:hAnsiTheme="majorHAnsi" w:cstheme="majorHAnsi"/>
          <w:color w:val="000000" w:themeColor="text1"/>
          <w:sz w:val="20"/>
          <w:szCs w:val="20"/>
          <w:lang w:val="de-DE"/>
        </w:rPr>
        <w:t>Rome</w:t>
      </w:r>
      <w:proofErr w:type="spellEnd"/>
      <w:r w:rsidRPr="00F16EC7">
        <w:rPr>
          <w:rFonts w:asciiTheme="majorHAnsi" w:eastAsiaTheme="minorEastAsia" w:hAnsiTheme="majorHAnsi" w:cstheme="majorHAnsi"/>
          <w:color w:val="000000" w:themeColor="text1"/>
          <w:sz w:val="20"/>
          <w:szCs w:val="20"/>
          <w:lang w:val="de-DE"/>
        </w:rPr>
        <w:t xml:space="preserve">: </w:t>
      </w:r>
      <w:proofErr w:type="spellStart"/>
      <w:r w:rsidRPr="00F16EC7">
        <w:rPr>
          <w:rFonts w:asciiTheme="majorHAnsi" w:hAnsiTheme="majorHAnsi" w:cstheme="majorHAnsi"/>
          <w:color w:val="000000" w:themeColor="text1"/>
          <w:sz w:val="20"/>
          <w:szCs w:val="20"/>
          <w:shd w:val="clear" w:color="auto" w:fill="FFFFFF"/>
          <w:lang w:val="es-ES"/>
        </w:rPr>
        <w:t>Libreria</w:t>
      </w:r>
      <w:proofErr w:type="spellEnd"/>
      <w:r w:rsidRPr="00F16EC7">
        <w:rPr>
          <w:rFonts w:asciiTheme="majorHAnsi" w:hAnsiTheme="majorHAnsi" w:cstheme="majorHAnsi"/>
          <w:color w:val="000000" w:themeColor="text1"/>
          <w:sz w:val="20"/>
          <w:szCs w:val="20"/>
          <w:shd w:val="clear" w:color="auto" w:fill="FFFFFF"/>
          <w:lang w:val="es-ES"/>
        </w:rPr>
        <w:t xml:space="preserve"> Ateneo Salesiano, </w:t>
      </w:r>
      <w:r w:rsidRPr="00F16EC7">
        <w:rPr>
          <w:rFonts w:asciiTheme="majorHAnsi" w:eastAsiaTheme="minorEastAsia" w:hAnsiTheme="majorHAnsi" w:cstheme="majorHAnsi"/>
          <w:color w:val="000000" w:themeColor="text1"/>
          <w:sz w:val="20"/>
          <w:szCs w:val="20"/>
          <w:lang w:val="de-DE"/>
        </w:rPr>
        <w:t>1997), 257–322.</w:t>
      </w:r>
    </w:p>
  </w:footnote>
  <w:footnote w:id="13">
    <w:p w:rsidR="002044A1" w:rsidRPr="00F16EC7" w:rsidRDefault="002044A1" w:rsidP="00A669E0">
      <w:pPr>
        <w:pStyle w:val="FootnoteText"/>
        <w:spacing w:line="240" w:lineRule="auto"/>
        <w:jc w:val="both"/>
        <w:rPr>
          <w:rFonts w:asciiTheme="majorHAnsi" w:hAnsiTheme="majorHAnsi" w:cstheme="majorHAnsi"/>
          <w:color w:val="000000" w:themeColor="text1"/>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rPr>
        <w:t xml:space="preserve"> H. I. </w:t>
      </w:r>
      <w:proofErr w:type="spellStart"/>
      <w:r w:rsidRPr="00F16EC7">
        <w:rPr>
          <w:rFonts w:asciiTheme="majorHAnsi" w:hAnsiTheme="majorHAnsi" w:cstheme="majorHAnsi"/>
          <w:color w:val="000000" w:themeColor="text1"/>
          <w:lang w:val="en-GB"/>
        </w:rPr>
        <w:t>Marrou</w:t>
      </w:r>
      <w:proofErr w:type="spellEnd"/>
      <w:r w:rsidRPr="00F16EC7">
        <w:rPr>
          <w:rFonts w:asciiTheme="majorHAnsi" w:hAnsiTheme="majorHAnsi" w:cstheme="majorHAnsi"/>
          <w:color w:val="000000" w:themeColor="text1"/>
          <w:lang w:val="en-GB"/>
        </w:rPr>
        <w:t>, '</w:t>
      </w:r>
      <w:proofErr w:type="spellStart"/>
      <w:r w:rsidRPr="00F16EC7">
        <w:rPr>
          <w:rFonts w:asciiTheme="majorHAnsi" w:hAnsiTheme="majorHAnsi" w:cstheme="majorHAnsi"/>
          <w:color w:val="000000" w:themeColor="text1"/>
          <w:lang w:val="en-GB"/>
        </w:rPr>
        <w:t>Ammien</w:t>
      </w:r>
      <w:proofErr w:type="spellEnd"/>
      <w:r w:rsidRPr="00F16EC7">
        <w:rPr>
          <w:rFonts w:asciiTheme="majorHAnsi" w:hAnsiTheme="majorHAnsi" w:cstheme="majorHAnsi"/>
          <w:color w:val="000000" w:themeColor="text1"/>
          <w:lang w:val="en-GB"/>
        </w:rPr>
        <w:t xml:space="preserve"> Marcelin et les “Innocents” de Milan', </w:t>
      </w:r>
      <w:proofErr w:type="spellStart"/>
      <w:r w:rsidRPr="00F16EC7">
        <w:rPr>
          <w:rFonts w:asciiTheme="majorHAnsi" w:eastAsiaTheme="minorEastAsia" w:hAnsiTheme="majorHAnsi" w:cstheme="majorHAnsi"/>
          <w:i/>
          <w:iCs/>
          <w:color w:val="000000" w:themeColor="text1"/>
        </w:rPr>
        <w:t>Recherches</w:t>
      </w:r>
      <w:proofErr w:type="spellEnd"/>
      <w:r w:rsidRPr="00F16EC7">
        <w:rPr>
          <w:rFonts w:asciiTheme="majorHAnsi" w:eastAsiaTheme="minorEastAsia" w:hAnsiTheme="majorHAnsi" w:cstheme="majorHAnsi"/>
          <w:i/>
          <w:iCs/>
          <w:color w:val="000000" w:themeColor="text1"/>
        </w:rPr>
        <w:t xml:space="preserve"> de science religieuse,</w:t>
      </w:r>
      <w:r w:rsidRPr="00F16EC7">
        <w:rPr>
          <w:rFonts w:asciiTheme="majorHAnsi" w:hAnsiTheme="majorHAnsi" w:cstheme="majorHAnsi"/>
          <w:color w:val="000000" w:themeColor="text1"/>
          <w:lang w:val="en-GB"/>
        </w:rPr>
        <w:t xml:space="preserve"> 40 (1952), 179–90.</w:t>
      </w:r>
    </w:p>
  </w:footnote>
  <w:footnote w:id="14">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R. </w:t>
      </w:r>
      <w:proofErr w:type="spellStart"/>
      <w:r w:rsidRPr="00F16EC7">
        <w:rPr>
          <w:rFonts w:asciiTheme="majorHAnsi" w:hAnsiTheme="majorHAnsi" w:cstheme="majorHAnsi"/>
          <w:color w:val="000000" w:themeColor="text1"/>
          <w:lang w:val="en-GB"/>
        </w:rPr>
        <w:t>Gryson</w:t>
      </w:r>
      <w:proofErr w:type="spellEnd"/>
      <w:r w:rsidRPr="00F16EC7">
        <w:rPr>
          <w:rFonts w:asciiTheme="majorHAnsi" w:hAnsiTheme="majorHAnsi" w:cstheme="majorHAnsi"/>
          <w:color w:val="000000" w:themeColor="text1"/>
          <w:lang w:val="en-GB"/>
        </w:rPr>
        <w:t xml:space="preserve">, </w:t>
      </w:r>
      <w:proofErr w:type="spellStart"/>
      <w:r w:rsidRPr="00F16EC7">
        <w:rPr>
          <w:rFonts w:asciiTheme="majorHAnsi" w:hAnsiTheme="majorHAnsi" w:cstheme="majorHAnsi"/>
          <w:i/>
          <w:iCs/>
          <w:color w:val="000000" w:themeColor="text1"/>
          <w:lang w:val="en-GB"/>
        </w:rPr>
        <w:t>Scolies</w:t>
      </w:r>
      <w:proofErr w:type="spellEnd"/>
      <w:r w:rsidRPr="00F16EC7">
        <w:rPr>
          <w:rFonts w:asciiTheme="majorHAnsi" w:hAnsiTheme="majorHAnsi" w:cstheme="majorHAnsi"/>
          <w:i/>
          <w:iCs/>
          <w:color w:val="000000" w:themeColor="text1"/>
          <w:lang w:val="en-GB"/>
        </w:rPr>
        <w:t xml:space="preserve"> </w:t>
      </w:r>
      <w:proofErr w:type="spellStart"/>
      <w:r w:rsidRPr="00F16EC7">
        <w:rPr>
          <w:rFonts w:asciiTheme="majorHAnsi" w:hAnsiTheme="majorHAnsi" w:cstheme="majorHAnsi"/>
          <w:i/>
          <w:iCs/>
          <w:color w:val="000000" w:themeColor="text1"/>
          <w:lang w:val="en-GB"/>
        </w:rPr>
        <w:t>ariennes</w:t>
      </w:r>
      <w:proofErr w:type="spellEnd"/>
      <w:r w:rsidRPr="00F16EC7">
        <w:rPr>
          <w:rFonts w:asciiTheme="majorHAnsi" w:hAnsiTheme="majorHAnsi" w:cstheme="majorHAnsi"/>
          <w:i/>
          <w:iCs/>
          <w:color w:val="000000" w:themeColor="text1"/>
          <w:lang w:val="en-GB"/>
        </w:rPr>
        <w:t xml:space="preserve"> sur le </w:t>
      </w:r>
      <w:proofErr w:type="spellStart"/>
      <w:r w:rsidRPr="00F16EC7">
        <w:rPr>
          <w:rFonts w:asciiTheme="majorHAnsi" w:hAnsiTheme="majorHAnsi" w:cstheme="majorHAnsi"/>
          <w:i/>
          <w:iCs/>
          <w:color w:val="000000" w:themeColor="text1"/>
          <w:lang w:val="en-GB"/>
        </w:rPr>
        <w:t>Concile</w:t>
      </w:r>
      <w:proofErr w:type="spellEnd"/>
      <w:r w:rsidRPr="00F16EC7">
        <w:rPr>
          <w:rFonts w:asciiTheme="majorHAnsi" w:hAnsiTheme="majorHAnsi" w:cstheme="majorHAnsi"/>
          <w:i/>
          <w:iCs/>
          <w:color w:val="000000" w:themeColor="text1"/>
          <w:lang w:val="en-GB"/>
        </w:rPr>
        <w:t xml:space="preserve"> </w:t>
      </w:r>
      <w:proofErr w:type="spellStart"/>
      <w:r w:rsidRPr="00F16EC7">
        <w:rPr>
          <w:rFonts w:asciiTheme="majorHAnsi" w:hAnsiTheme="majorHAnsi" w:cstheme="majorHAnsi"/>
          <w:i/>
          <w:iCs/>
          <w:color w:val="000000" w:themeColor="text1"/>
          <w:lang w:val="en-GB"/>
        </w:rPr>
        <w:t>d'Aquilée</w:t>
      </w:r>
      <w:proofErr w:type="spellEnd"/>
      <w:r w:rsidRPr="00F16EC7">
        <w:rPr>
          <w:rFonts w:asciiTheme="majorHAnsi" w:hAnsiTheme="majorHAnsi" w:cstheme="majorHAnsi"/>
          <w:iCs/>
          <w:color w:val="000000" w:themeColor="text1"/>
          <w:lang w:val="en-GB"/>
        </w:rPr>
        <w:t xml:space="preserve">, </w:t>
      </w:r>
      <w:r w:rsidR="00F30767" w:rsidRPr="00F16EC7">
        <w:rPr>
          <w:rFonts w:asciiTheme="majorHAnsi" w:hAnsiTheme="majorHAnsi" w:cstheme="majorHAnsi"/>
          <w:color w:val="000000" w:themeColor="text1"/>
          <w:bdr w:val="none" w:sz="0" w:space="0" w:color="auto" w:frame="1"/>
        </w:rPr>
        <w:t xml:space="preserve">Sources </w:t>
      </w:r>
      <w:proofErr w:type="spellStart"/>
      <w:r w:rsidR="00F30767" w:rsidRPr="00F16EC7">
        <w:rPr>
          <w:rFonts w:asciiTheme="majorHAnsi" w:hAnsiTheme="majorHAnsi" w:cstheme="majorHAnsi"/>
          <w:color w:val="000000" w:themeColor="text1"/>
          <w:bdr w:val="none" w:sz="0" w:space="0" w:color="auto" w:frame="1"/>
        </w:rPr>
        <w:t>C</w:t>
      </w:r>
      <w:r w:rsidRPr="00F16EC7">
        <w:rPr>
          <w:rFonts w:asciiTheme="majorHAnsi" w:hAnsiTheme="majorHAnsi" w:cstheme="majorHAnsi"/>
          <w:color w:val="000000" w:themeColor="text1"/>
          <w:bdr w:val="none" w:sz="0" w:space="0" w:color="auto" w:frame="1"/>
        </w:rPr>
        <w:t>hrétiennes</w:t>
      </w:r>
      <w:proofErr w:type="spellEnd"/>
      <w:r w:rsidRPr="00F16EC7">
        <w:rPr>
          <w:rStyle w:val="apple-converted-space"/>
          <w:rFonts w:asciiTheme="majorHAnsi" w:hAnsiTheme="majorHAnsi" w:cstheme="majorHAnsi"/>
          <w:color w:val="000000" w:themeColor="text1"/>
          <w:bdr w:val="none" w:sz="0" w:space="0" w:color="auto" w:frame="1"/>
        </w:rPr>
        <w:t> 267</w:t>
      </w:r>
      <w:r w:rsidRPr="00F16EC7">
        <w:rPr>
          <w:rFonts w:asciiTheme="majorHAnsi" w:hAnsiTheme="majorHAnsi" w:cstheme="majorHAnsi"/>
          <w:i/>
          <w:iCs/>
          <w:color w:val="000000" w:themeColor="text1"/>
          <w:lang w:val="en-GB"/>
        </w:rPr>
        <w:t xml:space="preserve"> </w:t>
      </w:r>
      <w:r w:rsidRPr="00F16EC7">
        <w:rPr>
          <w:rFonts w:asciiTheme="majorHAnsi" w:hAnsiTheme="majorHAnsi" w:cstheme="majorHAnsi"/>
          <w:color w:val="000000" w:themeColor="text1"/>
          <w:lang w:val="en-GB"/>
        </w:rPr>
        <w:t xml:space="preserve">(Paris: </w:t>
      </w:r>
      <w:r w:rsidRPr="00F16EC7">
        <w:rPr>
          <w:rFonts w:asciiTheme="majorHAnsi" w:hAnsiTheme="majorHAnsi" w:cstheme="majorHAnsi"/>
          <w:color w:val="000000" w:themeColor="text1"/>
        </w:rPr>
        <w:t>Éditions du Cerf</w:t>
      </w:r>
      <w:r w:rsidRPr="00F16EC7">
        <w:rPr>
          <w:rFonts w:asciiTheme="majorHAnsi" w:hAnsiTheme="majorHAnsi" w:cstheme="majorHAnsi"/>
          <w:color w:val="000000" w:themeColor="text1"/>
          <w:lang w:val="en-GB"/>
        </w:rPr>
        <w:t xml:space="preserve">, 1980), 81-5; Williams, </w:t>
      </w:r>
      <w:r w:rsidRPr="00F16EC7">
        <w:rPr>
          <w:rFonts w:asciiTheme="majorHAnsi" w:hAnsiTheme="majorHAnsi" w:cstheme="majorHAnsi"/>
          <w:i/>
          <w:color w:val="000000" w:themeColor="text1"/>
          <w:lang w:val="en-GB"/>
        </w:rPr>
        <w:t>Ambrose of Milan</w:t>
      </w:r>
      <w:r w:rsidRPr="00F16EC7">
        <w:rPr>
          <w:rFonts w:asciiTheme="majorHAnsi" w:hAnsiTheme="majorHAnsi" w:cstheme="majorHAnsi"/>
          <w:color w:val="000000" w:themeColor="text1"/>
          <w:lang w:val="en-GB"/>
        </w:rPr>
        <w:t xml:space="preserve">, 65-82. </w:t>
      </w:r>
    </w:p>
  </w:footnote>
  <w:footnote w:id="15">
    <w:p w:rsidR="002044A1" w:rsidRPr="00F16EC7" w:rsidRDefault="002044A1" w:rsidP="00A669E0">
      <w:pPr>
        <w:widowControl w:val="0"/>
        <w:autoSpaceDE w:val="0"/>
        <w:autoSpaceDN w:val="0"/>
        <w:adjustRightInd w:val="0"/>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Paulinus, </w:t>
      </w:r>
      <w:r w:rsidRPr="00F16EC7">
        <w:rPr>
          <w:rFonts w:asciiTheme="majorHAnsi" w:hAnsiTheme="majorHAnsi" w:cstheme="majorHAnsi"/>
          <w:i/>
          <w:color w:val="000000" w:themeColor="text1"/>
          <w:sz w:val="20"/>
          <w:szCs w:val="20"/>
          <w:lang w:val="en-GB"/>
        </w:rPr>
        <w:t xml:space="preserve">Vita </w:t>
      </w:r>
      <w:proofErr w:type="spellStart"/>
      <w:r w:rsidRPr="00F16EC7">
        <w:rPr>
          <w:rFonts w:asciiTheme="majorHAnsi" w:hAnsiTheme="majorHAnsi" w:cstheme="majorHAnsi"/>
          <w:i/>
          <w:color w:val="000000" w:themeColor="text1"/>
          <w:sz w:val="20"/>
          <w:szCs w:val="20"/>
          <w:lang w:val="en-GB"/>
        </w:rPr>
        <w:t>Ambrosii</w:t>
      </w:r>
      <w:proofErr w:type="spellEnd"/>
      <w:r w:rsidRPr="00F16EC7">
        <w:rPr>
          <w:rFonts w:asciiTheme="majorHAnsi" w:hAnsiTheme="majorHAnsi" w:cstheme="majorHAnsi"/>
          <w:color w:val="000000" w:themeColor="text1"/>
          <w:sz w:val="20"/>
          <w:szCs w:val="20"/>
          <w:lang w:val="en-GB"/>
        </w:rPr>
        <w:t xml:space="preserve">, 9.3; </w:t>
      </w:r>
      <w:proofErr w:type="spellStart"/>
      <w:r w:rsidRPr="00F16EC7">
        <w:rPr>
          <w:rFonts w:asciiTheme="majorHAnsi" w:hAnsiTheme="majorHAnsi" w:cstheme="majorHAnsi"/>
          <w:color w:val="000000" w:themeColor="text1"/>
          <w:sz w:val="20"/>
          <w:szCs w:val="20"/>
          <w:lang w:val="en-GB"/>
        </w:rPr>
        <w:t>McLynn</w:t>
      </w:r>
      <w:proofErr w:type="spellEnd"/>
      <w:r w:rsidRPr="00F16EC7">
        <w:rPr>
          <w:rFonts w:asciiTheme="majorHAnsi" w:hAnsiTheme="majorHAnsi" w:cstheme="majorHAnsi"/>
          <w:color w:val="000000" w:themeColor="text1"/>
          <w:sz w:val="20"/>
          <w:szCs w:val="20"/>
          <w:lang w:val="en-GB"/>
        </w:rPr>
        <w:t xml:space="preserve">, </w:t>
      </w:r>
      <w:r w:rsidRPr="00F16EC7">
        <w:rPr>
          <w:rFonts w:asciiTheme="majorHAnsi" w:hAnsiTheme="majorHAnsi" w:cstheme="majorHAnsi"/>
          <w:i/>
          <w:color w:val="000000" w:themeColor="text1"/>
          <w:sz w:val="20"/>
          <w:szCs w:val="20"/>
          <w:lang w:val="en-GB"/>
        </w:rPr>
        <w:t>Ambrose of Milan</w:t>
      </w:r>
      <w:r w:rsidRPr="00F16EC7">
        <w:rPr>
          <w:rFonts w:asciiTheme="majorHAnsi" w:hAnsiTheme="majorHAnsi" w:cstheme="majorHAnsi"/>
          <w:color w:val="000000" w:themeColor="text1"/>
          <w:sz w:val="20"/>
          <w:szCs w:val="20"/>
          <w:lang w:val="en-GB"/>
        </w:rPr>
        <w:t>, 51.</w:t>
      </w:r>
    </w:p>
  </w:footnote>
  <w:footnote w:id="16">
    <w:p w:rsidR="002044A1" w:rsidRPr="00F16EC7" w:rsidRDefault="002044A1" w:rsidP="00A669E0">
      <w:pPr>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 xml:space="preserve">F. H. </w:t>
      </w:r>
      <w:proofErr w:type="spellStart"/>
      <w:r w:rsidRPr="00F16EC7">
        <w:rPr>
          <w:rFonts w:asciiTheme="majorHAnsi" w:eastAsiaTheme="minorEastAsia" w:hAnsiTheme="majorHAnsi" w:cstheme="majorHAnsi"/>
          <w:color w:val="000000" w:themeColor="text1"/>
          <w:sz w:val="20"/>
          <w:szCs w:val="20"/>
        </w:rPr>
        <w:t>Dudden</w:t>
      </w:r>
      <w:proofErr w:type="spellEnd"/>
      <w:r w:rsidRPr="00F16EC7">
        <w:rPr>
          <w:rFonts w:asciiTheme="majorHAnsi" w:eastAsiaTheme="minorEastAsia" w:hAnsiTheme="majorHAnsi" w:cstheme="majorHAnsi"/>
          <w:color w:val="000000" w:themeColor="text1"/>
          <w:sz w:val="20"/>
          <w:szCs w:val="20"/>
        </w:rPr>
        <w:t xml:space="preserve">, </w:t>
      </w:r>
      <w:r w:rsidRPr="00F16EC7">
        <w:rPr>
          <w:rFonts w:asciiTheme="majorHAnsi" w:eastAsiaTheme="minorEastAsia" w:hAnsiTheme="majorHAnsi" w:cstheme="majorHAnsi"/>
          <w:i/>
          <w:iCs/>
          <w:color w:val="000000" w:themeColor="text1"/>
          <w:sz w:val="20"/>
          <w:szCs w:val="20"/>
        </w:rPr>
        <w:t>The Life and Times of St. Ambrose</w:t>
      </w:r>
      <w:r w:rsidRPr="00F16EC7">
        <w:rPr>
          <w:rFonts w:asciiTheme="majorHAnsi" w:eastAsiaTheme="minorEastAsia" w:hAnsiTheme="majorHAnsi" w:cstheme="majorHAnsi"/>
          <w:iCs/>
          <w:color w:val="000000" w:themeColor="text1"/>
          <w:sz w:val="20"/>
          <w:szCs w:val="20"/>
        </w:rPr>
        <w:t xml:space="preserve"> </w:t>
      </w:r>
      <w:r w:rsidR="00D41EC5" w:rsidRPr="00F16EC7">
        <w:rPr>
          <w:rFonts w:asciiTheme="majorHAnsi" w:eastAsiaTheme="minorEastAsia" w:hAnsiTheme="majorHAnsi" w:cstheme="majorHAnsi"/>
          <w:iCs/>
          <w:color w:val="000000" w:themeColor="text1"/>
          <w:sz w:val="20"/>
          <w:szCs w:val="20"/>
        </w:rPr>
        <w:t xml:space="preserve">vol. 1 </w:t>
      </w:r>
      <w:r w:rsidRPr="00F16EC7">
        <w:rPr>
          <w:rFonts w:asciiTheme="majorHAnsi" w:eastAsiaTheme="minorEastAsia" w:hAnsiTheme="majorHAnsi" w:cstheme="majorHAnsi"/>
          <w:color w:val="000000" w:themeColor="text1"/>
          <w:sz w:val="20"/>
          <w:szCs w:val="20"/>
        </w:rPr>
        <w:t>(Oxford</w:t>
      </w:r>
      <w:r w:rsidRPr="00F16EC7">
        <w:rPr>
          <w:rFonts w:asciiTheme="majorHAnsi" w:hAnsiTheme="majorHAnsi" w:cstheme="majorHAnsi"/>
          <w:color w:val="000000" w:themeColor="text1"/>
          <w:sz w:val="20"/>
          <w:szCs w:val="20"/>
          <w:lang w:val="en-GB"/>
        </w:rPr>
        <w:t>: Clarendon Press</w:t>
      </w:r>
      <w:r w:rsidRPr="00F16EC7">
        <w:rPr>
          <w:rFonts w:asciiTheme="majorHAnsi" w:eastAsiaTheme="minorEastAsia" w:hAnsiTheme="majorHAnsi" w:cstheme="majorHAnsi"/>
          <w:color w:val="000000" w:themeColor="text1"/>
          <w:sz w:val="20"/>
          <w:szCs w:val="20"/>
        </w:rPr>
        <w:t xml:space="preserve">, 1935), </w:t>
      </w:r>
      <w:r w:rsidRPr="00F16EC7">
        <w:rPr>
          <w:rFonts w:asciiTheme="majorHAnsi" w:eastAsiaTheme="minorEastAsia" w:hAnsiTheme="majorHAnsi" w:cstheme="majorHAnsi"/>
          <w:color w:val="000000" w:themeColor="text1"/>
          <w:sz w:val="20"/>
          <w:szCs w:val="20"/>
          <w:lang w:val="en-GB"/>
        </w:rPr>
        <w:t>65; Y. -M. Duval, '</w:t>
      </w:r>
      <w:proofErr w:type="spellStart"/>
      <w:r w:rsidRPr="00F16EC7">
        <w:rPr>
          <w:rFonts w:asciiTheme="majorHAnsi" w:eastAsiaTheme="minorEastAsia" w:hAnsiTheme="majorHAnsi" w:cstheme="majorHAnsi"/>
          <w:color w:val="000000" w:themeColor="text1"/>
          <w:sz w:val="20"/>
          <w:szCs w:val="20"/>
          <w:lang w:val="en-GB"/>
        </w:rPr>
        <w:t>Ambroise</w:t>
      </w:r>
      <w:proofErr w:type="spellEnd"/>
      <w:r w:rsidRPr="00F16EC7">
        <w:rPr>
          <w:rFonts w:asciiTheme="majorHAnsi" w:eastAsiaTheme="minorEastAsia" w:hAnsiTheme="majorHAnsi" w:cstheme="majorHAnsi"/>
          <w:color w:val="000000" w:themeColor="text1"/>
          <w:sz w:val="20"/>
          <w:szCs w:val="20"/>
          <w:lang w:val="en-GB"/>
        </w:rPr>
        <w:t xml:space="preserve">, de son </w:t>
      </w:r>
      <w:proofErr w:type="spellStart"/>
      <w:r w:rsidRPr="00F16EC7">
        <w:rPr>
          <w:rFonts w:asciiTheme="majorHAnsi" w:eastAsiaTheme="minorEastAsia" w:hAnsiTheme="majorHAnsi" w:cstheme="majorHAnsi"/>
          <w:color w:val="000000" w:themeColor="text1"/>
          <w:sz w:val="20"/>
          <w:szCs w:val="20"/>
          <w:lang w:val="en-GB"/>
        </w:rPr>
        <w:t>élection</w:t>
      </w:r>
      <w:proofErr w:type="spellEnd"/>
      <w:r w:rsidRPr="00F16EC7">
        <w:rPr>
          <w:rFonts w:asciiTheme="majorHAnsi" w:eastAsiaTheme="minorEastAsia" w:hAnsiTheme="majorHAnsi" w:cstheme="majorHAnsi"/>
          <w:color w:val="000000" w:themeColor="text1"/>
          <w:sz w:val="20"/>
          <w:szCs w:val="20"/>
          <w:lang w:val="en-GB"/>
        </w:rPr>
        <w:t xml:space="preserve"> à </w:t>
      </w:r>
      <w:proofErr w:type="spellStart"/>
      <w:r w:rsidRPr="00F16EC7">
        <w:rPr>
          <w:rFonts w:asciiTheme="majorHAnsi" w:eastAsiaTheme="minorEastAsia" w:hAnsiTheme="majorHAnsi" w:cstheme="majorHAnsi"/>
          <w:color w:val="000000" w:themeColor="text1"/>
          <w:sz w:val="20"/>
          <w:szCs w:val="20"/>
          <w:lang w:val="en-GB"/>
        </w:rPr>
        <w:t>sa</w:t>
      </w:r>
      <w:proofErr w:type="spellEnd"/>
      <w:r w:rsidRPr="00F16EC7">
        <w:rPr>
          <w:rFonts w:asciiTheme="majorHAnsi" w:eastAsiaTheme="minorEastAsia" w:hAnsiTheme="majorHAnsi" w:cstheme="majorHAnsi"/>
          <w:color w:val="000000" w:themeColor="text1"/>
          <w:sz w:val="20"/>
          <w:szCs w:val="20"/>
          <w:lang w:val="en-GB"/>
        </w:rPr>
        <w:t xml:space="preserve"> </w:t>
      </w:r>
      <w:proofErr w:type="spellStart"/>
      <w:r w:rsidRPr="00F16EC7">
        <w:rPr>
          <w:rFonts w:asciiTheme="majorHAnsi" w:eastAsiaTheme="minorEastAsia" w:hAnsiTheme="majorHAnsi" w:cstheme="majorHAnsi"/>
          <w:color w:val="000000" w:themeColor="text1"/>
          <w:sz w:val="20"/>
          <w:szCs w:val="20"/>
          <w:lang w:val="en-GB"/>
        </w:rPr>
        <w:t>consécration</w:t>
      </w:r>
      <w:proofErr w:type="spellEnd"/>
      <w:r w:rsidRPr="00F16EC7">
        <w:rPr>
          <w:rFonts w:asciiTheme="majorHAnsi" w:eastAsiaTheme="minorEastAsia" w:hAnsiTheme="majorHAnsi" w:cstheme="majorHAnsi"/>
          <w:color w:val="000000" w:themeColor="text1"/>
          <w:sz w:val="20"/>
          <w:szCs w:val="20"/>
          <w:lang w:val="en-GB"/>
        </w:rPr>
        <w:t xml:space="preserve">' in G. </w:t>
      </w:r>
      <w:proofErr w:type="spellStart"/>
      <w:r w:rsidRPr="00F16EC7">
        <w:rPr>
          <w:rFonts w:asciiTheme="majorHAnsi" w:eastAsiaTheme="minorEastAsia" w:hAnsiTheme="majorHAnsi" w:cstheme="majorHAnsi"/>
          <w:color w:val="000000" w:themeColor="text1"/>
          <w:sz w:val="20"/>
          <w:szCs w:val="20"/>
          <w:lang w:val="en-GB"/>
        </w:rPr>
        <w:t>Lazzati</w:t>
      </w:r>
      <w:proofErr w:type="spellEnd"/>
      <w:r w:rsidRPr="00F16EC7">
        <w:rPr>
          <w:rFonts w:asciiTheme="majorHAnsi" w:eastAsiaTheme="minorEastAsia" w:hAnsiTheme="majorHAnsi" w:cstheme="majorHAnsi"/>
          <w:color w:val="000000" w:themeColor="text1"/>
          <w:sz w:val="20"/>
          <w:szCs w:val="20"/>
          <w:lang w:val="en-GB"/>
        </w:rPr>
        <w:t xml:space="preserve"> (ed.), </w:t>
      </w:r>
      <w:r w:rsidRPr="00F16EC7">
        <w:rPr>
          <w:rFonts w:asciiTheme="majorHAnsi" w:eastAsiaTheme="minorEastAsia" w:hAnsiTheme="majorHAnsi" w:cstheme="majorHAnsi"/>
          <w:i/>
          <w:iCs/>
          <w:color w:val="000000" w:themeColor="text1"/>
          <w:sz w:val="20"/>
          <w:szCs w:val="20"/>
          <w:lang w:val="en-GB"/>
        </w:rPr>
        <w:t xml:space="preserve">Ambrosius </w:t>
      </w:r>
      <w:proofErr w:type="spellStart"/>
      <w:r w:rsidRPr="00F16EC7">
        <w:rPr>
          <w:rFonts w:asciiTheme="majorHAnsi" w:eastAsiaTheme="minorEastAsia" w:hAnsiTheme="majorHAnsi" w:cstheme="majorHAnsi"/>
          <w:i/>
          <w:iCs/>
          <w:color w:val="000000" w:themeColor="text1"/>
          <w:sz w:val="20"/>
          <w:szCs w:val="20"/>
          <w:lang w:val="en-GB"/>
        </w:rPr>
        <w:t>episcopus</w:t>
      </w:r>
      <w:proofErr w:type="spellEnd"/>
      <w:r w:rsidRPr="00F16EC7">
        <w:rPr>
          <w:rFonts w:asciiTheme="majorHAnsi" w:eastAsiaTheme="minorEastAsia" w:hAnsiTheme="majorHAnsi" w:cstheme="majorHAnsi"/>
          <w:i/>
          <w:iCs/>
          <w:color w:val="000000" w:themeColor="text1"/>
          <w:sz w:val="20"/>
          <w:szCs w:val="20"/>
          <w:lang w:val="en-GB"/>
        </w:rPr>
        <w:t xml:space="preserve">: </w:t>
      </w:r>
      <w:proofErr w:type="spellStart"/>
      <w:r w:rsidRPr="00F16EC7">
        <w:rPr>
          <w:rFonts w:asciiTheme="majorHAnsi" w:eastAsiaTheme="minorEastAsia" w:hAnsiTheme="majorHAnsi" w:cstheme="majorHAnsi"/>
          <w:i/>
          <w:iCs/>
          <w:color w:val="000000" w:themeColor="text1"/>
          <w:sz w:val="20"/>
          <w:szCs w:val="20"/>
          <w:lang w:val="en-GB"/>
        </w:rPr>
        <w:t>atti</w:t>
      </w:r>
      <w:proofErr w:type="spellEnd"/>
      <w:r w:rsidRPr="00F16EC7">
        <w:rPr>
          <w:rFonts w:asciiTheme="majorHAnsi" w:eastAsiaTheme="minorEastAsia" w:hAnsiTheme="majorHAnsi" w:cstheme="majorHAnsi"/>
          <w:i/>
          <w:iCs/>
          <w:color w:val="000000" w:themeColor="text1"/>
          <w:sz w:val="20"/>
          <w:szCs w:val="20"/>
          <w:lang w:val="en-GB"/>
        </w:rPr>
        <w:t xml:space="preserve"> del </w:t>
      </w:r>
      <w:proofErr w:type="spellStart"/>
      <w:r w:rsidRPr="00F16EC7">
        <w:rPr>
          <w:rFonts w:asciiTheme="majorHAnsi" w:eastAsiaTheme="minorEastAsia" w:hAnsiTheme="majorHAnsi" w:cstheme="majorHAnsi"/>
          <w:i/>
          <w:iCs/>
          <w:color w:val="000000" w:themeColor="text1"/>
          <w:sz w:val="20"/>
          <w:szCs w:val="20"/>
          <w:lang w:val="en-GB"/>
        </w:rPr>
        <w:t>Congresso</w:t>
      </w:r>
      <w:proofErr w:type="spellEnd"/>
      <w:r w:rsidRPr="00F16EC7">
        <w:rPr>
          <w:rFonts w:asciiTheme="majorHAnsi" w:eastAsiaTheme="minorEastAsia" w:hAnsiTheme="majorHAnsi" w:cstheme="majorHAnsi"/>
          <w:i/>
          <w:iCs/>
          <w:color w:val="000000" w:themeColor="text1"/>
          <w:sz w:val="20"/>
          <w:szCs w:val="20"/>
          <w:lang w:val="en-GB"/>
        </w:rPr>
        <w:t xml:space="preserve"> </w:t>
      </w:r>
      <w:proofErr w:type="spellStart"/>
      <w:r w:rsidRPr="00F16EC7">
        <w:rPr>
          <w:rFonts w:asciiTheme="majorHAnsi" w:eastAsiaTheme="minorEastAsia" w:hAnsiTheme="majorHAnsi" w:cstheme="majorHAnsi"/>
          <w:i/>
          <w:iCs/>
          <w:color w:val="000000" w:themeColor="text1"/>
          <w:sz w:val="20"/>
          <w:szCs w:val="20"/>
          <w:lang w:val="en-GB"/>
        </w:rPr>
        <w:t>Internazionale</w:t>
      </w:r>
      <w:proofErr w:type="spellEnd"/>
      <w:r w:rsidRPr="00F16EC7">
        <w:rPr>
          <w:rFonts w:asciiTheme="majorHAnsi" w:eastAsiaTheme="minorEastAsia" w:hAnsiTheme="majorHAnsi" w:cstheme="majorHAnsi"/>
          <w:i/>
          <w:iCs/>
          <w:color w:val="000000" w:themeColor="text1"/>
          <w:sz w:val="20"/>
          <w:szCs w:val="20"/>
          <w:lang w:val="en-GB"/>
        </w:rPr>
        <w:t xml:space="preserve"> di </w:t>
      </w:r>
      <w:proofErr w:type="spellStart"/>
      <w:r w:rsidRPr="00F16EC7">
        <w:rPr>
          <w:rFonts w:asciiTheme="majorHAnsi" w:eastAsiaTheme="minorEastAsia" w:hAnsiTheme="majorHAnsi" w:cstheme="majorHAnsi"/>
          <w:i/>
          <w:iCs/>
          <w:color w:val="000000" w:themeColor="text1"/>
          <w:sz w:val="20"/>
          <w:szCs w:val="20"/>
          <w:lang w:val="en-GB"/>
        </w:rPr>
        <w:t>Studi</w:t>
      </w:r>
      <w:proofErr w:type="spellEnd"/>
      <w:r w:rsidRPr="00F16EC7">
        <w:rPr>
          <w:rFonts w:asciiTheme="majorHAnsi" w:eastAsiaTheme="minorEastAsia" w:hAnsiTheme="majorHAnsi" w:cstheme="majorHAnsi"/>
          <w:i/>
          <w:iCs/>
          <w:color w:val="000000" w:themeColor="text1"/>
          <w:sz w:val="20"/>
          <w:szCs w:val="20"/>
          <w:lang w:val="en-GB"/>
        </w:rPr>
        <w:t xml:space="preserve"> </w:t>
      </w:r>
      <w:proofErr w:type="spellStart"/>
      <w:r w:rsidRPr="00F16EC7">
        <w:rPr>
          <w:rFonts w:asciiTheme="majorHAnsi" w:eastAsiaTheme="minorEastAsia" w:hAnsiTheme="majorHAnsi" w:cstheme="majorHAnsi"/>
          <w:i/>
          <w:iCs/>
          <w:color w:val="000000" w:themeColor="text1"/>
          <w:sz w:val="20"/>
          <w:szCs w:val="20"/>
          <w:lang w:val="en-GB"/>
        </w:rPr>
        <w:t>Ambrosiani</w:t>
      </w:r>
      <w:proofErr w:type="spellEnd"/>
      <w:r w:rsidRPr="00F16EC7">
        <w:rPr>
          <w:rFonts w:asciiTheme="majorHAnsi" w:eastAsiaTheme="minorEastAsia" w:hAnsiTheme="majorHAnsi" w:cstheme="majorHAnsi"/>
          <w:i/>
          <w:iCs/>
          <w:color w:val="000000" w:themeColor="text1"/>
          <w:sz w:val="20"/>
          <w:szCs w:val="20"/>
          <w:lang w:val="en-GB"/>
        </w:rPr>
        <w:t xml:space="preserve"> </w:t>
      </w:r>
      <w:r w:rsidRPr="00F16EC7">
        <w:rPr>
          <w:rFonts w:asciiTheme="majorHAnsi" w:eastAsiaTheme="minorEastAsia" w:hAnsiTheme="majorHAnsi" w:cstheme="majorHAnsi"/>
          <w:color w:val="000000" w:themeColor="text1"/>
          <w:sz w:val="20"/>
          <w:szCs w:val="20"/>
          <w:lang w:val="en-GB"/>
        </w:rPr>
        <w:t>(Milan</w:t>
      </w:r>
      <w:r w:rsidRPr="00F16EC7">
        <w:rPr>
          <w:rFonts w:asciiTheme="majorHAnsi" w:hAnsiTheme="majorHAnsi" w:cstheme="majorHAnsi"/>
          <w:color w:val="000000" w:themeColor="text1"/>
          <w:sz w:val="20"/>
          <w:szCs w:val="20"/>
          <w:lang w:val="en-GB"/>
        </w:rPr>
        <w:t xml:space="preserve">: </w:t>
      </w:r>
      <w:r w:rsidRPr="00F16EC7">
        <w:rPr>
          <w:rFonts w:asciiTheme="majorHAnsi" w:hAnsiTheme="majorHAnsi" w:cstheme="majorHAnsi"/>
          <w:color w:val="000000" w:themeColor="text1"/>
          <w:sz w:val="20"/>
          <w:szCs w:val="20"/>
          <w:shd w:val="clear" w:color="auto" w:fill="FFFFFF"/>
          <w:lang w:val="en-GB"/>
        </w:rPr>
        <w:t xml:space="preserve">Vita e </w:t>
      </w:r>
      <w:proofErr w:type="spellStart"/>
      <w:r w:rsidRPr="00F16EC7">
        <w:rPr>
          <w:rFonts w:asciiTheme="majorHAnsi" w:hAnsiTheme="majorHAnsi" w:cstheme="majorHAnsi"/>
          <w:color w:val="000000" w:themeColor="text1"/>
          <w:sz w:val="20"/>
          <w:szCs w:val="20"/>
          <w:shd w:val="clear" w:color="auto" w:fill="FFFFFF"/>
          <w:lang w:val="en-GB"/>
        </w:rPr>
        <w:t>Pensiero</w:t>
      </w:r>
      <w:proofErr w:type="spellEnd"/>
      <w:r w:rsidRPr="00F16EC7">
        <w:rPr>
          <w:rFonts w:asciiTheme="majorHAnsi" w:eastAsiaTheme="minorEastAsia" w:hAnsiTheme="majorHAnsi" w:cstheme="majorHAnsi"/>
          <w:color w:val="000000" w:themeColor="text1"/>
          <w:sz w:val="20"/>
          <w:szCs w:val="20"/>
          <w:lang w:val="en-GB"/>
        </w:rPr>
        <w:t>, 1976), 243-84.</w:t>
      </w:r>
    </w:p>
  </w:footnote>
  <w:footnote w:id="17">
    <w:p w:rsidR="002044A1" w:rsidRPr="00F16EC7" w:rsidRDefault="002044A1" w:rsidP="00A669E0">
      <w:pPr>
        <w:pStyle w:val="FootnoteText"/>
        <w:spacing w:line="240" w:lineRule="auto"/>
        <w:jc w:val="both"/>
        <w:rPr>
          <w:rFonts w:asciiTheme="majorHAnsi" w:hAnsiTheme="majorHAnsi" w:cstheme="majorHAnsi"/>
          <w:color w:val="000000" w:themeColor="text1"/>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rPr>
        <w:t xml:space="preserve"> Williams, </w:t>
      </w:r>
      <w:r w:rsidRPr="00F16EC7">
        <w:rPr>
          <w:rFonts w:asciiTheme="majorHAnsi" w:hAnsiTheme="majorHAnsi" w:cstheme="majorHAnsi"/>
          <w:i/>
          <w:color w:val="000000" w:themeColor="text1"/>
        </w:rPr>
        <w:t>Ambrose of Milan</w:t>
      </w:r>
      <w:r w:rsidRPr="00F16EC7">
        <w:rPr>
          <w:rFonts w:asciiTheme="majorHAnsi" w:hAnsiTheme="majorHAnsi" w:cstheme="majorHAnsi"/>
          <w:color w:val="000000" w:themeColor="text1"/>
        </w:rPr>
        <w:t>, 112-116.</w:t>
      </w:r>
    </w:p>
  </w:footnote>
  <w:footnote w:id="18">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Paulinus, </w:t>
      </w:r>
      <w:r w:rsidRPr="00F16EC7">
        <w:rPr>
          <w:rFonts w:asciiTheme="majorHAnsi" w:hAnsiTheme="majorHAnsi" w:cstheme="majorHAnsi"/>
          <w:i/>
          <w:color w:val="000000" w:themeColor="text1"/>
          <w:lang w:val="en-GB"/>
        </w:rPr>
        <w:t xml:space="preserve">Vita </w:t>
      </w:r>
      <w:proofErr w:type="spellStart"/>
      <w:r w:rsidRPr="00F16EC7">
        <w:rPr>
          <w:rFonts w:asciiTheme="majorHAnsi" w:hAnsiTheme="majorHAnsi" w:cstheme="majorHAnsi"/>
          <w:i/>
          <w:color w:val="000000" w:themeColor="text1"/>
          <w:lang w:val="en-GB"/>
        </w:rPr>
        <w:t>Ambrosii</w:t>
      </w:r>
      <w:proofErr w:type="spellEnd"/>
      <w:r w:rsidRPr="00F16EC7">
        <w:rPr>
          <w:rFonts w:asciiTheme="majorHAnsi" w:hAnsiTheme="majorHAnsi" w:cstheme="majorHAnsi"/>
          <w:color w:val="000000" w:themeColor="text1"/>
          <w:lang w:val="en-GB"/>
        </w:rPr>
        <w:t>, 8.</w:t>
      </w:r>
    </w:p>
  </w:footnote>
  <w:footnote w:id="19">
    <w:p w:rsidR="002044A1" w:rsidRPr="00F16EC7" w:rsidRDefault="002044A1" w:rsidP="00A669E0">
      <w:pPr>
        <w:pStyle w:val="FootnoteText"/>
        <w:spacing w:line="240" w:lineRule="auto"/>
        <w:jc w:val="both"/>
        <w:rPr>
          <w:rFonts w:asciiTheme="majorHAnsi" w:hAnsiTheme="majorHAnsi" w:cstheme="majorHAnsi"/>
          <w:color w:val="000000" w:themeColor="text1"/>
          <w:lang w:val="es-ES_tradnl"/>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s-ES_tradnl"/>
        </w:rPr>
        <w:t xml:space="preserve"> </w:t>
      </w:r>
      <w:proofErr w:type="spellStart"/>
      <w:r w:rsidRPr="00F16EC7">
        <w:rPr>
          <w:rFonts w:asciiTheme="majorHAnsi" w:hAnsiTheme="majorHAnsi" w:cstheme="majorHAnsi"/>
          <w:color w:val="000000" w:themeColor="text1"/>
          <w:lang w:val="es-ES_tradnl"/>
        </w:rPr>
        <w:t>Ambrose</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i/>
          <w:color w:val="000000" w:themeColor="text1"/>
          <w:lang w:val="es-ES_tradnl"/>
        </w:rPr>
        <w:t xml:space="preserve">De </w:t>
      </w:r>
      <w:proofErr w:type="spellStart"/>
      <w:r w:rsidRPr="00F16EC7">
        <w:rPr>
          <w:rFonts w:asciiTheme="majorHAnsi" w:hAnsiTheme="majorHAnsi" w:cstheme="majorHAnsi"/>
          <w:i/>
          <w:color w:val="000000" w:themeColor="text1"/>
          <w:lang w:val="es-ES_tradnl"/>
        </w:rPr>
        <w:t>excessu</w:t>
      </w:r>
      <w:proofErr w:type="spellEnd"/>
      <w:r w:rsidRPr="00F16EC7">
        <w:rPr>
          <w:rFonts w:asciiTheme="majorHAnsi" w:hAnsiTheme="majorHAnsi" w:cstheme="majorHAnsi"/>
          <w:i/>
          <w:color w:val="000000" w:themeColor="text1"/>
          <w:lang w:val="es-ES_tradnl"/>
        </w:rPr>
        <w:t xml:space="preserve"> </w:t>
      </w:r>
      <w:proofErr w:type="spellStart"/>
      <w:r w:rsidRPr="00F16EC7">
        <w:rPr>
          <w:rFonts w:asciiTheme="majorHAnsi" w:hAnsiTheme="majorHAnsi" w:cstheme="majorHAnsi"/>
          <w:i/>
          <w:color w:val="000000" w:themeColor="text1"/>
          <w:lang w:val="es-ES_tradnl"/>
        </w:rPr>
        <w:t>fratris</w:t>
      </w:r>
      <w:proofErr w:type="spellEnd"/>
      <w:r w:rsidRPr="00F16EC7">
        <w:rPr>
          <w:rFonts w:asciiTheme="majorHAnsi" w:hAnsiTheme="majorHAnsi" w:cstheme="majorHAnsi"/>
          <w:color w:val="000000" w:themeColor="text1"/>
          <w:lang w:val="es-ES_tradnl"/>
        </w:rPr>
        <w:t xml:space="preserve">, 1.47. </w:t>
      </w:r>
    </w:p>
  </w:footnote>
  <w:footnote w:id="20">
    <w:p w:rsidR="002044A1" w:rsidRPr="00F16EC7" w:rsidRDefault="002044A1" w:rsidP="00A669E0">
      <w:pPr>
        <w:jc w:val="both"/>
        <w:rPr>
          <w:rFonts w:asciiTheme="majorHAnsi" w:hAnsiTheme="majorHAnsi" w:cstheme="majorHAnsi"/>
          <w:color w:val="000000" w:themeColor="text1"/>
          <w:sz w:val="20"/>
          <w:szCs w:val="20"/>
          <w:lang w:val="es-ES"/>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s-ES_tradnl"/>
        </w:rPr>
        <w:t xml:space="preserve"> </w:t>
      </w:r>
      <w:proofErr w:type="spellStart"/>
      <w:r w:rsidRPr="00F16EC7">
        <w:rPr>
          <w:rFonts w:asciiTheme="majorHAnsi" w:hAnsiTheme="majorHAnsi" w:cstheme="majorHAnsi"/>
          <w:color w:val="000000" w:themeColor="text1"/>
          <w:sz w:val="20"/>
          <w:szCs w:val="20"/>
          <w:lang w:val="es-ES_tradnl"/>
        </w:rPr>
        <w:t>Paulinus</w:t>
      </w:r>
      <w:proofErr w:type="spellEnd"/>
      <w:r w:rsidRPr="00F16EC7">
        <w:rPr>
          <w:rFonts w:asciiTheme="majorHAnsi" w:hAnsiTheme="majorHAnsi" w:cstheme="majorHAnsi"/>
          <w:color w:val="000000" w:themeColor="text1"/>
          <w:sz w:val="20"/>
          <w:szCs w:val="20"/>
          <w:lang w:val="es-ES_tradnl"/>
        </w:rPr>
        <w:t xml:space="preserve">, </w:t>
      </w:r>
      <w:r w:rsidRPr="00F16EC7">
        <w:rPr>
          <w:rFonts w:asciiTheme="majorHAnsi" w:hAnsiTheme="majorHAnsi" w:cstheme="majorHAnsi"/>
          <w:i/>
          <w:color w:val="000000" w:themeColor="text1"/>
          <w:sz w:val="20"/>
          <w:szCs w:val="20"/>
          <w:lang w:val="es-ES_tradnl"/>
        </w:rPr>
        <w:t xml:space="preserve">Vita </w:t>
      </w:r>
      <w:proofErr w:type="spellStart"/>
      <w:r w:rsidRPr="00F16EC7">
        <w:rPr>
          <w:rFonts w:asciiTheme="majorHAnsi" w:hAnsiTheme="majorHAnsi" w:cstheme="majorHAnsi"/>
          <w:i/>
          <w:color w:val="000000" w:themeColor="text1"/>
          <w:sz w:val="20"/>
          <w:szCs w:val="20"/>
          <w:lang w:val="es-ES_tradnl"/>
        </w:rPr>
        <w:t>Ambrosii</w:t>
      </w:r>
      <w:proofErr w:type="spellEnd"/>
      <w:r w:rsidRPr="00F16EC7">
        <w:rPr>
          <w:rFonts w:asciiTheme="majorHAnsi" w:hAnsiTheme="majorHAnsi" w:cstheme="majorHAnsi"/>
          <w:color w:val="000000" w:themeColor="text1"/>
          <w:sz w:val="20"/>
          <w:szCs w:val="20"/>
          <w:lang w:val="es-ES_tradnl"/>
        </w:rPr>
        <w:t xml:space="preserve">, 8; C. </w:t>
      </w:r>
      <w:proofErr w:type="spellStart"/>
      <w:r w:rsidRPr="00F16EC7">
        <w:rPr>
          <w:rFonts w:asciiTheme="majorHAnsi" w:hAnsiTheme="majorHAnsi" w:cstheme="majorHAnsi"/>
          <w:color w:val="000000" w:themeColor="text1"/>
          <w:sz w:val="20"/>
          <w:szCs w:val="20"/>
          <w:lang w:val="es-ES_tradnl"/>
        </w:rPr>
        <w:t>Corbellini</w:t>
      </w:r>
      <w:proofErr w:type="spellEnd"/>
      <w:r w:rsidRPr="00F16EC7">
        <w:rPr>
          <w:rFonts w:asciiTheme="majorHAnsi" w:hAnsiTheme="majorHAnsi" w:cstheme="majorHAnsi"/>
          <w:color w:val="000000" w:themeColor="text1"/>
          <w:sz w:val="20"/>
          <w:szCs w:val="20"/>
          <w:lang w:val="es-ES_tradnl"/>
        </w:rPr>
        <w:t xml:space="preserve">, 'Sesto Petronio Probo e </w:t>
      </w:r>
      <w:proofErr w:type="spellStart"/>
      <w:r w:rsidRPr="00F16EC7">
        <w:rPr>
          <w:rFonts w:asciiTheme="majorHAnsi" w:hAnsiTheme="majorHAnsi" w:cstheme="majorHAnsi"/>
          <w:color w:val="000000" w:themeColor="text1"/>
          <w:sz w:val="20"/>
          <w:szCs w:val="20"/>
          <w:lang w:val="es-ES_tradnl"/>
        </w:rPr>
        <w:t>I'elezione</w:t>
      </w:r>
      <w:proofErr w:type="spellEnd"/>
      <w:r w:rsidRPr="00F16EC7">
        <w:rPr>
          <w:rFonts w:asciiTheme="majorHAnsi" w:hAnsiTheme="majorHAnsi" w:cstheme="majorHAnsi"/>
          <w:color w:val="000000" w:themeColor="text1"/>
          <w:sz w:val="20"/>
          <w:szCs w:val="20"/>
          <w:lang w:val="es-ES_tradnl"/>
        </w:rPr>
        <w:t xml:space="preserve"> </w:t>
      </w:r>
      <w:proofErr w:type="spellStart"/>
      <w:r w:rsidRPr="00F16EC7">
        <w:rPr>
          <w:rFonts w:asciiTheme="majorHAnsi" w:hAnsiTheme="majorHAnsi" w:cstheme="majorHAnsi"/>
          <w:color w:val="000000" w:themeColor="text1"/>
          <w:sz w:val="20"/>
          <w:szCs w:val="20"/>
          <w:lang w:val="es-ES_tradnl"/>
        </w:rPr>
        <w:t>episcopale</w:t>
      </w:r>
      <w:proofErr w:type="spellEnd"/>
      <w:r w:rsidRPr="00F16EC7">
        <w:rPr>
          <w:rFonts w:asciiTheme="majorHAnsi" w:hAnsiTheme="majorHAnsi" w:cstheme="majorHAnsi"/>
          <w:color w:val="000000" w:themeColor="text1"/>
          <w:sz w:val="20"/>
          <w:szCs w:val="20"/>
          <w:lang w:val="es-ES_tradnl"/>
        </w:rPr>
        <w:t xml:space="preserve"> di </w:t>
      </w:r>
      <w:proofErr w:type="spellStart"/>
      <w:r w:rsidRPr="00F16EC7">
        <w:rPr>
          <w:rFonts w:asciiTheme="majorHAnsi" w:hAnsiTheme="majorHAnsi" w:cstheme="majorHAnsi"/>
          <w:color w:val="000000" w:themeColor="text1"/>
          <w:sz w:val="20"/>
          <w:szCs w:val="20"/>
          <w:lang w:val="es-ES_tradnl"/>
        </w:rPr>
        <w:t>Ambrogio</w:t>
      </w:r>
      <w:proofErr w:type="spellEnd"/>
      <w:r w:rsidRPr="00F16EC7">
        <w:rPr>
          <w:rFonts w:asciiTheme="majorHAnsi" w:hAnsiTheme="majorHAnsi" w:cstheme="majorHAnsi"/>
          <w:color w:val="000000" w:themeColor="text1"/>
          <w:sz w:val="20"/>
          <w:szCs w:val="20"/>
          <w:lang w:val="es-ES_tradnl"/>
        </w:rPr>
        <w:t xml:space="preserve">', </w:t>
      </w:r>
      <w:proofErr w:type="spellStart"/>
      <w:r w:rsidRPr="00F16EC7">
        <w:rPr>
          <w:rFonts w:asciiTheme="majorHAnsi" w:hAnsiTheme="majorHAnsi" w:cstheme="majorHAnsi"/>
          <w:i/>
          <w:iCs/>
          <w:color w:val="000000" w:themeColor="text1"/>
          <w:sz w:val="20"/>
          <w:szCs w:val="20"/>
          <w:lang w:val="es-ES_tradnl"/>
        </w:rPr>
        <w:t>Rendiconti</w:t>
      </w:r>
      <w:proofErr w:type="spellEnd"/>
      <w:r w:rsidRPr="00F16EC7">
        <w:rPr>
          <w:rFonts w:asciiTheme="majorHAnsi" w:hAnsiTheme="majorHAnsi" w:cstheme="majorHAnsi"/>
          <w:i/>
          <w:iCs/>
          <w:color w:val="000000" w:themeColor="text1"/>
          <w:sz w:val="20"/>
          <w:szCs w:val="20"/>
          <w:lang w:val="es-ES_tradnl"/>
        </w:rPr>
        <w:t xml:space="preserve"> </w:t>
      </w:r>
      <w:proofErr w:type="spellStart"/>
      <w:r w:rsidRPr="00F16EC7">
        <w:rPr>
          <w:rFonts w:asciiTheme="majorHAnsi" w:hAnsiTheme="majorHAnsi" w:cstheme="majorHAnsi"/>
          <w:i/>
          <w:iCs/>
          <w:color w:val="000000" w:themeColor="text1"/>
          <w:sz w:val="20"/>
          <w:szCs w:val="20"/>
          <w:lang w:val="es-ES_tradnl"/>
        </w:rPr>
        <w:t>dell'lstituto</w:t>
      </w:r>
      <w:proofErr w:type="spellEnd"/>
      <w:r w:rsidRPr="00F16EC7">
        <w:rPr>
          <w:rFonts w:asciiTheme="majorHAnsi" w:hAnsiTheme="majorHAnsi" w:cstheme="majorHAnsi"/>
          <w:i/>
          <w:iCs/>
          <w:color w:val="000000" w:themeColor="text1"/>
          <w:sz w:val="20"/>
          <w:szCs w:val="20"/>
          <w:lang w:val="es-ES_tradnl"/>
        </w:rPr>
        <w:t xml:space="preserve"> Lombardo, </w:t>
      </w:r>
      <w:proofErr w:type="spellStart"/>
      <w:r w:rsidRPr="00F16EC7">
        <w:rPr>
          <w:rFonts w:asciiTheme="majorHAnsi" w:hAnsiTheme="majorHAnsi" w:cstheme="majorHAnsi"/>
          <w:i/>
          <w:iCs/>
          <w:color w:val="000000" w:themeColor="text1"/>
          <w:sz w:val="20"/>
          <w:szCs w:val="20"/>
          <w:lang w:val="es-ES_tradnl"/>
        </w:rPr>
        <w:t>Classe</w:t>
      </w:r>
      <w:proofErr w:type="spellEnd"/>
      <w:r w:rsidRPr="00F16EC7">
        <w:rPr>
          <w:rFonts w:asciiTheme="majorHAnsi" w:hAnsiTheme="majorHAnsi" w:cstheme="majorHAnsi"/>
          <w:i/>
          <w:iCs/>
          <w:color w:val="000000" w:themeColor="text1"/>
          <w:sz w:val="20"/>
          <w:szCs w:val="20"/>
          <w:lang w:val="es-ES_tradnl"/>
        </w:rPr>
        <w:t xml:space="preserve"> di </w:t>
      </w:r>
      <w:proofErr w:type="spellStart"/>
      <w:r w:rsidRPr="00F16EC7">
        <w:rPr>
          <w:rFonts w:asciiTheme="majorHAnsi" w:hAnsiTheme="majorHAnsi" w:cstheme="majorHAnsi"/>
          <w:i/>
          <w:iCs/>
          <w:color w:val="000000" w:themeColor="text1"/>
          <w:sz w:val="20"/>
          <w:szCs w:val="20"/>
          <w:lang w:val="es-ES_tradnl"/>
        </w:rPr>
        <w:t>Lettere</w:t>
      </w:r>
      <w:proofErr w:type="spellEnd"/>
      <w:r w:rsidRPr="00F16EC7">
        <w:rPr>
          <w:rFonts w:asciiTheme="majorHAnsi" w:hAnsiTheme="majorHAnsi" w:cstheme="majorHAnsi"/>
          <w:i/>
          <w:iCs/>
          <w:color w:val="000000" w:themeColor="text1"/>
          <w:sz w:val="20"/>
          <w:szCs w:val="20"/>
          <w:lang w:val="es-ES_tradnl"/>
        </w:rPr>
        <w:t xml:space="preserve">, </w:t>
      </w:r>
      <w:proofErr w:type="spellStart"/>
      <w:r w:rsidRPr="00F16EC7">
        <w:rPr>
          <w:rFonts w:asciiTheme="majorHAnsi" w:hAnsiTheme="majorHAnsi" w:cstheme="majorHAnsi"/>
          <w:i/>
          <w:iCs/>
          <w:color w:val="000000" w:themeColor="text1"/>
          <w:sz w:val="20"/>
          <w:szCs w:val="20"/>
          <w:lang w:val="es-ES_tradnl"/>
        </w:rPr>
        <w:t>Scienze</w:t>
      </w:r>
      <w:proofErr w:type="spellEnd"/>
      <w:r w:rsidRPr="00F16EC7">
        <w:rPr>
          <w:rFonts w:asciiTheme="majorHAnsi" w:hAnsiTheme="majorHAnsi" w:cstheme="majorHAnsi"/>
          <w:i/>
          <w:iCs/>
          <w:color w:val="000000" w:themeColor="text1"/>
          <w:sz w:val="20"/>
          <w:szCs w:val="20"/>
          <w:lang w:val="es-ES_tradnl"/>
        </w:rPr>
        <w:t xml:space="preserve"> </w:t>
      </w:r>
      <w:proofErr w:type="spellStart"/>
      <w:r w:rsidRPr="00F16EC7">
        <w:rPr>
          <w:rFonts w:asciiTheme="majorHAnsi" w:hAnsiTheme="majorHAnsi" w:cstheme="majorHAnsi"/>
          <w:i/>
          <w:iCs/>
          <w:color w:val="000000" w:themeColor="text1"/>
          <w:sz w:val="20"/>
          <w:szCs w:val="20"/>
          <w:lang w:val="es-ES_tradnl"/>
        </w:rPr>
        <w:t>morali</w:t>
      </w:r>
      <w:proofErr w:type="spellEnd"/>
      <w:r w:rsidRPr="00F16EC7">
        <w:rPr>
          <w:rFonts w:asciiTheme="majorHAnsi" w:hAnsiTheme="majorHAnsi" w:cstheme="majorHAnsi"/>
          <w:i/>
          <w:iCs/>
          <w:color w:val="000000" w:themeColor="text1"/>
          <w:sz w:val="20"/>
          <w:szCs w:val="20"/>
          <w:lang w:val="es-ES_tradnl"/>
        </w:rPr>
        <w:t xml:space="preserve"> e </w:t>
      </w:r>
      <w:proofErr w:type="spellStart"/>
      <w:r w:rsidRPr="00F16EC7">
        <w:rPr>
          <w:rFonts w:asciiTheme="majorHAnsi" w:hAnsiTheme="majorHAnsi" w:cstheme="majorHAnsi"/>
          <w:i/>
          <w:iCs/>
          <w:color w:val="000000" w:themeColor="text1"/>
          <w:sz w:val="20"/>
          <w:szCs w:val="20"/>
          <w:lang w:val="es-ES_tradnl"/>
        </w:rPr>
        <w:t>storiche</w:t>
      </w:r>
      <w:proofErr w:type="spellEnd"/>
      <w:r w:rsidRPr="00F16EC7">
        <w:rPr>
          <w:rFonts w:asciiTheme="majorHAnsi" w:hAnsiTheme="majorHAnsi" w:cstheme="majorHAnsi"/>
          <w:iCs/>
          <w:color w:val="000000" w:themeColor="text1"/>
          <w:sz w:val="20"/>
          <w:szCs w:val="20"/>
          <w:lang w:val="es-ES_tradnl"/>
        </w:rPr>
        <w:t xml:space="preserve">, </w:t>
      </w:r>
      <w:r w:rsidRPr="00F16EC7">
        <w:rPr>
          <w:rFonts w:asciiTheme="majorHAnsi" w:hAnsiTheme="majorHAnsi" w:cstheme="majorHAnsi"/>
          <w:color w:val="000000" w:themeColor="text1"/>
          <w:sz w:val="20"/>
          <w:szCs w:val="20"/>
          <w:lang w:val="es-ES_tradnl"/>
        </w:rPr>
        <w:t xml:space="preserve">109 (1975), 181-9; M. </w:t>
      </w:r>
      <w:proofErr w:type="spellStart"/>
      <w:r w:rsidRPr="00F16EC7">
        <w:rPr>
          <w:rFonts w:asciiTheme="majorHAnsi" w:hAnsiTheme="majorHAnsi" w:cstheme="majorHAnsi"/>
          <w:color w:val="000000" w:themeColor="text1"/>
          <w:sz w:val="20"/>
          <w:szCs w:val="20"/>
          <w:lang w:val="es-ES_tradnl"/>
        </w:rPr>
        <w:t>Sordi</w:t>
      </w:r>
      <w:proofErr w:type="spellEnd"/>
      <w:r w:rsidRPr="00F16EC7">
        <w:rPr>
          <w:rFonts w:asciiTheme="majorHAnsi" w:hAnsiTheme="majorHAnsi" w:cstheme="majorHAnsi"/>
          <w:color w:val="000000" w:themeColor="text1"/>
          <w:sz w:val="20"/>
          <w:szCs w:val="20"/>
          <w:lang w:val="es-ES_tradnl"/>
        </w:rPr>
        <w:t xml:space="preserve">, 'I </w:t>
      </w:r>
      <w:proofErr w:type="spellStart"/>
      <w:r w:rsidRPr="00F16EC7">
        <w:rPr>
          <w:rFonts w:asciiTheme="majorHAnsi" w:hAnsiTheme="majorHAnsi" w:cstheme="majorHAnsi"/>
          <w:color w:val="000000" w:themeColor="text1"/>
          <w:sz w:val="20"/>
          <w:szCs w:val="20"/>
          <w:lang w:val="es-ES_tradnl"/>
        </w:rPr>
        <w:t>rapporti</w:t>
      </w:r>
      <w:proofErr w:type="spellEnd"/>
      <w:r w:rsidRPr="00F16EC7">
        <w:rPr>
          <w:rFonts w:asciiTheme="majorHAnsi" w:hAnsiTheme="majorHAnsi" w:cstheme="majorHAnsi"/>
          <w:color w:val="000000" w:themeColor="text1"/>
          <w:sz w:val="20"/>
          <w:szCs w:val="20"/>
          <w:lang w:val="es-ES_tradnl"/>
        </w:rPr>
        <w:t xml:space="preserve"> di </w:t>
      </w:r>
      <w:proofErr w:type="spellStart"/>
      <w:r w:rsidRPr="00F16EC7">
        <w:rPr>
          <w:rFonts w:asciiTheme="majorHAnsi" w:hAnsiTheme="majorHAnsi" w:cstheme="majorHAnsi"/>
          <w:color w:val="000000" w:themeColor="text1"/>
          <w:sz w:val="20"/>
          <w:szCs w:val="20"/>
          <w:lang w:val="es-ES_tradnl"/>
        </w:rPr>
        <w:t>Ambrogio</w:t>
      </w:r>
      <w:proofErr w:type="spellEnd"/>
      <w:r w:rsidRPr="00F16EC7">
        <w:rPr>
          <w:rFonts w:asciiTheme="majorHAnsi" w:hAnsiTheme="majorHAnsi" w:cstheme="majorHAnsi"/>
          <w:color w:val="000000" w:themeColor="text1"/>
          <w:sz w:val="20"/>
          <w:szCs w:val="20"/>
          <w:lang w:val="es-ES_tradnl"/>
        </w:rPr>
        <w:t xml:space="preserve"> con </w:t>
      </w:r>
      <w:proofErr w:type="spellStart"/>
      <w:r w:rsidRPr="00F16EC7">
        <w:rPr>
          <w:rFonts w:asciiTheme="majorHAnsi" w:hAnsiTheme="majorHAnsi" w:cstheme="majorHAnsi"/>
          <w:color w:val="000000" w:themeColor="text1"/>
          <w:sz w:val="20"/>
          <w:szCs w:val="20"/>
          <w:lang w:val="es-ES_tradnl"/>
        </w:rPr>
        <w:t>gli</w:t>
      </w:r>
      <w:proofErr w:type="spellEnd"/>
      <w:r w:rsidRPr="00F16EC7">
        <w:rPr>
          <w:rFonts w:asciiTheme="majorHAnsi" w:hAnsiTheme="majorHAnsi" w:cstheme="majorHAnsi"/>
          <w:color w:val="000000" w:themeColor="text1"/>
          <w:sz w:val="20"/>
          <w:szCs w:val="20"/>
          <w:lang w:val="es-ES_tradnl"/>
        </w:rPr>
        <w:t xml:space="preserve"> </w:t>
      </w:r>
      <w:proofErr w:type="spellStart"/>
      <w:r w:rsidRPr="00F16EC7">
        <w:rPr>
          <w:rFonts w:asciiTheme="majorHAnsi" w:hAnsiTheme="majorHAnsi" w:cstheme="majorHAnsi"/>
          <w:color w:val="000000" w:themeColor="text1"/>
          <w:sz w:val="20"/>
          <w:szCs w:val="20"/>
          <w:lang w:val="es-ES_tradnl"/>
        </w:rPr>
        <w:t>imperatori</w:t>
      </w:r>
      <w:proofErr w:type="spellEnd"/>
      <w:r w:rsidRPr="00F16EC7">
        <w:rPr>
          <w:rFonts w:asciiTheme="majorHAnsi" w:hAnsiTheme="majorHAnsi" w:cstheme="majorHAnsi"/>
          <w:color w:val="000000" w:themeColor="text1"/>
          <w:sz w:val="20"/>
          <w:szCs w:val="20"/>
          <w:lang w:val="es-ES_tradnl"/>
        </w:rPr>
        <w:t xml:space="preserve"> del </w:t>
      </w:r>
      <w:proofErr w:type="spellStart"/>
      <w:r w:rsidRPr="00F16EC7">
        <w:rPr>
          <w:rFonts w:asciiTheme="majorHAnsi" w:hAnsiTheme="majorHAnsi" w:cstheme="majorHAnsi"/>
          <w:color w:val="000000" w:themeColor="text1"/>
          <w:sz w:val="20"/>
          <w:szCs w:val="20"/>
          <w:lang w:val="es-ES_tradnl"/>
        </w:rPr>
        <w:t>suo</w:t>
      </w:r>
      <w:proofErr w:type="spellEnd"/>
      <w:r w:rsidRPr="00F16EC7">
        <w:rPr>
          <w:rFonts w:asciiTheme="majorHAnsi" w:hAnsiTheme="majorHAnsi" w:cstheme="majorHAnsi"/>
          <w:color w:val="000000" w:themeColor="text1"/>
          <w:sz w:val="20"/>
          <w:szCs w:val="20"/>
          <w:lang w:val="es-ES_tradnl"/>
        </w:rPr>
        <w:t xml:space="preserve"> tempo', in L. F. </w:t>
      </w:r>
      <w:proofErr w:type="spellStart"/>
      <w:r w:rsidRPr="00F16EC7">
        <w:rPr>
          <w:rFonts w:asciiTheme="majorHAnsi" w:hAnsiTheme="majorHAnsi" w:cstheme="majorHAnsi"/>
          <w:color w:val="000000" w:themeColor="text1"/>
          <w:sz w:val="20"/>
          <w:szCs w:val="20"/>
          <w:lang w:val="es-ES_tradnl"/>
        </w:rPr>
        <w:t>Pizzolato</w:t>
      </w:r>
      <w:proofErr w:type="spellEnd"/>
      <w:r w:rsidRPr="00F16EC7">
        <w:rPr>
          <w:rFonts w:asciiTheme="majorHAnsi" w:hAnsiTheme="majorHAnsi" w:cstheme="majorHAnsi"/>
          <w:color w:val="000000" w:themeColor="text1"/>
          <w:sz w:val="20"/>
          <w:szCs w:val="20"/>
          <w:lang w:val="es-ES_tradnl"/>
        </w:rPr>
        <w:t xml:space="preserve"> and M. </w:t>
      </w:r>
      <w:proofErr w:type="spellStart"/>
      <w:r w:rsidRPr="00F16EC7">
        <w:rPr>
          <w:rFonts w:asciiTheme="majorHAnsi" w:hAnsiTheme="majorHAnsi" w:cstheme="majorHAnsi"/>
          <w:color w:val="000000" w:themeColor="text1"/>
          <w:sz w:val="20"/>
          <w:szCs w:val="20"/>
          <w:lang w:val="es-ES_tradnl"/>
        </w:rPr>
        <w:t>Rizzi</w:t>
      </w:r>
      <w:proofErr w:type="spellEnd"/>
      <w:r w:rsidRPr="00F16EC7">
        <w:rPr>
          <w:rFonts w:asciiTheme="majorHAnsi" w:hAnsiTheme="majorHAnsi" w:cstheme="majorHAnsi"/>
          <w:color w:val="000000" w:themeColor="text1"/>
          <w:sz w:val="20"/>
          <w:szCs w:val="20"/>
          <w:lang w:val="es-ES_tradnl"/>
        </w:rPr>
        <w:t xml:space="preserve"> (eds.), </w:t>
      </w:r>
      <w:proofErr w:type="spellStart"/>
      <w:r w:rsidRPr="00F16EC7">
        <w:rPr>
          <w:rFonts w:asciiTheme="majorHAnsi" w:hAnsiTheme="majorHAnsi" w:cstheme="majorHAnsi"/>
          <w:i/>
          <w:iCs/>
          <w:color w:val="000000" w:themeColor="text1"/>
          <w:sz w:val="20"/>
          <w:szCs w:val="20"/>
          <w:lang w:val="es-ES_tradnl"/>
        </w:rPr>
        <w:t>Nec</w:t>
      </w:r>
      <w:proofErr w:type="spellEnd"/>
      <w:r w:rsidRPr="00F16EC7">
        <w:rPr>
          <w:rFonts w:asciiTheme="majorHAnsi" w:hAnsiTheme="majorHAnsi" w:cstheme="majorHAnsi"/>
          <w:i/>
          <w:iCs/>
          <w:color w:val="000000" w:themeColor="text1"/>
          <w:sz w:val="20"/>
          <w:szCs w:val="20"/>
          <w:lang w:val="es-ES_tradnl"/>
        </w:rPr>
        <w:t xml:space="preserve"> </w:t>
      </w:r>
      <w:proofErr w:type="spellStart"/>
      <w:r w:rsidRPr="00F16EC7">
        <w:rPr>
          <w:rFonts w:asciiTheme="majorHAnsi" w:hAnsiTheme="majorHAnsi" w:cstheme="majorHAnsi"/>
          <w:i/>
          <w:iCs/>
          <w:color w:val="000000" w:themeColor="text1"/>
          <w:sz w:val="20"/>
          <w:szCs w:val="20"/>
          <w:lang w:val="es-ES_tradnl"/>
        </w:rPr>
        <w:t>timeo</w:t>
      </w:r>
      <w:proofErr w:type="spellEnd"/>
      <w:r w:rsidRPr="00F16EC7">
        <w:rPr>
          <w:rFonts w:asciiTheme="majorHAnsi" w:hAnsiTheme="majorHAnsi" w:cstheme="majorHAnsi"/>
          <w:i/>
          <w:iCs/>
          <w:color w:val="000000" w:themeColor="text1"/>
          <w:sz w:val="20"/>
          <w:szCs w:val="20"/>
          <w:lang w:val="es-ES_tradnl"/>
        </w:rPr>
        <w:t xml:space="preserve"> </w:t>
      </w:r>
      <w:proofErr w:type="spellStart"/>
      <w:r w:rsidRPr="00F16EC7">
        <w:rPr>
          <w:rFonts w:asciiTheme="majorHAnsi" w:hAnsiTheme="majorHAnsi" w:cstheme="majorHAnsi"/>
          <w:i/>
          <w:iCs/>
          <w:color w:val="000000" w:themeColor="text1"/>
          <w:sz w:val="20"/>
          <w:szCs w:val="20"/>
          <w:lang w:val="es-ES_tradnl"/>
        </w:rPr>
        <w:t>mori</w:t>
      </w:r>
      <w:proofErr w:type="spellEnd"/>
      <w:r w:rsidRPr="00F16EC7">
        <w:rPr>
          <w:rFonts w:asciiTheme="majorHAnsi" w:hAnsiTheme="majorHAnsi" w:cstheme="majorHAnsi"/>
          <w:i/>
          <w:iCs/>
          <w:color w:val="000000" w:themeColor="text1"/>
          <w:sz w:val="20"/>
          <w:szCs w:val="20"/>
          <w:lang w:val="es-ES_tradnl"/>
        </w:rPr>
        <w:t xml:space="preserve"> </w:t>
      </w:r>
      <w:r w:rsidRPr="00F16EC7">
        <w:rPr>
          <w:rFonts w:asciiTheme="majorHAnsi" w:hAnsiTheme="majorHAnsi" w:cstheme="majorHAnsi"/>
          <w:color w:val="000000" w:themeColor="text1"/>
          <w:sz w:val="20"/>
          <w:szCs w:val="20"/>
          <w:lang w:val="es-ES_tradnl"/>
        </w:rPr>
        <w:t>(</w:t>
      </w:r>
      <w:proofErr w:type="spellStart"/>
      <w:r w:rsidRPr="00F16EC7">
        <w:rPr>
          <w:rFonts w:asciiTheme="majorHAnsi" w:hAnsiTheme="majorHAnsi" w:cstheme="majorHAnsi"/>
          <w:color w:val="000000" w:themeColor="text1"/>
          <w:sz w:val="20"/>
          <w:szCs w:val="20"/>
          <w:lang w:val="es-ES_tradnl"/>
        </w:rPr>
        <w:t>Milan</w:t>
      </w:r>
      <w:proofErr w:type="spellEnd"/>
      <w:r w:rsidRPr="00F16EC7">
        <w:rPr>
          <w:rFonts w:asciiTheme="majorHAnsi" w:hAnsiTheme="majorHAnsi" w:cstheme="majorHAnsi"/>
          <w:color w:val="000000" w:themeColor="text1"/>
          <w:sz w:val="20"/>
          <w:szCs w:val="20"/>
          <w:lang w:val="es-ES"/>
        </w:rPr>
        <w:t xml:space="preserve">: </w:t>
      </w:r>
      <w:r w:rsidRPr="00F16EC7">
        <w:rPr>
          <w:rFonts w:asciiTheme="majorHAnsi" w:hAnsiTheme="majorHAnsi" w:cstheme="majorHAnsi"/>
          <w:color w:val="000000" w:themeColor="text1"/>
          <w:sz w:val="20"/>
          <w:szCs w:val="20"/>
          <w:shd w:val="clear" w:color="auto" w:fill="FFFFFF"/>
          <w:lang w:val="es-ES"/>
        </w:rPr>
        <w:t xml:space="preserve">Vita e </w:t>
      </w:r>
      <w:proofErr w:type="spellStart"/>
      <w:r w:rsidRPr="00F16EC7">
        <w:rPr>
          <w:rFonts w:asciiTheme="majorHAnsi" w:hAnsiTheme="majorHAnsi" w:cstheme="majorHAnsi"/>
          <w:color w:val="000000" w:themeColor="text1"/>
          <w:sz w:val="20"/>
          <w:szCs w:val="20"/>
          <w:shd w:val="clear" w:color="auto" w:fill="FFFFFF"/>
          <w:lang w:val="es-ES"/>
        </w:rPr>
        <w:t>Pensiero</w:t>
      </w:r>
      <w:proofErr w:type="spellEnd"/>
      <w:r w:rsidRPr="00F16EC7">
        <w:rPr>
          <w:rFonts w:asciiTheme="majorHAnsi" w:hAnsiTheme="majorHAnsi" w:cstheme="majorHAnsi"/>
          <w:color w:val="000000" w:themeColor="text1"/>
          <w:sz w:val="20"/>
          <w:szCs w:val="20"/>
          <w:lang w:val="es-ES_tradnl"/>
        </w:rPr>
        <w:t xml:space="preserve">, 1998), </w:t>
      </w:r>
      <w:r w:rsidRPr="00F16EC7">
        <w:rPr>
          <w:rFonts w:asciiTheme="majorHAnsi" w:eastAsia="SimSun" w:hAnsiTheme="majorHAnsi" w:cstheme="majorHAnsi"/>
          <w:color w:val="000000" w:themeColor="text1"/>
          <w:sz w:val="20"/>
          <w:szCs w:val="20"/>
          <w:lang w:val="es-ES_tradnl" w:eastAsia="es-ES"/>
        </w:rPr>
        <w:t>107-19.</w:t>
      </w:r>
    </w:p>
  </w:footnote>
  <w:footnote w:id="21">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w:t>
      </w:r>
      <w:proofErr w:type="spellStart"/>
      <w:r w:rsidRPr="00F16EC7">
        <w:rPr>
          <w:rFonts w:asciiTheme="majorHAnsi" w:hAnsiTheme="majorHAnsi" w:cstheme="majorHAnsi"/>
          <w:color w:val="000000" w:themeColor="text1"/>
          <w:lang w:val="en-GB"/>
        </w:rPr>
        <w:t>McLynn</w:t>
      </w:r>
      <w:proofErr w:type="spellEnd"/>
      <w:r w:rsidRPr="00F16EC7">
        <w:rPr>
          <w:rFonts w:asciiTheme="majorHAnsi" w:hAnsiTheme="majorHAnsi" w:cstheme="majorHAnsi"/>
          <w:color w:val="000000" w:themeColor="text1"/>
          <w:lang w:val="en-GB"/>
        </w:rPr>
        <w:t xml:space="preserve">, </w:t>
      </w:r>
      <w:r w:rsidRPr="00F16EC7">
        <w:rPr>
          <w:rFonts w:asciiTheme="majorHAnsi" w:hAnsiTheme="majorHAnsi" w:cstheme="majorHAnsi"/>
          <w:i/>
          <w:color w:val="000000" w:themeColor="text1"/>
          <w:lang w:val="en-GB"/>
        </w:rPr>
        <w:t>Ambrose of Milan</w:t>
      </w:r>
      <w:r w:rsidRPr="00F16EC7">
        <w:rPr>
          <w:rFonts w:asciiTheme="majorHAnsi" w:hAnsiTheme="majorHAnsi" w:cstheme="majorHAnsi"/>
          <w:color w:val="000000" w:themeColor="text1"/>
          <w:lang w:val="en-GB"/>
        </w:rPr>
        <w:t>, 44-52.</w:t>
      </w:r>
    </w:p>
  </w:footnote>
  <w:footnote w:id="22">
    <w:p w:rsidR="002044A1" w:rsidRPr="00F16EC7" w:rsidRDefault="002044A1" w:rsidP="00A669E0">
      <w:pPr>
        <w:widowControl w:val="0"/>
        <w:autoSpaceDE w:val="0"/>
        <w:autoSpaceDN w:val="0"/>
        <w:adjustRightInd w:val="0"/>
        <w:jc w:val="both"/>
        <w:rPr>
          <w:rFonts w:asciiTheme="majorHAnsi" w:hAnsiTheme="majorHAnsi" w:cstheme="majorHAnsi"/>
          <w:i/>
          <w:iCs/>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w:t>
      </w:r>
      <w:proofErr w:type="spellStart"/>
      <w:r w:rsidRPr="00F16EC7">
        <w:rPr>
          <w:rFonts w:asciiTheme="majorHAnsi" w:hAnsiTheme="majorHAnsi" w:cstheme="majorHAnsi"/>
          <w:color w:val="000000" w:themeColor="text1"/>
          <w:sz w:val="20"/>
          <w:szCs w:val="20"/>
          <w:lang w:val="en-GB"/>
        </w:rPr>
        <w:t>Palladius</w:t>
      </w:r>
      <w:proofErr w:type="spellEnd"/>
      <w:r w:rsidRPr="00F16EC7">
        <w:rPr>
          <w:rFonts w:asciiTheme="majorHAnsi" w:hAnsiTheme="majorHAnsi" w:cstheme="majorHAnsi"/>
          <w:color w:val="000000" w:themeColor="text1"/>
          <w:sz w:val="20"/>
          <w:szCs w:val="20"/>
          <w:lang w:val="en-GB"/>
        </w:rPr>
        <w:t xml:space="preserve">, </w:t>
      </w:r>
      <w:r w:rsidRPr="00F16EC7">
        <w:rPr>
          <w:rFonts w:asciiTheme="majorHAnsi" w:hAnsiTheme="majorHAnsi" w:cstheme="majorHAnsi"/>
          <w:i/>
          <w:color w:val="000000" w:themeColor="text1"/>
          <w:sz w:val="20"/>
          <w:szCs w:val="20"/>
          <w:lang w:val="en-GB"/>
        </w:rPr>
        <w:t>Scholia Ariana</w:t>
      </w:r>
      <w:r w:rsidRPr="00F16EC7">
        <w:rPr>
          <w:rFonts w:asciiTheme="majorHAnsi" w:hAnsiTheme="majorHAnsi" w:cstheme="majorHAnsi"/>
          <w:color w:val="000000" w:themeColor="text1"/>
          <w:sz w:val="20"/>
          <w:szCs w:val="20"/>
          <w:lang w:val="en-GB"/>
        </w:rPr>
        <w:t xml:space="preserve">, 343v, 3-4; N. B. </w:t>
      </w:r>
      <w:proofErr w:type="spellStart"/>
      <w:r w:rsidRPr="00F16EC7">
        <w:rPr>
          <w:rFonts w:asciiTheme="majorHAnsi" w:hAnsiTheme="majorHAnsi" w:cstheme="majorHAnsi"/>
          <w:color w:val="000000" w:themeColor="text1"/>
          <w:sz w:val="20"/>
          <w:szCs w:val="20"/>
          <w:lang w:val="en-GB"/>
        </w:rPr>
        <w:t>McLynn</w:t>
      </w:r>
      <w:proofErr w:type="spellEnd"/>
      <w:r w:rsidRPr="00F16EC7">
        <w:rPr>
          <w:rFonts w:asciiTheme="majorHAnsi" w:hAnsiTheme="majorHAnsi" w:cstheme="majorHAnsi"/>
          <w:color w:val="000000" w:themeColor="text1"/>
          <w:sz w:val="20"/>
          <w:szCs w:val="20"/>
          <w:lang w:val="en-GB"/>
        </w:rPr>
        <w:t xml:space="preserve">, 'The ‘Apology’ of </w:t>
      </w:r>
      <w:proofErr w:type="spellStart"/>
      <w:r w:rsidRPr="00F16EC7">
        <w:rPr>
          <w:rFonts w:asciiTheme="majorHAnsi" w:hAnsiTheme="majorHAnsi" w:cstheme="majorHAnsi"/>
          <w:color w:val="000000" w:themeColor="text1"/>
          <w:sz w:val="20"/>
          <w:szCs w:val="20"/>
          <w:lang w:val="en-GB"/>
        </w:rPr>
        <w:t>Palladius</w:t>
      </w:r>
      <w:proofErr w:type="spellEnd"/>
      <w:r w:rsidRPr="00F16EC7">
        <w:rPr>
          <w:rFonts w:asciiTheme="majorHAnsi" w:hAnsiTheme="majorHAnsi" w:cstheme="majorHAnsi"/>
          <w:color w:val="000000" w:themeColor="text1"/>
          <w:sz w:val="20"/>
          <w:szCs w:val="20"/>
          <w:lang w:val="en-GB"/>
        </w:rPr>
        <w:t xml:space="preserve">: Nature and Purpose', </w:t>
      </w:r>
      <w:r w:rsidRPr="00F16EC7">
        <w:rPr>
          <w:rFonts w:asciiTheme="majorHAnsi" w:hAnsiTheme="majorHAnsi" w:cstheme="majorHAnsi"/>
          <w:i/>
          <w:iCs/>
          <w:color w:val="000000" w:themeColor="text1"/>
          <w:sz w:val="20"/>
          <w:szCs w:val="20"/>
          <w:lang w:val="en-GB"/>
        </w:rPr>
        <w:t>Journal of Theological Studies</w:t>
      </w:r>
      <w:r w:rsidRPr="00F16EC7">
        <w:rPr>
          <w:rFonts w:asciiTheme="majorHAnsi" w:hAnsiTheme="majorHAnsi" w:cstheme="majorHAnsi"/>
          <w:iCs/>
          <w:color w:val="000000" w:themeColor="text1"/>
          <w:sz w:val="20"/>
          <w:szCs w:val="20"/>
          <w:lang w:val="en-GB"/>
        </w:rPr>
        <w:t>,</w:t>
      </w:r>
      <w:r w:rsidRPr="00F16EC7">
        <w:rPr>
          <w:rFonts w:asciiTheme="majorHAnsi" w:hAnsiTheme="majorHAnsi" w:cstheme="majorHAnsi"/>
          <w:color w:val="000000" w:themeColor="text1"/>
          <w:sz w:val="20"/>
          <w:szCs w:val="20"/>
          <w:lang w:val="en-GB"/>
        </w:rPr>
        <w:t>42 (1991), 52-76.</w:t>
      </w:r>
    </w:p>
  </w:footnote>
  <w:footnote w:id="23">
    <w:p w:rsidR="002044A1" w:rsidRPr="00F16EC7" w:rsidRDefault="002044A1" w:rsidP="00A669E0">
      <w:pPr>
        <w:widowControl w:val="0"/>
        <w:autoSpaceDE w:val="0"/>
        <w:autoSpaceDN w:val="0"/>
        <w:adjustRightInd w:val="0"/>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Ambrose composed his </w:t>
      </w:r>
      <w:r w:rsidRPr="00F16EC7">
        <w:rPr>
          <w:rFonts w:asciiTheme="majorHAnsi" w:hAnsiTheme="majorHAnsi" w:cstheme="majorHAnsi"/>
          <w:i/>
          <w:color w:val="000000" w:themeColor="text1"/>
          <w:sz w:val="20"/>
          <w:szCs w:val="20"/>
          <w:lang w:val="en-GB"/>
        </w:rPr>
        <w:t>De Fide</w:t>
      </w:r>
      <w:r w:rsidRPr="00F16EC7">
        <w:rPr>
          <w:rFonts w:asciiTheme="majorHAnsi" w:hAnsiTheme="majorHAnsi" w:cstheme="majorHAnsi"/>
          <w:color w:val="000000" w:themeColor="text1"/>
          <w:sz w:val="20"/>
          <w:szCs w:val="20"/>
          <w:lang w:val="en-GB"/>
        </w:rPr>
        <w:t xml:space="preserve"> between 378 and 380. An example of Ambrose’s intellectual insecurity is </w:t>
      </w:r>
      <w:r w:rsidRPr="00F16EC7">
        <w:rPr>
          <w:rFonts w:asciiTheme="majorHAnsi" w:hAnsiTheme="majorHAnsi" w:cstheme="majorHAnsi"/>
          <w:i/>
          <w:color w:val="000000" w:themeColor="text1"/>
          <w:sz w:val="20"/>
          <w:szCs w:val="20"/>
          <w:lang w:val="en-GB"/>
        </w:rPr>
        <w:t>Ep</w:t>
      </w:r>
      <w:r w:rsidRPr="00F16EC7">
        <w:rPr>
          <w:rFonts w:asciiTheme="majorHAnsi" w:hAnsiTheme="majorHAnsi" w:cstheme="majorHAnsi"/>
          <w:color w:val="000000" w:themeColor="text1"/>
          <w:sz w:val="20"/>
          <w:szCs w:val="20"/>
          <w:lang w:val="en-GB"/>
        </w:rPr>
        <w:t xml:space="preserve">. 32 in which, fearing criticism, he asked </w:t>
      </w:r>
      <w:proofErr w:type="spellStart"/>
      <w:r w:rsidRPr="00F16EC7">
        <w:rPr>
          <w:rFonts w:asciiTheme="majorHAnsi" w:hAnsiTheme="majorHAnsi" w:cstheme="majorHAnsi"/>
          <w:color w:val="000000" w:themeColor="text1"/>
          <w:sz w:val="20"/>
          <w:szCs w:val="20"/>
          <w:lang w:val="en-GB"/>
        </w:rPr>
        <w:t>Sabinus</w:t>
      </w:r>
      <w:proofErr w:type="spellEnd"/>
      <w:r w:rsidRPr="00F16EC7">
        <w:rPr>
          <w:rFonts w:asciiTheme="majorHAnsi" w:hAnsiTheme="majorHAnsi" w:cstheme="majorHAnsi"/>
          <w:color w:val="000000" w:themeColor="text1"/>
          <w:sz w:val="20"/>
          <w:szCs w:val="20"/>
          <w:lang w:val="en-GB"/>
        </w:rPr>
        <w:t xml:space="preserve"> of Piacenza to review (</w:t>
      </w:r>
      <w:proofErr w:type="spellStart"/>
      <w:r w:rsidRPr="00F16EC7">
        <w:rPr>
          <w:rFonts w:asciiTheme="majorHAnsi" w:hAnsiTheme="majorHAnsi" w:cstheme="majorHAnsi"/>
          <w:i/>
          <w:color w:val="000000" w:themeColor="text1"/>
          <w:sz w:val="20"/>
          <w:szCs w:val="20"/>
          <w:lang w:val="en-GB"/>
        </w:rPr>
        <w:t>vellica</w:t>
      </w:r>
      <w:proofErr w:type="spellEnd"/>
      <w:r w:rsidRPr="00F16EC7">
        <w:rPr>
          <w:rFonts w:asciiTheme="majorHAnsi" w:hAnsiTheme="majorHAnsi" w:cstheme="majorHAnsi"/>
          <w:color w:val="000000" w:themeColor="text1"/>
          <w:sz w:val="20"/>
          <w:szCs w:val="20"/>
          <w:lang w:val="en-GB"/>
        </w:rPr>
        <w:t xml:space="preserve">, literally to pluck) one of his writings, probably the </w:t>
      </w:r>
      <w:r w:rsidRPr="00F16EC7">
        <w:rPr>
          <w:rFonts w:asciiTheme="majorHAnsi" w:hAnsiTheme="majorHAnsi" w:cstheme="majorHAnsi"/>
          <w:i/>
          <w:color w:val="000000" w:themeColor="text1"/>
          <w:sz w:val="20"/>
          <w:szCs w:val="20"/>
          <w:lang w:val="en-GB"/>
        </w:rPr>
        <w:t>De Fide</w:t>
      </w:r>
      <w:r w:rsidRPr="00F16EC7">
        <w:rPr>
          <w:rFonts w:asciiTheme="majorHAnsi" w:hAnsiTheme="majorHAnsi" w:cstheme="majorHAnsi"/>
          <w:color w:val="000000" w:themeColor="text1"/>
          <w:sz w:val="20"/>
          <w:szCs w:val="20"/>
          <w:lang w:val="en-GB"/>
        </w:rPr>
        <w:t>.</w:t>
      </w:r>
    </w:p>
  </w:footnote>
  <w:footnote w:id="24">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w:t>
      </w:r>
      <w:proofErr w:type="spellStart"/>
      <w:r w:rsidRPr="00F16EC7">
        <w:rPr>
          <w:rFonts w:asciiTheme="majorHAnsi" w:hAnsiTheme="majorHAnsi" w:cstheme="majorHAnsi"/>
          <w:color w:val="000000" w:themeColor="text1"/>
          <w:lang w:val="en-GB"/>
        </w:rPr>
        <w:t>McLynn</w:t>
      </w:r>
      <w:proofErr w:type="spellEnd"/>
      <w:r w:rsidRPr="00F16EC7">
        <w:rPr>
          <w:rFonts w:asciiTheme="majorHAnsi" w:hAnsiTheme="majorHAnsi" w:cstheme="majorHAnsi"/>
          <w:color w:val="000000" w:themeColor="text1"/>
          <w:lang w:val="en-GB"/>
        </w:rPr>
        <w:t xml:space="preserve">, </w:t>
      </w:r>
      <w:r w:rsidRPr="00F16EC7">
        <w:rPr>
          <w:rFonts w:asciiTheme="majorHAnsi" w:hAnsiTheme="majorHAnsi" w:cstheme="majorHAnsi"/>
          <w:i/>
          <w:color w:val="000000" w:themeColor="text1"/>
          <w:lang w:val="en-GB"/>
        </w:rPr>
        <w:t>Ambrose of Milan</w:t>
      </w:r>
      <w:r w:rsidRPr="00F16EC7">
        <w:rPr>
          <w:rFonts w:asciiTheme="majorHAnsi" w:hAnsiTheme="majorHAnsi" w:cstheme="majorHAnsi"/>
          <w:color w:val="000000" w:themeColor="text1"/>
          <w:lang w:val="en-GB"/>
        </w:rPr>
        <w:t>, 60-68.</w:t>
      </w:r>
    </w:p>
  </w:footnote>
  <w:footnote w:id="25">
    <w:p w:rsidR="002044A1" w:rsidRPr="00F16EC7" w:rsidRDefault="002044A1" w:rsidP="00A669E0">
      <w:pPr>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Jerome, </w:t>
      </w:r>
      <w:r w:rsidRPr="00F16EC7">
        <w:rPr>
          <w:rFonts w:asciiTheme="majorHAnsi" w:hAnsiTheme="majorHAnsi" w:cstheme="majorHAnsi"/>
          <w:i/>
          <w:color w:val="000000" w:themeColor="text1"/>
          <w:sz w:val="20"/>
          <w:szCs w:val="20"/>
          <w:lang w:val="en-GB"/>
        </w:rPr>
        <w:t>Ep</w:t>
      </w:r>
      <w:r w:rsidR="00D41EC5" w:rsidRPr="00F16EC7">
        <w:rPr>
          <w:rFonts w:asciiTheme="majorHAnsi" w:hAnsiTheme="majorHAnsi" w:cstheme="majorHAnsi"/>
          <w:color w:val="000000" w:themeColor="text1"/>
          <w:sz w:val="20"/>
          <w:szCs w:val="20"/>
          <w:lang w:val="en-GB"/>
        </w:rPr>
        <w:t xml:space="preserve">. 22, I. </w:t>
      </w:r>
      <w:proofErr w:type="spellStart"/>
      <w:r w:rsidR="00D41EC5" w:rsidRPr="00F16EC7">
        <w:rPr>
          <w:rFonts w:asciiTheme="majorHAnsi" w:hAnsiTheme="majorHAnsi" w:cstheme="majorHAnsi"/>
          <w:color w:val="000000" w:themeColor="text1"/>
          <w:sz w:val="20"/>
          <w:szCs w:val="20"/>
          <w:lang w:val="en-GB"/>
        </w:rPr>
        <w:t>Hilberg</w:t>
      </w:r>
      <w:proofErr w:type="spellEnd"/>
      <w:r w:rsidR="00D41EC5" w:rsidRPr="00F16EC7">
        <w:rPr>
          <w:rFonts w:asciiTheme="majorHAnsi" w:hAnsiTheme="majorHAnsi" w:cstheme="majorHAnsi"/>
          <w:color w:val="000000" w:themeColor="text1"/>
          <w:sz w:val="20"/>
          <w:szCs w:val="20"/>
          <w:lang w:val="en-GB"/>
        </w:rPr>
        <w:t xml:space="preserve"> (ed.), </w:t>
      </w:r>
      <w:r w:rsidR="00D41EC5" w:rsidRPr="00F16EC7">
        <w:rPr>
          <w:rFonts w:asciiTheme="majorHAnsi" w:hAnsiTheme="majorHAnsi" w:cstheme="majorHAnsi"/>
          <w:i/>
          <w:color w:val="000000" w:themeColor="text1"/>
          <w:sz w:val="20"/>
          <w:szCs w:val="20"/>
          <w:shd w:val="clear" w:color="auto" w:fill="FFFFFF"/>
          <w:lang w:val="en-GB"/>
        </w:rPr>
        <w:t xml:space="preserve">S. </w:t>
      </w:r>
      <w:proofErr w:type="spellStart"/>
      <w:r w:rsidR="00D41EC5" w:rsidRPr="00F16EC7">
        <w:rPr>
          <w:rFonts w:asciiTheme="majorHAnsi" w:hAnsiTheme="majorHAnsi" w:cstheme="majorHAnsi"/>
          <w:i/>
          <w:color w:val="000000" w:themeColor="text1"/>
          <w:sz w:val="20"/>
          <w:szCs w:val="20"/>
          <w:shd w:val="clear" w:color="auto" w:fill="FFFFFF"/>
          <w:lang w:val="en-GB"/>
        </w:rPr>
        <w:t>Eusebii</w:t>
      </w:r>
      <w:proofErr w:type="spellEnd"/>
      <w:r w:rsidR="00D41EC5" w:rsidRPr="00F16EC7">
        <w:rPr>
          <w:rFonts w:asciiTheme="majorHAnsi" w:hAnsiTheme="majorHAnsi" w:cstheme="majorHAnsi"/>
          <w:i/>
          <w:color w:val="000000" w:themeColor="text1"/>
          <w:sz w:val="20"/>
          <w:szCs w:val="20"/>
          <w:shd w:val="clear" w:color="auto" w:fill="FFFFFF"/>
          <w:lang w:val="en-GB"/>
        </w:rPr>
        <w:t xml:space="preserve"> </w:t>
      </w:r>
      <w:proofErr w:type="spellStart"/>
      <w:r w:rsidR="00D41EC5" w:rsidRPr="00F16EC7">
        <w:rPr>
          <w:rFonts w:asciiTheme="majorHAnsi" w:hAnsiTheme="majorHAnsi" w:cstheme="majorHAnsi"/>
          <w:i/>
          <w:color w:val="000000" w:themeColor="text1"/>
          <w:sz w:val="20"/>
          <w:szCs w:val="20"/>
          <w:shd w:val="clear" w:color="auto" w:fill="FFFFFF"/>
          <w:lang w:val="en-GB"/>
        </w:rPr>
        <w:t>Hieronymi</w:t>
      </w:r>
      <w:proofErr w:type="spellEnd"/>
      <w:r w:rsidR="00D41EC5" w:rsidRPr="00F16EC7">
        <w:rPr>
          <w:rFonts w:asciiTheme="majorHAnsi" w:hAnsiTheme="majorHAnsi" w:cstheme="majorHAnsi"/>
          <w:i/>
          <w:color w:val="000000" w:themeColor="text1"/>
          <w:sz w:val="20"/>
          <w:szCs w:val="20"/>
          <w:shd w:val="clear" w:color="auto" w:fill="FFFFFF"/>
          <w:lang w:val="en-GB"/>
        </w:rPr>
        <w:t xml:space="preserve"> Opera </w:t>
      </w:r>
      <w:proofErr w:type="spellStart"/>
      <w:r w:rsidR="00D41EC5" w:rsidRPr="00F16EC7">
        <w:rPr>
          <w:rFonts w:asciiTheme="majorHAnsi" w:hAnsiTheme="majorHAnsi" w:cstheme="majorHAnsi"/>
          <w:i/>
          <w:color w:val="000000" w:themeColor="text1"/>
          <w:sz w:val="20"/>
          <w:szCs w:val="20"/>
          <w:shd w:val="clear" w:color="auto" w:fill="FFFFFF"/>
          <w:lang w:val="en-GB"/>
        </w:rPr>
        <w:t>Epistulae</w:t>
      </w:r>
      <w:proofErr w:type="spellEnd"/>
      <w:r w:rsidR="00D41EC5" w:rsidRPr="00F16EC7">
        <w:rPr>
          <w:rFonts w:asciiTheme="majorHAnsi" w:hAnsiTheme="majorHAnsi" w:cstheme="majorHAnsi"/>
          <w:color w:val="000000" w:themeColor="text1"/>
          <w:sz w:val="20"/>
          <w:szCs w:val="20"/>
          <w:lang w:val="en-GB"/>
        </w:rPr>
        <w:t>, CSEL 54 (</w:t>
      </w:r>
      <w:r w:rsidR="00F30767" w:rsidRPr="00F16EC7">
        <w:rPr>
          <w:rFonts w:asciiTheme="majorHAnsi" w:hAnsiTheme="majorHAnsi" w:cstheme="majorHAnsi"/>
          <w:color w:val="000000" w:themeColor="text1"/>
          <w:sz w:val="20"/>
          <w:szCs w:val="20"/>
          <w:lang w:val="en-GB"/>
        </w:rPr>
        <w:t xml:space="preserve">Vienna: </w:t>
      </w:r>
      <w:proofErr w:type="spellStart"/>
      <w:r w:rsidR="00F30767" w:rsidRPr="00F16EC7">
        <w:rPr>
          <w:rFonts w:asciiTheme="majorHAnsi" w:hAnsiTheme="majorHAnsi" w:cstheme="majorHAnsi"/>
          <w:color w:val="000000" w:themeColor="text1"/>
          <w:sz w:val="20"/>
          <w:szCs w:val="20"/>
          <w:lang w:val="en-GB"/>
        </w:rPr>
        <w:t>OeAW</w:t>
      </w:r>
      <w:proofErr w:type="spellEnd"/>
      <w:r w:rsidR="00D41EC5" w:rsidRPr="00F16EC7">
        <w:rPr>
          <w:rFonts w:asciiTheme="majorHAnsi" w:hAnsiTheme="majorHAnsi" w:cstheme="majorHAnsi"/>
          <w:color w:val="000000" w:themeColor="text1"/>
          <w:sz w:val="20"/>
          <w:szCs w:val="20"/>
          <w:lang w:val="en-GB"/>
        </w:rPr>
        <w:t>, 1996 [1910]), 144</w:t>
      </w:r>
      <w:r w:rsidRPr="00F16EC7">
        <w:rPr>
          <w:rFonts w:asciiTheme="majorHAnsi" w:hAnsiTheme="majorHAnsi" w:cstheme="majorHAnsi"/>
          <w:color w:val="000000" w:themeColor="text1"/>
          <w:sz w:val="20"/>
          <w:szCs w:val="20"/>
          <w:lang w:val="en-GB"/>
        </w:rPr>
        <w:t xml:space="preserve">; N. Adkin, 'Ambrose and Jerome: The Opening Shot', </w:t>
      </w:r>
      <w:r w:rsidRPr="00F16EC7">
        <w:rPr>
          <w:rFonts w:asciiTheme="majorHAnsi" w:hAnsiTheme="majorHAnsi" w:cstheme="majorHAnsi"/>
          <w:i/>
          <w:iCs/>
          <w:color w:val="000000" w:themeColor="text1"/>
          <w:sz w:val="20"/>
          <w:szCs w:val="20"/>
          <w:lang w:val="en-GB"/>
        </w:rPr>
        <w:t>Mnemosyne</w:t>
      </w:r>
      <w:r w:rsidRPr="00F16EC7">
        <w:rPr>
          <w:rFonts w:asciiTheme="majorHAnsi" w:hAnsiTheme="majorHAnsi" w:cstheme="majorHAnsi"/>
          <w:iCs/>
          <w:color w:val="000000" w:themeColor="text1"/>
          <w:sz w:val="20"/>
          <w:szCs w:val="20"/>
          <w:lang w:val="en-GB"/>
        </w:rPr>
        <w:t xml:space="preserve">, </w:t>
      </w:r>
      <w:r w:rsidRPr="00F16EC7">
        <w:rPr>
          <w:rFonts w:asciiTheme="majorHAnsi" w:hAnsiTheme="majorHAnsi" w:cstheme="majorHAnsi"/>
          <w:color w:val="000000" w:themeColor="text1"/>
          <w:sz w:val="20"/>
          <w:szCs w:val="20"/>
          <w:lang w:val="en-GB"/>
        </w:rPr>
        <w:t xml:space="preserve">46 (1993), 364-76; R.A. Layton, 'Plagiarism and Lay Patronage of Ascetic Scholarship: Jerome, Ambrose and </w:t>
      </w:r>
      <w:proofErr w:type="spellStart"/>
      <w:r w:rsidRPr="00F16EC7">
        <w:rPr>
          <w:rFonts w:asciiTheme="majorHAnsi" w:hAnsiTheme="majorHAnsi" w:cstheme="majorHAnsi"/>
          <w:color w:val="000000" w:themeColor="text1"/>
          <w:sz w:val="20"/>
          <w:szCs w:val="20"/>
          <w:lang w:val="en-GB"/>
        </w:rPr>
        <w:t>Rufinus</w:t>
      </w:r>
      <w:proofErr w:type="spellEnd"/>
      <w:r w:rsidRPr="00F16EC7">
        <w:rPr>
          <w:rFonts w:asciiTheme="majorHAnsi" w:hAnsiTheme="majorHAnsi" w:cstheme="majorHAnsi"/>
          <w:color w:val="000000" w:themeColor="text1"/>
          <w:sz w:val="20"/>
          <w:szCs w:val="20"/>
          <w:lang w:val="en-GB"/>
        </w:rPr>
        <w:t xml:space="preserve">', </w:t>
      </w:r>
      <w:r w:rsidRPr="00F16EC7">
        <w:rPr>
          <w:rFonts w:asciiTheme="majorHAnsi" w:hAnsiTheme="majorHAnsi" w:cstheme="majorHAnsi"/>
          <w:i/>
          <w:iCs/>
          <w:color w:val="000000" w:themeColor="text1"/>
          <w:sz w:val="20"/>
          <w:szCs w:val="20"/>
          <w:lang w:val="en-GB"/>
        </w:rPr>
        <w:t>Journal of Early Christian Studies</w:t>
      </w:r>
      <w:r w:rsidRPr="00F16EC7">
        <w:rPr>
          <w:rFonts w:asciiTheme="majorHAnsi" w:hAnsiTheme="majorHAnsi" w:cstheme="majorHAnsi"/>
          <w:iCs/>
          <w:color w:val="000000" w:themeColor="text1"/>
          <w:sz w:val="20"/>
          <w:szCs w:val="20"/>
          <w:lang w:val="en-GB"/>
        </w:rPr>
        <w:t xml:space="preserve">, </w:t>
      </w:r>
      <w:r w:rsidRPr="00F16EC7">
        <w:rPr>
          <w:rFonts w:asciiTheme="majorHAnsi" w:hAnsiTheme="majorHAnsi" w:cstheme="majorHAnsi"/>
          <w:color w:val="000000" w:themeColor="text1"/>
          <w:sz w:val="20"/>
          <w:szCs w:val="20"/>
          <w:lang w:val="en-GB"/>
        </w:rPr>
        <w:t>10 (2002), 489-522.</w:t>
      </w:r>
    </w:p>
  </w:footnote>
  <w:footnote w:id="26">
    <w:p w:rsidR="002044A1" w:rsidRPr="00F16EC7" w:rsidRDefault="002044A1" w:rsidP="00A669E0">
      <w:pPr>
        <w:pStyle w:val="FootnoteText"/>
        <w:spacing w:line="240" w:lineRule="auto"/>
        <w:jc w:val="both"/>
        <w:rPr>
          <w:rFonts w:asciiTheme="majorHAnsi" w:hAnsiTheme="majorHAnsi" w:cstheme="majorHAnsi"/>
          <w:color w:val="000000" w:themeColor="text1"/>
          <w:lang w:val="es-ES_tradnl"/>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s-ES_tradnl"/>
        </w:rPr>
        <w:t xml:space="preserve"> </w:t>
      </w:r>
      <w:proofErr w:type="spellStart"/>
      <w:r w:rsidRPr="00F16EC7">
        <w:rPr>
          <w:rFonts w:asciiTheme="majorHAnsi" w:hAnsiTheme="majorHAnsi" w:cstheme="majorHAnsi"/>
          <w:color w:val="000000" w:themeColor="text1"/>
          <w:lang w:val="es-ES_tradnl"/>
        </w:rPr>
        <w:t>Ambrose</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i/>
          <w:color w:val="000000" w:themeColor="text1"/>
          <w:lang w:val="es-ES_tradnl"/>
        </w:rPr>
        <w:t xml:space="preserve">De </w:t>
      </w:r>
      <w:proofErr w:type="spellStart"/>
      <w:r w:rsidRPr="00F16EC7">
        <w:rPr>
          <w:rFonts w:asciiTheme="majorHAnsi" w:hAnsiTheme="majorHAnsi" w:cstheme="majorHAnsi"/>
          <w:i/>
          <w:color w:val="000000" w:themeColor="text1"/>
          <w:lang w:val="es-ES_tradnl"/>
        </w:rPr>
        <w:t>virginibus</w:t>
      </w:r>
      <w:proofErr w:type="spellEnd"/>
      <w:r w:rsidRPr="00F16EC7">
        <w:rPr>
          <w:rFonts w:asciiTheme="majorHAnsi" w:hAnsiTheme="majorHAnsi" w:cstheme="majorHAnsi"/>
          <w:color w:val="000000" w:themeColor="text1"/>
          <w:lang w:val="es-ES_tradnl"/>
        </w:rPr>
        <w:t>, 1.2.9.</w:t>
      </w:r>
    </w:p>
  </w:footnote>
  <w:footnote w:id="27">
    <w:p w:rsidR="002044A1" w:rsidRPr="00F16EC7" w:rsidRDefault="002044A1" w:rsidP="00A669E0">
      <w:pPr>
        <w:pStyle w:val="FootnoteText"/>
        <w:spacing w:line="240" w:lineRule="auto"/>
        <w:jc w:val="both"/>
        <w:rPr>
          <w:rFonts w:asciiTheme="majorHAnsi" w:hAnsiTheme="majorHAnsi" w:cstheme="majorHAnsi"/>
          <w:color w:val="000000" w:themeColor="text1"/>
          <w:lang w:val="es-ES"/>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lang w:val="es-ES_tradnl"/>
        </w:rPr>
        <w:t xml:space="preserve"> </w:t>
      </w:r>
      <w:proofErr w:type="spellStart"/>
      <w:r w:rsidRPr="00F16EC7">
        <w:rPr>
          <w:rFonts w:asciiTheme="majorHAnsi" w:hAnsiTheme="majorHAnsi" w:cstheme="majorHAnsi"/>
          <w:color w:val="000000" w:themeColor="text1"/>
          <w:lang w:val="es-ES_tradnl"/>
        </w:rPr>
        <w:t>Ambrose</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i/>
          <w:color w:val="000000" w:themeColor="text1"/>
          <w:lang w:val="es-ES_tradnl"/>
        </w:rPr>
        <w:t xml:space="preserve">De </w:t>
      </w:r>
      <w:proofErr w:type="spellStart"/>
      <w:r w:rsidRPr="00F16EC7">
        <w:rPr>
          <w:rFonts w:asciiTheme="majorHAnsi" w:hAnsiTheme="majorHAnsi" w:cstheme="majorHAnsi"/>
          <w:i/>
          <w:color w:val="000000" w:themeColor="text1"/>
          <w:lang w:val="es-ES_tradnl"/>
        </w:rPr>
        <w:t>virginibus</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color w:val="000000" w:themeColor="text1"/>
          <w:lang w:val="es-ES"/>
        </w:rPr>
        <w:t>1.7.33.</w:t>
      </w:r>
    </w:p>
  </w:footnote>
  <w:footnote w:id="28">
    <w:p w:rsidR="002044A1" w:rsidRPr="00F16EC7" w:rsidRDefault="002044A1" w:rsidP="00A669E0">
      <w:pPr>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Y. -M. Duval, '</w:t>
      </w:r>
      <w:proofErr w:type="spellStart"/>
      <w:r w:rsidRPr="00F16EC7">
        <w:rPr>
          <w:rFonts w:asciiTheme="majorHAnsi" w:hAnsiTheme="majorHAnsi" w:cstheme="majorHAnsi"/>
          <w:color w:val="000000" w:themeColor="text1"/>
          <w:sz w:val="20"/>
          <w:szCs w:val="20"/>
          <w:lang w:val="en-GB"/>
        </w:rPr>
        <w:t>L´originalité</w:t>
      </w:r>
      <w:proofErr w:type="spellEnd"/>
      <w:r w:rsidRPr="00F16EC7">
        <w:rPr>
          <w:rFonts w:asciiTheme="majorHAnsi" w:hAnsiTheme="majorHAnsi" w:cstheme="majorHAnsi"/>
          <w:color w:val="000000" w:themeColor="text1"/>
          <w:sz w:val="20"/>
          <w:szCs w:val="20"/>
          <w:lang w:val="en-GB"/>
        </w:rPr>
        <w:t xml:space="preserve"> du “De </w:t>
      </w:r>
      <w:proofErr w:type="spellStart"/>
      <w:r w:rsidRPr="00F16EC7">
        <w:rPr>
          <w:rFonts w:asciiTheme="majorHAnsi" w:hAnsiTheme="majorHAnsi" w:cstheme="majorHAnsi"/>
          <w:color w:val="000000" w:themeColor="text1"/>
          <w:sz w:val="20"/>
          <w:szCs w:val="20"/>
          <w:lang w:val="en-GB"/>
        </w:rPr>
        <w:t>virginibus</w:t>
      </w:r>
      <w:proofErr w:type="spellEnd"/>
      <w:r w:rsidRPr="00F16EC7">
        <w:rPr>
          <w:rFonts w:asciiTheme="majorHAnsi" w:hAnsiTheme="majorHAnsi" w:cstheme="majorHAnsi"/>
          <w:color w:val="000000" w:themeColor="text1"/>
          <w:sz w:val="20"/>
          <w:szCs w:val="20"/>
          <w:lang w:val="en-GB"/>
        </w:rPr>
        <w:t xml:space="preserve">” dans le </w:t>
      </w:r>
      <w:proofErr w:type="spellStart"/>
      <w:r w:rsidRPr="00F16EC7">
        <w:rPr>
          <w:rFonts w:asciiTheme="majorHAnsi" w:hAnsiTheme="majorHAnsi" w:cstheme="majorHAnsi"/>
          <w:color w:val="000000" w:themeColor="text1"/>
          <w:sz w:val="20"/>
          <w:szCs w:val="20"/>
          <w:lang w:val="en-GB"/>
        </w:rPr>
        <w:t>mouvement</w:t>
      </w:r>
      <w:proofErr w:type="spellEnd"/>
      <w:r w:rsidRPr="00F16EC7">
        <w:rPr>
          <w:rFonts w:asciiTheme="majorHAnsi" w:hAnsiTheme="majorHAnsi" w:cstheme="majorHAnsi"/>
          <w:color w:val="000000" w:themeColor="text1"/>
          <w:sz w:val="20"/>
          <w:szCs w:val="20"/>
          <w:lang w:val="en-GB"/>
        </w:rPr>
        <w:t xml:space="preserve"> </w:t>
      </w:r>
      <w:proofErr w:type="spellStart"/>
      <w:r w:rsidRPr="00F16EC7">
        <w:rPr>
          <w:rFonts w:asciiTheme="majorHAnsi" w:hAnsiTheme="majorHAnsi" w:cstheme="majorHAnsi"/>
          <w:color w:val="000000" w:themeColor="text1"/>
          <w:sz w:val="20"/>
          <w:szCs w:val="20"/>
          <w:lang w:val="en-GB"/>
        </w:rPr>
        <w:t>ascetique</w:t>
      </w:r>
      <w:proofErr w:type="spellEnd"/>
      <w:r w:rsidRPr="00F16EC7">
        <w:rPr>
          <w:rFonts w:asciiTheme="majorHAnsi" w:hAnsiTheme="majorHAnsi" w:cstheme="majorHAnsi"/>
          <w:color w:val="000000" w:themeColor="text1"/>
          <w:sz w:val="20"/>
          <w:szCs w:val="20"/>
          <w:lang w:val="en-GB"/>
        </w:rPr>
        <w:t xml:space="preserve"> occidental: </w:t>
      </w:r>
      <w:proofErr w:type="spellStart"/>
      <w:r w:rsidRPr="00F16EC7">
        <w:rPr>
          <w:rFonts w:asciiTheme="majorHAnsi" w:hAnsiTheme="majorHAnsi" w:cstheme="majorHAnsi"/>
          <w:color w:val="000000" w:themeColor="text1"/>
          <w:sz w:val="20"/>
          <w:szCs w:val="20"/>
          <w:lang w:val="en-GB"/>
        </w:rPr>
        <w:t>Ambroise</w:t>
      </w:r>
      <w:proofErr w:type="spellEnd"/>
      <w:r w:rsidRPr="00F16EC7">
        <w:rPr>
          <w:rFonts w:asciiTheme="majorHAnsi" w:hAnsiTheme="majorHAnsi" w:cstheme="majorHAnsi"/>
          <w:color w:val="000000" w:themeColor="text1"/>
          <w:sz w:val="20"/>
          <w:szCs w:val="20"/>
          <w:lang w:val="en-GB"/>
        </w:rPr>
        <w:t xml:space="preserve">, </w:t>
      </w:r>
      <w:proofErr w:type="spellStart"/>
      <w:r w:rsidRPr="00F16EC7">
        <w:rPr>
          <w:rFonts w:asciiTheme="majorHAnsi" w:hAnsiTheme="majorHAnsi" w:cstheme="majorHAnsi"/>
          <w:color w:val="000000" w:themeColor="text1"/>
          <w:sz w:val="20"/>
          <w:szCs w:val="20"/>
          <w:lang w:val="en-GB"/>
        </w:rPr>
        <w:t>Cyprien</w:t>
      </w:r>
      <w:proofErr w:type="spellEnd"/>
      <w:r w:rsidRPr="00F16EC7">
        <w:rPr>
          <w:rFonts w:asciiTheme="majorHAnsi" w:hAnsiTheme="majorHAnsi" w:cstheme="majorHAnsi"/>
          <w:color w:val="000000" w:themeColor="text1"/>
          <w:sz w:val="20"/>
          <w:szCs w:val="20"/>
          <w:lang w:val="en-GB"/>
        </w:rPr>
        <w:t xml:space="preserve">, </w:t>
      </w:r>
      <w:proofErr w:type="spellStart"/>
      <w:r w:rsidRPr="00F16EC7">
        <w:rPr>
          <w:rFonts w:asciiTheme="majorHAnsi" w:hAnsiTheme="majorHAnsi" w:cstheme="majorHAnsi"/>
          <w:color w:val="000000" w:themeColor="text1"/>
          <w:sz w:val="20"/>
          <w:szCs w:val="20"/>
          <w:lang w:val="en-GB"/>
        </w:rPr>
        <w:t>Athanase</w:t>
      </w:r>
      <w:proofErr w:type="spellEnd"/>
      <w:r w:rsidRPr="00F16EC7">
        <w:rPr>
          <w:rFonts w:asciiTheme="majorHAnsi" w:hAnsiTheme="majorHAnsi" w:cstheme="majorHAnsi"/>
          <w:color w:val="000000" w:themeColor="text1"/>
          <w:sz w:val="20"/>
          <w:szCs w:val="20"/>
          <w:lang w:val="en-GB"/>
        </w:rPr>
        <w:t xml:space="preserve">', in Y. -M. Duval (ed.), </w:t>
      </w:r>
      <w:proofErr w:type="spellStart"/>
      <w:r w:rsidRPr="00F16EC7">
        <w:rPr>
          <w:rFonts w:asciiTheme="majorHAnsi" w:hAnsiTheme="majorHAnsi" w:cstheme="majorHAnsi"/>
          <w:i/>
          <w:iCs/>
          <w:color w:val="000000" w:themeColor="text1"/>
          <w:sz w:val="20"/>
          <w:szCs w:val="20"/>
          <w:lang w:val="en-GB"/>
        </w:rPr>
        <w:t>Ambroise</w:t>
      </w:r>
      <w:proofErr w:type="spellEnd"/>
      <w:r w:rsidRPr="00F16EC7">
        <w:rPr>
          <w:rFonts w:asciiTheme="majorHAnsi" w:hAnsiTheme="majorHAnsi" w:cstheme="majorHAnsi"/>
          <w:i/>
          <w:iCs/>
          <w:color w:val="000000" w:themeColor="text1"/>
          <w:sz w:val="20"/>
          <w:szCs w:val="20"/>
          <w:lang w:val="en-GB"/>
        </w:rPr>
        <w:t xml:space="preserve"> de Milan: Dix études</w:t>
      </w:r>
      <w:r w:rsidRPr="00F16EC7">
        <w:rPr>
          <w:rFonts w:asciiTheme="majorHAnsi" w:hAnsiTheme="majorHAnsi" w:cstheme="majorHAnsi"/>
          <w:color w:val="000000" w:themeColor="text1"/>
          <w:sz w:val="20"/>
          <w:szCs w:val="20"/>
          <w:lang w:val="en-GB"/>
        </w:rPr>
        <w:t xml:space="preserve"> (Paris: É</w:t>
      </w:r>
      <w:r w:rsidRPr="00F16EC7">
        <w:rPr>
          <w:rFonts w:asciiTheme="majorHAnsi" w:hAnsiTheme="majorHAnsi" w:cstheme="majorHAnsi"/>
          <w:color w:val="000000" w:themeColor="text1"/>
          <w:sz w:val="20"/>
          <w:szCs w:val="20"/>
          <w:shd w:val="clear" w:color="auto" w:fill="FFFFFF"/>
          <w:lang w:val="en-GB"/>
        </w:rPr>
        <w:t xml:space="preserve">tudes </w:t>
      </w:r>
      <w:proofErr w:type="spellStart"/>
      <w:r w:rsidRPr="00F16EC7">
        <w:rPr>
          <w:rFonts w:asciiTheme="majorHAnsi" w:hAnsiTheme="majorHAnsi" w:cstheme="majorHAnsi"/>
          <w:color w:val="000000" w:themeColor="text1"/>
          <w:sz w:val="20"/>
          <w:szCs w:val="20"/>
          <w:shd w:val="clear" w:color="auto" w:fill="FFFFFF"/>
          <w:lang w:val="en-GB"/>
        </w:rPr>
        <w:t>augustiniennes</w:t>
      </w:r>
      <w:proofErr w:type="spellEnd"/>
      <w:r w:rsidRPr="00F16EC7">
        <w:rPr>
          <w:rFonts w:asciiTheme="majorHAnsi" w:hAnsiTheme="majorHAnsi" w:cstheme="majorHAnsi"/>
          <w:color w:val="000000" w:themeColor="text1"/>
          <w:sz w:val="20"/>
          <w:szCs w:val="20"/>
          <w:lang w:val="en-GB"/>
        </w:rPr>
        <w:t xml:space="preserve">, 1974), 9-66; V. Burrus, </w:t>
      </w:r>
      <w:r w:rsidRPr="00F16EC7">
        <w:rPr>
          <w:rFonts w:asciiTheme="majorHAnsi" w:hAnsiTheme="majorHAnsi" w:cstheme="majorHAnsi"/>
          <w:i/>
          <w:iCs/>
          <w:color w:val="000000" w:themeColor="text1"/>
          <w:sz w:val="20"/>
          <w:szCs w:val="20"/>
          <w:lang w:val="en-GB"/>
        </w:rPr>
        <w:t>Begotten, not Made: Conceiving Manhood in Late Antiquity</w:t>
      </w:r>
      <w:r w:rsidRPr="00F16EC7">
        <w:rPr>
          <w:rFonts w:asciiTheme="majorHAnsi" w:hAnsiTheme="majorHAnsi" w:cstheme="majorHAnsi"/>
          <w:color w:val="000000" w:themeColor="text1"/>
          <w:sz w:val="20"/>
          <w:szCs w:val="20"/>
          <w:lang w:val="en-GB"/>
        </w:rPr>
        <w:t xml:space="preserve"> (Stanford, CA: Stanford University Press, 2000), 141-151; Hunter, ‘The Virgin, the Bride’, 281-303.</w:t>
      </w:r>
    </w:p>
  </w:footnote>
  <w:footnote w:id="29">
    <w:p w:rsidR="002044A1" w:rsidRPr="00F16EC7" w:rsidRDefault="002044A1" w:rsidP="00A669E0">
      <w:pPr>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Ambrose,</w:t>
      </w:r>
      <w:r w:rsidRPr="00F16EC7">
        <w:rPr>
          <w:rFonts w:asciiTheme="majorHAnsi" w:hAnsiTheme="majorHAnsi" w:cstheme="majorHAnsi"/>
          <w:i/>
          <w:color w:val="000000" w:themeColor="text1"/>
          <w:sz w:val="20"/>
          <w:szCs w:val="20"/>
          <w:lang w:val="en-GB"/>
        </w:rPr>
        <w:t xml:space="preserve"> De Paradiso,</w:t>
      </w:r>
      <w:r w:rsidRPr="00F16EC7">
        <w:rPr>
          <w:rFonts w:asciiTheme="majorHAnsi" w:hAnsiTheme="majorHAnsi" w:cstheme="majorHAnsi"/>
          <w:color w:val="000000" w:themeColor="text1"/>
          <w:sz w:val="20"/>
          <w:szCs w:val="20"/>
          <w:lang w:val="en-GB"/>
        </w:rPr>
        <w:t xml:space="preserve"> 10.46-48, </w:t>
      </w:r>
      <w:r w:rsidR="00A669E0" w:rsidRPr="00F16EC7">
        <w:rPr>
          <w:rFonts w:asciiTheme="majorHAnsi" w:hAnsiTheme="majorHAnsi" w:cstheme="majorHAnsi"/>
          <w:color w:val="000000" w:themeColor="text1"/>
          <w:sz w:val="20"/>
          <w:szCs w:val="20"/>
          <w:lang w:val="en-GB"/>
        </w:rPr>
        <w:t xml:space="preserve">C. </w:t>
      </w:r>
      <w:proofErr w:type="spellStart"/>
      <w:r w:rsidR="00A669E0" w:rsidRPr="00F16EC7">
        <w:rPr>
          <w:rFonts w:asciiTheme="majorHAnsi" w:hAnsiTheme="majorHAnsi" w:cstheme="majorHAnsi"/>
          <w:color w:val="000000" w:themeColor="text1"/>
          <w:sz w:val="20"/>
          <w:szCs w:val="20"/>
          <w:lang w:val="en-GB"/>
        </w:rPr>
        <w:t>Schenkl</w:t>
      </w:r>
      <w:proofErr w:type="spellEnd"/>
      <w:r w:rsidR="00A669E0" w:rsidRPr="00F16EC7">
        <w:rPr>
          <w:rFonts w:asciiTheme="majorHAnsi" w:hAnsiTheme="majorHAnsi" w:cstheme="majorHAnsi"/>
          <w:color w:val="000000" w:themeColor="text1"/>
          <w:sz w:val="20"/>
          <w:szCs w:val="20"/>
          <w:lang w:val="en-GB"/>
        </w:rPr>
        <w:t xml:space="preserve"> (ed.), </w:t>
      </w:r>
      <w:r w:rsidR="00A669E0" w:rsidRPr="00F16EC7">
        <w:rPr>
          <w:rFonts w:asciiTheme="majorHAnsi" w:hAnsiTheme="majorHAnsi" w:cstheme="majorHAnsi"/>
          <w:i/>
          <w:color w:val="000000" w:themeColor="text1"/>
          <w:sz w:val="20"/>
          <w:szCs w:val="20"/>
          <w:lang w:val="en-GB"/>
        </w:rPr>
        <w:t>Ambrosius</w:t>
      </w:r>
      <w:r w:rsidR="00A669E0" w:rsidRPr="00F16EC7">
        <w:rPr>
          <w:rFonts w:asciiTheme="majorHAnsi" w:hAnsiTheme="majorHAnsi" w:cstheme="majorHAnsi"/>
          <w:color w:val="000000" w:themeColor="text1"/>
          <w:sz w:val="20"/>
          <w:szCs w:val="20"/>
          <w:lang w:val="en-GB"/>
        </w:rPr>
        <w:t xml:space="preserve">, </w:t>
      </w:r>
      <w:r w:rsidRPr="00F16EC7">
        <w:rPr>
          <w:rFonts w:asciiTheme="majorHAnsi" w:hAnsiTheme="majorHAnsi" w:cstheme="majorHAnsi"/>
          <w:color w:val="000000" w:themeColor="text1"/>
          <w:sz w:val="20"/>
          <w:szCs w:val="20"/>
          <w:lang w:val="en-GB"/>
        </w:rPr>
        <w:t xml:space="preserve">CSEL 32.1, </w:t>
      </w:r>
      <w:r w:rsidR="00A669E0" w:rsidRPr="00F16EC7">
        <w:rPr>
          <w:rFonts w:asciiTheme="majorHAnsi" w:hAnsiTheme="majorHAnsi" w:cstheme="majorHAnsi"/>
          <w:color w:val="000000" w:themeColor="text1"/>
          <w:sz w:val="20"/>
          <w:szCs w:val="20"/>
          <w:lang w:val="en-GB"/>
        </w:rPr>
        <w:t xml:space="preserve">(Vienna: </w:t>
      </w:r>
      <w:proofErr w:type="spellStart"/>
      <w:r w:rsidR="00A669E0" w:rsidRPr="00F16EC7">
        <w:rPr>
          <w:rFonts w:asciiTheme="majorHAnsi" w:hAnsiTheme="majorHAnsi" w:cstheme="majorHAnsi"/>
          <w:color w:val="000000" w:themeColor="text1"/>
          <w:sz w:val="20"/>
          <w:szCs w:val="20"/>
          <w:lang w:val="en-GB"/>
        </w:rPr>
        <w:t>OeAW</w:t>
      </w:r>
      <w:proofErr w:type="spellEnd"/>
      <w:r w:rsidR="00A669E0" w:rsidRPr="00F16EC7">
        <w:rPr>
          <w:rFonts w:asciiTheme="majorHAnsi" w:hAnsiTheme="majorHAnsi" w:cstheme="majorHAnsi"/>
          <w:color w:val="000000" w:themeColor="text1"/>
          <w:sz w:val="20"/>
          <w:szCs w:val="20"/>
          <w:lang w:val="en-GB"/>
        </w:rPr>
        <w:t xml:space="preserve">, 1896), </w:t>
      </w:r>
      <w:r w:rsidRPr="00F16EC7">
        <w:rPr>
          <w:rFonts w:asciiTheme="majorHAnsi" w:hAnsiTheme="majorHAnsi" w:cstheme="majorHAnsi"/>
          <w:color w:val="000000" w:themeColor="text1"/>
          <w:sz w:val="20"/>
          <w:szCs w:val="20"/>
          <w:lang w:val="en-GB"/>
        </w:rPr>
        <w:t xml:space="preserve">265-336; Kate Cooper, </w:t>
      </w:r>
      <w:r w:rsidRPr="00F16EC7">
        <w:rPr>
          <w:rFonts w:asciiTheme="majorHAnsi" w:hAnsiTheme="majorHAnsi" w:cstheme="majorHAnsi"/>
          <w:i/>
          <w:iCs/>
          <w:color w:val="000000" w:themeColor="text1"/>
          <w:sz w:val="20"/>
          <w:szCs w:val="20"/>
          <w:lang w:val="en-GB"/>
        </w:rPr>
        <w:t>The Virgin and the Bride: Idealized Womanhood in Late Antiquity</w:t>
      </w:r>
      <w:r w:rsidRPr="00F16EC7">
        <w:rPr>
          <w:rFonts w:asciiTheme="majorHAnsi" w:hAnsiTheme="majorHAnsi" w:cstheme="majorHAnsi"/>
          <w:color w:val="000000" w:themeColor="text1"/>
          <w:sz w:val="20"/>
          <w:szCs w:val="20"/>
          <w:lang w:val="en-GB"/>
        </w:rPr>
        <w:t xml:space="preserve"> (Cambridge, MA: Harvard University Press, 1996), 75-78.</w:t>
      </w:r>
    </w:p>
  </w:footnote>
  <w:footnote w:id="30">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 xml:space="preserve">De </w:t>
      </w:r>
      <w:proofErr w:type="spellStart"/>
      <w:r w:rsidRPr="00F16EC7">
        <w:rPr>
          <w:rFonts w:asciiTheme="majorHAnsi" w:hAnsiTheme="majorHAnsi" w:cstheme="majorHAnsi"/>
          <w:i/>
          <w:color w:val="000000" w:themeColor="text1"/>
          <w:lang w:val="en-GB"/>
        </w:rPr>
        <w:t>virginibus</w:t>
      </w:r>
      <w:proofErr w:type="spellEnd"/>
      <w:r w:rsidRPr="00F16EC7">
        <w:rPr>
          <w:rFonts w:asciiTheme="majorHAnsi" w:hAnsiTheme="majorHAnsi" w:cstheme="majorHAnsi"/>
          <w:color w:val="000000" w:themeColor="text1"/>
          <w:lang w:val="en-GB"/>
        </w:rPr>
        <w:t xml:space="preserve">, 1.2.5-19; 1.3.19-21; </w:t>
      </w:r>
      <w:proofErr w:type="spellStart"/>
      <w:r w:rsidRPr="00F16EC7">
        <w:rPr>
          <w:rFonts w:asciiTheme="majorHAnsi" w:hAnsiTheme="majorHAnsi" w:cstheme="majorHAnsi"/>
          <w:color w:val="000000" w:themeColor="text1"/>
          <w:lang w:val="en-GB"/>
        </w:rPr>
        <w:t>Prudentius</w:t>
      </w:r>
      <w:proofErr w:type="spellEnd"/>
      <w:r w:rsidRPr="00F16EC7">
        <w:rPr>
          <w:rFonts w:asciiTheme="majorHAnsi" w:hAnsiTheme="majorHAnsi" w:cstheme="majorHAnsi"/>
          <w:color w:val="000000" w:themeColor="text1"/>
          <w:lang w:val="en-GB"/>
        </w:rPr>
        <w:t xml:space="preserve">, </w:t>
      </w:r>
      <w:proofErr w:type="spellStart"/>
      <w:r w:rsidRPr="00F16EC7">
        <w:rPr>
          <w:rFonts w:asciiTheme="majorHAnsi" w:hAnsiTheme="majorHAnsi" w:cstheme="majorHAnsi"/>
          <w:i/>
          <w:color w:val="000000" w:themeColor="text1"/>
          <w:lang w:val="en-GB"/>
        </w:rPr>
        <w:t>Peristephanon</w:t>
      </w:r>
      <w:proofErr w:type="spellEnd"/>
      <w:r w:rsidRPr="00F16EC7">
        <w:rPr>
          <w:rFonts w:asciiTheme="majorHAnsi" w:hAnsiTheme="majorHAnsi" w:cstheme="majorHAnsi"/>
          <w:color w:val="000000" w:themeColor="text1"/>
          <w:lang w:val="en-GB"/>
        </w:rPr>
        <w:t xml:space="preserve"> 14.15-20, </w:t>
      </w:r>
      <w:r w:rsidR="00D41EC5" w:rsidRPr="00F16EC7">
        <w:rPr>
          <w:rFonts w:asciiTheme="majorHAnsi" w:hAnsiTheme="majorHAnsi" w:cstheme="majorHAnsi"/>
          <w:color w:val="000000" w:themeColor="text1"/>
          <w:lang w:val="en-GB"/>
        </w:rPr>
        <w:t>H.</w:t>
      </w:r>
      <w:r w:rsidR="00A669E0" w:rsidRPr="00F16EC7">
        <w:rPr>
          <w:rFonts w:asciiTheme="majorHAnsi" w:hAnsiTheme="majorHAnsi" w:cstheme="majorHAnsi"/>
          <w:color w:val="000000" w:themeColor="text1"/>
          <w:lang w:val="en-GB"/>
        </w:rPr>
        <w:t xml:space="preserve"> </w:t>
      </w:r>
      <w:r w:rsidR="00D41EC5" w:rsidRPr="00F16EC7">
        <w:rPr>
          <w:rFonts w:asciiTheme="majorHAnsi" w:hAnsiTheme="majorHAnsi" w:cstheme="majorHAnsi"/>
          <w:color w:val="000000" w:themeColor="text1"/>
          <w:lang w:val="en-GB"/>
        </w:rPr>
        <w:t xml:space="preserve">J. Thomson (ed. and trans.) </w:t>
      </w:r>
      <w:proofErr w:type="spellStart"/>
      <w:r w:rsidR="00D41EC5" w:rsidRPr="00F16EC7">
        <w:rPr>
          <w:rFonts w:asciiTheme="majorHAnsi" w:hAnsiTheme="majorHAnsi" w:cstheme="majorHAnsi"/>
          <w:i/>
          <w:color w:val="000000" w:themeColor="text1"/>
          <w:lang w:val="en-GB"/>
        </w:rPr>
        <w:t>Prudentius</w:t>
      </w:r>
      <w:proofErr w:type="spellEnd"/>
      <w:r w:rsidR="00D41EC5" w:rsidRPr="00F16EC7">
        <w:rPr>
          <w:rFonts w:asciiTheme="majorHAnsi" w:hAnsiTheme="majorHAnsi" w:cstheme="majorHAnsi"/>
          <w:color w:val="000000" w:themeColor="text1"/>
          <w:lang w:val="en-GB"/>
        </w:rPr>
        <w:t>, v</w:t>
      </w:r>
      <w:r w:rsidR="006355DF" w:rsidRPr="00F16EC7">
        <w:rPr>
          <w:rFonts w:asciiTheme="majorHAnsi" w:hAnsiTheme="majorHAnsi" w:cstheme="majorHAnsi"/>
          <w:color w:val="000000" w:themeColor="text1"/>
          <w:lang w:val="en-GB"/>
        </w:rPr>
        <w:t>ol. 2, Loeb Classical Library, (Cambridge, MA: Harvard University Press, 1949)</w:t>
      </w:r>
    </w:p>
  </w:footnote>
  <w:footnote w:id="31">
    <w:p w:rsidR="002044A1" w:rsidRPr="00F16EC7" w:rsidRDefault="002044A1" w:rsidP="00A669E0">
      <w:pPr>
        <w:pStyle w:val="FootnoteText"/>
        <w:spacing w:line="240" w:lineRule="auto"/>
        <w:jc w:val="both"/>
        <w:rPr>
          <w:rFonts w:asciiTheme="majorHAnsi" w:hAnsiTheme="majorHAnsi" w:cstheme="majorHAnsi"/>
          <w:color w:val="000000" w:themeColor="text1"/>
          <w:lang w:val="es-ES_tradnl"/>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lang w:val="es-ES_tradnl"/>
        </w:rPr>
        <w:t xml:space="preserve"> </w:t>
      </w:r>
      <w:proofErr w:type="spellStart"/>
      <w:r w:rsidRPr="00F16EC7">
        <w:rPr>
          <w:rFonts w:asciiTheme="majorHAnsi" w:hAnsiTheme="majorHAnsi" w:cstheme="majorHAnsi"/>
          <w:color w:val="000000" w:themeColor="text1"/>
          <w:lang w:val="es-ES_tradnl"/>
        </w:rPr>
        <w:t>Ambrose</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i/>
          <w:color w:val="000000" w:themeColor="text1"/>
          <w:lang w:val="es-ES_tradnl"/>
        </w:rPr>
        <w:t xml:space="preserve">De </w:t>
      </w:r>
      <w:proofErr w:type="spellStart"/>
      <w:r w:rsidRPr="00F16EC7">
        <w:rPr>
          <w:rFonts w:asciiTheme="majorHAnsi" w:hAnsiTheme="majorHAnsi" w:cstheme="majorHAnsi"/>
          <w:i/>
          <w:color w:val="000000" w:themeColor="text1"/>
          <w:lang w:val="es-ES_tradnl"/>
        </w:rPr>
        <w:t>virginibus</w:t>
      </w:r>
      <w:proofErr w:type="spellEnd"/>
      <w:r w:rsidRPr="00F16EC7">
        <w:rPr>
          <w:rFonts w:asciiTheme="majorHAnsi" w:hAnsiTheme="majorHAnsi" w:cstheme="majorHAnsi"/>
          <w:color w:val="000000" w:themeColor="text1"/>
          <w:lang w:val="es-ES_tradnl"/>
        </w:rPr>
        <w:t>, 2.3.19.</w:t>
      </w:r>
    </w:p>
  </w:footnote>
  <w:footnote w:id="32">
    <w:p w:rsidR="002044A1" w:rsidRPr="00F16EC7" w:rsidRDefault="002044A1" w:rsidP="00A669E0">
      <w:pPr>
        <w:pStyle w:val="FootnoteText"/>
        <w:spacing w:line="240" w:lineRule="auto"/>
        <w:jc w:val="both"/>
        <w:rPr>
          <w:rFonts w:asciiTheme="majorHAnsi" w:hAnsiTheme="majorHAnsi" w:cstheme="majorHAnsi"/>
          <w:color w:val="000000" w:themeColor="text1"/>
          <w:lang w:val="es-ES_tradnl"/>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s-ES_tradnl"/>
        </w:rPr>
        <w:t xml:space="preserve"> </w:t>
      </w:r>
      <w:proofErr w:type="spellStart"/>
      <w:r w:rsidRPr="00F16EC7">
        <w:rPr>
          <w:rFonts w:asciiTheme="majorHAnsi" w:hAnsiTheme="majorHAnsi" w:cstheme="majorHAnsi"/>
          <w:color w:val="000000" w:themeColor="text1"/>
          <w:lang w:val="es-ES_tradnl"/>
        </w:rPr>
        <w:t>Ambrose</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i/>
          <w:color w:val="000000" w:themeColor="text1"/>
          <w:lang w:val="es-ES_tradnl"/>
        </w:rPr>
        <w:t xml:space="preserve">De </w:t>
      </w:r>
      <w:proofErr w:type="spellStart"/>
      <w:r w:rsidRPr="00F16EC7">
        <w:rPr>
          <w:rFonts w:asciiTheme="majorHAnsi" w:hAnsiTheme="majorHAnsi" w:cstheme="majorHAnsi"/>
          <w:i/>
          <w:color w:val="000000" w:themeColor="text1"/>
          <w:lang w:val="es-ES_tradnl"/>
        </w:rPr>
        <w:t>virginibus</w:t>
      </w:r>
      <w:proofErr w:type="spellEnd"/>
      <w:r w:rsidRPr="00F16EC7">
        <w:rPr>
          <w:rFonts w:asciiTheme="majorHAnsi" w:hAnsiTheme="majorHAnsi" w:cstheme="majorHAnsi"/>
          <w:color w:val="000000" w:themeColor="text1"/>
          <w:lang w:val="es-ES_tradnl"/>
        </w:rPr>
        <w:t>, 2.4.22-33.</w:t>
      </w:r>
    </w:p>
  </w:footnote>
  <w:footnote w:id="33">
    <w:p w:rsidR="002044A1" w:rsidRPr="00F16EC7" w:rsidRDefault="002044A1" w:rsidP="00A669E0">
      <w:pPr>
        <w:pStyle w:val="FootnoteText"/>
        <w:spacing w:line="240" w:lineRule="auto"/>
        <w:jc w:val="both"/>
        <w:rPr>
          <w:rFonts w:asciiTheme="majorHAnsi" w:hAnsiTheme="majorHAnsi" w:cstheme="majorHAnsi"/>
          <w:color w:val="000000" w:themeColor="text1"/>
          <w:lang w:val="es-ES"/>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s-ES_tradnl"/>
        </w:rPr>
        <w:t xml:space="preserve"> </w:t>
      </w:r>
      <w:proofErr w:type="spellStart"/>
      <w:r w:rsidRPr="00F16EC7">
        <w:rPr>
          <w:rFonts w:asciiTheme="majorHAnsi" w:hAnsiTheme="majorHAnsi" w:cstheme="majorHAnsi"/>
          <w:color w:val="000000" w:themeColor="text1"/>
          <w:lang w:val="es-ES_tradnl"/>
        </w:rPr>
        <w:t>Ambrose</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i/>
          <w:color w:val="000000" w:themeColor="text1"/>
          <w:lang w:val="es-ES_tradnl"/>
        </w:rPr>
        <w:t xml:space="preserve">De </w:t>
      </w:r>
      <w:proofErr w:type="spellStart"/>
      <w:r w:rsidRPr="00F16EC7">
        <w:rPr>
          <w:rFonts w:asciiTheme="majorHAnsi" w:hAnsiTheme="majorHAnsi" w:cstheme="majorHAnsi"/>
          <w:i/>
          <w:color w:val="000000" w:themeColor="text1"/>
          <w:lang w:val="es-ES_tradnl"/>
        </w:rPr>
        <w:t>virginibus</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color w:val="000000" w:themeColor="text1"/>
          <w:lang w:val="es-ES"/>
        </w:rPr>
        <w:t>1.6.31.</w:t>
      </w:r>
    </w:p>
  </w:footnote>
  <w:footnote w:id="34">
    <w:p w:rsidR="002044A1" w:rsidRPr="00F16EC7" w:rsidRDefault="002044A1" w:rsidP="00A669E0">
      <w:pPr>
        <w:pStyle w:val="FootnoteText"/>
        <w:spacing w:line="240" w:lineRule="auto"/>
        <w:jc w:val="both"/>
        <w:rPr>
          <w:rFonts w:asciiTheme="majorHAnsi" w:hAnsiTheme="majorHAnsi" w:cstheme="majorHAnsi"/>
          <w:color w:val="000000" w:themeColor="text1"/>
          <w:lang w:val="es-ES"/>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s-ES"/>
        </w:rPr>
        <w:t xml:space="preserve"> </w:t>
      </w:r>
      <w:proofErr w:type="spellStart"/>
      <w:r w:rsidRPr="00F16EC7">
        <w:rPr>
          <w:rFonts w:asciiTheme="majorHAnsi" w:hAnsiTheme="majorHAnsi" w:cstheme="majorHAnsi"/>
          <w:color w:val="000000" w:themeColor="text1"/>
          <w:lang w:val="es-ES_tradnl"/>
        </w:rPr>
        <w:t>Ambrose</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i/>
          <w:color w:val="000000" w:themeColor="text1"/>
          <w:lang w:val="es-ES_tradnl"/>
        </w:rPr>
        <w:t xml:space="preserve">De </w:t>
      </w:r>
      <w:proofErr w:type="spellStart"/>
      <w:r w:rsidRPr="00F16EC7">
        <w:rPr>
          <w:rFonts w:asciiTheme="majorHAnsi" w:hAnsiTheme="majorHAnsi" w:cstheme="majorHAnsi"/>
          <w:i/>
          <w:color w:val="000000" w:themeColor="text1"/>
          <w:lang w:val="es-ES_tradnl"/>
        </w:rPr>
        <w:t>virginibus</w:t>
      </w:r>
      <w:proofErr w:type="spellEnd"/>
      <w:r w:rsidRPr="00F16EC7">
        <w:rPr>
          <w:rFonts w:asciiTheme="majorHAnsi" w:hAnsiTheme="majorHAnsi" w:cstheme="majorHAnsi"/>
          <w:color w:val="000000" w:themeColor="text1"/>
          <w:lang w:val="es-ES_tradnl"/>
        </w:rPr>
        <w:t xml:space="preserve">, </w:t>
      </w:r>
      <w:r w:rsidRPr="00F16EC7">
        <w:rPr>
          <w:rFonts w:asciiTheme="majorHAnsi" w:hAnsiTheme="majorHAnsi" w:cstheme="majorHAnsi"/>
          <w:color w:val="000000" w:themeColor="text1"/>
          <w:lang w:val="es-ES"/>
        </w:rPr>
        <w:t>1.12.63.</w:t>
      </w:r>
    </w:p>
  </w:footnote>
  <w:footnote w:id="35">
    <w:p w:rsidR="002044A1" w:rsidRPr="00F16EC7" w:rsidRDefault="002044A1" w:rsidP="00A669E0">
      <w:pPr>
        <w:pStyle w:val="FootnoteText"/>
        <w:spacing w:line="240" w:lineRule="auto"/>
        <w:jc w:val="both"/>
        <w:rPr>
          <w:rFonts w:asciiTheme="majorHAnsi" w:hAnsiTheme="majorHAnsi" w:cstheme="majorHAnsi"/>
          <w:color w:val="000000" w:themeColor="text1"/>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rPr>
        <w:t xml:space="preserve"> P. </w:t>
      </w:r>
      <w:r w:rsidRPr="00F16EC7">
        <w:rPr>
          <w:rFonts w:asciiTheme="majorHAnsi" w:eastAsiaTheme="minorEastAsia" w:hAnsiTheme="majorHAnsi" w:cstheme="majorHAnsi"/>
          <w:color w:val="000000" w:themeColor="text1"/>
        </w:rPr>
        <w:t xml:space="preserve">Brown, </w:t>
      </w:r>
      <w:r w:rsidRPr="00F16EC7">
        <w:rPr>
          <w:rFonts w:asciiTheme="majorHAnsi" w:eastAsiaTheme="minorEastAsia" w:hAnsiTheme="majorHAnsi" w:cstheme="majorHAnsi"/>
          <w:i/>
          <w:iCs/>
          <w:color w:val="000000" w:themeColor="text1"/>
        </w:rPr>
        <w:t>Power and Persuasion in Late Antiquity: Towards a Christian Empire</w:t>
      </w:r>
      <w:r w:rsidRPr="00F16EC7">
        <w:rPr>
          <w:rFonts w:asciiTheme="majorHAnsi" w:eastAsiaTheme="minorEastAsia" w:hAnsiTheme="majorHAnsi" w:cstheme="majorHAnsi"/>
          <w:color w:val="000000" w:themeColor="text1"/>
        </w:rPr>
        <w:t>. (Madison, WI</w:t>
      </w:r>
      <w:r w:rsidRPr="00F16EC7">
        <w:rPr>
          <w:rFonts w:asciiTheme="majorHAnsi" w:hAnsiTheme="majorHAnsi" w:cstheme="majorHAnsi"/>
          <w:color w:val="000000" w:themeColor="text1"/>
          <w:lang w:val="en-GB"/>
        </w:rPr>
        <w:t>: University of Wisconsin Press</w:t>
      </w:r>
      <w:r w:rsidRPr="00F16EC7">
        <w:rPr>
          <w:rFonts w:asciiTheme="majorHAnsi" w:eastAsiaTheme="minorEastAsia" w:hAnsiTheme="majorHAnsi" w:cstheme="majorHAnsi"/>
          <w:color w:val="000000" w:themeColor="text1"/>
        </w:rPr>
        <w:t>, 1992), 118-30.</w:t>
      </w:r>
    </w:p>
  </w:footnote>
  <w:footnote w:id="36">
    <w:p w:rsidR="002044A1" w:rsidRPr="00F16EC7" w:rsidRDefault="002044A1" w:rsidP="00A669E0">
      <w:pPr>
        <w:widowControl w:val="0"/>
        <w:autoSpaceDE w:val="0"/>
        <w:autoSpaceDN w:val="0"/>
        <w:adjustRightInd w:val="0"/>
        <w:jc w:val="both"/>
        <w:rPr>
          <w:rFonts w:asciiTheme="majorHAnsi" w:eastAsiaTheme="minorEastAsia" w:hAnsiTheme="majorHAnsi" w:cstheme="majorHAnsi"/>
          <w:color w:val="000000" w:themeColor="text1"/>
          <w:sz w:val="20"/>
          <w:szCs w:val="20"/>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 xml:space="preserve">L. L. Coon, </w:t>
      </w:r>
      <w:r w:rsidRPr="00F16EC7">
        <w:rPr>
          <w:rFonts w:asciiTheme="majorHAnsi" w:eastAsiaTheme="minorEastAsia" w:hAnsiTheme="majorHAnsi" w:cstheme="majorHAnsi"/>
          <w:i/>
          <w:iCs/>
          <w:color w:val="000000" w:themeColor="text1"/>
          <w:sz w:val="20"/>
          <w:szCs w:val="20"/>
        </w:rPr>
        <w:t>Sacred Fictions: Holy Women and Hagiography in Late Antiquity</w:t>
      </w:r>
      <w:r w:rsidRPr="00F16EC7">
        <w:rPr>
          <w:rFonts w:asciiTheme="majorHAnsi" w:eastAsiaTheme="minorEastAsia" w:hAnsiTheme="majorHAnsi" w:cstheme="majorHAnsi"/>
          <w:color w:val="000000" w:themeColor="text1"/>
          <w:sz w:val="20"/>
          <w:szCs w:val="20"/>
        </w:rPr>
        <w:t xml:space="preserve"> (Philadelphia, PA</w:t>
      </w:r>
      <w:r w:rsidRPr="00F16EC7">
        <w:rPr>
          <w:rFonts w:asciiTheme="majorHAnsi" w:hAnsiTheme="majorHAnsi" w:cstheme="majorHAnsi"/>
          <w:color w:val="000000" w:themeColor="text1"/>
          <w:sz w:val="20"/>
          <w:szCs w:val="20"/>
          <w:lang w:val="en-GB"/>
        </w:rPr>
        <w:t>: University of Pennsylvania Press</w:t>
      </w:r>
      <w:r w:rsidRPr="00F16EC7">
        <w:rPr>
          <w:rFonts w:asciiTheme="majorHAnsi" w:eastAsiaTheme="minorEastAsia" w:hAnsiTheme="majorHAnsi" w:cstheme="majorHAnsi"/>
          <w:color w:val="000000" w:themeColor="text1"/>
          <w:sz w:val="20"/>
          <w:szCs w:val="20"/>
        </w:rPr>
        <w:t>, 1997), 28-38.</w:t>
      </w:r>
    </w:p>
  </w:footnote>
  <w:footnote w:id="37">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 xml:space="preserve">De </w:t>
      </w:r>
      <w:proofErr w:type="spellStart"/>
      <w:r w:rsidRPr="00F16EC7">
        <w:rPr>
          <w:rFonts w:asciiTheme="majorHAnsi" w:hAnsiTheme="majorHAnsi" w:cstheme="majorHAnsi"/>
          <w:i/>
          <w:color w:val="000000" w:themeColor="text1"/>
          <w:lang w:val="en-GB"/>
        </w:rPr>
        <w:t>virginibus</w:t>
      </w:r>
      <w:proofErr w:type="spellEnd"/>
      <w:r w:rsidRPr="00F16EC7">
        <w:rPr>
          <w:rFonts w:asciiTheme="majorHAnsi" w:hAnsiTheme="majorHAnsi" w:cstheme="majorHAnsi"/>
          <w:color w:val="000000" w:themeColor="text1"/>
          <w:lang w:val="en-GB"/>
        </w:rPr>
        <w:t>, 2.4.28-30.</w:t>
      </w:r>
    </w:p>
  </w:footnote>
  <w:footnote w:id="38">
    <w:p w:rsidR="002044A1" w:rsidRPr="00F16EC7" w:rsidRDefault="002044A1" w:rsidP="00A669E0">
      <w:pPr>
        <w:jc w:val="both"/>
        <w:rPr>
          <w:rFonts w:asciiTheme="majorHAnsi" w:hAnsiTheme="majorHAnsi" w:cstheme="majorHAnsi"/>
          <w:color w:val="000000" w:themeColor="text1"/>
          <w:sz w:val="20"/>
          <w:szCs w:val="20"/>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rPr>
        <w:t xml:space="preserve"> </w:t>
      </w:r>
      <w:r w:rsidRPr="00F16EC7">
        <w:rPr>
          <w:rFonts w:asciiTheme="majorHAnsi" w:hAnsiTheme="majorHAnsi" w:cstheme="majorHAnsi"/>
          <w:i/>
          <w:color w:val="000000" w:themeColor="text1"/>
          <w:sz w:val="20"/>
          <w:szCs w:val="20"/>
        </w:rPr>
        <w:t>Acts of Paul and Thecla</w:t>
      </w:r>
      <w:r w:rsidRPr="00F16EC7">
        <w:rPr>
          <w:rFonts w:asciiTheme="majorHAnsi" w:hAnsiTheme="majorHAnsi" w:cstheme="majorHAnsi"/>
          <w:color w:val="000000" w:themeColor="text1"/>
          <w:sz w:val="20"/>
          <w:szCs w:val="20"/>
        </w:rPr>
        <w:t xml:space="preserve">, 4.3-4, </w:t>
      </w:r>
      <w:r w:rsidRPr="00F16EC7">
        <w:rPr>
          <w:rFonts w:asciiTheme="majorHAnsi" w:hAnsiTheme="majorHAnsi" w:cstheme="majorHAnsi"/>
          <w:color w:val="000000" w:themeColor="text1"/>
          <w:sz w:val="20"/>
          <w:szCs w:val="20"/>
          <w:lang w:val="en-GB"/>
        </w:rPr>
        <w:t xml:space="preserve">R. A. Lipsius (ed.), </w:t>
      </w:r>
      <w:r w:rsidRPr="00F16EC7">
        <w:rPr>
          <w:rFonts w:asciiTheme="majorHAnsi" w:hAnsiTheme="majorHAnsi" w:cstheme="majorHAnsi"/>
          <w:i/>
          <w:color w:val="000000" w:themeColor="text1"/>
          <w:sz w:val="20"/>
          <w:szCs w:val="20"/>
          <w:lang w:val="en-GB"/>
        </w:rPr>
        <w:t xml:space="preserve">Acta </w:t>
      </w:r>
      <w:proofErr w:type="spellStart"/>
      <w:r w:rsidRPr="00F16EC7">
        <w:rPr>
          <w:rFonts w:asciiTheme="majorHAnsi" w:hAnsiTheme="majorHAnsi" w:cstheme="majorHAnsi"/>
          <w:i/>
          <w:color w:val="000000" w:themeColor="text1"/>
          <w:sz w:val="20"/>
          <w:szCs w:val="20"/>
          <w:lang w:val="en-GB"/>
        </w:rPr>
        <w:t>Apostolorum</w:t>
      </w:r>
      <w:proofErr w:type="spellEnd"/>
      <w:r w:rsidRPr="00F16EC7">
        <w:rPr>
          <w:rFonts w:asciiTheme="majorHAnsi" w:hAnsiTheme="majorHAnsi" w:cstheme="majorHAnsi"/>
          <w:i/>
          <w:color w:val="000000" w:themeColor="text1"/>
          <w:sz w:val="20"/>
          <w:szCs w:val="20"/>
          <w:lang w:val="en-GB"/>
        </w:rPr>
        <w:t xml:space="preserve"> Apocrypha</w:t>
      </w:r>
      <w:r w:rsidRPr="00F16EC7">
        <w:rPr>
          <w:rFonts w:asciiTheme="majorHAnsi" w:hAnsiTheme="majorHAnsi" w:cstheme="majorHAnsi"/>
          <w:color w:val="000000" w:themeColor="text1"/>
          <w:sz w:val="20"/>
          <w:szCs w:val="20"/>
          <w:lang w:val="en-GB"/>
        </w:rPr>
        <w:t xml:space="preserve">, vol. 1 </w:t>
      </w:r>
      <w:r w:rsidRPr="00F16EC7">
        <w:rPr>
          <w:rFonts w:asciiTheme="majorHAnsi" w:hAnsiTheme="majorHAnsi" w:cstheme="majorHAnsi"/>
          <w:color w:val="000000" w:themeColor="text1"/>
          <w:sz w:val="20"/>
          <w:szCs w:val="20"/>
        </w:rPr>
        <w:t>(Leipzig: Mendelssohn, 1891 [</w:t>
      </w:r>
      <w:proofErr w:type="spellStart"/>
      <w:r w:rsidRPr="00F16EC7">
        <w:rPr>
          <w:rFonts w:asciiTheme="majorHAnsi" w:hAnsiTheme="majorHAnsi" w:cstheme="majorHAnsi"/>
          <w:color w:val="000000" w:themeColor="text1"/>
          <w:sz w:val="20"/>
          <w:szCs w:val="20"/>
        </w:rPr>
        <w:t>repr</w:t>
      </w:r>
      <w:proofErr w:type="spellEnd"/>
      <w:r w:rsidRPr="00F16EC7">
        <w:rPr>
          <w:rFonts w:asciiTheme="majorHAnsi" w:hAnsiTheme="majorHAnsi" w:cstheme="majorHAnsi"/>
          <w:color w:val="000000" w:themeColor="text1"/>
          <w:sz w:val="20"/>
          <w:szCs w:val="20"/>
        </w:rPr>
        <w:t xml:space="preserve">. Hildesheim: Olms, 1972]), 235-72. </w:t>
      </w:r>
    </w:p>
  </w:footnote>
  <w:footnote w:id="39">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 xml:space="preserve">De </w:t>
      </w:r>
      <w:proofErr w:type="spellStart"/>
      <w:r w:rsidRPr="00F16EC7">
        <w:rPr>
          <w:rFonts w:asciiTheme="majorHAnsi" w:hAnsiTheme="majorHAnsi" w:cstheme="majorHAnsi"/>
          <w:i/>
          <w:color w:val="000000" w:themeColor="text1"/>
          <w:lang w:val="en-GB"/>
        </w:rPr>
        <w:t>virginibus</w:t>
      </w:r>
      <w:proofErr w:type="spellEnd"/>
      <w:r w:rsidRPr="00F16EC7">
        <w:rPr>
          <w:rFonts w:asciiTheme="majorHAnsi" w:hAnsiTheme="majorHAnsi" w:cstheme="majorHAnsi"/>
          <w:color w:val="000000" w:themeColor="text1"/>
          <w:lang w:val="en-GB"/>
        </w:rPr>
        <w:t xml:space="preserve">, 2.3.20; Burrus, </w:t>
      </w:r>
      <w:proofErr w:type="gramStart"/>
      <w:r w:rsidRPr="00F16EC7">
        <w:rPr>
          <w:rFonts w:asciiTheme="majorHAnsi" w:hAnsiTheme="majorHAnsi" w:cstheme="majorHAnsi"/>
          <w:i/>
          <w:color w:val="000000" w:themeColor="text1"/>
          <w:lang w:val="en-GB"/>
        </w:rPr>
        <w:t>Begotten</w:t>
      </w:r>
      <w:proofErr w:type="gramEnd"/>
      <w:r w:rsidRPr="00F16EC7">
        <w:rPr>
          <w:rFonts w:asciiTheme="majorHAnsi" w:hAnsiTheme="majorHAnsi" w:cstheme="majorHAnsi"/>
          <w:i/>
          <w:color w:val="000000" w:themeColor="text1"/>
          <w:lang w:val="en-GB"/>
        </w:rPr>
        <w:t xml:space="preserve"> not Made</w:t>
      </w:r>
      <w:r w:rsidRPr="00F16EC7">
        <w:rPr>
          <w:rFonts w:asciiTheme="majorHAnsi" w:hAnsiTheme="majorHAnsi" w:cstheme="majorHAnsi"/>
          <w:color w:val="000000" w:themeColor="text1"/>
          <w:lang w:val="en-GB"/>
        </w:rPr>
        <w:t>, 140-51.</w:t>
      </w:r>
    </w:p>
  </w:footnote>
  <w:footnote w:id="40">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 xml:space="preserve">De </w:t>
      </w:r>
      <w:proofErr w:type="spellStart"/>
      <w:r w:rsidRPr="00F16EC7">
        <w:rPr>
          <w:rFonts w:asciiTheme="majorHAnsi" w:hAnsiTheme="majorHAnsi" w:cstheme="majorHAnsi"/>
          <w:i/>
          <w:color w:val="000000" w:themeColor="text1"/>
          <w:lang w:val="en-GB"/>
        </w:rPr>
        <w:t>virginibus</w:t>
      </w:r>
      <w:proofErr w:type="spellEnd"/>
      <w:r w:rsidRPr="00F16EC7">
        <w:rPr>
          <w:rFonts w:asciiTheme="majorHAnsi" w:hAnsiTheme="majorHAnsi" w:cstheme="majorHAnsi"/>
          <w:color w:val="000000" w:themeColor="text1"/>
          <w:lang w:val="en-GB"/>
        </w:rPr>
        <w:t>, 3.7.38.</w:t>
      </w:r>
    </w:p>
  </w:footnote>
  <w:footnote w:id="41">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w:t>
      </w:r>
      <w:r w:rsidRPr="00F16EC7">
        <w:rPr>
          <w:rFonts w:asciiTheme="majorHAnsi" w:eastAsia="SimSun" w:hAnsiTheme="majorHAnsi" w:cstheme="majorHAnsi"/>
          <w:color w:val="000000" w:themeColor="text1"/>
          <w:lang w:val="en-GB" w:eastAsia="es-ES"/>
        </w:rPr>
        <w:t>Cooper, 'Closely Watched Households’, 9-10.</w:t>
      </w:r>
    </w:p>
  </w:footnote>
  <w:footnote w:id="42">
    <w:p w:rsidR="002044A1" w:rsidRPr="00F16EC7" w:rsidRDefault="002044A1" w:rsidP="00A669E0">
      <w:pPr>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w:t>
      </w:r>
      <w:r w:rsidRPr="00F16EC7">
        <w:rPr>
          <w:rFonts w:asciiTheme="majorHAnsi" w:eastAsiaTheme="minorEastAsia" w:hAnsiTheme="majorHAnsi" w:cstheme="majorHAnsi"/>
          <w:color w:val="000000" w:themeColor="text1"/>
          <w:sz w:val="20"/>
          <w:szCs w:val="20"/>
        </w:rPr>
        <w:t xml:space="preserve">M. R. Salzman, 'Symmachus and his Father: Patriarchy and patrimony in the Late Roman Senatorial Elite', in R. </w:t>
      </w:r>
      <w:proofErr w:type="spellStart"/>
      <w:r w:rsidRPr="00F16EC7">
        <w:rPr>
          <w:rFonts w:asciiTheme="majorHAnsi" w:eastAsiaTheme="minorEastAsia" w:hAnsiTheme="majorHAnsi" w:cstheme="majorHAnsi"/>
          <w:color w:val="000000" w:themeColor="text1"/>
          <w:sz w:val="20"/>
          <w:szCs w:val="20"/>
        </w:rPr>
        <w:t>Lizzi</w:t>
      </w:r>
      <w:proofErr w:type="spellEnd"/>
      <w:r w:rsidRPr="00F16EC7">
        <w:rPr>
          <w:rFonts w:asciiTheme="majorHAnsi" w:eastAsiaTheme="minorEastAsia" w:hAnsiTheme="majorHAnsi" w:cstheme="majorHAnsi"/>
          <w:color w:val="000000" w:themeColor="text1"/>
          <w:sz w:val="20"/>
          <w:szCs w:val="20"/>
        </w:rPr>
        <w:t xml:space="preserve"> Testa (ed.), </w:t>
      </w:r>
      <w:r w:rsidRPr="00F16EC7">
        <w:rPr>
          <w:rFonts w:asciiTheme="majorHAnsi" w:eastAsiaTheme="minorEastAsia" w:hAnsiTheme="majorHAnsi" w:cstheme="majorHAnsi"/>
          <w:i/>
          <w:iCs/>
          <w:color w:val="000000" w:themeColor="text1"/>
          <w:sz w:val="20"/>
          <w:szCs w:val="20"/>
        </w:rPr>
        <w:t xml:space="preserve">Le </w:t>
      </w:r>
      <w:proofErr w:type="spellStart"/>
      <w:r w:rsidRPr="00F16EC7">
        <w:rPr>
          <w:rFonts w:asciiTheme="majorHAnsi" w:eastAsiaTheme="minorEastAsia" w:hAnsiTheme="majorHAnsi" w:cstheme="majorHAnsi"/>
          <w:i/>
          <w:iCs/>
          <w:color w:val="000000" w:themeColor="text1"/>
          <w:sz w:val="20"/>
          <w:szCs w:val="20"/>
        </w:rPr>
        <w:t>trasformazioni</w:t>
      </w:r>
      <w:proofErr w:type="spellEnd"/>
      <w:r w:rsidRPr="00F16EC7">
        <w:rPr>
          <w:rFonts w:asciiTheme="majorHAnsi" w:eastAsiaTheme="minorEastAsia" w:hAnsiTheme="majorHAnsi" w:cstheme="majorHAnsi"/>
          <w:i/>
          <w:iCs/>
          <w:color w:val="000000" w:themeColor="text1"/>
          <w:sz w:val="20"/>
          <w:szCs w:val="20"/>
        </w:rPr>
        <w:t xml:space="preserve"> </w:t>
      </w:r>
      <w:proofErr w:type="spellStart"/>
      <w:r w:rsidRPr="00F16EC7">
        <w:rPr>
          <w:rFonts w:asciiTheme="majorHAnsi" w:eastAsiaTheme="minorEastAsia" w:hAnsiTheme="majorHAnsi" w:cstheme="majorHAnsi"/>
          <w:i/>
          <w:iCs/>
          <w:color w:val="000000" w:themeColor="text1"/>
          <w:sz w:val="20"/>
          <w:szCs w:val="20"/>
        </w:rPr>
        <w:t>delle</w:t>
      </w:r>
      <w:proofErr w:type="spellEnd"/>
      <w:r w:rsidRPr="00F16EC7">
        <w:rPr>
          <w:rFonts w:asciiTheme="majorHAnsi" w:eastAsiaTheme="minorEastAsia" w:hAnsiTheme="majorHAnsi" w:cstheme="majorHAnsi"/>
          <w:i/>
          <w:iCs/>
          <w:color w:val="000000" w:themeColor="text1"/>
          <w:sz w:val="20"/>
          <w:szCs w:val="20"/>
        </w:rPr>
        <w:t xml:space="preserve"> "élites" in </w:t>
      </w:r>
      <w:proofErr w:type="spellStart"/>
      <w:r w:rsidRPr="00F16EC7">
        <w:rPr>
          <w:rFonts w:asciiTheme="majorHAnsi" w:eastAsiaTheme="minorEastAsia" w:hAnsiTheme="majorHAnsi" w:cstheme="majorHAnsi"/>
          <w:i/>
          <w:iCs/>
          <w:color w:val="000000" w:themeColor="text1"/>
          <w:sz w:val="20"/>
          <w:szCs w:val="20"/>
        </w:rPr>
        <w:t>età</w:t>
      </w:r>
      <w:proofErr w:type="spellEnd"/>
      <w:r w:rsidRPr="00F16EC7">
        <w:rPr>
          <w:rFonts w:asciiTheme="majorHAnsi" w:eastAsiaTheme="minorEastAsia" w:hAnsiTheme="majorHAnsi" w:cstheme="majorHAnsi"/>
          <w:i/>
          <w:iCs/>
          <w:color w:val="000000" w:themeColor="text1"/>
          <w:sz w:val="20"/>
          <w:szCs w:val="20"/>
        </w:rPr>
        <w:t xml:space="preserve"> </w:t>
      </w:r>
      <w:proofErr w:type="spellStart"/>
      <w:r w:rsidRPr="00F16EC7">
        <w:rPr>
          <w:rFonts w:asciiTheme="majorHAnsi" w:eastAsiaTheme="minorEastAsia" w:hAnsiTheme="majorHAnsi" w:cstheme="majorHAnsi"/>
          <w:i/>
          <w:iCs/>
          <w:color w:val="000000" w:themeColor="text1"/>
          <w:sz w:val="20"/>
          <w:szCs w:val="20"/>
        </w:rPr>
        <w:t>tardoantica</w:t>
      </w:r>
      <w:proofErr w:type="spellEnd"/>
      <w:r w:rsidRPr="00F16EC7">
        <w:rPr>
          <w:rFonts w:asciiTheme="majorHAnsi" w:eastAsiaTheme="minorEastAsia" w:hAnsiTheme="majorHAnsi" w:cstheme="majorHAnsi"/>
          <w:color w:val="000000" w:themeColor="text1"/>
          <w:sz w:val="20"/>
          <w:szCs w:val="20"/>
        </w:rPr>
        <w:t xml:space="preserve"> (Rome</w:t>
      </w:r>
      <w:r w:rsidRPr="00F16EC7">
        <w:rPr>
          <w:rFonts w:asciiTheme="majorHAnsi" w:hAnsiTheme="majorHAnsi" w:cstheme="majorHAnsi"/>
          <w:color w:val="000000" w:themeColor="text1"/>
          <w:sz w:val="20"/>
          <w:szCs w:val="20"/>
          <w:lang w:val="en-GB"/>
        </w:rPr>
        <w:t xml:space="preserve">: </w:t>
      </w:r>
      <w:proofErr w:type="spellStart"/>
      <w:r w:rsidRPr="00F16EC7">
        <w:rPr>
          <w:rFonts w:asciiTheme="majorHAnsi" w:hAnsiTheme="majorHAnsi" w:cstheme="majorHAnsi"/>
          <w:color w:val="000000" w:themeColor="text1"/>
          <w:sz w:val="20"/>
          <w:szCs w:val="20"/>
          <w:shd w:val="clear" w:color="auto" w:fill="FFFFFF"/>
          <w:lang w:val="en-GB"/>
        </w:rPr>
        <w:t>L'Erma</w:t>
      </w:r>
      <w:proofErr w:type="spellEnd"/>
      <w:r w:rsidRPr="00F16EC7">
        <w:rPr>
          <w:rFonts w:asciiTheme="majorHAnsi" w:hAnsiTheme="majorHAnsi" w:cstheme="majorHAnsi"/>
          <w:color w:val="000000" w:themeColor="text1"/>
          <w:sz w:val="20"/>
          <w:szCs w:val="20"/>
          <w:shd w:val="clear" w:color="auto" w:fill="FFFFFF"/>
          <w:lang w:val="en-GB"/>
        </w:rPr>
        <w:t xml:space="preserve"> di </w:t>
      </w:r>
      <w:proofErr w:type="spellStart"/>
      <w:r w:rsidRPr="00F16EC7">
        <w:rPr>
          <w:rFonts w:asciiTheme="majorHAnsi" w:hAnsiTheme="majorHAnsi" w:cstheme="majorHAnsi"/>
          <w:color w:val="000000" w:themeColor="text1"/>
          <w:sz w:val="20"/>
          <w:szCs w:val="20"/>
          <w:shd w:val="clear" w:color="auto" w:fill="FFFFFF"/>
          <w:lang w:val="en-GB"/>
        </w:rPr>
        <w:t>Bretschneider</w:t>
      </w:r>
      <w:proofErr w:type="spellEnd"/>
      <w:r w:rsidRPr="00F16EC7">
        <w:rPr>
          <w:rFonts w:asciiTheme="majorHAnsi" w:hAnsiTheme="majorHAnsi" w:cstheme="majorHAnsi"/>
          <w:color w:val="000000" w:themeColor="text1"/>
          <w:sz w:val="20"/>
          <w:szCs w:val="20"/>
          <w:lang w:val="en-GB"/>
        </w:rPr>
        <w:t>,</w:t>
      </w:r>
      <w:r w:rsidRPr="00F16EC7">
        <w:rPr>
          <w:rFonts w:asciiTheme="majorHAnsi" w:eastAsiaTheme="minorEastAsia" w:hAnsiTheme="majorHAnsi" w:cstheme="majorHAnsi"/>
          <w:color w:val="000000" w:themeColor="text1"/>
          <w:sz w:val="20"/>
          <w:szCs w:val="20"/>
        </w:rPr>
        <w:t xml:space="preserve"> 2006), 357-75; C. </w:t>
      </w:r>
      <w:proofErr w:type="spellStart"/>
      <w:r w:rsidRPr="00F16EC7">
        <w:rPr>
          <w:rFonts w:asciiTheme="majorHAnsi" w:eastAsiaTheme="minorEastAsia" w:hAnsiTheme="majorHAnsi" w:cstheme="majorHAnsi"/>
          <w:color w:val="000000" w:themeColor="text1"/>
          <w:sz w:val="20"/>
          <w:szCs w:val="20"/>
        </w:rPr>
        <w:t>Sogno</w:t>
      </w:r>
      <w:proofErr w:type="spellEnd"/>
      <w:r w:rsidRPr="00F16EC7">
        <w:rPr>
          <w:rFonts w:asciiTheme="majorHAnsi" w:eastAsiaTheme="minorEastAsia" w:hAnsiTheme="majorHAnsi" w:cstheme="majorHAnsi"/>
          <w:color w:val="000000" w:themeColor="text1"/>
          <w:sz w:val="20"/>
          <w:szCs w:val="20"/>
        </w:rPr>
        <w:t xml:space="preserve">, </w:t>
      </w:r>
      <w:r w:rsidRPr="00F16EC7">
        <w:rPr>
          <w:rFonts w:asciiTheme="majorHAnsi" w:eastAsiaTheme="minorEastAsia" w:hAnsiTheme="majorHAnsi" w:cstheme="majorHAnsi"/>
          <w:i/>
          <w:iCs/>
          <w:color w:val="000000" w:themeColor="text1"/>
          <w:sz w:val="20"/>
          <w:szCs w:val="20"/>
        </w:rPr>
        <w:t>Q. Aurelius Symmachus: a Political Biography</w:t>
      </w:r>
      <w:r w:rsidRPr="00F16EC7">
        <w:rPr>
          <w:rFonts w:asciiTheme="majorHAnsi" w:eastAsiaTheme="minorEastAsia" w:hAnsiTheme="majorHAnsi" w:cstheme="majorHAnsi"/>
          <w:color w:val="000000" w:themeColor="text1"/>
          <w:sz w:val="20"/>
          <w:szCs w:val="20"/>
        </w:rPr>
        <w:t xml:space="preserve"> (Ann Arbor, MI</w:t>
      </w:r>
      <w:r w:rsidRPr="00F16EC7">
        <w:rPr>
          <w:rFonts w:asciiTheme="majorHAnsi" w:hAnsiTheme="majorHAnsi" w:cstheme="majorHAnsi"/>
          <w:color w:val="000000" w:themeColor="text1"/>
          <w:sz w:val="20"/>
          <w:szCs w:val="20"/>
          <w:lang w:val="en-GB"/>
        </w:rPr>
        <w:t>: University of Michigan Press,</w:t>
      </w:r>
      <w:r w:rsidRPr="00F16EC7">
        <w:rPr>
          <w:rFonts w:asciiTheme="majorHAnsi" w:eastAsiaTheme="minorEastAsia" w:hAnsiTheme="majorHAnsi" w:cstheme="majorHAnsi"/>
          <w:color w:val="000000" w:themeColor="text1"/>
          <w:sz w:val="20"/>
          <w:szCs w:val="20"/>
        </w:rPr>
        <w:t xml:space="preserve"> 2006), 23-4; M. R. Salzman, 'Reflections on Symmachus´ idea of tradition', </w:t>
      </w:r>
      <w:r w:rsidRPr="00F16EC7">
        <w:rPr>
          <w:rFonts w:asciiTheme="majorHAnsi" w:eastAsiaTheme="minorEastAsia" w:hAnsiTheme="majorHAnsi" w:cstheme="majorHAnsi"/>
          <w:i/>
          <w:iCs/>
          <w:color w:val="000000" w:themeColor="text1"/>
          <w:sz w:val="20"/>
          <w:szCs w:val="20"/>
        </w:rPr>
        <w:t>Historia</w:t>
      </w:r>
      <w:r w:rsidRPr="00F16EC7">
        <w:rPr>
          <w:rFonts w:asciiTheme="majorHAnsi" w:eastAsiaTheme="minorEastAsia" w:hAnsiTheme="majorHAnsi" w:cstheme="majorHAnsi"/>
          <w:iCs/>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38 (1989), 348-64.</w:t>
      </w:r>
    </w:p>
  </w:footnote>
  <w:footnote w:id="43">
    <w:p w:rsidR="002044A1" w:rsidRPr="00F16EC7" w:rsidRDefault="002044A1" w:rsidP="00A669E0">
      <w:pPr>
        <w:pStyle w:val="FootnoteText"/>
        <w:spacing w:line="240" w:lineRule="auto"/>
        <w:jc w:val="both"/>
        <w:rPr>
          <w:rFonts w:asciiTheme="majorHAnsi" w:hAnsiTheme="majorHAnsi" w:cstheme="majorHAnsi"/>
          <w:color w:val="000000" w:themeColor="text1"/>
          <w:lang w:val="es-ES_tradnl"/>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s-ES_tradnl"/>
        </w:rPr>
        <w:t xml:space="preserve"> S. </w:t>
      </w:r>
      <w:proofErr w:type="spellStart"/>
      <w:r w:rsidRPr="00F16EC7">
        <w:rPr>
          <w:rFonts w:asciiTheme="majorHAnsi" w:hAnsiTheme="majorHAnsi" w:cstheme="majorHAnsi"/>
          <w:color w:val="000000" w:themeColor="text1"/>
          <w:lang w:val="es-ES_tradnl"/>
        </w:rPr>
        <w:t>Mazzarino</w:t>
      </w:r>
      <w:proofErr w:type="spellEnd"/>
      <w:r w:rsidRPr="00F16EC7">
        <w:rPr>
          <w:rFonts w:asciiTheme="majorHAnsi" w:hAnsiTheme="majorHAnsi" w:cstheme="majorHAnsi"/>
          <w:color w:val="000000" w:themeColor="text1"/>
          <w:lang w:val="es-ES_tradnl"/>
        </w:rPr>
        <w:t xml:space="preserve">, </w:t>
      </w:r>
      <w:proofErr w:type="spellStart"/>
      <w:r w:rsidRPr="00F16EC7">
        <w:rPr>
          <w:rFonts w:asciiTheme="majorHAnsi" w:hAnsiTheme="majorHAnsi" w:cstheme="majorHAnsi"/>
          <w:i/>
          <w:iCs/>
          <w:color w:val="000000" w:themeColor="text1"/>
          <w:lang w:val="es-ES_tradnl"/>
        </w:rPr>
        <w:t>Storia</w:t>
      </w:r>
      <w:proofErr w:type="spellEnd"/>
      <w:r w:rsidRPr="00F16EC7">
        <w:rPr>
          <w:rFonts w:asciiTheme="majorHAnsi" w:hAnsiTheme="majorHAnsi" w:cstheme="majorHAnsi"/>
          <w:i/>
          <w:iCs/>
          <w:color w:val="000000" w:themeColor="text1"/>
          <w:lang w:val="es-ES_tradnl"/>
        </w:rPr>
        <w:t xml:space="preserve"> </w:t>
      </w:r>
      <w:proofErr w:type="spellStart"/>
      <w:r w:rsidRPr="00F16EC7">
        <w:rPr>
          <w:rFonts w:asciiTheme="majorHAnsi" w:hAnsiTheme="majorHAnsi" w:cstheme="majorHAnsi"/>
          <w:i/>
          <w:iCs/>
          <w:color w:val="000000" w:themeColor="text1"/>
          <w:lang w:val="es-ES_tradnl"/>
        </w:rPr>
        <w:t>sociale</w:t>
      </w:r>
      <w:proofErr w:type="spellEnd"/>
      <w:r w:rsidRPr="00F16EC7">
        <w:rPr>
          <w:rFonts w:asciiTheme="majorHAnsi" w:hAnsiTheme="majorHAnsi" w:cstheme="majorHAnsi"/>
          <w:i/>
          <w:iCs/>
          <w:color w:val="000000" w:themeColor="text1"/>
          <w:lang w:val="es-ES_tradnl"/>
        </w:rPr>
        <w:t xml:space="preserve"> del </w:t>
      </w:r>
      <w:proofErr w:type="spellStart"/>
      <w:r w:rsidRPr="00F16EC7">
        <w:rPr>
          <w:rFonts w:asciiTheme="majorHAnsi" w:hAnsiTheme="majorHAnsi" w:cstheme="majorHAnsi"/>
          <w:i/>
          <w:iCs/>
          <w:color w:val="000000" w:themeColor="text1"/>
          <w:lang w:val="es-ES_tradnl"/>
        </w:rPr>
        <w:t>vescovo</w:t>
      </w:r>
      <w:proofErr w:type="spellEnd"/>
      <w:r w:rsidRPr="00F16EC7">
        <w:rPr>
          <w:rFonts w:asciiTheme="majorHAnsi" w:hAnsiTheme="majorHAnsi" w:cstheme="majorHAnsi"/>
          <w:i/>
          <w:iCs/>
          <w:color w:val="000000" w:themeColor="text1"/>
          <w:lang w:val="es-ES_tradnl"/>
        </w:rPr>
        <w:t xml:space="preserve"> </w:t>
      </w:r>
      <w:proofErr w:type="spellStart"/>
      <w:r w:rsidRPr="00F16EC7">
        <w:rPr>
          <w:rFonts w:asciiTheme="majorHAnsi" w:hAnsiTheme="majorHAnsi" w:cstheme="majorHAnsi"/>
          <w:i/>
          <w:iCs/>
          <w:color w:val="000000" w:themeColor="text1"/>
          <w:lang w:val="es-ES_tradnl"/>
        </w:rPr>
        <w:t>Ambrogio</w:t>
      </w:r>
      <w:proofErr w:type="spellEnd"/>
      <w:r w:rsidRPr="00F16EC7">
        <w:rPr>
          <w:rFonts w:asciiTheme="majorHAnsi" w:hAnsiTheme="majorHAnsi" w:cstheme="majorHAnsi"/>
          <w:color w:val="000000" w:themeColor="text1"/>
          <w:lang w:val="es-ES_tradnl"/>
        </w:rPr>
        <w:t xml:space="preserve"> (Rome</w:t>
      </w:r>
      <w:r w:rsidRPr="00F16EC7">
        <w:rPr>
          <w:rFonts w:asciiTheme="majorHAnsi" w:hAnsiTheme="majorHAnsi" w:cstheme="majorHAnsi"/>
          <w:color w:val="000000" w:themeColor="text1"/>
          <w:lang w:val="es-ES"/>
        </w:rPr>
        <w:t xml:space="preserve">: </w:t>
      </w:r>
      <w:proofErr w:type="spellStart"/>
      <w:r w:rsidRPr="00F16EC7">
        <w:rPr>
          <w:rFonts w:asciiTheme="majorHAnsi" w:hAnsiTheme="majorHAnsi" w:cstheme="majorHAnsi"/>
          <w:color w:val="000000" w:themeColor="text1"/>
          <w:shd w:val="clear" w:color="auto" w:fill="FFFFFF"/>
          <w:lang w:val="es-ES"/>
        </w:rPr>
        <w:t>L'Erma</w:t>
      </w:r>
      <w:proofErr w:type="spellEnd"/>
      <w:r w:rsidRPr="00F16EC7">
        <w:rPr>
          <w:rFonts w:asciiTheme="majorHAnsi" w:hAnsiTheme="majorHAnsi" w:cstheme="majorHAnsi"/>
          <w:color w:val="000000" w:themeColor="text1"/>
          <w:shd w:val="clear" w:color="auto" w:fill="FFFFFF"/>
          <w:lang w:val="es-ES"/>
        </w:rPr>
        <w:t xml:space="preserve"> di </w:t>
      </w:r>
      <w:proofErr w:type="spellStart"/>
      <w:r w:rsidRPr="00F16EC7">
        <w:rPr>
          <w:rFonts w:asciiTheme="majorHAnsi" w:hAnsiTheme="majorHAnsi" w:cstheme="majorHAnsi"/>
          <w:color w:val="000000" w:themeColor="text1"/>
          <w:shd w:val="clear" w:color="auto" w:fill="FFFFFF"/>
          <w:lang w:val="es-ES"/>
        </w:rPr>
        <w:t>Bretschneider</w:t>
      </w:r>
      <w:proofErr w:type="spellEnd"/>
      <w:r w:rsidRPr="00F16EC7">
        <w:rPr>
          <w:rFonts w:asciiTheme="majorHAnsi" w:hAnsiTheme="majorHAnsi" w:cstheme="majorHAnsi"/>
          <w:color w:val="000000" w:themeColor="text1"/>
          <w:lang w:val="es-ES_tradnl"/>
        </w:rPr>
        <w:t>, 1989), 10-12.</w:t>
      </w:r>
    </w:p>
  </w:footnote>
  <w:footnote w:id="44">
    <w:p w:rsidR="002044A1" w:rsidRPr="00F16EC7" w:rsidRDefault="002044A1" w:rsidP="00A669E0">
      <w:pPr>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lang w:val="es-ES_tradnl"/>
        </w:rPr>
        <w:t xml:space="preserve"> </w:t>
      </w:r>
      <w:proofErr w:type="spellStart"/>
      <w:r w:rsidRPr="00F16EC7">
        <w:rPr>
          <w:rFonts w:asciiTheme="majorHAnsi" w:hAnsiTheme="majorHAnsi" w:cstheme="majorHAnsi"/>
          <w:color w:val="000000" w:themeColor="text1"/>
          <w:sz w:val="20"/>
          <w:szCs w:val="20"/>
          <w:lang w:val="es-ES_tradnl"/>
        </w:rPr>
        <w:t>Ambrose</w:t>
      </w:r>
      <w:proofErr w:type="spellEnd"/>
      <w:r w:rsidRPr="00F16EC7">
        <w:rPr>
          <w:rFonts w:asciiTheme="majorHAnsi" w:hAnsiTheme="majorHAnsi" w:cstheme="majorHAnsi"/>
          <w:color w:val="000000" w:themeColor="text1"/>
          <w:sz w:val="20"/>
          <w:szCs w:val="20"/>
          <w:lang w:val="es-ES_tradnl"/>
        </w:rPr>
        <w:t xml:space="preserve">, </w:t>
      </w:r>
      <w:r w:rsidRPr="00F16EC7">
        <w:rPr>
          <w:rFonts w:asciiTheme="majorHAnsi" w:eastAsiaTheme="minorEastAsia" w:hAnsiTheme="majorHAnsi" w:cstheme="majorHAnsi"/>
          <w:i/>
          <w:color w:val="000000" w:themeColor="text1"/>
          <w:sz w:val="20"/>
          <w:szCs w:val="20"/>
          <w:lang w:val="es-ES_tradnl"/>
        </w:rPr>
        <w:t xml:space="preserve">De </w:t>
      </w:r>
      <w:proofErr w:type="spellStart"/>
      <w:r w:rsidRPr="00F16EC7">
        <w:rPr>
          <w:rFonts w:asciiTheme="majorHAnsi" w:eastAsiaTheme="minorEastAsia" w:hAnsiTheme="majorHAnsi" w:cstheme="majorHAnsi"/>
          <w:i/>
          <w:color w:val="000000" w:themeColor="text1"/>
          <w:sz w:val="20"/>
          <w:szCs w:val="20"/>
          <w:lang w:val="es-ES_tradnl"/>
        </w:rPr>
        <w:t>Obitu</w:t>
      </w:r>
      <w:proofErr w:type="spellEnd"/>
      <w:r w:rsidRPr="00F16EC7">
        <w:rPr>
          <w:rFonts w:asciiTheme="majorHAnsi" w:eastAsiaTheme="minorEastAsia" w:hAnsiTheme="majorHAnsi" w:cstheme="majorHAnsi"/>
          <w:i/>
          <w:color w:val="000000" w:themeColor="text1"/>
          <w:sz w:val="20"/>
          <w:szCs w:val="20"/>
          <w:lang w:val="es-ES_tradnl"/>
        </w:rPr>
        <w:t xml:space="preserve"> </w:t>
      </w:r>
      <w:proofErr w:type="spellStart"/>
      <w:r w:rsidRPr="00F16EC7">
        <w:rPr>
          <w:rFonts w:asciiTheme="majorHAnsi" w:eastAsiaTheme="minorEastAsia" w:hAnsiTheme="majorHAnsi" w:cstheme="majorHAnsi"/>
          <w:i/>
          <w:color w:val="000000" w:themeColor="text1"/>
          <w:sz w:val="20"/>
          <w:szCs w:val="20"/>
          <w:lang w:val="es-ES_tradnl"/>
        </w:rPr>
        <w:t>Valentiniani</w:t>
      </w:r>
      <w:proofErr w:type="spellEnd"/>
      <w:r w:rsidRPr="00F16EC7">
        <w:rPr>
          <w:rFonts w:asciiTheme="majorHAnsi" w:eastAsiaTheme="minorEastAsia" w:hAnsiTheme="majorHAnsi" w:cstheme="majorHAnsi"/>
          <w:color w:val="000000" w:themeColor="text1"/>
          <w:sz w:val="20"/>
          <w:szCs w:val="20"/>
          <w:lang w:val="es-ES_tradnl"/>
        </w:rPr>
        <w:t xml:space="preserve">, O. </w:t>
      </w:r>
      <w:proofErr w:type="spellStart"/>
      <w:r w:rsidRPr="00F16EC7">
        <w:rPr>
          <w:rFonts w:asciiTheme="majorHAnsi" w:eastAsiaTheme="minorEastAsia" w:hAnsiTheme="majorHAnsi" w:cstheme="majorHAnsi"/>
          <w:color w:val="000000" w:themeColor="text1"/>
          <w:sz w:val="20"/>
          <w:szCs w:val="20"/>
          <w:lang w:val="es-ES_tradnl"/>
        </w:rPr>
        <w:t>Faller</w:t>
      </w:r>
      <w:proofErr w:type="spellEnd"/>
      <w:r w:rsidRPr="00F16EC7">
        <w:rPr>
          <w:rFonts w:asciiTheme="majorHAnsi" w:eastAsiaTheme="minorEastAsia" w:hAnsiTheme="majorHAnsi" w:cstheme="majorHAnsi"/>
          <w:color w:val="000000" w:themeColor="text1"/>
          <w:sz w:val="20"/>
          <w:szCs w:val="20"/>
          <w:lang w:val="es-ES_tradnl"/>
        </w:rPr>
        <w:t xml:space="preserve"> (ed.), </w:t>
      </w:r>
      <w:proofErr w:type="spellStart"/>
      <w:r w:rsidR="00F30767" w:rsidRPr="00F16EC7">
        <w:rPr>
          <w:rFonts w:asciiTheme="majorHAnsi" w:eastAsiaTheme="minorEastAsia" w:hAnsiTheme="majorHAnsi" w:cstheme="majorHAnsi"/>
          <w:i/>
          <w:color w:val="000000" w:themeColor="text1"/>
          <w:sz w:val="20"/>
          <w:szCs w:val="20"/>
          <w:lang w:val="es-ES_tradnl"/>
        </w:rPr>
        <w:t>Ambrosius</w:t>
      </w:r>
      <w:proofErr w:type="spellEnd"/>
      <w:r w:rsidR="00F30767" w:rsidRPr="00F16EC7">
        <w:rPr>
          <w:rFonts w:asciiTheme="majorHAnsi" w:eastAsiaTheme="minorEastAsia" w:hAnsiTheme="majorHAnsi" w:cstheme="majorHAnsi"/>
          <w:color w:val="000000" w:themeColor="text1"/>
          <w:sz w:val="20"/>
          <w:szCs w:val="20"/>
          <w:lang w:val="es-ES_tradnl"/>
        </w:rPr>
        <w:t xml:space="preserve">, </w:t>
      </w:r>
      <w:r w:rsidRPr="00F16EC7">
        <w:rPr>
          <w:rFonts w:asciiTheme="majorHAnsi" w:eastAsiaTheme="minorEastAsia" w:hAnsiTheme="majorHAnsi" w:cstheme="majorHAnsi"/>
          <w:color w:val="000000" w:themeColor="text1"/>
          <w:sz w:val="20"/>
          <w:szCs w:val="20"/>
          <w:lang w:val="es-ES_tradnl"/>
        </w:rPr>
        <w:t>CSEL 73 (</w:t>
      </w:r>
      <w:proofErr w:type="spellStart"/>
      <w:r w:rsidR="00F30767" w:rsidRPr="00F16EC7">
        <w:rPr>
          <w:rFonts w:asciiTheme="majorHAnsi" w:eastAsiaTheme="minorEastAsia" w:hAnsiTheme="majorHAnsi" w:cstheme="majorHAnsi"/>
          <w:color w:val="000000" w:themeColor="text1"/>
          <w:sz w:val="20"/>
          <w:szCs w:val="20"/>
          <w:lang w:val="es-ES_tradnl"/>
        </w:rPr>
        <w:t>Vienna</w:t>
      </w:r>
      <w:proofErr w:type="spellEnd"/>
      <w:r w:rsidRPr="00F16EC7">
        <w:rPr>
          <w:rFonts w:asciiTheme="majorHAnsi" w:eastAsiaTheme="minorEastAsia" w:hAnsiTheme="majorHAnsi" w:cstheme="majorHAnsi"/>
          <w:color w:val="000000" w:themeColor="text1"/>
          <w:sz w:val="20"/>
          <w:szCs w:val="20"/>
          <w:lang w:val="es-ES_tradnl"/>
        </w:rPr>
        <w:t xml:space="preserve">: </w:t>
      </w:r>
      <w:proofErr w:type="spellStart"/>
      <w:r w:rsidR="00F30767" w:rsidRPr="00F16EC7">
        <w:rPr>
          <w:rFonts w:asciiTheme="majorHAnsi" w:eastAsiaTheme="minorEastAsia" w:hAnsiTheme="majorHAnsi" w:cstheme="majorHAnsi"/>
          <w:color w:val="000000" w:themeColor="text1"/>
          <w:sz w:val="20"/>
          <w:szCs w:val="20"/>
          <w:lang w:val="es-ES_tradnl"/>
        </w:rPr>
        <w:t>OeAW</w:t>
      </w:r>
      <w:proofErr w:type="spellEnd"/>
      <w:r w:rsidRPr="00F16EC7">
        <w:rPr>
          <w:rFonts w:asciiTheme="majorHAnsi" w:eastAsiaTheme="minorEastAsia" w:hAnsiTheme="majorHAnsi" w:cstheme="majorHAnsi"/>
          <w:color w:val="000000" w:themeColor="text1"/>
          <w:sz w:val="20"/>
          <w:szCs w:val="20"/>
          <w:lang w:val="es-ES_tradnl"/>
        </w:rPr>
        <w:t xml:space="preserve">, 1955), 327-367; </w:t>
      </w:r>
      <w:proofErr w:type="spellStart"/>
      <w:r w:rsidRPr="00F16EC7">
        <w:rPr>
          <w:rFonts w:asciiTheme="majorHAnsi" w:eastAsiaTheme="minorEastAsia" w:hAnsiTheme="majorHAnsi" w:cstheme="majorHAnsi"/>
          <w:color w:val="000000" w:themeColor="text1"/>
          <w:sz w:val="20"/>
          <w:szCs w:val="20"/>
          <w:lang w:val="es-ES_tradnl"/>
        </w:rPr>
        <w:t>Ambrose</w:t>
      </w:r>
      <w:proofErr w:type="spellEnd"/>
      <w:r w:rsidRPr="00F16EC7">
        <w:rPr>
          <w:rFonts w:asciiTheme="majorHAnsi" w:eastAsiaTheme="minorEastAsia" w:hAnsiTheme="majorHAnsi" w:cstheme="majorHAnsi"/>
          <w:color w:val="000000" w:themeColor="text1"/>
          <w:sz w:val="20"/>
          <w:szCs w:val="20"/>
          <w:lang w:val="es-ES_tradnl"/>
        </w:rPr>
        <w:t xml:space="preserve">, </w:t>
      </w:r>
      <w:r w:rsidRPr="00F16EC7">
        <w:rPr>
          <w:rFonts w:asciiTheme="majorHAnsi" w:eastAsiaTheme="minorEastAsia" w:hAnsiTheme="majorHAnsi" w:cstheme="majorHAnsi"/>
          <w:i/>
          <w:color w:val="000000" w:themeColor="text1"/>
          <w:sz w:val="20"/>
          <w:szCs w:val="20"/>
          <w:lang w:val="es-ES_tradnl"/>
        </w:rPr>
        <w:t xml:space="preserve">De </w:t>
      </w:r>
      <w:proofErr w:type="spellStart"/>
      <w:r w:rsidRPr="00F16EC7">
        <w:rPr>
          <w:rFonts w:asciiTheme="majorHAnsi" w:eastAsiaTheme="minorEastAsia" w:hAnsiTheme="majorHAnsi" w:cstheme="majorHAnsi"/>
          <w:i/>
          <w:color w:val="000000" w:themeColor="text1"/>
          <w:sz w:val="20"/>
          <w:szCs w:val="20"/>
          <w:lang w:val="es-ES_tradnl"/>
        </w:rPr>
        <w:t>Obitu</w:t>
      </w:r>
      <w:proofErr w:type="spellEnd"/>
      <w:r w:rsidRPr="00F16EC7">
        <w:rPr>
          <w:rFonts w:asciiTheme="majorHAnsi" w:eastAsiaTheme="minorEastAsia" w:hAnsiTheme="majorHAnsi" w:cstheme="majorHAnsi"/>
          <w:i/>
          <w:color w:val="000000" w:themeColor="text1"/>
          <w:sz w:val="20"/>
          <w:szCs w:val="20"/>
          <w:lang w:val="es-ES_tradnl"/>
        </w:rPr>
        <w:t xml:space="preserve"> </w:t>
      </w:r>
      <w:proofErr w:type="spellStart"/>
      <w:r w:rsidRPr="00F16EC7">
        <w:rPr>
          <w:rFonts w:asciiTheme="majorHAnsi" w:eastAsiaTheme="minorEastAsia" w:hAnsiTheme="majorHAnsi" w:cstheme="majorHAnsi"/>
          <w:i/>
          <w:color w:val="000000" w:themeColor="text1"/>
          <w:sz w:val="20"/>
          <w:szCs w:val="20"/>
          <w:lang w:val="es-ES_tradnl"/>
        </w:rPr>
        <w:t>Theodosii</w:t>
      </w:r>
      <w:proofErr w:type="spellEnd"/>
      <w:r w:rsidRPr="00F16EC7">
        <w:rPr>
          <w:rFonts w:asciiTheme="majorHAnsi" w:eastAsiaTheme="minorEastAsia" w:hAnsiTheme="majorHAnsi" w:cstheme="majorHAnsi"/>
          <w:color w:val="000000" w:themeColor="text1"/>
          <w:sz w:val="20"/>
          <w:szCs w:val="20"/>
          <w:lang w:val="es-ES_tradnl"/>
        </w:rPr>
        <w:t xml:space="preserve">, O. </w:t>
      </w:r>
      <w:proofErr w:type="spellStart"/>
      <w:r w:rsidRPr="00F16EC7">
        <w:rPr>
          <w:rFonts w:asciiTheme="majorHAnsi" w:eastAsiaTheme="minorEastAsia" w:hAnsiTheme="majorHAnsi" w:cstheme="majorHAnsi"/>
          <w:color w:val="000000" w:themeColor="text1"/>
          <w:sz w:val="20"/>
          <w:szCs w:val="20"/>
          <w:lang w:val="es-ES_tradnl"/>
        </w:rPr>
        <w:t>Faller</w:t>
      </w:r>
      <w:proofErr w:type="spellEnd"/>
      <w:r w:rsidRPr="00F16EC7">
        <w:rPr>
          <w:rFonts w:asciiTheme="majorHAnsi" w:eastAsiaTheme="minorEastAsia" w:hAnsiTheme="majorHAnsi" w:cstheme="majorHAnsi"/>
          <w:color w:val="000000" w:themeColor="text1"/>
          <w:sz w:val="20"/>
          <w:szCs w:val="20"/>
          <w:lang w:val="es-ES_tradnl"/>
        </w:rPr>
        <w:t xml:space="preserve"> (ed.), </w:t>
      </w:r>
      <w:proofErr w:type="spellStart"/>
      <w:r w:rsidR="00F30767" w:rsidRPr="00F16EC7">
        <w:rPr>
          <w:rFonts w:asciiTheme="majorHAnsi" w:eastAsiaTheme="minorEastAsia" w:hAnsiTheme="majorHAnsi" w:cstheme="majorHAnsi"/>
          <w:i/>
          <w:color w:val="000000" w:themeColor="text1"/>
          <w:sz w:val="20"/>
          <w:szCs w:val="20"/>
          <w:lang w:val="es-ES_tradnl"/>
        </w:rPr>
        <w:t>Ambrosius</w:t>
      </w:r>
      <w:proofErr w:type="spellEnd"/>
      <w:r w:rsidR="00F30767" w:rsidRPr="00F16EC7">
        <w:rPr>
          <w:rFonts w:asciiTheme="majorHAnsi" w:eastAsiaTheme="minorEastAsia" w:hAnsiTheme="majorHAnsi" w:cstheme="majorHAnsi"/>
          <w:color w:val="000000" w:themeColor="text1"/>
          <w:sz w:val="20"/>
          <w:szCs w:val="20"/>
          <w:lang w:val="es-ES_tradnl"/>
        </w:rPr>
        <w:t xml:space="preserve">, </w:t>
      </w:r>
      <w:r w:rsidRPr="00F16EC7">
        <w:rPr>
          <w:rFonts w:asciiTheme="majorHAnsi" w:eastAsiaTheme="minorEastAsia" w:hAnsiTheme="majorHAnsi" w:cstheme="majorHAnsi"/>
          <w:color w:val="000000" w:themeColor="text1"/>
          <w:sz w:val="20"/>
          <w:szCs w:val="20"/>
          <w:lang w:val="es-ES_tradnl"/>
        </w:rPr>
        <w:t>CSEL 73 (</w:t>
      </w:r>
      <w:proofErr w:type="spellStart"/>
      <w:r w:rsidR="00F30767" w:rsidRPr="00F16EC7">
        <w:rPr>
          <w:rFonts w:asciiTheme="majorHAnsi" w:eastAsiaTheme="minorEastAsia" w:hAnsiTheme="majorHAnsi" w:cstheme="majorHAnsi"/>
          <w:color w:val="000000" w:themeColor="text1"/>
          <w:sz w:val="20"/>
          <w:szCs w:val="20"/>
          <w:lang w:val="es-ES_tradnl"/>
        </w:rPr>
        <w:t>Vienna</w:t>
      </w:r>
      <w:proofErr w:type="spellEnd"/>
      <w:r w:rsidR="00F30767" w:rsidRPr="00F16EC7">
        <w:rPr>
          <w:rFonts w:asciiTheme="majorHAnsi" w:eastAsiaTheme="minorEastAsia" w:hAnsiTheme="majorHAnsi" w:cstheme="majorHAnsi"/>
          <w:color w:val="000000" w:themeColor="text1"/>
          <w:sz w:val="20"/>
          <w:szCs w:val="20"/>
          <w:lang w:val="es-ES_tradnl"/>
        </w:rPr>
        <w:t xml:space="preserve">: </w:t>
      </w:r>
      <w:proofErr w:type="spellStart"/>
      <w:r w:rsidR="00F30767" w:rsidRPr="00F16EC7">
        <w:rPr>
          <w:rFonts w:asciiTheme="majorHAnsi" w:eastAsiaTheme="minorEastAsia" w:hAnsiTheme="majorHAnsi" w:cstheme="majorHAnsi"/>
          <w:color w:val="000000" w:themeColor="text1"/>
          <w:sz w:val="20"/>
          <w:szCs w:val="20"/>
          <w:lang w:val="es-ES_tradnl"/>
        </w:rPr>
        <w:t>OeAW</w:t>
      </w:r>
      <w:proofErr w:type="spellEnd"/>
      <w:r w:rsidR="00F30767" w:rsidRPr="00F16EC7">
        <w:rPr>
          <w:rFonts w:asciiTheme="majorHAnsi" w:eastAsiaTheme="minorEastAsia" w:hAnsiTheme="majorHAnsi" w:cstheme="majorHAnsi"/>
          <w:color w:val="000000" w:themeColor="text1"/>
          <w:sz w:val="20"/>
          <w:szCs w:val="20"/>
          <w:lang w:val="es-ES_tradnl"/>
        </w:rPr>
        <w:t xml:space="preserve">, </w:t>
      </w:r>
      <w:r w:rsidRPr="00F16EC7">
        <w:rPr>
          <w:rFonts w:asciiTheme="majorHAnsi" w:eastAsiaTheme="minorEastAsia" w:hAnsiTheme="majorHAnsi" w:cstheme="majorHAnsi"/>
          <w:color w:val="000000" w:themeColor="text1"/>
          <w:sz w:val="20"/>
          <w:szCs w:val="20"/>
          <w:lang w:val="es-ES_tradnl"/>
        </w:rPr>
        <w:t xml:space="preserve">1955), 369-401; </w:t>
      </w:r>
      <w:r w:rsidRPr="00F16EC7">
        <w:rPr>
          <w:rFonts w:asciiTheme="majorHAnsi" w:hAnsiTheme="majorHAnsi" w:cstheme="majorHAnsi"/>
          <w:i/>
          <w:color w:val="000000" w:themeColor="text1"/>
          <w:sz w:val="20"/>
          <w:szCs w:val="20"/>
          <w:lang w:val="es-ES_tradnl"/>
        </w:rPr>
        <w:t xml:space="preserve">Acta </w:t>
      </w:r>
      <w:proofErr w:type="spellStart"/>
      <w:r w:rsidRPr="00F16EC7">
        <w:rPr>
          <w:rFonts w:asciiTheme="majorHAnsi" w:hAnsiTheme="majorHAnsi" w:cstheme="majorHAnsi"/>
          <w:i/>
          <w:color w:val="000000" w:themeColor="text1"/>
          <w:sz w:val="20"/>
          <w:szCs w:val="20"/>
          <w:lang w:val="es-ES_tradnl"/>
        </w:rPr>
        <w:t>Conc</w:t>
      </w:r>
      <w:proofErr w:type="spellEnd"/>
      <w:r w:rsidRPr="00F16EC7">
        <w:rPr>
          <w:rFonts w:asciiTheme="majorHAnsi" w:hAnsiTheme="majorHAnsi" w:cstheme="majorHAnsi"/>
          <w:i/>
          <w:color w:val="000000" w:themeColor="text1"/>
          <w:sz w:val="20"/>
          <w:szCs w:val="20"/>
          <w:lang w:val="es-ES_tradnl"/>
        </w:rPr>
        <w:t xml:space="preserve">. </w:t>
      </w:r>
      <w:proofErr w:type="spellStart"/>
      <w:r w:rsidRPr="00F16EC7">
        <w:rPr>
          <w:rFonts w:asciiTheme="majorHAnsi" w:hAnsiTheme="majorHAnsi" w:cstheme="majorHAnsi"/>
          <w:i/>
          <w:color w:val="000000" w:themeColor="text1"/>
          <w:sz w:val="20"/>
          <w:szCs w:val="20"/>
        </w:rPr>
        <w:t>Taur</w:t>
      </w:r>
      <w:proofErr w:type="spellEnd"/>
      <w:r w:rsidRPr="00F16EC7">
        <w:rPr>
          <w:rFonts w:asciiTheme="majorHAnsi" w:hAnsiTheme="majorHAnsi" w:cstheme="majorHAnsi"/>
          <w:i/>
          <w:color w:val="000000" w:themeColor="text1"/>
          <w:sz w:val="20"/>
          <w:szCs w:val="20"/>
        </w:rPr>
        <w:t>.</w:t>
      </w:r>
      <w:r w:rsidRPr="00F16EC7">
        <w:rPr>
          <w:rFonts w:asciiTheme="majorHAnsi" w:hAnsiTheme="majorHAnsi" w:cstheme="majorHAnsi"/>
          <w:color w:val="000000" w:themeColor="text1"/>
          <w:sz w:val="20"/>
          <w:szCs w:val="20"/>
        </w:rPr>
        <w:t xml:space="preserve"> 6, </w:t>
      </w:r>
      <w:r w:rsidR="00A669E0" w:rsidRPr="00F16EC7">
        <w:rPr>
          <w:rFonts w:asciiTheme="majorHAnsi" w:hAnsiTheme="majorHAnsi" w:cstheme="majorHAnsi"/>
          <w:color w:val="000000" w:themeColor="text1"/>
          <w:sz w:val="20"/>
          <w:szCs w:val="20"/>
          <w:shd w:val="clear" w:color="auto" w:fill="FFFFFF"/>
          <w:lang w:val="en-GB"/>
        </w:rPr>
        <w:t xml:space="preserve">C. Munier (ed.), </w:t>
      </w:r>
      <w:proofErr w:type="spellStart"/>
      <w:r w:rsidR="00A669E0" w:rsidRPr="00F16EC7">
        <w:rPr>
          <w:rFonts w:asciiTheme="majorHAnsi" w:hAnsiTheme="majorHAnsi" w:cstheme="majorHAnsi"/>
          <w:i/>
          <w:color w:val="000000" w:themeColor="text1"/>
          <w:sz w:val="20"/>
          <w:szCs w:val="20"/>
          <w:shd w:val="clear" w:color="auto" w:fill="FFFFFF"/>
          <w:lang w:val="en-GB"/>
        </w:rPr>
        <w:t>Concilia</w:t>
      </w:r>
      <w:proofErr w:type="spellEnd"/>
      <w:r w:rsidR="00A669E0" w:rsidRPr="00F16EC7">
        <w:rPr>
          <w:rFonts w:asciiTheme="majorHAnsi" w:hAnsiTheme="majorHAnsi" w:cstheme="majorHAnsi"/>
          <w:i/>
          <w:color w:val="000000" w:themeColor="text1"/>
          <w:sz w:val="20"/>
          <w:szCs w:val="20"/>
          <w:shd w:val="clear" w:color="auto" w:fill="FFFFFF"/>
          <w:lang w:val="en-GB"/>
        </w:rPr>
        <w:t xml:space="preserve"> </w:t>
      </w:r>
      <w:proofErr w:type="spellStart"/>
      <w:r w:rsidR="00A669E0" w:rsidRPr="00F16EC7">
        <w:rPr>
          <w:rFonts w:asciiTheme="majorHAnsi" w:hAnsiTheme="majorHAnsi" w:cstheme="majorHAnsi"/>
          <w:i/>
          <w:color w:val="000000" w:themeColor="text1"/>
          <w:sz w:val="20"/>
          <w:szCs w:val="20"/>
          <w:shd w:val="clear" w:color="auto" w:fill="FFFFFF"/>
          <w:lang w:val="en-GB"/>
        </w:rPr>
        <w:t>Galliae</w:t>
      </w:r>
      <w:proofErr w:type="spellEnd"/>
      <w:r w:rsidR="00A669E0" w:rsidRPr="00F16EC7">
        <w:rPr>
          <w:rFonts w:asciiTheme="majorHAnsi" w:hAnsiTheme="majorHAnsi" w:cstheme="majorHAnsi"/>
          <w:i/>
          <w:color w:val="000000" w:themeColor="text1"/>
          <w:sz w:val="20"/>
          <w:szCs w:val="20"/>
          <w:shd w:val="clear" w:color="auto" w:fill="FFFFFF"/>
          <w:lang w:val="en-GB"/>
        </w:rPr>
        <w:t xml:space="preserve"> a. 314-506</w:t>
      </w:r>
      <w:r w:rsidR="00A669E0" w:rsidRPr="00F16EC7">
        <w:rPr>
          <w:rFonts w:asciiTheme="majorHAnsi" w:hAnsiTheme="majorHAnsi" w:cstheme="majorHAnsi"/>
          <w:color w:val="000000" w:themeColor="text1"/>
          <w:sz w:val="20"/>
          <w:szCs w:val="20"/>
          <w:shd w:val="clear" w:color="auto" w:fill="FFFFFF"/>
          <w:lang w:val="en-GB"/>
        </w:rPr>
        <w:t xml:space="preserve">, </w:t>
      </w:r>
      <w:r w:rsidRPr="00F16EC7">
        <w:rPr>
          <w:rFonts w:asciiTheme="majorHAnsi" w:hAnsiTheme="majorHAnsi" w:cstheme="majorHAnsi"/>
          <w:color w:val="000000" w:themeColor="text1"/>
          <w:sz w:val="20"/>
          <w:szCs w:val="20"/>
        </w:rPr>
        <w:t>CCSL 148, 57-8</w:t>
      </w:r>
      <w:r w:rsidR="00A669E0" w:rsidRPr="00F16EC7">
        <w:rPr>
          <w:rFonts w:asciiTheme="majorHAnsi" w:hAnsiTheme="majorHAnsi" w:cstheme="majorHAnsi"/>
          <w:color w:val="000000" w:themeColor="text1"/>
          <w:sz w:val="20"/>
          <w:szCs w:val="20"/>
        </w:rPr>
        <w:t xml:space="preserve"> (Turnhout: </w:t>
      </w:r>
      <w:proofErr w:type="spellStart"/>
      <w:r w:rsidR="00A669E0" w:rsidRPr="00F16EC7">
        <w:rPr>
          <w:rFonts w:asciiTheme="majorHAnsi" w:hAnsiTheme="majorHAnsi" w:cstheme="majorHAnsi"/>
          <w:color w:val="000000" w:themeColor="text1"/>
          <w:sz w:val="20"/>
          <w:szCs w:val="20"/>
        </w:rPr>
        <w:t>Brepols</w:t>
      </w:r>
      <w:proofErr w:type="spellEnd"/>
      <w:r w:rsidR="00A669E0" w:rsidRPr="00F16EC7">
        <w:rPr>
          <w:rFonts w:asciiTheme="majorHAnsi" w:hAnsiTheme="majorHAnsi" w:cstheme="majorHAnsi"/>
          <w:color w:val="000000" w:themeColor="text1"/>
          <w:sz w:val="20"/>
          <w:szCs w:val="20"/>
        </w:rPr>
        <w:t>, 1963)</w:t>
      </w:r>
      <w:r w:rsidRPr="00F16EC7">
        <w:rPr>
          <w:rFonts w:asciiTheme="majorHAnsi" w:hAnsiTheme="majorHAnsi" w:cstheme="majorHAnsi"/>
          <w:color w:val="000000" w:themeColor="text1"/>
          <w:sz w:val="20"/>
          <w:szCs w:val="20"/>
        </w:rPr>
        <w:t>.</w:t>
      </w:r>
    </w:p>
  </w:footnote>
  <w:footnote w:id="45">
    <w:p w:rsidR="002044A1" w:rsidRPr="00F16EC7" w:rsidRDefault="002044A1" w:rsidP="00A669E0">
      <w:pPr>
        <w:widowControl w:val="0"/>
        <w:autoSpaceDE w:val="0"/>
        <w:autoSpaceDN w:val="0"/>
        <w:adjustRightInd w:val="0"/>
        <w:jc w:val="both"/>
        <w:rPr>
          <w:rFonts w:asciiTheme="majorHAnsi" w:eastAsiaTheme="minorEastAsia" w:hAnsiTheme="majorHAnsi" w:cstheme="majorHAnsi"/>
          <w:color w:val="000000" w:themeColor="text1"/>
          <w:sz w:val="20"/>
          <w:szCs w:val="20"/>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rPr>
        <w:t xml:space="preserve"> Ambrose, </w:t>
      </w:r>
      <w:r w:rsidRPr="00F16EC7">
        <w:rPr>
          <w:rFonts w:asciiTheme="majorHAnsi" w:hAnsiTheme="majorHAnsi" w:cstheme="majorHAnsi"/>
          <w:i/>
          <w:color w:val="000000" w:themeColor="text1"/>
          <w:sz w:val="20"/>
          <w:szCs w:val="20"/>
        </w:rPr>
        <w:t>Ep. extra coll.</w:t>
      </w:r>
      <w:r w:rsidRPr="00F16EC7">
        <w:rPr>
          <w:rFonts w:asciiTheme="majorHAnsi" w:hAnsiTheme="majorHAnsi" w:cstheme="majorHAnsi"/>
          <w:color w:val="000000" w:themeColor="text1"/>
          <w:sz w:val="20"/>
          <w:szCs w:val="20"/>
        </w:rPr>
        <w:t xml:space="preserve"> 10.1; </w:t>
      </w:r>
      <w:r w:rsidRPr="00F16EC7">
        <w:rPr>
          <w:rFonts w:asciiTheme="majorHAnsi" w:eastAsiaTheme="minorEastAsia" w:hAnsiTheme="majorHAnsi" w:cstheme="majorHAnsi"/>
          <w:color w:val="000000" w:themeColor="text1"/>
          <w:sz w:val="20"/>
          <w:szCs w:val="20"/>
        </w:rPr>
        <w:t xml:space="preserve">M. R. Salzman, 'Ambrose and the Usurpation of </w:t>
      </w:r>
      <w:proofErr w:type="spellStart"/>
      <w:r w:rsidRPr="00F16EC7">
        <w:rPr>
          <w:rFonts w:asciiTheme="majorHAnsi" w:eastAsiaTheme="minorEastAsia" w:hAnsiTheme="majorHAnsi" w:cstheme="majorHAnsi"/>
          <w:color w:val="000000" w:themeColor="text1"/>
          <w:sz w:val="20"/>
          <w:szCs w:val="20"/>
        </w:rPr>
        <w:t>Arbogastes</w:t>
      </w:r>
      <w:proofErr w:type="spellEnd"/>
      <w:r w:rsidRPr="00F16EC7">
        <w:rPr>
          <w:rFonts w:asciiTheme="majorHAnsi" w:eastAsiaTheme="minorEastAsia" w:hAnsiTheme="majorHAnsi" w:cstheme="majorHAnsi"/>
          <w:color w:val="000000" w:themeColor="text1"/>
          <w:sz w:val="20"/>
          <w:szCs w:val="20"/>
        </w:rPr>
        <w:t xml:space="preserve"> and Eugenius: Reflections on Pagan-Christian Conflict Narratives', </w:t>
      </w:r>
      <w:r w:rsidRPr="00F16EC7">
        <w:rPr>
          <w:rFonts w:asciiTheme="majorHAnsi" w:eastAsiaTheme="minorEastAsia" w:hAnsiTheme="majorHAnsi" w:cstheme="majorHAnsi"/>
          <w:i/>
          <w:iCs/>
          <w:color w:val="000000" w:themeColor="text1"/>
          <w:sz w:val="20"/>
          <w:szCs w:val="20"/>
        </w:rPr>
        <w:t>Journal of Early Christian Studies</w:t>
      </w:r>
      <w:r w:rsidRPr="00F16EC7">
        <w:rPr>
          <w:rFonts w:asciiTheme="majorHAnsi" w:eastAsiaTheme="minorEastAsia" w:hAnsiTheme="majorHAnsi" w:cstheme="majorHAnsi"/>
          <w:iCs/>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 xml:space="preserve">18 (2010), 191-223; </w:t>
      </w:r>
      <w:proofErr w:type="spellStart"/>
      <w:r w:rsidRPr="00F16EC7">
        <w:rPr>
          <w:rFonts w:asciiTheme="majorHAnsi" w:eastAsiaTheme="minorEastAsia" w:hAnsiTheme="majorHAnsi" w:cstheme="majorHAnsi"/>
          <w:color w:val="000000" w:themeColor="text1"/>
          <w:sz w:val="20"/>
          <w:szCs w:val="20"/>
        </w:rPr>
        <w:t>McLynn</w:t>
      </w:r>
      <w:proofErr w:type="spellEnd"/>
      <w:r w:rsidRPr="00F16EC7">
        <w:rPr>
          <w:rFonts w:asciiTheme="majorHAnsi" w:eastAsiaTheme="minorEastAsia" w:hAnsiTheme="majorHAnsi" w:cstheme="majorHAnsi"/>
          <w:color w:val="000000" w:themeColor="text1"/>
          <w:sz w:val="20"/>
          <w:szCs w:val="20"/>
        </w:rPr>
        <w:t xml:space="preserve">, </w:t>
      </w:r>
      <w:r w:rsidRPr="00F16EC7">
        <w:rPr>
          <w:rFonts w:asciiTheme="majorHAnsi" w:eastAsiaTheme="minorEastAsia" w:hAnsiTheme="majorHAnsi" w:cstheme="majorHAnsi"/>
          <w:i/>
          <w:color w:val="000000" w:themeColor="text1"/>
          <w:sz w:val="20"/>
          <w:szCs w:val="20"/>
        </w:rPr>
        <w:t>Ambrose of Milan</w:t>
      </w:r>
      <w:r w:rsidRPr="00F16EC7">
        <w:rPr>
          <w:rFonts w:asciiTheme="majorHAnsi" w:eastAsiaTheme="minorEastAsia" w:hAnsiTheme="majorHAnsi" w:cstheme="majorHAnsi"/>
          <w:color w:val="000000" w:themeColor="text1"/>
          <w:sz w:val="20"/>
          <w:szCs w:val="20"/>
        </w:rPr>
        <w:t xml:space="preserve">, 330-340; J. </w:t>
      </w:r>
      <w:proofErr w:type="spellStart"/>
      <w:r w:rsidRPr="00F16EC7">
        <w:rPr>
          <w:rFonts w:asciiTheme="majorHAnsi" w:eastAsiaTheme="minorEastAsia" w:hAnsiTheme="majorHAnsi" w:cstheme="majorHAnsi"/>
          <w:color w:val="000000" w:themeColor="text1"/>
          <w:sz w:val="20"/>
          <w:szCs w:val="20"/>
        </w:rPr>
        <w:t>Szidat</w:t>
      </w:r>
      <w:proofErr w:type="spellEnd"/>
      <w:r w:rsidRPr="00F16EC7">
        <w:rPr>
          <w:rFonts w:asciiTheme="majorHAnsi" w:eastAsiaTheme="minorEastAsia" w:hAnsiTheme="majorHAnsi" w:cstheme="majorHAnsi"/>
          <w:color w:val="000000" w:themeColor="text1"/>
          <w:sz w:val="20"/>
          <w:szCs w:val="20"/>
        </w:rPr>
        <w:t xml:space="preserve">, 'Die Usurpation des Eugenius', </w:t>
      </w:r>
      <w:r w:rsidRPr="00F16EC7">
        <w:rPr>
          <w:rFonts w:asciiTheme="majorHAnsi" w:eastAsiaTheme="minorEastAsia" w:hAnsiTheme="majorHAnsi" w:cstheme="majorHAnsi"/>
          <w:i/>
          <w:iCs/>
          <w:color w:val="000000" w:themeColor="text1"/>
          <w:sz w:val="20"/>
          <w:szCs w:val="20"/>
        </w:rPr>
        <w:t>Historia</w:t>
      </w:r>
      <w:r w:rsidRPr="00F16EC7">
        <w:rPr>
          <w:rFonts w:asciiTheme="majorHAnsi" w:eastAsiaTheme="minorEastAsia" w:hAnsiTheme="majorHAnsi" w:cstheme="majorHAnsi"/>
          <w:iCs/>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28 (1979), 487-508.</w:t>
      </w:r>
    </w:p>
  </w:footnote>
  <w:footnote w:id="46">
    <w:p w:rsidR="002044A1" w:rsidRPr="00F16EC7" w:rsidRDefault="002044A1" w:rsidP="00A669E0">
      <w:pPr>
        <w:pStyle w:val="FootnoteText"/>
        <w:spacing w:line="240" w:lineRule="auto"/>
        <w:jc w:val="both"/>
        <w:rPr>
          <w:rFonts w:asciiTheme="majorHAnsi" w:hAnsiTheme="majorHAnsi" w:cstheme="majorHAnsi"/>
          <w:color w:val="000000" w:themeColor="text1"/>
          <w:lang w:val="es-ES"/>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s-ES"/>
        </w:rPr>
        <w:t xml:space="preserve"> </w:t>
      </w:r>
      <w:proofErr w:type="spellStart"/>
      <w:r w:rsidRPr="00F16EC7">
        <w:rPr>
          <w:rFonts w:asciiTheme="majorHAnsi" w:hAnsiTheme="majorHAnsi" w:cstheme="majorHAnsi"/>
          <w:color w:val="000000" w:themeColor="text1"/>
          <w:lang w:val="es-ES"/>
        </w:rPr>
        <w:t>Ambrose</w:t>
      </w:r>
      <w:proofErr w:type="spellEnd"/>
      <w:r w:rsidRPr="00F16EC7">
        <w:rPr>
          <w:rFonts w:asciiTheme="majorHAnsi" w:hAnsiTheme="majorHAnsi" w:cstheme="majorHAnsi"/>
          <w:color w:val="000000" w:themeColor="text1"/>
          <w:lang w:val="es-ES"/>
        </w:rPr>
        <w:t xml:space="preserve">, </w:t>
      </w:r>
      <w:r w:rsidRPr="00F16EC7">
        <w:rPr>
          <w:rFonts w:asciiTheme="majorHAnsi" w:hAnsiTheme="majorHAnsi" w:cstheme="majorHAnsi"/>
          <w:i/>
          <w:color w:val="000000" w:themeColor="text1"/>
          <w:lang w:val="es-ES"/>
        </w:rPr>
        <w:t xml:space="preserve">De </w:t>
      </w:r>
      <w:proofErr w:type="spellStart"/>
      <w:r w:rsidRPr="00F16EC7">
        <w:rPr>
          <w:rFonts w:asciiTheme="majorHAnsi" w:hAnsiTheme="majorHAnsi" w:cstheme="majorHAnsi"/>
          <w:i/>
          <w:color w:val="000000" w:themeColor="text1"/>
          <w:lang w:val="es-ES"/>
        </w:rPr>
        <w:t>excessu</w:t>
      </w:r>
      <w:proofErr w:type="spellEnd"/>
      <w:r w:rsidRPr="00F16EC7">
        <w:rPr>
          <w:rFonts w:asciiTheme="majorHAnsi" w:hAnsiTheme="majorHAnsi" w:cstheme="majorHAnsi"/>
          <w:i/>
          <w:color w:val="000000" w:themeColor="text1"/>
          <w:lang w:val="es-ES"/>
        </w:rPr>
        <w:t xml:space="preserve"> </w:t>
      </w:r>
      <w:proofErr w:type="spellStart"/>
      <w:r w:rsidRPr="00F16EC7">
        <w:rPr>
          <w:rFonts w:asciiTheme="majorHAnsi" w:hAnsiTheme="majorHAnsi" w:cstheme="majorHAnsi"/>
          <w:i/>
          <w:color w:val="000000" w:themeColor="text1"/>
          <w:lang w:val="es-ES"/>
        </w:rPr>
        <w:t>Fratris</w:t>
      </w:r>
      <w:proofErr w:type="spellEnd"/>
      <w:r w:rsidRPr="00F16EC7">
        <w:rPr>
          <w:rFonts w:asciiTheme="majorHAnsi" w:hAnsiTheme="majorHAnsi" w:cstheme="majorHAnsi"/>
          <w:color w:val="000000" w:themeColor="text1"/>
          <w:lang w:val="es-ES"/>
        </w:rPr>
        <w:t>, 1.33-34; 1.59.</w:t>
      </w:r>
    </w:p>
  </w:footnote>
  <w:footnote w:id="47">
    <w:p w:rsidR="002044A1" w:rsidRPr="00F16EC7" w:rsidRDefault="002044A1" w:rsidP="00A669E0">
      <w:pPr>
        <w:pStyle w:val="FootnoteText"/>
        <w:spacing w:line="240" w:lineRule="auto"/>
        <w:jc w:val="both"/>
        <w:rPr>
          <w:rFonts w:asciiTheme="majorHAnsi" w:hAnsiTheme="majorHAnsi" w:cstheme="majorHAnsi"/>
          <w:color w:val="000000" w:themeColor="text1"/>
          <w:lang w:val="es-ES"/>
        </w:rPr>
      </w:pPr>
      <w:r w:rsidRPr="00F16EC7">
        <w:rPr>
          <w:rStyle w:val="FootnoteReference"/>
          <w:rFonts w:asciiTheme="majorHAnsi" w:eastAsiaTheme="majorEastAsia" w:hAnsiTheme="majorHAnsi" w:cstheme="majorHAnsi"/>
          <w:color w:val="000000" w:themeColor="text1"/>
          <w:lang w:val="en-GB"/>
        </w:rPr>
        <w:footnoteRef/>
      </w:r>
      <w:r w:rsidR="006355DF" w:rsidRPr="00F16EC7">
        <w:rPr>
          <w:rFonts w:asciiTheme="majorHAnsi" w:hAnsiTheme="majorHAnsi" w:cstheme="majorHAnsi"/>
          <w:color w:val="000000" w:themeColor="text1"/>
          <w:lang w:val="es-ES"/>
        </w:rPr>
        <w:t xml:space="preserve"> M. </w:t>
      </w:r>
      <w:proofErr w:type="spellStart"/>
      <w:r w:rsidR="006355DF" w:rsidRPr="00F16EC7">
        <w:rPr>
          <w:rFonts w:asciiTheme="majorHAnsi" w:hAnsiTheme="majorHAnsi" w:cstheme="majorHAnsi"/>
          <w:color w:val="000000" w:themeColor="text1"/>
          <w:lang w:val="es-ES"/>
        </w:rPr>
        <w:t>Zelzer</w:t>
      </w:r>
      <w:proofErr w:type="spellEnd"/>
      <w:r w:rsidRPr="00F16EC7">
        <w:rPr>
          <w:rFonts w:asciiTheme="majorHAnsi" w:hAnsiTheme="majorHAnsi" w:cstheme="majorHAnsi"/>
          <w:color w:val="000000" w:themeColor="text1"/>
          <w:lang w:val="es-ES"/>
        </w:rPr>
        <w:t xml:space="preserve"> </w:t>
      </w:r>
      <w:r w:rsidR="006355DF" w:rsidRPr="00F16EC7">
        <w:rPr>
          <w:rFonts w:asciiTheme="majorHAnsi" w:hAnsiTheme="majorHAnsi" w:cstheme="majorHAnsi"/>
          <w:color w:val="000000" w:themeColor="text1"/>
          <w:lang w:val="es-ES"/>
        </w:rPr>
        <w:t xml:space="preserve">(ed.), </w:t>
      </w:r>
      <w:r w:rsidR="006355DF" w:rsidRPr="00F16EC7">
        <w:rPr>
          <w:rFonts w:asciiTheme="majorHAnsi" w:hAnsiTheme="majorHAnsi" w:cstheme="majorHAnsi"/>
          <w:color w:val="000000" w:themeColor="text1"/>
          <w:shd w:val="clear" w:color="auto" w:fill="FFFFFF"/>
          <w:lang w:val="es-ES"/>
        </w:rPr>
        <w:t xml:space="preserve">Sancti </w:t>
      </w:r>
      <w:proofErr w:type="spellStart"/>
      <w:r w:rsidR="006355DF" w:rsidRPr="00F16EC7">
        <w:rPr>
          <w:rFonts w:asciiTheme="majorHAnsi" w:hAnsiTheme="majorHAnsi" w:cstheme="majorHAnsi"/>
          <w:color w:val="000000" w:themeColor="text1"/>
          <w:shd w:val="clear" w:color="auto" w:fill="FFFFFF"/>
          <w:lang w:val="es-ES"/>
        </w:rPr>
        <w:t>Ambrosi</w:t>
      </w:r>
      <w:proofErr w:type="spellEnd"/>
      <w:r w:rsidR="006355DF" w:rsidRPr="00F16EC7">
        <w:rPr>
          <w:rFonts w:asciiTheme="majorHAnsi" w:hAnsiTheme="majorHAnsi" w:cstheme="majorHAnsi"/>
          <w:color w:val="000000" w:themeColor="text1"/>
          <w:shd w:val="clear" w:color="auto" w:fill="FFFFFF"/>
          <w:lang w:val="es-ES"/>
        </w:rPr>
        <w:t xml:space="preserve"> Opera, </w:t>
      </w:r>
      <w:proofErr w:type="spellStart"/>
      <w:r w:rsidR="006355DF" w:rsidRPr="00F16EC7">
        <w:rPr>
          <w:rFonts w:asciiTheme="majorHAnsi" w:hAnsiTheme="majorHAnsi" w:cstheme="majorHAnsi"/>
          <w:color w:val="000000" w:themeColor="text1"/>
          <w:shd w:val="clear" w:color="auto" w:fill="FFFFFF"/>
          <w:lang w:val="es-ES"/>
        </w:rPr>
        <w:t>Epistulae</w:t>
      </w:r>
      <w:proofErr w:type="spellEnd"/>
      <w:r w:rsidR="006355DF" w:rsidRPr="00F16EC7">
        <w:rPr>
          <w:rFonts w:asciiTheme="majorHAnsi" w:hAnsiTheme="majorHAnsi" w:cstheme="majorHAnsi"/>
          <w:color w:val="000000" w:themeColor="text1"/>
          <w:shd w:val="clear" w:color="auto" w:fill="FFFFFF"/>
          <w:lang w:val="es-ES"/>
        </w:rPr>
        <w:t xml:space="preserve"> et Acta, vol. 2, </w:t>
      </w:r>
      <w:r w:rsidR="006355DF" w:rsidRPr="00F16EC7">
        <w:rPr>
          <w:rFonts w:asciiTheme="majorHAnsi" w:hAnsiTheme="majorHAnsi" w:cstheme="majorHAnsi"/>
          <w:color w:val="000000" w:themeColor="text1"/>
          <w:lang w:val="es-ES"/>
        </w:rPr>
        <w:t>CSEL</w:t>
      </w:r>
      <w:r w:rsidR="006355DF" w:rsidRPr="00F16EC7">
        <w:rPr>
          <w:rFonts w:asciiTheme="majorHAnsi" w:hAnsiTheme="majorHAnsi" w:cstheme="majorHAnsi"/>
          <w:i/>
          <w:color w:val="000000" w:themeColor="text1"/>
          <w:lang w:val="es-ES"/>
        </w:rPr>
        <w:t xml:space="preserve"> </w:t>
      </w:r>
      <w:r w:rsidR="006355DF" w:rsidRPr="00F16EC7">
        <w:rPr>
          <w:rFonts w:asciiTheme="majorHAnsi" w:hAnsiTheme="majorHAnsi" w:cstheme="majorHAnsi"/>
          <w:color w:val="000000" w:themeColor="text1"/>
          <w:lang w:val="es-ES"/>
        </w:rPr>
        <w:t xml:space="preserve">82.2 </w:t>
      </w:r>
      <w:r w:rsidR="006355DF" w:rsidRPr="00F16EC7">
        <w:rPr>
          <w:rFonts w:asciiTheme="majorHAnsi" w:hAnsiTheme="majorHAnsi" w:cstheme="majorHAnsi"/>
          <w:color w:val="000000" w:themeColor="text1"/>
          <w:shd w:val="clear" w:color="auto" w:fill="FFFFFF"/>
          <w:lang w:val="es-ES"/>
        </w:rPr>
        <w:t>(</w:t>
      </w:r>
      <w:proofErr w:type="spellStart"/>
      <w:r w:rsidR="006355DF" w:rsidRPr="00F16EC7">
        <w:rPr>
          <w:rFonts w:asciiTheme="majorHAnsi" w:hAnsiTheme="majorHAnsi" w:cstheme="majorHAnsi"/>
          <w:color w:val="000000" w:themeColor="text1"/>
          <w:shd w:val="clear" w:color="auto" w:fill="FFFFFF"/>
          <w:lang w:val="es-ES"/>
        </w:rPr>
        <w:t>Vienna</w:t>
      </w:r>
      <w:proofErr w:type="spellEnd"/>
      <w:r w:rsidR="006355DF" w:rsidRPr="00F16EC7">
        <w:rPr>
          <w:rFonts w:asciiTheme="majorHAnsi" w:hAnsiTheme="majorHAnsi" w:cstheme="majorHAnsi"/>
          <w:color w:val="000000" w:themeColor="text1"/>
          <w:shd w:val="clear" w:color="auto" w:fill="FFFFFF"/>
          <w:lang w:val="es-ES"/>
        </w:rPr>
        <w:t xml:space="preserve">: </w:t>
      </w:r>
      <w:proofErr w:type="spellStart"/>
      <w:r w:rsidR="006355DF" w:rsidRPr="00F16EC7">
        <w:rPr>
          <w:rFonts w:asciiTheme="majorHAnsi" w:hAnsiTheme="majorHAnsi" w:cstheme="majorHAnsi"/>
          <w:color w:val="000000" w:themeColor="text1"/>
          <w:shd w:val="clear" w:color="auto" w:fill="FFFFFF"/>
          <w:lang w:val="es-ES"/>
        </w:rPr>
        <w:t>OeAW</w:t>
      </w:r>
      <w:proofErr w:type="spellEnd"/>
      <w:r w:rsidR="006355DF" w:rsidRPr="00F16EC7">
        <w:rPr>
          <w:rFonts w:asciiTheme="majorHAnsi" w:hAnsiTheme="majorHAnsi" w:cstheme="majorHAnsi"/>
          <w:color w:val="000000" w:themeColor="text1"/>
          <w:shd w:val="clear" w:color="auto" w:fill="FFFFFF"/>
          <w:lang w:val="es-ES"/>
        </w:rPr>
        <w:t>, 1990</w:t>
      </w:r>
      <w:r w:rsidRPr="00F16EC7">
        <w:rPr>
          <w:rFonts w:asciiTheme="majorHAnsi" w:hAnsiTheme="majorHAnsi" w:cstheme="majorHAnsi"/>
          <w:color w:val="000000" w:themeColor="text1"/>
          <w:lang w:val="es-ES"/>
        </w:rPr>
        <w:t xml:space="preserve">, pp. xx-xxviii; M. </w:t>
      </w:r>
      <w:proofErr w:type="spellStart"/>
      <w:r w:rsidRPr="00F16EC7">
        <w:rPr>
          <w:rFonts w:asciiTheme="majorHAnsi" w:hAnsiTheme="majorHAnsi" w:cstheme="majorHAnsi"/>
          <w:color w:val="000000" w:themeColor="text1"/>
          <w:lang w:val="es-ES"/>
        </w:rPr>
        <w:t>Zelzer</w:t>
      </w:r>
      <w:proofErr w:type="spellEnd"/>
      <w:r w:rsidRPr="00F16EC7">
        <w:rPr>
          <w:rFonts w:asciiTheme="majorHAnsi" w:hAnsiTheme="majorHAnsi" w:cstheme="majorHAnsi"/>
          <w:color w:val="000000" w:themeColor="text1"/>
          <w:lang w:val="es-ES"/>
        </w:rPr>
        <w:t>, ‘</w:t>
      </w:r>
      <w:proofErr w:type="spellStart"/>
      <w:r w:rsidRPr="00F16EC7">
        <w:rPr>
          <w:rFonts w:asciiTheme="majorHAnsi" w:hAnsiTheme="majorHAnsi" w:cstheme="majorHAnsi"/>
          <w:color w:val="000000" w:themeColor="text1"/>
          <w:lang w:val="es-ES"/>
        </w:rPr>
        <w:t>Plinius</w:t>
      </w:r>
      <w:proofErr w:type="spellEnd"/>
      <w:r w:rsidRPr="00F16EC7">
        <w:rPr>
          <w:rFonts w:asciiTheme="majorHAnsi" w:hAnsiTheme="majorHAnsi" w:cstheme="majorHAnsi"/>
          <w:color w:val="000000" w:themeColor="text1"/>
          <w:lang w:val="es-ES"/>
        </w:rPr>
        <w:t xml:space="preserve"> </w:t>
      </w:r>
      <w:proofErr w:type="spellStart"/>
      <w:r w:rsidRPr="00F16EC7">
        <w:rPr>
          <w:rFonts w:asciiTheme="majorHAnsi" w:hAnsiTheme="majorHAnsi" w:cstheme="majorHAnsi"/>
          <w:color w:val="000000" w:themeColor="text1"/>
          <w:lang w:val="es-ES"/>
        </w:rPr>
        <w:t>Christianus</w:t>
      </w:r>
      <w:proofErr w:type="spellEnd"/>
      <w:r w:rsidRPr="00F16EC7">
        <w:rPr>
          <w:rFonts w:asciiTheme="majorHAnsi" w:hAnsiTheme="majorHAnsi" w:cstheme="majorHAnsi"/>
          <w:color w:val="000000" w:themeColor="text1"/>
          <w:lang w:val="es-ES"/>
        </w:rPr>
        <w:t xml:space="preserve">: </w:t>
      </w:r>
      <w:proofErr w:type="spellStart"/>
      <w:r w:rsidRPr="00F16EC7">
        <w:rPr>
          <w:rFonts w:asciiTheme="majorHAnsi" w:hAnsiTheme="majorHAnsi" w:cstheme="majorHAnsi"/>
          <w:color w:val="000000" w:themeColor="text1"/>
          <w:lang w:val="es-ES"/>
        </w:rPr>
        <w:t>Ambrosius</w:t>
      </w:r>
      <w:proofErr w:type="spellEnd"/>
      <w:r w:rsidRPr="00F16EC7">
        <w:rPr>
          <w:rFonts w:asciiTheme="majorHAnsi" w:hAnsiTheme="majorHAnsi" w:cstheme="majorHAnsi"/>
          <w:color w:val="000000" w:themeColor="text1"/>
          <w:lang w:val="es-ES"/>
        </w:rPr>
        <w:t xml:space="preserve"> </w:t>
      </w:r>
      <w:proofErr w:type="spellStart"/>
      <w:r w:rsidRPr="00F16EC7">
        <w:rPr>
          <w:rFonts w:asciiTheme="majorHAnsi" w:hAnsiTheme="majorHAnsi" w:cstheme="majorHAnsi"/>
          <w:color w:val="000000" w:themeColor="text1"/>
          <w:lang w:val="es-ES"/>
        </w:rPr>
        <w:t>als</w:t>
      </w:r>
      <w:proofErr w:type="spellEnd"/>
      <w:r w:rsidRPr="00F16EC7">
        <w:rPr>
          <w:rFonts w:asciiTheme="majorHAnsi" w:hAnsiTheme="majorHAnsi" w:cstheme="majorHAnsi"/>
          <w:color w:val="000000" w:themeColor="text1"/>
          <w:lang w:val="es-ES"/>
        </w:rPr>
        <w:t xml:space="preserve"> </w:t>
      </w:r>
      <w:proofErr w:type="spellStart"/>
      <w:r w:rsidRPr="00F16EC7">
        <w:rPr>
          <w:rFonts w:asciiTheme="majorHAnsi" w:hAnsiTheme="majorHAnsi" w:cstheme="majorHAnsi"/>
          <w:color w:val="000000" w:themeColor="text1"/>
          <w:lang w:val="es-ES"/>
        </w:rPr>
        <w:t>Epistolograph</w:t>
      </w:r>
      <w:proofErr w:type="spellEnd"/>
      <w:r w:rsidRPr="00F16EC7">
        <w:rPr>
          <w:rFonts w:asciiTheme="majorHAnsi" w:hAnsiTheme="majorHAnsi" w:cstheme="majorHAnsi"/>
          <w:color w:val="000000" w:themeColor="text1"/>
          <w:lang w:val="es-ES"/>
        </w:rPr>
        <w:t xml:space="preserve">’, </w:t>
      </w:r>
      <w:proofErr w:type="spellStart"/>
      <w:r w:rsidRPr="00F16EC7">
        <w:rPr>
          <w:rFonts w:asciiTheme="majorHAnsi" w:hAnsiTheme="majorHAnsi" w:cstheme="majorHAnsi"/>
          <w:i/>
          <w:iCs/>
          <w:color w:val="000000" w:themeColor="text1"/>
          <w:lang w:val="es-ES"/>
        </w:rPr>
        <w:t>Studia</w:t>
      </w:r>
      <w:proofErr w:type="spellEnd"/>
      <w:r w:rsidRPr="00F16EC7">
        <w:rPr>
          <w:rFonts w:asciiTheme="majorHAnsi" w:hAnsiTheme="majorHAnsi" w:cstheme="majorHAnsi"/>
          <w:i/>
          <w:iCs/>
          <w:color w:val="000000" w:themeColor="text1"/>
          <w:lang w:val="es-ES"/>
        </w:rPr>
        <w:t xml:space="preserve"> </w:t>
      </w:r>
      <w:proofErr w:type="spellStart"/>
      <w:r w:rsidRPr="00F16EC7">
        <w:rPr>
          <w:rFonts w:asciiTheme="majorHAnsi" w:hAnsiTheme="majorHAnsi" w:cstheme="majorHAnsi"/>
          <w:i/>
          <w:iCs/>
          <w:color w:val="000000" w:themeColor="text1"/>
          <w:lang w:val="es-ES"/>
        </w:rPr>
        <w:t>Patristica</w:t>
      </w:r>
      <w:proofErr w:type="spellEnd"/>
      <w:r w:rsidRPr="00F16EC7">
        <w:rPr>
          <w:rFonts w:asciiTheme="majorHAnsi" w:hAnsiTheme="majorHAnsi" w:cstheme="majorHAnsi"/>
          <w:color w:val="000000" w:themeColor="text1"/>
          <w:lang w:val="es-ES"/>
        </w:rPr>
        <w:t xml:space="preserve">, 23 (1989), 203-208; </w:t>
      </w:r>
      <w:r w:rsidRPr="00F16EC7">
        <w:rPr>
          <w:rFonts w:asciiTheme="majorHAnsi" w:eastAsiaTheme="minorEastAsia" w:hAnsiTheme="majorHAnsi" w:cstheme="majorHAnsi"/>
          <w:color w:val="000000" w:themeColor="text1"/>
          <w:lang w:val="es-ES"/>
        </w:rPr>
        <w:t xml:space="preserve">H. </w:t>
      </w:r>
      <w:proofErr w:type="spellStart"/>
      <w:r w:rsidRPr="00F16EC7">
        <w:rPr>
          <w:rFonts w:asciiTheme="majorHAnsi" w:eastAsiaTheme="minorEastAsia" w:hAnsiTheme="majorHAnsi" w:cstheme="majorHAnsi"/>
          <w:color w:val="000000" w:themeColor="text1"/>
          <w:lang w:val="es-ES"/>
        </w:rPr>
        <w:t>Savon</w:t>
      </w:r>
      <w:proofErr w:type="spellEnd"/>
      <w:r w:rsidRPr="00F16EC7">
        <w:rPr>
          <w:rFonts w:asciiTheme="majorHAnsi" w:eastAsiaTheme="minorEastAsia" w:hAnsiTheme="majorHAnsi" w:cstheme="majorHAnsi"/>
          <w:color w:val="000000" w:themeColor="text1"/>
          <w:lang w:val="es-ES"/>
        </w:rPr>
        <w:t xml:space="preserve">, 'Saint </w:t>
      </w:r>
      <w:proofErr w:type="spellStart"/>
      <w:r w:rsidRPr="00F16EC7">
        <w:rPr>
          <w:rFonts w:asciiTheme="majorHAnsi" w:eastAsiaTheme="minorEastAsia" w:hAnsiTheme="majorHAnsi" w:cstheme="majorHAnsi"/>
          <w:color w:val="000000" w:themeColor="text1"/>
          <w:lang w:val="es-ES"/>
        </w:rPr>
        <w:t>Ambroise</w:t>
      </w:r>
      <w:proofErr w:type="spellEnd"/>
      <w:r w:rsidRPr="00F16EC7">
        <w:rPr>
          <w:rFonts w:asciiTheme="majorHAnsi" w:eastAsiaTheme="minorEastAsia" w:hAnsiTheme="majorHAnsi" w:cstheme="majorHAnsi"/>
          <w:color w:val="000000" w:themeColor="text1"/>
          <w:lang w:val="es-ES"/>
        </w:rPr>
        <w:t xml:space="preserve"> a-t-</w:t>
      </w:r>
      <w:proofErr w:type="spellStart"/>
      <w:r w:rsidRPr="00F16EC7">
        <w:rPr>
          <w:rFonts w:asciiTheme="majorHAnsi" w:eastAsiaTheme="minorEastAsia" w:hAnsiTheme="majorHAnsi" w:cstheme="majorHAnsi"/>
          <w:color w:val="000000" w:themeColor="text1"/>
          <w:lang w:val="es-ES"/>
        </w:rPr>
        <w:t>il</w:t>
      </w:r>
      <w:proofErr w:type="spellEnd"/>
      <w:r w:rsidRPr="00F16EC7">
        <w:rPr>
          <w:rFonts w:asciiTheme="majorHAnsi" w:eastAsiaTheme="minorEastAsia" w:hAnsiTheme="majorHAnsi" w:cstheme="majorHAnsi"/>
          <w:color w:val="000000" w:themeColor="text1"/>
          <w:lang w:val="es-ES"/>
        </w:rPr>
        <w:t xml:space="preserve"> imité le </w:t>
      </w:r>
      <w:proofErr w:type="spellStart"/>
      <w:r w:rsidRPr="00F16EC7">
        <w:rPr>
          <w:rFonts w:asciiTheme="majorHAnsi" w:eastAsiaTheme="minorEastAsia" w:hAnsiTheme="majorHAnsi" w:cstheme="majorHAnsi"/>
          <w:color w:val="000000" w:themeColor="text1"/>
          <w:lang w:val="es-ES"/>
        </w:rPr>
        <w:t>recueil</w:t>
      </w:r>
      <w:proofErr w:type="spellEnd"/>
      <w:r w:rsidRPr="00F16EC7">
        <w:rPr>
          <w:rFonts w:asciiTheme="majorHAnsi" w:eastAsiaTheme="minorEastAsia" w:hAnsiTheme="majorHAnsi" w:cstheme="majorHAnsi"/>
          <w:color w:val="000000" w:themeColor="text1"/>
          <w:lang w:val="es-ES"/>
        </w:rPr>
        <w:t xml:space="preserve"> de </w:t>
      </w:r>
      <w:proofErr w:type="spellStart"/>
      <w:r w:rsidRPr="00F16EC7">
        <w:rPr>
          <w:rFonts w:asciiTheme="majorHAnsi" w:eastAsiaTheme="minorEastAsia" w:hAnsiTheme="majorHAnsi" w:cstheme="majorHAnsi"/>
          <w:color w:val="000000" w:themeColor="text1"/>
          <w:lang w:val="es-ES"/>
        </w:rPr>
        <w:t>lettres</w:t>
      </w:r>
      <w:proofErr w:type="spellEnd"/>
      <w:r w:rsidRPr="00F16EC7">
        <w:rPr>
          <w:rFonts w:asciiTheme="majorHAnsi" w:eastAsiaTheme="minorEastAsia" w:hAnsiTheme="majorHAnsi" w:cstheme="majorHAnsi"/>
          <w:color w:val="000000" w:themeColor="text1"/>
          <w:lang w:val="es-ES"/>
        </w:rPr>
        <w:t xml:space="preserve"> de </w:t>
      </w:r>
      <w:proofErr w:type="spellStart"/>
      <w:r w:rsidRPr="00F16EC7">
        <w:rPr>
          <w:rFonts w:asciiTheme="majorHAnsi" w:eastAsiaTheme="minorEastAsia" w:hAnsiTheme="majorHAnsi" w:cstheme="majorHAnsi"/>
          <w:color w:val="000000" w:themeColor="text1"/>
          <w:lang w:val="es-ES"/>
        </w:rPr>
        <w:t>Pline</w:t>
      </w:r>
      <w:proofErr w:type="spellEnd"/>
      <w:r w:rsidRPr="00F16EC7">
        <w:rPr>
          <w:rFonts w:asciiTheme="majorHAnsi" w:eastAsiaTheme="minorEastAsia" w:hAnsiTheme="majorHAnsi" w:cstheme="majorHAnsi"/>
          <w:color w:val="000000" w:themeColor="text1"/>
          <w:lang w:val="es-ES"/>
        </w:rPr>
        <w:t xml:space="preserve"> le </w:t>
      </w:r>
      <w:proofErr w:type="spellStart"/>
      <w:r w:rsidRPr="00F16EC7">
        <w:rPr>
          <w:rFonts w:asciiTheme="majorHAnsi" w:eastAsiaTheme="minorEastAsia" w:hAnsiTheme="majorHAnsi" w:cstheme="majorHAnsi"/>
          <w:color w:val="000000" w:themeColor="text1"/>
          <w:lang w:val="es-ES"/>
        </w:rPr>
        <w:t>Jeune</w:t>
      </w:r>
      <w:proofErr w:type="spellEnd"/>
      <w:r w:rsidRPr="00F16EC7">
        <w:rPr>
          <w:rFonts w:asciiTheme="majorHAnsi" w:eastAsiaTheme="minorEastAsia" w:hAnsiTheme="majorHAnsi" w:cstheme="majorHAnsi"/>
          <w:color w:val="000000" w:themeColor="text1"/>
          <w:lang w:val="es-ES"/>
        </w:rPr>
        <w:t xml:space="preserve">?', </w:t>
      </w:r>
      <w:proofErr w:type="spellStart"/>
      <w:r w:rsidRPr="00F16EC7">
        <w:rPr>
          <w:rFonts w:asciiTheme="majorHAnsi" w:eastAsiaTheme="minorEastAsia" w:hAnsiTheme="majorHAnsi" w:cstheme="majorHAnsi"/>
          <w:i/>
          <w:iCs/>
          <w:color w:val="000000" w:themeColor="text1"/>
          <w:lang w:val="es-ES"/>
        </w:rPr>
        <w:t>Revue</w:t>
      </w:r>
      <w:proofErr w:type="spellEnd"/>
      <w:r w:rsidRPr="00F16EC7">
        <w:rPr>
          <w:rFonts w:asciiTheme="majorHAnsi" w:eastAsiaTheme="minorEastAsia" w:hAnsiTheme="majorHAnsi" w:cstheme="majorHAnsi"/>
          <w:i/>
          <w:iCs/>
          <w:color w:val="000000" w:themeColor="text1"/>
          <w:lang w:val="es-ES"/>
        </w:rPr>
        <w:t xml:space="preserve"> des </w:t>
      </w:r>
      <w:proofErr w:type="spellStart"/>
      <w:r w:rsidRPr="00F16EC7">
        <w:rPr>
          <w:rFonts w:asciiTheme="majorHAnsi" w:eastAsiaTheme="minorEastAsia" w:hAnsiTheme="majorHAnsi" w:cstheme="majorHAnsi"/>
          <w:i/>
          <w:iCs/>
          <w:color w:val="000000" w:themeColor="text1"/>
          <w:lang w:val="es-ES"/>
        </w:rPr>
        <w:t>Études</w:t>
      </w:r>
      <w:proofErr w:type="spellEnd"/>
      <w:r w:rsidRPr="00F16EC7">
        <w:rPr>
          <w:rFonts w:asciiTheme="majorHAnsi" w:eastAsiaTheme="minorEastAsia" w:hAnsiTheme="majorHAnsi" w:cstheme="majorHAnsi"/>
          <w:i/>
          <w:iCs/>
          <w:color w:val="000000" w:themeColor="text1"/>
          <w:lang w:val="es-ES"/>
        </w:rPr>
        <w:t xml:space="preserve"> </w:t>
      </w:r>
      <w:proofErr w:type="spellStart"/>
      <w:r w:rsidRPr="00F16EC7">
        <w:rPr>
          <w:rFonts w:asciiTheme="majorHAnsi" w:eastAsiaTheme="minorEastAsia" w:hAnsiTheme="majorHAnsi" w:cstheme="majorHAnsi"/>
          <w:i/>
          <w:iCs/>
          <w:color w:val="000000" w:themeColor="text1"/>
          <w:lang w:val="es-ES"/>
        </w:rPr>
        <w:t>Augustiniennes</w:t>
      </w:r>
      <w:proofErr w:type="spellEnd"/>
      <w:r w:rsidRPr="00F16EC7">
        <w:rPr>
          <w:rFonts w:asciiTheme="majorHAnsi" w:eastAsiaTheme="minorEastAsia" w:hAnsiTheme="majorHAnsi" w:cstheme="majorHAnsi"/>
          <w:iCs/>
          <w:color w:val="000000" w:themeColor="text1"/>
          <w:lang w:val="es-ES"/>
        </w:rPr>
        <w:t xml:space="preserve">, </w:t>
      </w:r>
      <w:r w:rsidRPr="00F16EC7">
        <w:rPr>
          <w:rFonts w:asciiTheme="majorHAnsi" w:eastAsiaTheme="minorEastAsia" w:hAnsiTheme="majorHAnsi" w:cstheme="majorHAnsi"/>
          <w:color w:val="000000" w:themeColor="text1"/>
          <w:lang w:val="es-ES"/>
        </w:rPr>
        <w:t>41 (1995), 3-17.</w:t>
      </w:r>
    </w:p>
  </w:footnote>
  <w:footnote w:id="48">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The chronology of the Conflict of the Basilicas and Ambrose’s letters on the matter are debated, see </w:t>
      </w:r>
      <w:r w:rsidRPr="00F16EC7">
        <w:rPr>
          <w:rFonts w:asciiTheme="majorHAnsi" w:eastAsia="SimSun" w:hAnsiTheme="majorHAnsi" w:cstheme="majorHAnsi"/>
          <w:color w:val="000000" w:themeColor="text1"/>
          <w:lang w:val="en-GB" w:eastAsia="es-ES"/>
        </w:rPr>
        <w:t xml:space="preserve">J. H. W. G., </w:t>
      </w:r>
      <w:proofErr w:type="spellStart"/>
      <w:r w:rsidRPr="00F16EC7">
        <w:rPr>
          <w:rFonts w:asciiTheme="majorHAnsi" w:eastAsia="SimSun" w:hAnsiTheme="majorHAnsi" w:cstheme="majorHAnsi"/>
          <w:color w:val="000000" w:themeColor="text1"/>
          <w:lang w:val="en-GB" w:eastAsia="es-ES"/>
        </w:rPr>
        <w:t>Liebeschuetz</w:t>
      </w:r>
      <w:proofErr w:type="spellEnd"/>
      <w:r w:rsidRPr="00F16EC7">
        <w:rPr>
          <w:rFonts w:asciiTheme="majorHAnsi" w:eastAsia="SimSun" w:hAnsiTheme="majorHAnsi" w:cstheme="majorHAnsi"/>
          <w:color w:val="000000" w:themeColor="text1"/>
          <w:lang w:val="en-GB" w:eastAsia="es-ES"/>
        </w:rPr>
        <w:t xml:space="preserve">, </w:t>
      </w:r>
      <w:r w:rsidRPr="00F16EC7">
        <w:rPr>
          <w:rFonts w:asciiTheme="majorHAnsi" w:eastAsia="SimSun" w:hAnsiTheme="majorHAnsi" w:cstheme="majorHAnsi"/>
          <w:i/>
          <w:iCs/>
          <w:color w:val="000000" w:themeColor="text1"/>
          <w:lang w:val="en-GB" w:eastAsia="es-ES"/>
        </w:rPr>
        <w:t>Ambrose of Milan: Political Letters and Speeches</w:t>
      </w:r>
      <w:r w:rsidRPr="00F16EC7">
        <w:rPr>
          <w:rFonts w:asciiTheme="majorHAnsi" w:eastAsia="SimSun" w:hAnsiTheme="majorHAnsi" w:cstheme="majorHAnsi"/>
          <w:color w:val="000000" w:themeColor="text1"/>
          <w:lang w:val="en-GB" w:eastAsia="es-ES"/>
        </w:rPr>
        <w:t xml:space="preserve"> (Liverpool: Liverpool University Press, 2005), 130-35;</w:t>
      </w:r>
      <w:r w:rsidRPr="00F16EC7">
        <w:rPr>
          <w:rFonts w:asciiTheme="majorHAnsi" w:hAnsiTheme="majorHAnsi" w:cstheme="majorHAnsi"/>
          <w:color w:val="000000" w:themeColor="text1"/>
          <w:lang w:val="en-GB"/>
        </w:rPr>
        <w:t xml:space="preserve"> T. D. </w:t>
      </w:r>
      <w:r w:rsidRPr="00F16EC7">
        <w:rPr>
          <w:rFonts w:asciiTheme="majorHAnsi" w:hAnsiTheme="majorHAnsi" w:cstheme="majorHAnsi"/>
          <w:color w:val="000000" w:themeColor="text1"/>
          <w:shd w:val="clear" w:color="auto" w:fill="FFFFFF"/>
          <w:lang w:val="en-GB"/>
        </w:rPr>
        <w:t xml:space="preserve">Barnes, ‘Ambrose and the Basilicas of Milan in 385 and 386: The Primary Documents and their Implications’, </w:t>
      </w:r>
      <w:proofErr w:type="spellStart"/>
      <w:r w:rsidRPr="00F16EC7">
        <w:rPr>
          <w:rFonts w:asciiTheme="majorHAnsi" w:eastAsiaTheme="minorEastAsia" w:hAnsiTheme="majorHAnsi" w:cstheme="majorHAnsi"/>
          <w:i/>
          <w:iCs/>
          <w:color w:val="000000" w:themeColor="text1"/>
        </w:rPr>
        <w:t>Zeitschrift</w:t>
      </w:r>
      <w:proofErr w:type="spellEnd"/>
      <w:r w:rsidRPr="00F16EC7">
        <w:rPr>
          <w:rFonts w:asciiTheme="majorHAnsi" w:eastAsiaTheme="minorEastAsia" w:hAnsiTheme="majorHAnsi" w:cstheme="majorHAnsi"/>
          <w:i/>
          <w:iCs/>
          <w:color w:val="000000" w:themeColor="text1"/>
        </w:rPr>
        <w:t xml:space="preserve"> </w:t>
      </w:r>
      <w:proofErr w:type="spellStart"/>
      <w:r w:rsidRPr="00F16EC7">
        <w:rPr>
          <w:rFonts w:asciiTheme="majorHAnsi" w:eastAsiaTheme="minorEastAsia" w:hAnsiTheme="majorHAnsi" w:cstheme="majorHAnsi"/>
          <w:i/>
          <w:iCs/>
          <w:color w:val="000000" w:themeColor="text1"/>
        </w:rPr>
        <w:t>für</w:t>
      </w:r>
      <w:proofErr w:type="spellEnd"/>
      <w:r w:rsidRPr="00F16EC7">
        <w:rPr>
          <w:rFonts w:asciiTheme="majorHAnsi" w:eastAsiaTheme="minorEastAsia" w:hAnsiTheme="majorHAnsi" w:cstheme="majorHAnsi"/>
          <w:i/>
          <w:iCs/>
          <w:color w:val="000000" w:themeColor="text1"/>
        </w:rPr>
        <w:t xml:space="preserve"> </w:t>
      </w:r>
      <w:proofErr w:type="spellStart"/>
      <w:r w:rsidRPr="00F16EC7">
        <w:rPr>
          <w:rFonts w:asciiTheme="majorHAnsi" w:eastAsiaTheme="minorEastAsia" w:hAnsiTheme="majorHAnsi" w:cstheme="majorHAnsi"/>
          <w:i/>
          <w:iCs/>
          <w:color w:val="000000" w:themeColor="text1"/>
        </w:rPr>
        <w:t>antikes</w:t>
      </w:r>
      <w:proofErr w:type="spellEnd"/>
      <w:r w:rsidRPr="00F16EC7">
        <w:rPr>
          <w:rFonts w:asciiTheme="majorHAnsi" w:eastAsiaTheme="minorEastAsia" w:hAnsiTheme="majorHAnsi" w:cstheme="majorHAnsi"/>
          <w:i/>
          <w:iCs/>
          <w:color w:val="000000" w:themeColor="text1"/>
        </w:rPr>
        <w:t xml:space="preserve"> </w:t>
      </w:r>
      <w:proofErr w:type="spellStart"/>
      <w:r w:rsidRPr="00F16EC7">
        <w:rPr>
          <w:rFonts w:asciiTheme="majorHAnsi" w:eastAsiaTheme="minorEastAsia" w:hAnsiTheme="majorHAnsi" w:cstheme="majorHAnsi"/>
          <w:i/>
          <w:iCs/>
          <w:color w:val="000000" w:themeColor="text1"/>
        </w:rPr>
        <w:t>Christentum</w:t>
      </w:r>
      <w:proofErr w:type="spellEnd"/>
      <w:r w:rsidRPr="00F16EC7">
        <w:rPr>
          <w:rFonts w:asciiTheme="majorHAnsi" w:eastAsiaTheme="minorEastAsia" w:hAnsiTheme="majorHAnsi" w:cstheme="majorHAnsi"/>
          <w:iCs/>
          <w:color w:val="000000" w:themeColor="text1"/>
        </w:rPr>
        <w:t xml:space="preserve">, </w:t>
      </w:r>
      <w:r w:rsidRPr="00F16EC7">
        <w:rPr>
          <w:rFonts w:asciiTheme="majorHAnsi" w:hAnsiTheme="majorHAnsi" w:cstheme="majorHAnsi"/>
          <w:color w:val="000000" w:themeColor="text1"/>
          <w:shd w:val="clear" w:color="auto" w:fill="FFFFFF"/>
          <w:lang w:val="en-GB"/>
        </w:rPr>
        <w:t xml:space="preserve">4 (2000), 282-99; </w:t>
      </w:r>
      <w:proofErr w:type="spellStart"/>
      <w:r w:rsidRPr="00F16EC7">
        <w:rPr>
          <w:rFonts w:asciiTheme="majorHAnsi" w:hAnsiTheme="majorHAnsi" w:cstheme="majorHAnsi"/>
          <w:color w:val="000000" w:themeColor="text1"/>
          <w:lang w:val="en-GB"/>
        </w:rPr>
        <w:t>McLynn</w:t>
      </w:r>
      <w:proofErr w:type="spellEnd"/>
      <w:r w:rsidRPr="00F16EC7">
        <w:rPr>
          <w:rFonts w:asciiTheme="majorHAnsi" w:hAnsiTheme="majorHAnsi" w:cstheme="majorHAnsi"/>
          <w:color w:val="000000" w:themeColor="text1"/>
          <w:lang w:val="en-GB"/>
        </w:rPr>
        <w:t xml:space="preserve">, </w:t>
      </w:r>
      <w:r w:rsidRPr="00F16EC7">
        <w:rPr>
          <w:rFonts w:asciiTheme="majorHAnsi" w:hAnsiTheme="majorHAnsi" w:cstheme="majorHAnsi"/>
          <w:i/>
          <w:color w:val="000000" w:themeColor="text1"/>
          <w:lang w:val="en-GB"/>
        </w:rPr>
        <w:t>Ambrose of Milan</w:t>
      </w:r>
      <w:r w:rsidRPr="00F16EC7">
        <w:rPr>
          <w:rFonts w:asciiTheme="majorHAnsi" w:hAnsiTheme="majorHAnsi" w:cstheme="majorHAnsi"/>
          <w:color w:val="000000" w:themeColor="text1"/>
          <w:lang w:val="en-GB"/>
        </w:rPr>
        <w:t xml:space="preserve">, 181-96; </w:t>
      </w:r>
      <w:r w:rsidRPr="00F16EC7">
        <w:rPr>
          <w:rFonts w:asciiTheme="majorHAnsi" w:hAnsiTheme="majorHAnsi" w:cstheme="majorHAnsi"/>
          <w:color w:val="000000" w:themeColor="text1"/>
          <w:shd w:val="clear" w:color="auto" w:fill="FFFFFF"/>
          <w:lang w:val="en-GB"/>
        </w:rPr>
        <w:t xml:space="preserve">G. </w:t>
      </w:r>
      <w:proofErr w:type="spellStart"/>
      <w:r w:rsidRPr="00F16EC7">
        <w:rPr>
          <w:rFonts w:asciiTheme="majorHAnsi" w:hAnsiTheme="majorHAnsi" w:cstheme="majorHAnsi"/>
          <w:color w:val="000000" w:themeColor="text1"/>
          <w:shd w:val="clear" w:color="auto" w:fill="FFFFFF"/>
          <w:lang w:val="en-GB"/>
        </w:rPr>
        <w:t>Nauroy</w:t>
      </w:r>
      <w:proofErr w:type="spellEnd"/>
      <w:r w:rsidRPr="00F16EC7">
        <w:rPr>
          <w:rFonts w:asciiTheme="majorHAnsi" w:hAnsiTheme="majorHAnsi" w:cstheme="majorHAnsi"/>
          <w:color w:val="000000" w:themeColor="text1"/>
          <w:shd w:val="clear" w:color="auto" w:fill="FFFFFF"/>
          <w:lang w:val="en-GB"/>
        </w:rPr>
        <w:t xml:space="preserve">, ‘Le </w:t>
      </w:r>
      <w:proofErr w:type="spellStart"/>
      <w:r w:rsidRPr="00F16EC7">
        <w:rPr>
          <w:rFonts w:asciiTheme="majorHAnsi" w:hAnsiTheme="majorHAnsi" w:cstheme="majorHAnsi"/>
          <w:color w:val="000000" w:themeColor="text1"/>
          <w:shd w:val="clear" w:color="auto" w:fill="FFFFFF"/>
          <w:lang w:val="en-GB"/>
        </w:rPr>
        <w:t>fouet</w:t>
      </w:r>
      <w:proofErr w:type="spellEnd"/>
      <w:r w:rsidRPr="00F16EC7">
        <w:rPr>
          <w:rFonts w:asciiTheme="majorHAnsi" w:hAnsiTheme="majorHAnsi" w:cstheme="majorHAnsi"/>
          <w:color w:val="000000" w:themeColor="text1"/>
          <w:shd w:val="clear" w:color="auto" w:fill="FFFFFF"/>
          <w:lang w:val="en-GB"/>
        </w:rPr>
        <w:t xml:space="preserve"> et le </w:t>
      </w:r>
      <w:proofErr w:type="spellStart"/>
      <w:r w:rsidRPr="00F16EC7">
        <w:rPr>
          <w:rFonts w:asciiTheme="majorHAnsi" w:hAnsiTheme="majorHAnsi" w:cstheme="majorHAnsi"/>
          <w:color w:val="000000" w:themeColor="text1"/>
          <w:shd w:val="clear" w:color="auto" w:fill="FFFFFF"/>
          <w:lang w:val="en-GB"/>
        </w:rPr>
        <w:t>miel</w:t>
      </w:r>
      <w:proofErr w:type="spellEnd"/>
      <w:r w:rsidRPr="00F16EC7">
        <w:rPr>
          <w:rFonts w:asciiTheme="majorHAnsi" w:hAnsiTheme="majorHAnsi" w:cstheme="majorHAnsi"/>
          <w:color w:val="000000" w:themeColor="text1"/>
          <w:shd w:val="clear" w:color="auto" w:fill="FFFFFF"/>
          <w:lang w:val="en-GB"/>
        </w:rPr>
        <w:t xml:space="preserve">. Le combat </w:t>
      </w:r>
      <w:proofErr w:type="spellStart"/>
      <w:r w:rsidRPr="00F16EC7">
        <w:rPr>
          <w:rFonts w:asciiTheme="majorHAnsi" w:hAnsiTheme="majorHAnsi" w:cstheme="majorHAnsi"/>
          <w:color w:val="000000" w:themeColor="text1"/>
          <w:shd w:val="clear" w:color="auto" w:fill="FFFFFF"/>
          <w:lang w:val="en-GB"/>
        </w:rPr>
        <w:t>d'Ambroise</w:t>
      </w:r>
      <w:proofErr w:type="spellEnd"/>
      <w:r w:rsidRPr="00F16EC7">
        <w:rPr>
          <w:rFonts w:asciiTheme="majorHAnsi" w:hAnsiTheme="majorHAnsi" w:cstheme="majorHAnsi"/>
          <w:color w:val="000000" w:themeColor="text1"/>
          <w:shd w:val="clear" w:color="auto" w:fill="FFFFFF"/>
          <w:lang w:val="en-GB"/>
        </w:rPr>
        <w:t xml:space="preserve"> </w:t>
      </w:r>
      <w:proofErr w:type="spellStart"/>
      <w:r w:rsidRPr="00F16EC7">
        <w:rPr>
          <w:rFonts w:asciiTheme="majorHAnsi" w:hAnsiTheme="majorHAnsi" w:cstheme="majorHAnsi"/>
          <w:color w:val="000000" w:themeColor="text1"/>
          <w:shd w:val="clear" w:color="auto" w:fill="FFFFFF"/>
          <w:lang w:val="en-GB"/>
        </w:rPr>
        <w:t>en</w:t>
      </w:r>
      <w:proofErr w:type="spellEnd"/>
      <w:r w:rsidRPr="00F16EC7">
        <w:rPr>
          <w:rFonts w:asciiTheme="majorHAnsi" w:hAnsiTheme="majorHAnsi" w:cstheme="majorHAnsi"/>
          <w:color w:val="000000" w:themeColor="text1"/>
          <w:shd w:val="clear" w:color="auto" w:fill="FFFFFF"/>
          <w:lang w:val="en-GB"/>
        </w:rPr>
        <w:t xml:space="preserve"> 386 </w:t>
      </w:r>
      <w:proofErr w:type="spellStart"/>
      <w:r w:rsidRPr="00F16EC7">
        <w:rPr>
          <w:rFonts w:asciiTheme="majorHAnsi" w:hAnsiTheme="majorHAnsi" w:cstheme="majorHAnsi"/>
          <w:color w:val="000000" w:themeColor="text1"/>
          <w:shd w:val="clear" w:color="auto" w:fill="FFFFFF"/>
          <w:lang w:val="en-GB"/>
        </w:rPr>
        <w:t>contre</w:t>
      </w:r>
      <w:proofErr w:type="spellEnd"/>
      <w:r w:rsidRPr="00F16EC7">
        <w:rPr>
          <w:rFonts w:asciiTheme="majorHAnsi" w:hAnsiTheme="majorHAnsi" w:cstheme="majorHAnsi"/>
          <w:color w:val="000000" w:themeColor="text1"/>
          <w:shd w:val="clear" w:color="auto" w:fill="FFFFFF"/>
          <w:lang w:val="en-GB"/>
        </w:rPr>
        <w:t xml:space="preserve"> </w:t>
      </w:r>
      <w:proofErr w:type="spellStart"/>
      <w:r w:rsidRPr="00F16EC7">
        <w:rPr>
          <w:rFonts w:asciiTheme="majorHAnsi" w:hAnsiTheme="majorHAnsi" w:cstheme="majorHAnsi"/>
          <w:color w:val="000000" w:themeColor="text1"/>
          <w:shd w:val="clear" w:color="auto" w:fill="FFFFFF"/>
          <w:lang w:val="en-GB"/>
        </w:rPr>
        <w:t>l'arianisme</w:t>
      </w:r>
      <w:proofErr w:type="spellEnd"/>
      <w:r w:rsidRPr="00F16EC7">
        <w:rPr>
          <w:rFonts w:asciiTheme="majorHAnsi" w:hAnsiTheme="majorHAnsi" w:cstheme="majorHAnsi"/>
          <w:color w:val="000000" w:themeColor="text1"/>
          <w:shd w:val="clear" w:color="auto" w:fill="FFFFFF"/>
          <w:lang w:val="en-GB"/>
        </w:rPr>
        <w:t xml:space="preserve"> </w:t>
      </w:r>
      <w:proofErr w:type="spellStart"/>
      <w:r w:rsidRPr="00F16EC7">
        <w:rPr>
          <w:rFonts w:asciiTheme="majorHAnsi" w:hAnsiTheme="majorHAnsi" w:cstheme="majorHAnsi"/>
          <w:color w:val="000000" w:themeColor="text1"/>
          <w:shd w:val="clear" w:color="auto" w:fill="FFFFFF"/>
          <w:lang w:val="en-GB"/>
        </w:rPr>
        <w:t>milanaise</w:t>
      </w:r>
      <w:proofErr w:type="spellEnd"/>
      <w:r w:rsidRPr="00F16EC7">
        <w:rPr>
          <w:rFonts w:asciiTheme="majorHAnsi" w:hAnsiTheme="majorHAnsi" w:cstheme="majorHAnsi"/>
          <w:color w:val="000000" w:themeColor="text1"/>
          <w:shd w:val="clear" w:color="auto" w:fill="FFFFFF"/>
          <w:lang w:val="en-GB"/>
        </w:rPr>
        <w:t xml:space="preserve">’, </w:t>
      </w:r>
      <w:proofErr w:type="spellStart"/>
      <w:r w:rsidRPr="00F16EC7">
        <w:rPr>
          <w:rFonts w:asciiTheme="majorHAnsi" w:hAnsiTheme="majorHAnsi" w:cstheme="majorHAnsi"/>
          <w:i/>
          <w:color w:val="000000" w:themeColor="text1"/>
          <w:shd w:val="clear" w:color="auto" w:fill="FFFFFF"/>
          <w:lang w:val="en-GB"/>
        </w:rPr>
        <w:t>Recherches</w:t>
      </w:r>
      <w:proofErr w:type="spellEnd"/>
      <w:r w:rsidRPr="00F16EC7">
        <w:rPr>
          <w:rFonts w:asciiTheme="majorHAnsi" w:hAnsiTheme="majorHAnsi" w:cstheme="majorHAnsi"/>
          <w:i/>
          <w:color w:val="000000" w:themeColor="text1"/>
          <w:shd w:val="clear" w:color="auto" w:fill="FFFFFF"/>
          <w:lang w:val="en-GB"/>
        </w:rPr>
        <w:t xml:space="preserve"> </w:t>
      </w:r>
      <w:proofErr w:type="spellStart"/>
      <w:r w:rsidRPr="00F16EC7">
        <w:rPr>
          <w:rFonts w:asciiTheme="majorHAnsi" w:hAnsiTheme="majorHAnsi" w:cstheme="majorHAnsi"/>
          <w:i/>
          <w:color w:val="000000" w:themeColor="text1"/>
          <w:shd w:val="clear" w:color="auto" w:fill="FFFFFF"/>
          <w:lang w:val="en-GB"/>
        </w:rPr>
        <w:t>Augustiniennes</w:t>
      </w:r>
      <w:proofErr w:type="spellEnd"/>
      <w:r w:rsidRPr="00F16EC7">
        <w:rPr>
          <w:rFonts w:asciiTheme="majorHAnsi" w:hAnsiTheme="majorHAnsi" w:cstheme="majorHAnsi"/>
          <w:color w:val="000000" w:themeColor="text1"/>
          <w:shd w:val="clear" w:color="auto" w:fill="FFFFFF"/>
          <w:lang w:val="en-GB"/>
        </w:rPr>
        <w:t>, 23 (1988), 3-86.</w:t>
      </w:r>
    </w:p>
  </w:footnote>
  <w:footnote w:id="49">
    <w:p w:rsidR="002044A1" w:rsidRPr="00F16EC7" w:rsidRDefault="002044A1" w:rsidP="00A669E0">
      <w:pPr>
        <w:widowControl w:val="0"/>
        <w:autoSpaceDE w:val="0"/>
        <w:autoSpaceDN w:val="0"/>
        <w:adjustRightInd w:val="0"/>
        <w:jc w:val="both"/>
        <w:rPr>
          <w:rFonts w:asciiTheme="majorHAnsi" w:eastAsiaTheme="minorEastAsia" w:hAnsiTheme="majorHAnsi" w:cstheme="majorHAnsi"/>
          <w:color w:val="000000" w:themeColor="text1"/>
          <w:sz w:val="20"/>
          <w:szCs w:val="20"/>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 xml:space="preserve">C. M. Chin, 'The Bishop's Two Bodies: Ambrose and the Basilicas of Milan', </w:t>
      </w:r>
      <w:r w:rsidRPr="00F16EC7">
        <w:rPr>
          <w:rFonts w:asciiTheme="majorHAnsi" w:eastAsiaTheme="minorEastAsia" w:hAnsiTheme="majorHAnsi" w:cstheme="majorHAnsi"/>
          <w:i/>
          <w:iCs/>
          <w:color w:val="000000" w:themeColor="text1"/>
          <w:sz w:val="20"/>
          <w:szCs w:val="20"/>
        </w:rPr>
        <w:t>Church History: Studies in Christianity and Culture</w:t>
      </w:r>
      <w:r w:rsidRPr="00F16EC7">
        <w:rPr>
          <w:rFonts w:asciiTheme="majorHAnsi" w:eastAsiaTheme="minorEastAsia" w:hAnsiTheme="majorHAnsi" w:cstheme="majorHAnsi"/>
          <w:iCs/>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 xml:space="preserve">79 (2010), 531-55; M. L. </w:t>
      </w:r>
      <w:proofErr w:type="spellStart"/>
      <w:r w:rsidRPr="00F16EC7">
        <w:rPr>
          <w:rFonts w:asciiTheme="majorHAnsi" w:eastAsiaTheme="minorEastAsia" w:hAnsiTheme="majorHAnsi" w:cstheme="majorHAnsi"/>
          <w:color w:val="000000" w:themeColor="text1"/>
          <w:sz w:val="20"/>
          <w:szCs w:val="20"/>
        </w:rPr>
        <w:t>Colish</w:t>
      </w:r>
      <w:proofErr w:type="spellEnd"/>
      <w:r w:rsidRPr="00F16EC7">
        <w:rPr>
          <w:rFonts w:asciiTheme="majorHAnsi" w:eastAsiaTheme="minorEastAsia" w:hAnsiTheme="majorHAnsi" w:cstheme="majorHAnsi"/>
          <w:color w:val="000000" w:themeColor="text1"/>
          <w:sz w:val="20"/>
          <w:szCs w:val="20"/>
        </w:rPr>
        <w:t xml:space="preserve">, 'Why the </w:t>
      </w:r>
      <w:proofErr w:type="spellStart"/>
      <w:r w:rsidRPr="00F16EC7">
        <w:rPr>
          <w:rFonts w:asciiTheme="majorHAnsi" w:eastAsiaTheme="minorEastAsia" w:hAnsiTheme="majorHAnsi" w:cstheme="majorHAnsi"/>
          <w:color w:val="000000" w:themeColor="text1"/>
          <w:sz w:val="20"/>
          <w:szCs w:val="20"/>
        </w:rPr>
        <w:t>Portiana</w:t>
      </w:r>
      <w:proofErr w:type="spellEnd"/>
      <w:r w:rsidRPr="00F16EC7">
        <w:rPr>
          <w:rFonts w:asciiTheme="majorHAnsi" w:eastAsiaTheme="minorEastAsia" w:hAnsiTheme="majorHAnsi" w:cstheme="majorHAnsi"/>
          <w:color w:val="000000" w:themeColor="text1"/>
          <w:sz w:val="20"/>
          <w:szCs w:val="20"/>
        </w:rPr>
        <w:t xml:space="preserve">?: Reflections on the Milanese Basilica Crisis of 386', </w:t>
      </w:r>
      <w:r w:rsidRPr="00F16EC7">
        <w:rPr>
          <w:rFonts w:asciiTheme="majorHAnsi" w:eastAsiaTheme="minorEastAsia" w:hAnsiTheme="majorHAnsi" w:cstheme="majorHAnsi"/>
          <w:i/>
          <w:iCs/>
          <w:color w:val="000000" w:themeColor="text1"/>
          <w:sz w:val="20"/>
          <w:szCs w:val="20"/>
        </w:rPr>
        <w:t>Journal of Early Christian Studies</w:t>
      </w:r>
      <w:r w:rsidRPr="00F16EC7">
        <w:rPr>
          <w:rFonts w:asciiTheme="majorHAnsi" w:eastAsiaTheme="minorEastAsia" w:hAnsiTheme="majorHAnsi" w:cstheme="majorHAnsi"/>
          <w:iCs/>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 xml:space="preserve">10 (2003), 361-72; D. H. Williams, 'Ambrose, Emperors and </w:t>
      </w:r>
      <w:proofErr w:type="spellStart"/>
      <w:r w:rsidRPr="00F16EC7">
        <w:rPr>
          <w:rFonts w:asciiTheme="majorHAnsi" w:eastAsiaTheme="minorEastAsia" w:hAnsiTheme="majorHAnsi" w:cstheme="majorHAnsi"/>
          <w:color w:val="000000" w:themeColor="text1"/>
          <w:sz w:val="20"/>
          <w:szCs w:val="20"/>
        </w:rPr>
        <w:t>homoians</w:t>
      </w:r>
      <w:proofErr w:type="spellEnd"/>
      <w:r w:rsidRPr="00F16EC7">
        <w:rPr>
          <w:rFonts w:asciiTheme="majorHAnsi" w:eastAsiaTheme="minorEastAsia" w:hAnsiTheme="majorHAnsi" w:cstheme="majorHAnsi"/>
          <w:color w:val="000000" w:themeColor="text1"/>
          <w:sz w:val="20"/>
          <w:szCs w:val="20"/>
        </w:rPr>
        <w:t xml:space="preserve"> in Milan: The first conflict over a Basilica' in M. R. Barnes and D. H. Williams (eds.), </w:t>
      </w:r>
      <w:r w:rsidRPr="00F16EC7">
        <w:rPr>
          <w:rFonts w:asciiTheme="majorHAnsi" w:eastAsiaTheme="minorEastAsia" w:hAnsiTheme="majorHAnsi" w:cstheme="majorHAnsi"/>
          <w:i/>
          <w:iCs/>
          <w:color w:val="000000" w:themeColor="text1"/>
          <w:sz w:val="20"/>
          <w:szCs w:val="20"/>
        </w:rPr>
        <w:t>Arianism after Arius: Essays on the Development of the fourth century Trinitarian Conflicts</w:t>
      </w:r>
      <w:r w:rsidRPr="00F16EC7">
        <w:rPr>
          <w:rFonts w:asciiTheme="majorHAnsi" w:eastAsiaTheme="minorEastAsia" w:hAnsiTheme="majorHAnsi" w:cstheme="majorHAnsi"/>
          <w:color w:val="000000" w:themeColor="text1"/>
          <w:sz w:val="20"/>
          <w:szCs w:val="20"/>
        </w:rPr>
        <w:t xml:space="preserve"> (Edinburgh</w:t>
      </w:r>
      <w:r w:rsidRPr="00F16EC7">
        <w:rPr>
          <w:rFonts w:asciiTheme="majorHAnsi" w:hAnsiTheme="majorHAnsi" w:cstheme="majorHAnsi"/>
          <w:color w:val="000000" w:themeColor="text1"/>
          <w:sz w:val="20"/>
          <w:szCs w:val="20"/>
          <w:lang w:val="en-GB"/>
        </w:rPr>
        <w:t>: T &amp; T Clark</w:t>
      </w:r>
      <w:r w:rsidRPr="00F16EC7">
        <w:rPr>
          <w:rFonts w:asciiTheme="majorHAnsi" w:eastAsiaTheme="minorEastAsia" w:hAnsiTheme="majorHAnsi" w:cstheme="majorHAnsi"/>
          <w:color w:val="000000" w:themeColor="text1"/>
          <w:sz w:val="20"/>
          <w:szCs w:val="20"/>
        </w:rPr>
        <w:t>, 1993), 127-46; A. D. Lenox-</w:t>
      </w:r>
      <w:proofErr w:type="spellStart"/>
      <w:r w:rsidRPr="00F16EC7">
        <w:rPr>
          <w:rFonts w:asciiTheme="majorHAnsi" w:eastAsiaTheme="minorEastAsia" w:hAnsiTheme="majorHAnsi" w:cstheme="majorHAnsi"/>
          <w:color w:val="000000" w:themeColor="text1"/>
          <w:sz w:val="20"/>
          <w:szCs w:val="20"/>
        </w:rPr>
        <w:t>Conyngham</w:t>
      </w:r>
      <w:proofErr w:type="spellEnd"/>
      <w:r w:rsidRPr="00F16EC7">
        <w:rPr>
          <w:rFonts w:asciiTheme="majorHAnsi" w:eastAsiaTheme="minorEastAsia" w:hAnsiTheme="majorHAnsi" w:cstheme="majorHAnsi"/>
          <w:color w:val="000000" w:themeColor="text1"/>
          <w:sz w:val="20"/>
          <w:szCs w:val="20"/>
        </w:rPr>
        <w:t xml:space="preserve">, 'Juristic and Religious Aspects of the Basilica Conflict of A.D. 386', </w:t>
      </w:r>
      <w:proofErr w:type="spellStart"/>
      <w:r w:rsidRPr="00F16EC7">
        <w:rPr>
          <w:rFonts w:asciiTheme="majorHAnsi" w:eastAsiaTheme="minorEastAsia" w:hAnsiTheme="majorHAnsi" w:cstheme="majorHAnsi"/>
          <w:i/>
          <w:iCs/>
          <w:color w:val="000000" w:themeColor="text1"/>
          <w:sz w:val="20"/>
          <w:szCs w:val="20"/>
        </w:rPr>
        <w:t>Studia</w:t>
      </w:r>
      <w:proofErr w:type="spellEnd"/>
      <w:r w:rsidRPr="00F16EC7">
        <w:rPr>
          <w:rFonts w:asciiTheme="majorHAnsi" w:eastAsiaTheme="minorEastAsia" w:hAnsiTheme="majorHAnsi" w:cstheme="majorHAnsi"/>
          <w:i/>
          <w:iCs/>
          <w:color w:val="000000" w:themeColor="text1"/>
          <w:sz w:val="20"/>
          <w:szCs w:val="20"/>
        </w:rPr>
        <w:t xml:space="preserve"> </w:t>
      </w:r>
      <w:proofErr w:type="spellStart"/>
      <w:r w:rsidRPr="00F16EC7">
        <w:rPr>
          <w:rFonts w:asciiTheme="majorHAnsi" w:eastAsiaTheme="minorEastAsia" w:hAnsiTheme="majorHAnsi" w:cstheme="majorHAnsi"/>
          <w:i/>
          <w:iCs/>
          <w:color w:val="000000" w:themeColor="text1"/>
          <w:sz w:val="20"/>
          <w:szCs w:val="20"/>
        </w:rPr>
        <w:t>Patristica</w:t>
      </w:r>
      <w:proofErr w:type="spellEnd"/>
      <w:r w:rsidRPr="00F16EC7">
        <w:rPr>
          <w:rFonts w:asciiTheme="majorHAnsi" w:eastAsiaTheme="minorEastAsia" w:hAnsiTheme="majorHAnsi" w:cstheme="majorHAnsi"/>
          <w:iCs/>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18 (1985), 55-58.</w:t>
      </w:r>
    </w:p>
  </w:footnote>
  <w:footnote w:id="50">
    <w:p w:rsidR="002044A1" w:rsidRPr="00F16EC7" w:rsidRDefault="002044A1" w:rsidP="00A669E0">
      <w:pPr>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rPr>
        <w:t xml:space="preserve"> </w:t>
      </w:r>
      <w:proofErr w:type="spellStart"/>
      <w:r w:rsidRPr="00F16EC7">
        <w:rPr>
          <w:rFonts w:asciiTheme="majorHAnsi" w:eastAsiaTheme="minorEastAsia" w:hAnsiTheme="majorHAnsi" w:cstheme="majorHAnsi"/>
          <w:color w:val="000000" w:themeColor="text1"/>
          <w:sz w:val="20"/>
          <w:szCs w:val="20"/>
        </w:rPr>
        <w:t>Liebeschuetz</w:t>
      </w:r>
      <w:proofErr w:type="spellEnd"/>
      <w:r w:rsidRPr="00F16EC7">
        <w:rPr>
          <w:rFonts w:asciiTheme="majorHAnsi" w:eastAsiaTheme="minorEastAsia" w:hAnsiTheme="majorHAnsi" w:cstheme="majorHAnsi"/>
          <w:color w:val="000000" w:themeColor="text1"/>
          <w:sz w:val="20"/>
          <w:szCs w:val="20"/>
        </w:rPr>
        <w:t xml:space="preserve">, </w:t>
      </w:r>
      <w:r w:rsidRPr="00F16EC7">
        <w:rPr>
          <w:rFonts w:asciiTheme="majorHAnsi" w:eastAsiaTheme="minorEastAsia" w:hAnsiTheme="majorHAnsi" w:cstheme="majorHAnsi"/>
          <w:i/>
          <w:color w:val="000000" w:themeColor="text1"/>
          <w:sz w:val="20"/>
          <w:szCs w:val="20"/>
        </w:rPr>
        <w:t>Ambrose of Milan</w:t>
      </w:r>
      <w:r w:rsidRPr="00F16EC7">
        <w:rPr>
          <w:rFonts w:asciiTheme="majorHAnsi" w:eastAsiaTheme="minorEastAsia" w:hAnsiTheme="majorHAnsi" w:cstheme="majorHAnsi"/>
          <w:color w:val="000000" w:themeColor="text1"/>
          <w:sz w:val="20"/>
          <w:szCs w:val="20"/>
        </w:rPr>
        <w:t>, 204-14; J. San Bernardino, '</w:t>
      </w:r>
      <w:r w:rsidRPr="00F16EC7">
        <w:rPr>
          <w:rFonts w:asciiTheme="majorHAnsi" w:eastAsiaTheme="minorEastAsia" w:hAnsiTheme="majorHAnsi" w:cstheme="majorHAnsi"/>
          <w:i/>
          <w:iCs/>
          <w:color w:val="000000" w:themeColor="text1"/>
          <w:sz w:val="20"/>
          <w:szCs w:val="20"/>
        </w:rPr>
        <w:t xml:space="preserve">Sub </w:t>
      </w:r>
      <w:proofErr w:type="spellStart"/>
      <w:r w:rsidRPr="00F16EC7">
        <w:rPr>
          <w:rFonts w:asciiTheme="majorHAnsi" w:eastAsiaTheme="minorEastAsia" w:hAnsiTheme="majorHAnsi" w:cstheme="majorHAnsi"/>
          <w:i/>
          <w:iCs/>
          <w:color w:val="000000" w:themeColor="text1"/>
          <w:sz w:val="20"/>
          <w:szCs w:val="20"/>
        </w:rPr>
        <w:t>imperio</w:t>
      </w:r>
      <w:proofErr w:type="spellEnd"/>
      <w:r w:rsidRPr="00F16EC7">
        <w:rPr>
          <w:rFonts w:asciiTheme="majorHAnsi" w:eastAsiaTheme="minorEastAsia" w:hAnsiTheme="majorHAnsi" w:cstheme="majorHAnsi"/>
          <w:i/>
          <w:iCs/>
          <w:color w:val="000000" w:themeColor="text1"/>
          <w:sz w:val="20"/>
          <w:szCs w:val="20"/>
        </w:rPr>
        <w:t xml:space="preserve"> </w:t>
      </w:r>
      <w:proofErr w:type="spellStart"/>
      <w:r w:rsidRPr="00F16EC7">
        <w:rPr>
          <w:rFonts w:asciiTheme="majorHAnsi" w:eastAsiaTheme="minorEastAsia" w:hAnsiTheme="majorHAnsi" w:cstheme="majorHAnsi"/>
          <w:i/>
          <w:iCs/>
          <w:color w:val="000000" w:themeColor="text1"/>
          <w:sz w:val="20"/>
          <w:szCs w:val="20"/>
        </w:rPr>
        <w:t>discordiae</w:t>
      </w:r>
      <w:proofErr w:type="spellEnd"/>
      <w:r w:rsidRPr="00F16EC7">
        <w:rPr>
          <w:rFonts w:asciiTheme="majorHAnsi" w:eastAsiaTheme="minorEastAsia" w:hAnsiTheme="majorHAnsi" w:cstheme="majorHAnsi"/>
          <w:color w:val="000000" w:themeColor="text1"/>
          <w:sz w:val="20"/>
          <w:szCs w:val="20"/>
        </w:rPr>
        <w:t xml:space="preserve">: </w:t>
      </w:r>
      <w:proofErr w:type="spellStart"/>
      <w:r w:rsidRPr="00F16EC7">
        <w:rPr>
          <w:rFonts w:asciiTheme="majorHAnsi" w:eastAsiaTheme="minorEastAsia" w:hAnsiTheme="majorHAnsi" w:cstheme="majorHAnsi"/>
          <w:color w:val="000000" w:themeColor="text1"/>
          <w:sz w:val="20"/>
          <w:szCs w:val="20"/>
        </w:rPr>
        <w:t>l´uomo</w:t>
      </w:r>
      <w:proofErr w:type="spellEnd"/>
      <w:r w:rsidRPr="00F16EC7">
        <w:rPr>
          <w:rFonts w:asciiTheme="majorHAnsi" w:eastAsiaTheme="minorEastAsia" w:hAnsiTheme="majorHAnsi" w:cstheme="majorHAnsi"/>
          <w:color w:val="000000" w:themeColor="text1"/>
          <w:sz w:val="20"/>
          <w:szCs w:val="20"/>
        </w:rPr>
        <w:t xml:space="preserve"> </w:t>
      </w:r>
      <w:proofErr w:type="spellStart"/>
      <w:r w:rsidRPr="00F16EC7">
        <w:rPr>
          <w:rFonts w:asciiTheme="majorHAnsi" w:eastAsiaTheme="minorEastAsia" w:hAnsiTheme="majorHAnsi" w:cstheme="majorHAnsi"/>
          <w:color w:val="000000" w:themeColor="text1"/>
          <w:sz w:val="20"/>
          <w:szCs w:val="20"/>
        </w:rPr>
        <w:t>che</w:t>
      </w:r>
      <w:proofErr w:type="spellEnd"/>
      <w:r w:rsidRPr="00F16EC7">
        <w:rPr>
          <w:rFonts w:asciiTheme="majorHAnsi" w:eastAsiaTheme="minorEastAsia" w:hAnsiTheme="majorHAnsi" w:cstheme="majorHAnsi"/>
          <w:color w:val="000000" w:themeColor="text1"/>
          <w:sz w:val="20"/>
          <w:szCs w:val="20"/>
        </w:rPr>
        <w:t xml:space="preserve"> </w:t>
      </w:r>
      <w:proofErr w:type="spellStart"/>
      <w:r w:rsidRPr="00F16EC7">
        <w:rPr>
          <w:rFonts w:asciiTheme="majorHAnsi" w:eastAsiaTheme="minorEastAsia" w:hAnsiTheme="majorHAnsi" w:cstheme="majorHAnsi"/>
          <w:color w:val="000000" w:themeColor="text1"/>
          <w:sz w:val="20"/>
          <w:szCs w:val="20"/>
        </w:rPr>
        <w:t>voleva</w:t>
      </w:r>
      <w:proofErr w:type="spellEnd"/>
      <w:r w:rsidRPr="00F16EC7">
        <w:rPr>
          <w:rFonts w:asciiTheme="majorHAnsi" w:eastAsiaTheme="minorEastAsia" w:hAnsiTheme="majorHAnsi" w:cstheme="majorHAnsi"/>
          <w:color w:val="000000" w:themeColor="text1"/>
          <w:sz w:val="20"/>
          <w:szCs w:val="20"/>
        </w:rPr>
        <w:t xml:space="preserve"> </w:t>
      </w:r>
      <w:proofErr w:type="spellStart"/>
      <w:r w:rsidRPr="00F16EC7">
        <w:rPr>
          <w:rFonts w:asciiTheme="majorHAnsi" w:eastAsiaTheme="minorEastAsia" w:hAnsiTheme="majorHAnsi" w:cstheme="majorHAnsi"/>
          <w:color w:val="000000" w:themeColor="text1"/>
          <w:sz w:val="20"/>
          <w:szCs w:val="20"/>
        </w:rPr>
        <w:t>essere</w:t>
      </w:r>
      <w:proofErr w:type="spellEnd"/>
      <w:r w:rsidRPr="00F16EC7">
        <w:rPr>
          <w:rFonts w:asciiTheme="majorHAnsi" w:eastAsiaTheme="minorEastAsia" w:hAnsiTheme="majorHAnsi" w:cstheme="majorHAnsi"/>
          <w:color w:val="000000" w:themeColor="text1"/>
          <w:sz w:val="20"/>
          <w:szCs w:val="20"/>
        </w:rPr>
        <w:t xml:space="preserve"> Eliseo (</w:t>
      </w:r>
      <w:proofErr w:type="spellStart"/>
      <w:r w:rsidRPr="00F16EC7">
        <w:rPr>
          <w:rFonts w:asciiTheme="majorHAnsi" w:eastAsiaTheme="minorEastAsia" w:hAnsiTheme="majorHAnsi" w:cstheme="majorHAnsi"/>
          <w:color w:val="000000" w:themeColor="text1"/>
          <w:sz w:val="20"/>
          <w:szCs w:val="20"/>
        </w:rPr>
        <w:t>giugno</w:t>
      </w:r>
      <w:proofErr w:type="spellEnd"/>
      <w:r w:rsidRPr="00F16EC7">
        <w:rPr>
          <w:rFonts w:asciiTheme="majorHAnsi" w:eastAsiaTheme="minorEastAsia" w:hAnsiTheme="majorHAnsi" w:cstheme="majorHAnsi"/>
          <w:color w:val="000000" w:themeColor="text1"/>
          <w:sz w:val="20"/>
          <w:szCs w:val="20"/>
        </w:rPr>
        <w:t xml:space="preserve"> 386)' in L. F. </w:t>
      </w:r>
      <w:proofErr w:type="spellStart"/>
      <w:r w:rsidRPr="00F16EC7">
        <w:rPr>
          <w:rFonts w:asciiTheme="majorHAnsi" w:eastAsiaTheme="minorEastAsia" w:hAnsiTheme="majorHAnsi" w:cstheme="majorHAnsi"/>
          <w:color w:val="000000" w:themeColor="text1"/>
          <w:sz w:val="20"/>
          <w:szCs w:val="20"/>
        </w:rPr>
        <w:t>Pizzolato</w:t>
      </w:r>
      <w:proofErr w:type="spellEnd"/>
      <w:r w:rsidRPr="00F16EC7">
        <w:rPr>
          <w:rFonts w:asciiTheme="majorHAnsi" w:eastAsiaTheme="minorEastAsia" w:hAnsiTheme="majorHAnsi" w:cstheme="majorHAnsi"/>
          <w:color w:val="000000" w:themeColor="text1"/>
          <w:sz w:val="20"/>
          <w:szCs w:val="20"/>
        </w:rPr>
        <w:t xml:space="preserve"> and M. </w:t>
      </w:r>
      <w:proofErr w:type="spellStart"/>
      <w:r w:rsidRPr="00F16EC7">
        <w:rPr>
          <w:rFonts w:asciiTheme="majorHAnsi" w:eastAsiaTheme="minorEastAsia" w:hAnsiTheme="majorHAnsi" w:cstheme="majorHAnsi"/>
          <w:color w:val="000000" w:themeColor="text1"/>
          <w:sz w:val="20"/>
          <w:szCs w:val="20"/>
        </w:rPr>
        <w:t>Rizzi</w:t>
      </w:r>
      <w:proofErr w:type="spellEnd"/>
      <w:r w:rsidRPr="00F16EC7">
        <w:rPr>
          <w:rFonts w:asciiTheme="majorHAnsi" w:eastAsiaTheme="minorEastAsia" w:hAnsiTheme="majorHAnsi" w:cstheme="majorHAnsi"/>
          <w:color w:val="000000" w:themeColor="text1"/>
          <w:sz w:val="20"/>
          <w:szCs w:val="20"/>
        </w:rPr>
        <w:t xml:space="preserve">, (eds.), </w:t>
      </w:r>
      <w:proofErr w:type="spellStart"/>
      <w:r w:rsidRPr="00F16EC7">
        <w:rPr>
          <w:rFonts w:asciiTheme="majorHAnsi" w:eastAsiaTheme="minorEastAsia" w:hAnsiTheme="majorHAnsi" w:cstheme="majorHAnsi"/>
          <w:i/>
          <w:iCs/>
          <w:color w:val="000000" w:themeColor="text1"/>
          <w:sz w:val="20"/>
          <w:szCs w:val="20"/>
        </w:rPr>
        <w:t>Nec</w:t>
      </w:r>
      <w:proofErr w:type="spellEnd"/>
      <w:r w:rsidRPr="00F16EC7">
        <w:rPr>
          <w:rFonts w:asciiTheme="majorHAnsi" w:eastAsiaTheme="minorEastAsia" w:hAnsiTheme="majorHAnsi" w:cstheme="majorHAnsi"/>
          <w:i/>
          <w:iCs/>
          <w:color w:val="000000" w:themeColor="text1"/>
          <w:sz w:val="20"/>
          <w:szCs w:val="20"/>
        </w:rPr>
        <w:t xml:space="preserve"> </w:t>
      </w:r>
      <w:proofErr w:type="spellStart"/>
      <w:r w:rsidRPr="00F16EC7">
        <w:rPr>
          <w:rFonts w:asciiTheme="majorHAnsi" w:eastAsiaTheme="minorEastAsia" w:hAnsiTheme="majorHAnsi" w:cstheme="majorHAnsi"/>
          <w:i/>
          <w:iCs/>
          <w:color w:val="000000" w:themeColor="text1"/>
          <w:sz w:val="20"/>
          <w:szCs w:val="20"/>
        </w:rPr>
        <w:t>timeo</w:t>
      </w:r>
      <w:proofErr w:type="spellEnd"/>
      <w:r w:rsidRPr="00F16EC7">
        <w:rPr>
          <w:rFonts w:asciiTheme="majorHAnsi" w:eastAsiaTheme="minorEastAsia" w:hAnsiTheme="majorHAnsi" w:cstheme="majorHAnsi"/>
          <w:i/>
          <w:iCs/>
          <w:color w:val="000000" w:themeColor="text1"/>
          <w:sz w:val="20"/>
          <w:szCs w:val="20"/>
        </w:rPr>
        <w:t xml:space="preserve"> mori: </w:t>
      </w:r>
      <w:proofErr w:type="spellStart"/>
      <w:r w:rsidRPr="00F16EC7">
        <w:rPr>
          <w:rFonts w:asciiTheme="majorHAnsi" w:eastAsiaTheme="minorEastAsia" w:hAnsiTheme="majorHAnsi" w:cstheme="majorHAnsi"/>
          <w:i/>
          <w:iCs/>
          <w:color w:val="000000" w:themeColor="text1"/>
          <w:sz w:val="20"/>
          <w:szCs w:val="20"/>
        </w:rPr>
        <w:t>atti</w:t>
      </w:r>
      <w:proofErr w:type="spellEnd"/>
      <w:r w:rsidRPr="00F16EC7">
        <w:rPr>
          <w:rFonts w:asciiTheme="majorHAnsi" w:eastAsiaTheme="minorEastAsia" w:hAnsiTheme="majorHAnsi" w:cstheme="majorHAnsi"/>
          <w:i/>
          <w:iCs/>
          <w:color w:val="000000" w:themeColor="text1"/>
          <w:sz w:val="20"/>
          <w:szCs w:val="20"/>
        </w:rPr>
        <w:t xml:space="preserve"> del </w:t>
      </w:r>
      <w:proofErr w:type="spellStart"/>
      <w:r w:rsidRPr="00F16EC7">
        <w:rPr>
          <w:rFonts w:asciiTheme="majorHAnsi" w:eastAsiaTheme="minorEastAsia" w:hAnsiTheme="majorHAnsi" w:cstheme="majorHAnsi"/>
          <w:i/>
          <w:iCs/>
          <w:color w:val="000000" w:themeColor="text1"/>
          <w:sz w:val="20"/>
          <w:szCs w:val="20"/>
        </w:rPr>
        <w:t>Congresso</w:t>
      </w:r>
      <w:proofErr w:type="spellEnd"/>
      <w:r w:rsidRPr="00F16EC7">
        <w:rPr>
          <w:rFonts w:asciiTheme="majorHAnsi" w:eastAsiaTheme="minorEastAsia" w:hAnsiTheme="majorHAnsi" w:cstheme="majorHAnsi"/>
          <w:i/>
          <w:iCs/>
          <w:color w:val="000000" w:themeColor="text1"/>
          <w:sz w:val="20"/>
          <w:szCs w:val="20"/>
        </w:rPr>
        <w:t xml:space="preserve"> </w:t>
      </w:r>
      <w:proofErr w:type="spellStart"/>
      <w:r w:rsidRPr="00F16EC7">
        <w:rPr>
          <w:rFonts w:asciiTheme="majorHAnsi" w:eastAsiaTheme="minorEastAsia" w:hAnsiTheme="majorHAnsi" w:cstheme="majorHAnsi"/>
          <w:i/>
          <w:iCs/>
          <w:color w:val="000000" w:themeColor="text1"/>
          <w:sz w:val="20"/>
          <w:szCs w:val="20"/>
        </w:rPr>
        <w:t>internazionale</w:t>
      </w:r>
      <w:proofErr w:type="spellEnd"/>
      <w:r w:rsidRPr="00F16EC7">
        <w:rPr>
          <w:rFonts w:asciiTheme="majorHAnsi" w:eastAsiaTheme="minorEastAsia" w:hAnsiTheme="majorHAnsi" w:cstheme="majorHAnsi"/>
          <w:i/>
          <w:iCs/>
          <w:color w:val="000000" w:themeColor="text1"/>
          <w:sz w:val="20"/>
          <w:szCs w:val="20"/>
        </w:rPr>
        <w:t xml:space="preserve"> di </w:t>
      </w:r>
      <w:proofErr w:type="spellStart"/>
      <w:r w:rsidRPr="00F16EC7">
        <w:rPr>
          <w:rFonts w:asciiTheme="majorHAnsi" w:eastAsiaTheme="minorEastAsia" w:hAnsiTheme="majorHAnsi" w:cstheme="majorHAnsi"/>
          <w:i/>
          <w:iCs/>
          <w:color w:val="000000" w:themeColor="text1"/>
          <w:sz w:val="20"/>
          <w:szCs w:val="20"/>
        </w:rPr>
        <w:t>studi</w:t>
      </w:r>
      <w:proofErr w:type="spellEnd"/>
      <w:r w:rsidRPr="00F16EC7">
        <w:rPr>
          <w:rFonts w:asciiTheme="majorHAnsi" w:eastAsiaTheme="minorEastAsia" w:hAnsiTheme="majorHAnsi" w:cstheme="majorHAnsi"/>
          <w:i/>
          <w:iCs/>
          <w:color w:val="000000" w:themeColor="text1"/>
          <w:sz w:val="20"/>
          <w:szCs w:val="20"/>
        </w:rPr>
        <w:t xml:space="preserve"> </w:t>
      </w:r>
      <w:proofErr w:type="spellStart"/>
      <w:r w:rsidRPr="00F16EC7">
        <w:rPr>
          <w:rFonts w:asciiTheme="majorHAnsi" w:eastAsiaTheme="minorEastAsia" w:hAnsiTheme="majorHAnsi" w:cstheme="majorHAnsi"/>
          <w:i/>
          <w:iCs/>
          <w:color w:val="000000" w:themeColor="text1"/>
          <w:sz w:val="20"/>
          <w:szCs w:val="20"/>
        </w:rPr>
        <w:t>ambrosiani</w:t>
      </w:r>
      <w:proofErr w:type="spellEnd"/>
      <w:r w:rsidRPr="00F16EC7">
        <w:rPr>
          <w:rFonts w:asciiTheme="majorHAnsi" w:eastAsiaTheme="minorEastAsia" w:hAnsiTheme="majorHAnsi" w:cstheme="majorHAnsi"/>
          <w:i/>
          <w:iCs/>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(Milan</w:t>
      </w:r>
      <w:r w:rsidRPr="00F16EC7">
        <w:rPr>
          <w:rFonts w:asciiTheme="majorHAnsi" w:hAnsiTheme="majorHAnsi" w:cstheme="majorHAnsi"/>
          <w:color w:val="000000" w:themeColor="text1"/>
          <w:sz w:val="20"/>
          <w:szCs w:val="20"/>
          <w:lang w:val="en-GB"/>
        </w:rPr>
        <w:t xml:space="preserve">: </w:t>
      </w:r>
      <w:r w:rsidRPr="00F16EC7">
        <w:rPr>
          <w:rFonts w:asciiTheme="majorHAnsi" w:eastAsia="Arial Unicode MS" w:hAnsiTheme="majorHAnsi" w:cstheme="majorHAnsi"/>
          <w:color w:val="000000" w:themeColor="text1"/>
          <w:sz w:val="20"/>
          <w:szCs w:val="20"/>
          <w:shd w:val="clear" w:color="auto" w:fill="FFFFFF"/>
          <w:lang w:val="en-GB"/>
        </w:rPr>
        <w:t xml:space="preserve">Vita e </w:t>
      </w:r>
      <w:proofErr w:type="spellStart"/>
      <w:r w:rsidRPr="00F16EC7">
        <w:rPr>
          <w:rFonts w:asciiTheme="majorHAnsi" w:eastAsia="Arial Unicode MS" w:hAnsiTheme="majorHAnsi" w:cstheme="majorHAnsi"/>
          <w:color w:val="000000" w:themeColor="text1"/>
          <w:sz w:val="20"/>
          <w:szCs w:val="20"/>
          <w:shd w:val="clear" w:color="auto" w:fill="FFFFFF"/>
          <w:lang w:val="en-GB"/>
        </w:rPr>
        <w:t>pensiero</w:t>
      </w:r>
      <w:proofErr w:type="spellEnd"/>
      <w:r w:rsidRPr="00F16EC7">
        <w:rPr>
          <w:rFonts w:asciiTheme="majorHAnsi" w:eastAsiaTheme="minorEastAsia" w:hAnsiTheme="majorHAnsi" w:cstheme="majorHAnsi"/>
          <w:color w:val="000000" w:themeColor="text1"/>
          <w:sz w:val="20"/>
          <w:szCs w:val="20"/>
        </w:rPr>
        <w:t xml:space="preserve">, 1998), 709-36; </w:t>
      </w:r>
      <w:proofErr w:type="spellStart"/>
      <w:r w:rsidRPr="00F16EC7">
        <w:rPr>
          <w:rFonts w:asciiTheme="majorHAnsi" w:eastAsiaTheme="minorEastAsia" w:hAnsiTheme="majorHAnsi" w:cstheme="majorHAnsi"/>
          <w:color w:val="000000" w:themeColor="text1"/>
          <w:sz w:val="20"/>
          <w:szCs w:val="20"/>
        </w:rPr>
        <w:t>McLynn</w:t>
      </w:r>
      <w:proofErr w:type="spellEnd"/>
      <w:r w:rsidRPr="00F16EC7">
        <w:rPr>
          <w:rFonts w:asciiTheme="majorHAnsi" w:eastAsiaTheme="minorEastAsia" w:hAnsiTheme="majorHAnsi" w:cstheme="majorHAnsi"/>
          <w:color w:val="000000" w:themeColor="text1"/>
          <w:sz w:val="20"/>
          <w:szCs w:val="20"/>
        </w:rPr>
        <w:t xml:space="preserve">, </w:t>
      </w:r>
      <w:r w:rsidRPr="00F16EC7">
        <w:rPr>
          <w:rFonts w:asciiTheme="majorHAnsi" w:eastAsiaTheme="minorEastAsia" w:hAnsiTheme="majorHAnsi" w:cstheme="majorHAnsi"/>
          <w:i/>
          <w:color w:val="000000" w:themeColor="text1"/>
          <w:sz w:val="20"/>
          <w:szCs w:val="20"/>
        </w:rPr>
        <w:t>Ambrose of Milan</w:t>
      </w:r>
      <w:r w:rsidRPr="00F16EC7">
        <w:rPr>
          <w:rFonts w:asciiTheme="majorHAnsi" w:eastAsiaTheme="minorEastAsia" w:hAnsiTheme="majorHAnsi" w:cstheme="majorHAnsi"/>
          <w:color w:val="000000" w:themeColor="text1"/>
          <w:sz w:val="20"/>
          <w:szCs w:val="20"/>
        </w:rPr>
        <w:t>, 209-19.</w:t>
      </w:r>
    </w:p>
  </w:footnote>
  <w:footnote w:id="51">
    <w:p w:rsidR="002044A1" w:rsidRPr="00F16EC7" w:rsidRDefault="002044A1" w:rsidP="00A669E0">
      <w:pPr>
        <w:pStyle w:val="FootnoteText"/>
        <w:spacing w:line="240" w:lineRule="auto"/>
        <w:jc w:val="both"/>
        <w:rPr>
          <w:rFonts w:asciiTheme="majorHAnsi" w:hAnsiTheme="majorHAnsi" w:cstheme="majorHAnsi"/>
          <w:color w:val="000000" w:themeColor="text1"/>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rPr>
        <w:t xml:space="preserve"> </w:t>
      </w:r>
      <w:proofErr w:type="spellStart"/>
      <w:r w:rsidRPr="00F16EC7">
        <w:rPr>
          <w:rFonts w:asciiTheme="majorHAnsi" w:hAnsiTheme="majorHAnsi" w:cstheme="majorHAnsi"/>
          <w:color w:val="000000" w:themeColor="text1"/>
        </w:rPr>
        <w:t>Liebeschuetz</w:t>
      </w:r>
      <w:proofErr w:type="spellEnd"/>
      <w:r w:rsidRPr="00F16EC7">
        <w:rPr>
          <w:rFonts w:asciiTheme="majorHAnsi" w:hAnsiTheme="majorHAnsi" w:cstheme="majorHAnsi"/>
          <w:color w:val="000000" w:themeColor="text1"/>
        </w:rPr>
        <w:t xml:space="preserve">, </w:t>
      </w:r>
      <w:r w:rsidRPr="00F16EC7">
        <w:rPr>
          <w:rFonts w:asciiTheme="majorHAnsi" w:hAnsiTheme="majorHAnsi" w:cstheme="majorHAnsi"/>
          <w:i/>
          <w:color w:val="000000" w:themeColor="text1"/>
        </w:rPr>
        <w:t>Ambrose of Milan</w:t>
      </w:r>
      <w:r w:rsidRPr="00F16EC7">
        <w:rPr>
          <w:rFonts w:asciiTheme="majorHAnsi" w:hAnsiTheme="majorHAnsi" w:cstheme="majorHAnsi"/>
          <w:color w:val="000000" w:themeColor="text1"/>
        </w:rPr>
        <w:t xml:space="preserve">, 95-123; </w:t>
      </w:r>
      <w:proofErr w:type="spellStart"/>
      <w:r w:rsidRPr="00F16EC7">
        <w:rPr>
          <w:rFonts w:asciiTheme="majorHAnsi" w:hAnsiTheme="majorHAnsi" w:cstheme="majorHAnsi"/>
          <w:color w:val="000000" w:themeColor="text1"/>
        </w:rPr>
        <w:t>McLynn</w:t>
      </w:r>
      <w:proofErr w:type="spellEnd"/>
      <w:r w:rsidRPr="00F16EC7">
        <w:rPr>
          <w:rFonts w:asciiTheme="majorHAnsi" w:hAnsiTheme="majorHAnsi" w:cstheme="majorHAnsi"/>
          <w:color w:val="000000" w:themeColor="text1"/>
        </w:rPr>
        <w:t xml:space="preserve">, </w:t>
      </w:r>
      <w:r w:rsidRPr="00F16EC7">
        <w:rPr>
          <w:rFonts w:asciiTheme="majorHAnsi" w:hAnsiTheme="majorHAnsi" w:cstheme="majorHAnsi"/>
          <w:i/>
          <w:color w:val="000000" w:themeColor="text1"/>
        </w:rPr>
        <w:t>Ambrose of Milan</w:t>
      </w:r>
      <w:r w:rsidRPr="00F16EC7">
        <w:rPr>
          <w:rFonts w:asciiTheme="majorHAnsi" w:hAnsiTheme="majorHAnsi" w:cstheme="majorHAnsi"/>
          <w:color w:val="000000" w:themeColor="text1"/>
        </w:rPr>
        <w:t>, 298-314.</w:t>
      </w:r>
    </w:p>
  </w:footnote>
  <w:footnote w:id="52">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lang w:val="en-GB"/>
        </w:rPr>
        <w:t xml:space="preserve"> </w:t>
      </w:r>
      <w:r w:rsidRPr="00F16EC7">
        <w:rPr>
          <w:rFonts w:asciiTheme="majorHAnsi" w:hAnsiTheme="majorHAnsi" w:cstheme="majorHAnsi"/>
          <w:i/>
          <w:color w:val="000000" w:themeColor="text1"/>
          <w:lang w:val="en-GB"/>
        </w:rPr>
        <w:t>Gesta Concilii Aquileiensis</w:t>
      </w:r>
      <w:r w:rsidR="00A669E0" w:rsidRPr="00F16EC7">
        <w:rPr>
          <w:rFonts w:asciiTheme="majorHAnsi" w:hAnsiTheme="majorHAnsi" w:cstheme="majorHAnsi"/>
          <w:i/>
          <w:color w:val="000000" w:themeColor="text1"/>
          <w:lang w:val="en-GB"/>
        </w:rPr>
        <w:t xml:space="preserve"> </w:t>
      </w:r>
      <w:r w:rsidR="00A669E0" w:rsidRPr="00F16EC7">
        <w:rPr>
          <w:rFonts w:asciiTheme="majorHAnsi" w:hAnsiTheme="majorHAnsi" w:cstheme="majorHAnsi"/>
          <w:color w:val="000000" w:themeColor="text1"/>
          <w:lang w:val="en-GB"/>
        </w:rPr>
        <w:t>1-2</w:t>
      </w:r>
      <w:r w:rsidRPr="00F16EC7">
        <w:rPr>
          <w:rFonts w:asciiTheme="majorHAnsi" w:hAnsiTheme="majorHAnsi" w:cstheme="majorHAnsi"/>
          <w:color w:val="000000" w:themeColor="text1"/>
          <w:lang w:val="en-GB"/>
        </w:rPr>
        <w:t xml:space="preserve">, </w:t>
      </w:r>
      <w:r w:rsidR="00A669E0" w:rsidRPr="00F16EC7">
        <w:rPr>
          <w:rFonts w:asciiTheme="majorHAnsi" w:hAnsiTheme="majorHAnsi" w:cstheme="majorHAnsi"/>
          <w:color w:val="000000" w:themeColor="text1"/>
          <w:lang w:val="en-GB"/>
        </w:rPr>
        <w:t xml:space="preserve">O. Faller and M. Zelzer (eds.), </w:t>
      </w:r>
      <w:r w:rsidR="00A669E0" w:rsidRPr="00F16EC7">
        <w:rPr>
          <w:rFonts w:asciiTheme="majorHAnsi" w:hAnsiTheme="majorHAnsi" w:cstheme="majorHAnsi"/>
          <w:i/>
          <w:color w:val="000000" w:themeColor="text1"/>
          <w:shd w:val="clear" w:color="auto" w:fill="FFFFFF"/>
          <w:lang w:val="en-GB"/>
        </w:rPr>
        <w:t>Sancti Ambrosi Opera, Epistulae et Acta,</w:t>
      </w:r>
      <w:r w:rsidR="00A669E0" w:rsidRPr="00F16EC7">
        <w:rPr>
          <w:rFonts w:asciiTheme="majorHAnsi" w:hAnsiTheme="majorHAnsi" w:cstheme="majorHAnsi"/>
          <w:color w:val="000000" w:themeColor="text1"/>
          <w:shd w:val="clear" w:color="auto" w:fill="FFFFFF"/>
          <w:lang w:val="en-GB"/>
        </w:rPr>
        <w:t xml:space="preserve"> </w:t>
      </w:r>
      <w:r w:rsidR="00A669E0" w:rsidRPr="00F16EC7">
        <w:rPr>
          <w:rFonts w:asciiTheme="majorHAnsi" w:hAnsiTheme="majorHAnsi" w:cstheme="majorHAnsi"/>
          <w:color w:val="000000" w:themeColor="text1"/>
          <w:lang w:val="en-GB"/>
        </w:rPr>
        <w:t xml:space="preserve">CSEL 82.3, </w:t>
      </w:r>
      <w:r w:rsidR="00A669E0" w:rsidRPr="00F16EC7">
        <w:rPr>
          <w:rFonts w:asciiTheme="majorHAnsi" w:hAnsiTheme="majorHAnsi" w:cstheme="majorHAnsi"/>
          <w:color w:val="000000" w:themeColor="text1"/>
          <w:shd w:val="clear" w:color="auto" w:fill="FFFFFF"/>
          <w:lang w:val="en-GB"/>
        </w:rPr>
        <w:t>(Vienna: OeAW, 1982)</w:t>
      </w:r>
      <w:r w:rsidRPr="00F16EC7">
        <w:rPr>
          <w:rFonts w:asciiTheme="majorHAnsi" w:hAnsiTheme="majorHAnsi" w:cstheme="majorHAnsi"/>
          <w:color w:val="000000" w:themeColor="text1"/>
          <w:lang w:val="en-GB"/>
        </w:rPr>
        <w:t>, 126-40.</w:t>
      </w:r>
    </w:p>
  </w:footnote>
  <w:footnote w:id="53">
    <w:p w:rsidR="002044A1" w:rsidRPr="00F16EC7" w:rsidRDefault="002044A1" w:rsidP="00A669E0">
      <w:pPr>
        <w:pStyle w:val="FootnoteText"/>
        <w:spacing w:line="240" w:lineRule="auto"/>
        <w:jc w:val="both"/>
        <w:rPr>
          <w:rFonts w:asciiTheme="majorHAnsi" w:hAnsiTheme="majorHAnsi" w:cstheme="majorHAnsi"/>
          <w:color w:val="000000" w:themeColor="text1"/>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rPr>
        <w:t xml:space="preserve"> Symmachus’ </w:t>
      </w:r>
      <w:proofErr w:type="spellStart"/>
      <w:r w:rsidRPr="00F16EC7">
        <w:rPr>
          <w:rFonts w:asciiTheme="majorHAnsi" w:hAnsiTheme="majorHAnsi" w:cstheme="majorHAnsi"/>
          <w:i/>
          <w:color w:val="000000" w:themeColor="text1"/>
        </w:rPr>
        <w:t>Relatio</w:t>
      </w:r>
      <w:proofErr w:type="spellEnd"/>
      <w:r w:rsidRPr="00F16EC7">
        <w:rPr>
          <w:rFonts w:asciiTheme="majorHAnsi" w:hAnsiTheme="majorHAnsi" w:cstheme="majorHAnsi"/>
          <w:color w:val="000000" w:themeColor="text1"/>
        </w:rPr>
        <w:t xml:space="preserve"> 3 is preserved as </w:t>
      </w:r>
      <w:r w:rsidRPr="00F16EC7">
        <w:rPr>
          <w:rFonts w:asciiTheme="majorHAnsi" w:hAnsiTheme="majorHAnsi" w:cstheme="majorHAnsi"/>
          <w:i/>
          <w:color w:val="000000" w:themeColor="text1"/>
        </w:rPr>
        <w:t>Ep</w:t>
      </w:r>
      <w:r w:rsidRPr="00F16EC7">
        <w:rPr>
          <w:rFonts w:asciiTheme="majorHAnsi" w:hAnsiTheme="majorHAnsi" w:cstheme="majorHAnsi"/>
          <w:color w:val="000000" w:themeColor="text1"/>
        </w:rPr>
        <w:t>. 72a in Ambrose’s letter collection.</w:t>
      </w:r>
    </w:p>
  </w:footnote>
  <w:footnote w:id="54">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w:t>
      </w:r>
      <w:proofErr w:type="spellStart"/>
      <w:r w:rsidRPr="00F16EC7">
        <w:rPr>
          <w:rFonts w:asciiTheme="majorHAnsi" w:hAnsiTheme="majorHAnsi" w:cstheme="majorHAnsi"/>
          <w:color w:val="000000" w:themeColor="text1"/>
          <w:lang w:val="en-GB"/>
        </w:rPr>
        <w:t>Siricius</w:t>
      </w:r>
      <w:proofErr w:type="spellEnd"/>
      <w:r w:rsidRPr="00F16EC7">
        <w:rPr>
          <w:rFonts w:asciiTheme="majorHAnsi" w:hAnsiTheme="majorHAnsi" w:cstheme="majorHAnsi"/>
          <w:color w:val="000000" w:themeColor="text1"/>
          <w:lang w:val="en-GB"/>
        </w:rPr>
        <w:t xml:space="preserve">’ letter </w:t>
      </w:r>
      <w:r w:rsidRPr="00F16EC7">
        <w:rPr>
          <w:rFonts w:asciiTheme="majorHAnsi" w:hAnsiTheme="majorHAnsi" w:cstheme="majorHAnsi"/>
          <w:color w:val="000000" w:themeColor="text1"/>
        </w:rPr>
        <w:t xml:space="preserve">is preserved as </w:t>
      </w:r>
      <w:r w:rsidRPr="00F16EC7">
        <w:rPr>
          <w:rFonts w:asciiTheme="majorHAnsi" w:hAnsiTheme="majorHAnsi" w:cstheme="majorHAnsi"/>
          <w:i/>
          <w:color w:val="000000" w:themeColor="text1"/>
          <w:lang w:val="en-GB"/>
        </w:rPr>
        <w:t>Ep. extra coll.</w:t>
      </w:r>
      <w:r w:rsidRPr="00F16EC7">
        <w:rPr>
          <w:rFonts w:asciiTheme="majorHAnsi" w:hAnsiTheme="majorHAnsi" w:cstheme="majorHAnsi"/>
          <w:color w:val="000000" w:themeColor="text1"/>
          <w:lang w:val="en-GB"/>
        </w:rPr>
        <w:t xml:space="preserve"> 41a </w:t>
      </w:r>
      <w:r w:rsidRPr="00F16EC7">
        <w:rPr>
          <w:rFonts w:asciiTheme="majorHAnsi" w:hAnsiTheme="majorHAnsi" w:cstheme="majorHAnsi"/>
          <w:color w:val="000000" w:themeColor="text1"/>
        </w:rPr>
        <w:t>in Ambrose’s letter collection</w:t>
      </w:r>
      <w:r w:rsidRPr="00F16EC7">
        <w:rPr>
          <w:rFonts w:asciiTheme="majorHAnsi" w:hAnsiTheme="majorHAnsi" w:cstheme="majorHAnsi"/>
          <w:color w:val="000000" w:themeColor="text1"/>
          <w:lang w:val="en-GB"/>
        </w:rPr>
        <w:t>.</w:t>
      </w:r>
    </w:p>
  </w:footnote>
  <w:footnote w:id="55">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Ep.</w:t>
      </w:r>
      <w:r w:rsidRPr="00F16EC7">
        <w:rPr>
          <w:rFonts w:asciiTheme="majorHAnsi" w:hAnsiTheme="majorHAnsi" w:cstheme="majorHAnsi"/>
          <w:color w:val="000000" w:themeColor="text1"/>
          <w:lang w:val="en-GB"/>
        </w:rPr>
        <w:t xml:space="preserve"> 76.10.</w:t>
      </w:r>
    </w:p>
  </w:footnote>
  <w:footnote w:id="56">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Ep</w:t>
      </w:r>
      <w:r w:rsidRPr="00F16EC7">
        <w:rPr>
          <w:rFonts w:asciiTheme="majorHAnsi" w:hAnsiTheme="majorHAnsi" w:cstheme="majorHAnsi"/>
          <w:color w:val="000000" w:themeColor="text1"/>
          <w:lang w:val="en-GB"/>
        </w:rPr>
        <w:t>. 75.2.</w:t>
      </w:r>
    </w:p>
  </w:footnote>
  <w:footnote w:id="57">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Ep.</w:t>
      </w:r>
      <w:r w:rsidRPr="00F16EC7">
        <w:rPr>
          <w:rFonts w:asciiTheme="majorHAnsi" w:hAnsiTheme="majorHAnsi" w:cstheme="majorHAnsi"/>
          <w:color w:val="000000" w:themeColor="text1"/>
          <w:lang w:val="en-GB"/>
        </w:rPr>
        <w:t xml:space="preserve"> 77.16.</w:t>
      </w:r>
    </w:p>
  </w:footnote>
  <w:footnote w:id="58">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Ep</w:t>
      </w:r>
      <w:r w:rsidRPr="00F16EC7">
        <w:rPr>
          <w:rFonts w:asciiTheme="majorHAnsi" w:hAnsiTheme="majorHAnsi" w:cstheme="majorHAnsi"/>
          <w:color w:val="000000" w:themeColor="text1"/>
          <w:lang w:val="en-GB"/>
        </w:rPr>
        <w:t>. 77.2-3.</w:t>
      </w:r>
    </w:p>
  </w:footnote>
  <w:footnote w:id="59">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Ep.</w:t>
      </w:r>
      <w:r w:rsidRPr="00F16EC7">
        <w:rPr>
          <w:rFonts w:asciiTheme="majorHAnsi" w:hAnsiTheme="majorHAnsi" w:cstheme="majorHAnsi"/>
          <w:color w:val="000000" w:themeColor="text1"/>
          <w:lang w:val="en-GB"/>
        </w:rPr>
        <w:t xml:space="preserve"> 74.25.</w:t>
      </w:r>
    </w:p>
  </w:footnote>
  <w:footnote w:id="60">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Ep. extra coll.</w:t>
      </w:r>
      <w:r w:rsidRPr="00F16EC7">
        <w:rPr>
          <w:rFonts w:asciiTheme="majorHAnsi" w:hAnsiTheme="majorHAnsi" w:cstheme="majorHAnsi"/>
          <w:color w:val="000000" w:themeColor="text1"/>
          <w:lang w:val="en-GB"/>
        </w:rPr>
        <w:t xml:space="preserve"> 1a.33.</w:t>
      </w:r>
    </w:p>
  </w:footnote>
  <w:footnote w:id="61">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Ep. extra coll.</w:t>
      </w:r>
      <w:r w:rsidRPr="00F16EC7">
        <w:rPr>
          <w:rFonts w:asciiTheme="majorHAnsi" w:hAnsiTheme="majorHAnsi" w:cstheme="majorHAnsi"/>
          <w:color w:val="000000" w:themeColor="text1"/>
          <w:lang w:val="en-GB"/>
        </w:rPr>
        <w:t xml:space="preserve"> 1.28.</w:t>
      </w:r>
    </w:p>
  </w:footnote>
  <w:footnote w:id="62">
    <w:p w:rsidR="002044A1" w:rsidRPr="00F16EC7" w:rsidRDefault="002044A1" w:rsidP="00A669E0">
      <w:pPr>
        <w:pStyle w:val="FootnoteText"/>
        <w:spacing w:line="240" w:lineRule="auto"/>
        <w:jc w:val="both"/>
        <w:rPr>
          <w:rFonts w:asciiTheme="majorHAnsi" w:hAnsiTheme="majorHAnsi" w:cstheme="majorHAnsi"/>
          <w:color w:val="000000" w:themeColor="text1"/>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rPr>
        <w:t xml:space="preserve"> Ambrose, </w:t>
      </w:r>
      <w:r w:rsidRPr="00F16EC7">
        <w:rPr>
          <w:rFonts w:asciiTheme="majorHAnsi" w:hAnsiTheme="majorHAnsi" w:cstheme="majorHAnsi"/>
          <w:i/>
          <w:color w:val="000000" w:themeColor="text1"/>
        </w:rPr>
        <w:t>Ep</w:t>
      </w:r>
      <w:r w:rsidRPr="00F16EC7">
        <w:rPr>
          <w:rFonts w:asciiTheme="majorHAnsi" w:hAnsiTheme="majorHAnsi" w:cstheme="majorHAnsi"/>
          <w:color w:val="000000" w:themeColor="text1"/>
        </w:rPr>
        <w:t>. 74.9.</w:t>
      </w:r>
    </w:p>
  </w:footnote>
  <w:footnote w:id="63">
    <w:p w:rsidR="002044A1" w:rsidRPr="00F16EC7" w:rsidRDefault="002044A1" w:rsidP="00A669E0">
      <w:pPr>
        <w:widowControl w:val="0"/>
        <w:autoSpaceDE w:val="0"/>
        <w:autoSpaceDN w:val="0"/>
        <w:adjustRightInd w:val="0"/>
        <w:jc w:val="both"/>
        <w:rPr>
          <w:rFonts w:asciiTheme="majorHAnsi" w:eastAsiaTheme="minorEastAsia" w:hAnsiTheme="majorHAnsi" w:cstheme="majorHAnsi"/>
          <w:color w:val="000000" w:themeColor="text1"/>
          <w:sz w:val="20"/>
          <w:szCs w:val="20"/>
        </w:rPr>
      </w:pPr>
      <w:r w:rsidRPr="00F16EC7">
        <w:rPr>
          <w:rStyle w:val="FootnoteReference"/>
          <w:rFonts w:asciiTheme="majorHAnsi" w:eastAsiaTheme="majorEastAsia" w:hAnsiTheme="majorHAnsi" w:cstheme="majorHAnsi"/>
          <w:color w:val="000000" w:themeColor="text1"/>
          <w:sz w:val="20"/>
          <w:szCs w:val="20"/>
        </w:rPr>
        <w:footnoteRef/>
      </w:r>
      <w:r w:rsidRPr="00F16EC7">
        <w:rPr>
          <w:rFonts w:asciiTheme="majorHAnsi" w:hAnsiTheme="majorHAnsi" w:cstheme="majorHAnsi"/>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 xml:space="preserve">T. E. Jenkins, </w:t>
      </w:r>
      <w:r w:rsidRPr="00F16EC7">
        <w:rPr>
          <w:rFonts w:asciiTheme="majorHAnsi" w:eastAsiaTheme="minorEastAsia" w:hAnsiTheme="majorHAnsi" w:cstheme="majorHAnsi"/>
          <w:i/>
          <w:iCs/>
          <w:color w:val="000000" w:themeColor="text1"/>
          <w:sz w:val="20"/>
          <w:szCs w:val="20"/>
        </w:rPr>
        <w:t xml:space="preserve">Intercepted Letters: </w:t>
      </w:r>
      <w:proofErr w:type="spellStart"/>
      <w:r w:rsidRPr="00F16EC7">
        <w:rPr>
          <w:rFonts w:asciiTheme="majorHAnsi" w:eastAsiaTheme="minorEastAsia" w:hAnsiTheme="majorHAnsi" w:cstheme="majorHAnsi"/>
          <w:i/>
          <w:iCs/>
          <w:color w:val="000000" w:themeColor="text1"/>
          <w:sz w:val="20"/>
          <w:szCs w:val="20"/>
        </w:rPr>
        <w:t>Epistolarity</w:t>
      </w:r>
      <w:proofErr w:type="spellEnd"/>
      <w:r w:rsidRPr="00F16EC7">
        <w:rPr>
          <w:rFonts w:asciiTheme="majorHAnsi" w:eastAsiaTheme="minorEastAsia" w:hAnsiTheme="majorHAnsi" w:cstheme="majorHAnsi"/>
          <w:i/>
          <w:iCs/>
          <w:color w:val="000000" w:themeColor="text1"/>
          <w:sz w:val="20"/>
          <w:szCs w:val="20"/>
        </w:rPr>
        <w:t xml:space="preserve"> and Narrative in Greek and Roman Literature</w:t>
      </w:r>
      <w:r w:rsidRPr="00F16EC7">
        <w:rPr>
          <w:rFonts w:asciiTheme="majorHAnsi" w:eastAsiaTheme="minorEastAsia" w:hAnsiTheme="majorHAnsi" w:cstheme="majorHAnsi"/>
          <w:color w:val="000000" w:themeColor="text1"/>
          <w:sz w:val="20"/>
          <w:szCs w:val="20"/>
        </w:rPr>
        <w:t xml:space="preserve"> (Lanham, MD</w:t>
      </w:r>
      <w:r w:rsidRPr="00F16EC7">
        <w:rPr>
          <w:rFonts w:asciiTheme="majorHAnsi" w:hAnsiTheme="majorHAnsi" w:cstheme="majorHAnsi"/>
          <w:color w:val="000000" w:themeColor="text1"/>
          <w:sz w:val="20"/>
          <w:szCs w:val="20"/>
          <w:lang w:val="en-GB"/>
        </w:rPr>
        <w:t>: Lexington Books</w:t>
      </w:r>
      <w:r w:rsidRPr="00F16EC7">
        <w:rPr>
          <w:rFonts w:asciiTheme="majorHAnsi" w:eastAsiaTheme="minorEastAsia" w:hAnsiTheme="majorHAnsi" w:cstheme="majorHAnsi"/>
          <w:color w:val="000000" w:themeColor="text1"/>
          <w:sz w:val="20"/>
          <w:szCs w:val="20"/>
        </w:rPr>
        <w:t>, 2006), 1-14.</w:t>
      </w:r>
    </w:p>
  </w:footnote>
  <w:footnote w:id="64">
    <w:p w:rsidR="002044A1" w:rsidRPr="00F16EC7" w:rsidRDefault="002044A1" w:rsidP="00A669E0">
      <w:pPr>
        <w:pStyle w:val="FootnoteText"/>
        <w:spacing w:line="240" w:lineRule="auto"/>
        <w:jc w:val="both"/>
        <w:rPr>
          <w:rFonts w:asciiTheme="majorHAnsi" w:hAnsiTheme="majorHAnsi" w:cstheme="majorHAnsi"/>
          <w:color w:val="000000" w:themeColor="text1"/>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rPr>
        <w:t xml:space="preserve"> J. G. </w:t>
      </w:r>
      <w:r w:rsidRPr="00F16EC7">
        <w:rPr>
          <w:rFonts w:asciiTheme="majorHAnsi" w:eastAsiaTheme="minorEastAsia" w:hAnsiTheme="majorHAnsi" w:cstheme="majorHAnsi"/>
          <w:color w:val="000000" w:themeColor="text1"/>
        </w:rPr>
        <w:t xml:space="preserve">Altman, </w:t>
      </w:r>
      <w:proofErr w:type="spellStart"/>
      <w:r w:rsidRPr="00F16EC7">
        <w:rPr>
          <w:rFonts w:asciiTheme="majorHAnsi" w:eastAsiaTheme="minorEastAsia" w:hAnsiTheme="majorHAnsi" w:cstheme="majorHAnsi"/>
          <w:i/>
          <w:iCs/>
          <w:color w:val="000000" w:themeColor="text1"/>
        </w:rPr>
        <w:t>Epistolarity</w:t>
      </w:r>
      <w:proofErr w:type="spellEnd"/>
      <w:r w:rsidRPr="00F16EC7">
        <w:rPr>
          <w:rFonts w:asciiTheme="majorHAnsi" w:eastAsiaTheme="minorEastAsia" w:hAnsiTheme="majorHAnsi" w:cstheme="majorHAnsi"/>
          <w:i/>
          <w:iCs/>
          <w:color w:val="000000" w:themeColor="text1"/>
        </w:rPr>
        <w:t>: Approaches to a Form</w:t>
      </w:r>
      <w:r w:rsidRPr="00F16EC7">
        <w:rPr>
          <w:rFonts w:asciiTheme="majorHAnsi" w:eastAsiaTheme="minorEastAsia" w:hAnsiTheme="majorHAnsi" w:cstheme="majorHAnsi"/>
          <w:color w:val="000000" w:themeColor="text1"/>
        </w:rPr>
        <w:t xml:space="preserve"> (Columbus, OH</w:t>
      </w:r>
      <w:r w:rsidRPr="00F16EC7">
        <w:rPr>
          <w:rFonts w:asciiTheme="majorHAnsi" w:hAnsiTheme="majorHAnsi" w:cstheme="majorHAnsi"/>
          <w:color w:val="000000" w:themeColor="text1"/>
          <w:lang w:val="en-GB"/>
        </w:rPr>
        <w:t>: Ohio State University Press,</w:t>
      </w:r>
      <w:r w:rsidRPr="00F16EC7">
        <w:rPr>
          <w:rFonts w:asciiTheme="majorHAnsi" w:eastAsiaTheme="minorEastAsia" w:hAnsiTheme="majorHAnsi" w:cstheme="majorHAnsi"/>
          <w:color w:val="000000" w:themeColor="text1"/>
        </w:rPr>
        <w:t xml:space="preserve"> 1982), esp. 57-59; 87-95.</w:t>
      </w:r>
    </w:p>
  </w:footnote>
  <w:footnote w:id="65">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Ambrose, </w:t>
      </w:r>
      <w:r w:rsidRPr="00F16EC7">
        <w:rPr>
          <w:rFonts w:asciiTheme="majorHAnsi" w:hAnsiTheme="majorHAnsi" w:cstheme="majorHAnsi"/>
          <w:i/>
          <w:color w:val="000000" w:themeColor="text1"/>
          <w:lang w:val="en-GB"/>
        </w:rPr>
        <w:t>Ep.</w:t>
      </w:r>
      <w:r w:rsidRPr="00F16EC7">
        <w:rPr>
          <w:rFonts w:asciiTheme="majorHAnsi" w:hAnsiTheme="majorHAnsi" w:cstheme="majorHAnsi"/>
          <w:color w:val="000000" w:themeColor="text1"/>
          <w:lang w:val="en-GB"/>
        </w:rPr>
        <w:t xml:space="preserve"> 76.7.</w:t>
      </w:r>
    </w:p>
  </w:footnote>
  <w:footnote w:id="66">
    <w:p w:rsidR="002044A1" w:rsidRPr="00F16EC7" w:rsidRDefault="002044A1" w:rsidP="00A669E0">
      <w:pPr>
        <w:pStyle w:val="FootnoteText"/>
        <w:spacing w:line="240" w:lineRule="auto"/>
        <w:jc w:val="both"/>
        <w:rPr>
          <w:rFonts w:asciiTheme="majorHAnsi" w:hAnsiTheme="majorHAnsi" w:cstheme="majorHAnsi"/>
          <w:color w:val="000000" w:themeColor="text1"/>
        </w:rPr>
      </w:pPr>
      <w:r w:rsidRPr="00F16EC7">
        <w:rPr>
          <w:rStyle w:val="FootnoteReference"/>
          <w:rFonts w:asciiTheme="majorHAnsi" w:eastAsiaTheme="majorEastAsia" w:hAnsiTheme="majorHAnsi" w:cstheme="majorHAnsi"/>
          <w:color w:val="000000" w:themeColor="text1"/>
        </w:rPr>
        <w:footnoteRef/>
      </w:r>
      <w:r w:rsidRPr="00F16EC7">
        <w:rPr>
          <w:rFonts w:asciiTheme="majorHAnsi" w:hAnsiTheme="majorHAnsi" w:cstheme="majorHAnsi"/>
          <w:color w:val="000000" w:themeColor="text1"/>
        </w:rPr>
        <w:t xml:space="preserve"> Ambrose, </w:t>
      </w:r>
      <w:r w:rsidRPr="00F16EC7">
        <w:rPr>
          <w:rFonts w:asciiTheme="majorHAnsi" w:hAnsiTheme="majorHAnsi" w:cstheme="majorHAnsi"/>
          <w:i/>
          <w:color w:val="000000" w:themeColor="text1"/>
        </w:rPr>
        <w:t>Ep. extra coll</w:t>
      </w:r>
      <w:r w:rsidRPr="00F16EC7">
        <w:rPr>
          <w:rFonts w:asciiTheme="majorHAnsi" w:hAnsiTheme="majorHAnsi" w:cstheme="majorHAnsi"/>
          <w:color w:val="000000" w:themeColor="text1"/>
        </w:rPr>
        <w:t>. 1.2.</w:t>
      </w:r>
    </w:p>
  </w:footnote>
  <w:footnote w:id="67">
    <w:p w:rsidR="002044A1" w:rsidRPr="00F16EC7" w:rsidRDefault="002044A1" w:rsidP="00A669E0">
      <w:pPr>
        <w:widowControl w:val="0"/>
        <w:autoSpaceDE w:val="0"/>
        <w:autoSpaceDN w:val="0"/>
        <w:adjustRightInd w:val="0"/>
        <w:jc w:val="both"/>
        <w:rPr>
          <w:rFonts w:asciiTheme="majorHAnsi" w:eastAsiaTheme="minorEastAsia" w:hAnsiTheme="majorHAnsi" w:cstheme="majorHAnsi"/>
          <w:color w:val="000000" w:themeColor="text1"/>
          <w:sz w:val="20"/>
          <w:szCs w:val="20"/>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eastAsiaTheme="minorEastAsia" w:hAnsiTheme="majorHAnsi" w:cstheme="majorHAnsi"/>
          <w:color w:val="000000" w:themeColor="text1"/>
          <w:sz w:val="20"/>
          <w:szCs w:val="20"/>
        </w:rPr>
        <w:t xml:space="preserve"> K. Wilkinson, </w:t>
      </w:r>
      <w:r w:rsidRPr="00F16EC7">
        <w:rPr>
          <w:rFonts w:asciiTheme="majorHAnsi" w:eastAsiaTheme="minorEastAsia" w:hAnsiTheme="majorHAnsi" w:cstheme="majorHAnsi"/>
          <w:i/>
          <w:iCs/>
          <w:color w:val="000000" w:themeColor="text1"/>
          <w:sz w:val="20"/>
          <w:szCs w:val="20"/>
        </w:rPr>
        <w:t>Women and Modesty in Late Antiquity</w:t>
      </w:r>
      <w:r w:rsidRPr="00F16EC7">
        <w:rPr>
          <w:rFonts w:asciiTheme="majorHAnsi" w:eastAsiaTheme="minorEastAsia" w:hAnsiTheme="majorHAnsi" w:cstheme="majorHAnsi"/>
          <w:color w:val="000000" w:themeColor="text1"/>
          <w:sz w:val="20"/>
          <w:szCs w:val="20"/>
        </w:rPr>
        <w:t xml:space="preserve"> (Cambridge</w:t>
      </w:r>
      <w:r w:rsidRPr="00F16EC7">
        <w:rPr>
          <w:rFonts w:asciiTheme="majorHAnsi" w:hAnsiTheme="majorHAnsi" w:cstheme="majorHAnsi"/>
          <w:color w:val="000000" w:themeColor="text1"/>
          <w:sz w:val="20"/>
          <w:szCs w:val="20"/>
          <w:lang w:val="en-GB"/>
        </w:rPr>
        <w:t>: Cambridge University Press</w:t>
      </w:r>
      <w:r w:rsidRPr="00F16EC7">
        <w:rPr>
          <w:rFonts w:asciiTheme="majorHAnsi" w:eastAsiaTheme="minorEastAsia" w:hAnsiTheme="majorHAnsi" w:cstheme="majorHAnsi"/>
          <w:color w:val="000000" w:themeColor="text1"/>
          <w:sz w:val="20"/>
          <w:szCs w:val="20"/>
        </w:rPr>
        <w:t xml:space="preserve">, 2015), 58-60; E. A. Clark, 'Holy Women, Holy Words: Early Christian Women, Social History, and the "Linguistic Turn"', </w:t>
      </w:r>
      <w:r w:rsidRPr="00F16EC7">
        <w:rPr>
          <w:rFonts w:asciiTheme="majorHAnsi" w:eastAsiaTheme="minorEastAsia" w:hAnsiTheme="majorHAnsi" w:cstheme="majorHAnsi"/>
          <w:i/>
          <w:iCs/>
          <w:color w:val="000000" w:themeColor="text1"/>
          <w:sz w:val="20"/>
          <w:szCs w:val="20"/>
        </w:rPr>
        <w:t>Journal of Early Christian Studies</w:t>
      </w:r>
      <w:r w:rsidRPr="00F16EC7">
        <w:rPr>
          <w:rFonts w:asciiTheme="majorHAnsi" w:eastAsiaTheme="minorEastAsia" w:hAnsiTheme="majorHAnsi" w:cstheme="majorHAnsi"/>
          <w:iCs/>
          <w:color w:val="000000" w:themeColor="text1"/>
          <w:sz w:val="20"/>
          <w:szCs w:val="20"/>
        </w:rPr>
        <w:t xml:space="preserve">, </w:t>
      </w:r>
      <w:r w:rsidRPr="00F16EC7">
        <w:rPr>
          <w:rFonts w:asciiTheme="majorHAnsi" w:eastAsiaTheme="minorEastAsia" w:hAnsiTheme="majorHAnsi" w:cstheme="majorHAnsi"/>
          <w:color w:val="000000" w:themeColor="text1"/>
          <w:sz w:val="20"/>
          <w:szCs w:val="20"/>
        </w:rPr>
        <w:t xml:space="preserve">6 (1998), 413-30; A. </w:t>
      </w:r>
      <w:proofErr w:type="spellStart"/>
      <w:r w:rsidRPr="00F16EC7">
        <w:rPr>
          <w:rFonts w:asciiTheme="majorHAnsi" w:eastAsiaTheme="minorEastAsia" w:hAnsiTheme="majorHAnsi" w:cstheme="majorHAnsi"/>
          <w:color w:val="000000" w:themeColor="text1"/>
          <w:sz w:val="20"/>
          <w:szCs w:val="20"/>
        </w:rPr>
        <w:t>Arjava</w:t>
      </w:r>
      <w:proofErr w:type="spellEnd"/>
      <w:r w:rsidRPr="00F16EC7">
        <w:rPr>
          <w:rFonts w:asciiTheme="majorHAnsi" w:eastAsiaTheme="minorEastAsia" w:hAnsiTheme="majorHAnsi" w:cstheme="majorHAnsi"/>
          <w:color w:val="000000" w:themeColor="text1"/>
          <w:sz w:val="20"/>
          <w:szCs w:val="20"/>
        </w:rPr>
        <w:t xml:space="preserve">, </w:t>
      </w:r>
      <w:r w:rsidRPr="00F16EC7">
        <w:rPr>
          <w:rFonts w:asciiTheme="majorHAnsi" w:eastAsiaTheme="minorEastAsia" w:hAnsiTheme="majorHAnsi" w:cstheme="majorHAnsi"/>
          <w:i/>
          <w:iCs/>
          <w:color w:val="000000" w:themeColor="text1"/>
          <w:sz w:val="20"/>
          <w:szCs w:val="20"/>
        </w:rPr>
        <w:t>Women and Law in Late Antiquity</w:t>
      </w:r>
      <w:r w:rsidRPr="00F16EC7">
        <w:rPr>
          <w:rFonts w:asciiTheme="majorHAnsi" w:eastAsiaTheme="minorEastAsia" w:hAnsiTheme="majorHAnsi" w:cstheme="majorHAnsi"/>
          <w:color w:val="000000" w:themeColor="text1"/>
          <w:sz w:val="20"/>
          <w:szCs w:val="20"/>
        </w:rPr>
        <w:t xml:space="preserve"> (Oxford: Clarendon Press, 1996), 230-255; G. Clark, </w:t>
      </w:r>
      <w:r w:rsidRPr="00F16EC7">
        <w:rPr>
          <w:rFonts w:asciiTheme="majorHAnsi" w:eastAsiaTheme="minorEastAsia" w:hAnsiTheme="majorHAnsi" w:cstheme="majorHAnsi"/>
          <w:i/>
          <w:iCs/>
          <w:color w:val="000000" w:themeColor="text1"/>
          <w:sz w:val="20"/>
          <w:szCs w:val="20"/>
        </w:rPr>
        <w:t>Women in Late Antiquity: Pagan and Christian Lifestyles</w:t>
      </w:r>
      <w:r w:rsidRPr="00F16EC7">
        <w:rPr>
          <w:rFonts w:asciiTheme="majorHAnsi" w:eastAsiaTheme="minorEastAsia" w:hAnsiTheme="majorHAnsi" w:cstheme="majorHAnsi"/>
          <w:color w:val="000000" w:themeColor="text1"/>
          <w:sz w:val="20"/>
          <w:szCs w:val="20"/>
        </w:rPr>
        <w:t xml:space="preserve"> (Oxford</w:t>
      </w:r>
      <w:r w:rsidRPr="00F16EC7">
        <w:rPr>
          <w:rFonts w:asciiTheme="majorHAnsi" w:hAnsiTheme="majorHAnsi" w:cstheme="majorHAnsi"/>
          <w:color w:val="000000" w:themeColor="text1"/>
          <w:sz w:val="20"/>
          <w:szCs w:val="20"/>
          <w:lang w:val="en-GB"/>
        </w:rPr>
        <w:t>: Clarendon Press</w:t>
      </w:r>
      <w:r w:rsidRPr="00F16EC7">
        <w:rPr>
          <w:rFonts w:asciiTheme="majorHAnsi" w:eastAsiaTheme="minorEastAsia" w:hAnsiTheme="majorHAnsi" w:cstheme="majorHAnsi"/>
          <w:color w:val="000000" w:themeColor="text1"/>
          <w:sz w:val="20"/>
          <w:szCs w:val="20"/>
        </w:rPr>
        <w:t>, 1993), 94-118.</w:t>
      </w:r>
    </w:p>
  </w:footnote>
  <w:footnote w:id="68">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K. Cooper, 'The Voice of the Victim: Gender, Representation, and Early Christian Martyrdom', </w:t>
      </w:r>
      <w:r w:rsidRPr="00F16EC7">
        <w:rPr>
          <w:rFonts w:asciiTheme="majorHAnsi" w:hAnsiTheme="majorHAnsi" w:cstheme="majorHAnsi"/>
          <w:i/>
          <w:iCs/>
          <w:color w:val="000000" w:themeColor="text1"/>
          <w:lang w:val="en-GB"/>
        </w:rPr>
        <w:t>Bulletin of the John Rylands University Library</w:t>
      </w:r>
      <w:r w:rsidRPr="00F16EC7">
        <w:rPr>
          <w:rFonts w:asciiTheme="majorHAnsi" w:hAnsiTheme="majorHAnsi" w:cstheme="majorHAnsi"/>
          <w:iCs/>
          <w:color w:val="000000" w:themeColor="text1"/>
          <w:lang w:val="en-GB"/>
        </w:rPr>
        <w:t xml:space="preserve">, </w:t>
      </w:r>
      <w:r w:rsidRPr="00F16EC7">
        <w:rPr>
          <w:rFonts w:asciiTheme="majorHAnsi" w:hAnsiTheme="majorHAnsi" w:cstheme="majorHAnsi"/>
          <w:color w:val="000000" w:themeColor="text1"/>
          <w:lang w:val="en-GB"/>
        </w:rPr>
        <w:t>80 (1998), 147- 57.</w:t>
      </w:r>
    </w:p>
  </w:footnote>
  <w:footnote w:id="69">
    <w:p w:rsidR="002044A1" w:rsidRPr="00F16EC7" w:rsidRDefault="002044A1" w:rsidP="00A669E0">
      <w:pPr>
        <w:widowControl w:val="0"/>
        <w:autoSpaceDE w:val="0"/>
        <w:autoSpaceDN w:val="0"/>
        <w:adjustRightInd w:val="0"/>
        <w:jc w:val="both"/>
        <w:rPr>
          <w:rFonts w:asciiTheme="majorHAnsi" w:hAnsiTheme="majorHAnsi" w:cstheme="majorHAnsi"/>
          <w:color w:val="000000" w:themeColor="text1"/>
          <w:sz w:val="20"/>
          <w:szCs w:val="20"/>
          <w:lang w:val="en-GB"/>
        </w:rPr>
      </w:pPr>
      <w:r w:rsidRPr="00F16EC7">
        <w:rPr>
          <w:rStyle w:val="FootnoteReference"/>
          <w:rFonts w:asciiTheme="majorHAnsi" w:eastAsiaTheme="majorEastAsia" w:hAnsiTheme="majorHAnsi" w:cstheme="majorHAnsi"/>
          <w:color w:val="000000" w:themeColor="text1"/>
          <w:sz w:val="20"/>
          <w:szCs w:val="20"/>
          <w:lang w:val="en-GB"/>
        </w:rPr>
        <w:footnoteRef/>
      </w:r>
      <w:r w:rsidRPr="00F16EC7">
        <w:rPr>
          <w:rFonts w:asciiTheme="majorHAnsi" w:hAnsiTheme="majorHAnsi" w:cstheme="majorHAnsi"/>
          <w:color w:val="000000" w:themeColor="text1"/>
          <w:sz w:val="20"/>
          <w:szCs w:val="20"/>
          <w:lang w:val="en-GB"/>
        </w:rPr>
        <w:t xml:space="preserve"> On the importance of narratives about the familial past for reconstructing identity, see the classic works of S. Hall, 'Negotiating Caribbean Identities', </w:t>
      </w:r>
      <w:r w:rsidRPr="00F16EC7">
        <w:rPr>
          <w:rFonts w:asciiTheme="majorHAnsi" w:hAnsiTheme="majorHAnsi" w:cstheme="majorHAnsi"/>
          <w:i/>
          <w:iCs/>
          <w:color w:val="000000" w:themeColor="text1"/>
          <w:sz w:val="20"/>
          <w:szCs w:val="20"/>
          <w:lang w:val="en-GB"/>
        </w:rPr>
        <w:t>New Left Review</w:t>
      </w:r>
      <w:r w:rsidRPr="00F16EC7">
        <w:rPr>
          <w:rFonts w:asciiTheme="majorHAnsi" w:hAnsiTheme="majorHAnsi" w:cstheme="majorHAnsi"/>
          <w:color w:val="000000" w:themeColor="text1"/>
          <w:sz w:val="20"/>
          <w:szCs w:val="20"/>
          <w:lang w:val="en-GB"/>
        </w:rPr>
        <w:t xml:space="preserve">, 209 (1995), 3-14; J. L. Peacock and D. C. Holland, 'The Narrated Self: Life Stories in Process', </w:t>
      </w:r>
      <w:r w:rsidRPr="00F16EC7">
        <w:rPr>
          <w:rFonts w:asciiTheme="majorHAnsi" w:hAnsiTheme="majorHAnsi" w:cstheme="majorHAnsi"/>
          <w:i/>
          <w:iCs/>
          <w:color w:val="000000" w:themeColor="text1"/>
          <w:sz w:val="20"/>
          <w:szCs w:val="20"/>
          <w:lang w:val="en-GB"/>
        </w:rPr>
        <w:t xml:space="preserve">Ethos </w:t>
      </w:r>
      <w:r w:rsidRPr="00F16EC7">
        <w:rPr>
          <w:rFonts w:asciiTheme="majorHAnsi" w:hAnsiTheme="majorHAnsi" w:cstheme="majorHAnsi"/>
          <w:color w:val="000000" w:themeColor="text1"/>
          <w:sz w:val="20"/>
          <w:szCs w:val="20"/>
          <w:lang w:val="en-GB"/>
        </w:rPr>
        <w:t xml:space="preserve">21 (1993), 367-83; R. L. </w:t>
      </w:r>
      <w:proofErr w:type="spellStart"/>
      <w:r w:rsidRPr="00F16EC7">
        <w:rPr>
          <w:rFonts w:asciiTheme="majorHAnsi" w:hAnsiTheme="majorHAnsi" w:cstheme="majorHAnsi"/>
          <w:color w:val="000000" w:themeColor="text1"/>
          <w:sz w:val="20"/>
          <w:szCs w:val="20"/>
          <w:lang w:val="en-GB"/>
        </w:rPr>
        <w:t>Ochberg</w:t>
      </w:r>
      <w:proofErr w:type="spellEnd"/>
      <w:r w:rsidRPr="00F16EC7">
        <w:rPr>
          <w:rFonts w:asciiTheme="majorHAnsi" w:hAnsiTheme="majorHAnsi" w:cstheme="majorHAnsi"/>
          <w:color w:val="000000" w:themeColor="text1"/>
          <w:sz w:val="20"/>
          <w:szCs w:val="20"/>
          <w:lang w:val="en-GB"/>
        </w:rPr>
        <w:t xml:space="preserve"> and G. C. Rosenwald, </w:t>
      </w:r>
      <w:r w:rsidRPr="00F16EC7">
        <w:rPr>
          <w:rFonts w:asciiTheme="majorHAnsi" w:hAnsiTheme="majorHAnsi" w:cstheme="majorHAnsi"/>
          <w:i/>
          <w:iCs/>
          <w:color w:val="000000" w:themeColor="text1"/>
          <w:sz w:val="20"/>
          <w:szCs w:val="20"/>
          <w:lang w:val="en-GB"/>
        </w:rPr>
        <w:t>Storied Lives: the Cultural Politics of Self-Understanding</w:t>
      </w:r>
      <w:r w:rsidRPr="00F16EC7">
        <w:rPr>
          <w:rFonts w:asciiTheme="majorHAnsi" w:hAnsiTheme="majorHAnsi" w:cstheme="majorHAnsi"/>
          <w:color w:val="000000" w:themeColor="text1"/>
          <w:sz w:val="20"/>
          <w:szCs w:val="20"/>
          <w:lang w:val="en-GB"/>
        </w:rPr>
        <w:t xml:space="preserve"> (New Haven, CT: Yale University Press, 1992), 4-5.</w:t>
      </w:r>
    </w:p>
  </w:footnote>
  <w:footnote w:id="70">
    <w:p w:rsidR="002044A1" w:rsidRPr="00F16EC7"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H. A. </w:t>
      </w:r>
      <w:r w:rsidRPr="00F16EC7">
        <w:rPr>
          <w:rFonts w:asciiTheme="majorHAnsi" w:eastAsia="SimSun" w:hAnsiTheme="majorHAnsi" w:cstheme="majorHAnsi"/>
          <w:color w:val="000000" w:themeColor="text1"/>
          <w:lang w:val="en-GB" w:eastAsia="es-ES"/>
        </w:rPr>
        <w:t xml:space="preserve">Drake, 'Intolerance, Religious Violence, and Political Legitimacy in Late Antiquity', </w:t>
      </w:r>
      <w:r w:rsidRPr="00F16EC7">
        <w:rPr>
          <w:rFonts w:asciiTheme="majorHAnsi" w:eastAsia="SimSun" w:hAnsiTheme="majorHAnsi" w:cstheme="majorHAnsi"/>
          <w:i/>
          <w:iCs/>
          <w:color w:val="000000" w:themeColor="text1"/>
          <w:lang w:val="en-GB" w:eastAsia="es-ES"/>
        </w:rPr>
        <w:t>Journal of the American Academy of Religion</w:t>
      </w:r>
      <w:r w:rsidRPr="00F16EC7">
        <w:rPr>
          <w:rFonts w:asciiTheme="majorHAnsi" w:eastAsia="SimSun" w:hAnsiTheme="majorHAnsi" w:cstheme="majorHAnsi"/>
          <w:color w:val="000000" w:themeColor="text1"/>
          <w:lang w:val="en-GB" w:eastAsia="es-ES"/>
        </w:rPr>
        <w:t>, 79 (2011), 193-235.</w:t>
      </w:r>
    </w:p>
  </w:footnote>
  <w:footnote w:id="71">
    <w:p w:rsidR="002044A1" w:rsidRPr="00A669E0" w:rsidRDefault="002044A1" w:rsidP="00A669E0">
      <w:pPr>
        <w:pStyle w:val="FootnoteText"/>
        <w:spacing w:line="240" w:lineRule="auto"/>
        <w:jc w:val="both"/>
        <w:rPr>
          <w:rFonts w:asciiTheme="majorHAnsi" w:hAnsiTheme="majorHAnsi" w:cstheme="majorHAnsi"/>
          <w:color w:val="000000" w:themeColor="text1"/>
          <w:lang w:val="en-GB"/>
        </w:rPr>
      </w:pPr>
      <w:r w:rsidRPr="00F16EC7">
        <w:rPr>
          <w:rStyle w:val="FootnoteReference"/>
          <w:rFonts w:asciiTheme="majorHAnsi" w:eastAsiaTheme="majorEastAsia" w:hAnsiTheme="majorHAnsi" w:cstheme="majorHAnsi"/>
          <w:color w:val="000000" w:themeColor="text1"/>
          <w:lang w:val="en-GB"/>
        </w:rPr>
        <w:footnoteRef/>
      </w:r>
      <w:r w:rsidRPr="00F16EC7">
        <w:rPr>
          <w:rFonts w:asciiTheme="majorHAnsi" w:hAnsiTheme="majorHAnsi" w:cstheme="majorHAnsi"/>
          <w:color w:val="000000" w:themeColor="text1"/>
          <w:lang w:val="en-GB"/>
        </w:rPr>
        <w:t xml:space="preserve"> Cooper, </w:t>
      </w:r>
      <w:r w:rsidRPr="00F16EC7">
        <w:rPr>
          <w:rFonts w:asciiTheme="majorHAnsi" w:hAnsiTheme="majorHAnsi" w:cstheme="majorHAnsi"/>
          <w:i/>
          <w:color w:val="000000" w:themeColor="text1"/>
          <w:lang w:val="en-GB"/>
        </w:rPr>
        <w:t>The Fall of the Roman</w:t>
      </w:r>
      <w:r w:rsidRPr="00F16EC7">
        <w:rPr>
          <w:rFonts w:asciiTheme="majorHAnsi" w:hAnsiTheme="majorHAnsi" w:cstheme="majorHAnsi"/>
          <w:color w:val="000000" w:themeColor="text1"/>
          <w:lang w:val="en-GB"/>
        </w:rPr>
        <w:t xml:space="preserve"> </w:t>
      </w:r>
      <w:r w:rsidRPr="00F16EC7">
        <w:rPr>
          <w:rFonts w:asciiTheme="majorHAnsi" w:hAnsiTheme="majorHAnsi" w:cstheme="majorHAnsi"/>
          <w:i/>
          <w:color w:val="000000" w:themeColor="text1"/>
          <w:lang w:val="en-GB"/>
        </w:rPr>
        <w:t>Household</w:t>
      </w:r>
      <w:r w:rsidRPr="00F16EC7">
        <w:rPr>
          <w:rFonts w:asciiTheme="majorHAnsi" w:hAnsiTheme="majorHAnsi" w:cstheme="majorHAnsi"/>
          <w:color w:val="000000" w:themeColor="text1"/>
          <w:lang w:val="en-GB"/>
        </w:rPr>
        <w:t>, 93-97.</w:t>
      </w:r>
      <w:r w:rsidRPr="00A669E0">
        <w:rPr>
          <w:rFonts w:asciiTheme="majorHAnsi" w:hAnsiTheme="majorHAnsi" w:cstheme="majorHAnsi"/>
          <w:color w:val="000000" w:themeColor="text1"/>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A1"/>
    <w:rsid w:val="00071966"/>
    <w:rsid w:val="002044A1"/>
    <w:rsid w:val="00290D68"/>
    <w:rsid w:val="005567C3"/>
    <w:rsid w:val="006355DF"/>
    <w:rsid w:val="00776E5A"/>
    <w:rsid w:val="008D0AAE"/>
    <w:rsid w:val="008D654E"/>
    <w:rsid w:val="00A43DA6"/>
    <w:rsid w:val="00A669E0"/>
    <w:rsid w:val="00C65517"/>
    <w:rsid w:val="00D41EC5"/>
    <w:rsid w:val="00F16EC7"/>
    <w:rsid w:val="00F3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82F13-C484-412B-B22C-893EA28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A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2044A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44A1"/>
    <w:rPr>
      <w:rFonts w:asciiTheme="majorHAnsi" w:eastAsiaTheme="majorEastAsia" w:hAnsiTheme="majorHAnsi" w:cstheme="majorBidi"/>
      <w:b/>
      <w:bCs/>
      <w:color w:val="5B9BD5" w:themeColor="accent1"/>
      <w:sz w:val="24"/>
      <w:szCs w:val="24"/>
      <w:lang w:val="en-US"/>
    </w:rPr>
  </w:style>
  <w:style w:type="character" w:styleId="FootnoteReference">
    <w:name w:val="footnote reference"/>
    <w:rsid w:val="002044A1"/>
    <w:rPr>
      <w:vertAlign w:val="superscript"/>
    </w:rPr>
  </w:style>
  <w:style w:type="paragraph" w:styleId="FootnoteText">
    <w:name w:val="footnote text"/>
    <w:basedOn w:val="Normal"/>
    <w:link w:val="FootnoteTextChar"/>
    <w:rsid w:val="002044A1"/>
    <w:pPr>
      <w:spacing w:line="480" w:lineRule="auto"/>
    </w:pPr>
    <w:rPr>
      <w:sz w:val="20"/>
      <w:szCs w:val="20"/>
    </w:rPr>
  </w:style>
  <w:style w:type="character" w:customStyle="1" w:styleId="FootnoteTextChar">
    <w:name w:val="Footnote Text Char"/>
    <w:basedOn w:val="DefaultParagraphFont"/>
    <w:link w:val="FootnoteText"/>
    <w:rsid w:val="002044A1"/>
    <w:rPr>
      <w:rFonts w:ascii="Times New Roman" w:eastAsia="Times New Roman" w:hAnsi="Times New Roman" w:cs="Times New Roman"/>
      <w:sz w:val="20"/>
      <w:szCs w:val="20"/>
      <w:lang w:val="en-US"/>
    </w:rPr>
  </w:style>
  <w:style w:type="character" w:customStyle="1" w:styleId="apple-converted-space">
    <w:name w:val="apple-converted-space"/>
    <w:rsid w:val="002044A1"/>
    <w:rPr>
      <w:rFonts w:cs="Times New Roman"/>
    </w:rPr>
  </w:style>
  <w:style w:type="paragraph" w:styleId="ListParagraph">
    <w:name w:val="List Paragraph"/>
    <w:basedOn w:val="Normal"/>
    <w:uiPriority w:val="34"/>
    <w:qFormat/>
    <w:rsid w:val="002044A1"/>
    <w:pPr>
      <w:ind w:left="720"/>
      <w:contextualSpacing/>
    </w:pPr>
  </w:style>
  <w:style w:type="character" w:styleId="CommentReference">
    <w:name w:val="annotation reference"/>
    <w:basedOn w:val="DefaultParagraphFont"/>
    <w:uiPriority w:val="99"/>
    <w:unhideWhenUsed/>
    <w:rsid w:val="002044A1"/>
    <w:rPr>
      <w:sz w:val="16"/>
      <w:szCs w:val="16"/>
    </w:rPr>
  </w:style>
  <w:style w:type="paragraph" w:styleId="NormalWeb">
    <w:name w:val="Normal (Web)"/>
    <w:basedOn w:val="Normal"/>
    <w:uiPriority w:val="99"/>
    <w:unhideWhenUsed/>
    <w:rsid w:val="00290D68"/>
    <w:pPr>
      <w:spacing w:before="100" w:beforeAutospacing="1" w:after="100" w:afterAutospacing="1"/>
    </w:pPr>
    <w:rPr>
      <w:lang w:val="en-GB"/>
    </w:rPr>
  </w:style>
  <w:style w:type="character" w:customStyle="1" w:styleId="productdisplaycrh">
    <w:name w:val="productdisplay_crh"/>
    <w:basedOn w:val="DefaultParagraphFont"/>
    <w:rsid w:val="00A6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07757">
      <w:bodyDiv w:val="1"/>
      <w:marLeft w:val="0"/>
      <w:marRight w:val="0"/>
      <w:marTop w:val="0"/>
      <w:marBottom w:val="0"/>
      <w:divBdr>
        <w:top w:val="none" w:sz="0" w:space="0" w:color="auto"/>
        <w:left w:val="none" w:sz="0" w:space="0" w:color="auto"/>
        <w:bottom w:val="none" w:sz="0" w:space="0" w:color="auto"/>
        <w:right w:val="none" w:sz="0" w:space="0" w:color="auto"/>
      </w:divBdr>
    </w:div>
    <w:div w:id="305017016">
      <w:bodyDiv w:val="1"/>
      <w:marLeft w:val="0"/>
      <w:marRight w:val="0"/>
      <w:marTop w:val="0"/>
      <w:marBottom w:val="0"/>
      <w:divBdr>
        <w:top w:val="none" w:sz="0" w:space="0" w:color="auto"/>
        <w:left w:val="none" w:sz="0" w:space="0" w:color="auto"/>
        <w:bottom w:val="none" w:sz="0" w:space="0" w:color="auto"/>
        <w:right w:val="none" w:sz="0" w:space="0" w:color="auto"/>
      </w:divBdr>
    </w:div>
    <w:div w:id="508830520">
      <w:bodyDiv w:val="1"/>
      <w:marLeft w:val="0"/>
      <w:marRight w:val="0"/>
      <w:marTop w:val="0"/>
      <w:marBottom w:val="0"/>
      <w:divBdr>
        <w:top w:val="none" w:sz="0" w:space="0" w:color="auto"/>
        <w:left w:val="none" w:sz="0" w:space="0" w:color="auto"/>
        <w:bottom w:val="none" w:sz="0" w:space="0" w:color="auto"/>
        <w:right w:val="none" w:sz="0" w:space="0" w:color="auto"/>
      </w:divBdr>
      <w:divsChild>
        <w:div w:id="828254689">
          <w:marLeft w:val="0"/>
          <w:marRight w:val="0"/>
          <w:marTop w:val="0"/>
          <w:marBottom w:val="0"/>
          <w:divBdr>
            <w:top w:val="none" w:sz="0" w:space="0" w:color="auto"/>
            <w:left w:val="none" w:sz="0" w:space="0" w:color="auto"/>
            <w:bottom w:val="none" w:sz="0" w:space="0" w:color="auto"/>
            <w:right w:val="none" w:sz="0" w:space="0" w:color="auto"/>
          </w:divBdr>
          <w:divsChild>
            <w:div w:id="756757222">
              <w:marLeft w:val="0"/>
              <w:marRight w:val="0"/>
              <w:marTop w:val="0"/>
              <w:marBottom w:val="0"/>
              <w:divBdr>
                <w:top w:val="none" w:sz="0" w:space="0" w:color="auto"/>
                <w:left w:val="none" w:sz="0" w:space="0" w:color="auto"/>
                <w:bottom w:val="none" w:sz="0" w:space="0" w:color="auto"/>
                <w:right w:val="none" w:sz="0" w:space="0" w:color="auto"/>
              </w:divBdr>
              <w:divsChild>
                <w:div w:id="190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4946">
      <w:bodyDiv w:val="1"/>
      <w:marLeft w:val="0"/>
      <w:marRight w:val="0"/>
      <w:marTop w:val="0"/>
      <w:marBottom w:val="0"/>
      <w:divBdr>
        <w:top w:val="none" w:sz="0" w:space="0" w:color="auto"/>
        <w:left w:val="none" w:sz="0" w:space="0" w:color="auto"/>
        <w:bottom w:val="none" w:sz="0" w:space="0" w:color="auto"/>
        <w:right w:val="none" w:sz="0" w:space="0" w:color="auto"/>
      </w:divBdr>
    </w:div>
    <w:div w:id="1655377862">
      <w:bodyDiv w:val="1"/>
      <w:marLeft w:val="0"/>
      <w:marRight w:val="0"/>
      <w:marTop w:val="0"/>
      <w:marBottom w:val="0"/>
      <w:divBdr>
        <w:top w:val="none" w:sz="0" w:space="0" w:color="auto"/>
        <w:left w:val="none" w:sz="0" w:space="0" w:color="auto"/>
        <w:bottom w:val="none" w:sz="0" w:space="0" w:color="auto"/>
        <w:right w:val="none" w:sz="0" w:space="0" w:color="auto"/>
      </w:divBdr>
    </w:div>
    <w:div w:id="1758668465">
      <w:bodyDiv w:val="1"/>
      <w:marLeft w:val="0"/>
      <w:marRight w:val="0"/>
      <w:marTop w:val="0"/>
      <w:marBottom w:val="0"/>
      <w:divBdr>
        <w:top w:val="none" w:sz="0" w:space="0" w:color="auto"/>
        <w:left w:val="none" w:sz="0" w:space="0" w:color="auto"/>
        <w:bottom w:val="none" w:sz="0" w:space="0" w:color="auto"/>
        <w:right w:val="none" w:sz="0" w:space="0" w:color="auto"/>
      </w:divBdr>
    </w:div>
    <w:div w:id="2123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6153</Words>
  <Characters>35074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Wood</dc:creator>
  <cp:keywords/>
  <dc:description/>
  <cp:lastModifiedBy>Natal Villazala, David</cp:lastModifiedBy>
  <cp:revision>3</cp:revision>
  <dcterms:created xsi:type="dcterms:W3CDTF">2020-07-08T14:40:00Z</dcterms:created>
  <dcterms:modified xsi:type="dcterms:W3CDTF">2020-07-08T14:42:00Z</dcterms:modified>
</cp:coreProperties>
</file>