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3E9ED" w14:textId="77777777" w:rsidR="0043707A" w:rsidRPr="00FD13F4" w:rsidRDefault="00143E23">
      <w:pPr>
        <w:pStyle w:val="Body"/>
        <w:spacing w:line="360" w:lineRule="auto"/>
        <w:jc w:val="center"/>
        <w:rPr>
          <w:rFonts w:ascii="Times New Roman" w:eastAsia="Helvetica" w:hAnsi="Times New Roman" w:cs="Times New Roman"/>
          <w:b/>
          <w:bCs/>
          <w:i/>
          <w:iCs/>
          <w:sz w:val="24"/>
          <w:szCs w:val="24"/>
          <w:u w:val="single"/>
          <w:lang w:val="en-GB"/>
        </w:rPr>
      </w:pPr>
      <w:r w:rsidRPr="00FD13F4">
        <w:rPr>
          <w:rFonts w:ascii="Times New Roman" w:hAnsi="Times New Roman" w:cs="Times New Roman"/>
          <w:b/>
          <w:bCs/>
          <w:i/>
          <w:iCs/>
          <w:sz w:val="24"/>
          <w:szCs w:val="24"/>
          <w:u w:val="single"/>
          <w:lang w:val="en-GB"/>
        </w:rPr>
        <w:t>Ratio! A Game of Judgment</w:t>
      </w:r>
      <w:r w:rsidRPr="00FD13F4">
        <w:rPr>
          <w:rFonts w:ascii="Times New Roman" w:hAnsi="Times New Roman" w:cs="Times New Roman"/>
          <w:b/>
          <w:bCs/>
          <w:sz w:val="24"/>
          <w:szCs w:val="24"/>
          <w:u w:val="single"/>
          <w:lang w:val="en-GB"/>
        </w:rPr>
        <w:t>: Using Game-Based Learning to Teach Legal Reasoning</w:t>
      </w:r>
    </w:p>
    <w:p w14:paraId="6322331D" w14:textId="77777777" w:rsidR="0043707A" w:rsidRPr="00FD13F4" w:rsidRDefault="0043707A">
      <w:pPr>
        <w:pStyle w:val="Body"/>
        <w:spacing w:line="360" w:lineRule="auto"/>
        <w:jc w:val="both"/>
        <w:rPr>
          <w:rFonts w:ascii="Times New Roman" w:eastAsia="Helvetica" w:hAnsi="Times New Roman" w:cs="Times New Roman"/>
          <w:b/>
          <w:bCs/>
          <w:sz w:val="24"/>
          <w:szCs w:val="24"/>
          <w:u w:val="single"/>
          <w:lang w:val="en-GB"/>
        </w:rPr>
      </w:pPr>
    </w:p>
    <w:p w14:paraId="320FCFDB" w14:textId="2415ED0C" w:rsidR="0043707A" w:rsidRDefault="00143E23">
      <w:pPr>
        <w:pStyle w:val="Body"/>
        <w:spacing w:line="360" w:lineRule="auto"/>
        <w:jc w:val="center"/>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Dr David Yuratich, Royal Holloway University of London*</w:t>
      </w:r>
    </w:p>
    <w:p w14:paraId="45F5C70A" w14:textId="77777777" w:rsidR="00C37A42" w:rsidRDefault="00C37A42" w:rsidP="00C37A42">
      <w:pPr>
        <w:pStyle w:val="Body"/>
        <w:spacing w:line="360" w:lineRule="auto"/>
        <w:jc w:val="both"/>
        <w:rPr>
          <w:rFonts w:ascii="Times New Roman" w:eastAsia="Helvetica" w:hAnsi="Times New Roman" w:cs="Times New Roman"/>
          <w:b/>
          <w:bCs/>
          <w:sz w:val="24"/>
          <w:szCs w:val="24"/>
          <w:lang w:val="en-GB"/>
        </w:rPr>
      </w:pPr>
    </w:p>
    <w:p w14:paraId="73F5DC4D" w14:textId="0FC7FA1C" w:rsidR="00C37A42" w:rsidRPr="0053606F" w:rsidRDefault="00C37A42" w:rsidP="00C37A42">
      <w:pPr>
        <w:pStyle w:val="Body"/>
        <w:spacing w:line="360" w:lineRule="auto"/>
        <w:jc w:val="both"/>
        <w:rPr>
          <w:rFonts w:ascii="Times New Roman" w:eastAsia="Helvetica" w:hAnsi="Times New Roman" w:cs="Times New Roman"/>
          <w:b/>
          <w:bCs/>
          <w:sz w:val="24"/>
          <w:szCs w:val="24"/>
          <w:lang w:val="en-GB"/>
        </w:rPr>
      </w:pPr>
      <w:r w:rsidRPr="0053606F">
        <w:rPr>
          <w:rFonts w:ascii="Times New Roman" w:eastAsia="Helvetica" w:hAnsi="Times New Roman" w:cs="Times New Roman"/>
          <w:b/>
          <w:bCs/>
          <w:sz w:val="24"/>
          <w:szCs w:val="24"/>
          <w:lang w:val="en-GB"/>
        </w:rPr>
        <w:t xml:space="preserve">Word Count: </w:t>
      </w:r>
      <w:r w:rsidR="005B0C96">
        <w:rPr>
          <w:rFonts w:ascii="Times New Roman" w:eastAsia="Helvetica" w:hAnsi="Times New Roman" w:cs="Times New Roman"/>
          <w:b/>
          <w:bCs/>
          <w:sz w:val="24"/>
          <w:szCs w:val="24"/>
          <w:lang w:val="en-GB"/>
        </w:rPr>
        <w:t>7,</w:t>
      </w:r>
      <w:r w:rsidR="00B14A05">
        <w:rPr>
          <w:rFonts w:ascii="Times New Roman" w:eastAsia="Helvetica" w:hAnsi="Times New Roman" w:cs="Times New Roman"/>
          <w:b/>
          <w:bCs/>
          <w:sz w:val="24"/>
          <w:szCs w:val="24"/>
          <w:lang w:val="en-GB"/>
        </w:rPr>
        <w:t xml:space="preserve">499 </w:t>
      </w:r>
      <w:r>
        <w:rPr>
          <w:rFonts w:ascii="Times New Roman" w:eastAsia="Helvetica" w:hAnsi="Times New Roman" w:cs="Times New Roman"/>
          <w:b/>
          <w:bCs/>
          <w:sz w:val="24"/>
          <w:szCs w:val="24"/>
          <w:lang w:val="en-GB"/>
        </w:rPr>
        <w:t>words</w:t>
      </w:r>
    </w:p>
    <w:p w14:paraId="3A1165B1" w14:textId="77777777" w:rsidR="00C37A42" w:rsidRPr="0053606F" w:rsidRDefault="00C37A42" w:rsidP="00C37A42">
      <w:pPr>
        <w:pStyle w:val="Body"/>
        <w:spacing w:line="360" w:lineRule="auto"/>
        <w:jc w:val="both"/>
        <w:rPr>
          <w:rFonts w:ascii="Times New Roman" w:eastAsia="Helvetica" w:hAnsi="Times New Roman" w:cs="Times New Roman"/>
          <w:b/>
          <w:bCs/>
          <w:sz w:val="24"/>
          <w:szCs w:val="24"/>
          <w:lang w:val="en-GB"/>
        </w:rPr>
      </w:pPr>
    </w:p>
    <w:p w14:paraId="48770A8C" w14:textId="05D2CB5C" w:rsidR="00C37A42" w:rsidRPr="00D226C5" w:rsidRDefault="00C37A42" w:rsidP="00C37A42">
      <w:pPr>
        <w:pStyle w:val="Body"/>
        <w:spacing w:line="360" w:lineRule="auto"/>
        <w:jc w:val="both"/>
        <w:rPr>
          <w:rFonts w:ascii="Times New Roman" w:eastAsia="Helvetica" w:hAnsi="Times New Roman" w:cs="Times New Roman"/>
          <w:b/>
          <w:bCs/>
          <w:sz w:val="24"/>
          <w:szCs w:val="24"/>
          <w:lang w:val="en-GB"/>
        </w:rPr>
      </w:pPr>
      <w:r w:rsidRPr="00E16704">
        <w:rPr>
          <w:rFonts w:ascii="Times New Roman" w:eastAsia="Helvetica" w:hAnsi="Times New Roman" w:cs="Times New Roman"/>
          <w:b/>
          <w:bCs/>
          <w:sz w:val="24"/>
          <w:szCs w:val="24"/>
          <w:lang w:val="en-GB"/>
        </w:rPr>
        <w:t>Abstract</w:t>
      </w:r>
      <w:r>
        <w:rPr>
          <w:rFonts w:ascii="Times New Roman" w:eastAsia="Helvetica" w:hAnsi="Times New Roman" w:cs="Times New Roman"/>
          <w:b/>
          <w:bCs/>
          <w:sz w:val="24"/>
          <w:szCs w:val="24"/>
          <w:lang w:val="en-GB"/>
        </w:rPr>
        <w:t xml:space="preserve">: </w:t>
      </w:r>
      <w:r w:rsidRPr="00E16704">
        <w:rPr>
          <w:rFonts w:ascii="Times New Roman" w:hAnsi="Times New Roman" w:cs="Times New Roman"/>
          <w:i/>
          <w:iCs/>
          <w:sz w:val="24"/>
          <w:szCs w:val="24"/>
          <w:lang w:val="en-GB"/>
        </w:rPr>
        <w:t>This Article introduces Ratio! A Game of Judgment, a card game jointly developed by Dr David Yuratich (the</w:t>
      </w:r>
      <w:r>
        <w:rPr>
          <w:rFonts w:ascii="Times New Roman" w:hAnsi="Times New Roman" w:cs="Times New Roman"/>
          <w:i/>
          <w:iCs/>
          <w:sz w:val="24"/>
          <w:szCs w:val="24"/>
          <w:lang w:val="en-GB"/>
        </w:rPr>
        <w:t xml:space="preserve"> sole</w:t>
      </w:r>
      <w:r w:rsidRPr="00E16704">
        <w:rPr>
          <w:rFonts w:ascii="Times New Roman" w:hAnsi="Times New Roman" w:cs="Times New Roman"/>
          <w:i/>
          <w:iCs/>
          <w:sz w:val="24"/>
          <w:szCs w:val="24"/>
          <w:lang w:val="en-GB"/>
        </w:rPr>
        <w:t xml:space="preserve"> author</w:t>
      </w:r>
      <w:r>
        <w:rPr>
          <w:rFonts w:ascii="Times New Roman" w:hAnsi="Times New Roman" w:cs="Times New Roman"/>
          <w:i/>
          <w:iCs/>
          <w:sz w:val="24"/>
          <w:szCs w:val="24"/>
          <w:lang w:val="en-GB"/>
        </w:rPr>
        <w:t xml:space="preserve"> of this article</w:t>
      </w:r>
      <w:r w:rsidRPr="00E16704">
        <w:rPr>
          <w:rFonts w:ascii="Times New Roman" w:hAnsi="Times New Roman" w:cs="Times New Roman"/>
          <w:i/>
          <w:iCs/>
          <w:sz w:val="24"/>
          <w:szCs w:val="24"/>
          <w:lang w:val="en-GB"/>
        </w:rPr>
        <w:t>) and Dr Thomas Giddens. Ratio provides an innovate and immersive environment for the deep and active learning of common law legal reasoning. Players adopt the role of a judge and are required to deploy cards representing the main elements of common law reasoning to build a judgment. This Article argues that game-based learning (GBL) offers pedagogies which provide an innovative way of engaging and educating law students and explains how these approaches apply to and work within Ratio. It makes a case for the adoption of GBL methods and identifies future research agendas that explore the use of GBL (and Ratio) in the legal classroom.</w:t>
      </w:r>
    </w:p>
    <w:p w14:paraId="19DC6F22" w14:textId="77777777" w:rsidR="00C37A42" w:rsidRPr="00E16704" w:rsidRDefault="00C37A42" w:rsidP="00C37A42">
      <w:pPr>
        <w:pStyle w:val="Body"/>
        <w:spacing w:line="360" w:lineRule="auto"/>
        <w:jc w:val="both"/>
        <w:rPr>
          <w:rFonts w:ascii="Times New Roman" w:eastAsia="Helvetica" w:hAnsi="Times New Roman" w:cs="Times New Roman"/>
          <w:b/>
          <w:bCs/>
          <w:sz w:val="24"/>
          <w:szCs w:val="24"/>
          <w:lang w:val="en-GB"/>
        </w:rPr>
      </w:pPr>
    </w:p>
    <w:p w14:paraId="38A02FC3" w14:textId="77777777" w:rsidR="00C37A42" w:rsidRPr="00E16704" w:rsidRDefault="00C37A42" w:rsidP="00C37A42">
      <w:pPr>
        <w:pStyle w:val="Body"/>
        <w:spacing w:line="360" w:lineRule="auto"/>
        <w:jc w:val="both"/>
        <w:rPr>
          <w:rFonts w:ascii="Times New Roman" w:eastAsia="Helvetica" w:hAnsi="Times New Roman" w:cs="Times New Roman"/>
          <w:sz w:val="24"/>
          <w:szCs w:val="24"/>
          <w:lang w:val="en-GB"/>
        </w:rPr>
      </w:pPr>
      <w:r w:rsidRPr="00E16704">
        <w:rPr>
          <w:rFonts w:ascii="Times New Roman" w:eastAsia="Helvetica" w:hAnsi="Times New Roman" w:cs="Times New Roman"/>
          <w:b/>
          <w:bCs/>
          <w:sz w:val="24"/>
          <w:szCs w:val="24"/>
          <w:lang w:val="en-GB"/>
        </w:rPr>
        <w:t xml:space="preserve">Keywords: </w:t>
      </w:r>
      <w:r w:rsidRPr="00E16704">
        <w:rPr>
          <w:rFonts w:ascii="Times New Roman" w:eastAsia="Helvetica" w:hAnsi="Times New Roman" w:cs="Times New Roman"/>
          <w:sz w:val="24"/>
          <w:szCs w:val="24"/>
          <w:lang w:val="en-GB"/>
        </w:rPr>
        <w:t>Legal reasoning; game-based learning; gamification</w:t>
      </w:r>
      <w:r>
        <w:rPr>
          <w:rFonts w:ascii="Times New Roman" w:eastAsia="Helvetica" w:hAnsi="Times New Roman" w:cs="Times New Roman"/>
          <w:sz w:val="24"/>
          <w:szCs w:val="24"/>
          <w:lang w:val="en-GB"/>
        </w:rPr>
        <w:t>.</w:t>
      </w:r>
    </w:p>
    <w:p w14:paraId="0A7BD017" w14:textId="77777777" w:rsidR="002D38A3" w:rsidRPr="00FD13F4" w:rsidRDefault="002D38A3">
      <w:pPr>
        <w:pStyle w:val="Body"/>
        <w:spacing w:line="360" w:lineRule="auto"/>
        <w:jc w:val="both"/>
        <w:rPr>
          <w:rFonts w:ascii="Times New Roman" w:eastAsia="Helvetica" w:hAnsi="Times New Roman" w:cs="Times New Roman"/>
          <w:b/>
          <w:bCs/>
          <w:sz w:val="24"/>
          <w:szCs w:val="24"/>
          <w:u w:val="single"/>
          <w:lang w:val="en-GB"/>
        </w:rPr>
      </w:pPr>
    </w:p>
    <w:p w14:paraId="292D1073" w14:textId="77777777" w:rsidR="0043707A" w:rsidRPr="00FD13F4" w:rsidRDefault="00143E23" w:rsidP="00E16704">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Introduction</w:t>
      </w:r>
    </w:p>
    <w:p w14:paraId="40DCD74E" w14:textId="77777777" w:rsidR="0043707A" w:rsidRPr="00FD13F4" w:rsidRDefault="0043707A">
      <w:pPr>
        <w:pStyle w:val="Body"/>
        <w:spacing w:line="360" w:lineRule="auto"/>
        <w:jc w:val="both"/>
        <w:rPr>
          <w:rFonts w:ascii="Times New Roman" w:eastAsia="Helvetica" w:hAnsi="Times New Roman" w:cs="Times New Roman"/>
          <w:b/>
          <w:bCs/>
          <w:sz w:val="24"/>
          <w:szCs w:val="24"/>
          <w:lang w:val="en-GB"/>
        </w:rPr>
      </w:pPr>
    </w:p>
    <w:p w14:paraId="38D4B38B" w14:textId="62FCA629" w:rsidR="0037614E" w:rsidRPr="00FD13F4" w:rsidRDefault="00E1559A">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Since 2016,</w:t>
      </w:r>
      <w:r w:rsidR="00143E23" w:rsidRPr="00FD13F4">
        <w:rPr>
          <w:rFonts w:ascii="Times New Roman" w:hAnsi="Times New Roman" w:cs="Times New Roman"/>
          <w:sz w:val="24"/>
          <w:szCs w:val="24"/>
          <w:lang w:val="en-GB"/>
        </w:rPr>
        <w:t xml:space="preserve"> </w:t>
      </w:r>
      <w:r w:rsidR="007A4833" w:rsidRPr="00FD13F4">
        <w:rPr>
          <w:rFonts w:ascii="Times New Roman" w:hAnsi="Times New Roman" w:cs="Times New Roman"/>
          <w:sz w:val="24"/>
          <w:szCs w:val="24"/>
          <w:lang w:val="en-GB"/>
        </w:rPr>
        <w:t>I</w:t>
      </w:r>
      <w:r w:rsidR="00143E23" w:rsidRPr="00FD13F4">
        <w:rPr>
          <w:rFonts w:ascii="Times New Roman" w:hAnsi="Times New Roman" w:cs="Times New Roman"/>
          <w:sz w:val="24"/>
          <w:szCs w:val="24"/>
          <w:lang w:val="en-GB"/>
        </w:rPr>
        <w:t xml:space="preserve"> and Dr Thomas Giddens (University of Dundee) have been developing a card game</w:t>
      </w:r>
      <w:r w:rsidRPr="00FD13F4">
        <w:rPr>
          <w:rFonts w:ascii="Times New Roman" w:hAnsi="Times New Roman" w:cs="Times New Roman"/>
          <w:sz w:val="24"/>
          <w:szCs w:val="24"/>
          <w:lang w:val="en-GB"/>
        </w:rPr>
        <w:t xml:space="preserve"> called </w:t>
      </w:r>
      <w:r w:rsidR="00143E23" w:rsidRPr="00FD13F4">
        <w:rPr>
          <w:rFonts w:ascii="Times New Roman" w:hAnsi="Times New Roman" w:cs="Times New Roman"/>
          <w:i/>
          <w:iCs/>
          <w:sz w:val="24"/>
          <w:szCs w:val="24"/>
          <w:lang w:val="en-GB"/>
        </w:rPr>
        <w:t xml:space="preserve">Ratio! A Game of Judgment </w:t>
      </w:r>
      <w:r w:rsidR="00A6461C" w:rsidRPr="00FD13F4">
        <w:rPr>
          <w:rFonts w:ascii="Times New Roman" w:hAnsi="Times New Roman" w:cs="Times New Roman"/>
          <w:sz w:val="24"/>
          <w:szCs w:val="24"/>
          <w:lang w:val="en-GB"/>
        </w:rPr>
        <w:t>(‘</w:t>
      </w:r>
      <w:r w:rsidR="00A6461C" w:rsidRPr="00FD13F4">
        <w:rPr>
          <w:rFonts w:ascii="Times New Roman" w:hAnsi="Times New Roman" w:cs="Times New Roman"/>
          <w:i/>
          <w:iCs/>
          <w:sz w:val="24"/>
          <w:szCs w:val="24"/>
          <w:lang w:val="en-GB"/>
        </w:rPr>
        <w:t>Ratio’</w:t>
      </w:r>
      <w:r w:rsidR="00A6461C" w:rsidRPr="00FD13F4">
        <w:rPr>
          <w:rFonts w:ascii="Times New Roman" w:hAnsi="Times New Roman" w:cs="Times New Roman"/>
          <w:sz w:val="24"/>
          <w:szCs w:val="24"/>
          <w:lang w:val="en-GB"/>
        </w:rPr>
        <w:t>)</w:t>
      </w:r>
      <w:r w:rsidRPr="00FD13F4">
        <w:rPr>
          <w:rFonts w:ascii="Times New Roman" w:hAnsi="Times New Roman" w:cs="Times New Roman"/>
          <w:sz w:val="24"/>
          <w:szCs w:val="24"/>
          <w:lang w:val="en-GB"/>
        </w:rPr>
        <w:t>.</w:t>
      </w:r>
      <w:r w:rsidR="00DA4B0F" w:rsidRPr="00FD13F4">
        <w:rPr>
          <w:rFonts w:ascii="Times New Roman" w:eastAsia="Helvetica" w:hAnsi="Times New Roman" w:cs="Times New Roman"/>
          <w:sz w:val="24"/>
          <w:szCs w:val="24"/>
          <w:vertAlign w:val="superscript"/>
          <w:lang w:val="en-GB"/>
        </w:rPr>
        <w:t xml:space="preserve"> </w:t>
      </w:r>
      <w:r w:rsidR="00DA4B0F" w:rsidRPr="00FD13F4">
        <w:rPr>
          <w:rFonts w:ascii="Times New Roman" w:eastAsia="Helvetica" w:hAnsi="Times New Roman" w:cs="Times New Roman"/>
          <w:sz w:val="24"/>
          <w:szCs w:val="24"/>
          <w:vertAlign w:val="superscript"/>
          <w:lang w:val="en-GB"/>
        </w:rPr>
        <w:footnoteReference w:id="2"/>
      </w:r>
      <w:r w:rsidR="00DA4B0F" w:rsidRPr="00FD13F4">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This game provide</w:t>
      </w:r>
      <w:r w:rsidR="002B7907" w:rsidRPr="00FD13F4">
        <w:rPr>
          <w:rFonts w:ascii="Times New Roman" w:hAnsi="Times New Roman" w:cs="Times New Roman"/>
          <w:sz w:val="24"/>
          <w:szCs w:val="24"/>
          <w:lang w:val="en-GB"/>
        </w:rPr>
        <w:t>s</w:t>
      </w:r>
      <w:r w:rsidR="001240A1" w:rsidRPr="00FD13F4">
        <w:rPr>
          <w:rFonts w:ascii="Times New Roman" w:hAnsi="Times New Roman" w:cs="Times New Roman"/>
          <w:sz w:val="24"/>
          <w:szCs w:val="24"/>
          <w:lang w:val="en-GB"/>
        </w:rPr>
        <w:t xml:space="preserve"> an immersive environment for the active learning of common law legal reasoning, </w:t>
      </w:r>
      <w:r w:rsidR="00365747" w:rsidRPr="00FD13F4">
        <w:rPr>
          <w:rFonts w:ascii="Times New Roman" w:hAnsi="Times New Roman" w:cs="Times New Roman"/>
          <w:sz w:val="24"/>
          <w:szCs w:val="24"/>
          <w:lang w:val="en-GB"/>
        </w:rPr>
        <w:t>a</w:t>
      </w:r>
      <w:r w:rsidR="00980BAD">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threshold concept within legal education. Each player adopts the role of a judge and is required to deploy cards representing the main elements of common law reasoning to build up a judgment and resolve a fictional legal dispute.</w:t>
      </w:r>
      <w:r w:rsidR="00F94170" w:rsidRPr="00FD13F4">
        <w:rPr>
          <w:rFonts w:ascii="Times New Roman" w:hAnsi="Times New Roman" w:cs="Times New Roman"/>
          <w:sz w:val="24"/>
          <w:szCs w:val="24"/>
          <w:lang w:val="en-GB"/>
        </w:rPr>
        <w:t xml:space="preserve"> </w:t>
      </w:r>
      <w:r w:rsidR="002B7907" w:rsidRPr="00FD13F4">
        <w:rPr>
          <w:rFonts w:ascii="Times New Roman" w:hAnsi="Times New Roman" w:cs="Times New Roman"/>
          <w:sz w:val="24"/>
          <w:szCs w:val="24"/>
          <w:lang w:val="en-GB"/>
        </w:rPr>
        <w:t>In doing so, students</w:t>
      </w:r>
      <w:r w:rsidR="00365747" w:rsidRPr="00FD13F4">
        <w:rPr>
          <w:rFonts w:ascii="Times New Roman" w:hAnsi="Times New Roman" w:cs="Times New Roman"/>
          <w:sz w:val="24"/>
          <w:szCs w:val="24"/>
          <w:lang w:val="en-GB"/>
        </w:rPr>
        <w:t xml:space="preserve"> can visualise the structure</w:t>
      </w:r>
      <w:r w:rsidR="009734F4" w:rsidRPr="00FD13F4">
        <w:rPr>
          <w:rFonts w:ascii="Times New Roman" w:hAnsi="Times New Roman" w:cs="Times New Roman"/>
          <w:sz w:val="24"/>
          <w:szCs w:val="24"/>
          <w:lang w:val="en-GB"/>
        </w:rPr>
        <w:t xml:space="preserve"> and logic of</w:t>
      </w:r>
      <w:r w:rsidR="00365747" w:rsidRPr="00FD13F4">
        <w:rPr>
          <w:rFonts w:ascii="Times New Roman" w:hAnsi="Times New Roman" w:cs="Times New Roman"/>
          <w:sz w:val="24"/>
          <w:szCs w:val="24"/>
          <w:lang w:val="en-GB"/>
        </w:rPr>
        <w:t xml:space="preserve"> a judgment</w:t>
      </w:r>
      <w:r w:rsidR="00980BAD">
        <w:rPr>
          <w:rFonts w:ascii="Times New Roman" w:hAnsi="Times New Roman" w:cs="Times New Roman"/>
          <w:sz w:val="24"/>
          <w:szCs w:val="24"/>
          <w:lang w:val="en-GB"/>
        </w:rPr>
        <w:t xml:space="preserve"> or legal argument</w:t>
      </w:r>
      <w:r w:rsidR="00365747" w:rsidRPr="00FD13F4">
        <w:rPr>
          <w:rFonts w:ascii="Times New Roman" w:hAnsi="Times New Roman" w:cs="Times New Roman"/>
          <w:sz w:val="24"/>
          <w:szCs w:val="24"/>
          <w:lang w:val="en-GB"/>
        </w:rPr>
        <w:t xml:space="preserve"> and explore various questions raised by the interactions between each element of common law reasoning.</w:t>
      </w:r>
    </w:p>
    <w:p w14:paraId="50D298D5" w14:textId="3A3E0623" w:rsidR="00645952" w:rsidRPr="00FD13F4" w:rsidRDefault="00645952">
      <w:pPr>
        <w:pStyle w:val="Body"/>
        <w:spacing w:line="360" w:lineRule="auto"/>
        <w:jc w:val="both"/>
        <w:rPr>
          <w:rFonts w:ascii="Times New Roman" w:hAnsi="Times New Roman" w:cs="Times New Roman"/>
          <w:sz w:val="24"/>
          <w:szCs w:val="24"/>
          <w:lang w:val="en-GB"/>
        </w:rPr>
      </w:pPr>
    </w:p>
    <w:p w14:paraId="1BF5EED6" w14:textId="247534FB" w:rsidR="00645952" w:rsidRPr="00FD13F4" w:rsidRDefault="00645952" w:rsidP="00645952">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is an example of game-based learning (GBL): it uses a game to teach.</w:t>
      </w:r>
      <w:r w:rsidR="00682699"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GBL </w:t>
      </w:r>
      <w:r w:rsidR="009734F4" w:rsidRPr="00FD13F4">
        <w:rPr>
          <w:rFonts w:ascii="Times New Roman" w:hAnsi="Times New Roman" w:cs="Times New Roman"/>
          <w:sz w:val="24"/>
          <w:szCs w:val="24"/>
          <w:lang w:val="en-GB"/>
        </w:rPr>
        <w:t>has a long history</w:t>
      </w:r>
      <w:r w:rsidR="009734F4" w:rsidRPr="00FD13F4">
        <w:rPr>
          <w:rFonts w:ascii="Times New Roman" w:eastAsia="Helvetica" w:hAnsi="Times New Roman" w:cs="Times New Roman"/>
          <w:sz w:val="24"/>
          <w:szCs w:val="24"/>
          <w:vertAlign w:val="superscript"/>
          <w:lang w:val="en-GB"/>
        </w:rPr>
        <w:footnoteReference w:id="3"/>
      </w:r>
      <w:r w:rsidR="009734F4" w:rsidRPr="00FD13F4">
        <w:rPr>
          <w:rFonts w:ascii="Times New Roman" w:hAnsi="Times New Roman" w:cs="Times New Roman"/>
          <w:sz w:val="24"/>
          <w:szCs w:val="24"/>
          <w:lang w:val="en-GB"/>
        </w:rPr>
        <w:t xml:space="preserve"> but in recent times it is</w:t>
      </w:r>
      <w:r w:rsidRPr="00FD13F4">
        <w:rPr>
          <w:rFonts w:ascii="Times New Roman" w:hAnsi="Times New Roman" w:cs="Times New Roman"/>
          <w:sz w:val="24"/>
          <w:szCs w:val="24"/>
          <w:lang w:val="en-GB"/>
        </w:rPr>
        <w:t xml:space="preserve"> often discussed alongside, or as part of, gamification, </w:t>
      </w:r>
      <w:r w:rsidR="00682699" w:rsidRPr="00FD13F4">
        <w:rPr>
          <w:rFonts w:ascii="Times New Roman" w:hAnsi="Times New Roman" w:cs="Times New Roman"/>
          <w:sz w:val="24"/>
          <w:szCs w:val="24"/>
          <w:lang w:val="en-GB"/>
        </w:rPr>
        <w:t xml:space="preserve">which is </w:t>
      </w:r>
      <w:r w:rsidRPr="00FD13F4">
        <w:rPr>
          <w:rFonts w:ascii="Times New Roman" w:hAnsi="Times New Roman" w:cs="Times New Roman"/>
          <w:sz w:val="24"/>
          <w:szCs w:val="24"/>
          <w:lang w:val="en-GB"/>
        </w:rPr>
        <w:t xml:space="preserve">an umbrella </w:t>
      </w:r>
      <w:r w:rsidRPr="00FD13F4">
        <w:rPr>
          <w:rFonts w:ascii="Times New Roman" w:hAnsi="Times New Roman" w:cs="Times New Roman"/>
          <w:sz w:val="24"/>
          <w:szCs w:val="24"/>
          <w:lang w:val="en-GB"/>
        </w:rPr>
        <w:lastRenderedPageBreak/>
        <w:t>term signifying “the use of game design elements in non-game contexts”.</w:t>
      </w:r>
      <w:r w:rsidRPr="00FD13F4">
        <w:rPr>
          <w:rFonts w:ascii="Times New Roman" w:eastAsia="Helvetica" w:hAnsi="Times New Roman" w:cs="Times New Roman"/>
          <w:sz w:val="24"/>
          <w:szCs w:val="24"/>
          <w:vertAlign w:val="superscript"/>
          <w:lang w:val="en-GB"/>
        </w:rPr>
        <w:footnoteReference w:id="4"/>
      </w:r>
      <w:r w:rsidRPr="00FD13F4">
        <w:rPr>
          <w:rFonts w:ascii="Times New Roman" w:hAnsi="Times New Roman" w:cs="Times New Roman"/>
          <w:sz w:val="24"/>
          <w:szCs w:val="24"/>
          <w:lang w:val="en-GB"/>
        </w:rPr>
        <w:t xml:space="preserve"> </w:t>
      </w:r>
      <w:r w:rsidR="00682699"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This broa</w:t>
      </w:r>
      <w:r w:rsidR="00106EE3" w:rsidRPr="00FD13F4">
        <w:rPr>
          <w:rFonts w:ascii="Times New Roman" w:hAnsi="Times New Roman" w:cs="Times New Roman"/>
          <w:sz w:val="24"/>
          <w:szCs w:val="24"/>
          <w:lang w:val="en-GB"/>
        </w:rPr>
        <w:t>d definition</w:t>
      </w:r>
      <w:r w:rsidRPr="00FD13F4">
        <w:rPr>
          <w:rFonts w:ascii="Times New Roman" w:hAnsi="Times New Roman" w:cs="Times New Roman"/>
          <w:sz w:val="24"/>
          <w:szCs w:val="24"/>
          <w:lang w:val="en-GB"/>
        </w:rPr>
        <w:t xml:space="preserve"> </w:t>
      </w:r>
      <w:r w:rsidR="00106EE3" w:rsidRPr="00FD13F4">
        <w:rPr>
          <w:rFonts w:ascii="Times New Roman" w:hAnsi="Times New Roman" w:cs="Times New Roman"/>
          <w:sz w:val="24"/>
          <w:szCs w:val="24"/>
          <w:lang w:val="en-GB"/>
        </w:rPr>
        <w:t>can</w:t>
      </w:r>
      <w:r w:rsidRPr="00FD13F4">
        <w:rPr>
          <w:rFonts w:ascii="Times New Roman" w:hAnsi="Times New Roman" w:cs="Times New Roman"/>
          <w:sz w:val="24"/>
          <w:szCs w:val="24"/>
          <w:lang w:val="en-GB"/>
        </w:rPr>
        <w:t xml:space="preserve"> apply to any sort of learning with games or games elements</w:t>
      </w:r>
      <w:r w:rsidR="00106EE3"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the literature </w:t>
      </w:r>
      <w:r w:rsidR="00106EE3" w:rsidRPr="00FD13F4">
        <w:rPr>
          <w:rFonts w:ascii="Times New Roman" w:hAnsi="Times New Roman" w:cs="Times New Roman"/>
          <w:sz w:val="24"/>
          <w:szCs w:val="24"/>
          <w:lang w:val="en-GB"/>
        </w:rPr>
        <w:t>suggests that</w:t>
      </w:r>
      <w:r w:rsidRPr="00FD13F4">
        <w:rPr>
          <w:rFonts w:ascii="Times New Roman" w:hAnsi="Times New Roman" w:cs="Times New Roman"/>
          <w:sz w:val="24"/>
          <w:szCs w:val="24"/>
          <w:lang w:val="en-GB"/>
        </w:rPr>
        <w:t xml:space="preserve"> it typically manifests when educators borrow reward systems encountered in non-digital and digital gaming and apply them in the classroom, </w:t>
      </w:r>
      <w:r w:rsidR="00106EE3" w:rsidRPr="00FD13F4">
        <w:rPr>
          <w:rFonts w:ascii="Times New Roman" w:hAnsi="Times New Roman" w:cs="Times New Roman"/>
          <w:sz w:val="24"/>
          <w:szCs w:val="24"/>
          <w:lang w:val="en-GB"/>
        </w:rPr>
        <w:t>for example by</w:t>
      </w:r>
      <w:r w:rsidRPr="00FD13F4">
        <w:rPr>
          <w:rFonts w:ascii="Times New Roman" w:hAnsi="Times New Roman" w:cs="Times New Roman"/>
          <w:sz w:val="24"/>
          <w:szCs w:val="24"/>
          <w:lang w:val="en-GB"/>
        </w:rPr>
        <w:t xml:space="preserve"> awarding ‘points’ for good performance, or using leader</w:t>
      </w:r>
      <w:r w:rsidR="00DE690C"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boards to motiva</w:t>
      </w:r>
      <w:r w:rsidR="00106EE3" w:rsidRPr="00FD13F4">
        <w:rPr>
          <w:rFonts w:ascii="Times New Roman" w:hAnsi="Times New Roman" w:cs="Times New Roman"/>
          <w:sz w:val="24"/>
          <w:szCs w:val="24"/>
          <w:lang w:val="en-GB"/>
        </w:rPr>
        <w:t>te</w:t>
      </w:r>
      <w:r w:rsidRPr="00FD13F4">
        <w:rPr>
          <w:rFonts w:ascii="Times New Roman" w:hAnsi="Times New Roman" w:cs="Times New Roman"/>
          <w:sz w:val="24"/>
          <w:szCs w:val="24"/>
          <w:lang w:val="en-GB"/>
        </w:rPr>
        <w:t xml:space="preserve"> and engage.</w:t>
      </w:r>
      <w:r w:rsidRPr="00FD13F4">
        <w:rPr>
          <w:rFonts w:ascii="Times New Roman" w:eastAsia="Helvetica" w:hAnsi="Times New Roman" w:cs="Times New Roman"/>
          <w:sz w:val="24"/>
          <w:szCs w:val="24"/>
          <w:vertAlign w:val="superscript"/>
          <w:lang w:val="en-GB"/>
        </w:rPr>
        <w:footnoteReference w:id="5"/>
      </w:r>
      <w:r w:rsidRPr="00FD13F4">
        <w:rPr>
          <w:rFonts w:ascii="Times New Roman" w:hAnsi="Times New Roman" w:cs="Times New Roman"/>
          <w:sz w:val="24"/>
          <w:szCs w:val="24"/>
          <w:lang w:val="en-GB"/>
        </w:rPr>
        <w:t xml:space="preserve"> </w:t>
      </w:r>
      <w:r w:rsidR="001873D7" w:rsidRPr="00FD13F4">
        <w:rPr>
          <w:rFonts w:ascii="Times New Roman" w:hAnsi="Times New Roman" w:cs="Times New Roman"/>
          <w:sz w:val="24"/>
          <w:szCs w:val="24"/>
          <w:lang w:val="en-GB"/>
        </w:rPr>
        <w:t xml:space="preserve"> </w:t>
      </w:r>
      <w:r w:rsidR="00793A67">
        <w:rPr>
          <w:rFonts w:ascii="Times New Roman" w:hAnsi="Times New Roman" w:cs="Times New Roman"/>
          <w:sz w:val="24"/>
          <w:szCs w:val="24"/>
          <w:lang w:val="en-GB"/>
        </w:rPr>
        <w:t xml:space="preserve">It is submitted, however, that </w:t>
      </w:r>
      <w:r w:rsidRPr="00FD13F4">
        <w:rPr>
          <w:rFonts w:ascii="Times New Roman" w:hAnsi="Times New Roman" w:cs="Times New Roman"/>
          <w:sz w:val="24"/>
          <w:szCs w:val="24"/>
          <w:lang w:val="en-GB"/>
        </w:rPr>
        <w:t>GBL is more specific and should be decoupled from gamification</w:t>
      </w:r>
      <w:r w:rsidR="00106EE3" w:rsidRPr="00FD13F4">
        <w:rPr>
          <w:rFonts w:ascii="Times New Roman" w:hAnsi="Times New Roman" w:cs="Times New Roman"/>
          <w:sz w:val="24"/>
          <w:szCs w:val="24"/>
          <w:lang w:val="en-GB"/>
        </w:rPr>
        <w:t xml:space="preserve"> at the outset of this article</w:t>
      </w:r>
      <w:r w:rsidRPr="00FD13F4">
        <w:rPr>
          <w:rFonts w:ascii="Times New Roman" w:hAnsi="Times New Roman" w:cs="Times New Roman"/>
          <w:sz w:val="24"/>
          <w:szCs w:val="24"/>
          <w:lang w:val="en-GB"/>
        </w:rPr>
        <w:t>. Whereas gamification generally uses gaming concepts as scaffolding for engagement and motivation, GBL uses an entire game to help deliver a specific learning objective or set of objectives.</w:t>
      </w:r>
      <w:r w:rsidRPr="00FD13F4">
        <w:rPr>
          <w:rFonts w:ascii="Times New Roman" w:eastAsia="Helvetica" w:hAnsi="Times New Roman" w:cs="Times New Roman"/>
          <w:sz w:val="24"/>
          <w:szCs w:val="24"/>
          <w:vertAlign w:val="superscript"/>
          <w:lang w:val="en-GB"/>
        </w:rPr>
        <w:footnoteReference w:id="6"/>
      </w:r>
      <w:r w:rsidRPr="00FD13F4">
        <w:rPr>
          <w:rFonts w:ascii="Times New Roman" w:hAnsi="Times New Roman" w:cs="Times New Roman"/>
          <w:sz w:val="24"/>
          <w:szCs w:val="24"/>
          <w:lang w:val="en-GB"/>
        </w:rPr>
        <w:t xml:space="preserve">  Th</w:t>
      </w:r>
      <w:r w:rsidR="00106EE3" w:rsidRPr="00FD13F4">
        <w:rPr>
          <w:rFonts w:ascii="Times New Roman" w:hAnsi="Times New Roman" w:cs="Times New Roman"/>
          <w:sz w:val="24"/>
          <w:szCs w:val="24"/>
          <w:lang w:val="en-GB"/>
        </w:rPr>
        <w:t>is distinct</w:t>
      </w:r>
      <w:r w:rsidR="009734F4" w:rsidRPr="00FD13F4">
        <w:rPr>
          <w:rFonts w:ascii="Times New Roman" w:hAnsi="Times New Roman" w:cs="Times New Roman"/>
          <w:sz w:val="24"/>
          <w:szCs w:val="24"/>
          <w:lang w:val="en-GB"/>
        </w:rPr>
        <w:t>i</w:t>
      </w:r>
      <w:r w:rsidR="00106EE3" w:rsidRPr="00FD13F4">
        <w:rPr>
          <w:rFonts w:ascii="Times New Roman" w:hAnsi="Times New Roman" w:cs="Times New Roman"/>
          <w:sz w:val="24"/>
          <w:szCs w:val="24"/>
          <w:lang w:val="en-GB"/>
        </w:rPr>
        <w:t>on</w:t>
      </w:r>
      <w:r w:rsidRPr="00FD13F4">
        <w:rPr>
          <w:rFonts w:ascii="Times New Roman" w:hAnsi="Times New Roman" w:cs="Times New Roman"/>
          <w:sz w:val="24"/>
          <w:szCs w:val="24"/>
          <w:lang w:val="en-GB"/>
        </w:rPr>
        <w:t xml:space="preserve"> implicates pedagogic theories and techniques particular to GBL, as seen for example in the influential literature and praxis on 'serious games’.</w:t>
      </w:r>
      <w:r w:rsidRPr="00FD13F4">
        <w:rPr>
          <w:rStyle w:val="FootnoteReference"/>
          <w:rFonts w:ascii="Times New Roman" w:hAnsi="Times New Roman" w:cs="Times New Roman"/>
          <w:sz w:val="24"/>
          <w:szCs w:val="24"/>
          <w:lang w:val="en-GB"/>
        </w:rPr>
        <w:footnoteReference w:id="7"/>
      </w:r>
      <w:r w:rsidRPr="00FD13F4">
        <w:rPr>
          <w:rFonts w:ascii="Times New Roman" w:hAnsi="Times New Roman" w:cs="Times New Roman"/>
          <w:sz w:val="24"/>
          <w:szCs w:val="24"/>
          <w:lang w:val="en-GB"/>
        </w:rPr>
        <w:t xml:space="preserve"> </w:t>
      </w:r>
      <w:r w:rsidR="009734F4" w:rsidRPr="00FD13F4">
        <w:rPr>
          <w:rFonts w:ascii="Times New Roman" w:hAnsi="Times New Roman" w:cs="Times New Roman"/>
          <w:sz w:val="24"/>
          <w:szCs w:val="24"/>
          <w:lang w:val="en-GB"/>
        </w:rPr>
        <w:t xml:space="preserve">This </w:t>
      </w:r>
      <w:r w:rsidRPr="00FD13F4">
        <w:rPr>
          <w:rFonts w:ascii="Times New Roman" w:hAnsi="Times New Roman" w:cs="Times New Roman"/>
          <w:sz w:val="24"/>
          <w:szCs w:val="24"/>
          <w:lang w:val="en-GB"/>
        </w:rPr>
        <w:t>pedagogy</w:t>
      </w:r>
      <w:r w:rsidR="00C03BAD" w:rsidRPr="00FD13F4">
        <w:rPr>
          <w:rFonts w:ascii="Times New Roman" w:hAnsi="Times New Roman" w:cs="Times New Roman"/>
          <w:sz w:val="24"/>
          <w:szCs w:val="24"/>
          <w:lang w:val="en-GB"/>
        </w:rPr>
        <w:t>, and the design principles which it necessitates,</w:t>
      </w:r>
      <w:r w:rsidRPr="00FD13F4">
        <w:rPr>
          <w:rFonts w:ascii="Times New Roman" w:hAnsi="Times New Roman" w:cs="Times New Roman"/>
          <w:sz w:val="24"/>
          <w:szCs w:val="24"/>
          <w:lang w:val="en-GB"/>
        </w:rPr>
        <w:t xml:space="preserve"> </w:t>
      </w:r>
      <w:r w:rsidR="00682699" w:rsidRPr="00FD13F4">
        <w:rPr>
          <w:rFonts w:ascii="Times New Roman" w:hAnsi="Times New Roman" w:cs="Times New Roman"/>
          <w:sz w:val="24"/>
          <w:szCs w:val="24"/>
          <w:lang w:val="en-GB"/>
        </w:rPr>
        <w:t xml:space="preserve">informed the development of </w:t>
      </w:r>
      <w:r w:rsidR="00682699" w:rsidRPr="00FD13F4">
        <w:rPr>
          <w:rFonts w:ascii="Times New Roman" w:hAnsi="Times New Roman" w:cs="Times New Roman"/>
          <w:i/>
          <w:iCs/>
          <w:sz w:val="24"/>
          <w:szCs w:val="24"/>
          <w:lang w:val="en-GB"/>
        </w:rPr>
        <w:t>Ratio</w:t>
      </w:r>
      <w:r w:rsidR="00682699" w:rsidRPr="00FD13F4">
        <w:rPr>
          <w:rFonts w:ascii="Times New Roman" w:hAnsi="Times New Roman" w:cs="Times New Roman"/>
          <w:sz w:val="24"/>
          <w:szCs w:val="24"/>
          <w:lang w:val="en-GB"/>
        </w:rPr>
        <w:t xml:space="preserve"> and is referred to throughout this Article.</w:t>
      </w:r>
    </w:p>
    <w:p w14:paraId="58EA9801" w14:textId="3AD63D5F" w:rsidR="0088254B" w:rsidRPr="00FD13F4" w:rsidRDefault="0088254B">
      <w:pPr>
        <w:pStyle w:val="Body"/>
        <w:spacing w:line="360" w:lineRule="auto"/>
        <w:jc w:val="both"/>
        <w:rPr>
          <w:rFonts w:ascii="Times New Roman" w:hAnsi="Times New Roman" w:cs="Times New Roman"/>
          <w:sz w:val="24"/>
          <w:szCs w:val="24"/>
          <w:lang w:val="en-GB"/>
        </w:rPr>
      </w:pPr>
    </w:p>
    <w:p w14:paraId="5B4B9C28" w14:textId="6A10CD0E" w:rsidR="0088254B" w:rsidRPr="00FD13F4" w:rsidRDefault="0088254B" w:rsidP="0088254B">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This article proceeds </w:t>
      </w:r>
      <w:r w:rsidR="009734F4" w:rsidRPr="00FD13F4">
        <w:rPr>
          <w:rFonts w:ascii="Times New Roman" w:hAnsi="Times New Roman" w:cs="Times New Roman"/>
          <w:sz w:val="24"/>
          <w:szCs w:val="24"/>
          <w:lang w:val="en-GB"/>
        </w:rPr>
        <w:t>as follows</w:t>
      </w:r>
      <w:r w:rsidRPr="00FD13F4">
        <w:rPr>
          <w:rFonts w:ascii="Times New Roman" w:hAnsi="Times New Roman" w:cs="Times New Roman"/>
          <w:sz w:val="24"/>
          <w:szCs w:val="24"/>
          <w:lang w:val="en-GB"/>
        </w:rPr>
        <w:t>. First, it</w:t>
      </w:r>
      <w:r w:rsidR="00645952"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argues that</w:t>
      </w:r>
      <w:r w:rsidR="00645952" w:rsidRPr="00FD13F4">
        <w:rPr>
          <w:rFonts w:ascii="Times New Roman" w:hAnsi="Times New Roman" w:cs="Times New Roman"/>
          <w:sz w:val="24"/>
          <w:szCs w:val="24"/>
          <w:lang w:val="en-GB"/>
        </w:rPr>
        <w:t xml:space="preserve"> GBL </w:t>
      </w:r>
      <w:r w:rsidRPr="00FD13F4">
        <w:rPr>
          <w:rFonts w:ascii="Times New Roman" w:hAnsi="Times New Roman" w:cs="Times New Roman"/>
          <w:sz w:val="24"/>
          <w:szCs w:val="24"/>
          <w:lang w:val="en-GB"/>
        </w:rPr>
        <w:t xml:space="preserve">provides an innovative </w:t>
      </w:r>
      <w:r w:rsidR="00645952" w:rsidRPr="00FD13F4">
        <w:rPr>
          <w:rFonts w:ascii="Times New Roman" w:hAnsi="Times New Roman" w:cs="Times New Roman"/>
          <w:sz w:val="24"/>
          <w:szCs w:val="24"/>
          <w:lang w:val="en-GB"/>
        </w:rPr>
        <w:t xml:space="preserve">and appropriate </w:t>
      </w:r>
      <w:r w:rsidRPr="00FD13F4">
        <w:rPr>
          <w:rFonts w:ascii="Times New Roman" w:hAnsi="Times New Roman" w:cs="Times New Roman"/>
          <w:sz w:val="24"/>
          <w:szCs w:val="24"/>
          <w:lang w:val="en-GB"/>
        </w:rPr>
        <w:t>way to engage students in</w:t>
      </w:r>
      <w:r w:rsidR="00645952" w:rsidRPr="00FD13F4">
        <w:rPr>
          <w:rFonts w:ascii="Times New Roman" w:hAnsi="Times New Roman" w:cs="Times New Roman"/>
          <w:sz w:val="24"/>
          <w:szCs w:val="24"/>
          <w:lang w:val="en-GB"/>
        </w:rPr>
        <w:t xml:space="preserve"> the</w:t>
      </w:r>
      <w:r w:rsidRPr="00FD13F4">
        <w:rPr>
          <w:rFonts w:ascii="Times New Roman" w:hAnsi="Times New Roman" w:cs="Times New Roman"/>
          <w:sz w:val="24"/>
          <w:szCs w:val="24"/>
          <w:lang w:val="en-GB"/>
        </w:rPr>
        <w:t xml:space="preserve"> active and</w:t>
      </w:r>
      <w:r w:rsidR="00106EE3" w:rsidRPr="00FD13F4">
        <w:rPr>
          <w:rFonts w:ascii="Times New Roman" w:hAnsi="Times New Roman" w:cs="Times New Roman"/>
          <w:sz w:val="24"/>
          <w:szCs w:val="24"/>
          <w:lang w:val="en-GB"/>
        </w:rPr>
        <w:t xml:space="preserve"> critical </w:t>
      </w:r>
      <w:r w:rsidRPr="00FD13F4">
        <w:rPr>
          <w:rFonts w:ascii="Times New Roman" w:hAnsi="Times New Roman" w:cs="Times New Roman"/>
          <w:sz w:val="24"/>
          <w:szCs w:val="24"/>
          <w:lang w:val="en-GB"/>
        </w:rPr>
        <w:t>learning</w:t>
      </w:r>
      <w:r w:rsidR="00645952" w:rsidRPr="00FD13F4">
        <w:rPr>
          <w:rFonts w:ascii="Times New Roman" w:hAnsi="Times New Roman" w:cs="Times New Roman"/>
          <w:sz w:val="24"/>
          <w:szCs w:val="24"/>
          <w:lang w:val="en-GB"/>
        </w:rPr>
        <w:t xml:space="preserve"> of common law reasoning. Second, it explains </w:t>
      </w:r>
      <w:r w:rsidR="00214AF2">
        <w:rPr>
          <w:rFonts w:ascii="Times New Roman" w:hAnsi="Times New Roman" w:cs="Times New Roman"/>
          <w:sz w:val="24"/>
          <w:szCs w:val="24"/>
          <w:lang w:val="en-GB"/>
        </w:rPr>
        <w:t xml:space="preserve">the </w:t>
      </w:r>
      <w:r w:rsidR="00833028">
        <w:rPr>
          <w:rFonts w:ascii="Times New Roman" w:hAnsi="Times New Roman" w:cs="Times New Roman"/>
          <w:sz w:val="24"/>
          <w:szCs w:val="24"/>
          <w:lang w:val="en-GB"/>
        </w:rPr>
        <w:t xml:space="preserve">GBL </w:t>
      </w:r>
      <w:r w:rsidR="00C744BD" w:rsidRPr="00FD13F4">
        <w:rPr>
          <w:rFonts w:ascii="Times New Roman" w:hAnsi="Times New Roman" w:cs="Times New Roman"/>
          <w:sz w:val="24"/>
          <w:szCs w:val="24"/>
          <w:lang w:val="en-GB"/>
        </w:rPr>
        <w:t>design</w:t>
      </w:r>
      <w:r w:rsidR="00833028">
        <w:rPr>
          <w:rFonts w:ascii="Times New Roman" w:hAnsi="Times New Roman" w:cs="Times New Roman"/>
          <w:sz w:val="24"/>
          <w:szCs w:val="24"/>
          <w:lang w:val="en-GB"/>
        </w:rPr>
        <w:t xml:space="preserve"> principles which underly the design</w:t>
      </w:r>
      <w:r w:rsidR="00C744BD" w:rsidRPr="00FD13F4">
        <w:rPr>
          <w:rFonts w:ascii="Times New Roman" w:hAnsi="Times New Roman" w:cs="Times New Roman"/>
          <w:sz w:val="24"/>
          <w:szCs w:val="24"/>
          <w:lang w:val="en-GB"/>
        </w:rPr>
        <w:t xml:space="preserve"> process</w:t>
      </w:r>
      <w:r w:rsidR="00833028">
        <w:rPr>
          <w:rFonts w:ascii="Times New Roman" w:hAnsi="Times New Roman" w:cs="Times New Roman"/>
          <w:sz w:val="24"/>
          <w:szCs w:val="24"/>
          <w:lang w:val="en-GB"/>
        </w:rPr>
        <w:t xml:space="preserve"> and explains the development process</w:t>
      </w:r>
      <w:r w:rsidR="00214AF2">
        <w:rPr>
          <w:rFonts w:ascii="Times New Roman" w:hAnsi="Times New Roman" w:cs="Times New Roman"/>
          <w:sz w:val="24"/>
          <w:szCs w:val="24"/>
          <w:lang w:val="en-GB"/>
        </w:rPr>
        <w:t>. Third, it</w:t>
      </w:r>
      <w:r w:rsidR="00C744BD" w:rsidRPr="00FD13F4">
        <w:rPr>
          <w:rFonts w:ascii="Times New Roman" w:hAnsi="Times New Roman" w:cs="Times New Roman"/>
          <w:sz w:val="24"/>
          <w:szCs w:val="24"/>
          <w:lang w:val="en-GB"/>
        </w:rPr>
        <w:t xml:space="preserve"> explains</w:t>
      </w:r>
      <w:r w:rsidR="00645952" w:rsidRPr="00FD13F4">
        <w:rPr>
          <w:rFonts w:ascii="Times New Roman" w:hAnsi="Times New Roman" w:cs="Times New Roman"/>
          <w:sz w:val="24"/>
          <w:szCs w:val="24"/>
          <w:lang w:val="en-GB"/>
        </w:rPr>
        <w:t xml:space="preserve"> how </w:t>
      </w:r>
      <w:r w:rsidR="00833028">
        <w:rPr>
          <w:rFonts w:ascii="Times New Roman" w:hAnsi="Times New Roman" w:cs="Times New Roman"/>
          <w:i/>
          <w:iCs/>
          <w:sz w:val="24"/>
          <w:szCs w:val="24"/>
          <w:lang w:val="en-GB"/>
        </w:rPr>
        <w:t>Ratio</w:t>
      </w:r>
      <w:r w:rsidR="00645952" w:rsidRPr="00FD13F4">
        <w:rPr>
          <w:rFonts w:ascii="Times New Roman" w:hAnsi="Times New Roman" w:cs="Times New Roman"/>
          <w:sz w:val="24"/>
          <w:szCs w:val="24"/>
          <w:lang w:val="en-GB"/>
        </w:rPr>
        <w:t xml:space="preserve"> works</w:t>
      </w:r>
      <w:r w:rsidR="00C744BD" w:rsidRPr="00FD13F4">
        <w:rPr>
          <w:rFonts w:ascii="Times New Roman" w:hAnsi="Times New Roman" w:cs="Times New Roman"/>
          <w:sz w:val="24"/>
          <w:szCs w:val="24"/>
          <w:lang w:val="en-GB"/>
        </w:rPr>
        <w:t>. I</w:t>
      </w:r>
      <w:r w:rsidR="00645952" w:rsidRPr="00FD13F4">
        <w:rPr>
          <w:rFonts w:ascii="Times New Roman" w:hAnsi="Times New Roman" w:cs="Times New Roman"/>
          <w:sz w:val="24"/>
          <w:szCs w:val="24"/>
          <w:lang w:val="en-GB"/>
        </w:rPr>
        <w:t>n doin</w:t>
      </w:r>
      <w:r w:rsidR="009734F4" w:rsidRPr="00FD13F4">
        <w:rPr>
          <w:rFonts w:ascii="Times New Roman" w:hAnsi="Times New Roman" w:cs="Times New Roman"/>
          <w:sz w:val="24"/>
          <w:szCs w:val="24"/>
          <w:lang w:val="en-GB"/>
        </w:rPr>
        <w:t>g</w:t>
      </w:r>
      <w:r w:rsidR="00645952" w:rsidRPr="00FD13F4">
        <w:rPr>
          <w:rFonts w:ascii="Times New Roman" w:hAnsi="Times New Roman" w:cs="Times New Roman"/>
          <w:sz w:val="24"/>
          <w:szCs w:val="24"/>
          <w:lang w:val="en-GB"/>
        </w:rPr>
        <w:t xml:space="preserve"> </w:t>
      </w:r>
      <w:r w:rsidR="00C744BD" w:rsidRPr="00FD13F4">
        <w:rPr>
          <w:rFonts w:ascii="Times New Roman" w:hAnsi="Times New Roman" w:cs="Times New Roman"/>
          <w:sz w:val="24"/>
          <w:szCs w:val="24"/>
          <w:lang w:val="en-GB"/>
        </w:rPr>
        <w:t xml:space="preserve">it </w:t>
      </w:r>
      <w:r w:rsidR="00645952" w:rsidRPr="00FD13F4">
        <w:rPr>
          <w:rFonts w:ascii="Times New Roman" w:hAnsi="Times New Roman" w:cs="Times New Roman"/>
          <w:sz w:val="24"/>
          <w:szCs w:val="24"/>
          <w:lang w:val="en-GB"/>
        </w:rPr>
        <w:t xml:space="preserve">so makes clear the relationship between </w:t>
      </w:r>
      <w:r w:rsidR="00C37A42">
        <w:rPr>
          <w:rFonts w:ascii="Times New Roman" w:hAnsi="Times New Roman" w:cs="Times New Roman"/>
          <w:sz w:val="24"/>
          <w:szCs w:val="24"/>
          <w:lang w:val="en-GB"/>
        </w:rPr>
        <w:t xml:space="preserve">the </w:t>
      </w:r>
      <w:r w:rsidR="00645952" w:rsidRPr="00FD13F4">
        <w:rPr>
          <w:rFonts w:ascii="Times New Roman" w:hAnsi="Times New Roman" w:cs="Times New Roman"/>
          <w:sz w:val="24"/>
          <w:szCs w:val="24"/>
          <w:lang w:val="en-GB"/>
        </w:rPr>
        <w:t>gameplay</w:t>
      </w:r>
      <w:r w:rsidR="00833028">
        <w:rPr>
          <w:rFonts w:ascii="Times New Roman" w:hAnsi="Times New Roman" w:cs="Times New Roman"/>
          <w:sz w:val="24"/>
          <w:szCs w:val="24"/>
          <w:lang w:val="en-GB"/>
        </w:rPr>
        <w:t xml:space="preserve">, </w:t>
      </w:r>
      <w:r w:rsidR="00C37A42">
        <w:rPr>
          <w:rFonts w:ascii="Times New Roman" w:hAnsi="Times New Roman" w:cs="Times New Roman"/>
          <w:sz w:val="24"/>
          <w:szCs w:val="24"/>
          <w:lang w:val="en-GB"/>
        </w:rPr>
        <w:t xml:space="preserve">the </w:t>
      </w:r>
      <w:r w:rsidR="00833028">
        <w:rPr>
          <w:rFonts w:ascii="Times New Roman" w:hAnsi="Times New Roman" w:cs="Times New Roman"/>
          <w:sz w:val="24"/>
          <w:szCs w:val="24"/>
          <w:lang w:val="en-GB"/>
        </w:rPr>
        <w:t>design principles,</w:t>
      </w:r>
      <w:r w:rsidR="009734F4" w:rsidRPr="00FD13F4">
        <w:rPr>
          <w:rFonts w:ascii="Times New Roman" w:hAnsi="Times New Roman" w:cs="Times New Roman"/>
          <w:sz w:val="24"/>
          <w:szCs w:val="24"/>
          <w:lang w:val="en-GB"/>
        </w:rPr>
        <w:t xml:space="preserve"> and </w:t>
      </w:r>
      <w:r w:rsidR="00645952" w:rsidRPr="00FD13F4">
        <w:rPr>
          <w:rFonts w:ascii="Times New Roman" w:hAnsi="Times New Roman" w:cs="Times New Roman"/>
          <w:sz w:val="24"/>
          <w:szCs w:val="24"/>
          <w:lang w:val="en-GB"/>
        </w:rPr>
        <w:t>the threshold concept</w:t>
      </w:r>
      <w:r w:rsidR="009734F4" w:rsidRPr="00FD13F4">
        <w:rPr>
          <w:rFonts w:ascii="Times New Roman" w:hAnsi="Times New Roman" w:cs="Times New Roman"/>
          <w:sz w:val="24"/>
          <w:szCs w:val="24"/>
          <w:lang w:val="en-GB"/>
        </w:rPr>
        <w:t>s</w:t>
      </w:r>
      <w:r w:rsidR="00645952" w:rsidRPr="00FD13F4">
        <w:rPr>
          <w:rFonts w:ascii="Times New Roman" w:hAnsi="Times New Roman" w:cs="Times New Roman"/>
          <w:sz w:val="24"/>
          <w:szCs w:val="24"/>
          <w:lang w:val="en-GB"/>
        </w:rPr>
        <w:t xml:space="preserve"> it seeks to teach</w:t>
      </w:r>
      <w:r w:rsidR="009734F4" w:rsidRPr="00FD13F4">
        <w:rPr>
          <w:rFonts w:ascii="Times New Roman" w:hAnsi="Times New Roman" w:cs="Times New Roman"/>
          <w:sz w:val="24"/>
          <w:szCs w:val="24"/>
          <w:lang w:val="en-GB"/>
        </w:rPr>
        <w:t xml:space="preserve"> (readers who simply wish to see how the game works may </w:t>
      </w:r>
      <w:r w:rsidR="00C2248B" w:rsidRPr="00FD13F4">
        <w:rPr>
          <w:rFonts w:ascii="Times New Roman" w:hAnsi="Times New Roman" w:cs="Times New Roman"/>
          <w:sz w:val="24"/>
          <w:szCs w:val="24"/>
          <w:lang w:val="en-GB"/>
        </w:rPr>
        <w:t xml:space="preserve">therefore </w:t>
      </w:r>
      <w:r w:rsidR="009734F4" w:rsidRPr="00FD13F4">
        <w:rPr>
          <w:rFonts w:ascii="Times New Roman" w:hAnsi="Times New Roman" w:cs="Times New Roman"/>
          <w:sz w:val="24"/>
          <w:szCs w:val="24"/>
          <w:lang w:val="en-GB"/>
        </w:rPr>
        <w:t xml:space="preserve">wish to skip to Section </w:t>
      </w:r>
      <w:r w:rsidR="00214AF2">
        <w:rPr>
          <w:rFonts w:ascii="Times New Roman" w:hAnsi="Times New Roman" w:cs="Times New Roman"/>
          <w:sz w:val="24"/>
          <w:szCs w:val="24"/>
          <w:lang w:val="en-GB"/>
        </w:rPr>
        <w:t>3</w:t>
      </w:r>
      <w:r w:rsidR="009734F4"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By way of conclusion, it identifies some research agendas</w:t>
      </w:r>
      <w:r w:rsidR="009734F4"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which could be pursued using </w:t>
      </w: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 xml:space="preserve">or GBL more broadly. </w:t>
      </w:r>
      <w:r w:rsidR="00C744BD" w:rsidRPr="00FD13F4">
        <w:rPr>
          <w:rFonts w:ascii="Times New Roman" w:hAnsi="Times New Roman" w:cs="Times New Roman"/>
          <w:sz w:val="24"/>
          <w:szCs w:val="24"/>
          <w:lang w:val="en-GB"/>
        </w:rPr>
        <w:t xml:space="preserve">The aim of this article is to make a case for the use of GBL in the classroom and to encourage colleagues to consider </w:t>
      </w:r>
      <w:r w:rsidR="00C744BD" w:rsidRPr="00FD13F4">
        <w:rPr>
          <w:rFonts w:ascii="Times New Roman" w:hAnsi="Times New Roman" w:cs="Times New Roman"/>
          <w:sz w:val="24"/>
          <w:szCs w:val="24"/>
          <w:lang w:val="en-GB"/>
        </w:rPr>
        <w:lastRenderedPageBreak/>
        <w:t xml:space="preserve">using </w:t>
      </w:r>
      <w:r w:rsidR="00C744BD" w:rsidRPr="00FD13F4">
        <w:rPr>
          <w:rFonts w:ascii="Times New Roman" w:hAnsi="Times New Roman" w:cs="Times New Roman"/>
          <w:i/>
          <w:iCs/>
          <w:sz w:val="24"/>
          <w:szCs w:val="24"/>
          <w:lang w:val="en-GB"/>
        </w:rPr>
        <w:t>Ratio</w:t>
      </w:r>
      <w:r w:rsidR="00C744BD" w:rsidRPr="00FD13F4">
        <w:rPr>
          <w:rFonts w:ascii="Times New Roman" w:hAnsi="Times New Roman" w:cs="Times New Roman"/>
          <w:sz w:val="24"/>
          <w:szCs w:val="24"/>
          <w:lang w:val="en-GB"/>
        </w:rPr>
        <w:t xml:space="preserve">, or elements of it, in their teaching. </w:t>
      </w:r>
      <w:r w:rsidRPr="00FD13F4">
        <w:rPr>
          <w:rFonts w:ascii="Times New Roman" w:hAnsi="Times New Roman" w:cs="Times New Roman"/>
          <w:sz w:val="24"/>
          <w:szCs w:val="24"/>
          <w:lang w:val="en-GB"/>
        </w:rPr>
        <w:t xml:space="preserve">If readers would like a copy of the game, </w:t>
      </w:r>
      <w:r w:rsidR="00833028">
        <w:rPr>
          <w:rFonts w:ascii="Times New Roman" w:hAnsi="Times New Roman" w:cs="Times New Roman"/>
          <w:sz w:val="24"/>
          <w:szCs w:val="24"/>
          <w:lang w:val="en-GB"/>
        </w:rPr>
        <w:t xml:space="preserve">including a simple version of the rules unaccompanied by the discussion of the pedagogy that informs it, </w:t>
      </w:r>
      <w:r w:rsidRPr="00FD13F4">
        <w:rPr>
          <w:rFonts w:ascii="Times New Roman" w:hAnsi="Times New Roman" w:cs="Times New Roman"/>
          <w:sz w:val="24"/>
          <w:szCs w:val="24"/>
          <w:lang w:val="en-GB"/>
        </w:rPr>
        <w:t>this can be easily arranged by contacting the author.</w:t>
      </w:r>
      <w:r w:rsidR="00C744BD" w:rsidRPr="00FD13F4">
        <w:rPr>
          <w:rFonts w:ascii="Times New Roman" w:hAnsi="Times New Roman" w:cs="Times New Roman"/>
          <w:sz w:val="24"/>
          <w:szCs w:val="24"/>
          <w:lang w:val="en-GB"/>
        </w:rPr>
        <w:t xml:space="preserve"> </w:t>
      </w:r>
    </w:p>
    <w:p w14:paraId="7C924FEA" w14:textId="77777777" w:rsidR="003F5080" w:rsidRPr="00FD13F4" w:rsidRDefault="003F5080" w:rsidP="003F5080">
      <w:pPr>
        <w:pStyle w:val="Body"/>
        <w:spacing w:line="360" w:lineRule="auto"/>
        <w:jc w:val="both"/>
        <w:rPr>
          <w:rFonts w:ascii="Times New Roman" w:hAnsi="Times New Roman" w:cs="Times New Roman"/>
          <w:sz w:val="24"/>
          <w:szCs w:val="24"/>
          <w:lang w:val="en-GB"/>
        </w:rPr>
      </w:pPr>
    </w:p>
    <w:p w14:paraId="1A544AFA" w14:textId="7D6ADA7C" w:rsidR="001240A1" w:rsidRPr="00FD13F4" w:rsidRDefault="001240A1" w:rsidP="001240A1">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1. Why Target Common-Law Reasoning</w:t>
      </w:r>
      <w:r w:rsidR="002B7907" w:rsidRPr="00FD13F4">
        <w:rPr>
          <w:rFonts w:ascii="Times New Roman" w:hAnsi="Times New Roman" w:cs="Times New Roman"/>
          <w:b/>
          <w:bCs/>
          <w:sz w:val="24"/>
          <w:szCs w:val="24"/>
          <w:lang w:val="en-GB"/>
        </w:rPr>
        <w:t>?</w:t>
      </w:r>
    </w:p>
    <w:p w14:paraId="10D34854" w14:textId="77777777" w:rsidR="003F5080" w:rsidRPr="00FD13F4" w:rsidRDefault="003F5080" w:rsidP="001240A1">
      <w:pPr>
        <w:pStyle w:val="Body"/>
        <w:spacing w:line="360" w:lineRule="auto"/>
        <w:jc w:val="both"/>
        <w:rPr>
          <w:rFonts w:ascii="Times New Roman" w:hAnsi="Times New Roman" w:cs="Times New Roman"/>
          <w:sz w:val="24"/>
          <w:szCs w:val="24"/>
          <w:lang w:val="en-GB"/>
        </w:rPr>
      </w:pPr>
    </w:p>
    <w:p w14:paraId="4605D5D3" w14:textId="3590AC0F" w:rsidR="00024137" w:rsidRPr="00FD13F4" w:rsidRDefault="001240A1" w:rsidP="00252AD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w:t>
      </w:r>
      <w:r w:rsidR="00F94170" w:rsidRPr="00FD13F4">
        <w:rPr>
          <w:rFonts w:ascii="Times New Roman" w:hAnsi="Times New Roman" w:cs="Times New Roman"/>
          <w:sz w:val="24"/>
          <w:szCs w:val="24"/>
          <w:lang w:val="en-GB"/>
        </w:rPr>
        <w:t>is</w:t>
      </w:r>
      <w:r w:rsidRPr="00FD13F4">
        <w:rPr>
          <w:rFonts w:ascii="Times New Roman" w:hAnsi="Times New Roman" w:cs="Times New Roman"/>
          <w:sz w:val="24"/>
          <w:szCs w:val="24"/>
          <w:lang w:val="en-GB"/>
        </w:rPr>
        <w:t xml:space="preserve"> situated within what Meyer and Land famously called threshold concepts, those foundational ideas which transform one’s understanding of and perspective on a topic or discipline.</w:t>
      </w:r>
      <w:r w:rsidRPr="00FD13F4">
        <w:rPr>
          <w:rStyle w:val="FootnoteReference"/>
          <w:rFonts w:ascii="Times New Roman" w:hAnsi="Times New Roman" w:cs="Times New Roman"/>
          <w:sz w:val="24"/>
          <w:szCs w:val="24"/>
          <w:lang w:val="en-GB"/>
        </w:rPr>
        <w:footnoteReference w:id="8"/>
      </w:r>
      <w:r w:rsidRPr="00FD13F4">
        <w:rPr>
          <w:rFonts w:ascii="Times New Roman" w:hAnsi="Times New Roman" w:cs="Times New Roman"/>
          <w:sz w:val="24"/>
          <w:szCs w:val="24"/>
          <w:lang w:val="en-GB"/>
        </w:rPr>
        <w:t xml:space="preserve">  In the context of a law degree </w:t>
      </w:r>
      <w:r w:rsidR="003F5080" w:rsidRPr="00FD13F4">
        <w:rPr>
          <w:rFonts w:ascii="Times New Roman" w:hAnsi="Times New Roman" w:cs="Times New Roman"/>
          <w:sz w:val="24"/>
          <w:szCs w:val="24"/>
          <w:lang w:val="en-GB"/>
        </w:rPr>
        <w:t>in</w:t>
      </w:r>
      <w:r w:rsidRPr="00FD13F4">
        <w:rPr>
          <w:rFonts w:ascii="Times New Roman" w:hAnsi="Times New Roman" w:cs="Times New Roman"/>
          <w:sz w:val="24"/>
          <w:szCs w:val="24"/>
          <w:lang w:val="en-GB"/>
        </w:rPr>
        <w:t xml:space="preserve"> a common law jurisdiction, among the most important and soonest-encountered threshold concepts are those which, together, comprise what can be called common law reasoning.</w:t>
      </w:r>
      <w:r w:rsidRPr="00FD13F4">
        <w:rPr>
          <w:rFonts w:ascii="Times New Roman" w:eastAsia="Helvetica" w:hAnsi="Times New Roman" w:cs="Times New Roman"/>
          <w:sz w:val="24"/>
          <w:szCs w:val="24"/>
          <w:vertAlign w:val="superscript"/>
          <w:lang w:val="en-GB"/>
        </w:rPr>
        <w:t xml:space="preserve">  </w:t>
      </w:r>
      <w:r w:rsidRPr="00FD13F4">
        <w:rPr>
          <w:rFonts w:ascii="Times New Roman" w:hAnsi="Times New Roman" w:cs="Times New Roman"/>
          <w:sz w:val="24"/>
          <w:szCs w:val="24"/>
          <w:lang w:val="en-GB"/>
        </w:rPr>
        <w:t xml:space="preserve">This term encompasses those concepts </w:t>
      </w:r>
      <w:r w:rsidR="00AB594E">
        <w:rPr>
          <w:rFonts w:ascii="Times New Roman" w:hAnsi="Times New Roman" w:cs="Times New Roman"/>
          <w:sz w:val="24"/>
          <w:szCs w:val="24"/>
          <w:lang w:val="en-GB"/>
        </w:rPr>
        <w:t xml:space="preserve">which </w:t>
      </w:r>
      <w:r w:rsidRPr="00FD13F4">
        <w:rPr>
          <w:rFonts w:ascii="Times New Roman" w:hAnsi="Times New Roman" w:cs="Times New Roman"/>
          <w:sz w:val="24"/>
          <w:szCs w:val="24"/>
          <w:lang w:val="en-GB"/>
        </w:rPr>
        <w:t>are usually encountered at undergraduate level on a typical Legal System module: sources of law and their interrelationships, precedent, statutory interpretation, ratio, obiter, and reasoning by analogy.</w:t>
      </w:r>
      <w:r w:rsidRPr="00FD13F4">
        <w:rPr>
          <w:rFonts w:ascii="Times New Roman" w:eastAsia="Helvetica" w:hAnsi="Times New Roman" w:cs="Times New Roman"/>
          <w:sz w:val="24"/>
          <w:szCs w:val="24"/>
          <w:vertAlign w:val="superscript"/>
          <w:lang w:val="en-GB"/>
        </w:rPr>
        <w:footnoteReference w:id="9"/>
      </w:r>
      <w:r w:rsidRPr="00FD13F4">
        <w:rPr>
          <w:rFonts w:ascii="Times New Roman" w:hAnsi="Times New Roman" w:cs="Times New Roman"/>
          <w:sz w:val="24"/>
          <w:szCs w:val="24"/>
          <w:lang w:val="en-GB"/>
        </w:rPr>
        <w:t xml:space="preserve">  </w:t>
      </w:r>
      <w:r w:rsidR="007D5E1E">
        <w:rPr>
          <w:rFonts w:ascii="Times New Roman" w:hAnsi="Times New Roman" w:cs="Times New Roman"/>
          <w:sz w:val="24"/>
          <w:szCs w:val="24"/>
          <w:lang w:val="en-GB"/>
        </w:rPr>
        <w:t xml:space="preserve">By way of example, it </w:t>
      </w:r>
      <w:r w:rsidRPr="00FD13F4">
        <w:rPr>
          <w:rFonts w:ascii="Times New Roman" w:hAnsi="Times New Roman" w:cs="Times New Roman"/>
          <w:sz w:val="24"/>
          <w:szCs w:val="24"/>
          <w:lang w:val="en-GB"/>
        </w:rPr>
        <w:t>is clear from the Quality Assurance Agency’s law benchmarking statement, the regulatory requirements expressed in the Common Protocol on the Academic Stage of Training,</w:t>
      </w:r>
      <w:r w:rsidRPr="00FD13F4">
        <w:rPr>
          <w:rStyle w:val="FootnoteReference"/>
          <w:rFonts w:ascii="Times New Roman" w:hAnsi="Times New Roman" w:cs="Times New Roman"/>
          <w:sz w:val="24"/>
          <w:szCs w:val="24"/>
          <w:lang w:val="en-GB"/>
        </w:rPr>
        <w:footnoteReference w:id="10"/>
      </w:r>
      <w:r w:rsidRPr="00FD13F4">
        <w:rPr>
          <w:rFonts w:ascii="Times New Roman" w:hAnsi="Times New Roman" w:cs="Times New Roman"/>
          <w:sz w:val="24"/>
          <w:szCs w:val="24"/>
          <w:lang w:val="en-GB"/>
        </w:rPr>
        <w:t xml:space="preserve"> and the proposed SQE functioning legal knowledge examination,</w:t>
      </w:r>
      <w:r w:rsidRPr="00FD13F4">
        <w:rPr>
          <w:rStyle w:val="FootnoteReference"/>
          <w:rFonts w:ascii="Times New Roman" w:hAnsi="Times New Roman" w:cs="Times New Roman"/>
          <w:sz w:val="24"/>
          <w:szCs w:val="24"/>
          <w:lang w:val="en-GB"/>
        </w:rPr>
        <w:footnoteReference w:id="11"/>
      </w:r>
      <w:r w:rsidRPr="00FD13F4">
        <w:rPr>
          <w:rFonts w:ascii="Times New Roman" w:hAnsi="Times New Roman" w:cs="Times New Roman"/>
          <w:sz w:val="24"/>
          <w:szCs w:val="24"/>
          <w:lang w:val="en-GB"/>
        </w:rPr>
        <w:t xml:space="preserve"> that these ideas are central to legal education in England and Wales.</w:t>
      </w:r>
      <w:r w:rsidRPr="00FD13F4">
        <w:rPr>
          <w:rFonts w:ascii="Times New Roman" w:eastAsia="Helvetica" w:hAnsi="Times New Roman" w:cs="Times New Roman"/>
          <w:sz w:val="24"/>
          <w:szCs w:val="24"/>
          <w:vertAlign w:val="superscript"/>
          <w:lang w:val="en-GB"/>
        </w:rPr>
        <w:footnoteReference w:id="12"/>
      </w:r>
      <w:r w:rsidRPr="00FD13F4">
        <w:rPr>
          <w:rFonts w:ascii="Times New Roman" w:hAnsi="Times New Roman" w:cs="Times New Roman"/>
          <w:sz w:val="24"/>
          <w:szCs w:val="24"/>
          <w:lang w:val="en-GB"/>
        </w:rPr>
        <w:t xml:space="preserve">  Their threshold nature arises because they are the cornerstones of the common law system. For example, the doctrines of precedent - including the court hierarchy, overruling, distinguishing and the like - may initially present themselves in a legal system class but will recur in almost every other module where case law is being read.</w:t>
      </w:r>
      <w:r w:rsidRPr="00FD13F4">
        <w:rPr>
          <w:rFonts w:ascii="Times New Roman" w:eastAsia="Helvetica" w:hAnsi="Times New Roman" w:cs="Times New Roman"/>
          <w:sz w:val="24"/>
          <w:szCs w:val="24"/>
          <w:vertAlign w:val="superscript"/>
          <w:lang w:val="en-GB"/>
        </w:rPr>
        <w:footnoteReference w:id="13"/>
      </w:r>
      <w:r w:rsidR="00F94170"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 </w:t>
      </w:r>
    </w:p>
    <w:p w14:paraId="4C936C43" w14:textId="77777777" w:rsidR="001240A1" w:rsidRPr="00FD13F4" w:rsidRDefault="001240A1" w:rsidP="001240A1">
      <w:pPr>
        <w:pStyle w:val="Body"/>
        <w:spacing w:line="360" w:lineRule="auto"/>
        <w:jc w:val="both"/>
        <w:rPr>
          <w:rFonts w:ascii="Times New Roman" w:hAnsi="Times New Roman" w:cs="Times New Roman"/>
          <w:sz w:val="24"/>
          <w:szCs w:val="24"/>
          <w:lang w:val="en-GB"/>
        </w:rPr>
      </w:pPr>
    </w:p>
    <w:p w14:paraId="66BB769E" w14:textId="40C27FC3" w:rsidR="00793A67" w:rsidRDefault="001240A1" w:rsidP="001240A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Wallace’s conceptualisation of the pedagogy of legal reasoning further underlines how fundamental th</w:t>
      </w:r>
      <w:r w:rsidR="00252AD1" w:rsidRPr="00FD13F4">
        <w:rPr>
          <w:rFonts w:ascii="Times New Roman" w:hAnsi="Times New Roman" w:cs="Times New Roman"/>
          <w:sz w:val="24"/>
          <w:szCs w:val="24"/>
          <w:lang w:val="en-GB"/>
        </w:rPr>
        <w:t>e process of common law</w:t>
      </w:r>
      <w:r w:rsidRPr="00FD13F4">
        <w:rPr>
          <w:rFonts w:ascii="Times New Roman" w:hAnsi="Times New Roman" w:cs="Times New Roman"/>
          <w:sz w:val="24"/>
          <w:szCs w:val="24"/>
          <w:lang w:val="en-GB"/>
        </w:rPr>
        <w:t xml:space="preserve"> reasoning is to legal education</w:t>
      </w:r>
      <w:r w:rsidR="00252AD1" w:rsidRPr="00FD13F4">
        <w:rPr>
          <w:rFonts w:ascii="Times New Roman" w:hAnsi="Times New Roman" w:cs="Times New Roman"/>
          <w:sz w:val="24"/>
          <w:szCs w:val="24"/>
          <w:lang w:val="en-GB"/>
        </w:rPr>
        <w:t>, and</w:t>
      </w:r>
      <w:r w:rsidR="005E23BD" w:rsidRPr="00FD13F4">
        <w:rPr>
          <w:rFonts w:ascii="Times New Roman" w:hAnsi="Times New Roman" w:cs="Times New Roman"/>
          <w:sz w:val="24"/>
          <w:szCs w:val="24"/>
          <w:lang w:val="en-GB"/>
        </w:rPr>
        <w:t xml:space="preserve"> in doing so</w:t>
      </w:r>
      <w:r w:rsidR="00252AD1" w:rsidRPr="00FD13F4">
        <w:rPr>
          <w:rFonts w:ascii="Times New Roman" w:hAnsi="Times New Roman" w:cs="Times New Roman"/>
          <w:sz w:val="24"/>
          <w:szCs w:val="24"/>
          <w:lang w:val="en-GB"/>
        </w:rPr>
        <w:t xml:space="preserve"> </w:t>
      </w:r>
      <w:r w:rsidR="003F5080" w:rsidRPr="00FD13F4">
        <w:rPr>
          <w:rFonts w:ascii="Times New Roman" w:hAnsi="Times New Roman" w:cs="Times New Roman"/>
          <w:sz w:val="24"/>
          <w:szCs w:val="24"/>
          <w:lang w:val="en-GB"/>
        </w:rPr>
        <w:t xml:space="preserve">provides a neat account </w:t>
      </w:r>
      <w:r w:rsidR="003F5080" w:rsidRPr="00FD13F4">
        <w:rPr>
          <w:rFonts w:ascii="Times New Roman" w:hAnsi="Times New Roman" w:cs="Times New Roman"/>
          <w:sz w:val="24"/>
          <w:szCs w:val="24"/>
          <w:lang w:val="en-GB"/>
        </w:rPr>
        <w:lastRenderedPageBreak/>
        <w:t xml:space="preserve">of why </w:t>
      </w:r>
      <w:r w:rsidR="005E23BD" w:rsidRPr="00FD13F4">
        <w:rPr>
          <w:rFonts w:ascii="Times New Roman" w:hAnsi="Times New Roman" w:cs="Times New Roman"/>
          <w:sz w:val="24"/>
          <w:szCs w:val="24"/>
          <w:lang w:val="en-GB"/>
        </w:rPr>
        <w:t xml:space="preserve">we need ways to </w:t>
      </w:r>
      <w:r w:rsidR="003F5080" w:rsidRPr="00FD13F4">
        <w:rPr>
          <w:rFonts w:ascii="Times New Roman" w:hAnsi="Times New Roman" w:cs="Times New Roman"/>
          <w:sz w:val="24"/>
          <w:szCs w:val="24"/>
          <w:lang w:val="en-GB"/>
        </w:rPr>
        <w:t xml:space="preserve">teach students </w:t>
      </w:r>
      <w:r w:rsidR="00F26568" w:rsidRPr="00FD13F4">
        <w:rPr>
          <w:rFonts w:ascii="Times New Roman" w:hAnsi="Times New Roman" w:cs="Times New Roman"/>
          <w:sz w:val="24"/>
          <w:szCs w:val="24"/>
          <w:lang w:val="en-GB"/>
        </w:rPr>
        <w:t>this</w:t>
      </w:r>
      <w:r w:rsidR="003F5080" w:rsidRPr="00FD13F4">
        <w:rPr>
          <w:rFonts w:ascii="Times New Roman" w:hAnsi="Times New Roman" w:cs="Times New Roman"/>
          <w:sz w:val="24"/>
          <w:szCs w:val="24"/>
          <w:lang w:val="en-GB"/>
        </w:rPr>
        <w:t xml:space="preserve"> multi-layered </w:t>
      </w:r>
      <w:r w:rsidR="008B0578" w:rsidRPr="00FD13F4">
        <w:rPr>
          <w:rFonts w:ascii="Times New Roman" w:hAnsi="Times New Roman" w:cs="Times New Roman"/>
          <w:sz w:val="24"/>
          <w:szCs w:val="24"/>
          <w:lang w:val="en-GB"/>
        </w:rPr>
        <w:t>method</w:t>
      </w:r>
      <w:r w:rsidR="003F5080" w:rsidRPr="00FD13F4">
        <w:rPr>
          <w:rFonts w:ascii="Times New Roman" w:hAnsi="Times New Roman" w:cs="Times New Roman"/>
          <w:sz w:val="24"/>
          <w:szCs w:val="24"/>
          <w:lang w:val="en-GB"/>
        </w:rPr>
        <w:t xml:space="preserve">. </w:t>
      </w:r>
      <w:r w:rsidR="005E23BD" w:rsidRPr="00FD13F4">
        <w:rPr>
          <w:rFonts w:ascii="Times New Roman" w:hAnsi="Times New Roman" w:cs="Times New Roman"/>
          <w:sz w:val="24"/>
          <w:szCs w:val="24"/>
          <w:lang w:val="en-GB"/>
        </w:rPr>
        <w:t>She argues that s</w:t>
      </w:r>
      <w:r w:rsidRPr="00FD13F4">
        <w:rPr>
          <w:rFonts w:ascii="Times New Roman" w:hAnsi="Times New Roman" w:cs="Times New Roman"/>
          <w:sz w:val="24"/>
          <w:szCs w:val="24"/>
          <w:lang w:val="en-GB"/>
        </w:rPr>
        <w:t>tudents are</w:t>
      </w:r>
      <w:r w:rsidR="005E23BD"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learning a wider </w:t>
      </w:r>
      <w:r w:rsidR="00F26568" w:rsidRPr="00FD13F4">
        <w:rPr>
          <w:rFonts w:ascii="Times New Roman" w:hAnsi="Times New Roman" w:cs="Times New Roman"/>
          <w:sz w:val="24"/>
          <w:szCs w:val="24"/>
          <w:lang w:val="en-GB"/>
        </w:rPr>
        <w:t>“process of valid reasoning”</w:t>
      </w:r>
      <w:r w:rsidR="00F26568" w:rsidRPr="00FD13F4">
        <w:rPr>
          <w:rFonts w:ascii="Times New Roman" w:eastAsia="Helvetica" w:hAnsi="Times New Roman" w:cs="Times New Roman"/>
          <w:sz w:val="24"/>
          <w:szCs w:val="24"/>
          <w:vertAlign w:val="superscript"/>
          <w:lang w:val="en-GB"/>
        </w:rPr>
        <w:footnoteReference w:id="14"/>
      </w:r>
      <w:r w:rsidR="00F26568"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in which legal truth can be validly determined</w:t>
      </w:r>
      <w:r w:rsidR="00F26568"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Collins</w:t>
      </w:r>
      <w:r w:rsidR="00024137" w:rsidRPr="00FD13F4">
        <w:rPr>
          <w:rFonts w:ascii="Times New Roman" w:hAnsi="Times New Roman" w:cs="Times New Roman"/>
          <w:sz w:val="24"/>
          <w:szCs w:val="24"/>
          <w:lang w:val="en-GB"/>
        </w:rPr>
        <w:t>, similarly,</w:t>
      </w:r>
      <w:r w:rsidRPr="00FD13F4">
        <w:rPr>
          <w:rFonts w:ascii="Times New Roman" w:hAnsi="Times New Roman" w:cs="Times New Roman"/>
          <w:sz w:val="24"/>
          <w:szCs w:val="24"/>
          <w:lang w:val="en-GB"/>
        </w:rPr>
        <w:t xml:space="preserve"> understands the undergraduate law curriculum as an “initiation into the discipline”</w:t>
      </w:r>
      <w:r w:rsidRPr="00FD13F4">
        <w:rPr>
          <w:rFonts w:ascii="Times New Roman" w:eastAsia="Helvetica" w:hAnsi="Times New Roman" w:cs="Times New Roman"/>
          <w:sz w:val="24"/>
          <w:szCs w:val="24"/>
          <w:vertAlign w:val="superscript"/>
          <w:lang w:val="en-GB"/>
        </w:rPr>
        <w:footnoteReference w:id="15"/>
      </w:r>
      <w:r w:rsidRPr="00FD13F4">
        <w:rPr>
          <w:rFonts w:ascii="Times New Roman" w:hAnsi="Times New Roman" w:cs="Times New Roman"/>
          <w:sz w:val="24"/>
          <w:szCs w:val="24"/>
          <w:lang w:val="en-GB"/>
        </w:rPr>
        <w:t xml:space="preserve"> </w:t>
      </w:r>
      <w:r w:rsidR="00024137" w:rsidRPr="00FD13F4">
        <w:rPr>
          <w:rFonts w:ascii="Times New Roman" w:hAnsi="Times New Roman" w:cs="Times New Roman"/>
          <w:sz w:val="24"/>
          <w:szCs w:val="24"/>
          <w:lang w:val="en-GB"/>
        </w:rPr>
        <w:t>with</w:t>
      </w:r>
      <w:r w:rsidRPr="00FD13F4">
        <w:rPr>
          <w:rFonts w:ascii="Times New Roman" w:hAnsi="Times New Roman" w:cs="Times New Roman"/>
          <w:sz w:val="24"/>
          <w:szCs w:val="24"/>
          <w:lang w:val="en-GB"/>
        </w:rPr>
        <w:t xml:space="preserve"> its particular modes of agreement and disagreement. </w:t>
      </w:r>
    </w:p>
    <w:p w14:paraId="00AC390E" w14:textId="77777777" w:rsidR="00793A67" w:rsidRDefault="00793A67" w:rsidP="001240A1">
      <w:pPr>
        <w:pStyle w:val="Body"/>
        <w:spacing w:line="360" w:lineRule="auto"/>
        <w:jc w:val="both"/>
        <w:rPr>
          <w:rFonts w:ascii="Times New Roman" w:hAnsi="Times New Roman" w:cs="Times New Roman"/>
          <w:sz w:val="24"/>
          <w:szCs w:val="24"/>
          <w:lang w:val="en-GB"/>
        </w:rPr>
      </w:pPr>
    </w:p>
    <w:p w14:paraId="4EAD2C2B" w14:textId="710BA4BA" w:rsidR="001240A1" w:rsidRPr="00FD13F4" w:rsidRDefault="00024137" w:rsidP="001240A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Teaching this system</w:t>
      </w:r>
      <w:r w:rsidR="001240A1" w:rsidRPr="00FD13F4">
        <w:rPr>
          <w:rFonts w:ascii="Times New Roman" w:hAnsi="Times New Roman" w:cs="Times New Roman"/>
          <w:sz w:val="24"/>
          <w:szCs w:val="24"/>
          <w:lang w:val="en-GB"/>
        </w:rPr>
        <w:t xml:space="preserve"> is easier said than done</w:t>
      </w:r>
      <w:r w:rsidR="00F26568" w:rsidRPr="00FD13F4">
        <w:rPr>
          <w:rFonts w:ascii="Times New Roman" w:hAnsi="Times New Roman" w:cs="Times New Roman"/>
          <w:sz w:val="24"/>
          <w:szCs w:val="24"/>
          <w:lang w:val="en-GB"/>
        </w:rPr>
        <w:t xml:space="preserve">. As </w:t>
      </w:r>
      <w:r w:rsidR="001240A1" w:rsidRPr="00FD13F4">
        <w:rPr>
          <w:rFonts w:ascii="Times New Roman" w:hAnsi="Times New Roman" w:cs="Times New Roman"/>
          <w:sz w:val="24"/>
          <w:szCs w:val="24"/>
          <w:lang w:val="en-GB"/>
        </w:rPr>
        <w:t>Wallace notes, it can c</w:t>
      </w:r>
      <w:r w:rsidR="002D5CE4" w:rsidRPr="00FD13F4">
        <w:rPr>
          <w:rFonts w:ascii="Times New Roman" w:hAnsi="Times New Roman" w:cs="Times New Roman"/>
          <w:sz w:val="24"/>
          <w:szCs w:val="24"/>
          <w:lang w:val="en-GB"/>
        </w:rPr>
        <w:t>a</w:t>
      </w:r>
      <w:r w:rsidR="001240A1" w:rsidRPr="00FD13F4">
        <w:rPr>
          <w:rFonts w:ascii="Times New Roman" w:hAnsi="Times New Roman" w:cs="Times New Roman"/>
          <w:sz w:val="24"/>
          <w:szCs w:val="24"/>
          <w:lang w:val="en-GB"/>
        </w:rPr>
        <w:t xml:space="preserve">use students difficulty because it is not a black-or-white process. </w:t>
      </w:r>
      <w:r w:rsidRPr="00FD13F4">
        <w:rPr>
          <w:rFonts w:ascii="Times New Roman" w:hAnsi="Times New Roman" w:cs="Times New Roman"/>
          <w:sz w:val="24"/>
          <w:szCs w:val="24"/>
          <w:lang w:val="en-GB"/>
        </w:rPr>
        <w:t>Legal reasoning</w:t>
      </w:r>
      <w:r w:rsidR="001240A1" w:rsidRPr="00FD13F4">
        <w:rPr>
          <w:rFonts w:ascii="Times New Roman" w:hAnsi="Times New Roman" w:cs="Times New Roman"/>
          <w:sz w:val="24"/>
          <w:szCs w:val="24"/>
          <w:lang w:val="en-GB"/>
        </w:rPr>
        <w:t xml:space="preserve"> is about how the law should be applied, and that application rests upon a variety of factors which can lead to diverse outcomes: </w:t>
      </w:r>
    </w:p>
    <w:p w14:paraId="648441B0" w14:textId="77777777" w:rsidR="001240A1" w:rsidRPr="00FD13F4" w:rsidRDefault="001240A1" w:rsidP="001240A1">
      <w:pPr>
        <w:pStyle w:val="Body"/>
        <w:spacing w:line="360" w:lineRule="auto"/>
        <w:jc w:val="both"/>
        <w:rPr>
          <w:rFonts w:ascii="Times New Roman" w:hAnsi="Times New Roman" w:cs="Times New Roman"/>
          <w:sz w:val="24"/>
          <w:szCs w:val="24"/>
          <w:lang w:val="en-GB"/>
        </w:rPr>
      </w:pPr>
    </w:p>
    <w:p w14:paraId="40D8F57F" w14:textId="77777777" w:rsidR="001240A1" w:rsidRPr="00FD13F4" w:rsidRDefault="001240A1" w:rsidP="001240A1">
      <w:pPr>
        <w:pStyle w:val="Body"/>
        <w:spacing w:line="360" w:lineRule="auto"/>
        <w:ind w:left="720" w:right="566"/>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Within this framework, some premises – a clear precedent on obviously similar facts; an unambiguously applicable statute – are conclusive in that their interpretation is agreed within the system. To an outsider, this may look like a “correct” solution, where all other possible interpretations are “incorrect”. However, the apparent “correctness” of the interpretation is because it is supported by existing agreed interpretations of authority, and not because it replicates some observable external reality. In other cases, however, arguments leading towards one interpretation or another are only persuasive and are open to discussion. There may, thus, be two opposing interpretations which are equally defensible, but also some interpretations which are not defensible because not supported by premises which are accepted as valid within the system.</w:t>
      </w:r>
      <w:r w:rsidRPr="00FD13F4">
        <w:rPr>
          <w:rStyle w:val="FootnoteReference"/>
          <w:rFonts w:ascii="Times New Roman" w:hAnsi="Times New Roman" w:cs="Times New Roman"/>
          <w:sz w:val="24"/>
          <w:szCs w:val="24"/>
          <w:lang w:val="en-GB"/>
        </w:rPr>
        <w:footnoteReference w:id="16"/>
      </w:r>
    </w:p>
    <w:p w14:paraId="5E4EECF1" w14:textId="77777777" w:rsidR="001240A1" w:rsidRPr="00FD13F4" w:rsidRDefault="001240A1" w:rsidP="001240A1">
      <w:pPr>
        <w:pStyle w:val="Body"/>
        <w:spacing w:line="360" w:lineRule="auto"/>
        <w:jc w:val="both"/>
        <w:rPr>
          <w:rFonts w:ascii="Times New Roman" w:hAnsi="Times New Roman" w:cs="Times New Roman"/>
          <w:sz w:val="24"/>
          <w:szCs w:val="24"/>
          <w:lang w:val="en-GB"/>
        </w:rPr>
      </w:pPr>
    </w:p>
    <w:p w14:paraId="6A2D48FA" w14:textId="5F47CE84" w:rsidR="008160AA" w:rsidRDefault="00E95627" w:rsidP="00252AD1">
      <w:pPr>
        <w:pStyle w:val="Body"/>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Of course, this is not the only way in which we could construe the creation of legal truth</w:t>
      </w:r>
      <w:r w:rsidR="00833028">
        <w:rPr>
          <w:rFonts w:ascii="Times New Roman" w:hAnsi="Times New Roman" w:cs="Times New Roman"/>
          <w:sz w:val="24"/>
          <w:szCs w:val="24"/>
          <w:lang w:val="en-GB"/>
        </w:rPr>
        <w:t xml:space="preserve"> or legal reasoning</w:t>
      </w:r>
      <w:r w:rsidR="008160AA">
        <w:rPr>
          <w:rFonts w:ascii="Times New Roman" w:hAnsi="Times New Roman" w:cs="Times New Roman"/>
          <w:sz w:val="24"/>
          <w:szCs w:val="24"/>
          <w:lang w:val="en-GB"/>
        </w:rPr>
        <w:t xml:space="preserve">. </w:t>
      </w:r>
      <w:r w:rsidR="00833028">
        <w:rPr>
          <w:rFonts w:ascii="Times New Roman" w:hAnsi="Times New Roman" w:cs="Times New Roman"/>
          <w:sz w:val="24"/>
          <w:szCs w:val="24"/>
          <w:lang w:val="en-GB"/>
        </w:rPr>
        <w:t>Indeed, even</w:t>
      </w:r>
      <w:r w:rsidR="008160AA">
        <w:rPr>
          <w:rFonts w:ascii="Times New Roman" w:hAnsi="Times New Roman" w:cs="Times New Roman"/>
          <w:sz w:val="24"/>
          <w:szCs w:val="24"/>
          <w:lang w:val="en-GB"/>
        </w:rPr>
        <w:t xml:space="preserve"> if we do accept this paradigm, the application of </w:t>
      </w:r>
      <w:r w:rsidR="00833028">
        <w:rPr>
          <w:rFonts w:ascii="Times New Roman" w:hAnsi="Times New Roman" w:cs="Times New Roman"/>
          <w:sz w:val="24"/>
          <w:szCs w:val="24"/>
          <w:lang w:val="en-GB"/>
        </w:rPr>
        <w:t>each</w:t>
      </w:r>
      <w:r w:rsidR="008160AA">
        <w:rPr>
          <w:rFonts w:ascii="Times New Roman" w:hAnsi="Times New Roman" w:cs="Times New Roman"/>
          <w:sz w:val="24"/>
          <w:szCs w:val="24"/>
          <w:lang w:val="en-GB"/>
        </w:rPr>
        <w:t xml:space="preserve"> element</w:t>
      </w:r>
      <w:r w:rsidR="00833028">
        <w:rPr>
          <w:rFonts w:ascii="Times New Roman" w:hAnsi="Times New Roman" w:cs="Times New Roman"/>
          <w:sz w:val="24"/>
          <w:szCs w:val="24"/>
          <w:lang w:val="en-GB"/>
        </w:rPr>
        <w:t xml:space="preserve"> </w:t>
      </w:r>
      <w:r w:rsidR="008160AA">
        <w:rPr>
          <w:rFonts w:ascii="Times New Roman" w:hAnsi="Times New Roman" w:cs="Times New Roman"/>
          <w:sz w:val="24"/>
          <w:szCs w:val="24"/>
          <w:lang w:val="en-GB"/>
        </w:rPr>
        <w:t>of reasoning will depend on the individual’s theory of justice as well as their interpretation of the relevant sources of law.</w:t>
      </w:r>
      <w:r w:rsidR="008160AA">
        <w:rPr>
          <w:rStyle w:val="FootnoteReference"/>
          <w:rFonts w:ascii="Times New Roman" w:hAnsi="Times New Roman" w:cs="Times New Roman"/>
          <w:sz w:val="24"/>
          <w:szCs w:val="24"/>
          <w:lang w:val="en-GB"/>
        </w:rPr>
        <w:footnoteReference w:id="17"/>
      </w:r>
      <w:r w:rsidR="008160AA">
        <w:rPr>
          <w:rFonts w:ascii="Times New Roman" w:hAnsi="Times New Roman" w:cs="Times New Roman"/>
          <w:sz w:val="24"/>
          <w:szCs w:val="24"/>
          <w:lang w:val="en-GB"/>
        </w:rPr>
        <w:t xml:space="preserve"> But, as our discussion of threshold concepts suggests, the law school does need to work with the common law system of reasoning and to induct students into this foundational method of working through problems and assessing propositions.  </w:t>
      </w:r>
      <w:r w:rsidR="00C37A42">
        <w:rPr>
          <w:rFonts w:ascii="Times New Roman" w:hAnsi="Times New Roman" w:cs="Times New Roman"/>
          <w:sz w:val="24"/>
          <w:szCs w:val="24"/>
          <w:lang w:val="en-GB"/>
        </w:rPr>
        <w:t>This means they must be introduced to</w:t>
      </w:r>
      <w:r w:rsidR="008160AA">
        <w:rPr>
          <w:rFonts w:ascii="Times New Roman" w:hAnsi="Times New Roman" w:cs="Times New Roman"/>
          <w:sz w:val="24"/>
          <w:szCs w:val="24"/>
          <w:lang w:val="en-GB"/>
        </w:rPr>
        <w:t xml:space="preserve"> an inherently uncertain process, in that </w:t>
      </w:r>
      <w:r w:rsidR="00C37A42">
        <w:rPr>
          <w:rFonts w:ascii="Times New Roman" w:hAnsi="Times New Roman" w:cs="Times New Roman"/>
          <w:sz w:val="24"/>
          <w:szCs w:val="24"/>
          <w:lang w:val="en-GB"/>
        </w:rPr>
        <w:t>legal reasoning</w:t>
      </w:r>
      <w:r w:rsidR="008160AA">
        <w:rPr>
          <w:rFonts w:ascii="Times New Roman" w:hAnsi="Times New Roman" w:cs="Times New Roman"/>
          <w:sz w:val="24"/>
          <w:szCs w:val="24"/>
          <w:lang w:val="en-GB"/>
        </w:rPr>
        <w:t xml:space="preserve"> does not demand a single right answer</w:t>
      </w:r>
      <w:r w:rsidR="00C37A42">
        <w:rPr>
          <w:rFonts w:ascii="Times New Roman" w:hAnsi="Times New Roman" w:cs="Times New Roman"/>
          <w:sz w:val="24"/>
          <w:szCs w:val="24"/>
          <w:lang w:val="en-GB"/>
        </w:rPr>
        <w:t>.</w:t>
      </w:r>
      <w:r w:rsidR="008160AA">
        <w:rPr>
          <w:rFonts w:ascii="Times New Roman" w:hAnsi="Times New Roman" w:cs="Times New Roman"/>
          <w:sz w:val="24"/>
          <w:szCs w:val="24"/>
          <w:lang w:val="en-GB"/>
        </w:rPr>
        <w:t xml:space="preserve"> </w:t>
      </w:r>
    </w:p>
    <w:p w14:paraId="7D07A341" w14:textId="77777777" w:rsidR="008160AA" w:rsidRDefault="008160AA" w:rsidP="00252AD1">
      <w:pPr>
        <w:pStyle w:val="Body"/>
        <w:spacing w:line="360" w:lineRule="auto"/>
        <w:jc w:val="both"/>
        <w:rPr>
          <w:rFonts w:ascii="Times New Roman" w:hAnsi="Times New Roman" w:cs="Times New Roman"/>
          <w:sz w:val="24"/>
          <w:szCs w:val="24"/>
          <w:lang w:val="en-GB"/>
        </w:rPr>
      </w:pPr>
    </w:p>
    <w:p w14:paraId="7D1658CD" w14:textId="7CD6BBD8" w:rsidR="003F5080" w:rsidRPr="00FD13F4" w:rsidRDefault="003F5080" w:rsidP="00252AD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lastRenderedPageBreak/>
        <w:t>A consequent challenge for the law school is to find effective ways of teaching common law reasoning</w:t>
      </w:r>
      <w:r w:rsidR="008160AA">
        <w:rPr>
          <w:rFonts w:ascii="Times New Roman" w:hAnsi="Times New Roman" w:cs="Times New Roman"/>
          <w:sz w:val="24"/>
          <w:szCs w:val="24"/>
          <w:lang w:val="en-GB"/>
        </w:rPr>
        <w:t xml:space="preserve"> </w:t>
      </w:r>
      <w:r w:rsidR="00024137" w:rsidRPr="00FD13F4">
        <w:rPr>
          <w:rFonts w:ascii="Times New Roman" w:hAnsi="Times New Roman" w:cs="Times New Roman"/>
          <w:sz w:val="24"/>
          <w:szCs w:val="24"/>
          <w:lang w:val="en-GB"/>
        </w:rPr>
        <w:t xml:space="preserve">not </w:t>
      </w:r>
      <w:r w:rsidR="008160AA">
        <w:rPr>
          <w:rFonts w:ascii="Times New Roman" w:hAnsi="Times New Roman" w:cs="Times New Roman"/>
          <w:sz w:val="24"/>
          <w:szCs w:val="24"/>
          <w:lang w:val="en-GB"/>
        </w:rPr>
        <w:t>only</w:t>
      </w:r>
      <w:r w:rsidRPr="00FD13F4">
        <w:rPr>
          <w:rFonts w:ascii="Times New Roman" w:hAnsi="Times New Roman" w:cs="Times New Roman"/>
          <w:sz w:val="24"/>
          <w:szCs w:val="24"/>
          <w:lang w:val="en-GB"/>
        </w:rPr>
        <w:t xml:space="preserve"> in terms of its </w:t>
      </w:r>
      <w:r w:rsidR="00024137" w:rsidRPr="00FD13F4">
        <w:rPr>
          <w:rFonts w:ascii="Times New Roman" w:hAnsi="Times New Roman" w:cs="Times New Roman"/>
          <w:sz w:val="24"/>
          <w:szCs w:val="24"/>
          <w:lang w:val="en-GB"/>
        </w:rPr>
        <w:t xml:space="preserve">brute </w:t>
      </w:r>
      <w:r w:rsidRPr="00FD13F4">
        <w:rPr>
          <w:rFonts w:ascii="Times New Roman" w:hAnsi="Times New Roman" w:cs="Times New Roman"/>
          <w:sz w:val="24"/>
          <w:szCs w:val="24"/>
          <w:lang w:val="en-GB"/>
        </w:rPr>
        <w:t xml:space="preserve">mechanics </w:t>
      </w:r>
      <w:r w:rsidR="00024137" w:rsidRPr="00FD13F4">
        <w:rPr>
          <w:rFonts w:ascii="Times New Roman" w:hAnsi="Times New Roman" w:cs="Times New Roman"/>
          <w:sz w:val="24"/>
          <w:szCs w:val="24"/>
          <w:lang w:val="en-GB"/>
        </w:rPr>
        <w:t>but</w:t>
      </w:r>
      <w:r w:rsidRPr="00FD13F4">
        <w:rPr>
          <w:rFonts w:ascii="Times New Roman" w:hAnsi="Times New Roman" w:cs="Times New Roman"/>
          <w:sz w:val="24"/>
          <w:szCs w:val="24"/>
          <w:lang w:val="en-GB"/>
        </w:rPr>
        <w:t xml:space="preserve"> </w:t>
      </w:r>
      <w:r w:rsidR="00024137" w:rsidRPr="00FD13F4">
        <w:rPr>
          <w:rFonts w:ascii="Times New Roman" w:hAnsi="Times New Roman" w:cs="Times New Roman"/>
          <w:sz w:val="24"/>
          <w:szCs w:val="24"/>
          <w:lang w:val="en-GB"/>
        </w:rPr>
        <w:t xml:space="preserve">also in terms of its </w:t>
      </w:r>
      <w:r w:rsidR="00B54CC0">
        <w:rPr>
          <w:rFonts w:ascii="Times New Roman" w:hAnsi="Times New Roman" w:cs="Times New Roman"/>
          <w:sz w:val="24"/>
          <w:szCs w:val="24"/>
          <w:lang w:val="en-GB"/>
        </w:rPr>
        <w:t>“</w:t>
      </w:r>
      <w:r w:rsidR="008160AA">
        <w:rPr>
          <w:rFonts w:ascii="Times New Roman" w:hAnsi="Times New Roman" w:cs="Times New Roman"/>
          <w:sz w:val="24"/>
          <w:szCs w:val="24"/>
          <w:lang w:val="en-GB"/>
        </w:rPr>
        <w:t>bivalence</w:t>
      </w:r>
      <w:r w:rsidR="00B54CC0">
        <w:rPr>
          <w:rFonts w:ascii="Times New Roman" w:hAnsi="Times New Roman" w:cs="Times New Roman"/>
          <w:sz w:val="24"/>
          <w:szCs w:val="24"/>
          <w:lang w:val="en-GB"/>
        </w:rPr>
        <w:t>”</w:t>
      </w:r>
      <w:r w:rsidR="008160AA">
        <w:rPr>
          <w:rStyle w:val="FootnoteReference"/>
          <w:rFonts w:ascii="Times New Roman" w:hAnsi="Times New Roman" w:cs="Times New Roman"/>
          <w:sz w:val="24"/>
          <w:szCs w:val="24"/>
          <w:lang w:val="en-GB"/>
        </w:rPr>
        <w:footnoteReference w:id="18"/>
      </w:r>
      <w:r w:rsidR="008160AA">
        <w:rPr>
          <w:rFonts w:ascii="Times New Roman" w:hAnsi="Times New Roman" w:cs="Times New Roman"/>
          <w:sz w:val="24"/>
          <w:szCs w:val="24"/>
          <w:lang w:val="en-GB"/>
        </w:rPr>
        <w:t xml:space="preserve"> or uncertainty</w:t>
      </w:r>
      <w:r w:rsidRPr="00FD13F4">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 xml:space="preserve">It is our submission that </w:t>
      </w:r>
      <w:r w:rsidR="001240A1" w:rsidRPr="00FD13F4">
        <w:rPr>
          <w:rFonts w:ascii="Times New Roman" w:hAnsi="Times New Roman" w:cs="Times New Roman"/>
          <w:i/>
          <w:iCs/>
          <w:sz w:val="24"/>
          <w:szCs w:val="24"/>
          <w:lang w:val="en-GB"/>
        </w:rPr>
        <w:t>Ratio</w:t>
      </w:r>
      <w:r w:rsidR="001240A1" w:rsidRPr="00FD13F4">
        <w:rPr>
          <w:rFonts w:ascii="Times New Roman" w:hAnsi="Times New Roman" w:cs="Times New Roman"/>
          <w:sz w:val="24"/>
          <w:szCs w:val="24"/>
          <w:lang w:val="en-GB"/>
        </w:rPr>
        <w:t xml:space="preserve"> can provide an innovative and engaging way of inducting students into this way of thinking</w:t>
      </w:r>
      <w:r w:rsidR="00252AD1" w:rsidRPr="00FD13F4">
        <w:rPr>
          <w:rFonts w:ascii="Times New Roman" w:hAnsi="Times New Roman" w:cs="Times New Roman"/>
          <w:sz w:val="24"/>
          <w:szCs w:val="24"/>
          <w:lang w:val="en-GB"/>
        </w:rPr>
        <w:t xml:space="preserve"> by requiring them to actively consider and literally ‘play with’ </w:t>
      </w:r>
      <w:r w:rsidR="00C80319">
        <w:rPr>
          <w:rFonts w:ascii="Times New Roman" w:hAnsi="Times New Roman" w:cs="Times New Roman"/>
          <w:sz w:val="24"/>
          <w:szCs w:val="24"/>
          <w:lang w:val="en-GB"/>
        </w:rPr>
        <w:t>its</w:t>
      </w:r>
      <w:r w:rsidR="00252AD1" w:rsidRPr="00FD13F4">
        <w:rPr>
          <w:rFonts w:ascii="Times New Roman" w:hAnsi="Times New Roman" w:cs="Times New Roman"/>
          <w:sz w:val="24"/>
          <w:szCs w:val="24"/>
          <w:lang w:val="en-GB"/>
        </w:rPr>
        <w:t xml:space="preserve"> various elements </w:t>
      </w:r>
      <w:r w:rsidR="009957BC">
        <w:rPr>
          <w:rFonts w:ascii="Times New Roman" w:hAnsi="Times New Roman" w:cs="Times New Roman"/>
          <w:sz w:val="24"/>
          <w:szCs w:val="24"/>
          <w:lang w:val="en-GB"/>
        </w:rPr>
        <w:t>i</w:t>
      </w:r>
      <w:r w:rsidR="00252AD1" w:rsidRPr="00FD13F4">
        <w:rPr>
          <w:rFonts w:ascii="Times New Roman" w:hAnsi="Times New Roman" w:cs="Times New Roman"/>
          <w:sz w:val="24"/>
          <w:szCs w:val="24"/>
          <w:lang w:val="en-GB"/>
        </w:rPr>
        <w:t>n order to succeed.</w:t>
      </w:r>
      <w:r w:rsidR="005E23BD" w:rsidRPr="00FD13F4">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At</w:t>
      </w:r>
      <w:r w:rsidR="005E23BD" w:rsidRPr="00FD13F4">
        <w:rPr>
          <w:rFonts w:ascii="Times New Roman" w:hAnsi="Times New Roman" w:cs="Times New Roman"/>
          <w:sz w:val="24"/>
          <w:szCs w:val="24"/>
          <w:lang w:val="en-GB"/>
        </w:rPr>
        <w:t xml:space="preserve"> </w:t>
      </w:r>
      <w:r w:rsidR="002D5CE4" w:rsidRPr="00FD13F4">
        <w:rPr>
          <w:rFonts w:ascii="Times New Roman" w:hAnsi="Times New Roman" w:cs="Times New Roman"/>
          <w:sz w:val="24"/>
          <w:szCs w:val="24"/>
          <w:lang w:val="en-GB"/>
        </w:rPr>
        <w:t>the game’s</w:t>
      </w:r>
      <w:r w:rsidR="001240A1" w:rsidRPr="00FD13F4">
        <w:rPr>
          <w:rFonts w:ascii="Times New Roman" w:hAnsi="Times New Roman" w:cs="Times New Roman"/>
          <w:sz w:val="24"/>
          <w:szCs w:val="24"/>
          <w:lang w:val="en-GB"/>
        </w:rPr>
        <w:t xml:space="preserve"> core is the formation of judgments</w:t>
      </w:r>
      <w:r w:rsidR="00E859D5">
        <w:rPr>
          <w:rFonts w:ascii="Times New Roman" w:hAnsi="Times New Roman" w:cs="Times New Roman"/>
          <w:sz w:val="24"/>
          <w:szCs w:val="24"/>
          <w:lang w:val="en-GB"/>
        </w:rPr>
        <w:t xml:space="preserve"> which draw on the </w:t>
      </w:r>
      <w:r w:rsidR="00E859D5" w:rsidRPr="008160AA">
        <w:rPr>
          <w:rFonts w:ascii="Times New Roman" w:hAnsi="Times New Roman" w:cs="Times New Roman"/>
          <w:sz w:val="24"/>
          <w:szCs w:val="24"/>
          <w:lang w:val="en-GB"/>
        </w:rPr>
        <w:t>elements of common-law reasoning</w:t>
      </w:r>
      <w:r w:rsidR="008160AA">
        <w:rPr>
          <w:rFonts w:ascii="Times New Roman" w:hAnsi="Times New Roman" w:cs="Times New Roman"/>
          <w:sz w:val="24"/>
          <w:szCs w:val="24"/>
          <w:lang w:val="en-GB"/>
        </w:rPr>
        <w:t xml:space="preserve"> and piece them together in a valid way,</w:t>
      </w:r>
      <w:r w:rsidR="00E859D5">
        <w:rPr>
          <w:rFonts w:ascii="Times New Roman" w:hAnsi="Times New Roman" w:cs="Times New Roman"/>
          <w:sz w:val="24"/>
          <w:szCs w:val="24"/>
          <w:lang w:val="en-GB"/>
        </w:rPr>
        <w:t xml:space="preserve"> rather than those which produce</w:t>
      </w:r>
      <w:r w:rsidR="00E859D5" w:rsidRPr="00FD13F4">
        <w:rPr>
          <w:rFonts w:ascii="Times New Roman" w:hAnsi="Times New Roman" w:cs="Times New Roman"/>
          <w:sz w:val="24"/>
          <w:szCs w:val="24"/>
          <w:lang w:val="en-GB"/>
        </w:rPr>
        <w:t xml:space="preserve"> a specific answer</w:t>
      </w:r>
      <w:r w:rsidR="00E859D5">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 xml:space="preserve">Throughout the game, players must consider the meaning and role of those concepts and thus confront the mechanics of legal reasoning head-on. </w:t>
      </w:r>
      <w:r w:rsidR="005E23BD" w:rsidRPr="00FD13F4">
        <w:rPr>
          <w:rFonts w:ascii="Times New Roman" w:hAnsi="Times New Roman" w:cs="Times New Roman"/>
          <w:sz w:val="24"/>
          <w:szCs w:val="24"/>
          <w:lang w:val="en-GB"/>
        </w:rPr>
        <w:t>For example, players may put the ‘</w:t>
      </w:r>
      <w:r w:rsidR="00C37A42">
        <w:rPr>
          <w:rFonts w:ascii="Times New Roman" w:hAnsi="Times New Roman" w:cs="Times New Roman"/>
          <w:sz w:val="24"/>
          <w:szCs w:val="24"/>
          <w:lang w:val="en-GB"/>
        </w:rPr>
        <w:t>A</w:t>
      </w:r>
      <w:r w:rsidR="005E23BD" w:rsidRPr="00FD13F4">
        <w:rPr>
          <w:rFonts w:ascii="Times New Roman" w:hAnsi="Times New Roman" w:cs="Times New Roman"/>
          <w:sz w:val="24"/>
          <w:szCs w:val="24"/>
          <w:lang w:val="en-GB"/>
        </w:rPr>
        <w:t>uthority’, ‘</w:t>
      </w:r>
      <w:r w:rsidR="00C37A42">
        <w:rPr>
          <w:rFonts w:ascii="Times New Roman" w:hAnsi="Times New Roman" w:cs="Times New Roman"/>
          <w:sz w:val="24"/>
          <w:szCs w:val="24"/>
          <w:lang w:val="en-GB"/>
        </w:rPr>
        <w:t>Ap</w:t>
      </w:r>
      <w:r w:rsidR="005E23BD" w:rsidRPr="00FD13F4">
        <w:rPr>
          <w:rFonts w:ascii="Times New Roman" w:hAnsi="Times New Roman" w:cs="Times New Roman"/>
          <w:sz w:val="24"/>
          <w:szCs w:val="24"/>
          <w:lang w:val="en-GB"/>
        </w:rPr>
        <w:t>plication’, and ‘</w:t>
      </w:r>
      <w:r w:rsidR="00C37A42">
        <w:rPr>
          <w:rFonts w:ascii="Times New Roman" w:hAnsi="Times New Roman" w:cs="Times New Roman"/>
          <w:sz w:val="24"/>
          <w:szCs w:val="24"/>
          <w:lang w:val="en-GB"/>
        </w:rPr>
        <w:t>D</w:t>
      </w:r>
      <w:r w:rsidR="005E23BD" w:rsidRPr="00FD13F4">
        <w:rPr>
          <w:rFonts w:ascii="Times New Roman" w:hAnsi="Times New Roman" w:cs="Times New Roman"/>
          <w:sz w:val="24"/>
          <w:szCs w:val="24"/>
          <w:lang w:val="en-GB"/>
        </w:rPr>
        <w:t xml:space="preserve">iscussion’ cards down together, in order to approximate a </w:t>
      </w:r>
      <w:r w:rsidR="005E23BD" w:rsidRPr="00FD13F4">
        <w:rPr>
          <w:rFonts w:ascii="Times New Roman" w:hAnsi="Times New Roman" w:cs="Times New Roman"/>
          <w:i/>
          <w:iCs/>
          <w:sz w:val="24"/>
          <w:szCs w:val="24"/>
          <w:lang w:val="en-GB"/>
        </w:rPr>
        <w:t>ratio decidendi</w:t>
      </w:r>
      <w:r w:rsidR="005E23BD" w:rsidRPr="00FD13F4">
        <w:rPr>
          <w:rFonts w:ascii="Times New Roman" w:hAnsi="Times New Roman" w:cs="Times New Roman"/>
          <w:sz w:val="24"/>
          <w:szCs w:val="24"/>
          <w:lang w:val="en-GB"/>
        </w:rPr>
        <w:t xml:space="preserve"> – but if one or more of those cards are lacking, it does not count as a </w:t>
      </w:r>
      <w:r w:rsidR="005E23BD" w:rsidRPr="00FD13F4">
        <w:rPr>
          <w:rFonts w:ascii="Times New Roman" w:hAnsi="Times New Roman" w:cs="Times New Roman"/>
          <w:i/>
          <w:iCs/>
          <w:sz w:val="24"/>
          <w:szCs w:val="24"/>
          <w:lang w:val="en-GB"/>
        </w:rPr>
        <w:t>ratio</w:t>
      </w:r>
      <w:r w:rsidR="005E23BD" w:rsidRPr="00FD13F4">
        <w:rPr>
          <w:rFonts w:ascii="Times New Roman" w:hAnsi="Times New Roman" w:cs="Times New Roman"/>
          <w:sz w:val="24"/>
          <w:szCs w:val="24"/>
          <w:lang w:val="en-GB"/>
        </w:rPr>
        <w:t>.</w:t>
      </w:r>
      <w:r w:rsidR="001240A1" w:rsidRPr="00FD13F4">
        <w:rPr>
          <w:rFonts w:ascii="Times New Roman" w:hAnsi="Times New Roman" w:cs="Times New Roman"/>
          <w:sz w:val="24"/>
          <w:szCs w:val="24"/>
          <w:lang w:val="en-GB"/>
        </w:rPr>
        <w:t xml:space="preserve"> </w:t>
      </w:r>
      <w:r w:rsidR="005E23BD" w:rsidRPr="00FD13F4">
        <w:rPr>
          <w:rFonts w:ascii="Times New Roman" w:hAnsi="Times New Roman" w:cs="Times New Roman"/>
          <w:sz w:val="24"/>
          <w:szCs w:val="24"/>
          <w:lang w:val="en-GB"/>
        </w:rPr>
        <w:t>T</w:t>
      </w:r>
      <w:r w:rsidR="001240A1" w:rsidRPr="00FD13F4">
        <w:rPr>
          <w:rFonts w:ascii="Times New Roman" w:hAnsi="Times New Roman" w:cs="Times New Roman"/>
          <w:sz w:val="24"/>
          <w:szCs w:val="24"/>
          <w:lang w:val="en-GB"/>
        </w:rPr>
        <w:t xml:space="preserve">his helps them develop a natural understanding of the process and create space for further discussion </w:t>
      </w:r>
      <w:r w:rsidR="00B86015">
        <w:rPr>
          <w:rFonts w:ascii="Times New Roman" w:hAnsi="Times New Roman" w:cs="Times New Roman"/>
          <w:sz w:val="24"/>
          <w:szCs w:val="24"/>
          <w:lang w:val="en-GB"/>
        </w:rPr>
        <w:t>and contestation o</w:t>
      </w:r>
      <w:r w:rsidR="001240A1" w:rsidRPr="00FD13F4">
        <w:rPr>
          <w:rFonts w:ascii="Times New Roman" w:hAnsi="Times New Roman" w:cs="Times New Roman"/>
          <w:sz w:val="24"/>
          <w:szCs w:val="24"/>
          <w:lang w:val="en-GB"/>
        </w:rPr>
        <w:t>f the concepts and ideas with which they are playing</w:t>
      </w:r>
      <w:r w:rsidR="0099788E">
        <w:rPr>
          <w:rFonts w:ascii="Times New Roman" w:hAnsi="Times New Roman" w:cs="Times New Roman"/>
          <w:sz w:val="24"/>
          <w:szCs w:val="24"/>
          <w:lang w:val="en-GB"/>
        </w:rPr>
        <w:t xml:space="preserve"> (</w:t>
      </w:r>
      <w:r w:rsidR="00C37A42">
        <w:rPr>
          <w:rFonts w:ascii="Times New Roman" w:hAnsi="Times New Roman" w:cs="Times New Roman"/>
          <w:sz w:val="24"/>
          <w:szCs w:val="24"/>
          <w:lang w:val="en-GB"/>
        </w:rPr>
        <w:t>‘</w:t>
      </w:r>
      <w:r w:rsidR="0099788E">
        <w:rPr>
          <w:rFonts w:ascii="Times New Roman" w:hAnsi="Times New Roman" w:cs="Times New Roman"/>
          <w:sz w:val="24"/>
          <w:szCs w:val="24"/>
          <w:lang w:val="en-GB"/>
        </w:rPr>
        <w:t xml:space="preserve">why </w:t>
      </w:r>
      <w:r w:rsidR="0099788E" w:rsidRPr="0099788E">
        <w:rPr>
          <w:rFonts w:ascii="Times New Roman" w:hAnsi="Times New Roman" w:cs="Times New Roman"/>
          <w:sz w:val="24"/>
          <w:szCs w:val="24"/>
          <w:lang w:val="en-GB"/>
        </w:rPr>
        <w:t>does</w:t>
      </w:r>
      <w:r w:rsidR="0099788E">
        <w:rPr>
          <w:rFonts w:ascii="Times New Roman" w:hAnsi="Times New Roman" w:cs="Times New Roman"/>
          <w:i/>
          <w:iCs/>
          <w:sz w:val="24"/>
          <w:szCs w:val="24"/>
          <w:lang w:val="en-GB"/>
        </w:rPr>
        <w:t xml:space="preserve"> </w:t>
      </w:r>
      <w:r w:rsidR="0099788E">
        <w:rPr>
          <w:rFonts w:ascii="Times New Roman" w:hAnsi="Times New Roman" w:cs="Times New Roman"/>
          <w:sz w:val="24"/>
          <w:szCs w:val="24"/>
          <w:lang w:val="en-GB"/>
        </w:rPr>
        <w:t xml:space="preserve">the </w:t>
      </w:r>
      <w:r w:rsidR="0099788E">
        <w:rPr>
          <w:rFonts w:ascii="Times New Roman" w:hAnsi="Times New Roman" w:cs="Times New Roman"/>
          <w:i/>
          <w:iCs/>
          <w:sz w:val="24"/>
          <w:szCs w:val="24"/>
          <w:lang w:val="en-GB"/>
        </w:rPr>
        <w:t xml:space="preserve">ratio </w:t>
      </w:r>
      <w:r w:rsidR="0099788E">
        <w:rPr>
          <w:rFonts w:ascii="Times New Roman" w:hAnsi="Times New Roman" w:cs="Times New Roman"/>
          <w:sz w:val="24"/>
          <w:szCs w:val="24"/>
          <w:lang w:val="en-GB"/>
        </w:rPr>
        <w:t>need an authority?</w:t>
      </w:r>
      <w:r w:rsidR="00C37A42">
        <w:rPr>
          <w:rFonts w:ascii="Times New Roman" w:hAnsi="Times New Roman" w:cs="Times New Roman"/>
          <w:sz w:val="24"/>
          <w:szCs w:val="24"/>
          <w:lang w:val="en-GB"/>
        </w:rPr>
        <w:t>’</w:t>
      </w:r>
      <w:r w:rsidR="0099788E">
        <w:rPr>
          <w:rFonts w:ascii="Times New Roman" w:hAnsi="Times New Roman" w:cs="Times New Roman"/>
          <w:sz w:val="24"/>
          <w:szCs w:val="24"/>
          <w:lang w:val="en-GB"/>
        </w:rPr>
        <w:t>)</w:t>
      </w:r>
      <w:r w:rsidR="00C37A42">
        <w:rPr>
          <w:rFonts w:ascii="Times New Roman" w:hAnsi="Times New Roman" w:cs="Times New Roman"/>
          <w:sz w:val="24"/>
          <w:szCs w:val="24"/>
          <w:lang w:val="en-GB"/>
        </w:rPr>
        <w:t xml:space="preserve"> which</w:t>
      </w:r>
      <w:r w:rsidR="0099788E">
        <w:rPr>
          <w:rFonts w:ascii="Times New Roman" w:hAnsi="Times New Roman" w:cs="Times New Roman"/>
          <w:sz w:val="24"/>
          <w:szCs w:val="24"/>
          <w:lang w:val="en-GB"/>
        </w:rPr>
        <w:t xml:space="preserve"> </w:t>
      </w:r>
      <w:r w:rsidR="001240A1" w:rsidRPr="00FD13F4">
        <w:rPr>
          <w:rFonts w:ascii="Times New Roman" w:hAnsi="Times New Roman" w:cs="Times New Roman"/>
          <w:sz w:val="24"/>
          <w:szCs w:val="24"/>
          <w:lang w:val="en-GB"/>
        </w:rPr>
        <w:t>can be discussed during the game or in a debrief.</w:t>
      </w:r>
      <w:r w:rsidR="005E23BD" w:rsidRPr="00FD13F4">
        <w:rPr>
          <w:rFonts w:ascii="Times New Roman" w:hAnsi="Times New Roman" w:cs="Times New Roman"/>
          <w:sz w:val="24"/>
          <w:szCs w:val="24"/>
          <w:lang w:val="en-GB"/>
        </w:rPr>
        <w:t xml:space="preserve"> </w:t>
      </w:r>
    </w:p>
    <w:p w14:paraId="29BB4B88" w14:textId="60300468" w:rsidR="00A007F2" w:rsidRPr="00FD13F4" w:rsidRDefault="00A007F2" w:rsidP="00252AD1">
      <w:pPr>
        <w:pStyle w:val="Body"/>
        <w:spacing w:line="360" w:lineRule="auto"/>
        <w:jc w:val="both"/>
        <w:rPr>
          <w:rFonts w:ascii="Times New Roman" w:hAnsi="Times New Roman" w:cs="Times New Roman"/>
          <w:sz w:val="24"/>
          <w:szCs w:val="24"/>
          <w:lang w:val="en-GB"/>
        </w:rPr>
      </w:pPr>
    </w:p>
    <w:p w14:paraId="2D25FFCB" w14:textId="4B96D562" w:rsidR="00A007F2" w:rsidRDefault="00A007F2" w:rsidP="00252AD1">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2. Why Use GBL? Theory and Design Principles</w:t>
      </w:r>
    </w:p>
    <w:p w14:paraId="5215AE76" w14:textId="77777777" w:rsidR="003F5080" w:rsidRPr="00FD13F4" w:rsidRDefault="003F5080" w:rsidP="00252AD1">
      <w:pPr>
        <w:pStyle w:val="Body"/>
        <w:spacing w:line="360" w:lineRule="auto"/>
        <w:jc w:val="both"/>
        <w:rPr>
          <w:rFonts w:ascii="Times New Roman" w:hAnsi="Times New Roman" w:cs="Times New Roman"/>
          <w:sz w:val="24"/>
          <w:szCs w:val="24"/>
          <w:lang w:val="en-GB"/>
        </w:rPr>
      </w:pPr>
    </w:p>
    <w:p w14:paraId="2BABF493" w14:textId="0D8E434B" w:rsidR="003F5080" w:rsidRPr="00FD13F4" w:rsidRDefault="00252AD1" w:rsidP="00252AD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The GBL literature </w:t>
      </w:r>
      <w:r w:rsidR="003F5080" w:rsidRPr="00FD13F4">
        <w:rPr>
          <w:rFonts w:ascii="Times New Roman" w:hAnsi="Times New Roman" w:cs="Times New Roman"/>
          <w:sz w:val="24"/>
          <w:szCs w:val="24"/>
          <w:lang w:val="en-GB"/>
        </w:rPr>
        <w:t>explains why games are a particularly effective way of delivering learning objective</w:t>
      </w:r>
      <w:r w:rsidR="008B56DF">
        <w:rPr>
          <w:rFonts w:ascii="Times New Roman" w:hAnsi="Times New Roman" w:cs="Times New Roman"/>
          <w:sz w:val="24"/>
          <w:szCs w:val="24"/>
          <w:lang w:val="en-GB"/>
        </w:rPr>
        <w:t>s</w:t>
      </w:r>
      <w:r w:rsidR="003F5080" w:rsidRPr="00FD13F4">
        <w:rPr>
          <w:rFonts w:ascii="Times New Roman" w:hAnsi="Times New Roman" w:cs="Times New Roman"/>
          <w:sz w:val="24"/>
          <w:szCs w:val="24"/>
          <w:lang w:val="en-GB"/>
        </w:rPr>
        <w:t xml:space="preserve">. </w:t>
      </w:r>
      <w:r w:rsidR="005E23BD" w:rsidRPr="00FD13F4">
        <w:rPr>
          <w:rFonts w:ascii="Times New Roman" w:hAnsi="Times New Roman" w:cs="Times New Roman"/>
          <w:sz w:val="24"/>
          <w:szCs w:val="24"/>
          <w:lang w:val="en-GB"/>
        </w:rPr>
        <w:t xml:space="preserve"> </w:t>
      </w:r>
      <w:r w:rsidR="003F5080" w:rsidRPr="00FD13F4">
        <w:rPr>
          <w:rFonts w:ascii="Times New Roman" w:hAnsi="Times New Roman" w:cs="Times New Roman"/>
          <w:sz w:val="24"/>
          <w:szCs w:val="24"/>
          <w:lang w:val="en-GB"/>
        </w:rPr>
        <w:t>G</w:t>
      </w:r>
      <w:r w:rsidRPr="00FD13F4">
        <w:rPr>
          <w:rFonts w:ascii="Times New Roman" w:hAnsi="Times New Roman" w:cs="Times New Roman"/>
          <w:sz w:val="24"/>
          <w:szCs w:val="24"/>
          <w:lang w:val="en-GB"/>
        </w:rPr>
        <w:t>ames normally offer environments with a particular language and grammar which players need to learn in order to proceed.</w:t>
      </w:r>
      <w:r w:rsidRPr="00FD13F4">
        <w:rPr>
          <w:rFonts w:ascii="Times New Roman" w:eastAsia="Helvetica" w:hAnsi="Times New Roman" w:cs="Times New Roman"/>
          <w:sz w:val="24"/>
          <w:szCs w:val="24"/>
          <w:vertAlign w:val="superscript"/>
          <w:lang w:val="en-GB"/>
        </w:rPr>
        <w:footnoteReference w:id="19"/>
      </w:r>
      <w:r w:rsidRPr="00FD13F4">
        <w:rPr>
          <w:rFonts w:ascii="Times New Roman" w:hAnsi="Times New Roman" w:cs="Times New Roman"/>
          <w:sz w:val="24"/>
          <w:szCs w:val="24"/>
          <w:lang w:val="en-GB"/>
        </w:rPr>
        <w:t xml:space="preserve">  </w:t>
      </w:r>
      <w:r w:rsidR="003F5080" w:rsidRPr="00FD13F4">
        <w:rPr>
          <w:rFonts w:ascii="Times New Roman" w:hAnsi="Times New Roman" w:cs="Times New Roman"/>
          <w:sz w:val="24"/>
          <w:szCs w:val="24"/>
          <w:lang w:val="en-GB"/>
        </w:rPr>
        <w:t>They</w:t>
      </w:r>
      <w:r w:rsidRPr="00FD13F4">
        <w:rPr>
          <w:rFonts w:ascii="Times New Roman" w:hAnsi="Times New Roman" w:cs="Times New Roman"/>
          <w:sz w:val="24"/>
          <w:szCs w:val="24"/>
          <w:lang w:val="en-GB"/>
        </w:rPr>
        <w:t xml:space="preserve"> require players to “actively [comprehend] rules and cognitive structures of a problem in the game … developing, experimenting with and refining hypotheses of problem-solving strategies”.</w:t>
      </w:r>
      <w:r w:rsidRPr="00FD13F4">
        <w:rPr>
          <w:rFonts w:ascii="Times New Roman" w:eastAsia="Helvetica" w:hAnsi="Times New Roman" w:cs="Times New Roman"/>
          <w:sz w:val="24"/>
          <w:szCs w:val="24"/>
          <w:vertAlign w:val="superscript"/>
          <w:lang w:val="en-GB"/>
        </w:rPr>
        <w:footnoteReference w:id="20"/>
      </w:r>
      <w:r w:rsidRPr="00FD13F4">
        <w:rPr>
          <w:rFonts w:ascii="Times New Roman" w:hAnsi="Times New Roman" w:cs="Times New Roman"/>
          <w:sz w:val="24"/>
          <w:szCs w:val="24"/>
          <w:lang w:val="en-GB"/>
        </w:rPr>
        <w:t xml:space="preserve">  Effective GBL </w:t>
      </w:r>
      <w:r w:rsidR="002F28C0">
        <w:rPr>
          <w:rFonts w:ascii="Times New Roman" w:hAnsi="Times New Roman" w:cs="Times New Roman"/>
          <w:sz w:val="24"/>
          <w:szCs w:val="24"/>
          <w:lang w:val="en-GB"/>
        </w:rPr>
        <w:t>uses</w:t>
      </w:r>
      <w:r w:rsidRPr="00FD13F4">
        <w:rPr>
          <w:rFonts w:ascii="Times New Roman" w:hAnsi="Times New Roman" w:cs="Times New Roman"/>
          <w:sz w:val="24"/>
          <w:szCs w:val="24"/>
          <w:lang w:val="en-GB"/>
        </w:rPr>
        <w:t xml:space="preserve"> this phenomeno</w:t>
      </w:r>
      <w:r w:rsidR="002F28C0">
        <w:rPr>
          <w:rFonts w:ascii="Times New Roman" w:hAnsi="Times New Roman" w:cs="Times New Roman"/>
          <w:sz w:val="24"/>
          <w:szCs w:val="24"/>
          <w:lang w:val="en-GB"/>
        </w:rPr>
        <w:t>n</w:t>
      </w:r>
      <w:r w:rsidRPr="00FD13F4">
        <w:rPr>
          <w:rFonts w:ascii="Times New Roman" w:hAnsi="Times New Roman" w:cs="Times New Roman"/>
          <w:sz w:val="24"/>
          <w:szCs w:val="24"/>
          <w:lang w:val="en-GB"/>
        </w:rPr>
        <w:t xml:space="preserve"> to produce deep learning</w:t>
      </w:r>
      <w:r w:rsidR="001F0F8C">
        <w:rPr>
          <w:rFonts w:ascii="Times New Roman" w:hAnsi="Times New Roman" w:cs="Times New Roman"/>
          <w:sz w:val="24"/>
          <w:szCs w:val="24"/>
          <w:lang w:val="en-GB"/>
        </w:rPr>
        <w:t>,</w:t>
      </w:r>
      <w:r w:rsidRPr="00FD13F4">
        <w:rPr>
          <w:rFonts w:ascii="Times New Roman" w:hAnsi="Times New Roman" w:cs="Times New Roman"/>
          <w:sz w:val="24"/>
          <w:szCs w:val="24"/>
          <w:lang w:val="en-GB"/>
        </w:rPr>
        <w:t xml:space="preserve"> </w:t>
      </w:r>
      <w:r w:rsidR="002F28C0">
        <w:rPr>
          <w:rFonts w:ascii="Times New Roman" w:hAnsi="Times New Roman" w:cs="Times New Roman"/>
          <w:sz w:val="24"/>
          <w:szCs w:val="24"/>
          <w:lang w:val="en-GB"/>
        </w:rPr>
        <w:t>“</w:t>
      </w:r>
      <w:r w:rsidR="001F0F8C">
        <w:rPr>
          <w:rFonts w:ascii="Times New Roman" w:hAnsi="Times New Roman" w:cs="Times New Roman"/>
          <w:sz w:val="24"/>
          <w:szCs w:val="24"/>
          <w:lang w:val="en-GB"/>
        </w:rPr>
        <w:t>p</w:t>
      </w:r>
      <w:r w:rsidRPr="00FD13F4">
        <w:rPr>
          <w:rFonts w:ascii="Times New Roman" w:hAnsi="Times New Roman" w:cs="Times New Roman"/>
          <w:sz w:val="24"/>
          <w:szCs w:val="24"/>
          <w:lang w:val="en-GB"/>
        </w:rPr>
        <w:t>roviding an engaging and contextualised setting for authentic problem solving</w:t>
      </w:r>
      <w:r w:rsidR="002F28C0">
        <w:rPr>
          <w:rFonts w:ascii="Times New Roman" w:hAnsi="Times New Roman" w:cs="Times New Roman"/>
          <w:sz w:val="24"/>
          <w:szCs w:val="24"/>
          <w:lang w:val="en-GB"/>
        </w:rPr>
        <w:t>”.</w:t>
      </w:r>
      <w:r w:rsidRPr="00FD13F4">
        <w:rPr>
          <w:rFonts w:ascii="Times New Roman" w:eastAsia="Helvetica" w:hAnsi="Times New Roman" w:cs="Times New Roman"/>
          <w:sz w:val="24"/>
          <w:szCs w:val="24"/>
          <w:vertAlign w:val="superscript"/>
          <w:lang w:val="en-GB"/>
        </w:rPr>
        <w:footnoteReference w:id="21"/>
      </w:r>
      <w:r w:rsidRPr="00FD13F4">
        <w:rPr>
          <w:rFonts w:ascii="Times New Roman" w:hAnsi="Times New Roman" w:cs="Times New Roman"/>
          <w:sz w:val="24"/>
          <w:szCs w:val="24"/>
          <w:lang w:val="en-GB"/>
        </w:rPr>
        <w:t xml:space="preserve"> It seeks “meta-reflection”,</w:t>
      </w:r>
      <w:r w:rsidRPr="00FD13F4">
        <w:rPr>
          <w:rStyle w:val="FootnoteReference"/>
          <w:rFonts w:ascii="Times New Roman" w:hAnsi="Times New Roman" w:cs="Times New Roman"/>
          <w:sz w:val="24"/>
          <w:szCs w:val="24"/>
          <w:lang w:val="en-GB"/>
        </w:rPr>
        <w:footnoteReference w:id="22"/>
      </w:r>
      <w:r w:rsidRPr="00FD13F4">
        <w:rPr>
          <w:rFonts w:ascii="Times New Roman" w:hAnsi="Times New Roman" w:cs="Times New Roman"/>
          <w:sz w:val="24"/>
          <w:szCs w:val="24"/>
          <w:lang w:val="en-GB"/>
        </w:rPr>
        <w:t xml:space="preserve"> which occurs when a player is actively thinking about, experimenting with, and exploring the rules of a game in order to produce outcomes.  This leads to cognition and genuine learning about how the subject works, rather than seeing it as a mere mechanical process. In other words, cognitive processes required by gaming can be used to provoke students to consider the deeper structural underpinnings of related ideas and necessitate an active approach to learning. This is at its </w:t>
      </w:r>
      <w:r w:rsidRPr="00FD13F4">
        <w:rPr>
          <w:rFonts w:ascii="Times New Roman" w:hAnsi="Times New Roman" w:cs="Times New Roman"/>
          <w:sz w:val="24"/>
          <w:szCs w:val="24"/>
          <w:lang w:val="en-GB"/>
        </w:rPr>
        <w:lastRenderedPageBreak/>
        <w:t>core an experiential model of learning, one which shifts way from simply transmitting information to students and into immersing them within a particular practice.</w:t>
      </w:r>
      <w:r w:rsidRPr="00FD13F4">
        <w:rPr>
          <w:rStyle w:val="FootnoteReference"/>
          <w:rFonts w:ascii="Times New Roman" w:hAnsi="Times New Roman" w:cs="Times New Roman"/>
          <w:sz w:val="24"/>
          <w:szCs w:val="24"/>
          <w:lang w:val="en-GB"/>
        </w:rPr>
        <w:footnoteReference w:id="23"/>
      </w:r>
      <w:r w:rsidR="00A007F2" w:rsidRPr="00FD13F4">
        <w:rPr>
          <w:rFonts w:ascii="Times New Roman" w:hAnsi="Times New Roman" w:cs="Times New Roman"/>
          <w:sz w:val="24"/>
          <w:szCs w:val="24"/>
          <w:lang w:val="en-GB"/>
        </w:rPr>
        <w:t xml:space="preserve"> </w:t>
      </w:r>
    </w:p>
    <w:p w14:paraId="2A2AEEB5" w14:textId="77777777" w:rsidR="00481351" w:rsidRPr="00FD13F4" w:rsidRDefault="00481351" w:rsidP="00B919D9">
      <w:pPr>
        <w:pStyle w:val="Body"/>
        <w:spacing w:line="360" w:lineRule="auto"/>
        <w:jc w:val="both"/>
        <w:rPr>
          <w:rFonts w:ascii="Times New Roman" w:hAnsi="Times New Roman" w:cs="Times New Roman"/>
          <w:i/>
          <w:iCs/>
          <w:sz w:val="24"/>
          <w:szCs w:val="24"/>
          <w:lang w:val="en-GB"/>
        </w:rPr>
      </w:pPr>
    </w:p>
    <w:p w14:paraId="48748467" w14:textId="0C47B15E" w:rsidR="00B743DB" w:rsidRPr="00FD13F4" w:rsidRDefault="00F51D33" w:rsidP="00024137">
      <w:pPr>
        <w:pStyle w:val="Body"/>
        <w:spacing w:line="360" w:lineRule="auto"/>
        <w:jc w:val="both"/>
        <w:rPr>
          <w:rFonts w:ascii="Times New Roman" w:hAnsi="Times New Roman" w:cs="Times New Roman"/>
          <w:i/>
          <w:iCs/>
          <w:sz w:val="24"/>
          <w:szCs w:val="24"/>
          <w:lang w:val="en-GB"/>
        </w:rPr>
      </w:pPr>
      <w:r w:rsidRPr="00FD13F4">
        <w:rPr>
          <w:rFonts w:ascii="Times New Roman" w:hAnsi="Times New Roman" w:cs="Times New Roman"/>
          <w:sz w:val="24"/>
          <w:szCs w:val="24"/>
          <w:lang w:val="en-GB"/>
        </w:rPr>
        <w:t xml:space="preserve">We can further illustrate this point by reflecting </w:t>
      </w:r>
      <w:r w:rsidR="00D41E8A" w:rsidRPr="00FD13F4">
        <w:rPr>
          <w:rFonts w:ascii="Times New Roman" w:hAnsi="Times New Roman" w:cs="Times New Roman"/>
          <w:sz w:val="24"/>
          <w:szCs w:val="24"/>
          <w:lang w:val="en-GB"/>
        </w:rPr>
        <w:t>upon Newberry-Jones’ conception of video games as phenomenology</w:t>
      </w:r>
      <w:r w:rsidR="00B743DB" w:rsidRPr="00FD13F4">
        <w:rPr>
          <w:rFonts w:ascii="Times New Roman" w:hAnsi="Times New Roman" w:cs="Times New Roman"/>
          <w:sz w:val="24"/>
          <w:szCs w:val="24"/>
          <w:lang w:val="en-GB"/>
        </w:rPr>
        <w:t>,</w:t>
      </w:r>
      <w:r w:rsidR="00D41E8A" w:rsidRPr="00FD13F4">
        <w:rPr>
          <w:rFonts w:ascii="Times New Roman" w:hAnsi="Times New Roman" w:cs="Times New Roman"/>
          <w:sz w:val="24"/>
          <w:szCs w:val="24"/>
          <w:lang w:val="en-GB"/>
        </w:rPr>
        <w:t xml:space="preserve"> suffused with the potential to transform passive legal learning environments into active ones.</w:t>
      </w:r>
      <w:r w:rsidR="00AF3AD3">
        <w:rPr>
          <w:rFonts w:ascii="Times New Roman" w:hAnsi="Times New Roman" w:cs="Times New Roman"/>
          <w:sz w:val="24"/>
          <w:szCs w:val="24"/>
          <w:lang w:val="en-GB"/>
        </w:rPr>
        <w:t xml:space="preserve"> </w:t>
      </w:r>
      <w:r w:rsidR="00D41E8A" w:rsidRPr="00FD13F4">
        <w:rPr>
          <w:rFonts w:ascii="Times New Roman" w:hAnsi="Times New Roman" w:cs="Times New Roman"/>
          <w:sz w:val="24"/>
          <w:szCs w:val="24"/>
          <w:lang w:val="en-GB"/>
        </w:rPr>
        <w:t>He argues that the hands-on nature of video games means students can use them to experiment with different approaches to legal or ethical concepts that directly affect their gameplay experience - for example choosing violent or non-violent conflict resolution or using cheat</w:t>
      </w:r>
      <w:r w:rsidR="009E3830" w:rsidRPr="00FD13F4">
        <w:rPr>
          <w:rFonts w:ascii="Times New Roman" w:hAnsi="Times New Roman" w:cs="Times New Roman"/>
          <w:sz w:val="24"/>
          <w:szCs w:val="24"/>
          <w:lang w:val="en-GB"/>
        </w:rPr>
        <w:t xml:space="preserve"> codes – </w:t>
      </w:r>
      <w:r w:rsidR="00D41E8A" w:rsidRPr="00FD13F4">
        <w:rPr>
          <w:rFonts w:ascii="Times New Roman" w:hAnsi="Times New Roman" w:cs="Times New Roman"/>
          <w:sz w:val="24"/>
          <w:szCs w:val="24"/>
          <w:lang w:val="en-GB"/>
        </w:rPr>
        <w:t xml:space="preserve">and use this to reflect on similar themes in the </w:t>
      </w:r>
      <w:r w:rsidR="00EF30D9" w:rsidRPr="00FD13F4">
        <w:rPr>
          <w:rFonts w:ascii="Times New Roman" w:hAnsi="Times New Roman" w:cs="Times New Roman"/>
          <w:sz w:val="24"/>
          <w:szCs w:val="24"/>
          <w:lang w:val="en-GB"/>
        </w:rPr>
        <w:t>‘</w:t>
      </w:r>
      <w:r w:rsidR="00D41E8A" w:rsidRPr="00FD13F4">
        <w:rPr>
          <w:rFonts w:ascii="Times New Roman" w:hAnsi="Times New Roman" w:cs="Times New Roman"/>
          <w:sz w:val="24"/>
          <w:szCs w:val="24"/>
          <w:lang w:val="en-GB"/>
        </w:rPr>
        <w:t>real</w:t>
      </w:r>
      <w:r w:rsidR="002F28C0">
        <w:rPr>
          <w:rFonts w:ascii="Times New Roman" w:hAnsi="Times New Roman" w:cs="Times New Roman"/>
          <w:sz w:val="24"/>
          <w:szCs w:val="24"/>
          <w:lang w:val="en-GB"/>
        </w:rPr>
        <w:t>’</w:t>
      </w:r>
      <w:r w:rsidR="00D41E8A" w:rsidRPr="00FD13F4">
        <w:rPr>
          <w:rFonts w:ascii="Times New Roman" w:hAnsi="Times New Roman" w:cs="Times New Roman"/>
          <w:sz w:val="24"/>
          <w:szCs w:val="24"/>
          <w:lang w:val="en-GB"/>
        </w:rPr>
        <w:t xml:space="preserve"> world.</w:t>
      </w:r>
      <w:r w:rsidR="00D41E8A" w:rsidRPr="00FD13F4">
        <w:rPr>
          <w:rFonts w:ascii="Times New Roman" w:eastAsia="Helvetica" w:hAnsi="Times New Roman" w:cs="Times New Roman"/>
          <w:sz w:val="24"/>
          <w:szCs w:val="24"/>
          <w:vertAlign w:val="superscript"/>
          <w:lang w:val="en-GB"/>
        </w:rPr>
        <w:footnoteReference w:id="24"/>
      </w:r>
      <w:r w:rsidR="00D41E8A" w:rsidRPr="00FD13F4">
        <w:rPr>
          <w:rFonts w:ascii="Times New Roman" w:hAnsi="Times New Roman" w:cs="Times New Roman"/>
          <w:sz w:val="24"/>
          <w:szCs w:val="24"/>
          <w:lang w:val="en-GB"/>
        </w:rPr>
        <w:t xml:space="preserve">  </w:t>
      </w:r>
      <w:r w:rsidR="008B0578" w:rsidRPr="00FD13F4">
        <w:rPr>
          <w:rFonts w:ascii="Times New Roman" w:hAnsi="Times New Roman" w:cs="Times New Roman"/>
          <w:sz w:val="24"/>
          <w:szCs w:val="24"/>
          <w:lang w:val="en-GB"/>
        </w:rPr>
        <w:t xml:space="preserve">This logic need not be limited to computer games. </w:t>
      </w:r>
      <w:r w:rsidR="00D41E8A" w:rsidRPr="00FD13F4">
        <w:rPr>
          <w:rFonts w:ascii="Times New Roman" w:hAnsi="Times New Roman" w:cs="Times New Roman"/>
          <w:sz w:val="24"/>
          <w:szCs w:val="24"/>
          <w:lang w:val="en-GB"/>
        </w:rPr>
        <w:t>Its conceptual basis appl</w:t>
      </w:r>
      <w:r w:rsidR="008B0578" w:rsidRPr="00FD13F4">
        <w:rPr>
          <w:rFonts w:ascii="Times New Roman" w:hAnsi="Times New Roman" w:cs="Times New Roman"/>
          <w:sz w:val="24"/>
          <w:szCs w:val="24"/>
          <w:lang w:val="en-GB"/>
        </w:rPr>
        <w:t>ies equally to</w:t>
      </w:r>
      <w:r w:rsidR="00D41E8A" w:rsidRPr="00FD13F4">
        <w:rPr>
          <w:rFonts w:ascii="Times New Roman" w:hAnsi="Times New Roman" w:cs="Times New Roman"/>
          <w:sz w:val="24"/>
          <w:szCs w:val="24"/>
          <w:lang w:val="en-GB"/>
        </w:rPr>
        <w:t xml:space="preserve"> the use of </w:t>
      </w:r>
      <w:r w:rsidR="00D41E8A" w:rsidRPr="00AF3AD3">
        <w:rPr>
          <w:rFonts w:ascii="Times New Roman" w:hAnsi="Times New Roman" w:cs="Times New Roman"/>
          <w:sz w:val="24"/>
          <w:szCs w:val="24"/>
          <w:lang w:val="en-GB"/>
        </w:rPr>
        <w:t>non-digital</w:t>
      </w:r>
      <w:r w:rsidR="00D41E8A" w:rsidRPr="00FD13F4">
        <w:rPr>
          <w:rFonts w:ascii="Times New Roman" w:hAnsi="Times New Roman" w:cs="Times New Roman"/>
          <w:sz w:val="24"/>
          <w:szCs w:val="24"/>
          <w:lang w:val="en-GB"/>
        </w:rPr>
        <w:t xml:space="preserve"> games</w:t>
      </w:r>
      <w:r w:rsidR="00B743DB" w:rsidRPr="00FD13F4">
        <w:rPr>
          <w:rFonts w:ascii="Times New Roman" w:hAnsi="Times New Roman" w:cs="Times New Roman"/>
          <w:sz w:val="24"/>
          <w:szCs w:val="24"/>
          <w:lang w:val="en-GB"/>
        </w:rPr>
        <w:t xml:space="preserve">, </w:t>
      </w:r>
      <w:r w:rsidR="00D41E8A" w:rsidRPr="00FD13F4">
        <w:rPr>
          <w:rFonts w:ascii="Times New Roman" w:hAnsi="Times New Roman" w:cs="Times New Roman"/>
          <w:sz w:val="24"/>
          <w:szCs w:val="24"/>
          <w:lang w:val="en-GB"/>
        </w:rPr>
        <w:t>such as board or card game</w:t>
      </w:r>
      <w:r w:rsidR="00B743DB" w:rsidRPr="00FD13F4">
        <w:rPr>
          <w:rFonts w:ascii="Times New Roman" w:hAnsi="Times New Roman" w:cs="Times New Roman"/>
          <w:sz w:val="24"/>
          <w:szCs w:val="24"/>
          <w:lang w:val="en-GB"/>
        </w:rPr>
        <w:t>s,</w:t>
      </w:r>
      <w:r w:rsidR="00D41E8A" w:rsidRPr="00FD13F4">
        <w:rPr>
          <w:rFonts w:ascii="Times New Roman" w:hAnsi="Times New Roman" w:cs="Times New Roman"/>
          <w:sz w:val="24"/>
          <w:szCs w:val="24"/>
          <w:lang w:val="en-GB"/>
        </w:rPr>
        <w:t xml:space="preserve"> to deliver learning outcomes</w:t>
      </w:r>
      <w:r w:rsidR="00B743DB" w:rsidRPr="00FD13F4">
        <w:rPr>
          <w:rFonts w:ascii="Times New Roman" w:hAnsi="Times New Roman" w:cs="Times New Roman"/>
          <w:sz w:val="24"/>
          <w:szCs w:val="24"/>
          <w:lang w:val="en-GB"/>
        </w:rPr>
        <w:t>; they too are hands-on games which require commitment from their players within a simulated game-world</w:t>
      </w:r>
      <w:r w:rsidR="00D41E8A" w:rsidRPr="00FD13F4">
        <w:rPr>
          <w:rFonts w:ascii="Times New Roman" w:hAnsi="Times New Roman" w:cs="Times New Roman"/>
          <w:sz w:val="24"/>
          <w:szCs w:val="24"/>
          <w:lang w:val="en-GB"/>
        </w:rPr>
        <w:t>.</w:t>
      </w:r>
      <w:r w:rsidR="00D41E8A" w:rsidRPr="00FD13F4">
        <w:rPr>
          <w:rFonts w:ascii="Times New Roman" w:eastAsia="Helvetica" w:hAnsi="Times New Roman" w:cs="Times New Roman"/>
          <w:sz w:val="24"/>
          <w:szCs w:val="24"/>
          <w:vertAlign w:val="superscript"/>
          <w:lang w:val="en-GB"/>
        </w:rPr>
        <w:footnoteReference w:id="25"/>
      </w:r>
      <w:r w:rsidR="008B0578" w:rsidRPr="00FD13F4">
        <w:rPr>
          <w:rFonts w:ascii="Times New Roman" w:hAnsi="Times New Roman" w:cs="Times New Roman"/>
          <w:sz w:val="24"/>
          <w:szCs w:val="24"/>
          <w:lang w:val="en-GB"/>
        </w:rPr>
        <w:t xml:space="preserve"> </w:t>
      </w:r>
      <w:r w:rsidR="00B743DB" w:rsidRPr="00FD13F4">
        <w:rPr>
          <w:rFonts w:ascii="Times New Roman" w:hAnsi="Times New Roman" w:cs="Times New Roman"/>
          <w:sz w:val="24"/>
          <w:szCs w:val="24"/>
          <w:lang w:val="en-GB"/>
        </w:rPr>
        <w:t xml:space="preserve">This means that </w:t>
      </w:r>
      <w:r w:rsidR="00D41E8A" w:rsidRPr="00FD13F4">
        <w:rPr>
          <w:rFonts w:ascii="Times New Roman" w:hAnsi="Times New Roman" w:cs="Times New Roman"/>
          <w:sz w:val="24"/>
          <w:szCs w:val="24"/>
          <w:lang w:val="en-GB"/>
        </w:rPr>
        <w:t>games</w:t>
      </w:r>
      <w:r w:rsidR="00AF3AD3">
        <w:rPr>
          <w:rFonts w:ascii="Times New Roman" w:hAnsi="Times New Roman" w:cs="Times New Roman"/>
          <w:sz w:val="24"/>
          <w:szCs w:val="24"/>
          <w:lang w:val="en-GB"/>
        </w:rPr>
        <w:t xml:space="preserve"> </w:t>
      </w:r>
      <w:r w:rsidR="00491475" w:rsidRPr="00FD13F4">
        <w:rPr>
          <w:rFonts w:ascii="Times New Roman" w:hAnsi="Times New Roman" w:cs="Times New Roman"/>
          <w:sz w:val="24"/>
          <w:szCs w:val="24"/>
          <w:lang w:val="en-GB"/>
        </w:rPr>
        <w:t xml:space="preserve">such as </w:t>
      </w:r>
      <w:r w:rsidR="00491475" w:rsidRPr="00FD13F4">
        <w:rPr>
          <w:rFonts w:ascii="Times New Roman" w:hAnsi="Times New Roman" w:cs="Times New Roman"/>
          <w:i/>
          <w:iCs/>
          <w:sz w:val="24"/>
          <w:szCs w:val="24"/>
          <w:lang w:val="en-GB"/>
        </w:rPr>
        <w:t>Ratio</w:t>
      </w:r>
      <w:r w:rsidR="00491475" w:rsidRPr="00FD13F4">
        <w:rPr>
          <w:rFonts w:ascii="Times New Roman" w:hAnsi="Times New Roman" w:cs="Times New Roman"/>
          <w:sz w:val="24"/>
          <w:szCs w:val="24"/>
          <w:lang w:val="en-GB"/>
        </w:rPr>
        <w:t>,</w:t>
      </w:r>
      <w:r w:rsidR="00D41E8A" w:rsidRPr="00FD13F4">
        <w:rPr>
          <w:rFonts w:ascii="Times New Roman" w:hAnsi="Times New Roman" w:cs="Times New Roman"/>
          <w:sz w:val="24"/>
          <w:szCs w:val="24"/>
          <w:lang w:val="en-GB"/>
        </w:rPr>
        <w:t xml:space="preserve"> can also have a phenomenological effect, forcing students to grapple with the deep structures of a subject and engage in active learning.  </w:t>
      </w:r>
    </w:p>
    <w:p w14:paraId="0E59252D" w14:textId="77777777" w:rsidR="00B743DB" w:rsidRPr="00FD13F4" w:rsidRDefault="00B743DB" w:rsidP="00024137">
      <w:pPr>
        <w:pStyle w:val="Body"/>
        <w:spacing w:line="360" w:lineRule="auto"/>
        <w:jc w:val="both"/>
        <w:rPr>
          <w:rFonts w:ascii="Times New Roman" w:hAnsi="Times New Roman" w:cs="Times New Roman"/>
          <w:i/>
          <w:iCs/>
          <w:sz w:val="24"/>
          <w:szCs w:val="24"/>
          <w:lang w:val="en-GB"/>
        </w:rPr>
      </w:pPr>
    </w:p>
    <w:p w14:paraId="05EC96AB" w14:textId="24CC2E3F" w:rsidR="00024137" w:rsidRPr="00FD13F4" w:rsidRDefault="00D41E8A" w:rsidP="00024137">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The </w:t>
      </w:r>
      <w:r w:rsidR="00AC11C1" w:rsidRPr="00FD13F4">
        <w:rPr>
          <w:rFonts w:ascii="Times New Roman" w:hAnsi="Times New Roman" w:cs="Times New Roman"/>
          <w:sz w:val="24"/>
          <w:szCs w:val="24"/>
          <w:lang w:val="en-GB"/>
        </w:rPr>
        <w:t>phenomenological</w:t>
      </w:r>
      <w:r w:rsidRPr="00FD13F4">
        <w:rPr>
          <w:rFonts w:ascii="Times New Roman" w:hAnsi="Times New Roman" w:cs="Times New Roman"/>
          <w:sz w:val="24"/>
          <w:szCs w:val="24"/>
          <w:lang w:val="en-GB"/>
        </w:rPr>
        <w:t xml:space="preserve"> nature of GBL means that </w:t>
      </w:r>
      <w:r w:rsidR="005D4DDA" w:rsidRPr="00FD13F4">
        <w:rPr>
          <w:rFonts w:ascii="Times New Roman" w:hAnsi="Times New Roman" w:cs="Times New Roman"/>
          <w:sz w:val="24"/>
          <w:szCs w:val="24"/>
          <w:lang w:val="en-GB"/>
        </w:rPr>
        <w:t>it creates</w:t>
      </w:r>
      <w:r w:rsidRPr="00FD13F4">
        <w:rPr>
          <w:rFonts w:ascii="Times New Roman" w:hAnsi="Times New Roman" w:cs="Times New Roman"/>
          <w:sz w:val="24"/>
          <w:szCs w:val="24"/>
          <w:lang w:val="en-GB"/>
        </w:rPr>
        <w:t xml:space="preserve"> active learn</w:t>
      </w:r>
      <w:r w:rsidR="005D4DDA" w:rsidRPr="00FD13F4">
        <w:rPr>
          <w:rFonts w:ascii="Times New Roman" w:hAnsi="Times New Roman" w:cs="Times New Roman"/>
          <w:sz w:val="24"/>
          <w:szCs w:val="24"/>
          <w:lang w:val="en-GB"/>
        </w:rPr>
        <w:t>ers</w:t>
      </w:r>
      <w:r w:rsidR="00A512D6" w:rsidRPr="00FD13F4">
        <w:rPr>
          <w:rFonts w:ascii="Times New Roman" w:hAnsi="Times New Roman" w:cs="Times New Roman"/>
          <w:sz w:val="24"/>
          <w:szCs w:val="24"/>
          <w:lang w:val="en-GB"/>
        </w:rPr>
        <w:t xml:space="preserve"> </w:t>
      </w:r>
      <w:r w:rsidR="00974155" w:rsidRPr="00FD13F4">
        <w:rPr>
          <w:rFonts w:ascii="Times New Roman" w:hAnsi="Times New Roman" w:cs="Times New Roman"/>
          <w:sz w:val="24"/>
          <w:szCs w:val="24"/>
          <w:lang w:val="en-GB"/>
        </w:rPr>
        <w:t>“</w:t>
      </w:r>
      <w:r w:rsidRPr="00FD13F4">
        <w:rPr>
          <w:rFonts w:ascii="Times New Roman" w:hAnsi="Times New Roman" w:cs="Times New Roman"/>
          <w:sz w:val="24"/>
          <w:szCs w:val="24"/>
          <w:lang w:val="en-GB"/>
        </w:rPr>
        <w:t xml:space="preserve">engaging </w:t>
      </w:r>
      <w:r w:rsidR="00A512D6" w:rsidRPr="00FD13F4">
        <w:rPr>
          <w:rFonts w:ascii="Times New Roman" w:hAnsi="Times New Roman" w:cs="Times New Roman"/>
          <w:sz w:val="24"/>
          <w:szCs w:val="24"/>
          <w:lang w:val="en-GB"/>
        </w:rPr>
        <w:t>…</w:t>
      </w:r>
      <w:r w:rsidRPr="00FD13F4">
        <w:rPr>
          <w:rFonts w:ascii="Times New Roman" w:hAnsi="Times New Roman" w:cs="Times New Roman"/>
          <w:sz w:val="24"/>
          <w:szCs w:val="24"/>
          <w:lang w:val="en-GB"/>
        </w:rPr>
        <w:t xml:space="preserve"> in activities to promote critical and analytical thinking</w:t>
      </w:r>
      <w:r w:rsidR="00974155" w:rsidRPr="00FD13F4">
        <w:rPr>
          <w:rFonts w:ascii="Times New Roman" w:hAnsi="Times New Roman" w:cs="Times New Roman"/>
          <w:sz w:val="24"/>
          <w:szCs w:val="24"/>
          <w:lang w:val="en-GB"/>
        </w:rPr>
        <w:t>”.</w:t>
      </w:r>
      <w:r w:rsidRPr="00FD13F4">
        <w:rPr>
          <w:rStyle w:val="FootnoteReference"/>
          <w:rFonts w:ascii="Times New Roman" w:hAnsi="Times New Roman" w:cs="Times New Roman"/>
          <w:sz w:val="24"/>
          <w:szCs w:val="24"/>
          <w:lang w:val="en-GB"/>
        </w:rPr>
        <w:footnoteReference w:id="26"/>
      </w:r>
      <w:r w:rsidR="00143E23" w:rsidRPr="00FD13F4">
        <w:rPr>
          <w:rFonts w:ascii="Times New Roman" w:hAnsi="Times New Roman" w:cs="Times New Roman"/>
          <w:sz w:val="24"/>
          <w:szCs w:val="24"/>
          <w:lang w:val="en-GB"/>
        </w:rPr>
        <w:t xml:space="preserve"> </w:t>
      </w:r>
      <w:r w:rsidR="00A512D6" w:rsidRPr="00FD13F4">
        <w:rPr>
          <w:rFonts w:ascii="Times New Roman" w:hAnsi="Times New Roman" w:cs="Times New Roman"/>
          <w:sz w:val="24"/>
          <w:szCs w:val="24"/>
          <w:lang w:val="en-GB"/>
        </w:rPr>
        <w:t xml:space="preserve"> </w:t>
      </w:r>
      <w:r w:rsidR="00143E23" w:rsidRPr="00FD13F4">
        <w:rPr>
          <w:rFonts w:ascii="Times New Roman" w:hAnsi="Times New Roman" w:cs="Times New Roman"/>
          <w:sz w:val="24"/>
          <w:szCs w:val="24"/>
          <w:lang w:val="en-GB"/>
        </w:rPr>
        <w:t xml:space="preserve">Examples </w:t>
      </w:r>
      <w:r w:rsidR="00C37A42">
        <w:rPr>
          <w:rFonts w:ascii="Times New Roman" w:hAnsi="Times New Roman" w:cs="Times New Roman"/>
          <w:sz w:val="24"/>
          <w:szCs w:val="24"/>
          <w:lang w:val="en-GB"/>
        </w:rPr>
        <w:t xml:space="preserve">of non-digital games in other disciplines </w:t>
      </w:r>
      <w:r w:rsidR="00143E23" w:rsidRPr="00FD13F4">
        <w:rPr>
          <w:rFonts w:ascii="Times New Roman" w:hAnsi="Times New Roman" w:cs="Times New Roman"/>
          <w:sz w:val="24"/>
          <w:szCs w:val="24"/>
          <w:lang w:val="en-GB"/>
        </w:rPr>
        <w:t xml:space="preserve">include </w:t>
      </w:r>
      <w:r w:rsidR="00143E23" w:rsidRPr="00FD13F4">
        <w:rPr>
          <w:rFonts w:ascii="Times New Roman" w:hAnsi="Times New Roman" w:cs="Times New Roman"/>
          <w:i/>
          <w:iCs/>
          <w:sz w:val="24"/>
          <w:szCs w:val="24"/>
          <w:lang w:val="en-GB"/>
        </w:rPr>
        <w:t>Legislate?!</w:t>
      </w:r>
      <w:r w:rsidR="00143E23" w:rsidRPr="00FD13F4">
        <w:rPr>
          <w:rFonts w:ascii="Times New Roman" w:hAnsi="Times New Roman" w:cs="Times New Roman"/>
          <w:sz w:val="24"/>
          <w:szCs w:val="24"/>
          <w:lang w:val="en-GB"/>
        </w:rPr>
        <w:t xml:space="preserve"> – a ‘Snakes and Ladders’ variant used by the House of Commons Office of the Parliamentary Counsel to train civil servants and </w:t>
      </w:r>
      <w:r w:rsidR="004F5B59" w:rsidRPr="00FD13F4">
        <w:rPr>
          <w:rFonts w:ascii="Times New Roman" w:hAnsi="Times New Roman" w:cs="Times New Roman"/>
          <w:sz w:val="24"/>
          <w:szCs w:val="24"/>
          <w:lang w:val="en-GB"/>
        </w:rPr>
        <w:t>visitors</w:t>
      </w:r>
      <w:r w:rsidR="00143E23" w:rsidRPr="00FD13F4">
        <w:rPr>
          <w:rFonts w:ascii="Times New Roman" w:hAnsi="Times New Roman" w:cs="Times New Roman"/>
          <w:sz w:val="24"/>
          <w:szCs w:val="24"/>
          <w:lang w:val="en-GB"/>
        </w:rPr>
        <w:t xml:space="preserve"> on the legislative process</w:t>
      </w:r>
      <w:r w:rsidR="00502509" w:rsidRPr="00FD13F4">
        <w:rPr>
          <w:rFonts w:ascii="Times New Roman" w:hAnsi="Times New Roman" w:cs="Times New Roman"/>
          <w:sz w:val="24"/>
          <w:szCs w:val="24"/>
          <w:lang w:val="en-GB"/>
        </w:rPr>
        <w:t>;</w:t>
      </w:r>
      <w:r w:rsidR="00143E23" w:rsidRPr="00FD13F4">
        <w:rPr>
          <w:rFonts w:ascii="Times New Roman" w:eastAsia="Helvetica" w:hAnsi="Times New Roman" w:cs="Times New Roman"/>
          <w:sz w:val="24"/>
          <w:szCs w:val="24"/>
          <w:vertAlign w:val="superscript"/>
          <w:lang w:val="en-GB"/>
        </w:rPr>
        <w:footnoteReference w:id="27"/>
      </w:r>
      <w:r w:rsidR="00143E23" w:rsidRPr="00FD13F4">
        <w:rPr>
          <w:rFonts w:ascii="Times New Roman" w:hAnsi="Times New Roman" w:cs="Times New Roman"/>
          <w:sz w:val="24"/>
          <w:szCs w:val="24"/>
          <w:lang w:val="en-GB"/>
        </w:rPr>
        <w:t xml:space="preserve"> </w:t>
      </w:r>
      <w:r w:rsidR="00143E23" w:rsidRPr="00FD13F4">
        <w:rPr>
          <w:rFonts w:ascii="Times New Roman" w:hAnsi="Times New Roman" w:cs="Times New Roman"/>
          <w:i/>
          <w:iCs/>
          <w:sz w:val="24"/>
          <w:szCs w:val="24"/>
          <w:lang w:val="en-GB"/>
        </w:rPr>
        <w:t>Keep Cool</w:t>
      </w:r>
      <w:r w:rsidR="00143E23" w:rsidRPr="00FD13F4">
        <w:rPr>
          <w:rFonts w:ascii="Times New Roman" w:hAnsi="Times New Roman" w:cs="Times New Roman"/>
          <w:sz w:val="24"/>
          <w:szCs w:val="24"/>
          <w:lang w:val="en-GB"/>
        </w:rPr>
        <w:t>, a more complex game developed by German academics to teach the nuances of climate change negotiation</w:t>
      </w:r>
      <w:r w:rsidR="00502509" w:rsidRPr="00FD13F4">
        <w:rPr>
          <w:rFonts w:ascii="Times New Roman" w:hAnsi="Times New Roman" w:cs="Times New Roman"/>
          <w:sz w:val="24"/>
          <w:szCs w:val="24"/>
          <w:lang w:val="en-GB"/>
        </w:rPr>
        <w:t>s,</w:t>
      </w:r>
      <w:r w:rsidR="00241ADD" w:rsidRPr="00FD13F4">
        <w:rPr>
          <w:rStyle w:val="FootnoteReference"/>
          <w:rFonts w:ascii="Times New Roman" w:hAnsi="Times New Roman" w:cs="Times New Roman"/>
          <w:sz w:val="24"/>
          <w:szCs w:val="24"/>
          <w:lang w:val="en-GB"/>
        </w:rPr>
        <w:footnoteReference w:id="28"/>
      </w:r>
      <w:r w:rsidR="00502509" w:rsidRPr="00FD13F4">
        <w:rPr>
          <w:rFonts w:ascii="Times New Roman" w:hAnsi="Times New Roman" w:cs="Times New Roman"/>
          <w:sz w:val="24"/>
          <w:szCs w:val="24"/>
          <w:lang w:val="en-GB"/>
        </w:rPr>
        <w:t xml:space="preserve"> and </w:t>
      </w:r>
      <w:r w:rsidR="00502509" w:rsidRPr="00FD13F4">
        <w:rPr>
          <w:rFonts w:ascii="Times New Roman" w:hAnsi="Times New Roman" w:cs="Times New Roman"/>
          <w:i/>
          <w:iCs/>
          <w:sz w:val="24"/>
          <w:szCs w:val="24"/>
          <w:lang w:val="en-GB"/>
        </w:rPr>
        <w:t>How to Fail Your Research Degree</w:t>
      </w:r>
      <w:r w:rsidR="00502509" w:rsidRPr="00FD13F4">
        <w:rPr>
          <w:rFonts w:ascii="Times New Roman" w:hAnsi="Times New Roman" w:cs="Times New Roman"/>
          <w:sz w:val="24"/>
          <w:szCs w:val="24"/>
          <w:lang w:val="en-GB"/>
        </w:rPr>
        <w:t>, which teaches research skills to postgraduates.</w:t>
      </w:r>
      <w:r w:rsidR="00502509" w:rsidRPr="00FD13F4">
        <w:rPr>
          <w:rStyle w:val="FootnoteReference"/>
          <w:rFonts w:ascii="Times New Roman" w:hAnsi="Times New Roman" w:cs="Times New Roman"/>
          <w:sz w:val="24"/>
          <w:szCs w:val="24"/>
          <w:lang w:val="en-GB"/>
        </w:rPr>
        <w:footnoteReference w:id="29"/>
      </w:r>
      <w:r w:rsidR="00502509" w:rsidRPr="00FD13F4">
        <w:rPr>
          <w:rFonts w:ascii="Times New Roman" w:hAnsi="Times New Roman" w:cs="Times New Roman"/>
          <w:sz w:val="24"/>
          <w:szCs w:val="24"/>
          <w:lang w:val="en-GB"/>
        </w:rPr>
        <w:t xml:space="preserve">  </w:t>
      </w:r>
      <w:r w:rsidR="00143E23" w:rsidRPr="00FD13F4">
        <w:rPr>
          <w:rFonts w:ascii="Times New Roman" w:hAnsi="Times New Roman" w:cs="Times New Roman"/>
          <w:sz w:val="24"/>
          <w:szCs w:val="24"/>
          <w:lang w:val="en-GB"/>
        </w:rPr>
        <w:t xml:space="preserve">Within legal education, </w:t>
      </w:r>
      <w:r w:rsidR="00143E23" w:rsidRPr="00FD13F4">
        <w:rPr>
          <w:rFonts w:ascii="Times New Roman" w:hAnsi="Times New Roman" w:cs="Times New Roman"/>
          <w:i/>
          <w:iCs/>
          <w:sz w:val="24"/>
          <w:szCs w:val="24"/>
          <w:lang w:val="en-GB"/>
        </w:rPr>
        <w:t xml:space="preserve">The Card Game </w:t>
      </w:r>
      <w:r w:rsidR="00143E23" w:rsidRPr="00FD13F4">
        <w:rPr>
          <w:rFonts w:ascii="Times New Roman" w:hAnsi="Times New Roman" w:cs="Times New Roman"/>
          <w:sz w:val="24"/>
          <w:szCs w:val="24"/>
          <w:lang w:val="en-GB"/>
        </w:rPr>
        <w:t>has been used by Bouclin, Calder, and Cowan.</w:t>
      </w:r>
      <w:r w:rsidR="00EF30D9" w:rsidRPr="00FD13F4">
        <w:rPr>
          <w:rFonts w:ascii="Times New Roman" w:eastAsia="Helvetica" w:hAnsi="Times New Roman" w:cs="Times New Roman"/>
          <w:sz w:val="24"/>
          <w:szCs w:val="24"/>
          <w:vertAlign w:val="superscript"/>
          <w:lang w:val="en-GB"/>
        </w:rPr>
        <w:footnoteReference w:id="30"/>
      </w:r>
      <w:r w:rsidR="00EF30D9" w:rsidRPr="00FD13F4">
        <w:rPr>
          <w:rFonts w:ascii="Times New Roman" w:hAnsi="Times New Roman" w:cs="Times New Roman"/>
          <w:sz w:val="24"/>
          <w:szCs w:val="24"/>
          <w:lang w:val="en-GB"/>
        </w:rPr>
        <w:t xml:space="preserve">  </w:t>
      </w:r>
      <w:r w:rsidR="00143E23" w:rsidRPr="00FD13F4">
        <w:rPr>
          <w:rFonts w:ascii="Times New Roman" w:hAnsi="Times New Roman" w:cs="Times New Roman"/>
          <w:sz w:val="24"/>
          <w:szCs w:val="24"/>
          <w:lang w:val="en-GB"/>
        </w:rPr>
        <w:t>Teams of students</w:t>
      </w:r>
      <w:r w:rsidR="002345C4" w:rsidRPr="00FD13F4">
        <w:rPr>
          <w:rFonts w:ascii="Times New Roman" w:hAnsi="Times New Roman" w:cs="Times New Roman"/>
          <w:sz w:val="24"/>
          <w:szCs w:val="24"/>
          <w:lang w:val="en-GB"/>
        </w:rPr>
        <w:t xml:space="preserve"> are</w:t>
      </w:r>
      <w:r w:rsidR="00143E23" w:rsidRPr="00FD13F4">
        <w:rPr>
          <w:rFonts w:ascii="Times New Roman" w:hAnsi="Times New Roman" w:cs="Times New Roman"/>
          <w:sz w:val="24"/>
          <w:szCs w:val="24"/>
          <w:lang w:val="en-GB"/>
        </w:rPr>
        <w:t xml:space="preserve"> assigned to different groups.  Each has to play a game using a standard deck of playing cards by following an ambiguous set of rules. They must do so without oral </w:t>
      </w:r>
      <w:r w:rsidR="00143E23" w:rsidRPr="00FD13F4">
        <w:rPr>
          <w:rFonts w:ascii="Times New Roman" w:hAnsi="Times New Roman" w:cs="Times New Roman"/>
          <w:sz w:val="24"/>
          <w:szCs w:val="24"/>
          <w:lang w:val="en-GB"/>
        </w:rPr>
        <w:lastRenderedPageBreak/>
        <w:t>or written discussion</w:t>
      </w:r>
      <w:r w:rsidR="00EF30D9" w:rsidRPr="00FD13F4">
        <w:rPr>
          <w:rFonts w:ascii="Times New Roman" w:hAnsi="Times New Roman" w:cs="Times New Roman"/>
          <w:sz w:val="24"/>
          <w:szCs w:val="24"/>
          <w:lang w:val="en-GB"/>
        </w:rPr>
        <w:t>. A</w:t>
      </w:r>
      <w:r w:rsidR="00143E23" w:rsidRPr="00FD13F4">
        <w:rPr>
          <w:rFonts w:ascii="Times New Roman" w:hAnsi="Times New Roman" w:cs="Times New Roman"/>
          <w:sz w:val="24"/>
          <w:szCs w:val="24"/>
          <w:lang w:val="en-GB"/>
        </w:rPr>
        <w:t>fter a while</w:t>
      </w:r>
      <w:r w:rsidR="00EF30D9" w:rsidRPr="00FD13F4">
        <w:rPr>
          <w:rFonts w:ascii="Times New Roman" w:hAnsi="Times New Roman" w:cs="Times New Roman"/>
          <w:sz w:val="24"/>
          <w:szCs w:val="24"/>
          <w:lang w:val="en-GB"/>
        </w:rPr>
        <w:t xml:space="preserve">, </w:t>
      </w:r>
      <w:r w:rsidR="00143E23" w:rsidRPr="00FD13F4">
        <w:rPr>
          <w:rFonts w:ascii="Times New Roman" w:hAnsi="Times New Roman" w:cs="Times New Roman"/>
          <w:sz w:val="24"/>
          <w:szCs w:val="24"/>
          <w:lang w:val="en-GB"/>
        </w:rPr>
        <w:t xml:space="preserve">individuals are moved to different groups whose interpretation of the rules may subtly differ, to </w:t>
      </w:r>
      <w:r w:rsidR="00B24C60" w:rsidRPr="00FD13F4">
        <w:rPr>
          <w:rFonts w:ascii="Times New Roman" w:hAnsi="Times New Roman" w:cs="Times New Roman"/>
          <w:sz w:val="24"/>
          <w:szCs w:val="24"/>
          <w:lang w:val="en-GB"/>
        </w:rPr>
        <w:t xml:space="preserve">visibly and viscerally </w:t>
      </w:r>
      <w:r w:rsidR="00143E23" w:rsidRPr="00FD13F4">
        <w:rPr>
          <w:rFonts w:ascii="Times New Roman" w:hAnsi="Times New Roman" w:cs="Times New Roman"/>
          <w:sz w:val="24"/>
          <w:szCs w:val="24"/>
          <w:lang w:val="en-GB"/>
        </w:rPr>
        <w:t>demonstrate the embodied nature of law</w:t>
      </w:r>
      <w:r w:rsidR="00491475" w:rsidRPr="00FD13F4">
        <w:rPr>
          <w:rFonts w:ascii="Times New Roman" w:hAnsi="Times New Roman" w:cs="Times New Roman"/>
          <w:sz w:val="24"/>
          <w:szCs w:val="24"/>
          <w:lang w:val="en-GB"/>
        </w:rPr>
        <w:t>, using the tactility of the experience to underline its points</w:t>
      </w:r>
      <w:r w:rsidR="00143E23" w:rsidRPr="00FD13F4">
        <w:rPr>
          <w:rFonts w:ascii="Times New Roman" w:hAnsi="Times New Roman" w:cs="Times New Roman"/>
          <w:sz w:val="24"/>
          <w:szCs w:val="24"/>
          <w:lang w:val="en-GB"/>
        </w:rPr>
        <w:t xml:space="preserve">. </w:t>
      </w:r>
      <w:r w:rsidR="00667589" w:rsidRPr="00FD13F4">
        <w:rPr>
          <w:rFonts w:ascii="Times New Roman" w:hAnsi="Times New Roman" w:cs="Times New Roman"/>
          <w:sz w:val="24"/>
          <w:szCs w:val="24"/>
          <w:lang w:val="en-GB"/>
        </w:rPr>
        <w:t>R</w:t>
      </w:r>
      <w:r w:rsidR="001240A1" w:rsidRPr="00FD13F4">
        <w:rPr>
          <w:rFonts w:ascii="Times New Roman" w:hAnsi="Times New Roman" w:cs="Times New Roman"/>
          <w:sz w:val="24"/>
          <w:szCs w:val="24"/>
          <w:lang w:val="en-GB"/>
        </w:rPr>
        <w:t>oleplaying and simulation exercises, such as training in negotiation or mediation, can also be understood as a form of GBL since they immerse students in an artificial environment in which they can develop professional skills or achieve other learning outcomes, such as laying bare the impact of power imbalances within legal processes.</w:t>
      </w:r>
      <w:r w:rsidR="001240A1" w:rsidRPr="00FD13F4">
        <w:rPr>
          <w:rFonts w:ascii="Times New Roman" w:eastAsia="Helvetica" w:hAnsi="Times New Roman" w:cs="Times New Roman"/>
          <w:sz w:val="24"/>
          <w:szCs w:val="24"/>
          <w:vertAlign w:val="superscript"/>
          <w:lang w:val="en-GB"/>
        </w:rPr>
        <w:footnoteReference w:id="31"/>
      </w:r>
    </w:p>
    <w:p w14:paraId="6081E493" w14:textId="722ABD55" w:rsidR="00A007F2" w:rsidRPr="00FD13F4" w:rsidRDefault="00A007F2" w:rsidP="00024137">
      <w:pPr>
        <w:pStyle w:val="Body"/>
        <w:spacing w:line="360" w:lineRule="auto"/>
        <w:jc w:val="both"/>
        <w:rPr>
          <w:rFonts w:ascii="Times New Roman" w:hAnsi="Times New Roman" w:cs="Times New Roman"/>
          <w:sz w:val="24"/>
          <w:szCs w:val="24"/>
          <w:lang w:val="en-GB"/>
        </w:rPr>
      </w:pPr>
    </w:p>
    <w:p w14:paraId="1B1A3D52" w14:textId="79CDD5BC" w:rsidR="00066C99" w:rsidRPr="00365BEA" w:rsidRDefault="00C744BD" w:rsidP="00066C99">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To unlock </w:t>
      </w:r>
      <w:r w:rsidR="00C318B7" w:rsidRPr="00FD13F4">
        <w:rPr>
          <w:rFonts w:ascii="Times New Roman" w:hAnsi="Times New Roman" w:cs="Times New Roman"/>
          <w:sz w:val="24"/>
          <w:szCs w:val="24"/>
          <w:lang w:val="en-GB"/>
        </w:rPr>
        <w:t>the</w:t>
      </w:r>
      <w:r w:rsidRPr="00FD13F4">
        <w:rPr>
          <w:rFonts w:ascii="Times New Roman" w:hAnsi="Times New Roman" w:cs="Times New Roman"/>
          <w:sz w:val="24"/>
          <w:szCs w:val="24"/>
          <w:lang w:val="en-GB"/>
        </w:rPr>
        <w:t xml:space="preserve"> potential of GBL</w:t>
      </w:r>
      <w:r w:rsidR="00C318B7"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it is necessary to </w:t>
      </w:r>
      <w:r w:rsidR="00C318B7" w:rsidRPr="00FD13F4">
        <w:rPr>
          <w:rFonts w:ascii="Times New Roman" w:hAnsi="Times New Roman" w:cs="Times New Roman"/>
          <w:sz w:val="24"/>
          <w:szCs w:val="24"/>
          <w:lang w:val="en-GB"/>
        </w:rPr>
        <w:t xml:space="preserve">take account </w:t>
      </w:r>
      <w:r w:rsidR="00C37A42">
        <w:rPr>
          <w:rFonts w:ascii="Times New Roman" w:hAnsi="Times New Roman" w:cs="Times New Roman"/>
          <w:sz w:val="24"/>
          <w:szCs w:val="24"/>
          <w:lang w:val="en-GB"/>
        </w:rPr>
        <w:t xml:space="preserve">of the </w:t>
      </w:r>
      <w:r w:rsidRPr="00FD13F4">
        <w:rPr>
          <w:rFonts w:ascii="Times New Roman" w:hAnsi="Times New Roman" w:cs="Times New Roman"/>
          <w:sz w:val="24"/>
          <w:szCs w:val="24"/>
          <w:lang w:val="en-GB"/>
        </w:rPr>
        <w:t>design principles</w:t>
      </w:r>
      <w:r w:rsidR="00C318B7" w:rsidRPr="00FD13F4">
        <w:rPr>
          <w:rFonts w:ascii="Times New Roman" w:hAnsi="Times New Roman" w:cs="Times New Roman"/>
          <w:sz w:val="24"/>
          <w:szCs w:val="24"/>
          <w:lang w:val="en-GB"/>
        </w:rPr>
        <w:t xml:space="preserve"> found within the GBL literature.</w:t>
      </w:r>
      <w:r w:rsidR="00FD13F4" w:rsidRPr="00FD13F4">
        <w:rPr>
          <w:rFonts w:ascii="Times New Roman" w:hAnsi="Times New Roman" w:cs="Times New Roman"/>
          <w:sz w:val="24"/>
          <w:szCs w:val="24"/>
          <w:lang w:val="en-GB"/>
        </w:rPr>
        <w:t xml:space="preserve"> T</w:t>
      </w:r>
      <w:r w:rsidR="00FA6332" w:rsidRPr="00FD13F4">
        <w:rPr>
          <w:rFonts w:ascii="Times New Roman" w:hAnsi="Times New Roman" w:cs="Times New Roman"/>
          <w:sz w:val="24"/>
          <w:szCs w:val="24"/>
          <w:lang w:val="en-GB"/>
        </w:rPr>
        <w:t>he</w:t>
      </w:r>
      <w:r w:rsidR="00C06B5C">
        <w:rPr>
          <w:rFonts w:ascii="Times New Roman" w:hAnsi="Times New Roman" w:cs="Times New Roman"/>
          <w:sz w:val="24"/>
          <w:szCs w:val="24"/>
          <w:lang w:val="en-GB"/>
        </w:rPr>
        <w:t xml:space="preserve">re </w:t>
      </w:r>
      <w:r w:rsidR="00FA6332" w:rsidRPr="00FD13F4">
        <w:rPr>
          <w:rFonts w:ascii="Times New Roman" w:hAnsi="Times New Roman" w:cs="Times New Roman"/>
          <w:sz w:val="24"/>
          <w:szCs w:val="24"/>
          <w:lang w:val="en-GB"/>
        </w:rPr>
        <w:t>are four recurrent themes</w:t>
      </w:r>
      <w:r w:rsidR="00FD13F4" w:rsidRPr="00FD13F4">
        <w:rPr>
          <w:rFonts w:ascii="Times New Roman" w:eastAsia="Times New Roman" w:hAnsi="Times New Roman" w:cs="Times New Roman"/>
          <w:lang w:eastAsia="en-GB"/>
        </w:rPr>
        <w:t>:</w:t>
      </w:r>
      <w:r w:rsidR="00066C99" w:rsidRPr="00FD13F4">
        <w:rPr>
          <w:rStyle w:val="FootnoteReference"/>
          <w:rFonts w:ascii="Times New Roman" w:eastAsia="Times New Roman" w:hAnsi="Times New Roman" w:cs="Times New Roman"/>
          <w:lang w:eastAsia="en-GB"/>
        </w:rPr>
        <w:footnoteReference w:id="32"/>
      </w:r>
    </w:p>
    <w:p w14:paraId="3742EF68" w14:textId="77777777" w:rsidR="00FD13F4" w:rsidRPr="00FD13F4" w:rsidRDefault="00FD13F4" w:rsidP="00066C99">
      <w:pPr>
        <w:pStyle w:val="Body"/>
        <w:spacing w:line="360" w:lineRule="auto"/>
        <w:jc w:val="both"/>
        <w:rPr>
          <w:rFonts w:ascii="Times New Roman" w:hAnsi="Times New Roman" w:cs="Times New Roman"/>
          <w:sz w:val="24"/>
          <w:szCs w:val="24"/>
          <w:lang w:val="en-GB"/>
        </w:rPr>
      </w:pPr>
    </w:p>
    <w:p w14:paraId="58AF24EA" w14:textId="55E7B21C" w:rsidR="00066C99" w:rsidRPr="00FD13F4" w:rsidRDefault="00066C99" w:rsidP="00FD13F4">
      <w:pPr>
        <w:pStyle w:val="ListParagraph"/>
        <w:numPr>
          <w:ilvl w:val="0"/>
          <w:numId w:val="11"/>
        </w:numPr>
        <w:spacing w:afterLines="0" w:after="288"/>
        <w:rPr>
          <w:rFonts w:ascii="Times New Roman" w:eastAsia="Times New Roman" w:hAnsi="Times New Roman" w:cs="Times New Roman"/>
          <w:color w:val="000000"/>
          <w:lang w:eastAsia="en-GB"/>
        </w:rPr>
      </w:pPr>
      <w:r w:rsidRPr="00FD13F4">
        <w:rPr>
          <w:rFonts w:ascii="Times New Roman" w:eastAsia="Times New Roman" w:hAnsi="Times New Roman" w:cs="Times New Roman"/>
          <w:color w:val="000000"/>
          <w:lang w:eastAsia="en-GB"/>
        </w:rPr>
        <w:t xml:space="preserve">The game must </w:t>
      </w:r>
      <w:r w:rsidR="00FD13F4">
        <w:rPr>
          <w:rFonts w:ascii="Times New Roman" w:eastAsia="Times New Roman" w:hAnsi="Times New Roman" w:cs="Times New Roman"/>
          <w:color w:val="000000"/>
          <w:lang w:eastAsia="en-GB"/>
        </w:rPr>
        <w:t>be constructively aligned with</w:t>
      </w:r>
      <w:r w:rsidRPr="00FD13F4">
        <w:rPr>
          <w:rFonts w:ascii="Times New Roman" w:eastAsia="Times New Roman" w:hAnsi="Times New Roman" w:cs="Times New Roman"/>
          <w:color w:val="000000"/>
          <w:lang w:eastAsia="en-GB"/>
        </w:rPr>
        <w:t xml:space="preserve"> the player’s </w:t>
      </w:r>
      <w:r w:rsidR="00FD13F4">
        <w:rPr>
          <w:rFonts w:ascii="Times New Roman" w:eastAsia="Times New Roman" w:hAnsi="Times New Roman" w:cs="Times New Roman"/>
          <w:color w:val="000000"/>
          <w:lang w:eastAsia="en-GB"/>
        </w:rPr>
        <w:t xml:space="preserve">learning </w:t>
      </w:r>
      <w:r w:rsidRPr="00FD13F4">
        <w:rPr>
          <w:rFonts w:ascii="Times New Roman" w:eastAsia="Times New Roman" w:hAnsi="Times New Roman" w:cs="Times New Roman"/>
          <w:color w:val="000000"/>
          <w:lang w:eastAsia="en-GB"/>
        </w:rPr>
        <w:t>needs</w:t>
      </w:r>
      <w:r w:rsidR="00FD13F4">
        <w:rPr>
          <w:rFonts w:ascii="Times New Roman" w:eastAsia="Times New Roman" w:hAnsi="Times New Roman" w:cs="Times New Roman"/>
          <w:color w:val="000000"/>
          <w:lang w:eastAsia="en-GB"/>
        </w:rPr>
        <w:t>. It has to be designed based on defined learning outcomes</w:t>
      </w:r>
      <w:r w:rsidRPr="00FD13F4">
        <w:rPr>
          <w:rFonts w:ascii="Times New Roman" w:eastAsia="Times New Roman" w:hAnsi="Times New Roman" w:cs="Times New Roman"/>
          <w:color w:val="000000"/>
          <w:lang w:eastAsia="en-GB"/>
        </w:rPr>
        <w:t xml:space="preserve"> </w:t>
      </w:r>
      <w:r w:rsidR="00FD13F4">
        <w:rPr>
          <w:rFonts w:ascii="Times New Roman" w:eastAsia="Times New Roman" w:hAnsi="Times New Roman" w:cs="Times New Roman"/>
          <w:color w:val="000000"/>
          <w:lang w:eastAsia="en-GB"/>
        </w:rPr>
        <w:t>which</w:t>
      </w:r>
      <w:r w:rsidRPr="00FD13F4">
        <w:rPr>
          <w:rFonts w:ascii="Times New Roman" w:eastAsia="Times New Roman" w:hAnsi="Times New Roman" w:cs="Times New Roman"/>
          <w:color w:val="000000"/>
          <w:lang w:eastAsia="en-GB"/>
        </w:rPr>
        <w:t xml:space="preserve"> are made clear to the students </w:t>
      </w:r>
      <w:r w:rsidR="00FD13F4">
        <w:rPr>
          <w:rFonts w:ascii="Times New Roman" w:eastAsia="Times New Roman" w:hAnsi="Times New Roman" w:cs="Times New Roman"/>
          <w:color w:val="000000"/>
          <w:lang w:eastAsia="en-GB"/>
        </w:rPr>
        <w:t>at the start of game</w:t>
      </w:r>
      <w:r w:rsidRPr="00FD13F4">
        <w:rPr>
          <w:rFonts w:ascii="Times New Roman" w:eastAsia="Times New Roman" w:hAnsi="Times New Roman" w:cs="Times New Roman"/>
          <w:color w:val="000000"/>
          <w:lang w:eastAsia="en-GB"/>
        </w:rPr>
        <w:t>play.</w:t>
      </w:r>
    </w:p>
    <w:p w14:paraId="522812B4" w14:textId="6667B1D7" w:rsidR="00066C99" w:rsidRDefault="00FD13F4" w:rsidP="00FD13F4">
      <w:pPr>
        <w:pStyle w:val="ListParagraph"/>
        <w:numPr>
          <w:ilvl w:val="0"/>
          <w:numId w:val="11"/>
        </w:numPr>
        <w:spacing w:afterLines="0" w:after="288"/>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The</w:t>
      </w:r>
      <w:r w:rsidR="00066C99" w:rsidRPr="00FD13F4">
        <w:rPr>
          <w:rFonts w:ascii="Times New Roman" w:eastAsia="Times New Roman" w:hAnsi="Times New Roman" w:cs="Times New Roman"/>
          <w:color w:val="000000"/>
          <w:lang w:eastAsia="en-GB"/>
        </w:rPr>
        <w:t xml:space="preserve"> game </w:t>
      </w:r>
      <w:r>
        <w:rPr>
          <w:rFonts w:ascii="Times New Roman" w:eastAsia="Times New Roman" w:hAnsi="Times New Roman" w:cs="Times New Roman"/>
          <w:color w:val="000000"/>
          <w:lang w:eastAsia="en-GB"/>
        </w:rPr>
        <w:t>should</w:t>
      </w:r>
      <w:r w:rsidR="00066C99" w:rsidRPr="00FD13F4">
        <w:rPr>
          <w:rFonts w:ascii="Times New Roman" w:eastAsia="Times New Roman" w:hAnsi="Times New Roman" w:cs="Times New Roman"/>
          <w:color w:val="000000"/>
          <w:lang w:eastAsia="en-GB"/>
        </w:rPr>
        <w:t xml:space="preserve"> be intrinsically</w:t>
      </w:r>
      <w:r>
        <w:rPr>
          <w:rFonts w:ascii="Times New Roman" w:eastAsia="Times New Roman" w:hAnsi="Times New Roman" w:cs="Times New Roman"/>
          <w:color w:val="000000"/>
          <w:lang w:eastAsia="en-GB"/>
        </w:rPr>
        <w:t xml:space="preserve"> and extrinsically</w:t>
      </w:r>
      <w:r w:rsidR="00066C99" w:rsidRPr="00FD13F4">
        <w:rPr>
          <w:rFonts w:ascii="Times New Roman" w:eastAsia="Times New Roman" w:hAnsi="Times New Roman" w:cs="Times New Roman"/>
          <w:color w:val="000000"/>
          <w:lang w:eastAsia="en-GB"/>
        </w:rPr>
        <w:t xml:space="preserve"> relevant to the player</w:t>
      </w:r>
      <w:r w:rsidR="00C37A42">
        <w:rPr>
          <w:rFonts w:ascii="Times New Roman" w:eastAsia="Times New Roman" w:hAnsi="Times New Roman" w:cs="Times New Roman"/>
          <w:color w:val="000000"/>
          <w:lang w:eastAsia="en-GB"/>
        </w:rPr>
        <w:t>s</w:t>
      </w:r>
      <w:r>
        <w:rPr>
          <w:rFonts w:ascii="Times New Roman" w:eastAsia="Times New Roman" w:hAnsi="Times New Roman" w:cs="Times New Roman"/>
          <w:color w:val="000000"/>
          <w:lang w:eastAsia="en-GB"/>
        </w:rPr>
        <w:t xml:space="preserve">. This means that the </w:t>
      </w:r>
      <w:r w:rsidRPr="00C37A42">
        <w:rPr>
          <w:rFonts w:ascii="Times New Roman" w:eastAsia="Times New Roman" w:hAnsi="Times New Roman" w:cs="Times New Roman"/>
          <w:color w:val="000000"/>
          <w:lang w:eastAsia="en-GB"/>
        </w:rPr>
        <w:t>content</w:t>
      </w:r>
      <w:r>
        <w:rPr>
          <w:rFonts w:ascii="Times New Roman" w:eastAsia="Times New Roman" w:hAnsi="Times New Roman" w:cs="Times New Roman"/>
          <w:i/>
          <w:iCs/>
          <w:color w:val="000000"/>
          <w:lang w:eastAsia="en-GB"/>
        </w:rPr>
        <w:t xml:space="preserve"> </w:t>
      </w:r>
      <w:r w:rsidR="00C37A42">
        <w:rPr>
          <w:rFonts w:ascii="Times New Roman" w:eastAsia="Times New Roman" w:hAnsi="Times New Roman" w:cs="Times New Roman"/>
          <w:color w:val="000000"/>
          <w:lang w:eastAsia="en-GB"/>
        </w:rPr>
        <w:t xml:space="preserve">and tasks </w:t>
      </w:r>
      <w:r>
        <w:rPr>
          <w:rFonts w:ascii="Times New Roman" w:eastAsia="Times New Roman" w:hAnsi="Times New Roman" w:cs="Times New Roman"/>
          <w:color w:val="000000"/>
          <w:lang w:eastAsia="en-GB"/>
        </w:rPr>
        <w:t xml:space="preserve">should be relevant, not just the </w:t>
      </w:r>
      <w:r w:rsidRPr="00C37A42">
        <w:rPr>
          <w:rFonts w:ascii="Times New Roman" w:eastAsia="Times New Roman" w:hAnsi="Times New Roman" w:cs="Times New Roman"/>
          <w:color w:val="000000"/>
          <w:lang w:eastAsia="en-GB"/>
        </w:rPr>
        <w:t>learning outcome</w:t>
      </w:r>
      <w:r>
        <w:rPr>
          <w:rFonts w:ascii="Times New Roman" w:eastAsia="Times New Roman" w:hAnsi="Times New Roman" w:cs="Times New Roman"/>
          <w:color w:val="000000"/>
          <w:lang w:eastAsia="en-GB"/>
        </w:rPr>
        <w:t>.</w:t>
      </w:r>
      <w:r w:rsidR="00145189">
        <w:rPr>
          <w:rStyle w:val="FootnoteReference"/>
          <w:rFonts w:ascii="Times New Roman" w:eastAsia="Times New Roman" w:hAnsi="Times New Roman" w:cs="Times New Roman"/>
          <w:color w:val="000000"/>
          <w:lang w:eastAsia="en-GB"/>
        </w:rPr>
        <w:footnoteReference w:id="33"/>
      </w:r>
    </w:p>
    <w:p w14:paraId="47C078CE" w14:textId="6AA1A3C3" w:rsidR="00A42666" w:rsidRPr="00FD13F4" w:rsidRDefault="00A42666" w:rsidP="00FD13F4">
      <w:pPr>
        <w:pStyle w:val="ListParagraph"/>
        <w:numPr>
          <w:ilvl w:val="0"/>
          <w:numId w:val="11"/>
        </w:numPr>
        <w:spacing w:afterLines="0" w:after="288"/>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The game should be engaging. This </w:t>
      </w:r>
      <w:r w:rsidR="00C37A42">
        <w:rPr>
          <w:rFonts w:ascii="Times New Roman" w:eastAsia="Times New Roman" w:hAnsi="Times New Roman" w:cs="Times New Roman"/>
          <w:color w:val="000000"/>
          <w:lang w:eastAsia="en-GB"/>
        </w:rPr>
        <w:t>is not simply a synonym for ‘interesting’. E</w:t>
      </w:r>
      <w:r>
        <w:rPr>
          <w:rFonts w:ascii="Times New Roman" w:eastAsia="Times New Roman" w:hAnsi="Times New Roman" w:cs="Times New Roman"/>
          <w:color w:val="000000"/>
          <w:lang w:eastAsia="en-GB"/>
        </w:rPr>
        <w:t xml:space="preserve">ngagement also </w:t>
      </w:r>
      <w:r w:rsidR="00145189">
        <w:rPr>
          <w:rFonts w:ascii="Times New Roman" w:eastAsia="Times New Roman" w:hAnsi="Times New Roman" w:cs="Times New Roman"/>
          <w:color w:val="000000"/>
          <w:lang w:eastAsia="en-GB"/>
        </w:rPr>
        <w:t>means</w:t>
      </w:r>
      <w:r>
        <w:rPr>
          <w:rFonts w:ascii="Times New Roman" w:eastAsia="Times New Roman" w:hAnsi="Times New Roman" w:cs="Times New Roman"/>
          <w:color w:val="000000"/>
          <w:lang w:eastAsia="en-GB"/>
        </w:rPr>
        <w:t xml:space="preserve"> </w:t>
      </w:r>
      <w:r w:rsidR="00C37A42">
        <w:rPr>
          <w:rFonts w:ascii="Times New Roman" w:eastAsia="Times New Roman" w:hAnsi="Times New Roman" w:cs="Times New Roman"/>
          <w:color w:val="000000"/>
          <w:lang w:eastAsia="en-GB"/>
        </w:rPr>
        <w:t xml:space="preserve">that </w:t>
      </w:r>
      <w:r>
        <w:rPr>
          <w:rFonts w:ascii="Times New Roman" w:eastAsia="Times New Roman" w:hAnsi="Times New Roman" w:cs="Times New Roman"/>
          <w:color w:val="000000"/>
          <w:lang w:eastAsia="en-GB"/>
        </w:rPr>
        <w:t>player</w:t>
      </w:r>
      <w:r w:rsidR="00C37A42">
        <w:rPr>
          <w:rFonts w:ascii="Times New Roman" w:eastAsia="Times New Roman" w:hAnsi="Times New Roman" w:cs="Times New Roman"/>
          <w:color w:val="000000"/>
          <w:lang w:eastAsia="en-GB"/>
        </w:rPr>
        <w:t>s</w:t>
      </w:r>
      <w:r>
        <w:rPr>
          <w:rFonts w:ascii="Times New Roman" w:eastAsia="Times New Roman" w:hAnsi="Times New Roman" w:cs="Times New Roman"/>
          <w:color w:val="000000"/>
          <w:lang w:eastAsia="en-GB"/>
        </w:rPr>
        <w:t xml:space="preserve"> </w:t>
      </w:r>
      <w:r w:rsidR="00145189">
        <w:rPr>
          <w:rFonts w:ascii="Times New Roman" w:eastAsia="Times New Roman" w:hAnsi="Times New Roman" w:cs="Times New Roman"/>
          <w:color w:val="000000"/>
          <w:lang w:eastAsia="en-GB"/>
        </w:rPr>
        <w:t>should</w:t>
      </w:r>
      <w:r>
        <w:rPr>
          <w:rFonts w:ascii="Times New Roman" w:eastAsia="Times New Roman" w:hAnsi="Times New Roman" w:cs="Times New Roman"/>
          <w:color w:val="000000"/>
          <w:lang w:eastAsia="en-GB"/>
        </w:rPr>
        <w:t xml:space="preserve"> be motivated to play </w:t>
      </w:r>
      <w:r w:rsidR="00C37A42">
        <w:rPr>
          <w:rFonts w:ascii="Times New Roman" w:eastAsia="Times New Roman" w:hAnsi="Times New Roman" w:cs="Times New Roman"/>
          <w:color w:val="000000"/>
          <w:lang w:eastAsia="en-GB"/>
        </w:rPr>
        <w:t>and to keep playing</w:t>
      </w:r>
      <w:r w:rsidR="00145189">
        <w:rPr>
          <w:rFonts w:ascii="Times New Roman" w:eastAsia="Times New Roman" w:hAnsi="Times New Roman" w:cs="Times New Roman"/>
          <w:color w:val="000000"/>
          <w:lang w:eastAsia="en-GB"/>
        </w:rPr>
        <w:t>. This requires the game to be relevant to their studies (as per principle</w:t>
      </w:r>
      <w:r w:rsidR="001F0F8C">
        <w:rPr>
          <w:rFonts w:ascii="Times New Roman" w:eastAsia="Times New Roman" w:hAnsi="Times New Roman" w:cs="Times New Roman"/>
          <w:color w:val="000000"/>
          <w:lang w:eastAsia="en-GB"/>
        </w:rPr>
        <w:t>s 1 and</w:t>
      </w:r>
      <w:r w:rsidR="00145189">
        <w:rPr>
          <w:rFonts w:ascii="Times New Roman" w:eastAsia="Times New Roman" w:hAnsi="Times New Roman" w:cs="Times New Roman"/>
          <w:color w:val="000000"/>
          <w:lang w:eastAsia="en-GB"/>
        </w:rPr>
        <w:t xml:space="preserve"> 2) and also means that the player’s actions should have consequences in the game-world, that the game should be fair, and that there should be clear feedback during the game, either from instructors or from the consequences of </w:t>
      </w:r>
      <w:r w:rsidR="00C37A42">
        <w:rPr>
          <w:rFonts w:ascii="Times New Roman" w:eastAsia="Times New Roman" w:hAnsi="Times New Roman" w:cs="Times New Roman"/>
          <w:color w:val="000000"/>
          <w:lang w:eastAsia="en-GB"/>
        </w:rPr>
        <w:t>players’</w:t>
      </w:r>
      <w:r w:rsidR="00145189">
        <w:rPr>
          <w:rFonts w:ascii="Times New Roman" w:eastAsia="Times New Roman" w:hAnsi="Times New Roman" w:cs="Times New Roman"/>
          <w:color w:val="000000"/>
          <w:lang w:eastAsia="en-GB"/>
        </w:rPr>
        <w:t xml:space="preserve"> actions.</w:t>
      </w:r>
      <w:r w:rsidR="00145189">
        <w:rPr>
          <w:rStyle w:val="FootnoteReference"/>
          <w:rFonts w:ascii="Times New Roman" w:eastAsia="Times New Roman" w:hAnsi="Times New Roman" w:cs="Times New Roman"/>
          <w:color w:val="000000"/>
          <w:lang w:eastAsia="en-GB"/>
        </w:rPr>
        <w:footnoteReference w:id="34"/>
      </w:r>
      <w:r>
        <w:rPr>
          <w:rFonts w:ascii="Times New Roman" w:eastAsia="Times New Roman" w:hAnsi="Times New Roman" w:cs="Times New Roman"/>
          <w:color w:val="000000"/>
          <w:lang w:eastAsia="en-GB"/>
        </w:rPr>
        <w:t xml:space="preserve"> </w:t>
      </w:r>
    </w:p>
    <w:p w14:paraId="52E8C392" w14:textId="1B7A89E3" w:rsidR="00066C99" w:rsidRPr="00FD13F4" w:rsidRDefault="00066C99" w:rsidP="00FD13F4">
      <w:pPr>
        <w:pStyle w:val="ListParagraph"/>
        <w:numPr>
          <w:ilvl w:val="0"/>
          <w:numId w:val="11"/>
        </w:numPr>
        <w:spacing w:afterLines="0" w:after="288"/>
        <w:rPr>
          <w:rFonts w:ascii="Times New Roman" w:eastAsia="Times New Roman" w:hAnsi="Times New Roman" w:cs="Times New Roman"/>
          <w:color w:val="000000"/>
          <w:lang w:eastAsia="en-GB"/>
        </w:rPr>
      </w:pPr>
      <w:r w:rsidRPr="00FD13F4">
        <w:rPr>
          <w:rFonts w:ascii="Times New Roman" w:eastAsia="Times New Roman" w:hAnsi="Times New Roman" w:cs="Times New Roman"/>
          <w:color w:val="000000"/>
          <w:lang w:eastAsia="en-GB"/>
        </w:rPr>
        <w:t xml:space="preserve">To secure effective learning, a debriefing session should be held, in which to </w:t>
      </w:r>
      <w:r w:rsidR="00C06B5C">
        <w:rPr>
          <w:rFonts w:ascii="Times New Roman" w:eastAsia="Times New Roman" w:hAnsi="Times New Roman" w:cs="Times New Roman"/>
          <w:color w:val="000000"/>
          <w:lang w:eastAsia="en-GB"/>
        </w:rPr>
        <w:t>reflect on what can be learned from the game</w:t>
      </w:r>
      <w:r w:rsidR="00651CB6">
        <w:rPr>
          <w:rFonts w:ascii="Times New Roman" w:eastAsia="Times New Roman" w:hAnsi="Times New Roman" w:cs="Times New Roman"/>
          <w:color w:val="000000"/>
          <w:lang w:eastAsia="en-GB"/>
        </w:rPr>
        <w:t xml:space="preserve"> and to provoke meta-reflection</w:t>
      </w:r>
      <w:r w:rsidR="00C06B5C">
        <w:rPr>
          <w:rFonts w:ascii="Times New Roman" w:eastAsia="Times New Roman" w:hAnsi="Times New Roman" w:cs="Times New Roman"/>
          <w:color w:val="000000"/>
          <w:lang w:eastAsia="en-GB"/>
        </w:rPr>
        <w:t>.</w:t>
      </w:r>
      <w:r w:rsidR="00C06B5C">
        <w:rPr>
          <w:rStyle w:val="FootnoteReference"/>
          <w:rFonts w:ascii="Times New Roman" w:eastAsia="Times New Roman" w:hAnsi="Times New Roman" w:cs="Times New Roman"/>
          <w:color w:val="000000"/>
          <w:lang w:eastAsia="en-GB"/>
        </w:rPr>
        <w:footnoteReference w:id="35"/>
      </w:r>
    </w:p>
    <w:p w14:paraId="2FC0F1BB" w14:textId="47CD4D1D" w:rsidR="00FD13F4" w:rsidRPr="00E05EC5" w:rsidRDefault="001F0F8C" w:rsidP="00B20D15">
      <w:pPr>
        <w:pStyle w:val="Body"/>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During the design process, we knew that our</w:t>
      </w:r>
      <w:r w:rsidR="00066C99" w:rsidRPr="00B20D15">
        <w:rPr>
          <w:rFonts w:ascii="Times New Roman" w:eastAsia="Times New Roman" w:hAnsi="Times New Roman" w:cs="Times New Roman"/>
          <w:sz w:val="24"/>
          <w:szCs w:val="24"/>
          <w:lang w:eastAsia="en-GB"/>
        </w:rPr>
        <w:t xml:space="preserve"> learning outcome</w:t>
      </w:r>
      <w:r w:rsidR="00FD13F4" w:rsidRPr="00B20D15">
        <w:rPr>
          <w:rFonts w:ascii="Times New Roman" w:eastAsia="Times New Roman" w:hAnsi="Times New Roman" w:cs="Times New Roman"/>
          <w:sz w:val="24"/>
          <w:szCs w:val="24"/>
          <w:lang w:eastAsia="en-GB"/>
        </w:rPr>
        <w:t>s</w:t>
      </w:r>
      <w:r w:rsidR="00AA6D4B" w:rsidRPr="00B20D15">
        <w:rPr>
          <w:rFonts w:ascii="Times New Roman" w:eastAsia="Times New Roman" w:hAnsi="Times New Roman" w:cs="Times New Roman"/>
          <w:sz w:val="24"/>
          <w:szCs w:val="24"/>
          <w:lang w:eastAsia="en-GB"/>
        </w:rPr>
        <w:t xml:space="preserve"> </w:t>
      </w:r>
      <w:r w:rsidR="00FD13F4" w:rsidRPr="00B20D15">
        <w:rPr>
          <w:rFonts w:ascii="Times New Roman" w:eastAsia="Times New Roman" w:hAnsi="Times New Roman" w:cs="Times New Roman"/>
          <w:sz w:val="24"/>
          <w:szCs w:val="24"/>
          <w:lang w:eastAsia="en-GB"/>
        </w:rPr>
        <w:t>were</w:t>
      </w:r>
      <w:r w:rsidR="00066C99" w:rsidRPr="00B20D15">
        <w:rPr>
          <w:rFonts w:ascii="Times New Roman" w:eastAsia="Times New Roman" w:hAnsi="Times New Roman" w:cs="Times New Roman"/>
          <w:sz w:val="24"/>
          <w:szCs w:val="24"/>
          <w:lang w:eastAsia="en-GB"/>
        </w:rPr>
        <w:t xml:space="preserve"> for students to understand </w:t>
      </w:r>
      <w:r w:rsidR="00B20D15">
        <w:rPr>
          <w:rFonts w:ascii="Times New Roman" w:eastAsia="Times New Roman" w:hAnsi="Times New Roman" w:cs="Times New Roman"/>
          <w:sz w:val="24"/>
          <w:szCs w:val="24"/>
          <w:lang w:eastAsia="en-GB"/>
        </w:rPr>
        <w:t xml:space="preserve">and critically engage with the mechanics of </w:t>
      </w:r>
      <w:r w:rsidR="00066C99" w:rsidRPr="00B20D15">
        <w:rPr>
          <w:rFonts w:ascii="Times New Roman" w:eastAsia="Times New Roman" w:hAnsi="Times New Roman" w:cs="Times New Roman"/>
          <w:sz w:val="24"/>
          <w:szCs w:val="24"/>
          <w:lang w:eastAsia="en-GB"/>
        </w:rPr>
        <w:t>common law reasoning</w:t>
      </w:r>
      <w:r>
        <w:rPr>
          <w:rFonts w:ascii="Times New Roman" w:eastAsia="Times New Roman" w:hAnsi="Times New Roman" w:cs="Times New Roman"/>
          <w:sz w:val="24"/>
          <w:szCs w:val="24"/>
          <w:lang w:eastAsia="en-GB"/>
        </w:rPr>
        <w:t xml:space="preserve">, </w:t>
      </w:r>
      <w:r w:rsidR="00E05EC5">
        <w:rPr>
          <w:rFonts w:ascii="Times New Roman" w:eastAsia="Times New Roman" w:hAnsi="Times New Roman" w:cs="Times New Roman"/>
          <w:sz w:val="24"/>
          <w:szCs w:val="24"/>
          <w:lang w:eastAsia="en-GB"/>
        </w:rPr>
        <w:t xml:space="preserve">and that we would want the game to </w:t>
      </w:r>
      <w:r w:rsidR="00E05EC5">
        <w:rPr>
          <w:rFonts w:ascii="Times New Roman" w:eastAsia="Times New Roman" w:hAnsi="Times New Roman" w:cs="Times New Roman"/>
          <w:sz w:val="24"/>
          <w:szCs w:val="24"/>
          <w:lang w:eastAsia="en-GB"/>
        </w:rPr>
        <w:lastRenderedPageBreak/>
        <w:t xml:space="preserve">be played as part of a seminar with a debrief attached (principles 1 and 4). </w:t>
      </w:r>
      <w:r w:rsidR="00FD13F4" w:rsidRPr="00B20D15">
        <w:rPr>
          <w:rFonts w:ascii="Times New Roman" w:eastAsia="Times New Roman" w:hAnsi="Times New Roman" w:cs="Times New Roman"/>
          <w:sz w:val="24"/>
          <w:szCs w:val="24"/>
          <w:lang w:eastAsia="en-GB"/>
        </w:rPr>
        <w:t xml:space="preserve">Our </w:t>
      </w:r>
      <w:r w:rsidR="00E05EC5">
        <w:rPr>
          <w:rFonts w:ascii="Times New Roman" w:eastAsia="Times New Roman" w:hAnsi="Times New Roman" w:cs="Times New Roman"/>
          <w:sz w:val="24"/>
          <w:szCs w:val="24"/>
          <w:lang w:eastAsia="en-GB"/>
        </w:rPr>
        <w:t>decision</w:t>
      </w:r>
      <w:r w:rsidR="00FD13F4" w:rsidRPr="00B20D15">
        <w:rPr>
          <w:rFonts w:ascii="Times New Roman" w:eastAsia="Times New Roman" w:hAnsi="Times New Roman" w:cs="Times New Roman"/>
          <w:sz w:val="24"/>
          <w:szCs w:val="24"/>
          <w:lang w:eastAsia="en-GB"/>
        </w:rPr>
        <w:t xml:space="preserve"> </w:t>
      </w:r>
      <w:r w:rsidR="00B20D15">
        <w:rPr>
          <w:rFonts w:ascii="Times New Roman" w:eastAsia="Times New Roman" w:hAnsi="Times New Roman" w:cs="Times New Roman"/>
          <w:sz w:val="24"/>
          <w:szCs w:val="24"/>
          <w:lang w:eastAsia="en-GB"/>
        </w:rPr>
        <w:t xml:space="preserve">to ask </w:t>
      </w:r>
      <w:r w:rsidR="00E115DE">
        <w:rPr>
          <w:rFonts w:ascii="Times New Roman" w:eastAsia="Times New Roman" w:hAnsi="Times New Roman" w:cs="Times New Roman"/>
          <w:sz w:val="24"/>
          <w:szCs w:val="24"/>
          <w:lang w:eastAsia="en-GB"/>
        </w:rPr>
        <w:t>students</w:t>
      </w:r>
      <w:r w:rsidR="00B20D15">
        <w:rPr>
          <w:rFonts w:ascii="Times New Roman" w:eastAsia="Times New Roman" w:hAnsi="Times New Roman" w:cs="Times New Roman"/>
          <w:sz w:val="24"/>
          <w:szCs w:val="24"/>
          <w:lang w:eastAsia="en-GB"/>
        </w:rPr>
        <w:t xml:space="preserve"> to </w:t>
      </w:r>
      <w:r w:rsidR="006453CA">
        <w:rPr>
          <w:rFonts w:ascii="Times New Roman" w:eastAsia="Times New Roman" w:hAnsi="Times New Roman" w:cs="Times New Roman"/>
          <w:sz w:val="24"/>
          <w:szCs w:val="24"/>
          <w:lang w:eastAsia="en-GB"/>
        </w:rPr>
        <w:t xml:space="preserve">play as judges who were trying </w:t>
      </w:r>
      <w:r w:rsidR="00B20D15">
        <w:rPr>
          <w:rFonts w:ascii="Times New Roman" w:eastAsia="Times New Roman" w:hAnsi="Times New Roman" w:cs="Times New Roman"/>
          <w:sz w:val="24"/>
          <w:szCs w:val="24"/>
          <w:lang w:eastAsia="en-GB"/>
        </w:rPr>
        <w:t xml:space="preserve">constructing a judgment </w:t>
      </w:r>
      <w:r w:rsidR="00FD13F4" w:rsidRPr="00B20D15">
        <w:rPr>
          <w:rFonts w:ascii="Times New Roman" w:eastAsia="Times New Roman" w:hAnsi="Times New Roman" w:cs="Times New Roman"/>
          <w:sz w:val="24"/>
          <w:szCs w:val="24"/>
          <w:lang w:eastAsia="en-GB"/>
        </w:rPr>
        <w:t>was based on principles 2 and</w:t>
      </w:r>
      <w:r w:rsidR="00FD13F4" w:rsidRPr="00B20D15">
        <w:rPr>
          <w:rFonts w:ascii="Times New Roman" w:eastAsia="Times New Roman" w:hAnsi="Times New Roman" w:cs="Times New Roman"/>
          <w:i/>
          <w:iCs/>
          <w:sz w:val="24"/>
          <w:szCs w:val="24"/>
          <w:lang w:eastAsia="en-GB"/>
        </w:rPr>
        <w:t xml:space="preserve"> </w:t>
      </w:r>
      <w:r w:rsidR="00B20D15">
        <w:rPr>
          <w:rFonts w:ascii="Times New Roman" w:eastAsia="Times New Roman" w:hAnsi="Times New Roman" w:cs="Times New Roman"/>
          <w:sz w:val="24"/>
          <w:szCs w:val="24"/>
          <w:lang w:eastAsia="en-GB"/>
        </w:rPr>
        <w:t>3</w:t>
      </w:r>
      <w:r w:rsidR="00FD13F4" w:rsidRPr="00B20D15">
        <w:rPr>
          <w:rFonts w:ascii="Times New Roman" w:eastAsia="Times New Roman" w:hAnsi="Times New Roman" w:cs="Times New Roman"/>
          <w:i/>
          <w:iCs/>
          <w:lang w:eastAsia="en-GB"/>
        </w:rPr>
        <w:t>.</w:t>
      </w:r>
      <w:r w:rsidR="00FD13F4" w:rsidRPr="00B20D15">
        <w:rPr>
          <w:rFonts w:ascii="Times New Roman" w:hAnsi="Times New Roman" w:cs="Times New Roman"/>
          <w:sz w:val="24"/>
          <w:szCs w:val="24"/>
          <w:lang w:val="en-GB"/>
        </w:rPr>
        <w:t xml:space="preserve"> Ke, Xie, and Xie articulate </w:t>
      </w:r>
      <w:r w:rsidR="00651CB6">
        <w:rPr>
          <w:rFonts w:ascii="Times New Roman" w:hAnsi="Times New Roman" w:cs="Times New Roman"/>
          <w:sz w:val="24"/>
          <w:szCs w:val="24"/>
          <w:lang w:val="en-GB"/>
        </w:rPr>
        <w:t xml:space="preserve">more fully </w:t>
      </w:r>
      <w:r w:rsidR="002214BD">
        <w:rPr>
          <w:rFonts w:ascii="Times New Roman" w:hAnsi="Times New Roman" w:cs="Times New Roman"/>
          <w:sz w:val="24"/>
          <w:szCs w:val="24"/>
          <w:lang w:val="en-GB"/>
        </w:rPr>
        <w:t>why</w:t>
      </w:r>
      <w:r w:rsidR="00FD13F4" w:rsidRPr="00B20D15">
        <w:rPr>
          <w:rFonts w:ascii="Times New Roman" w:hAnsi="Times New Roman" w:cs="Times New Roman"/>
          <w:sz w:val="24"/>
          <w:szCs w:val="24"/>
          <w:lang w:val="en-GB"/>
        </w:rPr>
        <w:t xml:space="preserve"> effective GBL must be intrinsically relevant to a student’s studies: </w:t>
      </w:r>
    </w:p>
    <w:p w14:paraId="18066F9F" w14:textId="77777777" w:rsidR="00FD13F4" w:rsidRPr="00FD13F4" w:rsidRDefault="00FD13F4" w:rsidP="00FD13F4">
      <w:pPr>
        <w:pStyle w:val="Body"/>
        <w:spacing w:line="360" w:lineRule="auto"/>
        <w:jc w:val="both"/>
        <w:rPr>
          <w:rFonts w:ascii="Times New Roman" w:eastAsia="Helvetica" w:hAnsi="Times New Roman" w:cs="Times New Roman"/>
          <w:sz w:val="24"/>
          <w:szCs w:val="24"/>
          <w:lang w:val="en-GB"/>
        </w:rPr>
      </w:pPr>
    </w:p>
    <w:p w14:paraId="49F4F4B0" w14:textId="77777777" w:rsidR="00FD13F4" w:rsidRPr="00FD13F4" w:rsidRDefault="00FD13F4" w:rsidP="00FD13F4">
      <w:pPr>
        <w:pStyle w:val="Default"/>
        <w:spacing w:line="360" w:lineRule="auto"/>
        <w:ind w:left="1134" w:right="1134"/>
        <w:jc w:val="both"/>
        <w:rPr>
          <w:rFonts w:ascii="Times New Roman" w:eastAsia="Helvetica" w:hAnsi="Times New Roman" w:cs="Times New Roman"/>
          <w:color w:val="auto"/>
          <w:sz w:val="24"/>
          <w:szCs w:val="24"/>
        </w:rPr>
      </w:pPr>
      <w:r w:rsidRPr="00FD13F4">
        <w:rPr>
          <w:rFonts w:ascii="Times New Roman" w:hAnsi="Times New Roman" w:cs="Times New Roman"/>
          <w:color w:val="auto"/>
          <w:sz w:val="24"/>
          <w:szCs w:val="24"/>
        </w:rPr>
        <w:t>[A] learning game should put players in touch with what is fundamentally or intrinsically motivating about the subject content to motivate them to go deeper in cognitive engagement with the content. The goal is not to ‘trick’ the player into engaging with a content topic by hiding it stealthily (a claim that many educational games often make), but to offer creative and engaging ways of interacting with content that leads players to experience the pleasures of the domain. That is, game‐based learning engagement should be intrinsic and rooted in a sense of value and enjoyment toward the content or the academic domain itself.</w:t>
      </w:r>
      <w:r w:rsidRPr="00FD13F4">
        <w:rPr>
          <w:rFonts w:ascii="Times New Roman" w:eastAsia="Helvetica" w:hAnsi="Times New Roman" w:cs="Times New Roman"/>
          <w:color w:val="auto"/>
          <w:sz w:val="24"/>
          <w:szCs w:val="24"/>
          <w:vertAlign w:val="superscript"/>
        </w:rPr>
        <w:footnoteReference w:id="36"/>
      </w:r>
    </w:p>
    <w:p w14:paraId="555BDA2E" w14:textId="77777777" w:rsidR="00FD13F4" w:rsidRPr="00FD13F4" w:rsidRDefault="00FD13F4" w:rsidP="00FD13F4">
      <w:pPr>
        <w:pStyle w:val="Body"/>
        <w:spacing w:line="360" w:lineRule="auto"/>
        <w:jc w:val="both"/>
        <w:rPr>
          <w:rFonts w:ascii="Times New Roman" w:eastAsia="Helvetica" w:hAnsi="Times New Roman" w:cs="Times New Roman"/>
          <w:sz w:val="24"/>
          <w:szCs w:val="24"/>
          <w:lang w:val="en-GB"/>
        </w:rPr>
      </w:pPr>
    </w:p>
    <w:p w14:paraId="52480DFB" w14:textId="62403300" w:rsidR="00B20D15" w:rsidRDefault="002214BD" w:rsidP="00B20D15">
      <w:pPr>
        <w:pStyle w:val="Body"/>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very clearly identifies </w:t>
      </w:r>
      <w:r w:rsidR="000152CB">
        <w:rPr>
          <w:rFonts w:ascii="Times New Roman" w:hAnsi="Times New Roman" w:cs="Times New Roman"/>
          <w:sz w:val="24"/>
          <w:szCs w:val="24"/>
          <w:lang w:val="en-GB"/>
        </w:rPr>
        <w:t xml:space="preserve">the interaction between the principles of relevance and engagement </w:t>
      </w:r>
      <w:r>
        <w:rPr>
          <w:rFonts w:ascii="Times New Roman" w:hAnsi="Times New Roman" w:cs="Times New Roman"/>
          <w:sz w:val="24"/>
          <w:szCs w:val="24"/>
          <w:lang w:val="en-GB"/>
        </w:rPr>
        <w:t xml:space="preserve">in </w:t>
      </w:r>
      <w:r w:rsidR="000152CB">
        <w:rPr>
          <w:rFonts w:ascii="Times New Roman" w:hAnsi="Times New Roman" w:cs="Times New Roman"/>
          <w:sz w:val="24"/>
          <w:szCs w:val="24"/>
          <w:lang w:val="en-GB"/>
        </w:rPr>
        <w:t>GBL design. We</w:t>
      </w:r>
      <w:r w:rsidR="00FD13F4" w:rsidRPr="00FD13F4">
        <w:rPr>
          <w:rFonts w:ascii="Times New Roman" w:hAnsi="Times New Roman" w:cs="Times New Roman"/>
          <w:sz w:val="24"/>
          <w:szCs w:val="24"/>
          <w:lang w:val="en-GB"/>
        </w:rPr>
        <w:t xml:space="preserve"> might reasonably expect a student studying law to be interested in the subject, but even if they are not – or if they are sceptical about engaging in GBL – alignment with learning outcomes should encourage them to engage in the game and the debriefing activities.</w:t>
      </w:r>
      <w:r w:rsidR="00FD13F4" w:rsidRPr="00FD13F4">
        <w:rPr>
          <w:rFonts w:ascii="Times New Roman" w:eastAsia="Helvetica" w:hAnsi="Times New Roman" w:cs="Times New Roman"/>
          <w:sz w:val="24"/>
          <w:szCs w:val="24"/>
          <w:vertAlign w:val="superscript"/>
          <w:lang w:val="en-GB"/>
        </w:rPr>
        <w:footnoteReference w:id="37"/>
      </w:r>
      <w:r w:rsidR="00FD13F4" w:rsidRPr="00FD13F4">
        <w:rPr>
          <w:rFonts w:ascii="Times New Roman" w:hAnsi="Times New Roman" w:cs="Times New Roman"/>
          <w:sz w:val="24"/>
          <w:szCs w:val="24"/>
          <w:lang w:val="en-GB"/>
        </w:rPr>
        <w:t xml:space="preserve">  </w:t>
      </w:r>
    </w:p>
    <w:p w14:paraId="155B7FCD" w14:textId="730BA441" w:rsidR="00B20D15" w:rsidRDefault="00B20D15" w:rsidP="00B20D15">
      <w:pPr>
        <w:pStyle w:val="Body"/>
        <w:spacing w:line="360" w:lineRule="auto"/>
        <w:jc w:val="both"/>
        <w:rPr>
          <w:rFonts w:ascii="Times New Roman" w:hAnsi="Times New Roman" w:cs="Times New Roman"/>
          <w:sz w:val="24"/>
          <w:szCs w:val="24"/>
          <w:lang w:val="en-GB"/>
        </w:rPr>
      </w:pPr>
    </w:p>
    <w:p w14:paraId="0A53BB3B" w14:textId="77777777" w:rsidR="00651CB6" w:rsidRDefault="000152CB" w:rsidP="000152CB">
      <w:pPr>
        <w:pStyle w:val="Body"/>
        <w:spacing w:line="360" w:lineRule="auto"/>
        <w:jc w:val="both"/>
        <w:rPr>
          <w:rFonts w:ascii="Times New Roman" w:eastAsia="Helvetica" w:hAnsi="Times New Roman" w:cs="Times New Roman"/>
          <w:sz w:val="24"/>
          <w:szCs w:val="24"/>
          <w:lang w:val="en-GB"/>
        </w:rPr>
      </w:pP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is not meant to be a precise simulation of a judge’s work. It is an introduction to the elements of legal reasoning and a gateway into further discussion thereof</w:t>
      </w:r>
      <w:r w:rsidR="002214BD">
        <w:rPr>
          <w:rFonts w:ascii="Times New Roman" w:hAnsi="Times New Roman" w:cs="Times New Roman"/>
          <w:sz w:val="24"/>
          <w:szCs w:val="24"/>
          <w:lang w:val="en-GB"/>
        </w:rPr>
        <w:t xml:space="preserve">, and section 3 </w:t>
      </w:r>
      <w:r w:rsidRPr="00FD13F4">
        <w:rPr>
          <w:rFonts w:ascii="Times New Roman" w:hAnsi="Times New Roman" w:cs="Times New Roman"/>
          <w:sz w:val="24"/>
          <w:szCs w:val="24"/>
          <w:lang w:val="en-GB"/>
        </w:rPr>
        <w:t>spend</w:t>
      </w:r>
      <w:r w:rsidR="002214BD">
        <w:rPr>
          <w:rFonts w:ascii="Times New Roman" w:hAnsi="Times New Roman" w:cs="Times New Roman"/>
          <w:sz w:val="24"/>
          <w:szCs w:val="24"/>
          <w:lang w:val="en-GB"/>
        </w:rPr>
        <w:t>s</w:t>
      </w:r>
      <w:r w:rsidRPr="00FD13F4">
        <w:rPr>
          <w:rFonts w:ascii="Times New Roman" w:hAnsi="Times New Roman" w:cs="Times New Roman"/>
          <w:sz w:val="24"/>
          <w:szCs w:val="24"/>
          <w:lang w:val="en-GB"/>
        </w:rPr>
        <w:t xml:space="preserve"> time identifying, as appropriate, some of the questions that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is intended to provoke.</w:t>
      </w:r>
      <w:r w:rsidR="00651CB6" w:rsidRPr="00FD13F4">
        <w:rPr>
          <w:rFonts w:ascii="Times New Roman" w:eastAsia="Helvetica" w:hAnsi="Times New Roman" w:cs="Times New Roman"/>
          <w:sz w:val="24"/>
          <w:szCs w:val="24"/>
          <w:lang w:val="en-GB"/>
        </w:rPr>
        <w:t xml:space="preserve"> </w:t>
      </w:r>
      <w:r w:rsidRPr="00FD13F4">
        <w:rPr>
          <w:rFonts w:ascii="Times New Roman" w:hAnsi="Times New Roman" w:cs="Times New Roman"/>
          <w:sz w:val="24"/>
          <w:szCs w:val="24"/>
          <w:lang w:val="en-GB"/>
        </w:rPr>
        <w:t xml:space="preserve">Any aspect of the reasoning process that the game omits, or anything which is leaves troublingly abstract, can be used to raise questions about how and why each of these varies from the usual rule. This is why </w:t>
      </w:r>
      <w:r w:rsidR="00651CB6">
        <w:rPr>
          <w:rFonts w:ascii="Times New Roman" w:hAnsi="Times New Roman" w:cs="Times New Roman"/>
          <w:sz w:val="24"/>
          <w:szCs w:val="24"/>
          <w:lang w:val="en-GB"/>
        </w:rPr>
        <w:t xml:space="preserve">our fourth design principle stresses </w:t>
      </w:r>
      <w:r w:rsidRPr="00FD13F4">
        <w:rPr>
          <w:rFonts w:ascii="Times New Roman" w:hAnsi="Times New Roman" w:cs="Times New Roman"/>
          <w:sz w:val="24"/>
          <w:szCs w:val="24"/>
          <w:lang w:val="en-GB"/>
        </w:rPr>
        <w:t xml:space="preserve">that any use of GBL </w:t>
      </w:r>
      <w:r w:rsidR="00651CB6">
        <w:rPr>
          <w:rFonts w:ascii="Times New Roman" w:hAnsi="Times New Roman" w:cs="Times New Roman"/>
          <w:sz w:val="24"/>
          <w:szCs w:val="24"/>
          <w:lang w:val="en-GB"/>
        </w:rPr>
        <w:t>must i</w:t>
      </w:r>
      <w:r w:rsidRPr="00FD13F4">
        <w:rPr>
          <w:rFonts w:ascii="Times New Roman" w:hAnsi="Times New Roman" w:cs="Times New Roman"/>
          <w:sz w:val="24"/>
          <w:szCs w:val="24"/>
          <w:lang w:val="en-GB"/>
        </w:rPr>
        <w:t>ncorporate</w:t>
      </w:r>
      <w:r w:rsidR="00651CB6">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a debriefing session</w:t>
      </w:r>
      <w:r w:rsidR="00651CB6">
        <w:rPr>
          <w:rFonts w:ascii="Times New Roman" w:hAnsi="Times New Roman" w:cs="Times New Roman"/>
          <w:sz w:val="24"/>
          <w:szCs w:val="24"/>
          <w:lang w:val="en-GB"/>
        </w:rPr>
        <w:t>, so as to</w:t>
      </w:r>
      <w:r w:rsidRPr="00FD13F4">
        <w:rPr>
          <w:rFonts w:ascii="Times New Roman" w:hAnsi="Times New Roman" w:cs="Times New Roman"/>
          <w:sz w:val="24"/>
          <w:szCs w:val="24"/>
          <w:lang w:val="en-GB"/>
        </w:rPr>
        <w:t xml:space="preserve"> direct the gameplay experience back to the learning objectives and </w:t>
      </w:r>
      <w:r w:rsidR="00651CB6">
        <w:rPr>
          <w:rFonts w:ascii="Times New Roman" w:hAnsi="Times New Roman" w:cs="Times New Roman"/>
          <w:sz w:val="24"/>
          <w:szCs w:val="24"/>
          <w:lang w:val="en-GB"/>
        </w:rPr>
        <w:t>catalyse a</w:t>
      </w:r>
      <w:r w:rsidRPr="00FD13F4">
        <w:rPr>
          <w:rFonts w:ascii="Times New Roman" w:hAnsi="Times New Roman" w:cs="Times New Roman"/>
          <w:sz w:val="24"/>
          <w:szCs w:val="24"/>
          <w:lang w:val="en-GB"/>
        </w:rPr>
        <w:t xml:space="preserve"> “processing of experience”</w:t>
      </w:r>
      <w:r w:rsidRPr="00FD13F4">
        <w:rPr>
          <w:rStyle w:val="FootnoteReference"/>
          <w:rFonts w:ascii="Times New Roman" w:hAnsi="Times New Roman" w:cs="Times New Roman"/>
          <w:sz w:val="24"/>
          <w:szCs w:val="24"/>
          <w:lang w:val="en-GB"/>
        </w:rPr>
        <w:footnoteReference w:id="38"/>
      </w:r>
      <w:r w:rsidRPr="00FD13F4">
        <w:rPr>
          <w:rFonts w:ascii="Times New Roman" w:hAnsi="Times New Roman" w:cs="Times New Roman"/>
          <w:sz w:val="24"/>
          <w:szCs w:val="24"/>
          <w:lang w:val="en-GB"/>
        </w:rPr>
        <w:t xml:space="preserve"> </w:t>
      </w:r>
      <w:r w:rsidR="00651CB6">
        <w:rPr>
          <w:rFonts w:ascii="Times New Roman" w:hAnsi="Times New Roman" w:cs="Times New Roman"/>
          <w:sz w:val="24"/>
          <w:szCs w:val="24"/>
          <w:lang w:val="en-GB"/>
        </w:rPr>
        <w:t>which leads</w:t>
      </w:r>
      <w:r w:rsidRPr="00FD13F4">
        <w:rPr>
          <w:rFonts w:ascii="Times New Roman" w:hAnsi="Times New Roman" w:cs="Times New Roman"/>
          <w:sz w:val="24"/>
          <w:szCs w:val="24"/>
          <w:lang w:val="en-GB"/>
        </w:rPr>
        <w:t xml:space="preserve"> to reflection and insight.</w:t>
      </w:r>
      <w:r w:rsidRPr="00FD13F4">
        <w:rPr>
          <w:rFonts w:ascii="Times New Roman" w:eastAsia="Helvetica" w:hAnsi="Times New Roman" w:cs="Times New Roman"/>
          <w:sz w:val="24"/>
          <w:szCs w:val="24"/>
          <w:lang w:val="en-GB"/>
        </w:rPr>
        <w:t xml:space="preserve"> </w:t>
      </w:r>
    </w:p>
    <w:p w14:paraId="161AD385" w14:textId="77777777" w:rsidR="00651CB6" w:rsidRDefault="00651CB6" w:rsidP="000152CB">
      <w:pPr>
        <w:pStyle w:val="Body"/>
        <w:spacing w:line="360" w:lineRule="auto"/>
        <w:jc w:val="both"/>
        <w:rPr>
          <w:rFonts w:ascii="Times New Roman" w:eastAsia="Helvetica" w:hAnsi="Times New Roman" w:cs="Times New Roman"/>
          <w:sz w:val="24"/>
          <w:szCs w:val="24"/>
          <w:lang w:val="en-GB"/>
        </w:rPr>
      </w:pPr>
    </w:p>
    <w:p w14:paraId="3987EF87" w14:textId="494278A3" w:rsidR="001F0F8C" w:rsidRDefault="00651CB6" w:rsidP="000152CB">
      <w:pPr>
        <w:pStyle w:val="Body"/>
        <w:spacing w:line="360" w:lineRule="auto"/>
        <w:jc w:val="both"/>
        <w:rPr>
          <w:rFonts w:ascii="Times New Roman" w:hAnsi="Times New Roman" w:cs="Times New Roman"/>
          <w:sz w:val="24"/>
          <w:szCs w:val="24"/>
          <w:lang w:val="en-GB"/>
        </w:rPr>
      </w:pPr>
      <w:r w:rsidRPr="00FD13F4">
        <w:rPr>
          <w:rFonts w:ascii="Times New Roman" w:eastAsia="Helvetica" w:hAnsi="Times New Roman" w:cs="Times New Roman"/>
          <w:sz w:val="24"/>
          <w:szCs w:val="24"/>
          <w:lang w:val="en-GB"/>
        </w:rPr>
        <w:t>I</w:t>
      </w:r>
      <w:r>
        <w:rPr>
          <w:rFonts w:ascii="Times New Roman" w:eastAsia="Helvetica" w:hAnsi="Times New Roman" w:cs="Times New Roman"/>
          <w:sz w:val="24"/>
          <w:szCs w:val="24"/>
          <w:lang w:val="en-GB"/>
        </w:rPr>
        <w:t>ndeed, if</w:t>
      </w:r>
      <w:r w:rsidRPr="00FD13F4">
        <w:rPr>
          <w:rFonts w:ascii="Times New Roman" w:eastAsia="Helvetica" w:hAnsi="Times New Roman" w:cs="Times New Roman"/>
          <w:sz w:val="24"/>
          <w:szCs w:val="24"/>
          <w:lang w:val="en-GB"/>
        </w:rPr>
        <w:t xml:space="preserve"> the game is too complicated</w:t>
      </w:r>
      <w:r>
        <w:rPr>
          <w:rFonts w:ascii="Times New Roman" w:eastAsia="Helvetica" w:hAnsi="Times New Roman" w:cs="Times New Roman"/>
          <w:sz w:val="24"/>
          <w:szCs w:val="24"/>
          <w:lang w:val="en-GB"/>
        </w:rPr>
        <w:t>,</w:t>
      </w:r>
      <w:r w:rsidRPr="00FD13F4">
        <w:rPr>
          <w:rFonts w:ascii="Times New Roman" w:eastAsia="Helvetica" w:hAnsi="Times New Roman" w:cs="Times New Roman"/>
          <w:sz w:val="24"/>
          <w:szCs w:val="24"/>
          <w:lang w:val="en-GB"/>
        </w:rPr>
        <w:t xml:space="preserve"> it risks alienating its players and preventing the sense of engagement and meta-reflection that is sought by its designers </w:t>
      </w:r>
      <w:r w:rsidR="000152CB" w:rsidRPr="00FD13F4">
        <w:rPr>
          <w:rFonts w:ascii="Times New Roman" w:eastAsia="Helvetica" w:hAnsi="Times New Roman" w:cs="Times New Roman"/>
          <w:sz w:val="24"/>
          <w:szCs w:val="24"/>
          <w:lang w:val="en-GB"/>
        </w:rPr>
        <w:t xml:space="preserve">A comparison with commercial board game design makes this clear. </w:t>
      </w:r>
      <w:r w:rsidR="001F0F8C">
        <w:rPr>
          <w:rFonts w:ascii="Times New Roman" w:eastAsia="Helvetica" w:hAnsi="Times New Roman" w:cs="Times New Roman"/>
          <w:sz w:val="24"/>
          <w:szCs w:val="24"/>
          <w:lang w:val="en-GB"/>
        </w:rPr>
        <w:t>We</w:t>
      </w:r>
      <w:r w:rsidR="000152CB" w:rsidRPr="00FD13F4">
        <w:rPr>
          <w:rFonts w:ascii="Times New Roman" w:eastAsia="Helvetica" w:hAnsi="Times New Roman" w:cs="Times New Roman"/>
          <w:sz w:val="24"/>
          <w:szCs w:val="24"/>
          <w:lang w:val="en-GB"/>
        </w:rPr>
        <w:t xml:space="preserve"> were particularly inspired by the ‘</w:t>
      </w:r>
      <w:r w:rsidR="000152CB" w:rsidRPr="00FD13F4">
        <w:rPr>
          <w:rFonts w:ascii="Times New Roman" w:hAnsi="Times New Roman" w:cs="Times New Roman"/>
          <w:sz w:val="24"/>
          <w:szCs w:val="24"/>
          <w:lang w:val="en-GB"/>
        </w:rPr>
        <w:t xml:space="preserve">Eurogame’ genre, characterised </w:t>
      </w:r>
      <w:r w:rsidR="000152CB" w:rsidRPr="00FD13F4">
        <w:rPr>
          <w:rFonts w:ascii="Times New Roman" w:hAnsi="Times New Roman" w:cs="Times New Roman"/>
          <w:sz w:val="24"/>
          <w:szCs w:val="24"/>
          <w:lang w:val="en-GB"/>
        </w:rPr>
        <w:lastRenderedPageBreak/>
        <w:t>by the adoption of a themed geographic setting represented to varying degrees of stylisation on a game board.</w:t>
      </w:r>
      <w:r w:rsidR="000152CB" w:rsidRPr="00FD13F4">
        <w:rPr>
          <w:rFonts w:ascii="Times New Roman" w:eastAsia="Helvetica" w:hAnsi="Times New Roman" w:cs="Times New Roman"/>
          <w:sz w:val="24"/>
          <w:szCs w:val="24"/>
          <w:vertAlign w:val="superscript"/>
          <w:lang w:val="en-GB"/>
        </w:rPr>
        <w:footnoteReference w:id="39"/>
      </w:r>
      <w:r w:rsidR="000152CB" w:rsidRPr="00FD13F4">
        <w:rPr>
          <w:rFonts w:ascii="Times New Roman" w:hAnsi="Times New Roman" w:cs="Times New Roman"/>
          <w:sz w:val="24"/>
          <w:szCs w:val="24"/>
          <w:lang w:val="en-GB"/>
        </w:rPr>
        <w:t xml:space="preserve">  A Eurogame does not intend to exactly simulate the specifics of life within its setting, but uses the theme as an referent for the operation of its gaming mechanics.</w:t>
      </w:r>
      <w:r w:rsidR="000152CB" w:rsidRPr="00FD13F4">
        <w:rPr>
          <w:rFonts w:ascii="Times New Roman" w:eastAsia="Helvetica" w:hAnsi="Times New Roman" w:cs="Times New Roman"/>
          <w:sz w:val="24"/>
          <w:szCs w:val="24"/>
          <w:vertAlign w:val="superscript"/>
          <w:lang w:val="en-GB"/>
        </w:rPr>
        <w:footnoteReference w:id="40"/>
      </w:r>
      <w:r w:rsidR="000152CB" w:rsidRPr="00FD13F4">
        <w:rPr>
          <w:rFonts w:ascii="Times New Roman" w:hAnsi="Times New Roman" w:cs="Times New Roman"/>
          <w:sz w:val="24"/>
          <w:szCs w:val="24"/>
          <w:lang w:val="en-GB"/>
        </w:rPr>
        <w:t xml:space="preserve">  </w:t>
      </w:r>
      <w:r w:rsidR="000152CB" w:rsidRPr="00FD13F4">
        <w:rPr>
          <w:rFonts w:ascii="Times New Roman" w:hAnsi="Times New Roman" w:cs="Times New Roman"/>
          <w:i/>
          <w:sz w:val="24"/>
          <w:szCs w:val="24"/>
          <w:lang w:val="en-GB"/>
        </w:rPr>
        <w:t>Catan</w:t>
      </w:r>
      <w:r w:rsidR="000152CB" w:rsidRPr="00FD13F4">
        <w:rPr>
          <w:rFonts w:ascii="Times New Roman" w:hAnsi="Times New Roman" w:cs="Times New Roman"/>
          <w:iCs/>
          <w:sz w:val="24"/>
          <w:szCs w:val="24"/>
          <w:lang w:val="en-GB"/>
        </w:rPr>
        <w:t xml:space="preserve">, for instance, requires </w:t>
      </w:r>
      <w:r w:rsidR="000152CB" w:rsidRPr="00FD13F4">
        <w:rPr>
          <w:rFonts w:ascii="Times New Roman" w:hAnsi="Times New Roman" w:cs="Times New Roman"/>
          <w:sz w:val="24"/>
          <w:szCs w:val="24"/>
          <w:lang w:val="en-GB"/>
        </w:rPr>
        <w:t>players to develop settlements on a deserted island. This process is simplified and abstracted: players are not asked to simulate the exact experience of settling an island (there are no ‘tropical disease’ or ‘poisonous flora’ cards) but are instead exposed to and required to trade or keep resource cards (sheep, wheat, wood, and bricks) that reflect bigger concepts.  This can initially be alienating, but players are quickly able to understand and strategize with the rules, and may later bring this experience into other Eurogames, all of which share similar mechanics.</w:t>
      </w:r>
      <w:r w:rsidR="000152CB" w:rsidRPr="00FD13F4">
        <w:rPr>
          <w:rStyle w:val="FootnoteReference"/>
          <w:rFonts w:ascii="Times New Roman" w:hAnsi="Times New Roman" w:cs="Times New Roman"/>
          <w:sz w:val="24"/>
          <w:szCs w:val="24"/>
          <w:lang w:val="en-GB"/>
        </w:rPr>
        <w:footnoteReference w:id="41"/>
      </w:r>
      <w:r w:rsidR="000152CB" w:rsidRPr="00FD13F4">
        <w:rPr>
          <w:rFonts w:ascii="Times New Roman" w:hAnsi="Times New Roman" w:cs="Times New Roman"/>
          <w:sz w:val="24"/>
          <w:szCs w:val="24"/>
          <w:lang w:val="en-GB"/>
        </w:rPr>
        <w:t xml:space="preserve"> There are parallels here with the law student first encountering common law reasoning. As Wallace noted, they too must familiarise themselves with an idiosyncratic mixture of vocabulary and concepts which need to be understood or mastered to progress effectively. </w:t>
      </w:r>
    </w:p>
    <w:p w14:paraId="34C93843" w14:textId="77777777" w:rsidR="001F0F8C" w:rsidRDefault="001F0F8C" w:rsidP="000152CB">
      <w:pPr>
        <w:pStyle w:val="Body"/>
        <w:spacing w:line="360" w:lineRule="auto"/>
        <w:jc w:val="both"/>
        <w:rPr>
          <w:rFonts w:ascii="Times New Roman" w:hAnsi="Times New Roman" w:cs="Times New Roman"/>
          <w:sz w:val="24"/>
          <w:szCs w:val="24"/>
          <w:lang w:val="en-GB"/>
        </w:rPr>
      </w:pPr>
    </w:p>
    <w:p w14:paraId="1930820F" w14:textId="635B167D" w:rsidR="000152CB" w:rsidRPr="00FD13F4" w:rsidRDefault="001F0F8C" w:rsidP="000152CB">
      <w:pPr>
        <w:pStyle w:val="Body"/>
        <w:spacing w:line="36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Ratio’s</w:t>
      </w:r>
      <w:r w:rsidR="000152CB" w:rsidRPr="00FD13F4">
        <w:rPr>
          <w:rFonts w:ascii="Times New Roman" w:hAnsi="Times New Roman" w:cs="Times New Roman"/>
          <w:sz w:val="24"/>
          <w:szCs w:val="24"/>
          <w:lang w:val="en-GB"/>
        </w:rPr>
        <w:t xml:space="preserve"> design, then, intends to facilitate the phenomenological nature of GBL by capturing the essence of common law reasoning without requiring students to drill down into the detail of existing techniques such as writing case notes or judgments.</w:t>
      </w:r>
    </w:p>
    <w:p w14:paraId="325E9F22" w14:textId="77777777" w:rsidR="000152CB" w:rsidRDefault="000152CB" w:rsidP="00B20D15">
      <w:pPr>
        <w:pStyle w:val="Body"/>
        <w:spacing w:line="360" w:lineRule="auto"/>
        <w:jc w:val="both"/>
        <w:rPr>
          <w:rFonts w:ascii="Times New Roman" w:hAnsi="Times New Roman" w:cs="Times New Roman"/>
          <w:sz w:val="24"/>
          <w:szCs w:val="24"/>
          <w:lang w:val="en-GB"/>
        </w:rPr>
      </w:pPr>
    </w:p>
    <w:p w14:paraId="75F82A04" w14:textId="0A259DE9" w:rsidR="00DD3645" w:rsidRDefault="00651CB6" w:rsidP="00502328">
      <w:pPr>
        <w:spacing w:after="288" w:line="360" w:lineRule="auto"/>
        <w:jc w:val="both"/>
        <w:rPr>
          <w:rFonts w:eastAsia="Times New Roman"/>
          <w:color w:val="000000"/>
          <w:lang w:eastAsia="en-GB"/>
        </w:rPr>
      </w:pPr>
      <w:r>
        <w:rPr>
          <w:rFonts w:eastAsia="Times New Roman"/>
          <w:color w:val="000000"/>
          <w:lang w:eastAsia="en-GB"/>
        </w:rPr>
        <w:t>Our design process began with</w:t>
      </w:r>
      <w:r w:rsidR="00066C99" w:rsidRPr="00B20D15">
        <w:rPr>
          <w:rFonts w:eastAsia="Times New Roman"/>
          <w:color w:val="000000"/>
          <w:lang w:eastAsia="en-GB"/>
        </w:rPr>
        <w:t xml:space="preserve"> </w:t>
      </w:r>
      <w:r w:rsidR="00991071">
        <w:rPr>
          <w:rFonts w:eastAsia="Times New Roman"/>
          <w:color w:val="000000"/>
          <w:lang w:eastAsia="en-GB"/>
        </w:rPr>
        <w:t xml:space="preserve">some </w:t>
      </w:r>
      <w:r w:rsidR="00066C99" w:rsidRPr="00B20D15">
        <w:rPr>
          <w:rFonts w:eastAsia="Times New Roman"/>
          <w:color w:val="000000"/>
          <w:lang w:eastAsia="en-GB"/>
        </w:rPr>
        <w:t>brainstorming</w:t>
      </w:r>
      <w:r w:rsidR="00B20D15">
        <w:rPr>
          <w:rFonts w:eastAsia="Times New Roman"/>
          <w:lang w:eastAsia="en-GB"/>
        </w:rPr>
        <w:t xml:space="preserve"> based on these</w:t>
      </w:r>
      <w:r w:rsidR="00915176">
        <w:rPr>
          <w:rFonts w:eastAsia="Times New Roman"/>
          <w:lang w:eastAsia="en-GB"/>
        </w:rPr>
        <w:t xml:space="preserve"> design</w:t>
      </w:r>
      <w:r w:rsidR="00B20D15">
        <w:rPr>
          <w:rFonts w:eastAsia="Times New Roman"/>
          <w:lang w:eastAsia="en-GB"/>
        </w:rPr>
        <w:t xml:space="preserve"> principles</w:t>
      </w:r>
      <w:r w:rsidR="00991071">
        <w:rPr>
          <w:rFonts w:eastAsia="Times New Roman"/>
          <w:color w:val="000000"/>
          <w:lang w:eastAsia="en-GB"/>
        </w:rPr>
        <w:t xml:space="preserve"> and eventually led us to arrive at</w:t>
      </w:r>
      <w:r w:rsidR="00066C99" w:rsidRPr="00B20D15">
        <w:rPr>
          <w:rFonts w:eastAsia="Times New Roman"/>
          <w:color w:val="000000"/>
          <w:lang w:eastAsia="en-GB"/>
        </w:rPr>
        <w:t xml:space="preserve"> the elements of the game </w:t>
      </w:r>
      <w:r w:rsidR="001F0F8C">
        <w:rPr>
          <w:rFonts w:eastAsia="Times New Roman"/>
          <w:color w:val="000000"/>
          <w:lang w:eastAsia="en-GB"/>
        </w:rPr>
        <w:t xml:space="preserve">as </w:t>
      </w:r>
      <w:r w:rsidR="00066C99" w:rsidRPr="00B20D15">
        <w:rPr>
          <w:rFonts w:eastAsia="Times New Roman"/>
          <w:color w:val="000000"/>
          <w:lang w:eastAsia="en-GB"/>
        </w:rPr>
        <w:t xml:space="preserve">described </w:t>
      </w:r>
      <w:r w:rsidR="00B20D15">
        <w:rPr>
          <w:rFonts w:eastAsia="Times New Roman"/>
          <w:lang w:eastAsia="en-GB"/>
        </w:rPr>
        <w:t xml:space="preserve">in </w:t>
      </w:r>
      <w:r w:rsidR="001F0F8C">
        <w:rPr>
          <w:rFonts w:eastAsia="Times New Roman"/>
          <w:lang w:eastAsia="en-GB"/>
        </w:rPr>
        <w:t>s</w:t>
      </w:r>
      <w:r w:rsidR="00B20D15">
        <w:rPr>
          <w:rFonts w:eastAsia="Times New Roman"/>
          <w:lang w:eastAsia="en-GB"/>
        </w:rPr>
        <w:t>ection 3</w:t>
      </w:r>
      <w:r w:rsidR="00066C99" w:rsidRPr="00B20D15">
        <w:rPr>
          <w:rFonts w:eastAsia="Times New Roman"/>
          <w:color w:val="000000"/>
          <w:lang w:eastAsia="en-GB"/>
        </w:rPr>
        <w:t xml:space="preserve">. Our initial playtests saw us using pieces of paper with legal concepts written on them which had been haphazardly shuffled in </w:t>
      </w:r>
      <w:r w:rsidR="00B20D15">
        <w:rPr>
          <w:rFonts w:eastAsia="Times New Roman"/>
          <w:lang w:eastAsia="en-GB"/>
        </w:rPr>
        <w:t>an empty</w:t>
      </w:r>
      <w:r w:rsidR="00066C99" w:rsidRPr="00B20D15">
        <w:rPr>
          <w:rFonts w:eastAsia="Times New Roman"/>
          <w:color w:val="000000"/>
          <w:lang w:eastAsia="en-GB"/>
        </w:rPr>
        <w:t xml:space="preserve"> box. During these sessions we were able to experiment </w:t>
      </w:r>
      <w:r w:rsidR="00B20D15">
        <w:rPr>
          <w:rFonts w:eastAsia="Times New Roman"/>
          <w:lang w:eastAsia="en-GB"/>
        </w:rPr>
        <w:t xml:space="preserve">with different ideas, some of which were </w:t>
      </w:r>
      <w:r w:rsidR="00B95AFD">
        <w:rPr>
          <w:rFonts w:eastAsia="Times New Roman"/>
          <w:lang w:eastAsia="en-GB"/>
        </w:rPr>
        <w:t>discarded</w:t>
      </w:r>
      <w:r w:rsidR="00B20D15">
        <w:rPr>
          <w:rFonts w:eastAsia="Times New Roman"/>
          <w:lang w:eastAsia="en-GB"/>
        </w:rPr>
        <w:t xml:space="preserve"> when it became clear that they </w:t>
      </w:r>
      <w:r w:rsidR="00B20916">
        <w:rPr>
          <w:rFonts w:eastAsia="Times New Roman"/>
          <w:lang w:eastAsia="en-GB"/>
        </w:rPr>
        <w:t xml:space="preserve">did not work well or </w:t>
      </w:r>
      <w:r w:rsidR="00B20D15">
        <w:rPr>
          <w:rFonts w:eastAsia="Times New Roman"/>
          <w:lang w:eastAsia="en-GB"/>
        </w:rPr>
        <w:t xml:space="preserve">did not relate to our aims. </w:t>
      </w:r>
      <w:r w:rsidR="00915176">
        <w:rPr>
          <w:rFonts w:eastAsia="Times New Roman"/>
          <w:lang w:eastAsia="en-GB"/>
        </w:rPr>
        <w:t xml:space="preserve">For example, </w:t>
      </w:r>
      <w:r w:rsidR="006453CA">
        <w:rPr>
          <w:rFonts w:eastAsia="Times New Roman"/>
          <w:lang w:eastAsia="en-GB"/>
        </w:rPr>
        <w:t>an early version featured</w:t>
      </w:r>
      <w:r w:rsidR="00915176">
        <w:rPr>
          <w:rFonts w:eastAsia="Times New Roman"/>
          <w:lang w:eastAsia="en-GB"/>
        </w:rPr>
        <w:t xml:space="preserve"> </w:t>
      </w:r>
      <w:r w:rsidR="006453CA">
        <w:rPr>
          <w:rFonts w:eastAsia="Times New Roman"/>
          <w:lang w:eastAsia="en-GB"/>
        </w:rPr>
        <w:t>the card ‘</w:t>
      </w:r>
      <w:r w:rsidR="009A538A">
        <w:rPr>
          <w:rFonts w:eastAsia="Times New Roman"/>
          <w:lang w:eastAsia="en-GB"/>
        </w:rPr>
        <w:t>stay of proceedings’ which could be used to make an opponent skip a turn. It soon became apparent that this added nothing to our educational aims, and in fact made the game unfair</w:t>
      </w:r>
      <w:r w:rsidR="00D77009">
        <w:rPr>
          <w:rFonts w:eastAsia="Times New Roman"/>
          <w:lang w:eastAsia="en-GB"/>
        </w:rPr>
        <w:t xml:space="preserve"> and frustrating</w:t>
      </w:r>
      <w:r w:rsidR="009A538A">
        <w:rPr>
          <w:rFonts w:eastAsia="Times New Roman"/>
          <w:lang w:eastAsia="en-GB"/>
        </w:rPr>
        <w:t xml:space="preserve">, </w:t>
      </w:r>
      <w:r w:rsidR="00502328">
        <w:rPr>
          <w:rFonts w:eastAsia="Times New Roman"/>
          <w:lang w:eastAsia="en-GB"/>
        </w:rPr>
        <w:t>risking a violation of our</w:t>
      </w:r>
      <w:r w:rsidR="009A538A">
        <w:rPr>
          <w:rFonts w:eastAsia="Times New Roman"/>
          <w:lang w:eastAsia="en-GB"/>
        </w:rPr>
        <w:t xml:space="preserve"> third design principle of maintaining player engagement.</w:t>
      </w:r>
      <w:r w:rsidR="000152CB">
        <w:rPr>
          <w:rStyle w:val="FootnoteReference"/>
          <w:rFonts w:eastAsia="Times New Roman"/>
          <w:lang w:eastAsia="en-GB"/>
        </w:rPr>
        <w:footnoteReference w:id="42"/>
      </w:r>
      <w:r w:rsidR="009A538A">
        <w:rPr>
          <w:rFonts w:eastAsia="Times New Roman"/>
          <w:lang w:eastAsia="en-GB"/>
        </w:rPr>
        <w:t xml:space="preserve"> </w:t>
      </w:r>
      <w:r w:rsidR="00502328" w:rsidRPr="00915176">
        <w:rPr>
          <w:rFonts w:eastAsia="Times New Roman"/>
          <w:color w:val="000000"/>
          <w:lang w:eastAsia="en-GB"/>
        </w:rPr>
        <w:t>After several months</w:t>
      </w:r>
      <w:r w:rsidR="00B20916">
        <w:rPr>
          <w:rFonts w:eastAsia="Times New Roman"/>
          <w:color w:val="000000"/>
          <w:lang w:eastAsia="en-GB"/>
        </w:rPr>
        <w:t xml:space="preserve"> of development </w:t>
      </w:r>
      <w:r w:rsidR="00502328" w:rsidRPr="00915176">
        <w:rPr>
          <w:rFonts w:eastAsia="Times New Roman"/>
          <w:color w:val="000000"/>
          <w:lang w:eastAsia="en-GB"/>
        </w:rPr>
        <w:t>we began to playtest with colleagues, including at conferences (the game was debuted at the Association of Law Teachers conference in 2018)</w:t>
      </w:r>
      <w:r w:rsidR="00F9118B">
        <w:rPr>
          <w:rFonts w:eastAsia="Times New Roman"/>
          <w:color w:val="000000"/>
          <w:lang w:eastAsia="en-GB"/>
        </w:rPr>
        <w:t xml:space="preserve"> before beginning closer work with students.</w:t>
      </w:r>
      <w:r w:rsidR="00502328" w:rsidRPr="00915176">
        <w:rPr>
          <w:rFonts w:eastAsia="Times New Roman"/>
          <w:color w:val="000000"/>
          <w:lang w:eastAsia="en-GB"/>
        </w:rPr>
        <w:t xml:space="preserve"> </w:t>
      </w:r>
    </w:p>
    <w:p w14:paraId="4783DA21" w14:textId="223B2829" w:rsidR="00502328" w:rsidRPr="00502328" w:rsidRDefault="00DD3645" w:rsidP="008658C8">
      <w:pPr>
        <w:spacing w:after="288" w:line="360" w:lineRule="auto"/>
        <w:jc w:val="both"/>
        <w:rPr>
          <w:lang w:eastAsia="en-GB"/>
        </w:rPr>
      </w:pPr>
      <w:r>
        <w:rPr>
          <w:rFonts w:eastAsia="Times New Roman"/>
          <w:color w:val="000000"/>
          <w:lang w:eastAsia="en-GB"/>
        </w:rPr>
        <w:t xml:space="preserve">We made a conscious choice to create the basics of the game before involving students in its development. On reflection this may have been a miscalculation; it meant that </w:t>
      </w:r>
      <w:r>
        <w:rPr>
          <w:rFonts w:eastAsia="Times New Roman"/>
          <w:i/>
          <w:iCs/>
          <w:color w:val="000000"/>
          <w:lang w:eastAsia="en-GB"/>
        </w:rPr>
        <w:t xml:space="preserve">the </w:t>
      </w:r>
      <w:r>
        <w:rPr>
          <w:rFonts w:eastAsia="Times New Roman"/>
          <w:color w:val="000000"/>
          <w:lang w:eastAsia="en-GB"/>
        </w:rPr>
        <w:t xml:space="preserve">key audience was </w:t>
      </w:r>
      <w:r>
        <w:rPr>
          <w:rFonts w:eastAsia="Times New Roman"/>
          <w:color w:val="000000"/>
          <w:lang w:eastAsia="en-GB"/>
        </w:rPr>
        <w:lastRenderedPageBreak/>
        <w:t xml:space="preserve">initially sidelined. </w:t>
      </w:r>
      <w:r w:rsidR="00F9118B">
        <w:rPr>
          <w:rFonts w:eastAsia="Times New Roman"/>
          <w:color w:val="000000"/>
          <w:lang w:eastAsia="en-GB"/>
        </w:rPr>
        <w:t>The contribution of students to the design process has been invaluable</w:t>
      </w:r>
      <w:r>
        <w:rPr>
          <w:rFonts w:eastAsia="Times New Roman"/>
          <w:color w:val="000000"/>
          <w:lang w:eastAsia="en-GB"/>
        </w:rPr>
        <w:t xml:space="preserve"> and it is ongoing. Their feedback would have been very helpful during our initial development stages, rather than </w:t>
      </w:r>
      <w:r w:rsidR="00830312">
        <w:rPr>
          <w:rFonts w:eastAsia="Times New Roman"/>
          <w:color w:val="000000"/>
          <w:lang w:eastAsia="en-GB"/>
        </w:rPr>
        <w:t>being used to finesse an already-existing game</w:t>
      </w:r>
      <w:r w:rsidR="00F9118B">
        <w:rPr>
          <w:rFonts w:eastAsia="Times New Roman"/>
          <w:color w:val="000000"/>
          <w:lang w:eastAsia="en-GB"/>
        </w:rPr>
        <w:t>. The</w:t>
      </w:r>
      <w:r w:rsidR="00502328" w:rsidRPr="00915176">
        <w:rPr>
          <w:rFonts w:eastAsia="Times New Roman"/>
          <w:color w:val="000000"/>
          <w:lang w:eastAsia="en-GB"/>
        </w:rPr>
        <w:t xml:space="preserve"> game was </w:t>
      </w:r>
      <w:r w:rsidR="00830312">
        <w:rPr>
          <w:rFonts w:eastAsia="Times New Roman"/>
          <w:color w:val="000000"/>
          <w:lang w:eastAsia="en-GB"/>
        </w:rPr>
        <w:t xml:space="preserve">first </w:t>
      </w:r>
      <w:r w:rsidR="00502328" w:rsidRPr="00915176">
        <w:rPr>
          <w:rFonts w:eastAsia="Times New Roman"/>
          <w:color w:val="000000"/>
          <w:lang w:eastAsia="en-GB"/>
        </w:rPr>
        <w:t>piloted on a student audience at St Mary’s University, Twickenham</w:t>
      </w:r>
      <w:r w:rsidR="00D77009">
        <w:rPr>
          <w:rFonts w:eastAsia="Times New Roman"/>
          <w:color w:val="000000"/>
          <w:lang w:eastAsia="en-GB"/>
        </w:rPr>
        <w:t>,</w:t>
      </w:r>
      <w:r w:rsidR="00502328" w:rsidRPr="00915176">
        <w:rPr>
          <w:rFonts w:eastAsia="Times New Roman"/>
          <w:color w:val="000000"/>
          <w:lang w:eastAsia="en-GB"/>
        </w:rPr>
        <w:t xml:space="preserve"> </w:t>
      </w:r>
      <w:r w:rsidR="00502328">
        <w:rPr>
          <w:rFonts w:eastAsia="Times New Roman"/>
          <w:color w:val="000000"/>
          <w:lang w:eastAsia="en-GB"/>
        </w:rPr>
        <w:t>in</w:t>
      </w:r>
      <w:r w:rsidR="00502328" w:rsidRPr="00915176">
        <w:rPr>
          <w:rFonts w:eastAsia="Times New Roman"/>
          <w:color w:val="000000"/>
          <w:lang w:eastAsia="en-GB"/>
        </w:rPr>
        <w:t xml:space="preserve"> a </w:t>
      </w:r>
      <w:r w:rsidR="00502328">
        <w:rPr>
          <w:rFonts w:eastAsia="Times New Roman"/>
          <w:color w:val="000000"/>
          <w:lang w:eastAsia="en-GB"/>
        </w:rPr>
        <w:t xml:space="preserve">small </w:t>
      </w:r>
      <w:r w:rsidR="00502328" w:rsidRPr="00915176">
        <w:rPr>
          <w:rFonts w:eastAsia="Times New Roman"/>
          <w:color w:val="000000"/>
          <w:lang w:eastAsia="en-GB"/>
        </w:rPr>
        <w:t xml:space="preserve">group of first year legal skills students. This allowed us to identify and refine aspects of the game which we did not appreciate were an issue. </w:t>
      </w:r>
      <w:r w:rsidR="00502328">
        <w:rPr>
          <w:rFonts w:eastAsia="Times New Roman"/>
          <w:color w:val="000000"/>
          <w:lang w:eastAsia="en-GB"/>
        </w:rPr>
        <w:t>It shed particular light on the problems that we faced with card counts, with some cards been drastically more common than others</w:t>
      </w:r>
      <w:r w:rsidR="005316CE">
        <w:rPr>
          <w:rFonts w:eastAsia="Times New Roman"/>
          <w:color w:val="000000"/>
          <w:lang w:eastAsia="en-GB"/>
        </w:rPr>
        <w:t xml:space="preserve">. This </w:t>
      </w:r>
      <w:r w:rsidR="00B95AFD">
        <w:rPr>
          <w:rFonts w:eastAsia="Times New Roman"/>
          <w:color w:val="000000"/>
          <w:lang w:eastAsia="en-GB"/>
        </w:rPr>
        <w:t>needlessly</w:t>
      </w:r>
      <w:r w:rsidR="005316CE">
        <w:rPr>
          <w:rFonts w:eastAsia="Times New Roman"/>
          <w:color w:val="000000"/>
          <w:lang w:eastAsia="en-GB"/>
        </w:rPr>
        <w:t xml:space="preserve"> prolong</w:t>
      </w:r>
      <w:r w:rsidR="00B95AFD">
        <w:rPr>
          <w:rFonts w:eastAsia="Times New Roman"/>
          <w:color w:val="000000"/>
          <w:lang w:eastAsia="en-GB"/>
        </w:rPr>
        <w:t>ed</w:t>
      </w:r>
      <w:r w:rsidR="005316CE">
        <w:rPr>
          <w:rFonts w:eastAsia="Times New Roman"/>
          <w:color w:val="000000"/>
          <w:lang w:eastAsia="en-GB"/>
        </w:rPr>
        <w:t xml:space="preserve"> gameplay</w:t>
      </w:r>
      <w:r w:rsidR="00B95AFD">
        <w:rPr>
          <w:rFonts w:eastAsia="Times New Roman"/>
          <w:color w:val="000000"/>
          <w:lang w:eastAsia="en-GB"/>
        </w:rPr>
        <w:t>,</w:t>
      </w:r>
      <w:r w:rsidR="005316CE">
        <w:rPr>
          <w:rFonts w:eastAsia="Times New Roman"/>
          <w:color w:val="000000"/>
          <w:lang w:eastAsia="en-GB"/>
        </w:rPr>
        <w:t xml:space="preserve"> as players </w:t>
      </w:r>
      <w:r w:rsidR="00991071">
        <w:rPr>
          <w:rFonts w:eastAsia="Times New Roman"/>
          <w:color w:val="000000"/>
          <w:lang w:eastAsia="en-GB"/>
        </w:rPr>
        <w:t xml:space="preserve">often </w:t>
      </w:r>
      <w:r w:rsidR="005316CE">
        <w:rPr>
          <w:rFonts w:eastAsia="Times New Roman"/>
          <w:color w:val="000000"/>
          <w:lang w:eastAsia="en-GB"/>
        </w:rPr>
        <w:t xml:space="preserve">waited </w:t>
      </w:r>
      <w:r w:rsidR="00991071">
        <w:rPr>
          <w:rFonts w:eastAsia="Times New Roman"/>
          <w:color w:val="000000"/>
          <w:lang w:eastAsia="en-GB"/>
        </w:rPr>
        <w:t>a long time f</w:t>
      </w:r>
      <w:r w:rsidR="005316CE">
        <w:rPr>
          <w:rFonts w:eastAsia="Times New Roman"/>
          <w:color w:val="000000"/>
          <w:lang w:eastAsia="en-GB"/>
        </w:rPr>
        <w:t xml:space="preserve">or the cards they needed to form a </w:t>
      </w:r>
      <w:r w:rsidR="005316CE">
        <w:rPr>
          <w:rFonts w:eastAsia="Times New Roman"/>
          <w:i/>
          <w:iCs/>
          <w:color w:val="000000"/>
          <w:lang w:eastAsia="en-GB"/>
        </w:rPr>
        <w:t>ratio</w:t>
      </w:r>
      <w:r w:rsidR="00A64A2E">
        <w:rPr>
          <w:rFonts w:eastAsia="Times New Roman"/>
          <w:color w:val="000000"/>
          <w:lang w:eastAsia="en-GB"/>
        </w:rPr>
        <w:t>,</w:t>
      </w:r>
      <w:r w:rsidR="005316CE">
        <w:rPr>
          <w:rFonts w:eastAsia="Times New Roman"/>
          <w:color w:val="000000"/>
          <w:lang w:eastAsia="en-GB"/>
        </w:rPr>
        <w:t xml:space="preserve"> </w:t>
      </w:r>
      <w:r w:rsidR="00991071">
        <w:rPr>
          <w:rFonts w:eastAsia="Times New Roman"/>
          <w:color w:val="000000"/>
          <w:lang w:eastAsia="en-GB"/>
        </w:rPr>
        <w:t>leading</w:t>
      </w:r>
      <w:r w:rsidR="005316CE">
        <w:rPr>
          <w:rFonts w:eastAsia="Times New Roman"/>
          <w:color w:val="000000"/>
          <w:lang w:eastAsia="en-GB"/>
        </w:rPr>
        <w:t xml:space="preserve"> some to </w:t>
      </w:r>
      <w:r w:rsidR="00A64A2E">
        <w:rPr>
          <w:rFonts w:eastAsia="Times New Roman"/>
          <w:color w:val="000000"/>
          <w:lang w:eastAsia="en-GB"/>
        </w:rPr>
        <w:t>stop playing</w:t>
      </w:r>
      <w:r w:rsidR="005316CE">
        <w:rPr>
          <w:rFonts w:eastAsia="Times New Roman"/>
          <w:color w:val="000000"/>
          <w:lang w:eastAsia="en-GB"/>
        </w:rPr>
        <w:t xml:space="preserve"> entirely</w:t>
      </w:r>
      <w:r w:rsidR="00A64A2E">
        <w:rPr>
          <w:rFonts w:eastAsia="Times New Roman"/>
          <w:color w:val="000000"/>
          <w:lang w:eastAsia="en-GB"/>
        </w:rPr>
        <w:t xml:space="preserve">. The experience not only revealed </w:t>
      </w:r>
      <w:r w:rsidR="00991071">
        <w:rPr>
          <w:rFonts w:eastAsia="Times New Roman"/>
          <w:color w:val="000000"/>
          <w:lang w:eastAsia="en-GB"/>
        </w:rPr>
        <w:t>an issue with</w:t>
      </w:r>
      <w:r w:rsidR="00A64A2E">
        <w:rPr>
          <w:rFonts w:eastAsia="Times New Roman"/>
          <w:color w:val="000000"/>
          <w:lang w:eastAsia="en-GB"/>
        </w:rPr>
        <w:t xml:space="preserve"> card count</w:t>
      </w:r>
      <w:r w:rsidR="00991071">
        <w:rPr>
          <w:rFonts w:eastAsia="Times New Roman"/>
          <w:color w:val="000000"/>
          <w:lang w:eastAsia="en-GB"/>
        </w:rPr>
        <w:t>s</w:t>
      </w:r>
      <w:r w:rsidR="00A64A2E">
        <w:rPr>
          <w:rFonts w:eastAsia="Times New Roman"/>
          <w:color w:val="000000"/>
          <w:lang w:eastAsia="en-GB"/>
        </w:rPr>
        <w:t xml:space="preserve"> but reinforced that we needed to make sure that the game ended after a set number of turns.</w:t>
      </w:r>
      <w:r w:rsidR="00F9118B">
        <w:rPr>
          <w:rFonts w:eastAsia="Times New Roman"/>
          <w:color w:val="000000"/>
          <w:lang w:eastAsia="en-GB"/>
        </w:rPr>
        <w:t xml:space="preserve"> </w:t>
      </w:r>
      <w:r>
        <w:rPr>
          <w:lang w:eastAsia="en-GB"/>
        </w:rPr>
        <w:t>Similarly, w</w:t>
      </w:r>
      <w:r w:rsidR="009A538A">
        <w:rPr>
          <w:lang w:eastAsia="en-GB"/>
        </w:rPr>
        <w:t xml:space="preserve">e </w:t>
      </w:r>
      <w:r w:rsidR="00066C99" w:rsidRPr="00B20D15">
        <w:rPr>
          <w:lang w:eastAsia="en-GB"/>
        </w:rPr>
        <w:t>recently decided against the inclusion of ‘judicial personas’ in the game</w:t>
      </w:r>
      <w:r w:rsidR="00502328">
        <w:rPr>
          <w:lang w:eastAsia="en-GB"/>
        </w:rPr>
        <w:t xml:space="preserve"> following feedback from students at Royal Holloway, University of London.</w:t>
      </w:r>
      <w:r w:rsidR="00C318B7" w:rsidRPr="00B20D15">
        <w:rPr>
          <w:lang w:eastAsia="en-GB"/>
        </w:rPr>
        <w:t xml:space="preserve"> </w:t>
      </w:r>
      <w:r w:rsidR="00C318B7" w:rsidRPr="00B20D15">
        <w:rPr>
          <w:lang w:val="en-GB"/>
        </w:rPr>
        <w:t>The idea was that</w:t>
      </w:r>
      <w:r w:rsidR="00AA6D4B" w:rsidRPr="00B20D15">
        <w:rPr>
          <w:lang w:val="en-GB"/>
        </w:rPr>
        <w:t xml:space="preserve"> </w:t>
      </w:r>
      <w:r w:rsidR="00C318B7" w:rsidRPr="00B20D15">
        <w:rPr>
          <w:lang w:val="en-GB"/>
        </w:rPr>
        <w:t xml:space="preserve">players could be given cards </w:t>
      </w:r>
      <w:r w:rsidR="00991071">
        <w:rPr>
          <w:lang w:val="en-GB"/>
        </w:rPr>
        <w:t>letting them</w:t>
      </w:r>
      <w:r w:rsidR="00C318B7" w:rsidRPr="00B20D15">
        <w:rPr>
          <w:lang w:val="en-GB"/>
        </w:rPr>
        <w:t xml:space="preserve"> ‘play as’ a </w:t>
      </w:r>
      <w:r w:rsidR="00991071">
        <w:rPr>
          <w:lang w:val="en-GB"/>
        </w:rPr>
        <w:t>particular</w:t>
      </w:r>
      <w:r w:rsidR="00C318B7" w:rsidRPr="00B20D15">
        <w:rPr>
          <w:lang w:val="en-GB"/>
        </w:rPr>
        <w:t xml:space="preserve"> judge. Each judge ha</w:t>
      </w:r>
      <w:r w:rsidR="001C0692">
        <w:rPr>
          <w:lang w:val="en-GB"/>
        </w:rPr>
        <w:t>d</w:t>
      </w:r>
      <w:r w:rsidR="00C318B7" w:rsidRPr="00B20D15">
        <w:rPr>
          <w:lang w:val="en-GB"/>
        </w:rPr>
        <w:t xml:space="preserve"> certain bonuses which aim to reflect something of their judicial personality. For example, the player with the Lady Hale card </w:t>
      </w:r>
      <w:r w:rsidR="00D77009">
        <w:rPr>
          <w:lang w:val="en-GB"/>
        </w:rPr>
        <w:t>could</w:t>
      </w:r>
      <w:r w:rsidR="00C318B7" w:rsidRPr="00B20D15">
        <w:rPr>
          <w:lang w:val="en-GB"/>
        </w:rPr>
        <w:t xml:space="preserve"> rely on academic authority in their </w:t>
      </w:r>
      <w:r w:rsidR="00C318B7" w:rsidRPr="00B20D15">
        <w:rPr>
          <w:i/>
          <w:iCs/>
          <w:lang w:val="en-GB"/>
        </w:rPr>
        <w:t>ratio decidendi</w:t>
      </w:r>
      <w:r w:rsidR="00C318B7" w:rsidRPr="00B20D15">
        <w:rPr>
          <w:lang w:val="en-GB"/>
        </w:rPr>
        <w:t xml:space="preserve">, reflecting her background as an academic; and the Lord Denning </w:t>
      </w:r>
      <w:r w:rsidR="001C0692">
        <w:rPr>
          <w:lang w:val="en-GB"/>
        </w:rPr>
        <w:t>player</w:t>
      </w:r>
      <w:r w:rsidR="00C318B7" w:rsidRPr="00B20D15">
        <w:rPr>
          <w:lang w:val="en-GB"/>
        </w:rPr>
        <w:t xml:space="preserve"> </w:t>
      </w:r>
      <w:r w:rsidR="001C0692">
        <w:rPr>
          <w:lang w:val="en-GB"/>
        </w:rPr>
        <w:t>could</w:t>
      </w:r>
      <w:r w:rsidR="00C318B7" w:rsidRPr="00B20D15">
        <w:rPr>
          <w:lang w:val="en-GB"/>
        </w:rPr>
        <w:t xml:space="preserve"> base more than one </w:t>
      </w:r>
      <w:r w:rsidR="00C318B7" w:rsidRPr="00B20D15">
        <w:rPr>
          <w:i/>
          <w:iCs/>
          <w:lang w:val="en-GB"/>
        </w:rPr>
        <w:t>ratio</w:t>
      </w:r>
      <w:r w:rsidR="00C318B7" w:rsidRPr="00B20D15">
        <w:rPr>
          <w:lang w:val="en-GB"/>
        </w:rPr>
        <w:t xml:space="preserve"> on the ‘Policy Judgment’ card, reflecting his idiosyncratic approach to judgment. </w:t>
      </w:r>
      <w:r w:rsidR="001C0692">
        <w:rPr>
          <w:lang w:val="en-GB"/>
        </w:rPr>
        <w:t>Our intention was that these cards lent</w:t>
      </w:r>
      <w:r w:rsidR="00C318B7" w:rsidRPr="00B20D15">
        <w:rPr>
          <w:lang w:val="en-GB"/>
        </w:rPr>
        <w:t xml:space="preserve"> themselves to class discussions of individual judicial personalities or approaches to judging, and how that affects decision-makin</w:t>
      </w:r>
      <w:r w:rsidR="00C318B7" w:rsidRPr="00B20D15">
        <w:rPr>
          <w:sz w:val="28"/>
          <w:szCs w:val="28"/>
          <w:lang w:val="en-GB"/>
        </w:rPr>
        <w:t>g.</w:t>
      </w:r>
      <w:r w:rsidR="00C318B7" w:rsidRPr="00B20D15">
        <w:rPr>
          <w:rStyle w:val="FootnoteReference"/>
          <w:sz w:val="28"/>
          <w:szCs w:val="28"/>
          <w:lang w:val="en-GB"/>
        </w:rPr>
        <w:footnoteReference w:id="43"/>
      </w:r>
      <w:r w:rsidR="00C318B7" w:rsidRPr="00B20D15">
        <w:rPr>
          <w:sz w:val="28"/>
          <w:szCs w:val="28"/>
          <w:lang w:val="en-GB"/>
        </w:rPr>
        <w:t xml:space="preserve"> </w:t>
      </w:r>
      <w:r w:rsidR="00F9118B">
        <w:rPr>
          <w:lang w:val="en-GB"/>
        </w:rPr>
        <w:t xml:space="preserve">Feedback showed </w:t>
      </w:r>
      <w:r w:rsidR="00915176" w:rsidRPr="009A538A">
        <w:rPr>
          <w:lang w:val="en-GB"/>
        </w:rPr>
        <w:t>that in practice</w:t>
      </w:r>
      <w:r w:rsidR="00502328">
        <w:rPr>
          <w:lang w:val="en-GB"/>
        </w:rPr>
        <w:t xml:space="preserve"> </w:t>
      </w:r>
      <w:r w:rsidR="00915176" w:rsidRPr="009A538A">
        <w:rPr>
          <w:lang w:val="en-GB"/>
        </w:rPr>
        <w:t xml:space="preserve">these </w:t>
      </w:r>
      <w:r w:rsidR="009A538A">
        <w:rPr>
          <w:lang w:val="en-GB"/>
        </w:rPr>
        <w:t>were distractions</w:t>
      </w:r>
      <w:r w:rsidR="00991071">
        <w:rPr>
          <w:lang w:val="en-GB"/>
        </w:rPr>
        <w:t xml:space="preserve"> which reflected our own sense</w:t>
      </w:r>
      <w:r w:rsidR="00F9118B">
        <w:rPr>
          <w:lang w:val="en-GB"/>
        </w:rPr>
        <w:t>s</w:t>
      </w:r>
      <w:r w:rsidR="00991071">
        <w:rPr>
          <w:lang w:val="en-GB"/>
        </w:rPr>
        <w:t xml:space="preserve"> of humour and research interests instead of our core design principles and educational purposes</w:t>
      </w:r>
      <w:r w:rsidR="009A538A">
        <w:rPr>
          <w:lang w:val="en-GB"/>
        </w:rPr>
        <w:t xml:space="preserve">. </w:t>
      </w:r>
      <w:r w:rsidR="009A538A">
        <w:rPr>
          <w:i/>
          <w:iCs/>
          <w:lang w:val="en-GB"/>
        </w:rPr>
        <w:t>Ratio</w:t>
      </w:r>
      <w:r w:rsidR="009A538A">
        <w:rPr>
          <w:lang w:val="en-GB"/>
        </w:rPr>
        <w:t>’s aim is to teach students about common law</w:t>
      </w:r>
      <w:r w:rsidR="00991071">
        <w:rPr>
          <w:lang w:val="en-GB"/>
        </w:rPr>
        <w:t xml:space="preserve"> </w:t>
      </w:r>
      <w:r w:rsidR="009A538A">
        <w:rPr>
          <w:lang w:val="en-GB"/>
        </w:rPr>
        <w:t>reasoning</w:t>
      </w:r>
      <w:r w:rsidR="00991071">
        <w:rPr>
          <w:lang w:val="en-GB"/>
        </w:rPr>
        <w:t>, and t</w:t>
      </w:r>
      <w:r w:rsidR="00502328">
        <w:rPr>
          <w:lang w:val="en-GB"/>
        </w:rPr>
        <w:t xml:space="preserve">his was obscured if different players could essentially draw on different rules. </w:t>
      </w:r>
      <w:r w:rsidR="00066C99" w:rsidRPr="009A538A">
        <w:rPr>
          <w:lang w:eastAsia="en-GB"/>
        </w:rPr>
        <w:t>Th</w:t>
      </w:r>
      <w:r w:rsidR="009F6D3B">
        <w:rPr>
          <w:lang w:eastAsia="en-GB"/>
        </w:rPr>
        <w:t xml:space="preserve">e mechanic </w:t>
      </w:r>
      <w:r w:rsidR="00502328">
        <w:rPr>
          <w:lang w:eastAsia="en-GB"/>
        </w:rPr>
        <w:t>could</w:t>
      </w:r>
      <w:r w:rsidR="00066C99" w:rsidRPr="009A538A">
        <w:rPr>
          <w:lang w:eastAsia="en-GB"/>
        </w:rPr>
        <w:t xml:space="preserve"> of course be added back in, if instructors or pl</w:t>
      </w:r>
      <w:r w:rsidR="009A538A">
        <w:rPr>
          <w:lang w:eastAsia="en-GB"/>
        </w:rPr>
        <w:t>ayers did want pursue questions about judicial styles</w:t>
      </w:r>
      <w:r w:rsidR="00502328">
        <w:rPr>
          <w:lang w:eastAsia="en-GB"/>
        </w:rPr>
        <w:t>, but our suggestion is that this should not be pursued in the initial plays.</w:t>
      </w:r>
      <w:r>
        <w:rPr>
          <w:lang w:eastAsia="en-GB"/>
        </w:rPr>
        <w:t xml:space="preserve"> Certainly, we recommend engaging students early in the</w:t>
      </w:r>
      <w:r w:rsidR="00830312">
        <w:rPr>
          <w:lang w:eastAsia="en-GB"/>
        </w:rPr>
        <w:t xml:space="preserve"> GBL</w:t>
      </w:r>
      <w:r>
        <w:rPr>
          <w:lang w:eastAsia="en-GB"/>
        </w:rPr>
        <w:t xml:space="preserve"> design process so that issues such as these can be identified earlier</w:t>
      </w:r>
      <w:r w:rsidR="00830312">
        <w:rPr>
          <w:lang w:eastAsia="en-GB"/>
        </w:rPr>
        <w:t xml:space="preserve">. </w:t>
      </w:r>
    </w:p>
    <w:p w14:paraId="2DDB26A1" w14:textId="7CB36C72" w:rsidR="000F2950" w:rsidRPr="00502328" w:rsidRDefault="009A538A" w:rsidP="00502328">
      <w:pPr>
        <w:spacing w:after="288" w:line="360" w:lineRule="auto"/>
        <w:jc w:val="both"/>
        <w:rPr>
          <w:rFonts w:eastAsia="Times New Roman"/>
          <w:color w:val="000000"/>
          <w:lang w:eastAsia="en-GB"/>
        </w:rPr>
      </w:pPr>
      <w:r>
        <w:rPr>
          <w:rFonts w:eastAsia="Times New Roman"/>
          <w:color w:val="000000"/>
          <w:lang w:eastAsia="en-GB"/>
        </w:rPr>
        <w:t>Playtesting continues and w</w:t>
      </w:r>
      <w:r w:rsidR="00066C99" w:rsidRPr="00915176">
        <w:rPr>
          <w:rFonts w:eastAsia="Times New Roman"/>
          <w:color w:val="000000"/>
          <w:lang w:eastAsia="en-GB"/>
        </w:rPr>
        <w:t xml:space="preserve">e intend to more fully evaluate </w:t>
      </w:r>
      <w:r w:rsidR="00066C99" w:rsidRPr="00915176">
        <w:rPr>
          <w:rFonts w:eastAsia="Times New Roman"/>
          <w:i/>
          <w:iCs/>
          <w:color w:val="000000"/>
          <w:lang w:eastAsia="en-GB"/>
        </w:rPr>
        <w:t>Ratio</w:t>
      </w:r>
      <w:r w:rsidR="00066C99" w:rsidRPr="00915176">
        <w:rPr>
          <w:rFonts w:eastAsia="Times New Roman"/>
          <w:color w:val="000000"/>
          <w:lang w:eastAsia="en-GB"/>
        </w:rPr>
        <w:t xml:space="preserve"> in </w:t>
      </w:r>
      <w:r>
        <w:rPr>
          <w:rFonts w:eastAsia="Times New Roman"/>
          <w:color w:val="000000"/>
          <w:lang w:eastAsia="en-GB"/>
        </w:rPr>
        <w:t>later</w:t>
      </w:r>
      <w:r w:rsidR="00915176">
        <w:rPr>
          <w:rFonts w:eastAsia="Times New Roman"/>
          <w:color w:val="000000"/>
          <w:lang w:eastAsia="en-GB"/>
        </w:rPr>
        <w:t xml:space="preserve"> research</w:t>
      </w:r>
      <w:r w:rsidR="00066C99" w:rsidRPr="00915176">
        <w:rPr>
          <w:rFonts w:eastAsia="Times New Roman"/>
          <w:color w:val="000000"/>
          <w:lang w:eastAsia="en-GB"/>
        </w:rPr>
        <w:t>. We are developing a wide-ranging study which will examine the impact of GBL on tutors and students, as well as to gain the views of those unconnected to legal study</w:t>
      </w:r>
      <w:r>
        <w:rPr>
          <w:rFonts w:eastAsia="Times New Roman"/>
          <w:color w:val="000000"/>
          <w:lang w:eastAsia="en-GB"/>
        </w:rPr>
        <w:t xml:space="preserve"> (see also the Conclusion to this article which lists other avenues of inquiry)</w:t>
      </w:r>
      <w:r w:rsidR="00066C99" w:rsidRPr="00915176">
        <w:rPr>
          <w:rFonts w:eastAsia="Times New Roman"/>
          <w:color w:val="000000"/>
          <w:lang w:eastAsia="en-GB"/>
        </w:rPr>
        <w:t xml:space="preserve">. </w:t>
      </w:r>
      <w:r w:rsidR="005609E4">
        <w:rPr>
          <w:rFonts w:eastAsia="Times New Roman"/>
          <w:color w:val="000000"/>
          <w:lang w:eastAsia="en-GB"/>
        </w:rPr>
        <w:t>The</w:t>
      </w:r>
      <w:r w:rsidR="00066C99" w:rsidRPr="00915176">
        <w:rPr>
          <w:rFonts w:eastAsia="Times New Roman"/>
          <w:color w:val="000000"/>
          <w:lang w:eastAsia="en-GB"/>
        </w:rPr>
        <w:t xml:space="preserve"> </w:t>
      </w:r>
      <w:r w:rsidR="005609E4">
        <w:rPr>
          <w:rFonts w:eastAsia="Times New Roman"/>
          <w:color w:val="000000"/>
          <w:lang w:eastAsia="en-GB"/>
        </w:rPr>
        <w:t>p</w:t>
      </w:r>
      <w:r w:rsidR="00066C99" w:rsidRPr="00915176">
        <w:rPr>
          <w:rFonts w:eastAsia="Times New Roman"/>
          <w:color w:val="000000"/>
          <w:lang w:eastAsia="en-GB"/>
        </w:rPr>
        <w:t xml:space="preserve">urpose </w:t>
      </w:r>
      <w:r w:rsidR="005609E4">
        <w:rPr>
          <w:rFonts w:eastAsia="Times New Roman"/>
          <w:color w:val="000000"/>
          <w:lang w:eastAsia="en-GB"/>
        </w:rPr>
        <w:t>of</w:t>
      </w:r>
      <w:r w:rsidR="00066C99" w:rsidRPr="00915176">
        <w:rPr>
          <w:rFonts w:eastAsia="Times New Roman"/>
          <w:color w:val="000000"/>
          <w:lang w:eastAsia="en-GB"/>
        </w:rPr>
        <w:t xml:space="preserve"> this article, however, is to make the case for GBL and to introduce the reader to </w:t>
      </w:r>
      <w:r w:rsidR="00066C99" w:rsidRPr="005609E4">
        <w:rPr>
          <w:rFonts w:eastAsia="Times New Roman"/>
          <w:i/>
          <w:iCs/>
          <w:color w:val="000000"/>
          <w:lang w:eastAsia="en-GB"/>
        </w:rPr>
        <w:t>Ratio</w:t>
      </w:r>
      <w:r w:rsidR="00066C99" w:rsidRPr="00915176">
        <w:rPr>
          <w:rFonts w:eastAsia="Times New Roman"/>
          <w:color w:val="000000"/>
          <w:lang w:eastAsia="en-GB"/>
        </w:rPr>
        <w:t xml:space="preserve">. The rules explained </w:t>
      </w:r>
      <w:r>
        <w:rPr>
          <w:rFonts w:eastAsia="Times New Roman"/>
          <w:color w:val="000000"/>
          <w:lang w:eastAsia="en-GB"/>
        </w:rPr>
        <w:t>below</w:t>
      </w:r>
      <w:r w:rsidR="00066C99" w:rsidRPr="00915176">
        <w:rPr>
          <w:rFonts w:eastAsia="Times New Roman"/>
          <w:color w:val="000000"/>
          <w:lang w:eastAsia="en-GB"/>
        </w:rPr>
        <w:t xml:space="preserve"> are the current ones as of February 2020, and we stress that the game and the cards that we use are free to be adapted and altered for classroom use as individuals see fit. </w:t>
      </w:r>
    </w:p>
    <w:p w14:paraId="4B65B871" w14:textId="10CABB9D" w:rsidR="000F2950" w:rsidRPr="00FD13F4" w:rsidRDefault="00FA6332" w:rsidP="00F92600">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lastRenderedPageBreak/>
        <w:t>3</w:t>
      </w:r>
      <w:r w:rsidR="000F2950" w:rsidRPr="00FD13F4">
        <w:rPr>
          <w:rFonts w:ascii="Times New Roman" w:hAnsi="Times New Roman" w:cs="Times New Roman"/>
          <w:b/>
          <w:bCs/>
          <w:sz w:val="24"/>
          <w:szCs w:val="24"/>
          <w:lang w:val="en-GB"/>
        </w:rPr>
        <w:t>. Playing Ratio</w:t>
      </w:r>
    </w:p>
    <w:p w14:paraId="1861AB9B"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25B55A42" w14:textId="1D1BEC31" w:rsidR="000F2950" w:rsidRDefault="000F2950" w:rsidP="00F92600">
      <w:pPr>
        <w:pStyle w:val="Body"/>
        <w:spacing w:line="360" w:lineRule="auto"/>
        <w:jc w:val="both"/>
        <w:rPr>
          <w:rFonts w:ascii="Times New Roman" w:eastAsia="Helvetica" w:hAnsi="Times New Roman" w:cs="Times New Roman"/>
          <w:sz w:val="24"/>
          <w:szCs w:val="24"/>
          <w:lang w:val="en-GB"/>
        </w:rPr>
      </w:pPr>
      <w:r w:rsidRPr="00FD13F4">
        <w:rPr>
          <w:rFonts w:ascii="Times New Roman" w:eastAsia="Helvetica" w:hAnsi="Times New Roman" w:cs="Times New Roman"/>
          <w:sz w:val="24"/>
          <w:szCs w:val="24"/>
          <w:lang w:val="en-GB"/>
        </w:rPr>
        <w:t xml:space="preserve">This </w:t>
      </w:r>
      <w:r w:rsidR="000C2C15">
        <w:rPr>
          <w:rFonts w:ascii="Times New Roman" w:eastAsia="Helvetica" w:hAnsi="Times New Roman" w:cs="Times New Roman"/>
          <w:sz w:val="24"/>
          <w:szCs w:val="24"/>
          <w:lang w:val="en-GB"/>
        </w:rPr>
        <w:t>s</w:t>
      </w:r>
      <w:r w:rsidRPr="00FD13F4">
        <w:rPr>
          <w:rFonts w:ascii="Times New Roman" w:eastAsia="Helvetica" w:hAnsi="Times New Roman" w:cs="Times New Roman"/>
          <w:sz w:val="24"/>
          <w:szCs w:val="24"/>
          <w:lang w:val="en-GB"/>
        </w:rPr>
        <w:t xml:space="preserve">ection provides an overview of the rules and gameplay of </w:t>
      </w:r>
      <w:r w:rsidRPr="00FD13F4">
        <w:rPr>
          <w:rFonts w:ascii="Times New Roman" w:eastAsia="Helvetica" w:hAnsi="Times New Roman" w:cs="Times New Roman"/>
          <w:i/>
          <w:iCs/>
          <w:sz w:val="24"/>
          <w:szCs w:val="24"/>
          <w:lang w:val="en-GB"/>
        </w:rPr>
        <w:t>Ratio</w:t>
      </w:r>
      <w:r w:rsidR="00CE7ACD">
        <w:rPr>
          <w:rFonts w:ascii="Times New Roman" w:eastAsia="Helvetica" w:hAnsi="Times New Roman" w:cs="Times New Roman"/>
          <w:sz w:val="24"/>
          <w:szCs w:val="24"/>
          <w:lang w:val="en-GB"/>
        </w:rPr>
        <w:t>.</w:t>
      </w:r>
      <w:r w:rsidR="00024137" w:rsidRPr="00FD13F4">
        <w:rPr>
          <w:rFonts w:ascii="Times New Roman" w:eastAsia="Helvetica" w:hAnsi="Times New Roman" w:cs="Times New Roman"/>
          <w:sz w:val="24"/>
          <w:szCs w:val="24"/>
          <w:lang w:val="en-GB"/>
        </w:rPr>
        <w:t xml:space="preserve"> </w:t>
      </w:r>
      <w:r w:rsidR="00CE7ACD">
        <w:rPr>
          <w:rFonts w:ascii="Times New Roman" w:eastAsia="Helvetica" w:hAnsi="Times New Roman" w:cs="Times New Roman"/>
          <w:sz w:val="24"/>
          <w:szCs w:val="24"/>
          <w:lang w:val="en-GB"/>
        </w:rPr>
        <w:t>I</w:t>
      </w:r>
      <w:r w:rsidR="00024137" w:rsidRPr="00FD13F4">
        <w:rPr>
          <w:rFonts w:ascii="Times New Roman" w:eastAsia="Helvetica" w:hAnsi="Times New Roman" w:cs="Times New Roman"/>
          <w:sz w:val="24"/>
          <w:szCs w:val="24"/>
          <w:lang w:val="en-GB"/>
        </w:rPr>
        <w:t xml:space="preserve">t </w:t>
      </w:r>
      <w:r w:rsidR="00CE7ACD">
        <w:rPr>
          <w:rFonts w:ascii="Times New Roman" w:eastAsia="Helvetica" w:hAnsi="Times New Roman" w:cs="Times New Roman"/>
          <w:sz w:val="24"/>
          <w:szCs w:val="24"/>
          <w:lang w:val="en-GB"/>
        </w:rPr>
        <w:t xml:space="preserve">also </w:t>
      </w:r>
      <w:r w:rsidR="00024137" w:rsidRPr="00FD13F4">
        <w:rPr>
          <w:rFonts w:ascii="Times New Roman" w:eastAsia="Helvetica" w:hAnsi="Times New Roman" w:cs="Times New Roman"/>
          <w:sz w:val="24"/>
          <w:szCs w:val="24"/>
          <w:lang w:val="en-GB"/>
        </w:rPr>
        <w:t xml:space="preserve">provides further </w:t>
      </w:r>
      <w:r w:rsidR="00822BE1" w:rsidRPr="00FD13F4">
        <w:rPr>
          <w:rFonts w:ascii="Times New Roman" w:eastAsia="Helvetica" w:hAnsi="Times New Roman" w:cs="Times New Roman"/>
          <w:sz w:val="24"/>
          <w:szCs w:val="24"/>
          <w:lang w:val="en-GB"/>
        </w:rPr>
        <w:t>detail</w:t>
      </w:r>
      <w:r w:rsidR="00024137" w:rsidRPr="00FD13F4">
        <w:rPr>
          <w:rFonts w:ascii="Times New Roman" w:eastAsia="Helvetica" w:hAnsi="Times New Roman" w:cs="Times New Roman"/>
          <w:sz w:val="24"/>
          <w:szCs w:val="24"/>
          <w:lang w:val="en-GB"/>
        </w:rPr>
        <w:t xml:space="preserve"> on </w:t>
      </w:r>
      <w:r w:rsidR="00822BE1" w:rsidRPr="00FD13F4">
        <w:rPr>
          <w:rFonts w:ascii="Times New Roman" w:eastAsia="Helvetica" w:hAnsi="Times New Roman" w:cs="Times New Roman"/>
          <w:sz w:val="24"/>
          <w:szCs w:val="24"/>
          <w:lang w:val="en-GB"/>
        </w:rPr>
        <w:t>the learning objectives that it aims to deliver and the ways in which they are delivered</w:t>
      </w:r>
      <w:r w:rsidRPr="00FD13F4">
        <w:rPr>
          <w:rFonts w:ascii="Times New Roman" w:eastAsia="Helvetica" w:hAnsi="Times New Roman" w:cs="Times New Roman"/>
          <w:sz w:val="24"/>
          <w:szCs w:val="24"/>
          <w:lang w:val="en-GB"/>
        </w:rPr>
        <w:t xml:space="preserve">. It is worth noting from the outset that as a card game, elements can be removed simply by </w:t>
      </w:r>
      <w:r w:rsidR="0074169D">
        <w:rPr>
          <w:rFonts w:ascii="Times New Roman" w:eastAsia="Helvetica" w:hAnsi="Times New Roman" w:cs="Times New Roman"/>
          <w:sz w:val="24"/>
          <w:szCs w:val="24"/>
          <w:lang w:val="en-GB"/>
        </w:rPr>
        <w:t>removing</w:t>
      </w:r>
      <w:r w:rsidRPr="00FD13F4">
        <w:rPr>
          <w:rFonts w:ascii="Times New Roman" w:eastAsia="Helvetica" w:hAnsi="Times New Roman" w:cs="Times New Roman"/>
          <w:sz w:val="24"/>
          <w:szCs w:val="24"/>
          <w:lang w:val="en-GB"/>
        </w:rPr>
        <w:t xml:space="preserve"> </w:t>
      </w:r>
      <w:r w:rsidR="009F25B7" w:rsidRPr="00FD13F4">
        <w:rPr>
          <w:rFonts w:ascii="Times New Roman" w:eastAsia="Helvetica" w:hAnsi="Times New Roman" w:cs="Times New Roman"/>
          <w:sz w:val="24"/>
          <w:szCs w:val="24"/>
          <w:lang w:val="en-GB"/>
        </w:rPr>
        <w:t>the relevant</w:t>
      </w:r>
      <w:r w:rsidRPr="00FD13F4">
        <w:rPr>
          <w:rFonts w:ascii="Times New Roman" w:eastAsia="Helvetica" w:hAnsi="Times New Roman" w:cs="Times New Roman"/>
          <w:sz w:val="24"/>
          <w:szCs w:val="24"/>
          <w:lang w:val="en-GB"/>
        </w:rPr>
        <w:t xml:space="preserve"> cards </w:t>
      </w:r>
      <w:r w:rsidR="0074169D">
        <w:rPr>
          <w:rFonts w:ascii="Times New Roman" w:eastAsia="Helvetica" w:hAnsi="Times New Roman" w:cs="Times New Roman"/>
          <w:sz w:val="24"/>
          <w:szCs w:val="24"/>
          <w:lang w:val="en-GB"/>
        </w:rPr>
        <w:t>from</w:t>
      </w:r>
      <w:r w:rsidRPr="00FD13F4">
        <w:rPr>
          <w:rFonts w:ascii="Times New Roman" w:eastAsia="Helvetica" w:hAnsi="Times New Roman" w:cs="Times New Roman"/>
          <w:sz w:val="24"/>
          <w:szCs w:val="24"/>
          <w:lang w:val="en-GB"/>
        </w:rPr>
        <w:t xml:space="preserve"> the deck. If tutors wish to focus on one element of legal reasoning in a particular session, or to gradually introduce the more complex elements as part of a scaffolding process, that is easy to achieve. </w:t>
      </w:r>
      <w:r w:rsidR="009D4804" w:rsidRPr="00FD13F4">
        <w:rPr>
          <w:rFonts w:ascii="Times New Roman" w:eastAsia="Helvetica" w:hAnsi="Times New Roman" w:cs="Times New Roman"/>
          <w:b/>
          <w:bCs/>
          <w:sz w:val="24"/>
          <w:szCs w:val="24"/>
          <w:lang w:val="en-GB"/>
        </w:rPr>
        <w:t xml:space="preserve">Figure 1 </w:t>
      </w:r>
      <w:r w:rsidR="00D63F73" w:rsidRPr="00FD13F4">
        <w:rPr>
          <w:rFonts w:ascii="Times New Roman" w:eastAsia="Helvetica" w:hAnsi="Times New Roman" w:cs="Times New Roman"/>
          <w:sz w:val="24"/>
          <w:szCs w:val="24"/>
          <w:lang w:val="en-GB"/>
        </w:rPr>
        <w:t>is</w:t>
      </w:r>
      <w:r w:rsidR="009D4804" w:rsidRPr="00FD13F4">
        <w:rPr>
          <w:rFonts w:ascii="Times New Roman" w:eastAsia="Helvetica" w:hAnsi="Times New Roman" w:cs="Times New Roman"/>
          <w:sz w:val="24"/>
          <w:szCs w:val="24"/>
          <w:lang w:val="en-GB"/>
        </w:rPr>
        <w:t xml:space="preserve"> </w:t>
      </w:r>
      <w:r w:rsidR="00196470">
        <w:rPr>
          <w:rFonts w:ascii="Times New Roman" w:eastAsia="Helvetica" w:hAnsi="Times New Roman" w:cs="Times New Roman"/>
          <w:sz w:val="24"/>
          <w:szCs w:val="24"/>
          <w:lang w:val="en-GB"/>
        </w:rPr>
        <w:t xml:space="preserve">a </w:t>
      </w:r>
      <w:r w:rsidR="00B54299" w:rsidRPr="00FD13F4">
        <w:rPr>
          <w:rFonts w:ascii="Times New Roman" w:eastAsia="Helvetica" w:hAnsi="Times New Roman" w:cs="Times New Roman"/>
          <w:sz w:val="24"/>
          <w:szCs w:val="24"/>
          <w:lang w:val="en-GB"/>
        </w:rPr>
        <w:t>visual guide to the various</w:t>
      </w:r>
      <w:r w:rsidR="00357077">
        <w:rPr>
          <w:rFonts w:ascii="Times New Roman" w:eastAsia="Helvetica" w:hAnsi="Times New Roman" w:cs="Times New Roman"/>
          <w:sz w:val="24"/>
          <w:szCs w:val="24"/>
          <w:lang w:val="en-GB"/>
        </w:rPr>
        <w:t xml:space="preserve"> cards available.</w:t>
      </w:r>
      <w:r w:rsidR="00DE29D2" w:rsidRPr="00FD13F4">
        <w:rPr>
          <w:rStyle w:val="FootnoteReference"/>
          <w:rFonts w:ascii="Times New Roman" w:eastAsia="Helvetica" w:hAnsi="Times New Roman" w:cs="Times New Roman"/>
          <w:b/>
          <w:bCs/>
          <w:sz w:val="24"/>
          <w:szCs w:val="24"/>
          <w:lang w:val="en-GB"/>
        </w:rPr>
        <w:footnoteReference w:id="44"/>
      </w:r>
      <w:r w:rsidR="00C81BF5" w:rsidRPr="00FD13F4">
        <w:rPr>
          <w:rFonts w:ascii="Times New Roman" w:eastAsia="Helvetica" w:hAnsi="Times New Roman" w:cs="Times New Roman"/>
          <w:b/>
          <w:bCs/>
          <w:sz w:val="24"/>
          <w:szCs w:val="24"/>
          <w:lang w:val="en-GB"/>
        </w:rPr>
        <w:t xml:space="preserve"> </w:t>
      </w:r>
      <w:r w:rsidR="00217CD4" w:rsidRPr="00FD13F4">
        <w:rPr>
          <w:rFonts w:ascii="Times New Roman" w:eastAsia="Helvetica" w:hAnsi="Times New Roman" w:cs="Times New Roman"/>
          <w:b/>
          <w:bCs/>
          <w:sz w:val="24"/>
          <w:szCs w:val="24"/>
          <w:lang w:val="en-GB"/>
        </w:rPr>
        <w:t xml:space="preserve"> </w:t>
      </w:r>
      <w:r w:rsidR="0033199A" w:rsidRPr="00FD13F4">
        <w:rPr>
          <w:rFonts w:ascii="Times New Roman" w:eastAsia="Helvetica" w:hAnsi="Times New Roman" w:cs="Times New Roman"/>
          <w:sz w:val="24"/>
          <w:szCs w:val="24"/>
          <w:lang w:val="en-GB"/>
        </w:rPr>
        <w:t>Moreover, when playing, each card contains an explanation of what it does and when it can be used written on it</w:t>
      </w:r>
      <w:r w:rsidR="00683A09" w:rsidRPr="00FD13F4">
        <w:rPr>
          <w:rFonts w:ascii="Times New Roman" w:eastAsia="Helvetica" w:hAnsi="Times New Roman" w:cs="Times New Roman"/>
          <w:sz w:val="24"/>
          <w:szCs w:val="24"/>
          <w:lang w:val="en-GB"/>
        </w:rPr>
        <w:t>, and is colour-coded as to its function, in order to increase accessibility</w:t>
      </w:r>
      <w:r w:rsidR="00FA6332" w:rsidRPr="00FD13F4">
        <w:rPr>
          <w:rFonts w:ascii="Times New Roman" w:eastAsia="Helvetica" w:hAnsi="Times New Roman" w:cs="Times New Roman"/>
          <w:sz w:val="24"/>
          <w:szCs w:val="24"/>
          <w:lang w:val="en-GB"/>
        </w:rPr>
        <w:t xml:space="preserve"> and to make it clearer to the player what their options are.</w:t>
      </w:r>
      <w:r w:rsidR="00D77009">
        <w:rPr>
          <w:rFonts w:ascii="Times New Roman" w:eastAsia="Helvetica" w:hAnsi="Times New Roman" w:cs="Times New Roman"/>
          <w:sz w:val="24"/>
          <w:szCs w:val="24"/>
          <w:lang w:val="en-GB"/>
        </w:rPr>
        <w:t xml:space="preserve"> </w:t>
      </w:r>
      <w:r w:rsidR="005609E4">
        <w:rPr>
          <w:rFonts w:ascii="Times New Roman" w:eastAsia="Helvetica" w:hAnsi="Times New Roman" w:cs="Times New Roman"/>
          <w:sz w:val="24"/>
          <w:szCs w:val="24"/>
          <w:lang w:val="en-GB"/>
        </w:rPr>
        <w:t>Indeed, tutors may simply wish to use the cards to help students visualise the different elements that have been deployed in a given legal argument or judgment.</w:t>
      </w:r>
    </w:p>
    <w:p w14:paraId="77036696" w14:textId="588387CB" w:rsidR="00357077" w:rsidRDefault="00357077" w:rsidP="00F92600">
      <w:pPr>
        <w:pStyle w:val="Body"/>
        <w:spacing w:line="360" w:lineRule="auto"/>
        <w:jc w:val="both"/>
        <w:rPr>
          <w:rFonts w:ascii="Times New Roman" w:eastAsia="Helvetica" w:hAnsi="Times New Roman" w:cs="Times New Roman"/>
          <w:sz w:val="24"/>
          <w:szCs w:val="24"/>
          <w:lang w:val="en-GB"/>
        </w:rPr>
      </w:pPr>
    </w:p>
    <w:p w14:paraId="48FD67F6" w14:textId="7DA7D1CA" w:rsidR="00357077" w:rsidRPr="00FD13F4" w:rsidRDefault="00357077" w:rsidP="00F92600">
      <w:pPr>
        <w:pStyle w:val="Body"/>
        <w:spacing w:line="360" w:lineRule="auto"/>
        <w:jc w:val="both"/>
        <w:rPr>
          <w:rFonts w:ascii="Times New Roman" w:eastAsia="Helvetica" w:hAnsi="Times New Roman" w:cs="Times New Roman"/>
          <w:sz w:val="24"/>
          <w:szCs w:val="24"/>
          <w:lang w:val="en-GB"/>
        </w:rPr>
      </w:pPr>
      <w:r>
        <w:rPr>
          <w:rFonts w:ascii="Times New Roman" w:eastAsia="Helvetica" w:hAnsi="Times New Roman" w:cs="Times New Roman"/>
          <w:sz w:val="24"/>
          <w:szCs w:val="24"/>
          <w:lang w:val="en-GB"/>
        </w:rPr>
        <w:t>[Figure 1 near here]</w:t>
      </w:r>
    </w:p>
    <w:p w14:paraId="10E005FE" w14:textId="77777777" w:rsidR="001B7693" w:rsidRPr="00FD13F4" w:rsidRDefault="001B7693" w:rsidP="00F92600">
      <w:pPr>
        <w:pStyle w:val="Body"/>
        <w:spacing w:line="360" w:lineRule="auto"/>
        <w:jc w:val="both"/>
        <w:rPr>
          <w:rFonts w:ascii="Times New Roman" w:eastAsia="Helvetica" w:hAnsi="Times New Roman" w:cs="Times New Roman"/>
          <w:sz w:val="24"/>
          <w:szCs w:val="24"/>
          <w:lang w:val="en-GB"/>
        </w:rPr>
      </w:pPr>
    </w:p>
    <w:p w14:paraId="39544D0D" w14:textId="233E387F" w:rsidR="000F2950" w:rsidRPr="00FD13F4" w:rsidRDefault="00CA386A" w:rsidP="00F92600">
      <w:pPr>
        <w:pStyle w:val="Body"/>
        <w:spacing w:line="360" w:lineRule="auto"/>
        <w:jc w:val="both"/>
        <w:rPr>
          <w:rFonts w:ascii="Times New Roman" w:eastAsia="Helvetica" w:hAnsi="Times New Roman" w:cs="Times New Roman"/>
          <w:i/>
          <w:iCs/>
          <w:sz w:val="24"/>
          <w:szCs w:val="24"/>
          <w:lang w:val="en-GB"/>
        </w:rPr>
      </w:pPr>
      <w:r>
        <w:rPr>
          <w:rFonts w:ascii="Times New Roman" w:hAnsi="Times New Roman" w:cs="Times New Roman"/>
          <w:i/>
          <w:iCs/>
          <w:sz w:val="24"/>
          <w:szCs w:val="24"/>
          <w:lang w:val="en-GB"/>
        </w:rPr>
        <w:t>3</w:t>
      </w:r>
      <w:r w:rsidR="000F2950" w:rsidRPr="00FD13F4">
        <w:rPr>
          <w:rFonts w:ascii="Times New Roman" w:hAnsi="Times New Roman" w:cs="Times New Roman"/>
          <w:i/>
          <w:iCs/>
          <w:sz w:val="24"/>
          <w:szCs w:val="24"/>
          <w:lang w:val="en-GB"/>
        </w:rPr>
        <w:t>.1. General Principles:</w:t>
      </w:r>
    </w:p>
    <w:p w14:paraId="721CB29A"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4F683C06" w14:textId="0C30DB13" w:rsidR="00A11F2F" w:rsidRPr="00FD13F4" w:rsidRDefault="000F295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can be played by 2-6 players</w:t>
      </w:r>
      <w:r w:rsidR="008622F6" w:rsidRPr="00FD13F4">
        <w:rPr>
          <w:rFonts w:ascii="Times New Roman" w:hAnsi="Times New Roman" w:cs="Times New Roman"/>
          <w:sz w:val="24"/>
          <w:szCs w:val="24"/>
          <w:lang w:val="en-GB"/>
        </w:rPr>
        <w:t>. A</w:t>
      </w:r>
      <w:r w:rsidRPr="00FD13F4">
        <w:rPr>
          <w:rFonts w:ascii="Times New Roman" w:hAnsi="Times New Roman" w:cs="Times New Roman"/>
          <w:sz w:val="24"/>
          <w:szCs w:val="24"/>
          <w:lang w:val="en-GB"/>
        </w:rPr>
        <w:t xml:space="preserve"> typical game takes </w:t>
      </w:r>
      <w:r w:rsidR="00066C99" w:rsidRPr="00FD13F4">
        <w:rPr>
          <w:rFonts w:ascii="Times New Roman" w:hAnsi="Times New Roman" w:cs="Times New Roman"/>
          <w:sz w:val="24"/>
          <w:szCs w:val="24"/>
          <w:lang w:val="en-GB"/>
        </w:rPr>
        <w:t>2</w:t>
      </w:r>
      <w:r w:rsidR="005B28C3">
        <w:rPr>
          <w:rFonts w:ascii="Times New Roman" w:hAnsi="Times New Roman" w:cs="Times New Roman"/>
          <w:sz w:val="24"/>
          <w:szCs w:val="24"/>
          <w:lang w:val="en-GB"/>
        </w:rPr>
        <w:t>0-25</w:t>
      </w:r>
      <w:r w:rsidRPr="00FD13F4">
        <w:rPr>
          <w:rFonts w:ascii="Times New Roman" w:hAnsi="Times New Roman" w:cs="Times New Roman"/>
          <w:sz w:val="24"/>
          <w:szCs w:val="24"/>
          <w:lang w:val="en-GB"/>
        </w:rPr>
        <w:t xml:space="preserve"> minutes, meaning it can be played in a 50-minute seminar session, including the time needed for introduction and debriefing</w:t>
      </w:r>
      <w:r w:rsidR="00C34D1F" w:rsidRPr="00FD13F4">
        <w:rPr>
          <w:rFonts w:ascii="Times New Roman" w:hAnsi="Times New Roman" w:cs="Times New Roman"/>
          <w:sz w:val="24"/>
          <w:szCs w:val="24"/>
          <w:lang w:val="en-GB"/>
        </w:rPr>
        <w:t>, although we do recommend that students and tutors familiarise themselves with the game beforehand</w:t>
      </w:r>
      <w:r w:rsidRPr="00FD13F4">
        <w:rPr>
          <w:rFonts w:ascii="Times New Roman" w:hAnsi="Times New Roman" w:cs="Times New Roman"/>
          <w:sz w:val="24"/>
          <w:szCs w:val="24"/>
          <w:lang w:val="en-GB"/>
        </w:rPr>
        <w:t xml:space="preserve">. </w:t>
      </w:r>
      <w:r w:rsidR="00A11F2F" w:rsidRPr="00FD13F4">
        <w:rPr>
          <w:rFonts w:ascii="Times New Roman" w:hAnsi="Times New Roman" w:cs="Times New Roman"/>
          <w:sz w:val="24"/>
          <w:szCs w:val="24"/>
          <w:lang w:val="en-GB"/>
        </w:rPr>
        <w:t xml:space="preserve">This is not only so that the tutor knows the rules – in that sense, it is a merely another version of the preparation one would ordinarily do for a seminar – but also so that they can consider which aspects of </w:t>
      </w:r>
      <w:r w:rsidR="00A11F2F" w:rsidRPr="00FD13F4">
        <w:rPr>
          <w:rFonts w:ascii="Times New Roman" w:hAnsi="Times New Roman" w:cs="Times New Roman"/>
          <w:i/>
          <w:iCs/>
          <w:sz w:val="24"/>
          <w:szCs w:val="24"/>
          <w:lang w:val="en-GB"/>
        </w:rPr>
        <w:t>Ratio</w:t>
      </w:r>
      <w:r w:rsidR="00A11F2F" w:rsidRPr="00FD13F4">
        <w:rPr>
          <w:rFonts w:ascii="Times New Roman" w:hAnsi="Times New Roman" w:cs="Times New Roman"/>
          <w:sz w:val="24"/>
          <w:szCs w:val="24"/>
          <w:lang w:val="en-GB"/>
        </w:rPr>
        <w:t xml:space="preserve"> are relevant to their class or topic</w:t>
      </w:r>
      <w:r w:rsidR="00066C99" w:rsidRPr="00FD13F4">
        <w:rPr>
          <w:rFonts w:ascii="Times New Roman" w:hAnsi="Times New Roman" w:cs="Times New Roman"/>
          <w:sz w:val="24"/>
          <w:szCs w:val="24"/>
          <w:lang w:val="en-GB"/>
        </w:rPr>
        <w:t xml:space="preserve">, and to identify the extent to which there are sufficient resources available to them to use the game. </w:t>
      </w:r>
      <w:r w:rsidR="00706969">
        <w:rPr>
          <w:rFonts w:ascii="Times New Roman" w:hAnsi="Times New Roman" w:cs="Times New Roman"/>
          <w:sz w:val="24"/>
          <w:szCs w:val="24"/>
          <w:lang w:val="en-GB"/>
        </w:rPr>
        <w:t>It is important that any tutor who uses the game has familiarised themselves with it in advance</w:t>
      </w:r>
      <w:r w:rsidR="00CA386A">
        <w:rPr>
          <w:rFonts w:ascii="Times New Roman" w:hAnsi="Times New Roman" w:cs="Times New Roman"/>
          <w:sz w:val="24"/>
          <w:szCs w:val="24"/>
          <w:lang w:val="en-GB"/>
        </w:rPr>
        <w:t xml:space="preserve">, because GBL requires a clear connection to be made between the activity and the learning outcomes; students must know why they are playing the game. </w:t>
      </w:r>
      <w:r w:rsidR="0074169D">
        <w:rPr>
          <w:rFonts w:ascii="Times New Roman" w:hAnsi="Times New Roman" w:cs="Times New Roman"/>
          <w:sz w:val="24"/>
          <w:szCs w:val="24"/>
          <w:lang w:val="en-GB"/>
        </w:rPr>
        <w:t xml:space="preserve">Our primary intention is that the game is used </w:t>
      </w:r>
      <w:r w:rsidR="00F5148F">
        <w:rPr>
          <w:rFonts w:ascii="Times New Roman" w:hAnsi="Times New Roman" w:cs="Times New Roman"/>
          <w:sz w:val="24"/>
          <w:szCs w:val="24"/>
          <w:lang w:val="en-GB"/>
        </w:rPr>
        <w:t>in an early legal skills or method class, but it can be used in any context where the discussion and knowledge of the mechanics of legal reasoning is desirable.</w:t>
      </w:r>
    </w:p>
    <w:p w14:paraId="2CF7970C" w14:textId="77777777" w:rsidR="00A11F2F" w:rsidRPr="00FD13F4" w:rsidRDefault="00A11F2F" w:rsidP="00F92600">
      <w:pPr>
        <w:pStyle w:val="Body"/>
        <w:spacing w:line="360" w:lineRule="auto"/>
        <w:jc w:val="both"/>
        <w:rPr>
          <w:rFonts w:ascii="Times New Roman" w:hAnsi="Times New Roman" w:cs="Times New Roman"/>
          <w:sz w:val="24"/>
          <w:szCs w:val="24"/>
          <w:lang w:val="en-GB"/>
        </w:rPr>
      </w:pPr>
    </w:p>
    <w:p w14:paraId="7F8B9D3C" w14:textId="76FFC6AB" w:rsidR="00A654A8" w:rsidRDefault="00D77009" w:rsidP="00F92600">
      <w:pPr>
        <w:pStyle w:val="Body"/>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w:t>
      </w:r>
      <w:r w:rsidR="000F2950" w:rsidRPr="00FD13F4">
        <w:rPr>
          <w:rFonts w:ascii="Times New Roman" w:hAnsi="Times New Roman" w:cs="Times New Roman"/>
          <w:sz w:val="24"/>
          <w:szCs w:val="24"/>
          <w:lang w:val="en-GB"/>
        </w:rPr>
        <w:t xml:space="preserve"> core mechanic is simple</w:t>
      </w:r>
      <w:r>
        <w:rPr>
          <w:rFonts w:ascii="Times New Roman" w:hAnsi="Times New Roman" w:cs="Times New Roman"/>
          <w:sz w:val="24"/>
          <w:szCs w:val="24"/>
          <w:lang w:val="en-GB"/>
        </w:rPr>
        <w:t>. P</w:t>
      </w:r>
      <w:r w:rsidR="000F2950" w:rsidRPr="00FD13F4">
        <w:rPr>
          <w:rFonts w:ascii="Times New Roman" w:hAnsi="Times New Roman" w:cs="Times New Roman"/>
          <w:sz w:val="24"/>
          <w:szCs w:val="24"/>
          <w:lang w:val="en-GB"/>
        </w:rPr>
        <w:t>layers take turns to pick up 3 cards from a central pile and add these to their hand. They use their hand to build a judgment by placing certain cards or groups of cards in front of them</w:t>
      </w:r>
      <w:r w:rsidR="009E38F5" w:rsidRPr="00FD13F4">
        <w:rPr>
          <w:rFonts w:ascii="Times New Roman" w:hAnsi="Times New Roman" w:cs="Times New Roman"/>
          <w:sz w:val="24"/>
          <w:szCs w:val="24"/>
          <w:lang w:val="en-GB"/>
        </w:rPr>
        <w:t xml:space="preserve"> (</w:t>
      </w:r>
      <w:r w:rsidR="00DD512C" w:rsidRPr="00FD13F4">
        <w:rPr>
          <w:rFonts w:ascii="Times New Roman" w:hAnsi="Times New Roman" w:cs="Times New Roman"/>
          <w:sz w:val="24"/>
          <w:szCs w:val="24"/>
          <w:lang w:val="en-GB"/>
        </w:rPr>
        <w:t>see</w:t>
      </w:r>
      <w:r w:rsidR="00620D86" w:rsidRPr="00FD13F4">
        <w:rPr>
          <w:rFonts w:ascii="Times New Roman" w:hAnsi="Times New Roman" w:cs="Times New Roman"/>
          <w:sz w:val="24"/>
          <w:szCs w:val="24"/>
          <w:lang w:val="en-GB"/>
        </w:rPr>
        <w:t xml:space="preserve"> </w:t>
      </w:r>
      <w:r w:rsidR="00DD512C" w:rsidRPr="00FD13F4">
        <w:rPr>
          <w:rFonts w:ascii="Times New Roman" w:hAnsi="Times New Roman" w:cs="Times New Roman"/>
          <w:b/>
          <w:bCs/>
          <w:sz w:val="24"/>
          <w:szCs w:val="24"/>
          <w:lang w:val="en-GB"/>
        </w:rPr>
        <w:t>Figure</w:t>
      </w:r>
      <w:r w:rsidR="009E38F5" w:rsidRPr="00FD13F4">
        <w:rPr>
          <w:rFonts w:ascii="Times New Roman" w:hAnsi="Times New Roman" w:cs="Times New Roman"/>
          <w:b/>
          <w:bCs/>
          <w:sz w:val="24"/>
          <w:szCs w:val="24"/>
          <w:lang w:val="en-GB"/>
        </w:rPr>
        <w:t xml:space="preserve"> </w:t>
      </w:r>
      <w:r w:rsidR="00357077">
        <w:rPr>
          <w:rFonts w:ascii="Times New Roman" w:hAnsi="Times New Roman" w:cs="Times New Roman"/>
          <w:b/>
          <w:bCs/>
          <w:sz w:val="24"/>
          <w:szCs w:val="24"/>
          <w:lang w:val="en-GB"/>
        </w:rPr>
        <w:t>2</w:t>
      </w:r>
      <w:r w:rsidR="00357077">
        <w:rPr>
          <w:rFonts w:ascii="Times New Roman" w:hAnsi="Times New Roman" w:cs="Times New Roman"/>
          <w:sz w:val="24"/>
          <w:szCs w:val="24"/>
          <w:lang w:val="en-GB"/>
        </w:rPr>
        <w:t>)</w:t>
      </w:r>
      <w:r w:rsidR="009E38F5" w:rsidRPr="00FD13F4">
        <w:rPr>
          <w:rFonts w:ascii="Times New Roman" w:hAnsi="Times New Roman" w:cs="Times New Roman"/>
          <w:sz w:val="24"/>
          <w:szCs w:val="24"/>
          <w:lang w:val="en-GB"/>
        </w:rPr>
        <w:t>,</w:t>
      </w:r>
      <w:r w:rsidR="00D37CC9" w:rsidRPr="00D37CC9">
        <w:rPr>
          <w:rStyle w:val="FootnoteReference"/>
          <w:rFonts w:ascii="Times New Roman" w:hAnsi="Times New Roman" w:cs="Times New Roman"/>
          <w:sz w:val="24"/>
          <w:szCs w:val="24"/>
          <w:lang w:val="en-GB"/>
        </w:rPr>
        <w:t xml:space="preserve"> </w:t>
      </w:r>
      <w:r w:rsidR="00D37CC9">
        <w:rPr>
          <w:rStyle w:val="FootnoteReference"/>
          <w:rFonts w:ascii="Times New Roman" w:hAnsi="Times New Roman" w:cs="Times New Roman"/>
          <w:sz w:val="24"/>
          <w:szCs w:val="24"/>
          <w:lang w:val="en-GB"/>
        </w:rPr>
        <w:footnoteReference w:id="45"/>
      </w:r>
      <w:r w:rsidR="00D37CC9" w:rsidRPr="00FD13F4">
        <w:rPr>
          <w:rFonts w:ascii="Times New Roman" w:hAnsi="Times New Roman" w:cs="Times New Roman"/>
          <w:sz w:val="24"/>
          <w:szCs w:val="24"/>
          <w:lang w:val="en-GB"/>
        </w:rPr>
        <w:t xml:space="preserve"> </w:t>
      </w:r>
      <w:r w:rsidR="000F2950" w:rsidRPr="00FD13F4">
        <w:rPr>
          <w:rFonts w:ascii="Times New Roman" w:hAnsi="Times New Roman" w:cs="Times New Roman"/>
          <w:sz w:val="24"/>
          <w:szCs w:val="24"/>
          <w:lang w:val="en-GB"/>
        </w:rPr>
        <w:t xml:space="preserve">or they use it to modify other players’ </w:t>
      </w:r>
      <w:r w:rsidR="000E5285" w:rsidRPr="00FD13F4">
        <w:rPr>
          <w:rFonts w:ascii="Times New Roman" w:hAnsi="Times New Roman" w:cs="Times New Roman"/>
          <w:sz w:val="24"/>
          <w:szCs w:val="24"/>
          <w:lang w:val="en-GB"/>
        </w:rPr>
        <w:t>judgments</w:t>
      </w:r>
      <w:r w:rsidR="000F2950" w:rsidRPr="00FD13F4">
        <w:rPr>
          <w:rFonts w:ascii="Times New Roman" w:hAnsi="Times New Roman" w:cs="Times New Roman"/>
          <w:sz w:val="24"/>
          <w:szCs w:val="24"/>
          <w:lang w:val="en-GB"/>
        </w:rPr>
        <w:t xml:space="preserve"> by playing a card in </w:t>
      </w:r>
      <w:r w:rsidR="000F2950" w:rsidRPr="00FD13F4">
        <w:rPr>
          <w:rFonts w:ascii="Times New Roman" w:hAnsi="Times New Roman" w:cs="Times New Roman"/>
          <w:sz w:val="24"/>
          <w:szCs w:val="24"/>
          <w:lang w:val="en-GB"/>
        </w:rPr>
        <w:lastRenderedPageBreak/>
        <w:t>front of another player</w:t>
      </w:r>
      <w:r w:rsidR="00241ADD" w:rsidRPr="00FD13F4">
        <w:rPr>
          <w:rFonts w:ascii="Times New Roman" w:hAnsi="Times New Roman" w:cs="Times New Roman"/>
          <w:sz w:val="24"/>
          <w:szCs w:val="24"/>
          <w:lang w:val="en-GB"/>
        </w:rPr>
        <w:t>.</w:t>
      </w:r>
      <w:r w:rsidR="00920BE2">
        <w:rPr>
          <w:rFonts w:ascii="Times New Roman" w:hAnsi="Times New Roman" w:cs="Times New Roman"/>
          <w:sz w:val="24"/>
          <w:szCs w:val="24"/>
          <w:lang w:val="en-GB"/>
        </w:rPr>
        <w:t xml:space="preserve"> </w:t>
      </w:r>
      <w:r w:rsidR="00336C43" w:rsidRPr="00FD13F4">
        <w:rPr>
          <w:rFonts w:ascii="Times New Roman" w:hAnsi="Times New Roman" w:cs="Times New Roman"/>
          <w:sz w:val="24"/>
          <w:szCs w:val="24"/>
          <w:lang w:val="en-GB"/>
        </w:rPr>
        <w:t>Each card adds or subtracts points.</w:t>
      </w:r>
      <w:r w:rsidR="00241ADD" w:rsidRPr="00FD13F4">
        <w:rPr>
          <w:rFonts w:ascii="Times New Roman" w:hAnsi="Times New Roman" w:cs="Times New Roman"/>
          <w:sz w:val="24"/>
          <w:szCs w:val="24"/>
          <w:lang w:val="en-GB"/>
        </w:rPr>
        <w:t xml:space="preserve"> </w:t>
      </w:r>
      <w:r w:rsidR="000F2950" w:rsidRPr="00FD13F4">
        <w:rPr>
          <w:rFonts w:ascii="Times New Roman" w:hAnsi="Times New Roman" w:cs="Times New Roman"/>
          <w:sz w:val="24"/>
          <w:szCs w:val="24"/>
          <w:lang w:val="en-GB"/>
        </w:rPr>
        <w:t xml:space="preserve">After 5 turns the game ends and the player with the most points wins. </w:t>
      </w:r>
      <w:r w:rsidR="0096298A" w:rsidRPr="00FD13F4">
        <w:rPr>
          <w:rFonts w:ascii="Times New Roman" w:hAnsi="Times New Roman" w:cs="Times New Roman"/>
          <w:sz w:val="24"/>
          <w:szCs w:val="24"/>
          <w:lang w:val="en-GB"/>
        </w:rPr>
        <w:t>The game can, if desired, be extended beyond 5</w:t>
      </w:r>
      <w:r w:rsidR="00140D6E">
        <w:rPr>
          <w:rFonts w:ascii="Times New Roman" w:hAnsi="Times New Roman" w:cs="Times New Roman"/>
          <w:sz w:val="24"/>
          <w:szCs w:val="24"/>
          <w:lang w:val="en-GB"/>
        </w:rPr>
        <w:t xml:space="preserve"> turns</w:t>
      </w:r>
      <w:r w:rsidR="0096298A" w:rsidRPr="00FD13F4">
        <w:rPr>
          <w:rFonts w:ascii="Times New Roman" w:hAnsi="Times New Roman" w:cs="Times New Roman"/>
          <w:sz w:val="24"/>
          <w:szCs w:val="24"/>
          <w:lang w:val="en-GB"/>
        </w:rPr>
        <w:t xml:space="preserve">, but we have found that 5 turns strikes the best balance between speed and gameplay. </w:t>
      </w:r>
      <w:r w:rsidR="00706969">
        <w:rPr>
          <w:rFonts w:ascii="Times New Roman" w:hAnsi="Times New Roman" w:cs="Times New Roman"/>
          <w:sz w:val="24"/>
          <w:szCs w:val="24"/>
          <w:lang w:val="en-GB"/>
        </w:rPr>
        <w:t xml:space="preserve">There is also a simplified version of the game, in which the first person to form and play a valid </w:t>
      </w:r>
      <w:r w:rsidR="00706969">
        <w:rPr>
          <w:rFonts w:ascii="Times New Roman" w:hAnsi="Times New Roman" w:cs="Times New Roman"/>
          <w:i/>
          <w:iCs/>
          <w:sz w:val="24"/>
          <w:szCs w:val="24"/>
          <w:lang w:val="en-GB"/>
        </w:rPr>
        <w:t>ratio decidendi</w:t>
      </w:r>
      <w:r w:rsidR="00706969">
        <w:rPr>
          <w:rFonts w:ascii="Times New Roman" w:hAnsi="Times New Roman" w:cs="Times New Roman"/>
          <w:sz w:val="24"/>
          <w:szCs w:val="24"/>
          <w:lang w:val="en-GB"/>
        </w:rPr>
        <w:t xml:space="preserve"> wins.</w:t>
      </w:r>
      <w:r w:rsidR="004F6FE1">
        <w:rPr>
          <w:rFonts w:ascii="Times New Roman" w:hAnsi="Times New Roman" w:cs="Times New Roman"/>
          <w:sz w:val="24"/>
          <w:szCs w:val="24"/>
          <w:lang w:val="en-GB"/>
        </w:rPr>
        <w:t xml:space="preserve"> This is a quicker way to play the game </w:t>
      </w:r>
      <w:r w:rsidR="00A654A8">
        <w:rPr>
          <w:rFonts w:ascii="Times New Roman" w:hAnsi="Times New Roman" w:cs="Times New Roman"/>
          <w:sz w:val="24"/>
          <w:szCs w:val="24"/>
          <w:lang w:val="en-GB"/>
        </w:rPr>
        <w:t xml:space="preserve">and may be more suitable for colleagues with less time available, or who want an easier introduction to GBL. </w:t>
      </w:r>
    </w:p>
    <w:p w14:paraId="157A3BC0" w14:textId="77777777" w:rsidR="00A654A8" w:rsidRPr="00FD13F4" w:rsidRDefault="00A654A8" w:rsidP="00F92600">
      <w:pPr>
        <w:pStyle w:val="Body"/>
        <w:spacing w:line="360" w:lineRule="auto"/>
        <w:jc w:val="both"/>
        <w:rPr>
          <w:rFonts w:ascii="Times New Roman" w:hAnsi="Times New Roman" w:cs="Times New Roman"/>
          <w:sz w:val="24"/>
          <w:szCs w:val="24"/>
          <w:lang w:val="en-GB"/>
        </w:rPr>
      </w:pPr>
    </w:p>
    <w:p w14:paraId="7653154F" w14:textId="785B394C" w:rsidR="00E16704" w:rsidRPr="00FD13F4" w:rsidRDefault="00E16704"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[Figure </w:t>
      </w:r>
      <w:r w:rsidR="00357077">
        <w:rPr>
          <w:rFonts w:ascii="Times New Roman" w:hAnsi="Times New Roman" w:cs="Times New Roman"/>
          <w:sz w:val="24"/>
          <w:szCs w:val="24"/>
          <w:lang w:val="en-GB"/>
        </w:rPr>
        <w:t xml:space="preserve">2 </w:t>
      </w:r>
      <w:r w:rsidRPr="00FD13F4">
        <w:rPr>
          <w:rFonts w:ascii="Times New Roman" w:hAnsi="Times New Roman" w:cs="Times New Roman"/>
          <w:sz w:val="24"/>
          <w:szCs w:val="24"/>
          <w:lang w:val="en-GB"/>
        </w:rPr>
        <w:t>near here]</w:t>
      </w:r>
    </w:p>
    <w:p w14:paraId="672054AC" w14:textId="77777777" w:rsidR="000F2950" w:rsidRPr="00FD13F4" w:rsidRDefault="000F2950" w:rsidP="00F92600">
      <w:pPr>
        <w:pStyle w:val="Body"/>
        <w:spacing w:line="360" w:lineRule="auto"/>
        <w:jc w:val="both"/>
        <w:rPr>
          <w:rFonts w:ascii="Times New Roman" w:hAnsi="Times New Roman" w:cs="Times New Roman"/>
          <w:sz w:val="24"/>
          <w:szCs w:val="24"/>
          <w:lang w:val="en-GB"/>
        </w:rPr>
      </w:pPr>
    </w:p>
    <w:p w14:paraId="0F01715D" w14:textId="3EACD4D3" w:rsidR="00706969" w:rsidRDefault="000F2950" w:rsidP="001B7693">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A player is only eligible for victory if they have formed at least one </w:t>
      </w:r>
      <w:r w:rsidRPr="00FD13F4">
        <w:rPr>
          <w:rFonts w:ascii="Times New Roman" w:hAnsi="Times New Roman" w:cs="Times New Roman"/>
          <w:i/>
          <w:iCs/>
          <w:sz w:val="24"/>
          <w:szCs w:val="24"/>
          <w:lang w:val="en-GB"/>
        </w:rPr>
        <w:t>ratio decidendi</w:t>
      </w:r>
      <w:r w:rsidRPr="00FD13F4">
        <w:rPr>
          <w:rFonts w:ascii="Times New Roman" w:hAnsi="Times New Roman" w:cs="Times New Roman"/>
          <w:sz w:val="24"/>
          <w:szCs w:val="24"/>
          <w:lang w:val="en-GB"/>
        </w:rPr>
        <w:t xml:space="preserve"> </w:t>
      </w:r>
      <w:r w:rsidR="00BD25B2" w:rsidRPr="00FD13F4">
        <w:rPr>
          <w:rFonts w:ascii="Times New Roman" w:hAnsi="Times New Roman" w:cs="Times New Roman"/>
          <w:sz w:val="24"/>
          <w:szCs w:val="24"/>
          <w:lang w:val="en-GB"/>
        </w:rPr>
        <w:t>which</w:t>
      </w:r>
      <w:r w:rsidRPr="00FD13F4">
        <w:rPr>
          <w:rFonts w:ascii="Times New Roman" w:hAnsi="Times New Roman" w:cs="Times New Roman"/>
          <w:sz w:val="24"/>
          <w:szCs w:val="24"/>
          <w:lang w:val="en-GB"/>
        </w:rPr>
        <w:t xml:space="preserve"> remains in play at the end of the game. The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is formed by combining</w:t>
      </w:r>
      <w:r w:rsidR="0096298A" w:rsidRPr="00FD13F4">
        <w:rPr>
          <w:rFonts w:ascii="Times New Roman" w:hAnsi="Times New Roman" w:cs="Times New Roman"/>
          <w:sz w:val="24"/>
          <w:szCs w:val="24"/>
          <w:lang w:val="en-GB"/>
        </w:rPr>
        <w:t xml:space="preserve"> at least</w:t>
      </w:r>
      <w:r w:rsidRPr="00FD13F4">
        <w:rPr>
          <w:rFonts w:ascii="Times New Roman" w:hAnsi="Times New Roman" w:cs="Times New Roman"/>
          <w:sz w:val="24"/>
          <w:szCs w:val="24"/>
          <w:lang w:val="en-GB"/>
        </w:rPr>
        <w:t xml:space="preserve"> three cards: an ‘</w:t>
      </w:r>
      <w:r w:rsidR="00974155" w:rsidRPr="00FD13F4">
        <w:rPr>
          <w:rFonts w:ascii="Times New Roman" w:hAnsi="Times New Roman" w:cs="Times New Roman"/>
          <w:sz w:val="24"/>
          <w:szCs w:val="24"/>
          <w:lang w:val="en-GB"/>
        </w:rPr>
        <w:t>Ar</w:t>
      </w:r>
      <w:r w:rsidRPr="00FD13F4">
        <w:rPr>
          <w:rFonts w:ascii="Times New Roman" w:hAnsi="Times New Roman" w:cs="Times New Roman"/>
          <w:sz w:val="24"/>
          <w:szCs w:val="24"/>
          <w:lang w:val="en-GB"/>
        </w:rPr>
        <w:t>gument’, a ‘</w:t>
      </w:r>
      <w:r w:rsidR="00706969">
        <w:rPr>
          <w:rFonts w:ascii="Times New Roman" w:hAnsi="Times New Roman" w:cs="Times New Roman"/>
          <w:sz w:val="24"/>
          <w:szCs w:val="24"/>
          <w:lang w:val="en-GB"/>
        </w:rPr>
        <w:t>Discussion’</w:t>
      </w:r>
      <w:r w:rsidRPr="00FD13F4">
        <w:rPr>
          <w:rFonts w:ascii="Times New Roman" w:hAnsi="Times New Roman" w:cs="Times New Roman"/>
          <w:sz w:val="24"/>
          <w:szCs w:val="24"/>
          <w:lang w:val="en-GB"/>
        </w:rPr>
        <w:t>, and an ‘</w:t>
      </w:r>
      <w:r w:rsidR="00974155" w:rsidRPr="00FD13F4">
        <w:rPr>
          <w:rFonts w:ascii="Times New Roman" w:hAnsi="Times New Roman" w:cs="Times New Roman"/>
          <w:sz w:val="24"/>
          <w:szCs w:val="24"/>
          <w:lang w:val="en-GB"/>
        </w:rPr>
        <w:t>A</w:t>
      </w:r>
      <w:r w:rsidRPr="00FD13F4">
        <w:rPr>
          <w:rFonts w:ascii="Times New Roman" w:hAnsi="Times New Roman" w:cs="Times New Roman"/>
          <w:sz w:val="24"/>
          <w:szCs w:val="24"/>
          <w:lang w:val="en-GB"/>
        </w:rPr>
        <w:t xml:space="preserve">uthority’. There are four types of authority cards. Academic authorities cannot normally be used to form a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There are two case authority cards, both of which can support a </w:t>
      </w:r>
      <w:r w:rsidRPr="00FD13F4">
        <w:rPr>
          <w:rFonts w:ascii="Times New Roman" w:hAnsi="Times New Roman" w:cs="Times New Roman"/>
          <w:i/>
          <w:iCs/>
          <w:sz w:val="24"/>
          <w:szCs w:val="24"/>
          <w:lang w:val="en-GB"/>
        </w:rPr>
        <w:t>ratio</w:t>
      </w:r>
      <w:r w:rsidR="00C81BF5"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the simple ‘Case Authority’ and a ‘Leading Case’ which is worth more points. Both kinds can also be ‘overruled’ by another player in certain circumstances (</w:t>
      </w:r>
      <w:r w:rsidR="008622F6" w:rsidRPr="00FD13F4">
        <w:rPr>
          <w:rFonts w:ascii="Times New Roman" w:hAnsi="Times New Roman" w:cs="Times New Roman"/>
          <w:sz w:val="24"/>
          <w:szCs w:val="24"/>
          <w:lang w:val="en-GB"/>
        </w:rPr>
        <w:t xml:space="preserve">see </w:t>
      </w:r>
      <w:r w:rsidR="003D63CC">
        <w:rPr>
          <w:rFonts w:ascii="Times New Roman" w:hAnsi="Times New Roman" w:cs="Times New Roman"/>
          <w:sz w:val="24"/>
          <w:szCs w:val="24"/>
          <w:lang w:val="en-GB"/>
        </w:rPr>
        <w:t>3</w:t>
      </w:r>
      <w:r w:rsidR="008622F6" w:rsidRPr="00FD13F4">
        <w:rPr>
          <w:rFonts w:ascii="Times New Roman" w:hAnsi="Times New Roman" w:cs="Times New Roman"/>
          <w:sz w:val="24"/>
          <w:szCs w:val="24"/>
          <w:lang w:val="en-GB"/>
        </w:rPr>
        <w:t>.3)</w:t>
      </w:r>
      <w:r w:rsidRPr="00FD13F4">
        <w:rPr>
          <w:rFonts w:ascii="Times New Roman" w:hAnsi="Times New Roman" w:cs="Times New Roman"/>
          <w:sz w:val="24"/>
          <w:szCs w:val="24"/>
          <w:lang w:val="en-GB"/>
        </w:rPr>
        <w:t xml:space="preserve"> which in turn invalidates the ratio </w:t>
      </w:r>
      <w:r w:rsidR="00F5148F">
        <w:rPr>
          <w:rFonts w:ascii="Times New Roman" w:hAnsi="Times New Roman" w:cs="Times New Roman"/>
          <w:sz w:val="24"/>
          <w:szCs w:val="24"/>
          <w:lang w:val="en-GB"/>
        </w:rPr>
        <w:t>which they</w:t>
      </w:r>
      <w:r w:rsidRPr="00FD13F4">
        <w:rPr>
          <w:rFonts w:ascii="Times New Roman" w:hAnsi="Times New Roman" w:cs="Times New Roman"/>
          <w:sz w:val="24"/>
          <w:szCs w:val="24"/>
          <w:lang w:val="en-GB"/>
        </w:rPr>
        <w:t xml:space="preserve"> support. Finally, a statutory authority can be used. The advantage of this authority is that it cannot be overruled by other </w:t>
      </w:r>
      <w:r w:rsidR="00F5148F">
        <w:rPr>
          <w:rFonts w:ascii="Times New Roman" w:hAnsi="Times New Roman" w:cs="Times New Roman"/>
          <w:sz w:val="24"/>
          <w:szCs w:val="24"/>
          <w:lang w:val="en-GB"/>
        </w:rPr>
        <w:t>players</w:t>
      </w:r>
      <w:r w:rsidRPr="00FD13F4">
        <w:rPr>
          <w:rFonts w:ascii="Times New Roman" w:hAnsi="Times New Roman" w:cs="Times New Roman"/>
          <w:sz w:val="24"/>
          <w:szCs w:val="24"/>
          <w:lang w:val="en-GB"/>
        </w:rPr>
        <w:t>, reflecting the hierarchy of legal rules within which lawyers work. Alternatively, a student can use the ‘Policy Judgment’ card instead of an authority</w:t>
      </w:r>
      <w:r w:rsidR="00267EC3">
        <w:rPr>
          <w:rFonts w:ascii="Times New Roman" w:hAnsi="Times New Roman" w:cs="Times New Roman"/>
          <w:sz w:val="24"/>
          <w:szCs w:val="24"/>
          <w:lang w:val="en-GB"/>
        </w:rPr>
        <w:t xml:space="preserve"> </w:t>
      </w:r>
      <w:r w:rsidR="00706969">
        <w:rPr>
          <w:rFonts w:ascii="Times New Roman" w:hAnsi="Times New Roman" w:cs="Times New Roman"/>
          <w:sz w:val="24"/>
          <w:szCs w:val="24"/>
          <w:lang w:val="en-GB"/>
        </w:rPr>
        <w:t>(this is another element which tutors might want to omit, depending on what aspects of reasoning they wish to highlight)</w:t>
      </w:r>
      <w:r w:rsidRPr="00FD13F4">
        <w:rPr>
          <w:rFonts w:ascii="Times New Roman" w:hAnsi="Times New Roman" w:cs="Times New Roman"/>
          <w:sz w:val="24"/>
          <w:szCs w:val="24"/>
          <w:lang w:val="en-GB"/>
        </w:rPr>
        <w:t>.</w:t>
      </w:r>
      <w:r w:rsidR="009948ED">
        <w:rPr>
          <w:rStyle w:val="FootnoteReference"/>
          <w:rFonts w:ascii="Times New Roman" w:hAnsi="Times New Roman" w:cs="Times New Roman"/>
          <w:sz w:val="24"/>
          <w:szCs w:val="24"/>
          <w:lang w:val="en-GB"/>
        </w:rPr>
        <w:footnoteReference w:id="46"/>
      </w:r>
    </w:p>
    <w:p w14:paraId="11EBF057" w14:textId="77777777" w:rsidR="00706969" w:rsidRDefault="00706969" w:rsidP="001B7693">
      <w:pPr>
        <w:pStyle w:val="Body"/>
        <w:spacing w:line="360" w:lineRule="auto"/>
        <w:jc w:val="both"/>
        <w:rPr>
          <w:rFonts w:ascii="Times New Roman" w:hAnsi="Times New Roman" w:cs="Times New Roman"/>
          <w:sz w:val="24"/>
          <w:szCs w:val="24"/>
          <w:lang w:val="en-GB"/>
        </w:rPr>
      </w:pPr>
    </w:p>
    <w:p w14:paraId="025518C4" w14:textId="36DF13B3" w:rsidR="00C34EAA" w:rsidRPr="00FD13F4" w:rsidRDefault="000F2950" w:rsidP="001B7693">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The purpose of this is not only to visually show </w:t>
      </w:r>
      <w:r w:rsidR="00706969">
        <w:rPr>
          <w:rFonts w:ascii="Times New Roman" w:hAnsi="Times New Roman" w:cs="Times New Roman"/>
          <w:sz w:val="24"/>
          <w:szCs w:val="24"/>
          <w:lang w:val="en-GB"/>
        </w:rPr>
        <w:t>the reasoning process</w:t>
      </w:r>
      <w:r w:rsidRPr="00FD13F4">
        <w:rPr>
          <w:rFonts w:ascii="Times New Roman" w:hAnsi="Times New Roman" w:cs="Times New Roman"/>
          <w:sz w:val="24"/>
          <w:szCs w:val="24"/>
          <w:lang w:val="en-GB"/>
        </w:rPr>
        <w:t xml:space="preserve">, but to encourage students to think carefully about what sort of authorities they should deploy to support their arguments, and when they should do so. Creating a </w:t>
      </w:r>
      <w:r w:rsidRPr="00FD13F4">
        <w:rPr>
          <w:rFonts w:ascii="Times New Roman" w:hAnsi="Times New Roman" w:cs="Times New Roman"/>
          <w:i/>
          <w:iCs/>
          <w:sz w:val="24"/>
          <w:szCs w:val="24"/>
          <w:lang w:val="en-GB"/>
        </w:rPr>
        <w:t>ratio</w:t>
      </w:r>
      <w:r w:rsidR="00C81BF5" w:rsidRPr="00FD13F4">
        <w:rPr>
          <w:rFonts w:ascii="Times New Roman" w:hAnsi="Times New Roman" w:cs="Times New Roman"/>
          <w:i/>
          <w:iCs/>
          <w:sz w:val="24"/>
          <w:szCs w:val="24"/>
          <w:lang w:val="en-GB"/>
        </w:rPr>
        <w:t xml:space="preserve"> </w:t>
      </w:r>
      <w:r w:rsidRPr="00FD13F4">
        <w:rPr>
          <w:rFonts w:ascii="Times New Roman" w:hAnsi="Times New Roman" w:cs="Times New Roman"/>
          <w:sz w:val="24"/>
          <w:szCs w:val="24"/>
          <w:lang w:val="en-GB"/>
        </w:rPr>
        <w:t>is not just a mechanical exercise approximating the IRAC method; it is a critical one which encourages students to think carefully about the elements of legal reasoning and fosters multiple opportunities for further discussion.</w:t>
      </w:r>
      <w:r w:rsidR="001B7693" w:rsidRPr="00FD13F4">
        <w:rPr>
          <w:rFonts w:ascii="Times New Roman" w:hAnsi="Times New Roman" w:cs="Times New Roman"/>
          <w:sz w:val="24"/>
          <w:szCs w:val="24"/>
          <w:lang w:val="en-GB"/>
        </w:rPr>
        <w:t xml:space="preserve"> </w:t>
      </w:r>
    </w:p>
    <w:p w14:paraId="54757BD5" w14:textId="77777777" w:rsidR="008D63F4" w:rsidRPr="00FD13F4" w:rsidRDefault="008D63F4" w:rsidP="00F92600">
      <w:pPr>
        <w:pStyle w:val="Body"/>
        <w:spacing w:line="360" w:lineRule="auto"/>
        <w:jc w:val="both"/>
        <w:rPr>
          <w:rFonts w:ascii="Times New Roman" w:eastAsia="Helvetica" w:hAnsi="Times New Roman" w:cs="Times New Roman"/>
          <w:sz w:val="24"/>
          <w:szCs w:val="24"/>
          <w:lang w:val="en-GB"/>
        </w:rPr>
      </w:pPr>
    </w:p>
    <w:p w14:paraId="7130CC30" w14:textId="4B3ECC02" w:rsidR="000F2950" w:rsidRPr="00FD13F4" w:rsidRDefault="00706969" w:rsidP="00F92600">
      <w:pPr>
        <w:pStyle w:val="Body"/>
        <w:spacing w:line="360" w:lineRule="auto"/>
        <w:jc w:val="both"/>
        <w:rPr>
          <w:rFonts w:ascii="Times New Roman" w:eastAsia="Helvetica" w:hAnsi="Times New Roman" w:cs="Times New Roman"/>
          <w:i/>
          <w:iCs/>
          <w:sz w:val="24"/>
          <w:szCs w:val="24"/>
          <w:lang w:val="en-GB"/>
        </w:rPr>
      </w:pPr>
      <w:r>
        <w:rPr>
          <w:rFonts w:ascii="Times New Roman" w:hAnsi="Times New Roman" w:cs="Times New Roman"/>
          <w:i/>
          <w:iCs/>
          <w:sz w:val="24"/>
          <w:szCs w:val="24"/>
          <w:lang w:val="en-GB"/>
        </w:rPr>
        <w:t>3</w:t>
      </w:r>
      <w:r w:rsidR="000F2950" w:rsidRPr="00FD13F4">
        <w:rPr>
          <w:rFonts w:ascii="Times New Roman" w:hAnsi="Times New Roman" w:cs="Times New Roman"/>
          <w:i/>
          <w:iCs/>
          <w:sz w:val="24"/>
          <w:szCs w:val="24"/>
          <w:lang w:val="en-GB"/>
        </w:rPr>
        <w:t>.2. Modifying Your Own Score</w:t>
      </w:r>
    </w:p>
    <w:p w14:paraId="78164399"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092C2FA9" w14:textId="056EAF06"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r w:rsidRPr="00FD13F4">
        <w:rPr>
          <w:rFonts w:ascii="Times New Roman" w:hAnsi="Times New Roman" w:cs="Times New Roman"/>
          <w:sz w:val="24"/>
          <w:szCs w:val="24"/>
          <w:lang w:val="en-GB"/>
        </w:rPr>
        <w:t xml:space="preserve">A player can increase their score in several ways. Each is designed to simulate the creation of a more complex judgment and encourage deeper consideration of what is valuable about judgments, either during or after gameplay. There are three categories: cards which focus on the reading and role of </w:t>
      </w:r>
      <w:r w:rsidRPr="00FD13F4">
        <w:rPr>
          <w:rFonts w:ascii="Times New Roman" w:hAnsi="Times New Roman" w:cs="Times New Roman"/>
          <w:sz w:val="24"/>
          <w:szCs w:val="24"/>
          <w:lang w:val="en-GB"/>
        </w:rPr>
        <w:lastRenderedPageBreak/>
        <w:t>case law; those which improve the value of your judgment</w:t>
      </w:r>
      <w:r w:rsidR="00F977CA" w:rsidRPr="00FD13F4">
        <w:rPr>
          <w:rFonts w:ascii="Times New Roman" w:hAnsi="Times New Roman" w:cs="Times New Roman"/>
          <w:sz w:val="24"/>
          <w:szCs w:val="24"/>
          <w:lang w:val="en-GB"/>
        </w:rPr>
        <w:t>; and those which engage the fact-law relationship.</w:t>
      </w:r>
    </w:p>
    <w:p w14:paraId="7F2D093C"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7DC82E64" w14:textId="076D771A"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r w:rsidRPr="00FD13F4">
        <w:rPr>
          <w:rFonts w:ascii="Times New Roman" w:hAnsi="Times New Roman" w:cs="Times New Roman"/>
          <w:sz w:val="24"/>
          <w:szCs w:val="24"/>
          <w:lang w:val="en-GB"/>
        </w:rPr>
        <w:t>The first category is designed to make players appreciate the content and effect of case law beyond its famous passages or headnote, and to introduce or reinforce the importance of reading cases carefully, a skill that is often neglected by students.</w:t>
      </w:r>
      <w:r w:rsidRPr="00FD13F4">
        <w:rPr>
          <w:rFonts w:ascii="Times New Roman" w:eastAsia="Helvetica" w:hAnsi="Times New Roman" w:cs="Times New Roman"/>
          <w:sz w:val="24"/>
          <w:szCs w:val="24"/>
          <w:vertAlign w:val="superscript"/>
          <w:lang w:val="en-GB"/>
        </w:rPr>
        <w:footnoteReference w:id="47"/>
      </w:r>
      <w:r w:rsidRPr="00FD13F4">
        <w:rPr>
          <w:rFonts w:ascii="Times New Roman" w:hAnsi="Times New Roman" w:cs="Times New Roman"/>
          <w:sz w:val="24"/>
          <w:szCs w:val="24"/>
          <w:lang w:val="en-GB"/>
        </w:rPr>
        <w:t xml:space="preserve">  A player can signal that their judgment has considered applicable case law but chosen to take a different direction by adding the ‘</w:t>
      </w:r>
      <w:r w:rsidR="001A7A7E" w:rsidRPr="00FD13F4">
        <w:rPr>
          <w:rFonts w:ascii="Times New Roman" w:hAnsi="Times New Roman" w:cs="Times New Roman"/>
          <w:sz w:val="24"/>
          <w:szCs w:val="24"/>
          <w:lang w:val="en-GB"/>
        </w:rPr>
        <w:t>D</w:t>
      </w:r>
      <w:r w:rsidRPr="00FD13F4">
        <w:rPr>
          <w:rFonts w:ascii="Times New Roman" w:hAnsi="Times New Roman" w:cs="Times New Roman"/>
          <w:sz w:val="24"/>
          <w:szCs w:val="24"/>
          <w:lang w:val="en-GB"/>
        </w:rPr>
        <w:t xml:space="preserve">istinction’ card to their judgment. They can also create </w:t>
      </w:r>
      <w:r w:rsidRPr="00FD13F4">
        <w:rPr>
          <w:rFonts w:ascii="Times New Roman" w:hAnsi="Times New Roman" w:cs="Times New Roman"/>
          <w:i/>
          <w:iCs/>
          <w:sz w:val="24"/>
          <w:szCs w:val="24"/>
          <w:lang w:val="en-GB"/>
        </w:rPr>
        <w:t xml:space="preserve">obiter </w:t>
      </w:r>
      <w:r w:rsidRPr="00FD13F4">
        <w:rPr>
          <w:rFonts w:ascii="Times New Roman" w:hAnsi="Times New Roman" w:cs="Times New Roman"/>
          <w:sz w:val="24"/>
          <w:szCs w:val="24"/>
          <w:lang w:val="en-GB"/>
        </w:rPr>
        <w:t>by placing a ‘</w:t>
      </w:r>
      <w:r w:rsidR="001A7A7E" w:rsidRPr="00FD13F4">
        <w:rPr>
          <w:rFonts w:ascii="Times New Roman" w:hAnsi="Times New Roman" w:cs="Times New Roman"/>
          <w:sz w:val="24"/>
          <w:szCs w:val="24"/>
          <w:lang w:val="en-GB"/>
        </w:rPr>
        <w:t>D</w:t>
      </w:r>
      <w:r w:rsidRPr="00FD13F4">
        <w:rPr>
          <w:rFonts w:ascii="Times New Roman" w:hAnsi="Times New Roman" w:cs="Times New Roman"/>
          <w:sz w:val="24"/>
          <w:szCs w:val="24"/>
          <w:lang w:val="en-GB"/>
        </w:rPr>
        <w:t xml:space="preserve">iscussion’ card, </w:t>
      </w:r>
      <w:r w:rsidR="001A7A7E" w:rsidRPr="00FD13F4">
        <w:rPr>
          <w:rFonts w:ascii="Times New Roman" w:hAnsi="Times New Roman" w:cs="Times New Roman"/>
          <w:sz w:val="24"/>
          <w:szCs w:val="24"/>
          <w:lang w:val="en-GB"/>
        </w:rPr>
        <w:t>or</w:t>
      </w:r>
      <w:r w:rsidRPr="00FD13F4">
        <w:rPr>
          <w:rFonts w:ascii="Times New Roman" w:hAnsi="Times New Roman" w:cs="Times New Roman"/>
          <w:sz w:val="24"/>
          <w:szCs w:val="24"/>
          <w:lang w:val="en-GB"/>
        </w:rPr>
        <w:t xml:space="preserve"> an</w:t>
      </w:r>
      <w:r w:rsidR="001A7A7E" w:rsidRPr="00FD13F4">
        <w:rPr>
          <w:rFonts w:ascii="Times New Roman" w:hAnsi="Times New Roman" w:cs="Times New Roman"/>
          <w:sz w:val="24"/>
          <w:szCs w:val="24"/>
          <w:lang w:val="en-GB"/>
        </w:rPr>
        <w:t>y</w:t>
      </w:r>
      <w:r w:rsidRPr="00FD13F4">
        <w:rPr>
          <w:rFonts w:ascii="Times New Roman" w:hAnsi="Times New Roman" w:cs="Times New Roman"/>
          <w:sz w:val="24"/>
          <w:szCs w:val="24"/>
          <w:lang w:val="en-GB"/>
        </w:rPr>
        <w:t xml:space="preserve"> authority card, </w:t>
      </w:r>
      <w:r w:rsidR="001A7A7E" w:rsidRPr="00FD13F4">
        <w:rPr>
          <w:rFonts w:ascii="Times New Roman" w:hAnsi="Times New Roman" w:cs="Times New Roman"/>
          <w:sz w:val="24"/>
          <w:szCs w:val="24"/>
          <w:lang w:val="en-GB"/>
        </w:rPr>
        <w:t>in their judgment.</w:t>
      </w:r>
      <w:r w:rsidRPr="00FD13F4">
        <w:rPr>
          <w:rFonts w:ascii="Times New Roman" w:hAnsi="Times New Roman" w:cs="Times New Roman"/>
          <w:sz w:val="24"/>
          <w:szCs w:val="24"/>
          <w:lang w:val="en-GB"/>
        </w:rPr>
        <w:t xml:space="preserve"> Finally, players can use the ‘Formulate Principle’ card to indicate that their judgment is of enduring significance, in that it has developed a broader legal principle that reverberates beyond the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w:t>
      </w:r>
      <w:r w:rsidRPr="00FD13F4">
        <w:rPr>
          <w:rFonts w:ascii="Times New Roman" w:eastAsia="Helvetica" w:hAnsi="Times New Roman" w:cs="Times New Roman"/>
          <w:sz w:val="24"/>
          <w:szCs w:val="24"/>
          <w:vertAlign w:val="superscript"/>
          <w:lang w:val="en-GB"/>
        </w:rPr>
        <w:footnoteReference w:id="48"/>
      </w:r>
      <w:r w:rsidRPr="00FD13F4">
        <w:rPr>
          <w:rFonts w:ascii="Times New Roman" w:hAnsi="Times New Roman" w:cs="Times New Roman"/>
          <w:sz w:val="24"/>
          <w:szCs w:val="24"/>
          <w:lang w:val="en-GB"/>
        </w:rPr>
        <w:t xml:space="preserve">  The addition of a point value to these aspects of a judgment is a way of underlining that all the content in case law matters</w:t>
      </w:r>
      <w:r w:rsidR="008622F6" w:rsidRPr="00FD13F4">
        <w:rPr>
          <w:rFonts w:ascii="Times New Roman" w:hAnsi="Times New Roman" w:cs="Times New Roman"/>
          <w:sz w:val="24"/>
          <w:szCs w:val="24"/>
          <w:lang w:val="en-GB"/>
        </w:rPr>
        <w:t>, and to indicate the different ways in which a judgment may be valuable.</w:t>
      </w:r>
    </w:p>
    <w:p w14:paraId="03A8AC3E"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49ACD793" w14:textId="2B1DCC71" w:rsidR="00620D86" w:rsidRPr="00FD13F4" w:rsidRDefault="000F295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The second category of cards, which we call ‘status cards’, generally augment the value of your judgment.</w:t>
      </w:r>
      <w:r w:rsidR="0033199A" w:rsidRPr="00FD13F4">
        <w:rPr>
          <w:rFonts w:ascii="Times New Roman" w:hAnsi="Times New Roman" w:cs="Times New Roman"/>
          <w:sz w:val="24"/>
          <w:szCs w:val="24"/>
          <w:lang w:val="en-GB"/>
        </w:rPr>
        <w:t xml:space="preserve"> The ‘Public Interest’ card adds points because it indicates that your case attracts wider popular attention, and is intended to open up discussion about what sort of cases are truly important, and the desirability of media coverage.</w:t>
      </w:r>
      <w:r w:rsidR="0033199A" w:rsidRPr="00FD13F4">
        <w:rPr>
          <w:rFonts w:ascii="Times New Roman" w:eastAsia="Helvetica" w:hAnsi="Times New Roman" w:cs="Times New Roman"/>
          <w:sz w:val="24"/>
          <w:szCs w:val="24"/>
          <w:vertAlign w:val="superscript"/>
          <w:lang w:val="en-GB"/>
        </w:rPr>
        <w:footnoteReference w:id="49"/>
      </w:r>
      <w:r w:rsidR="0033199A" w:rsidRPr="00FD13F4">
        <w:rPr>
          <w:rFonts w:ascii="Times New Roman" w:hAnsi="Times New Roman" w:cs="Times New Roman"/>
          <w:sz w:val="24"/>
          <w:szCs w:val="24"/>
          <w:lang w:val="en-GB"/>
        </w:rPr>
        <w:t xml:space="preserve"> </w:t>
      </w:r>
      <w:r w:rsidR="0096298A" w:rsidRPr="00FD13F4">
        <w:rPr>
          <w:rFonts w:ascii="Times New Roman" w:hAnsi="Times New Roman" w:cs="Times New Roman"/>
          <w:sz w:val="24"/>
          <w:szCs w:val="24"/>
          <w:lang w:val="en-GB"/>
        </w:rPr>
        <w:t xml:space="preserve"> </w:t>
      </w:r>
      <w:r w:rsidR="0033199A" w:rsidRPr="00FD13F4">
        <w:rPr>
          <w:rFonts w:ascii="Times New Roman" w:hAnsi="Times New Roman" w:cs="Times New Roman"/>
          <w:sz w:val="24"/>
          <w:szCs w:val="24"/>
          <w:lang w:val="en-GB"/>
        </w:rPr>
        <w:t>More fundamentally, p</w:t>
      </w:r>
      <w:r w:rsidRPr="00FD13F4">
        <w:rPr>
          <w:rFonts w:ascii="Times New Roman" w:hAnsi="Times New Roman" w:cs="Times New Roman"/>
          <w:sz w:val="24"/>
          <w:szCs w:val="24"/>
          <w:lang w:val="en-GB"/>
        </w:rPr>
        <w:t xml:space="preserve">layers can </w:t>
      </w:r>
      <w:r w:rsidR="008622F6" w:rsidRPr="00FD13F4">
        <w:rPr>
          <w:rFonts w:ascii="Times New Roman" w:hAnsi="Times New Roman" w:cs="Times New Roman"/>
          <w:sz w:val="24"/>
          <w:szCs w:val="24"/>
          <w:lang w:val="en-GB"/>
        </w:rPr>
        <w:t>place</w:t>
      </w:r>
      <w:r w:rsidRPr="00FD13F4">
        <w:rPr>
          <w:rFonts w:ascii="Times New Roman" w:hAnsi="Times New Roman" w:cs="Times New Roman"/>
          <w:sz w:val="24"/>
          <w:szCs w:val="24"/>
          <w:lang w:val="en-GB"/>
        </w:rPr>
        <w:t xml:space="preserve"> up to two ‘</w:t>
      </w:r>
      <w:r w:rsidR="009948ED">
        <w:rPr>
          <w:rFonts w:ascii="Times New Roman" w:hAnsi="Times New Roman" w:cs="Times New Roman"/>
          <w:sz w:val="24"/>
          <w:szCs w:val="24"/>
          <w:lang w:val="en-GB"/>
        </w:rPr>
        <w:t xml:space="preserve">Appeal Court’ </w:t>
      </w:r>
      <w:r w:rsidRPr="00FD13F4">
        <w:rPr>
          <w:rFonts w:ascii="Times New Roman" w:hAnsi="Times New Roman" w:cs="Times New Roman"/>
          <w:sz w:val="24"/>
          <w:szCs w:val="24"/>
          <w:lang w:val="en-GB"/>
        </w:rPr>
        <w:t>cards alongside their judgment.  These add points but have a second effect</w:t>
      </w:r>
      <w:r w:rsidR="0033199A" w:rsidRPr="00FD13F4">
        <w:rPr>
          <w:rFonts w:ascii="Times New Roman" w:hAnsi="Times New Roman" w:cs="Times New Roman"/>
          <w:sz w:val="24"/>
          <w:szCs w:val="24"/>
          <w:lang w:val="en-GB"/>
        </w:rPr>
        <w:t xml:space="preserve">: they allow the player to use </w:t>
      </w:r>
      <w:r w:rsidR="00F71BE1">
        <w:rPr>
          <w:rFonts w:ascii="Times New Roman" w:hAnsi="Times New Roman" w:cs="Times New Roman"/>
          <w:sz w:val="24"/>
          <w:szCs w:val="24"/>
          <w:lang w:val="en-GB"/>
        </w:rPr>
        <w:t>an</w:t>
      </w:r>
      <w:r w:rsidR="0033199A" w:rsidRPr="00FD13F4">
        <w:rPr>
          <w:rFonts w:ascii="Times New Roman" w:hAnsi="Times New Roman" w:cs="Times New Roman"/>
          <w:sz w:val="24"/>
          <w:szCs w:val="24"/>
          <w:lang w:val="en-GB"/>
        </w:rPr>
        <w:t xml:space="preserve"> ‘Overruled’ card</w:t>
      </w:r>
      <w:r w:rsidR="00F92600" w:rsidRPr="00FD13F4">
        <w:rPr>
          <w:rFonts w:ascii="Times New Roman" w:hAnsi="Times New Roman" w:cs="Times New Roman"/>
          <w:sz w:val="24"/>
          <w:szCs w:val="24"/>
          <w:lang w:val="en-GB"/>
        </w:rPr>
        <w:t xml:space="preserve"> </w:t>
      </w:r>
      <w:r w:rsidR="00F71BE1">
        <w:rPr>
          <w:rFonts w:ascii="Times New Roman" w:hAnsi="Times New Roman" w:cs="Times New Roman"/>
          <w:sz w:val="24"/>
          <w:szCs w:val="24"/>
          <w:lang w:val="en-GB"/>
        </w:rPr>
        <w:t>if</w:t>
      </w:r>
      <w:r w:rsidR="00F92600" w:rsidRPr="00FD13F4">
        <w:rPr>
          <w:rFonts w:ascii="Times New Roman" w:hAnsi="Times New Roman" w:cs="Times New Roman"/>
          <w:sz w:val="24"/>
          <w:szCs w:val="24"/>
          <w:lang w:val="en-GB"/>
        </w:rPr>
        <w:t xml:space="preserve"> they pick </w:t>
      </w:r>
      <w:r w:rsidR="00F71BE1">
        <w:rPr>
          <w:rFonts w:ascii="Times New Roman" w:hAnsi="Times New Roman" w:cs="Times New Roman"/>
          <w:sz w:val="24"/>
          <w:szCs w:val="24"/>
          <w:lang w:val="en-GB"/>
        </w:rPr>
        <w:t>it up</w:t>
      </w:r>
      <w:r w:rsidR="0033199A" w:rsidRPr="00FD13F4">
        <w:rPr>
          <w:rFonts w:ascii="Times New Roman" w:hAnsi="Times New Roman" w:cs="Times New Roman"/>
          <w:sz w:val="24"/>
          <w:szCs w:val="24"/>
          <w:lang w:val="en-GB"/>
        </w:rPr>
        <w:t xml:space="preserve">, which has the effect of removing a case authority from your opponent, invalidating any </w:t>
      </w:r>
      <w:r w:rsidR="0033199A" w:rsidRPr="00FD13F4">
        <w:rPr>
          <w:rFonts w:ascii="Times New Roman" w:hAnsi="Times New Roman" w:cs="Times New Roman"/>
          <w:i/>
          <w:iCs/>
          <w:sz w:val="24"/>
          <w:szCs w:val="24"/>
          <w:lang w:val="en-GB"/>
        </w:rPr>
        <w:t xml:space="preserve">ratio </w:t>
      </w:r>
      <w:r w:rsidR="0033199A" w:rsidRPr="00FD13F4">
        <w:rPr>
          <w:rFonts w:ascii="Times New Roman" w:hAnsi="Times New Roman" w:cs="Times New Roman"/>
          <w:sz w:val="24"/>
          <w:szCs w:val="24"/>
          <w:lang w:val="en-GB"/>
        </w:rPr>
        <w:t xml:space="preserve">that relies upon it. </w:t>
      </w:r>
      <w:r w:rsidRPr="00FD13F4">
        <w:rPr>
          <w:rFonts w:ascii="Times New Roman" w:hAnsi="Times New Roman" w:cs="Times New Roman"/>
          <w:sz w:val="24"/>
          <w:szCs w:val="24"/>
          <w:lang w:val="en-GB"/>
        </w:rPr>
        <w:t>When one ‘</w:t>
      </w:r>
      <w:r w:rsidR="009948ED">
        <w:rPr>
          <w:rFonts w:ascii="Times New Roman" w:hAnsi="Times New Roman" w:cs="Times New Roman"/>
          <w:sz w:val="24"/>
          <w:szCs w:val="24"/>
          <w:lang w:val="en-GB"/>
        </w:rPr>
        <w:t xml:space="preserve">Appeal Court’ </w:t>
      </w:r>
      <w:r w:rsidRPr="00FD13F4">
        <w:rPr>
          <w:rFonts w:ascii="Times New Roman" w:hAnsi="Times New Roman" w:cs="Times New Roman"/>
          <w:sz w:val="24"/>
          <w:szCs w:val="24"/>
          <w:lang w:val="en-GB"/>
        </w:rPr>
        <w:t xml:space="preserve">card has been placed, </w:t>
      </w:r>
      <w:r w:rsidR="0033199A" w:rsidRPr="00FD13F4">
        <w:rPr>
          <w:rFonts w:ascii="Times New Roman" w:hAnsi="Times New Roman" w:cs="Times New Roman"/>
          <w:sz w:val="24"/>
          <w:szCs w:val="24"/>
          <w:lang w:val="en-GB"/>
        </w:rPr>
        <w:t>‘Overruled’ allows you to</w:t>
      </w:r>
      <w:r w:rsidRPr="00FD13F4">
        <w:rPr>
          <w:rFonts w:ascii="Times New Roman" w:hAnsi="Times New Roman" w:cs="Times New Roman"/>
          <w:sz w:val="24"/>
          <w:szCs w:val="24"/>
          <w:lang w:val="en-GB"/>
        </w:rPr>
        <w:t xml:space="preserve"> remove an opponent’s normal ‘Case Authority’; when two have been placed, </w:t>
      </w:r>
      <w:r w:rsidR="00E70C06" w:rsidRPr="00FD13F4">
        <w:rPr>
          <w:rFonts w:ascii="Times New Roman" w:hAnsi="Times New Roman" w:cs="Times New Roman"/>
          <w:sz w:val="24"/>
          <w:szCs w:val="24"/>
          <w:lang w:val="en-GB"/>
        </w:rPr>
        <w:t>this</w:t>
      </w:r>
      <w:r w:rsidRPr="00FD13F4">
        <w:rPr>
          <w:rFonts w:ascii="Times New Roman" w:hAnsi="Times New Roman" w:cs="Times New Roman"/>
          <w:sz w:val="24"/>
          <w:szCs w:val="24"/>
          <w:lang w:val="en-GB"/>
        </w:rPr>
        <w:t xml:space="preserve"> card can</w:t>
      </w:r>
      <w:r w:rsidR="00E70C06" w:rsidRPr="00FD13F4">
        <w:rPr>
          <w:rFonts w:ascii="Times New Roman" w:hAnsi="Times New Roman" w:cs="Times New Roman"/>
          <w:sz w:val="24"/>
          <w:szCs w:val="24"/>
          <w:lang w:val="en-GB"/>
        </w:rPr>
        <w:t xml:space="preserve"> also</w:t>
      </w:r>
      <w:r w:rsidRPr="00FD13F4">
        <w:rPr>
          <w:rFonts w:ascii="Times New Roman" w:hAnsi="Times New Roman" w:cs="Times New Roman"/>
          <w:sz w:val="24"/>
          <w:szCs w:val="24"/>
          <w:lang w:val="en-GB"/>
        </w:rPr>
        <w:t xml:space="preserve"> remove a ‘Leading Case’. </w:t>
      </w:r>
      <w:r w:rsidR="008622F6" w:rsidRPr="00FD13F4">
        <w:rPr>
          <w:rFonts w:ascii="Times New Roman" w:hAnsi="Times New Roman" w:cs="Times New Roman"/>
          <w:sz w:val="24"/>
          <w:szCs w:val="24"/>
          <w:lang w:val="en-GB"/>
        </w:rPr>
        <w:t>Here we</w:t>
      </w:r>
      <w:r w:rsidR="007C498D" w:rsidRPr="00FD13F4">
        <w:rPr>
          <w:rFonts w:ascii="Times New Roman" w:hAnsi="Times New Roman" w:cs="Times New Roman"/>
          <w:sz w:val="24"/>
          <w:szCs w:val="24"/>
          <w:lang w:val="en-GB"/>
        </w:rPr>
        <w:t xml:space="preserve"> </w:t>
      </w:r>
      <w:r w:rsidR="008622F6" w:rsidRPr="00FD13F4">
        <w:rPr>
          <w:rFonts w:ascii="Times New Roman" w:hAnsi="Times New Roman" w:cs="Times New Roman"/>
          <w:sz w:val="24"/>
          <w:szCs w:val="24"/>
          <w:lang w:val="en-GB"/>
        </w:rPr>
        <w:t xml:space="preserve">are </w:t>
      </w:r>
      <w:r w:rsidR="007A4833" w:rsidRPr="00FD13F4">
        <w:rPr>
          <w:rFonts w:ascii="Times New Roman" w:hAnsi="Times New Roman" w:cs="Times New Roman"/>
          <w:sz w:val="24"/>
          <w:szCs w:val="24"/>
          <w:lang w:val="en-GB"/>
        </w:rPr>
        <w:t>approximating</w:t>
      </w:r>
      <w:r w:rsidR="008622F6" w:rsidRPr="00FD13F4">
        <w:rPr>
          <w:rFonts w:ascii="Times New Roman" w:hAnsi="Times New Roman" w:cs="Times New Roman"/>
          <w:sz w:val="24"/>
          <w:szCs w:val="24"/>
          <w:lang w:val="en-GB"/>
        </w:rPr>
        <w:t xml:space="preserve"> </w:t>
      </w:r>
      <w:r w:rsidR="00291148">
        <w:rPr>
          <w:rFonts w:ascii="Times New Roman" w:hAnsi="Times New Roman" w:cs="Times New Roman"/>
          <w:sz w:val="24"/>
          <w:szCs w:val="24"/>
          <w:lang w:val="en-GB"/>
        </w:rPr>
        <w:t>an</w:t>
      </w:r>
      <w:r w:rsidR="00291148" w:rsidRPr="00FD13F4">
        <w:rPr>
          <w:rFonts w:ascii="Times New Roman" w:hAnsi="Times New Roman" w:cs="Times New Roman"/>
          <w:sz w:val="24"/>
          <w:szCs w:val="24"/>
          <w:lang w:val="en-GB"/>
        </w:rPr>
        <w:t xml:space="preserve"> </w:t>
      </w:r>
      <w:r w:rsidR="008622F6" w:rsidRPr="00FD13F4">
        <w:rPr>
          <w:rFonts w:ascii="Times New Roman" w:hAnsi="Times New Roman" w:cs="Times New Roman"/>
          <w:sz w:val="24"/>
          <w:szCs w:val="24"/>
          <w:lang w:val="en-GB"/>
        </w:rPr>
        <w:t xml:space="preserve">appellate court system. </w:t>
      </w:r>
      <w:r w:rsidR="00291148">
        <w:rPr>
          <w:rFonts w:ascii="Times New Roman" w:hAnsi="Times New Roman" w:cs="Times New Roman"/>
          <w:sz w:val="24"/>
          <w:szCs w:val="24"/>
          <w:lang w:val="en-GB"/>
        </w:rPr>
        <w:t>The names of these courts are kept abstract, so they can be adapted for use in a variety of common law jurisdictions. If we use England and Wales as an example, one</w:t>
      </w:r>
      <w:r w:rsidR="008622F6" w:rsidRPr="00FD13F4">
        <w:rPr>
          <w:rFonts w:ascii="Times New Roman" w:hAnsi="Times New Roman" w:cs="Times New Roman"/>
          <w:sz w:val="24"/>
          <w:szCs w:val="24"/>
          <w:lang w:val="en-GB"/>
        </w:rPr>
        <w:t xml:space="preserve"> card suggest</w:t>
      </w:r>
      <w:r w:rsidR="00620D86" w:rsidRPr="00FD13F4">
        <w:rPr>
          <w:rFonts w:ascii="Times New Roman" w:hAnsi="Times New Roman" w:cs="Times New Roman"/>
          <w:sz w:val="24"/>
          <w:szCs w:val="24"/>
          <w:lang w:val="en-GB"/>
        </w:rPr>
        <w:t>s</w:t>
      </w:r>
      <w:r w:rsidR="008622F6" w:rsidRPr="00FD13F4">
        <w:rPr>
          <w:rFonts w:ascii="Times New Roman" w:hAnsi="Times New Roman" w:cs="Times New Roman"/>
          <w:sz w:val="24"/>
          <w:szCs w:val="24"/>
          <w:lang w:val="en-GB"/>
        </w:rPr>
        <w:t xml:space="preserve"> you are a Court of Appeal judge</w:t>
      </w:r>
      <w:r w:rsidR="00B8681F" w:rsidRPr="00FD13F4">
        <w:rPr>
          <w:rFonts w:ascii="Times New Roman" w:hAnsi="Times New Roman" w:cs="Times New Roman"/>
          <w:sz w:val="24"/>
          <w:szCs w:val="24"/>
          <w:lang w:val="en-GB"/>
        </w:rPr>
        <w:t xml:space="preserve"> and can overrule lower courts</w:t>
      </w:r>
      <w:r w:rsidR="008622F6" w:rsidRPr="00FD13F4">
        <w:rPr>
          <w:rFonts w:ascii="Times New Roman" w:hAnsi="Times New Roman" w:cs="Times New Roman"/>
          <w:sz w:val="24"/>
          <w:szCs w:val="24"/>
          <w:lang w:val="en-GB"/>
        </w:rPr>
        <w:t xml:space="preserve">; two cards suggest you </w:t>
      </w:r>
      <w:r w:rsidR="00620D86" w:rsidRPr="00FD13F4">
        <w:rPr>
          <w:rFonts w:ascii="Times New Roman" w:hAnsi="Times New Roman" w:cs="Times New Roman"/>
          <w:sz w:val="24"/>
          <w:szCs w:val="24"/>
          <w:lang w:val="en-GB"/>
        </w:rPr>
        <w:t>sit</w:t>
      </w:r>
      <w:r w:rsidR="008622F6" w:rsidRPr="00FD13F4">
        <w:rPr>
          <w:rFonts w:ascii="Times New Roman" w:hAnsi="Times New Roman" w:cs="Times New Roman"/>
          <w:sz w:val="24"/>
          <w:szCs w:val="24"/>
          <w:lang w:val="en-GB"/>
        </w:rPr>
        <w:t xml:space="preserve"> </w:t>
      </w:r>
      <w:r w:rsidR="00620D86" w:rsidRPr="00FD13F4">
        <w:rPr>
          <w:rFonts w:ascii="Times New Roman" w:hAnsi="Times New Roman" w:cs="Times New Roman"/>
          <w:sz w:val="24"/>
          <w:szCs w:val="24"/>
          <w:lang w:val="en-GB"/>
        </w:rPr>
        <w:t>in the</w:t>
      </w:r>
      <w:r w:rsidR="008622F6" w:rsidRPr="00FD13F4">
        <w:rPr>
          <w:rFonts w:ascii="Times New Roman" w:hAnsi="Times New Roman" w:cs="Times New Roman"/>
          <w:sz w:val="24"/>
          <w:szCs w:val="24"/>
          <w:lang w:val="en-GB"/>
        </w:rPr>
        <w:t xml:space="preserve"> Supreme Court,</w:t>
      </w:r>
      <w:r w:rsidR="00B8681F" w:rsidRPr="00FD13F4">
        <w:rPr>
          <w:rFonts w:ascii="Times New Roman" w:hAnsi="Times New Roman" w:cs="Times New Roman"/>
          <w:sz w:val="24"/>
          <w:szCs w:val="24"/>
          <w:lang w:val="en-GB"/>
        </w:rPr>
        <w:t xml:space="preserve"> </w:t>
      </w:r>
      <w:r w:rsidR="00E70C06" w:rsidRPr="00FD13F4">
        <w:rPr>
          <w:rFonts w:ascii="Times New Roman" w:hAnsi="Times New Roman" w:cs="Times New Roman"/>
          <w:sz w:val="24"/>
          <w:szCs w:val="24"/>
          <w:lang w:val="en-GB"/>
        </w:rPr>
        <w:t xml:space="preserve">capable of overruling the Court of Appeal and </w:t>
      </w:r>
      <w:r w:rsidR="004A03FC" w:rsidRPr="00FD13F4">
        <w:rPr>
          <w:rFonts w:ascii="Times New Roman" w:hAnsi="Times New Roman" w:cs="Times New Roman"/>
          <w:sz w:val="24"/>
          <w:szCs w:val="24"/>
          <w:lang w:val="en-GB"/>
        </w:rPr>
        <w:t>its own precedents and</w:t>
      </w:r>
      <w:r w:rsidR="00A348DC" w:rsidRPr="00FD13F4">
        <w:rPr>
          <w:rFonts w:ascii="Times New Roman" w:hAnsi="Times New Roman" w:cs="Times New Roman"/>
          <w:sz w:val="24"/>
          <w:szCs w:val="24"/>
          <w:lang w:val="en-GB"/>
        </w:rPr>
        <w:t xml:space="preserve"> hearing those most important appeals striking at the heart of an area of law</w:t>
      </w:r>
      <w:r w:rsidR="00B8681F" w:rsidRPr="00FD13F4">
        <w:rPr>
          <w:rFonts w:ascii="Times New Roman" w:hAnsi="Times New Roman" w:cs="Times New Roman"/>
          <w:sz w:val="24"/>
          <w:szCs w:val="24"/>
          <w:lang w:val="en-GB"/>
        </w:rPr>
        <w:t xml:space="preserve">. It also indicates </w:t>
      </w:r>
      <w:r w:rsidR="00F5148F">
        <w:rPr>
          <w:rFonts w:ascii="Times New Roman" w:hAnsi="Times New Roman" w:cs="Times New Roman"/>
          <w:sz w:val="24"/>
          <w:szCs w:val="24"/>
          <w:lang w:val="en-GB"/>
        </w:rPr>
        <w:t xml:space="preserve">that </w:t>
      </w:r>
      <w:r w:rsidR="00B8681F" w:rsidRPr="00FD13F4">
        <w:rPr>
          <w:rFonts w:ascii="Times New Roman" w:hAnsi="Times New Roman" w:cs="Times New Roman"/>
          <w:sz w:val="24"/>
          <w:szCs w:val="24"/>
          <w:lang w:val="en-GB"/>
        </w:rPr>
        <w:t xml:space="preserve">Supreme Court </w:t>
      </w:r>
      <w:r w:rsidR="00F5148F">
        <w:rPr>
          <w:rFonts w:ascii="Times New Roman" w:hAnsi="Times New Roman" w:cs="Times New Roman"/>
          <w:sz w:val="24"/>
          <w:szCs w:val="24"/>
          <w:lang w:val="en-GB"/>
        </w:rPr>
        <w:t xml:space="preserve">or House </w:t>
      </w:r>
      <w:r w:rsidR="00F5148F">
        <w:rPr>
          <w:rFonts w:ascii="Times New Roman" w:hAnsi="Times New Roman" w:cs="Times New Roman"/>
          <w:sz w:val="24"/>
          <w:szCs w:val="24"/>
          <w:lang w:val="en-GB"/>
        </w:rPr>
        <w:lastRenderedPageBreak/>
        <w:t xml:space="preserve">of Lords </w:t>
      </w:r>
      <w:r w:rsidR="00B8681F" w:rsidRPr="00FD13F4">
        <w:rPr>
          <w:rFonts w:ascii="Times New Roman" w:hAnsi="Times New Roman" w:cs="Times New Roman"/>
          <w:sz w:val="24"/>
          <w:szCs w:val="24"/>
          <w:lang w:val="en-GB"/>
        </w:rPr>
        <w:t>decisions are</w:t>
      </w:r>
      <w:r w:rsidRPr="00FD13F4">
        <w:rPr>
          <w:rFonts w:ascii="Times New Roman" w:hAnsi="Times New Roman" w:cs="Times New Roman"/>
          <w:sz w:val="24"/>
          <w:szCs w:val="24"/>
          <w:lang w:val="en-GB"/>
        </w:rPr>
        <w:t xml:space="preserve"> </w:t>
      </w:r>
      <w:r w:rsidR="008622F6" w:rsidRPr="00FD13F4">
        <w:rPr>
          <w:rFonts w:ascii="Times New Roman" w:hAnsi="Times New Roman" w:cs="Times New Roman"/>
          <w:sz w:val="24"/>
          <w:szCs w:val="24"/>
          <w:lang w:val="en-GB"/>
        </w:rPr>
        <w:t>more likely to be the ‘Leading Cases’</w:t>
      </w:r>
      <w:r w:rsidR="004A03FC" w:rsidRPr="00FD13F4">
        <w:rPr>
          <w:rFonts w:ascii="Times New Roman" w:hAnsi="Times New Roman" w:cs="Times New Roman"/>
          <w:sz w:val="24"/>
          <w:szCs w:val="24"/>
          <w:lang w:val="en-GB"/>
        </w:rPr>
        <w:t>.</w:t>
      </w:r>
      <w:r w:rsidRPr="00FD13F4">
        <w:rPr>
          <w:rFonts w:ascii="Times New Roman" w:eastAsia="Helvetica" w:hAnsi="Times New Roman" w:cs="Times New Roman"/>
          <w:sz w:val="24"/>
          <w:szCs w:val="24"/>
          <w:vertAlign w:val="superscript"/>
          <w:lang w:val="en-GB"/>
        </w:rPr>
        <w:footnoteReference w:id="50"/>
      </w:r>
      <w:r w:rsidR="0033199A" w:rsidRPr="00FD13F4">
        <w:rPr>
          <w:rFonts w:ascii="Times New Roman" w:hAnsi="Times New Roman" w:cs="Times New Roman"/>
          <w:sz w:val="24"/>
          <w:szCs w:val="24"/>
          <w:lang w:val="en-GB"/>
        </w:rPr>
        <w:t xml:space="preserve"> The overruling card deliberately does not engage with alternatives such as distinguishing or confining to the facts (indeed, our distinction card is used to symbolise a more complex judgment and to remind students of the value of careful analysis of precedents, rather than being a true alternative to overruling).</w:t>
      </w:r>
      <w:r w:rsidR="0033199A" w:rsidRPr="00FD13F4">
        <w:rPr>
          <w:rFonts w:ascii="Times New Roman" w:eastAsia="Helvetica" w:hAnsi="Times New Roman" w:cs="Times New Roman"/>
          <w:sz w:val="24"/>
          <w:szCs w:val="24"/>
          <w:vertAlign w:val="superscript"/>
          <w:lang w:val="en-GB"/>
        </w:rPr>
        <w:footnoteReference w:id="51"/>
      </w:r>
      <w:r w:rsidR="0033199A" w:rsidRPr="00FD13F4">
        <w:rPr>
          <w:rFonts w:ascii="Times New Roman" w:hAnsi="Times New Roman" w:cs="Times New Roman"/>
          <w:sz w:val="24"/>
          <w:szCs w:val="24"/>
          <w:lang w:val="en-GB"/>
        </w:rPr>
        <w:t xml:space="preserve"> </w:t>
      </w:r>
      <w:r w:rsidR="007C498D" w:rsidRPr="00FD13F4">
        <w:rPr>
          <w:rFonts w:ascii="Times New Roman" w:hAnsi="Times New Roman" w:cs="Times New Roman"/>
          <w:sz w:val="24"/>
          <w:szCs w:val="24"/>
          <w:lang w:val="en-GB"/>
        </w:rPr>
        <w:t xml:space="preserve">This </w:t>
      </w:r>
      <w:r w:rsidR="0033199A" w:rsidRPr="00FD13F4">
        <w:rPr>
          <w:rFonts w:ascii="Times New Roman" w:hAnsi="Times New Roman" w:cs="Times New Roman"/>
          <w:sz w:val="24"/>
          <w:szCs w:val="24"/>
          <w:lang w:val="en-GB"/>
        </w:rPr>
        <w:t>is so the mechanic can</w:t>
      </w:r>
      <w:r w:rsidR="007C498D" w:rsidRPr="00FD13F4">
        <w:rPr>
          <w:rFonts w:ascii="Times New Roman" w:hAnsi="Times New Roman" w:cs="Times New Roman"/>
          <w:sz w:val="24"/>
          <w:szCs w:val="24"/>
          <w:lang w:val="en-GB"/>
        </w:rPr>
        <w:t xml:space="preserve"> create further discussion for the class: </w:t>
      </w:r>
      <w:r w:rsidR="0033199A" w:rsidRPr="00FD13F4">
        <w:rPr>
          <w:rFonts w:ascii="Times New Roman" w:hAnsi="Times New Roman" w:cs="Times New Roman"/>
          <w:sz w:val="24"/>
          <w:szCs w:val="24"/>
          <w:lang w:val="en-GB"/>
        </w:rPr>
        <w:t xml:space="preserve">How </w:t>
      </w:r>
      <w:r w:rsidR="007C498D" w:rsidRPr="00FD13F4">
        <w:rPr>
          <w:rFonts w:ascii="Times New Roman" w:hAnsi="Times New Roman" w:cs="Times New Roman"/>
          <w:sz w:val="24"/>
          <w:szCs w:val="24"/>
          <w:lang w:val="en-GB"/>
        </w:rPr>
        <w:t>does overruling wor</w:t>
      </w:r>
      <w:r w:rsidR="0033199A" w:rsidRPr="00FD13F4">
        <w:rPr>
          <w:rFonts w:ascii="Times New Roman" w:hAnsi="Times New Roman" w:cs="Times New Roman"/>
          <w:sz w:val="24"/>
          <w:szCs w:val="24"/>
          <w:lang w:val="en-GB"/>
        </w:rPr>
        <w:t>k? What are its alternatives? W</w:t>
      </w:r>
      <w:r w:rsidR="008622F6" w:rsidRPr="00FD13F4">
        <w:rPr>
          <w:rFonts w:ascii="Times New Roman" w:hAnsi="Times New Roman" w:cs="Times New Roman"/>
          <w:sz w:val="24"/>
          <w:szCs w:val="24"/>
          <w:lang w:val="en-GB"/>
        </w:rPr>
        <w:t>hat counts as a ‘Leading Case’</w:t>
      </w:r>
      <w:r w:rsidR="0033199A" w:rsidRPr="00FD13F4">
        <w:rPr>
          <w:rFonts w:ascii="Times New Roman" w:hAnsi="Times New Roman" w:cs="Times New Roman"/>
          <w:sz w:val="24"/>
          <w:szCs w:val="24"/>
          <w:lang w:val="en-GB"/>
        </w:rPr>
        <w:t xml:space="preserve"> and when should they be overruled</w:t>
      </w:r>
      <w:r w:rsidR="007C498D" w:rsidRPr="00FD13F4">
        <w:rPr>
          <w:rFonts w:ascii="Times New Roman" w:hAnsi="Times New Roman" w:cs="Times New Roman"/>
          <w:sz w:val="24"/>
          <w:szCs w:val="24"/>
          <w:lang w:val="en-GB"/>
        </w:rPr>
        <w:t>?</w:t>
      </w:r>
      <w:r w:rsidR="008622F6" w:rsidRPr="00FD13F4">
        <w:rPr>
          <w:rStyle w:val="FootnoteReference"/>
          <w:rFonts w:ascii="Times New Roman" w:hAnsi="Times New Roman" w:cs="Times New Roman"/>
          <w:sz w:val="24"/>
          <w:szCs w:val="24"/>
          <w:lang w:val="en-GB"/>
        </w:rPr>
        <w:footnoteReference w:id="52"/>
      </w:r>
      <w:r w:rsidRPr="00FD13F4">
        <w:rPr>
          <w:rFonts w:ascii="Times New Roman" w:hAnsi="Times New Roman" w:cs="Times New Roman"/>
          <w:sz w:val="24"/>
          <w:szCs w:val="24"/>
          <w:lang w:val="en-GB"/>
        </w:rPr>
        <w:t xml:space="preserve">  </w:t>
      </w:r>
    </w:p>
    <w:p w14:paraId="6D7742B5"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687CD7F0" w14:textId="6ED16F13" w:rsidR="00F71BE1" w:rsidRDefault="000F2950" w:rsidP="00F71BE1">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The final category </w:t>
      </w:r>
      <w:r w:rsidR="005759D0" w:rsidRPr="00FD13F4">
        <w:rPr>
          <w:rFonts w:ascii="Times New Roman" w:hAnsi="Times New Roman" w:cs="Times New Roman"/>
          <w:sz w:val="24"/>
          <w:szCs w:val="24"/>
          <w:lang w:val="en-GB"/>
        </w:rPr>
        <w:t>are the</w:t>
      </w:r>
      <w:r w:rsidRPr="00FD13F4">
        <w:rPr>
          <w:rFonts w:ascii="Times New Roman" w:hAnsi="Times New Roman" w:cs="Times New Roman"/>
          <w:sz w:val="24"/>
          <w:szCs w:val="24"/>
          <w:lang w:val="en-GB"/>
        </w:rPr>
        <w:t xml:space="preserve"> ‘</w:t>
      </w:r>
      <w:r w:rsidR="005759D0" w:rsidRPr="00FD13F4">
        <w:rPr>
          <w:rFonts w:ascii="Times New Roman" w:hAnsi="Times New Roman" w:cs="Times New Roman"/>
          <w:sz w:val="24"/>
          <w:szCs w:val="24"/>
          <w:lang w:val="en-GB"/>
        </w:rPr>
        <w:t>F</w:t>
      </w:r>
      <w:r w:rsidRPr="00FD13F4">
        <w:rPr>
          <w:rFonts w:ascii="Times New Roman" w:hAnsi="Times New Roman" w:cs="Times New Roman"/>
          <w:sz w:val="24"/>
          <w:szCs w:val="24"/>
          <w:lang w:val="en-GB"/>
        </w:rPr>
        <w:t>act’</w:t>
      </w:r>
      <w:r w:rsidR="005759D0" w:rsidRPr="00FD13F4">
        <w:rPr>
          <w:rFonts w:ascii="Times New Roman" w:hAnsi="Times New Roman" w:cs="Times New Roman"/>
          <w:sz w:val="24"/>
          <w:szCs w:val="24"/>
          <w:lang w:val="en-GB"/>
        </w:rPr>
        <w:t xml:space="preserve"> cards</w:t>
      </w:r>
      <w:r w:rsidR="004D05C4" w:rsidRPr="00FD13F4">
        <w:rPr>
          <w:rFonts w:ascii="Times New Roman" w:hAnsi="Times New Roman" w:cs="Times New Roman"/>
          <w:sz w:val="24"/>
          <w:szCs w:val="24"/>
          <w:lang w:val="en-GB"/>
        </w:rPr>
        <w:t>.</w:t>
      </w:r>
      <w:r w:rsidR="00F977CA"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These </w:t>
      </w:r>
      <w:r w:rsidR="00F5148F">
        <w:rPr>
          <w:rFonts w:ascii="Times New Roman" w:hAnsi="Times New Roman" w:cs="Times New Roman"/>
          <w:sz w:val="24"/>
          <w:szCs w:val="24"/>
          <w:lang w:val="en-GB"/>
        </w:rPr>
        <w:t>further c</w:t>
      </w:r>
      <w:r w:rsidRPr="00FD13F4">
        <w:rPr>
          <w:rFonts w:ascii="Times New Roman" w:hAnsi="Times New Roman" w:cs="Times New Roman"/>
          <w:sz w:val="24"/>
          <w:szCs w:val="24"/>
          <w:lang w:val="en-GB"/>
        </w:rPr>
        <w:t>ontextualise the game and draw</w:t>
      </w:r>
      <w:r w:rsidR="000D3D60"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 xml:space="preserve">attention to </w:t>
      </w:r>
      <w:r w:rsidR="000D3D60" w:rsidRPr="00FD13F4">
        <w:rPr>
          <w:rFonts w:ascii="Times New Roman" w:hAnsi="Times New Roman" w:cs="Times New Roman"/>
          <w:sz w:val="24"/>
          <w:szCs w:val="24"/>
          <w:lang w:val="en-GB"/>
        </w:rPr>
        <w:t>how</w:t>
      </w:r>
      <w:r w:rsidRPr="00FD13F4">
        <w:rPr>
          <w:rFonts w:ascii="Times New Roman" w:hAnsi="Times New Roman" w:cs="Times New Roman"/>
          <w:sz w:val="24"/>
          <w:szCs w:val="24"/>
          <w:lang w:val="en-GB"/>
        </w:rPr>
        <w:t xml:space="preserve"> facts </w:t>
      </w:r>
      <w:r w:rsidR="000D3D60" w:rsidRPr="00FD13F4">
        <w:rPr>
          <w:rFonts w:ascii="Times New Roman" w:hAnsi="Times New Roman" w:cs="Times New Roman"/>
          <w:sz w:val="24"/>
          <w:szCs w:val="24"/>
          <w:lang w:val="en-GB"/>
        </w:rPr>
        <w:t xml:space="preserve">are </w:t>
      </w:r>
      <w:r w:rsidR="00770A69" w:rsidRPr="00FD13F4">
        <w:rPr>
          <w:rFonts w:ascii="Times New Roman" w:hAnsi="Times New Roman" w:cs="Times New Roman"/>
          <w:sz w:val="24"/>
          <w:szCs w:val="24"/>
          <w:lang w:val="en-GB"/>
        </w:rPr>
        <w:t xml:space="preserve">formally </w:t>
      </w:r>
      <w:r w:rsidRPr="00FD13F4">
        <w:rPr>
          <w:rFonts w:ascii="Times New Roman" w:hAnsi="Times New Roman" w:cs="Times New Roman"/>
          <w:sz w:val="24"/>
          <w:szCs w:val="24"/>
          <w:lang w:val="en-GB"/>
        </w:rPr>
        <w:t xml:space="preserve">constructed </w:t>
      </w:r>
      <w:r w:rsidR="000D3D60" w:rsidRPr="00FD13F4">
        <w:rPr>
          <w:rFonts w:ascii="Times New Roman" w:hAnsi="Times New Roman" w:cs="Times New Roman"/>
          <w:sz w:val="24"/>
          <w:szCs w:val="24"/>
          <w:lang w:val="en-GB"/>
        </w:rPr>
        <w:t xml:space="preserve">and deployed </w:t>
      </w:r>
      <w:r w:rsidR="00770A69" w:rsidRPr="00FD13F4">
        <w:rPr>
          <w:rFonts w:ascii="Times New Roman" w:hAnsi="Times New Roman" w:cs="Times New Roman"/>
          <w:sz w:val="24"/>
          <w:szCs w:val="24"/>
          <w:lang w:val="en-GB"/>
        </w:rPr>
        <w:t>within judgments t</w:t>
      </w:r>
      <w:r w:rsidR="000D3D60" w:rsidRPr="00FD13F4">
        <w:rPr>
          <w:rFonts w:ascii="Times New Roman" w:hAnsi="Times New Roman" w:cs="Times New Roman"/>
          <w:sz w:val="24"/>
          <w:szCs w:val="24"/>
          <w:lang w:val="en-GB"/>
        </w:rPr>
        <w:t>o create narratives</w:t>
      </w:r>
      <w:r w:rsidRPr="00FD13F4">
        <w:rPr>
          <w:rFonts w:ascii="Times New Roman" w:hAnsi="Times New Roman" w:cs="Times New Roman"/>
          <w:sz w:val="24"/>
          <w:szCs w:val="24"/>
          <w:lang w:val="en-GB"/>
        </w:rPr>
        <w:t>.</w:t>
      </w:r>
      <w:r w:rsidRPr="00FD13F4">
        <w:rPr>
          <w:rFonts w:ascii="Times New Roman" w:eastAsia="Helvetica" w:hAnsi="Times New Roman" w:cs="Times New Roman"/>
          <w:sz w:val="24"/>
          <w:szCs w:val="24"/>
          <w:vertAlign w:val="superscript"/>
          <w:lang w:val="en-GB"/>
        </w:rPr>
        <w:footnoteReference w:id="53"/>
      </w:r>
      <w:r w:rsidRPr="00FD13F4">
        <w:rPr>
          <w:rFonts w:ascii="Times New Roman" w:hAnsi="Times New Roman" w:cs="Times New Roman"/>
          <w:sz w:val="24"/>
          <w:szCs w:val="24"/>
          <w:lang w:val="en-GB"/>
        </w:rPr>
        <w:t xml:space="preserve">  They follow </w:t>
      </w:r>
      <w:r w:rsidR="005A3351" w:rsidRPr="00FD13F4">
        <w:rPr>
          <w:rFonts w:ascii="Times New Roman" w:hAnsi="Times New Roman" w:cs="Times New Roman"/>
          <w:sz w:val="24"/>
          <w:szCs w:val="24"/>
          <w:lang w:val="en-GB"/>
        </w:rPr>
        <w:t xml:space="preserve">the </w:t>
      </w:r>
      <w:r w:rsidRPr="00FD13F4">
        <w:rPr>
          <w:rFonts w:ascii="Times New Roman" w:hAnsi="Times New Roman" w:cs="Times New Roman"/>
          <w:sz w:val="24"/>
          <w:szCs w:val="24"/>
          <w:lang w:val="en-GB"/>
        </w:rPr>
        <w:t>general GBL design principle</w:t>
      </w:r>
      <w:r w:rsidR="005A3351" w:rsidRPr="00FD13F4">
        <w:rPr>
          <w:rFonts w:ascii="Times New Roman" w:hAnsi="Times New Roman" w:cs="Times New Roman"/>
          <w:sz w:val="24"/>
          <w:szCs w:val="24"/>
          <w:lang w:val="en-GB"/>
        </w:rPr>
        <w:t xml:space="preserve"> that</w:t>
      </w:r>
      <w:r w:rsidRPr="00FD13F4">
        <w:rPr>
          <w:rFonts w:ascii="Times New Roman" w:hAnsi="Times New Roman" w:cs="Times New Roman"/>
          <w:sz w:val="24"/>
          <w:szCs w:val="24"/>
          <w:lang w:val="en-GB"/>
        </w:rPr>
        <w:t xml:space="preserve"> a clear narrative helps increase engagement.</w:t>
      </w:r>
      <w:r w:rsidRPr="00FD13F4">
        <w:rPr>
          <w:rFonts w:ascii="Times New Roman" w:eastAsia="Helvetica" w:hAnsi="Times New Roman" w:cs="Times New Roman"/>
          <w:sz w:val="24"/>
          <w:szCs w:val="24"/>
          <w:vertAlign w:val="superscript"/>
          <w:lang w:val="en-GB"/>
        </w:rPr>
        <w:footnoteReference w:id="54"/>
      </w:r>
      <w:r w:rsidRPr="00FD13F4">
        <w:rPr>
          <w:rFonts w:ascii="Times New Roman" w:hAnsi="Times New Roman" w:cs="Times New Roman"/>
          <w:sz w:val="24"/>
          <w:szCs w:val="24"/>
          <w:lang w:val="en-GB"/>
        </w:rPr>
        <w:t xml:space="preserve">  </w:t>
      </w:r>
      <w:r w:rsidR="00773BB8" w:rsidRPr="00FD13F4">
        <w:rPr>
          <w:rFonts w:ascii="Times New Roman" w:hAnsi="Times New Roman" w:cs="Times New Roman"/>
          <w:sz w:val="24"/>
          <w:szCs w:val="24"/>
          <w:lang w:val="en-GB"/>
        </w:rPr>
        <w:t>It is apparent from playtesting</w:t>
      </w:r>
      <w:r w:rsidR="00291148">
        <w:rPr>
          <w:rFonts w:ascii="Times New Roman" w:hAnsi="Times New Roman" w:cs="Times New Roman"/>
          <w:sz w:val="24"/>
          <w:szCs w:val="24"/>
          <w:lang w:val="en-GB"/>
        </w:rPr>
        <w:t xml:space="preserve"> with students and colleagues</w:t>
      </w:r>
      <w:r w:rsidR="00773BB8" w:rsidRPr="00FD13F4">
        <w:rPr>
          <w:rFonts w:ascii="Times New Roman" w:hAnsi="Times New Roman" w:cs="Times New Roman"/>
          <w:sz w:val="24"/>
          <w:szCs w:val="24"/>
          <w:lang w:val="en-GB"/>
        </w:rPr>
        <w:t xml:space="preserve"> that </w:t>
      </w:r>
      <w:r w:rsidR="00773BB8">
        <w:rPr>
          <w:rFonts w:ascii="Times New Roman" w:hAnsi="Times New Roman" w:cs="Times New Roman"/>
          <w:sz w:val="24"/>
          <w:szCs w:val="24"/>
          <w:lang w:val="en-GB"/>
        </w:rPr>
        <w:t>the facts</w:t>
      </w:r>
      <w:r w:rsidR="00773BB8" w:rsidRPr="00FD13F4">
        <w:rPr>
          <w:rFonts w:ascii="Times New Roman" w:hAnsi="Times New Roman" w:cs="Times New Roman"/>
          <w:sz w:val="24"/>
          <w:szCs w:val="24"/>
          <w:lang w:val="en-GB"/>
        </w:rPr>
        <w:t xml:space="preserve"> </w:t>
      </w:r>
      <w:r w:rsidR="00773BB8">
        <w:rPr>
          <w:rFonts w:ascii="Times New Roman" w:hAnsi="Times New Roman" w:cs="Times New Roman"/>
          <w:sz w:val="24"/>
          <w:szCs w:val="24"/>
          <w:lang w:val="en-GB"/>
        </w:rPr>
        <w:t>are</w:t>
      </w:r>
      <w:r w:rsidR="00773BB8" w:rsidRPr="00FD13F4">
        <w:rPr>
          <w:rFonts w:ascii="Times New Roman" w:hAnsi="Times New Roman" w:cs="Times New Roman"/>
          <w:sz w:val="24"/>
          <w:szCs w:val="24"/>
          <w:lang w:val="en-GB"/>
        </w:rPr>
        <w:t xml:space="preserve"> one of the more complicated aspects of the game</w:t>
      </w:r>
      <w:r w:rsidR="00773BB8">
        <w:rPr>
          <w:rFonts w:ascii="Times New Roman" w:hAnsi="Times New Roman" w:cs="Times New Roman"/>
          <w:sz w:val="24"/>
          <w:szCs w:val="24"/>
          <w:lang w:val="en-GB"/>
        </w:rPr>
        <w:t xml:space="preserve"> </w:t>
      </w:r>
      <w:r w:rsidR="00773BB8" w:rsidRPr="00FD13F4">
        <w:rPr>
          <w:rFonts w:ascii="Times New Roman" w:hAnsi="Times New Roman" w:cs="Times New Roman"/>
          <w:sz w:val="24"/>
          <w:szCs w:val="24"/>
          <w:lang w:val="en-GB"/>
        </w:rPr>
        <w:t>when playing for the first time</w:t>
      </w:r>
      <w:r w:rsidR="00773BB8">
        <w:rPr>
          <w:rFonts w:ascii="Times New Roman" w:hAnsi="Times New Roman" w:cs="Times New Roman"/>
          <w:sz w:val="24"/>
          <w:szCs w:val="24"/>
          <w:lang w:val="en-GB"/>
        </w:rPr>
        <w:t xml:space="preserve"> and need careful explanation; they can easily be omitted.</w:t>
      </w:r>
      <w:r w:rsidR="00773BB8">
        <w:rPr>
          <w:rStyle w:val="FootnoteReference"/>
          <w:rFonts w:ascii="Times New Roman" w:hAnsi="Times New Roman" w:cs="Times New Roman"/>
          <w:sz w:val="24"/>
          <w:szCs w:val="24"/>
          <w:lang w:val="en-GB"/>
        </w:rPr>
        <w:t>.</w:t>
      </w:r>
      <w:r w:rsidR="00773BB8" w:rsidRPr="00FD13F4">
        <w:rPr>
          <w:rStyle w:val="FootnoteReference"/>
          <w:rFonts w:ascii="Times New Roman" w:hAnsi="Times New Roman" w:cs="Times New Roman"/>
          <w:sz w:val="24"/>
          <w:szCs w:val="24"/>
          <w:lang w:val="en-GB"/>
        </w:rPr>
        <w:footnoteReference w:id="55"/>
      </w:r>
      <w:r w:rsidR="00773BB8">
        <w:rPr>
          <w:rFonts w:ascii="Times New Roman" w:hAnsi="Times New Roman" w:cs="Times New Roman"/>
          <w:sz w:val="24"/>
          <w:szCs w:val="24"/>
          <w:lang w:val="en-GB"/>
        </w:rPr>
        <w:t xml:space="preserve"> Paradoxically they are also one of the most popular elements once it has been fully understood; </w:t>
      </w:r>
      <w:r w:rsidR="00291148">
        <w:rPr>
          <w:rFonts w:ascii="Times New Roman" w:hAnsi="Times New Roman" w:cs="Times New Roman"/>
          <w:sz w:val="24"/>
          <w:szCs w:val="24"/>
          <w:lang w:val="en-GB"/>
        </w:rPr>
        <w:t xml:space="preserve">in a recent playtest at Royal Holloway, students </w:t>
      </w:r>
      <w:r w:rsidR="00773BB8">
        <w:rPr>
          <w:rFonts w:ascii="Times New Roman" w:hAnsi="Times New Roman" w:cs="Times New Roman"/>
          <w:sz w:val="24"/>
          <w:szCs w:val="24"/>
          <w:lang w:val="en-GB"/>
        </w:rPr>
        <w:t>enjoyed arguing about what is and is not relevant to a particular case</w:t>
      </w:r>
      <w:r w:rsidR="006C79FF">
        <w:rPr>
          <w:rFonts w:ascii="Times New Roman" w:hAnsi="Times New Roman" w:cs="Times New Roman"/>
          <w:sz w:val="24"/>
          <w:szCs w:val="24"/>
          <w:lang w:val="en-GB"/>
        </w:rPr>
        <w:t xml:space="preserve"> and found this to be an engaging element of the game</w:t>
      </w:r>
      <w:r w:rsidR="00773BB8" w:rsidRPr="00FD13F4">
        <w:rPr>
          <w:rFonts w:ascii="Times New Roman" w:hAnsi="Times New Roman" w:cs="Times New Roman"/>
          <w:sz w:val="24"/>
          <w:szCs w:val="24"/>
          <w:lang w:val="en-GB"/>
        </w:rPr>
        <w:t>.</w:t>
      </w:r>
      <w:r w:rsidR="00773BB8">
        <w:rPr>
          <w:rFonts w:ascii="Times New Roman" w:hAnsi="Times New Roman" w:cs="Times New Roman"/>
          <w:sz w:val="24"/>
          <w:szCs w:val="24"/>
          <w:lang w:val="en-GB"/>
        </w:rPr>
        <w:t xml:space="preserve"> </w:t>
      </w:r>
      <w:r w:rsidR="00F71BE1" w:rsidRPr="00FD13F4">
        <w:rPr>
          <w:rFonts w:ascii="Times New Roman" w:hAnsi="Times New Roman" w:cs="Times New Roman"/>
          <w:sz w:val="24"/>
          <w:szCs w:val="24"/>
          <w:lang w:val="en-GB"/>
        </w:rPr>
        <w:t>If the</w:t>
      </w:r>
      <w:r w:rsidR="00A560C1">
        <w:rPr>
          <w:rFonts w:ascii="Times New Roman" w:hAnsi="Times New Roman" w:cs="Times New Roman"/>
          <w:sz w:val="24"/>
          <w:szCs w:val="24"/>
          <w:lang w:val="en-GB"/>
        </w:rPr>
        <w:t>se cards are being</w:t>
      </w:r>
      <w:r w:rsidR="00F71BE1" w:rsidRPr="00FD13F4">
        <w:rPr>
          <w:rFonts w:ascii="Times New Roman" w:hAnsi="Times New Roman" w:cs="Times New Roman"/>
          <w:sz w:val="24"/>
          <w:szCs w:val="24"/>
          <w:lang w:val="en-GB"/>
        </w:rPr>
        <w:t xml:space="preserve"> </w:t>
      </w:r>
      <w:r w:rsidR="00A560C1">
        <w:rPr>
          <w:rFonts w:ascii="Times New Roman" w:hAnsi="Times New Roman" w:cs="Times New Roman"/>
          <w:sz w:val="24"/>
          <w:szCs w:val="24"/>
          <w:lang w:val="en-GB"/>
        </w:rPr>
        <w:t>used, then</w:t>
      </w:r>
      <w:r w:rsidR="00F71BE1" w:rsidRPr="00FD13F4">
        <w:rPr>
          <w:rFonts w:ascii="Times New Roman" w:hAnsi="Times New Roman" w:cs="Times New Roman"/>
          <w:sz w:val="24"/>
          <w:szCs w:val="24"/>
          <w:lang w:val="en-GB"/>
        </w:rPr>
        <w:t xml:space="preserve"> at the start of each game, the players are given a </w:t>
      </w:r>
      <w:r w:rsidR="00A560C1">
        <w:rPr>
          <w:rFonts w:ascii="Times New Roman" w:hAnsi="Times New Roman" w:cs="Times New Roman"/>
          <w:sz w:val="24"/>
          <w:szCs w:val="24"/>
          <w:lang w:val="en-GB"/>
        </w:rPr>
        <w:t xml:space="preserve">card which details a </w:t>
      </w:r>
      <w:r w:rsidR="00F71BE1" w:rsidRPr="00FD13F4">
        <w:rPr>
          <w:rFonts w:ascii="Times New Roman" w:hAnsi="Times New Roman" w:cs="Times New Roman"/>
          <w:sz w:val="24"/>
          <w:szCs w:val="24"/>
          <w:lang w:val="en-GB"/>
        </w:rPr>
        <w:t>short scenario involving the generic ‘Sam’. For example,</w:t>
      </w:r>
      <w:r w:rsidR="00F71BE1" w:rsidRPr="00FD13F4">
        <w:rPr>
          <w:rFonts w:ascii="Times New Roman" w:hAnsi="Times New Roman" w:cs="Times New Roman"/>
          <w:i/>
          <w:iCs/>
          <w:sz w:val="24"/>
          <w:szCs w:val="24"/>
          <w:lang w:val="en-GB"/>
        </w:rPr>
        <w:t xml:space="preserve"> Big Business v Sam’s Impoverished Decorators</w:t>
      </w:r>
      <w:r w:rsidR="00F71BE1" w:rsidRPr="00FD13F4">
        <w:rPr>
          <w:rFonts w:ascii="Times New Roman" w:hAnsi="Times New Roman" w:cs="Times New Roman"/>
          <w:sz w:val="24"/>
          <w:szCs w:val="24"/>
          <w:lang w:val="en-GB"/>
        </w:rPr>
        <w:t xml:space="preserve"> concerns whether part-payment of debt is good for the whole. As the game continues, players encounter ‘Fact’ cards</w:t>
      </w:r>
      <w:r w:rsidR="006428D5">
        <w:rPr>
          <w:rFonts w:ascii="Times New Roman" w:hAnsi="Times New Roman" w:cs="Times New Roman"/>
          <w:sz w:val="24"/>
          <w:szCs w:val="24"/>
          <w:lang w:val="en-GB"/>
        </w:rPr>
        <w:t xml:space="preserve">. They require one fact card before they can play a </w:t>
      </w:r>
      <w:r w:rsidR="006428D5">
        <w:rPr>
          <w:rFonts w:ascii="Times New Roman" w:hAnsi="Times New Roman" w:cs="Times New Roman"/>
          <w:i/>
          <w:iCs/>
          <w:sz w:val="24"/>
          <w:szCs w:val="24"/>
          <w:lang w:val="en-GB"/>
        </w:rPr>
        <w:t>ratio</w:t>
      </w:r>
      <w:r w:rsidR="006428D5">
        <w:rPr>
          <w:rFonts w:ascii="Times New Roman" w:hAnsi="Times New Roman" w:cs="Times New Roman"/>
          <w:sz w:val="24"/>
          <w:szCs w:val="24"/>
          <w:lang w:val="en-GB"/>
        </w:rPr>
        <w:t xml:space="preserve"> and can add more than one card to their judgment for</w:t>
      </w:r>
      <w:r w:rsidR="00F71BE1" w:rsidRPr="00FD13F4">
        <w:rPr>
          <w:rFonts w:ascii="Times New Roman" w:hAnsi="Times New Roman" w:cs="Times New Roman"/>
          <w:sz w:val="24"/>
          <w:szCs w:val="24"/>
          <w:lang w:val="en-GB"/>
        </w:rPr>
        <w:t xml:space="preserve"> extra points. Each ‘Fact’ card has a statement on it - for example, ‘Sam had tried to negotiate’ or ‘Sam’s favourite author is China Miéville’. If a player wishes to add the fact to their judgment, and by doing so gain extra points, they must make a case to the other players as to why it is relevant to the scenario being played, and the other players must then vote on whether the case has been made, before it can be played.  Often this will be simple - some, such ‘Sam tried to negotiate’, are specific to a particular scenario and others are sufficiently generic that a case can usually be made, such as ‘Sam is an insomniac’ - but it will not always be easy, and there is always the possibility that the other players will reject the </w:t>
      </w:r>
      <w:r w:rsidR="00F5148F">
        <w:rPr>
          <w:rFonts w:ascii="Times New Roman" w:hAnsi="Times New Roman" w:cs="Times New Roman"/>
          <w:sz w:val="24"/>
          <w:szCs w:val="24"/>
          <w:lang w:val="en-GB"/>
        </w:rPr>
        <w:t>argument put forward</w:t>
      </w:r>
      <w:r w:rsidR="00F71BE1" w:rsidRPr="00FD13F4">
        <w:rPr>
          <w:rFonts w:ascii="Times New Roman" w:hAnsi="Times New Roman" w:cs="Times New Roman"/>
          <w:sz w:val="24"/>
          <w:szCs w:val="24"/>
          <w:lang w:val="en-GB"/>
        </w:rPr>
        <w:t xml:space="preserve">. This process may help develop advocacy and </w:t>
      </w:r>
      <w:r w:rsidR="00F71BE1" w:rsidRPr="00FD13F4">
        <w:rPr>
          <w:rFonts w:ascii="Times New Roman" w:hAnsi="Times New Roman" w:cs="Times New Roman"/>
          <w:sz w:val="24"/>
          <w:szCs w:val="24"/>
          <w:lang w:val="en-GB"/>
        </w:rPr>
        <w:lastRenderedPageBreak/>
        <w:t>persuasion skills. We want students to be internalising the question ‘is that relevant?’ when assessing legal problems, and to lay bare the constructed nature of legal facts. This in turn can lead to discussions about the nature of legal truth, the relationship between facts, admissibility, and judgment, and the more humdrum concatenations of fact, law, and legal analysis.</w:t>
      </w:r>
    </w:p>
    <w:p w14:paraId="665009DA" w14:textId="77777777" w:rsidR="00A35D31" w:rsidRPr="00FD13F4" w:rsidRDefault="00A35D31" w:rsidP="00F92600">
      <w:pPr>
        <w:pStyle w:val="Body"/>
        <w:spacing w:line="360" w:lineRule="auto"/>
        <w:jc w:val="both"/>
        <w:rPr>
          <w:rFonts w:ascii="Times New Roman" w:hAnsi="Times New Roman" w:cs="Times New Roman"/>
          <w:sz w:val="24"/>
          <w:szCs w:val="24"/>
          <w:lang w:val="en-GB"/>
        </w:rPr>
      </w:pPr>
    </w:p>
    <w:p w14:paraId="2C5CCC1E" w14:textId="347DB28A" w:rsidR="000F2950" w:rsidRPr="00FD13F4" w:rsidRDefault="000F295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The </w:t>
      </w:r>
      <w:r w:rsidR="00883F82" w:rsidRPr="00FD13F4">
        <w:rPr>
          <w:rFonts w:ascii="Times New Roman" w:hAnsi="Times New Roman" w:cs="Times New Roman"/>
          <w:sz w:val="24"/>
          <w:szCs w:val="24"/>
          <w:lang w:val="en-GB"/>
        </w:rPr>
        <w:t xml:space="preserve">fact </w:t>
      </w:r>
      <w:r w:rsidRPr="00FD13F4">
        <w:rPr>
          <w:rFonts w:ascii="Times New Roman" w:hAnsi="Times New Roman" w:cs="Times New Roman"/>
          <w:sz w:val="24"/>
          <w:szCs w:val="24"/>
          <w:lang w:val="en-GB"/>
        </w:rPr>
        <w:t xml:space="preserve">scenarios also create opportunities for play to be adapted into revision sessions or </w:t>
      </w:r>
      <w:r w:rsidR="00A35D31" w:rsidRPr="00FD13F4">
        <w:rPr>
          <w:rFonts w:ascii="Times New Roman" w:hAnsi="Times New Roman" w:cs="Times New Roman"/>
          <w:sz w:val="24"/>
          <w:szCs w:val="24"/>
          <w:lang w:val="en-GB"/>
        </w:rPr>
        <w:t>normal</w:t>
      </w:r>
      <w:r w:rsidRPr="00FD13F4">
        <w:rPr>
          <w:rFonts w:ascii="Times New Roman" w:hAnsi="Times New Roman" w:cs="Times New Roman"/>
          <w:sz w:val="24"/>
          <w:szCs w:val="24"/>
          <w:lang w:val="en-GB"/>
        </w:rPr>
        <w:t xml:space="preserve"> seminars</w:t>
      </w:r>
      <w:r w:rsidR="00A35D31" w:rsidRPr="00FD13F4">
        <w:rPr>
          <w:rFonts w:ascii="Times New Roman" w:hAnsi="Times New Roman" w:cs="Times New Roman"/>
          <w:sz w:val="24"/>
          <w:szCs w:val="24"/>
          <w:lang w:val="en-GB"/>
        </w:rPr>
        <w:t>.</w:t>
      </w:r>
      <w:r w:rsidRPr="00FD13F4">
        <w:rPr>
          <w:rFonts w:ascii="Times New Roman" w:hAnsi="Times New Roman" w:cs="Times New Roman"/>
          <w:sz w:val="24"/>
          <w:szCs w:val="24"/>
          <w:lang w:val="en-GB"/>
        </w:rPr>
        <w:t xml:space="preserve"> </w:t>
      </w:r>
      <w:r w:rsidR="00A35D31" w:rsidRPr="00FD13F4">
        <w:rPr>
          <w:rFonts w:ascii="Times New Roman" w:hAnsi="Times New Roman" w:cs="Times New Roman"/>
          <w:sz w:val="24"/>
          <w:szCs w:val="24"/>
          <w:lang w:val="en-GB"/>
        </w:rPr>
        <w:t>I</w:t>
      </w:r>
      <w:r w:rsidRPr="00FD13F4">
        <w:rPr>
          <w:rFonts w:ascii="Times New Roman" w:hAnsi="Times New Roman" w:cs="Times New Roman"/>
          <w:sz w:val="24"/>
          <w:szCs w:val="24"/>
          <w:lang w:val="en-GB"/>
        </w:rPr>
        <w:t xml:space="preserve">n this example, players might be encouraged to explain how each card they play feeds into the scenario, and as appropriate certain cards might be removed from the deck to facilitate this. Using </w:t>
      </w:r>
      <w:r w:rsidRPr="00FD13F4">
        <w:rPr>
          <w:rFonts w:ascii="Times New Roman" w:hAnsi="Times New Roman" w:cs="Times New Roman"/>
          <w:i/>
          <w:iCs/>
          <w:sz w:val="24"/>
          <w:szCs w:val="24"/>
          <w:lang w:val="en-GB"/>
        </w:rPr>
        <w:t>Big Business v Sam’s Impoverished Decorators</w:t>
      </w:r>
      <w:r w:rsidRPr="00FD13F4">
        <w:rPr>
          <w:rFonts w:ascii="Times New Roman" w:hAnsi="Times New Roman" w:cs="Times New Roman"/>
          <w:sz w:val="24"/>
          <w:szCs w:val="24"/>
          <w:lang w:val="en-GB"/>
        </w:rPr>
        <w:t xml:space="preserve">, a player could explain or be asked whether or why their ratio is an application of the leading case </w:t>
      </w:r>
      <w:r w:rsidRPr="00FD13F4">
        <w:rPr>
          <w:rFonts w:ascii="Times New Roman" w:hAnsi="Times New Roman" w:cs="Times New Roman"/>
          <w:i/>
          <w:iCs/>
          <w:sz w:val="24"/>
          <w:szCs w:val="24"/>
          <w:lang w:val="en-GB"/>
        </w:rPr>
        <w:t>Foakes v Beer</w:t>
      </w:r>
      <w:r w:rsidRPr="00FD13F4">
        <w:rPr>
          <w:rFonts w:ascii="Times New Roman" w:eastAsia="Helvetica" w:hAnsi="Times New Roman" w:cs="Times New Roman"/>
          <w:sz w:val="24"/>
          <w:szCs w:val="24"/>
          <w:vertAlign w:val="superscript"/>
          <w:lang w:val="en-GB"/>
        </w:rPr>
        <w:footnoteReference w:id="56"/>
      </w:r>
      <w:r w:rsidRPr="00FD13F4">
        <w:rPr>
          <w:rFonts w:ascii="Times New Roman" w:hAnsi="Times New Roman" w:cs="Times New Roman"/>
          <w:i/>
          <w:iCs/>
          <w:sz w:val="24"/>
          <w:szCs w:val="24"/>
          <w:lang w:val="en-GB"/>
        </w:rPr>
        <w:t xml:space="preserve"> </w:t>
      </w:r>
      <w:r w:rsidRPr="00FD13F4">
        <w:rPr>
          <w:rFonts w:ascii="Times New Roman" w:hAnsi="Times New Roman" w:cs="Times New Roman"/>
          <w:sz w:val="24"/>
          <w:szCs w:val="24"/>
          <w:lang w:val="en-GB"/>
        </w:rPr>
        <w:t xml:space="preserve">to the facts, or  they could be expected to explain that the </w:t>
      </w:r>
      <w:r w:rsidRPr="00FD13F4">
        <w:rPr>
          <w:rFonts w:ascii="Times New Roman" w:hAnsi="Times New Roman" w:cs="Times New Roman"/>
          <w:i/>
          <w:iCs/>
          <w:sz w:val="24"/>
          <w:szCs w:val="24"/>
          <w:lang w:val="en-GB"/>
        </w:rPr>
        <w:t xml:space="preserve">obiter </w:t>
      </w:r>
      <w:r w:rsidRPr="00FD13F4">
        <w:rPr>
          <w:rFonts w:ascii="Times New Roman" w:hAnsi="Times New Roman" w:cs="Times New Roman"/>
          <w:sz w:val="24"/>
          <w:szCs w:val="24"/>
          <w:lang w:val="en-GB"/>
        </w:rPr>
        <w:t xml:space="preserve">they are creating is a discussion of whether the divergent authorities </w:t>
      </w:r>
      <w:r w:rsidRPr="00FD13F4">
        <w:rPr>
          <w:rFonts w:ascii="Times New Roman" w:hAnsi="Times New Roman" w:cs="Times New Roman"/>
          <w:i/>
          <w:iCs/>
          <w:sz w:val="24"/>
          <w:szCs w:val="24"/>
          <w:lang w:val="en-GB"/>
        </w:rPr>
        <w:t>Williams v Roffey Bros</w:t>
      </w:r>
      <w:r w:rsidRPr="00FD13F4">
        <w:rPr>
          <w:rFonts w:ascii="Times New Roman" w:eastAsia="Helvetica" w:hAnsi="Times New Roman" w:cs="Times New Roman"/>
          <w:sz w:val="24"/>
          <w:szCs w:val="24"/>
          <w:vertAlign w:val="superscript"/>
          <w:lang w:val="en-GB"/>
        </w:rPr>
        <w:footnoteReference w:id="57"/>
      </w:r>
      <w:r w:rsidRPr="00FD13F4">
        <w:rPr>
          <w:rFonts w:ascii="Times New Roman" w:hAnsi="Times New Roman" w:cs="Times New Roman"/>
          <w:i/>
          <w:iCs/>
          <w:sz w:val="24"/>
          <w:szCs w:val="24"/>
          <w:lang w:val="en-GB"/>
        </w:rPr>
        <w:t xml:space="preserve"> </w:t>
      </w:r>
      <w:r w:rsidRPr="00FD13F4">
        <w:rPr>
          <w:rFonts w:ascii="Times New Roman" w:hAnsi="Times New Roman" w:cs="Times New Roman"/>
          <w:sz w:val="24"/>
          <w:szCs w:val="24"/>
          <w:lang w:val="en-GB"/>
        </w:rPr>
        <w:t xml:space="preserve">or </w:t>
      </w:r>
      <w:r w:rsidRPr="00FD13F4">
        <w:rPr>
          <w:rFonts w:ascii="Times New Roman" w:hAnsi="Times New Roman" w:cs="Times New Roman"/>
          <w:i/>
          <w:iCs/>
          <w:sz w:val="24"/>
          <w:szCs w:val="24"/>
          <w:lang w:val="en-GB"/>
        </w:rPr>
        <w:t>Re Selectmove</w:t>
      </w:r>
      <w:r w:rsidRPr="00FD13F4">
        <w:rPr>
          <w:rFonts w:ascii="Times New Roman" w:eastAsia="Helvetica" w:hAnsi="Times New Roman" w:cs="Times New Roman"/>
          <w:sz w:val="24"/>
          <w:szCs w:val="24"/>
          <w:vertAlign w:val="superscript"/>
          <w:lang w:val="en-GB"/>
        </w:rPr>
        <w:footnoteReference w:id="58"/>
      </w:r>
      <w:r w:rsidRPr="00FD13F4">
        <w:rPr>
          <w:rFonts w:ascii="Times New Roman" w:hAnsi="Times New Roman" w:cs="Times New Roman"/>
          <w:sz w:val="24"/>
          <w:szCs w:val="24"/>
          <w:lang w:val="en-GB"/>
        </w:rPr>
        <w:t xml:space="preserve"> were correctly decided.</w:t>
      </w:r>
      <w:r w:rsidRPr="00FD13F4">
        <w:rPr>
          <w:rFonts w:ascii="Times New Roman" w:eastAsia="Helvetica" w:hAnsi="Times New Roman" w:cs="Times New Roman"/>
          <w:sz w:val="24"/>
          <w:szCs w:val="24"/>
          <w:vertAlign w:val="superscript"/>
          <w:lang w:val="en-GB"/>
        </w:rPr>
        <w:footnoteReference w:id="59"/>
      </w:r>
      <w:r w:rsidRPr="00FD13F4">
        <w:rPr>
          <w:rFonts w:ascii="Times New Roman" w:hAnsi="Times New Roman" w:cs="Times New Roman"/>
          <w:sz w:val="24"/>
          <w:szCs w:val="24"/>
          <w:lang w:val="en-GB"/>
        </w:rPr>
        <w:t xml:space="preserve"> Th</w:t>
      </w:r>
      <w:r w:rsidR="0035601E">
        <w:rPr>
          <w:rFonts w:ascii="Times New Roman" w:hAnsi="Times New Roman" w:cs="Times New Roman"/>
          <w:sz w:val="24"/>
          <w:szCs w:val="24"/>
          <w:lang w:val="en-GB"/>
        </w:rPr>
        <w:t xml:space="preserve">is </w:t>
      </w:r>
      <w:r w:rsidRPr="00FD13F4">
        <w:rPr>
          <w:rFonts w:ascii="Times New Roman" w:hAnsi="Times New Roman" w:cs="Times New Roman"/>
          <w:sz w:val="24"/>
          <w:szCs w:val="24"/>
          <w:lang w:val="en-GB"/>
        </w:rPr>
        <w:t>could be adapted as a whole-class exercise where students are encouraged to consider how their responses to legal problems could be expressed as a judgment</w:t>
      </w:r>
      <w:r w:rsidR="000A5327">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to use the game as an applied version of IRAC</w:t>
      </w:r>
      <w:r w:rsidR="00BF211E" w:rsidRPr="00FD13F4">
        <w:rPr>
          <w:rFonts w:ascii="Times New Roman" w:hAnsi="Times New Roman" w:cs="Times New Roman"/>
          <w:sz w:val="24"/>
          <w:szCs w:val="24"/>
          <w:lang w:val="en-GB"/>
        </w:rPr>
        <w:t xml:space="preserve">, or to use the cards to visualise </w:t>
      </w:r>
      <w:r w:rsidR="00883F82" w:rsidRPr="00FD13F4">
        <w:rPr>
          <w:rFonts w:ascii="Times New Roman" w:hAnsi="Times New Roman" w:cs="Times New Roman"/>
          <w:sz w:val="24"/>
          <w:szCs w:val="24"/>
          <w:lang w:val="en-GB"/>
        </w:rPr>
        <w:t xml:space="preserve">the structure of a </w:t>
      </w:r>
      <w:r w:rsidR="00BF211E" w:rsidRPr="00FD13F4">
        <w:rPr>
          <w:rFonts w:ascii="Times New Roman" w:hAnsi="Times New Roman" w:cs="Times New Roman"/>
          <w:sz w:val="24"/>
          <w:szCs w:val="24"/>
          <w:lang w:val="en-GB"/>
        </w:rPr>
        <w:t>judgment</w:t>
      </w:r>
      <w:r w:rsidRPr="00FD13F4">
        <w:rPr>
          <w:rFonts w:ascii="Times New Roman" w:hAnsi="Times New Roman" w:cs="Times New Roman"/>
          <w:sz w:val="24"/>
          <w:szCs w:val="24"/>
          <w:lang w:val="en-GB"/>
        </w:rPr>
        <w:t>.</w:t>
      </w:r>
      <w:r w:rsidRPr="00FD13F4">
        <w:rPr>
          <w:rFonts w:ascii="Times New Roman" w:eastAsia="Helvetica" w:hAnsi="Times New Roman" w:cs="Times New Roman"/>
          <w:sz w:val="24"/>
          <w:szCs w:val="24"/>
          <w:vertAlign w:val="superscript"/>
          <w:lang w:val="en-GB"/>
        </w:rPr>
        <w:footnoteReference w:id="60"/>
      </w:r>
      <w:r w:rsidRPr="00FD13F4">
        <w:rPr>
          <w:rFonts w:ascii="Times New Roman" w:hAnsi="Times New Roman" w:cs="Times New Roman"/>
          <w:sz w:val="24"/>
          <w:szCs w:val="24"/>
          <w:lang w:val="en-GB"/>
        </w:rPr>
        <w:t xml:space="preserve"> </w:t>
      </w:r>
      <w:r w:rsidR="00A35D31" w:rsidRPr="00FD13F4">
        <w:rPr>
          <w:rFonts w:ascii="Times New Roman" w:hAnsi="Times New Roman" w:cs="Times New Roman"/>
          <w:sz w:val="24"/>
          <w:szCs w:val="24"/>
          <w:lang w:val="en-GB"/>
        </w:rPr>
        <w:t>There is of course no reason why instructors could not create their own scenarios</w:t>
      </w:r>
      <w:r w:rsidR="00F71BE1">
        <w:rPr>
          <w:rFonts w:ascii="Times New Roman" w:hAnsi="Times New Roman" w:cs="Times New Roman"/>
          <w:sz w:val="24"/>
          <w:szCs w:val="24"/>
          <w:lang w:val="en-GB"/>
        </w:rPr>
        <w:t>.</w:t>
      </w:r>
    </w:p>
    <w:p w14:paraId="56DF84BF" w14:textId="77777777" w:rsidR="001359AA" w:rsidRPr="00FD13F4" w:rsidRDefault="001359AA" w:rsidP="00F92600">
      <w:pPr>
        <w:pStyle w:val="Body"/>
        <w:spacing w:line="360" w:lineRule="auto"/>
        <w:jc w:val="both"/>
        <w:rPr>
          <w:rFonts w:ascii="Times New Roman" w:hAnsi="Times New Roman" w:cs="Times New Roman"/>
          <w:sz w:val="24"/>
          <w:szCs w:val="24"/>
          <w:lang w:val="en-GB"/>
        </w:rPr>
      </w:pPr>
    </w:p>
    <w:p w14:paraId="7DD31B9F" w14:textId="4D4E38C4" w:rsidR="000F2950" w:rsidRPr="00FD13F4" w:rsidRDefault="00F71BE1" w:rsidP="00F92600">
      <w:pPr>
        <w:pStyle w:val="Body"/>
        <w:spacing w:line="360" w:lineRule="auto"/>
        <w:jc w:val="both"/>
        <w:rPr>
          <w:rFonts w:ascii="Times New Roman" w:eastAsia="Helvetica" w:hAnsi="Times New Roman" w:cs="Times New Roman"/>
          <w:i/>
          <w:iCs/>
          <w:sz w:val="24"/>
          <w:szCs w:val="24"/>
          <w:lang w:val="en-GB"/>
        </w:rPr>
      </w:pPr>
      <w:r>
        <w:rPr>
          <w:rFonts w:ascii="Times New Roman" w:hAnsi="Times New Roman" w:cs="Times New Roman"/>
          <w:i/>
          <w:iCs/>
          <w:sz w:val="24"/>
          <w:szCs w:val="24"/>
          <w:lang w:val="en-GB"/>
        </w:rPr>
        <w:t>3</w:t>
      </w:r>
      <w:r w:rsidR="000F2950" w:rsidRPr="00FD13F4">
        <w:rPr>
          <w:rFonts w:ascii="Times New Roman" w:hAnsi="Times New Roman" w:cs="Times New Roman"/>
          <w:i/>
          <w:iCs/>
          <w:sz w:val="24"/>
          <w:szCs w:val="24"/>
          <w:lang w:val="en-GB"/>
        </w:rPr>
        <w:t>.3. Decreasing Another’s Score</w:t>
      </w:r>
    </w:p>
    <w:p w14:paraId="26D78BBD" w14:textId="77777777" w:rsidR="000F2950" w:rsidRPr="00FD13F4" w:rsidRDefault="000F2950" w:rsidP="00F92600">
      <w:pPr>
        <w:pStyle w:val="Body"/>
        <w:spacing w:line="360" w:lineRule="auto"/>
        <w:jc w:val="both"/>
        <w:rPr>
          <w:rFonts w:ascii="Times New Roman" w:eastAsia="Helvetica" w:hAnsi="Times New Roman" w:cs="Times New Roman"/>
          <w:i/>
          <w:iCs/>
          <w:sz w:val="24"/>
          <w:szCs w:val="24"/>
          <w:lang w:val="en-GB"/>
        </w:rPr>
      </w:pPr>
    </w:p>
    <w:p w14:paraId="36189792" w14:textId="62E241FC" w:rsidR="000F2950" w:rsidRPr="00FD13F4" w:rsidRDefault="000F295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Players can </w:t>
      </w:r>
      <w:r w:rsidR="00883F82" w:rsidRPr="00FD13F4">
        <w:rPr>
          <w:rFonts w:ascii="Times New Roman" w:hAnsi="Times New Roman" w:cs="Times New Roman"/>
          <w:sz w:val="24"/>
          <w:szCs w:val="24"/>
          <w:lang w:val="en-GB"/>
        </w:rPr>
        <w:t>increase their chances of winning by using</w:t>
      </w:r>
      <w:r w:rsidRPr="00FD13F4">
        <w:rPr>
          <w:rFonts w:ascii="Times New Roman" w:hAnsi="Times New Roman" w:cs="Times New Roman"/>
          <w:sz w:val="24"/>
          <w:szCs w:val="24"/>
          <w:lang w:val="en-GB"/>
        </w:rPr>
        <w:t xml:space="preserve"> cards to decrease another’s score or remove aspects of their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The most dramatic option is the ‘Breach of Fair Trial</w:t>
      </w:r>
      <w:r w:rsidR="00515537" w:rsidRPr="00FD13F4">
        <w:rPr>
          <w:rFonts w:ascii="Times New Roman" w:hAnsi="Times New Roman" w:cs="Times New Roman"/>
          <w:sz w:val="24"/>
          <w:szCs w:val="24"/>
          <w:lang w:val="en-GB"/>
        </w:rPr>
        <w:t>/</w:t>
      </w:r>
      <w:r w:rsidRPr="00FD13F4">
        <w:rPr>
          <w:rFonts w:ascii="Times New Roman" w:hAnsi="Times New Roman" w:cs="Times New Roman"/>
          <w:sz w:val="24"/>
          <w:szCs w:val="24"/>
          <w:lang w:val="en-GB"/>
        </w:rPr>
        <w:t xml:space="preserve">Hearing’ card, which requires that all the cards forming any </w:t>
      </w: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belonging to a nominated player must be discarded. The game-changing potential of this is intended to provoke discussion about, and awareness of, the requirements of Article 6 ECHR and the common</w:t>
      </w:r>
      <w:r w:rsidR="00EF30D9"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law, and related issues such as the rule of law.</w:t>
      </w:r>
      <w:r w:rsidRPr="00FD13F4">
        <w:rPr>
          <w:rFonts w:ascii="Times New Roman" w:eastAsia="Helvetica" w:hAnsi="Times New Roman" w:cs="Times New Roman"/>
          <w:sz w:val="24"/>
          <w:szCs w:val="24"/>
          <w:vertAlign w:val="superscript"/>
          <w:lang w:val="en-GB"/>
        </w:rPr>
        <w:footnoteReference w:id="61"/>
      </w:r>
    </w:p>
    <w:p w14:paraId="687B8192" w14:textId="77777777" w:rsidR="000F2950" w:rsidRPr="00FD13F4" w:rsidRDefault="000F2950" w:rsidP="00F92600">
      <w:pPr>
        <w:pStyle w:val="Body"/>
        <w:spacing w:line="360" w:lineRule="auto"/>
        <w:jc w:val="both"/>
        <w:rPr>
          <w:rFonts w:ascii="Times New Roman" w:eastAsia="Helvetica" w:hAnsi="Times New Roman" w:cs="Times New Roman"/>
          <w:sz w:val="24"/>
          <w:szCs w:val="24"/>
          <w:lang w:val="en-GB"/>
        </w:rPr>
      </w:pPr>
    </w:p>
    <w:p w14:paraId="00198CE4" w14:textId="7CF27B09" w:rsidR="00D37CC9" w:rsidRDefault="000F295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Players can also remove parts of another’s </w:t>
      </w: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 xml:space="preserve">the effect of which is that the affected part must be </w:t>
      </w:r>
      <w:r w:rsidR="00E02DDD" w:rsidRPr="00FD13F4">
        <w:rPr>
          <w:rFonts w:ascii="Times New Roman" w:hAnsi="Times New Roman" w:cs="Times New Roman"/>
          <w:sz w:val="24"/>
          <w:szCs w:val="24"/>
          <w:lang w:val="en-GB"/>
        </w:rPr>
        <w:t>discarded,</w:t>
      </w:r>
      <w:r w:rsidRPr="00FD13F4">
        <w:rPr>
          <w:rFonts w:ascii="Times New Roman" w:hAnsi="Times New Roman" w:cs="Times New Roman"/>
          <w:sz w:val="24"/>
          <w:szCs w:val="24"/>
          <w:lang w:val="en-GB"/>
        </w:rPr>
        <w:t xml:space="preserve"> </w:t>
      </w:r>
      <w:r w:rsidR="00D37CC9">
        <w:rPr>
          <w:rFonts w:ascii="Times New Roman" w:hAnsi="Times New Roman" w:cs="Times New Roman"/>
          <w:sz w:val="24"/>
          <w:szCs w:val="24"/>
          <w:lang w:val="en-GB"/>
        </w:rPr>
        <w:t>and</w:t>
      </w:r>
      <w:r w:rsidRPr="00FD13F4">
        <w:rPr>
          <w:rFonts w:ascii="Times New Roman" w:hAnsi="Times New Roman" w:cs="Times New Roman"/>
          <w:sz w:val="24"/>
          <w:szCs w:val="24"/>
          <w:lang w:val="en-GB"/>
        </w:rPr>
        <w:t xml:space="preserve"> the other elements are returned to the player’s hand</w:t>
      </w:r>
      <w:r w:rsidR="00D37CC9">
        <w:rPr>
          <w:rFonts w:ascii="Times New Roman" w:hAnsi="Times New Roman" w:cs="Times New Roman"/>
          <w:sz w:val="24"/>
          <w:szCs w:val="24"/>
          <w:lang w:val="en-GB"/>
        </w:rPr>
        <w:t xml:space="preserve">, since the </w:t>
      </w:r>
      <w:r w:rsidR="00D37CC9">
        <w:rPr>
          <w:rFonts w:ascii="Times New Roman" w:hAnsi="Times New Roman" w:cs="Times New Roman"/>
          <w:i/>
          <w:iCs/>
          <w:sz w:val="24"/>
          <w:szCs w:val="24"/>
          <w:lang w:val="en-GB"/>
        </w:rPr>
        <w:t xml:space="preserve">ratio </w:t>
      </w:r>
      <w:r w:rsidR="00D37CC9">
        <w:rPr>
          <w:rFonts w:ascii="Times New Roman" w:hAnsi="Times New Roman" w:cs="Times New Roman"/>
          <w:sz w:val="24"/>
          <w:szCs w:val="24"/>
          <w:lang w:val="en-GB"/>
        </w:rPr>
        <w:t xml:space="preserve">is not valid.  The purpose of these cards is to show that judgments are not set in stone and the common law is in constant </w:t>
      </w:r>
      <w:r w:rsidR="00D37CC9">
        <w:rPr>
          <w:rFonts w:ascii="Times New Roman" w:hAnsi="Times New Roman" w:cs="Times New Roman"/>
          <w:sz w:val="24"/>
          <w:szCs w:val="24"/>
          <w:lang w:val="en-GB"/>
        </w:rPr>
        <w:lastRenderedPageBreak/>
        <w:t xml:space="preserve">flux: they can be </w:t>
      </w:r>
      <w:r w:rsidR="00AF1C04">
        <w:rPr>
          <w:rFonts w:ascii="Times New Roman" w:hAnsi="Times New Roman" w:cs="Times New Roman"/>
          <w:sz w:val="24"/>
          <w:szCs w:val="24"/>
          <w:lang w:val="en-GB"/>
        </w:rPr>
        <w:t>appealed,</w:t>
      </w:r>
      <w:r w:rsidR="00D37CC9">
        <w:rPr>
          <w:rFonts w:ascii="Times New Roman" w:hAnsi="Times New Roman" w:cs="Times New Roman"/>
          <w:sz w:val="24"/>
          <w:szCs w:val="24"/>
          <w:lang w:val="en-GB"/>
        </w:rPr>
        <w:t xml:space="preserve"> or they may be overturned at a later date.  </w:t>
      </w:r>
      <w:r w:rsidRPr="00FD13F4">
        <w:rPr>
          <w:rFonts w:ascii="Times New Roman" w:hAnsi="Times New Roman" w:cs="Times New Roman"/>
          <w:sz w:val="24"/>
          <w:szCs w:val="24"/>
          <w:lang w:val="en-GB"/>
        </w:rPr>
        <w:t xml:space="preserve">If a player is established as an appellate judge, they can, as mentioned, ‘Overrule’ a case authority that is being used to support a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There are two closely related cards</w:t>
      </w:r>
      <w:r w:rsidR="00B2130F" w:rsidRPr="00FD13F4">
        <w:rPr>
          <w:rFonts w:ascii="Times New Roman" w:hAnsi="Times New Roman" w:cs="Times New Roman"/>
          <w:sz w:val="24"/>
          <w:szCs w:val="24"/>
          <w:lang w:val="en-GB"/>
        </w:rPr>
        <w:t xml:space="preserve"> which can reduce judgment scores</w:t>
      </w:r>
      <w:r w:rsidRPr="00FD13F4">
        <w:rPr>
          <w:rFonts w:ascii="Times New Roman" w:hAnsi="Times New Roman" w:cs="Times New Roman"/>
          <w:sz w:val="24"/>
          <w:szCs w:val="24"/>
          <w:lang w:val="en-GB"/>
        </w:rPr>
        <w:t xml:space="preserve">. The ‘Bad Interpretation’ card signals that </w:t>
      </w:r>
      <w:r w:rsidR="001E020B" w:rsidRPr="00FD13F4">
        <w:rPr>
          <w:rFonts w:ascii="Times New Roman" w:hAnsi="Times New Roman" w:cs="Times New Roman"/>
          <w:sz w:val="24"/>
          <w:szCs w:val="24"/>
          <w:lang w:val="en-GB"/>
        </w:rPr>
        <w:t>an</w:t>
      </w:r>
      <w:r w:rsidRPr="00FD13F4">
        <w:rPr>
          <w:rFonts w:ascii="Times New Roman" w:hAnsi="Times New Roman" w:cs="Times New Roman"/>
          <w:sz w:val="24"/>
          <w:szCs w:val="24"/>
          <w:lang w:val="en-GB"/>
        </w:rPr>
        <w:t xml:space="preserve"> authority being relied upon by a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has been </w:t>
      </w:r>
      <w:r w:rsidR="001E020B" w:rsidRPr="00FD13F4">
        <w:rPr>
          <w:rFonts w:ascii="Times New Roman" w:hAnsi="Times New Roman" w:cs="Times New Roman"/>
          <w:sz w:val="24"/>
          <w:szCs w:val="24"/>
          <w:lang w:val="en-GB"/>
        </w:rPr>
        <w:t xml:space="preserve">read incorrectly, and the relevant </w:t>
      </w:r>
      <w:r w:rsidR="00894023" w:rsidRPr="00FD13F4">
        <w:rPr>
          <w:rFonts w:ascii="Times New Roman" w:hAnsi="Times New Roman" w:cs="Times New Roman"/>
          <w:sz w:val="24"/>
          <w:szCs w:val="24"/>
          <w:lang w:val="en-GB"/>
        </w:rPr>
        <w:t>‘Discussion’</w:t>
      </w:r>
      <w:r w:rsidR="001E020B" w:rsidRPr="00FD13F4">
        <w:rPr>
          <w:rFonts w:ascii="Times New Roman" w:hAnsi="Times New Roman" w:cs="Times New Roman"/>
          <w:sz w:val="24"/>
          <w:szCs w:val="24"/>
          <w:lang w:val="en-GB"/>
        </w:rPr>
        <w:t xml:space="preserve"> cards must be discarded.</w:t>
      </w:r>
      <w:r w:rsidRPr="00FD13F4">
        <w:rPr>
          <w:rFonts w:ascii="Times New Roman" w:hAnsi="Times New Roman" w:cs="Times New Roman"/>
          <w:sz w:val="24"/>
          <w:szCs w:val="24"/>
          <w:lang w:val="en-GB"/>
        </w:rPr>
        <w:t xml:space="preserve"> </w:t>
      </w:r>
      <w:r w:rsidR="001E020B" w:rsidRPr="00FD13F4">
        <w:rPr>
          <w:rFonts w:ascii="Times New Roman" w:hAnsi="Times New Roman" w:cs="Times New Roman"/>
          <w:sz w:val="24"/>
          <w:szCs w:val="24"/>
          <w:lang w:val="en-GB"/>
        </w:rPr>
        <w:t>T</w:t>
      </w:r>
      <w:r w:rsidRPr="00FD13F4">
        <w:rPr>
          <w:rFonts w:ascii="Times New Roman" w:hAnsi="Times New Roman" w:cs="Times New Roman"/>
          <w:sz w:val="24"/>
          <w:szCs w:val="24"/>
          <w:lang w:val="en-GB"/>
        </w:rPr>
        <w:t xml:space="preserve">he ‘Misapplication of Law’ card </w:t>
      </w:r>
      <w:r w:rsidR="001E020B" w:rsidRPr="00FD13F4">
        <w:rPr>
          <w:rFonts w:ascii="Times New Roman" w:hAnsi="Times New Roman" w:cs="Times New Roman"/>
          <w:sz w:val="24"/>
          <w:szCs w:val="24"/>
          <w:lang w:val="en-GB"/>
        </w:rPr>
        <w:t xml:space="preserve">signals the law has been applied incorrectly and </w:t>
      </w:r>
      <w:r w:rsidRPr="00FD13F4">
        <w:rPr>
          <w:rFonts w:ascii="Times New Roman" w:hAnsi="Times New Roman" w:cs="Times New Roman"/>
          <w:sz w:val="24"/>
          <w:szCs w:val="24"/>
          <w:lang w:val="en-GB"/>
        </w:rPr>
        <w:t xml:space="preserve">that the ‘Application’ card in a nominated </w:t>
      </w:r>
      <w:r w:rsidRPr="00FD13F4">
        <w:rPr>
          <w:rFonts w:ascii="Times New Roman" w:hAnsi="Times New Roman" w:cs="Times New Roman"/>
          <w:i/>
          <w:iCs/>
          <w:sz w:val="24"/>
          <w:szCs w:val="24"/>
          <w:lang w:val="en-GB"/>
        </w:rPr>
        <w:t xml:space="preserve">ratio </w:t>
      </w:r>
      <w:r w:rsidRPr="00FD13F4">
        <w:rPr>
          <w:rFonts w:ascii="Times New Roman" w:hAnsi="Times New Roman" w:cs="Times New Roman"/>
          <w:sz w:val="24"/>
          <w:szCs w:val="24"/>
          <w:lang w:val="en-GB"/>
        </w:rPr>
        <w:t xml:space="preserve">must be discarded.  These cards each perform the same gaming mechanic, but in subtly different ways which reflect core </w:t>
      </w:r>
      <w:r w:rsidR="00125511" w:rsidRPr="00FD13F4">
        <w:rPr>
          <w:rFonts w:ascii="Times New Roman" w:hAnsi="Times New Roman" w:cs="Times New Roman"/>
          <w:sz w:val="24"/>
          <w:szCs w:val="24"/>
          <w:lang w:val="en-GB"/>
        </w:rPr>
        <w:t>structures</w:t>
      </w:r>
      <w:r w:rsidRPr="00FD13F4">
        <w:rPr>
          <w:rFonts w:ascii="Times New Roman" w:hAnsi="Times New Roman" w:cs="Times New Roman"/>
          <w:sz w:val="24"/>
          <w:szCs w:val="24"/>
          <w:lang w:val="en-GB"/>
        </w:rPr>
        <w:t xml:space="preserve"> </w:t>
      </w:r>
      <w:r w:rsidR="00125511" w:rsidRPr="00FD13F4">
        <w:rPr>
          <w:rFonts w:ascii="Times New Roman" w:hAnsi="Times New Roman" w:cs="Times New Roman"/>
          <w:sz w:val="24"/>
          <w:szCs w:val="24"/>
          <w:lang w:val="en-GB"/>
        </w:rPr>
        <w:t>of</w:t>
      </w:r>
      <w:r w:rsidRPr="00FD13F4">
        <w:rPr>
          <w:rFonts w:ascii="Times New Roman" w:hAnsi="Times New Roman" w:cs="Times New Roman"/>
          <w:sz w:val="24"/>
          <w:szCs w:val="24"/>
          <w:lang w:val="en-GB"/>
        </w:rPr>
        <w:t xml:space="preserve"> legal reasoning. A case can be overruled by the higher judiciary, but a statute cannot be; they can in general only be ‘misinterpreted’, and an error may have been made in applying the law even if the interpretation of the legal rule was fundamentally correct. </w:t>
      </w:r>
    </w:p>
    <w:p w14:paraId="561081E7" w14:textId="77777777" w:rsidR="00D37CC9" w:rsidRDefault="00D37CC9" w:rsidP="00F92600">
      <w:pPr>
        <w:pStyle w:val="Body"/>
        <w:spacing w:line="360" w:lineRule="auto"/>
        <w:jc w:val="both"/>
        <w:rPr>
          <w:rFonts w:ascii="Times New Roman" w:hAnsi="Times New Roman" w:cs="Times New Roman"/>
          <w:sz w:val="24"/>
          <w:szCs w:val="24"/>
          <w:lang w:val="en-GB"/>
        </w:rPr>
      </w:pPr>
    </w:p>
    <w:p w14:paraId="6526AD75" w14:textId="06F94E41" w:rsidR="000F2950" w:rsidRPr="00FD13F4" w:rsidRDefault="00F92600"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The abstracted nature of these cards means that they cannot directly reflect some of their related and complicating sub-issues</w:t>
      </w:r>
      <w:r w:rsidR="00D37CC9">
        <w:rPr>
          <w:rFonts w:ascii="Times New Roman" w:hAnsi="Times New Roman" w:cs="Times New Roman"/>
          <w:sz w:val="24"/>
          <w:szCs w:val="24"/>
          <w:lang w:val="en-GB"/>
        </w:rPr>
        <w:t>, but this is a deliberate design feature. It allows us to highlight concepts within common law reasoning and not overly complicate the game</w:t>
      </w:r>
      <w:r w:rsidRPr="00FD13F4">
        <w:rPr>
          <w:rFonts w:ascii="Times New Roman" w:hAnsi="Times New Roman" w:cs="Times New Roman"/>
          <w:sz w:val="24"/>
          <w:szCs w:val="24"/>
          <w:lang w:val="en-GB"/>
        </w:rPr>
        <w:t xml:space="preserve">. ‘Bad Interpretation’ is silent as to what sort of bad interpretation has occurred – for example, perhaps the judge below has wrongly </w:t>
      </w:r>
      <w:r w:rsidR="00F17DAA">
        <w:rPr>
          <w:rFonts w:ascii="Times New Roman" w:hAnsi="Times New Roman" w:cs="Times New Roman"/>
          <w:sz w:val="24"/>
          <w:szCs w:val="24"/>
          <w:lang w:val="en-GB"/>
        </w:rPr>
        <w:t>‘read in’ or ‘read down’ legislation down under</w:t>
      </w:r>
      <w:r w:rsidR="00F17DAA" w:rsidRPr="00FD13F4">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section 3</w:t>
      </w:r>
      <w:r w:rsidR="00F17DAA">
        <w:rPr>
          <w:rFonts w:ascii="Times New Roman" w:hAnsi="Times New Roman" w:cs="Times New Roman"/>
          <w:sz w:val="24"/>
          <w:szCs w:val="24"/>
          <w:lang w:val="en-GB"/>
        </w:rPr>
        <w:t xml:space="preserve"> </w:t>
      </w:r>
      <w:r w:rsidRPr="00FD13F4">
        <w:rPr>
          <w:rFonts w:ascii="Times New Roman" w:hAnsi="Times New Roman" w:cs="Times New Roman"/>
          <w:sz w:val="24"/>
          <w:szCs w:val="24"/>
          <w:lang w:val="en-GB"/>
        </w:rPr>
        <w:t>of the Human Rights Act 1998</w:t>
      </w:r>
      <w:r w:rsidR="00F17DAA">
        <w:rPr>
          <w:rFonts w:ascii="Times New Roman" w:hAnsi="Times New Roman" w:cs="Times New Roman"/>
          <w:sz w:val="24"/>
          <w:szCs w:val="24"/>
          <w:lang w:val="en-GB"/>
        </w:rPr>
        <w:t xml:space="preserve"> and ought instead to have issued a declaration of incompatibility under section 4.</w:t>
      </w:r>
      <w:r w:rsidRPr="00FD13F4">
        <w:rPr>
          <w:rFonts w:ascii="Times New Roman" w:eastAsia="Helvetica" w:hAnsi="Times New Roman" w:cs="Times New Roman"/>
          <w:sz w:val="24"/>
          <w:szCs w:val="24"/>
          <w:vertAlign w:val="superscript"/>
          <w:lang w:val="en-GB"/>
        </w:rPr>
        <w:footnoteReference w:id="62"/>
      </w:r>
      <w:r w:rsidR="00F7325B" w:rsidRPr="00FD13F4">
        <w:rPr>
          <w:rFonts w:ascii="Times New Roman" w:hAnsi="Times New Roman" w:cs="Times New Roman"/>
          <w:sz w:val="24"/>
          <w:szCs w:val="24"/>
          <w:lang w:val="en-GB"/>
        </w:rPr>
        <w:t xml:space="preserve"> ‘Misapplication’</w:t>
      </w:r>
      <w:r w:rsidRPr="00FD13F4">
        <w:rPr>
          <w:rFonts w:ascii="Times New Roman" w:hAnsi="Times New Roman" w:cs="Times New Roman"/>
          <w:sz w:val="24"/>
          <w:szCs w:val="24"/>
          <w:lang w:val="en-GB"/>
        </w:rPr>
        <w:t xml:space="preserve"> does not indicate the different ways that an application might be deemed incorrect, for example through the unnecessary use of purposive interpretation.</w:t>
      </w:r>
      <w:r w:rsidRPr="00FD13F4">
        <w:rPr>
          <w:rStyle w:val="FootnoteReference"/>
          <w:rFonts w:ascii="Times New Roman" w:hAnsi="Times New Roman" w:cs="Times New Roman"/>
          <w:sz w:val="24"/>
          <w:szCs w:val="24"/>
          <w:lang w:val="en-GB"/>
        </w:rPr>
        <w:footnoteReference w:id="63"/>
      </w:r>
      <w:r w:rsidR="00F7325B" w:rsidRPr="00FD13F4">
        <w:rPr>
          <w:rFonts w:ascii="Times New Roman" w:hAnsi="Times New Roman" w:cs="Times New Roman"/>
          <w:sz w:val="24"/>
          <w:szCs w:val="24"/>
          <w:lang w:val="en-GB"/>
        </w:rPr>
        <w:t xml:space="preserve"> </w:t>
      </w:r>
      <w:r w:rsidR="002116E4" w:rsidRPr="00FD13F4">
        <w:rPr>
          <w:rFonts w:ascii="Times New Roman" w:hAnsi="Times New Roman" w:cs="Times New Roman"/>
          <w:sz w:val="24"/>
          <w:szCs w:val="24"/>
          <w:lang w:val="en-GB"/>
        </w:rPr>
        <w:t xml:space="preserve"> </w:t>
      </w:r>
      <w:r w:rsidR="00D37CC9">
        <w:rPr>
          <w:rFonts w:ascii="Times New Roman" w:hAnsi="Times New Roman" w:cs="Times New Roman"/>
          <w:sz w:val="24"/>
          <w:szCs w:val="24"/>
          <w:lang w:val="en-GB"/>
        </w:rPr>
        <w:t>These</w:t>
      </w:r>
      <w:r w:rsidR="00F7325B" w:rsidRPr="00FD13F4">
        <w:rPr>
          <w:rFonts w:ascii="Times New Roman" w:hAnsi="Times New Roman" w:cs="Times New Roman"/>
          <w:sz w:val="24"/>
          <w:szCs w:val="24"/>
          <w:lang w:val="en-GB"/>
        </w:rPr>
        <w:t xml:space="preserve"> nuances can be pursued in the debrief session.</w:t>
      </w:r>
      <w:r w:rsidR="000F075A" w:rsidRPr="00FD13F4">
        <w:rPr>
          <w:rFonts w:ascii="Times New Roman" w:hAnsi="Times New Roman" w:cs="Times New Roman"/>
          <w:sz w:val="24"/>
          <w:szCs w:val="24"/>
          <w:lang w:val="en-GB"/>
        </w:rPr>
        <w:t xml:space="preserve"> </w:t>
      </w:r>
    </w:p>
    <w:p w14:paraId="3F6D1CB8" w14:textId="77777777" w:rsidR="000F075A" w:rsidRPr="00FD13F4" w:rsidRDefault="000F075A" w:rsidP="00F92600">
      <w:pPr>
        <w:pStyle w:val="Body"/>
        <w:spacing w:line="360" w:lineRule="auto"/>
        <w:jc w:val="both"/>
        <w:rPr>
          <w:rFonts w:ascii="Times New Roman" w:hAnsi="Times New Roman" w:cs="Times New Roman"/>
          <w:sz w:val="24"/>
          <w:szCs w:val="24"/>
          <w:lang w:val="en-GB"/>
        </w:rPr>
      </w:pPr>
    </w:p>
    <w:p w14:paraId="234919B4" w14:textId="4E6F31D1" w:rsidR="00F7325B" w:rsidRPr="00FD13F4" w:rsidRDefault="00F7325B" w:rsidP="00F92600">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Conclusion</w:t>
      </w:r>
    </w:p>
    <w:p w14:paraId="1AD70A00" w14:textId="0A55EA53" w:rsidR="00F7325B" w:rsidRPr="00FD13F4" w:rsidRDefault="00F7325B" w:rsidP="00F92600">
      <w:pPr>
        <w:pStyle w:val="Body"/>
        <w:spacing w:line="360" w:lineRule="auto"/>
        <w:jc w:val="both"/>
        <w:rPr>
          <w:rFonts w:ascii="Times New Roman" w:hAnsi="Times New Roman" w:cs="Times New Roman"/>
          <w:b/>
          <w:bCs/>
          <w:sz w:val="24"/>
          <w:szCs w:val="24"/>
          <w:lang w:val="en-GB"/>
        </w:rPr>
      </w:pPr>
    </w:p>
    <w:p w14:paraId="1D0B22B5" w14:textId="2928DA51" w:rsidR="00900DF3" w:rsidRPr="00FD13F4" w:rsidRDefault="00FC31DC"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 xml:space="preserve">This </w:t>
      </w:r>
      <w:r w:rsidR="001A5214">
        <w:rPr>
          <w:rFonts w:ascii="Times New Roman" w:hAnsi="Times New Roman" w:cs="Times New Roman"/>
          <w:sz w:val="24"/>
          <w:szCs w:val="24"/>
          <w:lang w:val="en-GB"/>
        </w:rPr>
        <w:t>a</w:t>
      </w:r>
      <w:r w:rsidRPr="00FD13F4">
        <w:rPr>
          <w:rFonts w:ascii="Times New Roman" w:hAnsi="Times New Roman" w:cs="Times New Roman"/>
          <w:sz w:val="24"/>
          <w:szCs w:val="24"/>
          <w:lang w:val="en-GB"/>
        </w:rPr>
        <w:t xml:space="preserve">rticle </w:t>
      </w:r>
      <w:r w:rsidR="00FC7C9C" w:rsidRPr="00FD13F4">
        <w:rPr>
          <w:rFonts w:ascii="Times New Roman" w:hAnsi="Times New Roman" w:cs="Times New Roman"/>
          <w:sz w:val="24"/>
          <w:szCs w:val="24"/>
          <w:lang w:val="en-GB"/>
        </w:rPr>
        <w:t xml:space="preserve">discussed how </w:t>
      </w:r>
      <w:r w:rsidRPr="00FD13F4">
        <w:rPr>
          <w:rFonts w:ascii="Times New Roman" w:hAnsi="Times New Roman" w:cs="Times New Roman"/>
          <w:sz w:val="24"/>
          <w:szCs w:val="24"/>
          <w:lang w:val="en-GB"/>
        </w:rPr>
        <w:t>GBL</w:t>
      </w:r>
      <w:r w:rsidR="00FC7C9C" w:rsidRPr="00FD13F4">
        <w:rPr>
          <w:rFonts w:ascii="Times New Roman" w:hAnsi="Times New Roman" w:cs="Times New Roman"/>
          <w:sz w:val="24"/>
          <w:szCs w:val="24"/>
          <w:lang w:val="en-GB"/>
        </w:rPr>
        <w:t xml:space="preserve"> </w:t>
      </w:r>
      <w:r w:rsidR="00B970DA" w:rsidRPr="00FD13F4">
        <w:rPr>
          <w:rFonts w:ascii="Times New Roman" w:hAnsi="Times New Roman" w:cs="Times New Roman"/>
          <w:sz w:val="24"/>
          <w:szCs w:val="24"/>
          <w:lang w:val="en-GB"/>
        </w:rPr>
        <w:t>offers distinct pedagogies which</w:t>
      </w:r>
      <w:r w:rsidRPr="00FD13F4">
        <w:rPr>
          <w:rFonts w:ascii="Times New Roman" w:hAnsi="Times New Roman" w:cs="Times New Roman"/>
          <w:sz w:val="24"/>
          <w:szCs w:val="24"/>
          <w:lang w:val="en-GB"/>
        </w:rPr>
        <w:t xml:space="preserve"> provide an innovative method </w:t>
      </w:r>
      <w:r w:rsidR="001D1FE3" w:rsidRPr="00FD13F4">
        <w:rPr>
          <w:rFonts w:ascii="Times New Roman" w:hAnsi="Times New Roman" w:cs="Times New Roman"/>
          <w:sz w:val="24"/>
          <w:szCs w:val="24"/>
          <w:lang w:val="en-GB"/>
        </w:rPr>
        <w:t>of</w:t>
      </w:r>
      <w:r w:rsidRPr="00FD13F4">
        <w:rPr>
          <w:rFonts w:ascii="Times New Roman" w:hAnsi="Times New Roman" w:cs="Times New Roman"/>
          <w:sz w:val="24"/>
          <w:szCs w:val="24"/>
          <w:lang w:val="en-GB"/>
        </w:rPr>
        <w:t xml:space="preserve"> </w:t>
      </w:r>
      <w:r w:rsidR="001D1FE3" w:rsidRPr="00FD13F4">
        <w:rPr>
          <w:rFonts w:ascii="Times New Roman" w:hAnsi="Times New Roman" w:cs="Times New Roman"/>
          <w:sz w:val="24"/>
          <w:szCs w:val="24"/>
          <w:lang w:val="en-GB"/>
        </w:rPr>
        <w:t>engaging</w:t>
      </w:r>
      <w:r w:rsidRPr="00FD13F4">
        <w:rPr>
          <w:rFonts w:ascii="Times New Roman" w:hAnsi="Times New Roman" w:cs="Times New Roman"/>
          <w:sz w:val="24"/>
          <w:szCs w:val="24"/>
          <w:lang w:val="en-GB"/>
        </w:rPr>
        <w:t xml:space="preserve"> and </w:t>
      </w:r>
      <w:r w:rsidR="001D1FE3" w:rsidRPr="00FD13F4">
        <w:rPr>
          <w:rFonts w:ascii="Times New Roman" w:hAnsi="Times New Roman" w:cs="Times New Roman"/>
          <w:sz w:val="24"/>
          <w:szCs w:val="24"/>
          <w:lang w:val="en-GB"/>
        </w:rPr>
        <w:t>educating</w:t>
      </w:r>
      <w:r w:rsidRPr="00FD13F4">
        <w:rPr>
          <w:rFonts w:ascii="Times New Roman" w:hAnsi="Times New Roman" w:cs="Times New Roman"/>
          <w:sz w:val="24"/>
          <w:szCs w:val="24"/>
          <w:lang w:val="en-GB"/>
        </w:rPr>
        <w:t xml:space="preserve"> law students. </w:t>
      </w:r>
      <w:r w:rsidR="001D1FE3" w:rsidRPr="00FD13F4">
        <w:rPr>
          <w:rFonts w:ascii="Times New Roman" w:hAnsi="Times New Roman" w:cs="Times New Roman"/>
          <w:sz w:val="24"/>
          <w:szCs w:val="24"/>
          <w:lang w:val="en-GB"/>
        </w:rPr>
        <w:t>It</w:t>
      </w:r>
      <w:r w:rsidR="00641326" w:rsidRPr="00FD13F4">
        <w:rPr>
          <w:rFonts w:ascii="Times New Roman" w:hAnsi="Times New Roman" w:cs="Times New Roman"/>
          <w:sz w:val="24"/>
          <w:szCs w:val="24"/>
          <w:lang w:val="en-GB"/>
        </w:rPr>
        <w:t xml:space="preserve"> introduced </w:t>
      </w:r>
      <w:r w:rsidR="00AC1A25" w:rsidRPr="00FD13F4">
        <w:rPr>
          <w:rFonts w:ascii="Times New Roman" w:hAnsi="Times New Roman" w:cs="Times New Roman"/>
          <w:sz w:val="24"/>
          <w:szCs w:val="24"/>
          <w:lang w:val="en-GB"/>
        </w:rPr>
        <w:t xml:space="preserve">and discussed </w:t>
      </w:r>
      <w:r w:rsidR="00900DF3" w:rsidRPr="00FD13F4">
        <w:rPr>
          <w:rFonts w:ascii="Times New Roman" w:hAnsi="Times New Roman" w:cs="Times New Roman"/>
          <w:i/>
          <w:iCs/>
          <w:sz w:val="24"/>
          <w:szCs w:val="24"/>
          <w:lang w:val="en-GB"/>
        </w:rPr>
        <w:t>Ratio</w:t>
      </w:r>
      <w:r w:rsidRPr="00FD13F4">
        <w:rPr>
          <w:rFonts w:ascii="Times New Roman" w:hAnsi="Times New Roman" w:cs="Times New Roman"/>
          <w:i/>
          <w:iCs/>
          <w:sz w:val="24"/>
          <w:szCs w:val="24"/>
          <w:lang w:val="en-GB"/>
        </w:rPr>
        <w:t xml:space="preserve">, </w:t>
      </w:r>
      <w:r w:rsidRPr="00FD13F4">
        <w:rPr>
          <w:rFonts w:ascii="Times New Roman" w:hAnsi="Times New Roman" w:cs="Times New Roman"/>
          <w:sz w:val="24"/>
          <w:szCs w:val="24"/>
          <w:lang w:val="en-GB"/>
        </w:rPr>
        <w:t xml:space="preserve">a card game </w:t>
      </w:r>
      <w:r w:rsidR="000E508C" w:rsidRPr="00FD13F4">
        <w:rPr>
          <w:rFonts w:ascii="Times New Roman" w:hAnsi="Times New Roman" w:cs="Times New Roman"/>
          <w:sz w:val="24"/>
          <w:szCs w:val="24"/>
          <w:lang w:val="en-GB"/>
        </w:rPr>
        <w:t>designed to</w:t>
      </w:r>
      <w:r w:rsidR="00900DF3" w:rsidRPr="00FD13F4">
        <w:rPr>
          <w:rFonts w:ascii="Times New Roman" w:hAnsi="Times New Roman" w:cs="Times New Roman"/>
          <w:sz w:val="24"/>
          <w:szCs w:val="24"/>
          <w:lang w:val="en-GB"/>
        </w:rPr>
        <w:t xml:space="preserve"> provide an immersive environment</w:t>
      </w:r>
      <w:r w:rsidR="001D1FE3" w:rsidRPr="00FD13F4">
        <w:rPr>
          <w:rFonts w:ascii="Times New Roman" w:hAnsi="Times New Roman" w:cs="Times New Roman"/>
          <w:sz w:val="24"/>
          <w:szCs w:val="24"/>
          <w:lang w:val="en-GB"/>
        </w:rPr>
        <w:t xml:space="preserve"> </w:t>
      </w:r>
      <w:r w:rsidR="00900DF3" w:rsidRPr="00FD13F4">
        <w:rPr>
          <w:rFonts w:ascii="Times New Roman" w:hAnsi="Times New Roman" w:cs="Times New Roman"/>
          <w:sz w:val="24"/>
          <w:szCs w:val="24"/>
          <w:lang w:val="en-GB"/>
        </w:rPr>
        <w:t>for the deep and active learning of</w:t>
      </w:r>
      <w:r w:rsidRPr="00FD13F4">
        <w:rPr>
          <w:rFonts w:ascii="Times New Roman" w:hAnsi="Times New Roman" w:cs="Times New Roman"/>
          <w:sz w:val="24"/>
          <w:szCs w:val="24"/>
          <w:lang w:val="en-GB"/>
        </w:rPr>
        <w:t xml:space="preserve"> c</w:t>
      </w:r>
      <w:r w:rsidR="00900DF3" w:rsidRPr="00FD13F4">
        <w:rPr>
          <w:rFonts w:ascii="Times New Roman" w:hAnsi="Times New Roman" w:cs="Times New Roman"/>
          <w:sz w:val="24"/>
          <w:szCs w:val="24"/>
          <w:lang w:val="en-GB"/>
        </w:rPr>
        <w:t>ommon</w:t>
      </w:r>
      <w:r w:rsidR="00EF30D9" w:rsidRPr="00FD13F4">
        <w:rPr>
          <w:rFonts w:ascii="Times New Roman" w:hAnsi="Times New Roman" w:cs="Times New Roman"/>
          <w:sz w:val="24"/>
          <w:szCs w:val="24"/>
          <w:lang w:val="en-GB"/>
        </w:rPr>
        <w:t xml:space="preserve"> </w:t>
      </w:r>
      <w:r w:rsidR="00900DF3" w:rsidRPr="00FD13F4">
        <w:rPr>
          <w:rFonts w:ascii="Times New Roman" w:hAnsi="Times New Roman" w:cs="Times New Roman"/>
          <w:sz w:val="24"/>
          <w:szCs w:val="24"/>
          <w:lang w:val="en-GB"/>
        </w:rPr>
        <w:t>law legal reasoning</w:t>
      </w:r>
      <w:r w:rsidR="001D1FE3" w:rsidRPr="00FD13F4">
        <w:rPr>
          <w:rFonts w:ascii="Times New Roman" w:hAnsi="Times New Roman" w:cs="Times New Roman"/>
          <w:sz w:val="24"/>
          <w:szCs w:val="24"/>
          <w:lang w:val="en-GB"/>
        </w:rPr>
        <w:t xml:space="preserve">. Even if </w:t>
      </w:r>
      <w:r w:rsidR="001D1FE3" w:rsidRPr="00FD13F4">
        <w:rPr>
          <w:rFonts w:ascii="Times New Roman" w:hAnsi="Times New Roman" w:cs="Times New Roman"/>
          <w:i/>
          <w:iCs/>
          <w:sz w:val="24"/>
          <w:szCs w:val="24"/>
          <w:lang w:val="en-GB"/>
        </w:rPr>
        <w:t xml:space="preserve">Ratio </w:t>
      </w:r>
      <w:r w:rsidR="001D1FE3" w:rsidRPr="00FD13F4">
        <w:rPr>
          <w:rFonts w:ascii="Times New Roman" w:hAnsi="Times New Roman" w:cs="Times New Roman"/>
          <w:sz w:val="24"/>
          <w:szCs w:val="24"/>
          <w:lang w:val="en-GB"/>
        </w:rPr>
        <w:t xml:space="preserve">itself </w:t>
      </w:r>
      <w:r w:rsidR="00974155" w:rsidRPr="00FD13F4">
        <w:rPr>
          <w:rFonts w:ascii="Times New Roman" w:hAnsi="Times New Roman" w:cs="Times New Roman"/>
          <w:sz w:val="24"/>
          <w:szCs w:val="24"/>
          <w:lang w:val="en-GB"/>
        </w:rPr>
        <w:t>is overlooked</w:t>
      </w:r>
      <w:r w:rsidR="001D1FE3" w:rsidRPr="00FD13F4">
        <w:rPr>
          <w:rFonts w:ascii="Times New Roman" w:hAnsi="Times New Roman" w:cs="Times New Roman"/>
          <w:sz w:val="24"/>
          <w:szCs w:val="24"/>
          <w:lang w:val="en-GB"/>
        </w:rPr>
        <w:t xml:space="preserve">, a case has been made </w:t>
      </w:r>
      <w:r w:rsidR="0004183D" w:rsidRPr="00FD13F4">
        <w:rPr>
          <w:rFonts w:ascii="Times New Roman" w:hAnsi="Times New Roman" w:cs="Times New Roman"/>
          <w:sz w:val="24"/>
          <w:szCs w:val="24"/>
          <w:lang w:val="en-GB"/>
        </w:rPr>
        <w:t>for further</w:t>
      </w:r>
      <w:r w:rsidR="001D1FE3" w:rsidRPr="00FD13F4">
        <w:rPr>
          <w:rFonts w:ascii="Times New Roman" w:hAnsi="Times New Roman" w:cs="Times New Roman"/>
          <w:sz w:val="24"/>
          <w:szCs w:val="24"/>
          <w:lang w:val="en-GB"/>
        </w:rPr>
        <w:t xml:space="preserve"> </w:t>
      </w:r>
      <w:r w:rsidR="00974155" w:rsidRPr="00FD13F4">
        <w:rPr>
          <w:rFonts w:ascii="Times New Roman" w:hAnsi="Times New Roman" w:cs="Times New Roman"/>
          <w:sz w:val="24"/>
          <w:szCs w:val="24"/>
          <w:lang w:val="en-GB"/>
        </w:rPr>
        <w:t>explor</w:t>
      </w:r>
      <w:r w:rsidR="0004183D" w:rsidRPr="00FD13F4">
        <w:rPr>
          <w:rFonts w:ascii="Times New Roman" w:hAnsi="Times New Roman" w:cs="Times New Roman"/>
          <w:sz w:val="24"/>
          <w:szCs w:val="24"/>
          <w:lang w:val="en-GB"/>
        </w:rPr>
        <w:t>ing</w:t>
      </w:r>
      <w:r w:rsidR="00974155" w:rsidRPr="00FD13F4">
        <w:rPr>
          <w:rFonts w:ascii="Times New Roman" w:hAnsi="Times New Roman" w:cs="Times New Roman"/>
          <w:sz w:val="24"/>
          <w:szCs w:val="24"/>
          <w:lang w:val="en-GB"/>
        </w:rPr>
        <w:t xml:space="preserve"> </w:t>
      </w:r>
      <w:r w:rsidR="001D1FE3" w:rsidRPr="00FD13F4">
        <w:rPr>
          <w:rFonts w:ascii="Times New Roman" w:hAnsi="Times New Roman" w:cs="Times New Roman"/>
          <w:sz w:val="24"/>
          <w:szCs w:val="24"/>
          <w:lang w:val="en-GB"/>
        </w:rPr>
        <w:t>GBL within legal education</w:t>
      </w:r>
      <w:r w:rsidR="00DD3645">
        <w:rPr>
          <w:rFonts w:ascii="Times New Roman" w:hAnsi="Times New Roman" w:cs="Times New Roman"/>
          <w:sz w:val="24"/>
          <w:szCs w:val="24"/>
          <w:lang w:val="en-GB"/>
        </w:rPr>
        <w:t>. The</w:t>
      </w:r>
      <w:r w:rsidR="006C79FF">
        <w:rPr>
          <w:rFonts w:ascii="Times New Roman" w:hAnsi="Times New Roman" w:cs="Times New Roman"/>
          <w:sz w:val="24"/>
          <w:szCs w:val="24"/>
          <w:lang w:val="en-GB"/>
        </w:rPr>
        <w:t xml:space="preserve"> core design principles which</w:t>
      </w:r>
      <w:r w:rsidR="00DD3645">
        <w:rPr>
          <w:rFonts w:ascii="Times New Roman" w:hAnsi="Times New Roman" w:cs="Times New Roman"/>
          <w:sz w:val="24"/>
          <w:szCs w:val="24"/>
          <w:lang w:val="en-GB"/>
        </w:rPr>
        <w:t xml:space="preserve"> were outlined and reflected upon in section 3</w:t>
      </w:r>
      <w:r w:rsidR="006C79FF">
        <w:rPr>
          <w:rFonts w:ascii="Times New Roman" w:hAnsi="Times New Roman" w:cs="Times New Roman"/>
          <w:sz w:val="24"/>
          <w:szCs w:val="24"/>
          <w:lang w:val="en-GB"/>
        </w:rPr>
        <w:t xml:space="preserve"> can be used to inform the development and application of GBL</w:t>
      </w:r>
      <w:r w:rsidR="00DD3645">
        <w:rPr>
          <w:rFonts w:ascii="Times New Roman" w:hAnsi="Times New Roman" w:cs="Times New Roman"/>
          <w:sz w:val="24"/>
          <w:szCs w:val="24"/>
          <w:lang w:val="en-GB"/>
        </w:rPr>
        <w:t xml:space="preserve"> initiatives.</w:t>
      </w:r>
    </w:p>
    <w:p w14:paraId="7B3879F1" w14:textId="4A3F0852" w:rsidR="00FC31DC" w:rsidRPr="00FD13F4" w:rsidRDefault="00FC31DC" w:rsidP="00F92600">
      <w:pPr>
        <w:pStyle w:val="Body"/>
        <w:spacing w:line="360" w:lineRule="auto"/>
        <w:jc w:val="both"/>
        <w:rPr>
          <w:rFonts w:ascii="Times New Roman" w:hAnsi="Times New Roman" w:cs="Times New Roman"/>
          <w:sz w:val="24"/>
          <w:szCs w:val="24"/>
          <w:lang w:val="en-GB"/>
        </w:rPr>
      </w:pPr>
    </w:p>
    <w:p w14:paraId="65CDE15C" w14:textId="1F4C1C89" w:rsidR="001D1FE3" w:rsidRPr="00FD13F4" w:rsidRDefault="001D1FE3" w:rsidP="00F9260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lastRenderedPageBreak/>
        <w:t xml:space="preserve">In addition to the continued development of </w:t>
      </w:r>
      <w:r w:rsidRPr="00FD13F4">
        <w:rPr>
          <w:rFonts w:ascii="Times New Roman" w:hAnsi="Times New Roman" w:cs="Times New Roman"/>
          <w:i/>
          <w:iCs/>
          <w:sz w:val="24"/>
          <w:szCs w:val="24"/>
          <w:lang w:val="en-GB"/>
        </w:rPr>
        <w:t>Ratio</w:t>
      </w:r>
      <w:r w:rsidRPr="00FD13F4">
        <w:rPr>
          <w:rFonts w:ascii="Times New Roman" w:hAnsi="Times New Roman" w:cs="Times New Roman"/>
          <w:sz w:val="24"/>
          <w:szCs w:val="24"/>
          <w:lang w:val="en-GB"/>
        </w:rPr>
        <w:t xml:space="preserve"> and of other games, there is scope for more research to be conducted on the links between GBL and legal learning.</w:t>
      </w:r>
      <w:r w:rsidR="00502509" w:rsidRPr="00FD13F4">
        <w:rPr>
          <w:rStyle w:val="FootnoteReference"/>
          <w:rFonts w:ascii="Times New Roman" w:hAnsi="Times New Roman" w:cs="Times New Roman"/>
          <w:sz w:val="24"/>
          <w:szCs w:val="24"/>
          <w:lang w:val="en-GB"/>
        </w:rPr>
        <w:footnoteReference w:id="64"/>
      </w:r>
      <w:r w:rsidRPr="00FD13F4">
        <w:rPr>
          <w:rFonts w:ascii="Times New Roman" w:hAnsi="Times New Roman" w:cs="Times New Roman"/>
          <w:sz w:val="24"/>
          <w:szCs w:val="24"/>
          <w:lang w:val="en-GB"/>
        </w:rPr>
        <w:t xml:space="preserve"> </w:t>
      </w:r>
      <w:r w:rsidR="00B74871">
        <w:rPr>
          <w:rFonts w:ascii="Times New Roman" w:hAnsi="Times New Roman" w:cs="Times New Roman"/>
          <w:sz w:val="24"/>
          <w:szCs w:val="24"/>
          <w:lang w:val="en-GB"/>
        </w:rPr>
        <w:t>As noted, we are currently designing a large-scale research project which seeks to evaluate the</w:t>
      </w:r>
      <w:r w:rsidR="00B74871" w:rsidRPr="00B74871">
        <w:rPr>
          <w:rFonts w:ascii="Times New Roman" w:hAnsi="Times New Roman" w:cs="Times New Roman"/>
          <w:color w:val="auto"/>
          <w:sz w:val="24"/>
          <w:szCs w:val="24"/>
          <w:lang w:val="en-GB"/>
        </w:rPr>
        <w:t xml:space="preserve"> </w:t>
      </w:r>
      <w:r w:rsidR="00B74871" w:rsidRPr="00FD13F4">
        <w:rPr>
          <w:rFonts w:ascii="Times New Roman" w:hAnsi="Times New Roman" w:cs="Times New Roman"/>
          <w:color w:val="auto"/>
          <w:sz w:val="24"/>
          <w:szCs w:val="24"/>
          <w:lang w:val="en-GB"/>
        </w:rPr>
        <w:t xml:space="preserve">impact </w:t>
      </w:r>
      <w:r w:rsidR="00B74871">
        <w:rPr>
          <w:rFonts w:ascii="Times New Roman" w:hAnsi="Times New Roman" w:cs="Times New Roman"/>
          <w:color w:val="auto"/>
          <w:sz w:val="24"/>
          <w:szCs w:val="24"/>
          <w:lang w:val="en-GB"/>
        </w:rPr>
        <w:t xml:space="preserve">of </w:t>
      </w:r>
      <w:r w:rsidR="00B74871">
        <w:rPr>
          <w:rFonts w:ascii="Times New Roman" w:hAnsi="Times New Roman" w:cs="Times New Roman"/>
          <w:i/>
          <w:iCs/>
          <w:color w:val="auto"/>
          <w:sz w:val="24"/>
          <w:szCs w:val="24"/>
          <w:lang w:val="en-GB"/>
        </w:rPr>
        <w:t xml:space="preserve">Ratio </w:t>
      </w:r>
      <w:r w:rsidR="00B74871" w:rsidRPr="00FD13F4">
        <w:rPr>
          <w:rFonts w:ascii="Times New Roman" w:hAnsi="Times New Roman" w:cs="Times New Roman"/>
          <w:color w:val="auto"/>
          <w:sz w:val="24"/>
          <w:szCs w:val="24"/>
          <w:lang w:val="en-GB"/>
        </w:rPr>
        <w:t>on legal learning</w:t>
      </w:r>
      <w:r w:rsidR="00B74871">
        <w:rPr>
          <w:rFonts w:ascii="Times New Roman" w:hAnsi="Times New Roman" w:cs="Times New Roman"/>
          <w:color w:val="auto"/>
          <w:sz w:val="24"/>
          <w:szCs w:val="24"/>
          <w:lang w:val="en-GB"/>
        </w:rPr>
        <w:t>, taking in the perspectives of students, teachers, and those who are not actively engaged in the study or practice of law.</w:t>
      </w:r>
      <w:r w:rsidR="00B74871">
        <w:rPr>
          <w:rFonts w:ascii="Times New Roman" w:hAnsi="Times New Roman" w:cs="Times New Roman"/>
          <w:sz w:val="24"/>
          <w:szCs w:val="24"/>
          <w:lang w:val="en-GB"/>
        </w:rPr>
        <w:t xml:space="preserve"> </w:t>
      </w:r>
      <w:r w:rsidR="00FC31DC" w:rsidRPr="00FD13F4">
        <w:rPr>
          <w:rFonts w:ascii="Times New Roman" w:hAnsi="Times New Roman" w:cs="Times New Roman"/>
          <w:sz w:val="24"/>
          <w:szCs w:val="24"/>
          <w:lang w:val="en-GB"/>
        </w:rPr>
        <w:t>The following</w:t>
      </w:r>
      <w:r w:rsidRPr="00FD13F4">
        <w:rPr>
          <w:rFonts w:ascii="Times New Roman" w:hAnsi="Times New Roman" w:cs="Times New Roman"/>
          <w:sz w:val="24"/>
          <w:szCs w:val="24"/>
          <w:lang w:val="en-GB"/>
        </w:rPr>
        <w:t xml:space="preserve"> </w:t>
      </w:r>
      <w:r w:rsidR="00FC31DC" w:rsidRPr="00FD13F4">
        <w:rPr>
          <w:rFonts w:ascii="Times New Roman" w:hAnsi="Times New Roman" w:cs="Times New Roman"/>
          <w:sz w:val="24"/>
          <w:szCs w:val="24"/>
          <w:lang w:val="en-GB"/>
        </w:rPr>
        <w:t xml:space="preserve">suggestions </w:t>
      </w:r>
      <w:r w:rsidRPr="00FD13F4">
        <w:rPr>
          <w:rFonts w:ascii="Times New Roman" w:hAnsi="Times New Roman" w:cs="Times New Roman"/>
          <w:sz w:val="24"/>
          <w:szCs w:val="24"/>
          <w:lang w:val="en-GB"/>
        </w:rPr>
        <w:t>are intended as</w:t>
      </w:r>
      <w:r w:rsidR="00B74871">
        <w:rPr>
          <w:rFonts w:ascii="Times New Roman" w:hAnsi="Times New Roman" w:cs="Times New Roman"/>
          <w:sz w:val="24"/>
          <w:szCs w:val="24"/>
          <w:lang w:val="en-GB"/>
        </w:rPr>
        <w:t xml:space="preserve"> further</w:t>
      </w:r>
      <w:r w:rsidRPr="00FD13F4">
        <w:rPr>
          <w:rFonts w:ascii="Times New Roman" w:hAnsi="Times New Roman" w:cs="Times New Roman"/>
          <w:sz w:val="24"/>
          <w:szCs w:val="24"/>
          <w:lang w:val="en-GB"/>
        </w:rPr>
        <w:t xml:space="preserve"> provocations for a future research agenda:</w:t>
      </w:r>
    </w:p>
    <w:p w14:paraId="60147423" w14:textId="77777777" w:rsidR="000E508C" w:rsidRPr="00FD13F4" w:rsidRDefault="000E508C" w:rsidP="00F92600">
      <w:pPr>
        <w:pStyle w:val="Body"/>
        <w:spacing w:line="360" w:lineRule="auto"/>
        <w:jc w:val="both"/>
        <w:rPr>
          <w:rFonts w:ascii="Times New Roman" w:hAnsi="Times New Roman" w:cs="Times New Roman"/>
          <w:b/>
          <w:bCs/>
          <w:sz w:val="24"/>
          <w:szCs w:val="24"/>
          <w:lang w:val="en-GB"/>
        </w:rPr>
      </w:pPr>
    </w:p>
    <w:p w14:paraId="09314C67" w14:textId="7DDBD131" w:rsidR="00B74871" w:rsidRDefault="001D1FE3" w:rsidP="00833D6D">
      <w:pPr>
        <w:pStyle w:val="Body"/>
        <w:numPr>
          <w:ilvl w:val="0"/>
          <w:numId w:val="10"/>
        </w:numPr>
        <w:spacing w:line="360" w:lineRule="auto"/>
        <w:jc w:val="both"/>
        <w:rPr>
          <w:rFonts w:ascii="Times New Roman" w:hAnsi="Times New Roman" w:cs="Times New Roman"/>
          <w:color w:val="auto"/>
          <w:sz w:val="24"/>
          <w:szCs w:val="24"/>
          <w:lang w:val="en-GB"/>
        </w:rPr>
      </w:pPr>
      <w:r w:rsidRPr="00FD13F4">
        <w:rPr>
          <w:rFonts w:ascii="Times New Roman" w:hAnsi="Times New Roman" w:cs="Times New Roman"/>
          <w:color w:val="auto"/>
          <w:sz w:val="24"/>
          <w:szCs w:val="24"/>
          <w:lang w:val="en-GB"/>
        </w:rPr>
        <w:t xml:space="preserve">Does the impact of GBL differ at different stages of legal </w:t>
      </w:r>
      <w:r w:rsidR="00C93660">
        <w:rPr>
          <w:rFonts w:ascii="Times New Roman" w:hAnsi="Times New Roman" w:cs="Times New Roman"/>
          <w:color w:val="auto"/>
          <w:sz w:val="24"/>
          <w:szCs w:val="24"/>
          <w:lang w:val="en-GB"/>
        </w:rPr>
        <w:t>education</w:t>
      </w:r>
      <w:r w:rsidRPr="00FD13F4">
        <w:rPr>
          <w:rFonts w:ascii="Times New Roman" w:hAnsi="Times New Roman" w:cs="Times New Roman"/>
          <w:color w:val="auto"/>
          <w:sz w:val="24"/>
          <w:szCs w:val="24"/>
          <w:lang w:val="en-GB"/>
        </w:rPr>
        <w:t>, or in different contexts?</w:t>
      </w:r>
    </w:p>
    <w:p w14:paraId="284948FC" w14:textId="375DB684" w:rsidR="00C93660" w:rsidRPr="00833D6D" w:rsidRDefault="00C93660" w:rsidP="00833D6D">
      <w:pPr>
        <w:pStyle w:val="Body"/>
        <w:numPr>
          <w:ilvl w:val="0"/>
          <w:numId w:val="10"/>
        </w:numPr>
        <w:spacing w:line="36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How can GBL (or </w:t>
      </w:r>
      <w:r w:rsidRPr="00C93660">
        <w:rPr>
          <w:rFonts w:ascii="Times New Roman" w:hAnsi="Times New Roman" w:cs="Times New Roman"/>
          <w:i/>
          <w:iCs/>
          <w:color w:val="auto"/>
          <w:sz w:val="24"/>
          <w:szCs w:val="24"/>
          <w:lang w:val="en-GB"/>
        </w:rPr>
        <w:t>Ratio</w:t>
      </w:r>
      <w:r w:rsidRPr="00C93660">
        <w:rPr>
          <w:rFonts w:ascii="Times New Roman" w:hAnsi="Times New Roman" w:cs="Times New Roman"/>
          <w:color w:val="auto"/>
          <w:sz w:val="24"/>
          <w:szCs w:val="24"/>
          <w:lang w:val="en-GB"/>
        </w:rPr>
        <w:t>)</w:t>
      </w:r>
      <w:r>
        <w:rPr>
          <w:rFonts w:ascii="Times New Roman" w:hAnsi="Times New Roman" w:cs="Times New Roman"/>
          <w:i/>
          <w:iCs/>
          <w:color w:val="auto"/>
          <w:sz w:val="24"/>
          <w:szCs w:val="24"/>
          <w:lang w:val="en-GB"/>
        </w:rPr>
        <w:t xml:space="preserve"> </w:t>
      </w:r>
      <w:r>
        <w:rPr>
          <w:rFonts w:ascii="Times New Roman" w:hAnsi="Times New Roman" w:cs="Times New Roman"/>
          <w:color w:val="auto"/>
          <w:sz w:val="24"/>
          <w:szCs w:val="24"/>
          <w:lang w:val="en-GB"/>
        </w:rPr>
        <w:t>be used at different stages of legal study?</w:t>
      </w:r>
    </w:p>
    <w:p w14:paraId="6B02826E" w14:textId="5F76B60B" w:rsidR="005205E9" w:rsidRDefault="001D1FE3" w:rsidP="00B74871">
      <w:pPr>
        <w:pStyle w:val="Body"/>
        <w:numPr>
          <w:ilvl w:val="0"/>
          <w:numId w:val="10"/>
        </w:numPr>
        <w:spacing w:line="360" w:lineRule="auto"/>
        <w:jc w:val="both"/>
        <w:rPr>
          <w:rFonts w:ascii="Times New Roman" w:hAnsi="Times New Roman" w:cs="Times New Roman"/>
          <w:color w:val="auto"/>
          <w:sz w:val="24"/>
          <w:szCs w:val="24"/>
          <w:lang w:val="en-GB"/>
        </w:rPr>
      </w:pPr>
      <w:r w:rsidRPr="00FD13F4">
        <w:rPr>
          <w:rFonts w:ascii="Times New Roman" w:hAnsi="Times New Roman" w:cs="Times New Roman"/>
          <w:color w:val="auto"/>
          <w:sz w:val="24"/>
          <w:szCs w:val="24"/>
          <w:lang w:val="en-GB"/>
        </w:rPr>
        <w:t>What is the</w:t>
      </w:r>
      <w:r w:rsidR="000E508C" w:rsidRPr="00FD13F4">
        <w:rPr>
          <w:rFonts w:ascii="Times New Roman" w:hAnsi="Times New Roman" w:cs="Times New Roman"/>
          <w:color w:val="auto"/>
          <w:sz w:val="24"/>
          <w:szCs w:val="24"/>
          <w:lang w:val="en-GB"/>
        </w:rPr>
        <w:t xml:space="preserve"> relationship between GBL </w:t>
      </w:r>
      <w:r w:rsidR="00974155" w:rsidRPr="00FD13F4">
        <w:rPr>
          <w:rFonts w:ascii="Times New Roman" w:hAnsi="Times New Roman" w:cs="Times New Roman"/>
          <w:color w:val="auto"/>
          <w:sz w:val="24"/>
          <w:szCs w:val="24"/>
          <w:lang w:val="en-GB"/>
        </w:rPr>
        <w:t xml:space="preserve">(or </w:t>
      </w:r>
      <w:r w:rsidR="00974155" w:rsidRPr="00FD13F4">
        <w:rPr>
          <w:rFonts w:ascii="Times New Roman" w:hAnsi="Times New Roman" w:cs="Times New Roman"/>
          <w:i/>
          <w:iCs/>
          <w:color w:val="auto"/>
          <w:sz w:val="24"/>
          <w:szCs w:val="24"/>
          <w:lang w:val="en-GB"/>
        </w:rPr>
        <w:t>Ratio</w:t>
      </w:r>
      <w:r w:rsidR="00974155" w:rsidRPr="00FD13F4">
        <w:rPr>
          <w:rFonts w:ascii="Times New Roman" w:hAnsi="Times New Roman" w:cs="Times New Roman"/>
          <w:color w:val="auto"/>
          <w:sz w:val="24"/>
          <w:szCs w:val="24"/>
          <w:lang w:val="en-GB"/>
        </w:rPr>
        <w:t xml:space="preserve">) </w:t>
      </w:r>
      <w:r w:rsidR="000E508C" w:rsidRPr="00FD13F4">
        <w:rPr>
          <w:rFonts w:ascii="Times New Roman" w:hAnsi="Times New Roman" w:cs="Times New Roman"/>
          <w:color w:val="auto"/>
          <w:sz w:val="24"/>
          <w:szCs w:val="24"/>
          <w:lang w:val="en-GB"/>
        </w:rPr>
        <w:t>and law student engagement</w:t>
      </w:r>
      <w:r w:rsidRPr="00FD13F4">
        <w:rPr>
          <w:rFonts w:ascii="Times New Roman" w:hAnsi="Times New Roman" w:cs="Times New Roman"/>
          <w:color w:val="auto"/>
          <w:sz w:val="24"/>
          <w:szCs w:val="24"/>
          <w:lang w:val="en-GB"/>
        </w:rPr>
        <w:t>?</w:t>
      </w:r>
      <w:r w:rsidR="00B74871">
        <w:rPr>
          <w:rFonts w:ascii="Times New Roman" w:hAnsi="Times New Roman" w:cs="Times New Roman"/>
          <w:color w:val="auto"/>
          <w:sz w:val="24"/>
          <w:szCs w:val="24"/>
          <w:lang w:val="en-GB"/>
        </w:rPr>
        <w:t xml:space="preserve"> </w:t>
      </w:r>
      <w:r w:rsidR="00B74871" w:rsidRPr="00B74871">
        <w:rPr>
          <w:rFonts w:ascii="Times New Roman" w:hAnsi="Times New Roman" w:cs="Times New Roman"/>
          <w:color w:val="auto"/>
          <w:sz w:val="24"/>
          <w:szCs w:val="24"/>
          <w:lang w:val="en-GB"/>
        </w:rPr>
        <w:t>What is the effect of ‘winning’ or ‘losing’</w:t>
      </w:r>
      <w:r w:rsidR="00B74871">
        <w:rPr>
          <w:rFonts w:ascii="Times New Roman" w:hAnsi="Times New Roman" w:cs="Times New Roman"/>
          <w:color w:val="auto"/>
          <w:sz w:val="24"/>
          <w:szCs w:val="24"/>
          <w:lang w:val="en-GB"/>
        </w:rPr>
        <w:t xml:space="preserve"> on student engagement</w:t>
      </w:r>
      <w:r w:rsidR="00B74871" w:rsidRPr="00B74871">
        <w:rPr>
          <w:rFonts w:ascii="Times New Roman" w:hAnsi="Times New Roman" w:cs="Times New Roman"/>
          <w:color w:val="auto"/>
          <w:sz w:val="24"/>
          <w:szCs w:val="24"/>
          <w:lang w:val="en-GB"/>
        </w:rPr>
        <w:t>?</w:t>
      </w:r>
    </w:p>
    <w:p w14:paraId="6832B3A3" w14:textId="5BD52F7C" w:rsidR="006C79FF" w:rsidRPr="00B74871" w:rsidRDefault="006C79FF" w:rsidP="00B74871">
      <w:pPr>
        <w:pStyle w:val="Body"/>
        <w:numPr>
          <w:ilvl w:val="0"/>
          <w:numId w:val="10"/>
        </w:numPr>
        <w:spacing w:line="36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Do different students respond to GBL differently, and if so, why? </w:t>
      </w:r>
      <w:r w:rsidR="00DD3645">
        <w:rPr>
          <w:rFonts w:ascii="Times New Roman" w:hAnsi="Times New Roman" w:cs="Times New Roman"/>
          <w:color w:val="auto"/>
          <w:sz w:val="24"/>
          <w:szCs w:val="24"/>
          <w:lang w:val="en-GB"/>
        </w:rPr>
        <w:t>Are responses affected by the student’s level of study, their preference for competition over collaboration, or other factors?</w:t>
      </w:r>
    </w:p>
    <w:p w14:paraId="3D0246AF" w14:textId="78AA0E8E" w:rsidR="004A3FA9" w:rsidRDefault="001D1FE3" w:rsidP="00F92600">
      <w:pPr>
        <w:pStyle w:val="Body"/>
        <w:numPr>
          <w:ilvl w:val="0"/>
          <w:numId w:val="10"/>
        </w:numPr>
        <w:spacing w:line="360" w:lineRule="auto"/>
        <w:jc w:val="both"/>
        <w:rPr>
          <w:rFonts w:ascii="Times New Roman" w:hAnsi="Times New Roman" w:cs="Times New Roman"/>
          <w:color w:val="auto"/>
          <w:sz w:val="24"/>
          <w:szCs w:val="24"/>
          <w:lang w:val="en-GB"/>
        </w:rPr>
      </w:pPr>
      <w:r w:rsidRPr="00FD13F4">
        <w:rPr>
          <w:rFonts w:ascii="Times New Roman" w:hAnsi="Times New Roman" w:cs="Times New Roman"/>
          <w:color w:val="auto"/>
          <w:sz w:val="24"/>
          <w:szCs w:val="24"/>
          <w:lang w:val="en-GB"/>
        </w:rPr>
        <w:t xml:space="preserve">In the context of </w:t>
      </w:r>
      <w:r w:rsidRPr="00FD13F4">
        <w:rPr>
          <w:rFonts w:ascii="Times New Roman" w:hAnsi="Times New Roman" w:cs="Times New Roman"/>
          <w:i/>
          <w:iCs/>
          <w:color w:val="auto"/>
          <w:sz w:val="24"/>
          <w:szCs w:val="24"/>
          <w:lang w:val="en-GB"/>
        </w:rPr>
        <w:t xml:space="preserve">Ratio, </w:t>
      </w:r>
      <w:r w:rsidRPr="00FD13F4">
        <w:rPr>
          <w:rFonts w:ascii="Times New Roman" w:hAnsi="Times New Roman" w:cs="Times New Roman"/>
          <w:color w:val="auto"/>
          <w:sz w:val="24"/>
          <w:szCs w:val="24"/>
          <w:lang w:val="en-GB"/>
        </w:rPr>
        <w:t>is there a</w:t>
      </w:r>
      <w:r w:rsidR="000E508C" w:rsidRPr="00FD13F4">
        <w:rPr>
          <w:rFonts w:ascii="Times New Roman" w:hAnsi="Times New Roman" w:cs="Times New Roman"/>
          <w:color w:val="auto"/>
          <w:sz w:val="24"/>
          <w:szCs w:val="24"/>
          <w:lang w:val="en-GB"/>
        </w:rPr>
        <w:t xml:space="preserve"> relationship </w:t>
      </w:r>
      <w:r w:rsidR="00502509" w:rsidRPr="00FD13F4">
        <w:rPr>
          <w:rFonts w:ascii="Times New Roman" w:hAnsi="Times New Roman" w:cs="Times New Roman"/>
          <w:color w:val="auto"/>
          <w:sz w:val="24"/>
          <w:szCs w:val="24"/>
          <w:lang w:val="en-GB"/>
        </w:rPr>
        <w:t xml:space="preserve">between </w:t>
      </w:r>
      <w:r w:rsidR="000E508C" w:rsidRPr="00FD13F4">
        <w:rPr>
          <w:rFonts w:ascii="Times New Roman" w:hAnsi="Times New Roman" w:cs="Times New Roman"/>
          <w:color w:val="auto"/>
          <w:sz w:val="24"/>
          <w:szCs w:val="24"/>
          <w:lang w:val="en-GB"/>
        </w:rPr>
        <w:t>the visualisation of judgments</w:t>
      </w:r>
      <w:r w:rsidRPr="00FD13F4">
        <w:rPr>
          <w:rFonts w:ascii="Times New Roman" w:hAnsi="Times New Roman" w:cs="Times New Roman"/>
          <w:color w:val="auto"/>
          <w:sz w:val="24"/>
          <w:szCs w:val="24"/>
          <w:lang w:val="en-GB"/>
        </w:rPr>
        <w:t xml:space="preserve"> </w:t>
      </w:r>
      <w:r w:rsidR="000E508C" w:rsidRPr="00FD13F4">
        <w:rPr>
          <w:rFonts w:ascii="Times New Roman" w:hAnsi="Times New Roman" w:cs="Times New Roman"/>
          <w:color w:val="auto"/>
          <w:sz w:val="24"/>
          <w:szCs w:val="24"/>
          <w:lang w:val="en-GB"/>
        </w:rPr>
        <w:t>and learning</w:t>
      </w:r>
      <w:r w:rsidRPr="00FD13F4">
        <w:rPr>
          <w:rFonts w:ascii="Times New Roman" w:hAnsi="Times New Roman" w:cs="Times New Roman"/>
          <w:color w:val="auto"/>
          <w:sz w:val="24"/>
          <w:szCs w:val="24"/>
          <w:lang w:val="en-GB"/>
        </w:rPr>
        <w:t>?</w:t>
      </w:r>
    </w:p>
    <w:p w14:paraId="3AE8945D" w14:textId="77777777" w:rsidR="00446C50" w:rsidRPr="00FD13F4" w:rsidRDefault="00446C50" w:rsidP="00446C50">
      <w:pPr>
        <w:pStyle w:val="Body"/>
        <w:spacing w:line="360" w:lineRule="auto"/>
        <w:jc w:val="both"/>
        <w:rPr>
          <w:rFonts w:ascii="Times New Roman" w:eastAsia="Helvetica" w:hAnsi="Times New Roman" w:cs="Times New Roman"/>
          <w:b/>
          <w:bCs/>
          <w:sz w:val="24"/>
          <w:szCs w:val="24"/>
          <w:lang w:val="en-GB"/>
        </w:rPr>
      </w:pPr>
    </w:p>
    <w:p w14:paraId="0790762D" w14:textId="77777777" w:rsidR="00446C50" w:rsidRPr="00FD13F4" w:rsidRDefault="00446C50" w:rsidP="00446C50">
      <w:pPr>
        <w:pStyle w:val="Body"/>
        <w:spacing w:line="360" w:lineRule="auto"/>
        <w:jc w:val="both"/>
        <w:rPr>
          <w:rFonts w:ascii="Times New Roman" w:eastAsia="Helvetica" w:hAnsi="Times New Roman" w:cs="Times New Roman"/>
          <w:b/>
          <w:bCs/>
          <w:sz w:val="24"/>
          <w:szCs w:val="24"/>
          <w:lang w:val="en-GB"/>
        </w:rPr>
      </w:pPr>
      <w:r w:rsidRPr="00FD13F4">
        <w:rPr>
          <w:rFonts w:ascii="Times New Roman" w:eastAsia="Helvetica" w:hAnsi="Times New Roman" w:cs="Times New Roman"/>
          <w:b/>
          <w:bCs/>
          <w:sz w:val="24"/>
          <w:szCs w:val="24"/>
          <w:lang w:val="en-GB"/>
        </w:rPr>
        <w:t>Acknowledgements</w:t>
      </w:r>
    </w:p>
    <w:p w14:paraId="4C124D47" w14:textId="77777777" w:rsidR="00446C50" w:rsidRPr="00FD13F4" w:rsidRDefault="00446C50" w:rsidP="00446C50">
      <w:pPr>
        <w:pStyle w:val="Body"/>
        <w:spacing w:line="360" w:lineRule="auto"/>
        <w:jc w:val="both"/>
        <w:rPr>
          <w:rFonts w:ascii="Times New Roman" w:eastAsia="Helvetica" w:hAnsi="Times New Roman" w:cs="Times New Roman"/>
          <w:b/>
          <w:bCs/>
          <w:sz w:val="24"/>
          <w:szCs w:val="24"/>
          <w:lang w:val="en-GB"/>
        </w:rPr>
      </w:pPr>
    </w:p>
    <w:p w14:paraId="752B67B8" w14:textId="15CB76EC" w:rsidR="00446C50" w:rsidRPr="00FD13F4" w:rsidRDefault="00446C50" w:rsidP="00446C50">
      <w:pPr>
        <w:pStyle w:val="Body"/>
        <w:spacing w:line="360" w:lineRule="auto"/>
        <w:jc w:val="both"/>
        <w:rPr>
          <w:rFonts w:ascii="Times New Roman" w:eastAsia="Helvetica" w:hAnsi="Times New Roman" w:cs="Times New Roman"/>
          <w:sz w:val="24"/>
          <w:szCs w:val="24"/>
          <w:lang w:val="en-GB"/>
        </w:rPr>
      </w:pPr>
      <w:r w:rsidRPr="00FD13F4">
        <w:rPr>
          <w:rFonts w:ascii="Times New Roman" w:eastAsia="Helvetica" w:hAnsi="Times New Roman" w:cs="Times New Roman"/>
          <w:sz w:val="24"/>
          <w:szCs w:val="24"/>
          <w:lang w:val="en-GB"/>
        </w:rPr>
        <w:t xml:space="preserve">A paper based on this Article was presented at the 2019 Association of Law Teachers (ALT) conference. Thanks to those who engaged </w:t>
      </w:r>
      <w:r w:rsidR="00F27B9B">
        <w:rPr>
          <w:rFonts w:ascii="Times New Roman" w:eastAsia="Helvetica" w:hAnsi="Times New Roman" w:cs="Times New Roman"/>
          <w:sz w:val="24"/>
          <w:szCs w:val="24"/>
          <w:lang w:val="en-GB"/>
        </w:rPr>
        <w:t>there</w:t>
      </w:r>
      <w:r w:rsidRPr="00FD13F4">
        <w:rPr>
          <w:rFonts w:ascii="Times New Roman" w:eastAsia="Helvetica" w:hAnsi="Times New Roman" w:cs="Times New Roman"/>
          <w:sz w:val="24"/>
          <w:szCs w:val="24"/>
          <w:lang w:val="en-GB"/>
        </w:rPr>
        <w:t>; to Dr Emily Collins</w:t>
      </w:r>
      <w:r w:rsidR="00F27B9B">
        <w:rPr>
          <w:rFonts w:ascii="Times New Roman" w:eastAsia="Helvetica" w:hAnsi="Times New Roman" w:cs="Times New Roman"/>
          <w:sz w:val="24"/>
          <w:szCs w:val="24"/>
          <w:lang w:val="en-GB"/>
        </w:rPr>
        <w:t>,</w:t>
      </w:r>
      <w:r w:rsidR="00F27B9B" w:rsidRPr="00F27B9B">
        <w:rPr>
          <w:rFonts w:ascii="Times New Roman" w:eastAsia="Helvetica" w:hAnsi="Times New Roman" w:cs="Times New Roman"/>
          <w:sz w:val="24"/>
          <w:szCs w:val="24"/>
          <w:lang w:val="en-GB"/>
        </w:rPr>
        <w:t xml:space="preserve"> </w:t>
      </w:r>
      <w:r w:rsidR="00F27B9B" w:rsidRPr="00FD13F4">
        <w:rPr>
          <w:rFonts w:ascii="Times New Roman" w:eastAsia="Helvetica" w:hAnsi="Times New Roman" w:cs="Times New Roman"/>
          <w:sz w:val="24"/>
          <w:szCs w:val="24"/>
          <w:lang w:val="en-GB"/>
        </w:rPr>
        <w:t>Dr Thomas Giddens</w:t>
      </w:r>
      <w:r w:rsidRPr="00FD13F4">
        <w:rPr>
          <w:rFonts w:ascii="Times New Roman" w:eastAsia="Helvetica" w:hAnsi="Times New Roman" w:cs="Times New Roman"/>
          <w:sz w:val="24"/>
          <w:szCs w:val="24"/>
          <w:lang w:val="en-GB"/>
        </w:rPr>
        <w:t>, Dr Aislinn O’Connell</w:t>
      </w:r>
      <w:r w:rsidR="00E34360" w:rsidRPr="00FD13F4">
        <w:rPr>
          <w:rFonts w:ascii="Times New Roman" w:eastAsia="Helvetica" w:hAnsi="Times New Roman" w:cs="Times New Roman"/>
          <w:sz w:val="24"/>
          <w:szCs w:val="24"/>
          <w:lang w:val="en-GB"/>
        </w:rPr>
        <w:t>, and</w:t>
      </w:r>
      <w:r w:rsidR="009C2AC4" w:rsidRPr="00FD13F4">
        <w:rPr>
          <w:rFonts w:ascii="Times New Roman" w:eastAsia="Helvetica" w:hAnsi="Times New Roman" w:cs="Times New Roman"/>
          <w:sz w:val="24"/>
          <w:szCs w:val="24"/>
          <w:lang w:val="en-GB"/>
        </w:rPr>
        <w:t xml:space="preserve"> Dr Hélène Tyrell</w:t>
      </w:r>
      <w:r w:rsidR="00E34360" w:rsidRPr="00FD13F4">
        <w:rPr>
          <w:rFonts w:ascii="Times New Roman" w:eastAsia="Helvetica" w:hAnsi="Times New Roman" w:cs="Times New Roman"/>
          <w:sz w:val="24"/>
          <w:szCs w:val="24"/>
          <w:lang w:val="en-GB"/>
        </w:rPr>
        <w:t xml:space="preserve"> f</w:t>
      </w:r>
      <w:r w:rsidRPr="00FD13F4">
        <w:rPr>
          <w:rFonts w:ascii="Times New Roman" w:eastAsia="Helvetica" w:hAnsi="Times New Roman" w:cs="Times New Roman"/>
          <w:sz w:val="24"/>
          <w:szCs w:val="24"/>
          <w:lang w:val="en-GB"/>
        </w:rPr>
        <w:t>or their comments and feedback on a</w:t>
      </w:r>
      <w:r w:rsidR="00F27B9B">
        <w:rPr>
          <w:rFonts w:ascii="Times New Roman" w:eastAsia="Helvetica" w:hAnsi="Times New Roman" w:cs="Times New Roman"/>
          <w:sz w:val="24"/>
          <w:szCs w:val="24"/>
          <w:lang w:val="en-GB"/>
        </w:rPr>
        <w:t>n earlier</w:t>
      </w:r>
      <w:r w:rsidRPr="00FD13F4">
        <w:rPr>
          <w:rFonts w:ascii="Times New Roman" w:eastAsia="Helvetica" w:hAnsi="Times New Roman" w:cs="Times New Roman"/>
          <w:sz w:val="24"/>
          <w:szCs w:val="24"/>
          <w:lang w:val="en-GB"/>
        </w:rPr>
        <w:t xml:space="preserve"> draft; </w:t>
      </w:r>
      <w:r w:rsidR="00DA00B1" w:rsidRPr="00FD13F4">
        <w:rPr>
          <w:rFonts w:ascii="Times New Roman" w:eastAsia="Helvetica" w:hAnsi="Times New Roman" w:cs="Times New Roman"/>
          <w:sz w:val="24"/>
          <w:szCs w:val="24"/>
          <w:lang w:val="en-GB"/>
        </w:rPr>
        <w:t xml:space="preserve">to the anonymous referees at </w:t>
      </w:r>
      <w:r w:rsidR="00DA00B1" w:rsidRPr="00FD13F4">
        <w:rPr>
          <w:rFonts w:ascii="Times New Roman" w:eastAsia="Helvetica" w:hAnsi="Times New Roman" w:cs="Times New Roman"/>
          <w:i/>
          <w:iCs/>
          <w:sz w:val="24"/>
          <w:szCs w:val="24"/>
          <w:lang w:val="en-GB"/>
        </w:rPr>
        <w:t>The Law Teacher</w:t>
      </w:r>
      <w:r w:rsidR="00DA00B1" w:rsidRPr="00FD13F4">
        <w:rPr>
          <w:rFonts w:ascii="Times New Roman" w:eastAsia="Helvetica" w:hAnsi="Times New Roman" w:cs="Times New Roman"/>
          <w:sz w:val="24"/>
          <w:szCs w:val="24"/>
          <w:lang w:val="en-GB"/>
        </w:rPr>
        <w:t xml:space="preserve">; </w:t>
      </w:r>
      <w:r w:rsidRPr="00FD13F4">
        <w:rPr>
          <w:rFonts w:ascii="Times New Roman" w:eastAsia="Helvetica" w:hAnsi="Times New Roman" w:cs="Times New Roman"/>
          <w:sz w:val="24"/>
          <w:szCs w:val="24"/>
          <w:lang w:val="en-GB"/>
        </w:rPr>
        <w:t xml:space="preserve">and to all </w:t>
      </w:r>
      <w:r w:rsidR="00F27B9B">
        <w:rPr>
          <w:rFonts w:ascii="Times New Roman" w:eastAsia="Helvetica" w:hAnsi="Times New Roman" w:cs="Times New Roman"/>
          <w:sz w:val="24"/>
          <w:szCs w:val="24"/>
          <w:lang w:val="en-GB"/>
        </w:rPr>
        <w:t>students and colleagues who have participated</w:t>
      </w:r>
      <w:r w:rsidRPr="00FD13F4">
        <w:rPr>
          <w:rFonts w:ascii="Times New Roman" w:eastAsia="Helvetica" w:hAnsi="Times New Roman" w:cs="Times New Roman"/>
          <w:sz w:val="24"/>
          <w:szCs w:val="24"/>
          <w:lang w:val="en-GB"/>
        </w:rPr>
        <w:t xml:space="preserve"> in play-tests </w:t>
      </w:r>
      <w:r w:rsidR="00F27B9B">
        <w:rPr>
          <w:rFonts w:ascii="Times New Roman" w:eastAsia="Helvetica" w:hAnsi="Times New Roman" w:cs="Times New Roman"/>
          <w:sz w:val="24"/>
          <w:szCs w:val="24"/>
          <w:lang w:val="en-GB"/>
        </w:rPr>
        <w:t xml:space="preserve">including at </w:t>
      </w:r>
      <w:r w:rsidRPr="00FD13F4">
        <w:rPr>
          <w:rFonts w:ascii="Times New Roman" w:eastAsia="Helvetica" w:hAnsi="Times New Roman" w:cs="Times New Roman"/>
          <w:sz w:val="24"/>
          <w:szCs w:val="24"/>
          <w:lang w:val="en-GB"/>
        </w:rPr>
        <w:t xml:space="preserve">the 2018 and 2019 ALT conferences and the University of the West of England’s ‘Festival of Learning’ in February 2019. All errors remain my own. </w:t>
      </w:r>
    </w:p>
    <w:p w14:paraId="09A931CF" w14:textId="08B7847D" w:rsidR="00446C50" w:rsidRPr="00FD13F4" w:rsidRDefault="00446C50" w:rsidP="00446C50">
      <w:pPr>
        <w:pStyle w:val="Body"/>
        <w:spacing w:line="360" w:lineRule="auto"/>
        <w:jc w:val="both"/>
        <w:rPr>
          <w:rFonts w:ascii="Times New Roman" w:hAnsi="Times New Roman" w:cs="Times New Roman"/>
          <w:sz w:val="24"/>
          <w:szCs w:val="24"/>
          <w:lang w:val="en-GB"/>
        </w:rPr>
      </w:pPr>
    </w:p>
    <w:p w14:paraId="0362740C" w14:textId="57C98374" w:rsidR="00B6310A" w:rsidRPr="00FD13F4" w:rsidRDefault="00B6310A" w:rsidP="00446C50">
      <w:pPr>
        <w:pStyle w:val="Body"/>
        <w:spacing w:line="360" w:lineRule="auto"/>
        <w:jc w:val="both"/>
        <w:rPr>
          <w:rFonts w:ascii="Times New Roman" w:hAnsi="Times New Roman" w:cs="Times New Roman"/>
          <w:b/>
          <w:bCs/>
          <w:sz w:val="24"/>
          <w:szCs w:val="24"/>
          <w:lang w:val="en-GB"/>
        </w:rPr>
      </w:pPr>
      <w:r w:rsidRPr="00FD13F4">
        <w:rPr>
          <w:rFonts w:ascii="Times New Roman" w:hAnsi="Times New Roman" w:cs="Times New Roman"/>
          <w:b/>
          <w:bCs/>
          <w:sz w:val="24"/>
          <w:szCs w:val="24"/>
          <w:lang w:val="en-GB"/>
        </w:rPr>
        <w:t>Conflict of Interest</w:t>
      </w:r>
      <w:r w:rsidR="006C591B" w:rsidRPr="00FD13F4">
        <w:rPr>
          <w:rFonts w:ascii="Times New Roman" w:hAnsi="Times New Roman" w:cs="Times New Roman"/>
          <w:b/>
          <w:bCs/>
          <w:sz w:val="24"/>
          <w:szCs w:val="24"/>
          <w:lang w:val="en-GB"/>
        </w:rPr>
        <w:t xml:space="preserve"> Disclosure</w:t>
      </w:r>
    </w:p>
    <w:p w14:paraId="43E49269" w14:textId="32D19B57" w:rsidR="00B6310A" w:rsidRPr="00FD13F4" w:rsidRDefault="00B6310A" w:rsidP="00446C50">
      <w:pPr>
        <w:pStyle w:val="Body"/>
        <w:spacing w:line="360" w:lineRule="auto"/>
        <w:jc w:val="both"/>
        <w:rPr>
          <w:rFonts w:ascii="Times New Roman" w:hAnsi="Times New Roman" w:cs="Times New Roman"/>
          <w:b/>
          <w:bCs/>
          <w:sz w:val="24"/>
          <w:szCs w:val="24"/>
          <w:lang w:val="en-GB"/>
        </w:rPr>
      </w:pPr>
    </w:p>
    <w:p w14:paraId="2E41203D" w14:textId="75E8BB28" w:rsidR="00B6310A" w:rsidRDefault="00B6310A" w:rsidP="00446C50">
      <w:pPr>
        <w:pStyle w:val="Body"/>
        <w:spacing w:line="360" w:lineRule="auto"/>
        <w:jc w:val="both"/>
        <w:rPr>
          <w:rFonts w:ascii="Times New Roman" w:hAnsi="Times New Roman" w:cs="Times New Roman"/>
          <w:sz w:val="24"/>
          <w:szCs w:val="24"/>
          <w:lang w:val="en-GB"/>
        </w:rPr>
      </w:pPr>
      <w:r w:rsidRPr="00FD13F4">
        <w:rPr>
          <w:rFonts w:ascii="Times New Roman" w:hAnsi="Times New Roman" w:cs="Times New Roman"/>
          <w:sz w:val="24"/>
          <w:szCs w:val="24"/>
          <w:lang w:val="en-GB"/>
        </w:rPr>
        <w:t>No conflict of interest was disclosed by the author</w:t>
      </w:r>
      <w:r w:rsidR="0053606F" w:rsidRPr="00FD13F4">
        <w:rPr>
          <w:rFonts w:ascii="Times New Roman" w:hAnsi="Times New Roman" w:cs="Times New Roman"/>
          <w:sz w:val="24"/>
          <w:szCs w:val="24"/>
          <w:lang w:val="en-GB"/>
        </w:rPr>
        <w:t>.</w:t>
      </w:r>
    </w:p>
    <w:p w14:paraId="7C60F11A" w14:textId="77777777" w:rsidR="005B0C96" w:rsidRPr="00FD13F4" w:rsidRDefault="005B0C96" w:rsidP="00446C50">
      <w:pPr>
        <w:pStyle w:val="Body"/>
        <w:spacing w:line="360" w:lineRule="auto"/>
        <w:jc w:val="both"/>
        <w:rPr>
          <w:rFonts w:ascii="Times New Roman" w:hAnsi="Times New Roman" w:cs="Times New Roman"/>
          <w:sz w:val="24"/>
          <w:szCs w:val="24"/>
          <w:lang w:val="en-GB"/>
        </w:rPr>
      </w:pPr>
    </w:p>
    <w:p w14:paraId="73DF4A2A" w14:textId="77777777" w:rsidR="00151C73" w:rsidRDefault="00151C73" w:rsidP="00151C73">
      <w:pPr>
        <w:pStyle w:val="Body"/>
        <w:keepNext/>
        <w:spacing w:line="360" w:lineRule="auto"/>
        <w:jc w:val="both"/>
      </w:pPr>
      <w:r w:rsidRPr="00151C73">
        <w:rPr>
          <w:rFonts w:ascii="Times New Roman" w:hAnsi="Times New Roman" w:cs="Times New Roman"/>
          <w:noProof/>
          <w:sz w:val="24"/>
          <w:szCs w:val="24"/>
        </w:rPr>
        <w:lastRenderedPageBreak/>
        <w:drawing>
          <wp:inline distT="0" distB="0" distL="0" distR="0" wp14:anchorId="6126D591" wp14:editId="4022F101">
            <wp:extent cx="6120130" cy="33934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393440"/>
                    </a:xfrm>
                    <a:prstGeom prst="rect">
                      <a:avLst/>
                    </a:prstGeom>
                  </pic:spPr>
                </pic:pic>
              </a:graphicData>
            </a:graphic>
          </wp:inline>
        </w:drawing>
      </w:r>
    </w:p>
    <w:p w14:paraId="49845A65" w14:textId="0F132609" w:rsidR="003F1A59" w:rsidRDefault="00151C73" w:rsidP="00151C73">
      <w:pPr>
        <w:pStyle w:val="Caption"/>
        <w:jc w:val="both"/>
        <w:rPr>
          <w:sz w:val="24"/>
          <w:szCs w:val="24"/>
        </w:rPr>
      </w:pPr>
      <w:r>
        <w:t xml:space="preserve">Figure </w:t>
      </w:r>
      <w:r>
        <w:fldChar w:fldCharType="begin"/>
      </w:r>
      <w:r>
        <w:instrText xml:space="preserve"> SEQ Figure \* ARABIC </w:instrText>
      </w:r>
      <w:r>
        <w:fldChar w:fldCharType="separate"/>
      </w:r>
      <w:r w:rsidR="00970C42">
        <w:rPr>
          <w:noProof/>
        </w:rPr>
        <w:t>1</w:t>
      </w:r>
      <w:r>
        <w:fldChar w:fldCharType="end"/>
      </w:r>
      <w:r>
        <w:t>: A Sample Judgment</w:t>
      </w:r>
    </w:p>
    <w:p w14:paraId="32576BAE" w14:textId="763E0EB3" w:rsidR="00151C73" w:rsidRDefault="00151C73" w:rsidP="0053606F">
      <w:pPr>
        <w:pStyle w:val="Body"/>
        <w:keepNext/>
        <w:spacing w:line="360" w:lineRule="auto"/>
        <w:jc w:val="both"/>
        <w:rPr>
          <w:rFonts w:ascii="Times New Roman" w:hAnsi="Times New Roman" w:cs="Times New Roman"/>
          <w:sz w:val="24"/>
          <w:szCs w:val="24"/>
        </w:rPr>
      </w:pPr>
    </w:p>
    <w:p w14:paraId="4768F7DD" w14:textId="77777777" w:rsidR="00970C42" w:rsidRDefault="00970C42" w:rsidP="00970C42">
      <w:pPr>
        <w:pStyle w:val="Body"/>
        <w:keepNext/>
        <w:spacing w:line="360" w:lineRule="auto"/>
        <w:jc w:val="both"/>
      </w:pPr>
      <w:r w:rsidRPr="00FD13F4">
        <w:rPr>
          <w:rFonts w:ascii="Times New Roman" w:hAnsi="Times New Roman" w:cs="Times New Roman"/>
          <w:noProof/>
          <w:sz w:val="24"/>
          <w:szCs w:val="24"/>
          <w:lang w:val="en-GB"/>
        </w:rPr>
        <w:drawing>
          <wp:inline distT="0" distB="0" distL="0" distR="0" wp14:anchorId="79B20B77" wp14:editId="6F297BB7">
            <wp:extent cx="6120130" cy="47771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tio Rules - new (reverse s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777105"/>
                    </a:xfrm>
                    <a:prstGeom prst="rect">
                      <a:avLst/>
                    </a:prstGeom>
                  </pic:spPr>
                </pic:pic>
              </a:graphicData>
            </a:graphic>
          </wp:inline>
        </w:drawing>
      </w:r>
    </w:p>
    <w:p w14:paraId="45C6EFE6" w14:textId="5C3D25E7" w:rsidR="00970C42" w:rsidRPr="00FD13F4" w:rsidRDefault="00970C42" w:rsidP="00970C42">
      <w:pPr>
        <w:pStyle w:val="Caption"/>
        <w:jc w:val="both"/>
        <w:rPr>
          <w:sz w:val="24"/>
          <w:szCs w:val="24"/>
        </w:rPr>
      </w:pPr>
      <w:r>
        <w:t xml:space="preserve">Figure </w:t>
      </w:r>
      <w:r>
        <w:fldChar w:fldCharType="begin"/>
      </w:r>
      <w:r>
        <w:instrText xml:space="preserve"> SEQ Figure \* ARABIC </w:instrText>
      </w:r>
      <w:r>
        <w:fldChar w:fldCharType="separate"/>
      </w:r>
      <w:r>
        <w:rPr>
          <w:noProof/>
        </w:rPr>
        <w:t>2</w:t>
      </w:r>
      <w:r>
        <w:fldChar w:fldCharType="end"/>
      </w:r>
      <w:r>
        <w:t>: List of Cards</w:t>
      </w:r>
    </w:p>
    <w:sectPr w:rsidR="00970C42" w:rsidRPr="00FD13F4">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89F6" w14:textId="77777777" w:rsidR="00F32CBA" w:rsidRDefault="00F32CBA">
      <w:r>
        <w:separator/>
      </w:r>
    </w:p>
  </w:endnote>
  <w:endnote w:type="continuationSeparator" w:id="0">
    <w:p w14:paraId="4FE66A75" w14:textId="77777777" w:rsidR="00F32CBA" w:rsidRDefault="00F3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4920" w14:textId="77777777" w:rsidR="005316CE" w:rsidRDefault="005316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72B49" w14:textId="77777777" w:rsidR="00F32CBA" w:rsidRDefault="00F32CBA">
      <w:r>
        <w:separator/>
      </w:r>
    </w:p>
  </w:footnote>
  <w:footnote w:type="continuationSeparator" w:id="0">
    <w:p w14:paraId="3AEE83EB" w14:textId="77777777" w:rsidR="00F32CBA" w:rsidRDefault="00F32CBA">
      <w:r>
        <w:continuationSeparator/>
      </w:r>
    </w:p>
  </w:footnote>
  <w:footnote w:type="continuationNotice" w:id="1">
    <w:p w14:paraId="3594623B" w14:textId="77777777" w:rsidR="00F32CBA" w:rsidRDefault="00F32CBA"/>
  </w:footnote>
  <w:footnote w:id="2">
    <w:p w14:paraId="1AF50B57" w14:textId="18FF8636" w:rsidR="005316CE" w:rsidRPr="008578AB" w:rsidRDefault="005316CE" w:rsidP="00420D95">
      <w:pPr>
        <w:pStyle w:val="Footnote"/>
        <w:spacing w:after="120"/>
        <w:jc w:val="both"/>
        <w:rPr>
          <w:rFonts w:ascii="Times New Roman" w:eastAsia="Helvetica" w:hAnsi="Times New Roman" w:cs="Times New Roman"/>
          <w:sz w:val="20"/>
          <w:szCs w:val="20"/>
        </w:rPr>
      </w:pPr>
      <w:r w:rsidRPr="000008A9">
        <w:rPr>
          <w:rFonts w:ascii="Times New Roman" w:hAnsi="Times New Roman" w:cs="Times New Roman"/>
          <w:sz w:val="20"/>
          <w:szCs w:val="20"/>
        </w:rPr>
        <w:t xml:space="preserve">* </w:t>
      </w:r>
      <w:r>
        <w:rPr>
          <w:rFonts w:ascii="Times New Roman" w:hAnsi="Times New Roman" w:cs="Times New Roman"/>
          <w:sz w:val="20"/>
          <w:szCs w:val="20"/>
        </w:rPr>
        <w:t>Contact</w:t>
      </w:r>
      <w:r w:rsidRPr="000008A9">
        <w:rPr>
          <w:rFonts w:ascii="Times New Roman" w:hAnsi="Times New Roman" w:cs="Times New Roman"/>
          <w:sz w:val="20"/>
          <w:szCs w:val="20"/>
        </w:rPr>
        <w:t xml:space="preserve">: </w:t>
      </w:r>
      <w:hyperlink r:id="rId1" w:history="1">
        <w:r w:rsidRPr="000008A9">
          <w:rPr>
            <w:rStyle w:val="Hyperlink0"/>
            <w:rFonts w:ascii="Times New Roman" w:hAnsi="Times New Roman" w:cs="Times New Roman"/>
            <w:sz w:val="20"/>
            <w:szCs w:val="20"/>
          </w:rPr>
          <w:t>david.yuratich@rhul.ac.uk</w:t>
        </w:r>
      </w:hyperlink>
      <w:r>
        <w:rPr>
          <w:rStyle w:val="Hyperlink0"/>
          <w:rFonts w:ascii="Times New Roman" w:hAnsi="Times New Roman" w:cs="Times New Roman"/>
          <w:sz w:val="20"/>
          <w:szCs w:val="20"/>
        </w:rPr>
        <w:t xml:space="preserve">; </w:t>
      </w:r>
      <w:r w:rsidRPr="00D80503">
        <w:rPr>
          <w:rStyle w:val="Hyperlink0"/>
          <w:rFonts w:ascii="Times New Roman" w:hAnsi="Times New Roman" w:cs="Times New Roman"/>
          <w:sz w:val="20"/>
          <w:szCs w:val="20"/>
          <w:u w:val="none"/>
        </w:rPr>
        <w:t>@DavidYuratich (</w:t>
      </w:r>
      <w:r>
        <w:rPr>
          <w:rStyle w:val="Hyperlink0"/>
          <w:rFonts w:ascii="Times New Roman" w:hAnsi="Times New Roman" w:cs="Times New Roman"/>
          <w:sz w:val="20"/>
          <w:szCs w:val="20"/>
          <w:u w:val="none"/>
        </w:rPr>
        <w:t xml:space="preserve">on </w:t>
      </w:r>
      <w:r w:rsidRPr="00D80503">
        <w:rPr>
          <w:rStyle w:val="Hyperlink0"/>
          <w:rFonts w:ascii="Times New Roman" w:hAnsi="Times New Roman" w:cs="Times New Roman"/>
          <w:sz w:val="20"/>
          <w:szCs w:val="20"/>
          <w:u w:val="none"/>
        </w:rPr>
        <w:t>Twitter)</w:t>
      </w:r>
    </w:p>
    <w:p w14:paraId="45C0C05A" w14:textId="12C003CC"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sidRPr="000008A9">
        <w:rPr>
          <w:rFonts w:ascii="Times New Roman" w:hAnsi="Times New Roman" w:cs="Times New Roman"/>
          <w:i/>
          <w:iCs/>
          <w:sz w:val="20"/>
          <w:szCs w:val="20"/>
        </w:rPr>
        <w:t>Ratio!</w:t>
      </w:r>
      <w:r w:rsidRPr="000008A9">
        <w:rPr>
          <w:rFonts w:ascii="Times New Roman" w:hAnsi="Times New Roman" w:cs="Times New Roman"/>
          <w:sz w:val="20"/>
          <w:szCs w:val="20"/>
        </w:rPr>
        <w:t xml:space="preserve"> is developed</w:t>
      </w:r>
      <w:r>
        <w:rPr>
          <w:rFonts w:ascii="Times New Roman" w:hAnsi="Times New Roman" w:cs="Times New Roman"/>
          <w:sz w:val="20"/>
          <w:szCs w:val="20"/>
        </w:rPr>
        <w:t xml:space="preserve"> by Thomas Giddens and David Yuratich, and any intellectual property rights which flow from that are jointly held. Th</w:t>
      </w:r>
      <w:r w:rsidRPr="000008A9">
        <w:rPr>
          <w:rFonts w:ascii="Times New Roman" w:hAnsi="Times New Roman" w:cs="Times New Roman"/>
          <w:sz w:val="20"/>
          <w:szCs w:val="20"/>
        </w:rPr>
        <w:t xml:space="preserve">is specific </w:t>
      </w:r>
      <w:r>
        <w:rPr>
          <w:rFonts w:ascii="Times New Roman" w:hAnsi="Times New Roman" w:cs="Times New Roman"/>
          <w:sz w:val="20"/>
          <w:szCs w:val="20"/>
        </w:rPr>
        <w:t>a</w:t>
      </w:r>
      <w:r w:rsidRPr="000008A9">
        <w:rPr>
          <w:rFonts w:ascii="Times New Roman" w:hAnsi="Times New Roman" w:cs="Times New Roman"/>
          <w:sz w:val="20"/>
          <w:szCs w:val="20"/>
        </w:rPr>
        <w:t>rticle was solely authored by David Yuratich and he is the corresponding author.</w:t>
      </w:r>
    </w:p>
  </w:footnote>
  <w:footnote w:id="3">
    <w:p w14:paraId="6C76E31C" w14:textId="290BD76C" w:rsidR="00E83C08" w:rsidRPr="00E83C08" w:rsidRDefault="005316CE" w:rsidP="00420D95">
      <w:pPr>
        <w:spacing w:after="120"/>
        <w:jc w:val="both"/>
        <w:rPr>
          <w:rFonts w:eastAsia="Calibri"/>
          <w:color w:val="000000"/>
          <w:sz w:val="20"/>
          <w:szCs w:val="20"/>
          <w:u w:color="000000"/>
        </w:rPr>
      </w:pPr>
      <w:r w:rsidRPr="000008A9">
        <w:rPr>
          <w:rFonts w:eastAsia="Calibri"/>
          <w:color w:val="000000"/>
          <w:sz w:val="20"/>
          <w:szCs w:val="20"/>
          <w:u w:color="000000"/>
          <w:vertAlign w:val="superscript"/>
        </w:rPr>
        <w:footnoteRef/>
      </w:r>
      <w:r w:rsidRPr="000008A9">
        <w:rPr>
          <w:rFonts w:eastAsia="Calibri"/>
          <w:color w:val="000000"/>
          <w:sz w:val="20"/>
          <w:szCs w:val="20"/>
          <w:u w:color="000000"/>
        </w:rPr>
        <w:t xml:space="preserve"> </w:t>
      </w:r>
      <w:r>
        <w:rPr>
          <w:rFonts w:eastAsia="Calibri"/>
          <w:color w:val="000000"/>
          <w:sz w:val="20"/>
          <w:szCs w:val="20"/>
          <w:u w:color="000000"/>
        </w:rPr>
        <w:t xml:space="preserve"> </w:t>
      </w:r>
      <w:r w:rsidRPr="009734F4">
        <w:rPr>
          <w:rFonts w:eastAsia="Calibri"/>
          <w:color w:val="000000"/>
          <w:sz w:val="20"/>
          <w:szCs w:val="20"/>
          <w:u w:color="000000"/>
        </w:rPr>
        <w:t>Monopoly</w:t>
      </w:r>
      <w:r>
        <w:rPr>
          <w:rFonts w:eastAsia="Calibri"/>
          <w:color w:val="000000"/>
          <w:sz w:val="20"/>
          <w:szCs w:val="20"/>
          <w:u w:color="000000"/>
        </w:rPr>
        <w:t>, which is perhaps the most</w:t>
      </w:r>
      <w:r w:rsidRPr="009734F4">
        <w:rPr>
          <w:rFonts w:eastAsia="Calibri"/>
          <w:color w:val="000000"/>
          <w:sz w:val="20"/>
          <w:szCs w:val="20"/>
          <w:u w:color="000000"/>
        </w:rPr>
        <w:t xml:space="preserve"> famous modern board game</w:t>
      </w:r>
      <w:r>
        <w:rPr>
          <w:rFonts w:eastAsia="Calibri"/>
          <w:color w:val="000000"/>
          <w:sz w:val="20"/>
          <w:szCs w:val="20"/>
          <w:u w:color="000000"/>
        </w:rPr>
        <w:t>,</w:t>
      </w:r>
      <w:r w:rsidRPr="009734F4">
        <w:rPr>
          <w:rFonts w:eastAsia="Calibri"/>
          <w:color w:val="000000"/>
          <w:sz w:val="20"/>
          <w:szCs w:val="20"/>
          <w:u w:color="000000"/>
        </w:rPr>
        <w:t xml:space="preserve"> was originally developed by an anti-monopolist to educate the public in anti-capitalist ideas</w:t>
      </w:r>
      <w:r>
        <w:rPr>
          <w:rFonts w:eastAsia="Calibri"/>
          <w:color w:val="000000"/>
          <w:sz w:val="20"/>
          <w:szCs w:val="20"/>
          <w:u w:color="000000"/>
        </w:rPr>
        <w:t xml:space="preserve">: </w:t>
      </w:r>
      <w:r w:rsidRPr="000008A9">
        <w:rPr>
          <w:rFonts w:eastAsia="Calibri"/>
          <w:color w:val="000000"/>
          <w:sz w:val="20"/>
          <w:szCs w:val="20"/>
          <w:u w:color="000000"/>
        </w:rPr>
        <w:t>Mary Pilon, ‘Monopoly’s Inventor: The Progressive Who Didn’t Pass “Go”’ (</w:t>
      </w:r>
      <w:r w:rsidRPr="000008A9">
        <w:rPr>
          <w:rFonts w:eastAsia="Calibri"/>
          <w:i/>
          <w:iCs/>
          <w:color w:val="000000"/>
          <w:sz w:val="20"/>
          <w:szCs w:val="20"/>
          <w:u w:color="000000"/>
        </w:rPr>
        <w:t>The</w:t>
      </w:r>
      <w:r w:rsidRPr="000008A9">
        <w:rPr>
          <w:rFonts w:eastAsia="Calibri"/>
          <w:color w:val="000000"/>
          <w:sz w:val="20"/>
          <w:szCs w:val="20"/>
          <w:u w:color="000000"/>
        </w:rPr>
        <w:t xml:space="preserve"> </w:t>
      </w:r>
      <w:r w:rsidRPr="000008A9">
        <w:rPr>
          <w:rFonts w:eastAsia="Calibri"/>
          <w:i/>
          <w:iCs/>
          <w:color w:val="000000"/>
          <w:sz w:val="20"/>
          <w:szCs w:val="20"/>
          <w:u w:color="000000"/>
        </w:rPr>
        <w:t>New York Times</w:t>
      </w:r>
      <w:r w:rsidRPr="000008A9">
        <w:rPr>
          <w:rFonts w:eastAsia="Calibri"/>
          <w:color w:val="000000"/>
          <w:sz w:val="20"/>
          <w:szCs w:val="20"/>
          <w:u w:color="000000"/>
        </w:rPr>
        <w:t>, 13 February 2015) &lt;</w:t>
      </w:r>
      <w:hyperlink r:id="rId2" w:history="1">
        <w:r w:rsidRPr="000008A9">
          <w:rPr>
            <w:rStyle w:val="Hyperlink1"/>
            <w:rFonts w:eastAsia="Calibri"/>
            <w:sz w:val="20"/>
            <w:szCs w:val="20"/>
          </w:rPr>
          <w:t>https://www.nytimes.com/2015/02/15/business/behind-monopoly-an-inventor-who-didnt-pass-go.html</w:t>
        </w:r>
      </w:hyperlink>
      <w:r w:rsidRPr="000008A9">
        <w:rPr>
          <w:rFonts w:eastAsia="Calibri"/>
          <w:color w:val="000000"/>
          <w:sz w:val="20"/>
          <w:szCs w:val="20"/>
          <w:u w:color="000000"/>
        </w:rPr>
        <w:t xml:space="preserve">&gt; (accessed </w:t>
      </w:r>
      <w:r>
        <w:rPr>
          <w:rFonts w:eastAsia="Calibri"/>
          <w:color w:val="000000"/>
          <w:sz w:val="20"/>
          <w:szCs w:val="20"/>
          <w:u w:color="000000"/>
        </w:rPr>
        <w:t>12/6/19</w:t>
      </w:r>
      <w:r w:rsidRPr="000008A9">
        <w:rPr>
          <w:rFonts w:eastAsia="Calibri"/>
          <w:color w:val="000000"/>
          <w:sz w:val="20"/>
          <w:szCs w:val="20"/>
          <w:u w:color="000000"/>
        </w:rPr>
        <w:t>).</w:t>
      </w:r>
      <w:r w:rsidR="00051718">
        <w:rPr>
          <w:rFonts w:eastAsia="Calibri"/>
          <w:color w:val="000000"/>
          <w:sz w:val="20"/>
          <w:szCs w:val="20"/>
          <w:u w:color="000000"/>
        </w:rPr>
        <w:t xml:space="preserve"> For an introduction to the even broader idea of the </w:t>
      </w:r>
      <w:r w:rsidR="00833028">
        <w:rPr>
          <w:rFonts w:eastAsia="Calibri"/>
          <w:color w:val="000000"/>
          <w:sz w:val="20"/>
          <w:szCs w:val="20"/>
          <w:u w:color="000000"/>
        </w:rPr>
        <w:t>theory</w:t>
      </w:r>
      <w:r w:rsidR="00051718">
        <w:rPr>
          <w:rFonts w:eastAsia="Calibri"/>
          <w:color w:val="000000"/>
          <w:sz w:val="20"/>
          <w:szCs w:val="20"/>
          <w:u w:color="000000"/>
        </w:rPr>
        <w:t xml:space="preserve"> of </w:t>
      </w:r>
      <w:r w:rsidR="00E83C08">
        <w:rPr>
          <w:rFonts w:eastAsia="Calibri"/>
          <w:color w:val="000000"/>
          <w:sz w:val="20"/>
          <w:szCs w:val="20"/>
          <w:u w:color="000000"/>
        </w:rPr>
        <w:t>play</w:t>
      </w:r>
      <w:r w:rsidR="00833028">
        <w:rPr>
          <w:rFonts w:eastAsia="Calibri"/>
          <w:color w:val="000000"/>
          <w:sz w:val="20"/>
          <w:szCs w:val="20"/>
          <w:u w:color="000000"/>
        </w:rPr>
        <w:t xml:space="preserve"> </w:t>
      </w:r>
      <w:r w:rsidR="00051718">
        <w:rPr>
          <w:rFonts w:eastAsia="Calibri"/>
          <w:color w:val="000000"/>
          <w:sz w:val="20"/>
          <w:szCs w:val="20"/>
          <w:u w:color="000000"/>
        </w:rPr>
        <w:t xml:space="preserve">see </w:t>
      </w:r>
      <w:r w:rsidR="00BD714F">
        <w:rPr>
          <w:rFonts w:eastAsia="Calibri"/>
          <w:color w:val="000000"/>
          <w:sz w:val="20"/>
          <w:szCs w:val="20"/>
          <w:u w:color="000000"/>
        </w:rPr>
        <w:t>Joh</w:t>
      </w:r>
      <w:r w:rsidR="00E83C08">
        <w:rPr>
          <w:rFonts w:eastAsia="Calibri"/>
          <w:color w:val="000000"/>
          <w:sz w:val="20"/>
          <w:szCs w:val="20"/>
          <w:u w:color="000000"/>
        </w:rPr>
        <w:t>a</w:t>
      </w:r>
      <w:r w:rsidR="00BD714F">
        <w:rPr>
          <w:rFonts w:eastAsia="Calibri"/>
          <w:color w:val="000000"/>
          <w:sz w:val="20"/>
          <w:szCs w:val="20"/>
          <w:u w:color="000000"/>
        </w:rPr>
        <w:t xml:space="preserve">n Huizinga, </w:t>
      </w:r>
      <w:r w:rsidR="00E83C08">
        <w:rPr>
          <w:rFonts w:eastAsia="Calibri"/>
          <w:i/>
          <w:iCs/>
          <w:color w:val="000000"/>
          <w:sz w:val="20"/>
          <w:szCs w:val="20"/>
          <w:u w:color="000000"/>
        </w:rPr>
        <w:t>Homo Ludens</w:t>
      </w:r>
      <w:r w:rsidR="00E83C08">
        <w:rPr>
          <w:rFonts w:eastAsia="Calibri"/>
          <w:color w:val="000000"/>
          <w:sz w:val="20"/>
          <w:szCs w:val="20"/>
          <w:u w:color="000000"/>
        </w:rPr>
        <w:t xml:space="preserve">: </w:t>
      </w:r>
      <w:r w:rsidR="00E83C08">
        <w:rPr>
          <w:rFonts w:eastAsia="Calibri"/>
          <w:i/>
          <w:iCs/>
          <w:color w:val="000000"/>
          <w:sz w:val="20"/>
          <w:szCs w:val="20"/>
          <w:u w:color="000000"/>
        </w:rPr>
        <w:t>A Study of the Play-Element in Culture</w:t>
      </w:r>
      <w:r w:rsidR="00E83C08">
        <w:rPr>
          <w:rFonts w:eastAsia="Calibri"/>
          <w:color w:val="000000"/>
          <w:sz w:val="20"/>
          <w:szCs w:val="20"/>
          <w:u w:color="000000"/>
        </w:rPr>
        <w:t xml:space="preserve"> (first published in English 1945; Angelico Press 2016). </w:t>
      </w:r>
    </w:p>
  </w:footnote>
  <w:footnote w:id="4">
    <w:p w14:paraId="3595AE54"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lang w:val="it-IT"/>
        </w:rPr>
        <w:t xml:space="preserve"> Darina Dicheva, Christo Dichev, Gennady Agre and Galia Angelova</w:t>
      </w:r>
      <w:r w:rsidRPr="000008A9">
        <w:rPr>
          <w:rFonts w:ascii="Times New Roman" w:hAnsi="Times New Roman" w:cs="Times New Roman"/>
          <w:sz w:val="20"/>
          <w:szCs w:val="20"/>
        </w:rPr>
        <w:t>, ‘Gamification in Education: A Systematic Mapping Study’ (2015) 18 Journal of Educational Technology &amp; Society 75, 75.</w:t>
      </w:r>
    </w:p>
  </w:footnote>
  <w:footnote w:id="5">
    <w:p w14:paraId="4A4D9BB7"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Ibid 80. For examples see Sujit Subhash and Elizabeth A Cudney, ‘Gamified Learning in Higher Education: A Systematic Review of the Literature’ (2018)</w:t>
      </w:r>
      <w:r>
        <w:rPr>
          <w:rFonts w:ascii="Times New Roman" w:hAnsi="Times New Roman" w:cs="Times New Roman"/>
          <w:sz w:val="20"/>
          <w:szCs w:val="20"/>
        </w:rPr>
        <w:t xml:space="preserve"> 87</w:t>
      </w:r>
      <w:r w:rsidRPr="000008A9">
        <w:rPr>
          <w:rFonts w:ascii="Times New Roman" w:hAnsi="Times New Roman" w:cs="Times New Roman"/>
          <w:sz w:val="20"/>
          <w:szCs w:val="20"/>
        </w:rPr>
        <w:t xml:space="preserve"> Computers in Human Behaviour</w:t>
      </w:r>
      <w:r>
        <w:rPr>
          <w:rFonts w:ascii="Times New Roman" w:hAnsi="Times New Roman" w:cs="Times New Roman"/>
          <w:sz w:val="20"/>
          <w:szCs w:val="20"/>
        </w:rPr>
        <w:t xml:space="preserve"> 192.</w:t>
      </w:r>
    </w:p>
  </w:footnote>
  <w:footnote w:id="6">
    <w:p w14:paraId="1E5B9519"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Bradley E Wiggins, ‘An Overview and Study of the Use of Games, Simulations, and Gamification in Higher Education’ in Information Management Resources Association USA (ed), </w:t>
      </w:r>
      <w:r w:rsidRPr="000008A9">
        <w:rPr>
          <w:rFonts w:ascii="Times New Roman" w:hAnsi="Times New Roman" w:cs="Times New Roman"/>
          <w:i/>
          <w:iCs/>
          <w:sz w:val="20"/>
          <w:szCs w:val="20"/>
        </w:rPr>
        <w:t xml:space="preserve">Gamification in Education: Breakthroughs in Research and Practice </w:t>
      </w:r>
      <w:r w:rsidRPr="000008A9">
        <w:rPr>
          <w:rFonts w:ascii="Times New Roman" w:hAnsi="Times New Roman" w:cs="Times New Roman"/>
          <w:sz w:val="20"/>
          <w:szCs w:val="20"/>
        </w:rPr>
        <w:t>(IGI Global 2018) 192</w:t>
      </w:r>
      <w:r>
        <w:rPr>
          <w:rFonts w:ascii="Times New Roman" w:hAnsi="Times New Roman" w:cs="Times New Roman"/>
          <w:sz w:val="20"/>
          <w:szCs w:val="20"/>
        </w:rPr>
        <w:t xml:space="preserve">; </w:t>
      </w:r>
      <w:r w:rsidRPr="000008A9">
        <w:rPr>
          <w:rFonts w:ascii="Times New Roman" w:hAnsi="Times New Roman" w:cs="Times New Roman"/>
          <w:sz w:val="20"/>
          <w:szCs w:val="20"/>
        </w:rPr>
        <w:t xml:space="preserve">Katrin Becker, </w:t>
      </w:r>
      <w:r w:rsidRPr="000008A9">
        <w:rPr>
          <w:rFonts w:ascii="Times New Roman" w:hAnsi="Times New Roman" w:cs="Times New Roman"/>
          <w:i/>
          <w:iCs/>
          <w:sz w:val="20"/>
          <w:szCs w:val="20"/>
        </w:rPr>
        <w:t xml:space="preserve">Choosing and Using Digital Games in the Classroom: A Practical Guide </w:t>
      </w:r>
      <w:r w:rsidRPr="000008A9">
        <w:rPr>
          <w:rFonts w:ascii="Times New Roman" w:hAnsi="Times New Roman" w:cs="Times New Roman"/>
          <w:sz w:val="20"/>
          <w:szCs w:val="20"/>
        </w:rPr>
        <w:t xml:space="preserve">(Springer 2017) </w:t>
      </w:r>
      <w:r>
        <w:rPr>
          <w:rFonts w:ascii="Times New Roman" w:hAnsi="Times New Roman" w:cs="Times New Roman"/>
          <w:sz w:val="20"/>
          <w:szCs w:val="20"/>
        </w:rPr>
        <w:t xml:space="preserve">12. Becker decouples game-based pedagogy – </w:t>
      </w:r>
      <w:r w:rsidRPr="00280126">
        <w:rPr>
          <w:rFonts w:ascii="Times New Roman" w:hAnsi="Times New Roman" w:cs="Times New Roman"/>
          <w:i/>
          <w:iCs/>
          <w:sz w:val="20"/>
          <w:szCs w:val="20"/>
        </w:rPr>
        <w:t>us</w:t>
      </w:r>
      <w:r>
        <w:rPr>
          <w:rFonts w:ascii="Times New Roman" w:hAnsi="Times New Roman" w:cs="Times New Roman"/>
          <w:i/>
          <w:iCs/>
          <w:sz w:val="20"/>
          <w:szCs w:val="20"/>
        </w:rPr>
        <w:t>ing</w:t>
      </w:r>
      <w:r>
        <w:rPr>
          <w:rFonts w:ascii="Times New Roman" w:hAnsi="Times New Roman" w:cs="Times New Roman"/>
          <w:sz w:val="20"/>
          <w:szCs w:val="20"/>
        </w:rPr>
        <w:t xml:space="preserve"> games in class – from GBL, which she confines to the </w:t>
      </w:r>
      <w:r>
        <w:rPr>
          <w:rFonts w:ascii="Times New Roman" w:hAnsi="Times New Roman" w:cs="Times New Roman"/>
          <w:i/>
          <w:iCs/>
          <w:sz w:val="20"/>
          <w:szCs w:val="20"/>
        </w:rPr>
        <w:t>theory</w:t>
      </w:r>
      <w:r>
        <w:rPr>
          <w:rFonts w:ascii="Times New Roman" w:hAnsi="Times New Roman" w:cs="Times New Roman"/>
          <w:sz w:val="20"/>
          <w:szCs w:val="20"/>
        </w:rPr>
        <w:t xml:space="preserve"> underpinning the use of games. For ease, I use GBL to refer to both here.</w:t>
      </w:r>
    </w:p>
  </w:footnote>
  <w:footnote w:id="7">
    <w:p w14:paraId="3A739CD9" w14:textId="791FDD5A" w:rsidR="005316CE" w:rsidRPr="00273A7D" w:rsidRDefault="005316CE" w:rsidP="00420D95">
      <w:pPr>
        <w:pStyle w:val="FootnoteText"/>
        <w:spacing w:after="120"/>
        <w:jc w:val="both"/>
        <w:rPr>
          <w:lang w:val="en-GB"/>
        </w:rPr>
      </w:pPr>
      <w:r>
        <w:rPr>
          <w:rStyle w:val="FootnoteReference"/>
        </w:rPr>
        <w:footnoteRef/>
      </w:r>
      <w:r>
        <w:t xml:space="preserve">  This usually refers to using computer games in the classroom, but it is not limited to them, and the same ideas apply to digital and non-digital gaming. See generally ibid; </w:t>
      </w:r>
      <w:r w:rsidRPr="000008A9">
        <w:rPr>
          <w:lang w:val="pt-PT"/>
        </w:rPr>
        <w:t>Minhua</w:t>
      </w:r>
      <w:r w:rsidRPr="000008A9">
        <w:t xml:space="preserve"> Ma, Andreas Oikonomou, </w:t>
      </w:r>
      <w:r>
        <w:t xml:space="preserve">and </w:t>
      </w:r>
      <w:r w:rsidRPr="000008A9">
        <w:t xml:space="preserve">Lakhmi C </w:t>
      </w:r>
      <w:r w:rsidRPr="000008A9">
        <w:rPr>
          <w:lang w:val="pt-PT"/>
        </w:rPr>
        <w:t>Jain</w:t>
      </w:r>
      <w:r w:rsidRPr="000008A9">
        <w:t xml:space="preserve"> (eds) </w:t>
      </w:r>
      <w:r w:rsidRPr="000008A9">
        <w:rPr>
          <w:i/>
          <w:iCs/>
        </w:rPr>
        <w:t xml:space="preserve">Serious Games and Edutainment Applications </w:t>
      </w:r>
      <w:r w:rsidRPr="000008A9">
        <w:t>(Springer 2011)</w:t>
      </w:r>
      <w:r>
        <w:t xml:space="preserve">; and for law applications, </w:t>
      </w:r>
      <w:r w:rsidRPr="000008A9">
        <w:t>Luke Moffett, Dug Cubie, and Andrew Godden, ‘Bringing the Battlefield into the Classroom: Using Video Games to Teach and Assess International Humanitarian Law’ (2017) 51 Law Teacher 499; Craig Newberry-Jones, ‘Ethical Experiments with the D-Pad: Exploring the Potential of V</w:t>
      </w:r>
      <w:r w:rsidRPr="000008A9">
        <w:rPr>
          <w:lang w:val="it-IT"/>
        </w:rPr>
        <w:t xml:space="preserve">ideo </w:t>
      </w:r>
      <w:r w:rsidRPr="000008A9">
        <w:t>Games as a Phenomenological Tool for Experiential L</w:t>
      </w:r>
      <w:r w:rsidRPr="000008A9">
        <w:rPr>
          <w:lang w:val="pt-PT"/>
        </w:rPr>
        <w:t xml:space="preserve">egal </w:t>
      </w:r>
      <w:r w:rsidRPr="000008A9">
        <w:t>E</w:t>
      </w:r>
      <w:r w:rsidRPr="000008A9">
        <w:rPr>
          <w:lang w:val="fr-FR"/>
        </w:rPr>
        <w:t>ducation</w:t>
      </w:r>
      <w:r w:rsidRPr="000008A9">
        <w:t>’ (2016) 50 Law Teacher 61; Craig Newberry-Jones, ‘Answering the Call of Duty</w:t>
      </w:r>
      <w:r w:rsidRPr="000008A9">
        <w:rPr>
          <w:i/>
          <w:iCs/>
        </w:rPr>
        <w:t>:</w:t>
      </w:r>
      <w:r w:rsidRPr="000008A9">
        <w:t xml:space="preserve"> the Phenomenology of Justice in Twenty-First Century Video Games’ (2015) 9 L&amp;H 78</w:t>
      </w:r>
      <w:r w:rsidR="00BD714F">
        <w:t>; Joanna Barwick, Dawn Watkins, Elee Kirk, Effie Law, ‘</w:t>
      </w:r>
      <w:r w:rsidR="00BD714F" w:rsidRPr="00BD714F">
        <w:t xml:space="preserve">Adventures with Lex: The </w:t>
      </w:r>
      <w:r w:rsidR="00BD714F">
        <w:t>G</w:t>
      </w:r>
      <w:r w:rsidR="00BD714F" w:rsidRPr="00BD714F">
        <w:t xml:space="preserve">amification of </w:t>
      </w:r>
      <w:r w:rsidR="00BD714F">
        <w:t>R</w:t>
      </w:r>
      <w:r w:rsidR="00BD714F" w:rsidRPr="00BD714F">
        <w:t>esearch?</w:t>
      </w:r>
      <w:r w:rsidR="00BD714F">
        <w:t xml:space="preserve">’ (2016) 24 </w:t>
      </w:r>
      <w:r w:rsidR="00BD714F" w:rsidRPr="00BD714F">
        <w:t>Convergence</w:t>
      </w:r>
      <w:r w:rsidR="00BD714F">
        <w:t xml:space="preserve"> 229.</w:t>
      </w:r>
    </w:p>
  </w:footnote>
  <w:footnote w:id="8">
    <w:p w14:paraId="78207101" w14:textId="77777777" w:rsidR="005316CE" w:rsidRPr="00FB2188" w:rsidRDefault="005316CE" w:rsidP="00420D95">
      <w:pPr>
        <w:pStyle w:val="FootnoteText"/>
        <w:spacing w:after="120"/>
        <w:jc w:val="both"/>
        <w:rPr>
          <w:lang w:val="en-GB"/>
        </w:rPr>
      </w:pPr>
      <w:r>
        <w:rPr>
          <w:rStyle w:val="FootnoteReference"/>
        </w:rPr>
        <w:footnoteRef/>
      </w:r>
      <w:r>
        <w:t xml:space="preserve"> An overview of threshold concepts, including Meyer and Land’s work, is provided by </w:t>
      </w:r>
      <w:r w:rsidRPr="000008A9">
        <w:rPr>
          <w:lang w:val="it-IT"/>
        </w:rPr>
        <w:t xml:space="preserve">Rebecca Huxley-Binns, </w:t>
      </w:r>
      <w:r w:rsidRPr="000008A9">
        <w:t>‘Tripping Over Thresholds: a Reflection on Legal Andragogy’ (2015) 50 Law Teacher 1,</w:t>
      </w:r>
      <w:r>
        <w:t xml:space="preserve"> 2-3.</w:t>
      </w:r>
    </w:p>
  </w:footnote>
  <w:footnote w:id="9">
    <w:p w14:paraId="0F9C2735"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lang w:val="it-IT"/>
        </w:rPr>
        <w:t xml:space="preserve"> </w:t>
      </w:r>
      <w:r w:rsidRPr="000008A9">
        <w:rPr>
          <w:rFonts w:ascii="Times New Roman" w:hAnsi="Times New Roman" w:cs="Times New Roman"/>
          <w:sz w:val="20"/>
          <w:szCs w:val="20"/>
        </w:rPr>
        <w:t xml:space="preserve">Chloe J Wallace, ‘The Pedagogy of Legal Reasoning: Democracy, Discourse and Community’ (2017) 52 Law Teacher </w:t>
      </w:r>
      <w:r>
        <w:rPr>
          <w:rFonts w:ascii="Times New Roman" w:hAnsi="Times New Roman" w:cs="Times New Roman"/>
          <w:sz w:val="20"/>
          <w:szCs w:val="20"/>
        </w:rPr>
        <w:t>260, 262.</w:t>
      </w:r>
    </w:p>
  </w:footnote>
  <w:footnote w:id="10">
    <w:p w14:paraId="7498C8D5" w14:textId="77777777" w:rsidR="005316CE" w:rsidRPr="001D2A50" w:rsidRDefault="005316CE" w:rsidP="00420D95">
      <w:pPr>
        <w:pStyle w:val="FootnoteText"/>
        <w:spacing w:after="120"/>
        <w:jc w:val="both"/>
        <w:rPr>
          <w:lang w:val="en-GB"/>
        </w:rPr>
      </w:pPr>
      <w:r>
        <w:rPr>
          <w:rStyle w:val="FootnoteReference"/>
        </w:rPr>
        <w:footnoteRef/>
      </w:r>
      <w:r>
        <w:t xml:space="preserve"> Solicitors Regulation Authority and Bar Standards Board</w:t>
      </w:r>
      <w:r w:rsidRPr="000008A9">
        <w:t xml:space="preserve">, </w:t>
      </w:r>
      <w:r>
        <w:rPr>
          <w:i/>
          <w:iCs/>
        </w:rPr>
        <w:t>Common Protocol on the Academic Stage of Training</w:t>
      </w:r>
      <w:r w:rsidRPr="000008A9">
        <w:rPr>
          <w:i/>
          <w:iCs/>
        </w:rPr>
        <w:t xml:space="preserve"> </w:t>
      </w:r>
      <w:r w:rsidRPr="000008A9">
        <w:t>(</w:t>
      </w:r>
      <w:r>
        <w:t xml:space="preserve">November </w:t>
      </w:r>
      <w:r w:rsidRPr="000008A9">
        <w:t>20</w:t>
      </w:r>
      <w:r>
        <w:t>18</w:t>
      </w:r>
      <w:r w:rsidRPr="000008A9">
        <w:t>),</w:t>
      </w:r>
      <w:r>
        <w:t xml:space="preserve"> &lt;</w:t>
      </w:r>
      <w:r w:rsidRPr="001D2A50">
        <w:t>https://www.sra.org.uk/students/academic-stage/common-protocol.page</w:t>
      </w:r>
      <w:r>
        <w:t>&gt;</w:t>
      </w:r>
      <w:r w:rsidRPr="000008A9">
        <w:t xml:space="preserve"> (accessed </w:t>
      </w:r>
      <w:r>
        <w:t>12</w:t>
      </w:r>
      <w:r w:rsidRPr="000008A9">
        <w:t>/</w:t>
      </w:r>
      <w:r>
        <w:t>6</w:t>
      </w:r>
      <w:r w:rsidRPr="000008A9">
        <w:t>/201</w:t>
      </w:r>
      <w:r>
        <w:t>9</w:t>
      </w:r>
      <w:r w:rsidRPr="000008A9">
        <w:t>)</w:t>
      </w:r>
      <w:r>
        <w:t>.</w:t>
      </w:r>
    </w:p>
  </w:footnote>
  <w:footnote w:id="11">
    <w:p w14:paraId="245D9681" w14:textId="4F460438" w:rsidR="005316CE" w:rsidRPr="001D2A50" w:rsidRDefault="005316CE" w:rsidP="00C37A42">
      <w:pPr>
        <w:pStyle w:val="FootnoteText"/>
        <w:spacing w:after="120"/>
        <w:jc w:val="both"/>
        <w:rPr>
          <w:lang w:val="en-GB"/>
        </w:rPr>
      </w:pPr>
      <w:r>
        <w:rPr>
          <w:rStyle w:val="FootnoteReference"/>
        </w:rPr>
        <w:footnoteRef/>
      </w:r>
      <w:r>
        <w:t xml:space="preserve"> </w:t>
      </w:r>
      <w:r w:rsidRPr="000008A9">
        <w:t xml:space="preserve">Solicitors </w:t>
      </w:r>
      <w:r>
        <w:t>Regulation</w:t>
      </w:r>
      <w:r w:rsidRPr="000008A9">
        <w:t xml:space="preserve"> Authority, </w:t>
      </w:r>
      <w:r w:rsidRPr="000008A9">
        <w:rPr>
          <w:i/>
          <w:iCs/>
        </w:rPr>
        <w:t xml:space="preserve">Solicitors Qualifying Examination: Draft Assessment Specification </w:t>
      </w:r>
      <w:r w:rsidRPr="000008A9">
        <w:t>(October 2016) 13, &lt;</w:t>
      </w:r>
      <w:hyperlink r:id="rId3" w:history="1">
        <w:r w:rsidRPr="000008A9">
          <w:rPr>
            <w:rStyle w:val="Hyperlink0"/>
          </w:rPr>
          <w:t>https://www.sra.org.uk/documents/SRA/consultations/sqe-annex-1-assessment-specification.pdf</w:t>
        </w:r>
      </w:hyperlink>
      <w:r w:rsidRPr="000008A9">
        <w:t xml:space="preserve">&gt; (accessed </w:t>
      </w:r>
      <w:r>
        <w:t>1</w:t>
      </w:r>
      <w:r w:rsidRPr="000008A9">
        <w:t>2/</w:t>
      </w:r>
      <w:r>
        <w:t>6</w:t>
      </w:r>
      <w:r w:rsidRPr="000008A9">
        <w:t>/201</w:t>
      </w:r>
      <w:r>
        <w:t>9</w:t>
      </w:r>
      <w:r w:rsidRPr="000008A9">
        <w:t>)</w:t>
      </w:r>
      <w:r>
        <w:t xml:space="preserve">. I note, but for </w:t>
      </w:r>
      <w:r w:rsidR="00C37A42">
        <w:t>my</w:t>
      </w:r>
      <w:r>
        <w:t xml:space="preserve"> purposes leave aside, the numerous criticisms aimed at the SQE</w:t>
      </w:r>
      <w:r w:rsidR="00C37A42">
        <w:t xml:space="preserve"> and the uncertainty attached to its adoption as of February 2020.</w:t>
      </w:r>
    </w:p>
  </w:footnote>
  <w:footnote w:id="12">
    <w:p w14:paraId="3563A7E8"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Pr>
          <w:rFonts w:ascii="Times New Roman" w:hAnsi="Times New Roman" w:cs="Times New Roman"/>
          <w:sz w:val="20"/>
          <w:szCs w:val="20"/>
        </w:rPr>
        <w:t>Q</w:t>
      </w:r>
      <w:r w:rsidRPr="000008A9">
        <w:rPr>
          <w:rFonts w:ascii="Times New Roman" w:hAnsi="Times New Roman" w:cs="Times New Roman"/>
          <w:sz w:val="20"/>
          <w:szCs w:val="20"/>
        </w:rPr>
        <w:t xml:space="preserve">uality Assurance Agency, </w:t>
      </w:r>
      <w:r w:rsidRPr="000008A9">
        <w:rPr>
          <w:rFonts w:ascii="Times New Roman" w:hAnsi="Times New Roman" w:cs="Times New Roman"/>
          <w:i/>
          <w:iCs/>
          <w:sz w:val="20"/>
          <w:szCs w:val="20"/>
        </w:rPr>
        <w:t xml:space="preserve">Subject Benchmark Statement: Law </w:t>
      </w:r>
      <w:r w:rsidRPr="000008A9">
        <w:rPr>
          <w:rFonts w:ascii="Times New Roman" w:hAnsi="Times New Roman" w:cs="Times New Roman"/>
          <w:sz w:val="20"/>
          <w:szCs w:val="20"/>
        </w:rPr>
        <w:t>(July 2015) 7,: &lt;</w:t>
      </w:r>
      <w:hyperlink r:id="rId4" w:history="1">
        <w:r w:rsidRPr="000008A9">
          <w:rPr>
            <w:rStyle w:val="Hyperlink0"/>
            <w:rFonts w:ascii="Times New Roman" w:hAnsi="Times New Roman" w:cs="Times New Roman"/>
            <w:sz w:val="20"/>
            <w:szCs w:val="20"/>
          </w:rPr>
          <w:t>http://www.qaa.ac.uk/docs/qaa/subject-benchmark-statements/sbs-law-15.pdf?sfvrsn=ff99f781_10</w:t>
        </w:r>
      </w:hyperlink>
      <w:r w:rsidRPr="000008A9">
        <w:rPr>
          <w:rFonts w:ascii="Times New Roman" w:hAnsi="Times New Roman" w:cs="Times New Roman"/>
          <w:sz w:val="20"/>
          <w:szCs w:val="20"/>
        </w:rPr>
        <w:t xml:space="preserve">&gt; (accessed </w:t>
      </w:r>
      <w:r>
        <w:rPr>
          <w:rFonts w:ascii="Times New Roman" w:hAnsi="Times New Roman" w:cs="Times New Roman"/>
          <w:sz w:val="20"/>
          <w:szCs w:val="20"/>
        </w:rPr>
        <w:t>12/6/19</w:t>
      </w:r>
      <w:r w:rsidRPr="000008A9">
        <w:rPr>
          <w:rFonts w:ascii="Times New Roman" w:hAnsi="Times New Roman" w:cs="Times New Roman"/>
          <w:sz w:val="20"/>
          <w:szCs w:val="20"/>
        </w:rPr>
        <w:t xml:space="preserve">). </w:t>
      </w:r>
    </w:p>
  </w:footnote>
  <w:footnote w:id="13">
    <w:p w14:paraId="4B2D4F57" w14:textId="77777777" w:rsidR="005316CE" w:rsidRPr="00582584"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 xml:space="preserve">It is possible that these ideas are less relevant in the study of (for example) civil law jurisdictions, international law, or Islamic law, but they may arise if only to distinguish those systems from, in this context, that of England and Wales: see generally H Patrick Glenn, </w:t>
      </w:r>
      <w:r>
        <w:rPr>
          <w:rFonts w:ascii="Times New Roman" w:hAnsi="Times New Roman" w:cs="Times New Roman"/>
          <w:i/>
          <w:iCs/>
          <w:sz w:val="20"/>
          <w:szCs w:val="20"/>
        </w:rPr>
        <w:t xml:space="preserve">Legal Traditions of the World </w:t>
      </w:r>
      <w:r>
        <w:rPr>
          <w:rFonts w:ascii="Times New Roman" w:hAnsi="Times New Roman" w:cs="Times New Roman"/>
          <w:sz w:val="20"/>
          <w:szCs w:val="20"/>
        </w:rPr>
        <w:t>(4th edn, OUP 2010).</w:t>
      </w:r>
    </w:p>
  </w:footnote>
  <w:footnote w:id="14">
    <w:p w14:paraId="5A97218F" w14:textId="04BD73B8"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Wallace (n </w:t>
      </w:r>
      <w:r>
        <w:rPr>
          <w:rFonts w:ascii="Times New Roman" w:hAnsi="Times New Roman" w:cs="Times New Roman"/>
          <w:sz w:val="20"/>
          <w:szCs w:val="20"/>
        </w:rPr>
        <w:t>8</w:t>
      </w:r>
      <w:r w:rsidRPr="000008A9">
        <w:rPr>
          <w:rFonts w:ascii="Times New Roman" w:hAnsi="Times New Roman" w:cs="Times New Roman"/>
          <w:sz w:val="20"/>
          <w:szCs w:val="20"/>
        </w:rPr>
        <w:t xml:space="preserve">) </w:t>
      </w:r>
      <w:r>
        <w:rPr>
          <w:rFonts w:ascii="Times New Roman" w:hAnsi="Times New Roman" w:cs="Times New Roman"/>
          <w:sz w:val="20"/>
          <w:szCs w:val="20"/>
        </w:rPr>
        <w:t>262.</w:t>
      </w:r>
    </w:p>
  </w:footnote>
  <w:footnote w:id="15">
    <w:p w14:paraId="7A3E4DA1"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Craig Collins, ‘Story Interface and Strategic Design for New Law Cu</w:t>
      </w:r>
      <w:r w:rsidRPr="000008A9">
        <w:rPr>
          <w:rFonts w:ascii="Times New Roman" w:hAnsi="Times New Roman" w:cs="Times New Roman"/>
          <w:sz w:val="20"/>
          <w:szCs w:val="20"/>
          <w:lang w:val="pt-PT"/>
        </w:rPr>
        <w:t>rricula</w:t>
      </w:r>
      <w:r w:rsidRPr="000008A9">
        <w:rPr>
          <w:rFonts w:ascii="Times New Roman" w:hAnsi="Times New Roman" w:cs="Times New Roman"/>
          <w:sz w:val="20"/>
          <w:szCs w:val="20"/>
        </w:rPr>
        <w:t>’ (2016) 50 Law Teacher 98, 106.</w:t>
      </w:r>
      <w:r w:rsidRPr="00502509">
        <w:rPr>
          <w:rFonts w:ascii="Times New Roman" w:hAnsi="Times New Roman" w:cs="Times New Roman"/>
          <w:sz w:val="20"/>
          <w:szCs w:val="20"/>
        </w:rPr>
        <w:t xml:space="preserve"> </w:t>
      </w:r>
      <w:r>
        <w:rPr>
          <w:rFonts w:ascii="Times New Roman" w:hAnsi="Times New Roman" w:cs="Times New Roman"/>
          <w:sz w:val="20"/>
          <w:szCs w:val="20"/>
        </w:rPr>
        <w:t>See also Luke Mason, ‘S</w:t>
      </w:r>
      <w:r w:rsidRPr="00931053">
        <w:rPr>
          <w:rFonts w:ascii="Times New Roman" w:hAnsi="Times New Roman" w:cs="Times New Roman"/>
          <w:sz w:val="20"/>
          <w:szCs w:val="20"/>
        </w:rPr>
        <w:t xml:space="preserve">QEezing the </w:t>
      </w:r>
      <w:r>
        <w:rPr>
          <w:rFonts w:ascii="Times New Roman" w:hAnsi="Times New Roman" w:cs="Times New Roman"/>
          <w:sz w:val="20"/>
          <w:szCs w:val="20"/>
        </w:rPr>
        <w:t>J</w:t>
      </w:r>
      <w:r w:rsidRPr="00931053">
        <w:rPr>
          <w:rFonts w:ascii="Times New Roman" w:hAnsi="Times New Roman" w:cs="Times New Roman"/>
          <w:sz w:val="20"/>
          <w:szCs w:val="20"/>
        </w:rPr>
        <w:t xml:space="preserve">urisprudence out of the SRA’s </w:t>
      </w:r>
      <w:r>
        <w:rPr>
          <w:rFonts w:ascii="Times New Roman" w:hAnsi="Times New Roman" w:cs="Times New Roman"/>
          <w:sz w:val="20"/>
          <w:szCs w:val="20"/>
        </w:rPr>
        <w:t>Su</w:t>
      </w:r>
      <w:r w:rsidRPr="00931053">
        <w:rPr>
          <w:rFonts w:ascii="Times New Roman" w:hAnsi="Times New Roman" w:cs="Times New Roman"/>
          <w:sz w:val="20"/>
          <w:szCs w:val="20"/>
        </w:rPr>
        <w:t>per</w:t>
      </w:r>
      <w:r>
        <w:rPr>
          <w:rFonts w:ascii="Times New Roman" w:hAnsi="Times New Roman" w:cs="Times New Roman"/>
          <w:sz w:val="20"/>
          <w:szCs w:val="20"/>
        </w:rPr>
        <w:t xml:space="preserve"> E</w:t>
      </w:r>
      <w:r w:rsidRPr="00931053">
        <w:rPr>
          <w:rFonts w:ascii="Times New Roman" w:hAnsi="Times New Roman" w:cs="Times New Roman"/>
          <w:sz w:val="20"/>
          <w:szCs w:val="20"/>
        </w:rPr>
        <w:t>xam: the SQE’s Bleak Legal Realism and the</w:t>
      </w:r>
      <w:r>
        <w:rPr>
          <w:rFonts w:ascii="Times New Roman" w:hAnsi="Times New Roman" w:cs="Times New Roman"/>
          <w:sz w:val="20"/>
          <w:szCs w:val="20"/>
        </w:rPr>
        <w:t xml:space="preserve"> Re</w:t>
      </w:r>
      <w:r w:rsidRPr="00931053">
        <w:rPr>
          <w:rFonts w:ascii="Times New Roman" w:hAnsi="Times New Roman" w:cs="Times New Roman"/>
          <w:sz w:val="20"/>
          <w:szCs w:val="20"/>
        </w:rPr>
        <w:t xml:space="preserve">jection of </w:t>
      </w:r>
      <w:r>
        <w:rPr>
          <w:rFonts w:ascii="Times New Roman" w:hAnsi="Times New Roman" w:cs="Times New Roman"/>
          <w:sz w:val="20"/>
          <w:szCs w:val="20"/>
        </w:rPr>
        <w:t>L</w:t>
      </w:r>
      <w:r w:rsidRPr="00931053">
        <w:rPr>
          <w:rFonts w:ascii="Times New Roman" w:hAnsi="Times New Roman" w:cs="Times New Roman"/>
          <w:sz w:val="20"/>
          <w:szCs w:val="20"/>
        </w:rPr>
        <w:t xml:space="preserve">aw’s </w:t>
      </w:r>
      <w:r>
        <w:rPr>
          <w:rFonts w:ascii="Times New Roman" w:hAnsi="Times New Roman" w:cs="Times New Roman"/>
          <w:sz w:val="20"/>
          <w:szCs w:val="20"/>
        </w:rPr>
        <w:t>Mu</w:t>
      </w:r>
      <w:r w:rsidRPr="00931053">
        <w:rPr>
          <w:rFonts w:ascii="Times New Roman" w:hAnsi="Times New Roman" w:cs="Times New Roman"/>
          <w:sz w:val="20"/>
          <w:szCs w:val="20"/>
        </w:rPr>
        <w:t xml:space="preserve">ltimodal </w:t>
      </w:r>
      <w:r>
        <w:rPr>
          <w:rFonts w:ascii="Times New Roman" w:hAnsi="Times New Roman" w:cs="Times New Roman"/>
          <w:sz w:val="20"/>
          <w:szCs w:val="20"/>
        </w:rPr>
        <w:t>T</w:t>
      </w:r>
      <w:r w:rsidRPr="00931053">
        <w:rPr>
          <w:rFonts w:ascii="Times New Roman" w:hAnsi="Times New Roman" w:cs="Times New Roman"/>
          <w:sz w:val="20"/>
          <w:szCs w:val="20"/>
        </w:rPr>
        <w:t>ruth</w:t>
      </w:r>
      <w:r>
        <w:rPr>
          <w:rFonts w:ascii="Times New Roman" w:hAnsi="Times New Roman" w:cs="Times New Roman"/>
          <w:sz w:val="20"/>
          <w:szCs w:val="20"/>
        </w:rPr>
        <w:t>’ (2018) 52 Law Teacher 409, 421.</w:t>
      </w:r>
    </w:p>
  </w:footnote>
  <w:footnote w:id="16">
    <w:p w14:paraId="43351C17" w14:textId="730D1B2E" w:rsidR="005316CE" w:rsidRPr="0003364F" w:rsidRDefault="005316CE" w:rsidP="00420D95">
      <w:pPr>
        <w:pStyle w:val="FootnoteText"/>
        <w:spacing w:after="120"/>
        <w:rPr>
          <w:lang w:val="en-GB"/>
        </w:rPr>
      </w:pPr>
      <w:r>
        <w:rPr>
          <w:rStyle w:val="FootnoteReference"/>
        </w:rPr>
        <w:footnoteRef/>
      </w:r>
      <w:r>
        <w:t xml:space="preserve"> Wallace (n 8) 262.</w:t>
      </w:r>
    </w:p>
  </w:footnote>
  <w:footnote w:id="17">
    <w:p w14:paraId="43FD45C4" w14:textId="52C8D2A8" w:rsidR="008160AA" w:rsidRPr="008160AA" w:rsidRDefault="008160AA" w:rsidP="00420D95">
      <w:pPr>
        <w:pStyle w:val="FootnoteText"/>
        <w:spacing w:after="120"/>
        <w:rPr>
          <w:lang w:val="en-GB"/>
        </w:rPr>
      </w:pPr>
      <w:r>
        <w:rPr>
          <w:rStyle w:val="FootnoteReference"/>
        </w:rPr>
        <w:footnoteRef/>
      </w:r>
      <w:r>
        <w:t xml:space="preserve"> See generally Mason (n 14).</w:t>
      </w:r>
    </w:p>
  </w:footnote>
  <w:footnote w:id="18">
    <w:p w14:paraId="0DBEA60C" w14:textId="2CA91BFE" w:rsidR="008160AA" w:rsidRPr="008160AA" w:rsidRDefault="008160AA" w:rsidP="00420D95">
      <w:pPr>
        <w:pStyle w:val="FootnoteText"/>
        <w:spacing w:after="120"/>
        <w:rPr>
          <w:lang w:val="en-GB"/>
        </w:rPr>
      </w:pPr>
      <w:r>
        <w:rPr>
          <w:rStyle w:val="FootnoteReference"/>
        </w:rPr>
        <w:footnoteRef/>
      </w:r>
      <w:r>
        <w:t xml:space="preserve"> </w:t>
      </w:r>
      <w:r>
        <w:rPr>
          <w:lang w:val="en-GB"/>
        </w:rPr>
        <w:t>Ibid 410.</w:t>
      </w:r>
    </w:p>
  </w:footnote>
  <w:footnote w:id="19">
    <w:p w14:paraId="6F7A1292" w14:textId="164DCFB6"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sidRPr="00B8681F">
        <w:rPr>
          <w:rFonts w:ascii="Times New Roman" w:hAnsi="Times New Roman" w:cs="Times New Roman"/>
          <w:sz w:val="20"/>
          <w:szCs w:val="20"/>
        </w:rPr>
        <w:t>Klaus Eisenack, ‘A Climate Change Board Game for Interdisciplinary Communication and Education’ (2012) 44 Simulation &amp; Gaming 328</w:t>
      </w:r>
      <w:r>
        <w:rPr>
          <w:rFonts w:ascii="Times New Roman" w:hAnsi="Times New Roman" w:cs="Times New Roman"/>
          <w:sz w:val="20"/>
          <w:szCs w:val="20"/>
        </w:rPr>
        <w:t>,</w:t>
      </w:r>
      <w:r w:rsidRPr="000008A9">
        <w:rPr>
          <w:rFonts w:ascii="Times New Roman" w:hAnsi="Times New Roman" w:cs="Times New Roman"/>
          <w:sz w:val="20"/>
          <w:szCs w:val="20"/>
        </w:rPr>
        <w:t xml:space="preserve"> 329.</w:t>
      </w:r>
    </w:p>
  </w:footnote>
  <w:footnote w:id="20">
    <w:p w14:paraId="39275F67" w14:textId="7C501D5B"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Fengfeng Ke, Ku Xie, and Ying Xie, ‘Game-Based Learning Engagement: A Theory- and Data-Driven E</w:t>
      </w:r>
      <w:r w:rsidRPr="000008A9">
        <w:rPr>
          <w:rFonts w:ascii="Times New Roman" w:hAnsi="Times New Roman" w:cs="Times New Roman"/>
          <w:sz w:val="20"/>
          <w:szCs w:val="20"/>
          <w:lang w:val="fr-FR"/>
        </w:rPr>
        <w:t>xploration</w:t>
      </w:r>
      <w:r w:rsidRPr="000008A9">
        <w:rPr>
          <w:rFonts w:ascii="Times New Roman" w:hAnsi="Times New Roman" w:cs="Times New Roman"/>
          <w:sz w:val="20"/>
          <w:szCs w:val="20"/>
        </w:rPr>
        <w:t>’ (2016) 47 British Journal of Educational Technology 1183</w:t>
      </w:r>
      <w:r>
        <w:rPr>
          <w:rFonts w:ascii="Times New Roman" w:hAnsi="Times New Roman" w:cs="Times New Roman"/>
          <w:sz w:val="20"/>
          <w:szCs w:val="20"/>
        </w:rPr>
        <w:t xml:space="preserve">, </w:t>
      </w:r>
      <w:r w:rsidRPr="000008A9">
        <w:rPr>
          <w:rFonts w:ascii="Times New Roman" w:hAnsi="Times New Roman" w:cs="Times New Roman"/>
          <w:sz w:val="20"/>
          <w:szCs w:val="20"/>
        </w:rPr>
        <w:t>1189</w:t>
      </w:r>
      <w:r>
        <w:rPr>
          <w:rFonts w:ascii="Times New Roman" w:hAnsi="Times New Roman" w:cs="Times New Roman"/>
          <w:sz w:val="20"/>
          <w:szCs w:val="20"/>
        </w:rPr>
        <w:t xml:space="preserve">; </w:t>
      </w:r>
      <w:r w:rsidRPr="00B8681F">
        <w:rPr>
          <w:rFonts w:ascii="Times New Roman" w:hAnsi="Times New Roman" w:cs="Times New Roman"/>
          <w:sz w:val="20"/>
          <w:szCs w:val="20"/>
        </w:rPr>
        <w:t>Daisy Abbo</w:t>
      </w:r>
      <w:r w:rsidR="00F85394">
        <w:rPr>
          <w:rFonts w:ascii="Times New Roman" w:hAnsi="Times New Roman" w:cs="Times New Roman"/>
          <w:sz w:val="20"/>
          <w:szCs w:val="20"/>
        </w:rPr>
        <w:t>t</w:t>
      </w:r>
      <w:r w:rsidRPr="00B8681F">
        <w:rPr>
          <w:rFonts w:ascii="Times New Roman" w:hAnsi="Times New Roman" w:cs="Times New Roman"/>
          <w:sz w:val="20"/>
          <w:szCs w:val="20"/>
        </w:rPr>
        <w:t>t, ‘Game-</w:t>
      </w:r>
      <w:r w:rsidR="00AF3AD3">
        <w:rPr>
          <w:rFonts w:ascii="Times New Roman" w:hAnsi="Times New Roman" w:cs="Times New Roman"/>
          <w:sz w:val="20"/>
          <w:szCs w:val="20"/>
        </w:rPr>
        <w:t>B</w:t>
      </w:r>
      <w:r w:rsidRPr="00B8681F">
        <w:rPr>
          <w:rFonts w:ascii="Times New Roman" w:hAnsi="Times New Roman" w:cs="Times New Roman"/>
          <w:sz w:val="20"/>
          <w:szCs w:val="20"/>
        </w:rPr>
        <w:t xml:space="preserve">ased </w:t>
      </w:r>
      <w:r w:rsidR="00AF3AD3">
        <w:rPr>
          <w:rFonts w:ascii="Times New Roman" w:hAnsi="Times New Roman" w:cs="Times New Roman"/>
          <w:sz w:val="20"/>
          <w:szCs w:val="20"/>
        </w:rPr>
        <w:t>L</w:t>
      </w:r>
      <w:r w:rsidRPr="00B8681F">
        <w:rPr>
          <w:rFonts w:ascii="Times New Roman" w:hAnsi="Times New Roman" w:cs="Times New Roman"/>
          <w:sz w:val="20"/>
          <w:szCs w:val="20"/>
        </w:rPr>
        <w:t xml:space="preserve">earning for </w:t>
      </w:r>
      <w:r w:rsidR="00AF3AD3">
        <w:rPr>
          <w:rFonts w:ascii="Times New Roman" w:hAnsi="Times New Roman" w:cs="Times New Roman"/>
          <w:sz w:val="20"/>
          <w:szCs w:val="20"/>
        </w:rPr>
        <w:t>P</w:t>
      </w:r>
      <w:r w:rsidRPr="00B8681F">
        <w:rPr>
          <w:rFonts w:ascii="Times New Roman" w:hAnsi="Times New Roman" w:cs="Times New Roman"/>
          <w:sz w:val="20"/>
          <w:szCs w:val="20"/>
        </w:rPr>
        <w:t xml:space="preserve">ostgraduates: an </w:t>
      </w:r>
      <w:r w:rsidR="00AF3AD3">
        <w:rPr>
          <w:rFonts w:ascii="Times New Roman" w:hAnsi="Times New Roman" w:cs="Times New Roman"/>
          <w:sz w:val="20"/>
          <w:szCs w:val="20"/>
        </w:rPr>
        <w:t>E</w:t>
      </w:r>
      <w:r w:rsidRPr="00B8681F">
        <w:rPr>
          <w:rFonts w:ascii="Times New Roman" w:hAnsi="Times New Roman" w:cs="Times New Roman"/>
          <w:sz w:val="20"/>
          <w:szCs w:val="20"/>
        </w:rPr>
        <w:t xml:space="preserve">mpirical </w:t>
      </w:r>
      <w:r w:rsidR="00AF3AD3">
        <w:rPr>
          <w:rFonts w:ascii="Times New Roman" w:hAnsi="Times New Roman" w:cs="Times New Roman"/>
          <w:sz w:val="20"/>
          <w:szCs w:val="20"/>
        </w:rPr>
        <w:t>S</w:t>
      </w:r>
      <w:r w:rsidRPr="00B8681F">
        <w:rPr>
          <w:rFonts w:ascii="Times New Roman" w:hAnsi="Times New Roman" w:cs="Times New Roman"/>
          <w:sz w:val="20"/>
          <w:szCs w:val="20"/>
        </w:rPr>
        <w:t xml:space="preserve">tudy of an </w:t>
      </w:r>
      <w:r w:rsidR="00AF3AD3">
        <w:rPr>
          <w:rFonts w:ascii="Times New Roman" w:hAnsi="Times New Roman" w:cs="Times New Roman"/>
          <w:sz w:val="20"/>
          <w:szCs w:val="20"/>
        </w:rPr>
        <w:t>E</w:t>
      </w:r>
      <w:r w:rsidRPr="00B8681F">
        <w:rPr>
          <w:rFonts w:ascii="Times New Roman" w:hAnsi="Times New Roman" w:cs="Times New Roman"/>
          <w:sz w:val="20"/>
          <w:szCs w:val="20"/>
        </w:rPr>
        <w:t xml:space="preserve">ducational </w:t>
      </w:r>
      <w:r w:rsidR="00AF3AD3">
        <w:rPr>
          <w:rFonts w:ascii="Times New Roman" w:hAnsi="Times New Roman" w:cs="Times New Roman"/>
          <w:sz w:val="20"/>
          <w:szCs w:val="20"/>
        </w:rPr>
        <w:t>G</w:t>
      </w:r>
      <w:r w:rsidRPr="00B8681F">
        <w:rPr>
          <w:rFonts w:ascii="Times New Roman" w:hAnsi="Times New Roman" w:cs="Times New Roman"/>
          <w:sz w:val="20"/>
          <w:szCs w:val="20"/>
        </w:rPr>
        <w:t xml:space="preserve">ame to </w:t>
      </w:r>
      <w:r w:rsidR="00AF3AD3">
        <w:rPr>
          <w:rFonts w:ascii="Times New Roman" w:hAnsi="Times New Roman" w:cs="Times New Roman"/>
          <w:sz w:val="20"/>
          <w:szCs w:val="20"/>
        </w:rPr>
        <w:t>T</w:t>
      </w:r>
      <w:r w:rsidRPr="00B8681F">
        <w:rPr>
          <w:rFonts w:ascii="Times New Roman" w:hAnsi="Times New Roman" w:cs="Times New Roman"/>
          <w:sz w:val="20"/>
          <w:szCs w:val="20"/>
        </w:rPr>
        <w:t xml:space="preserve">each </w:t>
      </w:r>
      <w:r w:rsidR="00AF3AD3">
        <w:rPr>
          <w:rFonts w:ascii="Times New Roman" w:hAnsi="Times New Roman" w:cs="Times New Roman"/>
          <w:sz w:val="20"/>
          <w:szCs w:val="20"/>
        </w:rPr>
        <w:t>R</w:t>
      </w:r>
      <w:r w:rsidRPr="00B8681F">
        <w:rPr>
          <w:rFonts w:ascii="Times New Roman" w:hAnsi="Times New Roman" w:cs="Times New Roman"/>
          <w:sz w:val="20"/>
          <w:szCs w:val="20"/>
        </w:rPr>
        <w:t xml:space="preserve">esearch </w:t>
      </w:r>
      <w:r w:rsidR="00AF3AD3">
        <w:rPr>
          <w:rFonts w:ascii="Times New Roman" w:hAnsi="Times New Roman" w:cs="Times New Roman"/>
          <w:sz w:val="20"/>
          <w:szCs w:val="20"/>
        </w:rPr>
        <w:t>S</w:t>
      </w:r>
      <w:r w:rsidRPr="00B8681F">
        <w:rPr>
          <w:rFonts w:ascii="Times New Roman" w:hAnsi="Times New Roman" w:cs="Times New Roman"/>
          <w:sz w:val="20"/>
          <w:szCs w:val="20"/>
        </w:rPr>
        <w:t>kills’ (2019) 4 Higher Education Pedagogies 80</w:t>
      </w:r>
      <w:r>
        <w:rPr>
          <w:rFonts w:ascii="Times New Roman" w:hAnsi="Times New Roman" w:cs="Times New Roman"/>
          <w:sz w:val="20"/>
          <w:szCs w:val="20"/>
        </w:rPr>
        <w:t>, 82.</w:t>
      </w:r>
    </w:p>
  </w:footnote>
  <w:footnote w:id="21">
    <w:p w14:paraId="3683CFB4" w14:textId="695BE7FC"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Ke, Xie, and Xie (n 1</w:t>
      </w:r>
      <w:r w:rsidR="009957BC">
        <w:rPr>
          <w:rFonts w:ascii="Times New Roman" w:hAnsi="Times New Roman" w:cs="Times New Roman"/>
          <w:sz w:val="20"/>
          <w:szCs w:val="20"/>
        </w:rPr>
        <w:t>9</w:t>
      </w:r>
      <w:r>
        <w:rPr>
          <w:rFonts w:ascii="Times New Roman" w:hAnsi="Times New Roman" w:cs="Times New Roman"/>
          <w:sz w:val="20"/>
          <w:szCs w:val="20"/>
        </w:rPr>
        <w:t>)</w:t>
      </w:r>
      <w:r w:rsidRPr="000008A9">
        <w:rPr>
          <w:rFonts w:ascii="Times New Roman" w:hAnsi="Times New Roman" w:cs="Times New Roman"/>
          <w:sz w:val="20"/>
          <w:szCs w:val="20"/>
        </w:rPr>
        <w:t xml:space="preserve"> 1183.</w:t>
      </w:r>
    </w:p>
  </w:footnote>
  <w:footnote w:id="22">
    <w:p w14:paraId="79C40BB2" w14:textId="77777777" w:rsidR="005316CE" w:rsidRPr="004B49E6" w:rsidRDefault="005316CE" w:rsidP="00420D95">
      <w:pPr>
        <w:pStyle w:val="FootnoteText"/>
        <w:spacing w:after="120"/>
        <w:rPr>
          <w:lang w:val="en-GB"/>
        </w:rPr>
      </w:pPr>
      <w:r>
        <w:rPr>
          <w:rStyle w:val="FootnoteReference"/>
        </w:rPr>
        <w:footnoteRef/>
      </w:r>
      <w:r>
        <w:t xml:space="preserve"> </w:t>
      </w:r>
      <w:r>
        <w:rPr>
          <w:lang w:val="en-GB"/>
        </w:rPr>
        <w:t>Ibid 1190.</w:t>
      </w:r>
    </w:p>
  </w:footnote>
  <w:footnote w:id="23">
    <w:p w14:paraId="7101ADA9" w14:textId="2EA49E0D" w:rsidR="005316CE" w:rsidRPr="00DE29D2" w:rsidRDefault="005316CE" w:rsidP="00420D95">
      <w:pPr>
        <w:pStyle w:val="FootnoteText"/>
        <w:spacing w:after="120"/>
        <w:rPr>
          <w:lang w:val="en-GB"/>
        </w:rPr>
      </w:pPr>
      <w:r>
        <w:rPr>
          <w:rStyle w:val="FootnoteReference"/>
        </w:rPr>
        <w:footnoteRef/>
      </w:r>
      <w:r>
        <w:t xml:space="preserve"> Becker (n </w:t>
      </w:r>
      <w:r w:rsidR="009957BC">
        <w:t>5</w:t>
      </w:r>
      <w:r>
        <w:t>) ch 4; Abbot</w:t>
      </w:r>
      <w:r w:rsidR="00F85394">
        <w:t>t</w:t>
      </w:r>
      <w:r>
        <w:t xml:space="preserve"> (n </w:t>
      </w:r>
      <w:r w:rsidR="009957BC">
        <w:t>19)</w:t>
      </w:r>
      <w:r>
        <w:t xml:space="preserve"> 82.</w:t>
      </w:r>
    </w:p>
  </w:footnote>
  <w:footnote w:id="24">
    <w:p w14:paraId="3CC84F16" w14:textId="0B01BEC9"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Newberry-Jones, ‘D-Pad’ (n </w:t>
      </w:r>
      <w:r w:rsidR="009957BC">
        <w:rPr>
          <w:rFonts w:ascii="Times New Roman" w:hAnsi="Times New Roman" w:cs="Times New Roman"/>
          <w:sz w:val="20"/>
          <w:szCs w:val="20"/>
        </w:rPr>
        <w:t>6</w:t>
      </w:r>
      <w:r w:rsidRPr="000008A9">
        <w:rPr>
          <w:rFonts w:ascii="Times New Roman" w:hAnsi="Times New Roman" w:cs="Times New Roman"/>
          <w:sz w:val="20"/>
          <w:szCs w:val="20"/>
        </w:rPr>
        <w:t xml:space="preserve">) 79-80. </w:t>
      </w:r>
    </w:p>
  </w:footnote>
  <w:footnote w:id="25">
    <w:p w14:paraId="09ACA913" w14:textId="38812959"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 xml:space="preserve">Francesco Crocco, Kathleen Offenholley, and Carlos Hernandez, ‘A Proof-of-Concept Study of Game-Based Learning in Higher Education’ (2016) 47 Simulation &amp; Gaming 403; Stewart Woods, </w:t>
      </w:r>
      <w:r w:rsidRPr="000008A9">
        <w:rPr>
          <w:rFonts w:ascii="Times New Roman" w:hAnsi="Times New Roman" w:cs="Times New Roman"/>
          <w:i/>
          <w:iCs/>
          <w:sz w:val="20"/>
          <w:szCs w:val="20"/>
        </w:rPr>
        <w:t xml:space="preserve">Eurogames: the Design, Culture and Play of Modern European Board Games </w:t>
      </w:r>
      <w:r w:rsidRPr="000008A9">
        <w:rPr>
          <w:rFonts w:ascii="Times New Roman" w:hAnsi="Times New Roman" w:cs="Times New Roman"/>
          <w:sz w:val="20"/>
          <w:szCs w:val="20"/>
        </w:rPr>
        <w:t xml:space="preserve">(McFarland &amp; Company </w:t>
      </w:r>
      <w:r>
        <w:rPr>
          <w:rFonts w:ascii="Times New Roman" w:hAnsi="Times New Roman" w:cs="Times New Roman"/>
          <w:sz w:val="20"/>
          <w:szCs w:val="20"/>
        </w:rPr>
        <w:t>2012</w:t>
      </w:r>
      <w:r w:rsidRPr="000008A9">
        <w:rPr>
          <w:rFonts w:ascii="Times New Roman" w:hAnsi="Times New Roman" w:cs="Times New Roman"/>
          <w:sz w:val="20"/>
          <w:szCs w:val="20"/>
        </w:rPr>
        <w:t>) 170</w:t>
      </w:r>
      <w:r>
        <w:rPr>
          <w:rFonts w:ascii="Times New Roman" w:hAnsi="Times New Roman" w:cs="Times New Roman"/>
          <w:sz w:val="20"/>
          <w:szCs w:val="20"/>
        </w:rPr>
        <w:t xml:space="preserve">. </w:t>
      </w:r>
      <w:r w:rsidRPr="000008A9">
        <w:rPr>
          <w:rFonts w:ascii="Times New Roman" w:hAnsi="Times New Roman" w:cs="Times New Roman"/>
          <w:sz w:val="20"/>
          <w:szCs w:val="20"/>
        </w:rPr>
        <w:t xml:space="preserve">See further Gene Doty, ‘A Toss of the Dice: Writers, Readers, and Role-Playing Games’ (2003) 14 </w:t>
      </w:r>
      <w:r w:rsidRPr="000008A9">
        <w:rPr>
          <w:rFonts w:ascii="Times New Roman" w:hAnsi="Times New Roman" w:cs="Times New Roman"/>
          <w:i/>
          <w:iCs/>
          <w:sz w:val="20"/>
          <w:szCs w:val="20"/>
        </w:rPr>
        <w:t xml:space="preserve">Journal of the Fantastic in the Arts </w:t>
      </w:r>
      <w:r w:rsidRPr="000008A9">
        <w:rPr>
          <w:rFonts w:ascii="Times New Roman" w:hAnsi="Times New Roman" w:cs="Times New Roman"/>
          <w:sz w:val="20"/>
          <w:szCs w:val="20"/>
        </w:rPr>
        <w:t>51.</w:t>
      </w:r>
    </w:p>
  </w:footnote>
  <w:footnote w:id="26">
    <w:p w14:paraId="4C3F18B6" w14:textId="2030B148" w:rsidR="005316CE" w:rsidRPr="00C260F9" w:rsidRDefault="005316CE" w:rsidP="00420D95">
      <w:pPr>
        <w:pStyle w:val="FootnoteText"/>
        <w:spacing w:after="120"/>
        <w:rPr>
          <w:lang w:val="en-GB"/>
        </w:rPr>
      </w:pPr>
      <w:r>
        <w:rPr>
          <w:rStyle w:val="FootnoteReference"/>
        </w:rPr>
        <w:footnoteRef/>
      </w:r>
      <w:r>
        <w:t xml:space="preserve"> </w:t>
      </w:r>
      <w:r w:rsidRPr="000008A9">
        <w:rPr>
          <w:lang w:val="pt-PT"/>
        </w:rPr>
        <w:t xml:space="preserve">Rohan Havelock, </w:t>
      </w:r>
      <w:r w:rsidRPr="000008A9">
        <w:t>‘Law Studies and Active Learning: Friends not Foes?’ (2013) 47 Law Teacher 382</w:t>
      </w:r>
      <w:r>
        <w:t>, 385.</w:t>
      </w:r>
    </w:p>
  </w:footnote>
  <w:footnote w:id="27">
    <w:p w14:paraId="0C8A3324" w14:textId="14C8D78E" w:rsidR="005316CE" w:rsidRPr="000008A9" w:rsidRDefault="005316CE" w:rsidP="00420D95">
      <w:pPr>
        <w:spacing w:after="120"/>
        <w:jc w:val="both"/>
        <w:rPr>
          <w:sz w:val="20"/>
          <w:szCs w:val="20"/>
        </w:rPr>
      </w:pPr>
      <w:r w:rsidRPr="000008A9">
        <w:rPr>
          <w:rFonts w:eastAsia="Calibri"/>
          <w:color w:val="000000"/>
          <w:sz w:val="20"/>
          <w:szCs w:val="20"/>
          <w:u w:color="000000"/>
          <w:vertAlign w:val="superscript"/>
        </w:rPr>
        <w:footnoteRef/>
      </w:r>
      <w:r w:rsidRPr="000008A9">
        <w:rPr>
          <w:rFonts w:eastAsia="Calibri"/>
          <w:color w:val="000000"/>
          <w:sz w:val="20"/>
          <w:szCs w:val="20"/>
          <w:u w:color="000000"/>
        </w:rPr>
        <w:t xml:space="preserve"> Hayley Rogers, ‘The Legislation Game’ (</w:t>
      </w:r>
      <w:r w:rsidRPr="000008A9">
        <w:rPr>
          <w:rFonts w:eastAsia="Calibri"/>
          <w:i/>
          <w:iCs/>
          <w:color w:val="000000"/>
          <w:sz w:val="20"/>
          <w:szCs w:val="20"/>
          <w:u w:color="000000"/>
        </w:rPr>
        <w:t>Office of the Parliamentary Counsel</w:t>
      </w:r>
      <w:r w:rsidRPr="000008A9">
        <w:rPr>
          <w:rFonts w:eastAsia="Calibri"/>
          <w:color w:val="000000"/>
          <w:sz w:val="20"/>
          <w:szCs w:val="20"/>
          <w:u w:color="000000"/>
        </w:rPr>
        <w:t xml:space="preserve">, 6 March 2018) &lt; </w:t>
      </w:r>
      <w:hyperlink r:id="rId5" w:history="1">
        <w:r w:rsidRPr="006D5612">
          <w:rPr>
            <w:rStyle w:val="Hyperlink"/>
            <w:rFonts w:eastAsia="Calibri"/>
            <w:sz w:val="20"/>
            <w:szCs w:val="20"/>
          </w:rPr>
          <w:t>https://www.gov.uk/government/speeches/the-legislation-game</w:t>
        </w:r>
      </w:hyperlink>
      <w:r w:rsidRPr="000008A9">
        <w:rPr>
          <w:rFonts w:eastAsia="Calibri"/>
          <w:color w:val="000000"/>
          <w:sz w:val="20"/>
          <w:szCs w:val="20"/>
          <w:u w:color="000000"/>
        </w:rPr>
        <w:t xml:space="preserve">&gt; (accessed </w:t>
      </w:r>
      <w:r>
        <w:rPr>
          <w:rFonts w:eastAsia="Calibri"/>
          <w:color w:val="000000"/>
          <w:sz w:val="20"/>
          <w:szCs w:val="20"/>
          <w:u w:color="000000"/>
        </w:rPr>
        <w:t>12/6/19).</w:t>
      </w:r>
    </w:p>
  </w:footnote>
  <w:footnote w:id="28">
    <w:p w14:paraId="5793338D" w14:textId="1752DC42" w:rsidR="005316CE" w:rsidRPr="00241ADD" w:rsidRDefault="005316CE" w:rsidP="00420D95">
      <w:pPr>
        <w:pStyle w:val="FootnoteText"/>
        <w:spacing w:after="120"/>
        <w:rPr>
          <w:lang w:val="en-GB"/>
        </w:rPr>
      </w:pPr>
      <w:r>
        <w:rPr>
          <w:rStyle w:val="FootnoteReference"/>
        </w:rPr>
        <w:footnoteRef/>
      </w:r>
      <w:r>
        <w:t xml:space="preserve"> Eisenack (n 1</w:t>
      </w:r>
      <w:r w:rsidR="009957BC">
        <w:t>8</w:t>
      </w:r>
      <w:r>
        <w:t>)</w:t>
      </w:r>
      <w:r w:rsidRPr="00241ADD">
        <w:t>.</w:t>
      </w:r>
    </w:p>
  </w:footnote>
  <w:footnote w:id="29">
    <w:p w14:paraId="481F690A" w14:textId="28831496" w:rsidR="005316CE" w:rsidRPr="00502509" w:rsidRDefault="005316CE" w:rsidP="00420D95">
      <w:pPr>
        <w:pStyle w:val="FootnoteText"/>
        <w:spacing w:after="120"/>
        <w:rPr>
          <w:lang w:val="en-GB"/>
        </w:rPr>
      </w:pPr>
      <w:r>
        <w:rPr>
          <w:rStyle w:val="FootnoteReference"/>
        </w:rPr>
        <w:footnoteRef/>
      </w:r>
      <w:r>
        <w:t xml:space="preserve"> Abbot</w:t>
      </w:r>
      <w:r w:rsidR="00F85394">
        <w:t>t</w:t>
      </w:r>
      <w:r>
        <w:t xml:space="preserve"> (n 1</w:t>
      </w:r>
      <w:r w:rsidR="009957BC">
        <w:t>9</w:t>
      </w:r>
      <w:r>
        <w:t>).</w:t>
      </w:r>
    </w:p>
  </w:footnote>
  <w:footnote w:id="30">
    <w:p w14:paraId="3436337A" w14:textId="2D83097A" w:rsidR="005316CE" w:rsidRPr="000008A9" w:rsidRDefault="005316CE" w:rsidP="00420D95">
      <w:pPr>
        <w:spacing w:after="120"/>
        <w:jc w:val="both"/>
        <w:rPr>
          <w:sz w:val="20"/>
          <w:szCs w:val="20"/>
        </w:rPr>
      </w:pPr>
      <w:r w:rsidRPr="000008A9">
        <w:rPr>
          <w:rFonts w:eastAsia="Calibri"/>
          <w:color w:val="000000"/>
          <w:sz w:val="20"/>
          <w:szCs w:val="20"/>
          <w:u w:color="000000"/>
          <w:vertAlign w:val="superscript"/>
        </w:rPr>
        <w:footnoteRef/>
      </w:r>
      <w:r w:rsidRPr="000008A9">
        <w:rPr>
          <w:rFonts w:eastAsia="Calibri"/>
          <w:color w:val="000000"/>
          <w:sz w:val="20"/>
          <w:szCs w:val="20"/>
          <w:u w:color="000000"/>
        </w:rPr>
        <w:t xml:space="preserve"> Suzanne Bouclin, Gillian Calder, and Sharon Cowan, ‘Playing Games with Law’ in Zenon Bańkowski, Maksymilian Del Mar, and Paul Maharg (eds),</w:t>
      </w:r>
      <w:r w:rsidRPr="000008A9">
        <w:rPr>
          <w:rFonts w:eastAsia="Calibri"/>
          <w:i/>
          <w:iCs/>
          <w:color w:val="000000"/>
          <w:sz w:val="20"/>
          <w:szCs w:val="20"/>
          <w:u w:color="000000"/>
        </w:rPr>
        <w:t xml:space="preserve"> The Arts and the Legal Academy: Beyond Text in Legal Education</w:t>
      </w:r>
      <w:r w:rsidRPr="000008A9">
        <w:rPr>
          <w:rFonts w:eastAsia="Calibri"/>
          <w:color w:val="000000"/>
          <w:sz w:val="20"/>
          <w:szCs w:val="20"/>
          <w:u w:color="000000"/>
        </w:rPr>
        <w:t xml:space="preserve"> (Ashgate 2011).</w:t>
      </w:r>
      <w:r w:rsidR="00AF3AD3">
        <w:rPr>
          <w:rFonts w:eastAsia="Calibri"/>
          <w:color w:val="000000"/>
          <w:sz w:val="20"/>
          <w:szCs w:val="20"/>
          <w:u w:color="000000"/>
        </w:rPr>
        <w:t xml:space="preserve"> </w:t>
      </w:r>
    </w:p>
  </w:footnote>
  <w:footnote w:id="31">
    <w:p w14:paraId="23799F5B"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Caroline Strevens and Roger Welch, ‘Simulation and the Learning of the Law: Constructing and Using an Online Transactional Assessment in Employment Law’ in Caroline Strevens, Richard Grimes, and Edward Phillips (eds) </w:t>
      </w:r>
      <w:r w:rsidRPr="000008A9">
        <w:rPr>
          <w:rFonts w:ascii="Times New Roman" w:hAnsi="Times New Roman" w:cs="Times New Roman"/>
          <w:i/>
          <w:iCs/>
          <w:sz w:val="20"/>
          <w:szCs w:val="20"/>
        </w:rPr>
        <w:t>Legal Education: Simulation in Theory and Practice</w:t>
      </w:r>
      <w:r w:rsidRPr="000008A9">
        <w:rPr>
          <w:rFonts w:ascii="Times New Roman" w:hAnsi="Times New Roman" w:cs="Times New Roman"/>
          <w:sz w:val="20"/>
          <w:szCs w:val="20"/>
        </w:rPr>
        <w:t xml:space="preserve"> (Routledge 2011) 48-51.  </w:t>
      </w:r>
    </w:p>
  </w:footnote>
  <w:footnote w:id="32">
    <w:p w14:paraId="24C8F0FF" w14:textId="6C21001D" w:rsidR="005316CE" w:rsidRPr="008B56DF" w:rsidRDefault="005316CE" w:rsidP="00420D95">
      <w:pPr>
        <w:pStyle w:val="FootnoteText"/>
        <w:spacing w:after="120"/>
        <w:jc w:val="both"/>
      </w:pPr>
      <w:r w:rsidRPr="008B56DF">
        <w:rPr>
          <w:rStyle w:val="FootnoteReference"/>
        </w:rPr>
        <w:footnoteRef/>
      </w:r>
      <w:r w:rsidRPr="008B56DF">
        <w:t xml:space="preserve"> </w:t>
      </w:r>
      <w:r w:rsidRPr="008B56DF">
        <w:rPr>
          <w:rFonts w:eastAsia="Times New Roman"/>
          <w:color w:val="000000"/>
          <w:lang w:eastAsia="en-GB"/>
        </w:rPr>
        <w:t xml:space="preserve">There is a vast amount of literature on the various different </w:t>
      </w:r>
      <w:r w:rsidR="00FC39B6">
        <w:rPr>
          <w:rFonts w:eastAsia="Times New Roman"/>
          <w:color w:val="000000"/>
          <w:lang w:eastAsia="en-GB"/>
        </w:rPr>
        <w:t>theories of learning, teaching, and psychology that inform the ways</w:t>
      </w:r>
      <w:r w:rsidRPr="008B56DF">
        <w:rPr>
          <w:rFonts w:eastAsia="Times New Roman"/>
          <w:color w:val="000000"/>
          <w:lang w:eastAsia="en-GB"/>
        </w:rPr>
        <w:t xml:space="preserve"> in which one may design a serious game</w:t>
      </w:r>
      <w:r>
        <w:rPr>
          <w:rFonts w:eastAsia="Times New Roman"/>
          <w:color w:val="000000"/>
          <w:lang w:eastAsia="en-GB"/>
        </w:rPr>
        <w:t xml:space="preserve">. These four elements </w:t>
      </w:r>
      <w:r w:rsidR="00FC39B6">
        <w:rPr>
          <w:rFonts w:eastAsia="Times New Roman"/>
          <w:color w:val="000000"/>
          <w:lang w:eastAsia="en-GB"/>
        </w:rPr>
        <w:t>are</w:t>
      </w:r>
      <w:r>
        <w:rPr>
          <w:rFonts w:eastAsia="Times New Roman"/>
          <w:color w:val="000000"/>
          <w:lang w:eastAsia="en-GB"/>
        </w:rPr>
        <w:t xml:space="preserve"> distilled from</w:t>
      </w:r>
      <w:r w:rsidR="00771068">
        <w:rPr>
          <w:rFonts w:eastAsia="Times New Roman"/>
          <w:color w:val="000000"/>
          <w:lang w:eastAsia="en-GB"/>
        </w:rPr>
        <w:t xml:space="preserve"> the comprehensive overview provided by</w:t>
      </w:r>
      <w:r>
        <w:rPr>
          <w:rFonts w:eastAsia="Times New Roman"/>
          <w:color w:val="000000"/>
          <w:lang w:eastAsia="en-GB"/>
        </w:rPr>
        <w:t xml:space="preserve"> Becker (n </w:t>
      </w:r>
      <w:r w:rsidR="009957BC">
        <w:rPr>
          <w:rFonts w:eastAsia="Times New Roman"/>
          <w:color w:val="000000"/>
          <w:lang w:eastAsia="en-GB"/>
        </w:rPr>
        <w:t>5</w:t>
      </w:r>
      <w:r>
        <w:rPr>
          <w:rFonts w:eastAsia="Times New Roman"/>
          <w:color w:val="000000"/>
          <w:lang w:eastAsia="en-GB"/>
        </w:rPr>
        <w:t xml:space="preserve">) ch 3. </w:t>
      </w:r>
      <w:r w:rsidR="00FC39B6">
        <w:rPr>
          <w:rFonts w:eastAsia="Times New Roman"/>
          <w:color w:val="000000"/>
          <w:lang w:eastAsia="en-GB"/>
        </w:rPr>
        <w:t xml:space="preserve">For further perspectives see </w:t>
      </w:r>
      <w:r w:rsidR="00FC39B6">
        <w:rPr>
          <w:lang w:val="en-GB"/>
        </w:rPr>
        <w:t>Glenda A Gunter, Robert F Kenny, Erik H Virk, ‘</w:t>
      </w:r>
      <w:r w:rsidR="00FC39B6" w:rsidRPr="00771068">
        <w:rPr>
          <w:lang w:val="en-GB"/>
        </w:rPr>
        <w:t xml:space="preserve">Taking </w:t>
      </w:r>
      <w:r w:rsidR="00FC39B6">
        <w:rPr>
          <w:lang w:val="en-GB"/>
        </w:rPr>
        <w:t>E</w:t>
      </w:r>
      <w:r w:rsidR="00FC39B6" w:rsidRPr="00771068">
        <w:rPr>
          <w:lang w:val="en-GB"/>
        </w:rPr>
        <w:t xml:space="preserve">ducational </w:t>
      </w:r>
      <w:r w:rsidR="00FC39B6">
        <w:rPr>
          <w:lang w:val="en-GB"/>
        </w:rPr>
        <w:t>G</w:t>
      </w:r>
      <w:r w:rsidR="00FC39B6" w:rsidRPr="00771068">
        <w:rPr>
          <w:lang w:val="en-GB"/>
        </w:rPr>
        <w:t xml:space="preserve">ames </w:t>
      </w:r>
      <w:r w:rsidR="00FC39B6">
        <w:rPr>
          <w:lang w:val="en-GB"/>
        </w:rPr>
        <w:t>S</w:t>
      </w:r>
      <w:r w:rsidR="00FC39B6" w:rsidRPr="00771068">
        <w:rPr>
          <w:lang w:val="en-GB"/>
        </w:rPr>
        <w:t xml:space="preserve">eriously: </w:t>
      </w:r>
      <w:r w:rsidR="00FC39B6">
        <w:rPr>
          <w:lang w:val="en-GB"/>
        </w:rPr>
        <w:t>U</w:t>
      </w:r>
      <w:r w:rsidR="00FC39B6" w:rsidRPr="00771068">
        <w:rPr>
          <w:lang w:val="en-GB"/>
        </w:rPr>
        <w:t>sing the RETAIN</w:t>
      </w:r>
      <w:r w:rsidR="00FC39B6">
        <w:rPr>
          <w:lang w:val="en-GB"/>
        </w:rPr>
        <w:t xml:space="preserve"> M</w:t>
      </w:r>
      <w:r w:rsidR="00FC39B6" w:rsidRPr="00771068">
        <w:rPr>
          <w:lang w:val="en-GB"/>
        </w:rPr>
        <w:t xml:space="preserve">odel to </w:t>
      </w:r>
      <w:r w:rsidR="00FC39B6">
        <w:rPr>
          <w:lang w:val="en-GB"/>
        </w:rPr>
        <w:t>De</w:t>
      </w:r>
      <w:r w:rsidR="00FC39B6" w:rsidRPr="00771068">
        <w:rPr>
          <w:lang w:val="en-GB"/>
        </w:rPr>
        <w:t xml:space="preserve">sign </w:t>
      </w:r>
      <w:r w:rsidR="00FC39B6">
        <w:rPr>
          <w:lang w:val="en-GB"/>
        </w:rPr>
        <w:t>E</w:t>
      </w:r>
      <w:r w:rsidR="00FC39B6" w:rsidRPr="00771068">
        <w:rPr>
          <w:lang w:val="en-GB"/>
        </w:rPr>
        <w:t xml:space="preserve">ndogenous </w:t>
      </w:r>
      <w:r w:rsidR="00FC39B6">
        <w:rPr>
          <w:lang w:val="en-GB"/>
        </w:rPr>
        <w:t>Fa</w:t>
      </w:r>
      <w:r w:rsidR="00FC39B6" w:rsidRPr="00771068">
        <w:rPr>
          <w:lang w:val="en-GB"/>
        </w:rPr>
        <w:t xml:space="preserve">ntasy into </w:t>
      </w:r>
      <w:r w:rsidR="00FC39B6">
        <w:rPr>
          <w:lang w:val="en-GB"/>
        </w:rPr>
        <w:t>St</w:t>
      </w:r>
      <w:r w:rsidR="00FC39B6" w:rsidRPr="00771068">
        <w:rPr>
          <w:lang w:val="en-GB"/>
        </w:rPr>
        <w:t>andalone</w:t>
      </w:r>
      <w:r w:rsidR="00FC39B6">
        <w:rPr>
          <w:lang w:val="en-GB"/>
        </w:rPr>
        <w:t xml:space="preserve"> E</w:t>
      </w:r>
      <w:r w:rsidR="00FC39B6" w:rsidRPr="00771068">
        <w:rPr>
          <w:lang w:val="en-GB"/>
        </w:rPr>
        <w:t xml:space="preserve">ducational </w:t>
      </w:r>
      <w:r w:rsidR="00FC39B6">
        <w:rPr>
          <w:lang w:val="en-GB"/>
        </w:rPr>
        <w:t>G</w:t>
      </w:r>
      <w:r w:rsidR="00FC39B6" w:rsidRPr="00771068">
        <w:rPr>
          <w:lang w:val="en-GB"/>
        </w:rPr>
        <w:t>ames</w:t>
      </w:r>
      <w:r w:rsidR="00FC39B6">
        <w:rPr>
          <w:lang w:val="en-GB"/>
        </w:rPr>
        <w:t xml:space="preserve">’ (2008) 56 Journal of Educational Technology Development 511; Abbott (n </w:t>
      </w:r>
      <w:r w:rsidR="009957BC">
        <w:rPr>
          <w:lang w:val="en-GB"/>
        </w:rPr>
        <w:t>19</w:t>
      </w:r>
      <w:r w:rsidR="00FC39B6">
        <w:rPr>
          <w:lang w:val="en-GB"/>
        </w:rPr>
        <w:t>).</w:t>
      </w:r>
    </w:p>
  </w:footnote>
  <w:footnote w:id="33">
    <w:p w14:paraId="60593A1D" w14:textId="10A583F2" w:rsidR="005316CE" w:rsidRPr="00145189" w:rsidRDefault="005316CE" w:rsidP="00420D95">
      <w:pPr>
        <w:pStyle w:val="FootnoteText"/>
        <w:spacing w:after="120"/>
        <w:rPr>
          <w:lang w:val="en-GB"/>
        </w:rPr>
      </w:pPr>
      <w:r>
        <w:rPr>
          <w:rStyle w:val="FootnoteReference"/>
        </w:rPr>
        <w:footnoteRef/>
      </w:r>
      <w:r>
        <w:t xml:space="preserve"> See further </w:t>
      </w:r>
      <w:r>
        <w:rPr>
          <w:lang w:val="en-GB"/>
        </w:rPr>
        <w:t xml:space="preserve">Ke, Xie and Xie (n </w:t>
      </w:r>
      <w:r w:rsidR="009957BC">
        <w:rPr>
          <w:lang w:val="en-GB"/>
        </w:rPr>
        <w:t>19</w:t>
      </w:r>
      <w:r>
        <w:rPr>
          <w:lang w:val="en-GB"/>
        </w:rPr>
        <w:t xml:space="preserve">) 1192; </w:t>
      </w:r>
      <w:r w:rsidR="00FC39B6">
        <w:rPr>
          <w:lang w:val="en-GB"/>
        </w:rPr>
        <w:t>G</w:t>
      </w:r>
      <w:r>
        <w:rPr>
          <w:lang w:val="en-GB"/>
        </w:rPr>
        <w:t>unter</w:t>
      </w:r>
      <w:r w:rsidR="00771068">
        <w:rPr>
          <w:lang w:val="en-GB"/>
        </w:rPr>
        <w:t xml:space="preserve">, Kenny, </w:t>
      </w:r>
      <w:r w:rsidR="00FC39B6">
        <w:rPr>
          <w:lang w:val="en-GB"/>
        </w:rPr>
        <w:t xml:space="preserve">and </w:t>
      </w:r>
      <w:r w:rsidR="00771068">
        <w:rPr>
          <w:lang w:val="en-GB"/>
        </w:rPr>
        <w:t>Virk</w:t>
      </w:r>
      <w:r w:rsidR="00FC39B6">
        <w:rPr>
          <w:lang w:val="en-GB"/>
        </w:rPr>
        <w:t xml:space="preserve"> (n </w:t>
      </w:r>
      <w:r w:rsidR="00E4489F">
        <w:rPr>
          <w:lang w:val="en-GB"/>
        </w:rPr>
        <w:t>31</w:t>
      </w:r>
      <w:r w:rsidR="0068673D">
        <w:rPr>
          <w:lang w:val="en-GB"/>
        </w:rPr>
        <w:t>e</w:t>
      </w:r>
      <w:r w:rsidR="00FC39B6">
        <w:rPr>
          <w:lang w:val="en-GB"/>
        </w:rPr>
        <w:t>) 515</w:t>
      </w:r>
      <w:r w:rsidR="00771068">
        <w:rPr>
          <w:lang w:val="en-GB"/>
        </w:rPr>
        <w:t>.</w:t>
      </w:r>
    </w:p>
  </w:footnote>
  <w:footnote w:id="34">
    <w:p w14:paraId="11A2EFC6" w14:textId="4CABDA10" w:rsidR="005316CE" w:rsidRPr="009957BC" w:rsidRDefault="005316CE" w:rsidP="00420D95">
      <w:pPr>
        <w:pStyle w:val="FootnoteText"/>
        <w:spacing w:after="120"/>
      </w:pPr>
      <w:r>
        <w:rPr>
          <w:rStyle w:val="FootnoteReference"/>
        </w:rPr>
        <w:footnoteRef/>
      </w:r>
      <w:r>
        <w:t xml:space="preserve"> See further Abbott (n </w:t>
      </w:r>
      <w:r w:rsidR="009957BC">
        <w:t>19</w:t>
      </w:r>
      <w:r>
        <w:t xml:space="preserve">) 86; </w:t>
      </w:r>
      <w:r w:rsidR="009957BC" w:rsidRPr="000008A9">
        <w:t>Nicola Whitton, ‘Game Engagement Theory and Adult Learning’ (2011) 42 Simulation &amp; Gaming 596</w:t>
      </w:r>
      <w:r w:rsidR="009957BC">
        <w:t xml:space="preserve">, </w:t>
      </w:r>
      <w:r>
        <w:rPr>
          <w:lang w:val="en-GB"/>
        </w:rPr>
        <w:t>605.</w:t>
      </w:r>
    </w:p>
  </w:footnote>
  <w:footnote w:id="35">
    <w:p w14:paraId="52928EFD" w14:textId="7E89FFB8" w:rsidR="005316CE" w:rsidRPr="00C06B5C" w:rsidRDefault="005316CE" w:rsidP="00420D95">
      <w:pPr>
        <w:pStyle w:val="FootnoteText"/>
        <w:spacing w:after="120"/>
        <w:rPr>
          <w:lang w:val="en-GB"/>
        </w:rPr>
      </w:pPr>
      <w:r>
        <w:rPr>
          <w:rStyle w:val="FootnoteReference"/>
        </w:rPr>
        <w:footnoteRef/>
      </w:r>
      <w:r>
        <w:t xml:space="preserve"> </w:t>
      </w:r>
      <w:r>
        <w:rPr>
          <w:lang w:val="en-GB"/>
        </w:rPr>
        <w:t xml:space="preserve">See further Abbott (n </w:t>
      </w:r>
      <w:r w:rsidR="009957BC">
        <w:rPr>
          <w:lang w:val="en-GB"/>
        </w:rPr>
        <w:t>19</w:t>
      </w:r>
      <w:r>
        <w:rPr>
          <w:lang w:val="en-GB"/>
        </w:rPr>
        <w:t>) 85.</w:t>
      </w:r>
    </w:p>
  </w:footnote>
  <w:footnote w:id="36">
    <w:p w14:paraId="4CC70D73" w14:textId="1218A8B3"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 xml:space="preserve">Ke, Xie, and Xie (n </w:t>
      </w:r>
      <w:r w:rsidR="009957BC">
        <w:rPr>
          <w:rFonts w:ascii="Times New Roman" w:hAnsi="Times New Roman" w:cs="Times New Roman"/>
          <w:sz w:val="20"/>
          <w:szCs w:val="20"/>
        </w:rPr>
        <w:t>19</w:t>
      </w:r>
      <w:r>
        <w:rPr>
          <w:rFonts w:ascii="Times New Roman" w:hAnsi="Times New Roman" w:cs="Times New Roman"/>
          <w:sz w:val="20"/>
          <w:szCs w:val="20"/>
        </w:rPr>
        <w:t xml:space="preserve">) </w:t>
      </w:r>
      <w:r w:rsidRPr="000008A9">
        <w:rPr>
          <w:rFonts w:ascii="Times New Roman" w:hAnsi="Times New Roman" w:cs="Times New Roman"/>
          <w:sz w:val="20"/>
          <w:szCs w:val="20"/>
        </w:rPr>
        <w:t>1192.</w:t>
      </w:r>
    </w:p>
  </w:footnote>
  <w:footnote w:id="37">
    <w:p w14:paraId="0B5BDEBB" w14:textId="3559B0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Whitton</w:t>
      </w:r>
      <w:r w:rsidR="009957BC">
        <w:rPr>
          <w:rFonts w:ascii="Times New Roman" w:hAnsi="Times New Roman" w:cs="Times New Roman"/>
          <w:sz w:val="20"/>
          <w:szCs w:val="20"/>
        </w:rPr>
        <w:t xml:space="preserve"> (n 33) </w:t>
      </w:r>
      <w:r w:rsidRPr="000008A9">
        <w:rPr>
          <w:rFonts w:ascii="Times New Roman" w:hAnsi="Times New Roman" w:cs="Times New Roman"/>
          <w:sz w:val="20"/>
          <w:szCs w:val="20"/>
        </w:rPr>
        <w:t>603</w:t>
      </w:r>
      <w:r>
        <w:rPr>
          <w:rFonts w:ascii="Times New Roman" w:hAnsi="Times New Roman" w:cs="Times New Roman"/>
          <w:sz w:val="20"/>
          <w:szCs w:val="20"/>
        </w:rPr>
        <w:t>; C</w:t>
      </w:r>
      <w:r w:rsidR="00E977B7">
        <w:rPr>
          <w:rFonts w:ascii="Times New Roman" w:hAnsi="Times New Roman" w:cs="Times New Roman"/>
          <w:sz w:val="20"/>
          <w:szCs w:val="20"/>
        </w:rPr>
        <w:t>r</w:t>
      </w:r>
      <w:r>
        <w:rPr>
          <w:rFonts w:ascii="Times New Roman" w:hAnsi="Times New Roman" w:cs="Times New Roman"/>
          <w:sz w:val="20"/>
          <w:szCs w:val="20"/>
        </w:rPr>
        <w:t>occo, Offenholley, Hernandez (n 2</w:t>
      </w:r>
      <w:r w:rsidR="009957BC">
        <w:rPr>
          <w:rFonts w:ascii="Times New Roman" w:hAnsi="Times New Roman" w:cs="Times New Roman"/>
          <w:sz w:val="20"/>
          <w:szCs w:val="20"/>
        </w:rPr>
        <w:t>4</w:t>
      </w:r>
      <w:r>
        <w:rPr>
          <w:rFonts w:ascii="Times New Roman" w:hAnsi="Times New Roman" w:cs="Times New Roman"/>
          <w:sz w:val="20"/>
          <w:szCs w:val="20"/>
        </w:rPr>
        <w:t>) 419.</w:t>
      </w:r>
    </w:p>
  </w:footnote>
  <w:footnote w:id="38">
    <w:p w14:paraId="74FA3FBB" w14:textId="65799C5C" w:rsidR="005316CE" w:rsidRPr="000F1E62" w:rsidRDefault="005316CE" w:rsidP="00420D95">
      <w:pPr>
        <w:pStyle w:val="FootnoteText"/>
        <w:spacing w:after="120"/>
        <w:rPr>
          <w:lang w:val="en-GB"/>
        </w:rPr>
      </w:pPr>
      <w:r>
        <w:rPr>
          <w:rStyle w:val="FootnoteReference"/>
        </w:rPr>
        <w:footnoteRef/>
      </w:r>
      <w:r>
        <w:t xml:space="preserve"> </w:t>
      </w:r>
      <w:r>
        <w:rPr>
          <w:lang w:val="en-GB"/>
        </w:rPr>
        <w:t>Eisenack (n 1</w:t>
      </w:r>
      <w:r w:rsidR="009957BC">
        <w:rPr>
          <w:lang w:val="en-GB"/>
        </w:rPr>
        <w:t>8</w:t>
      </w:r>
      <w:r>
        <w:rPr>
          <w:lang w:val="en-GB"/>
        </w:rPr>
        <w:t>) 330.</w:t>
      </w:r>
    </w:p>
  </w:footnote>
  <w:footnote w:id="39">
    <w:p w14:paraId="3F6BD14F" w14:textId="40D42C8E"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Woods (n </w:t>
      </w:r>
      <w:r>
        <w:rPr>
          <w:rFonts w:ascii="Times New Roman" w:hAnsi="Times New Roman" w:cs="Times New Roman"/>
          <w:sz w:val="20"/>
          <w:szCs w:val="20"/>
        </w:rPr>
        <w:t>2</w:t>
      </w:r>
      <w:r w:rsidR="009957BC">
        <w:rPr>
          <w:rFonts w:ascii="Times New Roman" w:hAnsi="Times New Roman" w:cs="Times New Roman"/>
          <w:sz w:val="20"/>
          <w:szCs w:val="20"/>
        </w:rPr>
        <w:t>4</w:t>
      </w:r>
      <w:r w:rsidRPr="000008A9">
        <w:rPr>
          <w:rFonts w:ascii="Times New Roman" w:hAnsi="Times New Roman" w:cs="Times New Roman"/>
          <w:sz w:val="20"/>
          <w:szCs w:val="20"/>
        </w:rPr>
        <w:t xml:space="preserve">) 81. </w:t>
      </w:r>
    </w:p>
  </w:footnote>
  <w:footnote w:id="40">
    <w:p w14:paraId="26499E97"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Ibid</w:t>
      </w:r>
      <w:r w:rsidRPr="000008A9">
        <w:rPr>
          <w:rFonts w:ascii="Times New Roman" w:hAnsi="Times New Roman" w:cs="Times New Roman"/>
          <w:sz w:val="20"/>
          <w:szCs w:val="20"/>
        </w:rPr>
        <w:t xml:space="preserve"> 83. </w:t>
      </w:r>
    </w:p>
  </w:footnote>
  <w:footnote w:id="41">
    <w:p w14:paraId="7155C6FE" w14:textId="77777777" w:rsidR="005316CE" w:rsidRPr="00897800" w:rsidRDefault="005316CE" w:rsidP="00420D95">
      <w:pPr>
        <w:pStyle w:val="FootnoteText"/>
        <w:spacing w:after="120"/>
        <w:rPr>
          <w:lang w:val="en-GB"/>
        </w:rPr>
      </w:pPr>
      <w:r>
        <w:rPr>
          <w:rStyle w:val="FootnoteReference"/>
        </w:rPr>
        <w:footnoteRef/>
      </w:r>
      <w:r>
        <w:t xml:space="preserve"> Ibid 88. </w:t>
      </w:r>
    </w:p>
  </w:footnote>
  <w:footnote w:id="42">
    <w:p w14:paraId="7B234F1B" w14:textId="34630BEE" w:rsidR="005316CE" w:rsidRPr="000152CB" w:rsidRDefault="005316CE" w:rsidP="00420D95">
      <w:pPr>
        <w:pStyle w:val="FootnoteText"/>
        <w:spacing w:after="120"/>
        <w:rPr>
          <w:lang w:val="en-GB"/>
        </w:rPr>
      </w:pPr>
      <w:r>
        <w:rPr>
          <w:rStyle w:val="FootnoteReference"/>
        </w:rPr>
        <w:footnoteRef/>
      </w:r>
      <w:r>
        <w:t xml:space="preserve"> </w:t>
      </w:r>
      <w:r>
        <w:rPr>
          <w:lang w:val="en-GB"/>
        </w:rPr>
        <w:t xml:space="preserve">Whitton (n </w:t>
      </w:r>
      <w:r w:rsidR="009957BC">
        <w:rPr>
          <w:lang w:val="en-GB"/>
        </w:rPr>
        <w:t>33</w:t>
      </w:r>
      <w:r>
        <w:rPr>
          <w:lang w:val="en-GB"/>
        </w:rPr>
        <w:t>) 602.</w:t>
      </w:r>
    </w:p>
  </w:footnote>
  <w:footnote w:id="43">
    <w:p w14:paraId="3036A465" w14:textId="77777777" w:rsidR="005316CE" w:rsidRPr="00900DF3" w:rsidRDefault="005316CE" w:rsidP="00420D95">
      <w:pPr>
        <w:pStyle w:val="FootnoteText"/>
        <w:spacing w:after="120"/>
        <w:jc w:val="both"/>
        <w:rPr>
          <w:lang w:val="en-GB"/>
        </w:rPr>
      </w:pPr>
      <w:r>
        <w:rPr>
          <w:rStyle w:val="FootnoteReference"/>
        </w:rPr>
        <w:footnoteRef/>
      </w:r>
      <w:r>
        <w:t xml:space="preserve"> </w:t>
      </w:r>
      <w:r>
        <w:rPr>
          <w:lang w:val="en-GB"/>
        </w:rPr>
        <w:t>See e.g. Rachel Cahill-O’Callaghan, ‘The Influence of Personal Values on Legal Judgments’ (2013) 40 J Law &amp; Soc 596; James Lee, ‘The Judicial Individuality of Lord Sumption’ (2017) 40 UNSWLJ 862.</w:t>
      </w:r>
    </w:p>
  </w:footnote>
  <w:footnote w:id="44">
    <w:p w14:paraId="753B2588" w14:textId="2DC4DE08" w:rsidR="005316CE" w:rsidRPr="00DE29D2" w:rsidRDefault="005316CE" w:rsidP="00420D95">
      <w:pPr>
        <w:pStyle w:val="FootnoteText"/>
        <w:spacing w:after="120"/>
        <w:rPr>
          <w:lang w:val="en-GB"/>
        </w:rPr>
      </w:pPr>
      <w:r>
        <w:rPr>
          <w:rStyle w:val="FootnoteReference"/>
        </w:rPr>
        <w:footnoteRef/>
      </w:r>
      <w:r>
        <w:t xml:space="preserve"> </w:t>
      </w:r>
      <w:r w:rsidR="00D37CC9">
        <w:rPr>
          <w:lang w:val="en-GB"/>
        </w:rPr>
        <w:t>This</w:t>
      </w:r>
      <w:r>
        <w:rPr>
          <w:lang w:val="en-GB"/>
        </w:rPr>
        <w:t xml:space="preserve"> diagram</w:t>
      </w:r>
      <w:r w:rsidR="00D37CC9">
        <w:rPr>
          <w:lang w:val="en-GB"/>
        </w:rPr>
        <w:t xml:space="preserve"> </w:t>
      </w:r>
      <w:r>
        <w:rPr>
          <w:lang w:val="en-GB"/>
        </w:rPr>
        <w:t>w</w:t>
      </w:r>
      <w:r w:rsidR="00D37CC9">
        <w:rPr>
          <w:lang w:val="en-GB"/>
        </w:rPr>
        <w:t>as</w:t>
      </w:r>
      <w:r>
        <w:rPr>
          <w:lang w:val="en-GB"/>
        </w:rPr>
        <w:t xml:space="preserve"> produced by Dr Thomas Giddens.</w:t>
      </w:r>
    </w:p>
  </w:footnote>
  <w:footnote w:id="45">
    <w:p w14:paraId="416ECEEA" w14:textId="553BBD61" w:rsidR="00D37CC9" w:rsidRPr="00920BE2" w:rsidRDefault="00D37CC9" w:rsidP="00420D95">
      <w:pPr>
        <w:pStyle w:val="FootnoteText"/>
        <w:spacing w:after="120"/>
        <w:rPr>
          <w:lang w:val="en-GB"/>
        </w:rPr>
      </w:pPr>
      <w:r>
        <w:rPr>
          <w:rStyle w:val="FootnoteReference"/>
        </w:rPr>
        <w:footnoteRef/>
      </w:r>
      <w:r>
        <w:t xml:space="preserve"> </w:t>
      </w:r>
      <w:r>
        <w:rPr>
          <w:lang w:val="en-GB"/>
        </w:rPr>
        <w:t>This diagram was produced by Dr Thomas Giddens.</w:t>
      </w:r>
    </w:p>
  </w:footnote>
  <w:footnote w:id="46">
    <w:p w14:paraId="181AED1D" w14:textId="0A719958" w:rsidR="009948ED" w:rsidRPr="00D37CC9" w:rsidRDefault="009948ED" w:rsidP="00420D95">
      <w:pPr>
        <w:pStyle w:val="FootnoteText"/>
        <w:spacing w:after="120"/>
        <w:rPr>
          <w:lang w:val="en-GB"/>
        </w:rPr>
      </w:pPr>
      <w:r>
        <w:rPr>
          <w:rStyle w:val="FootnoteReference"/>
        </w:rPr>
        <w:footnoteRef/>
      </w:r>
      <w:r>
        <w:t xml:space="preserve"> </w:t>
      </w:r>
      <w:r>
        <w:rPr>
          <w:lang w:val="en-GB"/>
        </w:rPr>
        <w:t xml:space="preserve">See e.g. </w:t>
      </w:r>
      <w:r w:rsidR="00D37CC9">
        <w:rPr>
          <w:i/>
          <w:iCs/>
          <w:lang w:val="en-GB"/>
        </w:rPr>
        <w:t>R v Brown</w:t>
      </w:r>
      <w:r w:rsidR="00D37CC9">
        <w:rPr>
          <w:lang w:val="en-GB"/>
        </w:rPr>
        <w:t xml:space="preserve"> [1993] 2 All ER 75 (HL).</w:t>
      </w:r>
    </w:p>
  </w:footnote>
  <w:footnote w:id="47">
    <w:p w14:paraId="475F3172" w14:textId="3A7D1219"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Rebecca Huxley-Binns, ‘What is the “Q” For?’ (2011) 45 Law Teacher 294, 300-301</w:t>
      </w:r>
      <w:r>
        <w:rPr>
          <w:rFonts w:ascii="Times New Roman" w:hAnsi="Times New Roman" w:cs="Times New Roman"/>
          <w:sz w:val="20"/>
          <w:szCs w:val="20"/>
        </w:rPr>
        <w:t>; Hélène Tyrell and Joshua Jowitt, ‘Let Them Eat Cases! Bridging the Gap Between School and Degree Level Learning’ (20</w:t>
      </w:r>
      <w:r w:rsidR="007838FE">
        <w:rPr>
          <w:rFonts w:ascii="Times New Roman" w:hAnsi="Times New Roman" w:cs="Times New Roman"/>
          <w:sz w:val="20"/>
          <w:szCs w:val="20"/>
        </w:rPr>
        <w:t>19</w:t>
      </w:r>
      <w:r>
        <w:rPr>
          <w:rFonts w:ascii="Times New Roman" w:hAnsi="Times New Roman" w:cs="Times New Roman"/>
          <w:sz w:val="20"/>
          <w:szCs w:val="20"/>
        </w:rPr>
        <w:t>) Law Teacher</w:t>
      </w:r>
      <w:r w:rsidR="007838FE">
        <w:rPr>
          <w:rFonts w:ascii="Times New Roman" w:hAnsi="Times New Roman" w:cs="Times New Roman"/>
          <w:sz w:val="20"/>
          <w:szCs w:val="20"/>
        </w:rPr>
        <w:t xml:space="preserve">, </w:t>
      </w:r>
      <w:hyperlink r:id="rId6" w:history="1">
        <w:r w:rsidR="007838FE" w:rsidRPr="001801C4">
          <w:rPr>
            <w:rStyle w:val="Hyperlink"/>
            <w:rFonts w:ascii="Times New Roman" w:hAnsi="Times New Roman" w:cs="Times New Roman"/>
            <w:sz w:val="20"/>
            <w:szCs w:val="20"/>
          </w:rPr>
          <w:t>https://doi.org/10.1080/03069400.2019.1635373</w:t>
        </w:r>
      </w:hyperlink>
      <w:r w:rsidR="007838FE">
        <w:rPr>
          <w:rFonts w:ascii="Times New Roman" w:hAnsi="Times New Roman" w:cs="Times New Roman"/>
          <w:sz w:val="20"/>
          <w:szCs w:val="20"/>
        </w:rPr>
        <w:t xml:space="preserve">. </w:t>
      </w:r>
    </w:p>
  </w:footnote>
  <w:footnote w:id="48">
    <w:p w14:paraId="29F8CB04" w14:textId="0C669DBD"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See e.g. </w:t>
      </w:r>
      <w:r w:rsidRPr="000008A9">
        <w:rPr>
          <w:rFonts w:ascii="Times New Roman" w:hAnsi="Times New Roman" w:cs="Times New Roman"/>
          <w:i/>
          <w:iCs/>
          <w:sz w:val="20"/>
          <w:szCs w:val="20"/>
        </w:rPr>
        <w:t xml:space="preserve">Donoghue v Stevenson </w:t>
      </w:r>
      <w:r w:rsidRPr="000008A9">
        <w:rPr>
          <w:rFonts w:ascii="Times New Roman" w:hAnsi="Times New Roman" w:cs="Times New Roman"/>
          <w:sz w:val="20"/>
          <w:szCs w:val="20"/>
        </w:rPr>
        <w:t xml:space="preserve">[1932] AC 562 (HL), 580 (Lord Atkin); </w:t>
      </w:r>
      <w:r w:rsidRPr="000008A9">
        <w:rPr>
          <w:rFonts w:ascii="Times New Roman" w:hAnsi="Times New Roman" w:cs="Times New Roman"/>
          <w:i/>
          <w:iCs/>
          <w:sz w:val="20"/>
          <w:szCs w:val="20"/>
        </w:rPr>
        <w:t xml:space="preserve">R v Secretary of State for the Home Department, ex parte Simms </w:t>
      </w:r>
      <w:r w:rsidRPr="000008A9">
        <w:rPr>
          <w:rFonts w:ascii="Times New Roman" w:hAnsi="Times New Roman" w:cs="Times New Roman"/>
          <w:sz w:val="20"/>
          <w:szCs w:val="20"/>
        </w:rPr>
        <w:t>[2000] 2 AC 115 (HL), 131 (Lord Hoffman</w:t>
      </w:r>
      <w:r>
        <w:rPr>
          <w:rFonts w:ascii="Times New Roman" w:hAnsi="Times New Roman" w:cs="Times New Roman"/>
          <w:sz w:val="20"/>
          <w:szCs w:val="20"/>
        </w:rPr>
        <w:t>n</w:t>
      </w:r>
      <w:r w:rsidRPr="000008A9">
        <w:rPr>
          <w:rFonts w:ascii="Times New Roman" w:hAnsi="Times New Roman" w:cs="Times New Roman"/>
          <w:sz w:val="20"/>
          <w:szCs w:val="20"/>
        </w:rPr>
        <w:t>).</w:t>
      </w:r>
    </w:p>
  </w:footnote>
  <w:footnote w:id="49">
    <w:p w14:paraId="76B19C42" w14:textId="4185AB4C"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See e.g. Mark Elliott, ‘“She is Constitutionally Absolutely Wrong”: The Lord Chief Justice on the Lord Chancellor’ (</w:t>
      </w:r>
      <w:r w:rsidRPr="000008A9">
        <w:rPr>
          <w:rFonts w:ascii="Times New Roman" w:hAnsi="Times New Roman" w:cs="Times New Roman"/>
          <w:i/>
          <w:iCs/>
          <w:sz w:val="20"/>
          <w:szCs w:val="20"/>
        </w:rPr>
        <w:t>Public Law for Everyone</w:t>
      </w:r>
      <w:r w:rsidRPr="000008A9">
        <w:rPr>
          <w:rFonts w:ascii="Times New Roman" w:hAnsi="Times New Roman" w:cs="Times New Roman"/>
          <w:sz w:val="20"/>
          <w:szCs w:val="20"/>
        </w:rPr>
        <w:t>, 22 March 2017) &lt;</w:t>
      </w:r>
      <w:hyperlink r:id="rId7" w:history="1">
        <w:r w:rsidRPr="000008A9">
          <w:rPr>
            <w:rStyle w:val="Hyperlink0"/>
            <w:rFonts w:ascii="Times New Roman" w:hAnsi="Times New Roman" w:cs="Times New Roman"/>
            <w:sz w:val="20"/>
            <w:szCs w:val="20"/>
          </w:rPr>
          <w:t>https://publiclawforeveryone.com/2017/03/22/she-is-constitutionally-absolutely-wrong-the-lord-chief-justice-on-the-lord-chancellor/</w:t>
        </w:r>
      </w:hyperlink>
      <w:r w:rsidRPr="000008A9">
        <w:rPr>
          <w:rFonts w:ascii="Times New Roman" w:hAnsi="Times New Roman" w:cs="Times New Roman"/>
          <w:sz w:val="20"/>
          <w:szCs w:val="20"/>
        </w:rPr>
        <w:t xml:space="preserve">&gt;, accessed </w:t>
      </w:r>
      <w:r>
        <w:rPr>
          <w:rFonts w:ascii="Times New Roman" w:hAnsi="Times New Roman" w:cs="Times New Roman"/>
          <w:sz w:val="20"/>
          <w:szCs w:val="20"/>
        </w:rPr>
        <w:t>12/6/19.</w:t>
      </w:r>
    </w:p>
  </w:footnote>
  <w:footnote w:id="50">
    <w:p w14:paraId="489121CF"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See e.g. </w:t>
      </w:r>
      <w:r w:rsidRPr="000008A9">
        <w:rPr>
          <w:rFonts w:ascii="Times New Roman" w:hAnsi="Times New Roman" w:cs="Times New Roman"/>
          <w:i/>
          <w:iCs/>
          <w:sz w:val="20"/>
          <w:szCs w:val="20"/>
        </w:rPr>
        <w:t xml:space="preserve">R v Jogee </w:t>
      </w:r>
      <w:r w:rsidRPr="000008A9">
        <w:rPr>
          <w:rFonts w:ascii="Times New Roman" w:hAnsi="Times New Roman" w:cs="Times New Roman"/>
          <w:sz w:val="20"/>
          <w:szCs w:val="20"/>
        </w:rPr>
        <w:t>[2016] UKSC 8.</w:t>
      </w:r>
    </w:p>
  </w:footnote>
  <w:footnote w:id="51">
    <w:p w14:paraId="4B1C3E72"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On distinguishing see e.g. </w:t>
      </w:r>
      <w:r w:rsidRPr="000008A9">
        <w:rPr>
          <w:rFonts w:ascii="Times New Roman" w:hAnsi="Times New Roman" w:cs="Times New Roman"/>
          <w:i/>
          <w:iCs/>
          <w:sz w:val="20"/>
          <w:szCs w:val="20"/>
        </w:rPr>
        <w:t xml:space="preserve">R v Wilson </w:t>
      </w:r>
      <w:r w:rsidRPr="000008A9">
        <w:rPr>
          <w:rFonts w:ascii="Times New Roman" w:hAnsi="Times New Roman" w:cs="Times New Roman"/>
          <w:sz w:val="20"/>
          <w:szCs w:val="20"/>
        </w:rPr>
        <w:t xml:space="preserve">[1997] QB 47 (CA); on confining to the facts, e.g. </w:t>
      </w:r>
      <w:r w:rsidRPr="000008A9">
        <w:rPr>
          <w:rFonts w:ascii="Times New Roman" w:hAnsi="Times New Roman" w:cs="Times New Roman"/>
          <w:i/>
          <w:iCs/>
          <w:sz w:val="20"/>
          <w:szCs w:val="20"/>
        </w:rPr>
        <w:t xml:space="preserve">Bilta (UK) Ltd (in liquidation) v Nazir (No 2) </w:t>
      </w:r>
      <w:r w:rsidRPr="000008A9">
        <w:rPr>
          <w:rFonts w:ascii="Times New Roman" w:hAnsi="Times New Roman" w:cs="Times New Roman"/>
          <w:sz w:val="20"/>
          <w:szCs w:val="20"/>
        </w:rPr>
        <w:t xml:space="preserve">[2015] UKSC 23, [21]-[24] (Lord Neuberger PSC, Lord Clarke JSC and Lord Carnwath JSC). </w:t>
      </w:r>
    </w:p>
  </w:footnote>
  <w:footnote w:id="52">
    <w:p w14:paraId="41F69A15" w14:textId="7AE17BD4" w:rsidR="005316CE" w:rsidRPr="007C498D" w:rsidRDefault="005316CE" w:rsidP="00420D95">
      <w:pPr>
        <w:pStyle w:val="FootnoteText"/>
        <w:spacing w:after="120"/>
        <w:rPr>
          <w:lang w:val="en-GB"/>
        </w:rPr>
      </w:pPr>
      <w:r>
        <w:rPr>
          <w:rStyle w:val="FootnoteReference"/>
        </w:rPr>
        <w:footnoteRef/>
      </w:r>
      <w:r>
        <w:t xml:space="preserve"> See Ernest Lim, ‘Of “Landmark” or “Leading” Cases: </w:t>
      </w:r>
      <w:r>
        <w:rPr>
          <w:i/>
          <w:iCs/>
        </w:rPr>
        <w:t>Salomon</w:t>
      </w:r>
      <w:r>
        <w:t>’s Challenge’ (2014) 41 J Law &amp; Soc 523.</w:t>
      </w:r>
    </w:p>
  </w:footnote>
  <w:footnote w:id="53">
    <w:p w14:paraId="5289E275" w14:textId="7AD61CCD"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Richard </w:t>
      </w:r>
      <w:r>
        <w:rPr>
          <w:rFonts w:ascii="Times New Roman" w:hAnsi="Times New Roman" w:cs="Times New Roman"/>
          <w:sz w:val="20"/>
          <w:szCs w:val="20"/>
        </w:rPr>
        <w:t xml:space="preserve">K </w:t>
      </w:r>
      <w:r w:rsidRPr="000008A9">
        <w:rPr>
          <w:rFonts w:ascii="Times New Roman" w:hAnsi="Times New Roman" w:cs="Times New Roman"/>
          <w:sz w:val="20"/>
          <w:szCs w:val="20"/>
        </w:rPr>
        <w:t xml:space="preserve">Sherwin, </w:t>
      </w:r>
      <w:r w:rsidRPr="000008A9">
        <w:rPr>
          <w:rFonts w:ascii="Times New Roman" w:hAnsi="Times New Roman" w:cs="Times New Roman"/>
          <w:i/>
          <w:iCs/>
          <w:sz w:val="20"/>
          <w:szCs w:val="20"/>
        </w:rPr>
        <w:t>When Law Goes Po</w:t>
      </w:r>
      <w:r>
        <w:rPr>
          <w:rFonts w:ascii="Times New Roman" w:hAnsi="Times New Roman" w:cs="Times New Roman"/>
          <w:i/>
          <w:iCs/>
          <w:sz w:val="20"/>
          <w:szCs w:val="20"/>
        </w:rPr>
        <w:t xml:space="preserve">p </w:t>
      </w:r>
      <w:r>
        <w:rPr>
          <w:rFonts w:ascii="Times New Roman" w:hAnsi="Times New Roman" w:cs="Times New Roman"/>
          <w:sz w:val="20"/>
          <w:szCs w:val="20"/>
        </w:rPr>
        <w:t xml:space="preserve">(University of Chicago Press 2000) ch 3; </w:t>
      </w:r>
      <w:r w:rsidRPr="00833EE4">
        <w:rPr>
          <w:rFonts w:ascii="Times New Roman" w:hAnsi="Times New Roman" w:cs="Times New Roman"/>
          <w:sz w:val="20"/>
          <w:szCs w:val="20"/>
        </w:rPr>
        <w:t xml:space="preserve">Susan Bartie, ‘Is Mazur the new Langdell? The Strange Trajectory of Interactive Law Teaching’ (2017) 37 </w:t>
      </w:r>
      <w:r>
        <w:rPr>
          <w:rFonts w:ascii="Times New Roman" w:hAnsi="Times New Roman" w:cs="Times New Roman"/>
          <w:sz w:val="20"/>
          <w:szCs w:val="20"/>
        </w:rPr>
        <w:t>LS</w:t>
      </w:r>
      <w:r w:rsidRPr="00833EE4">
        <w:rPr>
          <w:rFonts w:ascii="Times New Roman" w:hAnsi="Times New Roman" w:cs="Times New Roman"/>
          <w:sz w:val="20"/>
          <w:szCs w:val="20"/>
        </w:rPr>
        <w:t xml:space="preserve"> 520, 534.</w:t>
      </w:r>
    </w:p>
  </w:footnote>
  <w:footnote w:id="54">
    <w:p w14:paraId="0EC18CC1" w14:textId="07C79A2B"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Ke</w:t>
      </w:r>
      <w:r>
        <w:rPr>
          <w:rFonts w:ascii="Times New Roman" w:hAnsi="Times New Roman" w:cs="Times New Roman"/>
          <w:sz w:val="20"/>
          <w:szCs w:val="20"/>
        </w:rPr>
        <w:t>, Xie, and Xie</w:t>
      </w:r>
      <w:r w:rsidRPr="000008A9">
        <w:rPr>
          <w:rFonts w:ascii="Times New Roman" w:hAnsi="Times New Roman" w:cs="Times New Roman"/>
          <w:sz w:val="20"/>
          <w:szCs w:val="20"/>
        </w:rPr>
        <w:t xml:space="preserve"> (n </w:t>
      </w:r>
      <w:r w:rsidR="00686D5C">
        <w:rPr>
          <w:rFonts w:ascii="Times New Roman" w:hAnsi="Times New Roman" w:cs="Times New Roman"/>
          <w:sz w:val="20"/>
          <w:szCs w:val="20"/>
        </w:rPr>
        <w:t>19</w:t>
      </w:r>
      <w:r w:rsidRPr="000008A9">
        <w:rPr>
          <w:rFonts w:ascii="Times New Roman" w:hAnsi="Times New Roman" w:cs="Times New Roman"/>
          <w:sz w:val="20"/>
          <w:szCs w:val="20"/>
        </w:rPr>
        <w:t>) 1193.</w:t>
      </w:r>
    </w:p>
  </w:footnote>
  <w:footnote w:id="55">
    <w:p w14:paraId="5E5EDAFF" w14:textId="77777777" w:rsidR="00773BB8" w:rsidRPr="00F2372F" w:rsidRDefault="00773BB8" w:rsidP="00773BB8">
      <w:pPr>
        <w:pStyle w:val="FootnoteText"/>
        <w:spacing w:after="120"/>
        <w:jc w:val="both"/>
        <w:rPr>
          <w:lang w:val="en-GB"/>
        </w:rPr>
      </w:pPr>
      <w:r>
        <w:rPr>
          <w:rStyle w:val="FootnoteReference"/>
        </w:rPr>
        <w:footnoteRef/>
      </w:r>
      <w:r>
        <w:t xml:space="preserve"> </w:t>
      </w:r>
      <w:r>
        <w:rPr>
          <w:lang w:val="en-GB"/>
        </w:rPr>
        <w:t>This was especially apparent when we played the game with a general audience at the University of the West of England’s ‘Festival of Learning’ in February 2019.</w:t>
      </w:r>
    </w:p>
  </w:footnote>
  <w:footnote w:id="56">
    <w:p w14:paraId="27EA785A"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(1884) 9 AC 605 (HL).</w:t>
      </w:r>
    </w:p>
  </w:footnote>
  <w:footnote w:id="57">
    <w:p w14:paraId="6917EEFB"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[1991] 1 QB 1 (CA).</w:t>
      </w:r>
    </w:p>
  </w:footnote>
  <w:footnote w:id="58">
    <w:p w14:paraId="56380EAA" w14:textId="77777777"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[1995] 1 WLR 474 (CA).</w:t>
      </w:r>
    </w:p>
  </w:footnote>
  <w:footnote w:id="59">
    <w:p w14:paraId="3F9776C9" w14:textId="3AB510DB"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The most recent discussion is </w:t>
      </w:r>
      <w:r w:rsidRPr="000008A9">
        <w:rPr>
          <w:rFonts w:ascii="Times New Roman" w:hAnsi="Times New Roman" w:cs="Times New Roman"/>
          <w:i/>
          <w:iCs/>
          <w:sz w:val="20"/>
          <w:szCs w:val="20"/>
        </w:rPr>
        <w:t xml:space="preserve">MWB Business Exchange Centres v Rock Advertising </w:t>
      </w:r>
      <w:r w:rsidRPr="000008A9">
        <w:rPr>
          <w:rFonts w:ascii="Times New Roman" w:hAnsi="Times New Roman" w:cs="Times New Roman"/>
          <w:sz w:val="20"/>
          <w:szCs w:val="20"/>
        </w:rPr>
        <w:t>[2016] EWCA Civ 553. That decision was reversed on appeal in [2018] UKSC 24, but t</w:t>
      </w:r>
      <w:r>
        <w:rPr>
          <w:rFonts w:ascii="Times New Roman" w:hAnsi="Times New Roman" w:cs="Times New Roman"/>
          <w:sz w:val="20"/>
          <w:szCs w:val="20"/>
        </w:rPr>
        <w:t>his particular point was not pursued in depth.</w:t>
      </w:r>
    </w:p>
  </w:footnote>
  <w:footnote w:id="60">
    <w:p w14:paraId="30B4CD7E" w14:textId="565938B0"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On students drafting judgments, see Rosemary Hunter, ‘Introduction: Feminist Judgments as Teaching Resources’ (2012) 46 Law Teacher 214</w:t>
      </w:r>
      <w:r>
        <w:rPr>
          <w:rFonts w:ascii="Times New Roman" w:hAnsi="Times New Roman" w:cs="Times New Roman"/>
          <w:sz w:val="20"/>
          <w:szCs w:val="20"/>
        </w:rPr>
        <w:t>.</w:t>
      </w:r>
    </w:p>
  </w:footnote>
  <w:footnote w:id="61">
    <w:p w14:paraId="233C37C3" w14:textId="5B4690A5" w:rsidR="005316CE" w:rsidRPr="00515537"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w:t>
      </w:r>
      <w:r>
        <w:rPr>
          <w:rFonts w:ascii="Times New Roman" w:hAnsi="Times New Roman" w:cs="Times New Roman"/>
          <w:sz w:val="20"/>
          <w:szCs w:val="20"/>
        </w:rPr>
        <w:t xml:space="preserve">See e.g. Tom Bingham, </w:t>
      </w:r>
      <w:r>
        <w:rPr>
          <w:rFonts w:ascii="Times New Roman" w:hAnsi="Times New Roman" w:cs="Times New Roman"/>
          <w:i/>
          <w:iCs/>
          <w:sz w:val="20"/>
          <w:szCs w:val="20"/>
        </w:rPr>
        <w:t xml:space="preserve">The Rule of Law </w:t>
      </w:r>
      <w:r>
        <w:rPr>
          <w:rFonts w:ascii="Times New Roman" w:hAnsi="Times New Roman" w:cs="Times New Roman"/>
          <w:sz w:val="20"/>
          <w:szCs w:val="20"/>
        </w:rPr>
        <w:t>(Allen Lane 2010).</w:t>
      </w:r>
    </w:p>
  </w:footnote>
  <w:footnote w:id="62">
    <w:p w14:paraId="583AE9E5" w14:textId="6A0811EC" w:rsidR="005316CE" w:rsidRPr="000008A9" w:rsidRDefault="005316CE" w:rsidP="00420D95">
      <w:pPr>
        <w:pStyle w:val="Footnote"/>
        <w:spacing w:after="120"/>
        <w:jc w:val="both"/>
        <w:rPr>
          <w:rFonts w:ascii="Times New Roman" w:hAnsi="Times New Roman" w:cs="Times New Roman"/>
          <w:sz w:val="20"/>
          <w:szCs w:val="20"/>
        </w:rPr>
      </w:pPr>
      <w:r w:rsidRPr="000008A9">
        <w:rPr>
          <w:rFonts w:ascii="Times New Roman" w:eastAsia="Helvetica" w:hAnsi="Times New Roman" w:cs="Times New Roman"/>
          <w:sz w:val="20"/>
          <w:szCs w:val="20"/>
          <w:vertAlign w:val="superscript"/>
        </w:rPr>
        <w:footnoteRef/>
      </w:r>
      <w:r w:rsidRPr="000008A9">
        <w:rPr>
          <w:rFonts w:ascii="Times New Roman" w:hAnsi="Times New Roman" w:cs="Times New Roman"/>
          <w:sz w:val="20"/>
          <w:szCs w:val="20"/>
        </w:rPr>
        <w:t xml:space="preserve"> See </w:t>
      </w:r>
      <w:r>
        <w:rPr>
          <w:rFonts w:ascii="Times New Roman" w:hAnsi="Times New Roman" w:cs="Times New Roman"/>
          <w:sz w:val="20"/>
          <w:szCs w:val="20"/>
        </w:rPr>
        <w:t xml:space="preserve">e.g. </w:t>
      </w:r>
      <w:r w:rsidR="00F17DAA">
        <w:rPr>
          <w:rFonts w:ascii="Times New Roman" w:hAnsi="Times New Roman" w:cs="Times New Roman"/>
          <w:sz w:val="20"/>
          <w:szCs w:val="20"/>
        </w:rPr>
        <w:t xml:space="preserve">the disagreement between Lord Millett and the majority of judges in </w:t>
      </w:r>
      <w:r w:rsidRPr="000008A9">
        <w:rPr>
          <w:rFonts w:ascii="Times New Roman" w:hAnsi="Times New Roman" w:cs="Times New Roman"/>
          <w:i/>
          <w:iCs/>
          <w:sz w:val="20"/>
          <w:szCs w:val="20"/>
        </w:rPr>
        <w:t xml:space="preserve">Ghaidan v Godin-Mendoza </w:t>
      </w:r>
      <w:r w:rsidRPr="000008A9">
        <w:rPr>
          <w:rFonts w:ascii="Times New Roman" w:hAnsi="Times New Roman" w:cs="Times New Roman"/>
          <w:sz w:val="20"/>
          <w:szCs w:val="20"/>
        </w:rPr>
        <w:t>[2004] UKHL 56.</w:t>
      </w:r>
    </w:p>
  </w:footnote>
  <w:footnote w:id="63">
    <w:p w14:paraId="17349071" w14:textId="77777777" w:rsidR="005316CE" w:rsidRPr="00C81BF5" w:rsidRDefault="005316CE" w:rsidP="00420D95">
      <w:pPr>
        <w:pStyle w:val="FootnoteText"/>
        <w:spacing w:after="120"/>
        <w:rPr>
          <w:lang w:val="en-GB"/>
        </w:rPr>
      </w:pPr>
      <w:r>
        <w:rPr>
          <w:rStyle w:val="FootnoteReference"/>
        </w:rPr>
        <w:footnoteRef/>
      </w:r>
      <w:r>
        <w:t xml:space="preserve"> For example, </w:t>
      </w:r>
      <w:r>
        <w:rPr>
          <w:i/>
          <w:iCs/>
          <w:lang w:val="en-GB"/>
        </w:rPr>
        <w:t xml:space="preserve">R v Bentham </w:t>
      </w:r>
      <w:r>
        <w:rPr>
          <w:lang w:val="en-GB"/>
        </w:rPr>
        <w:t>[2005] UKHL 18.</w:t>
      </w:r>
    </w:p>
  </w:footnote>
  <w:footnote w:id="64">
    <w:p w14:paraId="22720278" w14:textId="47B980F4" w:rsidR="005316CE" w:rsidRPr="00502509" w:rsidRDefault="005316CE" w:rsidP="00420D95">
      <w:pPr>
        <w:pStyle w:val="FootnoteText"/>
        <w:spacing w:after="120"/>
        <w:rPr>
          <w:lang w:val="en-GB"/>
        </w:rPr>
      </w:pPr>
      <w:r>
        <w:rPr>
          <w:rStyle w:val="FootnoteReference"/>
        </w:rPr>
        <w:footnoteRef/>
      </w:r>
      <w:r>
        <w:t xml:space="preserve"> </w:t>
      </w:r>
      <w:r>
        <w:rPr>
          <w:lang w:val="en-GB"/>
        </w:rPr>
        <w:t>There has been a lot of research on GBL in non-legal contexts, and this has been cited throughout this paper. Abbot</w:t>
      </w:r>
      <w:r w:rsidR="00F85394">
        <w:rPr>
          <w:lang w:val="en-GB"/>
        </w:rPr>
        <w:t>t</w:t>
      </w:r>
      <w:r>
        <w:rPr>
          <w:lang w:val="en-GB"/>
        </w:rPr>
        <w:t xml:space="preserve"> (n </w:t>
      </w:r>
      <w:r w:rsidR="00F518E9">
        <w:rPr>
          <w:lang w:val="en-GB"/>
        </w:rPr>
        <w:t>19</w:t>
      </w:r>
      <w:r>
        <w:rPr>
          <w:lang w:val="en-GB"/>
        </w:rPr>
        <w:t>) is the most recent contribution cited.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790A8" w14:textId="77777777" w:rsidR="005316CE" w:rsidRDefault="005316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E2F"/>
    <w:multiLevelType w:val="hybridMultilevel"/>
    <w:tmpl w:val="EAE6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228F9"/>
    <w:multiLevelType w:val="hybridMultilevel"/>
    <w:tmpl w:val="0D4A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17CAB"/>
    <w:multiLevelType w:val="hybridMultilevel"/>
    <w:tmpl w:val="033EC446"/>
    <w:styleLink w:val="Numbered"/>
    <w:lvl w:ilvl="0" w:tplc="541E8DE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AAE2DF2">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A06032A">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80CD6D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1EA1B6">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689C6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BADD80">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8830AA">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FED7B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504F77"/>
    <w:multiLevelType w:val="hybridMultilevel"/>
    <w:tmpl w:val="949CB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116A67"/>
    <w:multiLevelType w:val="hybridMultilevel"/>
    <w:tmpl w:val="033EC446"/>
    <w:numStyleLink w:val="Numbered"/>
  </w:abstractNum>
  <w:abstractNum w:abstractNumId="5" w15:restartNumberingAfterBreak="0">
    <w:nsid w:val="776B08B2"/>
    <w:multiLevelType w:val="hybridMultilevel"/>
    <w:tmpl w:val="BC9E89B2"/>
    <w:lvl w:ilvl="0" w:tplc="583EC65E">
      <w:start w:val="2"/>
      <w:numFmt w:val="bullet"/>
      <w:lvlText w:val=""/>
      <w:lvlJc w:val="left"/>
      <w:pPr>
        <w:ind w:left="72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4"/>
    <w:lvlOverride w:ilvl="0">
      <w:lvl w:ilvl="0" w:tplc="8460E7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BBACE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27A632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24CA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3423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16E3F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DAC52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2B053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644508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4"/>
    <w:lvlOverride w:ilvl="0">
      <w:startOverride w:val="1"/>
      <w:lvl w:ilvl="0" w:tplc="8460E7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BACE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7A632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24CA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F3423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316E3F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AC52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B053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4508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4"/>
    <w:lvlOverride w:ilvl="0">
      <w:startOverride w:val="1"/>
      <w:lvl w:ilvl="0" w:tplc="8460E7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BACE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7A632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24CA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F3423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316E3F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AC52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B053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4508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lvlOverride w:ilvl="0">
      <w:startOverride w:val="1"/>
      <w:lvl w:ilvl="0" w:tplc="8460E7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BACE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7A632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24CA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F3423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316E3F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AC52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B053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4508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lvlOverride w:ilvl="0">
      <w:startOverride w:val="1"/>
      <w:lvl w:ilvl="0" w:tplc="8460E7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BBACE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7A632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24CA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F3423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316E3F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AC52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B053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4508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7A"/>
    <w:rsid w:val="000008A9"/>
    <w:rsid w:val="00004DD6"/>
    <w:rsid w:val="00006C96"/>
    <w:rsid w:val="00012D39"/>
    <w:rsid w:val="000151B7"/>
    <w:rsid w:val="000152CB"/>
    <w:rsid w:val="00015940"/>
    <w:rsid w:val="000202F4"/>
    <w:rsid w:val="00024137"/>
    <w:rsid w:val="000314CB"/>
    <w:rsid w:val="0003364F"/>
    <w:rsid w:val="0004183D"/>
    <w:rsid w:val="00051718"/>
    <w:rsid w:val="00056CD5"/>
    <w:rsid w:val="000650DC"/>
    <w:rsid w:val="00066C99"/>
    <w:rsid w:val="00071830"/>
    <w:rsid w:val="00082BF0"/>
    <w:rsid w:val="0008658D"/>
    <w:rsid w:val="000967FA"/>
    <w:rsid w:val="000A1DE1"/>
    <w:rsid w:val="000A3A62"/>
    <w:rsid w:val="000A4771"/>
    <w:rsid w:val="000A5327"/>
    <w:rsid w:val="000C2C15"/>
    <w:rsid w:val="000C2C45"/>
    <w:rsid w:val="000C3C70"/>
    <w:rsid w:val="000D3D60"/>
    <w:rsid w:val="000D54EA"/>
    <w:rsid w:val="000E508C"/>
    <w:rsid w:val="000E5285"/>
    <w:rsid w:val="000F075A"/>
    <w:rsid w:val="000F1E62"/>
    <w:rsid w:val="000F2950"/>
    <w:rsid w:val="00101A4A"/>
    <w:rsid w:val="001020C7"/>
    <w:rsid w:val="00105272"/>
    <w:rsid w:val="00106173"/>
    <w:rsid w:val="00106EE3"/>
    <w:rsid w:val="00116196"/>
    <w:rsid w:val="00116DAD"/>
    <w:rsid w:val="00121282"/>
    <w:rsid w:val="001240A1"/>
    <w:rsid w:val="00125511"/>
    <w:rsid w:val="001359AA"/>
    <w:rsid w:val="00140D6E"/>
    <w:rsid w:val="00143E23"/>
    <w:rsid w:val="00145189"/>
    <w:rsid w:val="00151703"/>
    <w:rsid w:val="00151C73"/>
    <w:rsid w:val="00151F7D"/>
    <w:rsid w:val="001633A2"/>
    <w:rsid w:val="001649D2"/>
    <w:rsid w:val="00175B3B"/>
    <w:rsid w:val="00181E6E"/>
    <w:rsid w:val="0018733B"/>
    <w:rsid w:val="001873D7"/>
    <w:rsid w:val="0019211F"/>
    <w:rsid w:val="001922FD"/>
    <w:rsid w:val="00196470"/>
    <w:rsid w:val="001A5214"/>
    <w:rsid w:val="001A7A7E"/>
    <w:rsid w:val="001B118D"/>
    <w:rsid w:val="001B4F5B"/>
    <w:rsid w:val="001B7693"/>
    <w:rsid w:val="001C0692"/>
    <w:rsid w:val="001C4210"/>
    <w:rsid w:val="001C6900"/>
    <w:rsid w:val="001C7360"/>
    <w:rsid w:val="001D1FE3"/>
    <w:rsid w:val="001D2A50"/>
    <w:rsid w:val="001D5D50"/>
    <w:rsid w:val="001D6EB2"/>
    <w:rsid w:val="001E020B"/>
    <w:rsid w:val="001E7C72"/>
    <w:rsid w:val="001F0F8C"/>
    <w:rsid w:val="00203E15"/>
    <w:rsid w:val="0020440D"/>
    <w:rsid w:val="00205698"/>
    <w:rsid w:val="002116E4"/>
    <w:rsid w:val="0021347C"/>
    <w:rsid w:val="00214AF2"/>
    <w:rsid w:val="00217CD4"/>
    <w:rsid w:val="002214BD"/>
    <w:rsid w:val="00223D73"/>
    <w:rsid w:val="002345C4"/>
    <w:rsid w:val="00237B43"/>
    <w:rsid w:val="00241ADD"/>
    <w:rsid w:val="00251C9A"/>
    <w:rsid w:val="00252AD1"/>
    <w:rsid w:val="00260C6F"/>
    <w:rsid w:val="00262EF8"/>
    <w:rsid w:val="00267EC3"/>
    <w:rsid w:val="00271461"/>
    <w:rsid w:val="00272C9B"/>
    <w:rsid w:val="00273A7D"/>
    <w:rsid w:val="00277A2C"/>
    <w:rsid w:val="00280126"/>
    <w:rsid w:val="002817EF"/>
    <w:rsid w:val="00291148"/>
    <w:rsid w:val="00296274"/>
    <w:rsid w:val="002A5154"/>
    <w:rsid w:val="002B0A1D"/>
    <w:rsid w:val="002B17E7"/>
    <w:rsid w:val="002B7907"/>
    <w:rsid w:val="002D2E99"/>
    <w:rsid w:val="002D38A3"/>
    <w:rsid w:val="002D5CE4"/>
    <w:rsid w:val="002D778F"/>
    <w:rsid w:val="002E0DB5"/>
    <w:rsid w:val="002E46CC"/>
    <w:rsid w:val="002E49C8"/>
    <w:rsid w:val="002E6FF6"/>
    <w:rsid w:val="002F28C0"/>
    <w:rsid w:val="002F440F"/>
    <w:rsid w:val="002F55E0"/>
    <w:rsid w:val="002F5796"/>
    <w:rsid w:val="002F66F8"/>
    <w:rsid w:val="002F7CA2"/>
    <w:rsid w:val="00302D51"/>
    <w:rsid w:val="0031082B"/>
    <w:rsid w:val="00323CE3"/>
    <w:rsid w:val="00324CFA"/>
    <w:rsid w:val="0033199A"/>
    <w:rsid w:val="0033282E"/>
    <w:rsid w:val="00336C43"/>
    <w:rsid w:val="00342351"/>
    <w:rsid w:val="00343539"/>
    <w:rsid w:val="00347680"/>
    <w:rsid w:val="00347D68"/>
    <w:rsid w:val="00350BEE"/>
    <w:rsid w:val="0035601E"/>
    <w:rsid w:val="00357077"/>
    <w:rsid w:val="003620EC"/>
    <w:rsid w:val="00364E70"/>
    <w:rsid w:val="00365747"/>
    <w:rsid w:val="00365BEA"/>
    <w:rsid w:val="00372E8C"/>
    <w:rsid w:val="003749A8"/>
    <w:rsid w:val="0037614E"/>
    <w:rsid w:val="00376FE6"/>
    <w:rsid w:val="00380301"/>
    <w:rsid w:val="00382418"/>
    <w:rsid w:val="00386632"/>
    <w:rsid w:val="003878A4"/>
    <w:rsid w:val="0039061B"/>
    <w:rsid w:val="003A1C8E"/>
    <w:rsid w:val="003A7C65"/>
    <w:rsid w:val="003B59E2"/>
    <w:rsid w:val="003B6AF6"/>
    <w:rsid w:val="003C3F1A"/>
    <w:rsid w:val="003C42A3"/>
    <w:rsid w:val="003D63CC"/>
    <w:rsid w:val="003D7720"/>
    <w:rsid w:val="003F1870"/>
    <w:rsid w:val="003F1A59"/>
    <w:rsid w:val="003F5080"/>
    <w:rsid w:val="00402B9C"/>
    <w:rsid w:val="0041224A"/>
    <w:rsid w:val="004166D0"/>
    <w:rsid w:val="00420D95"/>
    <w:rsid w:val="00424754"/>
    <w:rsid w:val="00435910"/>
    <w:rsid w:val="0043636C"/>
    <w:rsid w:val="0043707A"/>
    <w:rsid w:val="004430BF"/>
    <w:rsid w:val="004431D7"/>
    <w:rsid w:val="00446C50"/>
    <w:rsid w:val="0045102A"/>
    <w:rsid w:val="00452646"/>
    <w:rsid w:val="00452A7A"/>
    <w:rsid w:val="00452EB2"/>
    <w:rsid w:val="00453263"/>
    <w:rsid w:val="00481351"/>
    <w:rsid w:val="00491475"/>
    <w:rsid w:val="00497DDB"/>
    <w:rsid w:val="004A03FC"/>
    <w:rsid w:val="004A27FD"/>
    <w:rsid w:val="004A3FA9"/>
    <w:rsid w:val="004A52DC"/>
    <w:rsid w:val="004A62BE"/>
    <w:rsid w:val="004B49E6"/>
    <w:rsid w:val="004C5E4B"/>
    <w:rsid w:val="004D03AD"/>
    <w:rsid w:val="004D05C4"/>
    <w:rsid w:val="004F0176"/>
    <w:rsid w:val="004F5B59"/>
    <w:rsid w:val="004F62BB"/>
    <w:rsid w:val="004F6FE1"/>
    <w:rsid w:val="00502328"/>
    <w:rsid w:val="00502509"/>
    <w:rsid w:val="00513742"/>
    <w:rsid w:val="00515537"/>
    <w:rsid w:val="005205E9"/>
    <w:rsid w:val="005316CE"/>
    <w:rsid w:val="0053606F"/>
    <w:rsid w:val="0055324D"/>
    <w:rsid w:val="00555C69"/>
    <w:rsid w:val="005609E4"/>
    <w:rsid w:val="00565248"/>
    <w:rsid w:val="0057088E"/>
    <w:rsid w:val="00574A57"/>
    <w:rsid w:val="005759D0"/>
    <w:rsid w:val="005770A9"/>
    <w:rsid w:val="005819BC"/>
    <w:rsid w:val="00582584"/>
    <w:rsid w:val="00591330"/>
    <w:rsid w:val="0059729A"/>
    <w:rsid w:val="00597A32"/>
    <w:rsid w:val="005A3351"/>
    <w:rsid w:val="005A409D"/>
    <w:rsid w:val="005A4A1F"/>
    <w:rsid w:val="005A4BF1"/>
    <w:rsid w:val="005B0C96"/>
    <w:rsid w:val="005B28C3"/>
    <w:rsid w:val="005B57C9"/>
    <w:rsid w:val="005C2389"/>
    <w:rsid w:val="005C24C8"/>
    <w:rsid w:val="005C29B3"/>
    <w:rsid w:val="005C3385"/>
    <w:rsid w:val="005C6102"/>
    <w:rsid w:val="005D4DDA"/>
    <w:rsid w:val="005E23BD"/>
    <w:rsid w:val="005E23DB"/>
    <w:rsid w:val="005F1641"/>
    <w:rsid w:val="00610FB4"/>
    <w:rsid w:val="006118FC"/>
    <w:rsid w:val="0061235D"/>
    <w:rsid w:val="00613787"/>
    <w:rsid w:val="00620D86"/>
    <w:rsid w:val="0062111D"/>
    <w:rsid w:val="0064082B"/>
    <w:rsid w:val="00641326"/>
    <w:rsid w:val="006428D5"/>
    <w:rsid w:val="006453CA"/>
    <w:rsid w:val="00645952"/>
    <w:rsid w:val="00651CB6"/>
    <w:rsid w:val="00653A5B"/>
    <w:rsid w:val="00656DF5"/>
    <w:rsid w:val="00661628"/>
    <w:rsid w:val="006635D9"/>
    <w:rsid w:val="0066370D"/>
    <w:rsid w:val="00667589"/>
    <w:rsid w:val="0067088B"/>
    <w:rsid w:val="006737E8"/>
    <w:rsid w:val="0068222E"/>
    <w:rsid w:val="00682699"/>
    <w:rsid w:val="00683A09"/>
    <w:rsid w:val="0068673D"/>
    <w:rsid w:val="00686D5C"/>
    <w:rsid w:val="00693FE3"/>
    <w:rsid w:val="006973D1"/>
    <w:rsid w:val="006A10D0"/>
    <w:rsid w:val="006A3C7C"/>
    <w:rsid w:val="006C591B"/>
    <w:rsid w:val="006C79FF"/>
    <w:rsid w:val="006D745E"/>
    <w:rsid w:val="00702D19"/>
    <w:rsid w:val="00706969"/>
    <w:rsid w:val="0071253B"/>
    <w:rsid w:val="00717012"/>
    <w:rsid w:val="007241A6"/>
    <w:rsid w:val="00727F42"/>
    <w:rsid w:val="0074169D"/>
    <w:rsid w:val="00752C57"/>
    <w:rsid w:val="00753AAF"/>
    <w:rsid w:val="00754905"/>
    <w:rsid w:val="00760EC3"/>
    <w:rsid w:val="00767E3D"/>
    <w:rsid w:val="00770A69"/>
    <w:rsid w:val="00771068"/>
    <w:rsid w:val="00772B54"/>
    <w:rsid w:val="00773BB8"/>
    <w:rsid w:val="00777503"/>
    <w:rsid w:val="00777F73"/>
    <w:rsid w:val="007838FE"/>
    <w:rsid w:val="00786F0E"/>
    <w:rsid w:val="00793A67"/>
    <w:rsid w:val="00794026"/>
    <w:rsid w:val="00795CF6"/>
    <w:rsid w:val="007A2EF1"/>
    <w:rsid w:val="007A380B"/>
    <w:rsid w:val="007A4833"/>
    <w:rsid w:val="007B627E"/>
    <w:rsid w:val="007C498D"/>
    <w:rsid w:val="007D038E"/>
    <w:rsid w:val="007D5E1E"/>
    <w:rsid w:val="007F0328"/>
    <w:rsid w:val="007F1BDE"/>
    <w:rsid w:val="00803780"/>
    <w:rsid w:val="008160AA"/>
    <w:rsid w:val="0082293E"/>
    <w:rsid w:val="00822BE1"/>
    <w:rsid w:val="00826474"/>
    <w:rsid w:val="00830312"/>
    <w:rsid w:val="00833028"/>
    <w:rsid w:val="00833D6D"/>
    <w:rsid w:val="00833EE4"/>
    <w:rsid w:val="008509D7"/>
    <w:rsid w:val="00853C59"/>
    <w:rsid w:val="00856DF3"/>
    <w:rsid w:val="008578AB"/>
    <w:rsid w:val="008622F6"/>
    <w:rsid w:val="008658C8"/>
    <w:rsid w:val="0086794F"/>
    <w:rsid w:val="00872314"/>
    <w:rsid w:val="00872359"/>
    <w:rsid w:val="00877BB1"/>
    <w:rsid w:val="0088254B"/>
    <w:rsid w:val="00883F82"/>
    <w:rsid w:val="00894023"/>
    <w:rsid w:val="00894668"/>
    <w:rsid w:val="00896CE0"/>
    <w:rsid w:val="00897263"/>
    <w:rsid w:val="00897800"/>
    <w:rsid w:val="00897FE7"/>
    <w:rsid w:val="008B0578"/>
    <w:rsid w:val="008B0B71"/>
    <w:rsid w:val="008B2A94"/>
    <w:rsid w:val="008B56DF"/>
    <w:rsid w:val="008B61FE"/>
    <w:rsid w:val="008B6946"/>
    <w:rsid w:val="008C089D"/>
    <w:rsid w:val="008D0614"/>
    <w:rsid w:val="008D63F4"/>
    <w:rsid w:val="008E211C"/>
    <w:rsid w:val="008E25F6"/>
    <w:rsid w:val="008E32C3"/>
    <w:rsid w:val="008E4B56"/>
    <w:rsid w:val="008E6A5A"/>
    <w:rsid w:val="00900DF3"/>
    <w:rsid w:val="0090199F"/>
    <w:rsid w:val="00912B79"/>
    <w:rsid w:val="00915176"/>
    <w:rsid w:val="00915421"/>
    <w:rsid w:val="00920636"/>
    <w:rsid w:val="00920BE2"/>
    <w:rsid w:val="00921386"/>
    <w:rsid w:val="00926160"/>
    <w:rsid w:val="00926E56"/>
    <w:rsid w:val="00927D8A"/>
    <w:rsid w:val="00930067"/>
    <w:rsid w:val="00931053"/>
    <w:rsid w:val="00937E0E"/>
    <w:rsid w:val="00953791"/>
    <w:rsid w:val="0095661C"/>
    <w:rsid w:val="00961DF9"/>
    <w:rsid w:val="009624A2"/>
    <w:rsid w:val="0096298A"/>
    <w:rsid w:val="009637E3"/>
    <w:rsid w:val="00966F94"/>
    <w:rsid w:val="00970C42"/>
    <w:rsid w:val="00972710"/>
    <w:rsid w:val="009734F4"/>
    <w:rsid w:val="00974155"/>
    <w:rsid w:val="00980BAD"/>
    <w:rsid w:val="00980F10"/>
    <w:rsid w:val="00986911"/>
    <w:rsid w:val="00991071"/>
    <w:rsid w:val="009948ED"/>
    <w:rsid w:val="009957BC"/>
    <w:rsid w:val="00995C7F"/>
    <w:rsid w:val="0099788E"/>
    <w:rsid w:val="009A33C3"/>
    <w:rsid w:val="009A3779"/>
    <w:rsid w:val="009A47A5"/>
    <w:rsid w:val="009A538A"/>
    <w:rsid w:val="009B0368"/>
    <w:rsid w:val="009B07B9"/>
    <w:rsid w:val="009B3024"/>
    <w:rsid w:val="009B45A4"/>
    <w:rsid w:val="009B4AA9"/>
    <w:rsid w:val="009B4B88"/>
    <w:rsid w:val="009B6587"/>
    <w:rsid w:val="009B7811"/>
    <w:rsid w:val="009C0AFC"/>
    <w:rsid w:val="009C2AC4"/>
    <w:rsid w:val="009C4101"/>
    <w:rsid w:val="009C6073"/>
    <w:rsid w:val="009D4804"/>
    <w:rsid w:val="009D7581"/>
    <w:rsid w:val="009E191F"/>
    <w:rsid w:val="009E3830"/>
    <w:rsid w:val="009E38F5"/>
    <w:rsid w:val="009E492B"/>
    <w:rsid w:val="009E5763"/>
    <w:rsid w:val="009E6251"/>
    <w:rsid w:val="009F25B7"/>
    <w:rsid w:val="009F6D3B"/>
    <w:rsid w:val="00A007F2"/>
    <w:rsid w:val="00A05CFC"/>
    <w:rsid w:val="00A104D6"/>
    <w:rsid w:val="00A11F2F"/>
    <w:rsid w:val="00A146B4"/>
    <w:rsid w:val="00A16AAB"/>
    <w:rsid w:val="00A20CCA"/>
    <w:rsid w:val="00A2154F"/>
    <w:rsid w:val="00A33D03"/>
    <w:rsid w:val="00A348DC"/>
    <w:rsid w:val="00A35D31"/>
    <w:rsid w:val="00A42666"/>
    <w:rsid w:val="00A510DA"/>
    <w:rsid w:val="00A512D6"/>
    <w:rsid w:val="00A560C1"/>
    <w:rsid w:val="00A61A72"/>
    <w:rsid w:val="00A6461C"/>
    <w:rsid w:val="00A64A2E"/>
    <w:rsid w:val="00A654A8"/>
    <w:rsid w:val="00A73C63"/>
    <w:rsid w:val="00A81A0C"/>
    <w:rsid w:val="00A93809"/>
    <w:rsid w:val="00A95A27"/>
    <w:rsid w:val="00AA00EC"/>
    <w:rsid w:val="00AA07AD"/>
    <w:rsid w:val="00AA1A8C"/>
    <w:rsid w:val="00AA4AEE"/>
    <w:rsid w:val="00AA4EBE"/>
    <w:rsid w:val="00AA6D4B"/>
    <w:rsid w:val="00AB0BD5"/>
    <w:rsid w:val="00AB4026"/>
    <w:rsid w:val="00AB594E"/>
    <w:rsid w:val="00AC11C1"/>
    <w:rsid w:val="00AC1A25"/>
    <w:rsid w:val="00AD236B"/>
    <w:rsid w:val="00AD6C7F"/>
    <w:rsid w:val="00AE6713"/>
    <w:rsid w:val="00AF1C04"/>
    <w:rsid w:val="00AF3AD3"/>
    <w:rsid w:val="00B01A69"/>
    <w:rsid w:val="00B114D6"/>
    <w:rsid w:val="00B14A05"/>
    <w:rsid w:val="00B15727"/>
    <w:rsid w:val="00B20916"/>
    <w:rsid w:val="00B20D15"/>
    <w:rsid w:val="00B2130F"/>
    <w:rsid w:val="00B23A6B"/>
    <w:rsid w:val="00B24C60"/>
    <w:rsid w:val="00B34AFE"/>
    <w:rsid w:val="00B4046D"/>
    <w:rsid w:val="00B46CC5"/>
    <w:rsid w:val="00B54299"/>
    <w:rsid w:val="00B54CC0"/>
    <w:rsid w:val="00B5505A"/>
    <w:rsid w:val="00B6310A"/>
    <w:rsid w:val="00B743DB"/>
    <w:rsid w:val="00B74871"/>
    <w:rsid w:val="00B86015"/>
    <w:rsid w:val="00B8681F"/>
    <w:rsid w:val="00B87009"/>
    <w:rsid w:val="00B87C6A"/>
    <w:rsid w:val="00B919D9"/>
    <w:rsid w:val="00B91D15"/>
    <w:rsid w:val="00B95AFD"/>
    <w:rsid w:val="00B96CAF"/>
    <w:rsid w:val="00B970DA"/>
    <w:rsid w:val="00BB21CA"/>
    <w:rsid w:val="00BC4887"/>
    <w:rsid w:val="00BD25B2"/>
    <w:rsid w:val="00BD714F"/>
    <w:rsid w:val="00BE3A10"/>
    <w:rsid w:val="00BF211E"/>
    <w:rsid w:val="00C03BAD"/>
    <w:rsid w:val="00C057F2"/>
    <w:rsid w:val="00C06B5C"/>
    <w:rsid w:val="00C07E37"/>
    <w:rsid w:val="00C10036"/>
    <w:rsid w:val="00C162C9"/>
    <w:rsid w:val="00C16AF1"/>
    <w:rsid w:val="00C2248B"/>
    <w:rsid w:val="00C2505D"/>
    <w:rsid w:val="00C260F9"/>
    <w:rsid w:val="00C318B7"/>
    <w:rsid w:val="00C34D1F"/>
    <w:rsid w:val="00C34EAA"/>
    <w:rsid w:val="00C37A42"/>
    <w:rsid w:val="00C443AA"/>
    <w:rsid w:val="00C60F2C"/>
    <w:rsid w:val="00C744BD"/>
    <w:rsid w:val="00C80319"/>
    <w:rsid w:val="00C81BF5"/>
    <w:rsid w:val="00C82CAD"/>
    <w:rsid w:val="00C83532"/>
    <w:rsid w:val="00C93660"/>
    <w:rsid w:val="00C945A3"/>
    <w:rsid w:val="00CA386A"/>
    <w:rsid w:val="00CA68EC"/>
    <w:rsid w:val="00CB00E7"/>
    <w:rsid w:val="00CB3220"/>
    <w:rsid w:val="00CE0BDE"/>
    <w:rsid w:val="00CE7ACD"/>
    <w:rsid w:val="00CF0E5C"/>
    <w:rsid w:val="00CF11B1"/>
    <w:rsid w:val="00CF150E"/>
    <w:rsid w:val="00CF1D97"/>
    <w:rsid w:val="00D02B6E"/>
    <w:rsid w:val="00D04055"/>
    <w:rsid w:val="00D06CFF"/>
    <w:rsid w:val="00D226C5"/>
    <w:rsid w:val="00D23F73"/>
    <w:rsid w:val="00D30D6E"/>
    <w:rsid w:val="00D33E35"/>
    <w:rsid w:val="00D37CC9"/>
    <w:rsid w:val="00D41E8A"/>
    <w:rsid w:val="00D462BD"/>
    <w:rsid w:val="00D56664"/>
    <w:rsid w:val="00D57356"/>
    <w:rsid w:val="00D63F73"/>
    <w:rsid w:val="00D65FCF"/>
    <w:rsid w:val="00D70E92"/>
    <w:rsid w:val="00D7218C"/>
    <w:rsid w:val="00D767D4"/>
    <w:rsid w:val="00D77009"/>
    <w:rsid w:val="00D80043"/>
    <w:rsid w:val="00D80503"/>
    <w:rsid w:val="00D9673C"/>
    <w:rsid w:val="00DA00B1"/>
    <w:rsid w:val="00DA16CB"/>
    <w:rsid w:val="00DA36F3"/>
    <w:rsid w:val="00DA4B0F"/>
    <w:rsid w:val="00DB0869"/>
    <w:rsid w:val="00DB3052"/>
    <w:rsid w:val="00DC5B23"/>
    <w:rsid w:val="00DC77EB"/>
    <w:rsid w:val="00DD248C"/>
    <w:rsid w:val="00DD3645"/>
    <w:rsid w:val="00DD512C"/>
    <w:rsid w:val="00DE29D2"/>
    <w:rsid w:val="00DE690C"/>
    <w:rsid w:val="00DE699C"/>
    <w:rsid w:val="00E01C45"/>
    <w:rsid w:val="00E02DDD"/>
    <w:rsid w:val="00E05EC5"/>
    <w:rsid w:val="00E115DE"/>
    <w:rsid w:val="00E1559A"/>
    <w:rsid w:val="00E16704"/>
    <w:rsid w:val="00E21AFC"/>
    <w:rsid w:val="00E24D57"/>
    <w:rsid w:val="00E34360"/>
    <w:rsid w:val="00E4489F"/>
    <w:rsid w:val="00E614E7"/>
    <w:rsid w:val="00E636D6"/>
    <w:rsid w:val="00E70C06"/>
    <w:rsid w:val="00E83C08"/>
    <w:rsid w:val="00E859D5"/>
    <w:rsid w:val="00E868DF"/>
    <w:rsid w:val="00E95627"/>
    <w:rsid w:val="00E956C0"/>
    <w:rsid w:val="00E95F8C"/>
    <w:rsid w:val="00E96654"/>
    <w:rsid w:val="00E977B7"/>
    <w:rsid w:val="00EA1C2C"/>
    <w:rsid w:val="00EA40A3"/>
    <w:rsid w:val="00EC26E8"/>
    <w:rsid w:val="00EC31D6"/>
    <w:rsid w:val="00EC3AAE"/>
    <w:rsid w:val="00EE1B49"/>
    <w:rsid w:val="00EE1BAB"/>
    <w:rsid w:val="00EE5673"/>
    <w:rsid w:val="00EF2542"/>
    <w:rsid w:val="00EF30D9"/>
    <w:rsid w:val="00EF41EC"/>
    <w:rsid w:val="00F02038"/>
    <w:rsid w:val="00F025CA"/>
    <w:rsid w:val="00F1190E"/>
    <w:rsid w:val="00F1469E"/>
    <w:rsid w:val="00F17DAA"/>
    <w:rsid w:val="00F2372F"/>
    <w:rsid w:val="00F237BA"/>
    <w:rsid w:val="00F24173"/>
    <w:rsid w:val="00F261B7"/>
    <w:rsid w:val="00F26568"/>
    <w:rsid w:val="00F27B9B"/>
    <w:rsid w:val="00F313CC"/>
    <w:rsid w:val="00F32CBA"/>
    <w:rsid w:val="00F35C95"/>
    <w:rsid w:val="00F36F34"/>
    <w:rsid w:val="00F42B49"/>
    <w:rsid w:val="00F444E2"/>
    <w:rsid w:val="00F5148F"/>
    <w:rsid w:val="00F518E9"/>
    <w:rsid w:val="00F51D33"/>
    <w:rsid w:val="00F53A10"/>
    <w:rsid w:val="00F71BE1"/>
    <w:rsid w:val="00F7325B"/>
    <w:rsid w:val="00F85394"/>
    <w:rsid w:val="00F858A4"/>
    <w:rsid w:val="00F9118B"/>
    <w:rsid w:val="00F92600"/>
    <w:rsid w:val="00F94170"/>
    <w:rsid w:val="00F977CA"/>
    <w:rsid w:val="00FA583E"/>
    <w:rsid w:val="00FA6332"/>
    <w:rsid w:val="00FB1894"/>
    <w:rsid w:val="00FB2188"/>
    <w:rsid w:val="00FC1B7D"/>
    <w:rsid w:val="00FC31DC"/>
    <w:rsid w:val="00FC39B6"/>
    <w:rsid w:val="00FC4FA0"/>
    <w:rsid w:val="00FC6EB1"/>
    <w:rsid w:val="00FC7C9C"/>
    <w:rsid w:val="00FD13F4"/>
    <w:rsid w:val="00FE049A"/>
    <w:rsid w:val="00FF5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9824"/>
  <w15:docId w15:val="{35C5FF4A-D8CC-AC4F-929C-E8D1AC7E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0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numbering" w:customStyle="1" w:styleId="Numbered">
    <w:name w:val="Numbered"/>
    <w:pPr>
      <w:numPr>
        <w:numId w:val="1"/>
      </w:numPr>
    </w:pPr>
  </w:style>
  <w:style w:type="paragraph" w:customStyle="1" w:styleId="Footnote">
    <w:name w:val="Footnote"/>
    <w:rPr>
      <w:rFonts w:ascii="Helvetica Neue" w:hAnsi="Helvetica Neue" w:cs="Arial Unicode MS"/>
      <w:color w:val="000000"/>
      <w:sz w:val="22"/>
      <w:szCs w:val="22"/>
      <w:lang w:val="en-US"/>
    </w:rPr>
  </w:style>
  <w:style w:type="character" w:customStyle="1" w:styleId="Hyperlink0">
    <w:name w:val="Hyperlink.0"/>
    <w:basedOn w:val="Hyperlink"/>
    <w:rPr>
      <w:u w:val="single"/>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Hyperlink0"/>
    <w:rPr>
      <w:color w:val="0563C1"/>
      <w:u w:val="single" w:color="0563C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55C69"/>
    <w:rPr>
      <w:sz w:val="18"/>
      <w:szCs w:val="18"/>
    </w:rPr>
  </w:style>
  <w:style w:type="character" w:customStyle="1" w:styleId="BalloonTextChar">
    <w:name w:val="Balloon Text Char"/>
    <w:basedOn w:val="DefaultParagraphFont"/>
    <w:link w:val="BalloonText"/>
    <w:uiPriority w:val="99"/>
    <w:semiHidden/>
    <w:rsid w:val="00555C69"/>
    <w:rPr>
      <w:sz w:val="18"/>
      <w:szCs w:val="18"/>
      <w:lang w:val="en-US"/>
    </w:rPr>
  </w:style>
  <w:style w:type="paragraph" w:styleId="FootnoteText">
    <w:name w:val="footnote text"/>
    <w:basedOn w:val="Normal"/>
    <w:link w:val="FootnoteTextChar"/>
    <w:uiPriority w:val="99"/>
    <w:semiHidden/>
    <w:unhideWhenUsed/>
    <w:rsid w:val="00752C57"/>
    <w:rPr>
      <w:sz w:val="20"/>
      <w:szCs w:val="20"/>
    </w:rPr>
  </w:style>
  <w:style w:type="character" w:customStyle="1" w:styleId="FootnoteTextChar">
    <w:name w:val="Footnote Text Char"/>
    <w:basedOn w:val="DefaultParagraphFont"/>
    <w:link w:val="FootnoteText"/>
    <w:uiPriority w:val="99"/>
    <w:semiHidden/>
    <w:rsid w:val="00752C57"/>
    <w:rPr>
      <w:lang w:val="en-US"/>
    </w:rPr>
  </w:style>
  <w:style w:type="character" w:styleId="FootnoteReference">
    <w:name w:val="footnote reference"/>
    <w:basedOn w:val="DefaultParagraphFont"/>
    <w:uiPriority w:val="99"/>
    <w:semiHidden/>
    <w:unhideWhenUsed/>
    <w:rsid w:val="00752C57"/>
    <w:rPr>
      <w:vertAlign w:val="superscript"/>
    </w:rPr>
  </w:style>
  <w:style w:type="paragraph" w:styleId="CommentSubject">
    <w:name w:val="annotation subject"/>
    <w:basedOn w:val="CommentText"/>
    <w:next w:val="CommentText"/>
    <w:link w:val="CommentSubjectChar"/>
    <w:uiPriority w:val="99"/>
    <w:semiHidden/>
    <w:unhideWhenUsed/>
    <w:rsid w:val="0068222E"/>
    <w:rPr>
      <w:b/>
      <w:bCs/>
    </w:rPr>
  </w:style>
  <w:style w:type="character" w:customStyle="1" w:styleId="CommentSubjectChar">
    <w:name w:val="Comment Subject Char"/>
    <w:basedOn w:val="CommentTextChar"/>
    <w:link w:val="CommentSubject"/>
    <w:uiPriority w:val="99"/>
    <w:semiHidden/>
    <w:rsid w:val="0068222E"/>
    <w:rPr>
      <w:b/>
      <w:bCs/>
      <w:lang w:val="en-US"/>
    </w:rPr>
  </w:style>
  <w:style w:type="paragraph" w:styleId="Caption">
    <w:name w:val="caption"/>
    <w:basedOn w:val="Normal"/>
    <w:next w:val="Normal"/>
    <w:uiPriority w:val="35"/>
    <w:unhideWhenUsed/>
    <w:qFormat/>
    <w:rsid w:val="003A1C8E"/>
    <w:pPr>
      <w:spacing w:after="200"/>
    </w:pPr>
    <w:rPr>
      <w:i/>
      <w:iCs/>
      <w:color w:val="5E5E5E" w:themeColor="text2"/>
      <w:sz w:val="18"/>
      <w:szCs w:val="18"/>
    </w:rPr>
  </w:style>
  <w:style w:type="character" w:styleId="UnresolvedMention">
    <w:name w:val="Unresolved Mention"/>
    <w:basedOn w:val="DefaultParagraphFont"/>
    <w:uiPriority w:val="99"/>
    <w:semiHidden/>
    <w:unhideWhenUsed/>
    <w:rsid w:val="008B61FE"/>
    <w:rPr>
      <w:color w:val="605E5C"/>
      <w:shd w:val="clear" w:color="auto" w:fill="E1DFDD"/>
    </w:rPr>
  </w:style>
  <w:style w:type="character" w:styleId="FollowedHyperlink">
    <w:name w:val="FollowedHyperlink"/>
    <w:basedOn w:val="DefaultParagraphFont"/>
    <w:uiPriority w:val="99"/>
    <w:semiHidden/>
    <w:unhideWhenUsed/>
    <w:rsid w:val="00EF2542"/>
    <w:rPr>
      <w:color w:val="FF00FF" w:themeColor="followedHyperlink"/>
      <w:u w:val="single"/>
    </w:rPr>
  </w:style>
  <w:style w:type="paragraph" w:styleId="ListParagraph">
    <w:name w:val="List Paragraph"/>
    <w:basedOn w:val="Normal"/>
    <w:uiPriority w:val="34"/>
    <w:qFormat/>
    <w:rsid w:val="00066C99"/>
    <w:pPr>
      <w:pBdr>
        <w:top w:val="none" w:sz="0" w:space="0" w:color="auto"/>
        <w:left w:val="none" w:sz="0" w:space="0" w:color="auto"/>
        <w:bottom w:val="none" w:sz="0" w:space="0" w:color="auto"/>
        <w:right w:val="none" w:sz="0" w:space="0" w:color="auto"/>
        <w:between w:val="none" w:sz="0" w:space="0" w:color="auto"/>
        <w:bar w:val="none" w:sz="0" w:color="auto"/>
      </w:pBdr>
      <w:spacing w:afterLines="120" w:after="120" w:line="360" w:lineRule="auto"/>
      <w:ind w:left="720" w:firstLine="720"/>
      <w:contextualSpacing/>
      <w:jc w:val="both"/>
    </w:pPr>
    <w:rPr>
      <w:rFonts w:asciiTheme="minorHAnsi" w:eastAsiaTheme="minorHAnsi" w:hAnsiTheme="minorHAnsi" w:cstheme="minorBidi"/>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22921">
      <w:bodyDiv w:val="1"/>
      <w:marLeft w:val="0"/>
      <w:marRight w:val="0"/>
      <w:marTop w:val="0"/>
      <w:marBottom w:val="0"/>
      <w:divBdr>
        <w:top w:val="none" w:sz="0" w:space="0" w:color="auto"/>
        <w:left w:val="none" w:sz="0" w:space="0" w:color="auto"/>
        <w:bottom w:val="none" w:sz="0" w:space="0" w:color="auto"/>
        <w:right w:val="none" w:sz="0" w:space="0" w:color="auto"/>
      </w:divBdr>
    </w:div>
    <w:div w:id="1174807668">
      <w:bodyDiv w:val="1"/>
      <w:marLeft w:val="0"/>
      <w:marRight w:val="0"/>
      <w:marTop w:val="0"/>
      <w:marBottom w:val="0"/>
      <w:divBdr>
        <w:top w:val="none" w:sz="0" w:space="0" w:color="auto"/>
        <w:left w:val="none" w:sz="0" w:space="0" w:color="auto"/>
        <w:bottom w:val="none" w:sz="0" w:space="0" w:color="auto"/>
        <w:right w:val="none" w:sz="0" w:space="0" w:color="auto"/>
      </w:divBdr>
      <w:divsChild>
        <w:div w:id="1027176425">
          <w:marLeft w:val="0"/>
          <w:marRight w:val="0"/>
          <w:marTop w:val="0"/>
          <w:marBottom w:val="0"/>
          <w:divBdr>
            <w:top w:val="none" w:sz="0" w:space="0" w:color="auto"/>
            <w:left w:val="none" w:sz="0" w:space="0" w:color="auto"/>
            <w:bottom w:val="none" w:sz="0" w:space="0" w:color="auto"/>
            <w:right w:val="none" w:sz="0" w:space="0" w:color="auto"/>
          </w:divBdr>
          <w:divsChild>
            <w:div w:id="1495223089">
              <w:marLeft w:val="0"/>
              <w:marRight w:val="0"/>
              <w:marTop w:val="0"/>
              <w:marBottom w:val="0"/>
              <w:divBdr>
                <w:top w:val="none" w:sz="0" w:space="0" w:color="auto"/>
                <w:left w:val="none" w:sz="0" w:space="0" w:color="auto"/>
                <w:bottom w:val="none" w:sz="0" w:space="0" w:color="auto"/>
                <w:right w:val="none" w:sz="0" w:space="0" w:color="auto"/>
              </w:divBdr>
              <w:divsChild>
                <w:div w:id="179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7515">
      <w:bodyDiv w:val="1"/>
      <w:marLeft w:val="0"/>
      <w:marRight w:val="0"/>
      <w:marTop w:val="0"/>
      <w:marBottom w:val="0"/>
      <w:divBdr>
        <w:top w:val="none" w:sz="0" w:space="0" w:color="auto"/>
        <w:left w:val="none" w:sz="0" w:space="0" w:color="auto"/>
        <w:bottom w:val="none" w:sz="0" w:space="0" w:color="auto"/>
        <w:right w:val="none" w:sz="0" w:space="0" w:color="auto"/>
      </w:divBdr>
    </w:div>
    <w:div w:id="1554460356">
      <w:bodyDiv w:val="1"/>
      <w:marLeft w:val="0"/>
      <w:marRight w:val="0"/>
      <w:marTop w:val="0"/>
      <w:marBottom w:val="0"/>
      <w:divBdr>
        <w:top w:val="none" w:sz="0" w:space="0" w:color="auto"/>
        <w:left w:val="none" w:sz="0" w:space="0" w:color="auto"/>
        <w:bottom w:val="none" w:sz="0" w:space="0" w:color="auto"/>
        <w:right w:val="none" w:sz="0" w:space="0" w:color="auto"/>
      </w:divBdr>
    </w:div>
    <w:div w:id="1808163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sra.org.uk/documents/SRA/consultations/sqe-annex-1-assessment-specification.pdf" TargetMode="External"/><Relationship Id="rId7" Type="http://schemas.openxmlformats.org/officeDocument/2006/relationships/hyperlink" Target="https://publiclawforeveryone.com/2017/03/22/she-is-constitutionally-absolutely-wrong-the-lord-chief-justice-on-the-lord-chancellor/" TargetMode="External"/><Relationship Id="rId2" Type="http://schemas.openxmlformats.org/officeDocument/2006/relationships/hyperlink" Target="https://www.nytimes.com/2015/02/15/business/behind-monopoly-an-inventor-who-didnt-pass-go.html" TargetMode="External"/><Relationship Id="rId1" Type="http://schemas.openxmlformats.org/officeDocument/2006/relationships/hyperlink" Target="mailto:david.yuratich@rhul.ac.uk" TargetMode="External"/><Relationship Id="rId6" Type="http://schemas.openxmlformats.org/officeDocument/2006/relationships/hyperlink" Target="https://doi.org/10.1080/03069400.2019.1635373" TargetMode="External"/><Relationship Id="rId5" Type="http://schemas.openxmlformats.org/officeDocument/2006/relationships/hyperlink" Target="https://www.gov.uk/government/speeches/the-legislation-game" TargetMode="External"/><Relationship Id="rId4" Type="http://schemas.openxmlformats.org/officeDocument/2006/relationships/hyperlink" Target="http://www.qaa.ac.uk/docs/qaa/subject-benchmark-statements/sbs-law-15.pdf?sfvrsn=ff99f781_10"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44E9E-FFF8-C14F-A696-FDD24353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5742</Words>
  <Characters>32731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Yuratich, David</cp:lastModifiedBy>
  <cp:revision>3</cp:revision>
  <dcterms:created xsi:type="dcterms:W3CDTF">2020-05-12T13:31:00Z</dcterms:created>
  <dcterms:modified xsi:type="dcterms:W3CDTF">2020-05-12T13:32:00Z</dcterms:modified>
</cp:coreProperties>
</file>