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2A40" w14:textId="3DE3B799" w:rsidR="00A55BBA" w:rsidRDefault="00D721C2" w:rsidP="007C3BE2">
      <w:pPr>
        <w:pStyle w:val="Heading7"/>
        <w:numPr>
          <w:ilvl w:val="0"/>
          <w:numId w:val="0"/>
        </w:numPr>
        <w:spacing w:line="276" w:lineRule="auto"/>
        <w:jc w:val="center"/>
        <w:rPr>
          <w:rFonts w:eastAsia="Times New Roman" w:cs="Times New Roman"/>
        </w:rPr>
      </w:pPr>
      <w:bookmarkStart w:id="0" w:name="_Toc491859132"/>
      <w:bookmarkStart w:id="1" w:name="_Toc494801008"/>
      <w:bookmarkStart w:id="2" w:name="_GoBack"/>
      <w:bookmarkEnd w:id="2"/>
      <w:r>
        <w:rPr>
          <w:rFonts w:eastAsia="Times New Roman" w:cs="Times New Roman"/>
        </w:rPr>
        <w:t xml:space="preserve">Developing </w:t>
      </w:r>
      <w:r w:rsidR="00A55BBA">
        <w:rPr>
          <w:rFonts w:eastAsia="Times New Roman" w:cs="Times New Roman"/>
        </w:rPr>
        <w:t xml:space="preserve">Mental Health Awareness and Help Seeking in Prison: </w:t>
      </w:r>
      <w:r w:rsidR="00CA3E84">
        <w:rPr>
          <w:rFonts w:eastAsia="Times New Roman" w:cs="Times New Roman"/>
        </w:rPr>
        <w:t xml:space="preserve">                                  </w:t>
      </w:r>
      <w:r w:rsidR="00A55BBA">
        <w:rPr>
          <w:rFonts w:eastAsia="Times New Roman" w:cs="Times New Roman"/>
        </w:rPr>
        <w:t xml:space="preserve">A Feasibility Study of </w:t>
      </w:r>
      <w:r w:rsidR="007C3BE2">
        <w:rPr>
          <w:rFonts w:eastAsia="Times New Roman" w:cs="Times New Roman"/>
        </w:rPr>
        <w:t>the State of Mind Sport Programme.</w:t>
      </w:r>
    </w:p>
    <w:p w14:paraId="1A76E727" w14:textId="331AB930" w:rsidR="00DE2DB0" w:rsidRPr="00CA3E84" w:rsidRDefault="00DE2DB0" w:rsidP="00455269">
      <w:pPr>
        <w:pStyle w:val="Heading7"/>
        <w:numPr>
          <w:ilvl w:val="0"/>
          <w:numId w:val="0"/>
        </w:numPr>
        <w:spacing w:line="276" w:lineRule="auto"/>
        <w:rPr>
          <w:rFonts w:eastAsia="Times New Roman" w:cs="Times New Roman"/>
          <w:u w:val="single"/>
        </w:rPr>
      </w:pPr>
      <w:r w:rsidRPr="00CA3E84">
        <w:rPr>
          <w:rFonts w:eastAsia="Times New Roman" w:cs="Times New Roman"/>
          <w:u w:val="single"/>
        </w:rPr>
        <w:t>Abstract</w:t>
      </w:r>
      <w:bookmarkEnd w:id="0"/>
      <w:bookmarkEnd w:id="1"/>
    </w:p>
    <w:p w14:paraId="682F7BE9" w14:textId="77777777" w:rsidR="007D406A" w:rsidRPr="005A4EDE" w:rsidRDefault="00693C8F" w:rsidP="00455269">
      <w:pPr>
        <w:spacing w:before="100" w:beforeAutospacing="1" w:after="100" w:afterAutospacing="1" w:line="276" w:lineRule="auto"/>
        <w:rPr>
          <w:b/>
          <w:bCs/>
        </w:rPr>
      </w:pPr>
      <w:r w:rsidRPr="00693C8F">
        <w:rPr>
          <w:b/>
          <w:bCs/>
        </w:rPr>
        <w:t xml:space="preserve">Purpose </w:t>
      </w:r>
    </w:p>
    <w:p w14:paraId="538562B4" w14:textId="267EA1A6" w:rsidR="00693C8F" w:rsidRPr="00693C8F" w:rsidRDefault="00C759BA" w:rsidP="00455269">
      <w:pPr>
        <w:spacing w:before="100" w:beforeAutospacing="1" w:after="100" w:afterAutospacing="1" w:line="276" w:lineRule="auto"/>
        <w:rPr>
          <w:bCs/>
        </w:rPr>
      </w:pPr>
      <w:r w:rsidRPr="005A4EDE">
        <w:rPr>
          <w:bCs/>
        </w:rPr>
        <w:t xml:space="preserve">The high prevalence of mental illness within the prison population necessitates innovative mental health </w:t>
      </w:r>
      <w:r w:rsidR="008F6BD1">
        <w:rPr>
          <w:bCs/>
        </w:rPr>
        <w:t>awareness</w:t>
      </w:r>
      <w:r w:rsidR="00A1196F">
        <w:rPr>
          <w:bCs/>
        </w:rPr>
        <w:t xml:space="preserve"> provision</w:t>
      </w:r>
      <w:r w:rsidRPr="005A4EDE">
        <w:rPr>
          <w:bCs/>
        </w:rPr>
        <w:t>.</w:t>
      </w:r>
      <w:r w:rsidR="00360D7C" w:rsidRPr="005A4EDE">
        <w:rPr>
          <w:bCs/>
        </w:rPr>
        <w:t xml:space="preserve"> This feasibility study with 75 males (47 intervention; 28 control) evaluated State of Mind </w:t>
      </w:r>
      <w:r w:rsidR="00FD7455" w:rsidRPr="005A4EDE">
        <w:rPr>
          <w:bCs/>
        </w:rPr>
        <w:t>Sport, originally</w:t>
      </w:r>
      <w:r w:rsidR="007D58EE" w:rsidRPr="005A4EDE">
        <w:rPr>
          <w:bCs/>
        </w:rPr>
        <w:t xml:space="preserve"> developed as a community based mental health and well-being initiative,</w:t>
      </w:r>
      <w:r w:rsidR="00360D7C" w:rsidRPr="005A4EDE">
        <w:rPr>
          <w:bCs/>
        </w:rPr>
        <w:t xml:space="preserve"> in a notoriously challenging prison setting.</w:t>
      </w:r>
    </w:p>
    <w:p w14:paraId="71935259" w14:textId="44C26D90" w:rsidR="00F03EBC" w:rsidRPr="005A4EDE" w:rsidRDefault="00693C8F" w:rsidP="00455269">
      <w:pPr>
        <w:spacing w:before="100" w:beforeAutospacing="1" w:after="100" w:afterAutospacing="1" w:line="276" w:lineRule="auto"/>
        <w:rPr>
          <w:b/>
          <w:bCs/>
        </w:rPr>
      </w:pPr>
      <w:r w:rsidRPr="00693C8F">
        <w:rPr>
          <w:b/>
          <w:bCs/>
        </w:rPr>
        <w:t xml:space="preserve">Design </w:t>
      </w:r>
    </w:p>
    <w:p w14:paraId="0CCB03EB" w14:textId="7B9ECA37" w:rsidR="00693C8F" w:rsidRPr="00693C8F" w:rsidRDefault="002C2445" w:rsidP="00455269">
      <w:pPr>
        <w:spacing w:before="100" w:beforeAutospacing="1" w:after="100" w:afterAutospacing="1" w:line="276" w:lineRule="auto"/>
        <w:rPr>
          <w:bCs/>
        </w:rPr>
      </w:pPr>
      <w:r>
        <w:rPr>
          <w:bCs/>
        </w:rPr>
        <w:t xml:space="preserve">A </w:t>
      </w:r>
      <w:r w:rsidRPr="00D9272F">
        <w:rPr>
          <w:bCs/>
        </w:rPr>
        <w:t xml:space="preserve">mixed </w:t>
      </w:r>
      <w:r>
        <w:rPr>
          <w:bCs/>
        </w:rPr>
        <w:t>2</w:t>
      </w:r>
      <w:r w:rsidR="00D371A8">
        <w:rPr>
          <w:bCs/>
        </w:rPr>
        <w:t xml:space="preserve"> (group)</w:t>
      </w:r>
      <w:r>
        <w:rPr>
          <w:bCs/>
        </w:rPr>
        <w:t xml:space="preserve"> x 2</w:t>
      </w:r>
      <w:r w:rsidR="00D371A8">
        <w:rPr>
          <w:bCs/>
        </w:rPr>
        <w:t xml:space="preserve"> (time)</w:t>
      </w:r>
      <w:r>
        <w:rPr>
          <w:bCs/>
        </w:rPr>
        <w:t xml:space="preserve"> </w:t>
      </w:r>
      <w:r w:rsidRPr="00D9272F">
        <w:rPr>
          <w:bCs/>
        </w:rPr>
        <w:t>factorial design</w:t>
      </w:r>
      <w:r>
        <w:rPr>
          <w:bCs/>
        </w:rPr>
        <w:t xml:space="preserve"> was adopted</w:t>
      </w:r>
      <w:r w:rsidR="00A4037C">
        <w:rPr>
          <w:bCs/>
        </w:rPr>
        <w:t xml:space="preserve">. </w:t>
      </w:r>
      <w:r w:rsidR="00FD7455" w:rsidRPr="005A4EDE">
        <w:rPr>
          <w:bCs/>
        </w:rPr>
        <w:t xml:space="preserve">Questionnaires tested for effects on knowledge of mental health, intentions to seek help, well-being and resilience. </w:t>
      </w:r>
      <w:r w:rsidR="00A4037C" w:rsidRPr="00D9272F">
        <w:rPr>
          <w:bCs/>
        </w:rPr>
        <w:t xml:space="preserve">For each outcome measure, </w:t>
      </w:r>
      <w:r w:rsidR="00E522EF" w:rsidRPr="00D9272F">
        <w:rPr>
          <w:bCs/>
        </w:rPr>
        <w:t xml:space="preserve">main and interaction effects </w:t>
      </w:r>
      <w:r w:rsidR="00E522EF" w:rsidRPr="005A4EDE">
        <w:rPr>
          <w:bCs/>
        </w:rPr>
        <w:t>(</w:t>
      </w:r>
      <w:r w:rsidR="00E522EF" w:rsidRPr="00BF7802">
        <w:rPr>
          <w:bCs/>
          <w:i/>
        </w:rPr>
        <w:t>F</w:t>
      </w:r>
      <w:r w:rsidR="00E522EF" w:rsidRPr="005A4EDE">
        <w:rPr>
          <w:bCs/>
        </w:rPr>
        <w:t>)</w:t>
      </w:r>
      <w:r w:rsidR="00E522EF">
        <w:rPr>
          <w:bCs/>
        </w:rPr>
        <w:t xml:space="preserve"> were determined by</w:t>
      </w:r>
      <w:r w:rsidR="00A4037C" w:rsidRPr="00D9272F">
        <w:rPr>
          <w:bCs/>
        </w:rPr>
        <w:t xml:space="preserve"> separate mixed factors Analysis of Variance (ANOVA)</w:t>
      </w:r>
      <w:r w:rsidR="00E522EF">
        <w:rPr>
          <w:bCs/>
        </w:rPr>
        <w:t xml:space="preserve">. </w:t>
      </w:r>
      <w:r w:rsidR="00FD7455" w:rsidRPr="005A4EDE">
        <w:rPr>
          <w:bCs/>
        </w:rPr>
        <w:t>Two focus groups (</w:t>
      </w:r>
      <w:r w:rsidR="00FD7455" w:rsidRPr="007C0FAF">
        <w:rPr>
          <w:bCs/>
          <w:i/>
        </w:rPr>
        <w:t>N</w:t>
      </w:r>
      <w:r w:rsidR="00FD7455" w:rsidRPr="005A4EDE">
        <w:rPr>
          <w:bCs/>
        </w:rPr>
        <w:t>=15) further explored feasibility</w:t>
      </w:r>
      <w:r w:rsidR="00BD237C" w:rsidRPr="005A4EDE">
        <w:rPr>
          <w:bCs/>
        </w:rPr>
        <w:t xml:space="preserve"> and were subjected to General Inductive Analysis. </w:t>
      </w:r>
    </w:p>
    <w:p w14:paraId="187D8FDE" w14:textId="77777777" w:rsidR="00F03EBC" w:rsidRPr="005A4EDE" w:rsidRDefault="00693C8F" w:rsidP="00455269">
      <w:pPr>
        <w:spacing w:before="100" w:beforeAutospacing="1" w:after="100" w:afterAutospacing="1" w:line="276" w:lineRule="auto"/>
        <w:rPr>
          <w:b/>
          <w:bCs/>
        </w:rPr>
      </w:pPr>
      <w:r w:rsidRPr="00693C8F">
        <w:rPr>
          <w:b/>
          <w:bCs/>
        </w:rPr>
        <w:t>Findings</w:t>
      </w:r>
    </w:p>
    <w:p w14:paraId="42178395" w14:textId="2870C360" w:rsidR="002E64F2" w:rsidRPr="005A4EDE" w:rsidRDefault="00AE11AD" w:rsidP="00455269">
      <w:pPr>
        <w:spacing w:before="100" w:beforeAutospacing="1" w:after="100" w:afterAutospacing="1" w:line="276" w:lineRule="auto"/>
        <w:rPr>
          <w:bCs/>
        </w:rPr>
      </w:pPr>
      <w:r>
        <w:rPr>
          <w:bCs/>
        </w:rPr>
        <w:t>A</w:t>
      </w:r>
      <w:r w:rsidRPr="00D9272F">
        <w:rPr>
          <w:bCs/>
        </w:rPr>
        <w:t xml:space="preserve"> significant </w:t>
      </w:r>
      <w:r>
        <w:rPr>
          <w:bCs/>
        </w:rPr>
        <w:t xml:space="preserve">Group and Time </w:t>
      </w:r>
      <w:r w:rsidRPr="00D9272F">
        <w:rPr>
          <w:bCs/>
        </w:rPr>
        <w:t xml:space="preserve">interaction effect </w:t>
      </w:r>
      <w:r>
        <w:rPr>
          <w:bCs/>
        </w:rPr>
        <w:t>was shown for</w:t>
      </w:r>
      <w:r w:rsidRPr="00D9272F">
        <w:rPr>
          <w:bCs/>
        </w:rPr>
        <w:t xml:space="preserve"> </w:t>
      </w:r>
      <w:r>
        <w:rPr>
          <w:bCs/>
        </w:rPr>
        <w:t>mental health knowledge</w:t>
      </w:r>
      <w:r w:rsidRPr="00D9272F">
        <w:rPr>
          <w:bCs/>
        </w:rPr>
        <w:t xml:space="preserve">, </w:t>
      </w:r>
      <w:r w:rsidRPr="00EC14EB">
        <w:rPr>
          <w:bCs/>
          <w:i/>
        </w:rPr>
        <w:t>F</w:t>
      </w:r>
      <w:r w:rsidRPr="00D9272F">
        <w:rPr>
          <w:bCs/>
        </w:rPr>
        <w:t>(1, 72) = 4.9</w:t>
      </w:r>
      <w:r>
        <w:rPr>
          <w:bCs/>
        </w:rPr>
        <w:t>2</w:t>
      </w:r>
      <w:r w:rsidRPr="00D9272F">
        <w:rPr>
          <w:bCs/>
        </w:rPr>
        <w:t xml:space="preserve">, </w:t>
      </w:r>
      <w:r w:rsidRPr="00EC14EB">
        <w:rPr>
          <w:bCs/>
          <w:i/>
        </w:rPr>
        <w:t>p</w:t>
      </w:r>
      <w:r w:rsidRPr="00D9272F">
        <w:rPr>
          <w:bCs/>
        </w:rPr>
        <w:t xml:space="preserve"> = 0.03, </w:t>
      </w:r>
      <w:r w:rsidRPr="00EC14EB">
        <w:rPr>
          <w:bCs/>
          <w:i/>
        </w:rPr>
        <w:sym w:font="Symbol" w:char="F068"/>
      </w:r>
      <w:r w:rsidRPr="00EC14EB">
        <w:rPr>
          <w:bCs/>
          <w:i/>
        </w:rPr>
        <w:t>p2</w:t>
      </w:r>
      <w:r w:rsidRPr="00D9272F">
        <w:rPr>
          <w:bCs/>
        </w:rPr>
        <w:t xml:space="preserve"> = 0.06, </w:t>
      </w:r>
      <w:r>
        <w:rPr>
          <w:bCs/>
        </w:rPr>
        <w:t>showing a</w:t>
      </w:r>
      <w:r w:rsidRPr="00D9272F">
        <w:rPr>
          <w:bCs/>
        </w:rPr>
        <w:t xml:space="preserve"> greater </w:t>
      </w:r>
      <w:r w:rsidR="0032449B" w:rsidRPr="00D9272F">
        <w:rPr>
          <w:bCs/>
        </w:rPr>
        <w:t xml:space="preserve">post-programme </w:t>
      </w:r>
      <w:r w:rsidRPr="00D9272F">
        <w:rPr>
          <w:bCs/>
        </w:rPr>
        <w:t>improvement in mental health knowledge score for the intervention group</w:t>
      </w:r>
      <w:r w:rsidR="007C0FAF">
        <w:rPr>
          <w:bCs/>
        </w:rPr>
        <w:t xml:space="preserve">. </w:t>
      </w:r>
      <w:r w:rsidR="00AA6C32" w:rsidRPr="005A4EDE">
        <w:rPr>
          <w:bCs/>
        </w:rPr>
        <w:t>Focus</w:t>
      </w:r>
      <w:r w:rsidRPr="005A4EDE">
        <w:rPr>
          <w:bCs/>
        </w:rPr>
        <w:t xml:space="preserve"> group analysis </w:t>
      </w:r>
      <w:r w:rsidR="002E64F2" w:rsidRPr="005A4EDE">
        <w:rPr>
          <w:bCs/>
        </w:rPr>
        <w:t>revealed</w:t>
      </w:r>
      <w:r w:rsidRPr="005A4EDE">
        <w:rPr>
          <w:bCs/>
        </w:rPr>
        <w:t xml:space="preserve"> an increase in hope, coping efficacy and intentions to engage more openly with other prisoners regarding personal well-being as a result of the SOMS programme. However, fear of stigmatisation by other inmates and a general lack of trust </w:t>
      </w:r>
      <w:r w:rsidR="002E64F2" w:rsidRPr="005A4EDE">
        <w:rPr>
          <w:bCs/>
        </w:rPr>
        <w:t>in</w:t>
      </w:r>
      <w:r w:rsidRPr="005A4EDE">
        <w:rPr>
          <w:bCs/>
        </w:rPr>
        <w:t xml:space="preserve"> others </w:t>
      </w:r>
      <w:r w:rsidR="002E64F2" w:rsidRPr="005A4EDE">
        <w:rPr>
          <w:bCs/>
        </w:rPr>
        <w:t>remained</w:t>
      </w:r>
      <w:r w:rsidRPr="005A4EDE">
        <w:rPr>
          <w:bCs/>
        </w:rPr>
        <w:t xml:space="preserve"> as barriers to help-seeking. </w:t>
      </w:r>
    </w:p>
    <w:p w14:paraId="1E123F27" w14:textId="679675BF" w:rsidR="00693C8F" w:rsidRPr="00693C8F" w:rsidRDefault="00693C8F" w:rsidP="00455269">
      <w:pPr>
        <w:spacing w:before="100" w:beforeAutospacing="1" w:after="100" w:afterAutospacing="1" w:line="276" w:lineRule="auto"/>
        <w:rPr>
          <w:b/>
          <w:bCs/>
        </w:rPr>
      </w:pPr>
      <w:r w:rsidRPr="00693C8F">
        <w:rPr>
          <w:b/>
          <w:bCs/>
        </w:rPr>
        <w:t>Originality</w:t>
      </w:r>
      <w:r w:rsidR="004661C9" w:rsidRPr="005A4EDE">
        <w:rPr>
          <w:b/>
          <w:bCs/>
        </w:rPr>
        <w:t xml:space="preserve"> </w:t>
      </w:r>
    </w:p>
    <w:p w14:paraId="2157AB95" w14:textId="0FBB9FCB" w:rsidR="008C0625" w:rsidRPr="005A4EDE" w:rsidRDefault="006E383B" w:rsidP="00455269">
      <w:pPr>
        <w:spacing w:before="100" w:beforeAutospacing="1" w:after="100" w:afterAutospacing="1" w:line="276" w:lineRule="auto"/>
        <w:rPr>
          <w:bCs/>
        </w:rPr>
      </w:pPr>
      <w:bookmarkStart w:id="3" w:name="_Toc491859133"/>
      <w:bookmarkStart w:id="4" w:name="_Toc494801009"/>
      <w:r w:rsidRPr="005A4EDE">
        <w:rPr>
          <w:bCs/>
        </w:rPr>
        <w:t>The implications of this study</w:t>
      </w:r>
      <w:r w:rsidR="00BF3A18">
        <w:rPr>
          <w:bCs/>
        </w:rPr>
        <w:t>, the first to evaluate a sport-based mental health intervention in prison</w:t>
      </w:r>
      <w:r w:rsidR="00F82F2D">
        <w:rPr>
          <w:bCs/>
        </w:rPr>
        <w:t>,</w:t>
      </w:r>
      <w:r w:rsidRPr="005A4EDE">
        <w:rPr>
          <w:bCs/>
        </w:rPr>
        <w:t xml:space="preserve"> are that a short intervention with low costs can increase prisoner knowledge of mental health,</w:t>
      </w:r>
      <w:r w:rsidRPr="005A4EDE" w:rsidDel="00D31DFB">
        <w:rPr>
          <w:bCs/>
        </w:rPr>
        <w:t xml:space="preserve"> </w:t>
      </w:r>
      <w:r w:rsidRPr="005A4EDE">
        <w:rPr>
          <w:bCs/>
        </w:rPr>
        <w:t xml:space="preserve">intentions to engage in available well-being opportunities and increase a sense of hope, at least in the short term. </w:t>
      </w:r>
    </w:p>
    <w:p w14:paraId="144CB901" w14:textId="630C175F" w:rsidR="008C0625" w:rsidRPr="008C0625" w:rsidRDefault="008C0625" w:rsidP="00455269">
      <w:pPr>
        <w:numPr>
          <w:ilvl w:val="0"/>
          <w:numId w:val="7"/>
        </w:numPr>
        <w:shd w:val="clear" w:color="auto" w:fill="FFFFFF"/>
        <w:spacing w:before="100" w:beforeAutospacing="1" w:after="100" w:afterAutospacing="1" w:line="276" w:lineRule="auto"/>
        <w:ind w:left="375"/>
        <w:rPr>
          <w:rFonts w:eastAsia="Times New Roman"/>
          <w:lang w:val="en-GB" w:eastAsia="en-GB"/>
        </w:rPr>
      </w:pPr>
      <w:r w:rsidRPr="008C0625">
        <w:rPr>
          <w:rFonts w:eastAsia="Times New Roman"/>
        </w:rPr>
        <w:t xml:space="preserve">Key words: </w:t>
      </w:r>
      <w:r w:rsidRPr="008C0625">
        <w:rPr>
          <w:rFonts w:eastAsia="Times New Roman"/>
          <w:bCs/>
          <w:lang w:val="en-GB" w:eastAsia="en-GB"/>
        </w:rPr>
        <w:t xml:space="preserve">Feasibility, Mental Health </w:t>
      </w:r>
      <w:r w:rsidR="00A1196F">
        <w:rPr>
          <w:rFonts w:eastAsia="Times New Roman"/>
          <w:bCs/>
          <w:lang w:val="en-GB" w:eastAsia="en-GB"/>
        </w:rPr>
        <w:t>Awareness</w:t>
      </w:r>
      <w:r w:rsidRPr="008C0625">
        <w:rPr>
          <w:rFonts w:eastAsia="Times New Roman"/>
          <w:bCs/>
          <w:lang w:val="en-GB" w:eastAsia="en-GB"/>
        </w:rPr>
        <w:t>, Prison Health, Sport Based Intervention, Stigmatisation.</w:t>
      </w:r>
    </w:p>
    <w:p w14:paraId="1B9B1BE8" w14:textId="262CE29C" w:rsidR="001E13B6" w:rsidRPr="008C0625" w:rsidRDefault="008C0625" w:rsidP="00455269">
      <w:pPr>
        <w:spacing w:after="160" w:line="276" w:lineRule="auto"/>
        <w:rPr>
          <w:rFonts w:eastAsia="Times New Roman"/>
          <w:b/>
          <w:iCs/>
        </w:rPr>
      </w:pPr>
      <w:r w:rsidRPr="008C0625">
        <w:rPr>
          <w:rFonts w:eastAsia="Times New Roman"/>
        </w:rPr>
        <w:br w:type="page"/>
      </w:r>
    </w:p>
    <w:p w14:paraId="288A5DD6" w14:textId="77777777" w:rsidR="00DE2DB0" w:rsidRPr="00D9272F" w:rsidRDefault="00DE2DB0" w:rsidP="004E1F3F">
      <w:pPr>
        <w:pStyle w:val="Heading7"/>
        <w:numPr>
          <w:ilvl w:val="0"/>
          <w:numId w:val="0"/>
        </w:numPr>
        <w:rPr>
          <w:rFonts w:eastAsia="Times New Roman" w:cs="Times New Roman"/>
        </w:rPr>
      </w:pPr>
      <w:r w:rsidRPr="00D9272F">
        <w:rPr>
          <w:rFonts w:eastAsia="Times New Roman" w:cs="Times New Roman"/>
        </w:rPr>
        <w:lastRenderedPageBreak/>
        <w:t>Introduction</w:t>
      </w:r>
      <w:bookmarkEnd w:id="3"/>
      <w:bookmarkEnd w:id="4"/>
      <w:r w:rsidRPr="00D9272F">
        <w:rPr>
          <w:rFonts w:eastAsia="Times New Roman" w:cs="Times New Roman"/>
        </w:rPr>
        <w:t xml:space="preserve"> </w:t>
      </w:r>
    </w:p>
    <w:p w14:paraId="4A47E0B5" w14:textId="4246638C" w:rsidR="00865B64" w:rsidRDefault="00072914" w:rsidP="00DE2DB0">
      <w:pPr>
        <w:spacing w:line="480" w:lineRule="auto"/>
        <w:rPr>
          <w:bCs/>
        </w:rPr>
      </w:pPr>
      <w:r w:rsidRPr="005C4FEF">
        <w:rPr>
          <w:shd w:val="clear" w:color="auto" w:fill="FFFFFF"/>
        </w:rPr>
        <w:t>T</w:t>
      </w:r>
      <w:r w:rsidR="00712F47" w:rsidRPr="00D9272F">
        <w:rPr>
          <w:shd w:val="clear" w:color="auto" w:fill="FFFFFF"/>
        </w:rPr>
        <w:t>here</w:t>
      </w:r>
      <w:r w:rsidR="00001965" w:rsidRPr="00D9272F">
        <w:rPr>
          <w:shd w:val="clear" w:color="auto" w:fill="FFFFFF"/>
        </w:rPr>
        <w:t xml:space="preserve"> is</w:t>
      </w:r>
      <w:r w:rsidR="00DE2DB0" w:rsidRPr="00D9272F">
        <w:rPr>
          <w:shd w:val="clear" w:color="auto" w:fill="FFFFFF"/>
        </w:rPr>
        <w:t xml:space="preserve"> a high prevalence of </w:t>
      </w:r>
      <w:r>
        <w:rPr>
          <w:shd w:val="clear" w:color="auto" w:fill="FFFFFF"/>
        </w:rPr>
        <w:t>mental illness</w:t>
      </w:r>
      <w:r w:rsidR="00CD2A8D">
        <w:rPr>
          <w:shd w:val="clear" w:color="auto" w:fill="FFFFFF"/>
        </w:rPr>
        <w:t xml:space="preserve"> </w:t>
      </w:r>
      <w:r w:rsidR="00DE2DB0" w:rsidRPr="00D9272F">
        <w:rPr>
          <w:shd w:val="clear" w:color="auto" w:fill="FFFFFF"/>
        </w:rPr>
        <w:t>within the prison population (WHO</w:t>
      </w:r>
      <w:r w:rsidR="00B15BA9">
        <w:rPr>
          <w:shd w:val="clear" w:color="auto" w:fill="FFFFFF"/>
        </w:rPr>
        <w:t>,</w:t>
      </w:r>
      <w:r w:rsidR="00DE2DB0" w:rsidRPr="00D9272F">
        <w:rPr>
          <w:shd w:val="clear" w:color="auto" w:fill="FFFFFF"/>
        </w:rPr>
        <w:t xml:space="preserve"> 2014)</w:t>
      </w:r>
      <w:r w:rsidR="004E13EC">
        <w:rPr>
          <w:shd w:val="clear" w:color="auto" w:fill="FFFFFF"/>
        </w:rPr>
        <w:t>,</w:t>
      </w:r>
      <w:r w:rsidR="005143A1">
        <w:rPr>
          <w:shd w:val="clear" w:color="auto" w:fill="FFFFFF"/>
        </w:rPr>
        <w:t xml:space="preserve"> </w:t>
      </w:r>
      <w:r w:rsidR="005143A1" w:rsidRPr="005C4FEF">
        <w:rPr>
          <w:shd w:val="clear" w:color="auto" w:fill="FFFFFF"/>
        </w:rPr>
        <w:t xml:space="preserve">characterised by </w:t>
      </w:r>
      <w:r w:rsidR="00DA4DB9" w:rsidRPr="005C4FEF">
        <w:rPr>
          <w:shd w:val="clear" w:color="auto" w:fill="FFFFFF"/>
        </w:rPr>
        <w:t xml:space="preserve">estimates of </w:t>
      </w:r>
      <w:r w:rsidR="001A5CBC" w:rsidRPr="005C4FEF">
        <w:rPr>
          <w:shd w:val="clear" w:color="auto" w:fill="FFFFFF"/>
        </w:rPr>
        <w:t>depression, anxiety and stress-related symptoms affect</w:t>
      </w:r>
      <w:r w:rsidR="00B76F79" w:rsidRPr="005C4FEF">
        <w:rPr>
          <w:shd w:val="clear" w:color="auto" w:fill="FFFFFF"/>
        </w:rPr>
        <w:t>ing</w:t>
      </w:r>
      <w:r w:rsidR="001A5CBC" w:rsidRPr="005C4FEF">
        <w:rPr>
          <w:shd w:val="clear" w:color="auto" w:fill="FFFFFF"/>
        </w:rPr>
        <w:t xml:space="preserve"> </w:t>
      </w:r>
      <w:r w:rsidR="00365F11" w:rsidRPr="005C4FEF">
        <w:rPr>
          <w:shd w:val="clear" w:color="auto" w:fill="FFFFFF"/>
        </w:rPr>
        <w:t>up to 90% of prisoners</w:t>
      </w:r>
      <w:r w:rsidR="004E13EC" w:rsidRPr="005C4FEF">
        <w:rPr>
          <w:shd w:val="clear" w:color="auto" w:fill="FFFFFF"/>
        </w:rPr>
        <w:t>,</w:t>
      </w:r>
      <w:r w:rsidR="00365F11" w:rsidRPr="005C4FEF">
        <w:rPr>
          <w:shd w:val="clear" w:color="auto" w:fill="FFFFFF"/>
        </w:rPr>
        <w:t xml:space="preserve"> </w:t>
      </w:r>
      <w:r w:rsidR="005143A1" w:rsidRPr="005C4FEF">
        <w:rPr>
          <w:shd w:val="clear" w:color="auto" w:fill="FFFFFF"/>
        </w:rPr>
        <w:t>(Durcan, 2016</w:t>
      </w:r>
      <w:r w:rsidR="00B76F79" w:rsidRPr="005C4FEF">
        <w:rPr>
          <w:shd w:val="clear" w:color="auto" w:fill="FFFFFF"/>
        </w:rPr>
        <w:t xml:space="preserve">; </w:t>
      </w:r>
      <w:r w:rsidR="005143A1" w:rsidRPr="005C4FEF">
        <w:rPr>
          <w:shd w:val="clear" w:color="auto" w:fill="FFFFFF"/>
        </w:rPr>
        <w:t>Fraser, Gatherer &amp; Hayton</w:t>
      </w:r>
      <w:r w:rsidR="005917E1" w:rsidRPr="005C4FEF">
        <w:rPr>
          <w:shd w:val="clear" w:color="auto" w:fill="FFFFFF"/>
        </w:rPr>
        <w:t xml:space="preserve">, </w:t>
      </w:r>
      <w:r w:rsidR="005143A1" w:rsidRPr="005C4FEF">
        <w:rPr>
          <w:shd w:val="clear" w:color="auto" w:fill="FFFFFF"/>
        </w:rPr>
        <w:t>2009</w:t>
      </w:r>
      <w:r w:rsidR="005917E1" w:rsidRPr="005C4FEF">
        <w:rPr>
          <w:shd w:val="clear" w:color="auto" w:fill="FFFFFF"/>
        </w:rPr>
        <w:t xml:space="preserve">; </w:t>
      </w:r>
      <w:r w:rsidR="005143A1" w:rsidRPr="005C4FEF">
        <w:rPr>
          <w:shd w:val="clear" w:color="auto" w:fill="FFFFFF"/>
        </w:rPr>
        <w:t>Leigh-Hunt &amp; Perry</w:t>
      </w:r>
      <w:r w:rsidR="005917E1" w:rsidRPr="005C4FEF">
        <w:rPr>
          <w:shd w:val="clear" w:color="auto" w:fill="FFFFFF"/>
        </w:rPr>
        <w:t xml:space="preserve">, </w:t>
      </w:r>
      <w:r w:rsidR="005143A1" w:rsidRPr="005C4FEF">
        <w:rPr>
          <w:shd w:val="clear" w:color="auto" w:fill="FFFFFF"/>
        </w:rPr>
        <w:t>2015)</w:t>
      </w:r>
      <w:r w:rsidR="005917E1" w:rsidRPr="005C4FEF">
        <w:rPr>
          <w:shd w:val="clear" w:color="auto" w:fill="FFFFFF"/>
        </w:rPr>
        <w:t>.</w:t>
      </w:r>
      <w:r w:rsidR="00F832B2" w:rsidRPr="005C4FEF">
        <w:rPr>
          <w:shd w:val="clear" w:color="auto" w:fill="FFFFFF"/>
        </w:rPr>
        <w:t xml:space="preserve"> </w:t>
      </w:r>
      <w:r w:rsidR="00917EA6">
        <w:rPr>
          <w:shd w:val="clear" w:color="auto" w:fill="FFFFFF"/>
        </w:rPr>
        <w:t>P</w:t>
      </w:r>
      <w:r w:rsidR="00F832B2" w:rsidRPr="00D9272F">
        <w:rPr>
          <w:shd w:val="clear" w:color="auto" w:fill="FFFFFF"/>
        </w:rPr>
        <w:t>risoners</w:t>
      </w:r>
      <w:r w:rsidR="00DE2DB0" w:rsidRPr="00D9272F">
        <w:rPr>
          <w:shd w:val="clear" w:color="auto" w:fill="FFFFFF"/>
        </w:rPr>
        <w:t xml:space="preserve"> with decreased levels of mental health are at </w:t>
      </w:r>
      <w:r w:rsidR="00001965" w:rsidRPr="00D9272F">
        <w:rPr>
          <w:shd w:val="clear" w:color="auto" w:fill="FFFFFF"/>
        </w:rPr>
        <w:t xml:space="preserve">further </w:t>
      </w:r>
      <w:r w:rsidR="00DE2DB0" w:rsidRPr="00D9272F">
        <w:rPr>
          <w:shd w:val="clear" w:color="auto" w:fill="FFFFFF"/>
        </w:rPr>
        <w:t>risk of suicide, self-harm, violen</w:t>
      </w:r>
      <w:r w:rsidR="00001965" w:rsidRPr="00D9272F">
        <w:rPr>
          <w:shd w:val="clear" w:color="auto" w:fill="FFFFFF"/>
        </w:rPr>
        <w:t xml:space="preserve">t </w:t>
      </w:r>
      <w:r w:rsidR="000A29B9" w:rsidRPr="00D9272F">
        <w:rPr>
          <w:shd w:val="clear" w:color="auto" w:fill="FFFFFF"/>
        </w:rPr>
        <w:t>assault</w:t>
      </w:r>
      <w:r w:rsidR="00DE2DB0" w:rsidRPr="00D9272F">
        <w:rPr>
          <w:shd w:val="clear" w:color="auto" w:fill="FFFFFF"/>
        </w:rPr>
        <w:t xml:space="preserve"> and victimisation (</w:t>
      </w:r>
      <w:r w:rsidR="00943E27" w:rsidRPr="00D9272F">
        <w:rPr>
          <w:shd w:val="clear" w:color="auto" w:fill="FFFFFF"/>
        </w:rPr>
        <w:t>Fazel,</w:t>
      </w:r>
      <w:r w:rsidR="00943E27" w:rsidRPr="00D9272F">
        <w:rPr>
          <w:lang w:eastAsia="en-GB"/>
        </w:rPr>
        <w:t xml:space="preserve"> Hayes, Bartellas, Clerici</w:t>
      </w:r>
      <w:r w:rsidR="00943E27">
        <w:rPr>
          <w:lang w:eastAsia="en-GB"/>
        </w:rPr>
        <w:t xml:space="preserve"> </w:t>
      </w:r>
      <w:r w:rsidR="00943E27" w:rsidRPr="00D9272F">
        <w:rPr>
          <w:lang w:eastAsia="en-GB"/>
        </w:rPr>
        <w:t>&amp; Trestman,</w:t>
      </w:r>
      <w:r w:rsidR="00943E27" w:rsidRPr="00D9272F" w:rsidDel="00C12B53">
        <w:rPr>
          <w:shd w:val="clear" w:color="auto" w:fill="FFFFFF"/>
        </w:rPr>
        <w:t xml:space="preserve"> </w:t>
      </w:r>
      <w:r w:rsidR="00943E27" w:rsidRPr="00D9272F">
        <w:rPr>
          <w:shd w:val="clear" w:color="auto" w:fill="FFFFFF"/>
        </w:rPr>
        <w:t>2016</w:t>
      </w:r>
      <w:r w:rsidR="00DE2DB0" w:rsidRPr="00D9272F">
        <w:rPr>
          <w:shd w:val="clear" w:color="auto" w:fill="FFFFFF"/>
        </w:rPr>
        <w:t>)</w:t>
      </w:r>
      <w:r w:rsidR="003F4FB0" w:rsidRPr="00D9272F">
        <w:rPr>
          <w:shd w:val="clear" w:color="auto" w:fill="FFFFFF"/>
        </w:rPr>
        <w:t xml:space="preserve">. </w:t>
      </w:r>
      <w:r w:rsidR="008B57A9">
        <w:rPr>
          <w:shd w:val="clear" w:color="auto" w:fill="FFFFFF"/>
        </w:rPr>
        <w:t xml:space="preserve">Behaviours which can help buffer </w:t>
      </w:r>
      <w:r w:rsidR="001340BF">
        <w:rPr>
          <w:shd w:val="clear" w:color="auto" w:fill="FFFFFF"/>
        </w:rPr>
        <w:t>against the</w:t>
      </w:r>
      <w:r w:rsidR="00E823CB">
        <w:rPr>
          <w:shd w:val="clear" w:color="auto" w:fill="FFFFFF"/>
        </w:rPr>
        <w:t xml:space="preserve"> risks identified, such as</w:t>
      </w:r>
      <w:r w:rsidR="006E3911">
        <w:rPr>
          <w:shd w:val="clear" w:color="auto" w:fill="FFFFFF"/>
        </w:rPr>
        <w:t xml:space="preserve"> </w:t>
      </w:r>
      <w:r w:rsidR="00E823CB">
        <w:rPr>
          <w:shd w:val="clear" w:color="auto" w:fill="FFFFFF"/>
        </w:rPr>
        <w:t>h</w:t>
      </w:r>
      <w:r w:rsidRPr="00D9272F">
        <w:rPr>
          <w:shd w:val="clear" w:color="auto" w:fill="FFFFFF"/>
        </w:rPr>
        <w:t xml:space="preserve">elp </w:t>
      </w:r>
      <w:r w:rsidR="003F4FB0" w:rsidRPr="00D9272F">
        <w:rPr>
          <w:shd w:val="clear" w:color="auto" w:fill="FFFFFF"/>
        </w:rPr>
        <w:t>seeking</w:t>
      </w:r>
      <w:r w:rsidR="00D878E2" w:rsidRPr="00D9272F">
        <w:rPr>
          <w:shd w:val="clear" w:color="auto" w:fill="FFFFFF"/>
        </w:rPr>
        <w:t xml:space="preserve"> or supporting others</w:t>
      </w:r>
      <w:r w:rsidR="003F4FB0" w:rsidRPr="00D9272F">
        <w:rPr>
          <w:shd w:val="clear" w:color="auto" w:fill="FFFFFF"/>
        </w:rPr>
        <w:t xml:space="preserve"> </w:t>
      </w:r>
      <w:r w:rsidR="003960E1">
        <w:rPr>
          <w:shd w:val="clear" w:color="auto" w:fill="FFFFFF"/>
        </w:rPr>
        <w:t>are</w:t>
      </w:r>
      <w:r w:rsidR="007A2C6E" w:rsidRPr="00D9272F">
        <w:rPr>
          <w:shd w:val="clear" w:color="auto" w:fill="FFFFFF"/>
        </w:rPr>
        <w:t xml:space="preserve"> often</w:t>
      </w:r>
      <w:r w:rsidR="000F2EC1" w:rsidRPr="00D9272F">
        <w:rPr>
          <w:shd w:val="clear" w:color="auto" w:fill="FFFFFF"/>
        </w:rPr>
        <w:t xml:space="preserve"> </w:t>
      </w:r>
      <w:r w:rsidR="003960E1">
        <w:rPr>
          <w:shd w:val="clear" w:color="auto" w:fill="FFFFFF"/>
        </w:rPr>
        <w:t xml:space="preserve">stigmatised and </w:t>
      </w:r>
      <w:r w:rsidR="000F2EC1" w:rsidRPr="00D9272F">
        <w:rPr>
          <w:shd w:val="clear" w:color="auto" w:fill="FFFFFF"/>
        </w:rPr>
        <w:t>perceived as</w:t>
      </w:r>
      <w:r w:rsidR="003F4FB0" w:rsidRPr="00D9272F">
        <w:rPr>
          <w:shd w:val="clear" w:color="auto" w:fill="FFFFFF"/>
        </w:rPr>
        <w:t xml:space="preserve"> a weakness</w:t>
      </w:r>
      <w:r w:rsidR="00D878E2" w:rsidRPr="00D9272F">
        <w:rPr>
          <w:shd w:val="clear" w:color="auto" w:fill="FFFFFF"/>
        </w:rPr>
        <w:t xml:space="preserve"> </w:t>
      </w:r>
      <w:r>
        <w:rPr>
          <w:shd w:val="clear" w:color="auto" w:fill="FFFFFF"/>
        </w:rPr>
        <w:t>with</w:t>
      </w:r>
      <w:r w:rsidR="00D878E2" w:rsidRPr="00D9272F">
        <w:rPr>
          <w:shd w:val="clear" w:color="auto" w:fill="FFFFFF"/>
        </w:rPr>
        <w:t>in prison</w:t>
      </w:r>
      <w:r w:rsidR="00326475" w:rsidRPr="00D9272F">
        <w:rPr>
          <w:shd w:val="clear" w:color="auto" w:fill="FFFFFF"/>
        </w:rPr>
        <w:t xml:space="preserve"> </w:t>
      </w:r>
      <w:r>
        <w:rPr>
          <w:shd w:val="clear" w:color="auto" w:fill="FFFFFF"/>
        </w:rPr>
        <w:t xml:space="preserve">culture </w:t>
      </w:r>
      <w:r w:rsidR="00326475" w:rsidRPr="00D9272F">
        <w:rPr>
          <w:bCs/>
        </w:rPr>
        <w:t>(Ricciardelli, Maier &amp; Hannah-Moffat, 2015)</w:t>
      </w:r>
      <w:r w:rsidR="00326475" w:rsidRPr="00D9272F">
        <w:rPr>
          <w:shd w:val="clear" w:color="auto" w:fill="FFFFFF"/>
        </w:rPr>
        <w:t>.</w:t>
      </w:r>
      <w:r w:rsidR="006F3C9B">
        <w:rPr>
          <w:shd w:val="clear" w:color="auto" w:fill="FFFFFF"/>
        </w:rPr>
        <w:t xml:space="preserve"> </w:t>
      </w:r>
      <w:r w:rsidR="007C6763">
        <w:rPr>
          <w:bCs/>
        </w:rPr>
        <w:t>T</w:t>
      </w:r>
      <w:r w:rsidR="00A82C07">
        <w:rPr>
          <w:bCs/>
        </w:rPr>
        <w:t>herefore, in order t</w:t>
      </w:r>
      <w:r w:rsidR="007C6763">
        <w:rPr>
          <w:bCs/>
        </w:rPr>
        <w:t xml:space="preserve">o </w:t>
      </w:r>
      <w:r w:rsidR="00C5357D">
        <w:rPr>
          <w:bCs/>
        </w:rPr>
        <w:t xml:space="preserve">encourage </w:t>
      </w:r>
      <w:r w:rsidR="00D0094E">
        <w:rPr>
          <w:bCs/>
        </w:rPr>
        <w:t>protective behaviours and reduce the risks</w:t>
      </w:r>
      <w:r w:rsidR="00811587">
        <w:rPr>
          <w:bCs/>
        </w:rPr>
        <w:t xml:space="preserve"> of self-harm and suicide</w:t>
      </w:r>
      <w:r w:rsidR="00865B64">
        <w:rPr>
          <w:bCs/>
        </w:rPr>
        <w:t>, there exists a</w:t>
      </w:r>
      <w:r w:rsidR="00D878E2" w:rsidRPr="00D9272F">
        <w:rPr>
          <w:bCs/>
        </w:rPr>
        <w:t xml:space="preserve"> need</w:t>
      </w:r>
      <w:r w:rsidR="005449CA" w:rsidRPr="00D9272F">
        <w:rPr>
          <w:bCs/>
        </w:rPr>
        <w:t xml:space="preserve"> </w:t>
      </w:r>
      <w:r w:rsidR="00DE2DB0" w:rsidRPr="00D9272F">
        <w:rPr>
          <w:bCs/>
        </w:rPr>
        <w:t xml:space="preserve">to implement </w:t>
      </w:r>
      <w:r w:rsidR="00D878E2" w:rsidRPr="00D9272F">
        <w:rPr>
          <w:bCs/>
        </w:rPr>
        <w:t xml:space="preserve">mental </w:t>
      </w:r>
      <w:r w:rsidR="00DE2DB0" w:rsidRPr="00D9272F">
        <w:rPr>
          <w:bCs/>
        </w:rPr>
        <w:t xml:space="preserve">health </w:t>
      </w:r>
      <w:r w:rsidR="00627DB2">
        <w:rPr>
          <w:bCs/>
        </w:rPr>
        <w:t>awareness</w:t>
      </w:r>
      <w:r w:rsidR="00627DB2" w:rsidRPr="00D9272F">
        <w:rPr>
          <w:bCs/>
        </w:rPr>
        <w:t xml:space="preserve"> </w:t>
      </w:r>
      <w:r w:rsidR="00DE2DB0" w:rsidRPr="00D9272F">
        <w:rPr>
          <w:bCs/>
        </w:rPr>
        <w:t>activities</w:t>
      </w:r>
      <w:r w:rsidR="00BD6B89">
        <w:rPr>
          <w:bCs/>
        </w:rPr>
        <w:t xml:space="preserve"> in prison settings</w:t>
      </w:r>
      <w:r w:rsidR="00DE2DB0" w:rsidRPr="00D9272F">
        <w:rPr>
          <w:bCs/>
        </w:rPr>
        <w:t xml:space="preserve"> (MacNamara &amp; Mannix-McNamara, 2014)</w:t>
      </w:r>
      <w:r w:rsidR="00B67DBE">
        <w:rPr>
          <w:bCs/>
        </w:rPr>
        <w:t xml:space="preserve">. </w:t>
      </w:r>
      <w:r w:rsidR="003971DF">
        <w:rPr>
          <w:bCs/>
        </w:rPr>
        <w:t>A</w:t>
      </w:r>
      <w:r w:rsidR="00C36CE5">
        <w:rPr>
          <w:bCs/>
        </w:rPr>
        <w:t>ctivities including, for example, r</w:t>
      </w:r>
      <w:r w:rsidR="003C6060">
        <w:rPr>
          <w:bCs/>
        </w:rPr>
        <w:t xml:space="preserve">aising awareness of what </w:t>
      </w:r>
      <w:r w:rsidR="003035C6">
        <w:rPr>
          <w:bCs/>
        </w:rPr>
        <w:t xml:space="preserve">constitutes mental health and well-being and how </w:t>
      </w:r>
      <w:r w:rsidR="009232B3">
        <w:rPr>
          <w:bCs/>
        </w:rPr>
        <w:t xml:space="preserve">to minimise the </w:t>
      </w:r>
      <w:r w:rsidR="00151978">
        <w:rPr>
          <w:bCs/>
        </w:rPr>
        <w:t>associated</w:t>
      </w:r>
      <w:r w:rsidR="00DF2905">
        <w:rPr>
          <w:bCs/>
        </w:rPr>
        <w:t xml:space="preserve"> risks </w:t>
      </w:r>
      <w:r w:rsidR="00037537">
        <w:rPr>
          <w:bCs/>
        </w:rPr>
        <w:t xml:space="preserve">of </w:t>
      </w:r>
      <w:r w:rsidR="00094765">
        <w:rPr>
          <w:bCs/>
        </w:rPr>
        <w:t>mental ill-health</w:t>
      </w:r>
      <w:r w:rsidR="00BE7D6A">
        <w:rPr>
          <w:bCs/>
        </w:rPr>
        <w:t xml:space="preserve"> are examples</w:t>
      </w:r>
      <w:r w:rsidR="00094765">
        <w:rPr>
          <w:bCs/>
        </w:rPr>
        <w:t>.</w:t>
      </w:r>
    </w:p>
    <w:p w14:paraId="688DE37C" w14:textId="77777777" w:rsidR="00865B64" w:rsidRDefault="00865B64" w:rsidP="00DE2DB0">
      <w:pPr>
        <w:spacing w:line="480" w:lineRule="auto"/>
        <w:rPr>
          <w:bCs/>
        </w:rPr>
      </w:pPr>
    </w:p>
    <w:p w14:paraId="09DEABD8" w14:textId="574D5A55" w:rsidR="00173ABB" w:rsidRDefault="00FE5B59" w:rsidP="00DE2DB0">
      <w:pPr>
        <w:spacing w:line="480" w:lineRule="auto"/>
        <w:rPr>
          <w:bCs/>
        </w:rPr>
      </w:pPr>
      <w:r w:rsidRPr="00D9272F">
        <w:rPr>
          <w:bCs/>
        </w:rPr>
        <w:t>Traditionally</w:t>
      </w:r>
      <w:r>
        <w:rPr>
          <w:bCs/>
        </w:rPr>
        <w:t xml:space="preserve">, </w:t>
      </w:r>
      <w:r w:rsidRPr="00D9272F">
        <w:rPr>
          <w:bCs/>
        </w:rPr>
        <w:t>the</w:t>
      </w:r>
      <w:r w:rsidR="00DE2DB0" w:rsidRPr="00D9272F">
        <w:rPr>
          <w:bCs/>
        </w:rPr>
        <w:t xml:space="preserve"> primary purpose of prison</w:t>
      </w:r>
      <w:r w:rsidR="00001965" w:rsidRPr="00D9272F">
        <w:rPr>
          <w:bCs/>
        </w:rPr>
        <w:t xml:space="preserve"> </w:t>
      </w:r>
      <w:r w:rsidR="00072914">
        <w:rPr>
          <w:bCs/>
        </w:rPr>
        <w:t>was based on</w:t>
      </w:r>
      <w:r w:rsidR="00DE2DB0" w:rsidRPr="00D9272F">
        <w:rPr>
          <w:bCs/>
        </w:rPr>
        <w:t xml:space="preserve"> separation and confinement from society, punishment for crime, correction and rehabilitation to the community (Watson, Stimpson &amp; Hostick, 2004)</w:t>
      </w:r>
      <w:r w:rsidR="00C22B30">
        <w:rPr>
          <w:bCs/>
        </w:rPr>
        <w:t>.</w:t>
      </w:r>
      <w:r w:rsidR="00DE2DB0" w:rsidRPr="00D9272F">
        <w:rPr>
          <w:bCs/>
        </w:rPr>
        <w:t xml:space="preserve"> </w:t>
      </w:r>
      <w:r w:rsidR="00072914">
        <w:rPr>
          <w:bCs/>
        </w:rPr>
        <w:t>However,</w:t>
      </w:r>
      <w:r w:rsidR="005449CA" w:rsidRPr="00D9272F">
        <w:rPr>
          <w:bCs/>
        </w:rPr>
        <w:t xml:space="preserve"> </w:t>
      </w:r>
      <w:r w:rsidR="00DE2DB0" w:rsidRPr="00D9272F">
        <w:rPr>
          <w:bCs/>
        </w:rPr>
        <w:t>there have been repeated calls for prison</w:t>
      </w:r>
      <w:r w:rsidR="0084271B" w:rsidRPr="00D9272F">
        <w:rPr>
          <w:bCs/>
        </w:rPr>
        <w:t>s</w:t>
      </w:r>
      <w:r w:rsidR="00DE2DB0" w:rsidRPr="00D9272F">
        <w:rPr>
          <w:bCs/>
        </w:rPr>
        <w:t xml:space="preserve"> to be</w:t>
      </w:r>
      <w:r w:rsidR="005449CA" w:rsidRPr="00D9272F">
        <w:rPr>
          <w:bCs/>
        </w:rPr>
        <w:t>come more actively</w:t>
      </w:r>
      <w:r w:rsidR="0084271B" w:rsidRPr="00D9272F">
        <w:rPr>
          <w:bCs/>
        </w:rPr>
        <w:t xml:space="preserve"> </w:t>
      </w:r>
      <w:r w:rsidR="003F4FB0" w:rsidRPr="00D9272F">
        <w:rPr>
          <w:bCs/>
        </w:rPr>
        <w:t>responsive to the</w:t>
      </w:r>
      <w:r w:rsidR="00DE2DB0" w:rsidRPr="00D9272F">
        <w:rPr>
          <w:bCs/>
        </w:rPr>
        <w:t xml:space="preserve"> health and well-being of those within their care (Santora, Espnes &amp; Lillefjell, 2014; WHO, 2008; WHO, 1999).</w:t>
      </w:r>
      <w:r w:rsidR="00001965" w:rsidRPr="00D9272F">
        <w:rPr>
          <w:bCs/>
        </w:rPr>
        <w:t xml:space="preserve"> </w:t>
      </w:r>
      <w:r w:rsidR="00DE2DB0" w:rsidRPr="00D9272F">
        <w:rPr>
          <w:bCs/>
        </w:rPr>
        <w:t xml:space="preserve">Over two decades ago, the WHO established the Health in Prisons Project (HIPP) advocating the promotion of </w:t>
      </w:r>
      <w:r w:rsidR="00240C39">
        <w:rPr>
          <w:bCs/>
        </w:rPr>
        <w:t>a</w:t>
      </w:r>
      <w:r w:rsidR="00240C39" w:rsidRPr="00D9272F">
        <w:rPr>
          <w:bCs/>
        </w:rPr>
        <w:t xml:space="preserve"> </w:t>
      </w:r>
      <w:r w:rsidR="00DE2DB0" w:rsidRPr="00D9272F">
        <w:rPr>
          <w:bCs/>
        </w:rPr>
        <w:t>whole-prison approach</w:t>
      </w:r>
      <w:r w:rsidR="00F119B4">
        <w:rPr>
          <w:bCs/>
        </w:rPr>
        <w:t xml:space="preserve"> to </w:t>
      </w:r>
      <w:r w:rsidR="00240C39">
        <w:rPr>
          <w:bCs/>
        </w:rPr>
        <w:t xml:space="preserve">health </w:t>
      </w:r>
      <w:r w:rsidR="00F119B4">
        <w:rPr>
          <w:bCs/>
        </w:rPr>
        <w:t>care</w:t>
      </w:r>
      <w:r w:rsidR="00BF57A0">
        <w:rPr>
          <w:bCs/>
        </w:rPr>
        <w:t>,</w:t>
      </w:r>
      <w:r w:rsidR="00DE2DB0" w:rsidRPr="00D9272F">
        <w:rPr>
          <w:bCs/>
        </w:rPr>
        <w:t xml:space="preserve"> in which the combination of the health of inmates and staff</w:t>
      </w:r>
      <w:r w:rsidR="008E7776" w:rsidRPr="00D9272F">
        <w:rPr>
          <w:bCs/>
        </w:rPr>
        <w:t xml:space="preserve"> in a </w:t>
      </w:r>
      <w:r w:rsidR="00DE2DB0" w:rsidRPr="00D9272F">
        <w:rPr>
          <w:bCs/>
        </w:rPr>
        <w:t xml:space="preserve">secure environment were viewed as critical to the successful implementation of health promotion and reforming interventions (Gatherer, Moller &amp; Hayton, 2005). However, the Trenčín statement on prisons and mental health (WHO, 2007) continued to warn of the </w:t>
      </w:r>
      <w:r w:rsidR="00072914">
        <w:rPr>
          <w:bCs/>
        </w:rPr>
        <w:t xml:space="preserve">harms caused by </w:t>
      </w:r>
      <w:r w:rsidR="00DE2DB0" w:rsidRPr="00D9272F">
        <w:rPr>
          <w:bCs/>
        </w:rPr>
        <w:t xml:space="preserve">prison </w:t>
      </w:r>
      <w:r w:rsidR="00072914">
        <w:rPr>
          <w:bCs/>
        </w:rPr>
        <w:t>to</w:t>
      </w:r>
      <w:r w:rsidR="000F2EC1" w:rsidRPr="00D9272F">
        <w:rPr>
          <w:bCs/>
        </w:rPr>
        <w:t xml:space="preserve"> </w:t>
      </w:r>
      <w:r w:rsidR="0078792A">
        <w:rPr>
          <w:bCs/>
        </w:rPr>
        <w:t>prisoners</w:t>
      </w:r>
      <w:r w:rsidR="005449CA" w:rsidRPr="00D9272F">
        <w:rPr>
          <w:bCs/>
        </w:rPr>
        <w:t>’</w:t>
      </w:r>
      <w:r w:rsidR="000F2EC1" w:rsidRPr="00D9272F">
        <w:rPr>
          <w:bCs/>
        </w:rPr>
        <w:t xml:space="preserve"> </w:t>
      </w:r>
      <w:r w:rsidR="00DE2DB0" w:rsidRPr="00D9272F">
        <w:rPr>
          <w:bCs/>
        </w:rPr>
        <w:t>mental health</w:t>
      </w:r>
      <w:r w:rsidR="00072914">
        <w:rPr>
          <w:bCs/>
        </w:rPr>
        <w:t xml:space="preserve">. The report </w:t>
      </w:r>
      <w:r w:rsidR="00DE2DB0" w:rsidRPr="00D9272F">
        <w:rPr>
          <w:bCs/>
        </w:rPr>
        <w:t xml:space="preserve">highlighted mental health </w:t>
      </w:r>
      <w:r w:rsidR="0018733B">
        <w:rPr>
          <w:bCs/>
        </w:rPr>
        <w:t>awareness</w:t>
      </w:r>
      <w:r w:rsidR="0018733B" w:rsidRPr="00D9272F">
        <w:rPr>
          <w:bCs/>
        </w:rPr>
        <w:t xml:space="preserve"> </w:t>
      </w:r>
      <w:r w:rsidR="00DE2DB0" w:rsidRPr="00D9272F">
        <w:rPr>
          <w:bCs/>
        </w:rPr>
        <w:lastRenderedPageBreak/>
        <w:t xml:space="preserve">should be central to prison health care policy (WHO, 2007). </w:t>
      </w:r>
      <w:r w:rsidR="0084271B" w:rsidRPr="00D9272F">
        <w:rPr>
          <w:bCs/>
        </w:rPr>
        <w:t>More recently,</w:t>
      </w:r>
      <w:r w:rsidR="005D225D" w:rsidRPr="00D9272F">
        <w:rPr>
          <w:bCs/>
        </w:rPr>
        <w:t xml:space="preserve"> </w:t>
      </w:r>
      <w:r w:rsidR="00210F6C" w:rsidRPr="00D9272F">
        <w:rPr>
          <w:bCs/>
        </w:rPr>
        <w:t xml:space="preserve">a </w:t>
      </w:r>
      <w:r w:rsidR="003F4FB0" w:rsidRPr="00D9272F">
        <w:rPr>
          <w:bCs/>
        </w:rPr>
        <w:t xml:space="preserve">critical </w:t>
      </w:r>
      <w:r w:rsidR="00DE2DB0" w:rsidRPr="00D9272F">
        <w:rPr>
          <w:bCs/>
        </w:rPr>
        <w:t xml:space="preserve">review </w:t>
      </w:r>
      <w:r w:rsidR="00DE2DB0" w:rsidRPr="00277F46">
        <w:rPr>
          <w:bCs/>
        </w:rPr>
        <w:t>examin</w:t>
      </w:r>
      <w:r w:rsidR="003F4FB0" w:rsidRPr="00277F46">
        <w:rPr>
          <w:bCs/>
        </w:rPr>
        <w:t>ing</w:t>
      </w:r>
      <w:r w:rsidR="00DE2DB0" w:rsidRPr="00277F46">
        <w:rPr>
          <w:bCs/>
        </w:rPr>
        <w:t xml:space="preserve"> health promot</w:t>
      </w:r>
      <w:r w:rsidR="003F4FB0" w:rsidRPr="00277F46">
        <w:rPr>
          <w:bCs/>
        </w:rPr>
        <w:t>ion practice within</w:t>
      </w:r>
      <w:r w:rsidR="00DE2DB0" w:rsidRPr="00277F46">
        <w:rPr>
          <w:bCs/>
        </w:rPr>
        <w:t xml:space="preserve"> prison</w:t>
      </w:r>
      <w:r w:rsidR="003F4FB0" w:rsidRPr="00277F46">
        <w:rPr>
          <w:bCs/>
        </w:rPr>
        <w:t>s</w:t>
      </w:r>
      <w:r w:rsidR="00DE2DB0" w:rsidRPr="00277F46">
        <w:rPr>
          <w:bCs/>
        </w:rPr>
        <w:t xml:space="preserve">, </w:t>
      </w:r>
      <w:r w:rsidR="00E22A74" w:rsidRPr="00277F46">
        <w:rPr>
          <w:bCs/>
        </w:rPr>
        <w:t xml:space="preserve">identified </w:t>
      </w:r>
      <w:r w:rsidR="00BC526D" w:rsidRPr="00277F46">
        <w:rPr>
          <w:bCs/>
        </w:rPr>
        <w:t xml:space="preserve">continued slow </w:t>
      </w:r>
      <w:r w:rsidR="00DE2DB0" w:rsidRPr="00277F46">
        <w:rPr>
          <w:bCs/>
        </w:rPr>
        <w:t>progress</w:t>
      </w:r>
      <w:r w:rsidR="0084271B" w:rsidRPr="00277F46">
        <w:rPr>
          <w:bCs/>
        </w:rPr>
        <w:t xml:space="preserve"> </w:t>
      </w:r>
      <w:r w:rsidR="005D225D" w:rsidRPr="00277F46">
        <w:rPr>
          <w:bCs/>
        </w:rPr>
        <w:t xml:space="preserve">and </w:t>
      </w:r>
      <w:r w:rsidR="00DE2DB0" w:rsidRPr="00277F46">
        <w:rPr>
          <w:bCs/>
        </w:rPr>
        <w:t>a weakening of commitment, both of individual nations and the WHO, and a “worrying</w:t>
      </w:r>
      <w:r w:rsidR="00DE2DB0" w:rsidRPr="00D9272F">
        <w:rPr>
          <w:bCs/>
        </w:rPr>
        <w:t xml:space="preserve"> negative trajectory” of </w:t>
      </w:r>
      <w:r w:rsidR="00431CCC">
        <w:rPr>
          <w:bCs/>
        </w:rPr>
        <w:t xml:space="preserve">project </w:t>
      </w:r>
      <w:r w:rsidR="00DE2DB0" w:rsidRPr="00D9272F">
        <w:rPr>
          <w:bCs/>
        </w:rPr>
        <w:t>support (</w:t>
      </w:r>
      <w:r w:rsidR="003F4FB0" w:rsidRPr="00D9272F">
        <w:rPr>
          <w:bCs/>
        </w:rPr>
        <w:t xml:space="preserve">Woodall, 2016, </w:t>
      </w:r>
      <w:r w:rsidR="00DE2DB0" w:rsidRPr="00D9272F">
        <w:rPr>
          <w:bCs/>
        </w:rPr>
        <w:t xml:space="preserve">pg. 619). </w:t>
      </w:r>
    </w:p>
    <w:p w14:paraId="3E733EBC" w14:textId="77777777" w:rsidR="00173ABB" w:rsidRDefault="00173ABB" w:rsidP="00DE2DB0">
      <w:pPr>
        <w:spacing w:line="480" w:lineRule="auto"/>
        <w:rPr>
          <w:bCs/>
        </w:rPr>
      </w:pPr>
    </w:p>
    <w:p w14:paraId="663A84C8" w14:textId="791501B1" w:rsidR="004F4CF1" w:rsidRDefault="00DE2DB0" w:rsidP="00084CF1">
      <w:pPr>
        <w:spacing w:line="480" w:lineRule="auto"/>
        <w:rPr>
          <w:bCs/>
        </w:rPr>
      </w:pPr>
      <w:r w:rsidRPr="00D9272F">
        <w:rPr>
          <w:bCs/>
        </w:rPr>
        <w:t xml:space="preserve">Woodall </w:t>
      </w:r>
      <w:r w:rsidR="009004F6">
        <w:rPr>
          <w:bCs/>
        </w:rPr>
        <w:t xml:space="preserve">(2016) also </w:t>
      </w:r>
      <w:r w:rsidRPr="00D9272F">
        <w:rPr>
          <w:bCs/>
        </w:rPr>
        <w:t xml:space="preserve">highlighted that in comparison to other health promoting settings, there </w:t>
      </w:r>
      <w:r w:rsidR="000F2EC1" w:rsidRPr="00D9272F">
        <w:rPr>
          <w:bCs/>
        </w:rPr>
        <w:t>ha</w:t>
      </w:r>
      <w:r w:rsidR="00277F46">
        <w:rPr>
          <w:bCs/>
        </w:rPr>
        <w:t>d</w:t>
      </w:r>
      <w:r w:rsidR="000F2EC1" w:rsidRPr="00D9272F">
        <w:rPr>
          <w:bCs/>
        </w:rPr>
        <w:t xml:space="preserve"> been</w:t>
      </w:r>
      <w:r w:rsidRPr="00D9272F">
        <w:rPr>
          <w:bCs/>
        </w:rPr>
        <w:t xml:space="preserve"> a lack of </w:t>
      </w:r>
      <w:r w:rsidR="00C12283" w:rsidRPr="00D9272F">
        <w:rPr>
          <w:bCs/>
        </w:rPr>
        <w:t xml:space="preserve">prison based evaluative </w:t>
      </w:r>
      <w:r w:rsidR="00594FCB" w:rsidRPr="00D9272F">
        <w:rPr>
          <w:bCs/>
        </w:rPr>
        <w:t xml:space="preserve">research </w:t>
      </w:r>
      <w:r w:rsidR="00CB363E">
        <w:rPr>
          <w:bCs/>
        </w:rPr>
        <w:t xml:space="preserve">that </w:t>
      </w:r>
      <w:r w:rsidRPr="00D9272F">
        <w:rPr>
          <w:bCs/>
        </w:rPr>
        <w:t>su</w:t>
      </w:r>
      <w:r w:rsidR="00C12283" w:rsidRPr="00D9272F">
        <w:rPr>
          <w:bCs/>
        </w:rPr>
        <w:t>ccessfully demonstra</w:t>
      </w:r>
      <w:r w:rsidR="00277F46">
        <w:rPr>
          <w:bCs/>
        </w:rPr>
        <w:t>t</w:t>
      </w:r>
      <w:r w:rsidR="00CB363E">
        <w:rPr>
          <w:bCs/>
        </w:rPr>
        <w:t>ed</w:t>
      </w:r>
      <w:r w:rsidRPr="00D9272F">
        <w:rPr>
          <w:bCs/>
        </w:rPr>
        <w:t xml:space="preserve"> that health promoting prison</w:t>
      </w:r>
      <w:r w:rsidR="00431CCC">
        <w:rPr>
          <w:bCs/>
        </w:rPr>
        <w:t>s</w:t>
      </w:r>
      <w:r w:rsidRPr="00D9272F">
        <w:rPr>
          <w:bCs/>
        </w:rPr>
        <w:t xml:space="preserve"> work</w:t>
      </w:r>
      <w:r w:rsidR="00CB363E">
        <w:rPr>
          <w:bCs/>
        </w:rPr>
        <w:t>,</w:t>
      </w:r>
      <w:r w:rsidRPr="00D9272F">
        <w:rPr>
          <w:bCs/>
        </w:rPr>
        <w:t xml:space="preserve"> </w:t>
      </w:r>
      <w:r w:rsidR="004D1C0B">
        <w:rPr>
          <w:bCs/>
        </w:rPr>
        <w:t>benefit</w:t>
      </w:r>
      <w:r w:rsidR="008E7776" w:rsidRPr="00D9272F">
        <w:rPr>
          <w:bCs/>
        </w:rPr>
        <w:t xml:space="preserve"> inmates</w:t>
      </w:r>
      <w:r w:rsidR="001228E3" w:rsidRPr="00D9272F">
        <w:rPr>
          <w:bCs/>
        </w:rPr>
        <w:t xml:space="preserve">, </w:t>
      </w:r>
      <w:r w:rsidR="008E7776" w:rsidRPr="00D9272F">
        <w:rPr>
          <w:bCs/>
        </w:rPr>
        <w:t>staff</w:t>
      </w:r>
      <w:r w:rsidR="001228E3" w:rsidRPr="00D9272F">
        <w:rPr>
          <w:bCs/>
        </w:rPr>
        <w:t xml:space="preserve"> </w:t>
      </w:r>
      <w:r w:rsidR="004877E0">
        <w:rPr>
          <w:bCs/>
        </w:rPr>
        <w:t>or</w:t>
      </w:r>
      <w:r w:rsidR="001228E3" w:rsidRPr="00D9272F">
        <w:rPr>
          <w:bCs/>
        </w:rPr>
        <w:t xml:space="preserve"> the wider community</w:t>
      </w:r>
      <w:r w:rsidR="009004F6">
        <w:rPr>
          <w:bCs/>
        </w:rPr>
        <w:t xml:space="preserve">. </w:t>
      </w:r>
      <w:r w:rsidR="00C718D8">
        <w:rPr>
          <w:bCs/>
        </w:rPr>
        <w:t xml:space="preserve">This research gap may be partly explained by the complicating factors of restriction, control and power imbalances inherent in the prison context (Abbot, DiGiacomo, Magin &amp; Hu, 2018). </w:t>
      </w:r>
      <w:r w:rsidR="007D75AF">
        <w:rPr>
          <w:bCs/>
        </w:rPr>
        <w:t>In a</w:t>
      </w:r>
      <w:r w:rsidR="004F4CF1" w:rsidRPr="00D9272F">
        <w:rPr>
          <w:bCs/>
        </w:rPr>
        <w:t xml:space="preserve"> </w:t>
      </w:r>
      <w:r w:rsidR="004F4CF1">
        <w:rPr>
          <w:bCs/>
        </w:rPr>
        <w:t xml:space="preserve">qualitative </w:t>
      </w:r>
      <w:r w:rsidR="004F4CF1" w:rsidRPr="00D9272F">
        <w:rPr>
          <w:bCs/>
        </w:rPr>
        <w:t>study by Keogh et al.</w:t>
      </w:r>
      <w:r w:rsidR="006A41DB">
        <w:rPr>
          <w:bCs/>
        </w:rPr>
        <w:t>,</w:t>
      </w:r>
      <w:r w:rsidR="004F4CF1" w:rsidRPr="00D9272F">
        <w:rPr>
          <w:bCs/>
        </w:rPr>
        <w:t xml:space="preserve"> (2017), the impact of a mental health wellness workshop on prisoners</w:t>
      </w:r>
      <w:r w:rsidR="007D75AF">
        <w:rPr>
          <w:bCs/>
        </w:rPr>
        <w:t xml:space="preserve"> w</w:t>
      </w:r>
      <w:r w:rsidR="004D1C0B">
        <w:rPr>
          <w:bCs/>
        </w:rPr>
        <w:t>as</w:t>
      </w:r>
      <w:r w:rsidR="007D75AF">
        <w:rPr>
          <w:bCs/>
        </w:rPr>
        <w:t xml:space="preserve"> examined</w:t>
      </w:r>
      <w:r w:rsidR="004F4CF1" w:rsidRPr="00D9272F">
        <w:rPr>
          <w:bCs/>
        </w:rPr>
        <w:t>. The programme encouraged participants to monitor and evaluate their own mental wellness and seek appropriate support</w:t>
      </w:r>
      <w:r w:rsidR="004F4CF1">
        <w:rPr>
          <w:bCs/>
        </w:rPr>
        <w:t xml:space="preserve">. </w:t>
      </w:r>
      <w:r w:rsidR="004F4CF1" w:rsidRPr="00D9272F">
        <w:rPr>
          <w:bCs/>
        </w:rPr>
        <w:t xml:space="preserve">Participants responded better to stress, adopted effective coping mechanisms, as well as feeling equipped to be a source of assistance for other prisoners.  Whilst acknowledging the study limitations, it was concluded that </w:t>
      </w:r>
      <w:r w:rsidR="004D1C0B">
        <w:rPr>
          <w:bCs/>
        </w:rPr>
        <w:t>the</w:t>
      </w:r>
      <w:r w:rsidR="00431CCC">
        <w:rPr>
          <w:bCs/>
        </w:rPr>
        <w:t>re</w:t>
      </w:r>
      <w:r w:rsidR="004D1C0B">
        <w:rPr>
          <w:bCs/>
        </w:rPr>
        <w:t xml:space="preserve"> is</w:t>
      </w:r>
      <w:r w:rsidR="004F4CF1" w:rsidRPr="00D9272F">
        <w:rPr>
          <w:bCs/>
        </w:rPr>
        <w:t xml:space="preserve"> strong potential </w:t>
      </w:r>
      <w:r w:rsidR="004D1C0B">
        <w:rPr>
          <w:bCs/>
        </w:rPr>
        <w:t xml:space="preserve">in the inclusion of mental health programmes in </w:t>
      </w:r>
      <w:r w:rsidR="00B63CFC">
        <w:rPr>
          <w:bCs/>
        </w:rPr>
        <w:t>prison</w:t>
      </w:r>
      <w:r w:rsidR="004D1C0B">
        <w:rPr>
          <w:bCs/>
        </w:rPr>
        <w:t xml:space="preserve">. </w:t>
      </w:r>
    </w:p>
    <w:p w14:paraId="6E04DD0C" w14:textId="77777777" w:rsidR="004F4CF1" w:rsidRDefault="004F4CF1" w:rsidP="00F81AB1">
      <w:pPr>
        <w:spacing w:line="480" w:lineRule="auto"/>
        <w:rPr>
          <w:bCs/>
        </w:rPr>
      </w:pPr>
    </w:p>
    <w:p w14:paraId="4BA100E2" w14:textId="09333EC4" w:rsidR="00DE2DB0" w:rsidRPr="00D9272F" w:rsidRDefault="00D145B8" w:rsidP="00F81AB1">
      <w:pPr>
        <w:spacing w:line="480" w:lineRule="auto"/>
        <w:rPr>
          <w:bCs/>
        </w:rPr>
      </w:pPr>
      <w:r>
        <w:rPr>
          <w:bCs/>
        </w:rPr>
        <w:t>Mental health in prison is experi</w:t>
      </w:r>
      <w:r w:rsidR="00FD7598">
        <w:rPr>
          <w:bCs/>
        </w:rPr>
        <w:t>enced</w:t>
      </w:r>
      <w:r>
        <w:rPr>
          <w:bCs/>
        </w:rPr>
        <w:t xml:space="preserve"> </w:t>
      </w:r>
      <w:r w:rsidR="00CC5A00">
        <w:rPr>
          <w:bCs/>
        </w:rPr>
        <w:t>differently</w:t>
      </w:r>
      <w:r>
        <w:rPr>
          <w:bCs/>
        </w:rPr>
        <w:t xml:space="preserve"> </w:t>
      </w:r>
      <w:r w:rsidR="00FD7598">
        <w:rPr>
          <w:bCs/>
        </w:rPr>
        <w:t>by males and females</w:t>
      </w:r>
      <w:r w:rsidR="00CC5A00">
        <w:rPr>
          <w:bCs/>
        </w:rPr>
        <w:t xml:space="preserve">. </w:t>
      </w:r>
      <w:r w:rsidR="00573AD9" w:rsidRPr="00664806">
        <w:rPr>
          <w:bCs/>
        </w:rPr>
        <w:t xml:space="preserve">Females are more likely to report clinically significant symptoms of anxiety, borderline personality features, somatic concerns and trauma-related symptoms, and </w:t>
      </w:r>
      <w:r w:rsidR="00797AE4" w:rsidRPr="00664806">
        <w:rPr>
          <w:bCs/>
        </w:rPr>
        <w:t>are</w:t>
      </w:r>
      <w:r w:rsidR="00573AD9" w:rsidRPr="00664806">
        <w:rPr>
          <w:bCs/>
        </w:rPr>
        <w:t xml:space="preserve"> also more likely to seek and be enrolled in prison-based treatment</w:t>
      </w:r>
      <w:r w:rsidR="00664806" w:rsidRPr="00664806">
        <w:rPr>
          <w:bCs/>
        </w:rPr>
        <w:t>, (</w:t>
      </w:r>
      <w:r w:rsidR="00573AD9" w:rsidRPr="00664806">
        <w:rPr>
          <w:bCs/>
        </w:rPr>
        <w:t>Drapalski, Youman, Stuewig &amp; Tangney, 2013)</w:t>
      </w:r>
      <w:r w:rsidR="00F81AB1">
        <w:rPr>
          <w:bCs/>
        </w:rPr>
        <w:t xml:space="preserve">. </w:t>
      </w:r>
      <w:r w:rsidR="00DE2DB0" w:rsidRPr="00D9272F">
        <w:rPr>
          <w:bCs/>
        </w:rPr>
        <w:t xml:space="preserve">A significant challenge </w:t>
      </w:r>
      <w:r w:rsidR="00285018">
        <w:rPr>
          <w:bCs/>
        </w:rPr>
        <w:t xml:space="preserve">to </w:t>
      </w:r>
      <w:r w:rsidR="00A40478">
        <w:rPr>
          <w:bCs/>
        </w:rPr>
        <w:t xml:space="preserve">attracting males </w:t>
      </w:r>
      <w:r w:rsidR="00FD6262">
        <w:rPr>
          <w:bCs/>
        </w:rPr>
        <w:t xml:space="preserve">to </w:t>
      </w:r>
      <w:r w:rsidR="006D5355">
        <w:rPr>
          <w:bCs/>
        </w:rPr>
        <w:t xml:space="preserve">mental </w:t>
      </w:r>
      <w:r w:rsidR="00C718D8">
        <w:rPr>
          <w:bCs/>
        </w:rPr>
        <w:t xml:space="preserve">health </w:t>
      </w:r>
      <w:r w:rsidR="006D5355">
        <w:rPr>
          <w:bCs/>
        </w:rPr>
        <w:t xml:space="preserve">awareness </w:t>
      </w:r>
      <w:r w:rsidR="00285018">
        <w:rPr>
          <w:bCs/>
        </w:rPr>
        <w:t>programmes and their evaluation</w:t>
      </w:r>
      <w:r w:rsidR="00D06FD1">
        <w:rPr>
          <w:bCs/>
        </w:rPr>
        <w:t>,</w:t>
      </w:r>
      <w:r w:rsidR="003C4149" w:rsidRPr="00D9272F">
        <w:rPr>
          <w:bCs/>
        </w:rPr>
        <w:t xml:space="preserve"> </w:t>
      </w:r>
      <w:r w:rsidR="00DE2DB0" w:rsidRPr="00D9272F">
        <w:rPr>
          <w:bCs/>
        </w:rPr>
        <w:t xml:space="preserve">is </w:t>
      </w:r>
      <w:r w:rsidR="000361C9" w:rsidRPr="00D9272F">
        <w:rPr>
          <w:bCs/>
        </w:rPr>
        <w:t>that male prisoners</w:t>
      </w:r>
      <w:r w:rsidR="00DE2DB0" w:rsidRPr="00D9272F">
        <w:rPr>
          <w:bCs/>
        </w:rPr>
        <w:t xml:space="preserve"> </w:t>
      </w:r>
      <w:r w:rsidR="00285018">
        <w:rPr>
          <w:bCs/>
        </w:rPr>
        <w:t xml:space="preserve">tend to </w:t>
      </w:r>
      <w:r w:rsidR="00DE2DB0" w:rsidRPr="00D9272F">
        <w:rPr>
          <w:bCs/>
        </w:rPr>
        <w:t xml:space="preserve">adopt and project </w:t>
      </w:r>
      <w:r w:rsidR="00916E45" w:rsidRPr="00D9272F">
        <w:rPr>
          <w:bCs/>
        </w:rPr>
        <w:t xml:space="preserve">hegemonic (i.e., ruling or dominant) </w:t>
      </w:r>
      <w:r w:rsidR="00DE2DB0" w:rsidRPr="00D9272F">
        <w:rPr>
          <w:bCs/>
        </w:rPr>
        <w:t>masculinities</w:t>
      </w:r>
      <w:r w:rsidR="000361C9" w:rsidRPr="00D9272F">
        <w:rPr>
          <w:bCs/>
        </w:rPr>
        <w:t xml:space="preserve"> </w:t>
      </w:r>
      <w:r w:rsidR="00285018">
        <w:rPr>
          <w:bCs/>
        </w:rPr>
        <w:t>as self-protection</w:t>
      </w:r>
      <w:r w:rsidR="00DE2DB0" w:rsidRPr="00D9272F">
        <w:rPr>
          <w:bCs/>
        </w:rPr>
        <w:t xml:space="preserve"> (De Viggiani, 2012). </w:t>
      </w:r>
      <w:r w:rsidR="006A1057">
        <w:rPr>
          <w:bCs/>
        </w:rPr>
        <w:t xml:space="preserve">This </w:t>
      </w:r>
      <w:r w:rsidR="006A1057" w:rsidRPr="00D9272F">
        <w:rPr>
          <w:bCs/>
        </w:rPr>
        <w:t>involves</w:t>
      </w:r>
      <w:r w:rsidR="00DE2DB0" w:rsidRPr="00D9272F">
        <w:rPr>
          <w:bCs/>
        </w:rPr>
        <w:t xml:space="preserve"> masking emotional vulnerabilities </w:t>
      </w:r>
      <w:bookmarkStart w:id="5" w:name="_Hlk8304035"/>
      <w:r w:rsidR="00DE2DB0" w:rsidRPr="00D9272F">
        <w:rPr>
          <w:bCs/>
        </w:rPr>
        <w:t>(Ricciardelli</w:t>
      </w:r>
      <w:r w:rsidR="002D5373">
        <w:rPr>
          <w:bCs/>
        </w:rPr>
        <w:t xml:space="preserve"> et al.</w:t>
      </w:r>
      <w:r w:rsidR="00DE2DB0" w:rsidRPr="00D9272F">
        <w:rPr>
          <w:bCs/>
        </w:rPr>
        <w:t>, 2015</w:t>
      </w:r>
      <w:bookmarkEnd w:id="5"/>
      <w:r w:rsidR="00DE2DB0" w:rsidRPr="00D9272F">
        <w:rPr>
          <w:bCs/>
        </w:rPr>
        <w:t>)</w:t>
      </w:r>
      <w:r w:rsidR="007C2BC1" w:rsidRPr="00D9272F">
        <w:rPr>
          <w:bCs/>
        </w:rPr>
        <w:t xml:space="preserve"> and / or </w:t>
      </w:r>
      <w:r w:rsidR="00DE2DB0" w:rsidRPr="00D9272F">
        <w:rPr>
          <w:bCs/>
        </w:rPr>
        <w:t xml:space="preserve">avoiding mental health related </w:t>
      </w:r>
      <w:r w:rsidR="00DE2DB0" w:rsidRPr="00D9272F">
        <w:rPr>
          <w:bCs/>
        </w:rPr>
        <w:lastRenderedPageBreak/>
        <w:t xml:space="preserve">help-seeking behaviour for fear of </w:t>
      </w:r>
      <w:r w:rsidR="00916E45" w:rsidRPr="00D9272F">
        <w:rPr>
          <w:bCs/>
        </w:rPr>
        <w:t xml:space="preserve">reprisal, </w:t>
      </w:r>
      <w:r w:rsidR="00DE2DB0" w:rsidRPr="00D9272F">
        <w:rPr>
          <w:bCs/>
        </w:rPr>
        <w:t>external consequences and internal costs</w:t>
      </w:r>
      <w:r w:rsidR="003617B5">
        <w:rPr>
          <w:bCs/>
        </w:rPr>
        <w:t>, for example, feeling weak</w:t>
      </w:r>
      <w:r w:rsidR="00710592">
        <w:rPr>
          <w:bCs/>
        </w:rPr>
        <w:t>ened</w:t>
      </w:r>
      <w:r w:rsidR="003617B5">
        <w:rPr>
          <w:bCs/>
        </w:rPr>
        <w:t xml:space="preserve"> </w:t>
      </w:r>
      <w:r w:rsidR="00F974BA">
        <w:rPr>
          <w:bCs/>
        </w:rPr>
        <w:t xml:space="preserve">or </w:t>
      </w:r>
      <w:r w:rsidR="006811BD">
        <w:rPr>
          <w:bCs/>
        </w:rPr>
        <w:t>shame</w:t>
      </w:r>
      <w:r w:rsidR="00710592">
        <w:rPr>
          <w:bCs/>
        </w:rPr>
        <w:t>d</w:t>
      </w:r>
      <w:r w:rsidR="00F974BA">
        <w:rPr>
          <w:bCs/>
        </w:rPr>
        <w:t xml:space="preserve"> for seeking assistance</w:t>
      </w:r>
      <w:r w:rsidR="00DE2DB0" w:rsidRPr="00D9272F">
        <w:rPr>
          <w:bCs/>
        </w:rPr>
        <w:t xml:space="preserve"> (Howerton et al., 2007). </w:t>
      </w:r>
      <w:r w:rsidR="004A044D">
        <w:rPr>
          <w:bCs/>
        </w:rPr>
        <w:t xml:space="preserve">Therefore, </w:t>
      </w:r>
      <w:r w:rsidR="004A044D" w:rsidRPr="00D9272F">
        <w:rPr>
          <w:bCs/>
        </w:rPr>
        <w:t>innovative ways</w:t>
      </w:r>
      <w:r w:rsidR="004A044D">
        <w:rPr>
          <w:bCs/>
        </w:rPr>
        <w:t xml:space="preserve"> are required to</w:t>
      </w:r>
      <w:r w:rsidR="004A044D" w:rsidRPr="00D9272F">
        <w:rPr>
          <w:bCs/>
        </w:rPr>
        <w:t xml:space="preserve"> </w:t>
      </w:r>
      <w:r w:rsidR="004A044D">
        <w:rPr>
          <w:bCs/>
        </w:rPr>
        <w:t>engage</w:t>
      </w:r>
      <w:r w:rsidR="005B439A">
        <w:rPr>
          <w:bCs/>
        </w:rPr>
        <w:t xml:space="preserve"> male</w:t>
      </w:r>
      <w:r w:rsidR="004A044D">
        <w:rPr>
          <w:bCs/>
        </w:rPr>
        <w:t xml:space="preserve"> </w:t>
      </w:r>
      <w:r w:rsidR="004A044D" w:rsidRPr="00D9272F">
        <w:rPr>
          <w:bCs/>
        </w:rPr>
        <w:t xml:space="preserve">prisoners </w:t>
      </w:r>
      <w:r w:rsidR="004A044D">
        <w:rPr>
          <w:bCs/>
        </w:rPr>
        <w:t xml:space="preserve">in </w:t>
      </w:r>
      <w:r w:rsidR="003116B1">
        <w:rPr>
          <w:bCs/>
        </w:rPr>
        <w:t xml:space="preserve">mental health awareness </w:t>
      </w:r>
      <w:r w:rsidR="004A044D" w:rsidRPr="00D9272F">
        <w:rPr>
          <w:bCs/>
        </w:rPr>
        <w:t>programmes.</w:t>
      </w:r>
    </w:p>
    <w:p w14:paraId="7AABAAC0" w14:textId="77777777" w:rsidR="009139E7" w:rsidRPr="00D9272F" w:rsidRDefault="009139E7" w:rsidP="009139E7">
      <w:pPr>
        <w:spacing w:line="480" w:lineRule="auto"/>
        <w:rPr>
          <w:bCs/>
        </w:rPr>
      </w:pPr>
    </w:p>
    <w:p w14:paraId="77D243F5" w14:textId="2A1EB346" w:rsidR="00E91BD3" w:rsidRDefault="00D4245C" w:rsidP="001A7F8E">
      <w:pPr>
        <w:spacing w:line="480" w:lineRule="auto"/>
        <w:rPr>
          <w:bCs/>
        </w:rPr>
      </w:pPr>
      <w:r>
        <w:rPr>
          <w:bCs/>
        </w:rPr>
        <w:t>E</w:t>
      </w:r>
      <w:r w:rsidR="00B21F4F" w:rsidRPr="00D9272F">
        <w:rPr>
          <w:bCs/>
        </w:rPr>
        <w:t xml:space="preserve">ngaging </w:t>
      </w:r>
      <w:r w:rsidR="00B63CFC">
        <w:rPr>
          <w:bCs/>
        </w:rPr>
        <w:t xml:space="preserve">and attracting </w:t>
      </w:r>
      <w:r w:rsidR="00B21F4F" w:rsidRPr="00D9272F">
        <w:rPr>
          <w:bCs/>
        </w:rPr>
        <w:t xml:space="preserve">prisoners </w:t>
      </w:r>
      <w:r w:rsidR="00B63CFC">
        <w:rPr>
          <w:bCs/>
        </w:rPr>
        <w:t xml:space="preserve">to </w:t>
      </w:r>
      <w:r w:rsidR="00B21F4F" w:rsidRPr="00D9272F">
        <w:rPr>
          <w:bCs/>
        </w:rPr>
        <w:t xml:space="preserve">mental health </w:t>
      </w:r>
      <w:r w:rsidR="005C4FEF">
        <w:rPr>
          <w:bCs/>
        </w:rPr>
        <w:t>awareness activities</w:t>
      </w:r>
      <w:r w:rsidR="005C4FEF" w:rsidRPr="00D9272F">
        <w:rPr>
          <w:bCs/>
        </w:rPr>
        <w:t xml:space="preserve"> </w:t>
      </w:r>
      <w:r w:rsidR="00B21F4F" w:rsidRPr="00D9272F">
        <w:rPr>
          <w:bCs/>
        </w:rPr>
        <w:t>through the use of sport</w:t>
      </w:r>
      <w:r>
        <w:rPr>
          <w:bCs/>
        </w:rPr>
        <w:t xml:space="preserve"> has been largely </w:t>
      </w:r>
      <w:r w:rsidR="006A1057">
        <w:rPr>
          <w:bCs/>
        </w:rPr>
        <w:t>overlooked (</w:t>
      </w:r>
      <w:r w:rsidR="00E73A7B">
        <w:rPr>
          <w:bCs/>
        </w:rPr>
        <w:t>Meek &amp; Lewis, 2012)</w:t>
      </w:r>
      <w:r>
        <w:rPr>
          <w:bCs/>
        </w:rPr>
        <w:t>.</w:t>
      </w:r>
      <w:r w:rsidR="00B90E5F" w:rsidRPr="00D9272F">
        <w:rPr>
          <w:bCs/>
        </w:rPr>
        <w:t xml:space="preserve"> </w:t>
      </w:r>
      <w:r>
        <w:rPr>
          <w:bCs/>
        </w:rPr>
        <w:t xml:space="preserve">Thus, sport may be </w:t>
      </w:r>
      <w:r w:rsidR="00B21F4F" w:rsidRPr="00D9272F">
        <w:rPr>
          <w:bCs/>
        </w:rPr>
        <w:t xml:space="preserve">perceived </w:t>
      </w:r>
      <w:r>
        <w:rPr>
          <w:bCs/>
        </w:rPr>
        <w:t xml:space="preserve">by prisoners </w:t>
      </w:r>
      <w:r w:rsidR="006A1057" w:rsidRPr="00D9272F">
        <w:rPr>
          <w:bCs/>
        </w:rPr>
        <w:t xml:space="preserve">as </w:t>
      </w:r>
      <w:r w:rsidR="006A1057">
        <w:rPr>
          <w:bCs/>
        </w:rPr>
        <w:t>more</w:t>
      </w:r>
      <w:r>
        <w:rPr>
          <w:bCs/>
        </w:rPr>
        <w:t xml:space="preserve"> </w:t>
      </w:r>
      <w:r w:rsidR="00DE2DB0" w:rsidRPr="00D9272F">
        <w:rPr>
          <w:bCs/>
        </w:rPr>
        <w:t>acceptable</w:t>
      </w:r>
      <w:r>
        <w:rPr>
          <w:bCs/>
        </w:rPr>
        <w:t xml:space="preserve"> context for mental health programmes than traditional didactic models. </w:t>
      </w:r>
      <w:r w:rsidR="005C1076" w:rsidRPr="00D9272F">
        <w:rPr>
          <w:bCs/>
        </w:rPr>
        <w:t xml:space="preserve">Woods, Breslin &amp; Hassan </w:t>
      </w:r>
      <w:r w:rsidR="00DE2DB0" w:rsidRPr="00D9272F">
        <w:rPr>
          <w:bCs/>
        </w:rPr>
        <w:t>(2017)</w:t>
      </w:r>
      <w:r w:rsidR="00B63CFC">
        <w:rPr>
          <w:bCs/>
        </w:rPr>
        <w:t xml:space="preserve"> </w:t>
      </w:r>
      <w:r w:rsidR="00DE2DB0" w:rsidRPr="00D9272F">
        <w:rPr>
          <w:bCs/>
        </w:rPr>
        <w:t>conducted a review of the perceived benefits of physically active sport-based interventions</w:t>
      </w:r>
      <w:r w:rsidR="0085543F">
        <w:rPr>
          <w:bCs/>
        </w:rPr>
        <w:t xml:space="preserve">, </w:t>
      </w:r>
      <w:r w:rsidR="00AE6995">
        <w:rPr>
          <w:bCs/>
        </w:rPr>
        <w:t>ranging from</w:t>
      </w:r>
      <w:r w:rsidR="0085543F">
        <w:rPr>
          <w:bCs/>
        </w:rPr>
        <w:t xml:space="preserve"> 6 weeks to 9 months</w:t>
      </w:r>
      <w:r w:rsidR="00414A51">
        <w:rPr>
          <w:bCs/>
        </w:rPr>
        <w:t xml:space="preserve"> in duration</w:t>
      </w:r>
      <w:r w:rsidR="004B0FF6">
        <w:rPr>
          <w:bCs/>
        </w:rPr>
        <w:t xml:space="preserve"> with varying frequencies</w:t>
      </w:r>
      <w:r w:rsidR="00414A51">
        <w:rPr>
          <w:bCs/>
        </w:rPr>
        <w:t>,</w:t>
      </w:r>
      <w:r w:rsidR="00DE2DB0" w:rsidRPr="00D9272F">
        <w:rPr>
          <w:bCs/>
        </w:rPr>
        <w:t xml:space="preserve"> on the psychological well-being of people in prison. The review highlighted </w:t>
      </w:r>
      <w:r w:rsidR="000F3CB1" w:rsidRPr="00D9272F">
        <w:rPr>
          <w:bCs/>
        </w:rPr>
        <w:t>reductions in</w:t>
      </w:r>
      <w:r w:rsidR="00DE2DB0" w:rsidRPr="00D9272F">
        <w:rPr>
          <w:bCs/>
        </w:rPr>
        <w:t xml:space="preserve"> depression, stress and anxiety, alongside increases in self-confidence, self-esteem and pro-social identities. </w:t>
      </w:r>
      <w:r w:rsidR="005B5AB5">
        <w:rPr>
          <w:bCs/>
        </w:rPr>
        <w:t>However,</w:t>
      </w:r>
      <w:r w:rsidR="00DE2DB0" w:rsidRPr="00D9272F">
        <w:rPr>
          <w:bCs/>
        </w:rPr>
        <w:t xml:space="preserve"> </w:t>
      </w:r>
      <w:r w:rsidR="00B85C02" w:rsidRPr="00D9272F">
        <w:rPr>
          <w:bCs/>
        </w:rPr>
        <w:t>Woods &amp; Breslin (2019</w:t>
      </w:r>
      <w:r w:rsidR="00947613" w:rsidRPr="00D9272F">
        <w:rPr>
          <w:bCs/>
        </w:rPr>
        <w:t xml:space="preserve">) </w:t>
      </w:r>
      <w:r>
        <w:rPr>
          <w:bCs/>
        </w:rPr>
        <w:t xml:space="preserve">also </w:t>
      </w:r>
      <w:r w:rsidR="00947613" w:rsidRPr="00D9272F">
        <w:rPr>
          <w:bCs/>
        </w:rPr>
        <w:t>highlighted</w:t>
      </w:r>
      <w:r w:rsidR="00DE2DB0" w:rsidRPr="00D9272F">
        <w:rPr>
          <w:bCs/>
        </w:rPr>
        <w:t xml:space="preserve"> multiple </w:t>
      </w:r>
      <w:r w:rsidR="008F159D" w:rsidRPr="00D9272F">
        <w:rPr>
          <w:bCs/>
        </w:rPr>
        <w:t xml:space="preserve">barriers </w:t>
      </w:r>
      <w:r w:rsidR="008F159D">
        <w:rPr>
          <w:bCs/>
        </w:rPr>
        <w:t>to</w:t>
      </w:r>
      <w:r w:rsidR="00DE2DB0" w:rsidRPr="00D9272F">
        <w:rPr>
          <w:bCs/>
        </w:rPr>
        <w:t xml:space="preserve"> sport-based interventions</w:t>
      </w:r>
      <w:r w:rsidR="000D7C10">
        <w:rPr>
          <w:bCs/>
        </w:rPr>
        <w:t>, including</w:t>
      </w:r>
      <w:r w:rsidR="004F5207">
        <w:rPr>
          <w:bCs/>
        </w:rPr>
        <w:t xml:space="preserve"> availability when</w:t>
      </w:r>
      <w:r w:rsidR="000D7C10">
        <w:rPr>
          <w:bCs/>
        </w:rPr>
        <w:t xml:space="preserve"> </w:t>
      </w:r>
      <w:r w:rsidR="00DE2DB0" w:rsidRPr="00D9272F">
        <w:rPr>
          <w:bCs/>
        </w:rPr>
        <w:t>taking place over multiple weeks</w:t>
      </w:r>
      <w:r w:rsidR="004F5207">
        <w:rPr>
          <w:bCs/>
        </w:rPr>
        <w:t xml:space="preserve"> and</w:t>
      </w:r>
      <w:r w:rsidR="00DE2DB0" w:rsidRPr="00D9272F">
        <w:rPr>
          <w:bCs/>
        </w:rPr>
        <w:t xml:space="preserve"> operational restrictions of the prison </w:t>
      </w:r>
      <w:r w:rsidR="000D7C10">
        <w:rPr>
          <w:bCs/>
        </w:rPr>
        <w:t xml:space="preserve">environment. </w:t>
      </w:r>
    </w:p>
    <w:p w14:paraId="283B0BD4" w14:textId="77777777" w:rsidR="00E91BD3" w:rsidRDefault="00E91BD3" w:rsidP="001A7F8E">
      <w:pPr>
        <w:spacing w:line="480" w:lineRule="auto"/>
        <w:rPr>
          <w:bCs/>
        </w:rPr>
      </w:pPr>
    </w:p>
    <w:p w14:paraId="12976D67" w14:textId="76D05A98" w:rsidR="004B6B21" w:rsidRDefault="000D7C10" w:rsidP="001A7F8E">
      <w:pPr>
        <w:spacing w:line="480" w:lineRule="auto"/>
        <w:rPr>
          <w:bCs/>
        </w:rPr>
      </w:pPr>
      <w:r>
        <w:rPr>
          <w:bCs/>
        </w:rPr>
        <w:t xml:space="preserve">The complexity of </w:t>
      </w:r>
      <w:r w:rsidR="003B1B34">
        <w:rPr>
          <w:bCs/>
        </w:rPr>
        <w:t xml:space="preserve">co-existing factors </w:t>
      </w:r>
      <w:r w:rsidR="0021207F">
        <w:rPr>
          <w:bCs/>
        </w:rPr>
        <w:t xml:space="preserve">within the </w:t>
      </w:r>
      <w:r>
        <w:rPr>
          <w:bCs/>
        </w:rPr>
        <w:t xml:space="preserve">prison </w:t>
      </w:r>
      <w:r w:rsidR="0021207F">
        <w:rPr>
          <w:bCs/>
        </w:rPr>
        <w:t>environment</w:t>
      </w:r>
      <w:r w:rsidR="0019081A">
        <w:rPr>
          <w:bCs/>
        </w:rPr>
        <w:t xml:space="preserve">, </w:t>
      </w:r>
      <w:r w:rsidR="00CF5776">
        <w:rPr>
          <w:bCs/>
        </w:rPr>
        <w:t xml:space="preserve">including </w:t>
      </w:r>
      <w:r w:rsidR="006272C4">
        <w:rPr>
          <w:bCs/>
        </w:rPr>
        <w:t xml:space="preserve">operational </w:t>
      </w:r>
      <w:r w:rsidR="000C2608">
        <w:rPr>
          <w:bCs/>
        </w:rPr>
        <w:t>restrictions</w:t>
      </w:r>
      <w:r w:rsidR="006272C4">
        <w:rPr>
          <w:bCs/>
        </w:rPr>
        <w:t xml:space="preserve"> </w:t>
      </w:r>
      <w:r w:rsidR="00CF5776">
        <w:rPr>
          <w:bCs/>
        </w:rPr>
        <w:t>and</w:t>
      </w:r>
      <w:r w:rsidR="006272C4">
        <w:rPr>
          <w:bCs/>
        </w:rPr>
        <w:t xml:space="preserve"> </w:t>
      </w:r>
      <w:r w:rsidR="000C2608">
        <w:rPr>
          <w:bCs/>
        </w:rPr>
        <w:t>individual</w:t>
      </w:r>
      <w:r w:rsidR="006272C4">
        <w:rPr>
          <w:bCs/>
        </w:rPr>
        <w:t xml:space="preserve"> barriers</w:t>
      </w:r>
      <w:r w:rsidR="0055617E">
        <w:rPr>
          <w:bCs/>
        </w:rPr>
        <w:t xml:space="preserve"> to help-seeking</w:t>
      </w:r>
      <w:r w:rsidR="00AF4374">
        <w:rPr>
          <w:bCs/>
        </w:rPr>
        <w:t>,</w:t>
      </w:r>
      <w:r>
        <w:rPr>
          <w:bCs/>
        </w:rPr>
        <w:t xml:space="preserve"> </w:t>
      </w:r>
      <w:r w:rsidR="0067660B">
        <w:rPr>
          <w:bCs/>
        </w:rPr>
        <w:t xml:space="preserve">therefore </w:t>
      </w:r>
      <w:r w:rsidR="00BD531F">
        <w:rPr>
          <w:bCs/>
        </w:rPr>
        <w:t>requires</w:t>
      </w:r>
      <w:r>
        <w:rPr>
          <w:bCs/>
        </w:rPr>
        <w:t xml:space="preserve"> </w:t>
      </w:r>
      <w:r w:rsidR="00874376">
        <w:rPr>
          <w:bCs/>
        </w:rPr>
        <w:t xml:space="preserve">feasible </w:t>
      </w:r>
      <w:r w:rsidR="00424A3F">
        <w:rPr>
          <w:bCs/>
        </w:rPr>
        <w:t xml:space="preserve">and </w:t>
      </w:r>
      <w:r w:rsidR="00EA2E85">
        <w:rPr>
          <w:bCs/>
        </w:rPr>
        <w:t xml:space="preserve">innovative </w:t>
      </w:r>
      <w:r w:rsidR="00A0187B">
        <w:rPr>
          <w:bCs/>
        </w:rPr>
        <w:t xml:space="preserve">mental health </w:t>
      </w:r>
      <w:r w:rsidR="007A2949">
        <w:rPr>
          <w:bCs/>
        </w:rPr>
        <w:t xml:space="preserve">awareness </w:t>
      </w:r>
      <w:r w:rsidR="00BC5D83">
        <w:rPr>
          <w:bCs/>
        </w:rPr>
        <w:t xml:space="preserve">activities </w:t>
      </w:r>
      <w:r w:rsidR="00A0187B">
        <w:rPr>
          <w:bCs/>
        </w:rPr>
        <w:t xml:space="preserve">and </w:t>
      </w:r>
      <w:r>
        <w:rPr>
          <w:bCs/>
        </w:rPr>
        <w:t>research</w:t>
      </w:r>
      <w:r w:rsidR="00784B86" w:rsidRPr="00D9272F">
        <w:rPr>
          <w:bCs/>
        </w:rPr>
        <w:t xml:space="preserve"> approaches.</w:t>
      </w:r>
      <w:r w:rsidR="00BE0564">
        <w:rPr>
          <w:bCs/>
        </w:rPr>
        <w:t xml:space="preserve"> </w:t>
      </w:r>
      <w:r w:rsidR="00DE6DA3">
        <w:rPr>
          <w:bCs/>
        </w:rPr>
        <w:t>Within the</w:t>
      </w:r>
      <w:r w:rsidR="00E119CC" w:rsidRPr="00D9272F">
        <w:rPr>
          <w:bCs/>
        </w:rPr>
        <w:t xml:space="preserve"> Ministry of Justice policy paper entitled ‘Preventing Suicide in England’ (</w:t>
      </w:r>
      <w:r w:rsidR="00214285">
        <w:rPr>
          <w:bCs/>
        </w:rPr>
        <w:t>Department of Health</w:t>
      </w:r>
      <w:r w:rsidR="008972FE">
        <w:rPr>
          <w:bCs/>
        </w:rPr>
        <w:t xml:space="preserve">, </w:t>
      </w:r>
      <w:r w:rsidR="00E119CC" w:rsidRPr="00D9272F">
        <w:rPr>
          <w:bCs/>
        </w:rPr>
        <w:t xml:space="preserve">2017), State of Mind Sport </w:t>
      </w:r>
      <w:r w:rsidR="00DE6DA3">
        <w:rPr>
          <w:bCs/>
        </w:rPr>
        <w:t>was highlighted</w:t>
      </w:r>
      <w:r w:rsidR="005E5734">
        <w:rPr>
          <w:bCs/>
        </w:rPr>
        <w:t xml:space="preserve"> </w:t>
      </w:r>
      <w:r w:rsidR="00E119CC" w:rsidRPr="00D9272F">
        <w:rPr>
          <w:bCs/>
        </w:rPr>
        <w:t>as a</w:t>
      </w:r>
      <w:r w:rsidR="00F06CE2">
        <w:rPr>
          <w:bCs/>
        </w:rPr>
        <w:t>n innovative</w:t>
      </w:r>
      <w:r w:rsidR="00E119CC" w:rsidRPr="00D9272F">
        <w:rPr>
          <w:bCs/>
        </w:rPr>
        <w:t xml:space="preserve"> </w:t>
      </w:r>
      <w:r w:rsidR="00872A0A">
        <w:rPr>
          <w:bCs/>
        </w:rPr>
        <w:t xml:space="preserve">community based </w:t>
      </w:r>
      <w:r w:rsidR="00E119CC" w:rsidRPr="00D9272F">
        <w:rPr>
          <w:bCs/>
        </w:rPr>
        <w:t>mental health and well-being initiative</w:t>
      </w:r>
      <w:r w:rsidR="005E5734">
        <w:rPr>
          <w:bCs/>
        </w:rPr>
        <w:t>. The programme is</w:t>
      </w:r>
      <w:r w:rsidR="00E119CC" w:rsidRPr="00D9272F">
        <w:rPr>
          <w:bCs/>
        </w:rPr>
        <w:t xml:space="preserve"> aimed at raising awareness and tackling stigma, as well as encouraging individuals to seek help when </w:t>
      </w:r>
      <w:r w:rsidR="00957D7C" w:rsidRPr="00D9272F">
        <w:rPr>
          <w:bCs/>
        </w:rPr>
        <w:t>needed</w:t>
      </w:r>
      <w:r w:rsidR="00957D7C">
        <w:rPr>
          <w:bCs/>
        </w:rPr>
        <w:t>.</w:t>
      </w:r>
      <w:r w:rsidR="00957D7C" w:rsidRPr="00D9272F">
        <w:rPr>
          <w:bCs/>
        </w:rPr>
        <w:t xml:space="preserve"> </w:t>
      </w:r>
    </w:p>
    <w:p w14:paraId="5730449D" w14:textId="77777777" w:rsidR="004B6B21" w:rsidRDefault="004B6B21" w:rsidP="001A7F8E">
      <w:pPr>
        <w:spacing w:line="480" w:lineRule="auto"/>
        <w:rPr>
          <w:bCs/>
        </w:rPr>
      </w:pPr>
    </w:p>
    <w:p w14:paraId="0082DBFE" w14:textId="251C9A93" w:rsidR="00DE2DB0" w:rsidRPr="00D9272F" w:rsidRDefault="00195E4B" w:rsidP="001A7F8E">
      <w:pPr>
        <w:spacing w:line="480" w:lineRule="auto"/>
        <w:rPr>
          <w:bCs/>
        </w:rPr>
      </w:pPr>
      <w:r>
        <w:rPr>
          <w:bCs/>
        </w:rPr>
        <w:lastRenderedPageBreak/>
        <w:t>T</w:t>
      </w:r>
      <w:r w:rsidR="00957D7C" w:rsidRPr="00D9272F">
        <w:rPr>
          <w:bCs/>
        </w:rPr>
        <w:t xml:space="preserve">he current </w:t>
      </w:r>
      <w:r w:rsidR="007C6C8B">
        <w:rPr>
          <w:bCs/>
        </w:rPr>
        <w:t xml:space="preserve">feasibility </w:t>
      </w:r>
      <w:r w:rsidR="00957D7C" w:rsidRPr="00D9272F">
        <w:rPr>
          <w:bCs/>
        </w:rPr>
        <w:t>study</w:t>
      </w:r>
      <w:r w:rsidR="001A79D1">
        <w:rPr>
          <w:bCs/>
        </w:rPr>
        <w:t xml:space="preserve"> </w:t>
      </w:r>
      <w:r w:rsidR="00BE64D0">
        <w:rPr>
          <w:bCs/>
        </w:rPr>
        <w:t xml:space="preserve">therefore </w:t>
      </w:r>
      <w:r w:rsidR="001A79D1">
        <w:rPr>
          <w:bCs/>
        </w:rPr>
        <w:t xml:space="preserve">evaluated a pilot </w:t>
      </w:r>
      <w:r w:rsidR="00957D7C" w:rsidRPr="00D9272F">
        <w:rPr>
          <w:bCs/>
        </w:rPr>
        <w:t xml:space="preserve">State of Mind Sport (SOMS) </w:t>
      </w:r>
      <w:r w:rsidR="00CA787F">
        <w:rPr>
          <w:bCs/>
        </w:rPr>
        <w:t xml:space="preserve">intervention </w:t>
      </w:r>
      <w:r w:rsidR="00CA787F" w:rsidRPr="00D9272F">
        <w:rPr>
          <w:bCs/>
        </w:rPr>
        <w:t>within</w:t>
      </w:r>
      <w:r w:rsidR="00957D7C" w:rsidRPr="00D9272F">
        <w:rPr>
          <w:bCs/>
        </w:rPr>
        <w:t xml:space="preserve"> the prison population</w:t>
      </w:r>
      <w:r w:rsidR="001A79D1">
        <w:rPr>
          <w:bCs/>
        </w:rPr>
        <w:t>.</w:t>
      </w:r>
      <w:r w:rsidR="00A173FE">
        <w:rPr>
          <w:bCs/>
        </w:rPr>
        <w:t xml:space="preserve"> </w:t>
      </w:r>
      <w:r w:rsidR="00F83423">
        <w:rPr>
          <w:bCs/>
        </w:rPr>
        <w:t xml:space="preserve">The aims were </w:t>
      </w:r>
      <w:r w:rsidR="00F83423" w:rsidRPr="009B7FA2">
        <w:rPr>
          <w:bCs/>
        </w:rPr>
        <w:t>to</w:t>
      </w:r>
      <w:r w:rsidR="006B7F19" w:rsidRPr="009B7FA2">
        <w:t xml:space="preserve"> </w:t>
      </w:r>
      <w:r w:rsidR="00F02FB9" w:rsidRPr="009B7FA2">
        <w:t xml:space="preserve">(a) </w:t>
      </w:r>
      <w:r w:rsidR="00274E31" w:rsidRPr="009B7FA2">
        <w:rPr>
          <w:bCs/>
        </w:rPr>
        <w:t>examine</w:t>
      </w:r>
      <w:r w:rsidR="00F02FB9">
        <w:rPr>
          <w:bCs/>
        </w:rPr>
        <w:t xml:space="preserve"> </w:t>
      </w:r>
      <w:r w:rsidR="00274E31" w:rsidRPr="00D9272F">
        <w:rPr>
          <w:bCs/>
        </w:rPr>
        <w:t xml:space="preserve">the </w:t>
      </w:r>
      <w:r w:rsidR="00274E31">
        <w:rPr>
          <w:bCs/>
        </w:rPr>
        <w:t xml:space="preserve">feasibility of adopting the </w:t>
      </w:r>
      <w:r w:rsidR="00274E31" w:rsidRPr="00D9272F">
        <w:rPr>
          <w:bCs/>
        </w:rPr>
        <w:t>SOM</w:t>
      </w:r>
      <w:r w:rsidR="00F93C36">
        <w:rPr>
          <w:bCs/>
        </w:rPr>
        <w:t>S</w:t>
      </w:r>
      <w:r w:rsidR="00274E31" w:rsidRPr="00D9272F">
        <w:rPr>
          <w:bCs/>
        </w:rPr>
        <w:t xml:space="preserve"> </w:t>
      </w:r>
      <w:r w:rsidR="00274E31">
        <w:rPr>
          <w:bCs/>
        </w:rPr>
        <w:t>programme</w:t>
      </w:r>
      <w:r w:rsidR="00274E31" w:rsidRPr="00D9272F">
        <w:rPr>
          <w:bCs/>
        </w:rPr>
        <w:t xml:space="preserve"> </w:t>
      </w:r>
      <w:r w:rsidR="00274E31">
        <w:rPr>
          <w:bCs/>
        </w:rPr>
        <w:t xml:space="preserve">in a prison setting; and (b) </w:t>
      </w:r>
      <w:r w:rsidR="00833C4D">
        <w:rPr>
          <w:bCs/>
        </w:rPr>
        <w:t>test for</w:t>
      </w:r>
      <w:r w:rsidR="00833C4D" w:rsidRPr="00D9272F">
        <w:rPr>
          <w:bCs/>
        </w:rPr>
        <w:t xml:space="preserve"> effects of SOMS on </w:t>
      </w:r>
      <w:r w:rsidR="00833C4D">
        <w:rPr>
          <w:bCs/>
        </w:rPr>
        <w:t>participants’</w:t>
      </w:r>
      <w:r w:rsidR="00833C4D" w:rsidRPr="00D9272F">
        <w:rPr>
          <w:bCs/>
        </w:rPr>
        <w:t xml:space="preserve"> knowledge of mental health, intentions to seek help, well-being and resilience in comparison to a </w:t>
      </w:r>
      <w:r w:rsidR="00833C4D">
        <w:rPr>
          <w:bCs/>
        </w:rPr>
        <w:t xml:space="preserve">waiting list </w:t>
      </w:r>
      <w:r w:rsidR="00833C4D" w:rsidRPr="00D9272F">
        <w:rPr>
          <w:bCs/>
        </w:rPr>
        <w:t>control group.</w:t>
      </w:r>
      <w:r w:rsidR="00DF62B0">
        <w:rPr>
          <w:bCs/>
        </w:rPr>
        <w:t xml:space="preserve"> </w:t>
      </w:r>
      <w:r w:rsidR="00B63CFC">
        <w:rPr>
          <w:bCs/>
        </w:rPr>
        <w:t xml:space="preserve">The findings will </w:t>
      </w:r>
      <w:r w:rsidR="00431CCC">
        <w:rPr>
          <w:bCs/>
        </w:rPr>
        <w:t>help shape current advice</w:t>
      </w:r>
      <w:r w:rsidR="00B63CFC">
        <w:rPr>
          <w:bCs/>
        </w:rPr>
        <w:t xml:space="preserve"> available on how to use sport to integrate mental health awareness in prison settings.</w:t>
      </w:r>
    </w:p>
    <w:p w14:paraId="373E6256" w14:textId="77777777" w:rsidR="00DE2DB0" w:rsidRPr="00D9272F" w:rsidRDefault="00DE2DB0" w:rsidP="004E1F3F">
      <w:pPr>
        <w:pStyle w:val="Heading7"/>
        <w:numPr>
          <w:ilvl w:val="0"/>
          <w:numId w:val="0"/>
        </w:numPr>
        <w:rPr>
          <w:rFonts w:eastAsia="Times New Roman" w:cs="Times New Roman"/>
        </w:rPr>
      </w:pPr>
      <w:bookmarkStart w:id="6" w:name="_Toc491859134"/>
      <w:bookmarkStart w:id="7" w:name="_Toc494801010"/>
      <w:r w:rsidRPr="00D9272F">
        <w:rPr>
          <w:rFonts w:eastAsia="Times New Roman" w:cs="Times New Roman"/>
        </w:rPr>
        <w:t>Method</w:t>
      </w:r>
      <w:bookmarkEnd w:id="6"/>
      <w:bookmarkEnd w:id="7"/>
    </w:p>
    <w:p w14:paraId="6F4F4685" w14:textId="77777777" w:rsidR="00DE2DB0" w:rsidRPr="00D9272F" w:rsidRDefault="00DE2DB0" w:rsidP="00DE2DB0">
      <w:pPr>
        <w:spacing w:line="480" w:lineRule="auto"/>
        <w:rPr>
          <w:bCs/>
        </w:rPr>
      </w:pPr>
      <w:r w:rsidRPr="00D9272F">
        <w:rPr>
          <w:bCs/>
        </w:rPr>
        <w:t>Participants</w:t>
      </w:r>
    </w:p>
    <w:p w14:paraId="4F515A58" w14:textId="474CBF74" w:rsidR="00DE2DB0" w:rsidRPr="00D9272F" w:rsidRDefault="003318E2" w:rsidP="001A7F8E">
      <w:pPr>
        <w:spacing w:line="480" w:lineRule="auto"/>
        <w:rPr>
          <w:bCs/>
        </w:rPr>
      </w:pPr>
      <w:r w:rsidRPr="00D9272F">
        <w:rPr>
          <w:bCs/>
        </w:rPr>
        <w:t>A total of 75 male prisoners</w:t>
      </w:r>
      <w:r w:rsidR="00E77A80">
        <w:rPr>
          <w:bCs/>
        </w:rPr>
        <w:t xml:space="preserve"> </w:t>
      </w:r>
      <w:r w:rsidR="00F87929">
        <w:rPr>
          <w:bCs/>
        </w:rPr>
        <w:t>from</w:t>
      </w:r>
      <w:r w:rsidR="00E77A80">
        <w:rPr>
          <w:bCs/>
        </w:rPr>
        <w:t xml:space="preserve"> the same </w:t>
      </w:r>
      <w:r w:rsidR="00F87929">
        <w:rPr>
          <w:bCs/>
        </w:rPr>
        <w:t>c</w:t>
      </w:r>
      <w:r w:rsidR="00E77A80">
        <w:rPr>
          <w:bCs/>
        </w:rPr>
        <w:t xml:space="preserve">ategory C </w:t>
      </w:r>
      <w:r w:rsidR="00F87929">
        <w:rPr>
          <w:bCs/>
        </w:rPr>
        <w:t>prison</w:t>
      </w:r>
      <w:r w:rsidR="00BD1007">
        <w:rPr>
          <w:bCs/>
        </w:rPr>
        <w:t xml:space="preserve"> in England</w:t>
      </w:r>
      <w:r w:rsidR="00DF62B0">
        <w:rPr>
          <w:bCs/>
        </w:rPr>
        <w:t xml:space="preserve"> agreed</w:t>
      </w:r>
      <w:r w:rsidRPr="00D9272F">
        <w:rPr>
          <w:bCs/>
        </w:rPr>
        <w:t xml:space="preserve"> to participate (</w:t>
      </w:r>
      <w:r w:rsidR="003D6CF9" w:rsidRPr="003D6CF9">
        <w:rPr>
          <w:bCs/>
          <w:i/>
        </w:rPr>
        <w:t>M</w:t>
      </w:r>
      <w:r w:rsidR="00BD6B89">
        <w:rPr>
          <w:bCs/>
          <w:i/>
        </w:rPr>
        <w:t xml:space="preserve"> </w:t>
      </w:r>
      <w:r w:rsidRPr="00D9272F">
        <w:rPr>
          <w:bCs/>
        </w:rPr>
        <w:t xml:space="preserve">age = 37.30, </w:t>
      </w:r>
      <w:r w:rsidRPr="00D9272F">
        <w:rPr>
          <w:bCs/>
          <w:i/>
        </w:rPr>
        <w:t>S.D.</w:t>
      </w:r>
      <w:r w:rsidRPr="00D9272F">
        <w:rPr>
          <w:bCs/>
        </w:rPr>
        <w:t xml:space="preserve"> = 11.01). The mean </w:t>
      </w:r>
      <w:r w:rsidR="003D3763">
        <w:rPr>
          <w:bCs/>
        </w:rPr>
        <w:t xml:space="preserve">prison </w:t>
      </w:r>
      <w:r w:rsidRPr="00D9272F">
        <w:rPr>
          <w:bCs/>
        </w:rPr>
        <w:t xml:space="preserve">sentence length = 241.4 months </w:t>
      </w:r>
      <w:r w:rsidRPr="00D9272F">
        <w:rPr>
          <w:bCs/>
          <w:i/>
        </w:rPr>
        <w:t>(S.D. = 436.9)</w:t>
      </w:r>
      <w:r w:rsidRPr="00D9272F">
        <w:rPr>
          <w:bCs/>
        </w:rPr>
        <w:t xml:space="preserve">, and mean time served in months was 38.8, </w:t>
      </w:r>
      <w:r w:rsidRPr="00D9272F">
        <w:rPr>
          <w:bCs/>
          <w:i/>
        </w:rPr>
        <w:t>(S.D. = 73.7)</w:t>
      </w:r>
      <w:r w:rsidRPr="00D9272F">
        <w:rPr>
          <w:bCs/>
        </w:rPr>
        <w:t xml:space="preserve">. The large standard deviation values observed are due to 13 prisoners serving indeterminate life tariffs. </w:t>
      </w:r>
      <w:r w:rsidR="00062845" w:rsidRPr="00D9272F">
        <w:rPr>
          <w:bCs/>
        </w:rPr>
        <w:t xml:space="preserve">A total of </w:t>
      </w:r>
      <w:r w:rsidR="00DE2DB0" w:rsidRPr="00D9272F">
        <w:rPr>
          <w:bCs/>
        </w:rPr>
        <w:t xml:space="preserve">47 </w:t>
      </w:r>
      <w:r w:rsidRPr="00D9272F">
        <w:rPr>
          <w:bCs/>
        </w:rPr>
        <w:t xml:space="preserve">prisoners </w:t>
      </w:r>
      <w:r w:rsidR="00844C76">
        <w:rPr>
          <w:bCs/>
        </w:rPr>
        <w:t>(</w:t>
      </w:r>
      <w:r w:rsidR="00844C76" w:rsidRPr="00D9272F">
        <w:rPr>
          <w:bCs/>
          <w:i/>
        </w:rPr>
        <w:t>M</w:t>
      </w:r>
      <w:r w:rsidR="00844C76" w:rsidRPr="00D9272F">
        <w:rPr>
          <w:bCs/>
        </w:rPr>
        <w:t xml:space="preserve">age = 38.3, </w:t>
      </w:r>
      <w:r w:rsidR="00844C76" w:rsidRPr="00D9272F">
        <w:rPr>
          <w:bCs/>
          <w:i/>
        </w:rPr>
        <w:t>S.D.</w:t>
      </w:r>
      <w:r w:rsidR="00844C76" w:rsidRPr="00D9272F">
        <w:rPr>
          <w:bCs/>
        </w:rPr>
        <w:t xml:space="preserve"> = 11.4) </w:t>
      </w:r>
      <w:r w:rsidR="00DE2DB0" w:rsidRPr="00D9272F">
        <w:rPr>
          <w:bCs/>
        </w:rPr>
        <w:t>formed the intervention group</w:t>
      </w:r>
      <w:r w:rsidRPr="00D9272F">
        <w:rPr>
          <w:bCs/>
        </w:rPr>
        <w:t xml:space="preserve">, </w:t>
      </w:r>
      <w:r w:rsidR="008810D6" w:rsidRPr="00D9272F">
        <w:rPr>
          <w:bCs/>
        </w:rPr>
        <w:t>with 28</w:t>
      </w:r>
      <w:r w:rsidR="00844C76">
        <w:rPr>
          <w:bCs/>
        </w:rPr>
        <w:t xml:space="preserve"> prisoners</w:t>
      </w:r>
      <w:r w:rsidR="00DE2DB0" w:rsidRPr="00D9272F">
        <w:rPr>
          <w:bCs/>
        </w:rPr>
        <w:t xml:space="preserve"> </w:t>
      </w:r>
      <w:r w:rsidR="00844C76">
        <w:rPr>
          <w:bCs/>
        </w:rPr>
        <w:t>(</w:t>
      </w:r>
      <w:r w:rsidR="00844C76" w:rsidRPr="00D9272F">
        <w:rPr>
          <w:bCs/>
          <w:i/>
        </w:rPr>
        <w:t>M</w:t>
      </w:r>
      <w:r w:rsidR="00844C76" w:rsidRPr="00D9272F">
        <w:rPr>
          <w:bCs/>
        </w:rPr>
        <w:t xml:space="preserve">age = 35.3, </w:t>
      </w:r>
      <w:r w:rsidR="00844C76" w:rsidRPr="00D9272F">
        <w:rPr>
          <w:bCs/>
          <w:i/>
        </w:rPr>
        <w:t>S.D.</w:t>
      </w:r>
      <w:r w:rsidR="00844C76" w:rsidRPr="00D9272F">
        <w:rPr>
          <w:bCs/>
        </w:rPr>
        <w:t xml:space="preserve"> = 10.2) </w:t>
      </w:r>
      <w:r w:rsidR="002F1820" w:rsidRPr="00D9272F">
        <w:rPr>
          <w:bCs/>
        </w:rPr>
        <w:t>participat</w:t>
      </w:r>
      <w:r w:rsidR="008810D6" w:rsidRPr="00D9272F">
        <w:rPr>
          <w:bCs/>
        </w:rPr>
        <w:t>ing</w:t>
      </w:r>
      <w:r w:rsidR="002F1820" w:rsidRPr="00D9272F">
        <w:rPr>
          <w:bCs/>
        </w:rPr>
        <w:t xml:space="preserve"> as a</w:t>
      </w:r>
      <w:r w:rsidR="00DE2DB0" w:rsidRPr="00D9272F">
        <w:rPr>
          <w:bCs/>
        </w:rPr>
        <w:t xml:space="preserve"> control group. </w:t>
      </w:r>
    </w:p>
    <w:p w14:paraId="7F03CFE3" w14:textId="77777777" w:rsidR="00DE2DB0" w:rsidRPr="00D9272F" w:rsidRDefault="00DE2DB0" w:rsidP="00DE2DB0">
      <w:pPr>
        <w:spacing w:line="480" w:lineRule="auto"/>
        <w:rPr>
          <w:bCs/>
        </w:rPr>
      </w:pPr>
    </w:p>
    <w:p w14:paraId="504B2336" w14:textId="77777777" w:rsidR="00DE2DB0" w:rsidRPr="00D9272F" w:rsidRDefault="00DE2DB0" w:rsidP="00DE2DB0">
      <w:pPr>
        <w:spacing w:line="480" w:lineRule="auto"/>
        <w:rPr>
          <w:bCs/>
        </w:rPr>
      </w:pPr>
      <w:r w:rsidRPr="00D9272F">
        <w:rPr>
          <w:bCs/>
        </w:rPr>
        <w:t>Design</w:t>
      </w:r>
    </w:p>
    <w:p w14:paraId="6D92B03F" w14:textId="77777777" w:rsidR="00DE2DB0" w:rsidRPr="00D9272F" w:rsidRDefault="00AA23BE" w:rsidP="001A7F8E">
      <w:pPr>
        <w:spacing w:line="480" w:lineRule="auto"/>
        <w:rPr>
          <w:bCs/>
        </w:rPr>
      </w:pPr>
      <w:r>
        <w:rPr>
          <w:bCs/>
        </w:rPr>
        <w:t xml:space="preserve">A </w:t>
      </w:r>
      <w:r w:rsidR="00DE2DB0" w:rsidRPr="00D9272F">
        <w:rPr>
          <w:bCs/>
        </w:rPr>
        <w:t xml:space="preserve">mixed </w:t>
      </w:r>
      <w:r w:rsidR="003D3763">
        <w:rPr>
          <w:bCs/>
        </w:rPr>
        <w:t xml:space="preserve">2 x 2 </w:t>
      </w:r>
      <w:r w:rsidR="003E6F75" w:rsidRPr="00D9272F">
        <w:rPr>
          <w:bCs/>
        </w:rPr>
        <w:t xml:space="preserve">factorial </w:t>
      </w:r>
      <w:r w:rsidR="00DE2DB0" w:rsidRPr="00D9272F">
        <w:rPr>
          <w:bCs/>
        </w:rPr>
        <w:t>design</w:t>
      </w:r>
      <w:r w:rsidR="001E4AA3">
        <w:rPr>
          <w:bCs/>
        </w:rPr>
        <w:t xml:space="preserve"> was adopted</w:t>
      </w:r>
      <w:r>
        <w:rPr>
          <w:bCs/>
        </w:rPr>
        <w:t>. T</w:t>
      </w:r>
      <w:r w:rsidR="00941306">
        <w:rPr>
          <w:bCs/>
        </w:rPr>
        <w:t xml:space="preserve">he </w:t>
      </w:r>
      <w:r w:rsidR="00DE2DB0" w:rsidRPr="00D9272F">
        <w:rPr>
          <w:bCs/>
        </w:rPr>
        <w:t xml:space="preserve">between groups factor </w:t>
      </w:r>
      <w:r w:rsidR="003D3763">
        <w:rPr>
          <w:bCs/>
        </w:rPr>
        <w:t xml:space="preserve">Group </w:t>
      </w:r>
      <w:r w:rsidR="00DE2DB0" w:rsidRPr="00D9272F">
        <w:rPr>
          <w:bCs/>
        </w:rPr>
        <w:t>had two levels, intervention and control. The within groups factor</w:t>
      </w:r>
      <w:r w:rsidR="003D3763">
        <w:rPr>
          <w:bCs/>
        </w:rPr>
        <w:t xml:space="preserve"> Time</w:t>
      </w:r>
      <w:r w:rsidR="00601251" w:rsidRPr="00D9272F">
        <w:rPr>
          <w:bCs/>
        </w:rPr>
        <w:t xml:space="preserve"> </w:t>
      </w:r>
      <w:r w:rsidR="00DE2DB0" w:rsidRPr="00D9272F">
        <w:rPr>
          <w:bCs/>
        </w:rPr>
        <w:t xml:space="preserve">had two levels, </w:t>
      </w:r>
      <w:r w:rsidR="00601251" w:rsidRPr="00D9272F">
        <w:rPr>
          <w:bCs/>
        </w:rPr>
        <w:t>time-point 1 (</w:t>
      </w:r>
      <w:r w:rsidR="00DE2DB0" w:rsidRPr="00D9272F">
        <w:rPr>
          <w:bCs/>
        </w:rPr>
        <w:t>baseline</w:t>
      </w:r>
      <w:r w:rsidR="00601251" w:rsidRPr="00D9272F">
        <w:rPr>
          <w:bCs/>
        </w:rPr>
        <w:t>)</w:t>
      </w:r>
      <w:r w:rsidR="00DE2DB0" w:rsidRPr="00D9272F">
        <w:rPr>
          <w:bCs/>
        </w:rPr>
        <w:t xml:space="preserve"> and </w:t>
      </w:r>
      <w:r w:rsidR="00601251" w:rsidRPr="00D9272F">
        <w:rPr>
          <w:bCs/>
        </w:rPr>
        <w:t>time-point 2 (</w:t>
      </w:r>
      <w:r w:rsidR="00DE2DB0" w:rsidRPr="00D9272F">
        <w:rPr>
          <w:bCs/>
        </w:rPr>
        <w:t>immediately post-</w:t>
      </w:r>
      <w:r w:rsidR="00175AC7" w:rsidRPr="00D9272F">
        <w:rPr>
          <w:bCs/>
        </w:rPr>
        <w:t>programme</w:t>
      </w:r>
      <w:r w:rsidR="00601251" w:rsidRPr="00D9272F">
        <w:rPr>
          <w:bCs/>
        </w:rPr>
        <w:t>)</w:t>
      </w:r>
      <w:r w:rsidR="00DE2DB0" w:rsidRPr="00D9272F">
        <w:rPr>
          <w:bCs/>
        </w:rPr>
        <w:t xml:space="preserve">. The intervention group received a sport-based multi-component mental health awareness </w:t>
      </w:r>
      <w:r w:rsidR="00175AC7" w:rsidRPr="00D9272F">
        <w:rPr>
          <w:bCs/>
        </w:rPr>
        <w:t>programme</w:t>
      </w:r>
      <w:r w:rsidR="00DE2DB0" w:rsidRPr="00D9272F">
        <w:rPr>
          <w:bCs/>
        </w:rPr>
        <w:t>. The waiting list control group</w:t>
      </w:r>
      <w:r w:rsidR="00DC0D93">
        <w:rPr>
          <w:bCs/>
        </w:rPr>
        <w:t xml:space="preserve"> </w:t>
      </w:r>
      <w:r w:rsidR="00DE2DB0" w:rsidRPr="00D9272F">
        <w:rPr>
          <w:bCs/>
        </w:rPr>
        <w:t xml:space="preserve">completed the </w:t>
      </w:r>
      <w:r w:rsidR="00753B0A" w:rsidRPr="00D9272F">
        <w:rPr>
          <w:bCs/>
        </w:rPr>
        <w:t>baseline</w:t>
      </w:r>
      <w:r w:rsidR="00DE2DB0" w:rsidRPr="00D9272F">
        <w:rPr>
          <w:bCs/>
        </w:rPr>
        <w:t xml:space="preserve"> and post questionnaires at the beginning and end of an education class, not related to mental health </w:t>
      </w:r>
      <w:r w:rsidR="00B414F2" w:rsidRPr="00D9272F">
        <w:rPr>
          <w:bCs/>
        </w:rPr>
        <w:t xml:space="preserve">and </w:t>
      </w:r>
      <w:r w:rsidR="00DE2DB0" w:rsidRPr="00D9272F">
        <w:rPr>
          <w:bCs/>
        </w:rPr>
        <w:t xml:space="preserve">matched for </w:t>
      </w:r>
      <w:r w:rsidR="00B414F2" w:rsidRPr="00D9272F">
        <w:rPr>
          <w:bCs/>
        </w:rPr>
        <w:t xml:space="preserve">SOMS </w:t>
      </w:r>
      <w:r w:rsidR="00DE2DB0" w:rsidRPr="00D9272F">
        <w:rPr>
          <w:bCs/>
        </w:rPr>
        <w:t xml:space="preserve">intervention duration. </w:t>
      </w:r>
    </w:p>
    <w:p w14:paraId="2F8054BA" w14:textId="77777777" w:rsidR="00DE2DB0" w:rsidRPr="00D9272F" w:rsidRDefault="00DE2DB0" w:rsidP="00DE2DB0">
      <w:pPr>
        <w:spacing w:line="480" w:lineRule="auto"/>
        <w:rPr>
          <w:bCs/>
        </w:rPr>
      </w:pPr>
    </w:p>
    <w:p w14:paraId="693F3684" w14:textId="77777777" w:rsidR="00DE2DB0" w:rsidRPr="00D9272F" w:rsidRDefault="00DE2DB0" w:rsidP="00DE2DB0">
      <w:pPr>
        <w:spacing w:line="480" w:lineRule="auto"/>
        <w:rPr>
          <w:bCs/>
        </w:rPr>
      </w:pPr>
      <w:r w:rsidRPr="00D9272F">
        <w:rPr>
          <w:bCs/>
        </w:rPr>
        <w:t>State of Mind Sport</w:t>
      </w:r>
      <w:r w:rsidR="00F353B5" w:rsidRPr="00D9272F">
        <w:rPr>
          <w:bCs/>
        </w:rPr>
        <w:t xml:space="preserve"> Programme</w:t>
      </w:r>
    </w:p>
    <w:p w14:paraId="391B42B7" w14:textId="5CCB68D7" w:rsidR="00DE2DB0" w:rsidRPr="00D9272F" w:rsidRDefault="00C54FDF" w:rsidP="00C54FDF">
      <w:pPr>
        <w:spacing w:line="480" w:lineRule="auto"/>
        <w:rPr>
          <w:bCs/>
        </w:rPr>
      </w:pPr>
      <w:r w:rsidRPr="00D9272F">
        <w:rPr>
          <w:bCs/>
        </w:rPr>
        <w:lastRenderedPageBreak/>
        <w:t xml:space="preserve">The </w:t>
      </w:r>
      <w:r w:rsidR="00DE2DB0" w:rsidRPr="00D9272F">
        <w:rPr>
          <w:bCs/>
        </w:rPr>
        <w:t>State of Mind Sport (SOMS)</w:t>
      </w:r>
      <w:r w:rsidR="002E26DD">
        <w:rPr>
          <w:bCs/>
        </w:rPr>
        <w:t xml:space="preserve"> </w:t>
      </w:r>
      <w:r w:rsidR="00AA23BE">
        <w:rPr>
          <w:bCs/>
        </w:rPr>
        <w:t>programme</w:t>
      </w:r>
      <w:r w:rsidR="00AA23BE" w:rsidRPr="00D9272F">
        <w:rPr>
          <w:bCs/>
        </w:rPr>
        <w:t xml:space="preserve"> </w:t>
      </w:r>
      <w:r w:rsidR="00DE2DB0" w:rsidRPr="00D9272F">
        <w:rPr>
          <w:bCs/>
        </w:rPr>
        <w:t>aim</w:t>
      </w:r>
      <w:r w:rsidRPr="00D9272F">
        <w:rPr>
          <w:bCs/>
        </w:rPr>
        <w:t>ed</w:t>
      </w:r>
      <w:r w:rsidR="00DE2DB0" w:rsidRPr="00D9272F">
        <w:rPr>
          <w:bCs/>
        </w:rPr>
        <w:t xml:space="preserve"> to raise awareness of, and promote, psychological well-being and resilience, tackle stigma, </w:t>
      </w:r>
      <w:r w:rsidRPr="00D9272F">
        <w:rPr>
          <w:bCs/>
        </w:rPr>
        <w:t xml:space="preserve">and highlight the importance of </w:t>
      </w:r>
      <w:r w:rsidR="00DE2DB0" w:rsidRPr="00D9272F">
        <w:rPr>
          <w:bCs/>
        </w:rPr>
        <w:t>signpost</w:t>
      </w:r>
      <w:r w:rsidRPr="00D9272F">
        <w:rPr>
          <w:bCs/>
        </w:rPr>
        <w:t>ing</w:t>
      </w:r>
      <w:r w:rsidR="00DE2DB0" w:rsidRPr="00D9272F">
        <w:rPr>
          <w:bCs/>
        </w:rPr>
        <w:t xml:space="preserve"> to </w:t>
      </w:r>
      <w:r w:rsidRPr="00D9272F">
        <w:rPr>
          <w:bCs/>
        </w:rPr>
        <w:t>appropriate services</w:t>
      </w:r>
      <w:r w:rsidR="00323A1A">
        <w:rPr>
          <w:bCs/>
        </w:rPr>
        <w:t>, with the overall aim of preventing</w:t>
      </w:r>
      <w:r w:rsidR="00DE2DB0" w:rsidRPr="00D9272F">
        <w:rPr>
          <w:bCs/>
        </w:rPr>
        <w:t xml:space="preserve"> suicide. The </w:t>
      </w:r>
      <w:r w:rsidR="00175AC7" w:rsidRPr="00D9272F">
        <w:rPr>
          <w:bCs/>
        </w:rPr>
        <w:t>programme</w:t>
      </w:r>
      <w:r w:rsidR="00DE2DB0" w:rsidRPr="00D9272F">
        <w:rPr>
          <w:bCs/>
        </w:rPr>
        <w:t xml:space="preserve"> was delivered by </w:t>
      </w:r>
      <w:r w:rsidR="0081357F" w:rsidRPr="00D9272F">
        <w:rPr>
          <w:bCs/>
        </w:rPr>
        <w:t>a mental health and substance misuse</w:t>
      </w:r>
      <w:r w:rsidRPr="00D9272F">
        <w:rPr>
          <w:bCs/>
        </w:rPr>
        <w:t xml:space="preserve"> nurse</w:t>
      </w:r>
      <w:r w:rsidR="0081357F" w:rsidRPr="00D9272F">
        <w:rPr>
          <w:bCs/>
        </w:rPr>
        <w:t xml:space="preserve">, and </w:t>
      </w:r>
      <w:r w:rsidR="002A4779">
        <w:rPr>
          <w:bCs/>
        </w:rPr>
        <w:t>two</w:t>
      </w:r>
      <w:r w:rsidRPr="00D9272F">
        <w:rPr>
          <w:bCs/>
        </w:rPr>
        <w:t xml:space="preserve"> </w:t>
      </w:r>
      <w:r w:rsidR="0032637A">
        <w:rPr>
          <w:bCs/>
        </w:rPr>
        <w:t>elite level</w:t>
      </w:r>
      <w:r w:rsidR="0081357F" w:rsidRPr="00D9272F">
        <w:rPr>
          <w:bCs/>
        </w:rPr>
        <w:t xml:space="preserve"> </w:t>
      </w:r>
      <w:r w:rsidRPr="00D9272F">
        <w:rPr>
          <w:bCs/>
        </w:rPr>
        <w:t xml:space="preserve">rugby </w:t>
      </w:r>
      <w:r w:rsidR="0081357F" w:rsidRPr="00D9272F">
        <w:rPr>
          <w:bCs/>
        </w:rPr>
        <w:t>players who ha</w:t>
      </w:r>
      <w:r w:rsidRPr="00D9272F">
        <w:rPr>
          <w:bCs/>
        </w:rPr>
        <w:t>d</w:t>
      </w:r>
      <w:r w:rsidR="0081357F" w:rsidRPr="00D9272F">
        <w:rPr>
          <w:bCs/>
        </w:rPr>
        <w:t xml:space="preserve"> experienced mental health problems.</w:t>
      </w:r>
      <w:r w:rsidR="00875BC6">
        <w:rPr>
          <w:bCs/>
        </w:rPr>
        <w:t xml:space="preserve"> T</w:t>
      </w:r>
      <w:r w:rsidR="00884766">
        <w:rPr>
          <w:bCs/>
        </w:rPr>
        <w:t xml:space="preserve">here was no direct custodial experience </w:t>
      </w:r>
      <w:r w:rsidR="005263C6">
        <w:rPr>
          <w:bCs/>
        </w:rPr>
        <w:t xml:space="preserve">within the </w:t>
      </w:r>
      <w:r w:rsidR="00293638">
        <w:rPr>
          <w:bCs/>
        </w:rPr>
        <w:t>delivery team</w:t>
      </w:r>
      <w:r w:rsidR="00BC50CE">
        <w:rPr>
          <w:bCs/>
        </w:rPr>
        <w:t xml:space="preserve"> and</w:t>
      </w:r>
      <w:r w:rsidR="002A4779">
        <w:rPr>
          <w:bCs/>
        </w:rPr>
        <w:t xml:space="preserve"> </w:t>
      </w:r>
      <w:r w:rsidR="009C0348">
        <w:rPr>
          <w:bCs/>
        </w:rPr>
        <w:t>i</w:t>
      </w:r>
      <w:r w:rsidRPr="00D9272F">
        <w:rPr>
          <w:bCs/>
        </w:rPr>
        <w:t xml:space="preserve">t was the first time the </w:t>
      </w:r>
      <w:r w:rsidR="00DE2DB0" w:rsidRPr="00D9272F">
        <w:rPr>
          <w:bCs/>
        </w:rPr>
        <w:t xml:space="preserve">SOMS </w:t>
      </w:r>
      <w:r w:rsidR="00175AC7" w:rsidRPr="00D9272F">
        <w:rPr>
          <w:bCs/>
        </w:rPr>
        <w:t>programme</w:t>
      </w:r>
      <w:r w:rsidR="00DE2DB0" w:rsidRPr="00D9272F">
        <w:rPr>
          <w:bCs/>
        </w:rPr>
        <w:t xml:space="preserve"> </w:t>
      </w:r>
      <w:r w:rsidR="002F1820" w:rsidRPr="00D9272F">
        <w:rPr>
          <w:bCs/>
        </w:rPr>
        <w:t>was</w:t>
      </w:r>
      <w:r w:rsidR="00DE2DB0" w:rsidRPr="00D9272F">
        <w:rPr>
          <w:bCs/>
        </w:rPr>
        <w:t xml:space="preserve"> delivered within </w:t>
      </w:r>
      <w:r w:rsidR="009F0A76" w:rsidRPr="00D9272F">
        <w:rPr>
          <w:bCs/>
        </w:rPr>
        <w:t xml:space="preserve">a </w:t>
      </w:r>
      <w:r w:rsidR="00DE2DB0" w:rsidRPr="00D9272F">
        <w:rPr>
          <w:bCs/>
        </w:rPr>
        <w:t>prison</w:t>
      </w:r>
      <w:r w:rsidR="009F0A76" w:rsidRPr="00D9272F">
        <w:rPr>
          <w:bCs/>
        </w:rPr>
        <w:t>. Through collaborative working with the Suicide</w:t>
      </w:r>
      <w:r w:rsidR="00DE2DB0" w:rsidRPr="00D9272F">
        <w:rPr>
          <w:bCs/>
        </w:rPr>
        <w:t xml:space="preserve"> and Self Harm project group within the National Offender Management Service (NOMS)</w:t>
      </w:r>
      <w:r w:rsidR="009F0A76" w:rsidRPr="00D9272F">
        <w:rPr>
          <w:bCs/>
        </w:rPr>
        <w:t>, t</w:t>
      </w:r>
      <w:r w:rsidR="00DE2DB0" w:rsidRPr="00D9272F">
        <w:rPr>
          <w:bCs/>
        </w:rPr>
        <w:t xml:space="preserve">he </w:t>
      </w:r>
      <w:r w:rsidR="00175AC7" w:rsidRPr="00D9272F">
        <w:rPr>
          <w:bCs/>
        </w:rPr>
        <w:t>programme</w:t>
      </w:r>
      <w:r w:rsidR="00DE2DB0" w:rsidRPr="00D9272F">
        <w:rPr>
          <w:bCs/>
        </w:rPr>
        <w:t xml:space="preserve"> was tailored to include a mixture of the original content</w:t>
      </w:r>
      <w:r w:rsidRPr="00D9272F">
        <w:rPr>
          <w:bCs/>
        </w:rPr>
        <w:t xml:space="preserve"> (delivered to over 25,000 people in sports clubs, universities, </w:t>
      </w:r>
      <w:r w:rsidR="00F529B2" w:rsidRPr="00D9272F">
        <w:rPr>
          <w:bCs/>
        </w:rPr>
        <w:t>construction</w:t>
      </w:r>
      <w:r w:rsidRPr="00D9272F">
        <w:rPr>
          <w:bCs/>
        </w:rPr>
        <w:t xml:space="preserve"> and office workplaces)</w:t>
      </w:r>
      <w:r w:rsidR="00DE2DB0" w:rsidRPr="00D9272F">
        <w:rPr>
          <w:bCs/>
        </w:rPr>
        <w:t>, alongside specific contextual information relevant to the prison environment. Topics included</w:t>
      </w:r>
      <w:r w:rsidRPr="00D9272F">
        <w:rPr>
          <w:bCs/>
        </w:rPr>
        <w:t xml:space="preserve"> in the programme</w:t>
      </w:r>
      <w:r w:rsidR="00DE2DB0" w:rsidRPr="00D9272F">
        <w:rPr>
          <w:bCs/>
        </w:rPr>
        <w:t xml:space="preserve"> were: (a) risks men face in relation to mental health and psychological well-being; (b) risk factors such as stigma, macho-cultures, avoidance of help-seeking behaviours and negative coping strategies; (c) markers of stress and positive coping strategies; and (d) well-being and resilience</w:t>
      </w:r>
      <w:r w:rsidR="00157A8D">
        <w:rPr>
          <w:bCs/>
        </w:rPr>
        <w:t xml:space="preserve"> (</w:t>
      </w:r>
      <w:r w:rsidR="00DE2DB0" w:rsidRPr="00D9272F">
        <w:rPr>
          <w:bCs/>
        </w:rPr>
        <w:t>both an understanding of the concepts and practical steps to improve</w:t>
      </w:r>
      <w:r w:rsidR="00157A8D">
        <w:rPr>
          <w:bCs/>
        </w:rPr>
        <w:t>)</w:t>
      </w:r>
      <w:r w:rsidR="00DE2DB0" w:rsidRPr="00D9272F">
        <w:rPr>
          <w:bCs/>
        </w:rPr>
        <w:t xml:space="preserve">. </w:t>
      </w:r>
      <w:r w:rsidR="005D0306" w:rsidRPr="00D9272F">
        <w:rPr>
          <w:bCs/>
        </w:rPr>
        <w:t>T</w:t>
      </w:r>
      <w:r w:rsidR="00EB29A6" w:rsidRPr="00D9272F">
        <w:rPr>
          <w:bCs/>
        </w:rPr>
        <w:t xml:space="preserve">wo case-studies </w:t>
      </w:r>
      <w:r w:rsidR="005D0306" w:rsidRPr="00D9272F">
        <w:rPr>
          <w:bCs/>
        </w:rPr>
        <w:t xml:space="preserve">were </w:t>
      </w:r>
      <w:r w:rsidR="00EB29A6" w:rsidRPr="00D9272F">
        <w:rPr>
          <w:bCs/>
        </w:rPr>
        <w:t>presented by</w:t>
      </w:r>
      <w:r w:rsidR="00323329">
        <w:rPr>
          <w:bCs/>
        </w:rPr>
        <w:t xml:space="preserve"> the</w:t>
      </w:r>
      <w:r w:rsidR="00EB29A6" w:rsidRPr="00D9272F">
        <w:rPr>
          <w:bCs/>
        </w:rPr>
        <w:t xml:space="preserve"> former </w:t>
      </w:r>
      <w:r w:rsidR="00DE2DB0" w:rsidRPr="00D9272F">
        <w:rPr>
          <w:bCs/>
        </w:rPr>
        <w:t xml:space="preserve">elite rugby league players who suffered from poor mental health and considered taking their own lives, prior to seeking help. Key messages they aimed to deliver included: (a) seek help/advice from someone you trust; (b) it is a strength, not a weakness to seek help; (c) respond to a mate who may be feeling down; (d) setting achievable goals and celebrating </w:t>
      </w:r>
      <w:r w:rsidR="00756F45">
        <w:rPr>
          <w:bCs/>
        </w:rPr>
        <w:t>upon achievement</w:t>
      </w:r>
      <w:r w:rsidR="00DE2DB0" w:rsidRPr="00D9272F">
        <w:rPr>
          <w:bCs/>
        </w:rPr>
        <w:t>; and (e) we are all part of a team</w:t>
      </w:r>
      <w:r w:rsidR="000D42AB">
        <w:rPr>
          <w:bCs/>
        </w:rPr>
        <w:t xml:space="preserve"> </w:t>
      </w:r>
      <w:r w:rsidR="00DE2DB0" w:rsidRPr="00D9272F">
        <w:rPr>
          <w:bCs/>
        </w:rPr>
        <w:t>(www.stateofmindsport.org).</w:t>
      </w:r>
    </w:p>
    <w:p w14:paraId="65DB3B5F" w14:textId="77777777" w:rsidR="00DE2DB0" w:rsidRPr="00D9272F" w:rsidRDefault="00DE2DB0" w:rsidP="00DE2DB0">
      <w:pPr>
        <w:spacing w:line="480" w:lineRule="auto"/>
        <w:rPr>
          <w:bCs/>
          <w:i/>
        </w:rPr>
      </w:pPr>
    </w:p>
    <w:p w14:paraId="2681A400" w14:textId="77777777" w:rsidR="00DE2DB0" w:rsidRPr="00D9272F" w:rsidRDefault="00DE2DB0" w:rsidP="00DE2DB0">
      <w:pPr>
        <w:spacing w:line="480" w:lineRule="auto"/>
        <w:rPr>
          <w:bCs/>
          <w:i/>
        </w:rPr>
      </w:pPr>
      <w:r w:rsidRPr="00D9272F">
        <w:rPr>
          <w:bCs/>
          <w:i/>
        </w:rPr>
        <w:t>Procedure</w:t>
      </w:r>
    </w:p>
    <w:p w14:paraId="567D4A79" w14:textId="463E5D85" w:rsidR="00DE2DB0" w:rsidRPr="00D9272F" w:rsidRDefault="00C65AA8" w:rsidP="001A7F8E">
      <w:pPr>
        <w:spacing w:line="480" w:lineRule="auto"/>
        <w:rPr>
          <w:bCs/>
        </w:rPr>
      </w:pPr>
      <w:r w:rsidRPr="00D9272F">
        <w:rPr>
          <w:bCs/>
        </w:rPr>
        <w:t>E</w:t>
      </w:r>
      <w:r w:rsidR="00DE2DB0" w:rsidRPr="00D9272F">
        <w:rPr>
          <w:bCs/>
        </w:rPr>
        <w:t xml:space="preserve">thical approval </w:t>
      </w:r>
      <w:r w:rsidRPr="00D9272F">
        <w:rPr>
          <w:bCs/>
        </w:rPr>
        <w:t xml:space="preserve">was granted </w:t>
      </w:r>
      <w:r w:rsidR="00DE2DB0" w:rsidRPr="00D9272F">
        <w:rPr>
          <w:bCs/>
        </w:rPr>
        <w:t xml:space="preserve">from the </w:t>
      </w:r>
      <w:r w:rsidRPr="00D9272F">
        <w:rPr>
          <w:bCs/>
        </w:rPr>
        <w:t xml:space="preserve">Ulster </w:t>
      </w:r>
      <w:r w:rsidR="00DE2DB0" w:rsidRPr="00D9272F">
        <w:rPr>
          <w:bCs/>
        </w:rPr>
        <w:t xml:space="preserve">University Research Ethics Committee (UREC), Office for Research Ethics Committees, Northern Ireland (ORECNI; Ref </w:t>
      </w:r>
      <w:r w:rsidR="00DE2DB0" w:rsidRPr="00D9272F">
        <w:rPr>
          <w:bCs/>
        </w:rPr>
        <w:lastRenderedPageBreak/>
        <w:t>16/NI/0047) and the National Research Committee</w:t>
      </w:r>
      <w:r w:rsidR="00EB29A6" w:rsidRPr="00D9272F">
        <w:rPr>
          <w:bCs/>
        </w:rPr>
        <w:t xml:space="preserve"> (NRC; Ref 2017-014)</w:t>
      </w:r>
      <w:r w:rsidR="009F0A76" w:rsidRPr="00D9272F">
        <w:rPr>
          <w:bCs/>
        </w:rPr>
        <w:t>. Subsequently, the prison Governor</w:t>
      </w:r>
      <w:r w:rsidR="00DE2DB0" w:rsidRPr="00D9272F">
        <w:rPr>
          <w:bCs/>
        </w:rPr>
        <w:t xml:space="preserve"> approved a pilot of the SOMS intervention and associated </w:t>
      </w:r>
      <w:r w:rsidR="009348E7">
        <w:rPr>
          <w:bCs/>
        </w:rPr>
        <w:t xml:space="preserve">research </w:t>
      </w:r>
      <w:r w:rsidR="00DE2DB0" w:rsidRPr="00D9272F">
        <w:rPr>
          <w:bCs/>
        </w:rPr>
        <w:t xml:space="preserve">to assess for </w:t>
      </w:r>
      <w:r w:rsidR="004E5FF9" w:rsidRPr="00D9272F">
        <w:rPr>
          <w:bCs/>
        </w:rPr>
        <w:t>evidence-based</w:t>
      </w:r>
      <w:r w:rsidR="00DE2DB0" w:rsidRPr="00D9272F">
        <w:rPr>
          <w:bCs/>
        </w:rPr>
        <w:t xml:space="preserve"> impact. To facilitate the research design, specifically the inclusion of an 8-week follow-up</w:t>
      </w:r>
      <w:r w:rsidR="005F1649">
        <w:rPr>
          <w:bCs/>
        </w:rPr>
        <w:t>,</w:t>
      </w:r>
      <w:r w:rsidR="00EB29A6" w:rsidRPr="00D9272F">
        <w:rPr>
          <w:bCs/>
        </w:rPr>
        <w:t xml:space="preserve"> </w:t>
      </w:r>
      <w:r w:rsidR="00DE2DB0" w:rsidRPr="00D9272F">
        <w:rPr>
          <w:bCs/>
        </w:rPr>
        <w:t xml:space="preserve">all prisoners who had four months or more left to serve following conclusion of the intervention, were invited to attend the SOMS </w:t>
      </w:r>
      <w:r w:rsidR="007D0F4C">
        <w:rPr>
          <w:bCs/>
        </w:rPr>
        <w:t>intervention</w:t>
      </w:r>
      <w:r w:rsidR="00DE2DB0" w:rsidRPr="00D9272F">
        <w:rPr>
          <w:bCs/>
        </w:rPr>
        <w:t xml:space="preserve">. </w:t>
      </w:r>
      <w:r w:rsidR="00942CF4">
        <w:rPr>
          <w:bCs/>
        </w:rPr>
        <w:t xml:space="preserve">This </w:t>
      </w:r>
      <w:r w:rsidR="009616B7">
        <w:rPr>
          <w:bCs/>
        </w:rPr>
        <w:t xml:space="preserve">study </w:t>
      </w:r>
      <w:r w:rsidR="00926A77">
        <w:rPr>
          <w:bCs/>
        </w:rPr>
        <w:t>is inclusive of</w:t>
      </w:r>
      <w:r w:rsidR="00E84284">
        <w:rPr>
          <w:bCs/>
        </w:rPr>
        <w:t xml:space="preserve"> data </w:t>
      </w:r>
      <w:r w:rsidR="008D380C">
        <w:rPr>
          <w:bCs/>
        </w:rPr>
        <w:t>obtained</w:t>
      </w:r>
      <w:r w:rsidR="003452AD">
        <w:rPr>
          <w:bCs/>
        </w:rPr>
        <w:t xml:space="preserve"> at baseline</w:t>
      </w:r>
      <w:r w:rsidR="00DF34BF">
        <w:rPr>
          <w:bCs/>
        </w:rPr>
        <w:t xml:space="preserve"> (T1)</w:t>
      </w:r>
      <w:r w:rsidR="003452AD">
        <w:rPr>
          <w:bCs/>
        </w:rPr>
        <w:t xml:space="preserve"> and </w:t>
      </w:r>
      <w:r w:rsidR="00750467">
        <w:rPr>
          <w:bCs/>
        </w:rPr>
        <w:t xml:space="preserve">immediately </w:t>
      </w:r>
      <w:r w:rsidR="00FF3488">
        <w:rPr>
          <w:bCs/>
        </w:rPr>
        <w:t>post-programme</w:t>
      </w:r>
      <w:r w:rsidR="00872A40">
        <w:rPr>
          <w:bCs/>
        </w:rPr>
        <w:t xml:space="preserve"> </w:t>
      </w:r>
      <w:r w:rsidR="00DF34BF">
        <w:rPr>
          <w:bCs/>
        </w:rPr>
        <w:t xml:space="preserve">(T2) </w:t>
      </w:r>
      <w:r w:rsidR="00872A40">
        <w:rPr>
          <w:bCs/>
        </w:rPr>
        <w:t xml:space="preserve">only, </w:t>
      </w:r>
      <w:r w:rsidR="00853465">
        <w:rPr>
          <w:bCs/>
        </w:rPr>
        <w:t>therefore excluding data</w:t>
      </w:r>
      <w:r w:rsidR="00872A40">
        <w:rPr>
          <w:bCs/>
        </w:rPr>
        <w:t xml:space="preserve"> </w:t>
      </w:r>
      <w:r w:rsidR="00A44DAB">
        <w:rPr>
          <w:bCs/>
        </w:rPr>
        <w:t xml:space="preserve">obtained </w:t>
      </w:r>
      <w:r w:rsidR="00853465">
        <w:rPr>
          <w:bCs/>
        </w:rPr>
        <w:t>at</w:t>
      </w:r>
      <w:r w:rsidR="00A44DAB">
        <w:rPr>
          <w:bCs/>
        </w:rPr>
        <w:t xml:space="preserve"> 8-week</w:t>
      </w:r>
      <w:r w:rsidR="00853465">
        <w:rPr>
          <w:bCs/>
        </w:rPr>
        <w:t>s</w:t>
      </w:r>
      <w:r w:rsidR="00A44DAB">
        <w:rPr>
          <w:bCs/>
        </w:rPr>
        <w:t xml:space="preserve"> follow-up</w:t>
      </w:r>
      <w:r w:rsidR="00DF34BF">
        <w:rPr>
          <w:bCs/>
        </w:rPr>
        <w:t xml:space="preserve"> (T3)</w:t>
      </w:r>
      <w:r w:rsidR="00853465">
        <w:rPr>
          <w:bCs/>
        </w:rPr>
        <w:t>.</w:t>
      </w:r>
      <w:r w:rsidR="00606135">
        <w:rPr>
          <w:bCs/>
        </w:rPr>
        <w:t xml:space="preserve"> </w:t>
      </w:r>
      <w:r w:rsidR="00573BE5">
        <w:rPr>
          <w:bCs/>
        </w:rPr>
        <w:t>SOMS f</w:t>
      </w:r>
      <w:r w:rsidR="00DE2DB0" w:rsidRPr="00D9272F">
        <w:rPr>
          <w:bCs/>
        </w:rPr>
        <w:t xml:space="preserve">lyers were designed in-house by the prisoners and distributed to </w:t>
      </w:r>
      <w:r w:rsidR="00091CEB" w:rsidRPr="00D9272F">
        <w:rPr>
          <w:bCs/>
        </w:rPr>
        <w:t>those</w:t>
      </w:r>
      <w:r w:rsidR="00DE2DB0" w:rsidRPr="00D9272F">
        <w:rPr>
          <w:bCs/>
        </w:rPr>
        <w:t xml:space="preserve"> meeting the inclusion criteria, along with a Participant Information Sheet introducing the research, explaining what it entailed, inviting questions and highlighting the voluntary nature of participating in the study. </w:t>
      </w:r>
    </w:p>
    <w:p w14:paraId="1F9EDFD2" w14:textId="77777777" w:rsidR="00DE2DB0" w:rsidRPr="00D9272F" w:rsidRDefault="00DE2DB0" w:rsidP="00DE2DB0">
      <w:pPr>
        <w:spacing w:line="480" w:lineRule="auto"/>
        <w:rPr>
          <w:bCs/>
        </w:rPr>
      </w:pPr>
    </w:p>
    <w:p w14:paraId="0B6ACEA4" w14:textId="2A1828CA" w:rsidR="00645FFA" w:rsidRDefault="00DE2DB0" w:rsidP="001A7F8E">
      <w:pPr>
        <w:spacing w:line="480" w:lineRule="auto"/>
        <w:rPr>
          <w:bCs/>
        </w:rPr>
      </w:pPr>
      <w:r w:rsidRPr="00D9272F">
        <w:rPr>
          <w:bCs/>
        </w:rPr>
        <w:t>Prisoners who volunteered to attend return</w:t>
      </w:r>
      <w:r w:rsidR="009F0A76" w:rsidRPr="00D9272F">
        <w:rPr>
          <w:bCs/>
        </w:rPr>
        <w:t>ed</w:t>
      </w:r>
      <w:r w:rsidRPr="00D9272F">
        <w:rPr>
          <w:bCs/>
        </w:rPr>
        <w:t xml:space="preserve"> </w:t>
      </w:r>
      <w:r w:rsidR="00E540F0">
        <w:rPr>
          <w:bCs/>
        </w:rPr>
        <w:t xml:space="preserve">their SOMS </w:t>
      </w:r>
      <w:r w:rsidRPr="00D9272F">
        <w:rPr>
          <w:bCs/>
        </w:rPr>
        <w:t xml:space="preserve">flyers, indicating which date and session they would like to attend (two dates were offered, each with a morning and afternoon session). On attendance at </w:t>
      </w:r>
      <w:r w:rsidR="004A07DC">
        <w:rPr>
          <w:bCs/>
        </w:rPr>
        <w:t xml:space="preserve">the </w:t>
      </w:r>
      <w:r w:rsidR="00E540F0">
        <w:rPr>
          <w:bCs/>
        </w:rPr>
        <w:t>SOMS</w:t>
      </w:r>
      <w:r w:rsidR="004A07DC">
        <w:rPr>
          <w:bCs/>
        </w:rPr>
        <w:t xml:space="preserve"> intervention</w:t>
      </w:r>
      <w:r w:rsidRPr="00D9272F">
        <w:rPr>
          <w:bCs/>
        </w:rPr>
        <w:t xml:space="preserve">, </w:t>
      </w:r>
      <w:r w:rsidR="00601251" w:rsidRPr="00D9272F">
        <w:rPr>
          <w:bCs/>
        </w:rPr>
        <w:t xml:space="preserve">participating </w:t>
      </w:r>
      <w:r w:rsidRPr="00D9272F">
        <w:rPr>
          <w:bCs/>
        </w:rPr>
        <w:t xml:space="preserve">prisoners were provided with consent forms, given an opportunity to ask questions, and completed </w:t>
      </w:r>
      <w:r w:rsidR="001F5BAD">
        <w:rPr>
          <w:bCs/>
        </w:rPr>
        <w:t xml:space="preserve">a suite of </w:t>
      </w:r>
      <w:r w:rsidRPr="00D9272F">
        <w:rPr>
          <w:bCs/>
        </w:rPr>
        <w:t>questionnaires</w:t>
      </w:r>
      <w:r w:rsidR="005C4FEF">
        <w:rPr>
          <w:bCs/>
        </w:rPr>
        <w:t xml:space="preserve"> </w:t>
      </w:r>
      <w:r w:rsidR="001F5BAD">
        <w:rPr>
          <w:bCs/>
        </w:rPr>
        <w:t xml:space="preserve">detailed below under </w:t>
      </w:r>
      <w:r w:rsidR="00EC6214">
        <w:rPr>
          <w:bCs/>
        </w:rPr>
        <w:t>Outcome Measures,</w:t>
      </w:r>
      <w:r w:rsidRPr="00D9272F">
        <w:rPr>
          <w:bCs/>
        </w:rPr>
        <w:t xml:space="preserve"> prior to and immediately after the </w:t>
      </w:r>
      <w:r w:rsidR="00657FEB">
        <w:rPr>
          <w:bCs/>
        </w:rPr>
        <w:t>session.</w:t>
      </w:r>
      <w:r w:rsidRPr="00D9272F">
        <w:rPr>
          <w:bCs/>
        </w:rPr>
        <w:t xml:space="preserve"> To accommodate all those expressing an interest in attending the </w:t>
      </w:r>
      <w:r w:rsidR="00657FEB">
        <w:rPr>
          <w:bCs/>
        </w:rPr>
        <w:t>intervention</w:t>
      </w:r>
      <w:r w:rsidRPr="00D9272F">
        <w:rPr>
          <w:bCs/>
        </w:rPr>
        <w:t xml:space="preserve">, three sessions were delivered: day one PM (24 attending, 21 study participants), and day two AM (14 attending, 10 study participants), and PM (19 attending, 16 study participants). There was also a session </w:t>
      </w:r>
      <w:r w:rsidR="007D600F">
        <w:rPr>
          <w:bCs/>
        </w:rPr>
        <w:t>available for</w:t>
      </w:r>
      <w:r w:rsidRPr="00D9272F">
        <w:rPr>
          <w:bCs/>
        </w:rPr>
        <w:t xml:space="preserve"> staff</w:t>
      </w:r>
      <w:r w:rsidR="007D600F">
        <w:rPr>
          <w:bCs/>
        </w:rPr>
        <w:t xml:space="preserve"> to attend</w:t>
      </w:r>
      <w:r w:rsidR="007D600F" w:rsidRPr="007D600F">
        <w:rPr>
          <w:bCs/>
        </w:rPr>
        <w:t xml:space="preserve"> </w:t>
      </w:r>
      <w:r w:rsidR="007D600F" w:rsidRPr="00D9272F">
        <w:rPr>
          <w:bCs/>
        </w:rPr>
        <w:t>on the morning of the first day, which was not included for evaluation within the current research</w:t>
      </w:r>
      <w:r w:rsidR="007D600F">
        <w:rPr>
          <w:bCs/>
        </w:rPr>
        <w:t>, which included wing staff, PE staff, healthcare and management.</w:t>
      </w:r>
      <w:r w:rsidRPr="00D9272F">
        <w:rPr>
          <w:bCs/>
        </w:rPr>
        <w:t xml:space="preserve"> The</w:t>
      </w:r>
      <w:r w:rsidR="00D15AA0">
        <w:rPr>
          <w:bCs/>
        </w:rPr>
        <w:t xml:space="preserve"> intervention</w:t>
      </w:r>
      <w:r w:rsidRPr="00D9272F">
        <w:rPr>
          <w:bCs/>
        </w:rPr>
        <w:t xml:space="preserve"> lasted approximately 75 min</w:t>
      </w:r>
      <w:r w:rsidR="00AF2513" w:rsidRPr="00D9272F">
        <w:rPr>
          <w:bCs/>
        </w:rPr>
        <w:t>ute</w:t>
      </w:r>
      <w:r w:rsidRPr="00D9272F">
        <w:rPr>
          <w:bCs/>
        </w:rPr>
        <w:t>s. The control group consisted of a convenience sample of prisoners engaging with the regime and attending their training workshops and education classes on the same days as</w:t>
      </w:r>
      <w:r w:rsidR="000B0E4C">
        <w:rPr>
          <w:bCs/>
        </w:rPr>
        <w:t xml:space="preserve"> the</w:t>
      </w:r>
      <w:r w:rsidRPr="00D9272F">
        <w:rPr>
          <w:bCs/>
        </w:rPr>
        <w:t xml:space="preserve"> </w:t>
      </w:r>
      <w:r w:rsidR="000B0E4C">
        <w:rPr>
          <w:bCs/>
        </w:rPr>
        <w:t>SOMS intervention</w:t>
      </w:r>
      <w:r w:rsidRPr="00D9272F">
        <w:rPr>
          <w:bCs/>
        </w:rPr>
        <w:t xml:space="preserve">. </w:t>
      </w:r>
      <w:r w:rsidRPr="00D9272F">
        <w:rPr>
          <w:bCs/>
        </w:rPr>
        <w:lastRenderedPageBreak/>
        <w:t>They were provided with a Participant Information Sheet and Consent Form, alongside</w:t>
      </w:r>
      <w:r w:rsidR="00EC6214">
        <w:rPr>
          <w:bCs/>
        </w:rPr>
        <w:t xml:space="preserve"> the suite of</w:t>
      </w:r>
      <w:r w:rsidRPr="00D9272F">
        <w:rPr>
          <w:bCs/>
        </w:rPr>
        <w:t xml:space="preserve"> questionnaires, with the option to participate having read both. </w:t>
      </w:r>
    </w:p>
    <w:p w14:paraId="42695165" w14:textId="77777777" w:rsidR="00396B84" w:rsidRDefault="00396B84" w:rsidP="001A7F8E">
      <w:pPr>
        <w:spacing w:line="480" w:lineRule="auto"/>
        <w:rPr>
          <w:b/>
        </w:rPr>
      </w:pPr>
    </w:p>
    <w:p w14:paraId="2CFD494A" w14:textId="6ACC805C" w:rsidR="00DE2DB0" w:rsidRPr="00D9272F" w:rsidRDefault="00645FFA" w:rsidP="001A7F8E">
      <w:pPr>
        <w:spacing w:line="480" w:lineRule="auto"/>
        <w:rPr>
          <w:bCs/>
        </w:rPr>
      </w:pPr>
      <w:r w:rsidRPr="00D1198D">
        <w:rPr>
          <w:b/>
        </w:rPr>
        <w:t>Focus Groups:</w:t>
      </w:r>
      <w:r>
        <w:rPr>
          <w:bCs/>
        </w:rPr>
        <w:t xml:space="preserve"> </w:t>
      </w:r>
      <w:r w:rsidR="00DE2DB0" w:rsidRPr="00D9272F">
        <w:rPr>
          <w:bCs/>
        </w:rPr>
        <w:t xml:space="preserve">Focus groups were held immediately following both of the sessions on day two (Group A, </w:t>
      </w:r>
      <w:r w:rsidR="00DE2DB0" w:rsidRPr="00D9272F">
        <w:rPr>
          <w:bCs/>
          <w:i/>
        </w:rPr>
        <w:t>n</w:t>
      </w:r>
      <w:r w:rsidR="00DE2DB0" w:rsidRPr="00D9272F">
        <w:rPr>
          <w:bCs/>
        </w:rPr>
        <w:t xml:space="preserve"> = 8; Group B, </w:t>
      </w:r>
      <w:r w:rsidR="00DE2DB0" w:rsidRPr="00D9272F">
        <w:rPr>
          <w:bCs/>
          <w:i/>
        </w:rPr>
        <w:t>n</w:t>
      </w:r>
      <w:r w:rsidR="00DE2DB0" w:rsidRPr="00D9272F">
        <w:rPr>
          <w:bCs/>
        </w:rPr>
        <w:t xml:space="preserve"> = 7). The focus group planned for day one was cancelled due to unrest in one of the prison wings and associated security concerns</w:t>
      </w:r>
      <w:r w:rsidR="00BD2B04">
        <w:rPr>
          <w:bCs/>
        </w:rPr>
        <w:t>, with logistical</w:t>
      </w:r>
      <w:r w:rsidR="00DC6B67">
        <w:rPr>
          <w:bCs/>
        </w:rPr>
        <w:t xml:space="preserve"> and operational</w:t>
      </w:r>
      <w:r w:rsidR="00BD2B04">
        <w:rPr>
          <w:bCs/>
        </w:rPr>
        <w:t xml:space="preserve"> </w:t>
      </w:r>
      <w:r w:rsidR="00DC6B67">
        <w:rPr>
          <w:bCs/>
        </w:rPr>
        <w:t xml:space="preserve">barriers </w:t>
      </w:r>
      <w:r w:rsidR="003F3F9B">
        <w:rPr>
          <w:bCs/>
        </w:rPr>
        <w:t>preventing this from</w:t>
      </w:r>
      <w:r w:rsidR="00DC6B67">
        <w:rPr>
          <w:bCs/>
        </w:rPr>
        <w:t xml:space="preserve"> be</w:t>
      </w:r>
      <w:r w:rsidR="003F3F9B">
        <w:rPr>
          <w:bCs/>
        </w:rPr>
        <w:t>ing</w:t>
      </w:r>
      <w:r w:rsidR="00DC6B67">
        <w:rPr>
          <w:bCs/>
        </w:rPr>
        <w:t xml:space="preserve"> re-scheduled. </w:t>
      </w:r>
      <w:r w:rsidR="00DE2DB0" w:rsidRPr="00D9272F">
        <w:rPr>
          <w:bCs/>
        </w:rPr>
        <w:t xml:space="preserve"> </w:t>
      </w:r>
    </w:p>
    <w:p w14:paraId="0BF17919" w14:textId="77777777" w:rsidR="00DE2DB0" w:rsidRPr="00D9272F" w:rsidRDefault="00DE2DB0" w:rsidP="00DE2DB0">
      <w:pPr>
        <w:spacing w:line="480" w:lineRule="auto"/>
        <w:rPr>
          <w:bCs/>
        </w:rPr>
      </w:pPr>
    </w:p>
    <w:p w14:paraId="49BF660F" w14:textId="77777777" w:rsidR="00DE2DB0" w:rsidRPr="00D9272F" w:rsidRDefault="00DE2DB0" w:rsidP="00DE2DB0">
      <w:pPr>
        <w:spacing w:line="480" w:lineRule="auto"/>
        <w:rPr>
          <w:b/>
          <w:bCs/>
        </w:rPr>
      </w:pPr>
      <w:r w:rsidRPr="00D9272F">
        <w:rPr>
          <w:bCs/>
          <w:i/>
        </w:rPr>
        <w:t>Outcome measures</w:t>
      </w:r>
    </w:p>
    <w:p w14:paraId="4EBB2D35" w14:textId="77777777" w:rsidR="00CF2E2A" w:rsidRPr="00A52516" w:rsidRDefault="00CF2E2A" w:rsidP="00CF2E2A">
      <w:pPr>
        <w:spacing w:line="480" w:lineRule="auto"/>
        <w:rPr>
          <w:i/>
        </w:rPr>
      </w:pPr>
      <w:r w:rsidRPr="00A52516">
        <w:rPr>
          <w:i/>
        </w:rPr>
        <w:t xml:space="preserve">The Short Warwick Edinburgh Mental Well-being Scale (SWEMWBS) </w:t>
      </w:r>
    </w:p>
    <w:p w14:paraId="7DC22956" w14:textId="70238F96" w:rsidR="00CF2E2A" w:rsidRDefault="00CF2E2A" w:rsidP="00A52516">
      <w:pPr>
        <w:spacing w:line="480" w:lineRule="auto"/>
      </w:pPr>
      <w:r w:rsidRPr="00D9272F">
        <w:t xml:space="preserve">The </w:t>
      </w:r>
      <w:r w:rsidR="00492147" w:rsidRPr="00D9272F">
        <w:t>7-item</w:t>
      </w:r>
      <w:r w:rsidRPr="00D9272F">
        <w:t xml:space="preserve"> </w:t>
      </w:r>
      <w:r w:rsidR="00A8244A" w:rsidRPr="00D9272F">
        <w:t xml:space="preserve">shortened </w:t>
      </w:r>
      <w:r w:rsidR="00544330" w:rsidRPr="00D9272F">
        <w:t xml:space="preserve">version of </w:t>
      </w:r>
      <w:r w:rsidR="00A8244A" w:rsidRPr="00D9272F">
        <w:t>original Warwick-Edinburgh Mental Well-being Scale (WEMWBS)</w:t>
      </w:r>
      <w:r w:rsidR="00AF2513" w:rsidRPr="00D9272F">
        <w:t xml:space="preserve"> </w:t>
      </w:r>
      <w:r w:rsidR="00544330" w:rsidRPr="00D9272F">
        <w:t>was</w:t>
      </w:r>
      <w:r w:rsidR="00A8244A" w:rsidRPr="00D9272F">
        <w:t xml:space="preserve"> developed for assessing positive psychological well-being. </w:t>
      </w:r>
      <w:r w:rsidR="004A28C9" w:rsidRPr="00D9272F">
        <w:t xml:space="preserve">It </w:t>
      </w:r>
      <w:r w:rsidR="00FC7748" w:rsidRPr="00D9272F">
        <w:t>assessed</w:t>
      </w:r>
      <w:r w:rsidRPr="00D9272F">
        <w:t xml:space="preserve"> psychological functioning </w:t>
      </w:r>
      <w:r w:rsidR="00250CED" w:rsidRPr="00D9272F">
        <w:t xml:space="preserve">(i.e. eudaimonic aspects of well-being: energy, clear thinking, competence, and autonomy) </w:t>
      </w:r>
      <w:r w:rsidR="00376127" w:rsidRPr="00D9272F">
        <w:t>and</w:t>
      </w:r>
      <w:r w:rsidRPr="00D9272F">
        <w:t xml:space="preserve"> feeling</w:t>
      </w:r>
      <w:r w:rsidR="001E01A3" w:rsidRPr="00D9272F">
        <w:t xml:space="preserve"> (cheerfulness and relaxation</w:t>
      </w:r>
      <w:r w:rsidR="00593871" w:rsidRPr="00D9272F">
        <w:t>) and</w:t>
      </w:r>
      <w:r w:rsidRPr="00D9272F">
        <w:t xml:space="preserve"> has been </w:t>
      </w:r>
      <w:r w:rsidR="00C936D4" w:rsidRPr="00D9272F">
        <w:t xml:space="preserve">robustly </w:t>
      </w:r>
      <w:r w:rsidRPr="00D9272F">
        <w:t>validated (Stewart-Brown et al., 200</w:t>
      </w:r>
      <w:r w:rsidR="00815457">
        <w:t>9</w:t>
      </w:r>
      <w:r w:rsidRPr="00D9272F">
        <w:t>)</w:t>
      </w:r>
      <w:r w:rsidR="0027236A" w:rsidRPr="00D9272F">
        <w:t>.</w:t>
      </w:r>
      <w:r w:rsidRPr="00D9272F">
        <w:t xml:space="preserve"> </w:t>
      </w:r>
    </w:p>
    <w:p w14:paraId="1F486E4C" w14:textId="77777777" w:rsidR="00D1198D" w:rsidRPr="00D9272F" w:rsidRDefault="00D1198D" w:rsidP="00A52516">
      <w:pPr>
        <w:spacing w:line="480" w:lineRule="auto"/>
      </w:pPr>
    </w:p>
    <w:p w14:paraId="1CB8B557" w14:textId="77777777" w:rsidR="00CF2E2A" w:rsidRPr="00A52516" w:rsidRDefault="00CF2E2A" w:rsidP="00CF2E2A">
      <w:pPr>
        <w:spacing w:line="480" w:lineRule="auto"/>
        <w:rPr>
          <w:bCs/>
          <w:i/>
        </w:rPr>
      </w:pPr>
      <w:r w:rsidRPr="00A52516">
        <w:rPr>
          <w:bCs/>
          <w:i/>
        </w:rPr>
        <w:t xml:space="preserve">The Brief Resilience Scale </w:t>
      </w:r>
    </w:p>
    <w:p w14:paraId="75119010" w14:textId="77777777" w:rsidR="00CF2E2A" w:rsidRPr="00D9272F" w:rsidRDefault="00CF2E2A" w:rsidP="001A7F8E">
      <w:pPr>
        <w:spacing w:line="480" w:lineRule="auto"/>
        <w:rPr>
          <w:bCs/>
        </w:rPr>
      </w:pPr>
      <w:r w:rsidRPr="00D9272F">
        <w:rPr>
          <w:bCs/>
        </w:rPr>
        <w:t xml:space="preserve">The Brief Resilience Scale (BRS) </w:t>
      </w:r>
      <w:r w:rsidR="00FC7748" w:rsidRPr="00D9272F">
        <w:rPr>
          <w:bCs/>
        </w:rPr>
        <w:t xml:space="preserve">contains six items and </w:t>
      </w:r>
      <w:r w:rsidRPr="00D9272F">
        <w:rPr>
          <w:bCs/>
        </w:rPr>
        <w:t>assess</w:t>
      </w:r>
      <w:r w:rsidR="006513D6" w:rsidRPr="00D9272F">
        <w:rPr>
          <w:bCs/>
        </w:rPr>
        <w:t>e</w:t>
      </w:r>
      <w:r w:rsidR="00FC7748" w:rsidRPr="00D9272F">
        <w:rPr>
          <w:bCs/>
        </w:rPr>
        <w:t>d</w:t>
      </w:r>
      <w:r w:rsidRPr="00D9272F">
        <w:rPr>
          <w:bCs/>
        </w:rPr>
        <w:t xml:space="preserve"> ability to bounce back or recover from stress</w:t>
      </w:r>
      <w:r w:rsidR="00FC7748" w:rsidRPr="00D9272F">
        <w:rPr>
          <w:bCs/>
        </w:rPr>
        <w:t xml:space="preserve">. It </w:t>
      </w:r>
      <w:r w:rsidRPr="00D9272F">
        <w:rPr>
          <w:bCs/>
        </w:rPr>
        <w:t xml:space="preserve">is a reliable means of assessing resilience, with Cronbach’s alpha ranging from 0.80 – 0.91 (Smith et al., 2008). </w:t>
      </w:r>
    </w:p>
    <w:p w14:paraId="3DD09E43" w14:textId="77777777" w:rsidR="00CF2E2A" w:rsidRPr="00D9272F" w:rsidRDefault="00CF2E2A" w:rsidP="00CF2E2A">
      <w:pPr>
        <w:spacing w:line="480" w:lineRule="auto"/>
        <w:rPr>
          <w:bCs/>
        </w:rPr>
      </w:pPr>
    </w:p>
    <w:p w14:paraId="07545246" w14:textId="77777777" w:rsidR="00CF2E2A" w:rsidRPr="00A52516" w:rsidRDefault="00CF2E2A" w:rsidP="00CF2E2A">
      <w:pPr>
        <w:spacing w:line="480" w:lineRule="auto"/>
        <w:rPr>
          <w:bCs/>
          <w:i/>
        </w:rPr>
      </w:pPr>
      <w:r w:rsidRPr="00A52516">
        <w:rPr>
          <w:bCs/>
          <w:i/>
        </w:rPr>
        <w:t xml:space="preserve">Mental Health Knowledge Schedule (MAKS) </w:t>
      </w:r>
    </w:p>
    <w:p w14:paraId="48E50A6A" w14:textId="42F72E99" w:rsidR="00CF2E2A" w:rsidRDefault="00CF2E2A" w:rsidP="00CF2E2A">
      <w:pPr>
        <w:spacing w:line="480" w:lineRule="auto"/>
        <w:rPr>
          <w:bCs/>
        </w:rPr>
      </w:pPr>
      <w:r w:rsidRPr="00D9272F">
        <w:rPr>
          <w:bCs/>
        </w:rPr>
        <w:t>The Mental Health Knowledge Schedule (MAKS)</w:t>
      </w:r>
      <w:r w:rsidR="00C370E0" w:rsidRPr="00D9272F">
        <w:rPr>
          <w:bCs/>
        </w:rPr>
        <w:t xml:space="preserve"> </w:t>
      </w:r>
      <w:r w:rsidRPr="00D9272F">
        <w:rPr>
          <w:bCs/>
        </w:rPr>
        <w:t xml:space="preserve">comprises </w:t>
      </w:r>
      <w:r w:rsidR="005A7C63" w:rsidRPr="00D9272F">
        <w:rPr>
          <w:bCs/>
        </w:rPr>
        <w:t>evidence-based</w:t>
      </w:r>
      <w:r w:rsidRPr="00D9272F">
        <w:rPr>
          <w:bCs/>
        </w:rPr>
        <w:t xml:space="preserve"> knowledge in relation to stigma reduction (Evans-Lacko et al., 2010). The MAKS is based on literature review</w:t>
      </w:r>
      <w:r w:rsidR="00C7426C" w:rsidRPr="00D9272F">
        <w:rPr>
          <w:bCs/>
        </w:rPr>
        <w:t>,</w:t>
      </w:r>
      <w:r w:rsidRPr="00D9272F">
        <w:rPr>
          <w:bCs/>
        </w:rPr>
        <w:t xml:space="preserve"> expert consultation, </w:t>
      </w:r>
      <w:r w:rsidR="00C7426C" w:rsidRPr="00D9272F">
        <w:rPr>
          <w:bCs/>
        </w:rPr>
        <w:t>and has a</w:t>
      </w:r>
      <w:r w:rsidRPr="00D9272F">
        <w:rPr>
          <w:bCs/>
        </w:rPr>
        <w:t xml:space="preserve"> Cronbach’s alpha </w:t>
      </w:r>
      <w:r w:rsidR="00C370E0" w:rsidRPr="00D9272F">
        <w:rPr>
          <w:bCs/>
        </w:rPr>
        <w:t xml:space="preserve">= </w:t>
      </w:r>
      <w:r w:rsidRPr="00D9272F">
        <w:rPr>
          <w:bCs/>
        </w:rPr>
        <w:t xml:space="preserve">0.65. It comprises 6 stigma-related </w:t>
      </w:r>
      <w:r w:rsidRPr="00D9272F">
        <w:rPr>
          <w:bCs/>
        </w:rPr>
        <w:lastRenderedPageBreak/>
        <w:t>mental health knowledge areas: help-seeking, recognition, support, employment, treatment and recovery, which inquire about knowledge of mental illness conditions. A further 6 items on the MAKS assess</w:t>
      </w:r>
      <w:r w:rsidR="00C370E0" w:rsidRPr="00D9272F">
        <w:rPr>
          <w:bCs/>
        </w:rPr>
        <w:t>ed</w:t>
      </w:r>
      <w:r w:rsidRPr="00D9272F">
        <w:rPr>
          <w:bCs/>
        </w:rPr>
        <w:t xml:space="preserve"> knowledge of specific mental illness (</w:t>
      </w:r>
      <w:r w:rsidR="00447D64">
        <w:rPr>
          <w:bCs/>
        </w:rPr>
        <w:t xml:space="preserve">e.g., </w:t>
      </w:r>
      <w:r w:rsidRPr="00D9272F">
        <w:rPr>
          <w:bCs/>
        </w:rPr>
        <w:t>depression, schizophrenia</w:t>
      </w:r>
      <w:r w:rsidR="00447D64">
        <w:rPr>
          <w:bCs/>
        </w:rPr>
        <w:t xml:space="preserve"> and</w:t>
      </w:r>
      <w:r w:rsidRPr="00D9272F">
        <w:rPr>
          <w:bCs/>
        </w:rPr>
        <w:t xml:space="preserve"> bipolar disorder) and often mistaken non-mental illness</w:t>
      </w:r>
      <w:r w:rsidR="00C370E0" w:rsidRPr="00D9272F">
        <w:rPr>
          <w:bCs/>
        </w:rPr>
        <w:t>e</w:t>
      </w:r>
      <w:r w:rsidR="00082532" w:rsidRPr="00D9272F">
        <w:rPr>
          <w:bCs/>
        </w:rPr>
        <w:t>s</w:t>
      </w:r>
      <w:r w:rsidRPr="00D9272F">
        <w:rPr>
          <w:bCs/>
        </w:rPr>
        <w:t xml:space="preserve"> (grief and stress). </w:t>
      </w:r>
    </w:p>
    <w:p w14:paraId="22B346A1" w14:textId="77777777" w:rsidR="00D1198D" w:rsidRPr="00D9272F" w:rsidRDefault="00D1198D" w:rsidP="00CF2E2A">
      <w:pPr>
        <w:spacing w:line="480" w:lineRule="auto"/>
        <w:rPr>
          <w:bCs/>
        </w:rPr>
      </w:pPr>
    </w:p>
    <w:p w14:paraId="15CD6D2F" w14:textId="77777777" w:rsidR="00CF2E2A" w:rsidRPr="00A52516" w:rsidRDefault="00CF2E2A" w:rsidP="00CF2E2A">
      <w:pPr>
        <w:spacing w:line="480" w:lineRule="auto"/>
        <w:rPr>
          <w:bCs/>
          <w:i/>
        </w:rPr>
      </w:pPr>
      <w:r w:rsidRPr="00A52516">
        <w:rPr>
          <w:bCs/>
          <w:i/>
        </w:rPr>
        <w:t xml:space="preserve">Reported and Intended Behaviour Scale (RIBS) </w:t>
      </w:r>
    </w:p>
    <w:p w14:paraId="04E27467" w14:textId="77777777" w:rsidR="00CF2E2A" w:rsidRPr="00D9272F" w:rsidRDefault="00CF2E2A" w:rsidP="001A7F8E">
      <w:pPr>
        <w:spacing w:line="480" w:lineRule="auto"/>
        <w:rPr>
          <w:bCs/>
        </w:rPr>
      </w:pPr>
      <w:r w:rsidRPr="00D9272F">
        <w:rPr>
          <w:bCs/>
        </w:rPr>
        <w:t xml:space="preserve">The Reported and Intended Behaviour Scale (RIBS) is a measure of mental health stigma and has demonstrated good reliability and validity, Cronbach’s alpha </w:t>
      </w:r>
      <w:r w:rsidR="00067969" w:rsidRPr="00D9272F">
        <w:rPr>
          <w:bCs/>
        </w:rPr>
        <w:t>=</w:t>
      </w:r>
      <w:r w:rsidRPr="00D9272F">
        <w:rPr>
          <w:bCs/>
        </w:rPr>
        <w:t xml:space="preserve">0.85 (Evans-Lacko et al., 2011). Items 1-4 address the respondent’s exposure to individuals with mental health problems through examining whether they live or work with, or have a neighbour or close friend, with a mental health problem. Items 5-8 relate to intended behaviours in relation to willingness to live </w:t>
      </w:r>
      <w:r w:rsidR="00286D7B">
        <w:rPr>
          <w:bCs/>
        </w:rPr>
        <w:t xml:space="preserve">or work </w:t>
      </w:r>
      <w:r w:rsidR="00492147" w:rsidRPr="00D9272F">
        <w:rPr>
          <w:bCs/>
        </w:rPr>
        <w:t>with, live</w:t>
      </w:r>
      <w:r w:rsidRPr="00D9272F">
        <w:rPr>
          <w:bCs/>
        </w:rPr>
        <w:t xml:space="preserve"> </w:t>
      </w:r>
      <w:r w:rsidR="00067969" w:rsidRPr="00D9272F">
        <w:rPr>
          <w:bCs/>
        </w:rPr>
        <w:t>nearby</w:t>
      </w:r>
      <w:r w:rsidR="00286D7B">
        <w:rPr>
          <w:bCs/>
        </w:rPr>
        <w:t xml:space="preserve">, </w:t>
      </w:r>
      <w:r w:rsidRPr="00D9272F">
        <w:rPr>
          <w:bCs/>
        </w:rPr>
        <w:t xml:space="preserve">or continue a relationship with someone with a mental health problem. </w:t>
      </w:r>
    </w:p>
    <w:p w14:paraId="7E983C1A" w14:textId="77777777" w:rsidR="00DE2DB0" w:rsidRPr="00D9272F" w:rsidRDefault="00DE2DB0" w:rsidP="00DE2DB0">
      <w:pPr>
        <w:spacing w:line="480" w:lineRule="auto"/>
        <w:rPr>
          <w:bCs/>
        </w:rPr>
      </w:pPr>
    </w:p>
    <w:p w14:paraId="3146A37D" w14:textId="77777777" w:rsidR="00DE2DB0" w:rsidRPr="00D9272F" w:rsidRDefault="00DE2DB0" w:rsidP="00DE2DB0">
      <w:pPr>
        <w:spacing w:line="480" w:lineRule="auto"/>
        <w:rPr>
          <w:bCs/>
          <w:i/>
        </w:rPr>
      </w:pPr>
      <w:r w:rsidRPr="00D9272F">
        <w:rPr>
          <w:bCs/>
          <w:i/>
        </w:rPr>
        <w:t xml:space="preserve">Statistical Analysis </w:t>
      </w:r>
    </w:p>
    <w:p w14:paraId="7DFAB791" w14:textId="684D5A31" w:rsidR="00DE2DB0" w:rsidRPr="00D9272F" w:rsidRDefault="00DE2DB0" w:rsidP="001A7F8E">
      <w:pPr>
        <w:spacing w:line="480" w:lineRule="auto"/>
        <w:rPr>
          <w:bCs/>
        </w:rPr>
      </w:pPr>
      <w:r w:rsidRPr="00D9272F">
        <w:rPr>
          <w:bCs/>
        </w:rPr>
        <w:t>Prior to performing inferential statistical analysis across time-points</w:t>
      </w:r>
      <w:r w:rsidR="002268D8">
        <w:rPr>
          <w:bCs/>
        </w:rPr>
        <w:t xml:space="preserve"> </w:t>
      </w:r>
      <w:r w:rsidR="005D6DDB">
        <w:rPr>
          <w:bCs/>
        </w:rPr>
        <w:t>1 and 2</w:t>
      </w:r>
      <w:r w:rsidRPr="00D9272F">
        <w:rPr>
          <w:bCs/>
        </w:rPr>
        <w:t xml:space="preserve">, separate between groups t-tests </w:t>
      </w:r>
      <w:r w:rsidRPr="00D9272F">
        <w:rPr>
          <w:bCs/>
          <w:i/>
        </w:rPr>
        <w:t>(t)</w:t>
      </w:r>
      <w:r w:rsidR="00D1233C" w:rsidRPr="00D9272F">
        <w:rPr>
          <w:bCs/>
        </w:rPr>
        <w:t xml:space="preserve"> </w:t>
      </w:r>
      <w:r w:rsidRPr="00D9272F">
        <w:rPr>
          <w:bCs/>
        </w:rPr>
        <w:t xml:space="preserve">were calculated to establish if baseline differences were present between groups on any of the outcome measures. For each outcome measure, a separate 2 (Group) x 2 (Time) mixed factors Analysis of Variance (ANOVA) was calculated to determine main effects and interaction effects </w:t>
      </w:r>
      <w:r w:rsidRPr="00D9272F">
        <w:rPr>
          <w:bCs/>
          <w:i/>
        </w:rPr>
        <w:t>(F)</w:t>
      </w:r>
      <w:r w:rsidRPr="00D9272F">
        <w:rPr>
          <w:bCs/>
        </w:rPr>
        <w:t>. Where significant effects were observed, separate Analysis of Covariance (ANCOVA) tests were calculated to ensure these were not observed as a result of baseline scores. Prior to completing the parametric ANOVA tests, data was cleaned and checked for the following assumptions as advised by Field (2013): (a) there were no significant outliers; (b) dependent variables were normally distributed; and (c) there was homogeneity of variance. If Mauchley’s test of sphericity was &lt; .05</w:t>
      </w:r>
      <w:r w:rsidR="00C64ADD">
        <w:rPr>
          <w:bCs/>
        </w:rPr>
        <w:t>,</w:t>
      </w:r>
      <w:r w:rsidRPr="00D9272F">
        <w:rPr>
          <w:bCs/>
        </w:rPr>
        <w:t xml:space="preserve"> Greenhouse-Geisser </w:t>
      </w:r>
      <w:r w:rsidRPr="00D9272F">
        <w:rPr>
          <w:bCs/>
        </w:rPr>
        <w:lastRenderedPageBreak/>
        <w:t xml:space="preserve">was </w:t>
      </w:r>
      <w:r w:rsidR="00E47E16" w:rsidRPr="00D9272F">
        <w:rPr>
          <w:bCs/>
        </w:rPr>
        <w:t>calculated</w:t>
      </w:r>
      <w:r w:rsidRPr="00D9272F">
        <w:rPr>
          <w:bCs/>
        </w:rPr>
        <w:t xml:space="preserve">. Statistical significance was set at </w:t>
      </w:r>
      <w:r w:rsidRPr="00DB7E7F">
        <w:rPr>
          <w:bCs/>
          <w:i/>
        </w:rPr>
        <w:t>p</w:t>
      </w:r>
      <w:r w:rsidRPr="00D9272F">
        <w:rPr>
          <w:bCs/>
        </w:rPr>
        <w:t xml:space="preserve"> &lt; 0.05. Partial eta squared </w:t>
      </w:r>
      <w:r w:rsidRPr="00D9272F">
        <w:t>(</w:t>
      </w:r>
      <w:r w:rsidRPr="00D9272F">
        <w:rPr>
          <w:i/>
        </w:rPr>
        <w:sym w:font="Symbol" w:char="F068"/>
      </w:r>
      <w:r w:rsidRPr="00D9272F">
        <w:rPr>
          <w:i/>
          <w:vertAlign w:val="subscript"/>
        </w:rPr>
        <w:t>p</w:t>
      </w:r>
      <w:r w:rsidRPr="00D9272F">
        <w:rPr>
          <w:i/>
          <w:vertAlign w:val="superscript"/>
        </w:rPr>
        <w:t>2</w:t>
      </w:r>
      <w:r w:rsidRPr="00D9272F">
        <w:t xml:space="preserve">) </w:t>
      </w:r>
      <w:r w:rsidRPr="00D9272F">
        <w:rPr>
          <w:bCs/>
        </w:rPr>
        <w:t>effect size was calculated, providing an indication of what proportion of the variance in the dependent variable was attributable to the intervention. All calculations were performed using the Statistical Package for the Social Sciences (SPSS) Version 22.</w:t>
      </w:r>
    </w:p>
    <w:p w14:paraId="1661289E" w14:textId="77777777" w:rsidR="00DE2DB0" w:rsidRPr="00D9272F" w:rsidRDefault="00DE2DB0" w:rsidP="00DE2DB0">
      <w:pPr>
        <w:spacing w:line="480" w:lineRule="auto"/>
        <w:rPr>
          <w:bCs/>
        </w:rPr>
      </w:pPr>
    </w:p>
    <w:p w14:paraId="28600174" w14:textId="77777777" w:rsidR="00DE2DB0" w:rsidRPr="00D9272F" w:rsidRDefault="00DE2DB0" w:rsidP="00DE2DB0">
      <w:pPr>
        <w:spacing w:line="480" w:lineRule="auto"/>
        <w:rPr>
          <w:bCs/>
          <w:i/>
        </w:rPr>
      </w:pPr>
      <w:r w:rsidRPr="00D9272F">
        <w:rPr>
          <w:bCs/>
          <w:i/>
        </w:rPr>
        <w:t>Focus Groups</w:t>
      </w:r>
    </w:p>
    <w:p w14:paraId="062480A2" w14:textId="4BAFDEB2" w:rsidR="00DE2DB0" w:rsidRPr="00D9272F" w:rsidRDefault="00DE2DB0" w:rsidP="00DE2DB0">
      <w:pPr>
        <w:spacing w:line="480" w:lineRule="auto"/>
        <w:rPr>
          <w:bCs/>
        </w:rPr>
      </w:pPr>
      <w:r w:rsidRPr="00D9272F">
        <w:rPr>
          <w:bCs/>
        </w:rPr>
        <w:t xml:space="preserve">Fifteen prisoners volunteered to participate in two focus groups (8 and 7 </w:t>
      </w:r>
      <w:r w:rsidR="00E47E16" w:rsidRPr="00D9272F">
        <w:rPr>
          <w:bCs/>
        </w:rPr>
        <w:t>in each group</w:t>
      </w:r>
      <w:r w:rsidRPr="00D9272F">
        <w:rPr>
          <w:bCs/>
        </w:rPr>
        <w:t xml:space="preserve">), immediately following delivery of the SOMS </w:t>
      </w:r>
      <w:r w:rsidR="00175AC7" w:rsidRPr="00D9272F">
        <w:rPr>
          <w:bCs/>
        </w:rPr>
        <w:t>programme</w:t>
      </w:r>
      <w:r w:rsidRPr="00D9272F">
        <w:rPr>
          <w:bCs/>
        </w:rPr>
        <w:t xml:space="preserve"> and completion of the questionnaires. </w:t>
      </w:r>
      <w:r w:rsidR="00232E8B">
        <w:rPr>
          <w:bCs/>
        </w:rPr>
        <w:t xml:space="preserve">A topic guide was developed exploring </w:t>
      </w:r>
      <w:r w:rsidR="00E01749">
        <w:rPr>
          <w:bCs/>
        </w:rPr>
        <w:t xml:space="preserve">(a) </w:t>
      </w:r>
      <w:r w:rsidR="006F7AE7">
        <w:rPr>
          <w:bCs/>
        </w:rPr>
        <w:t xml:space="preserve">perceived impact of </w:t>
      </w:r>
      <w:r w:rsidR="00E01749">
        <w:rPr>
          <w:bCs/>
        </w:rPr>
        <w:t xml:space="preserve">participating in </w:t>
      </w:r>
      <w:r w:rsidR="006F7AE7">
        <w:rPr>
          <w:bCs/>
        </w:rPr>
        <w:t xml:space="preserve">a </w:t>
      </w:r>
      <w:r w:rsidR="00E01749">
        <w:rPr>
          <w:bCs/>
        </w:rPr>
        <w:t>sports-based mental health programme; (b) acceptability of the programme; and (c) potential challenges and improvements to the programme</w:t>
      </w:r>
      <w:r w:rsidR="005926EE">
        <w:rPr>
          <w:bCs/>
        </w:rPr>
        <w:t xml:space="preserve">. </w:t>
      </w:r>
      <w:r w:rsidR="004460FC">
        <w:rPr>
          <w:bCs/>
        </w:rPr>
        <w:t xml:space="preserve">A </w:t>
      </w:r>
      <w:r w:rsidR="001B4F35">
        <w:rPr>
          <w:bCs/>
        </w:rPr>
        <w:t>complete</w:t>
      </w:r>
      <w:r w:rsidR="004460FC">
        <w:rPr>
          <w:bCs/>
        </w:rPr>
        <w:t xml:space="preserve"> focus group </w:t>
      </w:r>
      <w:r w:rsidR="001B4F35">
        <w:rPr>
          <w:bCs/>
        </w:rPr>
        <w:t>protocol</w:t>
      </w:r>
      <w:r w:rsidR="004460FC">
        <w:rPr>
          <w:bCs/>
        </w:rPr>
        <w:t xml:space="preserve"> can be obtained by contacting the first author</w:t>
      </w:r>
      <w:r w:rsidR="001B4F35">
        <w:rPr>
          <w:bCs/>
        </w:rPr>
        <w:t>; e</w:t>
      </w:r>
      <w:r w:rsidR="00372009">
        <w:rPr>
          <w:bCs/>
        </w:rPr>
        <w:t xml:space="preserve">xamples </w:t>
      </w:r>
      <w:r w:rsidR="00C471BC">
        <w:rPr>
          <w:bCs/>
        </w:rPr>
        <w:t>questions were</w:t>
      </w:r>
      <w:r w:rsidR="00176B7A">
        <w:rPr>
          <w:bCs/>
        </w:rPr>
        <w:t>:</w:t>
      </w:r>
      <w:r w:rsidR="00C471BC">
        <w:rPr>
          <w:bCs/>
        </w:rPr>
        <w:t xml:space="preserve"> </w:t>
      </w:r>
      <w:r w:rsidR="00D7133D">
        <w:rPr>
          <w:bCs/>
        </w:rPr>
        <w:t>1) What were you</w:t>
      </w:r>
      <w:r w:rsidR="00D75813">
        <w:rPr>
          <w:bCs/>
        </w:rPr>
        <w:t>r</w:t>
      </w:r>
      <w:r w:rsidR="00802A35">
        <w:rPr>
          <w:bCs/>
        </w:rPr>
        <w:t xml:space="preserve"> expectations of the training course</w:t>
      </w:r>
      <w:r w:rsidR="00E414FA">
        <w:rPr>
          <w:bCs/>
        </w:rPr>
        <w:t>?</w:t>
      </w:r>
      <w:r w:rsidR="00802A35">
        <w:rPr>
          <w:bCs/>
        </w:rPr>
        <w:t xml:space="preserve"> 2) </w:t>
      </w:r>
      <w:r w:rsidR="00DC10C1">
        <w:rPr>
          <w:bCs/>
        </w:rPr>
        <w:t>Were your expectations fulfilled</w:t>
      </w:r>
      <w:r w:rsidR="001827E8">
        <w:rPr>
          <w:bCs/>
        </w:rPr>
        <w:t>?</w:t>
      </w:r>
      <w:r w:rsidR="00E6465D">
        <w:rPr>
          <w:bCs/>
        </w:rPr>
        <w:t xml:space="preserve"> (explore </w:t>
      </w:r>
      <w:r w:rsidR="00277131">
        <w:rPr>
          <w:bCs/>
        </w:rPr>
        <w:t>reasons for or against);</w:t>
      </w:r>
      <w:r w:rsidR="001827E8">
        <w:rPr>
          <w:bCs/>
        </w:rPr>
        <w:t xml:space="preserve"> 3) </w:t>
      </w:r>
      <w:r w:rsidR="00D00A26">
        <w:rPr>
          <w:bCs/>
        </w:rPr>
        <w:t xml:space="preserve">Did the status of the course </w:t>
      </w:r>
      <w:r w:rsidR="00A80E0B">
        <w:rPr>
          <w:bCs/>
        </w:rPr>
        <w:t>facilitators (ex-professional rugby league players</w:t>
      </w:r>
      <w:r w:rsidR="00CE15F5">
        <w:rPr>
          <w:bCs/>
        </w:rPr>
        <w:t>) impact your experience of the trai</w:t>
      </w:r>
      <w:r w:rsidR="00D75813">
        <w:rPr>
          <w:bCs/>
        </w:rPr>
        <w:t>ning</w:t>
      </w:r>
      <w:r w:rsidR="00277131">
        <w:rPr>
          <w:bCs/>
        </w:rPr>
        <w:t>? (explore reasons for or against).</w:t>
      </w:r>
      <w:r w:rsidR="00D75813">
        <w:rPr>
          <w:bCs/>
        </w:rPr>
        <w:t xml:space="preserve"> </w:t>
      </w:r>
      <w:r w:rsidRPr="00D9272F">
        <w:rPr>
          <w:bCs/>
        </w:rPr>
        <w:t xml:space="preserve">Both focus groups were audio recorded and transcribed verbatim. As the </w:t>
      </w:r>
      <w:r w:rsidR="00232E8B">
        <w:rPr>
          <w:bCs/>
        </w:rPr>
        <w:t xml:space="preserve">feasibility </w:t>
      </w:r>
      <w:r w:rsidRPr="00D9272F">
        <w:rPr>
          <w:bCs/>
        </w:rPr>
        <w:t xml:space="preserve">study was the evaluation of a pilot </w:t>
      </w:r>
      <w:r w:rsidR="00175AC7" w:rsidRPr="00D9272F">
        <w:rPr>
          <w:bCs/>
        </w:rPr>
        <w:t>programme</w:t>
      </w:r>
      <w:r w:rsidRPr="00D9272F">
        <w:rPr>
          <w:bCs/>
        </w:rPr>
        <w:t>, a General Inductive Analysis (GIA) approach was adopted to interpret focus group data. This approach was deemed appropriate as it: (a) enable</w:t>
      </w:r>
      <w:r w:rsidR="001E4AA3">
        <w:rPr>
          <w:bCs/>
        </w:rPr>
        <w:t>s</w:t>
      </w:r>
      <w:r w:rsidRPr="00D9272F">
        <w:rPr>
          <w:bCs/>
        </w:rPr>
        <w:t xml:space="preserve"> researchers to condense raw textual data into a summary format; (b) facilitates the creation of linkages between research aims and summary findings from the raw data; and (c) can be used to inform a framework for interpretation of participant views (Thomas, 2006).</w:t>
      </w:r>
    </w:p>
    <w:p w14:paraId="416770E3" w14:textId="77777777" w:rsidR="00DE2DB0" w:rsidRPr="00D9272F" w:rsidRDefault="00DE2DB0" w:rsidP="00DE2DB0">
      <w:pPr>
        <w:spacing w:line="480" w:lineRule="auto"/>
        <w:rPr>
          <w:bCs/>
        </w:rPr>
      </w:pPr>
    </w:p>
    <w:p w14:paraId="38628A7C" w14:textId="77777777" w:rsidR="00DE2DB0" w:rsidRPr="00D9272F" w:rsidRDefault="00DE2DB0" w:rsidP="001A7F8E">
      <w:pPr>
        <w:spacing w:line="480" w:lineRule="auto"/>
        <w:rPr>
          <w:bCs/>
        </w:rPr>
      </w:pPr>
      <w:r w:rsidRPr="00D9272F">
        <w:rPr>
          <w:bCs/>
        </w:rPr>
        <w:t xml:space="preserve">Trustworthiness of the data, analysis and final themes were established through a number of checks conducted throughout the study </w:t>
      </w:r>
      <w:r w:rsidR="001671C3" w:rsidRPr="00D9272F">
        <w:rPr>
          <w:bCs/>
        </w:rPr>
        <w:t xml:space="preserve">as advised by </w:t>
      </w:r>
      <w:r w:rsidRPr="00D9272F">
        <w:rPr>
          <w:bCs/>
        </w:rPr>
        <w:t>Sparkes</w:t>
      </w:r>
      <w:r w:rsidR="001671C3" w:rsidRPr="00D9272F">
        <w:rPr>
          <w:bCs/>
        </w:rPr>
        <w:t xml:space="preserve"> (</w:t>
      </w:r>
      <w:r w:rsidRPr="00D9272F">
        <w:rPr>
          <w:bCs/>
        </w:rPr>
        <w:t>1998). The study included extensive participant quotes to e</w:t>
      </w:r>
      <w:r w:rsidR="00641779">
        <w:rPr>
          <w:bCs/>
        </w:rPr>
        <w:t>nhance</w:t>
      </w:r>
      <w:r w:rsidRPr="00D9272F">
        <w:rPr>
          <w:bCs/>
        </w:rPr>
        <w:t xml:space="preserve"> the validity of the findings, with the participant I.D. </w:t>
      </w:r>
      <w:r w:rsidRPr="00D9272F">
        <w:rPr>
          <w:bCs/>
        </w:rPr>
        <w:lastRenderedPageBreak/>
        <w:t xml:space="preserve">indicating the origin of each quote. All raw-data quotes were subjected to an audit trail </w:t>
      </w:r>
      <w:r w:rsidR="00641779">
        <w:rPr>
          <w:bCs/>
        </w:rPr>
        <w:t xml:space="preserve">that included </w:t>
      </w:r>
      <w:r w:rsidRPr="00D9272F">
        <w:rPr>
          <w:bCs/>
        </w:rPr>
        <w:t>mapping from the participant’s spoken word to theme creation</w:t>
      </w:r>
      <w:r w:rsidR="001E4AA3">
        <w:rPr>
          <w:bCs/>
        </w:rPr>
        <w:t>.</w:t>
      </w:r>
      <w:r w:rsidRPr="00D9272F">
        <w:rPr>
          <w:bCs/>
        </w:rPr>
        <w:t xml:space="preserve"> </w:t>
      </w:r>
      <w:r w:rsidR="001E4AA3">
        <w:rPr>
          <w:bCs/>
        </w:rPr>
        <w:t>F</w:t>
      </w:r>
      <w:r w:rsidRPr="00D9272F">
        <w:rPr>
          <w:bCs/>
        </w:rPr>
        <w:t xml:space="preserve">inally, detailed discussions were held between the </w:t>
      </w:r>
      <w:r w:rsidR="003D488F" w:rsidRPr="00D9272F">
        <w:rPr>
          <w:bCs/>
        </w:rPr>
        <w:t>research</w:t>
      </w:r>
      <w:r w:rsidR="00641779">
        <w:rPr>
          <w:bCs/>
        </w:rPr>
        <w:t>ers</w:t>
      </w:r>
      <w:r w:rsidRPr="00D9272F">
        <w:rPr>
          <w:bCs/>
        </w:rPr>
        <w:t xml:space="preserve"> to explain and challenge emergent themes.</w:t>
      </w:r>
    </w:p>
    <w:p w14:paraId="1870C5B2" w14:textId="77777777" w:rsidR="00DE2DB0" w:rsidRPr="00D9272F" w:rsidRDefault="00DE2DB0" w:rsidP="003B048E">
      <w:bookmarkStart w:id="8" w:name="_Toc491859135"/>
      <w:bookmarkStart w:id="9" w:name="_Toc494801011"/>
      <w:r w:rsidRPr="00D9272F">
        <w:t>Results</w:t>
      </w:r>
      <w:bookmarkEnd w:id="8"/>
      <w:bookmarkEnd w:id="9"/>
    </w:p>
    <w:p w14:paraId="395CF8C9" w14:textId="77777777" w:rsidR="004550E5" w:rsidRPr="00D9272F" w:rsidRDefault="004550E5" w:rsidP="00DE2DB0">
      <w:pPr>
        <w:spacing w:line="480" w:lineRule="auto"/>
        <w:rPr>
          <w:bCs/>
          <w:i/>
        </w:rPr>
      </w:pPr>
    </w:p>
    <w:p w14:paraId="3EC0F68F" w14:textId="77777777" w:rsidR="00DE2DB0" w:rsidRPr="00D9272F" w:rsidRDefault="00DE2DB0" w:rsidP="00DE2DB0">
      <w:pPr>
        <w:spacing w:line="480" w:lineRule="auto"/>
        <w:rPr>
          <w:bCs/>
          <w:i/>
        </w:rPr>
      </w:pPr>
      <w:r w:rsidRPr="00D9272F">
        <w:rPr>
          <w:bCs/>
          <w:i/>
        </w:rPr>
        <w:t xml:space="preserve">Baseline </w:t>
      </w:r>
    </w:p>
    <w:p w14:paraId="0BBFA6FE" w14:textId="77777777" w:rsidR="00DE2DB0" w:rsidRPr="00D9272F" w:rsidRDefault="003D3763" w:rsidP="00DE2DB0">
      <w:pPr>
        <w:spacing w:line="480" w:lineRule="auto"/>
        <w:rPr>
          <w:bCs/>
        </w:rPr>
      </w:pPr>
      <w:r>
        <w:rPr>
          <w:bCs/>
        </w:rPr>
        <w:t>N</w:t>
      </w:r>
      <w:r w:rsidR="00DE2DB0" w:rsidRPr="00D9272F">
        <w:rPr>
          <w:bCs/>
        </w:rPr>
        <w:t xml:space="preserve">o significant differences </w:t>
      </w:r>
      <w:r>
        <w:rPr>
          <w:bCs/>
        </w:rPr>
        <w:t xml:space="preserve">were shown </w:t>
      </w:r>
      <w:r w:rsidR="00DE2DB0" w:rsidRPr="00D9272F">
        <w:rPr>
          <w:bCs/>
        </w:rPr>
        <w:t xml:space="preserve">between the control and intervention groups at baseline for SWEMWBS, BRS, MAKS and RIBS. Mean scores and standard deviations for all measures across time-points 1 and 2 are presented in Table </w:t>
      </w:r>
      <w:r w:rsidR="004550E5" w:rsidRPr="00D9272F">
        <w:rPr>
          <w:bCs/>
        </w:rPr>
        <w:t>1.</w:t>
      </w:r>
      <w:r w:rsidR="00DE2DB0" w:rsidRPr="00D9272F">
        <w:rPr>
          <w:bCs/>
        </w:rPr>
        <w:t xml:space="preserve"> </w:t>
      </w:r>
    </w:p>
    <w:p w14:paraId="47DFAAB3" w14:textId="77777777" w:rsidR="003B46F9" w:rsidRDefault="003B46F9" w:rsidP="00DE2DB0">
      <w:pPr>
        <w:widowControl w:val="0"/>
        <w:autoSpaceDE w:val="0"/>
        <w:autoSpaceDN w:val="0"/>
        <w:adjustRightInd w:val="0"/>
        <w:spacing w:line="276" w:lineRule="auto"/>
        <w:ind w:right="-58"/>
        <w:jc w:val="both"/>
        <w:rPr>
          <w:bCs/>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7"/>
        <w:gridCol w:w="1389"/>
        <w:gridCol w:w="1407"/>
        <w:gridCol w:w="1389"/>
        <w:gridCol w:w="1258"/>
      </w:tblGrid>
      <w:tr w:rsidR="006F5B03" w:rsidRPr="00615D9A" w14:paraId="7596E6C1" w14:textId="77777777" w:rsidTr="0019654D">
        <w:trPr>
          <w:jc w:val="center"/>
        </w:trPr>
        <w:tc>
          <w:tcPr>
            <w:tcW w:w="1457" w:type="dxa"/>
            <w:tcBorders>
              <w:top w:val="nil"/>
              <w:left w:val="nil"/>
              <w:bottom w:val="nil"/>
              <w:right w:val="single" w:sz="12" w:space="0" w:color="auto"/>
            </w:tcBorders>
          </w:tcPr>
          <w:p w14:paraId="3BD50D7F" w14:textId="77777777" w:rsidR="006F5B03" w:rsidRPr="00615D9A" w:rsidRDefault="006F5B03" w:rsidP="0019654D">
            <w:pPr>
              <w:widowControl w:val="0"/>
              <w:autoSpaceDE w:val="0"/>
              <w:autoSpaceDN w:val="0"/>
              <w:adjustRightInd w:val="0"/>
              <w:spacing w:line="480" w:lineRule="auto"/>
              <w:ind w:right="-58"/>
              <w:jc w:val="both"/>
            </w:pPr>
          </w:p>
        </w:tc>
        <w:tc>
          <w:tcPr>
            <w:tcW w:w="2796" w:type="dxa"/>
            <w:gridSpan w:val="2"/>
            <w:tcBorders>
              <w:top w:val="single" w:sz="12" w:space="0" w:color="auto"/>
              <w:left w:val="single" w:sz="12" w:space="0" w:color="auto"/>
              <w:bottom w:val="single" w:sz="4" w:space="0" w:color="auto"/>
              <w:right w:val="single" w:sz="12" w:space="0" w:color="auto"/>
            </w:tcBorders>
          </w:tcPr>
          <w:p w14:paraId="77739C9F" w14:textId="77777777" w:rsidR="006F5B03" w:rsidRPr="00615D9A" w:rsidRDefault="006F5B03" w:rsidP="0019654D">
            <w:pPr>
              <w:widowControl w:val="0"/>
              <w:autoSpaceDE w:val="0"/>
              <w:autoSpaceDN w:val="0"/>
              <w:adjustRightInd w:val="0"/>
              <w:spacing w:line="480" w:lineRule="auto"/>
              <w:ind w:right="-58"/>
              <w:jc w:val="center"/>
            </w:pPr>
            <w:r w:rsidRPr="00615D9A">
              <w:t>Time-point 1 (baseline)</w:t>
            </w:r>
          </w:p>
        </w:tc>
        <w:tc>
          <w:tcPr>
            <w:tcW w:w="2498" w:type="dxa"/>
            <w:gridSpan w:val="2"/>
            <w:tcBorders>
              <w:top w:val="single" w:sz="12" w:space="0" w:color="auto"/>
              <w:left w:val="single" w:sz="12" w:space="0" w:color="auto"/>
              <w:bottom w:val="single" w:sz="4" w:space="0" w:color="auto"/>
              <w:right w:val="single" w:sz="12" w:space="0" w:color="auto"/>
            </w:tcBorders>
          </w:tcPr>
          <w:p w14:paraId="294C77A6" w14:textId="77777777" w:rsidR="006F5B03" w:rsidRPr="00615D9A" w:rsidRDefault="006F5B03" w:rsidP="0019654D">
            <w:pPr>
              <w:widowControl w:val="0"/>
              <w:autoSpaceDE w:val="0"/>
              <w:autoSpaceDN w:val="0"/>
              <w:adjustRightInd w:val="0"/>
              <w:spacing w:line="480" w:lineRule="auto"/>
              <w:ind w:right="-58"/>
              <w:jc w:val="center"/>
            </w:pPr>
            <w:r w:rsidRPr="00615D9A">
              <w:t>Time-point 2 (post)</w:t>
            </w:r>
          </w:p>
        </w:tc>
      </w:tr>
      <w:tr w:rsidR="006F5B03" w:rsidRPr="00615D9A" w14:paraId="64A999F0" w14:textId="77777777" w:rsidTr="0019654D">
        <w:trPr>
          <w:jc w:val="center"/>
        </w:trPr>
        <w:tc>
          <w:tcPr>
            <w:tcW w:w="1457" w:type="dxa"/>
            <w:tcBorders>
              <w:top w:val="nil"/>
              <w:left w:val="nil"/>
              <w:bottom w:val="nil"/>
              <w:right w:val="single" w:sz="12" w:space="0" w:color="auto"/>
            </w:tcBorders>
          </w:tcPr>
          <w:p w14:paraId="391F76F2" w14:textId="77777777" w:rsidR="006F5B03" w:rsidRPr="00615D9A" w:rsidRDefault="006F5B03" w:rsidP="0019654D">
            <w:pPr>
              <w:widowControl w:val="0"/>
              <w:autoSpaceDE w:val="0"/>
              <w:autoSpaceDN w:val="0"/>
              <w:adjustRightInd w:val="0"/>
              <w:spacing w:line="480" w:lineRule="auto"/>
              <w:ind w:right="-58"/>
              <w:jc w:val="both"/>
            </w:pPr>
          </w:p>
        </w:tc>
        <w:tc>
          <w:tcPr>
            <w:tcW w:w="1389" w:type="dxa"/>
            <w:tcBorders>
              <w:top w:val="single" w:sz="4" w:space="0" w:color="auto"/>
              <w:left w:val="single" w:sz="12" w:space="0" w:color="auto"/>
              <w:bottom w:val="single" w:sz="4" w:space="0" w:color="auto"/>
            </w:tcBorders>
          </w:tcPr>
          <w:p w14:paraId="0722ED12" w14:textId="77777777" w:rsidR="006F5B03" w:rsidRPr="00615D9A" w:rsidRDefault="006F5B03" w:rsidP="0019654D">
            <w:pPr>
              <w:widowControl w:val="0"/>
              <w:autoSpaceDE w:val="0"/>
              <w:autoSpaceDN w:val="0"/>
              <w:adjustRightInd w:val="0"/>
              <w:spacing w:line="480" w:lineRule="auto"/>
              <w:ind w:right="-58"/>
              <w:jc w:val="center"/>
            </w:pPr>
            <w:r w:rsidRPr="00615D9A">
              <w:t>Intervention</w:t>
            </w:r>
          </w:p>
        </w:tc>
        <w:tc>
          <w:tcPr>
            <w:tcW w:w="1407" w:type="dxa"/>
            <w:tcBorders>
              <w:top w:val="single" w:sz="4" w:space="0" w:color="auto"/>
              <w:bottom w:val="single" w:sz="4" w:space="0" w:color="auto"/>
              <w:right w:val="single" w:sz="12" w:space="0" w:color="auto"/>
            </w:tcBorders>
          </w:tcPr>
          <w:p w14:paraId="61ED8622" w14:textId="77777777" w:rsidR="006F5B03" w:rsidRPr="00615D9A" w:rsidRDefault="006F5B03" w:rsidP="0019654D">
            <w:pPr>
              <w:widowControl w:val="0"/>
              <w:autoSpaceDE w:val="0"/>
              <w:autoSpaceDN w:val="0"/>
              <w:adjustRightInd w:val="0"/>
              <w:spacing w:line="480" w:lineRule="auto"/>
              <w:ind w:right="-58"/>
              <w:jc w:val="center"/>
            </w:pPr>
            <w:r w:rsidRPr="00615D9A">
              <w:t>Control</w:t>
            </w:r>
          </w:p>
        </w:tc>
        <w:tc>
          <w:tcPr>
            <w:tcW w:w="1240" w:type="dxa"/>
            <w:tcBorders>
              <w:top w:val="single" w:sz="4" w:space="0" w:color="auto"/>
              <w:left w:val="single" w:sz="12" w:space="0" w:color="auto"/>
              <w:bottom w:val="single" w:sz="4" w:space="0" w:color="auto"/>
            </w:tcBorders>
          </w:tcPr>
          <w:p w14:paraId="703FA1D6" w14:textId="77777777" w:rsidR="006F5B03" w:rsidRPr="00615D9A" w:rsidRDefault="006F5B03" w:rsidP="0019654D">
            <w:pPr>
              <w:widowControl w:val="0"/>
              <w:autoSpaceDE w:val="0"/>
              <w:autoSpaceDN w:val="0"/>
              <w:adjustRightInd w:val="0"/>
              <w:spacing w:line="480" w:lineRule="auto"/>
              <w:ind w:right="-58"/>
              <w:jc w:val="center"/>
            </w:pPr>
            <w:r w:rsidRPr="00615D9A">
              <w:t>Intervention</w:t>
            </w:r>
          </w:p>
        </w:tc>
        <w:tc>
          <w:tcPr>
            <w:tcW w:w="1258" w:type="dxa"/>
            <w:tcBorders>
              <w:top w:val="single" w:sz="4" w:space="0" w:color="auto"/>
              <w:bottom w:val="single" w:sz="4" w:space="0" w:color="auto"/>
              <w:right w:val="single" w:sz="12" w:space="0" w:color="auto"/>
            </w:tcBorders>
          </w:tcPr>
          <w:p w14:paraId="543086A0" w14:textId="77777777" w:rsidR="006F5B03" w:rsidRPr="00615D9A" w:rsidRDefault="006F5B03" w:rsidP="0019654D">
            <w:pPr>
              <w:widowControl w:val="0"/>
              <w:autoSpaceDE w:val="0"/>
              <w:autoSpaceDN w:val="0"/>
              <w:adjustRightInd w:val="0"/>
              <w:spacing w:line="480" w:lineRule="auto"/>
              <w:ind w:right="-58"/>
              <w:jc w:val="center"/>
            </w:pPr>
            <w:r w:rsidRPr="00615D9A">
              <w:t>Control</w:t>
            </w:r>
          </w:p>
        </w:tc>
      </w:tr>
      <w:tr w:rsidR="006F5B03" w:rsidRPr="00615D9A" w14:paraId="6D3C9ACA" w14:textId="77777777" w:rsidTr="0019654D">
        <w:trPr>
          <w:trHeight w:val="273"/>
          <w:jc w:val="center"/>
        </w:trPr>
        <w:tc>
          <w:tcPr>
            <w:tcW w:w="1457" w:type="dxa"/>
            <w:tcBorders>
              <w:top w:val="nil"/>
              <w:left w:val="nil"/>
              <w:bottom w:val="single" w:sz="12" w:space="0" w:color="auto"/>
              <w:right w:val="single" w:sz="12" w:space="0" w:color="auto"/>
            </w:tcBorders>
          </w:tcPr>
          <w:p w14:paraId="59838904" w14:textId="77777777" w:rsidR="006F5B03" w:rsidRPr="00615D9A" w:rsidRDefault="006F5B03" w:rsidP="0019654D">
            <w:pPr>
              <w:widowControl w:val="0"/>
              <w:autoSpaceDE w:val="0"/>
              <w:autoSpaceDN w:val="0"/>
              <w:adjustRightInd w:val="0"/>
              <w:spacing w:line="480" w:lineRule="auto"/>
              <w:ind w:right="-58"/>
              <w:jc w:val="both"/>
            </w:pPr>
          </w:p>
        </w:tc>
        <w:tc>
          <w:tcPr>
            <w:tcW w:w="1389" w:type="dxa"/>
            <w:tcBorders>
              <w:top w:val="single" w:sz="4" w:space="0" w:color="auto"/>
              <w:left w:val="single" w:sz="12" w:space="0" w:color="auto"/>
              <w:bottom w:val="single" w:sz="12" w:space="0" w:color="auto"/>
            </w:tcBorders>
          </w:tcPr>
          <w:p w14:paraId="262C4FD2" w14:textId="77777777" w:rsidR="006F5B03" w:rsidRPr="00615D9A" w:rsidRDefault="006F5B03" w:rsidP="0019654D">
            <w:pPr>
              <w:widowControl w:val="0"/>
              <w:autoSpaceDE w:val="0"/>
              <w:autoSpaceDN w:val="0"/>
              <w:adjustRightInd w:val="0"/>
              <w:spacing w:line="480" w:lineRule="auto"/>
              <w:ind w:right="-58"/>
              <w:jc w:val="center"/>
              <w:rPr>
                <w:i/>
              </w:rPr>
            </w:pPr>
            <w:r w:rsidRPr="00615D9A">
              <w:t>M</w:t>
            </w:r>
            <w:r w:rsidRPr="00615D9A">
              <w:rPr>
                <w:i/>
              </w:rPr>
              <w:t xml:space="preserve"> (SD)</w:t>
            </w:r>
          </w:p>
        </w:tc>
        <w:tc>
          <w:tcPr>
            <w:tcW w:w="1407" w:type="dxa"/>
            <w:tcBorders>
              <w:top w:val="single" w:sz="4" w:space="0" w:color="auto"/>
              <w:bottom w:val="single" w:sz="12" w:space="0" w:color="auto"/>
              <w:right w:val="single" w:sz="12" w:space="0" w:color="auto"/>
            </w:tcBorders>
          </w:tcPr>
          <w:p w14:paraId="0CFEFE50" w14:textId="77777777" w:rsidR="006F5B03" w:rsidRPr="00615D9A" w:rsidRDefault="006F5B03" w:rsidP="0019654D">
            <w:pPr>
              <w:widowControl w:val="0"/>
              <w:autoSpaceDE w:val="0"/>
              <w:autoSpaceDN w:val="0"/>
              <w:adjustRightInd w:val="0"/>
              <w:spacing w:line="480" w:lineRule="auto"/>
              <w:ind w:right="-58"/>
              <w:jc w:val="center"/>
              <w:rPr>
                <w:i/>
              </w:rPr>
            </w:pPr>
            <w:r w:rsidRPr="00615D9A">
              <w:t>M</w:t>
            </w:r>
            <w:r w:rsidRPr="00615D9A">
              <w:rPr>
                <w:i/>
              </w:rPr>
              <w:t xml:space="preserve"> (SD)</w:t>
            </w:r>
          </w:p>
        </w:tc>
        <w:tc>
          <w:tcPr>
            <w:tcW w:w="1240" w:type="dxa"/>
            <w:tcBorders>
              <w:top w:val="single" w:sz="4" w:space="0" w:color="auto"/>
              <w:left w:val="single" w:sz="12" w:space="0" w:color="auto"/>
              <w:bottom w:val="single" w:sz="12" w:space="0" w:color="auto"/>
            </w:tcBorders>
          </w:tcPr>
          <w:p w14:paraId="2D6F006E" w14:textId="77777777" w:rsidR="006F5B03" w:rsidRPr="00615D9A" w:rsidRDefault="006F5B03" w:rsidP="0019654D">
            <w:pPr>
              <w:widowControl w:val="0"/>
              <w:autoSpaceDE w:val="0"/>
              <w:autoSpaceDN w:val="0"/>
              <w:adjustRightInd w:val="0"/>
              <w:spacing w:line="480" w:lineRule="auto"/>
              <w:ind w:right="-58"/>
              <w:jc w:val="center"/>
              <w:rPr>
                <w:i/>
              </w:rPr>
            </w:pPr>
            <w:r w:rsidRPr="00615D9A">
              <w:t>M</w:t>
            </w:r>
            <w:r w:rsidRPr="00615D9A">
              <w:rPr>
                <w:i/>
              </w:rPr>
              <w:t xml:space="preserve"> (SD)</w:t>
            </w:r>
          </w:p>
        </w:tc>
        <w:tc>
          <w:tcPr>
            <w:tcW w:w="1258" w:type="dxa"/>
            <w:tcBorders>
              <w:top w:val="single" w:sz="4" w:space="0" w:color="auto"/>
              <w:bottom w:val="single" w:sz="12" w:space="0" w:color="auto"/>
              <w:right w:val="single" w:sz="12" w:space="0" w:color="auto"/>
            </w:tcBorders>
          </w:tcPr>
          <w:p w14:paraId="16704CBD" w14:textId="77777777" w:rsidR="006F5B03" w:rsidRPr="00615D9A" w:rsidRDefault="006F5B03" w:rsidP="0019654D">
            <w:pPr>
              <w:widowControl w:val="0"/>
              <w:autoSpaceDE w:val="0"/>
              <w:autoSpaceDN w:val="0"/>
              <w:adjustRightInd w:val="0"/>
              <w:spacing w:line="480" w:lineRule="auto"/>
              <w:ind w:right="-58"/>
              <w:jc w:val="center"/>
              <w:rPr>
                <w:i/>
              </w:rPr>
            </w:pPr>
            <w:r w:rsidRPr="00615D9A">
              <w:t>M</w:t>
            </w:r>
            <w:r w:rsidRPr="00615D9A">
              <w:rPr>
                <w:i/>
              </w:rPr>
              <w:t xml:space="preserve"> (SD)</w:t>
            </w:r>
          </w:p>
        </w:tc>
      </w:tr>
      <w:tr w:rsidR="006F5B03" w:rsidRPr="00615D9A" w14:paraId="1CB8BE87" w14:textId="77777777" w:rsidTr="0019654D">
        <w:trPr>
          <w:jc w:val="center"/>
        </w:trPr>
        <w:tc>
          <w:tcPr>
            <w:tcW w:w="1457" w:type="dxa"/>
            <w:tcBorders>
              <w:top w:val="single" w:sz="12" w:space="0" w:color="auto"/>
              <w:bottom w:val="single" w:sz="4" w:space="0" w:color="auto"/>
              <w:right w:val="single" w:sz="12" w:space="0" w:color="auto"/>
            </w:tcBorders>
            <w:vAlign w:val="center"/>
          </w:tcPr>
          <w:p w14:paraId="490B370F" w14:textId="77777777" w:rsidR="006F5B03" w:rsidRPr="00615D9A" w:rsidRDefault="006F5B03" w:rsidP="0019654D">
            <w:pPr>
              <w:widowControl w:val="0"/>
              <w:autoSpaceDE w:val="0"/>
              <w:autoSpaceDN w:val="0"/>
              <w:adjustRightInd w:val="0"/>
              <w:spacing w:line="480" w:lineRule="auto"/>
              <w:ind w:right="-58"/>
            </w:pPr>
            <w:r w:rsidRPr="00615D9A">
              <w:t>SWEMWBS</w:t>
            </w:r>
          </w:p>
        </w:tc>
        <w:tc>
          <w:tcPr>
            <w:tcW w:w="1389" w:type="dxa"/>
            <w:tcBorders>
              <w:top w:val="single" w:sz="12" w:space="0" w:color="auto"/>
              <w:left w:val="single" w:sz="12" w:space="0" w:color="auto"/>
              <w:bottom w:val="single" w:sz="4" w:space="0" w:color="auto"/>
            </w:tcBorders>
            <w:vAlign w:val="center"/>
          </w:tcPr>
          <w:p w14:paraId="4E4C2812" w14:textId="77777777" w:rsidR="006F5B03" w:rsidRPr="00615D9A" w:rsidRDefault="006F5B03" w:rsidP="0019654D">
            <w:pPr>
              <w:widowControl w:val="0"/>
              <w:autoSpaceDE w:val="0"/>
              <w:autoSpaceDN w:val="0"/>
              <w:adjustRightInd w:val="0"/>
              <w:spacing w:line="480" w:lineRule="auto"/>
              <w:ind w:right="-58"/>
              <w:jc w:val="center"/>
            </w:pPr>
            <w:r w:rsidRPr="00615D9A">
              <w:t xml:space="preserve">21.73 </w:t>
            </w:r>
            <w:r w:rsidRPr="00615D9A">
              <w:rPr>
                <w:i/>
              </w:rPr>
              <w:t>(4.79)</w:t>
            </w:r>
          </w:p>
        </w:tc>
        <w:tc>
          <w:tcPr>
            <w:tcW w:w="1407" w:type="dxa"/>
            <w:tcBorders>
              <w:top w:val="single" w:sz="12" w:space="0" w:color="auto"/>
              <w:bottom w:val="single" w:sz="4" w:space="0" w:color="auto"/>
              <w:right w:val="single" w:sz="12" w:space="0" w:color="auto"/>
            </w:tcBorders>
            <w:vAlign w:val="center"/>
          </w:tcPr>
          <w:p w14:paraId="5AAA0A69" w14:textId="77777777" w:rsidR="006F5B03" w:rsidRPr="00615D9A" w:rsidRDefault="006F5B03" w:rsidP="0019654D">
            <w:pPr>
              <w:widowControl w:val="0"/>
              <w:autoSpaceDE w:val="0"/>
              <w:autoSpaceDN w:val="0"/>
              <w:adjustRightInd w:val="0"/>
              <w:spacing w:line="480" w:lineRule="auto"/>
              <w:ind w:right="-58"/>
              <w:jc w:val="center"/>
            </w:pPr>
            <w:r w:rsidRPr="00615D9A">
              <w:t xml:space="preserve">23.44 </w:t>
            </w:r>
            <w:r w:rsidRPr="00615D9A">
              <w:rPr>
                <w:i/>
              </w:rPr>
              <w:t>(4.88)</w:t>
            </w:r>
          </w:p>
        </w:tc>
        <w:tc>
          <w:tcPr>
            <w:tcW w:w="1240" w:type="dxa"/>
            <w:tcBorders>
              <w:top w:val="single" w:sz="12" w:space="0" w:color="auto"/>
              <w:left w:val="single" w:sz="12" w:space="0" w:color="auto"/>
              <w:bottom w:val="single" w:sz="4" w:space="0" w:color="auto"/>
            </w:tcBorders>
            <w:vAlign w:val="center"/>
          </w:tcPr>
          <w:p w14:paraId="485E501C" w14:textId="77777777" w:rsidR="006F5B03" w:rsidRPr="00615D9A" w:rsidRDefault="006F5B03" w:rsidP="0019654D">
            <w:pPr>
              <w:widowControl w:val="0"/>
              <w:autoSpaceDE w:val="0"/>
              <w:autoSpaceDN w:val="0"/>
              <w:adjustRightInd w:val="0"/>
              <w:spacing w:line="480" w:lineRule="auto"/>
              <w:ind w:right="-58"/>
              <w:jc w:val="center"/>
            </w:pPr>
            <w:r w:rsidRPr="00615D9A">
              <w:t xml:space="preserve">21.94 </w:t>
            </w:r>
            <w:r w:rsidRPr="00615D9A">
              <w:rPr>
                <w:i/>
              </w:rPr>
              <w:t>(5.62)</w:t>
            </w:r>
          </w:p>
        </w:tc>
        <w:tc>
          <w:tcPr>
            <w:tcW w:w="1258" w:type="dxa"/>
            <w:tcBorders>
              <w:top w:val="single" w:sz="12" w:space="0" w:color="auto"/>
              <w:bottom w:val="single" w:sz="4" w:space="0" w:color="auto"/>
              <w:right w:val="single" w:sz="12" w:space="0" w:color="auto"/>
            </w:tcBorders>
            <w:vAlign w:val="center"/>
          </w:tcPr>
          <w:p w14:paraId="65342693" w14:textId="77777777" w:rsidR="006F5B03" w:rsidRPr="00615D9A" w:rsidRDefault="006F5B03" w:rsidP="0019654D">
            <w:pPr>
              <w:widowControl w:val="0"/>
              <w:autoSpaceDE w:val="0"/>
              <w:autoSpaceDN w:val="0"/>
              <w:adjustRightInd w:val="0"/>
              <w:spacing w:line="480" w:lineRule="auto"/>
              <w:ind w:right="-58"/>
              <w:jc w:val="center"/>
            </w:pPr>
            <w:r w:rsidRPr="00615D9A">
              <w:t xml:space="preserve">23.85 </w:t>
            </w:r>
            <w:r w:rsidRPr="00615D9A">
              <w:rPr>
                <w:i/>
              </w:rPr>
              <w:t>(4.78)</w:t>
            </w:r>
          </w:p>
        </w:tc>
      </w:tr>
      <w:tr w:rsidR="006F5B03" w:rsidRPr="00615D9A" w14:paraId="1349F504" w14:textId="77777777" w:rsidTr="0019654D">
        <w:trPr>
          <w:jc w:val="center"/>
        </w:trPr>
        <w:tc>
          <w:tcPr>
            <w:tcW w:w="1457" w:type="dxa"/>
            <w:tcBorders>
              <w:top w:val="single" w:sz="4" w:space="0" w:color="auto"/>
              <w:bottom w:val="single" w:sz="4" w:space="0" w:color="auto"/>
              <w:right w:val="single" w:sz="12" w:space="0" w:color="auto"/>
            </w:tcBorders>
            <w:vAlign w:val="center"/>
          </w:tcPr>
          <w:p w14:paraId="767214CF" w14:textId="77777777" w:rsidR="006F5B03" w:rsidRPr="00615D9A" w:rsidRDefault="006F5B03" w:rsidP="0019654D">
            <w:pPr>
              <w:widowControl w:val="0"/>
              <w:autoSpaceDE w:val="0"/>
              <w:autoSpaceDN w:val="0"/>
              <w:adjustRightInd w:val="0"/>
              <w:spacing w:line="480" w:lineRule="auto"/>
              <w:ind w:right="-58"/>
            </w:pPr>
            <w:r w:rsidRPr="00615D9A">
              <w:t>BRS</w:t>
            </w:r>
          </w:p>
        </w:tc>
        <w:tc>
          <w:tcPr>
            <w:tcW w:w="1389" w:type="dxa"/>
            <w:tcBorders>
              <w:top w:val="single" w:sz="4" w:space="0" w:color="auto"/>
              <w:left w:val="single" w:sz="12" w:space="0" w:color="auto"/>
              <w:bottom w:val="single" w:sz="4" w:space="0" w:color="auto"/>
            </w:tcBorders>
            <w:vAlign w:val="center"/>
          </w:tcPr>
          <w:p w14:paraId="11954C41" w14:textId="77777777" w:rsidR="006F5B03" w:rsidRPr="00615D9A" w:rsidRDefault="006F5B03" w:rsidP="0019654D">
            <w:pPr>
              <w:widowControl w:val="0"/>
              <w:autoSpaceDE w:val="0"/>
              <w:autoSpaceDN w:val="0"/>
              <w:adjustRightInd w:val="0"/>
              <w:spacing w:line="480" w:lineRule="auto"/>
              <w:ind w:right="-58"/>
              <w:jc w:val="center"/>
            </w:pPr>
            <w:r w:rsidRPr="00615D9A">
              <w:t xml:space="preserve">3.07 </w:t>
            </w:r>
            <w:r w:rsidRPr="00615D9A">
              <w:rPr>
                <w:i/>
              </w:rPr>
              <w:t>(0.96)</w:t>
            </w:r>
          </w:p>
        </w:tc>
        <w:tc>
          <w:tcPr>
            <w:tcW w:w="1407" w:type="dxa"/>
            <w:tcBorders>
              <w:top w:val="single" w:sz="4" w:space="0" w:color="auto"/>
              <w:bottom w:val="single" w:sz="4" w:space="0" w:color="auto"/>
              <w:right w:val="single" w:sz="12" w:space="0" w:color="auto"/>
            </w:tcBorders>
            <w:vAlign w:val="center"/>
          </w:tcPr>
          <w:p w14:paraId="279B0141" w14:textId="77777777" w:rsidR="006F5B03" w:rsidRPr="00615D9A" w:rsidRDefault="006F5B03" w:rsidP="0019654D">
            <w:pPr>
              <w:widowControl w:val="0"/>
              <w:autoSpaceDE w:val="0"/>
              <w:autoSpaceDN w:val="0"/>
              <w:adjustRightInd w:val="0"/>
              <w:spacing w:line="480" w:lineRule="auto"/>
              <w:ind w:right="-58"/>
              <w:jc w:val="center"/>
            </w:pPr>
            <w:r w:rsidRPr="00615D9A">
              <w:t xml:space="preserve">3.35 </w:t>
            </w:r>
            <w:r w:rsidRPr="00615D9A">
              <w:rPr>
                <w:i/>
              </w:rPr>
              <w:t>(0.88)</w:t>
            </w:r>
          </w:p>
        </w:tc>
        <w:tc>
          <w:tcPr>
            <w:tcW w:w="1240" w:type="dxa"/>
            <w:tcBorders>
              <w:top w:val="single" w:sz="4" w:space="0" w:color="auto"/>
              <w:left w:val="single" w:sz="12" w:space="0" w:color="auto"/>
              <w:bottom w:val="single" w:sz="4" w:space="0" w:color="auto"/>
            </w:tcBorders>
            <w:vAlign w:val="center"/>
          </w:tcPr>
          <w:p w14:paraId="008BD177" w14:textId="77777777" w:rsidR="006F5B03" w:rsidRPr="00615D9A" w:rsidRDefault="006F5B03" w:rsidP="0019654D">
            <w:pPr>
              <w:widowControl w:val="0"/>
              <w:autoSpaceDE w:val="0"/>
              <w:autoSpaceDN w:val="0"/>
              <w:adjustRightInd w:val="0"/>
              <w:spacing w:line="480" w:lineRule="auto"/>
              <w:ind w:right="-58"/>
              <w:jc w:val="center"/>
            </w:pPr>
            <w:r w:rsidRPr="00615D9A">
              <w:t xml:space="preserve">3.11 </w:t>
            </w:r>
            <w:r w:rsidRPr="00615D9A">
              <w:rPr>
                <w:i/>
              </w:rPr>
              <w:t>(0.90)</w:t>
            </w:r>
          </w:p>
        </w:tc>
        <w:tc>
          <w:tcPr>
            <w:tcW w:w="1258" w:type="dxa"/>
            <w:tcBorders>
              <w:top w:val="single" w:sz="4" w:space="0" w:color="auto"/>
              <w:bottom w:val="single" w:sz="4" w:space="0" w:color="auto"/>
              <w:right w:val="single" w:sz="12" w:space="0" w:color="auto"/>
            </w:tcBorders>
            <w:vAlign w:val="center"/>
          </w:tcPr>
          <w:p w14:paraId="0EEF7436" w14:textId="77777777" w:rsidR="006F5B03" w:rsidRPr="00615D9A" w:rsidRDefault="006F5B03" w:rsidP="0019654D">
            <w:pPr>
              <w:widowControl w:val="0"/>
              <w:autoSpaceDE w:val="0"/>
              <w:autoSpaceDN w:val="0"/>
              <w:adjustRightInd w:val="0"/>
              <w:spacing w:line="480" w:lineRule="auto"/>
              <w:ind w:right="-58"/>
              <w:jc w:val="center"/>
            </w:pPr>
            <w:r w:rsidRPr="00615D9A">
              <w:t xml:space="preserve">3.38 </w:t>
            </w:r>
            <w:r w:rsidRPr="00615D9A">
              <w:rPr>
                <w:i/>
              </w:rPr>
              <w:t>(0.89)</w:t>
            </w:r>
          </w:p>
        </w:tc>
      </w:tr>
      <w:tr w:rsidR="006F5B03" w:rsidRPr="00615D9A" w14:paraId="01E8EAC5" w14:textId="77777777" w:rsidTr="0019654D">
        <w:trPr>
          <w:jc w:val="center"/>
        </w:trPr>
        <w:tc>
          <w:tcPr>
            <w:tcW w:w="1457" w:type="dxa"/>
            <w:tcBorders>
              <w:top w:val="single" w:sz="4" w:space="0" w:color="auto"/>
              <w:bottom w:val="single" w:sz="4" w:space="0" w:color="auto"/>
              <w:right w:val="single" w:sz="12" w:space="0" w:color="auto"/>
            </w:tcBorders>
            <w:vAlign w:val="center"/>
          </w:tcPr>
          <w:p w14:paraId="17495EAE" w14:textId="77777777" w:rsidR="006F5B03" w:rsidRPr="00615D9A" w:rsidRDefault="006F5B03" w:rsidP="0019654D">
            <w:pPr>
              <w:widowControl w:val="0"/>
              <w:autoSpaceDE w:val="0"/>
              <w:autoSpaceDN w:val="0"/>
              <w:adjustRightInd w:val="0"/>
              <w:spacing w:line="480" w:lineRule="auto"/>
              <w:ind w:right="-58"/>
            </w:pPr>
            <w:r w:rsidRPr="00615D9A">
              <w:t>MAKS</w:t>
            </w:r>
          </w:p>
        </w:tc>
        <w:tc>
          <w:tcPr>
            <w:tcW w:w="1389" w:type="dxa"/>
            <w:tcBorders>
              <w:top w:val="single" w:sz="4" w:space="0" w:color="auto"/>
              <w:left w:val="single" w:sz="12" w:space="0" w:color="auto"/>
              <w:bottom w:val="single" w:sz="4" w:space="0" w:color="auto"/>
            </w:tcBorders>
            <w:vAlign w:val="center"/>
          </w:tcPr>
          <w:p w14:paraId="74C1E83A" w14:textId="77777777" w:rsidR="006F5B03" w:rsidRPr="00615D9A" w:rsidRDefault="006F5B03" w:rsidP="0019654D">
            <w:pPr>
              <w:widowControl w:val="0"/>
              <w:autoSpaceDE w:val="0"/>
              <w:autoSpaceDN w:val="0"/>
              <w:adjustRightInd w:val="0"/>
              <w:spacing w:line="480" w:lineRule="auto"/>
              <w:ind w:right="-58"/>
              <w:jc w:val="center"/>
            </w:pPr>
            <w:r w:rsidRPr="00615D9A">
              <w:t xml:space="preserve">21.21 </w:t>
            </w:r>
            <w:r w:rsidRPr="00615D9A">
              <w:rPr>
                <w:i/>
              </w:rPr>
              <w:t>(3.12)</w:t>
            </w:r>
          </w:p>
        </w:tc>
        <w:tc>
          <w:tcPr>
            <w:tcW w:w="1407" w:type="dxa"/>
            <w:tcBorders>
              <w:top w:val="single" w:sz="4" w:space="0" w:color="auto"/>
              <w:bottom w:val="single" w:sz="4" w:space="0" w:color="auto"/>
              <w:right w:val="single" w:sz="12" w:space="0" w:color="auto"/>
            </w:tcBorders>
            <w:vAlign w:val="center"/>
          </w:tcPr>
          <w:p w14:paraId="4DF6E54E" w14:textId="77777777" w:rsidR="006F5B03" w:rsidRPr="00615D9A" w:rsidRDefault="006F5B03" w:rsidP="0019654D">
            <w:pPr>
              <w:widowControl w:val="0"/>
              <w:autoSpaceDE w:val="0"/>
              <w:autoSpaceDN w:val="0"/>
              <w:adjustRightInd w:val="0"/>
              <w:spacing w:line="480" w:lineRule="auto"/>
              <w:ind w:right="-58"/>
              <w:jc w:val="center"/>
            </w:pPr>
            <w:r w:rsidRPr="00615D9A">
              <w:t xml:space="preserve">20.71 </w:t>
            </w:r>
            <w:r w:rsidRPr="00615D9A">
              <w:rPr>
                <w:i/>
              </w:rPr>
              <w:t>(2.88)</w:t>
            </w:r>
          </w:p>
        </w:tc>
        <w:tc>
          <w:tcPr>
            <w:tcW w:w="1240" w:type="dxa"/>
            <w:tcBorders>
              <w:top w:val="single" w:sz="4" w:space="0" w:color="auto"/>
              <w:left w:val="single" w:sz="12" w:space="0" w:color="auto"/>
              <w:bottom w:val="single" w:sz="4" w:space="0" w:color="auto"/>
            </w:tcBorders>
            <w:vAlign w:val="center"/>
          </w:tcPr>
          <w:p w14:paraId="13C7B6AF" w14:textId="77777777" w:rsidR="006F5B03" w:rsidRPr="00615D9A" w:rsidRDefault="006F5B03" w:rsidP="0019654D">
            <w:pPr>
              <w:widowControl w:val="0"/>
              <w:autoSpaceDE w:val="0"/>
              <w:autoSpaceDN w:val="0"/>
              <w:adjustRightInd w:val="0"/>
              <w:spacing w:line="480" w:lineRule="auto"/>
              <w:ind w:right="-58"/>
              <w:jc w:val="center"/>
            </w:pPr>
            <w:r w:rsidRPr="00615D9A">
              <w:t xml:space="preserve">23.09 </w:t>
            </w:r>
            <w:r w:rsidRPr="00615D9A">
              <w:rPr>
                <w:i/>
              </w:rPr>
              <w:t>(2.79)</w:t>
            </w:r>
          </w:p>
        </w:tc>
        <w:tc>
          <w:tcPr>
            <w:tcW w:w="1258" w:type="dxa"/>
            <w:tcBorders>
              <w:top w:val="single" w:sz="4" w:space="0" w:color="auto"/>
              <w:bottom w:val="single" w:sz="4" w:space="0" w:color="auto"/>
              <w:right w:val="single" w:sz="12" w:space="0" w:color="auto"/>
            </w:tcBorders>
            <w:vAlign w:val="center"/>
          </w:tcPr>
          <w:p w14:paraId="6FB806C7" w14:textId="77777777" w:rsidR="006F5B03" w:rsidRPr="00615D9A" w:rsidRDefault="006F5B03" w:rsidP="0019654D">
            <w:pPr>
              <w:widowControl w:val="0"/>
              <w:autoSpaceDE w:val="0"/>
              <w:autoSpaceDN w:val="0"/>
              <w:adjustRightInd w:val="0"/>
              <w:spacing w:line="480" w:lineRule="auto"/>
              <w:ind w:right="-58"/>
              <w:jc w:val="center"/>
            </w:pPr>
            <w:r w:rsidRPr="00615D9A">
              <w:t xml:space="preserve">20.89 </w:t>
            </w:r>
            <w:r w:rsidRPr="00615D9A">
              <w:rPr>
                <w:i/>
              </w:rPr>
              <w:t>(3.06)</w:t>
            </w:r>
          </w:p>
        </w:tc>
      </w:tr>
      <w:tr w:rsidR="006F5B03" w:rsidRPr="00615D9A" w14:paraId="7161E8E1" w14:textId="77777777" w:rsidTr="0019654D">
        <w:trPr>
          <w:jc w:val="center"/>
        </w:trPr>
        <w:tc>
          <w:tcPr>
            <w:tcW w:w="1457" w:type="dxa"/>
            <w:tcBorders>
              <w:top w:val="single" w:sz="4" w:space="0" w:color="auto"/>
              <w:bottom w:val="single" w:sz="12" w:space="0" w:color="auto"/>
              <w:right w:val="single" w:sz="12" w:space="0" w:color="auto"/>
            </w:tcBorders>
            <w:vAlign w:val="center"/>
          </w:tcPr>
          <w:p w14:paraId="5F833F63" w14:textId="77777777" w:rsidR="006F5B03" w:rsidRPr="00615D9A" w:rsidRDefault="006F5B03" w:rsidP="0019654D">
            <w:pPr>
              <w:widowControl w:val="0"/>
              <w:autoSpaceDE w:val="0"/>
              <w:autoSpaceDN w:val="0"/>
              <w:adjustRightInd w:val="0"/>
              <w:spacing w:line="480" w:lineRule="auto"/>
              <w:ind w:right="-58"/>
            </w:pPr>
            <w:r w:rsidRPr="00615D9A">
              <w:t>RIBS</w:t>
            </w:r>
          </w:p>
        </w:tc>
        <w:tc>
          <w:tcPr>
            <w:tcW w:w="1389" w:type="dxa"/>
            <w:tcBorders>
              <w:top w:val="single" w:sz="4" w:space="0" w:color="auto"/>
              <w:left w:val="single" w:sz="12" w:space="0" w:color="auto"/>
              <w:bottom w:val="single" w:sz="12" w:space="0" w:color="auto"/>
            </w:tcBorders>
            <w:vAlign w:val="center"/>
          </w:tcPr>
          <w:p w14:paraId="49239F2B" w14:textId="77777777" w:rsidR="006F5B03" w:rsidRPr="00615D9A" w:rsidRDefault="006F5B03" w:rsidP="0019654D">
            <w:pPr>
              <w:widowControl w:val="0"/>
              <w:autoSpaceDE w:val="0"/>
              <w:autoSpaceDN w:val="0"/>
              <w:adjustRightInd w:val="0"/>
              <w:spacing w:line="480" w:lineRule="auto"/>
              <w:ind w:right="-58"/>
              <w:jc w:val="center"/>
            </w:pPr>
            <w:r w:rsidRPr="00615D9A">
              <w:t xml:space="preserve">16.13 </w:t>
            </w:r>
            <w:r w:rsidRPr="00615D9A">
              <w:rPr>
                <w:i/>
              </w:rPr>
              <w:t>(3.29)</w:t>
            </w:r>
          </w:p>
        </w:tc>
        <w:tc>
          <w:tcPr>
            <w:tcW w:w="1407" w:type="dxa"/>
            <w:tcBorders>
              <w:top w:val="single" w:sz="4" w:space="0" w:color="auto"/>
              <w:bottom w:val="single" w:sz="12" w:space="0" w:color="auto"/>
              <w:right w:val="single" w:sz="12" w:space="0" w:color="auto"/>
            </w:tcBorders>
            <w:vAlign w:val="center"/>
          </w:tcPr>
          <w:p w14:paraId="769E1C2B" w14:textId="77777777" w:rsidR="006F5B03" w:rsidRPr="00615D9A" w:rsidRDefault="006F5B03" w:rsidP="0019654D">
            <w:pPr>
              <w:widowControl w:val="0"/>
              <w:autoSpaceDE w:val="0"/>
              <w:autoSpaceDN w:val="0"/>
              <w:adjustRightInd w:val="0"/>
              <w:spacing w:line="480" w:lineRule="auto"/>
              <w:ind w:right="-58"/>
              <w:jc w:val="center"/>
            </w:pPr>
            <w:r w:rsidRPr="00615D9A">
              <w:t xml:space="preserve">15.68 </w:t>
            </w:r>
            <w:r w:rsidRPr="00615D9A">
              <w:rPr>
                <w:i/>
              </w:rPr>
              <w:t>(3.22)</w:t>
            </w:r>
          </w:p>
        </w:tc>
        <w:tc>
          <w:tcPr>
            <w:tcW w:w="1240" w:type="dxa"/>
            <w:tcBorders>
              <w:top w:val="single" w:sz="4" w:space="0" w:color="auto"/>
              <w:left w:val="single" w:sz="12" w:space="0" w:color="auto"/>
              <w:bottom w:val="single" w:sz="12" w:space="0" w:color="auto"/>
            </w:tcBorders>
            <w:vAlign w:val="center"/>
          </w:tcPr>
          <w:p w14:paraId="2AAB9EE0" w14:textId="77777777" w:rsidR="006F5B03" w:rsidRPr="00615D9A" w:rsidRDefault="006F5B03" w:rsidP="0019654D">
            <w:pPr>
              <w:widowControl w:val="0"/>
              <w:autoSpaceDE w:val="0"/>
              <w:autoSpaceDN w:val="0"/>
              <w:adjustRightInd w:val="0"/>
              <w:spacing w:line="480" w:lineRule="auto"/>
              <w:ind w:right="-58"/>
              <w:jc w:val="center"/>
            </w:pPr>
            <w:r w:rsidRPr="00615D9A">
              <w:t xml:space="preserve">16.91 </w:t>
            </w:r>
            <w:r w:rsidRPr="00615D9A">
              <w:rPr>
                <w:i/>
              </w:rPr>
              <w:t>(2.56)</w:t>
            </w:r>
          </w:p>
        </w:tc>
        <w:tc>
          <w:tcPr>
            <w:tcW w:w="1258" w:type="dxa"/>
            <w:tcBorders>
              <w:top w:val="single" w:sz="4" w:space="0" w:color="auto"/>
              <w:bottom w:val="single" w:sz="12" w:space="0" w:color="auto"/>
              <w:right w:val="single" w:sz="12" w:space="0" w:color="auto"/>
            </w:tcBorders>
            <w:vAlign w:val="center"/>
          </w:tcPr>
          <w:p w14:paraId="14FAB797" w14:textId="77777777" w:rsidR="006F5B03" w:rsidRPr="00615D9A" w:rsidRDefault="006F5B03" w:rsidP="0019654D">
            <w:pPr>
              <w:widowControl w:val="0"/>
              <w:autoSpaceDE w:val="0"/>
              <w:autoSpaceDN w:val="0"/>
              <w:adjustRightInd w:val="0"/>
              <w:spacing w:line="480" w:lineRule="auto"/>
              <w:ind w:right="-58"/>
              <w:jc w:val="center"/>
            </w:pPr>
            <w:r w:rsidRPr="00615D9A">
              <w:t xml:space="preserve">16.04 </w:t>
            </w:r>
            <w:r w:rsidRPr="00615D9A">
              <w:rPr>
                <w:i/>
              </w:rPr>
              <w:t>(2.80)</w:t>
            </w:r>
          </w:p>
        </w:tc>
      </w:tr>
    </w:tbl>
    <w:p w14:paraId="7766E853" w14:textId="77777777" w:rsidR="009E4D8A" w:rsidRDefault="009E4D8A" w:rsidP="00DE2DB0">
      <w:pPr>
        <w:widowControl w:val="0"/>
        <w:autoSpaceDE w:val="0"/>
        <w:autoSpaceDN w:val="0"/>
        <w:adjustRightInd w:val="0"/>
        <w:spacing w:line="276" w:lineRule="auto"/>
        <w:ind w:right="-58"/>
        <w:jc w:val="both"/>
        <w:rPr>
          <w:b/>
        </w:rPr>
      </w:pPr>
    </w:p>
    <w:p w14:paraId="0B3EC99E" w14:textId="63776B94" w:rsidR="00DE2DB0" w:rsidRPr="00D9272F" w:rsidRDefault="00DE2DB0" w:rsidP="00DE2DB0">
      <w:pPr>
        <w:widowControl w:val="0"/>
        <w:autoSpaceDE w:val="0"/>
        <w:autoSpaceDN w:val="0"/>
        <w:adjustRightInd w:val="0"/>
        <w:spacing w:line="276" w:lineRule="auto"/>
        <w:ind w:right="-58"/>
        <w:jc w:val="both"/>
        <w:rPr>
          <w:b/>
        </w:rPr>
      </w:pPr>
      <w:r w:rsidRPr="00D9272F">
        <w:rPr>
          <w:b/>
        </w:rPr>
        <w:t xml:space="preserve">Table </w:t>
      </w:r>
      <w:r w:rsidR="004550E5" w:rsidRPr="00D9272F">
        <w:rPr>
          <w:b/>
        </w:rPr>
        <w:t>1</w:t>
      </w:r>
      <w:r w:rsidRPr="00D9272F">
        <w:rPr>
          <w:b/>
        </w:rPr>
        <w:t xml:space="preserve">: Outcome Measure Mean Scores and Standard Deviations </w:t>
      </w:r>
    </w:p>
    <w:p w14:paraId="02C963B5" w14:textId="77777777" w:rsidR="00DE2DB0" w:rsidRPr="00D9272F" w:rsidRDefault="00DE2DB0" w:rsidP="00DE2DB0">
      <w:pPr>
        <w:widowControl w:val="0"/>
        <w:autoSpaceDE w:val="0"/>
        <w:autoSpaceDN w:val="0"/>
        <w:adjustRightInd w:val="0"/>
        <w:spacing w:line="276" w:lineRule="auto"/>
        <w:ind w:right="-58"/>
        <w:jc w:val="both"/>
      </w:pPr>
    </w:p>
    <w:p w14:paraId="0302B7CD" w14:textId="77777777" w:rsidR="00DE2DB0" w:rsidRPr="00D9272F" w:rsidRDefault="00DE2DB0" w:rsidP="00DE2DB0">
      <w:pPr>
        <w:widowControl w:val="0"/>
        <w:autoSpaceDE w:val="0"/>
        <w:autoSpaceDN w:val="0"/>
        <w:adjustRightInd w:val="0"/>
        <w:spacing w:line="480" w:lineRule="auto"/>
        <w:ind w:right="-58"/>
        <w:jc w:val="both"/>
        <w:rPr>
          <w:b/>
        </w:rPr>
      </w:pPr>
    </w:p>
    <w:p w14:paraId="1A51EAED" w14:textId="77777777" w:rsidR="00DE2DB0" w:rsidRPr="00A52516" w:rsidRDefault="00DE2DB0" w:rsidP="00DE2DB0">
      <w:pPr>
        <w:widowControl w:val="0"/>
        <w:autoSpaceDE w:val="0"/>
        <w:autoSpaceDN w:val="0"/>
        <w:adjustRightInd w:val="0"/>
        <w:spacing w:line="480" w:lineRule="auto"/>
        <w:ind w:right="-58"/>
        <w:jc w:val="both"/>
        <w:rPr>
          <w:i/>
        </w:rPr>
      </w:pPr>
      <w:r w:rsidRPr="00A52516">
        <w:rPr>
          <w:i/>
        </w:rPr>
        <w:t>Mental Health Knowledge Schedule</w:t>
      </w:r>
    </w:p>
    <w:p w14:paraId="53AE3A18" w14:textId="77777777" w:rsidR="00DE2DB0" w:rsidRPr="00D9272F" w:rsidRDefault="00DE2DB0" w:rsidP="001A7F8E">
      <w:pPr>
        <w:spacing w:line="480" w:lineRule="auto"/>
        <w:rPr>
          <w:bCs/>
        </w:rPr>
      </w:pPr>
      <w:r w:rsidRPr="00D9272F">
        <w:rPr>
          <w:bCs/>
        </w:rPr>
        <w:t xml:space="preserve">The highest achievable score for the MAKS was 30, based on the summing of responses to questions 1 - 6. Table </w:t>
      </w:r>
      <w:r w:rsidR="00016543" w:rsidRPr="00D9272F">
        <w:rPr>
          <w:bCs/>
        </w:rPr>
        <w:t>1</w:t>
      </w:r>
      <w:r w:rsidRPr="00D9272F">
        <w:rPr>
          <w:bCs/>
        </w:rPr>
        <w:t xml:space="preserve"> shows that for the intervention group, mean score for knowledge of </w:t>
      </w:r>
      <w:r w:rsidRPr="00D9272F">
        <w:rPr>
          <w:bCs/>
        </w:rPr>
        <w:lastRenderedPageBreak/>
        <w:t>mental health at baseline (</w:t>
      </w:r>
      <w:r w:rsidRPr="00D9272F">
        <w:rPr>
          <w:bCs/>
          <w:i/>
        </w:rPr>
        <w:t>M</w:t>
      </w:r>
      <w:r w:rsidRPr="00D9272F">
        <w:rPr>
          <w:bCs/>
        </w:rPr>
        <w:t xml:space="preserve"> = 21.21, </w:t>
      </w:r>
      <w:r w:rsidRPr="00D9272F">
        <w:rPr>
          <w:bCs/>
          <w:i/>
        </w:rPr>
        <w:t>S.D.</w:t>
      </w:r>
      <w:r w:rsidRPr="00D9272F">
        <w:rPr>
          <w:bCs/>
        </w:rPr>
        <w:t xml:space="preserve"> = 3.12) increased following the intervention (</w:t>
      </w:r>
      <w:r w:rsidRPr="00D9272F">
        <w:rPr>
          <w:bCs/>
          <w:i/>
        </w:rPr>
        <w:t>M</w:t>
      </w:r>
      <w:r w:rsidRPr="00D9272F">
        <w:rPr>
          <w:bCs/>
        </w:rPr>
        <w:t xml:space="preserve"> = 23.09, </w:t>
      </w:r>
      <w:r w:rsidRPr="00D9272F">
        <w:rPr>
          <w:bCs/>
          <w:i/>
        </w:rPr>
        <w:t>S.D.</w:t>
      </w:r>
      <w:r w:rsidRPr="00D9272F">
        <w:rPr>
          <w:bCs/>
        </w:rPr>
        <w:t xml:space="preserve"> = 2.79). To compare this increase in scores with the results for the control group, a 2x2 mixed factors ANOVA was c</w:t>
      </w:r>
      <w:r w:rsidR="00AE2AAA" w:rsidRPr="00D9272F">
        <w:rPr>
          <w:bCs/>
        </w:rPr>
        <w:t>alculated</w:t>
      </w:r>
      <w:r w:rsidRPr="00D9272F">
        <w:rPr>
          <w:bCs/>
        </w:rPr>
        <w:t xml:space="preserve">. </w:t>
      </w:r>
      <w:r w:rsidR="00AE2AAA" w:rsidRPr="00D9272F">
        <w:rPr>
          <w:bCs/>
        </w:rPr>
        <w:t xml:space="preserve">A </w:t>
      </w:r>
      <w:r w:rsidRPr="00D9272F">
        <w:rPr>
          <w:bCs/>
        </w:rPr>
        <w:t xml:space="preserve">significant main effect of group, indicating that knowledge of mental health, was greater for the intervention group, </w:t>
      </w:r>
      <w:r w:rsidRPr="00296720">
        <w:rPr>
          <w:bCs/>
          <w:i/>
        </w:rPr>
        <w:t>F</w:t>
      </w:r>
      <w:r w:rsidRPr="00D9272F">
        <w:rPr>
          <w:bCs/>
        </w:rPr>
        <w:t xml:space="preserve">(1, 73) = 5.24, </w:t>
      </w:r>
      <w:r w:rsidRPr="009841DE">
        <w:rPr>
          <w:bCs/>
          <w:i/>
        </w:rPr>
        <w:t>p</w:t>
      </w:r>
      <w:r w:rsidRPr="00D9272F">
        <w:rPr>
          <w:bCs/>
        </w:rPr>
        <w:t xml:space="preserve"> = 0.0</w:t>
      </w:r>
      <w:r w:rsidR="00BC140A">
        <w:rPr>
          <w:bCs/>
        </w:rPr>
        <w:t>3</w:t>
      </w:r>
      <w:r w:rsidRPr="00D9272F">
        <w:rPr>
          <w:bCs/>
        </w:rPr>
        <w:t xml:space="preserve">, </w:t>
      </w:r>
      <w:r w:rsidRPr="00D9272F">
        <w:rPr>
          <w:i/>
        </w:rPr>
        <w:sym w:font="Symbol" w:char="F068"/>
      </w:r>
      <w:r w:rsidRPr="00D9272F">
        <w:rPr>
          <w:i/>
          <w:vertAlign w:val="subscript"/>
        </w:rPr>
        <w:t>p</w:t>
      </w:r>
      <w:r w:rsidRPr="00D9272F">
        <w:rPr>
          <w:i/>
          <w:vertAlign w:val="superscript"/>
        </w:rPr>
        <w:t xml:space="preserve">2 </w:t>
      </w:r>
      <w:r w:rsidRPr="00D9272F">
        <w:rPr>
          <w:bCs/>
        </w:rPr>
        <w:t>= 0.0</w:t>
      </w:r>
      <w:r w:rsidR="00BC140A">
        <w:rPr>
          <w:bCs/>
        </w:rPr>
        <w:t>7</w:t>
      </w:r>
      <w:r w:rsidR="00AE2AAA" w:rsidRPr="00D9272F">
        <w:rPr>
          <w:bCs/>
        </w:rPr>
        <w:t xml:space="preserve"> was shown</w:t>
      </w:r>
      <w:r w:rsidRPr="00D9272F">
        <w:rPr>
          <w:bCs/>
        </w:rPr>
        <w:t xml:space="preserve">. There was also a significant interaction effect for Group and Time, </w:t>
      </w:r>
      <w:r w:rsidRPr="00296720">
        <w:rPr>
          <w:bCs/>
          <w:i/>
        </w:rPr>
        <w:t>F</w:t>
      </w:r>
      <w:r w:rsidRPr="00D9272F">
        <w:rPr>
          <w:bCs/>
        </w:rPr>
        <w:t>(1, 72) = 4.9</w:t>
      </w:r>
      <w:r w:rsidR="00BC140A">
        <w:rPr>
          <w:bCs/>
        </w:rPr>
        <w:t>2</w:t>
      </w:r>
      <w:r w:rsidRPr="00D9272F">
        <w:rPr>
          <w:bCs/>
        </w:rPr>
        <w:t xml:space="preserve">, </w:t>
      </w:r>
      <w:r w:rsidRPr="009841DE">
        <w:rPr>
          <w:bCs/>
          <w:i/>
        </w:rPr>
        <w:t>p</w:t>
      </w:r>
      <w:r w:rsidRPr="00D9272F">
        <w:rPr>
          <w:bCs/>
        </w:rPr>
        <w:t xml:space="preserve"> = 0.03, </w:t>
      </w:r>
      <w:r w:rsidRPr="00D9272F">
        <w:rPr>
          <w:i/>
        </w:rPr>
        <w:sym w:font="Symbol" w:char="F068"/>
      </w:r>
      <w:r w:rsidRPr="00D9272F">
        <w:rPr>
          <w:i/>
          <w:vertAlign w:val="subscript"/>
        </w:rPr>
        <w:t>p</w:t>
      </w:r>
      <w:r w:rsidRPr="00D9272F">
        <w:rPr>
          <w:i/>
          <w:vertAlign w:val="superscript"/>
        </w:rPr>
        <w:t>2</w:t>
      </w:r>
      <w:r w:rsidRPr="00D9272F">
        <w:rPr>
          <w:bCs/>
        </w:rPr>
        <w:t xml:space="preserve"> = 0.06, demonstrating a significant greater improvement in mental health knowledge score from baseline to immediately post-</w:t>
      </w:r>
      <w:r w:rsidR="00175AC7" w:rsidRPr="00D9272F">
        <w:rPr>
          <w:bCs/>
        </w:rPr>
        <w:t>programme</w:t>
      </w:r>
      <w:r w:rsidRPr="00D9272F">
        <w:rPr>
          <w:bCs/>
        </w:rPr>
        <w:t xml:space="preserve"> for the intervention group. ANCOVA results showed that the significant intervention effect on post-</w:t>
      </w:r>
      <w:r w:rsidR="00175AC7" w:rsidRPr="00D9272F">
        <w:rPr>
          <w:bCs/>
        </w:rPr>
        <w:t>programme</w:t>
      </w:r>
      <w:r w:rsidRPr="00D9272F">
        <w:rPr>
          <w:bCs/>
        </w:rPr>
        <w:t xml:space="preserve"> mental health knowledge scores remained after controlling for the baseline scores </w:t>
      </w:r>
      <w:r w:rsidRPr="00CB318C">
        <w:rPr>
          <w:bCs/>
          <w:i/>
        </w:rPr>
        <w:t>F</w:t>
      </w:r>
      <w:r w:rsidRPr="00D9272F">
        <w:rPr>
          <w:bCs/>
        </w:rPr>
        <w:t xml:space="preserve">(1, 72) = 10.29, </w:t>
      </w:r>
      <w:r w:rsidRPr="00CB318C">
        <w:rPr>
          <w:bCs/>
          <w:i/>
        </w:rPr>
        <w:t>p</w:t>
      </w:r>
      <w:r w:rsidRPr="00D9272F">
        <w:rPr>
          <w:bCs/>
        </w:rPr>
        <w:t xml:space="preserve"> </w:t>
      </w:r>
      <w:r w:rsidR="00874C6A">
        <w:rPr>
          <w:bCs/>
        </w:rPr>
        <w:t>&lt;</w:t>
      </w:r>
      <w:r w:rsidRPr="00D9272F">
        <w:rPr>
          <w:bCs/>
        </w:rPr>
        <w:t xml:space="preserve"> 0.0</w:t>
      </w:r>
      <w:r w:rsidR="00874C6A">
        <w:rPr>
          <w:bCs/>
        </w:rPr>
        <w:t>1</w:t>
      </w:r>
      <w:r w:rsidRPr="00D9272F">
        <w:rPr>
          <w:bCs/>
        </w:rPr>
        <w:t xml:space="preserve">, </w:t>
      </w:r>
      <w:r w:rsidRPr="00D9272F">
        <w:rPr>
          <w:i/>
        </w:rPr>
        <w:sym w:font="Symbol" w:char="F068"/>
      </w:r>
      <w:r w:rsidRPr="00D9272F">
        <w:rPr>
          <w:i/>
          <w:vertAlign w:val="subscript"/>
        </w:rPr>
        <w:t>p</w:t>
      </w:r>
      <w:r w:rsidRPr="00D9272F">
        <w:rPr>
          <w:i/>
          <w:vertAlign w:val="superscript"/>
        </w:rPr>
        <w:t>2</w:t>
      </w:r>
      <w:r w:rsidRPr="00D9272F">
        <w:rPr>
          <w:bCs/>
        </w:rPr>
        <w:t xml:space="preserve"> = 0.1</w:t>
      </w:r>
      <w:r w:rsidR="00F76EA8">
        <w:rPr>
          <w:bCs/>
        </w:rPr>
        <w:t>3</w:t>
      </w:r>
      <w:r w:rsidRPr="00D9272F">
        <w:rPr>
          <w:bCs/>
        </w:rPr>
        <w:t xml:space="preserve">. </w:t>
      </w:r>
    </w:p>
    <w:p w14:paraId="5DF77F2E" w14:textId="77777777" w:rsidR="00DE2DB0" w:rsidRPr="00D9272F" w:rsidRDefault="00DE2DB0" w:rsidP="00DE2DB0">
      <w:pPr>
        <w:spacing w:line="480" w:lineRule="auto"/>
        <w:rPr>
          <w:bCs/>
        </w:rPr>
      </w:pPr>
    </w:p>
    <w:p w14:paraId="7AD6F4E1" w14:textId="6009FB7F" w:rsidR="00DE2DB0" w:rsidRPr="00D9272F" w:rsidRDefault="00DE2DB0" w:rsidP="001A7F8E">
      <w:pPr>
        <w:spacing w:line="480" w:lineRule="auto"/>
        <w:rPr>
          <w:bCs/>
        </w:rPr>
      </w:pPr>
      <w:r w:rsidRPr="00D9272F">
        <w:rPr>
          <w:bCs/>
        </w:rPr>
        <w:t xml:space="preserve">Questions 7-12 of the MAKS relate to knowledge of different types of mental illness. Separate Wilcoxon Z tests were calculated to examine whether any change in knowledge was significant between pre and immediately-post intervention testing. </w:t>
      </w:r>
      <w:r w:rsidR="00641779">
        <w:rPr>
          <w:bCs/>
        </w:rPr>
        <w:t>P</w:t>
      </w:r>
      <w:r w:rsidRPr="00D9272F">
        <w:rPr>
          <w:bCs/>
        </w:rPr>
        <w:t>articipants who received the SOMS training were more knowledgeable that stress (</w:t>
      </w:r>
      <w:r w:rsidRPr="00CA7FF5">
        <w:rPr>
          <w:bCs/>
          <w:i/>
        </w:rPr>
        <w:t>Z</w:t>
      </w:r>
      <w:r w:rsidRPr="00D9272F">
        <w:rPr>
          <w:bCs/>
        </w:rPr>
        <w:t xml:space="preserve"> = -3.30, </w:t>
      </w:r>
      <w:r w:rsidRPr="00CA7FF5">
        <w:rPr>
          <w:bCs/>
          <w:i/>
        </w:rPr>
        <w:t>p</w:t>
      </w:r>
      <w:r w:rsidRPr="00D9272F">
        <w:rPr>
          <w:bCs/>
        </w:rPr>
        <w:t xml:space="preserve"> </w:t>
      </w:r>
      <w:r w:rsidR="00183DEA">
        <w:rPr>
          <w:bCs/>
        </w:rPr>
        <w:t>&lt;</w:t>
      </w:r>
      <w:r w:rsidRPr="00D9272F">
        <w:rPr>
          <w:bCs/>
        </w:rPr>
        <w:t xml:space="preserve"> 0.0</w:t>
      </w:r>
      <w:r w:rsidR="00183DEA">
        <w:rPr>
          <w:bCs/>
        </w:rPr>
        <w:t>1</w:t>
      </w:r>
      <w:r w:rsidRPr="00D9272F">
        <w:rPr>
          <w:bCs/>
        </w:rPr>
        <w:t>) was not a mental illness</w:t>
      </w:r>
      <w:r w:rsidR="003470A9">
        <w:rPr>
          <w:bCs/>
        </w:rPr>
        <w:t>.</w:t>
      </w:r>
      <w:r w:rsidRPr="00D9272F">
        <w:rPr>
          <w:bCs/>
        </w:rPr>
        <w:t xml:space="preserve">There were no significant knowledge changes for grief, bipolar disorder, schizophrenia or depression for the intervention group, and no significant knowledge changes for the control group on any of the mental illnesses presented. </w:t>
      </w:r>
    </w:p>
    <w:p w14:paraId="237D4E88" w14:textId="77777777" w:rsidR="00DE2DB0" w:rsidRPr="00D9272F" w:rsidRDefault="00DE2DB0" w:rsidP="00DE2DB0">
      <w:pPr>
        <w:spacing w:line="480" w:lineRule="auto"/>
        <w:rPr>
          <w:bCs/>
        </w:rPr>
      </w:pPr>
    </w:p>
    <w:p w14:paraId="193A7560" w14:textId="77777777" w:rsidR="00DE2DB0" w:rsidRPr="00A52516" w:rsidRDefault="00DE2DB0" w:rsidP="00DE2DB0">
      <w:pPr>
        <w:spacing w:line="480" w:lineRule="auto"/>
        <w:rPr>
          <w:bCs/>
          <w:i/>
        </w:rPr>
      </w:pPr>
      <w:r w:rsidRPr="00A52516">
        <w:rPr>
          <w:bCs/>
          <w:i/>
        </w:rPr>
        <w:t>Reported and Intended Behaviour Scale</w:t>
      </w:r>
    </w:p>
    <w:p w14:paraId="72B59FAA" w14:textId="77777777" w:rsidR="00DE2DB0" w:rsidRPr="00D9272F" w:rsidRDefault="00DE2DB0" w:rsidP="001A7F8E">
      <w:pPr>
        <w:spacing w:line="480" w:lineRule="auto"/>
        <w:rPr>
          <w:bCs/>
        </w:rPr>
      </w:pPr>
      <w:r w:rsidRPr="00D9272F">
        <w:rPr>
          <w:bCs/>
        </w:rPr>
        <w:t xml:space="preserve">The highest achievable score for the RIBS was 20, based on summing responses to questions 5-8. Higher scores were indicative of a greater willingness to engage with someone with a mental illness. For the RIBS there was no significant main effect of Group </w:t>
      </w:r>
      <w:r w:rsidRPr="00CA7FF5">
        <w:rPr>
          <w:bCs/>
          <w:i/>
        </w:rPr>
        <w:t>F</w:t>
      </w:r>
      <w:r w:rsidRPr="00D9272F">
        <w:rPr>
          <w:bCs/>
        </w:rPr>
        <w:t>(1, 73) = 1.0</w:t>
      </w:r>
      <w:r w:rsidR="00183DEA">
        <w:rPr>
          <w:bCs/>
        </w:rPr>
        <w:t>9</w:t>
      </w:r>
      <w:r w:rsidRPr="00D9272F">
        <w:rPr>
          <w:bCs/>
        </w:rPr>
        <w:t xml:space="preserve">, </w:t>
      </w:r>
      <w:r w:rsidRPr="00CA7FF5">
        <w:rPr>
          <w:bCs/>
          <w:i/>
        </w:rPr>
        <w:t>p</w:t>
      </w:r>
      <w:r w:rsidRPr="00D9272F">
        <w:rPr>
          <w:bCs/>
        </w:rPr>
        <w:t xml:space="preserve"> = 0.30, </w:t>
      </w:r>
      <w:r w:rsidRPr="00D9272F">
        <w:rPr>
          <w:i/>
        </w:rPr>
        <w:sym w:font="Symbol" w:char="F068"/>
      </w:r>
      <w:r w:rsidRPr="00D9272F">
        <w:rPr>
          <w:i/>
          <w:vertAlign w:val="subscript"/>
        </w:rPr>
        <w:t>p</w:t>
      </w:r>
      <w:r w:rsidRPr="00D9272F">
        <w:rPr>
          <w:i/>
          <w:vertAlign w:val="superscript"/>
        </w:rPr>
        <w:t>2</w:t>
      </w:r>
      <w:r w:rsidRPr="00D9272F">
        <w:rPr>
          <w:bCs/>
        </w:rPr>
        <w:t xml:space="preserve"> = 0.15. There was a </w:t>
      </w:r>
      <w:r w:rsidR="000F6D85">
        <w:rPr>
          <w:bCs/>
        </w:rPr>
        <w:t xml:space="preserve">near significant </w:t>
      </w:r>
      <w:r w:rsidRPr="00D9272F">
        <w:rPr>
          <w:bCs/>
        </w:rPr>
        <w:t xml:space="preserve">within group effect, </w:t>
      </w:r>
      <w:r w:rsidRPr="00CA7FF5">
        <w:rPr>
          <w:bCs/>
          <w:i/>
        </w:rPr>
        <w:t>F</w:t>
      </w:r>
      <w:r w:rsidRPr="00D9272F">
        <w:rPr>
          <w:bCs/>
        </w:rPr>
        <w:t xml:space="preserve">(1, 73) = 3.34, </w:t>
      </w:r>
      <w:r w:rsidRPr="00CA7FF5">
        <w:rPr>
          <w:bCs/>
          <w:i/>
        </w:rPr>
        <w:t>p</w:t>
      </w:r>
      <w:r w:rsidRPr="00D9272F">
        <w:rPr>
          <w:bCs/>
        </w:rPr>
        <w:t xml:space="preserve"> = 0.07, </w:t>
      </w:r>
      <w:r w:rsidRPr="00D9272F">
        <w:rPr>
          <w:i/>
        </w:rPr>
        <w:sym w:font="Symbol" w:char="F068"/>
      </w:r>
      <w:r w:rsidRPr="00D9272F">
        <w:rPr>
          <w:i/>
          <w:vertAlign w:val="subscript"/>
        </w:rPr>
        <w:t>p</w:t>
      </w:r>
      <w:r w:rsidRPr="00D9272F">
        <w:rPr>
          <w:i/>
          <w:vertAlign w:val="superscript"/>
        </w:rPr>
        <w:t>2</w:t>
      </w:r>
      <w:r w:rsidRPr="00D9272F">
        <w:rPr>
          <w:bCs/>
        </w:rPr>
        <w:t xml:space="preserve"> = 0.44, wherein both groups increased their mean scores over time (see Table 5.2), </w:t>
      </w:r>
      <w:r w:rsidRPr="00D9272F">
        <w:rPr>
          <w:bCs/>
        </w:rPr>
        <w:lastRenderedPageBreak/>
        <w:t xml:space="preserve">however this could not be attributed to the intervention as there was no significant interaction effect between Group and Time, </w:t>
      </w:r>
      <w:r w:rsidRPr="00CA7FF5">
        <w:rPr>
          <w:bCs/>
          <w:i/>
        </w:rPr>
        <w:t>F</w:t>
      </w:r>
      <w:r w:rsidRPr="00D9272F">
        <w:rPr>
          <w:bCs/>
        </w:rPr>
        <w:t xml:space="preserve">(1, 73) = 0.47, </w:t>
      </w:r>
      <w:r w:rsidRPr="00CA7FF5">
        <w:rPr>
          <w:bCs/>
          <w:i/>
        </w:rPr>
        <w:t>p</w:t>
      </w:r>
      <w:r w:rsidRPr="00D9272F">
        <w:rPr>
          <w:bCs/>
        </w:rPr>
        <w:t xml:space="preserve"> = 0.49, </w:t>
      </w:r>
      <w:r w:rsidRPr="00D9272F">
        <w:rPr>
          <w:i/>
        </w:rPr>
        <w:sym w:font="Symbol" w:char="F068"/>
      </w:r>
      <w:r w:rsidRPr="00D9272F">
        <w:rPr>
          <w:i/>
          <w:vertAlign w:val="subscript"/>
        </w:rPr>
        <w:t>p</w:t>
      </w:r>
      <w:r w:rsidRPr="00D9272F">
        <w:rPr>
          <w:i/>
          <w:vertAlign w:val="superscript"/>
        </w:rPr>
        <w:t>2</w:t>
      </w:r>
      <w:r w:rsidRPr="00D9272F">
        <w:rPr>
          <w:bCs/>
        </w:rPr>
        <w:t xml:space="preserve"> = 0.0</w:t>
      </w:r>
      <w:r w:rsidR="00A9082F">
        <w:rPr>
          <w:bCs/>
        </w:rPr>
        <w:t>1</w:t>
      </w:r>
      <w:r w:rsidRPr="00D9272F">
        <w:rPr>
          <w:bCs/>
        </w:rPr>
        <w:t>.</w:t>
      </w:r>
    </w:p>
    <w:p w14:paraId="3CBB3B03" w14:textId="77777777" w:rsidR="00DE2DB0" w:rsidRPr="00D9272F" w:rsidRDefault="00DE2DB0" w:rsidP="00DE2DB0">
      <w:pPr>
        <w:spacing w:line="480" w:lineRule="auto"/>
        <w:rPr>
          <w:bCs/>
        </w:rPr>
      </w:pPr>
    </w:p>
    <w:p w14:paraId="75D3BE79" w14:textId="77777777" w:rsidR="00DE2DB0" w:rsidRPr="00A52516" w:rsidRDefault="00DE2DB0" w:rsidP="00DE2DB0">
      <w:pPr>
        <w:spacing w:line="480" w:lineRule="auto"/>
        <w:rPr>
          <w:bCs/>
          <w:i/>
        </w:rPr>
      </w:pPr>
      <w:r w:rsidRPr="00A52516">
        <w:rPr>
          <w:bCs/>
          <w:i/>
        </w:rPr>
        <w:t xml:space="preserve">Brief Resilience Scale </w:t>
      </w:r>
    </w:p>
    <w:p w14:paraId="573F26BC" w14:textId="77777777" w:rsidR="00DE2DB0" w:rsidRPr="00D9272F" w:rsidRDefault="00DE2DB0" w:rsidP="00DE2DB0">
      <w:pPr>
        <w:spacing w:line="480" w:lineRule="auto"/>
        <w:rPr>
          <w:bCs/>
        </w:rPr>
      </w:pPr>
      <w:r w:rsidRPr="00D9272F">
        <w:rPr>
          <w:bCs/>
        </w:rPr>
        <w:t xml:space="preserve">For the BRS there was no significant </w:t>
      </w:r>
      <w:r w:rsidR="00A1141D" w:rsidRPr="00D9272F">
        <w:rPr>
          <w:bCs/>
        </w:rPr>
        <w:t>between group</w:t>
      </w:r>
      <w:r w:rsidRPr="00D9272F">
        <w:rPr>
          <w:bCs/>
        </w:rPr>
        <w:t xml:space="preserve">, </w:t>
      </w:r>
      <w:r w:rsidRPr="00CA7FF5">
        <w:rPr>
          <w:bCs/>
          <w:i/>
        </w:rPr>
        <w:t>F</w:t>
      </w:r>
      <w:r w:rsidRPr="00D9272F">
        <w:rPr>
          <w:bCs/>
        </w:rPr>
        <w:t xml:space="preserve">(1, 73) = 1.71, </w:t>
      </w:r>
      <w:r w:rsidRPr="00CA7FF5">
        <w:rPr>
          <w:bCs/>
          <w:i/>
        </w:rPr>
        <w:t>p</w:t>
      </w:r>
      <w:r w:rsidRPr="00D9272F">
        <w:rPr>
          <w:bCs/>
        </w:rPr>
        <w:t xml:space="preserve"> = .</w:t>
      </w:r>
      <w:r w:rsidR="00652A0C">
        <w:rPr>
          <w:bCs/>
        </w:rPr>
        <w:t>20</w:t>
      </w:r>
      <w:r w:rsidRPr="00D9272F">
        <w:rPr>
          <w:bCs/>
        </w:rPr>
        <w:t xml:space="preserve">, </w:t>
      </w:r>
      <w:r w:rsidRPr="00D9272F">
        <w:rPr>
          <w:i/>
        </w:rPr>
        <w:sym w:font="Symbol" w:char="F068"/>
      </w:r>
      <w:r w:rsidRPr="00D9272F">
        <w:rPr>
          <w:i/>
          <w:vertAlign w:val="subscript"/>
        </w:rPr>
        <w:t>p</w:t>
      </w:r>
      <w:r w:rsidRPr="00D9272F">
        <w:rPr>
          <w:i/>
          <w:vertAlign w:val="superscript"/>
        </w:rPr>
        <w:t>2</w:t>
      </w:r>
      <w:r w:rsidRPr="00D9272F">
        <w:rPr>
          <w:bCs/>
        </w:rPr>
        <w:t xml:space="preserve"> = 0.23</w:t>
      </w:r>
      <w:r w:rsidR="00C30FA9" w:rsidRPr="00D9272F">
        <w:rPr>
          <w:bCs/>
        </w:rPr>
        <w:t xml:space="preserve">, </w:t>
      </w:r>
      <w:r w:rsidRPr="00D9272F">
        <w:rPr>
          <w:bCs/>
        </w:rPr>
        <w:t xml:space="preserve"> within </w:t>
      </w:r>
      <w:r w:rsidR="00A1141D" w:rsidRPr="00D9272F">
        <w:rPr>
          <w:bCs/>
        </w:rPr>
        <w:t>time</w:t>
      </w:r>
      <w:r w:rsidRPr="00D9272F">
        <w:rPr>
          <w:bCs/>
        </w:rPr>
        <w:t xml:space="preserve">, </w:t>
      </w:r>
      <w:r w:rsidRPr="00CA7FF5">
        <w:rPr>
          <w:bCs/>
          <w:i/>
        </w:rPr>
        <w:t>F</w:t>
      </w:r>
      <w:r w:rsidRPr="00D9272F">
        <w:rPr>
          <w:bCs/>
        </w:rPr>
        <w:t xml:space="preserve">(1, 73) = 0.30, </w:t>
      </w:r>
      <w:r w:rsidRPr="00CA7FF5">
        <w:rPr>
          <w:bCs/>
          <w:i/>
        </w:rPr>
        <w:t>p</w:t>
      </w:r>
      <w:r w:rsidRPr="00D9272F">
        <w:rPr>
          <w:bCs/>
        </w:rPr>
        <w:t xml:space="preserve"> = 0.5</w:t>
      </w:r>
      <w:r w:rsidR="00F76EF9">
        <w:rPr>
          <w:bCs/>
        </w:rPr>
        <w:t>9</w:t>
      </w:r>
      <w:r w:rsidRPr="00D9272F">
        <w:rPr>
          <w:bCs/>
        </w:rPr>
        <w:t xml:space="preserve">, </w:t>
      </w:r>
      <w:r w:rsidRPr="00D9272F">
        <w:rPr>
          <w:i/>
        </w:rPr>
        <w:sym w:font="Symbol" w:char="F068"/>
      </w:r>
      <w:r w:rsidRPr="00D9272F">
        <w:rPr>
          <w:i/>
          <w:vertAlign w:val="subscript"/>
        </w:rPr>
        <w:t>p</w:t>
      </w:r>
      <w:r w:rsidRPr="00D9272F">
        <w:rPr>
          <w:i/>
          <w:vertAlign w:val="superscript"/>
        </w:rPr>
        <w:t>2</w:t>
      </w:r>
      <w:r w:rsidRPr="00D9272F">
        <w:rPr>
          <w:bCs/>
        </w:rPr>
        <w:t xml:space="preserve"> = 0.004, </w:t>
      </w:r>
      <w:r w:rsidR="00A1141D" w:rsidRPr="00D9272F">
        <w:rPr>
          <w:bCs/>
        </w:rPr>
        <w:t>or</w:t>
      </w:r>
      <w:r w:rsidRPr="00D9272F">
        <w:rPr>
          <w:bCs/>
        </w:rPr>
        <w:t xml:space="preserve"> interaction effect between Group and Time, </w:t>
      </w:r>
      <w:r w:rsidRPr="00CA7FF5">
        <w:rPr>
          <w:bCs/>
          <w:i/>
        </w:rPr>
        <w:t>F</w:t>
      </w:r>
      <w:r w:rsidRPr="00D9272F">
        <w:rPr>
          <w:bCs/>
        </w:rPr>
        <w:t xml:space="preserve">(1, 73) = 0.00, </w:t>
      </w:r>
      <w:r w:rsidRPr="00CA7FF5">
        <w:rPr>
          <w:bCs/>
          <w:i/>
        </w:rPr>
        <w:t>p</w:t>
      </w:r>
      <w:r w:rsidRPr="00D9272F">
        <w:rPr>
          <w:bCs/>
        </w:rPr>
        <w:t xml:space="preserve"> = 0.985, </w:t>
      </w:r>
      <w:r w:rsidRPr="00D9272F">
        <w:rPr>
          <w:i/>
        </w:rPr>
        <w:sym w:font="Symbol" w:char="F068"/>
      </w:r>
      <w:r w:rsidRPr="00D9272F">
        <w:rPr>
          <w:i/>
          <w:vertAlign w:val="subscript"/>
        </w:rPr>
        <w:t>p</w:t>
      </w:r>
      <w:r w:rsidRPr="00D9272F">
        <w:rPr>
          <w:i/>
          <w:vertAlign w:val="superscript"/>
        </w:rPr>
        <w:t>2</w:t>
      </w:r>
      <w:r w:rsidRPr="00D9272F">
        <w:rPr>
          <w:bCs/>
        </w:rPr>
        <w:t xml:space="preserve"> </w:t>
      </w:r>
      <w:r w:rsidRPr="000B6DBC">
        <w:rPr>
          <w:bCs/>
        </w:rPr>
        <w:t>= 0.00.</w:t>
      </w:r>
      <w:r w:rsidRPr="00D9272F">
        <w:rPr>
          <w:bCs/>
        </w:rPr>
        <w:t xml:space="preserve"> </w:t>
      </w:r>
    </w:p>
    <w:p w14:paraId="2CBDE106" w14:textId="77777777" w:rsidR="00DE2DB0" w:rsidRPr="00D9272F" w:rsidRDefault="00DE2DB0" w:rsidP="00DE2DB0">
      <w:pPr>
        <w:spacing w:line="480" w:lineRule="auto"/>
        <w:rPr>
          <w:bCs/>
        </w:rPr>
      </w:pPr>
    </w:p>
    <w:p w14:paraId="0B6E7E25" w14:textId="77777777" w:rsidR="00DE2DB0" w:rsidRPr="000B6DBC" w:rsidRDefault="00DE2DB0" w:rsidP="00DE2DB0">
      <w:pPr>
        <w:spacing w:line="480" w:lineRule="auto"/>
        <w:rPr>
          <w:bCs/>
          <w:i/>
        </w:rPr>
      </w:pPr>
      <w:r w:rsidRPr="000B6DBC">
        <w:rPr>
          <w:bCs/>
          <w:i/>
        </w:rPr>
        <w:t>Short Warwick Edinburgh Mental Well-being Scale</w:t>
      </w:r>
    </w:p>
    <w:p w14:paraId="28EA188D" w14:textId="77777777" w:rsidR="00DE2DB0" w:rsidRPr="00D9272F" w:rsidRDefault="00DE2DB0" w:rsidP="001A7F8E">
      <w:pPr>
        <w:spacing w:line="480" w:lineRule="auto"/>
        <w:rPr>
          <w:bCs/>
        </w:rPr>
      </w:pPr>
      <w:r w:rsidRPr="00D9272F">
        <w:rPr>
          <w:bCs/>
        </w:rPr>
        <w:t xml:space="preserve">For the SWEMWBS there was no significant main effect of Group, </w:t>
      </w:r>
      <w:r w:rsidRPr="0039684B">
        <w:rPr>
          <w:bCs/>
          <w:i/>
        </w:rPr>
        <w:t>F</w:t>
      </w:r>
      <w:r w:rsidRPr="00D9272F">
        <w:rPr>
          <w:bCs/>
        </w:rPr>
        <w:t>(1, 73) = 2.</w:t>
      </w:r>
      <w:r w:rsidR="009E61C5">
        <w:rPr>
          <w:bCs/>
        </w:rPr>
        <w:t>30</w:t>
      </w:r>
      <w:r w:rsidRPr="00D9272F">
        <w:rPr>
          <w:bCs/>
        </w:rPr>
        <w:t xml:space="preserve">, </w:t>
      </w:r>
      <w:r w:rsidRPr="0039684B">
        <w:rPr>
          <w:bCs/>
          <w:i/>
        </w:rPr>
        <w:t>p</w:t>
      </w:r>
      <w:r w:rsidRPr="00D9272F">
        <w:rPr>
          <w:bCs/>
        </w:rPr>
        <w:t xml:space="preserve"> = .13, </w:t>
      </w:r>
      <w:r w:rsidRPr="00D9272F">
        <w:rPr>
          <w:i/>
        </w:rPr>
        <w:sym w:font="Symbol" w:char="F068"/>
      </w:r>
      <w:r w:rsidRPr="00D9272F">
        <w:rPr>
          <w:i/>
          <w:vertAlign w:val="subscript"/>
        </w:rPr>
        <w:t>p</w:t>
      </w:r>
      <w:r w:rsidRPr="00D9272F">
        <w:rPr>
          <w:i/>
          <w:vertAlign w:val="superscript"/>
        </w:rPr>
        <w:t>2</w:t>
      </w:r>
      <w:r w:rsidRPr="00D9272F">
        <w:rPr>
          <w:bCs/>
        </w:rPr>
        <w:t xml:space="preserve"> = 0.03, no </w:t>
      </w:r>
      <w:r w:rsidRPr="00152477">
        <w:rPr>
          <w:bCs/>
        </w:rPr>
        <w:t>within group effect</w:t>
      </w:r>
      <w:r w:rsidRPr="00D9272F">
        <w:rPr>
          <w:bCs/>
        </w:rPr>
        <w:t xml:space="preserve">, </w:t>
      </w:r>
      <w:r w:rsidRPr="0039684B">
        <w:rPr>
          <w:bCs/>
          <w:i/>
        </w:rPr>
        <w:t>F</w:t>
      </w:r>
      <w:r w:rsidRPr="00D9272F">
        <w:rPr>
          <w:bCs/>
        </w:rPr>
        <w:t xml:space="preserve">(1, 73) = 2.12, </w:t>
      </w:r>
      <w:r w:rsidRPr="0039684B">
        <w:rPr>
          <w:bCs/>
          <w:i/>
        </w:rPr>
        <w:t>p</w:t>
      </w:r>
      <w:r w:rsidRPr="00D9272F">
        <w:rPr>
          <w:bCs/>
        </w:rPr>
        <w:t xml:space="preserve"> = 0.66, </w:t>
      </w:r>
      <w:r w:rsidRPr="00D9272F">
        <w:rPr>
          <w:i/>
        </w:rPr>
        <w:sym w:font="Symbol" w:char="F068"/>
      </w:r>
      <w:r w:rsidRPr="00D9272F">
        <w:rPr>
          <w:i/>
          <w:vertAlign w:val="subscript"/>
        </w:rPr>
        <w:t>p</w:t>
      </w:r>
      <w:r w:rsidRPr="00D9272F">
        <w:rPr>
          <w:i/>
          <w:vertAlign w:val="superscript"/>
        </w:rPr>
        <w:t>2</w:t>
      </w:r>
      <w:r w:rsidRPr="00D9272F">
        <w:rPr>
          <w:bCs/>
        </w:rPr>
        <w:t xml:space="preserve"> = 0.0</w:t>
      </w:r>
      <w:r w:rsidR="009E61C5">
        <w:rPr>
          <w:bCs/>
        </w:rPr>
        <w:t>3</w:t>
      </w:r>
      <w:r w:rsidRPr="00D9272F">
        <w:rPr>
          <w:bCs/>
        </w:rPr>
        <w:t xml:space="preserve">, and no significant interaction effect between Group and Time, </w:t>
      </w:r>
      <w:r w:rsidRPr="0039684B">
        <w:rPr>
          <w:bCs/>
          <w:i/>
        </w:rPr>
        <w:t>F</w:t>
      </w:r>
      <w:r w:rsidRPr="00D9272F">
        <w:rPr>
          <w:bCs/>
        </w:rPr>
        <w:t xml:space="preserve">(1, 73) = 0.19, </w:t>
      </w:r>
      <w:r w:rsidRPr="0039684B">
        <w:rPr>
          <w:bCs/>
          <w:i/>
        </w:rPr>
        <w:t>p</w:t>
      </w:r>
      <w:r w:rsidRPr="00D9272F">
        <w:rPr>
          <w:bCs/>
        </w:rPr>
        <w:t xml:space="preserve"> = 0.66, </w:t>
      </w:r>
      <w:r w:rsidRPr="00D9272F">
        <w:rPr>
          <w:i/>
        </w:rPr>
        <w:sym w:font="Symbol" w:char="F068"/>
      </w:r>
      <w:r w:rsidRPr="00D9272F">
        <w:rPr>
          <w:i/>
          <w:vertAlign w:val="subscript"/>
        </w:rPr>
        <w:t>p</w:t>
      </w:r>
      <w:r w:rsidRPr="00D9272F">
        <w:rPr>
          <w:i/>
          <w:vertAlign w:val="superscript"/>
        </w:rPr>
        <w:t>2</w:t>
      </w:r>
      <w:r w:rsidRPr="00D9272F">
        <w:rPr>
          <w:bCs/>
        </w:rPr>
        <w:t xml:space="preserve"> = 0.03. </w:t>
      </w:r>
    </w:p>
    <w:p w14:paraId="37BC9B29" w14:textId="77777777" w:rsidR="00DE2DB0" w:rsidRPr="00D9272F" w:rsidRDefault="00DE2DB0" w:rsidP="00FB1E56">
      <w:pPr>
        <w:rPr>
          <w:b/>
          <w:bCs/>
        </w:rPr>
      </w:pPr>
    </w:p>
    <w:p w14:paraId="599947BD" w14:textId="77777777" w:rsidR="00DE2DB0" w:rsidRPr="000B6DBC" w:rsidRDefault="00DE2DB0" w:rsidP="00DE2DB0">
      <w:pPr>
        <w:spacing w:line="480" w:lineRule="auto"/>
        <w:rPr>
          <w:bCs/>
          <w:i/>
        </w:rPr>
      </w:pPr>
      <w:r w:rsidRPr="000B6DBC">
        <w:rPr>
          <w:bCs/>
          <w:i/>
        </w:rPr>
        <w:t>Focus Group Results</w:t>
      </w:r>
    </w:p>
    <w:p w14:paraId="68620150" w14:textId="7FB7CD66" w:rsidR="00DE2DB0" w:rsidRPr="003D3763" w:rsidRDefault="00A1141D" w:rsidP="000B6DBC">
      <w:pPr>
        <w:widowControl w:val="0"/>
        <w:autoSpaceDE w:val="0"/>
        <w:autoSpaceDN w:val="0"/>
        <w:adjustRightInd w:val="0"/>
        <w:spacing w:line="360" w:lineRule="auto"/>
        <w:ind w:right="-58"/>
      </w:pPr>
      <w:r w:rsidRPr="00D9272F">
        <w:rPr>
          <w:bCs/>
        </w:rPr>
        <w:t>F</w:t>
      </w:r>
      <w:r w:rsidR="00DE2DB0" w:rsidRPr="00D9272F">
        <w:rPr>
          <w:bCs/>
        </w:rPr>
        <w:t>our distinct themes emerged from the focus groups</w:t>
      </w:r>
      <w:r w:rsidR="003D3763">
        <w:rPr>
          <w:bCs/>
        </w:rPr>
        <w:t xml:space="preserve">, these were </w:t>
      </w:r>
      <w:r w:rsidR="003D3763" w:rsidRPr="00D9272F">
        <w:t>Perceived Impacts</w:t>
      </w:r>
      <w:r w:rsidR="003D3763">
        <w:t xml:space="preserve">, </w:t>
      </w:r>
      <w:r w:rsidR="003D3763" w:rsidRPr="00D9272F">
        <w:t>Sports Appeal</w:t>
      </w:r>
      <w:r w:rsidR="00DE2DB0" w:rsidRPr="00D9272F">
        <w:rPr>
          <w:bCs/>
        </w:rPr>
        <w:t xml:space="preserve">, </w:t>
      </w:r>
      <w:r w:rsidR="003D3763" w:rsidRPr="00D9272F">
        <w:t>Potential Barriers to Impact</w:t>
      </w:r>
      <w:r w:rsidR="003D3763">
        <w:t xml:space="preserve"> and </w:t>
      </w:r>
      <w:r w:rsidR="003D3763" w:rsidRPr="00D9272F">
        <w:t>Suggested Improvements</w:t>
      </w:r>
      <w:r w:rsidR="003D3763">
        <w:t xml:space="preserve">, </w:t>
      </w:r>
      <w:r w:rsidR="00DE2DB0" w:rsidRPr="00D9272F">
        <w:rPr>
          <w:bCs/>
        </w:rPr>
        <w:t>with 12 associated sub-categories (see Table</w:t>
      </w:r>
      <w:r w:rsidR="000676DC" w:rsidRPr="00D9272F">
        <w:rPr>
          <w:bCs/>
        </w:rPr>
        <w:t xml:space="preserve"> </w:t>
      </w:r>
      <w:r w:rsidR="00B5481D">
        <w:rPr>
          <w:bCs/>
        </w:rPr>
        <w:t>2</w:t>
      </w:r>
      <w:r w:rsidR="00DE2DB0" w:rsidRPr="00D9272F">
        <w:rPr>
          <w:bCs/>
        </w:rPr>
        <w:t xml:space="preserve">). </w:t>
      </w:r>
      <w:r w:rsidRPr="00D9272F">
        <w:rPr>
          <w:bCs/>
        </w:rPr>
        <w:t>Q</w:t>
      </w:r>
      <w:r w:rsidR="00DE2DB0" w:rsidRPr="00D9272F">
        <w:rPr>
          <w:bCs/>
        </w:rPr>
        <w:t>uotes</w:t>
      </w:r>
      <w:r w:rsidRPr="00D9272F">
        <w:rPr>
          <w:bCs/>
        </w:rPr>
        <w:t xml:space="preserve"> are </w:t>
      </w:r>
      <w:r w:rsidR="003D3763">
        <w:rPr>
          <w:bCs/>
        </w:rPr>
        <w:t xml:space="preserve">presented </w:t>
      </w:r>
      <w:r w:rsidR="00DE2DB0" w:rsidRPr="00D9272F">
        <w:rPr>
          <w:bCs/>
        </w:rPr>
        <w:t xml:space="preserve">to better illustrate each theme. </w:t>
      </w:r>
    </w:p>
    <w:p w14:paraId="12D94A3C" w14:textId="77777777" w:rsidR="00DE2DB0" w:rsidRPr="00D9272F" w:rsidRDefault="00DE2DB0" w:rsidP="00DE2DB0">
      <w:pPr>
        <w:spacing w:line="480" w:lineRule="auto"/>
        <w:rPr>
          <w:bCs/>
        </w:rPr>
      </w:pPr>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10"/>
        <w:gridCol w:w="3510"/>
        <w:gridCol w:w="4700"/>
      </w:tblGrid>
      <w:tr w:rsidR="00434560" w:rsidRPr="00D07FEA" w14:paraId="37ADCE5E" w14:textId="77777777" w:rsidTr="0019654D">
        <w:trPr>
          <w:trHeight w:val="90"/>
        </w:trPr>
        <w:tc>
          <w:tcPr>
            <w:tcW w:w="810" w:type="dxa"/>
          </w:tcPr>
          <w:p w14:paraId="328A0BF2" w14:textId="77777777" w:rsidR="00434560" w:rsidRPr="00D07FEA" w:rsidRDefault="00434560" w:rsidP="0019654D">
            <w:pPr>
              <w:widowControl w:val="0"/>
              <w:autoSpaceDE w:val="0"/>
              <w:autoSpaceDN w:val="0"/>
              <w:adjustRightInd w:val="0"/>
              <w:spacing w:line="360" w:lineRule="auto"/>
              <w:ind w:right="-58"/>
              <w:jc w:val="both"/>
            </w:pPr>
          </w:p>
        </w:tc>
        <w:tc>
          <w:tcPr>
            <w:tcW w:w="3510" w:type="dxa"/>
            <w:vAlign w:val="center"/>
          </w:tcPr>
          <w:p w14:paraId="74F9036D" w14:textId="77777777" w:rsidR="00434560" w:rsidRPr="00D07FEA" w:rsidRDefault="00434560" w:rsidP="0019654D">
            <w:pPr>
              <w:widowControl w:val="0"/>
              <w:autoSpaceDE w:val="0"/>
              <w:autoSpaceDN w:val="0"/>
              <w:adjustRightInd w:val="0"/>
              <w:spacing w:line="360" w:lineRule="auto"/>
              <w:ind w:right="-58"/>
            </w:pPr>
            <w:r w:rsidRPr="00D07FEA">
              <w:t>Theme</w:t>
            </w:r>
          </w:p>
        </w:tc>
        <w:tc>
          <w:tcPr>
            <w:tcW w:w="4700" w:type="dxa"/>
            <w:vAlign w:val="center"/>
          </w:tcPr>
          <w:p w14:paraId="10055580" w14:textId="77777777" w:rsidR="00434560" w:rsidRPr="00D07FEA" w:rsidRDefault="00434560" w:rsidP="0019654D">
            <w:pPr>
              <w:widowControl w:val="0"/>
              <w:autoSpaceDE w:val="0"/>
              <w:autoSpaceDN w:val="0"/>
              <w:adjustRightInd w:val="0"/>
              <w:spacing w:line="360" w:lineRule="auto"/>
              <w:ind w:right="-58"/>
            </w:pPr>
            <w:r w:rsidRPr="00D07FEA">
              <w:t>Categories</w:t>
            </w:r>
          </w:p>
        </w:tc>
      </w:tr>
      <w:tr w:rsidR="00434560" w:rsidRPr="00D07FEA" w14:paraId="3A62F2E3" w14:textId="77777777" w:rsidTr="0019654D">
        <w:trPr>
          <w:trHeight w:val="341"/>
        </w:trPr>
        <w:tc>
          <w:tcPr>
            <w:tcW w:w="810" w:type="dxa"/>
            <w:vMerge w:val="restart"/>
            <w:vAlign w:val="center"/>
          </w:tcPr>
          <w:p w14:paraId="21D2AED6" w14:textId="77777777" w:rsidR="00434560" w:rsidRPr="00D07FEA" w:rsidRDefault="00434560" w:rsidP="0019654D">
            <w:pPr>
              <w:widowControl w:val="0"/>
              <w:autoSpaceDE w:val="0"/>
              <w:autoSpaceDN w:val="0"/>
              <w:adjustRightInd w:val="0"/>
              <w:spacing w:line="360" w:lineRule="auto"/>
              <w:ind w:right="-58"/>
            </w:pPr>
            <w:r w:rsidRPr="00D07FEA">
              <w:t>1</w:t>
            </w:r>
          </w:p>
        </w:tc>
        <w:tc>
          <w:tcPr>
            <w:tcW w:w="3510" w:type="dxa"/>
            <w:vMerge w:val="restart"/>
            <w:vAlign w:val="center"/>
          </w:tcPr>
          <w:p w14:paraId="2A8A148C" w14:textId="77777777" w:rsidR="00434560" w:rsidRPr="00D07FEA" w:rsidRDefault="00434560" w:rsidP="0019654D">
            <w:pPr>
              <w:widowControl w:val="0"/>
              <w:autoSpaceDE w:val="0"/>
              <w:autoSpaceDN w:val="0"/>
              <w:adjustRightInd w:val="0"/>
              <w:spacing w:line="360" w:lineRule="auto"/>
              <w:ind w:right="-58"/>
            </w:pPr>
            <w:r w:rsidRPr="00D07FEA">
              <w:t>Perceived Impacts</w:t>
            </w:r>
          </w:p>
        </w:tc>
        <w:tc>
          <w:tcPr>
            <w:tcW w:w="4700" w:type="dxa"/>
          </w:tcPr>
          <w:p w14:paraId="0E42F94F" w14:textId="77777777" w:rsidR="00434560" w:rsidRPr="00D07FEA" w:rsidRDefault="00434560" w:rsidP="0019654D">
            <w:pPr>
              <w:pStyle w:val="ListParagraph"/>
              <w:widowControl w:val="0"/>
              <w:numPr>
                <w:ilvl w:val="0"/>
                <w:numId w:val="1"/>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Sense of Hope</w:t>
            </w:r>
          </w:p>
        </w:tc>
      </w:tr>
      <w:tr w:rsidR="00434560" w:rsidRPr="00D07FEA" w14:paraId="14E7D063" w14:textId="77777777" w:rsidTr="0019654D">
        <w:trPr>
          <w:trHeight w:val="90"/>
        </w:trPr>
        <w:tc>
          <w:tcPr>
            <w:tcW w:w="810" w:type="dxa"/>
            <w:vMerge/>
            <w:vAlign w:val="center"/>
          </w:tcPr>
          <w:p w14:paraId="010CC83C"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626A4A23"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22AAFE3B" w14:textId="77777777" w:rsidR="00434560" w:rsidRPr="00D07FEA" w:rsidRDefault="00434560" w:rsidP="0019654D">
            <w:pPr>
              <w:pStyle w:val="ListParagraph"/>
              <w:widowControl w:val="0"/>
              <w:numPr>
                <w:ilvl w:val="0"/>
                <w:numId w:val="1"/>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Sense of Perspective and Coping Efficacy</w:t>
            </w:r>
          </w:p>
        </w:tc>
      </w:tr>
      <w:tr w:rsidR="00434560" w:rsidRPr="00D07FEA" w14:paraId="31DDB857" w14:textId="77777777" w:rsidTr="0019654D">
        <w:trPr>
          <w:trHeight w:val="125"/>
        </w:trPr>
        <w:tc>
          <w:tcPr>
            <w:tcW w:w="810" w:type="dxa"/>
            <w:vMerge/>
            <w:vAlign w:val="center"/>
          </w:tcPr>
          <w:p w14:paraId="1C322D39"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4BFDB395"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5EDF26BB" w14:textId="77777777" w:rsidR="00434560" w:rsidRPr="00D07FEA" w:rsidRDefault="00434560" w:rsidP="0019654D">
            <w:pPr>
              <w:pStyle w:val="ListParagraph"/>
              <w:widowControl w:val="0"/>
              <w:numPr>
                <w:ilvl w:val="0"/>
                <w:numId w:val="1"/>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Positive Social Networks</w:t>
            </w:r>
          </w:p>
        </w:tc>
      </w:tr>
      <w:tr w:rsidR="00434560" w:rsidRPr="00D07FEA" w14:paraId="59907660" w14:textId="77777777" w:rsidTr="0019654D">
        <w:trPr>
          <w:trHeight w:val="140"/>
        </w:trPr>
        <w:tc>
          <w:tcPr>
            <w:tcW w:w="810" w:type="dxa"/>
            <w:vMerge w:val="restart"/>
            <w:vAlign w:val="center"/>
          </w:tcPr>
          <w:p w14:paraId="21F5A45E" w14:textId="77777777" w:rsidR="00434560" w:rsidRPr="00D07FEA" w:rsidRDefault="00434560" w:rsidP="0019654D">
            <w:pPr>
              <w:widowControl w:val="0"/>
              <w:autoSpaceDE w:val="0"/>
              <w:autoSpaceDN w:val="0"/>
              <w:adjustRightInd w:val="0"/>
              <w:spacing w:line="360" w:lineRule="auto"/>
              <w:ind w:right="-58"/>
            </w:pPr>
            <w:r w:rsidRPr="00D07FEA">
              <w:t>2</w:t>
            </w:r>
          </w:p>
        </w:tc>
        <w:tc>
          <w:tcPr>
            <w:tcW w:w="3510" w:type="dxa"/>
            <w:vMerge w:val="restart"/>
            <w:vAlign w:val="center"/>
          </w:tcPr>
          <w:p w14:paraId="67AF7DEB" w14:textId="77777777" w:rsidR="00434560" w:rsidRPr="00D07FEA" w:rsidRDefault="00434560" w:rsidP="0019654D">
            <w:pPr>
              <w:widowControl w:val="0"/>
              <w:autoSpaceDE w:val="0"/>
              <w:autoSpaceDN w:val="0"/>
              <w:adjustRightInd w:val="0"/>
              <w:spacing w:line="360" w:lineRule="auto"/>
              <w:ind w:right="-58"/>
            </w:pPr>
            <w:r w:rsidRPr="00D07FEA">
              <w:t xml:space="preserve">Sports Appeal </w:t>
            </w:r>
          </w:p>
        </w:tc>
        <w:tc>
          <w:tcPr>
            <w:tcW w:w="4700" w:type="dxa"/>
          </w:tcPr>
          <w:p w14:paraId="527E7D0E" w14:textId="77777777" w:rsidR="00434560" w:rsidRPr="00D07FEA" w:rsidRDefault="00434560" w:rsidP="0019654D">
            <w:pPr>
              <w:pStyle w:val="ListParagraph"/>
              <w:widowControl w:val="0"/>
              <w:numPr>
                <w:ilvl w:val="0"/>
                <w:numId w:val="2"/>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Attraction of Sport</w:t>
            </w:r>
          </w:p>
        </w:tc>
      </w:tr>
      <w:tr w:rsidR="00434560" w:rsidRPr="00D07FEA" w14:paraId="2414AF72" w14:textId="77777777" w:rsidTr="0019654D">
        <w:trPr>
          <w:trHeight w:val="179"/>
        </w:trPr>
        <w:tc>
          <w:tcPr>
            <w:tcW w:w="810" w:type="dxa"/>
            <w:vMerge/>
            <w:vAlign w:val="center"/>
          </w:tcPr>
          <w:p w14:paraId="161A171F"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01F5B65D"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4A61C6CE" w14:textId="77777777" w:rsidR="00434560" w:rsidRPr="00D07FEA" w:rsidRDefault="00434560" w:rsidP="0019654D">
            <w:pPr>
              <w:pStyle w:val="ListParagraph"/>
              <w:widowControl w:val="0"/>
              <w:numPr>
                <w:ilvl w:val="0"/>
                <w:numId w:val="2"/>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 xml:space="preserve">Sense of Legitimacy </w:t>
            </w:r>
          </w:p>
        </w:tc>
      </w:tr>
      <w:tr w:rsidR="00434560" w:rsidRPr="00D07FEA" w14:paraId="4466995C" w14:textId="77777777" w:rsidTr="0019654D">
        <w:trPr>
          <w:trHeight w:val="90"/>
        </w:trPr>
        <w:tc>
          <w:tcPr>
            <w:tcW w:w="810" w:type="dxa"/>
            <w:vMerge w:val="restart"/>
            <w:vAlign w:val="center"/>
          </w:tcPr>
          <w:p w14:paraId="489B7464" w14:textId="77777777" w:rsidR="00434560" w:rsidRPr="00D07FEA" w:rsidRDefault="00434560" w:rsidP="0019654D">
            <w:pPr>
              <w:widowControl w:val="0"/>
              <w:autoSpaceDE w:val="0"/>
              <w:autoSpaceDN w:val="0"/>
              <w:adjustRightInd w:val="0"/>
              <w:spacing w:line="360" w:lineRule="auto"/>
              <w:ind w:right="-58"/>
            </w:pPr>
            <w:r w:rsidRPr="00D07FEA">
              <w:t>3</w:t>
            </w:r>
          </w:p>
        </w:tc>
        <w:tc>
          <w:tcPr>
            <w:tcW w:w="3510" w:type="dxa"/>
            <w:vMerge w:val="restart"/>
            <w:vAlign w:val="center"/>
          </w:tcPr>
          <w:p w14:paraId="0ECD0137" w14:textId="77777777" w:rsidR="00434560" w:rsidRPr="00D07FEA" w:rsidRDefault="00434560" w:rsidP="0019654D">
            <w:pPr>
              <w:widowControl w:val="0"/>
              <w:autoSpaceDE w:val="0"/>
              <w:autoSpaceDN w:val="0"/>
              <w:adjustRightInd w:val="0"/>
              <w:spacing w:line="360" w:lineRule="auto"/>
              <w:ind w:right="-58"/>
            </w:pPr>
            <w:r w:rsidRPr="00D07FEA">
              <w:t>Potential Barriers to Impact</w:t>
            </w:r>
          </w:p>
        </w:tc>
        <w:tc>
          <w:tcPr>
            <w:tcW w:w="4700" w:type="dxa"/>
          </w:tcPr>
          <w:p w14:paraId="69B44922" w14:textId="77777777" w:rsidR="00434560" w:rsidRPr="00D07FEA" w:rsidRDefault="00434560" w:rsidP="0019654D">
            <w:pPr>
              <w:pStyle w:val="ListParagraph"/>
              <w:widowControl w:val="0"/>
              <w:numPr>
                <w:ilvl w:val="0"/>
                <w:numId w:val="3"/>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Wary of Trusting Others</w:t>
            </w:r>
          </w:p>
        </w:tc>
      </w:tr>
      <w:tr w:rsidR="00434560" w:rsidRPr="00D07FEA" w14:paraId="170FF4F8" w14:textId="77777777" w:rsidTr="0019654D">
        <w:trPr>
          <w:trHeight w:val="183"/>
        </w:trPr>
        <w:tc>
          <w:tcPr>
            <w:tcW w:w="810" w:type="dxa"/>
            <w:vMerge/>
            <w:vAlign w:val="center"/>
          </w:tcPr>
          <w:p w14:paraId="2F162980"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0042ED7E"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229DB405" w14:textId="77777777" w:rsidR="00434560" w:rsidRPr="00D07FEA" w:rsidRDefault="00434560" w:rsidP="0019654D">
            <w:pPr>
              <w:pStyle w:val="ListParagraph"/>
              <w:widowControl w:val="0"/>
              <w:numPr>
                <w:ilvl w:val="0"/>
                <w:numId w:val="3"/>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 xml:space="preserve">Mental Health Stigma </w:t>
            </w:r>
          </w:p>
        </w:tc>
      </w:tr>
      <w:tr w:rsidR="00434560" w:rsidRPr="00D07FEA" w14:paraId="24CB8CFC" w14:textId="77777777" w:rsidTr="0019654D">
        <w:trPr>
          <w:trHeight w:val="181"/>
        </w:trPr>
        <w:tc>
          <w:tcPr>
            <w:tcW w:w="810" w:type="dxa"/>
            <w:vMerge/>
            <w:vAlign w:val="center"/>
          </w:tcPr>
          <w:p w14:paraId="5A358517"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523FA9A2"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6F5B835E" w14:textId="77777777" w:rsidR="00434560" w:rsidRPr="00D07FEA" w:rsidRDefault="00434560" w:rsidP="0019654D">
            <w:pPr>
              <w:pStyle w:val="ListParagraph"/>
              <w:widowControl w:val="0"/>
              <w:numPr>
                <w:ilvl w:val="0"/>
                <w:numId w:val="3"/>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Lack of Appropriate Meeting Space</w:t>
            </w:r>
          </w:p>
        </w:tc>
      </w:tr>
      <w:tr w:rsidR="00434560" w:rsidRPr="00D07FEA" w14:paraId="397CEBF9" w14:textId="77777777" w:rsidTr="0019654D">
        <w:trPr>
          <w:trHeight w:val="181"/>
        </w:trPr>
        <w:tc>
          <w:tcPr>
            <w:tcW w:w="810" w:type="dxa"/>
            <w:vMerge/>
            <w:vAlign w:val="center"/>
          </w:tcPr>
          <w:p w14:paraId="2FEC5F50" w14:textId="77777777" w:rsidR="00434560" w:rsidRPr="00D07FEA" w:rsidRDefault="00434560" w:rsidP="0019654D">
            <w:pPr>
              <w:widowControl w:val="0"/>
              <w:autoSpaceDE w:val="0"/>
              <w:autoSpaceDN w:val="0"/>
              <w:adjustRightInd w:val="0"/>
              <w:spacing w:line="360" w:lineRule="auto"/>
              <w:ind w:right="-58"/>
            </w:pPr>
          </w:p>
        </w:tc>
        <w:tc>
          <w:tcPr>
            <w:tcW w:w="3510" w:type="dxa"/>
            <w:vMerge/>
            <w:vAlign w:val="center"/>
          </w:tcPr>
          <w:p w14:paraId="1A1149A5" w14:textId="77777777" w:rsidR="00434560" w:rsidRPr="00D07FEA" w:rsidRDefault="00434560" w:rsidP="0019654D">
            <w:pPr>
              <w:widowControl w:val="0"/>
              <w:autoSpaceDE w:val="0"/>
              <w:autoSpaceDN w:val="0"/>
              <w:adjustRightInd w:val="0"/>
              <w:spacing w:line="360" w:lineRule="auto"/>
              <w:ind w:right="-58"/>
            </w:pPr>
          </w:p>
        </w:tc>
        <w:tc>
          <w:tcPr>
            <w:tcW w:w="4700" w:type="dxa"/>
          </w:tcPr>
          <w:p w14:paraId="244300A8" w14:textId="77777777" w:rsidR="00434560" w:rsidRPr="00D07FEA" w:rsidRDefault="00434560" w:rsidP="0019654D">
            <w:pPr>
              <w:pStyle w:val="ListParagraph"/>
              <w:widowControl w:val="0"/>
              <w:numPr>
                <w:ilvl w:val="0"/>
                <w:numId w:val="3"/>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Lack of Follow-up Support</w:t>
            </w:r>
          </w:p>
        </w:tc>
      </w:tr>
      <w:tr w:rsidR="00434560" w:rsidRPr="00D07FEA" w14:paraId="44FC9E49" w14:textId="77777777" w:rsidTr="0019654D">
        <w:trPr>
          <w:trHeight w:val="90"/>
        </w:trPr>
        <w:tc>
          <w:tcPr>
            <w:tcW w:w="810" w:type="dxa"/>
            <w:vMerge w:val="restart"/>
            <w:vAlign w:val="center"/>
          </w:tcPr>
          <w:p w14:paraId="0875791E" w14:textId="77777777" w:rsidR="00434560" w:rsidRPr="00D07FEA" w:rsidRDefault="00434560" w:rsidP="0019654D">
            <w:pPr>
              <w:widowControl w:val="0"/>
              <w:autoSpaceDE w:val="0"/>
              <w:autoSpaceDN w:val="0"/>
              <w:adjustRightInd w:val="0"/>
              <w:spacing w:line="360" w:lineRule="auto"/>
              <w:ind w:right="-58"/>
            </w:pPr>
            <w:r w:rsidRPr="00D07FEA">
              <w:lastRenderedPageBreak/>
              <w:t>4</w:t>
            </w:r>
          </w:p>
        </w:tc>
        <w:tc>
          <w:tcPr>
            <w:tcW w:w="3510" w:type="dxa"/>
            <w:vMerge w:val="restart"/>
            <w:vAlign w:val="center"/>
          </w:tcPr>
          <w:p w14:paraId="1DB41638" w14:textId="77777777" w:rsidR="00434560" w:rsidRPr="00D07FEA" w:rsidRDefault="00434560" w:rsidP="0019654D">
            <w:pPr>
              <w:widowControl w:val="0"/>
              <w:autoSpaceDE w:val="0"/>
              <w:autoSpaceDN w:val="0"/>
              <w:adjustRightInd w:val="0"/>
              <w:spacing w:line="360" w:lineRule="auto"/>
              <w:ind w:right="-58"/>
            </w:pPr>
            <w:r w:rsidRPr="00D07FEA">
              <w:t>Suggested Improvements</w:t>
            </w:r>
          </w:p>
        </w:tc>
        <w:tc>
          <w:tcPr>
            <w:tcW w:w="4700" w:type="dxa"/>
          </w:tcPr>
          <w:p w14:paraId="20C51D2A" w14:textId="77777777" w:rsidR="00434560" w:rsidRPr="00D07FEA" w:rsidRDefault="00434560" w:rsidP="0019654D">
            <w:pPr>
              <w:pStyle w:val="ListParagraph"/>
              <w:widowControl w:val="0"/>
              <w:numPr>
                <w:ilvl w:val="0"/>
                <w:numId w:val="4"/>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 xml:space="preserve">Handouts </w:t>
            </w:r>
          </w:p>
        </w:tc>
      </w:tr>
      <w:tr w:rsidR="00434560" w:rsidRPr="00D07FEA" w14:paraId="4DB8FD40" w14:textId="77777777" w:rsidTr="0019654D">
        <w:trPr>
          <w:trHeight w:val="90"/>
        </w:trPr>
        <w:tc>
          <w:tcPr>
            <w:tcW w:w="810" w:type="dxa"/>
            <w:vMerge/>
          </w:tcPr>
          <w:p w14:paraId="2A51420B" w14:textId="77777777" w:rsidR="00434560" w:rsidRPr="00D07FEA" w:rsidRDefault="00434560" w:rsidP="0019654D">
            <w:pPr>
              <w:widowControl w:val="0"/>
              <w:autoSpaceDE w:val="0"/>
              <w:autoSpaceDN w:val="0"/>
              <w:adjustRightInd w:val="0"/>
              <w:spacing w:line="360" w:lineRule="auto"/>
              <w:ind w:right="-58"/>
              <w:jc w:val="both"/>
            </w:pPr>
          </w:p>
        </w:tc>
        <w:tc>
          <w:tcPr>
            <w:tcW w:w="3510" w:type="dxa"/>
            <w:vMerge/>
          </w:tcPr>
          <w:p w14:paraId="0A5F6C94" w14:textId="77777777" w:rsidR="00434560" w:rsidRPr="00D07FEA" w:rsidRDefault="00434560" w:rsidP="0019654D">
            <w:pPr>
              <w:widowControl w:val="0"/>
              <w:autoSpaceDE w:val="0"/>
              <w:autoSpaceDN w:val="0"/>
              <w:adjustRightInd w:val="0"/>
              <w:spacing w:line="360" w:lineRule="auto"/>
              <w:ind w:right="-58"/>
              <w:jc w:val="both"/>
            </w:pPr>
          </w:p>
        </w:tc>
        <w:tc>
          <w:tcPr>
            <w:tcW w:w="4700" w:type="dxa"/>
          </w:tcPr>
          <w:p w14:paraId="09D50F4F" w14:textId="77777777" w:rsidR="00434560" w:rsidRPr="00D07FEA" w:rsidRDefault="00434560" w:rsidP="0019654D">
            <w:pPr>
              <w:pStyle w:val="ListParagraph"/>
              <w:widowControl w:val="0"/>
              <w:numPr>
                <w:ilvl w:val="0"/>
                <w:numId w:val="4"/>
              </w:numPr>
              <w:autoSpaceDE w:val="0"/>
              <w:autoSpaceDN w:val="0"/>
              <w:adjustRightInd w:val="0"/>
              <w:spacing w:line="360" w:lineRule="auto"/>
              <w:ind w:left="260" w:right="-58"/>
              <w:jc w:val="both"/>
              <w:rPr>
                <w:rFonts w:ascii="Times New Roman" w:hAnsi="Times New Roman"/>
              </w:rPr>
            </w:pPr>
            <w:r w:rsidRPr="00D07FEA">
              <w:rPr>
                <w:rFonts w:ascii="Times New Roman" w:hAnsi="Times New Roman"/>
              </w:rPr>
              <w:t>Prisoner Involvement</w:t>
            </w:r>
          </w:p>
        </w:tc>
      </w:tr>
    </w:tbl>
    <w:p w14:paraId="7CF8F2CD" w14:textId="77777777" w:rsidR="00434560" w:rsidRDefault="00434560" w:rsidP="00AD15B1">
      <w:pPr>
        <w:widowControl w:val="0"/>
        <w:autoSpaceDE w:val="0"/>
        <w:autoSpaceDN w:val="0"/>
        <w:adjustRightInd w:val="0"/>
        <w:spacing w:line="480" w:lineRule="auto"/>
        <w:ind w:right="-58"/>
        <w:jc w:val="both"/>
        <w:rPr>
          <w:b/>
        </w:rPr>
      </w:pPr>
    </w:p>
    <w:p w14:paraId="74F2ACA2" w14:textId="2BF8A5AF" w:rsidR="00AD15B1" w:rsidRPr="003B46F9" w:rsidRDefault="00DE2DB0" w:rsidP="00AD15B1">
      <w:pPr>
        <w:widowControl w:val="0"/>
        <w:autoSpaceDE w:val="0"/>
        <w:autoSpaceDN w:val="0"/>
        <w:adjustRightInd w:val="0"/>
        <w:spacing w:line="480" w:lineRule="auto"/>
        <w:ind w:right="-58"/>
        <w:jc w:val="both"/>
        <w:rPr>
          <w:b/>
        </w:rPr>
      </w:pPr>
      <w:r w:rsidRPr="003B46F9">
        <w:rPr>
          <w:b/>
        </w:rPr>
        <w:t xml:space="preserve">Table </w:t>
      </w:r>
      <w:r w:rsidR="00B5481D" w:rsidRPr="003B46F9">
        <w:rPr>
          <w:b/>
        </w:rPr>
        <w:t>2</w:t>
      </w:r>
      <w:r w:rsidRPr="003B46F9">
        <w:rPr>
          <w:b/>
        </w:rPr>
        <w:t xml:space="preserve">: Emergent Focus Group Themes </w:t>
      </w:r>
      <w:r w:rsidR="00A1141D" w:rsidRPr="003B46F9">
        <w:rPr>
          <w:b/>
        </w:rPr>
        <w:t>and Associated Categories</w:t>
      </w:r>
    </w:p>
    <w:p w14:paraId="1CD5A7A2" w14:textId="77777777" w:rsidR="00AD15B1" w:rsidRDefault="00AD15B1" w:rsidP="00AD15B1">
      <w:pPr>
        <w:widowControl w:val="0"/>
        <w:autoSpaceDE w:val="0"/>
        <w:autoSpaceDN w:val="0"/>
        <w:adjustRightInd w:val="0"/>
        <w:spacing w:line="480" w:lineRule="auto"/>
        <w:ind w:right="-58"/>
        <w:jc w:val="both"/>
        <w:rPr>
          <w:b/>
          <w:bCs/>
          <w:i/>
        </w:rPr>
      </w:pPr>
    </w:p>
    <w:p w14:paraId="4B8CB12A" w14:textId="77777777" w:rsidR="00DE2DB0" w:rsidRPr="00AD15B1" w:rsidRDefault="00DE2DB0" w:rsidP="00AD15B1">
      <w:pPr>
        <w:widowControl w:val="0"/>
        <w:autoSpaceDE w:val="0"/>
        <w:autoSpaceDN w:val="0"/>
        <w:adjustRightInd w:val="0"/>
        <w:spacing w:line="480" w:lineRule="auto"/>
        <w:ind w:right="-58"/>
        <w:jc w:val="both"/>
        <w:rPr>
          <w:b/>
        </w:rPr>
      </w:pPr>
      <w:r w:rsidRPr="00D9272F">
        <w:rPr>
          <w:b/>
          <w:bCs/>
          <w:i/>
        </w:rPr>
        <w:t>Theme: Perceived Impacts</w:t>
      </w:r>
    </w:p>
    <w:p w14:paraId="6F7584C0" w14:textId="77777777" w:rsidR="00DE2DB0" w:rsidRPr="00D9272F" w:rsidRDefault="00DE2DB0" w:rsidP="00DE2DB0">
      <w:pPr>
        <w:spacing w:line="480" w:lineRule="auto"/>
        <w:rPr>
          <w:bCs/>
          <w:i/>
        </w:rPr>
      </w:pPr>
      <w:r w:rsidRPr="00D9272F">
        <w:rPr>
          <w:bCs/>
          <w:i/>
        </w:rPr>
        <w:t>Sense of Hope</w:t>
      </w:r>
    </w:p>
    <w:p w14:paraId="0A72BA8E" w14:textId="77777777" w:rsidR="00DE2DB0" w:rsidRPr="00D9272F" w:rsidRDefault="003B5C29" w:rsidP="001A7F8E">
      <w:pPr>
        <w:spacing w:line="480" w:lineRule="auto"/>
        <w:rPr>
          <w:bCs/>
          <w:i/>
        </w:rPr>
      </w:pPr>
      <w:r w:rsidRPr="00D9272F">
        <w:rPr>
          <w:bCs/>
        </w:rPr>
        <w:t xml:space="preserve">Participants felt they had a </w:t>
      </w:r>
      <w:r w:rsidR="00DE2DB0" w:rsidRPr="00D9272F">
        <w:rPr>
          <w:bCs/>
        </w:rPr>
        <w:t>renewed sense of hope</w:t>
      </w:r>
      <w:r w:rsidR="00732FDF" w:rsidRPr="00D9272F">
        <w:rPr>
          <w:bCs/>
        </w:rPr>
        <w:t>; t</w:t>
      </w:r>
      <w:r w:rsidR="00DE2DB0" w:rsidRPr="00D9272F">
        <w:rPr>
          <w:bCs/>
        </w:rPr>
        <w:t>hat with a positive attitude, willingness to open up to others, and support from others, negative thoughts and feelings could be better dealt with. Participant B3 captured this well in the following quote:</w:t>
      </w:r>
    </w:p>
    <w:p w14:paraId="6E6B965A" w14:textId="6E7A4690"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 xml:space="preserve">“I think as far as this </w:t>
      </w:r>
      <w:r w:rsidR="00175AC7" w:rsidRPr="00D9272F">
        <w:rPr>
          <w:rFonts w:ascii="Times New Roman" w:hAnsi="Times New Roman"/>
          <w:i/>
        </w:rPr>
        <w:t>programme</w:t>
      </w:r>
      <w:r w:rsidRPr="00D9272F">
        <w:rPr>
          <w:rFonts w:ascii="Times New Roman" w:hAnsi="Times New Roman"/>
          <w:i/>
        </w:rPr>
        <w:t xml:space="preserve"> goes, it's good. It showed two gentlemen that have been through it and it's almost like a sign of hope. Obviously we're going through hardships now, maybe we've gone through hardships in the past and like you say, going outside is going to be a whole new world. We're going to be treated differently, we're ex-offenders now, we know it's tough getting jobs, there are going to be more hardships in the future as well. But seeing gentlemen that have been through, you couldn't imagine much worse than being disabled from the neck down, and going through that and seeing a positive attitude. I think that positivity that comes across is a big key.</w:t>
      </w:r>
      <w:r w:rsidR="00762CB6">
        <w:rPr>
          <w:rFonts w:ascii="Times New Roman" w:hAnsi="Times New Roman"/>
          <w:i/>
        </w:rPr>
        <w:t>”</w:t>
      </w:r>
      <w:r w:rsidRPr="00D9272F">
        <w:rPr>
          <w:rFonts w:ascii="Times New Roman" w:hAnsi="Times New Roman"/>
          <w:i/>
        </w:rPr>
        <w:t xml:space="preserve"> </w:t>
      </w:r>
    </w:p>
    <w:p w14:paraId="3073E073" w14:textId="77777777" w:rsidR="00DE2DB0" w:rsidRPr="00D9272F" w:rsidRDefault="00DE2DB0" w:rsidP="00DE2DB0">
      <w:pPr>
        <w:spacing w:line="480" w:lineRule="auto"/>
        <w:rPr>
          <w:bCs/>
        </w:rPr>
      </w:pPr>
    </w:p>
    <w:p w14:paraId="68766907" w14:textId="77777777" w:rsidR="00DE2DB0" w:rsidRPr="00D9272F" w:rsidRDefault="00DE2DB0" w:rsidP="00DE2DB0">
      <w:pPr>
        <w:spacing w:line="480" w:lineRule="auto"/>
        <w:rPr>
          <w:bCs/>
          <w:i/>
        </w:rPr>
      </w:pPr>
      <w:r w:rsidRPr="00D9272F">
        <w:rPr>
          <w:bCs/>
          <w:i/>
        </w:rPr>
        <w:t xml:space="preserve">Sense of Perspective and Coping Efficacy </w:t>
      </w:r>
    </w:p>
    <w:p w14:paraId="21A815CD" w14:textId="1087205D" w:rsidR="00DE2DB0" w:rsidRPr="00D9272F" w:rsidRDefault="00645FFA" w:rsidP="001A7F8E">
      <w:pPr>
        <w:spacing w:line="480" w:lineRule="auto"/>
        <w:rPr>
          <w:bCs/>
        </w:rPr>
      </w:pPr>
      <w:r>
        <w:rPr>
          <w:bCs/>
        </w:rPr>
        <w:t xml:space="preserve">Participants agreed that the programme </w:t>
      </w:r>
      <w:r w:rsidR="00DE2DB0" w:rsidRPr="00D9272F">
        <w:rPr>
          <w:bCs/>
        </w:rPr>
        <w:t xml:space="preserve">offered a sense of perspective </w:t>
      </w:r>
      <w:r w:rsidR="00C67626">
        <w:rPr>
          <w:bCs/>
        </w:rPr>
        <w:t>on</w:t>
      </w:r>
      <w:r w:rsidR="00DE2DB0" w:rsidRPr="00D9272F">
        <w:rPr>
          <w:bCs/>
        </w:rPr>
        <w:t xml:space="preserve"> their own personal problems. The prevailing view was that if the SOMS speakers could deal with the problems they faced (e.g., loss of identity, depression, disability, suicidal thoughts) and continue to be positive and succeed, then </w:t>
      </w:r>
      <w:r w:rsidR="007758B5" w:rsidRPr="00D9272F">
        <w:rPr>
          <w:bCs/>
        </w:rPr>
        <w:t xml:space="preserve">prisoners </w:t>
      </w:r>
      <w:r w:rsidR="00DE2DB0" w:rsidRPr="00D9272F">
        <w:rPr>
          <w:bCs/>
        </w:rPr>
        <w:t xml:space="preserve">could also re-frame their problems more positively. As a </w:t>
      </w:r>
      <w:r w:rsidR="00DE2DB0" w:rsidRPr="00D9272F">
        <w:rPr>
          <w:bCs/>
        </w:rPr>
        <w:lastRenderedPageBreak/>
        <w:t>result, there was also a sense of improved coping efficacy among the prisoners. Participants A4 and B4 capture these emerging themes in the following quotes:</w:t>
      </w:r>
    </w:p>
    <w:p w14:paraId="48590E4C"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“To hear you’re paralyzed from the neck down, it's massive isn't it, and it sort of brings things into perspective. Obviously, suffering from depression anxiety and other stuff like…  they've overcome massive things haven’t they, and they’re not dwelling on the worst, they're taking the best, if you know what I mean?”(Participant A4)</w:t>
      </w:r>
    </w:p>
    <w:p w14:paraId="1B8655A0"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360"/>
        <w:jc w:val="both"/>
        <w:rPr>
          <w:rFonts w:ascii="Times New Roman" w:hAnsi="Times New Roman"/>
          <w:i/>
        </w:rPr>
      </w:pPr>
    </w:p>
    <w:p w14:paraId="0B8F90B4"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“And this is exactly how we've been feeling. None of us would be sat here if we didn't feel that… we don't want to lie about it, we do want to learn, we do want to recover</w:t>
      </w:r>
      <w:r w:rsidR="00213562" w:rsidRPr="00D9272F">
        <w:rPr>
          <w:rFonts w:ascii="Times New Roman" w:hAnsi="Times New Roman"/>
          <w:i/>
        </w:rPr>
        <w:t>…</w:t>
      </w:r>
      <w:r w:rsidRPr="00D9272F">
        <w:rPr>
          <w:rFonts w:ascii="Times New Roman" w:hAnsi="Times New Roman"/>
          <w:i/>
        </w:rPr>
        <w:t xml:space="preserve"> </w:t>
      </w:r>
      <w:r w:rsidR="00213562" w:rsidRPr="00D9272F">
        <w:rPr>
          <w:rFonts w:ascii="Times New Roman" w:hAnsi="Times New Roman"/>
          <w:i/>
        </w:rPr>
        <w:t>i</w:t>
      </w:r>
      <w:r w:rsidRPr="00D9272F">
        <w:rPr>
          <w:rFonts w:ascii="Times New Roman" w:hAnsi="Times New Roman"/>
          <w:i/>
        </w:rPr>
        <w:t>f you've got these new skills and these new tools, then we can go outside, hopefully a better person.” (Participant B4)</w:t>
      </w:r>
    </w:p>
    <w:p w14:paraId="1DAEF800" w14:textId="77777777" w:rsidR="00DE2DB0" w:rsidRPr="00D9272F" w:rsidRDefault="00DE2DB0" w:rsidP="00DE2DB0">
      <w:pPr>
        <w:spacing w:line="480" w:lineRule="auto"/>
        <w:rPr>
          <w:bCs/>
          <w:i/>
        </w:rPr>
      </w:pPr>
    </w:p>
    <w:p w14:paraId="5C6CCABA" w14:textId="77777777" w:rsidR="00DE2DB0" w:rsidRPr="00D9272F" w:rsidRDefault="00DE2DB0" w:rsidP="00DE2DB0">
      <w:pPr>
        <w:spacing w:line="480" w:lineRule="auto"/>
        <w:rPr>
          <w:bCs/>
          <w:i/>
        </w:rPr>
      </w:pPr>
      <w:r w:rsidRPr="00D9272F">
        <w:rPr>
          <w:bCs/>
          <w:i/>
        </w:rPr>
        <w:t>Positive Social Networks</w:t>
      </w:r>
    </w:p>
    <w:p w14:paraId="54AA1A49" w14:textId="77777777" w:rsidR="00DE2DB0" w:rsidRPr="00D9272F" w:rsidRDefault="00DE2DB0" w:rsidP="001A7F8E">
      <w:pPr>
        <w:spacing w:line="480" w:lineRule="auto"/>
        <w:rPr>
          <w:bCs/>
        </w:rPr>
      </w:pPr>
      <w:r w:rsidRPr="00D9272F">
        <w:rPr>
          <w:bCs/>
        </w:rPr>
        <w:t xml:space="preserve">Reflecting on the benefit the presenters received from opening up to their friends and family, prisoners commented on the potential for benefit to be gained from </w:t>
      </w:r>
      <w:r w:rsidR="00037AF4" w:rsidRPr="00D9272F">
        <w:rPr>
          <w:bCs/>
        </w:rPr>
        <w:t xml:space="preserve">confiding </w:t>
      </w:r>
      <w:r w:rsidR="007F47FA" w:rsidRPr="00D9272F">
        <w:rPr>
          <w:bCs/>
        </w:rPr>
        <w:t>in their</w:t>
      </w:r>
      <w:r w:rsidRPr="00D9272F">
        <w:rPr>
          <w:bCs/>
        </w:rPr>
        <w:t xml:space="preserve"> own positive social networks within prison</w:t>
      </w:r>
      <w:r w:rsidR="007F47FA" w:rsidRPr="00D9272F">
        <w:rPr>
          <w:bCs/>
        </w:rPr>
        <w:t xml:space="preserve">. </w:t>
      </w:r>
      <w:r w:rsidRPr="00D9272F">
        <w:rPr>
          <w:bCs/>
        </w:rPr>
        <w:t xml:space="preserve">Similarly, there was an increased awareness of </w:t>
      </w:r>
      <w:r w:rsidR="00CA74E5" w:rsidRPr="00D9272F">
        <w:rPr>
          <w:bCs/>
        </w:rPr>
        <w:t>their own potential</w:t>
      </w:r>
      <w:r w:rsidRPr="00D9272F">
        <w:rPr>
          <w:bCs/>
        </w:rPr>
        <w:t xml:space="preserve"> to act as a </w:t>
      </w:r>
      <w:r w:rsidR="00C66C39" w:rsidRPr="00D9272F">
        <w:rPr>
          <w:bCs/>
        </w:rPr>
        <w:t xml:space="preserve">positive </w:t>
      </w:r>
      <w:r w:rsidRPr="00D9272F">
        <w:rPr>
          <w:bCs/>
        </w:rPr>
        <w:t xml:space="preserve">sounding board for prisoners at risk of poor </w:t>
      </w:r>
      <w:r w:rsidR="0008097A" w:rsidRPr="00D9272F">
        <w:rPr>
          <w:bCs/>
        </w:rPr>
        <w:t xml:space="preserve">mental </w:t>
      </w:r>
      <w:r w:rsidRPr="00D9272F">
        <w:rPr>
          <w:bCs/>
        </w:rPr>
        <w:t xml:space="preserve">well-being. However, this was tempered by a </w:t>
      </w:r>
      <w:r w:rsidR="0008097A" w:rsidRPr="00D9272F">
        <w:rPr>
          <w:bCs/>
        </w:rPr>
        <w:t xml:space="preserve">wariness </w:t>
      </w:r>
      <w:r w:rsidR="00F122A0" w:rsidRPr="00D9272F">
        <w:rPr>
          <w:bCs/>
        </w:rPr>
        <w:t>of taking on</w:t>
      </w:r>
      <w:r w:rsidRPr="00D9272F">
        <w:rPr>
          <w:bCs/>
        </w:rPr>
        <w:t xml:space="preserve"> other people’s problems as they had enough to deal with; whilst other</w:t>
      </w:r>
      <w:r w:rsidR="00F122A0" w:rsidRPr="00D9272F">
        <w:rPr>
          <w:bCs/>
        </w:rPr>
        <w:t>s</w:t>
      </w:r>
      <w:r w:rsidRPr="00D9272F">
        <w:rPr>
          <w:bCs/>
        </w:rPr>
        <w:t xml:space="preserve"> took the opposite view</w:t>
      </w:r>
      <w:r w:rsidR="00F122A0" w:rsidRPr="00D9272F">
        <w:rPr>
          <w:bCs/>
        </w:rPr>
        <w:t>,</w:t>
      </w:r>
      <w:r w:rsidRPr="00D9272F">
        <w:rPr>
          <w:bCs/>
        </w:rPr>
        <w:t xml:space="preserve"> that listening to other people’s problems helped put theirs in</w:t>
      </w:r>
      <w:r w:rsidR="00C33DBF" w:rsidRPr="00D9272F">
        <w:rPr>
          <w:bCs/>
        </w:rPr>
        <w:t>to a more positive</w:t>
      </w:r>
      <w:r w:rsidRPr="00D9272F">
        <w:rPr>
          <w:bCs/>
        </w:rPr>
        <w:t xml:space="preserve"> perspective. </w:t>
      </w:r>
    </w:p>
    <w:p w14:paraId="1CBF3EC2" w14:textId="77777777" w:rsidR="00DE2DB0" w:rsidRPr="00D9272F" w:rsidRDefault="00DE2DB0" w:rsidP="00DE2DB0">
      <w:pPr>
        <w:spacing w:line="480" w:lineRule="auto"/>
        <w:rPr>
          <w:bCs/>
        </w:rPr>
      </w:pPr>
    </w:p>
    <w:p w14:paraId="6FD762F4" w14:textId="77777777" w:rsidR="00DE2DB0" w:rsidRPr="00D9272F" w:rsidRDefault="00DE2DB0" w:rsidP="00DE2DB0">
      <w:pPr>
        <w:spacing w:line="480" w:lineRule="auto"/>
        <w:rPr>
          <w:b/>
          <w:bCs/>
          <w:i/>
        </w:rPr>
      </w:pPr>
      <w:r w:rsidRPr="00D9272F">
        <w:rPr>
          <w:b/>
          <w:bCs/>
          <w:i/>
        </w:rPr>
        <w:t>Theme: Sports Appeal</w:t>
      </w:r>
    </w:p>
    <w:p w14:paraId="34FC199C" w14:textId="77777777" w:rsidR="00DE2DB0" w:rsidRPr="00D9272F" w:rsidRDefault="00DE2DB0" w:rsidP="00DE2DB0">
      <w:pPr>
        <w:spacing w:line="480" w:lineRule="auto"/>
        <w:rPr>
          <w:bCs/>
          <w:i/>
        </w:rPr>
      </w:pPr>
      <w:r w:rsidRPr="00D9272F">
        <w:rPr>
          <w:bCs/>
          <w:i/>
        </w:rPr>
        <w:t>Attraction of Sport</w:t>
      </w:r>
    </w:p>
    <w:p w14:paraId="466F4FF6" w14:textId="77777777" w:rsidR="00DE2DB0" w:rsidRPr="00D9272F" w:rsidRDefault="009F17CD" w:rsidP="005921E8">
      <w:pPr>
        <w:spacing w:line="480" w:lineRule="auto"/>
        <w:ind w:firstLine="720"/>
        <w:rPr>
          <w:bCs/>
        </w:rPr>
      </w:pPr>
      <w:r w:rsidRPr="00D9272F">
        <w:rPr>
          <w:bCs/>
        </w:rPr>
        <w:t xml:space="preserve">Both the </w:t>
      </w:r>
      <w:r w:rsidR="00CB5213" w:rsidRPr="00D9272F">
        <w:rPr>
          <w:bCs/>
        </w:rPr>
        <w:t>s</w:t>
      </w:r>
      <w:r w:rsidR="00A92F84" w:rsidRPr="00D9272F">
        <w:rPr>
          <w:bCs/>
        </w:rPr>
        <w:t>port</w:t>
      </w:r>
      <w:r w:rsidR="00CB5213" w:rsidRPr="00D9272F">
        <w:rPr>
          <w:bCs/>
        </w:rPr>
        <w:t>ing context</w:t>
      </w:r>
      <w:r w:rsidR="00A92F84" w:rsidRPr="00D9272F">
        <w:rPr>
          <w:bCs/>
        </w:rPr>
        <w:t xml:space="preserve"> and the </w:t>
      </w:r>
      <w:r w:rsidR="00CB5213" w:rsidRPr="00D9272F">
        <w:rPr>
          <w:bCs/>
        </w:rPr>
        <w:t xml:space="preserve">mental well-being </w:t>
      </w:r>
      <w:r w:rsidR="00A92F84" w:rsidRPr="00D9272F">
        <w:rPr>
          <w:bCs/>
        </w:rPr>
        <w:t>theme of the session were equally attractive to participants</w:t>
      </w:r>
      <w:r w:rsidR="006350F6" w:rsidRPr="00D9272F">
        <w:rPr>
          <w:bCs/>
        </w:rPr>
        <w:t xml:space="preserve">, </w:t>
      </w:r>
      <w:r w:rsidR="00DE2DB0" w:rsidRPr="00D9272F">
        <w:rPr>
          <w:bCs/>
        </w:rPr>
        <w:t>as voiced by Participant A1</w:t>
      </w:r>
      <w:r w:rsidR="00DE2DB0" w:rsidRPr="00D9272F">
        <w:rPr>
          <w:bCs/>
          <w:i/>
        </w:rPr>
        <w:t>: “I think that makes it more appealing</w:t>
      </w:r>
      <w:r w:rsidR="00121B86" w:rsidRPr="00D9272F">
        <w:rPr>
          <w:bCs/>
          <w:i/>
        </w:rPr>
        <w:t xml:space="preserve"> </w:t>
      </w:r>
      <w:r w:rsidR="00121B86" w:rsidRPr="00D9272F">
        <w:rPr>
          <w:bCs/>
          <w:i/>
        </w:rPr>
        <w:lastRenderedPageBreak/>
        <w:t>[the session theme]</w:t>
      </w:r>
      <w:r w:rsidR="00DE2DB0" w:rsidRPr="00D9272F">
        <w:rPr>
          <w:bCs/>
          <w:i/>
        </w:rPr>
        <w:t>, that it was ex-professional rugby players</w:t>
      </w:r>
      <w:r w:rsidR="00121B86" w:rsidRPr="00D9272F">
        <w:rPr>
          <w:bCs/>
          <w:i/>
        </w:rPr>
        <w:t xml:space="preserve"> [presenting]</w:t>
      </w:r>
      <w:r w:rsidR="00DE2DB0" w:rsidRPr="00D9272F">
        <w:rPr>
          <w:bCs/>
          <w:i/>
        </w:rPr>
        <w:t xml:space="preserve">”. </w:t>
      </w:r>
      <w:r w:rsidR="00DE2DB0" w:rsidRPr="00D9272F">
        <w:rPr>
          <w:bCs/>
        </w:rPr>
        <w:t>However, other participants commented they had no over-riding interest in sport or aware</w:t>
      </w:r>
      <w:r w:rsidR="00FD73F7" w:rsidRPr="00D9272F">
        <w:rPr>
          <w:bCs/>
        </w:rPr>
        <w:t>ness</w:t>
      </w:r>
      <w:r w:rsidR="00DE2DB0" w:rsidRPr="00D9272F">
        <w:rPr>
          <w:bCs/>
        </w:rPr>
        <w:t xml:space="preserve"> of the </w:t>
      </w:r>
      <w:r w:rsidR="00FD73F7" w:rsidRPr="00D9272F">
        <w:rPr>
          <w:bCs/>
        </w:rPr>
        <w:t>presenters</w:t>
      </w:r>
      <w:r w:rsidR="00DE2DB0" w:rsidRPr="00D9272F">
        <w:rPr>
          <w:bCs/>
        </w:rPr>
        <w:t xml:space="preserve">. Their primary reason for attending was purely an interest in the topic: </w:t>
      </w:r>
      <w:r w:rsidR="00DE2DB0" w:rsidRPr="00D9272F">
        <w:rPr>
          <w:bCs/>
          <w:i/>
        </w:rPr>
        <w:t>“I'd never seen him before in my life, professional rugby player and that, but because they said they’d opened up, you're thinking yes alright I can relate to that, I can listen to that… that's what you need in here</w:t>
      </w:r>
      <w:r w:rsidR="002976B7" w:rsidRPr="00D9272F">
        <w:rPr>
          <w:bCs/>
          <w:i/>
        </w:rPr>
        <w:t>,</w:t>
      </w:r>
      <w:r w:rsidR="00DE2DB0" w:rsidRPr="00D9272F">
        <w:rPr>
          <w:bCs/>
          <w:i/>
        </w:rPr>
        <w:t xml:space="preserve"> something like that.” </w:t>
      </w:r>
      <w:r w:rsidR="00DE2DB0" w:rsidRPr="00D9272F">
        <w:rPr>
          <w:bCs/>
        </w:rPr>
        <w:t xml:space="preserve"> </w:t>
      </w:r>
    </w:p>
    <w:p w14:paraId="375B657D" w14:textId="77777777" w:rsidR="00D51AA8" w:rsidRPr="00D9272F" w:rsidRDefault="00D51AA8" w:rsidP="00D51AA8">
      <w:pPr>
        <w:spacing w:line="480" w:lineRule="auto"/>
        <w:rPr>
          <w:i/>
        </w:rPr>
      </w:pPr>
    </w:p>
    <w:p w14:paraId="48512D13" w14:textId="77777777" w:rsidR="00DE2DB0" w:rsidRPr="00D9272F" w:rsidRDefault="00DE2DB0" w:rsidP="00DE2DB0">
      <w:pPr>
        <w:spacing w:line="480" w:lineRule="auto"/>
        <w:rPr>
          <w:bCs/>
          <w:i/>
        </w:rPr>
      </w:pPr>
      <w:r w:rsidRPr="00D9272F">
        <w:rPr>
          <w:bCs/>
          <w:i/>
        </w:rPr>
        <w:t xml:space="preserve">Sense of Legitimacy </w:t>
      </w:r>
    </w:p>
    <w:p w14:paraId="6D3B025F" w14:textId="77777777" w:rsidR="00DE2DB0" w:rsidRPr="00D9272F" w:rsidRDefault="00DE2DB0" w:rsidP="001A7F8E">
      <w:pPr>
        <w:spacing w:line="480" w:lineRule="auto"/>
        <w:rPr>
          <w:bCs/>
        </w:rPr>
      </w:pPr>
      <w:r w:rsidRPr="00D9272F">
        <w:rPr>
          <w:bCs/>
        </w:rPr>
        <w:t>There was a connection made with the prisoners in terms of the macho culture within sports, particularly in Rugby League</w:t>
      </w:r>
      <w:r w:rsidR="009E4075" w:rsidRPr="00D9272F">
        <w:rPr>
          <w:bCs/>
        </w:rPr>
        <w:t>,</w:t>
      </w:r>
      <w:r w:rsidRPr="00D9272F">
        <w:rPr>
          <w:bCs/>
        </w:rPr>
        <w:t xml:space="preserve"> and </w:t>
      </w:r>
      <w:r w:rsidR="00B44BCC" w:rsidRPr="00D9272F">
        <w:rPr>
          <w:bCs/>
        </w:rPr>
        <w:t>experiences within the prison</w:t>
      </w:r>
      <w:r w:rsidR="009E4075" w:rsidRPr="00D9272F">
        <w:rPr>
          <w:bCs/>
        </w:rPr>
        <w:t xml:space="preserve"> </w:t>
      </w:r>
      <w:r w:rsidRPr="00D9272F">
        <w:rPr>
          <w:bCs/>
        </w:rPr>
        <w:t xml:space="preserve">of a culture which </w:t>
      </w:r>
      <w:r w:rsidR="000C0211" w:rsidRPr="00D9272F">
        <w:rPr>
          <w:bCs/>
        </w:rPr>
        <w:t xml:space="preserve">stigmatised </w:t>
      </w:r>
      <w:r w:rsidRPr="00D9272F">
        <w:rPr>
          <w:bCs/>
        </w:rPr>
        <w:t xml:space="preserve">help-seeking behaviour. </w:t>
      </w:r>
      <w:r w:rsidR="00E40A84" w:rsidRPr="00D9272F">
        <w:rPr>
          <w:bCs/>
        </w:rPr>
        <w:t xml:space="preserve">Prisoners </w:t>
      </w:r>
      <w:r w:rsidRPr="00D9272F">
        <w:rPr>
          <w:bCs/>
        </w:rPr>
        <w:t xml:space="preserve">felt the </w:t>
      </w:r>
      <w:r w:rsidR="00E40A84" w:rsidRPr="00D9272F">
        <w:rPr>
          <w:bCs/>
        </w:rPr>
        <w:t xml:space="preserve">life </w:t>
      </w:r>
      <w:r w:rsidRPr="00D9272F">
        <w:rPr>
          <w:bCs/>
        </w:rPr>
        <w:t xml:space="preserve">stories presented and the </w:t>
      </w:r>
      <w:r w:rsidR="00E0214E" w:rsidRPr="00D9272F">
        <w:rPr>
          <w:bCs/>
        </w:rPr>
        <w:t xml:space="preserve">personal </w:t>
      </w:r>
      <w:r w:rsidRPr="00D9272F">
        <w:rPr>
          <w:bCs/>
        </w:rPr>
        <w:t>impact</w:t>
      </w:r>
      <w:r w:rsidR="00E40A84" w:rsidRPr="00D9272F">
        <w:rPr>
          <w:bCs/>
        </w:rPr>
        <w:t>s described</w:t>
      </w:r>
      <w:r w:rsidRPr="00D9272F">
        <w:rPr>
          <w:bCs/>
        </w:rPr>
        <w:t xml:space="preserve"> afforded them a sense of legitimacy when experiencing similar feelings of depression or anxiety for example, and that it was </w:t>
      </w:r>
      <w:r w:rsidR="00E0214E" w:rsidRPr="00D9272F">
        <w:rPr>
          <w:bCs/>
        </w:rPr>
        <w:t xml:space="preserve">acceptable </w:t>
      </w:r>
      <w:r w:rsidRPr="00D9272F">
        <w:rPr>
          <w:bCs/>
        </w:rPr>
        <w:t>to open up and discuss these feelings</w:t>
      </w:r>
      <w:r w:rsidR="00750E98" w:rsidRPr="00D9272F">
        <w:rPr>
          <w:bCs/>
        </w:rPr>
        <w:t xml:space="preserve"> with others</w:t>
      </w:r>
      <w:r w:rsidRPr="00D9272F">
        <w:rPr>
          <w:bCs/>
        </w:rPr>
        <w:t>:</w:t>
      </w:r>
    </w:p>
    <w:p w14:paraId="0BD6F9DD"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“The reason I came was for many years I've lived this… what we call this gangster's lifestyle, where I grew up with men, so we thought we were men. But when I've been in prison now, and when your own head's on the pillow and you're on your own, nobody around, that's when you let it all out. Now I've realized I’m more at peace with myself today than what I was when I was out there thinking I was a real man. Whereas today, like that gentleman said, six foot four, 17 stone and not ashamed of crying. So I can feel like him today. That stigma, that thing. It was nice for me to come and share something.” (Participant B2)</w:t>
      </w:r>
    </w:p>
    <w:p w14:paraId="513C56CB" w14:textId="77777777" w:rsidR="000945D6" w:rsidRDefault="000945D6" w:rsidP="00DE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jc w:val="both"/>
        <w:rPr>
          <w:b/>
          <w:bCs/>
          <w:i/>
        </w:rPr>
      </w:pPr>
    </w:p>
    <w:p w14:paraId="12DA9CD7" w14:textId="77777777" w:rsidR="00DE2DB0" w:rsidRPr="00D9272F" w:rsidRDefault="00DE2DB0" w:rsidP="00DE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jc w:val="both"/>
        <w:rPr>
          <w:i/>
        </w:rPr>
      </w:pPr>
      <w:r w:rsidRPr="00D9272F">
        <w:rPr>
          <w:b/>
          <w:bCs/>
          <w:i/>
        </w:rPr>
        <w:t>Theme: Potential Barriers to Longer-Term Impact</w:t>
      </w:r>
    </w:p>
    <w:p w14:paraId="67BF9794" w14:textId="77777777" w:rsidR="00DE2DB0" w:rsidRPr="00D9272F" w:rsidRDefault="00DE2DB0" w:rsidP="00DE2DB0">
      <w:pPr>
        <w:spacing w:line="480" w:lineRule="auto"/>
        <w:rPr>
          <w:bCs/>
          <w:i/>
        </w:rPr>
      </w:pPr>
      <w:r w:rsidRPr="00D9272F">
        <w:rPr>
          <w:bCs/>
          <w:i/>
        </w:rPr>
        <w:lastRenderedPageBreak/>
        <w:t>Wary of Trusting Others</w:t>
      </w:r>
    </w:p>
    <w:p w14:paraId="3C2700CD" w14:textId="741972FC" w:rsidR="00DE2DB0" w:rsidRPr="00D9272F" w:rsidRDefault="00FF0F78" w:rsidP="001A7F8E">
      <w:pPr>
        <w:spacing w:line="480" w:lineRule="auto"/>
        <w:rPr>
          <w:bCs/>
        </w:rPr>
      </w:pPr>
      <w:r>
        <w:rPr>
          <w:bCs/>
        </w:rPr>
        <w:t xml:space="preserve">Participants </w:t>
      </w:r>
      <w:r w:rsidRPr="00D9272F">
        <w:rPr>
          <w:bCs/>
        </w:rPr>
        <w:t>highlighted</w:t>
      </w:r>
      <w:r w:rsidR="00DE2DB0" w:rsidRPr="00D9272F">
        <w:rPr>
          <w:bCs/>
        </w:rPr>
        <w:t xml:space="preserve"> </w:t>
      </w:r>
      <w:r w:rsidR="00E20509">
        <w:rPr>
          <w:bCs/>
        </w:rPr>
        <w:t>the crucial importance of</w:t>
      </w:r>
      <w:r w:rsidR="00DE2DB0" w:rsidRPr="00D9272F">
        <w:rPr>
          <w:bCs/>
        </w:rPr>
        <w:t xml:space="preserve"> trust and confidence </w:t>
      </w:r>
      <w:r w:rsidR="00E20509">
        <w:rPr>
          <w:bCs/>
        </w:rPr>
        <w:t xml:space="preserve">within prison life and the need to ensure that </w:t>
      </w:r>
      <w:r w:rsidR="00DE2DB0" w:rsidRPr="00D9272F">
        <w:rPr>
          <w:bCs/>
        </w:rPr>
        <w:t xml:space="preserve">other prisoners </w:t>
      </w:r>
      <w:r w:rsidR="00E20509">
        <w:rPr>
          <w:bCs/>
        </w:rPr>
        <w:t xml:space="preserve">are </w:t>
      </w:r>
      <w:r w:rsidR="00DE2DB0" w:rsidRPr="00D9272F">
        <w:rPr>
          <w:bCs/>
        </w:rPr>
        <w:t>genuinely interested in helping you</w:t>
      </w:r>
      <w:r w:rsidR="00E20509">
        <w:rPr>
          <w:bCs/>
        </w:rPr>
        <w:t xml:space="preserve">. The low levels of trust made </w:t>
      </w:r>
      <w:r w:rsidR="003F2071">
        <w:rPr>
          <w:bCs/>
        </w:rPr>
        <w:t>participants</w:t>
      </w:r>
      <w:r w:rsidR="00DE2DB0" w:rsidRPr="00D9272F">
        <w:rPr>
          <w:bCs/>
        </w:rPr>
        <w:t xml:space="preserve"> </w:t>
      </w:r>
      <w:r w:rsidR="00E20509">
        <w:rPr>
          <w:bCs/>
        </w:rPr>
        <w:t>un</w:t>
      </w:r>
      <w:r w:rsidR="00DE2DB0" w:rsidRPr="00D9272F">
        <w:rPr>
          <w:bCs/>
        </w:rPr>
        <w:t>willing to open up and talk freely</w:t>
      </w:r>
      <w:r w:rsidR="00E20509">
        <w:rPr>
          <w:bCs/>
        </w:rPr>
        <w:t xml:space="preserve"> about these issues</w:t>
      </w:r>
      <w:r w:rsidR="00DE2DB0" w:rsidRPr="00D9272F">
        <w:rPr>
          <w:bCs/>
        </w:rPr>
        <w:t xml:space="preserve">. </w:t>
      </w:r>
      <w:r w:rsidR="00E20509">
        <w:rPr>
          <w:bCs/>
        </w:rPr>
        <w:t>Thus,</w:t>
      </w:r>
      <w:r w:rsidR="00DE2DB0" w:rsidRPr="00D9272F">
        <w:rPr>
          <w:bCs/>
        </w:rPr>
        <w:t xml:space="preserve"> within prison </w:t>
      </w:r>
      <w:r w:rsidR="00E20509">
        <w:rPr>
          <w:bCs/>
        </w:rPr>
        <w:t xml:space="preserve">one had </w:t>
      </w:r>
      <w:r w:rsidR="00DE2DB0" w:rsidRPr="00D9272F">
        <w:rPr>
          <w:bCs/>
        </w:rPr>
        <w:t>to be guarded as others will take advantage</w:t>
      </w:r>
      <w:r w:rsidR="00E20509">
        <w:rPr>
          <w:bCs/>
        </w:rPr>
        <w:t>.</w:t>
      </w:r>
      <w:r w:rsidR="00EE1F73" w:rsidRPr="00D9272F">
        <w:rPr>
          <w:bCs/>
        </w:rPr>
        <w:t xml:space="preserve"> </w:t>
      </w:r>
      <w:r w:rsidR="00DE2DB0" w:rsidRPr="00D9272F">
        <w:rPr>
          <w:bCs/>
        </w:rPr>
        <w:t xml:space="preserve">This was particularly poignant, as having fellow prisoners to trust in was considered important in the absence of family members or friends, sources of support who were perceived as critical </w:t>
      </w:r>
      <w:r w:rsidR="00657780" w:rsidRPr="00D9272F">
        <w:rPr>
          <w:bCs/>
        </w:rPr>
        <w:t>in positive outcomes</w:t>
      </w:r>
      <w:r w:rsidR="004D2D08" w:rsidRPr="00D9272F">
        <w:rPr>
          <w:bCs/>
        </w:rPr>
        <w:t xml:space="preserve"> with the</w:t>
      </w:r>
      <w:r w:rsidR="00DE2DB0" w:rsidRPr="00D9272F">
        <w:rPr>
          <w:bCs/>
        </w:rPr>
        <w:t xml:space="preserve"> SOMS presenters. </w:t>
      </w:r>
    </w:p>
    <w:p w14:paraId="3F5691DD"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“It's hard in here because, like you're saying it's the social networks, sometimes they are easy to form</w:t>
      </w:r>
      <w:r w:rsidR="00872323" w:rsidRPr="00D9272F">
        <w:rPr>
          <w:rFonts w:ascii="Times New Roman" w:hAnsi="Times New Roman"/>
          <w:i/>
        </w:rPr>
        <w:t>,</w:t>
      </w:r>
      <w:r w:rsidRPr="00D9272F">
        <w:rPr>
          <w:rFonts w:ascii="Times New Roman" w:hAnsi="Times New Roman"/>
          <w:i/>
        </w:rPr>
        <w:t xml:space="preserve"> but they're formed in the wrong way so you do notice the more and more time you spend in here, you do notice the more people that are in it for themselves… it's survival, and once you experience that</w:t>
      </w:r>
      <w:r w:rsidR="00252675" w:rsidRPr="00D9272F">
        <w:rPr>
          <w:rFonts w:ascii="Times New Roman" w:hAnsi="Times New Roman"/>
          <w:i/>
        </w:rPr>
        <w:t xml:space="preserve"> (</w:t>
      </w:r>
      <w:r w:rsidRPr="00D9272F">
        <w:rPr>
          <w:rFonts w:ascii="Times New Roman" w:hAnsi="Times New Roman"/>
          <w:i/>
        </w:rPr>
        <w:t>and some people experience that in a hard way, I've been exploited or worse</w:t>
      </w:r>
      <w:r w:rsidR="00252675" w:rsidRPr="00D9272F">
        <w:rPr>
          <w:rFonts w:ascii="Times New Roman" w:hAnsi="Times New Roman"/>
          <w:i/>
        </w:rPr>
        <w:t xml:space="preserve">) </w:t>
      </w:r>
      <w:r w:rsidRPr="00D9272F">
        <w:rPr>
          <w:rFonts w:ascii="Times New Roman" w:hAnsi="Times New Roman"/>
          <w:i/>
        </w:rPr>
        <w:t>that leads to segregation again, and trust issues. You've experienced it with one person and you start doubting everybody else even though these guys here might be honest Joes, it just might be that one person that has tainted our expectations.” (Participant B4)</w:t>
      </w:r>
    </w:p>
    <w:p w14:paraId="77269982"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360"/>
        <w:jc w:val="both"/>
        <w:rPr>
          <w:rFonts w:ascii="Times New Roman" w:hAnsi="Times New Roman"/>
          <w:i/>
        </w:rPr>
      </w:pPr>
    </w:p>
    <w:p w14:paraId="1EDC0258"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“One of the big issues in prison is confidentiality. You can talk to listeners, you can talk, and all that sort of thing, then that becomes the difficulty. If somebody says, "I'm going to commit suicide," you can't just say, "Well I'm not going to tell anybody about that," because that's a lot to take on board, because you’re taking that person's life on board, but they really don't need a whisper going around the wing or the staff talking amongst themselves in an unprofessional way, as they do about things.” (Participant A4)</w:t>
      </w:r>
    </w:p>
    <w:p w14:paraId="7952B605" w14:textId="77777777" w:rsidR="00DE2DB0" w:rsidRPr="00D9272F" w:rsidRDefault="00DE2DB0" w:rsidP="00DE2DB0">
      <w:pPr>
        <w:spacing w:line="480" w:lineRule="auto"/>
        <w:rPr>
          <w:bCs/>
          <w:i/>
        </w:rPr>
      </w:pPr>
      <w:r w:rsidRPr="00D9272F">
        <w:rPr>
          <w:bCs/>
          <w:i/>
        </w:rPr>
        <w:t>Mental Health Stigma</w:t>
      </w:r>
    </w:p>
    <w:p w14:paraId="751DC5AA" w14:textId="77777777" w:rsidR="00DE2DB0" w:rsidRPr="00D9272F" w:rsidRDefault="00DE2DB0" w:rsidP="001A7F8E">
      <w:pPr>
        <w:spacing w:line="480" w:lineRule="auto"/>
        <w:rPr>
          <w:bCs/>
        </w:rPr>
      </w:pPr>
      <w:r w:rsidRPr="00D9272F">
        <w:rPr>
          <w:bCs/>
        </w:rPr>
        <w:lastRenderedPageBreak/>
        <w:t xml:space="preserve">Although the personal stories presented by the ex-elite rugby league players had presented an alternative narrative to a toxic macho culture, concerns remained of the potential for stigmatisation upon revealing a mental health concern/ issue. </w:t>
      </w:r>
      <w:r w:rsidR="00213A1D" w:rsidRPr="00D9272F">
        <w:rPr>
          <w:bCs/>
        </w:rPr>
        <w:t>Participants described</w:t>
      </w:r>
      <w:r w:rsidRPr="00D9272F">
        <w:rPr>
          <w:bCs/>
        </w:rPr>
        <w:t xml:space="preserve"> that these concerns re</w:t>
      </w:r>
      <w:r w:rsidR="00213A1D" w:rsidRPr="00D9272F">
        <w:rPr>
          <w:bCs/>
        </w:rPr>
        <w:t>garding</w:t>
      </w:r>
      <w:r w:rsidRPr="00D9272F">
        <w:rPr>
          <w:bCs/>
        </w:rPr>
        <w:t xml:space="preserve"> stigmatisation were applicable both within prison and on release, and could have a negative impact on how you were perceived by the prison regime, for example, in relation to parole. </w:t>
      </w:r>
    </w:p>
    <w:p w14:paraId="123501AC" w14:textId="77777777" w:rsidR="00DE2DB0" w:rsidRPr="00D9272F" w:rsidRDefault="00DE2DB0" w:rsidP="00DE2DB0">
      <w:pPr>
        <w:spacing w:line="480" w:lineRule="auto"/>
        <w:rPr>
          <w:bCs/>
        </w:rPr>
      </w:pPr>
    </w:p>
    <w:p w14:paraId="168DE127" w14:textId="77777777" w:rsidR="00DE2DB0" w:rsidRPr="00D9272F" w:rsidRDefault="00DE2DB0" w:rsidP="00DE2DB0">
      <w:pPr>
        <w:spacing w:line="480" w:lineRule="auto"/>
        <w:rPr>
          <w:bCs/>
          <w:i/>
        </w:rPr>
      </w:pPr>
      <w:r w:rsidRPr="00D9272F">
        <w:rPr>
          <w:bCs/>
          <w:i/>
        </w:rPr>
        <w:t>Lack of Appropriate Meeting Space</w:t>
      </w:r>
    </w:p>
    <w:p w14:paraId="5C035B73" w14:textId="78BBBA4F" w:rsidR="00DE2DB0" w:rsidRDefault="00DE2DB0" w:rsidP="00DE2DB0">
      <w:pPr>
        <w:spacing w:line="480" w:lineRule="auto"/>
        <w:ind w:firstLine="720"/>
        <w:rPr>
          <w:bCs/>
        </w:rPr>
      </w:pPr>
      <w:r w:rsidRPr="00D9272F">
        <w:rPr>
          <w:bCs/>
        </w:rPr>
        <w:t xml:space="preserve">A lack of appropriate space for people to informally meet and discuss their issues or concerns in confidence was identified as an environmental barrier within the prison. </w:t>
      </w:r>
    </w:p>
    <w:p w14:paraId="07D83328" w14:textId="63F1FDDE" w:rsidR="00E1454B" w:rsidRPr="005176C5" w:rsidRDefault="00AC6108" w:rsidP="00B13F94">
      <w:pPr>
        <w:spacing w:line="480" w:lineRule="auto"/>
        <w:ind w:firstLine="720"/>
        <w:rPr>
          <w:bCs/>
          <w:i/>
        </w:rPr>
      </w:pPr>
      <w:r w:rsidRPr="005176C5">
        <w:rPr>
          <w:i/>
        </w:rPr>
        <w:t>“</w:t>
      </w:r>
      <w:r w:rsidR="00196522" w:rsidRPr="005176C5">
        <w:rPr>
          <w:i/>
        </w:rPr>
        <w:t xml:space="preserve">People find it hard to talk just one on one. If you are in a group basis, you find it easy … helps people in a group to talk. The end of every landing here, you have a room with nothing in it, couple of chairs… </w:t>
      </w:r>
      <w:r w:rsidRPr="005176C5">
        <w:rPr>
          <w:i/>
        </w:rPr>
        <w:t>w</w:t>
      </w:r>
      <w:r w:rsidR="00196522" w:rsidRPr="005176C5">
        <w:rPr>
          <w:i/>
        </w:rPr>
        <w:t>hy can't that room be opened for people who's going to sit in there</w:t>
      </w:r>
      <w:r w:rsidR="00057013" w:rsidRPr="005176C5">
        <w:rPr>
          <w:i/>
        </w:rPr>
        <w:t>?</w:t>
      </w:r>
      <w:r w:rsidR="003C358B" w:rsidRPr="005176C5">
        <w:rPr>
          <w:i/>
        </w:rPr>
        <w:t xml:space="preserve"> </w:t>
      </w:r>
      <w:r w:rsidR="00514E3A" w:rsidRPr="005176C5">
        <w:rPr>
          <w:i/>
        </w:rPr>
        <w:t>(Participant A</w:t>
      </w:r>
      <w:r w:rsidRPr="005176C5">
        <w:rPr>
          <w:i/>
        </w:rPr>
        <w:t>2</w:t>
      </w:r>
      <w:r w:rsidR="00514E3A" w:rsidRPr="005176C5">
        <w:rPr>
          <w:i/>
        </w:rPr>
        <w:t>)</w:t>
      </w:r>
      <w:r w:rsidR="00B80182" w:rsidRPr="005176C5">
        <w:rPr>
          <w:i/>
        </w:rPr>
        <w:t xml:space="preserve">; </w:t>
      </w:r>
      <w:r w:rsidR="003C358B" w:rsidRPr="005176C5">
        <w:rPr>
          <w:i/>
        </w:rPr>
        <w:t>“Unfortunately, it's down to operational services to get say a group of us, us men, into a room.</w:t>
      </w:r>
      <w:r w:rsidR="008213B8">
        <w:rPr>
          <w:i/>
        </w:rPr>
        <w:t>.</w:t>
      </w:r>
      <w:r w:rsidR="003C358B" w:rsidRPr="005176C5">
        <w:rPr>
          <w:i/>
        </w:rPr>
        <w:t>. you’d have to</w:t>
      </w:r>
      <w:r w:rsidR="003C358B" w:rsidRPr="005176C5">
        <w:rPr>
          <w:b/>
          <w:i/>
        </w:rPr>
        <w:t xml:space="preserve"> </w:t>
      </w:r>
      <w:r w:rsidR="003C358B" w:rsidRPr="005176C5">
        <w:rPr>
          <w:i/>
        </w:rPr>
        <w:t>have an officer watching”</w:t>
      </w:r>
      <w:r w:rsidR="00B80182" w:rsidRPr="005176C5">
        <w:rPr>
          <w:i/>
        </w:rPr>
        <w:t xml:space="preserve"> (Participant </w:t>
      </w:r>
      <w:r w:rsidRPr="005176C5">
        <w:rPr>
          <w:i/>
        </w:rPr>
        <w:t>A3).</w:t>
      </w:r>
    </w:p>
    <w:p w14:paraId="1372539F" w14:textId="77777777" w:rsidR="00B13F94" w:rsidRDefault="00B13F94" w:rsidP="00DE2DB0">
      <w:pPr>
        <w:spacing w:line="480" w:lineRule="auto"/>
        <w:rPr>
          <w:bCs/>
          <w:i/>
        </w:rPr>
      </w:pPr>
    </w:p>
    <w:p w14:paraId="0C2F39FC" w14:textId="5A4490C2" w:rsidR="00DE2DB0" w:rsidRPr="00D9272F" w:rsidRDefault="00DE2DB0" w:rsidP="00DE2DB0">
      <w:pPr>
        <w:spacing w:line="480" w:lineRule="auto"/>
        <w:rPr>
          <w:bCs/>
          <w:i/>
        </w:rPr>
      </w:pPr>
      <w:r w:rsidRPr="00D9272F">
        <w:rPr>
          <w:bCs/>
          <w:i/>
        </w:rPr>
        <w:t>Lack of Follow-up Support</w:t>
      </w:r>
    </w:p>
    <w:p w14:paraId="0AD031B9" w14:textId="343E8790" w:rsidR="00DE2DB0" w:rsidRDefault="00DE2DB0" w:rsidP="00DE2DB0">
      <w:pPr>
        <w:spacing w:line="480" w:lineRule="auto"/>
        <w:ind w:firstLine="720"/>
        <w:rPr>
          <w:bCs/>
        </w:rPr>
      </w:pPr>
      <w:r w:rsidRPr="00D9272F">
        <w:rPr>
          <w:bCs/>
        </w:rPr>
        <w:t xml:space="preserve">Finally, questions </w:t>
      </w:r>
      <w:r w:rsidR="003931CF" w:rsidRPr="00D9272F">
        <w:rPr>
          <w:bCs/>
        </w:rPr>
        <w:t xml:space="preserve">were </w:t>
      </w:r>
      <w:r w:rsidRPr="00D9272F">
        <w:rPr>
          <w:bCs/>
        </w:rPr>
        <w:t xml:space="preserve">raised </w:t>
      </w:r>
      <w:r w:rsidR="00A7344C" w:rsidRPr="00D9272F">
        <w:rPr>
          <w:bCs/>
        </w:rPr>
        <w:t xml:space="preserve">regarding </w:t>
      </w:r>
      <w:r w:rsidR="0025282C" w:rsidRPr="00D9272F">
        <w:rPr>
          <w:bCs/>
        </w:rPr>
        <w:t>what</w:t>
      </w:r>
      <w:r w:rsidRPr="00D9272F">
        <w:rPr>
          <w:bCs/>
        </w:rPr>
        <w:t xml:space="preserve"> follow-up services might be provided within the prison in terms of support for well-being </w:t>
      </w:r>
      <w:r w:rsidR="00C451C6" w:rsidRPr="00D9272F">
        <w:rPr>
          <w:bCs/>
        </w:rPr>
        <w:t xml:space="preserve">specifically </w:t>
      </w:r>
      <w:r w:rsidRPr="00D9272F">
        <w:rPr>
          <w:bCs/>
        </w:rPr>
        <w:t xml:space="preserve">in connection with the information presented. </w:t>
      </w:r>
    </w:p>
    <w:p w14:paraId="5DE37CD2" w14:textId="6C39F9AD" w:rsidR="00E058EB" w:rsidRPr="00C77587" w:rsidRDefault="006002DF" w:rsidP="00DE2DB0">
      <w:pPr>
        <w:spacing w:line="480" w:lineRule="auto"/>
        <w:ind w:firstLine="720"/>
        <w:rPr>
          <w:bCs/>
          <w:i/>
        </w:rPr>
      </w:pPr>
      <w:r w:rsidRPr="00C77587">
        <w:rPr>
          <w:i/>
        </w:rPr>
        <w:t>“</w:t>
      </w:r>
      <w:r w:rsidR="009563A5" w:rsidRPr="00C77587">
        <w:rPr>
          <w:i/>
        </w:rPr>
        <w:t xml:space="preserve">You talk to us today, </w:t>
      </w:r>
      <w:r w:rsidR="00677002" w:rsidRPr="00C77587">
        <w:rPr>
          <w:i/>
        </w:rPr>
        <w:t xml:space="preserve">and you’re not here tomorrow, </w:t>
      </w:r>
      <w:r w:rsidR="009563A5" w:rsidRPr="00C77587">
        <w:rPr>
          <w:i/>
        </w:rPr>
        <w:t xml:space="preserve">is anything going to happen to us in here tomorrow to help us? </w:t>
      </w:r>
      <w:r w:rsidR="00E058EB" w:rsidRPr="00C77587">
        <w:rPr>
          <w:i/>
        </w:rPr>
        <w:t xml:space="preserve">Is there anything going to happen </w:t>
      </w:r>
      <w:r w:rsidR="00381E64" w:rsidRPr="00C77587">
        <w:rPr>
          <w:i/>
        </w:rPr>
        <w:t xml:space="preserve">[as a result] </w:t>
      </w:r>
      <w:r w:rsidR="00E058EB" w:rsidRPr="00C77587">
        <w:rPr>
          <w:i/>
        </w:rPr>
        <w:t>of us talking today now?</w:t>
      </w:r>
      <w:r w:rsidRPr="00C77587">
        <w:rPr>
          <w:i/>
        </w:rPr>
        <w:t>” (Participant A3)</w:t>
      </w:r>
      <w:r w:rsidR="00E058EB" w:rsidRPr="00C77587">
        <w:rPr>
          <w:i/>
        </w:rPr>
        <w:t xml:space="preserve"> </w:t>
      </w:r>
    </w:p>
    <w:p w14:paraId="70102A05" w14:textId="77777777" w:rsidR="00DE2DB0" w:rsidRPr="00D9272F" w:rsidRDefault="00DE2DB0" w:rsidP="00DE2DB0">
      <w:pPr>
        <w:spacing w:line="480" w:lineRule="auto"/>
        <w:rPr>
          <w:bCs/>
        </w:rPr>
      </w:pPr>
    </w:p>
    <w:p w14:paraId="3728FB47" w14:textId="77777777" w:rsidR="00DE2DB0" w:rsidRPr="00D9272F" w:rsidRDefault="00DE2DB0" w:rsidP="00DE2DB0">
      <w:pPr>
        <w:spacing w:line="480" w:lineRule="auto"/>
        <w:rPr>
          <w:b/>
          <w:bCs/>
          <w:i/>
        </w:rPr>
      </w:pPr>
      <w:r w:rsidRPr="00D9272F">
        <w:rPr>
          <w:b/>
          <w:bCs/>
          <w:i/>
        </w:rPr>
        <w:t>Theme: Suggested Improvements</w:t>
      </w:r>
    </w:p>
    <w:p w14:paraId="3A3C9734" w14:textId="77777777" w:rsidR="00DE2DB0" w:rsidRPr="00D9272F" w:rsidRDefault="009877CA" w:rsidP="00DE2DB0">
      <w:pPr>
        <w:spacing w:line="480" w:lineRule="auto"/>
        <w:rPr>
          <w:bCs/>
          <w:i/>
        </w:rPr>
      </w:pPr>
      <w:r w:rsidRPr="00D9272F">
        <w:rPr>
          <w:bCs/>
          <w:i/>
        </w:rPr>
        <w:lastRenderedPageBreak/>
        <w:t>Mental Health Information Resources</w:t>
      </w:r>
    </w:p>
    <w:p w14:paraId="41817983" w14:textId="30D0334C" w:rsidR="00DE2DB0" w:rsidRPr="00D9272F" w:rsidRDefault="008233C2" w:rsidP="00DE2DB0">
      <w:pPr>
        <w:spacing w:line="480" w:lineRule="auto"/>
        <w:rPr>
          <w:bCs/>
        </w:rPr>
      </w:pPr>
      <w:r w:rsidRPr="00D9272F">
        <w:rPr>
          <w:bCs/>
        </w:rPr>
        <w:t>The first suggestion was</w:t>
      </w:r>
      <w:r w:rsidR="00DE2DB0" w:rsidRPr="00D9272F">
        <w:rPr>
          <w:bCs/>
        </w:rPr>
        <w:t xml:space="preserve"> the provision of related materials, both as </w:t>
      </w:r>
      <w:r w:rsidR="009877CA" w:rsidRPr="00D9272F">
        <w:rPr>
          <w:bCs/>
        </w:rPr>
        <w:t xml:space="preserve">paper </w:t>
      </w:r>
      <w:r w:rsidR="00DE2DB0" w:rsidRPr="00D9272F">
        <w:rPr>
          <w:bCs/>
        </w:rPr>
        <w:t xml:space="preserve">handouts for those attending and those who were not ready to openly attend a </w:t>
      </w:r>
      <w:r w:rsidR="00175AC7" w:rsidRPr="00D9272F">
        <w:rPr>
          <w:bCs/>
        </w:rPr>
        <w:t>programme</w:t>
      </w:r>
      <w:r w:rsidR="00DE2DB0" w:rsidRPr="00D9272F">
        <w:rPr>
          <w:bCs/>
        </w:rPr>
        <w:t xml:space="preserve"> related to mental health</w:t>
      </w:r>
      <w:r w:rsidR="009877CA" w:rsidRPr="00D9272F">
        <w:rPr>
          <w:bCs/>
        </w:rPr>
        <w:t xml:space="preserve"> awareness</w:t>
      </w:r>
      <w:r w:rsidR="00DE2DB0" w:rsidRPr="00D9272F">
        <w:rPr>
          <w:bCs/>
        </w:rPr>
        <w:t xml:space="preserve">. </w:t>
      </w:r>
      <w:r w:rsidR="00CB310B">
        <w:rPr>
          <w:bCs/>
        </w:rPr>
        <w:t>Participants</w:t>
      </w:r>
      <w:r w:rsidR="00CB310B" w:rsidRPr="00D9272F">
        <w:rPr>
          <w:bCs/>
        </w:rPr>
        <w:t xml:space="preserve"> </w:t>
      </w:r>
      <w:r w:rsidR="009877CA" w:rsidRPr="00D9272F">
        <w:rPr>
          <w:bCs/>
        </w:rPr>
        <w:t xml:space="preserve">recommended </w:t>
      </w:r>
      <w:r w:rsidR="00DE2DB0" w:rsidRPr="00D9272F">
        <w:rPr>
          <w:bCs/>
        </w:rPr>
        <w:t>that</w:t>
      </w:r>
      <w:r w:rsidR="009877CA" w:rsidRPr="00D9272F">
        <w:rPr>
          <w:bCs/>
        </w:rPr>
        <w:t xml:space="preserve"> information</w:t>
      </w:r>
      <w:r w:rsidR="00DE2DB0" w:rsidRPr="00D9272F">
        <w:rPr>
          <w:bCs/>
        </w:rPr>
        <w:t xml:space="preserve"> handouts captur</w:t>
      </w:r>
      <w:r w:rsidR="00EF3622" w:rsidRPr="00D9272F">
        <w:rPr>
          <w:bCs/>
        </w:rPr>
        <w:t>ing</w:t>
      </w:r>
      <w:r w:rsidR="00DE2DB0" w:rsidRPr="00D9272F">
        <w:rPr>
          <w:bCs/>
        </w:rPr>
        <w:t xml:space="preserve"> the key learning points and tools discussed would serve as </w:t>
      </w:r>
      <w:r w:rsidR="00C34ADA" w:rsidRPr="00D9272F">
        <w:rPr>
          <w:bCs/>
        </w:rPr>
        <w:t xml:space="preserve">a </w:t>
      </w:r>
      <w:r w:rsidR="00DE2DB0" w:rsidRPr="00D9272F">
        <w:rPr>
          <w:bCs/>
        </w:rPr>
        <w:t xml:space="preserve">useful </w:t>
      </w:r>
      <w:r w:rsidR="0087771F" w:rsidRPr="00D9272F">
        <w:rPr>
          <w:bCs/>
        </w:rPr>
        <w:t>aid</w:t>
      </w:r>
      <w:r w:rsidR="00593F70" w:rsidRPr="00D9272F">
        <w:rPr>
          <w:bCs/>
        </w:rPr>
        <w:t>. P</w:t>
      </w:r>
      <w:r w:rsidR="00DE2DB0" w:rsidRPr="00D9272F">
        <w:rPr>
          <w:bCs/>
        </w:rPr>
        <w:t xml:space="preserve">articipant B6 commented </w:t>
      </w:r>
      <w:r w:rsidR="00DE2DB0" w:rsidRPr="00D9272F">
        <w:rPr>
          <w:bCs/>
          <w:i/>
        </w:rPr>
        <w:t xml:space="preserve">“I took notes as fast as I could, but if you had a handout that would be better.” </w:t>
      </w:r>
      <w:r w:rsidR="00E1454B" w:rsidRPr="00D9272F">
        <w:rPr>
          <w:bCs/>
        </w:rPr>
        <w:t>Another participant</w:t>
      </w:r>
      <w:r w:rsidR="00DE2DB0" w:rsidRPr="00D9272F">
        <w:rPr>
          <w:bCs/>
        </w:rPr>
        <w:t xml:space="preserve"> highlighted the potential benefit of associated materials for those not attending:</w:t>
      </w:r>
    </w:p>
    <w:p w14:paraId="1F1F6558"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“You know some people had the courage to come today, but like we had talked about before, we know there's a stigma and there's people afraid to come forward. Some people need that kind of anonymity, either somebody they can trust or picking up a leaflet. So if there was information that could be supplied</w:t>
      </w:r>
      <w:r w:rsidR="00C8262B" w:rsidRPr="00D9272F">
        <w:rPr>
          <w:rFonts w:ascii="Times New Roman" w:hAnsi="Times New Roman"/>
          <w:i/>
        </w:rPr>
        <w:t xml:space="preserve">… </w:t>
      </w:r>
      <w:r w:rsidRPr="00D9272F">
        <w:rPr>
          <w:rFonts w:ascii="Times New Roman" w:hAnsi="Times New Roman"/>
          <w:i/>
        </w:rPr>
        <w:t>either to get in contact with yourselves about the program</w:t>
      </w:r>
      <w:r w:rsidR="00C8262B" w:rsidRPr="00D9272F">
        <w:rPr>
          <w:rFonts w:ascii="Times New Roman" w:hAnsi="Times New Roman"/>
          <w:i/>
        </w:rPr>
        <w:t>me</w:t>
      </w:r>
      <w:r w:rsidRPr="00D9272F">
        <w:rPr>
          <w:rFonts w:ascii="Times New Roman" w:hAnsi="Times New Roman"/>
          <w:i/>
        </w:rPr>
        <w:t>s that they run or the information about where we can find the relevant information if we needed it.” (Participant A1)</w:t>
      </w:r>
    </w:p>
    <w:p w14:paraId="127F90C7" w14:textId="77777777" w:rsidR="00DE2DB0" w:rsidRPr="00D9272F" w:rsidRDefault="00DE2DB0" w:rsidP="00DE2DB0">
      <w:pPr>
        <w:spacing w:line="480" w:lineRule="auto"/>
        <w:rPr>
          <w:i/>
        </w:rPr>
      </w:pPr>
      <w:r w:rsidRPr="00D9272F">
        <w:rPr>
          <w:i/>
        </w:rPr>
        <w:t>Prisoner Involvement</w:t>
      </w:r>
    </w:p>
    <w:p w14:paraId="42E1D16C" w14:textId="77777777" w:rsidR="00DE2DB0" w:rsidRPr="00D9272F" w:rsidRDefault="00DE2DB0" w:rsidP="00DE2DB0">
      <w:pPr>
        <w:spacing w:line="480" w:lineRule="auto"/>
      </w:pPr>
      <w:r w:rsidRPr="00D9272F">
        <w:rPr>
          <w:bCs/>
        </w:rPr>
        <w:t>The second suggestion for improvement was that alongside the stories of the ex-sportsmen, similar sessions could be run with current or ex-offenders who had experiences of successfully coping with mental health issues, as this would be very relatable to the prisoners:</w:t>
      </w:r>
    </w:p>
    <w:p w14:paraId="6C2BFFBD" w14:textId="77777777" w:rsidR="00DE2DB0" w:rsidRPr="00D9272F" w:rsidRDefault="00DE2DB0" w:rsidP="00DE2DB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80" w:lineRule="auto"/>
        <w:ind w:left="708"/>
        <w:jc w:val="both"/>
        <w:rPr>
          <w:rFonts w:ascii="Times New Roman" w:hAnsi="Times New Roman"/>
          <w:i/>
        </w:rPr>
      </w:pPr>
      <w:r w:rsidRPr="00D9272F">
        <w:rPr>
          <w:rFonts w:ascii="Times New Roman" w:hAnsi="Times New Roman"/>
          <w:i/>
        </w:rPr>
        <w:t>“I think one of the things that needs to be done is people who experience the situation with mental health problems and see what situation they've been in in prison, their problems, how they've been able to get help or not get help. Whether it's been appropriate, that sort of thing. I think you need a case study of people willing to do that.” (Participant A6)</w:t>
      </w:r>
    </w:p>
    <w:p w14:paraId="6EFED7E3" w14:textId="77777777" w:rsidR="0016486B" w:rsidRPr="00D9272F" w:rsidRDefault="0016486B" w:rsidP="0016486B">
      <w:pPr>
        <w:pStyle w:val="Heading7"/>
        <w:numPr>
          <w:ilvl w:val="0"/>
          <w:numId w:val="0"/>
        </w:numPr>
        <w:rPr>
          <w:rFonts w:eastAsia="Times New Roman" w:cs="Times New Roman"/>
        </w:rPr>
      </w:pPr>
      <w:bookmarkStart w:id="10" w:name="_Toc491859136"/>
      <w:bookmarkStart w:id="11" w:name="_Toc494801012"/>
      <w:r w:rsidRPr="00D9272F">
        <w:rPr>
          <w:rFonts w:eastAsia="Times New Roman" w:cs="Times New Roman"/>
        </w:rPr>
        <w:lastRenderedPageBreak/>
        <w:t>Discussion</w:t>
      </w:r>
      <w:bookmarkEnd w:id="10"/>
      <w:bookmarkEnd w:id="11"/>
      <w:r w:rsidRPr="00D9272F">
        <w:rPr>
          <w:rFonts w:eastAsia="Times New Roman" w:cs="Times New Roman"/>
        </w:rPr>
        <w:t xml:space="preserve"> </w:t>
      </w:r>
    </w:p>
    <w:p w14:paraId="2A682C13" w14:textId="46EB19F9" w:rsidR="0016486B" w:rsidRPr="00D9272F" w:rsidRDefault="0016486B" w:rsidP="0016486B">
      <w:pPr>
        <w:spacing w:line="480" w:lineRule="auto"/>
        <w:rPr>
          <w:bCs/>
        </w:rPr>
      </w:pPr>
      <w:r w:rsidRPr="00D9272F">
        <w:rPr>
          <w:bCs/>
        </w:rPr>
        <w:t xml:space="preserve">The </w:t>
      </w:r>
      <w:r w:rsidR="00707FBC" w:rsidRPr="00D9272F">
        <w:rPr>
          <w:bCs/>
        </w:rPr>
        <w:t>aim</w:t>
      </w:r>
      <w:r w:rsidR="004373A0">
        <w:rPr>
          <w:bCs/>
        </w:rPr>
        <w:t>s</w:t>
      </w:r>
      <w:r w:rsidR="00707FBC" w:rsidRPr="00D9272F">
        <w:rPr>
          <w:bCs/>
        </w:rPr>
        <w:t xml:space="preserve"> </w:t>
      </w:r>
      <w:r w:rsidRPr="00D9272F">
        <w:rPr>
          <w:bCs/>
        </w:rPr>
        <w:t xml:space="preserve">of the current study </w:t>
      </w:r>
      <w:r w:rsidR="004373A0">
        <w:rPr>
          <w:bCs/>
        </w:rPr>
        <w:t xml:space="preserve">were </w:t>
      </w:r>
      <w:r w:rsidRPr="00D9272F">
        <w:rPr>
          <w:bCs/>
        </w:rPr>
        <w:t>to</w:t>
      </w:r>
      <w:r w:rsidR="001F2E3F" w:rsidRPr="00D9272F">
        <w:t>:</w:t>
      </w:r>
      <w:r w:rsidR="00B118DD">
        <w:t xml:space="preserve"> </w:t>
      </w:r>
      <w:r w:rsidR="00403829" w:rsidRPr="009B7FA2">
        <w:t xml:space="preserve">(a) </w:t>
      </w:r>
      <w:r w:rsidR="00403829" w:rsidRPr="009B7FA2">
        <w:rPr>
          <w:bCs/>
        </w:rPr>
        <w:t>examine</w:t>
      </w:r>
      <w:r w:rsidR="00403829">
        <w:rPr>
          <w:bCs/>
        </w:rPr>
        <w:t xml:space="preserve"> </w:t>
      </w:r>
      <w:r w:rsidR="00403829" w:rsidRPr="00D9272F">
        <w:rPr>
          <w:bCs/>
        </w:rPr>
        <w:t xml:space="preserve">the </w:t>
      </w:r>
      <w:r w:rsidR="00403829">
        <w:rPr>
          <w:bCs/>
        </w:rPr>
        <w:t xml:space="preserve">feasibility of adopting the </w:t>
      </w:r>
      <w:r w:rsidR="00403829" w:rsidRPr="00D9272F">
        <w:rPr>
          <w:bCs/>
        </w:rPr>
        <w:t>SOM</w:t>
      </w:r>
      <w:r w:rsidR="00403829">
        <w:rPr>
          <w:bCs/>
        </w:rPr>
        <w:t>S</w:t>
      </w:r>
      <w:r w:rsidR="00403829" w:rsidRPr="00D9272F">
        <w:rPr>
          <w:bCs/>
        </w:rPr>
        <w:t xml:space="preserve"> </w:t>
      </w:r>
      <w:r w:rsidR="00403829">
        <w:rPr>
          <w:bCs/>
        </w:rPr>
        <w:t>programme</w:t>
      </w:r>
      <w:r w:rsidR="00403829" w:rsidRPr="00D9272F">
        <w:rPr>
          <w:bCs/>
        </w:rPr>
        <w:t xml:space="preserve"> </w:t>
      </w:r>
      <w:r w:rsidR="00403829">
        <w:rPr>
          <w:bCs/>
        </w:rPr>
        <w:t>in a prison setting; and (b) test for</w:t>
      </w:r>
      <w:r w:rsidR="00403829" w:rsidRPr="00D9272F">
        <w:rPr>
          <w:bCs/>
        </w:rPr>
        <w:t xml:space="preserve"> effects of SOMS on </w:t>
      </w:r>
      <w:r w:rsidR="00403829">
        <w:rPr>
          <w:bCs/>
        </w:rPr>
        <w:t>participants’</w:t>
      </w:r>
      <w:r w:rsidR="00403829" w:rsidRPr="00D9272F">
        <w:rPr>
          <w:bCs/>
        </w:rPr>
        <w:t xml:space="preserve"> knowledge of mental health, intentions to seek help, well-being and resilience in comparison to a </w:t>
      </w:r>
      <w:r w:rsidR="00403829">
        <w:rPr>
          <w:bCs/>
        </w:rPr>
        <w:t xml:space="preserve">waiting list </w:t>
      </w:r>
      <w:r w:rsidR="00403829" w:rsidRPr="00D9272F">
        <w:rPr>
          <w:bCs/>
        </w:rPr>
        <w:t>control group.</w:t>
      </w:r>
    </w:p>
    <w:p w14:paraId="0CAA869F" w14:textId="77777777" w:rsidR="007F121B" w:rsidRDefault="007F121B" w:rsidP="0016486B">
      <w:pPr>
        <w:spacing w:line="480" w:lineRule="auto"/>
        <w:rPr>
          <w:bCs/>
        </w:rPr>
      </w:pPr>
    </w:p>
    <w:p w14:paraId="25D91910" w14:textId="059137B8" w:rsidR="00EF5A32" w:rsidRDefault="00B96C0E" w:rsidP="0016486B">
      <w:pPr>
        <w:spacing w:line="480" w:lineRule="auto"/>
        <w:rPr>
          <w:bCs/>
        </w:rPr>
      </w:pPr>
      <w:r w:rsidRPr="00D9272F">
        <w:rPr>
          <w:bCs/>
        </w:rPr>
        <w:t>P</w:t>
      </w:r>
      <w:r w:rsidR="0016486B" w:rsidRPr="00D9272F">
        <w:rPr>
          <w:bCs/>
        </w:rPr>
        <w:t>risoners in the intervention group increase</w:t>
      </w:r>
      <w:r w:rsidR="004373A0">
        <w:rPr>
          <w:bCs/>
        </w:rPr>
        <w:t>d</w:t>
      </w:r>
      <w:r w:rsidR="0016486B" w:rsidRPr="00D9272F">
        <w:rPr>
          <w:bCs/>
        </w:rPr>
        <w:t xml:space="preserve"> knowledge of mental health and ability to correctly classify types of mental illness compared to those in </w:t>
      </w:r>
      <w:r w:rsidR="004373A0">
        <w:rPr>
          <w:bCs/>
        </w:rPr>
        <w:t>a</w:t>
      </w:r>
      <w:r w:rsidR="004373A0" w:rsidRPr="00D9272F">
        <w:rPr>
          <w:bCs/>
        </w:rPr>
        <w:t xml:space="preserve"> </w:t>
      </w:r>
      <w:r w:rsidR="0016486B" w:rsidRPr="00D9272F">
        <w:rPr>
          <w:bCs/>
        </w:rPr>
        <w:t xml:space="preserve">control group. These findings demonstrate that </w:t>
      </w:r>
      <w:r w:rsidR="001F2E3F" w:rsidRPr="00D9272F">
        <w:rPr>
          <w:bCs/>
        </w:rPr>
        <w:t>a</w:t>
      </w:r>
      <w:r w:rsidR="0016486B" w:rsidRPr="00D9272F">
        <w:rPr>
          <w:bCs/>
        </w:rPr>
        <w:t xml:space="preserve"> short </w:t>
      </w:r>
      <w:r w:rsidR="000F6D85">
        <w:rPr>
          <w:bCs/>
        </w:rPr>
        <w:t xml:space="preserve">mental health </w:t>
      </w:r>
      <w:r w:rsidR="0016486B" w:rsidRPr="00D9272F">
        <w:rPr>
          <w:bCs/>
        </w:rPr>
        <w:t>awareness programme</w:t>
      </w:r>
      <w:r w:rsidR="000F6D85">
        <w:rPr>
          <w:bCs/>
        </w:rPr>
        <w:t xml:space="preserve"> using sport</w:t>
      </w:r>
      <w:r w:rsidR="0016486B" w:rsidRPr="00D9272F">
        <w:rPr>
          <w:bCs/>
        </w:rPr>
        <w:t xml:space="preserve"> can successfully </w:t>
      </w:r>
      <w:r w:rsidR="001E4AA3" w:rsidRPr="00D9272F">
        <w:rPr>
          <w:bCs/>
        </w:rPr>
        <w:t>elevate knowledge</w:t>
      </w:r>
      <w:r w:rsidR="0016486B" w:rsidRPr="00D9272F">
        <w:rPr>
          <w:bCs/>
        </w:rPr>
        <w:t xml:space="preserve"> of mental health issues within the prison population</w:t>
      </w:r>
      <w:r w:rsidR="000F6D85">
        <w:rPr>
          <w:bCs/>
        </w:rPr>
        <w:t>.</w:t>
      </w:r>
      <w:r w:rsidR="0016486B" w:rsidRPr="00D9272F">
        <w:rPr>
          <w:bCs/>
        </w:rPr>
        <w:t xml:space="preserve"> In contrast to the increase in knowledge of mental health, there was no associated significant increase in intentions to engage and offer support to those with mental health concerns. However, focus group results </w:t>
      </w:r>
      <w:r w:rsidR="004373A0">
        <w:rPr>
          <w:bCs/>
        </w:rPr>
        <w:t xml:space="preserve">showed </w:t>
      </w:r>
      <w:r w:rsidR="0016486B" w:rsidRPr="00D9272F">
        <w:rPr>
          <w:bCs/>
        </w:rPr>
        <w:t>prisoner</w:t>
      </w:r>
      <w:r w:rsidR="004373A0">
        <w:rPr>
          <w:bCs/>
        </w:rPr>
        <w:t>s</w:t>
      </w:r>
      <w:r w:rsidR="0016486B" w:rsidRPr="00D9272F">
        <w:rPr>
          <w:bCs/>
        </w:rPr>
        <w:t xml:space="preserve"> intentions to more readily act as a sounding board for others following the SOMS programme, alongside an increased willingness to open up to others, reflecting similar findings from a mental health wellness programme </w:t>
      </w:r>
      <w:r w:rsidR="00C31400" w:rsidRPr="00D9272F">
        <w:rPr>
          <w:bCs/>
        </w:rPr>
        <w:t>(</w:t>
      </w:r>
      <w:r w:rsidR="0016486B" w:rsidRPr="00D9272F">
        <w:rPr>
          <w:bCs/>
        </w:rPr>
        <w:t>Keogh et al</w:t>
      </w:r>
      <w:r w:rsidR="00C31400" w:rsidRPr="00D9272F">
        <w:rPr>
          <w:bCs/>
        </w:rPr>
        <w:t xml:space="preserve">, </w:t>
      </w:r>
      <w:r w:rsidR="0016486B" w:rsidRPr="00D9272F">
        <w:rPr>
          <w:bCs/>
        </w:rPr>
        <w:t xml:space="preserve">2017). </w:t>
      </w:r>
    </w:p>
    <w:p w14:paraId="570AB253" w14:textId="77777777" w:rsidR="00EF5A32" w:rsidRDefault="00EF5A32" w:rsidP="0016486B">
      <w:pPr>
        <w:spacing w:line="480" w:lineRule="auto"/>
        <w:rPr>
          <w:bCs/>
        </w:rPr>
      </w:pPr>
    </w:p>
    <w:p w14:paraId="7F4E7BAB" w14:textId="26D7EB4C" w:rsidR="0016486B" w:rsidRPr="00D9272F" w:rsidRDefault="000F6D85" w:rsidP="0016486B">
      <w:pPr>
        <w:spacing w:line="480" w:lineRule="auto"/>
        <w:rPr>
          <w:bCs/>
        </w:rPr>
      </w:pPr>
      <w:r>
        <w:rPr>
          <w:bCs/>
        </w:rPr>
        <w:t xml:space="preserve">We offer two explanation for the </w:t>
      </w:r>
      <w:r w:rsidR="0016486B" w:rsidRPr="00D9272F">
        <w:rPr>
          <w:bCs/>
        </w:rPr>
        <w:t xml:space="preserve">variance in </w:t>
      </w:r>
      <w:r>
        <w:rPr>
          <w:bCs/>
        </w:rPr>
        <w:t>finding</w:t>
      </w:r>
      <w:r w:rsidR="0016486B" w:rsidRPr="00D9272F">
        <w:rPr>
          <w:bCs/>
        </w:rPr>
        <w:t>s across the two research methods. The first being that positive prisoner intentions to help others expressed within the focus groups</w:t>
      </w:r>
      <w:r w:rsidR="00B96C0E" w:rsidRPr="00D9272F">
        <w:rPr>
          <w:bCs/>
        </w:rPr>
        <w:t>,</w:t>
      </w:r>
      <w:r w:rsidR="0016486B" w:rsidRPr="00D9272F">
        <w:rPr>
          <w:bCs/>
        </w:rPr>
        <w:t xml:space="preserve"> were tempered by the </w:t>
      </w:r>
      <w:r w:rsidR="00B96C0E" w:rsidRPr="00D9272F">
        <w:rPr>
          <w:bCs/>
        </w:rPr>
        <w:t>concern</w:t>
      </w:r>
      <w:r w:rsidR="00EF307D">
        <w:rPr>
          <w:bCs/>
        </w:rPr>
        <w:t xml:space="preserve"> of </w:t>
      </w:r>
      <w:r w:rsidR="0082486E">
        <w:rPr>
          <w:bCs/>
        </w:rPr>
        <w:t>other prisoners</w:t>
      </w:r>
      <w:r w:rsidR="00B96C0E" w:rsidRPr="00D9272F">
        <w:rPr>
          <w:bCs/>
        </w:rPr>
        <w:t xml:space="preserve"> that </w:t>
      </w:r>
      <w:r w:rsidR="0082486E">
        <w:rPr>
          <w:bCs/>
        </w:rPr>
        <w:t>they</w:t>
      </w:r>
      <w:r w:rsidR="00B96C0E" w:rsidRPr="00D9272F">
        <w:rPr>
          <w:bCs/>
        </w:rPr>
        <w:t xml:space="preserve"> </w:t>
      </w:r>
      <w:r w:rsidR="0016486B" w:rsidRPr="00D9272F">
        <w:rPr>
          <w:bCs/>
        </w:rPr>
        <w:t>had enough to deal with</w:t>
      </w:r>
      <w:r w:rsidR="0082486E">
        <w:rPr>
          <w:bCs/>
        </w:rPr>
        <w:t xml:space="preserve"> themselves</w:t>
      </w:r>
      <w:r w:rsidR="0016486B" w:rsidRPr="00D9272F">
        <w:rPr>
          <w:bCs/>
        </w:rPr>
        <w:t xml:space="preserve"> before acting as a confidant for fellow prisoners, which may have impacted responses to the items on the RIBS. The second issue </w:t>
      </w:r>
      <w:r w:rsidR="00514A8E">
        <w:rPr>
          <w:bCs/>
        </w:rPr>
        <w:t>may</w:t>
      </w:r>
      <w:r w:rsidR="00514A8E" w:rsidRPr="00D9272F">
        <w:rPr>
          <w:bCs/>
        </w:rPr>
        <w:t xml:space="preserve"> </w:t>
      </w:r>
      <w:r w:rsidR="0016486B" w:rsidRPr="00D9272F">
        <w:rPr>
          <w:bCs/>
        </w:rPr>
        <w:t>be the suitability of RIBS as a measure within the prison setting. Items enquire about the respondent’s intentions to: “live with”, “work with”, “work nearby” and “continue a relationship” with someone suffering from a mental illness. Within prison, there is minimum autonomy in relation to these (and many other) variables</w:t>
      </w:r>
      <w:r w:rsidR="00B96C0E" w:rsidRPr="00D9272F">
        <w:rPr>
          <w:bCs/>
        </w:rPr>
        <w:t>,</w:t>
      </w:r>
      <w:r w:rsidR="0016486B" w:rsidRPr="00D9272F">
        <w:rPr>
          <w:bCs/>
        </w:rPr>
        <w:t xml:space="preserve"> (De Viggiani, 2012). Also, the point at which prisoners might be able </w:t>
      </w:r>
      <w:r w:rsidR="0016486B" w:rsidRPr="00D9272F">
        <w:rPr>
          <w:bCs/>
        </w:rPr>
        <w:lastRenderedPageBreak/>
        <w:t xml:space="preserve">to make such </w:t>
      </w:r>
      <w:r w:rsidR="00B96C0E" w:rsidRPr="00D9272F">
        <w:rPr>
          <w:bCs/>
        </w:rPr>
        <w:t xml:space="preserve">choices </w:t>
      </w:r>
      <w:r w:rsidR="006F35C4" w:rsidRPr="00D9272F">
        <w:rPr>
          <w:bCs/>
        </w:rPr>
        <w:t>upon release</w:t>
      </w:r>
      <w:r w:rsidR="000943B5">
        <w:rPr>
          <w:bCs/>
        </w:rPr>
        <w:t xml:space="preserve"> </w:t>
      </w:r>
      <w:r w:rsidR="00B96C0E" w:rsidRPr="00D9272F">
        <w:rPr>
          <w:bCs/>
        </w:rPr>
        <w:t xml:space="preserve">can </w:t>
      </w:r>
      <w:r w:rsidR="0016486B" w:rsidRPr="00D9272F">
        <w:rPr>
          <w:bCs/>
        </w:rPr>
        <w:t>be many years in the future and therefore</w:t>
      </w:r>
      <w:r w:rsidR="00C31400" w:rsidRPr="00D9272F">
        <w:rPr>
          <w:bCs/>
        </w:rPr>
        <w:t xml:space="preserve"> may be viewed as abstract and</w:t>
      </w:r>
      <w:r w:rsidR="0016486B" w:rsidRPr="00D9272F">
        <w:rPr>
          <w:bCs/>
        </w:rPr>
        <w:t xml:space="preserve"> hard to fully imagine. These two factors </w:t>
      </w:r>
      <w:r w:rsidR="00BC1A9E">
        <w:rPr>
          <w:bCs/>
        </w:rPr>
        <w:t>may have</w:t>
      </w:r>
      <w:r w:rsidR="0016486B" w:rsidRPr="00D9272F">
        <w:rPr>
          <w:bCs/>
        </w:rPr>
        <w:t xml:space="preserve"> combine</w:t>
      </w:r>
      <w:r w:rsidR="00BC1A9E">
        <w:rPr>
          <w:bCs/>
        </w:rPr>
        <w:t>d</w:t>
      </w:r>
      <w:r w:rsidR="0016486B" w:rsidRPr="00D9272F">
        <w:rPr>
          <w:bCs/>
        </w:rPr>
        <w:t xml:space="preserve"> to impact the validity of the RIBS questionnaire in its current format</w:t>
      </w:r>
      <w:r w:rsidR="002316C1">
        <w:rPr>
          <w:bCs/>
        </w:rPr>
        <w:t>, as despite reporting robust psychometric properties they are not widely tested in prisoner populations</w:t>
      </w:r>
      <w:r w:rsidR="0016486B" w:rsidRPr="00D9272F">
        <w:rPr>
          <w:bCs/>
        </w:rPr>
        <w:t>. Future studies should therefore consider an altered version of the RIBS</w:t>
      </w:r>
      <w:r w:rsidR="00772705" w:rsidRPr="00D9272F">
        <w:rPr>
          <w:bCs/>
        </w:rPr>
        <w:t>,</w:t>
      </w:r>
      <w:r w:rsidR="0016486B" w:rsidRPr="00D9272F">
        <w:rPr>
          <w:bCs/>
        </w:rPr>
        <w:t xml:space="preserve"> presenting scenarios better reflecting probable personal interactions within the prison environment.</w:t>
      </w:r>
      <w:r w:rsidR="002316C1">
        <w:rPr>
          <w:bCs/>
        </w:rPr>
        <w:t xml:space="preserve"> Similarly, if adequate participant numbers were recruited specific reliability and validity analyses could be completed.   </w:t>
      </w:r>
    </w:p>
    <w:p w14:paraId="00EB5732" w14:textId="77777777" w:rsidR="0016486B" w:rsidRPr="00D9272F" w:rsidRDefault="0016486B" w:rsidP="0016486B">
      <w:pPr>
        <w:spacing w:line="480" w:lineRule="auto"/>
        <w:rPr>
          <w:bCs/>
        </w:rPr>
      </w:pPr>
    </w:p>
    <w:p w14:paraId="5F7CC73E" w14:textId="77777777" w:rsidR="0016486B" w:rsidRPr="00D9272F" w:rsidRDefault="0016486B" w:rsidP="0016486B">
      <w:pPr>
        <w:spacing w:line="480" w:lineRule="auto"/>
        <w:rPr>
          <w:bCs/>
        </w:rPr>
      </w:pPr>
      <w:r w:rsidRPr="00D9272F">
        <w:rPr>
          <w:bCs/>
        </w:rPr>
        <w:t xml:space="preserve">No significant differences were recorded between groups for prisoner scores on psychological well-being and resilience immediately post-programme.  Psychological well-being, as measured by SWEMWBS, reflects self-perceptions of positive ‘functioning’ more than ‘feeling’ (Tenant et </w:t>
      </w:r>
      <w:r w:rsidR="000B6DBC" w:rsidRPr="00D9272F">
        <w:rPr>
          <w:bCs/>
        </w:rPr>
        <w:t>al.</w:t>
      </w:r>
      <w:r w:rsidR="000B6DBC">
        <w:rPr>
          <w:bCs/>
        </w:rPr>
        <w:t>,</w:t>
      </w:r>
      <w:r w:rsidRPr="00D9272F">
        <w:rPr>
          <w:bCs/>
        </w:rPr>
        <w:t xml:space="preserve"> 2007). Therefore, the absence of significantly enhanced levels of psychological functioning, which relate to personal feelings of value and meaning in life (Huta, 2016), is perhaps not surprising immediately following a 75-minute programme. </w:t>
      </w:r>
      <w:r w:rsidR="000B45D1">
        <w:rPr>
          <w:bCs/>
        </w:rPr>
        <w:t>Building</w:t>
      </w:r>
      <w:r w:rsidRPr="00D9272F">
        <w:rPr>
          <w:bCs/>
        </w:rPr>
        <w:t xml:space="preserve"> resilience is an interactive evolving process (Herrman et al., 2011), which develops when provided with new adaptive coping strategies. Therefore, the messages and coping strategies delivered within SOMS, targeting increased well-being and resilience, would require increased time to become embedded and </w:t>
      </w:r>
      <w:r w:rsidR="00772705" w:rsidRPr="00D9272F">
        <w:rPr>
          <w:bCs/>
        </w:rPr>
        <w:t xml:space="preserve">potentially </w:t>
      </w:r>
      <w:r w:rsidRPr="00D9272F">
        <w:rPr>
          <w:bCs/>
        </w:rPr>
        <w:t xml:space="preserve">reflected in the outcome measures used. </w:t>
      </w:r>
    </w:p>
    <w:p w14:paraId="50F48A90" w14:textId="77777777" w:rsidR="0016486B" w:rsidRPr="00D9272F" w:rsidRDefault="0016486B" w:rsidP="0016486B">
      <w:pPr>
        <w:spacing w:line="480" w:lineRule="auto"/>
        <w:rPr>
          <w:bCs/>
        </w:rPr>
      </w:pPr>
      <w:r w:rsidRPr="00D9272F">
        <w:rPr>
          <w:bCs/>
        </w:rPr>
        <w:tab/>
      </w:r>
    </w:p>
    <w:p w14:paraId="507490FA" w14:textId="77777777" w:rsidR="0016486B" w:rsidRPr="00D9272F" w:rsidRDefault="0016486B" w:rsidP="0016486B">
      <w:pPr>
        <w:spacing w:line="480" w:lineRule="auto"/>
        <w:rPr>
          <w:bCs/>
        </w:rPr>
      </w:pPr>
      <w:r w:rsidRPr="00D9272F">
        <w:rPr>
          <w:bCs/>
        </w:rPr>
        <w:t xml:space="preserve">An emergent theme from the focus groups was prisoners’ increased willingness to confide in fellow inmates and discuss their vulnerabilities as a positive coping mechanism. This is in contrast to the stereotypical male response of stoicism when faced with emotional distress within prisons (Ricciardelli et al., 2015). However, the translation of any increase in </w:t>
      </w:r>
      <w:r w:rsidRPr="00D9272F">
        <w:rPr>
          <w:bCs/>
        </w:rPr>
        <w:lastRenderedPageBreak/>
        <w:t>intentions to discuss mental health concerns into actions ha</w:t>
      </w:r>
      <w:r w:rsidR="005B761C">
        <w:rPr>
          <w:bCs/>
        </w:rPr>
        <w:t>d</w:t>
      </w:r>
      <w:r w:rsidRPr="00D9272F">
        <w:rPr>
          <w:bCs/>
        </w:rPr>
        <w:t xml:space="preserve"> to compete with an opposing theme, i.e., the perceived likelihood of being stigmatised for doing so. </w:t>
      </w:r>
      <w:r w:rsidR="0000448C" w:rsidRPr="00D9272F">
        <w:rPr>
          <w:bCs/>
        </w:rPr>
        <w:t>Fellow prisoners and the prison system</w:t>
      </w:r>
      <w:r w:rsidRPr="00D9272F">
        <w:rPr>
          <w:bCs/>
        </w:rPr>
        <w:t xml:space="preserve"> were both identified as sources of stigmatisation.  This view persisted despite the programme addressing issues regarding mental health stigma, and could act as a barrier to improved </w:t>
      </w:r>
      <w:r w:rsidR="00772705" w:rsidRPr="00D9272F">
        <w:rPr>
          <w:bCs/>
        </w:rPr>
        <w:t xml:space="preserve">mental </w:t>
      </w:r>
      <w:r w:rsidRPr="00D9272F">
        <w:rPr>
          <w:bCs/>
        </w:rPr>
        <w:t xml:space="preserve">well-being. Lack of trust in other prisoners, prison staff, and the potential for admissions of low </w:t>
      </w:r>
      <w:r w:rsidR="00772705" w:rsidRPr="00D9272F">
        <w:rPr>
          <w:bCs/>
        </w:rPr>
        <w:t xml:space="preserve">mental </w:t>
      </w:r>
      <w:r w:rsidRPr="00D9272F">
        <w:rPr>
          <w:bCs/>
        </w:rPr>
        <w:t xml:space="preserve">well-being to negatively impact parole hearings, were perceived as barriers to adopting a more transparent approach to discussing </w:t>
      </w:r>
      <w:r w:rsidR="00772705" w:rsidRPr="00D9272F">
        <w:rPr>
          <w:bCs/>
        </w:rPr>
        <w:t>well-being</w:t>
      </w:r>
      <w:r w:rsidRPr="00D9272F">
        <w:rPr>
          <w:bCs/>
        </w:rPr>
        <w:t>.</w:t>
      </w:r>
    </w:p>
    <w:p w14:paraId="22EA986B" w14:textId="77777777" w:rsidR="00916CBD" w:rsidRPr="00D9272F" w:rsidRDefault="00916CBD" w:rsidP="001A7F8E">
      <w:pPr>
        <w:spacing w:line="480" w:lineRule="auto"/>
        <w:rPr>
          <w:bCs/>
        </w:rPr>
      </w:pPr>
    </w:p>
    <w:p w14:paraId="1CE6134B" w14:textId="759ACAE9" w:rsidR="0016486B" w:rsidRPr="00D9272F" w:rsidRDefault="00706318" w:rsidP="001A7F8E">
      <w:pPr>
        <w:spacing w:line="480" w:lineRule="auto"/>
        <w:rPr>
          <w:bCs/>
        </w:rPr>
      </w:pPr>
      <w:r w:rsidRPr="00D9272F">
        <w:rPr>
          <w:bCs/>
        </w:rPr>
        <w:t>Fear</w:t>
      </w:r>
      <w:r w:rsidR="0016486B" w:rsidRPr="00D9272F">
        <w:rPr>
          <w:bCs/>
        </w:rPr>
        <w:t xml:space="preserve"> of stigmatisation, lack of trust </w:t>
      </w:r>
      <w:r w:rsidR="00772705" w:rsidRPr="00D9272F">
        <w:rPr>
          <w:bCs/>
        </w:rPr>
        <w:t>in</w:t>
      </w:r>
      <w:r w:rsidR="0016486B" w:rsidRPr="00D9272F">
        <w:rPr>
          <w:bCs/>
        </w:rPr>
        <w:t xml:space="preserve"> other prisoners and the prison system all replicate findings from previous research examining help-seeking behaviour within prisons (De Viggiani, 2012; Howerton et al., 2007; Ricciardelli et al., 2015; Skogstad, Deane &amp; Spicer, 2006). Avoidance of help-seeking behaviours is also linked to </w:t>
      </w:r>
      <w:r w:rsidRPr="00D9272F">
        <w:rPr>
          <w:bCs/>
        </w:rPr>
        <w:t xml:space="preserve">the maintenance of </w:t>
      </w:r>
      <w:r w:rsidR="0016486B" w:rsidRPr="00D9272F">
        <w:rPr>
          <w:bCs/>
        </w:rPr>
        <w:t>prison masculinities and a weighing up of the risks associated with such disclosures</w:t>
      </w:r>
      <w:r w:rsidR="00772705" w:rsidRPr="00D9272F">
        <w:rPr>
          <w:bCs/>
        </w:rPr>
        <w:t xml:space="preserve"> </w:t>
      </w:r>
      <w:r w:rsidR="00C37640" w:rsidRPr="00D9272F">
        <w:rPr>
          <w:bCs/>
        </w:rPr>
        <w:t>(</w:t>
      </w:r>
      <w:r w:rsidR="0016486B" w:rsidRPr="00D9272F">
        <w:rPr>
          <w:bCs/>
        </w:rPr>
        <w:t>Ricciardelli et al., 2015)</w:t>
      </w:r>
      <w:r w:rsidR="00772705" w:rsidRPr="00D9272F">
        <w:rPr>
          <w:bCs/>
        </w:rPr>
        <w:t xml:space="preserve">. </w:t>
      </w:r>
      <w:r w:rsidR="00D0398A">
        <w:rPr>
          <w:bCs/>
        </w:rPr>
        <w:t>Considering feasibility, f</w:t>
      </w:r>
      <w:r w:rsidRPr="00D9272F">
        <w:rPr>
          <w:bCs/>
        </w:rPr>
        <w:t>uture p</w:t>
      </w:r>
      <w:r w:rsidR="0016486B" w:rsidRPr="00D9272F">
        <w:rPr>
          <w:bCs/>
        </w:rPr>
        <w:t>rogram</w:t>
      </w:r>
      <w:r w:rsidRPr="00D9272F">
        <w:rPr>
          <w:bCs/>
        </w:rPr>
        <w:t>me</w:t>
      </w:r>
      <w:r w:rsidR="0016486B" w:rsidRPr="00D9272F">
        <w:rPr>
          <w:bCs/>
        </w:rPr>
        <w:t xml:space="preserve">s </w:t>
      </w:r>
      <w:r w:rsidRPr="00D9272F">
        <w:rPr>
          <w:bCs/>
        </w:rPr>
        <w:t xml:space="preserve">that are designed </w:t>
      </w:r>
      <w:r w:rsidR="0016486B" w:rsidRPr="00D9272F">
        <w:rPr>
          <w:bCs/>
        </w:rPr>
        <w:t xml:space="preserve">as </w:t>
      </w:r>
      <w:r w:rsidR="00772705" w:rsidRPr="00D9272F">
        <w:rPr>
          <w:bCs/>
        </w:rPr>
        <w:t>community-based</w:t>
      </w:r>
      <w:r w:rsidR="0016486B" w:rsidRPr="00D9272F">
        <w:rPr>
          <w:bCs/>
        </w:rPr>
        <w:t xml:space="preserve"> program</w:t>
      </w:r>
      <w:r w:rsidRPr="00D9272F">
        <w:rPr>
          <w:bCs/>
        </w:rPr>
        <w:t>me</w:t>
      </w:r>
      <w:r w:rsidR="005E6A23">
        <w:rPr>
          <w:bCs/>
        </w:rPr>
        <w:t>s</w:t>
      </w:r>
      <w:r w:rsidR="0016486B" w:rsidRPr="00D9272F">
        <w:rPr>
          <w:bCs/>
        </w:rPr>
        <w:t xml:space="preserve"> </w:t>
      </w:r>
      <w:r w:rsidR="00D0398A">
        <w:rPr>
          <w:bCs/>
        </w:rPr>
        <w:t>then</w:t>
      </w:r>
      <w:r w:rsidR="00D0398A" w:rsidRPr="00D9272F">
        <w:rPr>
          <w:bCs/>
        </w:rPr>
        <w:t xml:space="preserve"> </w:t>
      </w:r>
      <w:r w:rsidR="000E77CF" w:rsidRPr="00D9272F">
        <w:rPr>
          <w:bCs/>
        </w:rPr>
        <w:t>transferred</w:t>
      </w:r>
      <w:r w:rsidR="0016486B" w:rsidRPr="00D9272F">
        <w:rPr>
          <w:bCs/>
        </w:rPr>
        <w:t xml:space="preserve"> into </w:t>
      </w:r>
      <w:r w:rsidRPr="00D9272F">
        <w:rPr>
          <w:bCs/>
        </w:rPr>
        <w:t xml:space="preserve">a </w:t>
      </w:r>
      <w:r w:rsidR="0016486B" w:rsidRPr="00D9272F">
        <w:rPr>
          <w:bCs/>
        </w:rPr>
        <w:t xml:space="preserve">prison, must therefore ensure they gain a deep understanding of the nuances and specific </w:t>
      </w:r>
      <w:r w:rsidRPr="00D9272F">
        <w:rPr>
          <w:bCs/>
        </w:rPr>
        <w:t xml:space="preserve">challenges </w:t>
      </w:r>
      <w:r w:rsidR="0016486B" w:rsidRPr="00D9272F">
        <w:rPr>
          <w:bCs/>
        </w:rPr>
        <w:t xml:space="preserve">prisoners face when attempting to adopt </w:t>
      </w:r>
      <w:r w:rsidR="00772705" w:rsidRPr="00D9272F">
        <w:rPr>
          <w:bCs/>
        </w:rPr>
        <w:t xml:space="preserve">coping </w:t>
      </w:r>
      <w:r w:rsidR="0016486B" w:rsidRPr="00D9272F">
        <w:rPr>
          <w:bCs/>
        </w:rPr>
        <w:t xml:space="preserve">strategies presented to them. Failure to recognise and cater for these contextual difficulties may open the potential for negative impacts rather than benefits within prison. </w:t>
      </w:r>
      <w:r w:rsidR="00A5315A" w:rsidRPr="00D9272F">
        <w:rPr>
          <w:bCs/>
        </w:rPr>
        <w:t xml:space="preserve">Results from this study </w:t>
      </w:r>
      <w:r w:rsidRPr="00D9272F">
        <w:rPr>
          <w:bCs/>
        </w:rPr>
        <w:t xml:space="preserve">show </w:t>
      </w:r>
      <w:r w:rsidR="00A5315A" w:rsidRPr="00D9272F">
        <w:rPr>
          <w:bCs/>
        </w:rPr>
        <w:t>that providing</w:t>
      </w:r>
      <w:r w:rsidR="0016486B" w:rsidRPr="00D9272F">
        <w:rPr>
          <w:bCs/>
        </w:rPr>
        <w:t xml:space="preserve"> safe spaces for developing </w:t>
      </w:r>
      <w:r w:rsidR="00A5315A" w:rsidRPr="00D9272F">
        <w:rPr>
          <w:bCs/>
        </w:rPr>
        <w:t>trusted</w:t>
      </w:r>
      <w:r w:rsidR="0016486B" w:rsidRPr="00D9272F">
        <w:rPr>
          <w:bCs/>
        </w:rPr>
        <w:t xml:space="preserve"> relationships with other prisoners</w:t>
      </w:r>
      <w:r w:rsidR="00A5315A" w:rsidRPr="00D9272F">
        <w:rPr>
          <w:bCs/>
        </w:rPr>
        <w:t>, providing</w:t>
      </w:r>
      <w:r w:rsidR="0016486B" w:rsidRPr="00D9272F">
        <w:rPr>
          <w:bCs/>
        </w:rPr>
        <w:t xml:space="preserve"> on-going support following </w:t>
      </w:r>
      <w:r w:rsidR="00A5315A" w:rsidRPr="00D9272F">
        <w:rPr>
          <w:bCs/>
        </w:rPr>
        <w:t>workshops to</w:t>
      </w:r>
      <w:r w:rsidR="0016486B" w:rsidRPr="00D9272F">
        <w:rPr>
          <w:bCs/>
        </w:rPr>
        <w:t xml:space="preserve"> develop and implement new coping skills</w:t>
      </w:r>
      <w:r w:rsidRPr="00D9272F">
        <w:rPr>
          <w:bCs/>
        </w:rPr>
        <w:t>,</w:t>
      </w:r>
      <w:r w:rsidR="00A5315A" w:rsidRPr="00D9272F">
        <w:rPr>
          <w:bCs/>
        </w:rPr>
        <w:t xml:space="preserve"> and the inclusion of prisoner testimonies</w:t>
      </w:r>
      <w:r w:rsidR="0016486B" w:rsidRPr="00D9272F">
        <w:rPr>
          <w:bCs/>
        </w:rPr>
        <w:t xml:space="preserve"> </w:t>
      </w:r>
      <w:r w:rsidR="00A5315A" w:rsidRPr="00D9272F">
        <w:rPr>
          <w:bCs/>
        </w:rPr>
        <w:t>could help mitigate these risks</w:t>
      </w:r>
      <w:r w:rsidR="00891424">
        <w:rPr>
          <w:bCs/>
        </w:rPr>
        <w:t>,</w:t>
      </w:r>
      <w:r w:rsidR="00A5315A" w:rsidRPr="00D9272F">
        <w:rPr>
          <w:bCs/>
        </w:rPr>
        <w:t xml:space="preserve"> increase coping-efficacy</w:t>
      </w:r>
      <w:r w:rsidR="00891424">
        <w:rPr>
          <w:bCs/>
        </w:rPr>
        <w:t xml:space="preserve"> and </w:t>
      </w:r>
      <w:r w:rsidR="00287994">
        <w:rPr>
          <w:bCs/>
        </w:rPr>
        <w:t>overall programme feasibility</w:t>
      </w:r>
      <w:r w:rsidR="0016486B" w:rsidRPr="00D9272F">
        <w:rPr>
          <w:bCs/>
        </w:rPr>
        <w:t xml:space="preserve">.  </w:t>
      </w:r>
    </w:p>
    <w:p w14:paraId="417EF698" w14:textId="77777777" w:rsidR="0016486B" w:rsidRPr="00D9272F" w:rsidRDefault="0016486B" w:rsidP="0016486B">
      <w:pPr>
        <w:spacing w:line="480" w:lineRule="auto"/>
        <w:rPr>
          <w:bCs/>
        </w:rPr>
      </w:pPr>
    </w:p>
    <w:p w14:paraId="3EC6F099" w14:textId="0A8EF308" w:rsidR="0016486B" w:rsidRPr="00D9272F" w:rsidRDefault="0016486B" w:rsidP="0016486B">
      <w:pPr>
        <w:spacing w:line="480" w:lineRule="auto"/>
        <w:rPr>
          <w:bCs/>
        </w:rPr>
      </w:pPr>
      <w:r w:rsidRPr="00D9272F">
        <w:rPr>
          <w:bCs/>
        </w:rPr>
        <w:t xml:space="preserve">An emergent theme from the focus groups was that SOMS, as a mental health awareness programme with its origins in the hyper masculine sport of rugby league, was </w:t>
      </w:r>
      <w:r w:rsidR="00706318" w:rsidRPr="00D9272F">
        <w:rPr>
          <w:bCs/>
        </w:rPr>
        <w:t xml:space="preserve">effective in </w:t>
      </w:r>
      <w:r w:rsidRPr="00D9272F">
        <w:rPr>
          <w:bCs/>
        </w:rPr>
        <w:t xml:space="preserve">at </w:t>
      </w:r>
      <w:r w:rsidRPr="00D9272F">
        <w:rPr>
          <w:bCs/>
        </w:rPr>
        <w:lastRenderedPageBreak/>
        <w:t xml:space="preserve">least </w:t>
      </w:r>
      <w:r w:rsidR="00706318" w:rsidRPr="00D9272F">
        <w:rPr>
          <w:bCs/>
        </w:rPr>
        <w:t xml:space="preserve">triggering </w:t>
      </w:r>
      <w:r w:rsidRPr="00D9272F">
        <w:rPr>
          <w:bCs/>
        </w:rPr>
        <w:t>a small shift in the restrictive toxic masculinities present within the prison environment</w:t>
      </w:r>
      <w:r w:rsidR="00706318" w:rsidRPr="00D9272F">
        <w:rPr>
          <w:bCs/>
        </w:rPr>
        <w:t xml:space="preserve"> </w:t>
      </w:r>
      <w:r w:rsidRPr="00D9272F">
        <w:rPr>
          <w:bCs/>
        </w:rPr>
        <w:t xml:space="preserve">(Kupers, 2005).  The use of sport as a </w:t>
      </w:r>
      <w:r w:rsidR="00706318" w:rsidRPr="00D9272F">
        <w:rPr>
          <w:bCs/>
        </w:rPr>
        <w:t>catalyst</w:t>
      </w:r>
      <w:r w:rsidRPr="00D9272F">
        <w:rPr>
          <w:bCs/>
        </w:rPr>
        <w:t>, specifically ex-professional rugby league players</w:t>
      </w:r>
      <w:r w:rsidR="003B3F37">
        <w:rPr>
          <w:bCs/>
        </w:rPr>
        <w:t>,</w:t>
      </w:r>
      <w:r w:rsidRPr="00D9272F">
        <w:rPr>
          <w:bCs/>
        </w:rPr>
        <w:t xml:space="preserve"> was perceived to afford a legitimacy to the vulnerabilities of the prisoners and offer an alternative empowering narrative to that usually encountered </w:t>
      </w:r>
      <w:r w:rsidR="00CE3226" w:rsidRPr="00D9272F">
        <w:rPr>
          <w:bCs/>
        </w:rPr>
        <w:t xml:space="preserve">prior to and </w:t>
      </w:r>
      <w:r w:rsidRPr="00D9272F">
        <w:rPr>
          <w:bCs/>
        </w:rPr>
        <w:t xml:space="preserve">within </w:t>
      </w:r>
      <w:r w:rsidR="00CE3226" w:rsidRPr="00D9272F">
        <w:rPr>
          <w:bCs/>
        </w:rPr>
        <w:t xml:space="preserve">prison. </w:t>
      </w:r>
      <w:r w:rsidRPr="00D9272F">
        <w:rPr>
          <w:bCs/>
        </w:rPr>
        <w:t>This is an important finding</w:t>
      </w:r>
      <w:r w:rsidR="00832E9E">
        <w:rPr>
          <w:bCs/>
        </w:rPr>
        <w:t xml:space="preserve"> </w:t>
      </w:r>
      <w:r w:rsidR="00EB3F26">
        <w:rPr>
          <w:bCs/>
        </w:rPr>
        <w:t xml:space="preserve">regarding </w:t>
      </w:r>
      <w:r w:rsidR="00832E9E">
        <w:rPr>
          <w:bCs/>
        </w:rPr>
        <w:t xml:space="preserve">programme </w:t>
      </w:r>
      <w:r w:rsidR="00BB65D0">
        <w:rPr>
          <w:bCs/>
        </w:rPr>
        <w:t>feasibility</w:t>
      </w:r>
      <w:r w:rsidRPr="00D9272F">
        <w:rPr>
          <w:bCs/>
        </w:rPr>
        <w:t xml:space="preserve">, as although several focus group participants reported motivation to attend due to the sport-based nature of the programme, many others had no over-riding interest in sport and were attending due to the focus on mental health. </w:t>
      </w:r>
      <w:r w:rsidR="00706318" w:rsidRPr="00D9272F">
        <w:rPr>
          <w:bCs/>
        </w:rPr>
        <w:t xml:space="preserve">Importantly, </w:t>
      </w:r>
      <w:r w:rsidRPr="00D9272F">
        <w:rPr>
          <w:bCs/>
        </w:rPr>
        <w:t xml:space="preserve">those with no sporting interest still felt the messages delivered by the ex-professional </w:t>
      </w:r>
      <w:r w:rsidR="00706318" w:rsidRPr="00D9272F">
        <w:rPr>
          <w:bCs/>
        </w:rPr>
        <w:t xml:space="preserve">rugby </w:t>
      </w:r>
      <w:r w:rsidRPr="00D9272F">
        <w:rPr>
          <w:bCs/>
        </w:rPr>
        <w:t xml:space="preserve">players resonated with their </w:t>
      </w:r>
      <w:r w:rsidR="00706318" w:rsidRPr="00D9272F">
        <w:rPr>
          <w:bCs/>
        </w:rPr>
        <w:t xml:space="preserve">current </w:t>
      </w:r>
      <w:r w:rsidRPr="00D9272F">
        <w:rPr>
          <w:bCs/>
        </w:rPr>
        <w:t xml:space="preserve">situation. </w:t>
      </w:r>
    </w:p>
    <w:p w14:paraId="7108ED14" w14:textId="77777777" w:rsidR="0016486B" w:rsidRPr="00D9272F" w:rsidRDefault="0016486B" w:rsidP="0016486B">
      <w:pPr>
        <w:spacing w:line="480" w:lineRule="auto"/>
        <w:rPr>
          <w:bCs/>
        </w:rPr>
      </w:pPr>
    </w:p>
    <w:p w14:paraId="7E7C0DC0" w14:textId="77777777" w:rsidR="0016486B" w:rsidRPr="00D9272F" w:rsidRDefault="0016486B" w:rsidP="0016486B">
      <w:pPr>
        <w:spacing w:line="480" w:lineRule="auto"/>
        <w:rPr>
          <w:bCs/>
        </w:rPr>
      </w:pPr>
      <w:r w:rsidRPr="00D9272F">
        <w:rPr>
          <w:bCs/>
        </w:rPr>
        <w:t>Combined with an increased willingness to seek help from others and sense of perspective on their own problems, prisoners reported an increased sense of hope immediately following the SOMS programme</w:t>
      </w:r>
      <w:r w:rsidR="00706318" w:rsidRPr="00D9272F">
        <w:rPr>
          <w:bCs/>
        </w:rPr>
        <w:t xml:space="preserve">. Prisoners </w:t>
      </w:r>
      <w:r w:rsidR="002F3B93">
        <w:rPr>
          <w:bCs/>
        </w:rPr>
        <w:t>referred to increased</w:t>
      </w:r>
      <w:r w:rsidRPr="00D9272F">
        <w:rPr>
          <w:bCs/>
        </w:rPr>
        <w:t xml:space="preserve"> hope</w:t>
      </w:r>
      <w:r w:rsidR="00706318" w:rsidRPr="00D9272F">
        <w:rPr>
          <w:bCs/>
        </w:rPr>
        <w:t>d</w:t>
      </w:r>
      <w:r w:rsidRPr="00D9272F">
        <w:rPr>
          <w:bCs/>
        </w:rPr>
        <w:t xml:space="preserve"> they could overcome personal difficulties and transition through the gate a better person. This is an important outcome as a sense of hopelessness has been consistently linked with self-harm and suicide (Fazel, Cartwright, Norman-Nott &amp; Hawton, 2008; Gooding et al., 2017;</w:t>
      </w:r>
      <w:r w:rsidR="00CE3226" w:rsidRPr="00D9272F">
        <w:rPr>
          <w:bCs/>
        </w:rPr>
        <w:t xml:space="preserve"> Konrad et al., 2007)</w:t>
      </w:r>
      <w:r w:rsidR="00706318" w:rsidRPr="00D9272F">
        <w:rPr>
          <w:bCs/>
        </w:rPr>
        <w:t>.</w:t>
      </w:r>
      <w:r w:rsidR="00284C20" w:rsidRPr="00D9272F">
        <w:rPr>
          <w:bCs/>
        </w:rPr>
        <w:t xml:space="preserve"> We </w:t>
      </w:r>
      <w:r w:rsidR="00025179" w:rsidRPr="00D9272F">
        <w:rPr>
          <w:bCs/>
        </w:rPr>
        <w:t>speculate</w:t>
      </w:r>
      <w:r w:rsidR="00284C20" w:rsidRPr="00D9272F">
        <w:rPr>
          <w:bCs/>
        </w:rPr>
        <w:t xml:space="preserve"> that </w:t>
      </w:r>
      <w:r w:rsidRPr="00D9272F">
        <w:rPr>
          <w:bCs/>
        </w:rPr>
        <w:t>SOM</w:t>
      </w:r>
      <w:r w:rsidR="00284C20" w:rsidRPr="00D9272F">
        <w:rPr>
          <w:bCs/>
        </w:rPr>
        <w:t>S</w:t>
      </w:r>
      <w:r w:rsidR="009A4489">
        <w:rPr>
          <w:bCs/>
        </w:rPr>
        <w:t>,</w:t>
      </w:r>
      <w:r w:rsidR="00284C20" w:rsidRPr="00D9272F">
        <w:rPr>
          <w:bCs/>
        </w:rPr>
        <w:t xml:space="preserve"> as a result of </w:t>
      </w:r>
      <w:r w:rsidRPr="00D9272F">
        <w:rPr>
          <w:bCs/>
        </w:rPr>
        <w:t>increas</w:t>
      </w:r>
      <w:r w:rsidR="00284C20" w:rsidRPr="00D9272F">
        <w:rPr>
          <w:bCs/>
        </w:rPr>
        <w:t>ing</w:t>
      </w:r>
      <w:r w:rsidRPr="00D9272F">
        <w:rPr>
          <w:bCs/>
        </w:rPr>
        <w:t xml:space="preserve"> prisoner</w:t>
      </w:r>
      <w:r w:rsidR="00284C20" w:rsidRPr="00D9272F">
        <w:rPr>
          <w:bCs/>
        </w:rPr>
        <w:t xml:space="preserve"> </w:t>
      </w:r>
      <w:r w:rsidRPr="00D9272F">
        <w:rPr>
          <w:bCs/>
        </w:rPr>
        <w:t xml:space="preserve">hope, </w:t>
      </w:r>
      <w:r w:rsidR="00284C20" w:rsidRPr="00D9272F">
        <w:rPr>
          <w:bCs/>
        </w:rPr>
        <w:t>will also impact</w:t>
      </w:r>
      <w:r w:rsidRPr="00D9272F">
        <w:rPr>
          <w:bCs/>
        </w:rPr>
        <w:t xml:space="preserve"> coping efficacy, therefore </w:t>
      </w:r>
      <w:r w:rsidR="00284C20" w:rsidRPr="00D9272F">
        <w:rPr>
          <w:bCs/>
        </w:rPr>
        <w:t xml:space="preserve">having </w:t>
      </w:r>
      <w:r w:rsidRPr="00D9272F">
        <w:rPr>
          <w:bCs/>
        </w:rPr>
        <w:t>significant positive improv</w:t>
      </w:r>
      <w:r w:rsidR="00284C20" w:rsidRPr="00D9272F">
        <w:rPr>
          <w:bCs/>
        </w:rPr>
        <w:t>ements in</w:t>
      </w:r>
      <w:r w:rsidR="00CE3226" w:rsidRPr="00D9272F">
        <w:rPr>
          <w:bCs/>
        </w:rPr>
        <w:t xml:space="preserve"> mental</w:t>
      </w:r>
      <w:r w:rsidRPr="00D9272F">
        <w:rPr>
          <w:bCs/>
        </w:rPr>
        <w:t xml:space="preserve"> well-being with</w:t>
      </w:r>
      <w:r w:rsidR="00284C20" w:rsidRPr="00D9272F">
        <w:rPr>
          <w:bCs/>
        </w:rPr>
        <w:t>in</w:t>
      </w:r>
      <w:r w:rsidRPr="00D9272F">
        <w:rPr>
          <w:bCs/>
        </w:rPr>
        <w:t xml:space="preserve"> prisons. </w:t>
      </w:r>
    </w:p>
    <w:p w14:paraId="782877C2" w14:textId="77777777" w:rsidR="0016486B" w:rsidRPr="00D9272F" w:rsidRDefault="0016486B" w:rsidP="0016486B">
      <w:pPr>
        <w:spacing w:line="480" w:lineRule="auto"/>
        <w:rPr>
          <w:bCs/>
        </w:rPr>
      </w:pPr>
    </w:p>
    <w:p w14:paraId="438734CE" w14:textId="34E547E5" w:rsidR="0016486B" w:rsidRPr="00D9272F" w:rsidRDefault="0016486B" w:rsidP="0016486B">
      <w:pPr>
        <w:spacing w:line="480" w:lineRule="auto"/>
        <w:rPr>
          <w:bCs/>
        </w:rPr>
      </w:pPr>
      <w:r w:rsidRPr="00D9272F">
        <w:rPr>
          <w:bCs/>
        </w:rPr>
        <w:t>There were several limitations within the current research</w:t>
      </w:r>
      <w:r w:rsidR="009841DE">
        <w:rPr>
          <w:bCs/>
        </w:rPr>
        <w:t>, partly reflecting the methodological landmines inherent in prison research (Schlosser, 2008</w:t>
      </w:r>
      <w:r w:rsidR="002758D6">
        <w:rPr>
          <w:bCs/>
        </w:rPr>
        <w:t>).</w:t>
      </w:r>
      <w:r w:rsidRPr="00D9272F">
        <w:rPr>
          <w:bCs/>
        </w:rPr>
        <w:t xml:space="preserve"> Considering sample size, although 75 prisoners were successfully recruited, this prohibited stratified analysis across variables such as offence committed</w:t>
      </w:r>
      <w:r w:rsidR="00F7507C">
        <w:rPr>
          <w:bCs/>
        </w:rPr>
        <w:t xml:space="preserve"> or sentence length</w:t>
      </w:r>
      <w:r w:rsidRPr="00D9272F">
        <w:rPr>
          <w:bCs/>
        </w:rPr>
        <w:t xml:space="preserve">, which may have revealed important differences in outcome measures across certain offences. Secondly, although the </w:t>
      </w:r>
      <w:r w:rsidRPr="00D9272F">
        <w:rPr>
          <w:bCs/>
        </w:rPr>
        <w:lastRenderedPageBreak/>
        <w:t xml:space="preserve">inclusion of a control group was a strength, there was no randomisation of participants </w:t>
      </w:r>
      <w:r w:rsidR="009B41BA" w:rsidRPr="00D9272F">
        <w:rPr>
          <w:bCs/>
        </w:rPr>
        <w:t>to groups</w:t>
      </w:r>
      <w:r w:rsidR="00C03F70">
        <w:rPr>
          <w:bCs/>
        </w:rPr>
        <w:t xml:space="preserve"> </w:t>
      </w:r>
      <w:r w:rsidR="00D20F6F">
        <w:rPr>
          <w:bCs/>
        </w:rPr>
        <w:t>due to prison restrictions</w:t>
      </w:r>
      <w:r w:rsidR="009B41BA" w:rsidRPr="00D9272F">
        <w:rPr>
          <w:bCs/>
        </w:rPr>
        <w:t xml:space="preserve">, </w:t>
      </w:r>
      <w:r w:rsidRPr="00D9272F">
        <w:rPr>
          <w:bCs/>
        </w:rPr>
        <w:t xml:space="preserve">introducing the potential for bias. </w:t>
      </w:r>
      <w:r w:rsidR="00F70925">
        <w:rPr>
          <w:bCs/>
        </w:rPr>
        <w:t>The</w:t>
      </w:r>
      <w:r w:rsidR="00BE452C">
        <w:rPr>
          <w:bCs/>
        </w:rPr>
        <w:t xml:space="preserve"> brief nature of the intervention and</w:t>
      </w:r>
      <w:r w:rsidR="00BF3AEB">
        <w:rPr>
          <w:bCs/>
        </w:rPr>
        <w:t xml:space="preserve"> limited</w:t>
      </w:r>
      <w:r w:rsidR="00F70925">
        <w:rPr>
          <w:bCs/>
        </w:rPr>
        <w:t xml:space="preserve"> time</w:t>
      </w:r>
      <w:r w:rsidR="00BF3AEB">
        <w:rPr>
          <w:bCs/>
        </w:rPr>
        <w:t xml:space="preserve"> </w:t>
      </w:r>
      <w:r w:rsidR="00BE452C">
        <w:rPr>
          <w:bCs/>
        </w:rPr>
        <w:t>between</w:t>
      </w:r>
      <w:r w:rsidR="00BF3AEB">
        <w:rPr>
          <w:bCs/>
        </w:rPr>
        <w:t xml:space="preserve"> questionnaire </w:t>
      </w:r>
      <w:r w:rsidR="00BE452C">
        <w:rPr>
          <w:bCs/>
        </w:rPr>
        <w:t>administration</w:t>
      </w:r>
      <w:r w:rsidR="00E441F5">
        <w:rPr>
          <w:bCs/>
        </w:rPr>
        <w:t xml:space="preserve"> will have </w:t>
      </w:r>
      <w:r w:rsidR="000B6C4B">
        <w:rPr>
          <w:bCs/>
        </w:rPr>
        <w:t xml:space="preserve">restricted the possibility of change in </w:t>
      </w:r>
      <w:r w:rsidR="00010D15">
        <w:rPr>
          <w:bCs/>
        </w:rPr>
        <w:t xml:space="preserve">some outcome measures, such as </w:t>
      </w:r>
      <w:r w:rsidR="00B43656">
        <w:rPr>
          <w:bCs/>
        </w:rPr>
        <w:t>resilience.</w:t>
      </w:r>
      <w:r w:rsidR="00BF3AEB">
        <w:rPr>
          <w:bCs/>
        </w:rPr>
        <w:t xml:space="preserve"> </w:t>
      </w:r>
      <w:r w:rsidRPr="00D9272F">
        <w:rPr>
          <w:bCs/>
        </w:rPr>
        <w:t xml:space="preserve">Focus group results immediately following the intervention revealed important findings, for example, an increased sense of hope and greater help-seeking intentions, however there was no measure of whether </w:t>
      </w:r>
      <w:r w:rsidR="006E3BCE">
        <w:rPr>
          <w:bCs/>
        </w:rPr>
        <w:t xml:space="preserve">associated </w:t>
      </w:r>
      <w:r w:rsidR="003D264B" w:rsidRPr="00D9272F">
        <w:rPr>
          <w:bCs/>
        </w:rPr>
        <w:t>behavioral</w:t>
      </w:r>
      <w:r w:rsidRPr="00D9272F">
        <w:rPr>
          <w:bCs/>
        </w:rPr>
        <w:t xml:space="preserve"> changes persisted and translated into positive actions over time. </w:t>
      </w:r>
    </w:p>
    <w:p w14:paraId="350188E5" w14:textId="77777777" w:rsidR="0016486B" w:rsidRPr="00D9272F" w:rsidRDefault="0016486B" w:rsidP="0016486B">
      <w:pPr>
        <w:spacing w:line="480" w:lineRule="auto"/>
        <w:rPr>
          <w:bCs/>
        </w:rPr>
      </w:pPr>
    </w:p>
    <w:p w14:paraId="16ED8CAA" w14:textId="55A51BB8" w:rsidR="0016486B" w:rsidRPr="00D9272F" w:rsidRDefault="0016486B" w:rsidP="0016486B">
      <w:pPr>
        <w:spacing w:line="480" w:lineRule="auto"/>
        <w:rPr>
          <w:bCs/>
        </w:rPr>
      </w:pPr>
      <w:r w:rsidRPr="00D9272F">
        <w:rPr>
          <w:bCs/>
        </w:rPr>
        <w:t xml:space="preserve">The outcomes of the research and limitations discussed give rise to several recommendations for future research. Future studies should include additional measures to validate some of the findings discussed, for example, those related to increased help–seeking intentions and decreased feelings of hopelessness. </w:t>
      </w:r>
      <w:r w:rsidR="00CE3226" w:rsidRPr="00D9272F">
        <w:rPr>
          <w:bCs/>
        </w:rPr>
        <w:t>P</w:t>
      </w:r>
      <w:r w:rsidRPr="00D9272F">
        <w:rPr>
          <w:bCs/>
        </w:rPr>
        <w:t>rogramme development, and associated evaluations</w:t>
      </w:r>
      <w:r w:rsidR="00CE3226" w:rsidRPr="00D9272F">
        <w:rPr>
          <w:bCs/>
        </w:rPr>
        <w:t>,</w:t>
      </w:r>
      <w:r w:rsidRPr="00D9272F">
        <w:rPr>
          <w:bCs/>
        </w:rPr>
        <w:t xml:space="preserve"> could </w:t>
      </w:r>
      <w:r w:rsidR="00CE3226" w:rsidRPr="00D9272F">
        <w:rPr>
          <w:bCs/>
        </w:rPr>
        <w:t xml:space="preserve">also </w:t>
      </w:r>
      <w:r w:rsidRPr="00D9272F">
        <w:rPr>
          <w:bCs/>
        </w:rPr>
        <w:t xml:space="preserve">consider the </w:t>
      </w:r>
      <w:r w:rsidR="009B41BA" w:rsidRPr="00D9272F">
        <w:rPr>
          <w:bCs/>
        </w:rPr>
        <w:t xml:space="preserve">inclusion </w:t>
      </w:r>
      <w:r w:rsidRPr="00D9272F">
        <w:rPr>
          <w:bCs/>
        </w:rPr>
        <w:t>of behavio</w:t>
      </w:r>
      <w:r w:rsidR="009B41BA" w:rsidRPr="00D9272F">
        <w:rPr>
          <w:bCs/>
        </w:rPr>
        <w:t>u</w:t>
      </w:r>
      <w:r w:rsidRPr="00D9272F">
        <w:rPr>
          <w:bCs/>
        </w:rPr>
        <w:t>r change theories, such as the Theory of Planned Behaviour (Ajzen, 198</w:t>
      </w:r>
      <w:r w:rsidR="005D44CA" w:rsidRPr="00D9272F">
        <w:rPr>
          <w:bCs/>
        </w:rPr>
        <w:t>5</w:t>
      </w:r>
      <w:r w:rsidRPr="00D9272F">
        <w:rPr>
          <w:bCs/>
        </w:rPr>
        <w:t>), alongside side Self-Determination Theory (Deci &amp; Ryan, 2000)</w:t>
      </w:r>
      <w:r w:rsidR="00CE3226" w:rsidRPr="00D9272F">
        <w:rPr>
          <w:bCs/>
        </w:rPr>
        <w:t xml:space="preserve"> in relation to help-seeking behaviours</w:t>
      </w:r>
      <w:r w:rsidRPr="00D9272F">
        <w:rPr>
          <w:bCs/>
        </w:rPr>
        <w:t xml:space="preserve">. </w:t>
      </w:r>
      <w:r w:rsidR="00F7507C">
        <w:rPr>
          <w:bCs/>
        </w:rPr>
        <w:t xml:space="preserve">A longitudinal assessment would offer insights into the longer-term </w:t>
      </w:r>
      <w:r w:rsidR="00BB30AE">
        <w:rPr>
          <w:bCs/>
        </w:rPr>
        <w:t xml:space="preserve">feasibility and </w:t>
      </w:r>
      <w:r w:rsidR="00F7507C">
        <w:rPr>
          <w:bCs/>
        </w:rPr>
        <w:t xml:space="preserve">impacts, if any, of participating in the programme, particularly in coping with ongoing incarceration or in negotiating the transition from custody to community. </w:t>
      </w:r>
      <w:r w:rsidR="001D197C">
        <w:rPr>
          <w:bCs/>
        </w:rPr>
        <w:t>L</w:t>
      </w:r>
      <w:r w:rsidR="00F7507C">
        <w:rPr>
          <w:bCs/>
        </w:rPr>
        <w:t xml:space="preserve">ikewise, </w:t>
      </w:r>
      <w:r w:rsidR="00012350">
        <w:rPr>
          <w:bCs/>
        </w:rPr>
        <w:t>t</w:t>
      </w:r>
      <w:r w:rsidR="00BB263B">
        <w:rPr>
          <w:bCs/>
        </w:rPr>
        <w:t xml:space="preserve">o increase the feasibility of </w:t>
      </w:r>
      <w:r w:rsidR="00F7507C">
        <w:rPr>
          <w:bCs/>
        </w:rPr>
        <w:t>f</w:t>
      </w:r>
      <w:r w:rsidR="00F7507C" w:rsidRPr="00D9272F">
        <w:rPr>
          <w:bCs/>
        </w:rPr>
        <w:t xml:space="preserve">uture </w:t>
      </w:r>
      <w:r w:rsidRPr="00D9272F">
        <w:rPr>
          <w:bCs/>
        </w:rPr>
        <w:t>program</w:t>
      </w:r>
      <w:r w:rsidR="00CE3226" w:rsidRPr="00D9272F">
        <w:rPr>
          <w:bCs/>
        </w:rPr>
        <w:t>me</w:t>
      </w:r>
      <w:r w:rsidRPr="00D9272F">
        <w:rPr>
          <w:bCs/>
        </w:rPr>
        <w:t xml:space="preserve">s originating within a community setting, </w:t>
      </w:r>
      <w:r w:rsidR="00251340">
        <w:rPr>
          <w:bCs/>
        </w:rPr>
        <w:t>a focus is required on</w:t>
      </w:r>
      <w:r w:rsidRPr="00D9272F">
        <w:rPr>
          <w:bCs/>
        </w:rPr>
        <w:t xml:space="preserve"> how </w:t>
      </w:r>
      <w:r w:rsidR="004A52D6">
        <w:rPr>
          <w:bCs/>
        </w:rPr>
        <w:t xml:space="preserve">to embed and maxmise </w:t>
      </w:r>
      <w:r w:rsidRPr="00D9272F">
        <w:rPr>
          <w:bCs/>
        </w:rPr>
        <w:t xml:space="preserve">follow-up support and guidance for prisoners to maintain any positive affective, behavioural or cognitive changes </w:t>
      </w:r>
      <w:r w:rsidR="009B41BA" w:rsidRPr="00D9272F">
        <w:rPr>
          <w:bCs/>
        </w:rPr>
        <w:t xml:space="preserve">that may </w:t>
      </w:r>
      <w:r w:rsidR="001B7074">
        <w:rPr>
          <w:bCs/>
        </w:rPr>
        <w:t xml:space="preserve">have </w:t>
      </w:r>
      <w:r w:rsidR="009B41BA" w:rsidRPr="00D9272F">
        <w:rPr>
          <w:bCs/>
        </w:rPr>
        <w:t>emerge</w:t>
      </w:r>
      <w:r w:rsidR="001B7074">
        <w:rPr>
          <w:bCs/>
        </w:rPr>
        <w:t>d</w:t>
      </w:r>
      <w:r w:rsidR="009B41BA" w:rsidRPr="00D9272F">
        <w:rPr>
          <w:bCs/>
        </w:rPr>
        <w:t xml:space="preserve"> as a result of the programme. </w:t>
      </w:r>
      <w:r w:rsidR="00262852">
        <w:rPr>
          <w:bCs/>
        </w:rPr>
        <w:t xml:space="preserve">Consideration </w:t>
      </w:r>
      <w:r w:rsidR="005941D5">
        <w:rPr>
          <w:bCs/>
        </w:rPr>
        <w:t xml:space="preserve">should also be given as to whether programme </w:t>
      </w:r>
      <w:r w:rsidR="00D706EE">
        <w:rPr>
          <w:bCs/>
        </w:rPr>
        <w:t xml:space="preserve">duration or frequency </w:t>
      </w:r>
      <w:r w:rsidR="005941D5">
        <w:rPr>
          <w:bCs/>
        </w:rPr>
        <w:t xml:space="preserve">could be </w:t>
      </w:r>
      <w:r w:rsidR="00D706EE">
        <w:rPr>
          <w:bCs/>
        </w:rPr>
        <w:t xml:space="preserve">increased to </w:t>
      </w:r>
      <w:r w:rsidR="006B3603">
        <w:rPr>
          <w:bCs/>
        </w:rPr>
        <w:t>maximise impact.</w:t>
      </w:r>
    </w:p>
    <w:p w14:paraId="323A1692" w14:textId="77777777" w:rsidR="0016486B" w:rsidRPr="00D9272F" w:rsidRDefault="0016486B" w:rsidP="0016486B">
      <w:pPr>
        <w:spacing w:line="480" w:lineRule="auto"/>
        <w:rPr>
          <w:bCs/>
        </w:rPr>
      </w:pPr>
    </w:p>
    <w:p w14:paraId="7980BD72" w14:textId="77777777" w:rsidR="0016486B" w:rsidRPr="00D9272F" w:rsidRDefault="0016486B" w:rsidP="0016486B">
      <w:pPr>
        <w:spacing w:line="480" w:lineRule="auto"/>
        <w:rPr>
          <w:b/>
          <w:bCs/>
        </w:rPr>
      </w:pPr>
      <w:r w:rsidRPr="00D9272F">
        <w:rPr>
          <w:b/>
          <w:bCs/>
        </w:rPr>
        <w:t>Conclusion</w:t>
      </w:r>
    </w:p>
    <w:p w14:paraId="5AF0B985" w14:textId="75BD365F" w:rsidR="003474C1" w:rsidRPr="00D9272F" w:rsidRDefault="009B41BA" w:rsidP="0016486B">
      <w:pPr>
        <w:spacing w:line="480" w:lineRule="auto"/>
        <w:rPr>
          <w:bCs/>
        </w:rPr>
      </w:pPr>
      <w:r w:rsidRPr="00D9272F">
        <w:rPr>
          <w:bCs/>
        </w:rPr>
        <w:lastRenderedPageBreak/>
        <w:t>A</w:t>
      </w:r>
      <w:r w:rsidR="0016486B" w:rsidRPr="00D9272F">
        <w:rPr>
          <w:bCs/>
        </w:rPr>
        <w:t xml:space="preserve"> short sport-based mental health awareness intervention</w:t>
      </w:r>
      <w:r w:rsidRPr="00D9272F">
        <w:rPr>
          <w:bCs/>
        </w:rPr>
        <w:t xml:space="preserve"> </w:t>
      </w:r>
      <w:r w:rsidR="0016486B" w:rsidRPr="00D9272F">
        <w:rPr>
          <w:bCs/>
        </w:rPr>
        <w:t xml:space="preserve">was well received by a cohort of male prisoners </w:t>
      </w:r>
      <w:r w:rsidRPr="00D9272F">
        <w:rPr>
          <w:bCs/>
        </w:rPr>
        <w:t>who</w:t>
      </w:r>
      <w:r w:rsidR="00AE7CDA">
        <w:rPr>
          <w:bCs/>
        </w:rPr>
        <w:t>,</w:t>
      </w:r>
      <w:r w:rsidRPr="00D9272F">
        <w:rPr>
          <w:bCs/>
        </w:rPr>
        <w:t xml:space="preserve"> as a result</w:t>
      </w:r>
      <w:r w:rsidR="00AE7CDA">
        <w:rPr>
          <w:bCs/>
        </w:rPr>
        <w:t>,</w:t>
      </w:r>
      <w:r w:rsidRPr="00D9272F">
        <w:rPr>
          <w:bCs/>
        </w:rPr>
        <w:t xml:space="preserve"> </w:t>
      </w:r>
      <w:r w:rsidR="0016486B" w:rsidRPr="00D9272F">
        <w:rPr>
          <w:bCs/>
        </w:rPr>
        <w:t xml:space="preserve">increased their knowledge of mental health issues. Participants reported increased intentions to adopt more positive coping strategies, to seek-help and engage with others. </w:t>
      </w:r>
      <w:r w:rsidR="003959AB">
        <w:rPr>
          <w:bCs/>
        </w:rPr>
        <w:t xml:space="preserve">To </w:t>
      </w:r>
      <w:r w:rsidR="00D31D74">
        <w:rPr>
          <w:bCs/>
        </w:rPr>
        <w:t xml:space="preserve">further increase programme feasibility </w:t>
      </w:r>
      <w:r w:rsidR="00F676BB">
        <w:rPr>
          <w:bCs/>
        </w:rPr>
        <w:t>several s</w:t>
      </w:r>
      <w:r w:rsidR="0091782C">
        <w:rPr>
          <w:bCs/>
        </w:rPr>
        <w:t>uggest</w:t>
      </w:r>
      <w:r w:rsidR="009D404B">
        <w:rPr>
          <w:bCs/>
        </w:rPr>
        <w:t>ions for</w:t>
      </w:r>
      <w:r w:rsidR="0091782C">
        <w:rPr>
          <w:bCs/>
        </w:rPr>
        <w:t xml:space="preserve"> p</w:t>
      </w:r>
      <w:r w:rsidR="0016486B" w:rsidRPr="00D9272F">
        <w:rPr>
          <w:bCs/>
        </w:rPr>
        <w:t>rogramme enhancements</w:t>
      </w:r>
      <w:r w:rsidR="00F676BB">
        <w:rPr>
          <w:bCs/>
        </w:rPr>
        <w:t xml:space="preserve"> were made. These</w:t>
      </w:r>
      <w:r w:rsidR="0016486B" w:rsidRPr="00D9272F">
        <w:rPr>
          <w:bCs/>
        </w:rPr>
        <w:t xml:space="preserve"> includ</w:t>
      </w:r>
      <w:r w:rsidRPr="00D9272F">
        <w:rPr>
          <w:bCs/>
        </w:rPr>
        <w:t xml:space="preserve">e the </w:t>
      </w:r>
      <w:r w:rsidR="00DD71FB" w:rsidRPr="00D9272F">
        <w:rPr>
          <w:bCs/>
        </w:rPr>
        <w:t xml:space="preserve">development </w:t>
      </w:r>
      <w:r w:rsidRPr="00D9272F">
        <w:rPr>
          <w:bCs/>
        </w:rPr>
        <w:t>of</w:t>
      </w:r>
      <w:r w:rsidR="0016486B" w:rsidRPr="00D9272F">
        <w:rPr>
          <w:bCs/>
        </w:rPr>
        <w:t xml:space="preserve"> </w:t>
      </w:r>
      <w:r w:rsidR="00DD71FB" w:rsidRPr="00D9272F">
        <w:rPr>
          <w:bCs/>
        </w:rPr>
        <w:t xml:space="preserve">supporting </w:t>
      </w:r>
      <w:r w:rsidR="0016486B" w:rsidRPr="00D9272F">
        <w:rPr>
          <w:bCs/>
        </w:rPr>
        <w:t xml:space="preserve">programme </w:t>
      </w:r>
      <w:r w:rsidR="00DD71FB" w:rsidRPr="00D9272F">
        <w:rPr>
          <w:bCs/>
        </w:rPr>
        <w:t>resources</w:t>
      </w:r>
      <w:r w:rsidR="0016486B" w:rsidRPr="00D9272F">
        <w:rPr>
          <w:bCs/>
        </w:rPr>
        <w:t xml:space="preserve">, the inclusion of prisoner case-studies and the provision of appropriate and informal safe meeting spaces </w:t>
      </w:r>
      <w:r w:rsidRPr="00D9272F">
        <w:rPr>
          <w:bCs/>
        </w:rPr>
        <w:t>for prisoners</w:t>
      </w:r>
      <w:r w:rsidR="0016486B" w:rsidRPr="00D9272F">
        <w:rPr>
          <w:bCs/>
        </w:rPr>
        <w:t>. Given the current levels of mental illness</w:t>
      </w:r>
      <w:r w:rsidR="004C3E5D" w:rsidRPr="00D9272F">
        <w:rPr>
          <w:bCs/>
        </w:rPr>
        <w:t xml:space="preserve">, </w:t>
      </w:r>
      <w:r w:rsidR="0016486B" w:rsidRPr="00D9272F">
        <w:rPr>
          <w:bCs/>
        </w:rPr>
        <w:t>suicide and self-harm within prisons (</w:t>
      </w:r>
      <w:r w:rsidR="009C6E86" w:rsidRPr="00D9272F">
        <w:rPr>
          <w:bCs/>
        </w:rPr>
        <w:t>N</w:t>
      </w:r>
      <w:r w:rsidR="00CF6787" w:rsidRPr="00D9272F">
        <w:rPr>
          <w:bCs/>
        </w:rPr>
        <w:t>ational Audit Office, 2017</w:t>
      </w:r>
      <w:r w:rsidR="009C6E86" w:rsidRPr="00D9272F">
        <w:rPr>
          <w:bCs/>
        </w:rPr>
        <w:t>; Wildeman &amp; Wang,</w:t>
      </w:r>
      <w:r w:rsidR="0016486B" w:rsidRPr="00D9272F">
        <w:rPr>
          <w:bCs/>
        </w:rPr>
        <w:t xml:space="preserve"> 2017), and lack of prison based evaluative studies to provide reliable evidence of what works (Woodall, 2016), this study makes an important contribution </w:t>
      </w:r>
      <w:r w:rsidRPr="00D9272F">
        <w:rPr>
          <w:bCs/>
        </w:rPr>
        <w:t xml:space="preserve">using a mixed methods approach </w:t>
      </w:r>
      <w:r w:rsidR="0016486B" w:rsidRPr="00D9272F">
        <w:rPr>
          <w:bCs/>
        </w:rPr>
        <w:t xml:space="preserve">to the health promoting prison agenda.  </w:t>
      </w:r>
    </w:p>
    <w:p w14:paraId="600A0DF0" w14:textId="77777777" w:rsidR="003474C1" w:rsidRPr="00D9272F" w:rsidRDefault="003474C1">
      <w:pPr>
        <w:spacing w:after="160" w:line="259" w:lineRule="auto"/>
        <w:rPr>
          <w:bCs/>
        </w:rPr>
      </w:pPr>
      <w:r w:rsidRPr="00D9272F">
        <w:rPr>
          <w:bCs/>
        </w:rPr>
        <w:br w:type="page"/>
      </w:r>
    </w:p>
    <w:p w14:paraId="7CC59C3B" w14:textId="77777777" w:rsidR="0016486B" w:rsidRPr="00B05393" w:rsidRDefault="003474C1" w:rsidP="0016486B">
      <w:pPr>
        <w:spacing w:line="480" w:lineRule="auto"/>
        <w:rPr>
          <w:b/>
          <w:bCs/>
          <w:u w:val="single"/>
        </w:rPr>
      </w:pPr>
      <w:r w:rsidRPr="00B05393">
        <w:rPr>
          <w:b/>
          <w:bCs/>
          <w:u w:val="single"/>
        </w:rPr>
        <w:lastRenderedPageBreak/>
        <w:t xml:space="preserve">References </w:t>
      </w:r>
    </w:p>
    <w:p w14:paraId="457A5940" w14:textId="6C3500C4" w:rsidR="009841DE" w:rsidRDefault="009841DE" w:rsidP="009841DE">
      <w:pPr>
        <w:spacing w:line="360" w:lineRule="auto"/>
        <w:rPr>
          <w:shd w:val="clear" w:color="auto" w:fill="FFFFFF"/>
        </w:rPr>
      </w:pPr>
      <w:bookmarkStart w:id="12" w:name="_Toc494801016"/>
      <w:r w:rsidRPr="001914D9">
        <w:rPr>
          <w:shd w:val="clear" w:color="auto" w:fill="FFFFFF"/>
        </w:rPr>
        <w:t>Abbott, P., DiGiacomo, M., Magin, P., &amp; Hu, W. (2018). A scoping review of qualitative research methods used with people in prison. </w:t>
      </w:r>
      <w:r w:rsidRPr="001914D9">
        <w:rPr>
          <w:i/>
          <w:iCs/>
          <w:shd w:val="clear" w:color="auto" w:fill="FFFFFF"/>
        </w:rPr>
        <w:t>International Journal of Qualitative Methods</w:t>
      </w:r>
      <w:r w:rsidRPr="001914D9">
        <w:rPr>
          <w:shd w:val="clear" w:color="auto" w:fill="FFFFFF"/>
        </w:rPr>
        <w:t>, </w:t>
      </w:r>
      <w:r w:rsidRPr="001914D9">
        <w:rPr>
          <w:i/>
          <w:iCs/>
          <w:shd w:val="clear" w:color="auto" w:fill="FFFFFF"/>
        </w:rPr>
        <w:t>17</w:t>
      </w:r>
      <w:r w:rsidRPr="001914D9">
        <w:rPr>
          <w:shd w:val="clear" w:color="auto" w:fill="FFFFFF"/>
        </w:rPr>
        <w:t>, 1-15.</w:t>
      </w:r>
    </w:p>
    <w:p w14:paraId="486B58E3" w14:textId="77777777" w:rsidR="009841DE" w:rsidRPr="001914D9" w:rsidRDefault="009841DE" w:rsidP="009841DE">
      <w:pPr>
        <w:spacing w:line="360" w:lineRule="auto"/>
        <w:rPr>
          <w:shd w:val="clear" w:color="auto" w:fill="FFFFFF"/>
        </w:rPr>
      </w:pPr>
    </w:p>
    <w:p w14:paraId="440780CA" w14:textId="77777777" w:rsidR="00CA4D45" w:rsidRPr="00D9272F" w:rsidRDefault="005D44CA" w:rsidP="00CA4D45">
      <w:pPr>
        <w:spacing w:line="360" w:lineRule="auto"/>
        <w:rPr>
          <w:lang w:val="en-GB" w:eastAsia="en-GB"/>
        </w:rPr>
      </w:pPr>
      <w:r w:rsidRPr="00D9272F">
        <w:rPr>
          <w:shd w:val="clear" w:color="auto" w:fill="FFFFFF"/>
        </w:rPr>
        <w:t>Ajzen, I. (1985). From intentions to actions: A theory of planned behavior. In </w:t>
      </w:r>
      <w:r w:rsidRPr="00D9272F">
        <w:rPr>
          <w:i/>
          <w:iCs/>
          <w:shd w:val="clear" w:color="auto" w:fill="FFFFFF"/>
        </w:rPr>
        <w:t>Action control</w:t>
      </w:r>
      <w:r w:rsidRPr="00D9272F">
        <w:rPr>
          <w:shd w:val="clear" w:color="auto" w:fill="FFFFFF"/>
        </w:rPr>
        <w:t> (pp. 11-39). Springer, Berlin, Heidelberg.</w:t>
      </w:r>
    </w:p>
    <w:p w14:paraId="6EE49AE0" w14:textId="77777777" w:rsidR="000F4A9F" w:rsidRPr="00D9272F" w:rsidRDefault="000F4A9F" w:rsidP="00CA4D45">
      <w:pPr>
        <w:spacing w:line="360" w:lineRule="auto"/>
        <w:rPr>
          <w:lang w:val="en-GB" w:eastAsia="en-GB"/>
        </w:rPr>
      </w:pPr>
    </w:p>
    <w:p w14:paraId="531666E1" w14:textId="77777777" w:rsidR="0018335D" w:rsidRDefault="0018335D" w:rsidP="00CA4D45">
      <w:pPr>
        <w:spacing w:line="360" w:lineRule="auto"/>
        <w:rPr>
          <w:shd w:val="clear" w:color="auto" w:fill="FFFFFF"/>
        </w:rPr>
      </w:pPr>
      <w:r>
        <w:rPr>
          <w:shd w:val="clear" w:color="auto" w:fill="FFFFFF"/>
        </w:rPr>
        <w:t>Department of Health</w:t>
      </w:r>
      <w:r w:rsidR="008E1F87">
        <w:rPr>
          <w:shd w:val="clear" w:color="auto" w:fill="FFFFFF"/>
        </w:rPr>
        <w:t xml:space="preserve">. (2017). </w:t>
      </w:r>
      <w:r w:rsidR="008E1F87" w:rsidRPr="008E1F87">
        <w:rPr>
          <w:i/>
        </w:rPr>
        <w:t>Preventing suicide in England: Third progress report of the cross-government outcomes strategy to save</w:t>
      </w:r>
      <w:r w:rsidR="008E1F87">
        <w:t xml:space="preserve"> lives. Retrieved from: </w:t>
      </w:r>
      <w:r w:rsidR="004735DD" w:rsidRPr="00C24E06">
        <w:rPr>
          <w:shd w:val="clear" w:color="auto" w:fill="FFFFFF"/>
        </w:rPr>
        <w:t>https://assets.publishing.service.gov.uk/government/uploads/system/uploads/attachment_data/file/582117/Suicide_report_2016_A.pdf</w:t>
      </w:r>
    </w:p>
    <w:p w14:paraId="1D75A7F9" w14:textId="77777777" w:rsidR="0018335D" w:rsidRDefault="0018335D" w:rsidP="00CA4D45">
      <w:pPr>
        <w:spacing w:line="360" w:lineRule="auto"/>
        <w:rPr>
          <w:shd w:val="clear" w:color="auto" w:fill="FFFFFF"/>
        </w:rPr>
      </w:pPr>
    </w:p>
    <w:p w14:paraId="45B9B3F4" w14:textId="77777777" w:rsidR="00CA4D45" w:rsidRPr="00D9272F" w:rsidRDefault="008C400F" w:rsidP="00CA4D45">
      <w:pPr>
        <w:spacing w:line="360" w:lineRule="auto"/>
        <w:rPr>
          <w:shd w:val="clear" w:color="auto" w:fill="FFFFFF"/>
        </w:rPr>
      </w:pPr>
      <w:r w:rsidRPr="00D9272F">
        <w:rPr>
          <w:shd w:val="clear" w:color="auto" w:fill="FFFFFF"/>
        </w:rPr>
        <w:t>Deci, E. L., &amp; Ryan, R. M. (2000). The" what" and" why" of goal pursuits: Human needs and the self-determination of behavior. </w:t>
      </w:r>
      <w:r w:rsidRPr="00D9272F">
        <w:rPr>
          <w:i/>
          <w:iCs/>
          <w:shd w:val="clear" w:color="auto" w:fill="FFFFFF"/>
        </w:rPr>
        <w:t>Psychological inquiry</w:t>
      </w:r>
      <w:r w:rsidRPr="00D9272F">
        <w:rPr>
          <w:shd w:val="clear" w:color="auto" w:fill="FFFFFF"/>
        </w:rPr>
        <w:t>, </w:t>
      </w:r>
      <w:r w:rsidRPr="00D9272F">
        <w:rPr>
          <w:i/>
          <w:iCs/>
          <w:shd w:val="clear" w:color="auto" w:fill="FFFFFF"/>
        </w:rPr>
        <w:t>11</w:t>
      </w:r>
      <w:r w:rsidRPr="00D9272F">
        <w:rPr>
          <w:shd w:val="clear" w:color="auto" w:fill="FFFFFF"/>
        </w:rPr>
        <w:t>(4), 227-268.</w:t>
      </w:r>
    </w:p>
    <w:p w14:paraId="00396FD6" w14:textId="77777777" w:rsidR="008C400F" w:rsidRPr="00D9272F" w:rsidRDefault="008C400F" w:rsidP="00CA4D45">
      <w:pPr>
        <w:spacing w:line="360" w:lineRule="auto"/>
        <w:rPr>
          <w:lang w:eastAsia="en-GB"/>
        </w:rPr>
      </w:pPr>
    </w:p>
    <w:p w14:paraId="36841034" w14:textId="77777777" w:rsidR="00CA4D45" w:rsidRPr="00D9272F" w:rsidRDefault="00CA4D45" w:rsidP="00CA4D45">
      <w:pPr>
        <w:spacing w:line="360" w:lineRule="auto"/>
        <w:rPr>
          <w:lang w:val="en-GB" w:eastAsia="en-GB"/>
        </w:rPr>
      </w:pPr>
      <w:r w:rsidRPr="00D9272F">
        <w:rPr>
          <w:lang w:eastAsia="en-GB"/>
        </w:rPr>
        <w:t>De Viggiani, N. (2012). Trying to be something you are not: Masculine performances within a prison setting. </w:t>
      </w:r>
      <w:r w:rsidRPr="00D9272F">
        <w:rPr>
          <w:i/>
          <w:iCs/>
          <w:lang w:eastAsia="en-GB"/>
        </w:rPr>
        <w:t>Men and Masculinities</w:t>
      </w:r>
      <w:r w:rsidRPr="00D9272F">
        <w:rPr>
          <w:lang w:eastAsia="en-GB"/>
        </w:rPr>
        <w:t>, </w:t>
      </w:r>
      <w:r w:rsidRPr="00D9272F">
        <w:rPr>
          <w:i/>
          <w:iCs/>
          <w:lang w:eastAsia="en-GB"/>
        </w:rPr>
        <w:t>15</w:t>
      </w:r>
      <w:r w:rsidRPr="00D9272F">
        <w:rPr>
          <w:lang w:eastAsia="en-GB"/>
        </w:rPr>
        <w:t>(3), 271-291.</w:t>
      </w:r>
    </w:p>
    <w:p w14:paraId="036E5BDC" w14:textId="77777777" w:rsidR="00CA4D45" w:rsidRPr="00D9272F" w:rsidRDefault="00CA4D45" w:rsidP="00CA4D45">
      <w:pPr>
        <w:spacing w:line="360" w:lineRule="auto"/>
        <w:rPr>
          <w:lang w:eastAsia="en-GB"/>
        </w:rPr>
      </w:pPr>
    </w:p>
    <w:p w14:paraId="523BEA73" w14:textId="77777777" w:rsidR="003A5F16" w:rsidRDefault="003A5F16" w:rsidP="00CA4D45">
      <w:p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Drapalski, A. L., Youman, K., Stuewig, J., &amp; Tangney, J. (2009). Gender differences in jail inmates' symptoms of mental illness, treatment history and treatment seeking. </w:t>
      </w:r>
      <w:r>
        <w:rPr>
          <w:rFonts w:ascii="Arial" w:hAnsi="Arial" w:cs="Arial"/>
          <w:i/>
          <w:iCs/>
          <w:color w:val="222222"/>
          <w:sz w:val="20"/>
          <w:szCs w:val="20"/>
          <w:shd w:val="clear" w:color="auto" w:fill="FFFFFF"/>
        </w:rPr>
        <w:t>Criminal Behaviour and Mental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(3), 193-206.</w:t>
      </w:r>
    </w:p>
    <w:p w14:paraId="4D678C4E" w14:textId="77777777" w:rsidR="003A5F16" w:rsidRDefault="003A5F16" w:rsidP="00CA4D45">
      <w:pPr>
        <w:spacing w:line="360" w:lineRule="auto"/>
        <w:rPr>
          <w:rFonts w:ascii="Arial" w:hAnsi="Arial" w:cs="Arial"/>
          <w:color w:val="222222"/>
          <w:sz w:val="20"/>
          <w:szCs w:val="20"/>
          <w:shd w:val="clear" w:color="auto" w:fill="FFFFFF"/>
        </w:rPr>
      </w:pPr>
    </w:p>
    <w:p w14:paraId="3BC6B4EE" w14:textId="5F9E0D0D" w:rsidR="00CA4D45" w:rsidRPr="00D9272F" w:rsidRDefault="000A70B6" w:rsidP="00CA4D45">
      <w:pPr>
        <w:spacing w:line="360" w:lineRule="auto"/>
        <w:rPr>
          <w:shd w:val="clear" w:color="auto" w:fill="FFFFFF"/>
        </w:rPr>
      </w:pPr>
      <w:r w:rsidRPr="00D9272F">
        <w:rPr>
          <w:shd w:val="clear" w:color="auto" w:fill="FFFFFF"/>
        </w:rPr>
        <w:t>Evans-Lacko, S., Little, K., Meltzer, H., Rose, D., Rhydderch, D., Henderson, C., &amp; Thornicroft, G. (2010). Development and psychometric properties of the mental health knowledge schedule. </w:t>
      </w:r>
      <w:r w:rsidRPr="00D9272F">
        <w:rPr>
          <w:i/>
          <w:iCs/>
          <w:shd w:val="clear" w:color="auto" w:fill="FFFFFF"/>
        </w:rPr>
        <w:t>The Canadian Journal of Psychiatry</w:t>
      </w:r>
      <w:r w:rsidRPr="00D9272F">
        <w:rPr>
          <w:shd w:val="clear" w:color="auto" w:fill="FFFFFF"/>
        </w:rPr>
        <w:t>, </w:t>
      </w:r>
      <w:r w:rsidRPr="00D9272F">
        <w:rPr>
          <w:i/>
          <w:iCs/>
          <w:shd w:val="clear" w:color="auto" w:fill="FFFFFF"/>
        </w:rPr>
        <w:t>55</w:t>
      </w:r>
      <w:r w:rsidRPr="00D9272F">
        <w:rPr>
          <w:shd w:val="clear" w:color="auto" w:fill="FFFFFF"/>
        </w:rPr>
        <w:t>(7), 440-448.</w:t>
      </w:r>
    </w:p>
    <w:p w14:paraId="5117D62B" w14:textId="77777777" w:rsidR="000A70B6" w:rsidRPr="00D9272F" w:rsidRDefault="000A70B6" w:rsidP="00CA4D45">
      <w:pPr>
        <w:spacing w:line="360" w:lineRule="auto"/>
        <w:rPr>
          <w:lang w:eastAsia="en-GB"/>
        </w:rPr>
      </w:pPr>
    </w:p>
    <w:p w14:paraId="1A8002F2" w14:textId="77777777" w:rsidR="00CA4D45" w:rsidRPr="00D9272F" w:rsidRDefault="001D173D" w:rsidP="00CA4D45">
      <w:pPr>
        <w:spacing w:line="360" w:lineRule="auto"/>
        <w:rPr>
          <w:shd w:val="clear" w:color="auto" w:fill="FFFFFF"/>
        </w:rPr>
      </w:pPr>
      <w:r w:rsidRPr="00D9272F">
        <w:rPr>
          <w:shd w:val="clear" w:color="auto" w:fill="FFFFFF"/>
        </w:rPr>
        <w:t>Evans-Lacko, S., Rose, D., Little, K., Flach, C., Rhydderch, D., Henderson, C., &amp; Thornicroft, G. (2011). Development and psychometric properties of the reported and intended behaviour scale (RIBS): a stigma-related behaviour measure. </w:t>
      </w:r>
      <w:r w:rsidRPr="00D9272F">
        <w:rPr>
          <w:i/>
          <w:iCs/>
          <w:shd w:val="clear" w:color="auto" w:fill="FFFFFF"/>
        </w:rPr>
        <w:t>Epidemiology and Psychiatric Sciences</w:t>
      </w:r>
      <w:r w:rsidRPr="00D9272F">
        <w:rPr>
          <w:shd w:val="clear" w:color="auto" w:fill="FFFFFF"/>
        </w:rPr>
        <w:t>, </w:t>
      </w:r>
      <w:r w:rsidRPr="00D9272F">
        <w:rPr>
          <w:i/>
          <w:iCs/>
          <w:shd w:val="clear" w:color="auto" w:fill="FFFFFF"/>
        </w:rPr>
        <w:t>20</w:t>
      </w:r>
      <w:r w:rsidRPr="00D9272F">
        <w:rPr>
          <w:shd w:val="clear" w:color="auto" w:fill="FFFFFF"/>
        </w:rPr>
        <w:t>(3), 263-271.</w:t>
      </w:r>
    </w:p>
    <w:p w14:paraId="3BFDB0CA" w14:textId="77777777" w:rsidR="001D173D" w:rsidRPr="00D9272F" w:rsidRDefault="001D173D" w:rsidP="00CA4D45">
      <w:pPr>
        <w:spacing w:line="360" w:lineRule="auto"/>
        <w:rPr>
          <w:lang w:eastAsia="en-GB"/>
        </w:rPr>
      </w:pPr>
    </w:p>
    <w:p w14:paraId="0E741C0A" w14:textId="77777777" w:rsidR="00CA4D45" w:rsidRPr="00D9272F" w:rsidRDefault="00CA4D45" w:rsidP="00CA4D45">
      <w:pPr>
        <w:spacing w:line="360" w:lineRule="auto"/>
        <w:rPr>
          <w:lang w:val="en-GB" w:eastAsia="en-GB"/>
        </w:rPr>
      </w:pPr>
      <w:r w:rsidRPr="00D9272F">
        <w:rPr>
          <w:lang w:eastAsia="en-GB"/>
        </w:rPr>
        <w:lastRenderedPageBreak/>
        <w:t>Fazel, S., Hayes, A. J., Bartellas, K., Clerici, M., &amp; Trestman, R. (2016). Mental health of prisoners: prevalence, adverse outcomes, and interventions. </w:t>
      </w:r>
      <w:r w:rsidRPr="00D9272F">
        <w:rPr>
          <w:i/>
          <w:iCs/>
          <w:lang w:eastAsia="en-GB"/>
        </w:rPr>
        <w:t>The Lancet Psychiatry</w:t>
      </w:r>
      <w:r w:rsidRPr="00D9272F">
        <w:rPr>
          <w:lang w:eastAsia="en-GB"/>
        </w:rPr>
        <w:t>, </w:t>
      </w:r>
      <w:r w:rsidRPr="00D9272F">
        <w:rPr>
          <w:i/>
          <w:iCs/>
          <w:lang w:eastAsia="en-GB"/>
        </w:rPr>
        <w:t>3</w:t>
      </w:r>
      <w:r w:rsidRPr="00D9272F">
        <w:rPr>
          <w:lang w:eastAsia="en-GB"/>
        </w:rPr>
        <w:t>(9), 871-881.</w:t>
      </w:r>
    </w:p>
    <w:p w14:paraId="17645944" w14:textId="77777777" w:rsidR="00CA4D45" w:rsidRPr="00D9272F" w:rsidRDefault="00CA4D45" w:rsidP="00CA4D45">
      <w:pPr>
        <w:spacing w:line="360" w:lineRule="auto"/>
        <w:rPr>
          <w:lang w:eastAsia="en-GB"/>
        </w:rPr>
      </w:pPr>
    </w:p>
    <w:p w14:paraId="7FC150ED" w14:textId="4B1D8D0E" w:rsidR="001357E1" w:rsidRDefault="001357E1" w:rsidP="00CA4D45">
      <w:pPr>
        <w:spacing w:line="360" w:lineRule="auto"/>
        <w:rPr>
          <w:color w:val="222222"/>
          <w:shd w:val="clear" w:color="auto" w:fill="FFFFFF"/>
        </w:rPr>
      </w:pPr>
      <w:r w:rsidRPr="001357E1">
        <w:rPr>
          <w:color w:val="222222"/>
          <w:shd w:val="clear" w:color="auto" w:fill="FFFFFF"/>
        </w:rPr>
        <w:t>Field, A. (2013). </w:t>
      </w:r>
      <w:r w:rsidRPr="001357E1">
        <w:rPr>
          <w:i/>
          <w:iCs/>
          <w:color w:val="222222"/>
          <w:shd w:val="clear" w:color="auto" w:fill="FFFFFF"/>
        </w:rPr>
        <w:t>Discovering statistics using IBM SPSS statistics</w:t>
      </w:r>
      <w:r w:rsidRPr="001357E1">
        <w:rPr>
          <w:color w:val="222222"/>
          <w:shd w:val="clear" w:color="auto" w:fill="FFFFFF"/>
        </w:rPr>
        <w:t xml:space="preserve">. </w:t>
      </w:r>
      <w:r>
        <w:rPr>
          <w:color w:val="222222"/>
          <w:shd w:val="clear" w:color="auto" w:fill="FFFFFF"/>
        </w:rPr>
        <w:t>S</w:t>
      </w:r>
      <w:r w:rsidRPr="001357E1">
        <w:rPr>
          <w:color w:val="222222"/>
          <w:shd w:val="clear" w:color="auto" w:fill="FFFFFF"/>
        </w:rPr>
        <w:t>age.</w:t>
      </w:r>
    </w:p>
    <w:p w14:paraId="47B93B2C" w14:textId="77777777" w:rsidR="00F7507C" w:rsidRPr="001357E1" w:rsidRDefault="00F7507C" w:rsidP="00CA4D45">
      <w:pPr>
        <w:spacing w:line="360" w:lineRule="auto"/>
        <w:rPr>
          <w:color w:val="222222"/>
          <w:shd w:val="clear" w:color="auto" w:fill="FFFFFF"/>
        </w:rPr>
      </w:pPr>
    </w:p>
    <w:p w14:paraId="364AA263" w14:textId="77777777" w:rsidR="00CA4D45" w:rsidRPr="00D9272F" w:rsidRDefault="00CA4D45" w:rsidP="00CA4D45">
      <w:pPr>
        <w:spacing w:line="360" w:lineRule="auto"/>
        <w:rPr>
          <w:lang w:val="en-GB" w:eastAsia="en-GB"/>
        </w:rPr>
      </w:pPr>
      <w:r w:rsidRPr="00D9272F">
        <w:rPr>
          <w:lang w:eastAsia="en-GB"/>
        </w:rPr>
        <w:t>Gatherer, A., Moller, L., &amp; Hayton, P. (2005). The World Health Organisation European health in prison project after 10 years: persistant barriers and achievements”.</w:t>
      </w:r>
      <w:r w:rsidRPr="00D9272F">
        <w:rPr>
          <w:i/>
          <w:iCs/>
          <w:lang w:eastAsia="en-GB"/>
        </w:rPr>
        <w:t xml:space="preserve"> American Journal of Public Health, 95</w:t>
      </w:r>
      <w:r w:rsidRPr="00D9272F">
        <w:rPr>
          <w:lang w:eastAsia="en-GB"/>
        </w:rPr>
        <w:t xml:space="preserve">(10), 1696-700 </w:t>
      </w:r>
    </w:p>
    <w:p w14:paraId="68448767" w14:textId="77777777" w:rsidR="00CA4D45" w:rsidRPr="00D9272F" w:rsidRDefault="00CA4D45" w:rsidP="00CA4D45">
      <w:pPr>
        <w:spacing w:line="360" w:lineRule="auto"/>
        <w:rPr>
          <w:lang w:eastAsia="en-GB"/>
        </w:rPr>
      </w:pPr>
    </w:p>
    <w:p w14:paraId="280B79A6" w14:textId="77777777" w:rsidR="00CA4D45" w:rsidRPr="00D9272F" w:rsidRDefault="00CA4D45" w:rsidP="00CA4D45">
      <w:pPr>
        <w:spacing w:line="360" w:lineRule="auto"/>
        <w:rPr>
          <w:lang w:val="en-GB" w:eastAsia="en-GB"/>
        </w:rPr>
      </w:pPr>
      <w:r w:rsidRPr="00D9272F">
        <w:rPr>
          <w:lang w:eastAsia="en-GB"/>
        </w:rPr>
        <w:t>Gooding, P. A., Tarrier, N., Dunn, G., Awenat, Y., Shaw, J., Ulph, F., &amp; Pratt, D. (2017). Psychological characteristics and predictors of suicide probability in high-risk prisoners. </w:t>
      </w:r>
      <w:r w:rsidRPr="00D9272F">
        <w:rPr>
          <w:i/>
          <w:iCs/>
          <w:lang w:eastAsia="en-GB"/>
        </w:rPr>
        <w:t>Criminal Justice and Behavior</w:t>
      </w:r>
      <w:r w:rsidRPr="00D9272F">
        <w:rPr>
          <w:lang w:eastAsia="en-GB"/>
        </w:rPr>
        <w:t>, </w:t>
      </w:r>
      <w:r w:rsidRPr="00D9272F">
        <w:rPr>
          <w:i/>
          <w:iCs/>
          <w:lang w:eastAsia="en-GB"/>
        </w:rPr>
        <w:t>44</w:t>
      </w:r>
      <w:r w:rsidRPr="00D9272F">
        <w:rPr>
          <w:lang w:eastAsia="en-GB"/>
        </w:rPr>
        <w:t>(3), 321-335.</w:t>
      </w:r>
    </w:p>
    <w:p w14:paraId="5B46991D" w14:textId="77777777" w:rsidR="00CA4D45" w:rsidRPr="00D9272F" w:rsidRDefault="00CA4D45" w:rsidP="00CA4D45">
      <w:pPr>
        <w:spacing w:line="360" w:lineRule="auto"/>
        <w:rPr>
          <w:lang w:eastAsia="en-GB"/>
        </w:rPr>
      </w:pPr>
    </w:p>
    <w:p w14:paraId="3E6CD623" w14:textId="77777777" w:rsidR="00CA4D45" w:rsidRPr="00D9272F" w:rsidRDefault="00CA4D45" w:rsidP="00CA4D45">
      <w:pPr>
        <w:spacing w:line="360" w:lineRule="auto"/>
        <w:rPr>
          <w:lang w:val="en-GB" w:eastAsia="en-GB"/>
        </w:rPr>
      </w:pPr>
      <w:r w:rsidRPr="00D9272F">
        <w:rPr>
          <w:lang w:eastAsia="en-GB"/>
        </w:rPr>
        <w:t>Herrman, H., Stewart, D. E., Diaz-Granados, N., Berger, E. L., Jackson, B., &amp; Yuen, T. (2011). What is resilience? </w:t>
      </w:r>
      <w:r w:rsidRPr="00D9272F">
        <w:rPr>
          <w:i/>
          <w:iCs/>
          <w:lang w:eastAsia="en-GB"/>
        </w:rPr>
        <w:t>The Canadian Journal of Psychiatry, 56</w:t>
      </w:r>
      <w:r w:rsidRPr="00D9272F">
        <w:rPr>
          <w:lang w:eastAsia="en-GB"/>
        </w:rPr>
        <w:t>(5), 258-265.</w:t>
      </w:r>
    </w:p>
    <w:p w14:paraId="705FC611" w14:textId="77777777" w:rsidR="00CA4D45" w:rsidRPr="00D9272F" w:rsidRDefault="00CA4D45" w:rsidP="00CA4D45">
      <w:pPr>
        <w:spacing w:line="360" w:lineRule="auto"/>
        <w:rPr>
          <w:lang w:eastAsia="en-GB"/>
        </w:rPr>
      </w:pPr>
    </w:p>
    <w:p w14:paraId="253E73B6" w14:textId="77777777" w:rsidR="00CA4D45" w:rsidRPr="00D9272F" w:rsidRDefault="00CA4D45" w:rsidP="00CA4D45">
      <w:pPr>
        <w:spacing w:line="360" w:lineRule="auto"/>
        <w:rPr>
          <w:rFonts w:eastAsia="Times New Roman"/>
        </w:rPr>
      </w:pPr>
      <w:r w:rsidRPr="00D9272F">
        <w:rPr>
          <w:rFonts w:eastAsia="Times New Roman"/>
          <w:shd w:val="clear" w:color="auto" w:fill="FFFFFF"/>
        </w:rPr>
        <w:t>Howerton, A., Byng, R., Campbell, J., Hess, D., Owens, C., &amp; Aitken, P. (2007). Understanding help seeking behaviour among male offenders: qualitative interview study.</w:t>
      </w:r>
      <w:r w:rsidRPr="00D9272F">
        <w:rPr>
          <w:rStyle w:val="apple-converted-space"/>
          <w:rFonts w:eastAsia="Times New Roman"/>
          <w:shd w:val="clear" w:color="auto" w:fill="FFFFFF"/>
        </w:rPr>
        <w:t> </w:t>
      </w:r>
      <w:r w:rsidRPr="00D9272F">
        <w:rPr>
          <w:rFonts w:eastAsia="Times New Roman"/>
          <w:i/>
          <w:iCs/>
        </w:rPr>
        <w:t>B</w:t>
      </w:r>
      <w:r w:rsidR="00DC4696">
        <w:rPr>
          <w:rFonts w:eastAsia="Times New Roman"/>
          <w:i/>
          <w:iCs/>
        </w:rPr>
        <w:t>MJ</w:t>
      </w:r>
      <w:r w:rsidRPr="00D9272F">
        <w:rPr>
          <w:rFonts w:eastAsia="Times New Roman"/>
          <w:shd w:val="clear" w:color="auto" w:fill="FFFFFF"/>
        </w:rPr>
        <w:t>,</w:t>
      </w:r>
      <w:r w:rsidRPr="00D9272F">
        <w:rPr>
          <w:rStyle w:val="apple-converted-space"/>
          <w:rFonts w:eastAsia="Times New Roman"/>
          <w:shd w:val="clear" w:color="auto" w:fill="FFFFFF"/>
        </w:rPr>
        <w:t> </w:t>
      </w:r>
      <w:r w:rsidRPr="00D9272F">
        <w:rPr>
          <w:rFonts w:eastAsia="Times New Roman"/>
          <w:i/>
          <w:iCs/>
        </w:rPr>
        <w:t>334</w:t>
      </w:r>
      <w:r w:rsidRPr="00D9272F">
        <w:rPr>
          <w:rFonts w:eastAsia="Times New Roman"/>
          <w:shd w:val="clear" w:color="auto" w:fill="FFFFFF"/>
        </w:rPr>
        <w:t>(7588), 303.</w:t>
      </w:r>
    </w:p>
    <w:p w14:paraId="67E9D891" w14:textId="77777777" w:rsidR="00CA4D45" w:rsidRPr="00D9272F" w:rsidRDefault="00CA4D45" w:rsidP="00CA4D45">
      <w:pPr>
        <w:spacing w:line="360" w:lineRule="auto"/>
        <w:rPr>
          <w:lang w:eastAsia="en-GB"/>
        </w:rPr>
      </w:pPr>
    </w:p>
    <w:p w14:paraId="11262F82" w14:textId="77777777" w:rsidR="00CA4D45" w:rsidRPr="00D9272F" w:rsidRDefault="00CA4D45" w:rsidP="00CA4D45">
      <w:pPr>
        <w:spacing w:line="360" w:lineRule="auto"/>
        <w:rPr>
          <w:shd w:val="clear" w:color="auto" w:fill="FFFFFF"/>
        </w:rPr>
      </w:pPr>
      <w:r w:rsidRPr="00D9272F">
        <w:rPr>
          <w:shd w:val="clear" w:color="auto" w:fill="FFFFFF"/>
        </w:rPr>
        <w:t>Huta, V. (2016). Eudaimonic and hedonic orientations: Theoretical considerations and research findings. In </w:t>
      </w:r>
      <w:r w:rsidRPr="00D9272F">
        <w:rPr>
          <w:i/>
          <w:iCs/>
          <w:shd w:val="clear" w:color="auto" w:fill="FFFFFF"/>
        </w:rPr>
        <w:t>Handbook of Eudaimonic Well-Being</w:t>
      </w:r>
      <w:r w:rsidRPr="00D9272F">
        <w:rPr>
          <w:shd w:val="clear" w:color="auto" w:fill="FFFFFF"/>
        </w:rPr>
        <w:t> (pp. 215-231). Springer International Publishing.</w:t>
      </w:r>
    </w:p>
    <w:p w14:paraId="00F9593C" w14:textId="77777777" w:rsidR="00CA4D45" w:rsidRPr="00D9272F" w:rsidRDefault="00CA4D45" w:rsidP="00CA4D45">
      <w:pPr>
        <w:spacing w:line="360" w:lineRule="auto"/>
        <w:rPr>
          <w:lang w:eastAsia="en-GB"/>
        </w:rPr>
      </w:pPr>
    </w:p>
    <w:p w14:paraId="78E0FF73" w14:textId="77777777" w:rsidR="00CA4D45" w:rsidRPr="00D9272F" w:rsidRDefault="00CA4D45" w:rsidP="00CA4D45">
      <w:pPr>
        <w:spacing w:line="360" w:lineRule="auto"/>
        <w:rPr>
          <w:lang w:val="en-GB" w:eastAsia="en-GB"/>
        </w:rPr>
      </w:pPr>
      <w:r w:rsidRPr="00D9272F">
        <w:rPr>
          <w:lang w:eastAsia="en-GB"/>
        </w:rPr>
        <w:t>Keogh, B., McBennett, P., deVries, J., Higgans, A., O’Shea, M., &amp; Doyle, L. (2017). Prisoners perceptions of a mental health wellness workshop. </w:t>
      </w:r>
      <w:r w:rsidRPr="00D9272F">
        <w:rPr>
          <w:i/>
          <w:iCs/>
          <w:lang w:eastAsia="en-GB"/>
        </w:rPr>
        <w:t>International Journal of Prisoner Health</w:t>
      </w:r>
      <w:r w:rsidRPr="00D9272F">
        <w:rPr>
          <w:lang w:eastAsia="en-GB"/>
        </w:rPr>
        <w:t>, </w:t>
      </w:r>
      <w:r w:rsidRPr="00D9272F">
        <w:rPr>
          <w:i/>
          <w:iCs/>
          <w:lang w:eastAsia="en-GB"/>
        </w:rPr>
        <w:t>13</w:t>
      </w:r>
      <w:r w:rsidRPr="00D9272F">
        <w:rPr>
          <w:lang w:eastAsia="en-GB"/>
        </w:rPr>
        <w:t>(2), 81-90.</w:t>
      </w:r>
    </w:p>
    <w:p w14:paraId="6AB4E8DE" w14:textId="77777777" w:rsidR="00CA4D45" w:rsidRPr="00D9272F" w:rsidRDefault="00CA4D45" w:rsidP="00CA4D45">
      <w:pPr>
        <w:spacing w:line="360" w:lineRule="auto"/>
        <w:rPr>
          <w:lang w:eastAsia="en-GB"/>
        </w:rPr>
      </w:pPr>
    </w:p>
    <w:p w14:paraId="39568F66" w14:textId="77777777" w:rsidR="00CA4D45" w:rsidRPr="00D9272F" w:rsidRDefault="00CA4D45" w:rsidP="00CA4D45">
      <w:pPr>
        <w:spacing w:line="360" w:lineRule="auto"/>
        <w:rPr>
          <w:lang w:val="en-GB" w:eastAsia="en-GB"/>
        </w:rPr>
      </w:pPr>
      <w:r w:rsidRPr="00D9272F">
        <w:rPr>
          <w:lang w:eastAsia="en-GB"/>
        </w:rPr>
        <w:t>Konrad, N., Daigle, M. S., Daniel, A. E., Dear, G. E., Frottier, P., Hayes, L. M., ... &amp; Sarchiapone, M. (2007). Preventing suicide in prisons, Part I: Recommendations from the International Association for Suicide Prevention Task Force on Suicide in Prisons. </w:t>
      </w:r>
      <w:r w:rsidRPr="00D9272F">
        <w:rPr>
          <w:i/>
          <w:iCs/>
          <w:lang w:eastAsia="en-GB"/>
        </w:rPr>
        <w:t>Crisis: The Journal of Crisis Intervention and Suicide Prevention, 28</w:t>
      </w:r>
      <w:r w:rsidRPr="00D9272F">
        <w:rPr>
          <w:lang w:eastAsia="en-GB"/>
        </w:rPr>
        <w:t>(3), 113.</w:t>
      </w:r>
    </w:p>
    <w:p w14:paraId="48C81478" w14:textId="77777777" w:rsidR="00CA4D45" w:rsidRPr="00D9272F" w:rsidRDefault="00CA4D45" w:rsidP="00CA4D45">
      <w:pPr>
        <w:spacing w:line="360" w:lineRule="auto"/>
        <w:rPr>
          <w:lang w:eastAsia="en-GB"/>
        </w:rPr>
      </w:pPr>
    </w:p>
    <w:p w14:paraId="3EC62652" w14:textId="77777777" w:rsidR="00CA4D45" w:rsidRPr="00D9272F" w:rsidRDefault="00CA4D45" w:rsidP="00CA4D45">
      <w:pPr>
        <w:spacing w:line="360" w:lineRule="auto"/>
        <w:rPr>
          <w:rFonts w:eastAsia="Times New Roman"/>
        </w:rPr>
      </w:pPr>
      <w:r w:rsidRPr="00D9272F">
        <w:rPr>
          <w:rFonts w:eastAsia="Times New Roman"/>
          <w:shd w:val="clear" w:color="auto" w:fill="FFFFFF"/>
        </w:rPr>
        <w:lastRenderedPageBreak/>
        <w:t>Kupers, T. A. (2005). Toxic masculinity as a barrier to mental health treatment in prison.</w:t>
      </w:r>
      <w:r w:rsidRPr="00D9272F">
        <w:rPr>
          <w:rStyle w:val="apple-converted-space"/>
          <w:rFonts w:eastAsia="Times New Roman"/>
          <w:shd w:val="clear" w:color="auto" w:fill="FFFFFF"/>
        </w:rPr>
        <w:t> </w:t>
      </w:r>
      <w:r w:rsidRPr="00D9272F">
        <w:rPr>
          <w:rFonts w:eastAsia="Times New Roman"/>
          <w:i/>
          <w:iCs/>
        </w:rPr>
        <w:t>Journal of clinical psychology</w:t>
      </w:r>
      <w:r w:rsidRPr="00D9272F">
        <w:rPr>
          <w:rFonts w:eastAsia="Times New Roman"/>
          <w:shd w:val="clear" w:color="auto" w:fill="FFFFFF"/>
        </w:rPr>
        <w:t>,</w:t>
      </w:r>
      <w:r w:rsidRPr="00D9272F">
        <w:rPr>
          <w:rStyle w:val="apple-converted-space"/>
          <w:rFonts w:eastAsia="Times New Roman"/>
          <w:shd w:val="clear" w:color="auto" w:fill="FFFFFF"/>
        </w:rPr>
        <w:t> </w:t>
      </w:r>
      <w:r w:rsidRPr="00D9272F">
        <w:rPr>
          <w:rFonts w:eastAsia="Times New Roman"/>
          <w:i/>
          <w:iCs/>
        </w:rPr>
        <w:t>61</w:t>
      </w:r>
      <w:r w:rsidRPr="00D9272F">
        <w:rPr>
          <w:rFonts w:eastAsia="Times New Roman"/>
          <w:shd w:val="clear" w:color="auto" w:fill="FFFFFF"/>
        </w:rPr>
        <w:t>(6), 713-724.</w:t>
      </w:r>
    </w:p>
    <w:p w14:paraId="35AD55A5" w14:textId="77777777" w:rsidR="00CA4D45" w:rsidRPr="00D9272F" w:rsidRDefault="00CA4D45" w:rsidP="00CA4D45">
      <w:pPr>
        <w:spacing w:line="360" w:lineRule="auto"/>
        <w:rPr>
          <w:lang w:eastAsia="en-GB"/>
        </w:rPr>
      </w:pPr>
    </w:p>
    <w:p w14:paraId="55BB6EC9" w14:textId="77777777" w:rsidR="00CA4D45" w:rsidRPr="00D9272F" w:rsidRDefault="00CA4D45" w:rsidP="00CA4D45">
      <w:pPr>
        <w:spacing w:line="360" w:lineRule="auto"/>
        <w:rPr>
          <w:lang w:val="en-GB" w:eastAsia="en-GB"/>
        </w:rPr>
      </w:pPr>
      <w:r w:rsidRPr="00D9272F">
        <w:rPr>
          <w:lang w:eastAsia="en-GB"/>
        </w:rPr>
        <w:t>MacNamara, C., &amp; Mannix-McNamara, P. (2014)</w:t>
      </w:r>
      <w:r w:rsidR="00DE73A7" w:rsidRPr="00D9272F">
        <w:rPr>
          <w:lang w:eastAsia="en-GB"/>
        </w:rPr>
        <w:t xml:space="preserve">. </w:t>
      </w:r>
      <w:r w:rsidRPr="00D9272F">
        <w:rPr>
          <w:lang w:eastAsia="en-GB"/>
        </w:rPr>
        <w:t>Placing the promotion of health and wellbeing on the Irish prison agenda - the complexity of health promotion in Irish prisons.</w:t>
      </w:r>
      <w:r w:rsidRPr="00D9272F">
        <w:rPr>
          <w:i/>
          <w:iCs/>
          <w:lang w:eastAsia="en-GB"/>
        </w:rPr>
        <w:t xml:space="preserve"> Irish Journal of Applied Social Studies, 14</w:t>
      </w:r>
      <w:r w:rsidRPr="00D9272F">
        <w:rPr>
          <w:lang w:eastAsia="en-GB"/>
        </w:rPr>
        <w:t>(1), 49-59</w:t>
      </w:r>
      <w:r w:rsidR="004F2DC5">
        <w:rPr>
          <w:lang w:eastAsia="en-GB"/>
        </w:rPr>
        <w:t>.</w:t>
      </w:r>
    </w:p>
    <w:p w14:paraId="1295F8AD" w14:textId="77777777" w:rsidR="00CA4D45" w:rsidRPr="00D9272F" w:rsidRDefault="00CA4D45" w:rsidP="00CA4D45">
      <w:pPr>
        <w:spacing w:line="360" w:lineRule="auto"/>
        <w:rPr>
          <w:lang w:val="en-GB" w:eastAsia="en-GB"/>
        </w:rPr>
      </w:pPr>
    </w:p>
    <w:p w14:paraId="1E71CEA8" w14:textId="77777777" w:rsidR="004E7CD9" w:rsidRPr="004E7CD9" w:rsidRDefault="004E7CD9" w:rsidP="00CA4D45">
      <w:pPr>
        <w:spacing w:line="360" w:lineRule="auto"/>
        <w:rPr>
          <w:color w:val="222222"/>
          <w:shd w:val="clear" w:color="auto" w:fill="FFFFFF"/>
        </w:rPr>
      </w:pPr>
      <w:r w:rsidRPr="004E7CD9">
        <w:rPr>
          <w:color w:val="222222"/>
          <w:shd w:val="clear" w:color="auto" w:fill="FFFFFF"/>
        </w:rPr>
        <w:t>Meek, R., &amp; Lewis, G. (2012). The role of sport in promoting prisoner health. </w:t>
      </w:r>
      <w:r w:rsidRPr="004E7CD9">
        <w:rPr>
          <w:i/>
          <w:iCs/>
          <w:color w:val="222222"/>
          <w:shd w:val="clear" w:color="auto" w:fill="FFFFFF"/>
        </w:rPr>
        <w:t>International journal of prisoner health</w:t>
      </w:r>
      <w:r w:rsidRPr="004E7CD9">
        <w:rPr>
          <w:color w:val="222222"/>
          <w:shd w:val="clear" w:color="auto" w:fill="FFFFFF"/>
        </w:rPr>
        <w:t>, </w:t>
      </w:r>
      <w:r w:rsidRPr="004E7CD9">
        <w:rPr>
          <w:i/>
          <w:iCs/>
          <w:color w:val="222222"/>
          <w:shd w:val="clear" w:color="auto" w:fill="FFFFFF"/>
        </w:rPr>
        <w:t>8</w:t>
      </w:r>
      <w:r w:rsidRPr="004E7CD9">
        <w:rPr>
          <w:color w:val="222222"/>
          <w:shd w:val="clear" w:color="auto" w:fill="FFFFFF"/>
        </w:rPr>
        <w:t>(3/4), 117-130.</w:t>
      </w:r>
    </w:p>
    <w:p w14:paraId="0F11B34A" w14:textId="77777777" w:rsidR="004E7CD9" w:rsidRDefault="004E7CD9" w:rsidP="00CA4D45">
      <w:pPr>
        <w:spacing w:line="360" w:lineRule="auto"/>
        <w:rPr>
          <w:lang w:val="en-GB" w:eastAsia="en-GB"/>
        </w:rPr>
      </w:pPr>
    </w:p>
    <w:p w14:paraId="3517D076" w14:textId="77777777" w:rsidR="00CA4D45" w:rsidRPr="00D9272F" w:rsidRDefault="00CA4D45" w:rsidP="00CA4D45">
      <w:pPr>
        <w:spacing w:line="360" w:lineRule="auto"/>
        <w:rPr>
          <w:lang w:val="en-GB" w:eastAsia="en-GB"/>
        </w:rPr>
      </w:pPr>
      <w:r w:rsidRPr="00D9272F">
        <w:rPr>
          <w:lang w:val="en-GB" w:eastAsia="en-GB"/>
        </w:rPr>
        <w:t>N</w:t>
      </w:r>
      <w:r w:rsidR="00B376C0" w:rsidRPr="00D9272F">
        <w:rPr>
          <w:lang w:val="en-GB" w:eastAsia="en-GB"/>
        </w:rPr>
        <w:t>ational Audit Office</w:t>
      </w:r>
      <w:r w:rsidRPr="00D9272F">
        <w:rPr>
          <w:lang w:val="en-GB" w:eastAsia="en-GB"/>
        </w:rPr>
        <w:t xml:space="preserve"> </w:t>
      </w:r>
      <w:r w:rsidR="00B376C0" w:rsidRPr="00D9272F">
        <w:rPr>
          <w:lang w:val="en-GB" w:eastAsia="en-GB"/>
        </w:rPr>
        <w:t>(</w:t>
      </w:r>
      <w:r w:rsidRPr="00D9272F">
        <w:rPr>
          <w:lang w:val="en-GB" w:eastAsia="en-GB"/>
        </w:rPr>
        <w:t>2017</w:t>
      </w:r>
      <w:r w:rsidR="00B376C0" w:rsidRPr="00D9272F">
        <w:rPr>
          <w:lang w:val="en-GB" w:eastAsia="en-GB"/>
        </w:rPr>
        <w:t xml:space="preserve">). </w:t>
      </w:r>
      <w:r w:rsidR="002A3E00" w:rsidRPr="00D9272F">
        <w:t>Mental health in prisons.</w:t>
      </w:r>
      <w:r w:rsidR="0036457A" w:rsidRPr="00D9272F">
        <w:t xml:space="preserve"> </w:t>
      </w:r>
      <w:r w:rsidR="008E42AB" w:rsidRPr="00D9272F">
        <w:t>Retrieved from</w:t>
      </w:r>
      <w:r w:rsidR="0036457A" w:rsidRPr="00D9272F">
        <w:t>:</w:t>
      </w:r>
      <w:r w:rsidR="002A3E00" w:rsidRPr="00D9272F">
        <w:t xml:space="preserve"> https://www.nao.org.uk/wp-content/uploads/2017/06/Mental-health-in-prisons-Summary.pdf</w:t>
      </w:r>
    </w:p>
    <w:p w14:paraId="3274700A" w14:textId="77777777" w:rsidR="00CA4D45" w:rsidRPr="00D9272F" w:rsidRDefault="00CA4D45" w:rsidP="00CA4D45">
      <w:pPr>
        <w:spacing w:line="360" w:lineRule="auto"/>
        <w:rPr>
          <w:lang w:val="en-GB" w:eastAsia="en-GB"/>
        </w:rPr>
      </w:pPr>
    </w:p>
    <w:p w14:paraId="37FB0653" w14:textId="77777777" w:rsidR="00CA4D45" w:rsidRPr="00D9272F" w:rsidRDefault="00CA4D45" w:rsidP="00CA4D45">
      <w:pPr>
        <w:spacing w:line="360" w:lineRule="auto"/>
        <w:rPr>
          <w:rFonts w:eastAsia="Times New Roman"/>
        </w:rPr>
      </w:pPr>
      <w:r w:rsidRPr="00D9272F">
        <w:rPr>
          <w:rFonts w:eastAsia="Times New Roman"/>
          <w:shd w:val="clear" w:color="auto" w:fill="FFFFFF"/>
        </w:rPr>
        <w:t>Ricciardelli, R., Maier, K., &amp; Hannah-Moffat, K. (2015). Strategic masculinities: Vulnerabilities, risk and the production of prison masculinities.</w:t>
      </w:r>
      <w:r w:rsidRPr="00D9272F">
        <w:rPr>
          <w:rStyle w:val="apple-converted-space"/>
          <w:rFonts w:eastAsia="Times New Roman"/>
          <w:shd w:val="clear" w:color="auto" w:fill="FFFFFF"/>
        </w:rPr>
        <w:t> </w:t>
      </w:r>
      <w:r w:rsidRPr="00D9272F">
        <w:rPr>
          <w:rFonts w:eastAsia="Times New Roman"/>
          <w:i/>
          <w:iCs/>
        </w:rPr>
        <w:t>Theoretical Criminology</w:t>
      </w:r>
      <w:r w:rsidRPr="00D9272F">
        <w:rPr>
          <w:rFonts w:eastAsia="Times New Roman"/>
          <w:shd w:val="clear" w:color="auto" w:fill="FFFFFF"/>
        </w:rPr>
        <w:t>,</w:t>
      </w:r>
      <w:r w:rsidRPr="00D9272F">
        <w:rPr>
          <w:rStyle w:val="apple-converted-space"/>
          <w:rFonts w:eastAsia="Times New Roman"/>
          <w:shd w:val="clear" w:color="auto" w:fill="FFFFFF"/>
        </w:rPr>
        <w:t> </w:t>
      </w:r>
      <w:r w:rsidRPr="00D9272F">
        <w:rPr>
          <w:rFonts w:eastAsia="Times New Roman"/>
          <w:i/>
          <w:iCs/>
        </w:rPr>
        <w:t>19</w:t>
      </w:r>
      <w:r w:rsidRPr="00D9272F">
        <w:rPr>
          <w:rFonts w:eastAsia="Times New Roman"/>
          <w:shd w:val="clear" w:color="auto" w:fill="FFFFFF"/>
        </w:rPr>
        <w:t>(4), 491-513.</w:t>
      </w:r>
    </w:p>
    <w:p w14:paraId="342E7E10" w14:textId="77777777" w:rsidR="00CA4D45" w:rsidRPr="00D9272F" w:rsidRDefault="00CA4D45" w:rsidP="00CA4D45">
      <w:pPr>
        <w:spacing w:line="360" w:lineRule="auto"/>
        <w:rPr>
          <w:lang w:val="en-GB" w:eastAsia="en-GB"/>
        </w:rPr>
      </w:pPr>
    </w:p>
    <w:p w14:paraId="76A6F278" w14:textId="77777777" w:rsidR="00CA4D45" w:rsidRPr="00D9272F" w:rsidRDefault="00CA4D45" w:rsidP="00CA4D45">
      <w:pPr>
        <w:spacing w:line="360" w:lineRule="auto"/>
        <w:rPr>
          <w:lang w:val="en-GB" w:eastAsia="en-GB"/>
        </w:rPr>
      </w:pPr>
      <w:r w:rsidRPr="00D9272F">
        <w:rPr>
          <w:lang w:val="en-GB" w:eastAsia="en-GB"/>
        </w:rPr>
        <w:t xml:space="preserve">Ryan, R. M., &amp; Deci, E. L. (2001). On happiness and human potentials: A review of research on hedonic and eudaimonic well-being. </w:t>
      </w:r>
      <w:r w:rsidRPr="00D9272F">
        <w:rPr>
          <w:i/>
          <w:iCs/>
          <w:lang w:val="en-GB" w:eastAsia="en-GB"/>
        </w:rPr>
        <w:t>Annual Review of Psychology, 52</w:t>
      </w:r>
      <w:r w:rsidRPr="00D9272F">
        <w:rPr>
          <w:lang w:val="en-GB" w:eastAsia="en-GB"/>
        </w:rPr>
        <w:t>(1), 141-166.</w:t>
      </w:r>
    </w:p>
    <w:p w14:paraId="7DB0CA72" w14:textId="77777777" w:rsidR="00CA4D45" w:rsidRPr="00D9272F" w:rsidRDefault="00CA4D45" w:rsidP="00CA4D45">
      <w:pPr>
        <w:spacing w:line="360" w:lineRule="auto"/>
        <w:rPr>
          <w:lang w:eastAsia="en-GB"/>
        </w:rPr>
      </w:pPr>
    </w:p>
    <w:p w14:paraId="02536424" w14:textId="77777777" w:rsidR="00CA4D45" w:rsidRPr="00D9272F" w:rsidRDefault="00CA4D45" w:rsidP="00CA4D45">
      <w:pPr>
        <w:spacing w:line="360" w:lineRule="auto"/>
        <w:rPr>
          <w:lang w:val="en-GB" w:eastAsia="en-GB"/>
        </w:rPr>
      </w:pPr>
      <w:r w:rsidRPr="00D9272F">
        <w:rPr>
          <w:lang w:eastAsia="en-GB"/>
        </w:rPr>
        <w:t>Santora, L., Arild Espnes, G., &amp; Lillefjell, M. (2014). Health promotion and prison settings. </w:t>
      </w:r>
      <w:r w:rsidRPr="00D9272F">
        <w:rPr>
          <w:i/>
          <w:iCs/>
          <w:lang w:eastAsia="en-GB"/>
        </w:rPr>
        <w:t>International Journal of Prisoner Health, 10</w:t>
      </w:r>
      <w:r w:rsidRPr="00D9272F">
        <w:rPr>
          <w:lang w:eastAsia="en-GB"/>
        </w:rPr>
        <w:t>(1), 27-37.</w:t>
      </w:r>
    </w:p>
    <w:p w14:paraId="54355BC5" w14:textId="77777777" w:rsidR="00CA4D45" w:rsidRPr="009841DE" w:rsidRDefault="00CA4D45" w:rsidP="00CA4D45">
      <w:pPr>
        <w:spacing w:line="360" w:lineRule="auto"/>
        <w:rPr>
          <w:lang w:val="en-GB" w:eastAsia="en-GB"/>
        </w:rPr>
      </w:pPr>
    </w:p>
    <w:p w14:paraId="230F9559" w14:textId="725135C6" w:rsidR="009841DE" w:rsidRPr="009841DE" w:rsidRDefault="009841DE" w:rsidP="00CA4D45">
      <w:pPr>
        <w:spacing w:line="360" w:lineRule="auto"/>
        <w:rPr>
          <w:color w:val="222222"/>
          <w:shd w:val="clear" w:color="auto" w:fill="FFFFFF"/>
        </w:rPr>
      </w:pPr>
      <w:r w:rsidRPr="009841DE">
        <w:rPr>
          <w:color w:val="222222"/>
          <w:shd w:val="clear" w:color="auto" w:fill="FFFFFF"/>
        </w:rPr>
        <w:t>Schlosser, J. A. (2008). Issues in interviewing inmates: Navigating the methodological landmines of prison research. </w:t>
      </w:r>
      <w:r w:rsidRPr="009841DE">
        <w:rPr>
          <w:i/>
          <w:iCs/>
          <w:color w:val="222222"/>
          <w:shd w:val="clear" w:color="auto" w:fill="FFFFFF"/>
        </w:rPr>
        <w:t>Qualitative Inquiry</w:t>
      </w:r>
      <w:r w:rsidRPr="009841DE">
        <w:rPr>
          <w:color w:val="222222"/>
          <w:shd w:val="clear" w:color="auto" w:fill="FFFFFF"/>
        </w:rPr>
        <w:t>, </w:t>
      </w:r>
      <w:r w:rsidRPr="009841DE">
        <w:rPr>
          <w:i/>
          <w:iCs/>
          <w:color w:val="222222"/>
          <w:shd w:val="clear" w:color="auto" w:fill="FFFFFF"/>
        </w:rPr>
        <w:t>14</w:t>
      </w:r>
      <w:r w:rsidRPr="009841DE">
        <w:rPr>
          <w:color w:val="222222"/>
          <w:shd w:val="clear" w:color="auto" w:fill="FFFFFF"/>
        </w:rPr>
        <w:t>(8), 1500-1525.</w:t>
      </w:r>
    </w:p>
    <w:p w14:paraId="3088DB3A" w14:textId="77777777" w:rsidR="009841DE" w:rsidRDefault="009841DE" w:rsidP="00CA4D45">
      <w:pPr>
        <w:spacing w:line="360" w:lineRule="auto"/>
        <w:rPr>
          <w:rFonts w:eastAsia="Times New Roman"/>
          <w:shd w:val="clear" w:color="auto" w:fill="FFFFFF"/>
        </w:rPr>
      </w:pPr>
    </w:p>
    <w:p w14:paraId="1E0E723B" w14:textId="3EA0349F" w:rsidR="00CA4D45" w:rsidRPr="00D9272F" w:rsidRDefault="00CA4D45" w:rsidP="00CA4D45">
      <w:pPr>
        <w:spacing w:line="360" w:lineRule="auto"/>
        <w:rPr>
          <w:rFonts w:eastAsia="Times New Roman"/>
        </w:rPr>
      </w:pPr>
      <w:r w:rsidRPr="00D9272F">
        <w:rPr>
          <w:rFonts w:eastAsia="Times New Roman"/>
          <w:shd w:val="clear" w:color="auto" w:fill="FFFFFF"/>
        </w:rPr>
        <w:t>Skogstad, P., Deane, F. P., &amp; Spicer, J. (2006). Social</w:t>
      </w:r>
      <w:r w:rsidRPr="00D9272F">
        <w:rPr>
          <w:rFonts w:eastAsia="Calibri"/>
          <w:shd w:val="clear" w:color="auto" w:fill="FFFFFF"/>
        </w:rPr>
        <w:t>‐</w:t>
      </w:r>
      <w:r w:rsidRPr="00D9272F">
        <w:rPr>
          <w:rFonts w:eastAsia="Times New Roman"/>
          <w:shd w:val="clear" w:color="auto" w:fill="FFFFFF"/>
        </w:rPr>
        <w:t>cognitive determinants of help</w:t>
      </w:r>
      <w:r w:rsidRPr="00D9272F">
        <w:rPr>
          <w:rFonts w:eastAsia="Calibri"/>
          <w:shd w:val="clear" w:color="auto" w:fill="FFFFFF"/>
        </w:rPr>
        <w:t>‐</w:t>
      </w:r>
      <w:r w:rsidRPr="00D9272F">
        <w:rPr>
          <w:rFonts w:eastAsia="Times New Roman"/>
          <w:shd w:val="clear" w:color="auto" w:fill="FFFFFF"/>
        </w:rPr>
        <w:t>seeking for mental health problems among prison inmates.</w:t>
      </w:r>
      <w:r w:rsidRPr="00D9272F">
        <w:rPr>
          <w:rStyle w:val="apple-converted-space"/>
          <w:rFonts w:eastAsia="Times New Roman"/>
          <w:shd w:val="clear" w:color="auto" w:fill="FFFFFF"/>
        </w:rPr>
        <w:t> </w:t>
      </w:r>
      <w:r w:rsidRPr="00D9272F">
        <w:rPr>
          <w:rFonts w:eastAsia="Times New Roman"/>
          <w:i/>
          <w:iCs/>
        </w:rPr>
        <w:t>Criminal Behaviour and Mental Health</w:t>
      </w:r>
      <w:r w:rsidRPr="00D9272F">
        <w:rPr>
          <w:rFonts w:eastAsia="Times New Roman"/>
          <w:shd w:val="clear" w:color="auto" w:fill="FFFFFF"/>
        </w:rPr>
        <w:t>,</w:t>
      </w:r>
      <w:r w:rsidRPr="00D9272F">
        <w:rPr>
          <w:rStyle w:val="apple-converted-space"/>
          <w:rFonts w:eastAsia="Times New Roman"/>
          <w:shd w:val="clear" w:color="auto" w:fill="FFFFFF"/>
        </w:rPr>
        <w:t> </w:t>
      </w:r>
      <w:r w:rsidRPr="00D9272F">
        <w:rPr>
          <w:rFonts w:eastAsia="Times New Roman"/>
          <w:i/>
          <w:iCs/>
        </w:rPr>
        <w:t>16</w:t>
      </w:r>
      <w:r w:rsidRPr="00D9272F">
        <w:rPr>
          <w:rFonts w:eastAsia="Times New Roman"/>
          <w:shd w:val="clear" w:color="auto" w:fill="FFFFFF"/>
        </w:rPr>
        <w:t>(1), 43-59.</w:t>
      </w:r>
    </w:p>
    <w:p w14:paraId="2B410DDD" w14:textId="77777777" w:rsidR="00CA4D45" w:rsidRPr="00D9272F" w:rsidRDefault="00CA4D45" w:rsidP="00CA4D45">
      <w:pPr>
        <w:spacing w:line="360" w:lineRule="auto"/>
        <w:rPr>
          <w:lang w:val="en-GB" w:eastAsia="en-GB"/>
        </w:rPr>
      </w:pPr>
    </w:p>
    <w:p w14:paraId="79BD953F" w14:textId="77777777" w:rsidR="00CA4D45" w:rsidRPr="00D9272F" w:rsidRDefault="0067545A" w:rsidP="00CA4D45">
      <w:pPr>
        <w:spacing w:line="360" w:lineRule="auto"/>
        <w:rPr>
          <w:shd w:val="clear" w:color="auto" w:fill="FFFFFF"/>
        </w:rPr>
      </w:pPr>
      <w:r w:rsidRPr="00D9272F">
        <w:rPr>
          <w:shd w:val="clear" w:color="auto" w:fill="FFFFFF"/>
        </w:rPr>
        <w:t>Smith, B. W., Dalen, J., Wiggins, K., Tooley, E., Christopher, P., &amp; Bernard, J. (2008). The brief resilience scale: assessing the ability to bounce back. </w:t>
      </w:r>
      <w:r w:rsidRPr="00D9272F">
        <w:rPr>
          <w:i/>
          <w:iCs/>
          <w:shd w:val="clear" w:color="auto" w:fill="FFFFFF"/>
        </w:rPr>
        <w:t>International journal of behavioral medicine</w:t>
      </w:r>
      <w:r w:rsidRPr="00D9272F">
        <w:rPr>
          <w:shd w:val="clear" w:color="auto" w:fill="FFFFFF"/>
        </w:rPr>
        <w:t>, </w:t>
      </w:r>
      <w:r w:rsidRPr="00D9272F">
        <w:rPr>
          <w:i/>
          <w:iCs/>
          <w:shd w:val="clear" w:color="auto" w:fill="FFFFFF"/>
        </w:rPr>
        <w:t>15</w:t>
      </w:r>
      <w:r w:rsidRPr="00D9272F">
        <w:rPr>
          <w:shd w:val="clear" w:color="auto" w:fill="FFFFFF"/>
        </w:rPr>
        <w:t>(3), 194-200.</w:t>
      </w:r>
    </w:p>
    <w:p w14:paraId="79139A67" w14:textId="77777777" w:rsidR="0067545A" w:rsidRPr="00D9272F" w:rsidRDefault="0067545A" w:rsidP="00CA4D45">
      <w:pPr>
        <w:spacing w:line="360" w:lineRule="auto"/>
        <w:rPr>
          <w:lang w:val="en-GB" w:eastAsia="en-GB"/>
        </w:rPr>
      </w:pPr>
    </w:p>
    <w:p w14:paraId="00175FD4" w14:textId="77777777" w:rsidR="00CA4D45" w:rsidRPr="00D9272F" w:rsidRDefault="00CA4D45" w:rsidP="00CA4D45">
      <w:pPr>
        <w:spacing w:line="360" w:lineRule="auto"/>
        <w:rPr>
          <w:lang w:val="en-GB" w:eastAsia="en-GB"/>
        </w:rPr>
      </w:pPr>
      <w:r w:rsidRPr="00D9272F">
        <w:rPr>
          <w:lang w:val="en-GB" w:eastAsia="en-GB"/>
        </w:rPr>
        <w:lastRenderedPageBreak/>
        <w:t xml:space="preserve">Sparkes, A. (1998). Validity in qualitative inquiry and problems of criteria: Implications for sport psychology. </w:t>
      </w:r>
      <w:r w:rsidRPr="00D9272F">
        <w:rPr>
          <w:i/>
          <w:iCs/>
          <w:lang w:val="en-GB" w:eastAsia="en-GB"/>
        </w:rPr>
        <w:t>The Sport Psychologist, 12</w:t>
      </w:r>
      <w:r w:rsidRPr="00D9272F">
        <w:rPr>
          <w:lang w:val="en-GB" w:eastAsia="en-GB"/>
        </w:rPr>
        <w:t>, 363-386.</w:t>
      </w:r>
    </w:p>
    <w:p w14:paraId="1BC3E59D" w14:textId="77777777" w:rsidR="00CA4D45" w:rsidRPr="00D9272F" w:rsidRDefault="00CA4D45" w:rsidP="00CA4D45">
      <w:pPr>
        <w:spacing w:line="360" w:lineRule="auto"/>
        <w:rPr>
          <w:lang w:eastAsia="en-GB"/>
        </w:rPr>
      </w:pPr>
    </w:p>
    <w:p w14:paraId="454C8836" w14:textId="77777777" w:rsidR="00CA4D45" w:rsidRPr="00D9272F" w:rsidRDefault="00CA4D45" w:rsidP="00CA4D45">
      <w:pPr>
        <w:spacing w:line="360" w:lineRule="auto"/>
        <w:rPr>
          <w:lang w:val="en-GB" w:eastAsia="en-GB"/>
        </w:rPr>
      </w:pPr>
      <w:r w:rsidRPr="00D9272F">
        <w:rPr>
          <w:lang w:eastAsia="en-GB"/>
        </w:rPr>
        <w:t xml:space="preserve">Stewart-Brown, S., Tennant, A., Tennant, R., Platt, S., Parkison, J., &amp; Weich, S. (2009) Internal Construct Validity of the Warwick-Edinburgh Mental Well-being Scale (WEMWBS): A Rasch analysis using data from the Scottish Health Education Population Survey. </w:t>
      </w:r>
      <w:r w:rsidRPr="00D9272F">
        <w:rPr>
          <w:i/>
          <w:iCs/>
          <w:lang w:eastAsia="en-GB"/>
        </w:rPr>
        <w:t xml:space="preserve">Health and Quality of Life Outcomes, 9, </w:t>
      </w:r>
      <w:r w:rsidRPr="00D9272F">
        <w:rPr>
          <w:lang w:eastAsia="en-GB"/>
        </w:rPr>
        <w:t>7-15</w:t>
      </w:r>
    </w:p>
    <w:p w14:paraId="24124E5E" w14:textId="77777777" w:rsidR="00CA4D45" w:rsidRPr="00D9272F" w:rsidRDefault="00CA4D45" w:rsidP="00CA4D45">
      <w:pPr>
        <w:spacing w:line="360" w:lineRule="auto"/>
        <w:rPr>
          <w:lang w:eastAsia="en-GB"/>
        </w:rPr>
      </w:pPr>
    </w:p>
    <w:p w14:paraId="6D554250" w14:textId="77777777" w:rsidR="00CA4D45" w:rsidRPr="00D9272F" w:rsidRDefault="00CA4D45" w:rsidP="00CA4D45">
      <w:pPr>
        <w:spacing w:line="360" w:lineRule="auto"/>
        <w:rPr>
          <w:lang w:val="en-GB" w:eastAsia="en-GB"/>
        </w:rPr>
      </w:pPr>
      <w:r w:rsidRPr="00D9272F">
        <w:rPr>
          <w:lang w:eastAsia="en-GB"/>
        </w:rPr>
        <w:t xml:space="preserve">Thomas, D. R. (2006). A general inductive approach for analyzing qualitative evaluation data. </w:t>
      </w:r>
      <w:r w:rsidRPr="00D9272F">
        <w:rPr>
          <w:i/>
          <w:iCs/>
          <w:lang w:eastAsia="en-GB"/>
        </w:rPr>
        <w:t>American Journal of Evaluation, 27</w:t>
      </w:r>
      <w:r w:rsidRPr="00D9272F">
        <w:rPr>
          <w:lang w:eastAsia="en-GB"/>
        </w:rPr>
        <w:t>(2), 237-246.</w:t>
      </w:r>
    </w:p>
    <w:p w14:paraId="7ADDF2EA" w14:textId="77777777" w:rsidR="00CA4D45" w:rsidRPr="00D9272F" w:rsidRDefault="00CA4D45" w:rsidP="00CA4D45">
      <w:pPr>
        <w:spacing w:line="360" w:lineRule="auto"/>
        <w:rPr>
          <w:lang w:val="en-GB" w:eastAsia="en-GB"/>
        </w:rPr>
      </w:pPr>
    </w:p>
    <w:p w14:paraId="2FBD04F4" w14:textId="77777777" w:rsidR="00CA4D45" w:rsidRPr="00D9272F" w:rsidRDefault="00CA4D45" w:rsidP="00CA4D45">
      <w:pPr>
        <w:spacing w:line="360" w:lineRule="auto"/>
        <w:rPr>
          <w:lang w:val="en-GB" w:eastAsia="en-GB"/>
        </w:rPr>
      </w:pPr>
      <w:r w:rsidRPr="00D9272F">
        <w:rPr>
          <w:lang w:val="en-GB" w:eastAsia="en-GB"/>
        </w:rPr>
        <w:t>Watson, R., Stimpson, A., &amp; Hostick, T. (2004). Prison health care: a review of the literature. </w:t>
      </w:r>
      <w:r w:rsidRPr="00D9272F">
        <w:rPr>
          <w:i/>
          <w:iCs/>
          <w:lang w:val="en-GB" w:eastAsia="en-GB"/>
        </w:rPr>
        <w:t>International Journal of Nursing Studies,</w:t>
      </w:r>
      <w:r w:rsidRPr="00D9272F">
        <w:rPr>
          <w:lang w:val="en-GB" w:eastAsia="en-GB"/>
        </w:rPr>
        <w:t> 41(2), 119-128.</w:t>
      </w:r>
    </w:p>
    <w:p w14:paraId="0173C78E" w14:textId="77777777" w:rsidR="00CA4D45" w:rsidRPr="00D9272F" w:rsidRDefault="00CA4D45" w:rsidP="00CA4D45">
      <w:pPr>
        <w:spacing w:line="360" w:lineRule="auto"/>
        <w:rPr>
          <w:lang w:eastAsia="en-GB"/>
        </w:rPr>
      </w:pPr>
    </w:p>
    <w:p w14:paraId="51BB4DEE" w14:textId="77777777" w:rsidR="00CA4D45" w:rsidRPr="00D9272F" w:rsidRDefault="00064F5A" w:rsidP="00CA4D45">
      <w:pPr>
        <w:spacing w:line="360" w:lineRule="auto"/>
        <w:rPr>
          <w:lang w:val="en-GB" w:eastAsia="en-GB"/>
        </w:rPr>
      </w:pPr>
      <w:r w:rsidRPr="00D9272F">
        <w:rPr>
          <w:shd w:val="clear" w:color="auto" w:fill="FFFFFF"/>
        </w:rPr>
        <w:t xml:space="preserve">World Health Organization. </w:t>
      </w:r>
      <w:r w:rsidR="00CA4D45" w:rsidRPr="00D9272F">
        <w:rPr>
          <w:lang w:eastAsia="en-GB"/>
        </w:rPr>
        <w:t xml:space="preserve"> (1999) </w:t>
      </w:r>
      <w:r w:rsidR="00CA4D45" w:rsidRPr="00D9272F">
        <w:rPr>
          <w:i/>
          <w:iCs/>
          <w:lang w:eastAsia="en-GB"/>
        </w:rPr>
        <w:t>Mental Health Promotion in Prison: Report on a WHO Meeting</w:t>
      </w:r>
      <w:r w:rsidR="00CA4D45" w:rsidRPr="00D9272F">
        <w:rPr>
          <w:lang w:eastAsia="en-GB"/>
        </w:rPr>
        <w:t xml:space="preserve">. World Health Organisation, Regional Office for Europe, Copenhagen. </w:t>
      </w:r>
    </w:p>
    <w:p w14:paraId="19A977E9" w14:textId="77777777" w:rsidR="00CA4D45" w:rsidRPr="00D9272F" w:rsidRDefault="00CA4D45" w:rsidP="00CA4D45">
      <w:pPr>
        <w:spacing w:line="360" w:lineRule="auto"/>
        <w:rPr>
          <w:lang w:eastAsia="en-GB"/>
        </w:rPr>
      </w:pPr>
    </w:p>
    <w:p w14:paraId="1569D96C" w14:textId="77777777" w:rsidR="00CA4D45" w:rsidRPr="00D9272F" w:rsidRDefault="004660A3" w:rsidP="00CA4D45">
      <w:pPr>
        <w:spacing w:line="360" w:lineRule="auto"/>
        <w:rPr>
          <w:rStyle w:val="nlmpublisher-name"/>
          <w:shd w:val="clear" w:color="auto" w:fill="FFFFFF"/>
        </w:rPr>
      </w:pPr>
      <w:r w:rsidRPr="00D9272F">
        <w:rPr>
          <w:shd w:val="clear" w:color="auto" w:fill="FFFFFF"/>
        </w:rPr>
        <w:t>World Health Organization. (</w:t>
      </w:r>
      <w:r w:rsidRPr="00D9272F">
        <w:rPr>
          <w:rStyle w:val="nlmyear"/>
          <w:shd w:val="clear" w:color="auto" w:fill="FFFFFF"/>
        </w:rPr>
        <w:t>2014</w:t>
      </w:r>
      <w:r w:rsidR="00991828" w:rsidRPr="00D9272F">
        <w:rPr>
          <w:rStyle w:val="nlmyear"/>
          <w:shd w:val="clear" w:color="auto" w:fill="FFFFFF"/>
        </w:rPr>
        <w:t>a</w:t>
      </w:r>
      <w:r w:rsidRPr="00D9272F">
        <w:rPr>
          <w:shd w:val="clear" w:color="auto" w:fill="FFFFFF"/>
        </w:rPr>
        <w:t>). </w:t>
      </w:r>
      <w:r w:rsidRPr="00D9272F">
        <w:rPr>
          <w:i/>
          <w:iCs/>
          <w:shd w:val="clear" w:color="auto" w:fill="FFFFFF"/>
        </w:rPr>
        <w:t>Mental health: A state of well-being</w:t>
      </w:r>
      <w:r w:rsidRPr="00D9272F">
        <w:rPr>
          <w:shd w:val="clear" w:color="auto" w:fill="FFFFFF"/>
        </w:rPr>
        <w:t>. </w:t>
      </w:r>
      <w:r w:rsidRPr="00D9272F">
        <w:rPr>
          <w:rStyle w:val="nlmpublisher-loc"/>
          <w:shd w:val="clear" w:color="auto" w:fill="FFFFFF"/>
        </w:rPr>
        <w:t>Geneva, Switzerland</w:t>
      </w:r>
      <w:r w:rsidRPr="00D9272F">
        <w:rPr>
          <w:shd w:val="clear" w:color="auto" w:fill="FFFFFF"/>
        </w:rPr>
        <w:t>: </w:t>
      </w:r>
      <w:r w:rsidRPr="00D9272F">
        <w:rPr>
          <w:rStyle w:val="nlmpublisher-name"/>
          <w:shd w:val="clear" w:color="auto" w:fill="FFFFFF"/>
        </w:rPr>
        <w:t>World Health Organization</w:t>
      </w:r>
      <w:r w:rsidR="00A958FF">
        <w:rPr>
          <w:rStyle w:val="nlmpublisher-name"/>
          <w:shd w:val="clear" w:color="auto" w:fill="FFFFFF"/>
        </w:rPr>
        <w:t>.</w:t>
      </w:r>
    </w:p>
    <w:p w14:paraId="18C6CB6B" w14:textId="77777777" w:rsidR="004660A3" w:rsidRPr="00D9272F" w:rsidRDefault="004660A3" w:rsidP="00CA4D45">
      <w:pPr>
        <w:spacing w:line="360" w:lineRule="auto"/>
        <w:rPr>
          <w:lang w:eastAsia="en-GB"/>
        </w:rPr>
      </w:pPr>
    </w:p>
    <w:p w14:paraId="1D7690C7" w14:textId="77777777" w:rsidR="00CA4D45" w:rsidRPr="00D9272F" w:rsidRDefault="00064F5A" w:rsidP="00CA4D45">
      <w:pPr>
        <w:spacing w:line="360" w:lineRule="auto"/>
        <w:rPr>
          <w:lang w:val="en-GB" w:eastAsia="en-GB"/>
        </w:rPr>
      </w:pPr>
      <w:r w:rsidRPr="00D9272F">
        <w:rPr>
          <w:shd w:val="clear" w:color="auto" w:fill="FFFFFF"/>
        </w:rPr>
        <w:t xml:space="preserve">World Health Organization. </w:t>
      </w:r>
      <w:r w:rsidR="00CA4D45" w:rsidRPr="00D9272F">
        <w:rPr>
          <w:lang w:eastAsia="en-GB"/>
        </w:rPr>
        <w:t xml:space="preserve">(2007), </w:t>
      </w:r>
      <w:r w:rsidR="00CA4D45" w:rsidRPr="00D9272F">
        <w:rPr>
          <w:i/>
          <w:iCs/>
          <w:lang w:eastAsia="en-GB"/>
        </w:rPr>
        <w:t>Health in prisons: A WHO guide to the essential in prison health</w:t>
      </w:r>
      <w:r w:rsidR="00CA4D45" w:rsidRPr="00D9272F">
        <w:rPr>
          <w:lang w:eastAsia="en-GB"/>
        </w:rPr>
        <w:t xml:space="preserve">, World Health Organisation, Copenhagen.  </w:t>
      </w:r>
    </w:p>
    <w:p w14:paraId="689CF204" w14:textId="77777777" w:rsidR="00CA4D45" w:rsidRPr="00D9272F" w:rsidRDefault="00CA4D45" w:rsidP="00CA4D45">
      <w:pPr>
        <w:spacing w:line="360" w:lineRule="auto"/>
        <w:rPr>
          <w:lang w:eastAsia="en-GB"/>
        </w:rPr>
      </w:pPr>
    </w:p>
    <w:p w14:paraId="67FD677B" w14:textId="77777777" w:rsidR="00CA4D45" w:rsidRPr="00D9272F" w:rsidRDefault="00064F5A" w:rsidP="00CA4D45">
      <w:pPr>
        <w:spacing w:line="360" w:lineRule="auto"/>
        <w:rPr>
          <w:lang w:val="en-GB" w:eastAsia="en-GB"/>
        </w:rPr>
      </w:pPr>
      <w:r w:rsidRPr="00D9272F">
        <w:rPr>
          <w:shd w:val="clear" w:color="auto" w:fill="FFFFFF"/>
        </w:rPr>
        <w:t xml:space="preserve">World Health Organization. </w:t>
      </w:r>
      <w:r w:rsidR="00CA4D45" w:rsidRPr="00D9272F">
        <w:rPr>
          <w:lang w:eastAsia="en-GB"/>
        </w:rPr>
        <w:t xml:space="preserve">(2008), </w:t>
      </w:r>
      <w:r w:rsidR="00CA4D45" w:rsidRPr="00D9272F">
        <w:rPr>
          <w:i/>
          <w:iCs/>
          <w:lang w:eastAsia="en-GB"/>
        </w:rPr>
        <w:t xml:space="preserve">Trenčín statement on prisons and mental health. </w:t>
      </w:r>
      <w:r w:rsidR="00CA4D45" w:rsidRPr="00D9272F">
        <w:rPr>
          <w:lang w:eastAsia="en-GB"/>
        </w:rPr>
        <w:t>Copenhagen: WHO Regional Office for Europe.</w:t>
      </w:r>
    </w:p>
    <w:p w14:paraId="7F77C653" w14:textId="77777777" w:rsidR="00CA4D45" w:rsidRPr="00D9272F" w:rsidRDefault="00CA4D45" w:rsidP="00CA4D45">
      <w:pPr>
        <w:spacing w:line="360" w:lineRule="auto"/>
        <w:rPr>
          <w:lang w:eastAsia="en-GB"/>
        </w:rPr>
      </w:pPr>
    </w:p>
    <w:p w14:paraId="31006CE4" w14:textId="086DA644" w:rsidR="00CA4D45" w:rsidRPr="00D9272F" w:rsidRDefault="00064F5A" w:rsidP="00CA4D45">
      <w:pPr>
        <w:spacing w:line="360" w:lineRule="auto"/>
        <w:rPr>
          <w:lang w:eastAsia="en-GB"/>
        </w:rPr>
      </w:pPr>
      <w:r w:rsidRPr="00D9272F">
        <w:rPr>
          <w:shd w:val="clear" w:color="auto" w:fill="FFFFFF"/>
        </w:rPr>
        <w:t xml:space="preserve">World Health Organization. </w:t>
      </w:r>
      <w:r w:rsidR="00CA4D45" w:rsidRPr="00D9272F">
        <w:rPr>
          <w:lang w:eastAsia="en-GB"/>
        </w:rPr>
        <w:t>(2014), Prisons and health. Retrieved from http://www.euro.who.int/__data/assets/pdf_file/0005/249188/Prisons-and-Health.pdf</w:t>
      </w:r>
    </w:p>
    <w:p w14:paraId="785E41B7" w14:textId="77777777" w:rsidR="00CA4D45" w:rsidRPr="00D9272F" w:rsidRDefault="00CA4D45" w:rsidP="00CA4D45">
      <w:pPr>
        <w:spacing w:line="360" w:lineRule="auto"/>
        <w:rPr>
          <w:lang w:val="en-GB" w:eastAsia="en-GB"/>
        </w:rPr>
      </w:pPr>
    </w:p>
    <w:p w14:paraId="530BEFFB" w14:textId="77777777" w:rsidR="00CA4D45" w:rsidRPr="00D9272F" w:rsidRDefault="00CA4D45" w:rsidP="00CA4D45">
      <w:pPr>
        <w:spacing w:line="360" w:lineRule="auto"/>
        <w:rPr>
          <w:lang w:eastAsia="en-GB"/>
        </w:rPr>
      </w:pPr>
      <w:r w:rsidRPr="00D9272F">
        <w:rPr>
          <w:lang w:eastAsia="en-GB"/>
        </w:rPr>
        <w:t>Wildeman, C., &amp; Wang, E. A. (2017). Mass incarceration, public health, and widening inequality in the USA. </w:t>
      </w:r>
      <w:r w:rsidRPr="00D9272F">
        <w:rPr>
          <w:i/>
          <w:iCs/>
          <w:lang w:eastAsia="en-GB"/>
        </w:rPr>
        <w:t>The Lancet</w:t>
      </w:r>
      <w:r w:rsidRPr="00D9272F">
        <w:rPr>
          <w:lang w:eastAsia="en-GB"/>
        </w:rPr>
        <w:t>, </w:t>
      </w:r>
      <w:r w:rsidRPr="00D9272F">
        <w:rPr>
          <w:i/>
          <w:iCs/>
          <w:lang w:eastAsia="en-GB"/>
        </w:rPr>
        <w:t>389</w:t>
      </w:r>
      <w:r w:rsidRPr="00D9272F">
        <w:rPr>
          <w:lang w:eastAsia="en-GB"/>
        </w:rPr>
        <w:t>(10077), 1464-1474.</w:t>
      </w:r>
    </w:p>
    <w:p w14:paraId="0C025C9C" w14:textId="77777777" w:rsidR="00CA4D45" w:rsidRPr="00D9272F" w:rsidRDefault="00CA4D45" w:rsidP="00CA4D45">
      <w:pPr>
        <w:spacing w:line="360" w:lineRule="auto"/>
        <w:rPr>
          <w:lang w:eastAsia="en-GB"/>
        </w:rPr>
      </w:pPr>
    </w:p>
    <w:p w14:paraId="51A779C7" w14:textId="77777777" w:rsidR="00CA4D45" w:rsidRPr="00D9272F" w:rsidRDefault="00CA4D45" w:rsidP="00CA4D45">
      <w:pPr>
        <w:spacing w:line="360" w:lineRule="auto"/>
        <w:rPr>
          <w:lang w:val="en-GB" w:eastAsia="en-GB"/>
        </w:rPr>
      </w:pPr>
      <w:r w:rsidRPr="00D9272F">
        <w:rPr>
          <w:lang w:eastAsia="en-GB"/>
        </w:rPr>
        <w:t>Woodall, J. (2016). A critical examination of the health promoting prison two decades on. </w:t>
      </w:r>
      <w:r w:rsidRPr="00D9272F">
        <w:rPr>
          <w:i/>
          <w:iCs/>
          <w:lang w:eastAsia="en-GB"/>
        </w:rPr>
        <w:t>Critical Public Health,</w:t>
      </w:r>
      <w:r w:rsidRPr="00D9272F">
        <w:rPr>
          <w:lang w:eastAsia="en-GB"/>
        </w:rPr>
        <w:t> 26(5), 615-621.</w:t>
      </w:r>
    </w:p>
    <w:p w14:paraId="20F7AE79" w14:textId="77777777" w:rsidR="00CA4D45" w:rsidRPr="00D9272F" w:rsidRDefault="00CA4D45" w:rsidP="00CA4D45">
      <w:pPr>
        <w:spacing w:line="360" w:lineRule="auto"/>
        <w:rPr>
          <w:lang w:val="en-GB" w:eastAsia="en-GB"/>
        </w:rPr>
      </w:pPr>
    </w:p>
    <w:p w14:paraId="58ED1001" w14:textId="3CF6758D" w:rsidR="00CA4D45" w:rsidRPr="00D9272F" w:rsidRDefault="00CA4D45" w:rsidP="00CA4D45">
      <w:pPr>
        <w:spacing w:line="360" w:lineRule="auto"/>
      </w:pPr>
      <w:r w:rsidRPr="00D9272F">
        <w:rPr>
          <w:lang w:val="en-GB" w:eastAsia="en-GB"/>
        </w:rPr>
        <w:t>Woods, D., Breslin, G., &amp; Hassan, D. (2017)</w:t>
      </w:r>
      <w:r w:rsidR="001715FD">
        <w:rPr>
          <w:lang w:val="en-GB" w:eastAsia="en-GB"/>
        </w:rPr>
        <w:t>.</w:t>
      </w:r>
      <w:r w:rsidRPr="00D9272F">
        <w:rPr>
          <w:lang w:val="en-GB" w:eastAsia="en-GB"/>
        </w:rPr>
        <w:t xml:space="preserve"> A systematic review of the impact of SBIs on the psychological well-being of people in prison. </w:t>
      </w:r>
      <w:r w:rsidRPr="00D9272F">
        <w:rPr>
          <w:i/>
          <w:iCs/>
          <w:lang w:val="en-GB" w:eastAsia="en-GB"/>
        </w:rPr>
        <w:t>Mental Health and Physic</w:t>
      </w:r>
      <w:r w:rsidR="00DA0BED">
        <w:rPr>
          <w:i/>
          <w:iCs/>
          <w:lang w:val="en-GB" w:eastAsia="en-GB"/>
        </w:rPr>
        <w:t>al</w:t>
      </w:r>
      <w:r w:rsidRPr="00D9272F">
        <w:rPr>
          <w:i/>
          <w:iCs/>
          <w:lang w:val="en-GB" w:eastAsia="en-GB"/>
        </w:rPr>
        <w:t xml:space="preserve"> Activity </w:t>
      </w:r>
      <w:r w:rsidRPr="00D9272F">
        <w:rPr>
          <w:i/>
          <w:lang w:val="en-GB" w:eastAsia="en-GB"/>
        </w:rPr>
        <w:t>12</w:t>
      </w:r>
      <w:r w:rsidRPr="00D9272F">
        <w:rPr>
          <w:lang w:val="en-GB" w:eastAsia="en-GB"/>
        </w:rPr>
        <w:t>, 50-61</w:t>
      </w:r>
      <w:r w:rsidR="00A958FF">
        <w:rPr>
          <w:lang w:val="en-GB" w:eastAsia="en-GB"/>
        </w:rPr>
        <w:t>.</w:t>
      </w:r>
    </w:p>
    <w:p w14:paraId="198BCB1C" w14:textId="77777777" w:rsidR="00CA4D45" w:rsidRPr="00D9272F" w:rsidRDefault="00CA4D45" w:rsidP="00CA4D45">
      <w:pPr>
        <w:spacing w:line="360" w:lineRule="auto"/>
      </w:pPr>
    </w:p>
    <w:p w14:paraId="22FBB55C" w14:textId="77777777" w:rsidR="001701FC" w:rsidRPr="00D9272F" w:rsidRDefault="00CA4D45" w:rsidP="008E42AB">
      <w:pPr>
        <w:spacing w:line="360" w:lineRule="auto"/>
      </w:pPr>
      <w:r w:rsidRPr="00D9272F">
        <w:t>Woods</w:t>
      </w:r>
      <w:r w:rsidR="00F1401C" w:rsidRPr="00D9272F">
        <w:t>, D</w:t>
      </w:r>
      <w:r w:rsidR="00F247CC" w:rsidRPr="00D9272F">
        <w:t>.</w:t>
      </w:r>
      <w:r w:rsidRPr="00D9272F">
        <w:t xml:space="preserve"> &amp; Breslin</w:t>
      </w:r>
      <w:r w:rsidR="00F247CC" w:rsidRPr="00D9272F">
        <w:t>, G.</w:t>
      </w:r>
      <w:r w:rsidRPr="00D9272F">
        <w:t xml:space="preserve"> </w:t>
      </w:r>
      <w:r w:rsidR="00ED1945">
        <w:t>(</w:t>
      </w:r>
      <w:r w:rsidRPr="00D9272F">
        <w:t>2019</w:t>
      </w:r>
      <w:bookmarkEnd w:id="12"/>
      <w:r w:rsidR="00ED1945">
        <w:t>)</w:t>
      </w:r>
      <w:r w:rsidR="001715FD">
        <w:t>.</w:t>
      </w:r>
      <w:r w:rsidR="00F247CC" w:rsidRPr="00D9272F">
        <w:t xml:space="preserve"> </w:t>
      </w:r>
      <w:r w:rsidR="00ED1945">
        <w:t>R</w:t>
      </w:r>
      <w:r w:rsidR="00F247CC" w:rsidRPr="00D9272F">
        <w:t xml:space="preserve">eflections on Implementing the Active Choices Rugby Programme to enhance mental health and wee-being </w:t>
      </w:r>
      <w:r w:rsidR="00805C1D" w:rsidRPr="00D9272F">
        <w:t>of young men in prison</w:t>
      </w:r>
      <w:r w:rsidR="003A7177">
        <w:t>. In</w:t>
      </w:r>
      <w:r w:rsidR="00467C3F" w:rsidRPr="00D9272F">
        <w:t xml:space="preserve"> </w:t>
      </w:r>
      <w:r w:rsidR="003A7177" w:rsidRPr="00D9272F">
        <w:t>G</w:t>
      </w:r>
      <w:r w:rsidR="00F77975">
        <w:t>. Breslin</w:t>
      </w:r>
      <w:r w:rsidR="003A7177" w:rsidRPr="00D9272F">
        <w:t xml:space="preserve"> &amp; </w:t>
      </w:r>
      <w:r w:rsidR="00F77975">
        <w:t xml:space="preserve">G. </w:t>
      </w:r>
      <w:r w:rsidR="003A7177" w:rsidRPr="00D9272F">
        <w:t>Leavey</w:t>
      </w:r>
      <w:r w:rsidR="00F77975">
        <w:t xml:space="preserve"> (Eds.)</w:t>
      </w:r>
      <w:r w:rsidR="00B506F2">
        <w:t xml:space="preserve">, </w:t>
      </w:r>
      <w:r w:rsidR="00B506F2" w:rsidRPr="00B506F2">
        <w:rPr>
          <w:i/>
        </w:rPr>
        <w:t>Mental Health and Well-Being Interventions in Sport</w:t>
      </w:r>
      <w:r w:rsidR="00B506F2" w:rsidRPr="00D9272F">
        <w:t xml:space="preserve"> </w:t>
      </w:r>
      <w:r w:rsidR="00467C3F" w:rsidRPr="00D9272F">
        <w:t>(</w:t>
      </w:r>
      <w:r w:rsidR="00B506F2">
        <w:t xml:space="preserve">pp. </w:t>
      </w:r>
      <w:r w:rsidR="00467C3F" w:rsidRPr="00D9272F">
        <w:t>128-143)</w:t>
      </w:r>
      <w:r w:rsidR="00805C1D" w:rsidRPr="00D9272F">
        <w:t>.</w:t>
      </w:r>
      <w:r w:rsidR="001715FD">
        <w:t xml:space="preserve"> </w:t>
      </w:r>
      <w:r w:rsidR="003F44E9">
        <w:t>Abingdon, Oxon</w:t>
      </w:r>
      <w:r w:rsidR="008D787B">
        <w:t xml:space="preserve">: </w:t>
      </w:r>
      <w:r w:rsidR="001406EC" w:rsidRPr="00D9272F">
        <w:t>Routledge</w:t>
      </w:r>
      <w:r w:rsidR="00A958FF">
        <w:t>.</w:t>
      </w:r>
    </w:p>
    <w:sectPr w:rsidR="001701FC" w:rsidRPr="00D9272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348F" w14:textId="77777777" w:rsidR="00D06FDC" w:rsidRDefault="00D06FDC" w:rsidP="006D7B84">
      <w:r>
        <w:separator/>
      </w:r>
    </w:p>
  </w:endnote>
  <w:endnote w:type="continuationSeparator" w:id="0">
    <w:p w14:paraId="100321C5" w14:textId="77777777" w:rsidR="00D06FDC" w:rsidRDefault="00D06FDC" w:rsidP="006D7B84">
      <w:r>
        <w:continuationSeparator/>
      </w:r>
    </w:p>
  </w:endnote>
  <w:endnote w:type="continuationNotice" w:id="1">
    <w:p w14:paraId="40620203" w14:textId="77777777" w:rsidR="00D06FDC" w:rsidRDefault="00D06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40F2" w14:textId="77777777" w:rsidR="00B414F2" w:rsidRDefault="00B414F2" w:rsidP="00D363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C337E" w14:textId="77777777" w:rsidR="00B414F2" w:rsidRDefault="00B414F2" w:rsidP="006D7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5C13" w14:textId="77777777" w:rsidR="00B414F2" w:rsidRDefault="00B414F2" w:rsidP="00D363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703">
      <w:rPr>
        <w:rStyle w:val="PageNumber"/>
        <w:noProof/>
      </w:rPr>
      <w:t>1</w:t>
    </w:r>
    <w:r>
      <w:rPr>
        <w:rStyle w:val="PageNumber"/>
      </w:rPr>
      <w:fldChar w:fldCharType="end"/>
    </w:r>
  </w:p>
  <w:p w14:paraId="40CC2602" w14:textId="77777777" w:rsidR="00B414F2" w:rsidRDefault="00B414F2" w:rsidP="006D7B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E9B9" w14:textId="77777777" w:rsidR="00D06FDC" w:rsidRDefault="00D06FDC" w:rsidP="006D7B84">
      <w:r>
        <w:separator/>
      </w:r>
    </w:p>
  </w:footnote>
  <w:footnote w:type="continuationSeparator" w:id="0">
    <w:p w14:paraId="4C691D59" w14:textId="77777777" w:rsidR="00D06FDC" w:rsidRDefault="00D06FDC" w:rsidP="006D7B84">
      <w:r>
        <w:continuationSeparator/>
      </w:r>
    </w:p>
  </w:footnote>
  <w:footnote w:type="continuationNotice" w:id="1">
    <w:p w14:paraId="109C7632" w14:textId="77777777" w:rsidR="00D06FDC" w:rsidRDefault="00D06F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A3C"/>
    <w:multiLevelType w:val="multilevel"/>
    <w:tmpl w:val="5FE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45CF2"/>
    <w:multiLevelType w:val="hybridMultilevel"/>
    <w:tmpl w:val="F5161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B74CE"/>
    <w:multiLevelType w:val="hybridMultilevel"/>
    <w:tmpl w:val="F5161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D4AF0"/>
    <w:multiLevelType w:val="hybridMultilevel"/>
    <w:tmpl w:val="4DE6EE64"/>
    <w:lvl w:ilvl="0" w:tplc="A49A1866">
      <w:start w:val="1"/>
      <w:numFmt w:val="decimal"/>
      <w:pStyle w:val="Heading7"/>
      <w:lvlText w:val="6.%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64C103D1"/>
    <w:multiLevelType w:val="multilevel"/>
    <w:tmpl w:val="4DA0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167DF"/>
    <w:multiLevelType w:val="hybridMultilevel"/>
    <w:tmpl w:val="F5161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C670B"/>
    <w:multiLevelType w:val="hybridMultilevel"/>
    <w:tmpl w:val="82D226A0"/>
    <w:lvl w:ilvl="0" w:tplc="FC607DCC">
      <w:start w:val="1"/>
      <w:numFmt w:val="decimal"/>
      <w:pStyle w:val="Heading1"/>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252CB8"/>
    <w:multiLevelType w:val="hybridMultilevel"/>
    <w:tmpl w:val="77708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B0"/>
    <w:rsid w:val="00000B0E"/>
    <w:rsid w:val="00001254"/>
    <w:rsid w:val="00001965"/>
    <w:rsid w:val="000024EE"/>
    <w:rsid w:val="0000448C"/>
    <w:rsid w:val="00010D15"/>
    <w:rsid w:val="00012350"/>
    <w:rsid w:val="00013F04"/>
    <w:rsid w:val="000155B2"/>
    <w:rsid w:val="00016543"/>
    <w:rsid w:val="00020E8E"/>
    <w:rsid w:val="00025179"/>
    <w:rsid w:val="000301C3"/>
    <w:rsid w:val="000303EC"/>
    <w:rsid w:val="0003428A"/>
    <w:rsid w:val="000345F4"/>
    <w:rsid w:val="0003560E"/>
    <w:rsid w:val="000361C9"/>
    <w:rsid w:val="00037537"/>
    <w:rsid w:val="00037AF4"/>
    <w:rsid w:val="00044B95"/>
    <w:rsid w:val="00046AE8"/>
    <w:rsid w:val="00047893"/>
    <w:rsid w:val="00047929"/>
    <w:rsid w:val="0005002B"/>
    <w:rsid w:val="00050D4F"/>
    <w:rsid w:val="000518D0"/>
    <w:rsid w:val="00052C57"/>
    <w:rsid w:val="00057013"/>
    <w:rsid w:val="000623C0"/>
    <w:rsid w:val="00062845"/>
    <w:rsid w:val="00064F5A"/>
    <w:rsid w:val="000676DC"/>
    <w:rsid w:val="00067969"/>
    <w:rsid w:val="00072914"/>
    <w:rsid w:val="00073FD0"/>
    <w:rsid w:val="0007701C"/>
    <w:rsid w:val="0008097A"/>
    <w:rsid w:val="00080AFD"/>
    <w:rsid w:val="00082225"/>
    <w:rsid w:val="00082532"/>
    <w:rsid w:val="00084CF1"/>
    <w:rsid w:val="000851EA"/>
    <w:rsid w:val="00091CEB"/>
    <w:rsid w:val="000943B5"/>
    <w:rsid w:val="000945D6"/>
    <w:rsid w:val="00094765"/>
    <w:rsid w:val="00094A8D"/>
    <w:rsid w:val="000A227A"/>
    <w:rsid w:val="000A29B9"/>
    <w:rsid w:val="000A480E"/>
    <w:rsid w:val="000A70B6"/>
    <w:rsid w:val="000B0E4C"/>
    <w:rsid w:val="000B45D1"/>
    <w:rsid w:val="000B6C4B"/>
    <w:rsid w:val="000B6DBC"/>
    <w:rsid w:val="000B7FE5"/>
    <w:rsid w:val="000C0211"/>
    <w:rsid w:val="000C2608"/>
    <w:rsid w:val="000C4A27"/>
    <w:rsid w:val="000C54B3"/>
    <w:rsid w:val="000D42AB"/>
    <w:rsid w:val="000D6698"/>
    <w:rsid w:val="000D7C10"/>
    <w:rsid w:val="000E12F2"/>
    <w:rsid w:val="000E5170"/>
    <w:rsid w:val="000E64E3"/>
    <w:rsid w:val="000E77CF"/>
    <w:rsid w:val="000F2674"/>
    <w:rsid w:val="000F2EC1"/>
    <w:rsid w:val="000F3CB1"/>
    <w:rsid w:val="000F4A9F"/>
    <w:rsid w:val="000F6D85"/>
    <w:rsid w:val="00110166"/>
    <w:rsid w:val="00116319"/>
    <w:rsid w:val="00121B86"/>
    <w:rsid w:val="001228E3"/>
    <w:rsid w:val="0013093C"/>
    <w:rsid w:val="00132F87"/>
    <w:rsid w:val="001340BF"/>
    <w:rsid w:val="001357E1"/>
    <w:rsid w:val="00136DAF"/>
    <w:rsid w:val="001401AB"/>
    <w:rsid w:val="001406EC"/>
    <w:rsid w:val="00141437"/>
    <w:rsid w:val="0014150E"/>
    <w:rsid w:val="00142DD3"/>
    <w:rsid w:val="00144593"/>
    <w:rsid w:val="001451FC"/>
    <w:rsid w:val="00147F83"/>
    <w:rsid w:val="00151978"/>
    <w:rsid w:val="00152477"/>
    <w:rsid w:val="001531C6"/>
    <w:rsid w:val="00157A8D"/>
    <w:rsid w:val="00160364"/>
    <w:rsid w:val="00163443"/>
    <w:rsid w:val="0016486B"/>
    <w:rsid w:val="001671C3"/>
    <w:rsid w:val="00167D14"/>
    <w:rsid w:val="001701FC"/>
    <w:rsid w:val="001715FD"/>
    <w:rsid w:val="00173ABB"/>
    <w:rsid w:val="00175AC7"/>
    <w:rsid w:val="00176B7A"/>
    <w:rsid w:val="00180F2F"/>
    <w:rsid w:val="001827E8"/>
    <w:rsid w:val="0018335D"/>
    <w:rsid w:val="00183DEA"/>
    <w:rsid w:val="00185D91"/>
    <w:rsid w:val="0018733B"/>
    <w:rsid w:val="0019081A"/>
    <w:rsid w:val="0019267B"/>
    <w:rsid w:val="00194AB8"/>
    <w:rsid w:val="00195B95"/>
    <w:rsid w:val="00195E4B"/>
    <w:rsid w:val="00196522"/>
    <w:rsid w:val="0019654D"/>
    <w:rsid w:val="001A033F"/>
    <w:rsid w:val="001A5CBC"/>
    <w:rsid w:val="001A6F51"/>
    <w:rsid w:val="001A7715"/>
    <w:rsid w:val="001A79D1"/>
    <w:rsid w:val="001A7F8E"/>
    <w:rsid w:val="001B3FFE"/>
    <w:rsid w:val="001B4F35"/>
    <w:rsid w:val="001B5F51"/>
    <w:rsid w:val="001B6EEE"/>
    <w:rsid w:val="001B7074"/>
    <w:rsid w:val="001B723B"/>
    <w:rsid w:val="001C2A6B"/>
    <w:rsid w:val="001C4766"/>
    <w:rsid w:val="001D173D"/>
    <w:rsid w:val="001D197C"/>
    <w:rsid w:val="001D4E2C"/>
    <w:rsid w:val="001E01A3"/>
    <w:rsid w:val="001E13B6"/>
    <w:rsid w:val="001E4AA3"/>
    <w:rsid w:val="001E6F40"/>
    <w:rsid w:val="001E7C1F"/>
    <w:rsid w:val="001F1D7E"/>
    <w:rsid w:val="001F2E3F"/>
    <w:rsid w:val="001F5BAD"/>
    <w:rsid w:val="00203402"/>
    <w:rsid w:val="002104BA"/>
    <w:rsid w:val="00210F6C"/>
    <w:rsid w:val="0021207F"/>
    <w:rsid w:val="00213562"/>
    <w:rsid w:val="00213A1D"/>
    <w:rsid w:val="00214285"/>
    <w:rsid w:val="00214D86"/>
    <w:rsid w:val="002153CA"/>
    <w:rsid w:val="00222948"/>
    <w:rsid w:val="002268D8"/>
    <w:rsid w:val="002316C1"/>
    <w:rsid w:val="00232E8B"/>
    <w:rsid w:val="00240C39"/>
    <w:rsid w:val="0024145E"/>
    <w:rsid w:val="00243A3A"/>
    <w:rsid w:val="002447A1"/>
    <w:rsid w:val="002471E6"/>
    <w:rsid w:val="00250CED"/>
    <w:rsid w:val="00251340"/>
    <w:rsid w:val="00252675"/>
    <w:rsid w:val="0025282C"/>
    <w:rsid w:val="00256026"/>
    <w:rsid w:val="00262852"/>
    <w:rsid w:val="00263460"/>
    <w:rsid w:val="002637D4"/>
    <w:rsid w:val="0026539A"/>
    <w:rsid w:val="002657E9"/>
    <w:rsid w:val="00271B8D"/>
    <w:rsid w:val="0027236A"/>
    <w:rsid w:val="00272C45"/>
    <w:rsid w:val="00274E31"/>
    <w:rsid w:val="002758D6"/>
    <w:rsid w:val="002769D6"/>
    <w:rsid w:val="00277131"/>
    <w:rsid w:val="00277F46"/>
    <w:rsid w:val="0028360B"/>
    <w:rsid w:val="00284C20"/>
    <w:rsid w:val="00285018"/>
    <w:rsid w:val="0028647F"/>
    <w:rsid w:val="00286D7B"/>
    <w:rsid w:val="00287994"/>
    <w:rsid w:val="00293638"/>
    <w:rsid w:val="00296720"/>
    <w:rsid w:val="002976B7"/>
    <w:rsid w:val="002A000F"/>
    <w:rsid w:val="002A008C"/>
    <w:rsid w:val="002A00DE"/>
    <w:rsid w:val="002A060F"/>
    <w:rsid w:val="002A2242"/>
    <w:rsid w:val="002A3E00"/>
    <w:rsid w:val="002A463E"/>
    <w:rsid w:val="002A4779"/>
    <w:rsid w:val="002A5D1F"/>
    <w:rsid w:val="002A6B39"/>
    <w:rsid w:val="002C0B4F"/>
    <w:rsid w:val="002C1027"/>
    <w:rsid w:val="002C2445"/>
    <w:rsid w:val="002C3C40"/>
    <w:rsid w:val="002C7A83"/>
    <w:rsid w:val="002D0D62"/>
    <w:rsid w:val="002D2ED3"/>
    <w:rsid w:val="002D5373"/>
    <w:rsid w:val="002E10F3"/>
    <w:rsid w:val="002E26DD"/>
    <w:rsid w:val="002E64F2"/>
    <w:rsid w:val="002F06C7"/>
    <w:rsid w:val="002F1820"/>
    <w:rsid w:val="002F3B93"/>
    <w:rsid w:val="002F534D"/>
    <w:rsid w:val="00302057"/>
    <w:rsid w:val="003025B3"/>
    <w:rsid w:val="00302D04"/>
    <w:rsid w:val="003035C6"/>
    <w:rsid w:val="00311302"/>
    <w:rsid w:val="003116B1"/>
    <w:rsid w:val="00312E89"/>
    <w:rsid w:val="00315002"/>
    <w:rsid w:val="00323329"/>
    <w:rsid w:val="00323A1A"/>
    <w:rsid w:val="0032449B"/>
    <w:rsid w:val="0032637A"/>
    <w:rsid w:val="00326475"/>
    <w:rsid w:val="00327023"/>
    <w:rsid w:val="00330F07"/>
    <w:rsid w:val="003318E2"/>
    <w:rsid w:val="00331C3C"/>
    <w:rsid w:val="00332FF0"/>
    <w:rsid w:val="00341EC7"/>
    <w:rsid w:val="00344A5B"/>
    <w:rsid w:val="003452AD"/>
    <w:rsid w:val="003470A9"/>
    <w:rsid w:val="003474C1"/>
    <w:rsid w:val="003536C9"/>
    <w:rsid w:val="00360D7C"/>
    <w:rsid w:val="003617B5"/>
    <w:rsid w:val="00363634"/>
    <w:rsid w:val="0036457A"/>
    <w:rsid w:val="00365F11"/>
    <w:rsid w:val="00372009"/>
    <w:rsid w:val="00376127"/>
    <w:rsid w:val="00381E64"/>
    <w:rsid w:val="00382110"/>
    <w:rsid w:val="003931CF"/>
    <w:rsid w:val="003959AB"/>
    <w:rsid w:val="003960E1"/>
    <w:rsid w:val="0039684B"/>
    <w:rsid w:val="00396B84"/>
    <w:rsid w:val="003971DF"/>
    <w:rsid w:val="00397545"/>
    <w:rsid w:val="003A5F16"/>
    <w:rsid w:val="003A7177"/>
    <w:rsid w:val="003B048E"/>
    <w:rsid w:val="003B1B34"/>
    <w:rsid w:val="003B1F03"/>
    <w:rsid w:val="003B3E15"/>
    <w:rsid w:val="003B3F37"/>
    <w:rsid w:val="003B46F9"/>
    <w:rsid w:val="003B5C29"/>
    <w:rsid w:val="003C0E7E"/>
    <w:rsid w:val="003C200B"/>
    <w:rsid w:val="003C358B"/>
    <w:rsid w:val="003C4149"/>
    <w:rsid w:val="003C47A3"/>
    <w:rsid w:val="003C4F50"/>
    <w:rsid w:val="003C6060"/>
    <w:rsid w:val="003D264B"/>
    <w:rsid w:val="003D3763"/>
    <w:rsid w:val="003D4474"/>
    <w:rsid w:val="003D488F"/>
    <w:rsid w:val="003D67CD"/>
    <w:rsid w:val="003D6CF9"/>
    <w:rsid w:val="003E6F75"/>
    <w:rsid w:val="003E74D9"/>
    <w:rsid w:val="003F109B"/>
    <w:rsid w:val="003F2071"/>
    <w:rsid w:val="003F3F9B"/>
    <w:rsid w:val="003F44E9"/>
    <w:rsid w:val="003F4FB0"/>
    <w:rsid w:val="00403829"/>
    <w:rsid w:val="00404A33"/>
    <w:rsid w:val="004064F5"/>
    <w:rsid w:val="0041289D"/>
    <w:rsid w:val="00413AD7"/>
    <w:rsid w:val="00414A51"/>
    <w:rsid w:val="00424A3F"/>
    <w:rsid w:val="00424B35"/>
    <w:rsid w:val="00431CCC"/>
    <w:rsid w:val="004324B0"/>
    <w:rsid w:val="00434560"/>
    <w:rsid w:val="00435F4B"/>
    <w:rsid w:val="0043630C"/>
    <w:rsid w:val="004373A0"/>
    <w:rsid w:val="004410B8"/>
    <w:rsid w:val="00443B5E"/>
    <w:rsid w:val="004454FE"/>
    <w:rsid w:val="004460FC"/>
    <w:rsid w:val="00447929"/>
    <w:rsid w:val="00447D64"/>
    <w:rsid w:val="00453AC1"/>
    <w:rsid w:val="004550E5"/>
    <w:rsid w:val="00455269"/>
    <w:rsid w:val="00456D32"/>
    <w:rsid w:val="00457379"/>
    <w:rsid w:val="004574B7"/>
    <w:rsid w:val="004644E0"/>
    <w:rsid w:val="004660A3"/>
    <w:rsid w:val="004661C9"/>
    <w:rsid w:val="00466663"/>
    <w:rsid w:val="00467C3F"/>
    <w:rsid w:val="00472084"/>
    <w:rsid w:val="004735DD"/>
    <w:rsid w:val="004877E0"/>
    <w:rsid w:val="00492147"/>
    <w:rsid w:val="00494921"/>
    <w:rsid w:val="004973F5"/>
    <w:rsid w:val="004A044D"/>
    <w:rsid w:val="004A07DC"/>
    <w:rsid w:val="004A1244"/>
    <w:rsid w:val="004A28C9"/>
    <w:rsid w:val="004A4134"/>
    <w:rsid w:val="004A528F"/>
    <w:rsid w:val="004A52D6"/>
    <w:rsid w:val="004B02BB"/>
    <w:rsid w:val="004B0FF6"/>
    <w:rsid w:val="004B21F5"/>
    <w:rsid w:val="004B51B6"/>
    <w:rsid w:val="004B6B21"/>
    <w:rsid w:val="004C15A5"/>
    <w:rsid w:val="004C3E5D"/>
    <w:rsid w:val="004D1C0B"/>
    <w:rsid w:val="004D2D08"/>
    <w:rsid w:val="004D31C4"/>
    <w:rsid w:val="004E13EC"/>
    <w:rsid w:val="004E1F3F"/>
    <w:rsid w:val="004E5FF9"/>
    <w:rsid w:val="004E7CD9"/>
    <w:rsid w:val="004F0833"/>
    <w:rsid w:val="004F2DC5"/>
    <w:rsid w:val="004F3923"/>
    <w:rsid w:val="004F4CF1"/>
    <w:rsid w:val="004F5207"/>
    <w:rsid w:val="005143A1"/>
    <w:rsid w:val="00514A8E"/>
    <w:rsid w:val="00514E3A"/>
    <w:rsid w:val="005172FE"/>
    <w:rsid w:val="005176C5"/>
    <w:rsid w:val="005263C6"/>
    <w:rsid w:val="00530B77"/>
    <w:rsid w:val="0053230B"/>
    <w:rsid w:val="005371D7"/>
    <w:rsid w:val="00540F8B"/>
    <w:rsid w:val="00544330"/>
    <w:rsid w:val="005449CA"/>
    <w:rsid w:val="005462B3"/>
    <w:rsid w:val="005533AB"/>
    <w:rsid w:val="0055617E"/>
    <w:rsid w:val="00571E67"/>
    <w:rsid w:val="00573AD9"/>
    <w:rsid w:val="00573BE5"/>
    <w:rsid w:val="00580DFA"/>
    <w:rsid w:val="0058270A"/>
    <w:rsid w:val="00585F01"/>
    <w:rsid w:val="0059122E"/>
    <w:rsid w:val="005917E1"/>
    <w:rsid w:val="005921E8"/>
    <w:rsid w:val="005926EE"/>
    <w:rsid w:val="00593871"/>
    <w:rsid w:val="00593F70"/>
    <w:rsid w:val="005941D5"/>
    <w:rsid w:val="00594FCB"/>
    <w:rsid w:val="005A000B"/>
    <w:rsid w:val="005A08E7"/>
    <w:rsid w:val="005A0C83"/>
    <w:rsid w:val="005A4EDE"/>
    <w:rsid w:val="005A5D3E"/>
    <w:rsid w:val="005A6D0E"/>
    <w:rsid w:val="005A7C63"/>
    <w:rsid w:val="005B1B2C"/>
    <w:rsid w:val="005B3BFC"/>
    <w:rsid w:val="005B439A"/>
    <w:rsid w:val="005B43AA"/>
    <w:rsid w:val="005B5AB5"/>
    <w:rsid w:val="005B761C"/>
    <w:rsid w:val="005B783A"/>
    <w:rsid w:val="005C1076"/>
    <w:rsid w:val="005C1311"/>
    <w:rsid w:val="005C4D40"/>
    <w:rsid w:val="005C4FEF"/>
    <w:rsid w:val="005D0306"/>
    <w:rsid w:val="005D225D"/>
    <w:rsid w:val="005D44CA"/>
    <w:rsid w:val="005D5448"/>
    <w:rsid w:val="005D5662"/>
    <w:rsid w:val="005D5787"/>
    <w:rsid w:val="005D6DDB"/>
    <w:rsid w:val="005E0764"/>
    <w:rsid w:val="005E2A4E"/>
    <w:rsid w:val="005E49B4"/>
    <w:rsid w:val="005E5734"/>
    <w:rsid w:val="005E5869"/>
    <w:rsid w:val="005E592C"/>
    <w:rsid w:val="005E6A23"/>
    <w:rsid w:val="005F1649"/>
    <w:rsid w:val="005F32D2"/>
    <w:rsid w:val="005F48A0"/>
    <w:rsid w:val="006002DF"/>
    <w:rsid w:val="00601251"/>
    <w:rsid w:val="00603466"/>
    <w:rsid w:val="00605FC8"/>
    <w:rsid w:val="00606135"/>
    <w:rsid w:val="00607557"/>
    <w:rsid w:val="0061022F"/>
    <w:rsid w:val="006163C4"/>
    <w:rsid w:val="00617A40"/>
    <w:rsid w:val="00623921"/>
    <w:rsid w:val="006272C4"/>
    <w:rsid w:val="00627DB2"/>
    <w:rsid w:val="00631211"/>
    <w:rsid w:val="0063292D"/>
    <w:rsid w:val="006350F6"/>
    <w:rsid w:val="00637668"/>
    <w:rsid w:val="00641779"/>
    <w:rsid w:val="00645FFA"/>
    <w:rsid w:val="006479C9"/>
    <w:rsid w:val="006513D6"/>
    <w:rsid w:val="00651888"/>
    <w:rsid w:val="00652A0C"/>
    <w:rsid w:val="00655E3B"/>
    <w:rsid w:val="00655F12"/>
    <w:rsid w:val="00657780"/>
    <w:rsid w:val="00657FEB"/>
    <w:rsid w:val="00661411"/>
    <w:rsid w:val="00661986"/>
    <w:rsid w:val="00664806"/>
    <w:rsid w:val="00664A6F"/>
    <w:rsid w:val="00664CAC"/>
    <w:rsid w:val="00673014"/>
    <w:rsid w:val="0067545A"/>
    <w:rsid w:val="0067660B"/>
    <w:rsid w:val="00676F82"/>
    <w:rsid w:val="00677002"/>
    <w:rsid w:val="00680954"/>
    <w:rsid w:val="006811BD"/>
    <w:rsid w:val="00684134"/>
    <w:rsid w:val="006856F4"/>
    <w:rsid w:val="0068688E"/>
    <w:rsid w:val="00693C8F"/>
    <w:rsid w:val="006A1057"/>
    <w:rsid w:val="006A2D55"/>
    <w:rsid w:val="006A41DB"/>
    <w:rsid w:val="006A5073"/>
    <w:rsid w:val="006B2CE8"/>
    <w:rsid w:val="006B3603"/>
    <w:rsid w:val="006B7F19"/>
    <w:rsid w:val="006C5EA6"/>
    <w:rsid w:val="006C63A0"/>
    <w:rsid w:val="006D0AA4"/>
    <w:rsid w:val="006D1BC0"/>
    <w:rsid w:val="006D420C"/>
    <w:rsid w:val="006D5355"/>
    <w:rsid w:val="006D7B84"/>
    <w:rsid w:val="006E383B"/>
    <w:rsid w:val="006E3911"/>
    <w:rsid w:val="006E3BCE"/>
    <w:rsid w:val="006E63A7"/>
    <w:rsid w:val="006F35C4"/>
    <w:rsid w:val="006F3C9B"/>
    <w:rsid w:val="006F5B03"/>
    <w:rsid w:val="006F7106"/>
    <w:rsid w:val="006F7AE7"/>
    <w:rsid w:val="0070392B"/>
    <w:rsid w:val="00704567"/>
    <w:rsid w:val="00706315"/>
    <w:rsid w:val="00706318"/>
    <w:rsid w:val="00707FBC"/>
    <w:rsid w:val="00710592"/>
    <w:rsid w:val="00712F47"/>
    <w:rsid w:val="007238B0"/>
    <w:rsid w:val="007239A2"/>
    <w:rsid w:val="00723EFA"/>
    <w:rsid w:val="0072791B"/>
    <w:rsid w:val="0073227D"/>
    <w:rsid w:val="0073270F"/>
    <w:rsid w:val="00732FDF"/>
    <w:rsid w:val="0073534A"/>
    <w:rsid w:val="0073623B"/>
    <w:rsid w:val="00740983"/>
    <w:rsid w:val="00742AF4"/>
    <w:rsid w:val="00750467"/>
    <w:rsid w:val="00750E98"/>
    <w:rsid w:val="00753324"/>
    <w:rsid w:val="00753B0A"/>
    <w:rsid w:val="00756F45"/>
    <w:rsid w:val="00762046"/>
    <w:rsid w:val="00762CB6"/>
    <w:rsid w:val="00766A9C"/>
    <w:rsid w:val="00772705"/>
    <w:rsid w:val="00775883"/>
    <w:rsid w:val="007758B5"/>
    <w:rsid w:val="00777335"/>
    <w:rsid w:val="0078289A"/>
    <w:rsid w:val="00784B86"/>
    <w:rsid w:val="007878B2"/>
    <w:rsid w:val="0078792A"/>
    <w:rsid w:val="00787E2F"/>
    <w:rsid w:val="00790270"/>
    <w:rsid w:val="00796E0A"/>
    <w:rsid w:val="00797AE4"/>
    <w:rsid w:val="007A0590"/>
    <w:rsid w:val="007A1AA0"/>
    <w:rsid w:val="007A2949"/>
    <w:rsid w:val="007A2C6E"/>
    <w:rsid w:val="007C0FAF"/>
    <w:rsid w:val="007C2BC1"/>
    <w:rsid w:val="007C3BE2"/>
    <w:rsid w:val="007C54E8"/>
    <w:rsid w:val="007C6763"/>
    <w:rsid w:val="007C6C8B"/>
    <w:rsid w:val="007D0F4C"/>
    <w:rsid w:val="007D406A"/>
    <w:rsid w:val="007D58EE"/>
    <w:rsid w:val="007D600F"/>
    <w:rsid w:val="007D6E81"/>
    <w:rsid w:val="007D75AF"/>
    <w:rsid w:val="007E7ADB"/>
    <w:rsid w:val="007F121B"/>
    <w:rsid w:val="007F30C2"/>
    <w:rsid w:val="007F47FA"/>
    <w:rsid w:val="007F7436"/>
    <w:rsid w:val="00802A35"/>
    <w:rsid w:val="00804EFF"/>
    <w:rsid w:val="00805C1D"/>
    <w:rsid w:val="00811587"/>
    <w:rsid w:val="0081357F"/>
    <w:rsid w:val="00815457"/>
    <w:rsid w:val="008213B8"/>
    <w:rsid w:val="008233C2"/>
    <w:rsid w:val="008240AC"/>
    <w:rsid w:val="0082486E"/>
    <w:rsid w:val="00830A4A"/>
    <w:rsid w:val="00830E5D"/>
    <w:rsid w:val="00832E9E"/>
    <w:rsid w:val="00833C4D"/>
    <w:rsid w:val="0084271B"/>
    <w:rsid w:val="0084272F"/>
    <w:rsid w:val="0084350A"/>
    <w:rsid w:val="00844C76"/>
    <w:rsid w:val="00851254"/>
    <w:rsid w:val="008520E9"/>
    <w:rsid w:val="00853452"/>
    <w:rsid w:val="00853465"/>
    <w:rsid w:val="0085543F"/>
    <w:rsid w:val="0085597A"/>
    <w:rsid w:val="00856F7A"/>
    <w:rsid w:val="00857601"/>
    <w:rsid w:val="0086127B"/>
    <w:rsid w:val="00861FC3"/>
    <w:rsid w:val="00863EDD"/>
    <w:rsid w:val="00865B64"/>
    <w:rsid w:val="00870D3A"/>
    <w:rsid w:val="00872323"/>
    <w:rsid w:val="00872A0A"/>
    <w:rsid w:val="00872A40"/>
    <w:rsid w:val="00874376"/>
    <w:rsid w:val="00874C6A"/>
    <w:rsid w:val="00875BC6"/>
    <w:rsid w:val="0087771F"/>
    <w:rsid w:val="00877B64"/>
    <w:rsid w:val="008810D6"/>
    <w:rsid w:val="00881DC1"/>
    <w:rsid w:val="00883A77"/>
    <w:rsid w:val="00884766"/>
    <w:rsid w:val="008901DF"/>
    <w:rsid w:val="00891424"/>
    <w:rsid w:val="0089190A"/>
    <w:rsid w:val="008972FE"/>
    <w:rsid w:val="008A02EC"/>
    <w:rsid w:val="008A14C5"/>
    <w:rsid w:val="008A5B83"/>
    <w:rsid w:val="008A5DFA"/>
    <w:rsid w:val="008A6427"/>
    <w:rsid w:val="008B024C"/>
    <w:rsid w:val="008B57A9"/>
    <w:rsid w:val="008B73BE"/>
    <w:rsid w:val="008C0625"/>
    <w:rsid w:val="008C0F17"/>
    <w:rsid w:val="008C2C24"/>
    <w:rsid w:val="008C400F"/>
    <w:rsid w:val="008C4834"/>
    <w:rsid w:val="008C53D5"/>
    <w:rsid w:val="008C5B60"/>
    <w:rsid w:val="008D380C"/>
    <w:rsid w:val="008D5812"/>
    <w:rsid w:val="008D787B"/>
    <w:rsid w:val="008D7E92"/>
    <w:rsid w:val="008E1F87"/>
    <w:rsid w:val="008E318A"/>
    <w:rsid w:val="008E3B26"/>
    <w:rsid w:val="008E42AB"/>
    <w:rsid w:val="008E59FB"/>
    <w:rsid w:val="008E7776"/>
    <w:rsid w:val="008F159D"/>
    <w:rsid w:val="008F5168"/>
    <w:rsid w:val="008F6BD1"/>
    <w:rsid w:val="009004F6"/>
    <w:rsid w:val="00904C2F"/>
    <w:rsid w:val="00910146"/>
    <w:rsid w:val="00911688"/>
    <w:rsid w:val="009139E7"/>
    <w:rsid w:val="00916CBD"/>
    <w:rsid w:val="00916E45"/>
    <w:rsid w:val="0091782C"/>
    <w:rsid w:val="00917BD6"/>
    <w:rsid w:val="00917EA6"/>
    <w:rsid w:val="009232B3"/>
    <w:rsid w:val="00924294"/>
    <w:rsid w:val="00926A77"/>
    <w:rsid w:val="00927A2E"/>
    <w:rsid w:val="0093091F"/>
    <w:rsid w:val="009327B2"/>
    <w:rsid w:val="009348E7"/>
    <w:rsid w:val="00934A11"/>
    <w:rsid w:val="00940A7F"/>
    <w:rsid w:val="00941306"/>
    <w:rsid w:val="00942CF4"/>
    <w:rsid w:val="00943E27"/>
    <w:rsid w:val="00944D0E"/>
    <w:rsid w:val="00945FF6"/>
    <w:rsid w:val="00946338"/>
    <w:rsid w:val="00947613"/>
    <w:rsid w:val="009563A5"/>
    <w:rsid w:val="00957D7C"/>
    <w:rsid w:val="009616B7"/>
    <w:rsid w:val="009841DE"/>
    <w:rsid w:val="00985050"/>
    <w:rsid w:val="009868C9"/>
    <w:rsid w:val="009877CA"/>
    <w:rsid w:val="00991828"/>
    <w:rsid w:val="00992B31"/>
    <w:rsid w:val="009939B7"/>
    <w:rsid w:val="009946D3"/>
    <w:rsid w:val="009A4489"/>
    <w:rsid w:val="009A663E"/>
    <w:rsid w:val="009B06D9"/>
    <w:rsid w:val="009B1357"/>
    <w:rsid w:val="009B41BA"/>
    <w:rsid w:val="009B775C"/>
    <w:rsid w:val="009B793A"/>
    <w:rsid w:val="009B7FA2"/>
    <w:rsid w:val="009C0348"/>
    <w:rsid w:val="009C3446"/>
    <w:rsid w:val="009C3AF9"/>
    <w:rsid w:val="009C4829"/>
    <w:rsid w:val="009C5835"/>
    <w:rsid w:val="009C5FE9"/>
    <w:rsid w:val="009C6E86"/>
    <w:rsid w:val="009D109A"/>
    <w:rsid w:val="009D21A4"/>
    <w:rsid w:val="009D404B"/>
    <w:rsid w:val="009E338D"/>
    <w:rsid w:val="009E349C"/>
    <w:rsid w:val="009E4075"/>
    <w:rsid w:val="009E4D8A"/>
    <w:rsid w:val="009E61C5"/>
    <w:rsid w:val="009F0A76"/>
    <w:rsid w:val="009F17CD"/>
    <w:rsid w:val="009F1DE3"/>
    <w:rsid w:val="009F2543"/>
    <w:rsid w:val="009F677B"/>
    <w:rsid w:val="00A00E25"/>
    <w:rsid w:val="00A0187B"/>
    <w:rsid w:val="00A03A95"/>
    <w:rsid w:val="00A06A7B"/>
    <w:rsid w:val="00A1141D"/>
    <w:rsid w:val="00A1196F"/>
    <w:rsid w:val="00A12253"/>
    <w:rsid w:val="00A12DEA"/>
    <w:rsid w:val="00A131AF"/>
    <w:rsid w:val="00A13ACB"/>
    <w:rsid w:val="00A149D1"/>
    <w:rsid w:val="00A173FE"/>
    <w:rsid w:val="00A222C4"/>
    <w:rsid w:val="00A4037C"/>
    <w:rsid w:val="00A40478"/>
    <w:rsid w:val="00A41361"/>
    <w:rsid w:val="00A431C7"/>
    <w:rsid w:val="00A44DAB"/>
    <w:rsid w:val="00A47295"/>
    <w:rsid w:val="00A52516"/>
    <w:rsid w:val="00A5315A"/>
    <w:rsid w:val="00A55B4C"/>
    <w:rsid w:val="00A55BBA"/>
    <w:rsid w:val="00A578AB"/>
    <w:rsid w:val="00A62F77"/>
    <w:rsid w:val="00A65919"/>
    <w:rsid w:val="00A7124E"/>
    <w:rsid w:val="00A7344C"/>
    <w:rsid w:val="00A74EFC"/>
    <w:rsid w:val="00A80E0B"/>
    <w:rsid w:val="00A8244A"/>
    <w:rsid w:val="00A82C07"/>
    <w:rsid w:val="00A86993"/>
    <w:rsid w:val="00A9082F"/>
    <w:rsid w:val="00A92F84"/>
    <w:rsid w:val="00A958FF"/>
    <w:rsid w:val="00A959F8"/>
    <w:rsid w:val="00A97BA9"/>
    <w:rsid w:val="00AA23BE"/>
    <w:rsid w:val="00AA2614"/>
    <w:rsid w:val="00AA6BC1"/>
    <w:rsid w:val="00AA6C32"/>
    <w:rsid w:val="00AB1703"/>
    <w:rsid w:val="00AB4589"/>
    <w:rsid w:val="00AB6471"/>
    <w:rsid w:val="00AC0153"/>
    <w:rsid w:val="00AC1C7B"/>
    <w:rsid w:val="00AC5AB6"/>
    <w:rsid w:val="00AC6108"/>
    <w:rsid w:val="00AD15B1"/>
    <w:rsid w:val="00AD30DC"/>
    <w:rsid w:val="00AE11AD"/>
    <w:rsid w:val="00AE2AAA"/>
    <w:rsid w:val="00AE5288"/>
    <w:rsid w:val="00AE6995"/>
    <w:rsid w:val="00AE7CDA"/>
    <w:rsid w:val="00AF0AD7"/>
    <w:rsid w:val="00AF2513"/>
    <w:rsid w:val="00AF4374"/>
    <w:rsid w:val="00AF5FF6"/>
    <w:rsid w:val="00B022A4"/>
    <w:rsid w:val="00B0371A"/>
    <w:rsid w:val="00B05393"/>
    <w:rsid w:val="00B118DD"/>
    <w:rsid w:val="00B13F94"/>
    <w:rsid w:val="00B14888"/>
    <w:rsid w:val="00B15BA9"/>
    <w:rsid w:val="00B16154"/>
    <w:rsid w:val="00B176DF"/>
    <w:rsid w:val="00B20B8C"/>
    <w:rsid w:val="00B21F4F"/>
    <w:rsid w:val="00B223A0"/>
    <w:rsid w:val="00B2291D"/>
    <w:rsid w:val="00B25F32"/>
    <w:rsid w:val="00B376C0"/>
    <w:rsid w:val="00B414F2"/>
    <w:rsid w:val="00B43656"/>
    <w:rsid w:val="00B44A60"/>
    <w:rsid w:val="00B44BCC"/>
    <w:rsid w:val="00B506F2"/>
    <w:rsid w:val="00B50DF1"/>
    <w:rsid w:val="00B5160F"/>
    <w:rsid w:val="00B5481D"/>
    <w:rsid w:val="00B569F9"/>
    <w:rsid w:val="00B63CFC"/>
    <w:rsid w:val="00B67575"/>
    <w:rsid w:val="00B67A0B"/>
    <w:rsid w:val="00B67DBE"/>
    <w:rsid w:val="00B70F65"/>
    <w:rsid w:val="00B71AA3"/>
    <w:rsid w:val="00B72815"/>
    <w:rsid w:val="00B76F79"/>
    <w:rsid w:val="00B778A1"/>
    <w:rsid w:val="00B80182"/>
    <w:rsid w:val="00B84113"/>
    <w:rsid w:val="00B85C02"/>
    <w:rsid w:val="00B87509"/>
    <w:rsid w:val="00B8756E"/>
    <w:rsid w:val="00B90E5F"/>
    <w:rsid w:val="00B96C0E"/>
    <w:rsid w:val="00BA770F"/>
    <w:rsid w:val="00BB263B"/>
    <w:rsid w:val="00BB30AE"/>
    <w:rsid w:val="00BB65D0"/>
    <w:rsid w:val="00BB7A45"/>
    <w:rsid w:val="00BC0684"/>
    <w:rsid w:val="00BC09E3"/>
    <w:rsid w:val="00BC1178"/>
    <w:rsid w:val="00BC12F2"/>
    <w:rsid w:val="00BC140A"/>
    <w:rsid w:val="00BC1A9E"/>
    <w:rsid w:val="00BC50CE"/>
    <w:rsid w:val="00BC526D"/>
    <w:rsid w:val="00BC5D83"/>
    <w:rsid w:val="00BC5EDA"/>
    <w:rsid w:val="00BD1007"/>
    <w:rsid w:val="00BD237C"/>
    <w:rsid w:val="00BD2B04"/>
    <w:rsid w:val="00BD4700"/>
    <w:rsid w:val="00BD531F"/>
    <w:rsid w:val="00BD6B89"/>
    <w:rsid w:val="00BE0564"/>
    <w:rsid w:val="00BE27B1"/>
    <w:rsid w:val="00BE452C"/>
    <w:rsid w:val="00BE64D0"/>
    <w:rsid w:val="00BE7D6A"/>
    <w:rsid w:val="00BF0540"/>
    <w:rsid w:val="00BF0A9D"/>
    <w:rsid w:val="00BF143D"/>
    <w:rsid w:val="00BF3A18"/>
    <w:rsid w:val="00BF3AC5"/>
    <w:rsid w:val="00BF3AEB"/>
    <w:rsid w:val="00BF414A"/>
    <w:rsid w:val="00BF57A0"/>
    <w:rsid w:val="00BF615C"/>
    <w:rsid w:val="00BF7802"/>
    <w:rsid w:val="00C03F70"/>
    <w:rsid w:val="00C12283"/>
    <w:rsid w:val="00C12B53"/>
    <w:rsid w:val="00C1337E"/>
    <w:rsid w:val="00C152E7"/>
    <w:rsid w:val="00C21C4F"/>
    <w:rsid w:val="00C22B30"/>
    <w:rsid w:val="00C244A5"/>
    <w:rsid w:val="00C24E06"/>
    <w:rsid w:val="00C26728"/>
    <w:rsid w:val="00C30FA9"/>
    <w:rsid w:val="00C31400"/>
    <w:rsid w:val="00C32673"/>
    <w:rsid w:val="00C33DA1"/>
    <w:rsid w:val="00C33DBF"/>
    <w:rsid w:val="00C34ADA"/>
    <w:rsid w:val="00C351C3"/>
    <w:rsid w:val="00C36CE5"/>
    <w:rsid w:val="00C370E0"/>
    <w:rsid w:val="00C37640"/>
    <w:rsid w:val="00C403DB"/>
    <w:rsid w:val="00C410B7"/>
    <w:rsid w:val="00C44B36"/>
    <w:rsid w:val="00C451C6"/>
    <w:rsid w:val="00C471BC"/>
    <w:rsid w:val="00C521AA"/>
    <w:rsid w:val="00C5357D"/>
    <w:rsid w:val="00C54FDF"/>
    <w:rsid w:val="00C622AD"/>
    <w:rsid w:val="00C64ADD"/>
    <w:rsid w:val="00C659F2"/>
    <w:rsid w:val="00C65AA8"/>
    <w:rsid w:val="00C66C39"/>
    <w:rsid w:val="00C67626"/>
    <w:rsid w:val="00C718D8"/>
    <w:rsid w:val="00C7399B"/>
    <w:rsid w:val="00C739A0"/>
    <w:rsid w:val="00C7426C"/>
    <w:rsid w:val="00C759BA"/>
    <w:rsid w:val="00C7622E"/>
    <w:rsid w:val="00C76F36"/>
    <w:rsid w:val="00C77587"/>
    <w:rsid w:val="00C81311"/>
    <w:rsid w:val="00C8262B"/>
    <w:rsid w:val="00C87EF6"/>
    <w:rsid w:val="00C91AEF"/>
    <w:rsid w:val="00C936D4"/>
    <w:rsid w:val="00CA38C0"/>
    <w:rsid w:val="00CA3BC7"/>
    <w:rsid w:val="00CA3E84"/>
    <w:rsid w:val="00CA44D1"/>
    <w:rsid w:val="00CA4D45"/>
    <w:rsid w:val="00CA5527"/>
    <w:rsid w:val="00CA74E5"/>
    <w:rsid w:val="00CA787F"/>
    <w:rsid w:val="00CA7FD4"/>
    <w:rsid w:val="00CA7FF5"/>
    <w:rsid w:val="00CB16B8"/>
    <w:rsid w:val="00CB310B"/>
    <w:rsid w:val="00CB318C"/>
    <w:rsid w:val="00CB363E"/>
    <w:rsid w:val="00CB5213"/>
    <w:rsid w:val="00CC14C0"/>
    <w:rsid w:val="00CC19C6"/>
    <w:rsid w:val="00CC44EE"/>
    <w:rsid w:val="00CC5A00"/>
    <w:rsid w:val="00CD1DAA"/>
    <w:rsid w:val="00CD2A8D"/>
    <w:rsid w:val="00CE020F"/>
    <w:rsid w:val="00CE03B2"/>
    <w:rsid w:val="00CE15F5"/>
    <w:rsid w:val="00CE2C78"/>
    <w:rsid w:val="00CE3226"/>
    <w:rsid w:val="00CE4830"/>
    <w:rsid w:val="00CE7C3F"/>
    <w:rsid w:val="00CF2E2A"/>
    <w:rsid w:val="00CF5776"/>
    <w:rsid w:val="00CF5D34"/>
    <w:rsid w:val="00CF5F16"/>
    <w:rsid w:val="00CF6787"/>
    <w:rsid w:val="00D0094E"/>
    <w:rsid w:val="00D00A26"/>
    <w:rsid w:val="00D0398A"/>
    <w:rsid w:val="00D06FD1"/>
    <w:rsid w:val="00D06FDC"/>
    <w:rsid w:val="00D11964"/>
    <w:rsid w:val="00D1198D"/>
    <w:rsid w:val="00D1233C"/>
    <w:rsid w:val="00D1261D"/>
    <w:rsid w:val="00D145B8"/>
    <w:rsid w:val="00D15AA0"/>
    <w:rsid w:val="00D20F6F"/>
    <w:rsid w:val="00D21993"/>
    <w:rsid w:val="00D250DA"/>
    <w:rsid w:val="00D31D74"/>
    <w:rsid w:val="00D3453B"/>
    <w:rsid w:val="00D363B0"/>
    <w:rsid w:val="00D371A8"/>
    <w:rsid w:val="00D40D97"/>
    <w:rsid w:val="00D4245C"/>
    <w:rsid w:val="00D43940"/>
    <w:rsid w:val="00D51AA8"/>
    <w:rsid w:val="00D614CB"/>
    <w:rsid w:val="00D623DA"/>
    <w:rsid w:val="00D706EE"/>
    <w:rsid w:val="00D7133D"/>
    <w:rsid w:val="00D721C2"/>
    <w:rsid w:val="00D75813"/>
    <w:rsid w:val="00D801A4"/>
    <w:rsid w:val="00D8403E"/>
    <w:rsid w:val="00D878E2"/>
    <w:rsid w:val="00D91D29"/>
    <w:rsid w:val="00D9272F"/>
    <w:rsid w:val="00D92F27"/>
    <w:rsid w:val="00D933E5"/>
    <w:rsid w:val="00D93D98"/>
    <w:rsid w:val="00D9740A"/>
    <w:rsid w:val="00DA0BED"/>
    <w:rsid w:val="00DA4DB9"/>
    <w:rsid w:val="00DB3755"/>
    <w:rsid w:val="00DB5F2C"/>
    <w:rsid w:val="00DB7E7F"/>
    <w:rsid w:val="00DC0D93"/>
    <w:rsid w:val="00DC10C1"/>
    <w:rsid w:val="00DC4639"/>
    <w:rsid w:val="00DC4696"/>
    <w:rsid w:val="00DC6875"/>
    <w:rsid w:val="00DC6B67"/>
    <w:rsid w:val="00DD11CB"/>
    <w:rsid w:val="00DD425A"/>
    <w:rsid w:val="00DD4EA0"/>
    <w:rsid w:val="00DD5562"/>
    <w:rsid w:val="00DD71FB"/>
    <w:rsid w:val="00DE0F83"/>
    <w:rsid w:val="00DE2723"/>
    <w:rsid w:val="00DE2DB0"/>
    <w:rsid w:val="00DE4124"/>
    <w:rsid w:val="00DE511F"/>
    <w:rsid w:val="00DE51F2"/>
    <w:rsid w:val="00DE6DA3"/>
    <w:rsid w:val="00DE73A7"/>
    <w:rsid w:val="00DF2905"/>
    <w:rsid w:val="00DF34BF"/>
    <w:rsid w:val="00DF4717"/>
    <w:rsid w:val="00DF62B0"/>
    <w:rsid w:val="00DF6667"/>
    <w:rsid w:val="00E01749"/>
    <w:rsid w:val="00E0214E"/>
    <w:rsid w:val="00E03D14"/>
    <w:rsid w:val="00E058EB"/>
    <w:rsid w:val="00E119CC"/>
    <w:rsid w:val="00E1454B"/>
    <w:rsid w:val="00E149B8"/>
    <w:rsid w:val="00E20509"/>
    <w:rsid w:val="00E22713"/>
    <w:rsid w:val="00E22A74"/>
    <w:rsid w:val="00E259B6"/>
    <w:rsid w:val="00E2705C"/>
    <w:rsid w:val="00E31362"/>
    <w:rsid w:val="00E33AD5"/>
    <w:rsid w:val="00E40A84"/>
    <w:rsid w:val="00E414FA"/>
    <w:rsid w:val="00E441F5"/>
    <w:rsid w:val="00E460D6"/>
    <w:rsid w:val="00E47E16"/>
    <w:rsid w:val="00E522EF"/>
    <w:rsid w:val="00E52908"/>
    <w:rsid w:val="00E540F0"/>
    <w:rsid w:val="00E62C30"/>
    <w:rsid w:val="00E63583"/>
    <w:rsid w:val="00E6407B"/>
    <w:rsid w:val="00E6465D"/>
    <w:rsid w:val="00E73A7B"/>
    <w:rsid w:val="00E74262"/>
    <w:rsid w:val="00E76A22"/>
    <w:rsid w:val="00E77A80"/>
    <w:rsid w:val="00E823CB"/>
    <w:rsid w:val="00E84284"/>
    <w:rsid w:val="00E912A4"/>
    <w:rsid w:val="00E91BD3"/>
    <w:rsid w:val="00E92BE0"/>
    <w:rsid w:val="00E93B6F"/>
    <w:rsid w:val="00EA1EFA"/>
    <w:rsid w:val="00EA2E85"/>
    <w:rsid w:val="00EB29A6"/>
    <w:rsid w:val="00EB3F26"/>
    <w:rsid w:val="00EB42EB"/>
    <w:rsid w:val="00EB484D"/>
    <w:rsid w:val="00EB4FA3"/>
    <w:rsid w:val="00EC14EB"/>
    <w:rsid w:val="00EC5B34"/>
    <w:rsid w:val="00EC6214"/>
    <w:rsid w:val="00ED1945"/>
    <w:rsid w:val="00EE1F73"/>
    <w:rsid w:val="00EE3855"/>
    <w:rsid w:val="00EF0190"/>
    <w:rsid w:val="00EF17BB"/>
    <w:rsid w:val="00EF307D"/>
    <w:rsid w:val="00EF3622"/>
    <w:rsid w:val="00EF532A"/>
    <w:rsid w:val="00EF5A32"/>
    <w:rsid w:val="00EF6D01"/>
    <w:rsid w:val="00EF72B1"/>
    <w:rsid w:val="00F02FB9"/>
    <w:rsid w:val="00F03EBC"/>
    <w:rsid w:val="00F05E13"/>
    <w:rsid w:val="00F06CE2"/>
    <w:rsid w:val="00F119B4"/>
    <w:rsid w:val="00F122A0"/>
    <w:rsid w:val="00F1401C"/>
    <w:rsid w:val="00F15DF6"/>
    <w:rsid w:val="00F164C9"/>
    <w:rsid w:val="00F230F3"/>
    <w:rsid w:val="00F23BC6"/>
    <w:rsid w:val="00F247CC"/>
    <w:rsid w:val="00F25F96"/>
    <w:rsid w:val="00F26CF8"/>
    <w:rsid w:val="00F30A1E"/>
    <w:rsid w:val="00F31DBB"/>
    <w:rsid w:val="00F33432"/>
    <w:rsid w:val="00F34438"/>
    <w:rsid w:val="00F353B5"/>
    <w:rsid w:val="00F4570C"/>
    <w:rsid w:val="00F47D8E"/>
    <w:rsid w:val="00F50F22"/>
    <w:rsid w:val="00F527FD"/>
    <w:rsid w:val="00F529B2"/>
    <w:rsid w:val="00F56A45"/>
    <w:rsid w:val="00F64F94"/>
    <w:rsid w:val="00F65C12"/>
    <w:rsid w:val="00F676BB"/>
    <w:rsid w:val="00F70925"/>
    <w:rsid w:val="00F7507C"/>
    <w:rsid w:val="00F76755"/>
    <w:rsid w:val="00F76EA8"/>
    <w:rsid w:val="00F76EF9"/>
    <w:rsid w:val="00F77895"/>
    <w:rsid w:val="00F77975"/>
    <w:rsid w:val="00F81AB1"/>
    <w:rsid w:val="00F82221"/>
    <w:rsid w:val="00F82F2D"/>
    <w:rsid w:val="00F832B2"/>
    <w:rsid w:val="00F83423"/>
    <w:rsid w:val="00F87929"/>
    <w:rsid w:val="00F90528"/>
    <w:rsid w:val="00F924A3"/>
    <w:rsid w:val="00F92D8C"/>
    <w:rsid w:val="00F937FE"/>
    <w:rsid w:val="00F93C36"/>
    <w:rsid w:val="00F96D2E"/>
    <w:rsid w:val="00F974BA"/>
    <w:rsid w:val="00F97B6F"/>
    <w:rsid w:val="00FA1312"/>
    <w:rsid w:val="00FB1E56"/>
    <w:rsid w:val="00FC7634"/>
    <w:rsid w:val="00FC7748"/>
    <w:rsid w:val="00FD6262"/>
    <w:rsid w:val="00FD73F7"/>
    <w:rsid w:val="00FD7455"/>
    <w:rsid w:val="00FD7598"/>
    <w:rsid w:val="00FE1CB9"/>
    <w:rsid w:val="00FE4942"/>
    <w:rsid w:val="00FE5B59"/>
    <w:rsid w:val="00FF0F51"/>
    <w:rsid w:val="00FF0F78"/>
    <w:rsid w:val="00FF28DB"/>
    <w:rsid w:val="00FF3488"/>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8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B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E2DB0"/>
    <w:pPr>
      <w:keepNext/>
      <w:keepLines/>
      <w:numPr>
        <w:numId w:val="6"/>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DD42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DE2DB0"/>
    <w:pPr>
      <w:keepNext/>
      <w:keepLines/>
      <w:numPr>
        <w:numId w:val="5"/>
      </w:numPr>
      <w:spacing w:before="400" w:after="360"/>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B0"/>
    <w:rPr>
      <w:rFonts w:ascii="Times New Roman" w:eastAsiaTheme="majorEastAsia" w:hAnsi="Times New Roman" w:cstheme="majorBidi"/>
      <w:b/>
      <w:color w:val="000000" w:themeColor="text1"/>
      <w:sz w:val="28"/>
      <w:szCs w:val="32"/>
      <w:lang w:val="en-US"/>
    </w:rPr>
  </w:style>
  <w:style w:type="character" w:customStyle="1" w:styleId="Heading7Char">
    <w:name w:val="Heading 7 Char"/>
    <w:basedOn w:val="DefaultParagraphFont"/>
    <w:link w:val="Heading7"/>
    <w:uiPriority w:val="9"/>
    <w:rsid w:val="00DE2DB0"/>
    <w:rPr>
      <w:rFonts w:ascii="Times New Roman" w:eastAsiaTheme="majorEastAsia" w:hAnsi="Times New Roman" w:cstheme="majorBidi"/>
      <w:b/>
      <w:iCs/>
      <w:sz w:val="24"/>
      <w:szCs w:val="24"/>
      <w:lang w:val="en-US"/>
    </w:rPr>
  </w:style>
  <w:style w:type="paragraph" w:styleId="ListParagraph">
    <w:name w:val="List Paragraph"/>
    <w:basedOn w:val="Normal"/>
    <w:uiPriority w:val="34"/>
    <w:qFormat/>
    <w:rsid w:val="00DE2DB0"/>
    <w:pPr>
      <w:ind w:left="720"/>
      <w:contextualSpacing/>
    </w:pPr>
    <w:rPr>
      <w:rFonts w:asciiTheme="minorHAnsi" w:hAnsiTheme="minorHAnsi"/>
      <w:lang w:val="en-GB"/>
    </w:rPr>
  </w:style>
  <w:style w:type="table" w:styleId="TableGrid">
    <w:name w:val="Table Grid"/>
    <w:basedOn w:val="TableNormal"/>
    <w:uiPriority w:val="39"/>
    <w:rsid w:val="00DE2D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84113"/>
  </w:style>
  <w:style w:type="character" w:customStyle="1" w:styleId="DocumentMapChar">
    <w:name w:val="Document Map Char"/>
    <w:basedOn w:val="DefaultParagraphFont"/>
    <w:link w:val="DocumentMap"/>
    <w:uiPriority w:val="99"/>
    <w:semiHidden/>
    <w:rsid w:val="00B84113"/>
    <w:rPr>
      <w:rFonts w:ascii="Times New Roman" w:hAnsi="Times New Roman" w:cs="Times New Roman"/>
      <w:sz w:val="24"/>
      <w:szCs w:val="24"/>
      <w:lang w:val="en-US"/>
    </w:rPr>
  </w:style>
  <w:style w:type="paragraph" w:styleId="Footer">
    <w:name w:val="footer"/>
    <w:basedOn w:val="Normal"/>
    <w:link w:val="FooterChar"/>
    <w:uiPriority w:val="99"/>
    <w:unhideWhenUsed/>
    <w:rsid w:val="006D7B84"/>
    <w:pPr>
      <w:tabs>
        <w:tab w:val="center" w:pos="4513"/>
        <w:tab w:val="right" w:pos="9026"/>
      </w:tabs>
    </w:pPr>
  </w:style>
  <w:style w:type="character" w:customStyle="1" w:styleId="FooterChar">
    <w:name w:val="Footer Char"/>
    <w:basedOn w:val="DefaultParagraphFont"/>
    <w:link w:val="Footer"/>
    <w:uiPriority w:val="99"/>
    <w:rsid w:val="006D7B84"/>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6D7B84"/>
  </w:style>
  <w:style w:type="paragraph" w:styleId="BalloonText">
    <w:name w:val="Balloon Text"/>
    <w:basedOn w:val="Normal"/>
    <w:link w:val="BalloonTextChar"/>
    <w:uiPriority w:val="99"/>
    <w:semiHidden/>
    <w:unhideWhenUsed/>
    <w:rsid w:val="00397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545"/>
    <w:rPr>
      <w:rFonts w:ascii="Segoe UI" w:hAnsi="Segoe UI" w:cs="Segoe UI"/>
      <w:sz w:val="18"/>
      <w:szCs w:val="18"/>
      <w:lang w:val="en-US"/>
    </w:rPr>
  </w:style>
  <w:style w:type="character" w:styleId="CommentReference">
    <w:name w:val="annotation reference"/>
    <w:basedOn w:val="DefaultParagraphFont"/>
    <w:uiPriority w:val="99"/>
    <w:semiHidden/>
    <w:unhideWhenUsed/>
    <w:rsid w:val="00AD30DC"/>
    <w:rPr>
      <w:sz w:val="16"/>
      <w:szCs w:val="16"/>
    </w:rPr>
  </w:style>
  <w:style w:type="paragraph" w:styleId="CommentText">
    <w:name w:val="annotation text"/>
    <w:basedOn w:val="Normal"/>
    <w:link w:val="CommentTextChar"/>
    <w:uiPriority w:val="99"/>
    <w:semiHidden/>
    <w:unhideWhenUsed/>
    <w:rsid w:val="00AD30DC"/>
    <w:rPr>
      <w:sz w:val="20"/>
      <w:szCs w:val="20"/>
    </w:rPr>
  </w:style>
  <w:style w:type="character" w:customStyle="1" w:styleId="CommentTextChar">
    <w:name w:val="Comment Text Char"/>
    <w:basedOn w:val="DefaultParagraphFont"/>
    <w:link w:val="CommentText"/>
    <w:uiPriority w:val="99"/>
    <w:semiHidden/>
    <w:rsid w:val="00AD30D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0DC"/>
    <w:rPr>
      <w:b/>
      <w:bCs/>
    </w:rPr>
  </w:style>
  <w:style w:type="character" w:customStyle="1" w:styleId="CommentSubjectChar">
    <w:name w:val="Comment Subject Char"/>
    <w:basedOn w:val="CommentTextChar"/>
    <w:link w:val="CommentSubject"/>
    <w:uiPriority w:val="99"/>
    <w:semiHidden/>
    <w:rsid w:val="00AD30DC"/>
    <w:rPr>
      <w:rFonts w:ascii="Times New Roman" w:hAnsi="Times New Roman" w:cs="Times New Roman"/>
      <w:b/>
      <w:bCs/>
      <w:sz w:val="20"/>
      <w:szCs w:val="20"/>
      <w:lang w:val="en-US"/>
    </w:rPr>
  </w:style>
  <w:style w:type="paragraph" w:styleId="Revision">
    <w:name w:val="Revision"/>
    <w:hidden/>
    <w:uiPriority w:val="99"/>
    <w:semiHidden/>
    <w:rsid w:val="00141437"/>
    <w:pPr>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CA4D45"/>
    <w:rPr>
      <w:color w:val="0000FF"/>
      <w:u w:val="single"/>
    </w:rPr>
  </w:style>
  <w:style w:type="character" w:customStyle="1" w:styleId="apple-converted-space">
    <w:name w:val="apple-converted-space"/>
    <w:basedOn w:val="DefaultParagraphFont"/>
    <w:rsid w:val="00CA4D45"/>
  </w:style>
  <w:style w:type="character" w:customStyle="1" w:styleId="nlmyear">
    <w:name w:val="nlm_year"/>
    <w:basedOn w:val="DefaultParagraphFont"/>
    <w:rsid w:val="004660A3"/>
  </w:style>
  <w:style w:type="character" w:customStyle="1" w:styleId="nlmpublisher-loc">
    <w:name w:val="nlm_publisher-loc"/>
    <w:basedOn w:val="DefaultParagraphFont"/>
    <w:rsid w:val="004660A3"/>
  </w:style>
  <w:style w:type="character" w:customStyle="1" w:styleId="nlmpublisher-name">
    <w:name w:val="nlm_publisher-name"/>
    <w:basedOn w:val="DefaultParagraphFont"/>
    <w:rsid w:val="004660A3"/>
  </w:style>
  <w:style w:type="character" w:customStyle="1" w:styleId="UnresolvedMention1">
    <w:name w:val="Unresolved Mention1"/>
    <w:basedOn w:val="DefaultParagraphFont"/>
    <w:uiPriority w:val="99"/>
    <w:semiHidden/>
    <w:unhideWhenUsed/>
    <w:rsid w:val="0018335D"/>
    <w:rPr>
      <w:color w:val="605E5C"/>
      <w:shd w:val="clear" w:color="auto" w:fill="E1DFDD"/>
    </w:rPr>
  </w:style>
  <w:style w:type="paragraph" w:styleId="Header">
    <w:name w:val="header"/>
    <w:basedOn w:val="Normal"/>
    <w:link w:val="HeaderChar"/>
    <w:uiPriority w:val="99"/>
    <w:unhideWhenUsed/>
    <w:rsid w:val="00A74EFC"/>
    <w:pPr>
      <w:tabs>
        <w:tab w:val="center" w:pos="4513"/>
        <w:tab w:val="right" w:pos="9026"/>
      </w:tabs>
    </w:pPr>
  </w:style>
  <w:style w:type="character" w:customStyle="1" w:styleId="HeaderChar">
    <w:name w:val="Header Char"/>
    <w:basedOn w:val="DefaultParagraphFont"/>
    <w:link w:val="Header"/>
    <w:uiPriority w:val="99"/>
    <w:rsid w:val="00A74EFC"/>
    <w:rPr>
      <w:rFonts w:ascii="Times New Roman" w:hAnsi="Times New Roman" w:cs="Times New Roman"/>
      <w:sz w:val="24"/>
      <w:szCs w:val="24"/>
      <w:lang w:val="en-US"/>
    </w:rPr>
  </w:style>
  <w:style w:type="paragraph" w:styleId="NormalWeb">
    <w:name w:val="Normal (Web)"/>
    <w:basedOn w:val="Normal"/>
    <w:uiPriority w:val="99"/>
    <w:semiHidden/>
    <w:unhideWhenUsed/>
    <w:rsid w:val="0068688E"/>
    <w:pPr>
      <w:spacing w:before="100" w:beforeAutospacing="1" w:after="100" w:afterAutospacing="1"/>
    </w:pPr>
    <w:rPr>
      <w:rFonts w:eastAsiaTheme="minorEastAsia"/>
      <w:lang w:val="en-GB"/>
    </w:rPr>
  </w:style>
  <w:style w:type="character" w:customStyle="1" w:styleId="Heading2Char">
    <w:name w:val="Heading 2 Char"/>
    <w:basedOn w:val="DefaultParagraphFont"/>
    <w:link w:val="Heading2"/>
    <w:uiPriority w:val="9"/>
    <w:semiHidden/>
    <w:rsid w:val="00DD425A"/>
    <w:rPr>
      <w:rFonts w:asciiTheme="majorHAnsi" w:eastAsiaTheme="majorEastAsia" w:hAnsiTheme="majorHAnsi" w:cstheme="majorBidi"/>
      <w:color w:val="2E74B5" w:themeColor="accent1" w:themeShade="BF"/>
      <w:sz w:val="26"/>
      <w:szCs w:val="26"/>
      <w:lang w:val="en-US"/>
    </w:rPr>
  </w:style>
  <w:style w:type="character" w:styleId="Strong">
    <w:name w:val="Strong"/>
    <w:basedOn w:val="DefaultParagraphFont"/>
    <w:uiPriority w:val="22"/>
    <w:qFormat/>
    <w:rsid w:val="008C0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6036">
      <w:bodyDiv w:val="1"/>
      <w:marLeft w:val="0"/>
      <w:marRight w:val="0"/>
      <w:marTop w:val="0"/>
      <w:marBottom w:val="0"/>
      <w:divBdr>
        <w:top w:val="none" w:sz="0" w:space="0" w:color="auto"/>
        <w:left w:val="none" w:sz="0" w:space="0" w:color="auto"/>
        <w:bottom w:val="none" w:sz="0" w:space="0" w:color="auto"/>
        <w:right w:val="none" w:sz="0" w:space="0" w:color="auto"/>
      </w:divBdr>
    </w:div>
    <w:div w:id="513499876">
      <w:bodyDiv w:val="1"/>
      <w:marLeft w:val="0"/>
      <w:marRight w:val="0"/>
      <w:marTop w:val="0"/>
      <w:marBottom w:val="0"/>
      <w:divBdr>
        <w:top w:val="none" w:sz="0" w:space="0" w:color="auto"/>
        <w:left w:val="none" w:sz="0" w:space="0" w:color="auto"/>
        <w:bottom w:val="none" w:sz="0" w:space="0" w:color="auto"/>
        <w:right w:val="none" w:sz="0" w:space="0" w:color="auto"/>
      </w:divBdr>
    </w:div>
    <w:div w:id="8201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69F1A4BC5144957F475C3ACDE908" ma:contentTypeVersion="13" ma:contentTypeDescription="Create a new document." ma:contentTypeScope="" ma:versionID="6f8461b9b9ed7e0a92271ebd50fd335d">
  <xsd:schema xmlns:xsd="http://www.w3.org/2001/XMLSchema" xmlns:xs="http://www.w3.org/2001/XMLSchema" xmlns:p="http://schemas.microsoft.com/office/2006/metadata/properties" xmlns:ns3="f31ea383-3426-436a-a06a-a99303857bfc" xmlns:ns4="0fa0f24a-2387-404c-9bd4-fc3d8a52835d" targetNamespace="http://schemas.microsoft.com/office/2006/metadata/properties" ma:root="true" ma:fieldsID="41222efd1fb2894be7ea61f35af2d276" ns3:_="" ns4:_="">
    <xsd:import namespace="f31ea383-3426-436a-a06a-a99303857bfc"/>
    <xsd:import namespace="0fa0f24a-2387-404c-9bd4-fc3d8a5283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ea383-3426-436a-a06a-a99303857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0f24a-2387-404c-9bd4-fc3d8a5283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65B0-7B3C-4D2B-836C-E5CF9D65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ea383-3426-436a-a06a-a99303857bfc"/>
    <ds:schemaRef ds:uri="0fa0f24a-2387-404c-9bd4-fc3d8a528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7F13C-DD03-45B0-BC38-3554C3A8B99A}">
  <ds:schemaRefs>
    <ds:schemaRef ds:uri="http://schemas.microsoft.com/sharepoint/v3/contenttype/forms"/>
  </ds:schemaRefs>
</ds:datastoreItem>
</file>

<file path=customXml/itemProps3.xml><?xml version="1.0" encoding="utf-8"?>
<ds:datastoreItem xmlns:ds="http://schemas.openxmlformats.org/officeDocument/2006/customXml" ds:itemID="{7506B637-A537-44BF-AC7A-A85512E20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57E61-9E2B-4B3E-831A-276D1844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7695</Words>
  <Characters>43864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2020-06-15T16:48:00Z</dcterms:created>
  <dcterms:modified xsi:type="dcterms:W3CDTF">2020-06-15T16:48:00Z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0x010100EE3469F1A4BC5144957F475C3ACDE908</vt:lpwstr>
  </property>
</Properties>
</file>