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19213" w14:textId="3D3DBB65" w:rsidR="009F0F36" w:rsidRDefault="009F0F36" w:rsidP="0073068F">
      <w:pPr>
        <w:spacing w:after="0" w:line="240" w:lineRule="auto"/>
        <w:contextualSpacing/>
        <w:rPr>
          <w:rFonts w:eastAsia="Times New Roman" w:cstheme="majorBidi"/>
          <w:b/>
          <w:spacing w:val="-10"/>
          <w:kern w:val="28"/>
          <w:sz w:val="32"/>
          <w:szCs w:val="56"/>
          <w:lang w:val="en-US"/>
        </w:rPr>
      </w:pPr>
      <w:bookmarkStart w:id="0" w:name="_GoBack"/>
      <w:bookmarkEnd w:id="0"/>
    </w:p>
    <w:p w14:paraId="044AD907" w14:textId="46749206" w:rsidR="009F0F36" w:rsidRDefault="009F0F36" w:rsidP="000E4567">
      <w:pPr>
        <w:spacing w:after="0" w:line="240" w:lineRule="auto"/>
        <w:contextualSpacing/>
        <w:jc w:val="center"/>
        <w:rPr>
          <w:rFonts w:eastAsia="Times New Roman" w:cstheme="majorBidi"/>
          <w:b/>
          <w:spacing w:val="-10"/>
          <w:kern w:val="28"/>
          <w:sz w:val="32"/>
          <w:szCs w:val="56"/>
          <w:lang w:val="en-US"/>
        </w:rPr>
      </w:pPr>
    </w:p>
    <w:p w14:paraId="0112B7AA" w14:textId="461CB32C" w:rsidR="009F0F36" w:rsidRPr="002E118D" w:rsidRDefault="009F0F36" w:rsidP="000E4567">
      <w:pPr>
        <w:spacing w:after="0" w:line="240" w:lineRule="auto"/>
        <w:contextualSpacing/>
        <w:jc w:val="center"/>
        <w:rPr>
          <w:rFonts w:eastAsia="Times New Roman" w:cstheme="majorBidi"/>
          <w:b/>
          <w:spacing w:val="-10"/>
          <w:kern w:val="28"/>
          <w:sz w:val="32"/>
          <w:szCs w:val="56"/>
          <w:lang w:val="en-US"/>
        </w:rPr>
      </w:pPr>
    </w:p>
    <w:p w14:paraId="413A405D" w14:textId="222522C2" w:rsidR="0073068F" w:rsidRPr="002E118D" w:rsidRDefault="0073068F" w:rsidP="0073068F">
      <w:pPr>
        <w:spacing w:after="0" w:line="240" w:lineRule="auto"/>
        <w:contextualSpacing/>
        <w:jc w:val="center"/>
        <w:rPr>
          <w:rFonts w:eastAsia="Times New Roman" w:cstheme="minorHAnsi"/>
          <w:b/>
          <w:spacing w:val="-10"/>
          <w:kern w:val="28"/>
          <w:sz w:val="40"/>
          <w:szCs w:val="40"/>
          <w:lang w:val="en-US"/>
        </w:rPr>
      </w:pPr>
      <w:r w:rsidRPr="002E118D">
        <w:rPr>
          <w:rFonts w:eastAsia="Times New Roman" w:cstheme="minorHAnsi"/>
          <w:b/>
          <w:spacing w:val="-10"/>
          <w:kern w:val="28"/>
          <w:sz w:val="40"/>
          <w:szCs w:val="40"/>
          <w:lang w:val="en-US"/>
        </w:rPr>
        <w:t xml:space="preserve">The production of stand-alone sustainability reports: Visual impression management, legitimacy and </w:t>
      </w:r>
      <w:r w:rsidR="00A52B6A" w:rsidRPr="002E118D">
        <w:rPr>
          <w:rFonts w:eastAsia="Times New Roman" w:cstheme="minorHAnsi"/>
          <w:b/>
          <w:spacing w:val="-10"/>
          <w:kern w:val="28"/>
          <w:sz w:val="40"/>
          <w:szCs w:val="40"/>
          <w:lang w:val="en-US"/>
        </w:rPr>
        <w:t>“</w:t>
      </w:r>
      <w:r w:rsidRPr="002E118D">
        <w:rPr>
          <w:rFonts w:eastAsia="Times New Roman" w:cstheme="minorHAnsi"/>
          <w:b/>
          <w:spacing w:val="-10"/>
          <w:kern w:val="28"/>
          <w:sz w:val="40"/>
          <w:szCs w:val="40"/>
          <w:lang w:val="en-US"/>
        </w:rPr>
        <w:t>functional stupidity</w:t>
      </w:r>
      <w:r w:rsidR="00A52B6A" w:rsidRPr="002E118D">
        <w:rPr>
          <w:rFonts w:eastAsia="Times New Roman" w:cstheme="minorHAnsi"/>
          <w:b/>
          <w:spacing w:val="-10"/>
          <w:kern w:val="28"/>
          <w:sz w:val="40"/>
          <w:szCs w:val="40"/>
          <w:lang w:val="en-US"/>
        </w:rPr>
        <w:t>”</w:t>
      </w:r>
    </w:p>
    <w:p w14:paraId="72C405F3" w14:textId="77777777" w:rsidR="0073068F" w:rsidRPr="002E118D" w:rsidRDefault="0073068F" w:rsidP="0073068F">
      <w:pPr>
        <w:spacing w:after="0" w:line="240" w:lineRule="auto"/>
        <w:contextualSpacing/>
        <w:jc w:val="center"/>
        <w:rPr>
          <w:rFonts w:ascii="Corbel" w:eastAsia="Times New Roman" w:hAnsi="Corbel" w:cs="Times New Roman"/>
          <w:b/>
          <w:spacing w:val="-10"/>
          <w:kern w:val="28"/>
          <w:sz w:val="48"/>
          <w:szCs w:val="56"/>
          <w:lang w:val="en-US"/>
        </w:rPr>
      </w:pPr>
    </w:p>
    <w:p w14:paraId="65253722" w14:textId="77777777" w:rsidR="0073068F" w:rsidRPr="002E118D" w:rsidRDefault="0073068F" w:rsidP="0073068F">
      <w:pPr>
        <w:spacing w:after="0" w:line="240" w:lineRule="auto"/>
        <w:contextualSpacing/>
        <w:jc w:val="center"/>
        <w:rPr>
          <w:rFonts w:ascii="Corbel" w:eastAsia="Times New Roman" w:hAnsi="Corbel" w:cs="Times New Roman"/>
          <w:b/>
          <w:spacing w:val="-10"/>
          <w:kern w:val="28"/>
          <w:sz w:val="48"/>
          <w:szCs w:val="56"/>
          <w:lang w:val="en-US"/>
        </w:rPr>
      </w:pPr>
    </w:p>
    <w:p w14:paraId="5FC0F6EE" w14:textId="77777777" w:rsidR="0073068F" w:rsidRPr="002E118D" w:rsidRDefault="0073068F" w:rsidP="0073068F">
      <w:pPr>
        <w:numPr>
          <w:ilvl w:val="1"/>
          <w:numId w:val="0"/>
        </w:numPr>
        <w:spacing w:after="0" w:line="240" w:lineRule="auto"/>
        <w:jc w:val="center"/>
        <w:rPr>
          <w:rFonts w:eastAsia="Times New Roman" w:cstheme="minorHAnsi"/>
          <w:spacing w:val="15"/>
          <w:sz w:val="36"/>
          <w:szCs w:val="36"/>
          <w:vertAlign w:val="superscript"/>
          <w:lang w:val="en-US"/>
        </w:rPr>
      </w:pPr>
      <w:r w:rsidRPr="002E118D">
        <w:rPr>
          <w:rFonts w:eastAsia="Times New Roman" w:cstheme="minorHAnsi"/>
          <w:spacing w:val="15"/>
          <w:sz w:val="36"/>
          <w:szCs w:val="36"/>
          <w:lang w:val="en-US"/>
        </w:rPr>
        <w:t xml:space="preserve">Mirwais </w:t>
      </w:r>
      <w:r w:rsidRPr="002E118D">
        <w:rPr>
          <w:rFonts w:eastAsia="Times New Roman" w:cstheme="minorHAnsi"/>
          <w:b/>
          <w:spacing w:val="15"/>
          <w:sz w:val="36"/>
          <w:szCs w:val="36"/>
          <w:lang w:val="en-US"/>
        </w:rPr>
        <w:t>Usmani</w:t>
      </w:r>
      <w:r w:rsidRPr="002E118D">
        <w:rPr>
          <w:rFonts w:eastAsia="Times New Roman" w:cstheme="minorHAnsi"/>
          <w:spacing w:val="15"/>
          <w:sz w:val="36"/>
          <w:szCs w:val="36"/>
          <w:vertAlign w:val="superscript"/>
          <w:lang w:val="en-US"/>
        </w:rPr>
        <w:t>(a)</w:t>
      </w:r>
      <w:r w:rsidRPr="002E118D">
        <w:rPr>
          <w:rFonts w:eastAsia="Times New Roman" w:cstheme="minorHAnsi"/>
          <w:spacing w:val="15"/>
          <w:sz w:val="36"/>
          <w:szCs w:val="36"/>
          <w:lang w:val="en-US"/>
        </w:rPr>
        <w:t xml:space="preserve">*, Jane </w:t>
      </w:r>
      <w:r w:rsidRPr="002E118D">
        <w:rPr>
          <w:rFonts w:eastAsia="Times New Roman" w:cstheme="minorHAnsi"/>
          <w:b/>
          <w:spacing w:val="15"/>
          <w:sz w:val="36"/>
          <w:szCs w:val="36"/>
          <w:lang w:val="en-US"/>
        </w:rPr>
        <w:t>Davison</w:t>
      </w:r>
      <w:r w:rsidRPr="002E118D">
        <w:rPr>
          <w:rFonts w:eastAsia="Times New Roman" w:cstheme="minorHAnsi"/>
          <w:spacing w:val="15"/>
          <w:sz w:val="36"/>
          <w:szCs w:val="36"/>
          <w:vertAlign w:val="superscript"/>
          <w:lang w:val="en-US"/>
        </w:rPr>
        <w:t>(b)</w:t>
      </w:r>
    </w:p>
    <w:p w14:paraId="08CDF1AA" w14:textId="77777777" w:rsidR="0073068F" w:rsidRPr="002E118D" w:rsidRDefault="0073068F" w:rsidP="0073068F">
      <w:pPr>
        <w:numPr>
          <w:ilvl w:val="1"/>
          <w:numId w:val="0"/>
        </w:numPr>
        <w:spacing w:after="0" w:line="240" w:lineRule="auto"/>
        <w:jc w:val="center"/>
        <w:rPr>
          <w:rFonts w:eastAsia="Times New Roman" w:cstheme="minorHAnsi"/>
          <w:spacing w:val="15"/>
          <w:sz w:val="36"/>
          <w:szCs w:val="36"/>
          <w:vertAlign w:val="superscript"/>
          <w:lang w:val="en-US"/>
        </w:rPr>
      </w:pPr>
      <w:r w:rsidRPr="002E118D">
        <w:rPr>
          <w:rFonts w:eastAsia="Times New Roman" w:cstheme="minorHAnsi"/>
          <w:spacing w:val="15"/>
          <w:sz w:val="36"/>
          <w:szCs w:val="36"/>
          <w:lang w:val="en-US"/>
        </w:rPr>
        <w:t xml:space="preserve">&amp; Christopher J. </w:t>
      </w:r>
      <w:r w:rsidRPr="002E118D">
        <w:rPr>
          <w:rFonts w:eastAsia="Times New Roman" w:cstheme="minorHAnsi"/>
          <w:b/>
          <w:spacing w:val="15"/>
          <w:sz w:val="36"/>
          <w:szCs w:val="36"/>
          <w:lang w:val="en-US"/>
        </w:rPr>
        <w:t>Napier</w:t>
      </w:r>
      <w:r w:rsidRPr="002E118D">
        <w:rPr>
          <w:rFonts w:eastAsia="Times New Roman" w:cstheme="minorHAnsi"/>
          <w:spacing w:val="15"/>
          <w:sz w:val="36"/>
          <w:szCs w:val="36"/>
          <w:vertAlign w:val="superscript"/>
          <w:lang w:val="en-US"/>
        </w:rPr>
        <w:t>(b)</w:t>
      </w:r>
    </w:p>
    <w:p w14:paraId="5FBCBB22" w14:textId="77777777" w:rsidR="0073068F" w:rsidRPr="002E118D" w:rsidRDefault="0073068F" w:rsidP="0073068F">
      <w:pPr>
        <w:spacing w:after="0" w:line="240" w:lineRule="auto"/>
        <w:ind w:left="720"/>
        <w:rPr>
          <w:rFonts w:eastAsia="Calibri" w:cstheme="minorHAnsi"/>
          <w:sz w:val="24"/>
          <w:lang w:val="en-US"/>
        </w:rPr>
      </w:pPr>
    </w:p>
    <w:p w14:paraId="6663DFEA" w14:textId="77777777" w:rsidR="0073068F" w:rsidRPr="002E118D" w:rsidRDefault="0073068F" w:rsidP="0073068F">
      <w:pPr>
        <w:spacing w:after="0" w:line="240" w:lineRule="auto"/>
        <w:ind w:left="720"/>
        <w:rPr>
          <w:rFonts w:eastAsia="Calibri" w:cstheme="minorHAnsi"/>
          <w:sz w:val="24"/>
          <w:lang w:val="en-US"/>
        </w:rPr>
      </w:pPr>
    </w:p>
    <w:p w14:paraId="209208AC" w14:textId="77777777" w:rsidR="0073068F" w:rsidRPr="002E118D" w:rsidRDefault="0073068F" w:rsidP="0073068F">
      <w:pPr>
        <w:spacing w:after="0" w:line="240" w:lineRule="auto"/>
        <w:rPr>
          <w:rFonts w:eastAsia="Calibri" w:cstheme="minorHAnsi"/>
          <w:lang w:val="en-US"/>
        </w:rPr>
      </w:pPr>
      <w:r w:rsidRPr="002E118D">
        <w:rPr>
          <w:rFonts w:eastAsia="Calibri" w:cstheme="minorHAnsi"/>
          <w:lang w:val="en-US"/>
        </w:rPr>
        <w:t>* Corresponding Author</w:t>
      </w:r>
    </w:p>
    <w:p w14:paraId="1D638135" w14:textId="77777777" w:rsidR="0073068F" w:rsidRPr="002E118D" w:rsidRDefault="0073068F" w:rsidP="0073068F">
      <w:pPr>
        <w:spacing w:after="0" w:line="240" w:lineRule="auto"/>
        <w:rPr>
          <w:rFonts w:eastAsia="Calibri" w:cstheme="minorHAnsi"/>
          <w:lang w:val="en-US"/>
        </w:rPr>
      </w:pPr>
    </w:p>
    <w:p w14:paraId="0D60961D" w14:textId="77777777" w:rsidR="0073068F" w:rsidRPr="002E118D" w:rsidRDefault="0073068F" w:rsidP="0073068F">
      <w:pPr>
        <w:spacing w:after="0" w:line="240" w:lineRule="auto"/>
        <w:rPr>
          <w:rFonts w:eastAsia="Calibri" w:cstheme="minorHAnsi"/>
          <w:lang w:val="en-US"/>
        </w:rPr>
      </w:pPr>
      <w:r w:rsidRPr="002E118D">
        <w:rPr>
          <w:rFonts w:eastAsia="Calibri" w:cstheme="minorHAnsi"/>
          <w:lang w:val="en-US"/>
        </w:rPr>
        <w:t>(a)</w:t>
      </w:r>
      <w:r w:rsidRPr="002E118D">
        <w:rPr>
          <w:rFonts w:eastAsia="Calibri" w:cstheme="minorHAnsi"/>
          <w:lang w:val="en-US"/>
        </w:rPr>
        <w:tab/>
        <w:t>School of Economics and Finance</w:t>
      </w:r>
    </w:p>
    <w:p w14:paraId="4D6B916E" w14:textId="77777777" w:rsidR="0073068F" w:rsidRPr="002E118D" w:rsidRDefault="0073068F" w:rsidP="0073068F">
      <w:pPr>
        <w:spacing w:after="0" w:line="240" w:lineRule="auto"/>
        <w:rPr>
          <w:rFonts w:eastAsia="Calibri" w:cstheme="minorHAnsi"/>
          <w:lang w:val="en-US"/>
        </w:rPr>
      </w:pPr>
      <w:r w:rsidRPr="002E118D">
        <w:rPr>
          <w:rFonts w:eastAsia="Calibri" w:cstheme="minorHAnsi"/>
          <w:lang w:val="en-US"/>
        </w:rPr>
        <w:tab/>
        <w:t>Brunel University</w:t>
      </w:r>
    </w:p>
    <w:p w14:paraId="32B6F9F6" w14:textId="77777777" w:rsidR="0073068F" w:rsidRPr="002E118D" w:rsidRDefault="0073068F" w:rsidP="0073068F">
      <w:pPr>
        <w:spacing w:after="0" w:line="240" w:lineRule="auto"/>
        <w:rPr>
          <w:rFonts w:eastAsia="Calibri" w:cstheme="minorHAnsi"/>
          <w:lang w:val="en-US"/>
        </w:rPr>
      </w:pPr>
      <w:r w:rsidRPr="002E118D">
        <w:rPr>
          <w:rFonts w:eastAsia="Calibri" w:cstheme="minorHAnsi"/>
          <w:lang w:val="en-US"/>
        </w:rPr>
        <w:tab/>
        <w:t>Kingston Lane</w:t>
      </w:r>
    </w:p>
    <w:p w14:paraId="30A01368" w14:textId="77777777" w:rsidR="0073068F" w:rsidRPr="002E118D" w:rsidRDefault="0073068F" w:rsidP="0073068F">
      <w:pPr>
        <w:spacing w:after="0" w:line="240" w:lineRule="auto"/>
        <w:rPr>
          <w:rFonts w:eastAsia="Calibri" w:cstheme="minorHAnsi"/>
          <w:lang w:val="en-US"/>
        </w:rPr>
      </w:pPr>
      <w:r w:rsidRPr="002E118D">
        <w:rPr>
          <w:rFonts w:eastAsia="Calibri" w:cstheme="minorHAnsi"/>
          <w:lang w:val="en-US"/>
        </w:rPr>
        <w:tab/>
        <w:t>Uxbridge, UB8 3PH</w:t>
      </w:r>
    </w:p>
    <w:p w14:paraId="081549BD" w14:textId="77777777" w:rsidR="0073068F" w:rsidRPr="002E118D" w:rsidRDefault="0073068F" w:rsidP="0073068F">
      <w:pPr>
        <w:spacing w:after="0" w:line="240" w:lineRule="auto"/>
        <w:rPr>
          <w:rFonts w:eastAsia="Calibri" w:cstheme="minorHAnsi"/>
          <w:lang w:val="en-US"/>
        </w:rPr>
      </w:pPr>
      <w:r w:rsidRPr="002E118D">
        <w:rPr>
          <w:rFonts w:eastAsia="Calibri" w:cstheme="minorHAnsi"/>
          <w:lang w:val="en-US"/>
        </w:rPr>
        <w:tab/>
        <w:t>Tel: +44(0) 1895 265998</w:t>
      </w:r>
    </w:p>
    <w:p w14:paraId="33BA79AE" w14:textId="77777777" w:rsidR="0073068F" w:rsidRPr="002E118D" w:rsidRDefault="0073068F" w:rsidP="0073068F">
      <w:pPr>
        <w:spacing w:after="0" w:line="240" w:lineRule="auto"/>
        <w:rPr>
          <w:rFonts w:eastAsia="Calibri" w:cstheme="minorHAnsi"/>
          <w:lang w:val="en-US"/>
        </w:rPr>
      </w:pPr>
      <w:r w:rsidRPr="002E118D">
        <w:rPr>
          <w:rFonts w:eastAsia="Calibri" w:cstheme="minorHAnsi"/>
          <w:lang w:val="en-US"/>
        </w:rPr>
        <w:tab/>
        <w:t>Email: Mirwais.usmani@brunel.ac.uk</w:t>
      </w:r>
    </w:p>
    <w:p w14:paraId="13DACD86" w14:textId="77777777" w:rsidR="0073068F" w:rsidRPr="002E118D" w:rsidRDefault="0073068F" w:rsidP="0073068F">
      <w:pPr>
        <w:spacing w:after="0" w:line="240" w:lineRule="auto"/>
        <w:rPr>
          <w:rFonts w:eastAsia="Calibri" w:cstheme="minorHAnsi"/>
          <w:lang w:val="en-US"/>
        </w:rPr>
      </w:pPr>
    </w:p>
    <w:p w14:paraId="4C0B41D4" w14:textId="69423F0A" w:rsidR="0073068F" w:rsidRPr="002E118D" w:rsidRDefault="0073068F" w:rsidP="0073068F">
      <w:pPr>
        <w:spacing w:after="0" w:line="240" w:lineRule="auto"/>
        <w:rPr>
          <w:rFonts w:eastAsia="Calibri" w:cstheme="minorHAnsi"/>
          <w:lang w:val="en-US"/>
        </w:rPr>
      </w:pPr>
      <w:r w:rsidRPr="002E118D">
        <w:rPr>
          <w:rFonts w:eastAsia="Calibri" w:cstheme="minorHAnsi"/>
          <w:lang w:val="en-US"/>
        </w:rPr>
        <w:t>(b)</w:t>
      </w:r>
      <w:r w:rsidRPr="002E118D">
        <w:rPr>
          <w:rFonts w:eastAsia="Calibri" w:cstheme="minorHAnsi"/>
          <w:lang w:val="en-US"/>
        </w:rPr>
        <w:tab/>
        <w:t xml:space="preserve">School of </w:t>
      </w:r>
      <w:r w:rsidR="0020177B" w:rsidRPr="002E118D">
        <w:rPr>
          <w:rFonts w:eastAsia="Calibri" w:cstheme="minorHAnsi"/>
          <w:lang w:val="en-US"/>
        </w:rPr>
        <w:t xml:space="preserve">Business and </w:t>
      </w:r>
      <w:r w:rsidRPr="002E118D">
        <w:rPr>
          <w:rFonts w:eastAsia="Calibri" w:cstheme="minorHAnsi"/>
          <w:lang w:val="en-US"/>
        </w:rPr>
        <w:t>Management</w:t>
      </w:r>
    </w:p>
    <w:p w14:paraId="66E94C09" w14:textId="77777777" w:rsidR="0073068F" w:rsidRPr="002E118D" w:rsidRDefault="0073068F" w:rsidP="0073068F">
      <w:pPr>
        <w:spacing w:after="0" w:line="240" w:lineRule="auto"/>
        <w:ind w:firstLine="720"/>
        <w:rPr>
          <w:rFonts w:eastAsia="Calibri" w:cstheme="minorHAnsi"/>
          <w:lang w:val="en-US"/>
        </w:rPr>
      </w:pPr>
      <w:r w:rsidRPr="002E118D">
        <w:rPr>
          <w:rFonts w:eastAsia="Calibri" w:cstheme="minorHAnsi"/>
          <w:lang w:val="en-US"/>
        </w:rPr>
        <w:t>Royal Holloway University of London</w:t>
      </w:r>
    </w:p>
    <w:p w14:paraId="1F16F64C" w14:textId="77777777" w:rsidR="0073068F" w:rsidRPr="002E118D" w:rsidRDefault="0073068F" w:rsidP="0073068F">
      <w:pPr>
        <w:spacing w:after="0" w:line="240" w:lineRule="auto"/>
        <w:ind w:firstLine="720"/>
        <w:rPr>
          <w:rFonts w:eastAsia="Calibri" w:cstheme="minorHAnsi"/>
          <w:lang w:val="en-US"/>
        </w:rPr>
      </w:pPr>
      <w:r w:rsidRPr="002E118D">
        <w:rPr>
          <w:rFonts w:eastAsia="Calibri" w:cstheme="minorHAnsi"/>
          <w:lang w:val="en-US"/>
        </w:rPr>
        <w:t>Egham, Surrey, TW20 0EX</w:t>
      </w:r>
    </w:p>
    <w:p w14:paraId="4EF39335" w14:textId="77777777" w:rsidR="0073068F" w:rsidRPr="002E118D" w:rsidRDefault="0073068F" w:rsidP="0073068F">
      <w:pPr>
        <w:spacing w:after="0" w:line="240" w:lineRule="auto"/>
        <w:ind w:firstLine="720"/>
        <w:rPr>
          <w:rFonts w:eastAsia="Calibri" w:cstheme="minorHAnsi"/>
          <w:lang w:val="en-US"/>
        </w:rPr>
      </w:pPr>
      <w:r w:rsidRPr="002E118D">
        <w:rPr>
          <w:rFonts w:eastAsia="Calibri" w:cstheme="minorHAnsi"/>
          <w:lang w:val="en-US"/>
        </w:rPr>
        <w:t>UK</w:t>
      </w:r>
    </w:p>
    <w:p w14:paraId="71632AAC" w14:textId="77777777" w:rsidR="0073068F" w:rsidRPr="002E118D" w:rsidRDefault="0073068F" w:rsidP="0073068F">
      <w:pPr>
        <w:spacing w:after="0" w:line="240" w:lineRule="auto"/>
        <w:ind w:firstLine="720"/>
        <w:rPr>
          <w:rFonts w:eastAsia="Calibri" w:cstheme="minorHAnsi"/>
          <w:lang w:val="en-US"/>
        </w:rPr>
      </w:pPr>
      <w:r w:rsidRPr="002E118D">
        <w:rPr>
          <w:rFonts w:eastAsia="Calibri" w:cstheme="minorHAnsi"/>
          <w:lang w:val="en-US"/>
        </w:rPr>
        <w:t xml:space="preserve">Email: </w:t>
      </w:r>
      <w:hyperlink r:id="rId8" w:history="1">
        <w:r w:rsidRPr="002E118D">
          <w:rPr>
            <w:rStyle w:val="Hyperlink"/>
            <w:rFonts w:eastAsia="Calibri" w:cstheme="minorHAnsi"/>
            <w:color w:val="auto"/>
            <w:lang w:val="en-US"/>
          </w:rPr>
          <w:t>Jane.Davison@royalholloway.ac.uk</w:t>
        </w:r>
      </w:hyperlink>
      <w:r w:rsidRPr="002E118D">
        <w:rPr>
          <w:rFonts w:eastAsia="Calibri" w:cstheme="minorHAnsi"/>
          <w:lang w:val="en-US"/>
        </w:rPr>
        <w:t xml:space="preserve">; </w:t>
      </w:r>
      <w:hyperlink r:id="rId9" w:history="1">
        <w:r w:rsidRPr="002E118D">
          <w:rPr>
            <w:rFonts w:eastAsia="Calibri" w:cstheme="minorHAnsi"/>
            <w:u w:val="single"/>
            <w:lang w:val="en-US"/>
          </w:rPr>
          <w:t>Christopher.Napier@royalholloway.ac.uk</w:t>
        </w:r>
      </w:hyperlink>
    </w:p>
    <w:p w14:paraId="04690133" w14:textId="77777777" w:rsidR="0073068F" w:rsidRPr="002E118D" w:rsidRDefault="0073068F" w:rsidP="0073068F">
      <w:pPr>
        <w:spacing w:after="0" w:line="240" w:lineRule="auto"/>
        <w:ind w:left="720"/>
        <w:rPr>
          <w:rFonts w:ascii="Corbel" w:eastAsia="Calibri" w:hAnsi="Corbel" w:cs="Times New Roman"/>
          <w:sz w:val="24"/>
          <w:lang w:val="en-US"/>
        </w:rPr>
      </w:pPr>
    </w:p>
    <w:p w14:paraId="4B5FA69E" w14:textId="77777777" w:rsidR="0073068F" w:rsidRPr="002E118D" w:rsidRDefault="0073068F" w:rsidP="0073068F">
      <w:pPr>
        <w:spacing w:after="240" w:line="240" w:lineRule="auto"/>
        <w:jc w:val="center"/>
        <w:rPr>
          <w:rFonts w:eastAsia="Calibri" w:cstheme="minorHAnsi"/>
          <w:lang w:val="en-US"/>
        </w:rPr>
      </w:pPr>
    </w:p>
    <w:p w14:paraId="56128496" w14:textId="77777777" w:rsidR="009F0F36" w:rsidRPr="002E118D" w:rsidRDefault="009F0F36" w:rsidP="000E4567">
      <w:pPr>
        <w:spacing w:after="0" w:line="240" w:lineRule="auto"/>
        <w:contextualSpacing/>
        <w:jc w:val="center"/>
        <w:rPr>
          <w:rFonts w:asciiTheme="minorBidi" w:eastAsia="Times New Roman" w:hAnsiTheme="minorBidi"/>
          <w:b/>
          <w:spacing w:val="-10"/>
          <w:kern w:val="28"/>
          <w:lang w:val="en-US"/>
        </w:rPr>
      </w:pPr>
    </w:p>
    <w:p w14:paraId="1D56C82C" w14:textId="77777777" w:rsidR="000E4567" w:rsidRPr="002E118D" w:rsidRDefault="000E4567" w:rsidP="000E4567">
      <w:pPr>
        <w:spacing w:after="0" w:line="240" w:lineRule="auto"/>
        <w:contextualSpacing/>
        <w:jc w:val="center"/>
        <w:rPr>
          <w:rFonts w:asciiTheme="minorBidi" w:eastAsia="Times New Roman" w:hAnsiTheme="minorBidi"/>
          <w:b/>
          <w:spacing w:val="-10"/>
          <w:kern w:val="28"/>
          <w:lang w:val="en-US"/>
        </w:rPr>
      </w:pPr>
    </w:p>
    <w:p w14:paraId="217432C0" w14:textId="77777777" w:rsidR="0020177B" w:rsidRPr="002E118D" w:rsidRDefault="0020177B" w:rsidP="000E4567">
      <w:pPr>
        <w:rPr>
          <w:rFonts w:asciiTheme="minorBidi" w:eastAsia="Times New Roman" w:hAnsiTheme="minorBidi"/>
          <w:spacing w:val="15"/>
          <w:lang w:val="en-US"/>
        </w:rPr>
        <w:sectPr w:rsidR="0020177B" w:rsidRPr="002E118D" w:rsidSect="000E4567">
          <w:headerReference w:type="default" r:id="rId10"/>
          <w:footerReference w:type="default" r:id="rId11"/>
          <w:pgSz w:w="11906" w:h="16838"/>
          <w:pgMar w:top="1440" w:right="1440" w:bottom="1440" w:left="1440" w:header="708" w:footer="708" w:gutter="0"/>
          <w:pgNumType w:start="1"/>
          <w:cols w:space="708"/>
          <w:docGrid w:linePitch="360"/>
        </w:sectPr>
      </w:pPr>
    </w:p>
    <w:p w14:paraId="60C6C3C1" w14:textId="35304F98" w:rsidR="00742AE9" w:rsidRPr="002E118D" w:rsidRDefault="00742AE9" w:rsidP="002E118D">
      <w:pPr>
        <w:pStyle w:val="Title"/>
        <w:jc w:val="left"/>
      </w:pPr>
      <w:r w:rsidRPr="002E118D">
        <w:lastRenderedPageBreak/>
        <w:t xml:space="preserve">The production of stand-alone sustainability reports: </w:t>
      </w:r>
      <w:r w:rsidR="00AD2A80" w:rsidRPr="002E118D">
        <w:t>Visual i</w:t>
      </w:r>
      <w:r w:rsidRPr="002E118D">
        <w:t xml:space="preserve">mpression management, legitimacy and </w:t>
      </w:r>
      <w:r w:rsidR="00A8637E" w:rsidRPr="002E118D">
        <w:t>“</w:t>
      </w:r>
      <w:r w:rsidRPr="002E118D">
        <w:t>functional stupidity</w:t>
      </w:r>
      <w:r w:rsidR="00A8637E" w:rsidRPr="002E118D">
        <w:t>”</w:t>
      </w:r>
    </w:p>
    <w:p w14:paraId="4450A9EA" w14:textId="77777777" w:rsidR="00742AE9" w:rsidRPr="002E118D" w:rsidRDefault="00742AE9" w:rsidP="00D13725">
      <w:pPr>
        <w:rPr>
          <w:rFonts w:asciiTheme="minorBidi" w:hAnsiTheme="minorBidi"/>
        </w:rPr>
      </w:pPr>
    </w:p>
    <w:p w14:paraId="43EAEA7E" w14:textId="4EDFBE79" w:rsidR="001C6647" w:rsidRPr="002E118D" w:rsidRDefault="003A06B1" w:rsidP="002540F5">
      <w:pPr>
        <w:pStyle w:val="Heading1"/>
        <w:numPr>
          <w:ilvl w:val="0"/>
          <w:numId w:val="0"/>
        </w:numPr>
        <w:ind w:left="357" w:hanging="357"/>
      </w:pPr>
      <w:r w:rsidRPr="002E118D">
        <w:t xml:space="preserve">Abstract </w:t>
      </w:r>
    </w:p>
    <w:p w14:paraId="558A2EE2" w14:textId="1D1FCFAD" w:rsidR="00B922F7" w:rsidRPr="002E118D" w:rsidRDefault="009C49B4">
      <w:pPr>
        <w:rPr>
          <w:rFonts w:asciiTheme="minorBidi" w:hAnsiTheme="minorBidi"/>
        </w:rPr>
      </w:pPr>
      <w:r w:rsidRPr="002E118D">
        <w:rPr>
          <w:rFonts w:asciiTheme="minorBidi" w:hAnsiTheme="minorBidi"/>
        </w:rPr>
        <w:t>R</w:t>
      </w:r>
      <w:r w:rsidR="003A06B1" w:rsidRPr="002E118D">
        <w:rPr>
          <w:rFonts w:asciiTheme="minorBidi" w:hAnsiTheme="minorBidi"/>
        </w:rPr>
        <w:t xml:space="preserve">esearch on </w:t>
      </w:r>
      <w:r w:rsidR="006140D1" w:rsidRPr="002E118D">
        <w:rPr>
          <w:rFonts w:asciiTheme="minorBidi" w:hAnsiTheme="minorBidi"/>
        </w:rPr>
        <w:t>stand-alone sustainability reports (</w:t>
      </w:r>
      <w:r w:rsidR="003A06B1" w:rsidRPr="002E118D">
        <w:rPr>
          <w:rFonts w:asciiTheme="minorBidi" w:hAnsiTheme="minorBidi"/>
        </w:rPr>
        <w:t>SASRs</w:t>
      </w:r>
      <w:r w:rsidR="006140D1" w:rsidRPr="002E118D">
        <w:rPr>
          <w:rFonts w:asciiTheme="minorBidi" w:hAnsiTheme="minorBidi"/>
        </w:rPr>
        <w:t>)</w:t>
      </w:r>
      <w:r w:rsidR="003A06B1" w:rsidRPr="002E118D">
        <w:rPr>
          <w:rFonts w:asciiTheme="minorBidi" w:hAnsiTheme="minorBidi"/>
        </w:rPr>
        <w:t xml:space="preserve"> has focused on published </w:t>
      </w:r>
      <w:r w:rsidRPr="002E118D">
        <w:rPr>
          <w:rFonts w:asciiTheme="minorBidi" w:hAnsiTheme="minorBidi"/>
        </w:rPr>
        <w:t xml:space="preserve">documents rather than on the process by which SASRs are </w:t>
      </w:r>
      <w:r w:rsidR="00AB10E9" w:rsidRPr="002E118D">
        <w:rPr>
          <w:rFonts w:asciiTheme="minorBidi" w:hAnsiTheme="minorBidi"/>
        </w:rPr>
        <w:t>produced</w:t>
      </w:r>
      <w:r w:rsidRPr="002E118D">
        <w:rPr>
          <w:rFonts w:asciiTheme="minorBidi" w:hAnsiTheme="minorBidi"/>
        </w:rPr>
        <w:t xml:space="preserve">. </w:t>
      </w:r>
      <w:r w:rsidR="006140D1" w:rsidRPr="002E118D">
        <w:rPr>
          <w:rFonts w:asciiTheme="minorBidi" w:hAnsiTheme="minorBidi"/>
        </w:rPr>
        <w:t>This study</w:t>
      </w:r>
      <w:r w:rsidRPr="002E118D">
        <w:rPr>
          <w:rFonts w:asciiTheme="minorBidi" w:hAnsiTheme="minorBidi"/>
        </w:rPr>
        <w:t xml:space="preserve"> </w:t>
      </w:r>
      <w:r w:rsidR="00AD6540" w:rsidRPr="002E118D">
        <w:rPr>
          <w:rFonts w:asciiTheme="minorBidi" w:hAnsiTheme="minorBidi"/>
        </w:rPr>
        <w:t>investigates</w:t>
      </w:r>
      <w:r w:rsidRPr="002E118D">
        <w:rPr>
          <w:rFonts w:asciiTheme="minorBidi" w:hAnsiTheme="minorBidi"/>
        </w:rPr>
        <w:t xml:space="preserve"> </w:t>
      </w:r>
      <w:r w:rsidR="006140D1" w:rsidRPr="002E118D">
        <w:rPr>
          <w:rFonts w:asciiTheme="minorBidi" w:hAnsiTheme="minorBidi"/>
        </w:rPr>
        <w:t>the process of pr</w:t>
      </w:r>
      <w:r w:rsidR="00AB10E9" w:rsidRPr="002E118D">
        <w:rPr>
          <w:rFonts w:asciiTheme="minorBidi" w:hAnsiTheme="minorBidi"/>
        </w:rPr>
        <w:t>oducing</w:t>
      </w:r>
      <w:r w:rsidR="006140D1" w:rsidRPr="002E118D">
        <w:rPr>
          <w:rFonts w:asciiTheme="minorBidi" w:hAnsiTheme="minorBidi"/>
        </w:rPr>
        <w:t xml:space="preserve"> </w:t>
      </w:r>
      <w:r w:rsidR="00B950DB" w:rsidRPr="002E118D">
        <w:rPr>
          <w:rFonts w:asciiTheme="minorBidi" w:hAnsiTheme="minorBidi"/>
        </w:rPr>
        <w:t>Global Reporting Initiative (</w:t>
      </w:r>
      <w:r w:rsidR="00386379" w:rsidRPr="002E118D">
        <w:rPr>
          <w:rFonts w:asciiTheme="minorBidi" w:hAnsiTheme="minorBidi"/>
        </w:rPr>
        <w:t>GRI</w:t>
      </w:r>
      <w:r w:rsidR="00B950DB" w:rsidRPr="002E118D">
        <w:rPr>
          <w:rFonts w:asciiTheme="minorBidi" w:hAnsiTheme="minorBidi"/>
        </w:rPr>
        <w:t>)</w:t>
      </w:r>
      <w:r w:rsidR="00386379" w:rsidRPr="002E118D">
        <w:rPr>
          <w:rFonts w:asciiTheme="minorBidi" w:hAnsiTheme="minorBidi"/>
        </w:rPr>
        <w:t xml:space="preserve"> G3.1 A+ rat</w:t>
      </w:r>
      <w:r w:rsidR="00CA2136" w:rsidRPr="002E118D">
        <w:rPr>
          <w:rFonts w:asciiTheme="minorBidi" w:hAnsiTheme="minorBidi"/>
        </w:rPr>
        <w:t>ed</w:t>
      </w:r>
      <w:r w:rsidR="00386379" w:rsidRPr="002E118D">
        <w:rPr>
          <w:rFonts w:asciiTheme="minorBidi" w:hAnsiTheme="minorBidi"/>
        </w:rPr>
        <w:t xml:space="preserve"> </w:t>
      </w:r>
      <w:r w:rsidR="000629EA" w:rsidRPr="002E118D">
        <w:rPr>
          <w:rFonts w:asciiTheme="minorBidi" w:hAnsiTheme="minorBidi"/>
        </w:rPr>
        <w:t>SASRs,</w:t>
      </w:r>
      <w:r w:rsidR="006140D1" w:rsidRPr="002E118D">
        <w:rPr>
          <w:rFonts w:asciiTheme="minorBidi" w:hAnsiTheme="minorBidi"/>
        </w:rPr>
        <w:t xml:space="preserve"> particularly examining </w:t>
      </w:r>
      <w:r w:rsidRPr="002E118D">
        <w:rPr>
          <w:rFonts w:asciiTheme="minorBidi" w:hAnsiTheme="minorBidi"/>
        </w:rPr>
        <w:t>how visual impression management choices are made within the organisation. Th</w:t>
      </w:r>
      <w:r w:rsidR="006140D1" w:rsidRPr="002E118D">
        <w:rPr>
          <w:rFonts w:asciiTheme="minorBidi" w:hAnsiTheme="minorBidi"/>
        </w:rPr>
        <w:t>e</w:t>
      </w:r>
      <w:r w:rsidRPr="002E118D">
        <w:rPr>
          <w:rFonts w:asciiTheme="minorBidi" w:hAnsiTheme="minorBidi"/>
        </w:rPr>
        <w:t xml:space="preserve"> study analyse</w:t>
      </w:r>
      <w:r w:rsidR="006140D1" w:rsidRPr="002E118D">
        <w:rPr>
          <w:rFonts w:asciiTheme="minorBidi" w:hAnsiTheme="minorBidi"/>
        </w:rPr>
        <w:t>s</w:t>
      </w:r>
      <w:r w:rsidRPr="002E118D">
        <w:rPr>
          <w:rFonts w:asciiTheme="minorBidi" w:hAnsiTheme="minorBidi"/>
        </w:rPr>
        <w:t xml:space="preserve"> how and by whom SASRs are prepared</w:t>
      </w:r>
      <w:r w:rsidR="00B922F7" w:rsidRPr="002E118D">
        <w:rPr>
          <w:rFonts w:asciiTheme="minorBidi" w:hAnsiTheme="minorBidi"/>
        </w:rPr>
        <w:t>,</w:t>
      </w:r>
      <w:r w:rsidR="00A81B23" w:rsidRPr="002E118D">
        <w:rPr>
          <w:rFonts w:asciiTheme="minorBidi" w:hAnsiTheme="minorBidi"/>
        </w:rPr>
        <w:t xml:space="preserve"> and</w:t>
      </w:r>
      <w:r w:rsidR="009C67C1" w:rsidRPr="002E118D">
        <w:rPr>
          <w:rFonts w:asciiTheme="minorBidi" w:hAnsiTheme="minorBidi"/>
        </w:rPr>
        <w:t xml:space="preserve"> the</w:t>
      </w:r>
      <w:r w:rsidRPr="002E118D">
        <w:rPr>
          <w:rFonts w:asciiTheme="minorBidi" w:hAnsiTheme="minorBidi"/>
        </w:rPr>
        <w:t xml:space="preserve"> rationale for using visuals</w:t>
      </w:r>
      <w:r w:rsidR="00CF4343" w:rsidRPr="002E118D">
        <w:rPr>
          <w:rFonts w:asciiTheme="minorBidi" w:hAnsiTheme="minorBidi"/>
        </w:rPr>
        <w:t xml:space="preserve"> and blank </w:t>
      </w:r>
      <w:r w:rsidR="00821D2F" w:rsidRPr="002E118D">
        <w:rPr>
          <w:rFonts w:asciiTheme="minorBidi" w:hAnsiTheme="minorBidi"/>
        </w:rPr>
        <w:t>space</w:t>
      </w:r>
      <w:r w:rsidR="00B922F7" w:rsidRPr="002E118D">
        <w:rPr>
          <w:rFonts w:asciiTheme="minorBidi" w:hAnsiTheme="minorBidi"/>
        </w:rPr>
        <w:t>,</w:t>
      </w:r>
      <w:r w:rsidR="00821D2F" w:rsidRPr="002E118D">
        <w:rPr>
          <w:rFonts w:asciiTheme="minorBidi" w:hAnsiTheme="minorBidi"/>
        </w:rPr>
        <w:t xml:space="preserve"> and</w:t>
      </w:r>
      <w:r w:rsidR="006140D1" w:rsidRPr="002E118D">
        <w:rPr>
          <w:rFonts w:asciiTheme="minorBidi" w:hAnsiTheme="minorBidi"/>
        </w:rPr>
        <w:t xml:space="preserve"> examines</w:t>
      </w:r>
      <w:r w:rsidRPr="002E118D">
        <w:rPr>
          <w:rFonts w:asciiTheme="minorBidi" w:hAnsiTheme="minorBidi"/>
        </w:rPr>
        <w:t xml:space="preserve"> the </w:t>
      </w:r>
      <w:r w:rsidR="006140D1" w:rsidRPr="002E118D">
        <w:rPr>
          <w:rFonts w:asciiTheme="minorBidi" w:hAnsiTheme="minorBidi"/>
        </w:rPr>
        <w:t xml:space="preserve">respective </w:t>
      </w:r>
      <w:r w:rsidRPr="002E118D">
        <w:rPr>
          <w:rFonts w:asciiTheme="minorBidi" w:hAnsiTheme="minorBidi"/>
        </w:rPr>
        <w:t>roles of reporting managers</w:t>
      </w:r>
      <w:r w:rsidR="005C7210" w:rsidRPr="002E118D">
        <w:rPr>
          <w:rFonts w:asciiTheme="minorBidi" w:hAnsiTheme="minorBidi"/>
        </w:rPr>
        <w:t xml:space="preserve"> and </w:t>
      </w:r>
      <w:r w:rsidR="006F5184" w:rsidRPr="002E118D">
        <w:rPr>
          <w:rFonts w:asciiTheme="minorBidi" w:hAnsiTheme="minorBidi"/>
        </w:rPr>
        <w:t>Chief Executive Officers (</w:t>
      </w:r>
      <w:r w:rsidR="005C7210" w:rsidRPr="002E118D">
        <w:rPr>
          <w:rFonts w:asciiTheme="minorBidi" w:hAnsiTheme="minorBidi"/>
        </w:rPr>
        <w:t>CEOs</w:t>
      </w:r>
      <w:r w:rsidR="006F5184" w:rsidRPr="002E118D">
        <w:rPr>
          <w:rFonts w:asciiTheme="minorBidi" w:hAnsiTheme="minorBidi"/>
        </w:rPr>
        <w:t>)</w:t>
      </w:r>
      <w:r w:rsidRPr="002E118D">
        <w:rPr>
          <w:rFonts w:asciiTheme="minorBidi" w:hAnsiTheme="minorBidi"/>
        </w:rPr>
        <w:t xml:space="preserve">. </w:t>
      </w:r>
    </w:p>
    <w:p w14:paraId="6BF80F00" w14:textId="51D3B656" w:rsidR="00B922F7" w:rsidRPr="002E118D" w:rsidRDefault="006140D1">
      <w:pPr>
        <w:rPr>
          <w:rFonts w:asciiTheme="minorBidi" w:hAnsiTheme="minorBidi"/>
        </w:rPr>
      </w:pPr>
      <w:r w:rsidRPr="002E118D">
        <w:rPr>
          <w:rFonts w:asciiTheme="minorBidi" w:hAnsiTheme="minorBidi"/>
        </w:rPr>
        <w:t>S</w:t>
      </w:r>
      <w:r w:rsidR="009C49B4" w:rsidRPr="002E118D">
        <w:rPr>
          <w:rFonts w:asciiTheme="minorBidi" w:hAnsiTheme="minorBidi"/>
        </w:rPr>
        <w:t xml:space="preserve">emi-structured interviews </w:t>
      </w:r>
      <w:r w:rsidRPr="002E118D">
        <w:rPr>
          <w:rFonts w:asciiTheme="minorBidi" w:hAnsiTheme="minorBidi"/>
        </w:rPr>
        <w:t xml:space="preserve">were carried out </w:t>
      </w:r>
      <w:r w:rsidR="009C49B4" w:rsidRPr="002E118D">
        <w:rPr>
          <w:rFonts w:asciiTheme="minorBidi" w:hAnsiTheme="minorBidi"/>
        </w:rPr>
        <w:t xml:space="preserve">with </w:t>
      </w:r>
      <w:r w:rsidR="008D1D1F" w:rsidRPr="002E118D">
        <w:rPr>
          <w:rFonts w:asciiTheme="minorBidi" w:hAnsiTheme="minorBidi"/>
        </w:rPr>
        <w:t xml:space="preserve">ten </w:t>
      </w:r>
      <w:r w:rsidRPr="002E118D">
        <w:rPr>
          <w:rFonts w:asciiTheme="minorBidi" w:hAnsiTheme="minorBidi"/>
        </w:rPr>
        <w:t xml:space="preserve">managers responsible for </w:t>
      </w:r>
      <w:r w:rsidR="009C49B4" w:rsidRPr="002E118D">
        <w:rPr>
          <w:rFonts w:asciiTheme="minorBidi" w:hAnsiTheme="minorBidi"/>
        </w:rPr>
        <w:t xml:space="preserve">the process </w:t>
      </w:r>
      <w:r w:rsidRPr="002E118D">
        <w:rPr>
          <w:rFonts w:asciiTheme="minorBidi" w:hAnsiTheme="minorBidi"/>
        </w:rPr>
        <w:t xml:space="preserve">of </w:t>
      </w:r>
      <w:r w:rsidR="009C49B4" w:rsidRPr="002E118D">
        <w:rPr>
          <w:rFonts w:asciiTheme="minorBidi" w:hAnsiTheme="minorBidi"/>
        </w:rPr>
        <w:t>prepar</w:t>
      </w:r>
      <w:r w:rsidRPr="002E118D">
        <w:rPr>
          <w:rFonts w:asciiTheme="minorBidi" w:hAnsiTheme="minorBidi"/>
        </w:rPr>
        <w:t>ing</w:t>
      </w:r>
      <w:r w:rsidR="009C49B4" w:rsidRPr="002E118D">
        <w:rPr>
          <w:rFonts w:asciiTheme="minorBidi" w:hAnsiTheme="minorBidi"/>
        </w:rPr>
        <w:t xml:space="preserve"> SASRs.</w:t>
      </w:r>
      <w:r w:rsidR="008D1D1F" w:rsidRPr="002E118D">
        <w:rPr>
          <w:rFonts w:asciiTheme="minorBidi" w:hAnsiTheme="minorBidi"/>
        </w:rPr>
        <w:t xml:space="preserve"> </w:t>
      </w:r>
      <w:r w:rsidR="009C49B4" w:rsidRPr="002E118D">
        <w:rPr>
          <w:rFonts w:asciiTheme="minorBidi" w:hAnsiTheme="minorBidi"/>
        </w:rPr>
        <w:t xml:space="preserve">The main findings </w:t>
      </w:r>
      <w:r w:rsidR="00927936">
        <w:rPr>
          <w:rFonts w:asciiTheme="minorBidi" w:hAnsiTheme="minorBidi"/>
        </w:rPr>
        <w:t>are</w:t>
      </w:r>
      <w:r w:rsidR="009C49B4" w:rsidRPr="002E118D">
        <w:rPr>
          <w:rFonts w:asciiTheme="minorBidi" w:hAnsiTheme="minorBidi"/>
        </w:rPr>
        <w:t xml:space="preserve"> </w:t>
      </w:r>
      <w:r w:rsidR="000D0049" w:rsidRPr="002E118D">
        <w:rPr>
          <w:rFonts w:asciiTheme="minorBidi" w:hAnsiTheme="minorBidi"/>
        </w:rPr>
        <w:t>(i) the process and preparation of SASRs is complex and costly</w:t>
      </w:r>
      <w:r w:rsidRPr="002E118D">
        <w:rPr>
          <w:rFonts w:asciiTheme="minorBidi" w:hAnsiTheme="minorBidi"/>
        </w:rPr>
        <w:t>,</w:t>
      </w:r>
      <w:r w:rsidR="000D0049" w:rsidRPr="002E118D">
        <w:rPr>
          <w:rFonts w:asciiTheme="minorBidi" w:hAnsiTheme="minorBidi"/>
        </w:rPr>
        <w:t xml:space="preserve"> (ii) the communication department champion</w:t>
      </w:r>
      <w:r w:rsidR="007153A9" w:rsidRPr="002E118D">
        <w:rPr>
          <w:rFonts w:asciiTheme="minorBidi" w:hAnsiTheme="minorBidi"/>
        </w:rPr>
        <w:t>s</w:t>
      </w:r>
      <w:r w:rsidR="000D0049" w:rsidRPr="002E118D">
        <w:rPr>
          <w:rFonts w:asciiTheme="minorBidi" w:hAnsiTheme="minorBidi"/>
        </w:rPr>
        <w:t xml:space="preserve"> the process of SASRs and external designers </w:t>
      </w:r>
      <w:r w:rsidR="006F5184" w:rsidRPr="002E118D">
        <w:rPr>
          <w:rFonts w:asciiTheme="minorBidi" w:hAnsiTheme="minorBidi"/>
        </w:rPr>
        <w:t>are</w:t>
      </w:r>
      <w:r w:rsidR="000D0049" w:rsidRPr="002E118D">
        <w:rPr>
          <w:rFonts w:asciiTheme="minorBidi" w:hAnsiTheme="minorBidi"/>
        </w:rPr>
        <w:t xml:space="preserve"> responsible for the design of SASRs</w:t>
      </w:r>
      <w:r w:rsidRPr="002E118D">
        <w:rPr>
          <w:rFonts w:asciiTheme="minorBidi" w:hAnsiTheme="minorBidi"/>
        </w:rPr>
        <w:t>,</w:t>
      </w:r>
      <w:r w:rsidR="000D0049" w:rsidRPr="002E118D">
        <w:rPr>
          <w:rFonts w:asciiTheme="minorBidi" w:hAnsiTheme="minorBidi"/>
        </w:rPr>
        <w:t xml:space="preserve"> (iii) </w:t>
      </w:r>
      <w:r w:rsidR="00530453" w:rsidRPr="002E118D">
        <w:rPr>
          <w:rFonts w:asciiTheme="minorBidi" w:hAnsiTheme="minorBidi"/>
        </w:rPr>
        <w:t>the CEO plays a varying role in</w:t>
      </w:r>
      <w:r w:rsidR="00F07EA3" w:rsidRPr="002E118D">
        <w:rPr>
          <w:rFonts w:asciiTheme="minorBidi" w:hAnsiTheme="minorBidi"/>
        </w:rPr>
        <w:t xml:space="preserve"> selecting designers and</w:t>
      </w:r>
      <w:r w:rsidR="00530453" w:rsidRPr="002E118D">
        <w:rPr>
          <w:rFonts w:asciiTheme="minorBidi" w:hAnsiTheme="minorBidi"/>
        </w:rPr>
        <w:t xml:space="preserve"> determining the form and </w:t>
      </w:r>
      <w:r w:rsidR="00F07EA3" w:rsidRPr="002E118D">
        <w:rPr>
          <w:rFonts w:asciiTheme="minorBidi" w:hAnsiTheme="minorBidi"/>
        </w:rPr>
        <w:t xml:space="preserve">(visual) </w:t>
      </w:r>
      <w:r w:rsidR="00530453" w:rsidRPr="002E118D">
        <w:rPr>
          <w:rFonts w:asciiTheme="minorBidi" w:hAnsiTheme="minorBidi"/>
        </w:rPr>
        <w:t>content of the SASRs,</w:t>
      </w:r>
      <w:r w:rsidR="000D0049" w:rsidRPr="002E118D">
        <w:rPr>
          <w:rFonts w:asciiTheme="minorBidi" w:hAnsiTheme="minorBidi"/>
        </w:rPr>
        <w:t xml:space="preserve"> (iv) reporting managers</w:t>
      </w:r>
      <w:r w:rsidR="00CA2136" w:rsidRPr="002E118D">
        <w:rPr>
          <w:rFonts w:asciiTheme="minorBidi" w:hAnsiTheme="minorBidi"/>
        </w:rPr>
        <w:t xml:space="preserve"> are constrained by the CEO’s reporting strategy</w:t>
      </w:r>
      <w:r w:rsidRPr="002E118D">
        <w:rPr>
          <w:rFonts w:asciiTheme="minorBidi" w:hAnsiTheme="minorBidi"/>
        </w:rPr>
        <w:t>, and</w:t>
      </w:r>
      <w:r w:rsidR="00FA6664" w:rsidRPr="002E118D">
        <w:rPr>
          <w:rFonts w:asciiTheme="minorBidi" w:hAnsiTheme="minorBidi"/>
        </w:rPr>
        <w:t xml:space="preserve"> (v)</w:t>
      </w:r>
      <w:r w:rsidR="00B53A94" w:rsidRPr="002E118D">
        <w:rPr>
          <w:rFonts w:asciiTheme="minorBidi" w:hAnsiTheme="minorBidi"/>
        </w:rPr>
        <w:t xml:space="preserve"> </w:t>
      </w:r>
      <w:r w:rsidRPr="002E118D">
        <w:rPr>
          <w:rFonts w:asciiTheme="minorBidi" w:hAnsiTheme="minorBidi"/>
        </w:rPr>
        <w:t>v</w:t>
      </w:r>
      <w:r w:rsidR="000D0049" w:rsidRPr="002E118D">
        <w:rPr>
          <w:rFonts w:asciiTheme="minorBidi" w:hAnsiTheme="minorBidi"/>
        </w:rPr>
        <w:t>isuals</w:t>
      </w:r>
      <w:r w:rsidR="00B922F7" w:rsidRPr="002E118D">
        <w:rPr>
          <w:rFonts w:asciiTheme="minorBidi" w:hAnsiTheme="minorBidi"/>
        </w:rPr>
        <w:t xml:space="preserve"> and</w:t>
      </w:r>
      <w:r w:rsidR="008B5ADA" w:rsidRPr="002E118D">
        <w:rPr>
          <w:rFonts w:asciiTheme="minorBidi" w:hAnsiTheme="minorBidi"/>
        </w:rPr>
        <w:t xml:space="preserve"> blank space</w:t>
      </w:r>
      <w:r w:rsidR="000D0049" w:rsidRPr="002E118D">
        <w:rPr>
          <w:rFonts w:asciiTheme="minorBidi" w:hAnsiTheme="minorBidi"/>
        </w:rPr>
        <w:t xml:space="preserve"> are used symbolically</w:t>
      </w:r>
      <w:r w:rsidR="009C67C1" w:rsidRPr="002E118D">
        <w:rPr>
          <w:rFonts w:asciiTheme="minorBidi" w:hAnsiTheme="minorBidi"/>
        </w:rPr>
        <w:t xml:space="preserve"> to advance the CEO</w:t>
      </w:r>
      <w:r w:rsidRPr="002E118D">
        <w:rPr>
          <w:rFonts w:asciiTheme="minorBidi" w:hAnsiTheme="minorBidi"/>
        </w:rPr>
        <w:t>’s</w:t>
      </w:r>
      <w:r w:rsidR="009C67C1" w:rsidRPr="002E118D">
        <w:rPr>
          <w:rFonts w:asciiTheme="minorBidi" w:hAnsiTheme="minorBidi"/>
        </w:rPr>
        <w:t xml:space="preserve"> reporting strategy</w:t>
      </w:r>
      <w:r w:rsidR="000D0049" w:rsidRPr="002E118D">
        <w:rPr>
          <w:rFonts w:asciiTheme="minorBidi" w:hAnsiTheme="minorBidi"/>
        </w:rPr>
        <w:t xml:space="preserve"> </w:t>
      </w:r>
      <w:r w:rsidR="005F3863" w:rsidRPr="002E118D">
        <w:rPr>
          <w:rFonts w:asciiTheme="minorBidi" w:hAnsiTheme="minorBidi"/>
        </w:rPr>
        <w:t>in order to maintain legitimacy</w:t>
      </w:r>
      <w:r w:rsidR="008D6B96" w:rsidRPr="002E118D">
        <w:rPr>
          <w:rFonts w:asciiTheme="minorBidi" w:hAnsiTheme="minorBidi"/>
        </w:rPr>
        <w:t>.</w:t>
      </w:r>
      <w:r w:rsidR="00F70493" w:rsidRPr="002E118D">
        <w:rPr>
          <w:rFonts w:asciiTheme="minorBidi" w:hAnsiTheme="minorBidi"/>
        </w:rPr>
        <w:t xml:space="preserve"> </w:t>
      </w:r>
    </w:p>
    <w:p w14:paraId="219A7999" w14:textId="3BBFC2B0" w:rsidR="00530453" w:rsidRPr="002E118D" w:rsidRDefault="00F70493">
      <w:pPr>
        <w:rPr>
          <w:rFonts w:asciiTheme="minorBidi" w:hAnsiTheme="minorBidi"/>
        </w:rPr>
      </w:pPr>
      <w:r w:rsidRPr="002E118D">
        <w:rPr>
          <w:rFonts w:asciiTheme="minorBidi" w:hAnsiTheme="minorBidi"/>
        </w:rPr>
        <w:t xml:space="preserve">We suggest that the tensions imposed on managers responsible for preparing SASRs provide evidence of </w:t>
      </w:r>
      <w:r w:rsidR="00B922F7" w:rsidRPr="002E118D">
        <w:rPr>
          <w:rFonts w:asciiTheme="minorBidi" w:hAnsiTheme="minorBidi"/>
        </w:rPr>
        <w:t>“</w:t>
      </w:r>
      <w:r w:rsidRPr="002E118D">
        <w:rPr>
          <w:rFonts w:asciiTheme="minorBidi" w:hAnsiTheme="minorBidi"/>
        </w:rPr>
        <w:t>functional stupidity</w:t>
      </w:r>
      <w:r w:rsidR="00B922F7" w:rsidRPr="002E118D">
        <w:rPr>
          <w:rFonts w:asciiTheme="minorBidi" w:hAnsiTheme="minorBidi"/>
        </w:rPr>
        <w:t>”</w:t>
      </w:r>
      <w:r w:rsidR="00CA2136" w:rsidRPr="002E118D">
        <w:rPr>
          <w:rFonts w:asciiTheme="minorBidi" w:hAnsiTheme="minorBidi"/>
        </w:rPr>
        <w:t xml:space="preserve"> within organisations</w:t>
      </w:r>
      <w:r w:rsidR="005903E4" w:rsidRPr="002E118D">
        <w:rPr>
          <w:rFonts w:asciiTheme="minorBidi" w:hAnsiTheme="minorBidi"/>
        </w:rPr>
        <w:t xml:space="preserve">, which employ </w:t>
      </w:r>
      <w:r w:rsidR="006E7DB2" w:rsidRPr="002E118D">
        <w:rPr>
          <w:rFonts w:asciiTheme="minorBidi" w:hAnsiTheme="minorBidi"/>
        </w:rPr>
        <w:t>an economics</w:t>
      </w:r>
      <w:r w:rsidR="00F97A90" w:rsidRPr="002E118D">
        <w:rPr>
          <w:rFonts w:asciiTheme="minorBidi" w:hAnsiTheme="minorBidi"/>
        </w:rPr>
        <w:t xml:space="preserve"> of persuasion </w:t>
      </w:r>
      <w:r w:rsidR="005903E4" w:rsidRPr="002E118D">
        <w:rPr>
          <w:rFonts w:asciiTheme="minorBidi" w:hAnsiTheme="minorBidi"/>
        </w:rPr>
        <w:t>that</w:t>
      </w:r>
      <w:r w:rsidR="00F97A90" w:rsidRPr="002E118D">
        <w:rPr>
          <w:rFonts w:asciiTheme="minorBidi" w:hAnsiTheme="minorBidi"/>
        </w:rPr>
        <w:t xml:space="preserve"> emphasises image and </w:t>
      </w:r>
      <w:r w:rsidR="00E718F2" w:rsidRPr="002E118D">
        <w:rPr>
          <w:rFonts w:asciiTheme="minorBidi" w:hAnsiTheme="minorBidi"/>
        </w:rPr>
        <w:t>symbolic manipulations</w:t>
      </w:r>
      <w:r w:rsidR="00B922F7" w:rsidRPr="002E118D">
        <w:rPr>
          <w:rFonts w:asciiTheme="minorBidi" w:hAnsiTheme="minorBidi"/>
        </w:rPr>
        <w:t xml:space="preserve">, and where reporting managers are encouraged to conform </w:t>
      </w:r>
      <w:r w:rsidR="00D769C3">
        <w:rPr>
          <w:rFonts w:asciiTheme="minorBidi" w:hAnsiTheme="minorBidi"/>
        </w:rPr>
        <w:t>to</w:t>
      </w:r>
      <w:r w:rsidR="00B922F7" w:rsidRPr="002E118D">
        <w:rPr>
          <w:rFonts w:asciiTheme="minorBidi" w:hAnsiTheme="minorBidi"/>
        </w:rPr>
        <w:t xml:space="preserve"> perceived reporting strategies</w:t>
      </w:r>
      <w:r w:rsidR="00F97A90" w:rsidRPr="002E118D">
        <w:rPr>
          <w:rFonts w:asciiTheme="minorBidi" w:hAnsiTheme="minorBidi"/>
        </w:rPr>
        <w:t xml:space="preserve">. </w:t>
      </w:r>
      <w:r w:rsidR="00A3557B" w:rsidRPr="002E118D">
        <w:rPr>
          <w:rFonts w:asciiTheme="minorBidi" w:hAnsiTheme="minorBidi"/>
        </w:rPr>
        <w:t>T</w:t>
      </w:r>
      <w:r w:rsidR="008D1D1F" w:rsidRPr="002E118D">
        <w:rPr>
          <w:rFonts w:asciiTheme="minorBidi" w:hAnsiTheme="minorBidi"/>
        </w:rPr>
        <w:t>he exploratory nature of this study opens avenue</w:t>
      </w:r>
      <w:r w:rsidR="00A3557B" w:rsidRPr="002E118D">
        <w:rPr>
          <w:rFonts w:asciiTheme="minorBidi" w:hAnsiTheme="minorBidi"/>
        </w:rPr>
        <w:t>s</w:t>
      </w:r>
      <w:r w:rsidR="008D1D1F" w:rsidRPr="002E118D">
        <w:rPr>
          <w:rFonts w:asciiTheme="minorBidi" w:hAnsiTheme="minorBidi"/>
        </w:rPr>
        <w:t xml:space="preserve"> for fu</w:t>
      </w:r>
      <w:r w:rsidR="00B47104" w:rsidRPr="002E118D">
        <w:rPr>
          <w:rFonts w:asciiTheme="minorBidi" w:hAnsiTheme="minorBidi"/>
        </w:rPr>
        <w:t xml:space="preserve">ture research in the context of </w:t>
      </w:r>
      <w:r w:rsidR="00A3557B" w:rsidRPr="002E118D">
        <w:rPr>
          <w:rFonts w:asciiTheme="minorBidi" w:hAnsiTheme="minorBidi"/>
        </w:rPr>
        <w:t>“</w:t>
      </w:r>
      <w:r w:rsidR="00B47104" w:rsidRPr="002E118D">
        <w:rPr>
          <w:rFonts w:asciiTheme="minorBidi" w:hAnsiTheme="minorBidi"/>
        </w:rPr>
        <w:t>functional stupidity</w:t>
      </w:r>
      <w:r w:rsidR="00A3557B" w:rsidRPr="002E118D">
        <w:rPr>
          <w:rFonts w:asciiTheme="minorBidi" w:hAnsiTheme="minorBidi"/>
        </w:rPr>
        <w:t>”</w:t>
      </w:r>
      <w:r w:rsidR="00B47104" w:rsidRPr="002E118D">
        <w:rPr>
          <w:rFonts w:asciiTheme="minorBidi" w:hAnsiTheme="minorBidi"/>
        </w:rPr>
        <w:t xml:space="preserve"> and reporting processes</w:t>
      </w:r>
      <w:r w:rsidR="008D1D1F" w:rsidRPr="002E118D">
        <w:rPr>
          <w:rFonts w:asciiTheme="minorBidi" w:hAnsiTheme="minorBidi"/>
        </w:rPr>
        <w:t>.</w:t>
      </w:r>
    </w:p>
    <w:p w14:paraId="09C44040" w14:textId="77777777" w:rsidR="008D1D1F" w:rsidRPr="002E118D" w:rsidRDefault="008D1D1F">
      <w:pPr>
        <w:rPr>
          <w:rFonts w:asciiTheme="minorBidi" w:hAnsiTheme="minorBidi"/>
        </w:rPr>
      </w:pPr>
    </w:p>
    <w:p w14:paraId="4310CCD6" w14:textId="447BF254" w:rsidR="00742AE9" w:rsidRPr="002E118D" w:rsidRDefault="00742AE9">
      <w:pPr>
        <w:rPr>
          <w:rFonts w:asciiTheme="minorBidi" w:hAnsiTheme="minorBidi"/>
        </w:rPr>
      </w:pPr>
      <w:r w:rsidRPr="002E118D">
        <w:rPr>
          <w:rFonts w:asciiTheme="minorBidi" w:hAnsiTheme="minorBidi"/>
          <w:b/>
        </w:rPr>
        <w:t>Key words</w:t>
      </w:r>
      <w:r w:rsidRPr="002E118D">
        <w:rPr>
          <w:rFonts w:asciiTheme="minorBidi" w:hAnsiTheme="minorBidi"/>
        </w:rPr>
        <w:t xml:space="preserve">: Corporate social responsibility, Stand-alone sustainability reports, </w:t>
      </w:r>
      <w:r w:rsidR="00A01B9B" w:rsidRPr="002E118D">
        <w:rPr>
          <w:rFonts w:asciiTheme="minorBidi" w:hAnsiTheme="minorBidi"/>
        </w:rPr>
        <w:t>Visual i</w:t>
      </w:r>
      <w:r w:rsidRPr="002E118D">
        <w:rPr>
          <w:rFonts w:asciiTheme="minorBidi" w:hAnsiTheme="minorBidi"/>
        </w:rPr>
        <w:t xml:space="preserve">mpression management, Functional </w:t>
      </w:r>
      <w:r w:rsidR="00F70493" w:rsidRPr="002E118D">
        <w:rPr>
          <w:rFonts w:asciiTheme="minorBidi" w:hAnsiTheme="minorBidi"/>
        </w:rPr>
        <w:t>s</w:t>
      </w:r>
      <w:r w:rsidRPr="002E118D">
        <w:rPr>
          <w:rFonts w:asciiTheme="minorBidi" w:hAnsiTheme="minorBidi"/>
        </w:rPr>
        <w:t>tupidity, Global Reporting Initiative</w:t>
      </w:r>
    </w:p>
    <w:p w14:paraId="31B5C776" w14:textId="19F77504" w:rsidR="00742AE9" w:rsidRPr="002E118D" w:rsidRDefault="00742AE9">
      <w:pPr>
        <w:spacing w:after="160" w:line="259" w:lineRule="auto"/>
        <w:rPr>
          <w:rFonts w:asciiTheme="minorBidi" w:hAnsiTheme="minorBidi"/>
        </w:rPr>
      </w:pPr>
      <w:r w:rsidRPr="002E118D">
        <w:rPr>
          <w:rFonts w:asciiTheme="minorBidi" w:hAnsiTheme="minorBidi"/>
        </w:rPr>
        <w:br w:type="page"/>
      </w:r>
    </w:p>
    <w:p w14:paraId="6FA7E2C7" w14:textId="2022BC00" w:rsidR="00742AE9" w:rsidRPr="002E118D" w:rsidRDefault="00742AE9" w:rsidP="008C0DF8">
      <w:pPr>
        <w:pStyle w:val="Title"/>
      </w:pPr>
      <w:r w:rsidRPr="002E118D">
        <w:lastRenderedPageBreak/>
        <w:t xml:space="preserve">The production of stand-alone sustainability reports: </w:t>
      </w:r>
      <w:r w:rsidR="008319B7" w:rsidRPr="002E118D">
        <w:t>Visual i</w:t>
      </w:r>
      <w:r w:rsidRPr="002E118D">
        <w:t xml:space="preserve">mpression management, legitimacy and </w:t>
      </w:r>
      <w:r w:rsidR="00283EAB" w:rsidRPr="002E118D">
        <w:t>“</w:t>
      </w:r>
      <w:r w:rsidRPr="002E118D">
        <w:t>functional stupidity</w:t>
      </w:r>
      <w:r w:rsidR="00283EAB" w:rsidRPr="002E118D">
        <w:t>”</w:t>
      </w:r>
    </w:p>
    <w:p w14:paraId="6B4AA130" w14:textId="4776F9C7" w:rsidR="001C6647" w:rsidRPr="002E118D" w:rsidRDefault="00853B88" w:rsidP="00BA12C2">
      <w:pPr>
        <w:pStyle w:val="Heading1"/>
      </w:pPr>
      <w:r w:rsidRPr="002E118D">
        <w:t>Introduction</w:t>
      </w:r>
    </w:p>
    <w:p w14:paraId="4C5CD98E" w14:textId="5224F3E5" w:rsidR="00A56EE6" w:rsidRPr="002E118D" w:rsidRDefault="00853B88">
      <w:pPr>
        <w:rPr>
          <w:rFonts w:asciiTheme="minorBidi" w:hAnsiTheme="minorBidi"/>
        </w:rPr>
      </w:pPr>
      <w:r w:rsidRPr="002E118D">
        <w:rPr>
          <w:rFonts w:asciiTheme="minorBidi" w:hAnsiTheme="minorBidi"/>
        </w:rPr>
        <w:t>The production of stand-alone sustainability reports</w:t>
      </w:r>
      <w:r w:rsidR="00A7213A" w:rsidRPr="002E118D">
        <w:rPr>
          <w:rFonts w:asciiTheme="minorBidi" w:hAnsiTheme="minorBidi"/>
        </w:rPr>
        <w:t xml:space="preserve"> (SASRs)</w:t>
      </w:r>
      <w:r w:rsidRPr="002E118D">
        <w:rPr>
          <w:rFonts w:asciiTheme="minorBidi" w:hAnsiTheme="minorBidi"/>
        </w:rPr>
        <w:t xml:space="preserve"> has grown dramatically over the past two decades; the question is no longer </w:t>
      </w:r>
      <w:r w:rsidR="009A1B55" w:rsidRPr="002E118D">
        <w:rPr>
          <w:rFonts w:asciiTheme="minorBidi" w:hAnsiTheme="minorBidi"/>
        </w:rPr>
        <w:t>“</w:t>
      </w:r>
      <w:r w:rsidRPr="002E118D">
        <w:rPr>
          <w:rFonts w:asciiTheme="minorBidi" w:hAnsiTheme="minorBidi"/>
        </w:rPr>
        <w:t>who is reporting</w:t>
      </w:r>
      <w:r w:rsidR="009A1B55" w:rsidRPr="002E118D">
        <w:rPr>
          <w:rFonts w:asciiTheme="minorBidi" w:hAnsiTheme="minorBidi"/>
        </w:rPr>
        <w:t>”</w:t>
      </w:r>
      <w:r w:rsidRPr="002E118D">
        <w:rPr>
          <w:rFonts w:asciiTheme="minorBidi" w:hAnsiTheme="minorBidi"/>
        </w:rPr>
        <w:t xml:space="preserve">, but </w:t>
      </w:r>
      <w:r w:rsidR="009A1B55" w:rsidRPr="002E118D">
        <w:rPr>
          <w:rFonts w:asciiTheme="minorBidi" w:hAnsiTheme="minorBidi"/>
        </w:rPr>
        <w:t>“</w:t>
      </w:r>
      <w:r w:rsidRPr="002E118D">
        <w:rPr>
          <w:rFonts w:asciiTheme="minorBidi" w:hAnsiTheme="minorBidi"/>
        </w:rPr>
        <w:t>who is not</w:t>
      </w:r>
      <w:r w:rsidR="009A1B55" w:rsidRPr="002E118D">
        <w:rPr>
          <w:rFonts w:asciiTheme="minorBidi" w:hAnsiTheme="minorBidi"/>
        </w:rPr>
        <w:t>”</w:t>
      </w:r>
      <w:r w:rsidRPr="002E118D">
        <w:rPr>
          <w:rFonts w:asciiTheme="minorBidi" w:hAnsiTheme="minorBidi"/>
        </w:rPr>
        <w:t>.</w:t>
      </w:r>
      <w:r w:rsidR="00B1677A" w:rsidRPr="002E118D">
        <w:rPr>
          <w:rFonts w:asciiTheme="minorBidi" w:hAnsiTheme="minorBidi"/>
        </w:rPr>
        <w:t xml:space="preserve"> </w:t>
      </w:r>
      <w:r w:rsidR="00B1677A" w:rsidRPr="002E118D">
        <w:rPr>
          <w:rFonts w:asciiTheme="minorBidi" w:hAnsiTheme="minorBidi"/>
          <w:lang w:val="en-US"/>
        </w:rPr>
        <w:t xml:space="preserve">The Global Reporting Initiative (GRI), an international </w:t>
      </w:r>
      <w:r w:rsidR="00BA12C2" w:rsidRPr="002E118D">
        <w:rPr>
          <w:rFonts w:asciiTheme="minorBidi" w:hAnsiTheme="minorBidi"/>
          <w:lang w:val="en-US"/>
        </w:rPr>
        <w:t>s</w:t>
      </w:r>
      <w:r w:rsidR="00B1677A" w:rsidRPr="002E118D">
        <w:rPr>
          <w:rFonts w:asciiTheme="minorBidi" w:hAnsiTheme="minorBidi"/>
          <w:lang w:val="en-US"/>
        </w:rPr>
        <w:t>tandard organisation, has issued increasingly rigorous guidelines for sustainability reporting since 2000, culminating in the first Standard launched in 2016. K</w:t>
      </w:r>
      <w:r w:rsidR="00DC1EE5">
        <w:rPr>
          <w:rFonts w:asciiTheme="minorBidi" w:hAnsiTheme="minorBidi"/>
          <w:lang w:val="en-US"/>
        </w:rPr>
        <w:t>P</w:t>
      </w:r>
      <w:r w:rsidR="00B1677A" w:rsidRPr="002E118D">
        <w:rPr>
          <w:rFonts w:asciiTheme="minorBidi" w:hAnsiTheme="minorBidi"/>
          <w:lang w:val="en-US"/>
        </w:rPr>
        <w:t>MG (2017) f</w:t>
      </w:r>
      <w:r w:rsidR="000118BC">
        <w:rPr>
          <w:rFonts w:asciiTheme="minorBidi" w:hAnsiTheme="minorBidi"/>
          <w:lang w:val="en-US"/>
        </w:rPr>
        <w:t>in</w:t>
      </w:r>
      <w:r w:rsidR="00927936">
        <w:rPr>
          <w:rFonts w:asciiTheme="minorBidi" w:hAnsiTheme="minorBidi"/>
          <w:lang w:val="en-US"/>
        </w:rPr>
        <w:t>ds</w:t>
      </w:r>
      <w:r w:rsidR="00B1677A" w:rsidRPr="002E118D">
        <w:rPr>
          <w:rFonts w:asciiTheme="minorBidi" w:hAnsiTheme="minorBidi"/>
          <w:lang w:val="en-US"/>
        </w:rPr>
        <w:t xml:space="preserve"> </w:t>
      </w:r>
      <w:r w:rsidR="00623D22">
        <w:rPr>
          <w:rFonts w:asciiTheme="minorBidi" w:hAnsiTheme="minorBidi"/>
          <w:lang w:val="en-US"/>
        </w:rPr>
        <w:t xml:space="preserve">that </w:t>
      </w:r>
      <w:r w:rsidR="00B1677A" w:rsidRPr="002E118D">
        <w:rPr>
          <w:rFonts w:asciiTheme="minorBidi" w:hAnsiTheme="minorBidi"/>
          <w:lang w:val="en-US"/>
        </w:rPr>
        <w:t>63% of the largest 100 companies and 75% of the Global Fortune 250 applied the GRI framework for their social and environmental reporting. The GRI indicators tend to increase the rigour and reliability of the reporting process (Dando &amp; Swift 2003).</w:t>
      </w:r>
      <w:r w:rsidRPr="002E118D">
        <w:rPr>
          <w:rFonts w:asciiTheme="minorBidi" w:hAnsiTheme="minorBidi"/>
        </w:rPr>
        <w:t xml:space="preserve"> </w:t>
      </w:r>
      <w:r w:rsidR="00A7213A" w:rsidRPr="002E118D">
        <w:rPr>
          <w:rFonts w:asciiTheme="minorBidi" w:hAnsiTheme="minorBidi"/>
        </w:rPr>
        <w:t>SASRs</w:t>
      </w:r>
      <w:r w:rsidRPr="002E118D">
        <w:rPr>
          <w:rFonts w:asciiTheme="minorBidi" w:hAnsiTheme="minorBidi"/>
        </w:rPr>
        <w:t xml:space="preserve"> </w:t>
      </w:r>
      <w:r w:rsidR="002C000E" w:rsidRPr="002E118D">
        <w:rPr>
          <w:rFonts w:asciiTheme="minorBidi" w:hAnsiTheme="minorBidi"/>
        </w:rPr>
        <w:t xml:space="preserve">are increasingly desired by </w:t>
      </w:r>
      <w:r w:rsidR="00244CEC" w:rsidRPr="002E118D">
        <w:rPr>
          <w:rFonts w:asciiTheme="minorBidi" w:hAnsiTheme="minorBidi"/>
        </w:rPr>
        <w:t>compan</w:t>
      </w:r>
      <w:r w:rsidR="00BA12C2" w:rsidRPr="002E118D">
        <w:rPr>
          <w:rFonts w:asciiTheme="minorBidi" w:hAnsiTheme="minorBidi"/>
        </w:rPr>
        <w:t>ie</w:t>
      </w:r>
      <w:r w:rsidR="002C000E" w:rsidRPr="002E118D">
        <w:rPr>
          <w:rFonts w:asciiTheme="minorBidi" w:hAnsiTheme="minorBidi"/>
        </w:rPr>
        <w:t>s</w:t>
      </w:r>
      <w:r w:rsidR="00027F45" w:rsidRPr="002E118D">
        <w:rPr>
          <w:rFonts w:asciiTheme="minorBidi" w:hAnsiTheme="minorBidi"/>
        </w:rPr>
        <w:t>’</w:t>
      </w:r>
      <w:r w:rsidR="002C000E" w:rsidRPr="002E118D">
        <w:rPr>
          <w:rFonts w:asciiTheme="minorBidi" w:hAnsiTheme="minorBidi"/>
        </w:rPr>
        <w:t xml:space="preserve"> stakeholders (Cormier et al., 2004) and</w:t>
      </w:r>
      <w:r w:rsidRPr="002E118D">
        <w:rPr>
          <w:rFonts w:asciiTheme="minorBidi" w:hAnsiTheme="minorBidi"/>
        </w:rPr>
        <w:t xml:space="preserve"> </w:t>
      </w:r>
      <w:r w:rsidR="00F70493" w:rsidRPr="002E118D">
        <w:rPr>
          <w:rFonts w:asciiTheme="minorBidi" w:hAnsiTheme="minorBidi"/>
        </w:rPr>
        <w:t xml:space="preserve">are </w:t>
      </w:r>
      <w:r w:rsidRPr="002E118D">
        <w:rPr>
          <w:rFonts w:asciiTheme="minorBidi" w:hAnsiTheme="minorBidi"/>
        </w:rPr>
        <w:t>relevant to stakeholders’ decision-making process</w:t>
      </w:r>
      <w:r w:rsidR="00A7213A" w:rsidRPr="002E118D">
        <w:rPr>
          <w:rFonts w:asciiTheme="minorBidi" w:hAnsiTheme="minorBidi"/>
        </w:rPr>
        <w:t>es</w:t>
      </w:r>
      <w:r w:rsidRPr="002E118D">
        <w:rPr>
          <w:rFonts w:asciiTheme="minorBidi" w:hAnsiTheme="minorBidi"/>
        </w:rPr>
        <w:t xml:space="preserve"> (</w:t>
      </w:r>
      <w:hyperlink r:id="rId12" w:anchor="_ENREF_80" w:tooltip="Cho, 2009 #14" w:history="1">
        <w:r w:rsidRPr="002E118D">
          <w:rPr>
            <w:rFonts w:asciiTheme="minorBidi" w:hAnsiTheme="minorBidi"/>
          </w:rPr>
          <w:t>Cho et al., 2009</w:t>
        </w:r>
      </w:hyperlink>
      <w:r w:rsidRPr="002E118D">
        <w:rPr>
          <w:rFonts w:asciiTheme="minorBidi" w:hAnsiTheme="minorBidi"/>
        </w:rPr>
        <w:t>)</w:t>
      </w:r>
      <w:r w:rsidR="00027F45" w:rsidRPr="002E118D">
        <w:rPr>
          <w:rFonts w:asciiTheme="minorBidi" w:hAnsiTheme="minorBidi"/>
        </w:rPr>
        <w:t>.</w:t>
      </w:r>
      <w:r w:rsidR="00E678EF" w:rsidRPr="002E118D">
        <w:rPr>
          <w:rFonts w:asciiTheme="minorBidi" w:hAnsiTheme="minorBidi"/>
          <w:bCs/>
        </w:rPr>
        <w:t xml:space="preserve"> </w:t>
      </w:r>
      <w:r w:rsidR="00CA2136" w:rsidRPr="002E118D">
        <w:rPr>
          <w:rFonts w:asciiTheme="minorBidi" w:hAnsiTheme="minorBidi"/>
          <w:bCs/>
        </w:rPr>
        <w:t>Reporting on c</w:t>
      </w:r>
      <w:r w:rsidR="001434CC" w:rsidRPr="002E118D">
        <w:rPr>
          <w:rFonts w:asciiTheme="minorBidi" w:hAnsiTheme="minorBidi"/>
          <w:bCs/>
        </w:rPr>
        <w:t>orporate social responsibility (</w:t>
      </w:r>
      <w:r w:rsidR="00E678EF" w:rsidRPr="002E118D">
        <w:rPr>
          <w:rFonts w:asciiTheme="minorBidi" w:hAnsiTheme="minorBidi"/>
          <w:bCs/>
        </w:rPr>
        <w:t>CSR</w:t>
      </w:r>
      <w:r w:rsidR="001434CC" w:rsidRPr="002E118D">
        <w:rPr>
          <w:rFonts w:asciiTheme="minorBidi" w:hAnsiTheme="minorBidi"/>
          <w:bCs/>
        </w:rPr>
        <w:t>)</w:t>
      </w:r>
      <w:r w:rsidR="00E678EF" w:rsidRPr="002E118D">
        <w:rPr>
          <w:rFonts w:asciiTheme="minorBidi" w:hAnsiTheme="minorBidi"/>
          <w:bCs/>
        </w:rPr>
        <w:t xml:space="preserve"> can </w:t>
      </w:r>
      <w:r w:rsidR="00912DEC" w:rsidRPr="002E118D">
        <w:rPr>
          <w:rFonts w:asciiTheme="minorBidi" w:hAnsiTheme="minorBidi"/>
          <w:bCs/>
        </w:rPr>
        <w:t xml:space="preserve">provide </w:t>
      </w:r>
      <w:r w:rsidR="00E678EF" w:rsidRPr="002E118D">
        <w:rPr>
          <w:rFonts w:asciiTheme="minorBidi" w:hAnsiTheme="minorBidi"/>
          <w:bCs/>
        </w:rPr>
        <w:t>a systematic approach to the management of socially responsible activities</w:t>
      </w:r>
      <w:r w:rsidR="008C0497" w:rsidRPr="002E118D">
        <w:rPr>
          <w:rFonts w:asciiTheme="minorBidi" w:hAnsiTheme="minorBidi"/>
          <w:bCs/>
        </w:rPr>
        <w:t>, to identify future risks and opportunities, and thereby contribute to increasing the competitiveness of the company</w:t>
      </w:r>
      <w:r w:rsidR="00F157AC" w:rsidRPr="002E118D">
        <w:rPr>
          <w:rFonts w:asciiTheme="minorBidi" w:hAnsiTheme="minorBidi"/>
          <w:bCs/>
        </w:rPr>
        <w:t xml:space="preserve"> </w:t>
      </w:r>
      <w:r w:rsidR="00F157AC" w:rsidRPr="00596D72">
        <w:rPr>
          <w:rFonts w:asciiTheme="minorBidi" w:hAnsiTheme="minorBidi"/>
          <w:bCs/>
        </w:rPr>
        <w:t>(</w:t>
      </w:r>
      <w:bookmarkStart w:id="1" w:name="_Hlk41234940"/>
      <w:r w:rsidR="00F157AC" w:rsidRPr="00596D72">
        <w:rPr>
          <w:rFonts w:asciiTheme="minorBidi" w:hAnsiTheme="minorBidi"/>
          <w:bCs/>
        </w:rPr>
        <w:t>Mora</w:t>
      </w:r>
      <w:r w:rsidR="00F85F65">
        <w:rPr>
          <w:rFonts w:asciiTheme="minorBidi" w:hAnsiTheme="minorBidi"/>
          <w:bCs/>
        </w:rPr>
        <w:t>v</w:t>
      </w:r>
      <w:r w:rsidR="00F157AC" w:rsidRPr="00596D72">
        <w:rPr>
          <w:rFonts w:asciiTheme="minorBidi" w:hAnsiTheme="minorBidi"/>
          <w:bCs/>
        </w:rPr>
        <w:t>cikova</w:t>
      </w:r>
      <w:r w:rsidR="00F157AC" w:rsidRPr="002E118D">
        <w:rPr>
          <w:rFonts w:asciiTheme="minorBidi" w:hAnsiTheme="minorBidi"/>
          <w:bCs/>
        </w:rPr>
        <w:t xml:space="preserve"> </w:t>
      </w:r>
      <w:bookmarkEnd w:id="1"/>
      <w:r w:rsidR="00F157AC" w:rsidRPr="002E118D">
        <w:rPr>
          <w:rFonts w:asciiTheme="minorBidi" w:hAnsiTheme="minorBidi"/>
          <w:bCs/>
        </w:rPr>
        <w:t>et al., 2015).</w:t>
      </w:r>
      <w:r w:rsidR="00886A4E">
        <w:rPr>
          <w:rFonts w:asciiTheme="minorBidi" w:hAnsiTheme="minorBidi"/>
          <w:bCs/>
        </w:rPr>
        <w:t xml:space="preserve"> </w:t>
      </w:r>
      <w:r w:rsidR="00F36410" w:rsidRPr="002E118D">
        <w:rPr>
          <w:rFonts w:asciiTheme="minorBidi" w:hAnsiTheme="minorBidi"/>
        </w:rPr>
        <w:t>On the other hand, CSR reporting can be exploited as an opportunity to camouflage corporate activities, conceal negative performance (Cho et al., 2010), and project corporate images that are detached from reality (Boiral, 2013).</w:t>
      </w:r>
      <w:r w:rsidR="00886A4E">
        <w:rPr>
          <w:rFonts w:asciiTheme="minorBidi" w:hAnsiTheme="minorBidi"/>
        </w:rPr>
        <w:t xml:space="preserve"> </w:t>
      </w:r>
    </w:p>
    <w:p w14:paraId="02D7F61E" w14:textId="366637BA" w:rsidR="00EF7DBB" w:rsidRPr="002E118D" w:rsidRDefault="00B13667">
      <w:pPr>
        <w:rPr>
          <w:rFonts w:asciiTheme="minorBidi" w:hAnsiTheme="minorBidi"/>
        </w:rPr>
      </w:pPr>
      <w:r w:rsidRPr="002E118D">
        <w:rPr>
          <w:rFonts w:asciiTheme="minorBidi" w:hAnsiTheme="minorBidi"/>
        </w:rPr>
        <w:t>V</w:t>
      </w:r>
      <w:r w:rsidR="00BE225E" w:rsidRPr="002E118D">
        <w:rPr>
          <w:rFonts w:asciiTheme="minorBidi" w:hAnsiTheme="minorBidi"/>
        </w:rPr>
        <w:t>isual</w:t>
      </w:r>
      <w:r w:rsidR="00F36410" w:rsidRPr="002E118D">
        <w:rPr>
          <w:rFonts w:asciiTheme="minorBidi" w:hAnsiTheme="minorBidi"/>
        </w:rPr>
        <w:t xml:space="preserve"> material</w:t>
      </w:r>
      <w:r w:rsidR="00B666AF" w:rsidRPr="002E118D">
        <w:rPr>
          <w:rFonts w:asciiTheme="minorBidi" w:hAnsiTheme="minorBidi"/>
        </w:rPr>
        <w:t>, such as graphs</w:t>
      </w:r>
      <w:r w:rsidR="009A1B55" w:rsidRPr="002E118D">
        <w:rPr>
          <w:rFonts w:asciiTheme="minorBidi" w:hAnsiTheme="minorBidi"/>
        </w:rPr>
        <w:t>, charts, diagrams, photographs and pictures</w:t>
      </w:r>
      <w:r w:rsidR="0000710D" w:rsidRPr="002E118D">
        <w:rPr>
          <w:rFonts w:asciiTheme="minorBidi" w:hAnsiTheme="minorBidi"/>
        </w:rPr>
        <w:t>,</w:t>
      </w:r>
      <w:r w:rsidR="00BE225E" w:rsidRPr="002E118D">
        <w:rPr>
          <w:rFonts w:asciiTheme="minorBidi" w:hAnsiTheme="minorBidi"/>
        </w:rPr>
        <w:t xml:space="preserve"> </w:t>
      </w:r>
      <w:r w:rsidR="00F07EA3" w:rsidRPr="002E118D">
        <w:rPr>
          <w:rFonts w:asciiTheme="minorBidi" w:hAnsiTheme="minorBidi"/>
        </w:rPr>
        <w:t>is</w:t>
      </w:r>
      <w:r w:rsidR="00E458AA" w:rsidRPr="002E118D">
        <w:rPr>
          <w:rFonts w:asciiTheme="minorBidi" w:hAnsiTheme="minorBidi"/>
        </w:rPr>
        <w:t xml:space="preserve"> widely used</w:t>
      </w:r>
      <w:r w:rsidR="005903E4" w:rsidRPr="002E118D">
        <w:rPr>
          <w:rFonts w:asciiTheme="minorBidi" w:hAnsiTheme="minorBidi"/>
        </w:rPr>
        <w:t xml:space="preserve"> in SASRs, </w:t>
      </w:r>
      <w:r w:rsidR="00BE225E" w:rsidRPr="002E118D">
        <w:rPr>
          <w:rFonts w:asciiTheme="minorBidi" w:hAnsiTheme="minorBidi"/>
        </w:rPr>
        <w:t xml:space="preserve">and can effectively convey accounting </w:t>
      </w:r>
      <w:r w:rsidR="00F70493" w:rsidRPr="002E118D">
        <w:rPr>
          <w:rFonts w:asciiTheme="minorBidi" w:hAnsiTheme="minorBidi"/>
        </w:rPr>
        <w:t xml:space="preserve">and other </w:t>
      </w:r>
      <w:r w:rsidR="00BE225E" w:rsidRPr="002E118D">
        <w:rPr>
          <w:rFonts w:asciiTheme="minorBidi" w:hAnsiTheme="minorBidi"/>
        </w:rPr>
        <w:t xml:space="preserve">information. </w:t>
      </w:r>
      <w:r w:rsidR="00E458AA" w:rsidRPr="002E118D">
        <w:rPr>
          <w:rFonts w:asciiTheme="minorBidi" w:hAnsiTheme="minorBidi"/>
        </w:rPr>
        <w:t>Most research into visual material in corporate reporting has been archival</w:t>
      </w:r>
      <w:r w:rsidR="00176C93">
        <w:rPr>
          <w:rFonts w:asciiTheme="minorBidi" w:hAnsiTheme="minorBidi"/>
        </w:rPr>
        <w:t xml:space="preserve"> (Davison, 2015).</w:t>
      </w:r>
      <w:r w:rsidR="00886A4E">
        <w:rPr>
          <w:rFonts w:asciiTheme="minorBidi" w:hAnsiTheme="minorBidi"/>
        </w:rPr>
        <w:t xml:space="preserve"> </w:t>
      </w:r>
      <w:r w:rsidR="00E458AA" w:rsidRPr="002E118D">
        <w:rPr>
          <w:rFonts w:asciiTheme="minorBidi" w:hAnsiTheme="minorBidi"/>
        </w:rPr>
        <w:t>The growth of visual material (</w:t>
      </w:r>
      <w:r w:rsidR="00283C10" w:rsidRPr="002E118D">
        <w:rPr>
          <w:rFonts w:asciiTheme="minorBidi" w:hAnsiTheme="minorBidi"/>
        </w:rPr>
        <w:t xml:space="preserve">Davison &amp; Skerratt, 2007; </w:t>
      </w:r>
      <w:r w:rsidR="00E458AA" w:rsidRPr="002E118D">
        <w:rPr>
          <w:rFonts w:asciiTheme="minorBidi" w:hAnsiTheme="minorBidi"/>
        </w:rPr>
        <w:t>Lee, 1994)</w:t>
      </w:r>
      <w:r w:rsidR="008829F5" w:rsidRPr="002E118D">
        <w:rPr>
          <w:rFonts w:asciiTheme="minorBidi" w:hAnsiTheme="minorBidi"/>
        </w:rPr>
        <w:t xml:space="preserve"> and its potential for impression management</w:t>
      </w:r>
      <w:r w:rsidR="005903E4" w:rsidRPr="002E118D">
        <w:rPr>
          <w:rFonts w:asciiTheme="minorBidi" w:hAnsiTheme="minorBidi"/>
        </w:rPr>
        <w:t>,</w:t>
      </w:r>
      <w:r w:rsidR="008829F5" w:rsidRPr="002E118D">
        <w:rPr>
          <w:rFonts w:asciiTheme="minorBidi" w:hAnsiTheme="minorBidi"/>
        </w:rPr>
        <w:t xml:space="preserve"> through</w:t>
      </w:r>
      <w:r w:rsidR="005903E4" w:rsidRPr="002E118D">
        <w:rPr>
          <w:rFonts w:asciiTheme="minorBidi" w:hAnsiTheme="minorBidi"/>
        </w:rPr>
        <w:t xml:space="preserve"> </w:t>
      </w:r>
      <w:r w:rsidR="008829F5" w:rsidRPr="002E118D">
        <w:rPr>
          <w:rFonts w:asciiTheme="minorBidi" w:hAnsiTheme="minorBidi"/>
        </w:rPr>
        <w:t>the use of graphical presentations (Beattie &amp; Jones,</w:t>
      </w:r>
      <w:r w:rsidR="00886A4E">
        <w:rPr>
          <w:rFonts w:asciiTheme="minorBidi" w:hAnsiTheme="minorBidi"/>
        </w:rPr>
        <w:t xml:space="preserve"> </w:t>
      </w:r>
      <w:r w:rsidR="008829F5" w:rsidRPr="002E118D">
        <w:rPr>
          <w:rFonts w:asciiTheme="minorBidi" w:hAnsiTheme="minorBidi"/>
        </w:rPr>
        <w:t>2008) and pictures and photographs (Davison, 2015)</w:t>
      </w:r>
      <w:r w:rsidR="005903E4" w:rsidRPr="002E118D">
        <w:rPr>
          <w:rFonts w:asciiTheme="minorBidi" w:hAnsiTheme="minorBidi"/>
        </w:rPr>
        <w:t>, is well recognised</w:t>
      </w:r>
      <w:r w:rsidR="009A1B55" w:rsidRPr="002E118D">
        <w:rPr>
          <w:rFonts w:asciiTheme="minorBidi" w:hAnsiTheme="minorBidi"/>
        </w:rPr>
        <w:t xml:space="preserve"> in annual report</w:t>
      </w:r>
      <w:r w:rsidR="00283C10" w:rsidRPr="002E118D">
        <w:rPr>
          <w:rFonts w:asciiTheme="minorBidi" w:hAnsiTheme="minorBidi"/>
        </w:rPr>
        <w:t>ing</w:t>
      </w:r>
      <w:r w:rsidR="008829F5" w:rsidRPr="002E118D">
        <w:rPr>
          <w:rFonts w:asciiTheme="minorBidi" w:hAnsiTheme="minorBidi"/>
        </w:rPr>
        <w:t>. A literature is emerging with regard to visual impress</w:t>
      </w:r>
      <w:r w:rsidR="009D5444" w:rsidRPr="002E118D">
        <w:rPr>
          <w:rFonts w:asciiTheme="minorBidi" w:hAnsiTheme="minorBidi"/>
        </w:rPr>
        <w:t>ion management</w:t>
      </w:r>
      <w:r w:rsidR="008829F5" w:rsidRPr="002E118D">
        <w:rPr>
          <w:rFonts w:asciiTheme="minorBidi" w:hAnsiTheme="minorBidi"/>
        </w:rPr>
        <w:t xml:space="preserve"> in social and environmental reporting through </w:t>
      </w:r>
      <w:r w:rsidR="005903E4" w:rsidRPr="002E118D">
        <w:rPr>
          <w:rFonts w:asciiTheme="minorBidi" w:hAnsiTheme="minorBidi"/>
        </w:rPr>
        <w:t xml:space="preserve">both </w:t>
      </w:r>
      <w:r w:rsidR="008829F5" w:rsidRPr="002E118D">
        <w:rPr>
          <w:rFonts w:asciiTheme="minorBidi" w:hAnsiTheme="minorBidi"/>
        </w:rPr>
        <w:t>graph</w:t>
      </w:r>
      <w:r w:rsidR="005903E4" w:rsidRPr="002E118D">
        <w:rPr>
          <w:rFonts w:asciiTheme="minorBidi" w:hAnsiTheme="minorBidi"/>
        </w:rPr>
        <w:t xml:space="preserve">s </w:t>
      </w:r>
      <w:r w:rsidR="008829F5" w:rsidRPr="002E118D">
        <w:rPr>
          <w:rFonts w:asciiTheme="minorBidi" w:hAnsiTheme="minorBidi"/>
        </w:rPr>
        <w:t>(</w:t>
      </w:r>
      <w:r w:rsidR="00283C10" w:rsidRPr="002E118D">
        <w:rPr>
          <w:rFonts w:asciiTheme="minorBidi" w:hAnsiTheme="minorBidi"/>
        </w:rPr>
        <w:t>Cho et al.</w:t>
      </w:r>
      <w:r w:rsidR="003D5444">
        <w:rPr>
          <w:rFonts w:asciiTheme="minorBidi" w:hAnsiTheme="minorBidi"/>
        </w:rPr>
        <w:t>,</w:t>
      </w:r>
      <w:r w:rsidR="00283C10" w:rsidRPr="002E118D">
        <w:rPr>
          <w:rFonts w:asciiTheme="minorBidi" w:hAnsiTheme="minorBidi"/>
        </w:rPr>
        <w:t xml:space="preserve"> 2012a; 2012b;</w:t>
      </w:r>
      <w:r w:rsidR="00886A4E">
        <w:rPr>
          <w:rFonts w:asciiTheme="minorBidi" w:hAnsiTheme="minorBidi"/>
        </w:rPr>
        <w:t xml:space="preserve"> </w:t>
      </w:r>
      <w:r w:rsidR="00283C10" w:rsidRPr="002E118D">
        <w:rPr>
          <w:rFonts w:asciiTheme="minorBidi" w:hAnsiTheme="minorBidi"/>
        </w:rPr>
        <w:t>Hrasky, 2012;</w:t>
      </w:r>
      <w:r w:rsidR="00886A4E">
        <w:rPr>
          <w:rFonts w:asciiTheme="minorBidi" w:hAnsiTheme="minorBidi"/>
        </w:rPr>
        <w:t xml:space="preserve"> </w:t>
      </w:r>
      <w:r w:rsidR="008829F5" w:rsidRPr="002E118D">
        <w:rPr>
          <w:rFonts w:asciiTheme="minorBidi" w:hAnsiTheme="minorBidi"/>
        </w:rPr>
        <w:t xml:space="preserve">Jones, 2011) and </w:t>
      </w:r>
      <w:r w:rsidR="009D5444" w:rsidRPr="002E118D">
        <w:rPr>
          <w:rFonts w:asciiTheme="minorBidi" w:hAnsiTheme="minorBidi"/>
        </w:rPr>
        <w:t xml:space="preserve">pictures and </w:t>
      </w:r>
      <w:r w:rsidR="008829F5" w:rsidRPr="002E118D">
        <w:rPr>
          <w:rFonts w:asciiTheme="minorBidi" w:hAnsiTheme="minorBidi"/>
        </w:rPr>
        <w:t xml:space="preserve">photographs </w:t>
      </w:r>
      <w:r w:rsidR="009D5444" w:rsidRPr="002E118D">
        <w:rPr>
          <w:rFonts w:asciiTheme="minorBidi" w:eastAsia="SimSun" w:hAnsiTheme="minorBidi"/>
        </w:rPr>
        <w:t>(</w:t>
      </w:r>
      <w:hyperlink w:anchor="_ENREF_48" w:tooltip="Boiral, 2013 #33" w:history="1">
        <w:r w:rsidR="009D5444" w:rsidRPr="002E118D">
          <w:rPr>
            <w:rStyle w:val="Hyperlink"/>
            <w:rFonts w:asciiTheme="minorBidi" w:eastAsia="SimSun" w:hAnsiTheme="minorBidi"/>
            <w:color w:val="auto"/>
            <w:u w:val="none"/>
          </w:rPr>
          <w:t>Boiral, 2013</w:t>
        </w:r>
      </w:hyperlink>
      <w:r w:rsidR="009D5444" w:rsidRPr="002E118D">
        <w:rPr>
          <w:rFonts w:asciiTheme="minorBidi" w:eastAsia="SimSun" w:hAnsiTheme="minorBidi"/>
        </w:rPr>
        <w:t xml:space="preserve">; </w:t>
      </w:r>
      <w:hyperlink w:anchor="_ENREF_126" w:tooltip="Duff, 2016 #36" w:history="1">
        <w:r w:rsidR="009D5444" w:rsidRPr="002E118D">
          <w:rPr>
            <w:rStyle w:val="Hyperlink"/>
            <w:rFonts w:asciiTheme="minorBidi" w:eastAsia="SimSun" w:hAnsiTheme="minorBidi"/>
            <w:color w:val="auto"/>
            <w:u w:val="none"/>
          </w:rPr>
          <w:t>Duff, 2016</w:t>
        </w:r>
      </w:hyperlink>
      <w:r w:rsidR="009D5444" w:rsidRPr="002E118D">
        <w:rPr>
          <w:rFonts w:asciiTheme="minorBidi" w:eastAsia="SimSun" w:hAnsiTheme="minorBidi"/>
        </w:rPr>
        <w:t xml:space="preserve">; Hrasky, 2012; </w:t>
      </w:r>
      <w:hyperlink w:anchor="_ENREF_284" w:tooltip="Pesci, 2014 #35" w:history="1">
        <w:r w:rsidR="009D5444" w:rsidRPr="002E118D">
          <w:rPr>
            <w:rStyle w:val="Hyperlink"/>
            <w:rFonts w:asciiTheme="minorBidi" w:eastAsia="SimSun" w:hAnsiTheme="minorBidi"/>
            <w:color w:val="auto"/>
            <w:u w:val="none"/>
          </w:rPr>
          <w:t>Pesci &amp; Costa, 2014</w:t>
        </w:r>
      </w:hyperlink>
      <w:r w:rsidR="009D5444" w:rsidRPr="002E118D">
        <w:rPr>
          <w:rFonts w:asciiTheme="minorBidi" w:eastAsia="SimSun" w:hAnsiTheme="minorBidi"/>
        </w:rPr>
        <w:t xml:space="preserve">; </w:t>
      </w:r>
      <w:hyperlink w:anchor="_ENREF_292" w:tooltip="Rämö, 2011 #34" w:history="1">
        <w:r w:rsidR="009D5444" w:rsidRPr="002E118D">
          <w:rPr>
            <w:rStyle w:val="Hyperlink"/>
            <w:rFonts w:asciiTheme="minorBidi" w:eastAsia="SimSun" w:hAnsiTheme="minorBidi"/>
            <w:color w:val="auto"/>
            <w:u w:val="none"/>
          </w:rPr>
          <w:t>Rämö, 2011</w:t>
        </w:r>
      </w:hyperlink>
      <w:r w:rsidR="009D5444" w:rsidRPr="002E118D">
        <w:rPr>
          <w:rFonts w:asciiTheme="minorBidi" w:eastAsia="SimSun" w:hAnsiTheme="minorBidi"/>
        </w:rPr>
        <w:t>).</w:t>
      </w:r>
      <w:r w:rsidR="002E118D">
        <w:rPr>
          <w:rFonts w:asciiTheme="minorBidi" w:eastAsia="SimSun" w:hAnsiTheme="minorBidi"/>
        </w:rPr>
        <w:t xml:space="preserve"> </w:t>
      </w:r>
      <w:r w:rsidR="00810DA2" w:rsidRPr="002E118D">
        <w:rPr>
          <w:rFonts w:asciiTheme="minorBidi" w:eastAsia="SimSun" w:hAnsiTheme="minorBidi"/>
        </w:rPr>
        <w:t>However, the</w:t>
      </w:r>
      <w:r w:rsidR="00E65A43" w:rsidRPr="002E118D">
        <w:rPr>
          <w:rFonts w:asciiTheme="minorBidi" w:eastAsia="SimSun" w:hAnsiTheme="minorBidi"/>
        </w:rPr>
        <w:t xml:space="preserve"> important</w:t>
      </w:r>
      <w:r w:rsidR="00810DA2" w:rsidRPr="002E118D">
        <w:rPr>
          <w:rFonts w:asciiTheme="minorBidi" w:eastAsia="SimSun" w:hAnsiTheme="minorBidi"/>
        </w:rPr>
        <w:t xml:space="preserve"> process by which sustainability and integrated reports are prepared</w:t>
      </w:r>
      <w:r w:rsidR="009A1B55" w:rsidRPr="002E118D">
        <w:rPr>
          <w:rFonts w:asciiTheme="minorBidi" w:eastAsia="SimSun" w:hAnsiTheme="minorBidi"/>
        </w:rPr>
        <w:t xml:space="preserve"> has</w:t>
      </w:r>
      <w:r w:rsidR="00810DA2" w:rsidRPr="002E118D">
        <w:rPr>
          <w:rFonts w:asciiTheme="minorBidi" w:eastAsia="SimSun" w:hAnsiTheme="minorBidi"/>
        </w:rPr>
        <w:t xml:space="preserve"> been a largely neglected area; exceptions are studies by</w:t>
      </w:r>
      <w:r w:rsidR="005811B6" w:rsidRPr="002E118D">
        <w:rPr>
          <w:rFonts w:asciiTheme="minorBidi" w:eastAsia="SimSun" w:hAnsiTheme="minorBidi"/>
        </w:rPr>
        <w:t xml:space="preserve"> Adams (2002),</w:t>
      </w:r>
      <w:r w:rsidR="00810DA2" w:rsidRPr="002E118D">
        <w:rPr>
          <w:rFonts w:asciiTheme="minorBidi" w:eastAsia="SimSun" w:hAnsiTheme="minorBidi"/>
        </w:rPr>
        <w:t xml:space="preserve"> Farneti and Guthrie (2009)</w:t>
      </w:r>
      <w:r w:rsidR="00F36410" w:rsidRPr="002E118D">
        <w:rPr>
          <w:rFonts w:asciiTheme="minorBidi" w:eastAsia="SimSun" w:hAnsiTheme="minorBidi"/>
        </w:rPr>
        <w:t xml:space="preserve">, </w:t>
      </w:r>
      <w:r w:rsidR="00810DA2" w:rsidRPr="002E118D">
        <w:rPr>
          <w:rFonts w:asciiTheme="minorBidi" w:eastAsia="SimSun" w:hAnsiTheme="minorBidi"/>
        </w:rPr>
        <w:t xml:space="preserve">Chaidali </w:t>
      </w:r>
      <w:r w:rsidR="00886A4E">
        <w:rPr>
          <w:rFonts w:asciiTheme="minorBidi" w:eastAsia="SimSun" w:hAnsiTheme="minorBidi"/>
        </w:rPr>
        <w:t>and</w:t>
      </w:r>
      <w:r w:rsidR="00810DA2" w:rsidRPr="002E118D">
        <w:rPr>
          <w:rFonts w:asciiTheme="minorBidi" w:eastAsia="SimSun" w:hAnsiTheme="minorBidi"/>
        </w:rPr>
        <w:t xml:space="preserve"> Jones (2017)</w:t>
      </w:r>
      <w:r w:rsidR="00886A4E">
        <w:rPr>
          <w:rFonts w:asciiTheme="minorBidi" w:eastAsia="SimSun" w:hAnsiTheme="minorBidi"/>
        </w:rPr>
        <w:t>,</w:t>
      </w:r>
      <w:r w:rsidR="00F36410" w:rsidRPr="002E118D">
        <w:rPr>
          <w:rFonts w:asciiTheme="minorBidi" w:eastAsia="SimSun" w:hAnsiTheme="minorBidi"/>
        </w:rPr>
        <w:t xml:space="preserve"> and </w:t>
      </w:r>
      <w:r w:rsidR="00F36410" w:rsidRPr="00693E8C">
        <w:rPr>
          <w:rFonts w:asciiTheme="minorBidi" w:eastAsia="SimSun" w:hAnsiTheme="minorBidi"/>
        </w:rPr>
        <w:t xml:space="preserve">Farooq </w:t>
      </w:r>
      <w:r w:rsidR="00886A4E">
        <w:rPr>
          <w:rFonts w:asciiTheme="minorBidi" w:eastAsia="SimSun" w:hAnsiTheme="minorBidi"/>
        </w:rPr>
        <w:t>and</w:t>
      </w:r>
      <w:r w:rsidR="00096F77" w:rsidRPr="00693E8C">
        <w:rPr>
          <w:rFonts w:asciiTheme="minorBidi" w:eastAsia="SimSun" w:hAnsiTheme="minorBidi"/>
        </w:rPr>
        <w:t xml:space="preserve"> </w:t>
      </w:r>
      <w:r w:rsidR="00693E8C">
        <w:rPr>
          <w:rFonts w:asciiTheme="minorBidi" w:eastAsia="SimSun" w:hAnsiTheme="minorBidi"/>
        </w:rPr>
        <w:t>D</w:t>
      </w:r>
      <w:r w:rsidR="00096F77" w:rsidRPr="0090207E">
        <w:rPr>
          <w:rFonts w:asciiTheme="minorBidi" w:eastAsia="SimSun" w:hAnsiTheme="minorBidi"/>
        </w:rPr>
        <w:t xml:space="preserve">e </w:t>
      </w:r>
      <w:r w:rsidR="00F36410" w:rsidRPr="0090207E">
        <w:rPr>
          <w:rFonts w:asciiTheme="minorBidi" w:eastAsia="SimSun" w:hAnsiTheme="minorBidi"/>
        </w:rPr>
        <w:t>Vill</w:t>
      </w:r>
      <w:r w:rsidR="00D45F18" w:rsidRPr="0090207E">
        <w:rPr>
          <w:rFonts w:asciiTheme="minorBidi" w:eastAsia="SimSun" w:hAnsiTheme="minorBidi"/>
        </w:rPr>
        <w:t>i</w:t>
      </w:r>
      <w:r w:rsidR="00F36410" w:rsidRPr="0090207E">
        <w:rPr>
          <w:rFonts w:asciiTheme="minorBidi" w:eastAsia="SimSun" w:hAnsiTheme="minorBidi"/>
        </w:rPr>
        <w:t>ers (2019),</w:t>
      </w:r>
      <w:r w:rsidR="00F36410" w:rsidRPr="002E118D">
        <w:rPr>
          <w:rFonts w:asciiTheme="minorBidi" w:eastAsia="SimSun" w:hAnsiTheme="minorBidi"/>
        </w:rPr>
        <w:t xml:space="preserve"> but these do not consider visual material</w:t>
      </w:r>
      <w:r w:rsidR="00142FF2" w:rsidRPr="002E118D">
        <w:rPr>
          <w:rFonts w:asciiTheme="minorBidi" w:eastAsia="SimSun" w:hAnsiTheme="minorBidi"/>
        </w:rPr>
        <w:t>.</w:t>
      </w:r>
    </w:p>
    <w:p w14:paraId="02979F59" w14:textId="0EA44DF0" w:rsidR="006D5357" w:rsidRPr="001D1EEE" w:rsidRDefault="00684EF2">
      <w:pPr>
        <w:rPr>
          <w:rFonts w:asciiTheme="minorBidi" w:hAnsiTheme="minorBidi"/>
        </w:rPr>
      </w:pPr>
      <w:r w:rsidRPr="002E118D">
        <w:rPr>
          <w:rFonts w:asciiTheme="minorBidi" w:hAnsiTheme="minorBidi"/>
        </w:rPr>
        <w:t xml:space="preserve">Our paper </w:t>
      </w:r>
      <w:r w:rsidR="00623D22">
        <w:rPr>
          <w:rFonts w:asciiTheme="minorBidi" w:hAnsiTheme="minorBidi"/>
        </w:rPr>
        <w:t xml:space="preserve">uses semi-structured interviews to </w:t>
      </w:r>
      <w:r w:rsidRPr="002E118D">
        <w:rPr>
          <w:rFonts w:asciiTheme="minorBidi" w:hAnsiTheme="minorBidi"/>
        </w:rPr>
        <w:t xml:space="preserve">make </w:t>
      </w:r>
      <w:r w:rsidR="009A1B55" w:rsidRPr="002E118D">
        <w:rPr>
          <w:rFonts w:asciiTheme="minorBidi" w:hAnsiTheme="minorBidi"/>
        </w:rPr>
        <w:t>three</w:t>
      </w:r>
      <w:r w:rsidRPr="002E118D">
        <w:rPr>
          <w:rFonts w:asciiTheme="minorBidi" w:hAnsiTheme="minorBidi"/>
        </w:rPr>
        <w:t xml:space="preserve"> timely contribution</w:t>
      </w:r>
      <w:r w:rsidR="00912DEC" w:rsidRPr="002E118D">
        <w:rPr>
          <w:rFonts w:asciiTheme="minorBidi" w:hAnsiTheme="minorBidi"/>
        </w:rPr>
        <w:t>s</w:t>
      </w:r>
      <w:r w:rsidR="009A1B55" w:rsidRPr="002E118D">
        <w:rPr>
          <w:rFonts w:asciiTheme="minorBidi" w:hAnsiTheme="minorBidi"/>
        </w:rPr>
        <w:t>.</w:t>
      </w:r>
      <w:r w:rsidR="00F22178" w:rsidRPr="002E118D">
        <w:rPr>
          <w:rFonts w:asciiTheme="minorBidi" w:hAnsiTheme="minorBidi"/>
        </w:rPr>
        <w:t xml:space="preserve"> </w:t>
      </w:r>
      <w:r w:rsidR="00870C5E" w:rsidRPr="002E118D">
        <w:rPr>
          <w:rFonts w:asciiTheme="minorBidi" w:hAnsiTheme="minorBidi"/>
        </w:rPr>
        <w:t>First</w:t>
      </w:r>
      <w:r w:rsidR="00912DEC" w:rsidRPr="002E118D">
        <w:rPr>
          <w:rFonts w:asciiTheme="minorBidi" w:hAnsiTheme="minorBidi"/>
        </w:rPr>
        <w:t xml:space="preserve">, </w:t>
      </w:r>
      <w:r w:rsidR="00E24E23" w:rsidRPr="002E118D">
        <w:rPr>
          <w:rFonts w:asciiTheme="minorBidi" w:hAnsiTheme="minorBidi"/>
        </w:rPr>
        <w:t>we</w:t>
      </w:r>
      <w:r w:rsidR="008D1D1F" w:rsidRPr="002E118D">
        <w:rPr>
          <w:rFonts w:asciiTheme="minorBidi" w:hAnsiTheme="minorBidi"/>
        </w:rPr>
        <w:t xml:space="preserve"> conduct exploratory research </w:t>
      </w:r>
      <w:r w:rsidR="00E24E23" w:rsidRPr="002E118D">
        <w:rPr>
          <w:rFonts w:asciiTheme="minorBidi" w:hAnsiTheme="minorBidi"/>
        </w:rPr>
        <w:t>into</w:t>
      </w:r>
      <w:r w:rsidR="00870C5E" w:rsidRPr="002E118D">
        <w:rPr>
          <w:rFonts w:asciiTheme="minorBidi" w:hAnsiTheme="minorBidi"/>
        </w:rPr>
        <w:t xml:space="preserve"> the process by which </w:t>
      </w:r>
      <w:r w:rsidR="00BF52EB" w:rsidRPr="002E118D">
        <w:rPr>
          <w:rFonts w:asciiTheme="minorBidi" w:hAnsiTheme="minorBidi"/>
        </w:rPr>
        <w:t>GRI A+</w:t>
      </w:r>
      <w:r w:rsidR="00A21508" w:rsidRPr="002E118D">
        <w:rPr>
          <w:rFonts w:asciiTheme="minorBidi" w:hAnsiTheme="minorBidi"/>
        </w:rPr>
        <w:t xml:space="preserve"> rat</w:t>
      </w:r>
      <w:r w:rsidR="000A177C" w:rsidRPr="002E118D">
        <w:rPr>
          <w:rFonts w:asciiTheme="minorBidi" w:hAnsiTheme="minorBidi"/>
        </w:rPr>
        <w:t>ed</w:t>
      </w:r>
      <w:r w:rsidR="00A21508" w:rsidRPr="002E118D">
        <w:rPr>
          <w:rFonts w:asciiTheme="minorBidi" w:hAnsiTheme="minorBidi"/>
        </w:rPr>
        <w:t xml:space="preserve"> </w:t>
      </w:r>
      <w:r w:rsidR="002444D7" w:rsidRPr="002E118D">
        <w:rPr>
          <w:rFonts w:asciiTheme="minorBidi" w:hAnsiTheme="minorBidi"/>
        </w:rPr>
        <w:t xml:space="preserve">SASRs are compiled and visual </w:t>
      </w:r>
      <w:r w:rsidR="00B02F37">
        <w:rPr>
          <w:rFonts w:asciiTheme="minorBidi" w:hAnsiTheme="minorBidi"/>
        </w:rPr>
        <w:t xml:space="preserve">disclosure </w:t>
      </w:r>
      <w:r w:rsidR="002444D7" w:rsidRPr="002E118D">
        <w:rPr>
          <w:rFonts w:asciiTheme="minorBidi" w:hAnsiTheme="minorBidi"/>
        </w:rPr>
        <w:t>choices are made</w:t>
      </w:r>
      <w:r w:rsidR="00B02F37">
        <w:rPr>
          <w:rFonts w:asciiTheme="minorBidi" w:hAnsiTheme="minorBidi"/>
        </w:rPr>
        <w:t xml:space="preserve">, an area which has been neglected, also with regard </w:t>
      </w:r>
      <w:r w:rsidR="00B02F37">
        <w:rPr>
          <w:rFonts w:asciiTheme="minorBidi" w:hAnsiTheme="minorBidi"/>
        </w:rPr>
        <w:lastRenderedPageBreak/>
        <w:t xml:space="preserve">to annual reporting (Unerman </w:t>
      </w:r>
      <w:r w:rsidR="00DB5967">
        <w:rPr>
          <w:rFonts w:asciiTheme="minorBidi" w:hAnsiTheme="minorBidi"/>
        </w:rPr>
        <w:t>et al.</w:t>
      </w:r>
      <w:r w:rsidR="00B02F37">
        <w:rPr>
          <w:rFonts w:asciiTheme="minorBidi" w:hAnsiTheme="minorBidi"/>
        </w:rPr>
        <w:t>, 2007;</w:t>
      </w:r>
      <w:r w:rsidR="00886A4E">
        <w:rPr>
          <w:rFonts w:asciiTheme="minorBidi" w:hAnsiTheme="minorBidi"/>
        </w:rPr>
        <w:t xml:space="preserve"> </w:t>
      </w:r>
      <w:r w:rsidR="00B02F37">
        <w:rPr>
          <w:rFonts w:asciiTheme="minorBidi" w:hAnsiTheme="minorBidi"/>
        </w:rPr>
        <w:t xml:space="preserve">Davison, 2015). This is important </w:t>
      </w:r>
      <w:r w:rsidR="00730EC2">
        <w:rPr>
          <w:rFonts w:asciiTheme="minorBidi" w:hAnsiTheme="minorBidi"/>
        </w:rPr>
        <w:t>for several reasons.</w:t>
      </w:r>
      <w:r w:rsidR="001D1EEE">
        <w:rPr>
          <w:rFonts w:asciiTheme="minorBidi" w:hAnsiTheme="minorBidi"/>
        </w:rPr>
        <w:t xml:space="preserve"> </w:t>
      </w:r>
      <w:r w:rsidR="00730EC2">
        <w:rPr>
          <w:rFonts w:asciiTheme="minorBidi" w:hAnsiTheme="minorBidi"/>
        </w:rPr>
        <w:t>A</w:t>
      </w:r>
      <w:r w:rsidR="00ED3E11">
        <w:rPr>
          <w:rFonts w:asciiTheme="minorBidi" w:hAnsiTheme="minorBidi"/>
        </w:rPr>
        <w:t xml:space="preserve">lthough </w:t>
      </w:r>
      <w:r w:rsidR="00D9066A">
        <w:rPr>
          <w:rFonts w:asciiTheme="minorBidi" w:hAnsiTheme="minorBidi"/>
        </w:rPr>
        <w:t xml:space="preserve">archival work </w:t>
      </w:r>
      <w:r w:rsidR="00ED3E11">
        <w:rPr>
          <w:rFonts w:asciiTheme="minorBidi" w:hAnsiTheme="minorBidi"/>
        </w:rPr>
        <w:t xml:space="preserve">examines the finished product, and </w:t>
      </w:r>
      <w:r w:rsidR="00D9066A">
        <w:rPr>
          <w:rFonts w:asciiTheme="minorBidi" w:hAnsiTheme="minorBidi"/>
        </w:rPr>
        <w:t>commonly</w:t>
      </w:r>
      <w:r w:rsidR="00B02F37">
        <w:rPr>
          <w:rFonts w:asciiTheme="minorBidi" w:hAnsiTheme="minorBidi"/>
        </w:rPr>
        <w:t xml:space="preserve"> impute</w:t>
      </w:r>
      <w:r w:rsidR="00D9066A">
        <w:rPr>
          <w:rFonts w:asciiTheme="minorBidi" w:hAnsiTheme="minorBidi"/>
        </w:rPr>
        <w:t>s</w:t>
      </w:r>
      <w:r w:rsidR="00B02F37">
        <w:rPr>
          <w:rFonts w:asciiTheme="minorBidi" w:hAnsiTheme="minorBidi"/>
        </w:rPr>
        <w:t xml:space="preserve"> motivations fo</w:t>
      </w:r>
      <w:r w:rsidR="00B16704">
        <w:rPr>
          <w:rFonts w:asciiTheme="minorBidi" w:hAnsiTheme="minorBidi"/>
        </w:rPr>
        <w:t>r voluntary disclosures and their manner of presentation (</w:t>
      </w:r>
      <w:r w:rsidR="00B02F37">
        <w:rPr>
          <w:rFonts w:asciiTheme="minorBidi" w:hAnsiTheme="minorBidi"/>
        </w:rPr>
        <w:t>impression management</w:t>
      </w:r>
      <w:r w:rsidR="00B16704">
        <w:rPr>
          <w:rFonts w:asciiTheme="minorBidi" w:hAnsiTheme="minorBidi"/>
        </w:rPr>
        <w:t xml:space="preserve"> being of particular interest</w:t>
      </w:r>
      <w:r w:rsidR="00D854E9">
        <w:rPr>
          <w:rFonts w:asciiTheme="minorBidi" w:hAnsiTheme="minorBidi"/>
        </w:rPr>
        <w:t xml:space="preserve"> in the case of visual material</w:t>
      </w:r>
      <w:r w:rsidR="00B16704">
        <w:rPr>
          <w:rFonts w:asciiTheme="minorBidi" w:hAnsiTheme="minorBidi"/>
        </w:rPr>
        <w:t>)</w:t>
      </w:r>
      <w:r w:rsidR="00D9066A">
        <w:rPr>
          <w:rFonts w:asciiTheme="minorBidi" w:hAnsiTheme="minorBidi"/>
        </w:rPr>
        <w:t>, we have no way of knowing</w:t>
      </w:r>
      <w:r w:rsidR="00730EC2">
        <w:rPr>
          <w:rFonts w:asciiTheme="minorBidi" w:hAnsiTheme="minorBidi"/>
        </w:rPr>
        <w:t xml:space="preserve"> whether </w:t>
      </w:r>
      <w:r w:rsidR="00623D22">
        <w:rPr>
          <w:rFonts w:asciiTheme="minorBidi" w:hAnsiTheme="minorBidi"/>
        </w:rPr>
        <w:t>imputed motivations are</w:t>
      </w:r>
      <w:r w:rsidR="00730EC2">
        <w:rPr>
          <w:rFonts w:asciiTheme="minorBidi" w:hAnsiTheme="minorBidi"/>
        </w:rPr>
        <w:t xml:space="preserve"> indeed the case</w:t>
      </w:r>
      <w:r w:rsidR="00D9066A">
        <w:rPr>
          <w:rFonts w:asciiTheme="minorBidi" w:hAnsiTheme="minorBidi"/>
        </w:rPr>
        <w:t xml:space="preserve"> without invest</w:t>
      </w:r>
      <w:r w:rsidR="00730EC2">
        <w:rPr>
          <w:rFonts w:asciiTheme="minorBidi" w:hAnsiTheme="minorBidi"/>
        </w:rPr>
        <w:t>igating the preparation process.</w:t>
      </w:r>
      <w:r w:rsidR="00886A4E">
        <w:rPr>
          <w:rFonts w:asciiTheme="minorBidi" w:hAnsiTheme="minorBidi"/>
        </w:rPr>
        <w:t xml:space="preserve"> </w:t>
      </w:r>
      <w:r w:rsidR="00730EC2">
        <w:rPr>
          <w:rFonts w:asciiTheme="minorBidi" w:hAnsiTheme="minorBidi"/>
        </w:rPr>
        <w:t>Further</w:t>
      </w:r>
      <w:r w:rsidR="00593762">
        <w:rPr>
          <w:rFonts w:asciiTheme="minorBidi" w:hAnsiTheme="minorBidi"/>
        </w:rPr>
        <w:t>more</w:t>
      </w:r>
      <w:r w:rsidR="00730EC2">
        <w:rPr>
          <w:rFonts w:asciiTheme="minorBidi" w:hAnsiTheme="minorBidi"/>
        </w:rPr>
        <w:t>, there can be both conscious and unconscious messages</w:t>
      </w:r>
      <w:r w:rsidR="00D9066A">
        <w:rPr>
          <w:rFonts w:asciiTheme="minorBidi" w:hAnsiTheme="minorBidi"/>
        </w:rPr>
        <w:t xml:space="preserve"> </w:t>
      </w:r>
      <w:r w:rsidR="00A07D44">
        <w:rPr>
          <w:rFonts w:asciiTheme="minorBidi" w:hAnsiTheme="minorBidi"/>
        </w:rPr>
        <w:t>and we cannot distinguish</w:t>
      </w:r>
      <w:r w:rsidR="00730EC2">
        <w:rPr>
          <w:rFonts w:asciiTheme="minorBidi" w:hAnsiTheme="minorBidi"/>
        </w:rPr>
        <w:t xml:space="preserve"> between these without interrogating the </w:t>
      </w:r>
      <w:r w:rsidR="00623D22">
        <w:rPr>
          <w:rFonts w:asciiTheme="minorBidi" w:hAnsiTheme="minorBidi"/>
        </w:rPr>
        <w:t>“</w:t>
      </w:r>
      <w:r w:rsidR="00B16704">
        <w:rPr>
          <w:rFonts w:asciiTheme="minorBidi" w:hAnsiTheme="minorBidi"/>
        </w:rPr>
        <w:t>black box</w:t>
      </w:r>
      <w:r w:rsidR="00623D22">
        <w:rPr>
          <w:rFonts w:asciiTheme="minorBidi" w:hAnsiTheme="minorBidi"/>
        </w:rPr>
        <w:t>”</w:t>
      </w:r>
      <w:r w:rsidR="00B16704">
        <w:rPr>
          <w:rFonts w:asciiTheme="minorBidi" w:hAnsiTheme="minorBidi"/>
        </w:rPr>
        <w:t xml:space="preserve"> of preparation.</w:t>
      </w:r>
      <w:r w:rsidR="00886A4E">
        <w:rPr>
          <w:rFonts w:asciiTheme="minorBidi" w:hAnsiTheme="minorBidi"/>
        </w:rPr>
        <w:t xml:space="preserve"> </w:t>
      </w:r>
      <w:r w:rsidR="00B16704">
        <w:rPr>
          <w:rFonts w:asciiTheme="minorBidi" w:hAnsiTheme="minorBidi"/>
        </w:rPr>
        <w:t>Moreover, w</w:t>
      </w:r>
      <w:r w:rsidR="00730EC2">
        <w:rPr>
          <w:rFonts w:asciiTheme="minorBidi" w:hAnsiTheme="minorBidi"/>
        </w:rPr>
        <w:t>here does responsibility for the content of the reports lie?</w:t>
      </w:r>
      <w:r w:rsidR="001D1EEE">
        <w:rPr>
          <w:rFonts w:asciiTheme="minorBidi" w:hAnsiTheme="minorBidi"/>
        </w:rPr>
        <w:t xml:space="preserve"> </w:t>
      </w:r>
      <w:r w:rsidR="00F978ED">
        <w:rPr>
          <w:rFonts w:asciiTheme="minorBidi" w:hAnsiTheme="minorBidi"/>
        </w:rPr>
        <w:t>In principle, responsibility for corporate reports lies with the board of directors</w:t>
      </w:r>
      <w:r w:rsidR="00BB71E2">
        <w:rPr>
          <w:rFonts w:asciiTheme="minorBidi" w:hAnsiTheme="minorBidi"/>
        </w:rPr>
        <w:t>, but there is little evidence as to how far this responsibility is accepted in practice by directors (</w:t>
      </w:r>
      <w:r w:rsidR="00F978ED" w:rsidRPr="002E118D">
        <w:rPr>
          <w:rFonts w:asciiTheme="minorBidi" w:hAnsiTheme="minorBidi"/>
        </w:rPr>
        <w:t>Amran et al.</w:t>
      </w:r>
      <w:r w:rsidR="00BB71E2">
        <w:rPr>
          <w:rFonts w:asciiTheme="minorBidi" w:hAnsiTheme="minorBidi"/>
        </w:rPr>
        <w:t>,</w:t>
      </w:r>
      <w:r w:rsidR="00F978ED" w:rsidRPr="002E118D">
        <w:rPr>
          <w:rFonts w:asciiTheme="minorBidi" w:hAnsiTheme="minorBidi"/>
        </w:rPr>
        <w:t xml:space="preserve"> 2014</w:t>
      </w:r>
      <w:r w:rsidR="00BB71E2">
        <w:rPr>
          <w:rFonts w:asciiTheme="minorBidi" w:hAnsiTheme="minorBidi"/>
        </w:rPr>
        <w:t>,</w:t>
      </w:r>
      <w:r w:rsidR="00F978ED" w:rsidRPr="002E118D">
        <w:rPr>
          <w:rFonts w:asciiTheme="minorBidi" w:hAnsiTheme="minorBidi"/>
        </w:rPr>
        <w:t xml:space="preserve"> call for further investigation of the role of boards of directors in the reporting process</w:t>
      </w:r>
      <w:r w:rsidR="00BB71E2">
        <w:rPr>
          <w:rFonts w:asciiTheme="minorBidi" w:hAnsiTheme="minorBidi"/>
        </w:rPr>
        <w:t>).</w:t>
      </w:r>
      <w:r w:rsidR="00F978ED">
        <w:rPr>
          <w:rFonts w:asciiTheme="minorBidi" w:hAnsiTheme="minorBidi"/>
        </w:rPr>
        <w:t xml:space="preserve"> </w:t>
      </w:r>
      <w:r w:rsidR="00BB71E2">
        <w:rPr>
          <w:rFonts w:asciiTheme="minorBidi" w:hAnsiTheme="minorBidi"/>
        </w:rPr>
        <w:t>In practice,</w:t>
      </w:r>
      <w:r w:rsidR="00730EC2">
        <w:rPr>
          <w:rFonts w:asciiTheme="minorBidi" w:hAnsiTheme="minorBidi"/>
        </w:rPr>
        <w:t xml:space="preserve"> the CEO </w:t>
      </w:r>
      <w:r w:rsidR="00BB71E2">
        <w:rPr>
          <w:rFonts w:asciiTheme="minorBidi" w:hAnsiTheme="minorBidi"/>
        </w:rPr>
        <w:t>is likely to have</w:t>
      </w:r>
      <w:r w:rsidR="00730EC2">
        <w:rPr>
          <w:rFonts w:asciiTheme="minorBidi" w:hAnsiTheme="minorBidi"/>
        </w:rPr>
        <w:t xml:space="preserve"> final responsibility, </w:t>
      </w:r>
      <w:r w:rsidR="00BB71E2">
        <w:rPr>
          <w:rFonts w:asciiTheme="minorBidi" w:hAnsiTheme="minorBidi"/>
        </w:rPr>
        <w:t xml:space="preserve">though </w:t>
      </w:r>
      <w:r w:rsidR="00730EC2">
        <w:rPr>
          <w:rFonts w:asciiTheme="minorBidi" w:hAnsiTheme="minorBidi"/>
        </w:rPr>
        <w:t xml:space="preserve">this may be direct or indirect, and </w:t>
      </w:r>
      <w:r w:rsidR="00B16704">
        <w:rPr>
          <w:rFonts w:asciiTheme="minorBidi" w:hAnsiTheme="minorBidi"/>
        </w:rPr>
        <w:t xml:space="preserve">underlying responsibilities </w:t>
      </w:r>
      <w:r w:rsidR="00730EC2">
        <w:rPr>
          <w:rFonts w:asciiTheme="minorBidi" w:hAnsiTheme="minorBidi"/>
        </w:rPr>
        <w:t>may lie with one author</w:t>
      </w:r>
      <w:r w:rsidR="00886A4E">
        <w:rPr>
          <w:rFonts w:asciiTheme="minorBidi" w:hAnsiTheme="minorBidi"/>
        </w:rPr>
        <w:t xml:space="preserve"> or</w:t>
      </w:r>
      <w:r w:rsidR="00730EC2">
        <w:rPr>
          <w:rFonts w:asciiTheme="minorBidi" w:hAnsiTheme="minorBidi"/>
        </w:rPr>
        <w:t xml:space="preserve"> multiple authors, </w:t>
      </w:r>
      <w:r w:rsidR="00684FF7">
        <w:rPr>
          <w:rFonts w:asciiTheme="minorBidi" w:hAnsiTheme="minorBidi"/>
        </w:rPr>
        <w:t xml:space="preserve">and </w:t>
      </w:r>
      <w:r w:rsidR="00730EC2">
        <w:rPr>
          <w:rFonts w:asciiTheme="minorBidi" w:hAnsiTheme="minorBidi"/>
        </w:rPr>
        <w:t xml:space="preserve">internal </w:t>
      </w:r>
      <w:r w:rsidR="00684FF7">
        <w:rPr>
          <w:rFonts w:asciiTheme="minorBidi" w:hAnsiTheme="minorBidi"/>
        </w:rPr>
        <w:t>or</w:t>
      </w:r>
      <w:r w:rsidR="00730EC2">
        <w:rPr>
          <w:rFonts w:asciiTheme="minorBidi" w:hAnsiTheme="minorBidi"/>
        </w:rPr>
        <w:t xml:space="preserve"> external agents, of varying levels of competence and seniority.</w:t>
      </w:r>
      <w:r w:rsidR="00B16704">
        <w:rPr>
          <w:rFonts w:asciiTheme="minorBidi" w:hAnsiTheme="minorBidi"/>
        </w:rPr>
        <w:t xml:space="preserve"> </w:t>
      </w:r>
      <w:r w:rsidR="00B83C9F" w:rsidRPr="002E118D">
        <w:t xml:space="preserve">This is especially important in the case of SASRs, which </w:t>
      </w:r>
      <w:r w:rsidR="006D5357" w:rsidRPr="002E118D">
        <w:t>are still largely unregulated in both format and content</w:t>
      </w:r>
      <w:r w:rsidR="00E24E23" w:rsidRPr="002E118D">
        <w:t>,</w:t>
      </w:r>
      <w:r w:rsidR="006D5357" w:rsidRPr="002E118D">
        <w:t xml:space="preserve"> and may be used by companies as tools for legitimacy (Castelló &amp; Lozano, 2011; </w:t>
      </w:r>
      <w:hyperlink w:anchor="_ENREF_108" w:tooltip="Deegan, 2002 #23" w:history="1">
        <w:r w:rsidR="006D5357" w:rsidRPr="002E118D">
          <w:t>Deegan</w:t>
        </w:r>
        <w:r w:rsidR="00CD20F6">
          <w:t xml:space="preserve"> et al.</w:t>
        </w:r>
        <w:r w:rsidR="006D5357" w:rsidRPr="002E118D">
          <w:t>, 2002</w:t>
        </w:r>
      </w:hyperlink>
      <w:r w:rsidR="006D5357" w:rsidRPr="002E118D">
        <w:t>) and impression management purposes (</w:t>
      </w:r>
      <w:hyperlink w:anchor="_ENREF_75" w:tooltip="Cho, 2012 #26" w:history="1">
        <w:r w:rsidR="006D5357" w:rsidRPr="002E118D">
          <w:t>Cho et al., 2012a</w:t>
        </w:r>
      </w:hyperlink>
      <w:r w:rsidR="006D5357" w:rsidRPr="002E118D">
        <w:t>,</w:t>
      </w:r>
      <w:r w:rsidR="00730EC2">
        <w:t xml:space="preserve"> </w:t>
      </w:r>
      <w:r w:rsidR="006D5357" w:rsidRPr="002E118D">
        <w:t>2012</w:t>
      </w:r>
      <w:hyperlink w:anchor="_ENREF_76" w:tooltip="Cho, 2012 #25" w:history="1">
        <w:r w:rsidR="006D5357" w:rsidRPr="002E118D">
          <w:t>b</w:t>
        </w:r>
      </w:hyperlink>
      <w:r w:rsidR="006D5357" w:rsidRPr="002E118D">
        <w:t xml:space="preserve">). </w:t>
      </w:r>
      <w:r w:rsidR="00B35FFC" w:rsidRPr="002E118D">
        <w:rPr>
          <w:rFonts w:asciiTheme="minorBidi" w:hAnsiTheme="minorBidi"/>
        </w:rPr>
        <w:t xml:space="preserve">Thus, rather than consider </w:t>
      </w:r>
      <w:r w:rsidR="00B35FFC" w:rsidRPr="002E118D">
        <w:rPr>
          <w:rFonts w:asciiTheme="minorBidi" w:hAnsiTheme="minorBidi"/>
          <w:i/>
          <w:iCs/>
        </w:rPr>
        <w:t>what</w:t>
      </w:r>
      <w:r w:rsidR="00B35FFC" w:rsidRPr="002E118D">
        <w:rPr>
          <w:rFonts w:asciiTheme="minorBidi" w:hAnsiTheme="minorBidi"/>
        </w:rPr>
        <w:t xml:space="preserve"> organisation</w:t>
      </w:r>
      <w:r w:rsidR="008022B6" w:rsidRPr="002E118D">
        <w:rPr>
          <w:rFonts w:asciiTheme="minorBidi" w:hAnsiTheme="minorBidi"/>
        </w:rPr>
        <w:t>s</w:t>
      </w:r>
      <w:r w:rsidR="00B35FFC" w:rsidRPr="002E118D">
        <w:rPr>
          <w:rFonts w:asciiTheme="minorBidi" w:hAnsiTheme="minorBidi"/>
        </w:rPr>
        <w:t xml:space="preserve"> </w:t>
      </w:r>
      <w:r w:rsidR="00D61115" w:rsidRPr="002E118D">
        <w:rPr>
          <w:rFonts w:asciiTheme="minorBidi" w:hAnsiTheme="minorBidi"/>
        </w:rPr>
        <w:t xml:space="preserve">report, </w:t>
      </w:r>
      <w:r w:rsidR="008022B6" w:rsidRPr="002E118D">
        <w:rPr>
          <w:rFonts w:asciiTheme="minorBidi" w:hAnsiTheme="minorBidi"/>
        </w:rPr>
        <w:t>we</w:t>
      </w:r>
      <w:r w:rsidR="00B35FFC" w:rsidRPr="002E118D">
        <w:rPr>
          <w:rFonts w:asciiTheme="minorBidi" w:hAnsiTheme="minorBidi"/>
        </w:rPr>
        <w:t xml:space="preserve"> </w:t>
      </w:r>
      <w:r w:rsidR="0089395A" w:rsidRPr="002E118D">
        <w:rPr>
          <w:rFonts w:asciiTheme="minorBidi" w:hAnsiTheme="minorBidi"/>
        </w:rPr>
        <w:t>address</w:t>
      </w:r>
      <w:r w:rsidR="00B35FFC" w:rsidRPr="002E118D">
        <w:rPr>
          <w:rFonts w:asciiTheme="minorBidi" w:hAnsiTheme="minorBidi"/>
        </w:rPr>
        <w:t xml:space="preserve"> </w:t>
      </w:r>
      <w:r w:rsidR="00D61115" w:rsidRPr="002E118D">
        <w:rPr>
          <w:rFonts w:asciiTheme="minorBidi" w:hAnsiTheme="minorBidi"/>
          <w:i/>
          <w:iCs/>
        </w:rPr>
        <w:t>how</w:t>
      </w:r>
      <w:r w:rsidR="00B16704">
        <w:rPr>
          <w:rFonts w:asciiTheme="minorBidi" w:hAnsiTheme="minorBidi"/>
        </w:rPr>
        <w:t xml:space="preserve">, </w:t>
      </w:r>
      <w:r w:rsidR="00B35FFC" w:rsidRPr="002E118D">
        <w:rPr>
          <w:rFonts w:asciiTheme="minorBidi" w:hAnsiTheme="minorBidi"/>
          <w:i/>
          <w:iCs/>
        </w:rPr>
        <w:t>why</w:t>
      </w:r>
      <w:r w:rsidR="00B35FFC" w:rsidRPr="002E118D">
        <w:rPr>
          <w:rFonts w:asciiTheme="minorBidi" w:hAnsiTheme="minorBidi"/>
        </w:rPr>
        <w:t xml:space="preserve"> </w:t>
      </w:r>
      <w:r w:rsidR="00B16704">
        <w:rPr>
          <w:rFonts w:asciiTheme="minorBidi" w:hAnsiTheme="minorBidi"/>
        </w:rPr>
        <w:t xml:space="preserve">and </w:t>
      </w:r>
      <w:r w:rsidR="00B16704">
        <w:rPr>
          <w:rFonts w:asciiTheme="minorBidi" w:hAnsiTheme="minorBidi"/>
          <w:i/>
        </w:rPr>
        <w:t xml:space="preserve">by whom </w:t>
      </w:r>
      <w:r w:rsidR="00B35FFC" w:rsidRPr="002E118D">
        <w:rPr>
          <w:rFonts w:asciiTheme="minorBidi" w:hAnsiTheme="minorBidi"/>
        </w:rPr>
        <w:t>organisations report.</w:t>
      </w:r>
      <w:r w:rsidR="001966E1">
        <w:rPr>
          <w:rFonts w:asciiTheme="minorBidi" w:hAnsiTheme="minorBidi"/>
        </w:rPr>
        <w:t xml:space="preserve"> Greater understanding of these matters should encourage users to go beyond taking such reports at face value, not only with regard to interpretation of the finished products, but </w:t>
      </w:r>
      <w:r w:rsidR="00A07D44">
        <w:rPr>
          <w:rFonts w:asciiTheme="minorBidi" w:hAnsiTheme="minorBidi"/>
        </w:rPr>
        <w:t xml:space="preserve">also </w:t>
      </w:r>
      <w:r w:rsidR="001966E1">
        <w:rPr>
          <w:rFonts w:asciiTheme="minorBidi" w:hAnsiTheme="minorBidi"/>
        </w:rPr>
        <w:t>by realising that (just as with a set of financial statements) contingencies lie behind them in the preparation process.</w:t>
      </w:r>
    </w:p>
    <w:p w14:paraId="234AB28D" w14:textId="1C619502" w:rsidR="003F5E93" w:rsidRPr="002E118D" w:rsidRDefault="00F67EEE">
      <w:pPr>
        <w:rPr>
          <w:rFonts w:asciiTheme="minorBidi" w:hAnsiTheme="minorBidi"/>
        </w:rPr>
      </w:pPr>
      <w:r w:rsidRPr="002E118D">
        <w:rPr>
          <w:rFonts w:asciiTheme="minorBidi" w:hAnsiTheme="minorBidi"/>
        </w:rPr>
        <w:t xml:space="preserve">Secondly, </w:t>
      </w:r>
      <w:r w:rsidR="000118BC">
        <w:rPr>
          <w:rFonts w:asciiTheme="minorBidi" w:hAnsiTheme="minorBidi"/>
        </w:rPr>
        <w:t>we</w:t>
      </w:r>
      <w:r w:rsidR="00517C52" w:rsidRPr="002E118D">
        <w:rPr>
          <w:rFonts w:asciiTheme="minorBidi" w:hAnsiTheme="minorBidi"/>
        </w:rPr>
        <w:t xml:space="preserve"> add to sparse </w:t>
      </w:r>
      <w:r w:rsidR="00283EAB" w:rsidRPr="002E118D">
        <w:rPr>
          <w:rFonts w:asciiTheme="minorBidi" w:hAnsiTheme="minorBidi"/>
        </w:rPr>
        <w:t xml:space="preserve">work on </w:t>
      </w:r>
      <w:r w:rsidR="0043728E" w:rsidRPr="002E118D">
        <w:rPr>
          <w:rFonts w:asciiTheme="minorBidi" w:hAnsiTheme="minorBidi"/>
        </w:rPr>
        <w:t>visual material</w:t>
      </w:r>
      <w:r w:rsidR="00517C52" w:rsidRPr="002E118D">
        <w:rPr>
          <w:rFonts w:asciiTheme="minorBidi" w:hAnsiTheme="minorBidi"/>
        </w:rPr>
        <w:t xml:space="preserve"> in </w:t>
      </w:r>
      <w:r w:rsidR="0043728E" w:rsidRPr="002E118D">
        <w:rPr>
          <w:rFonts w:asciiTheme="minorBidi" w:hAnsiTheme="minorBidi"/>
        </w:rPr>
        <w:t>SASRs.</w:t>
      </w:r>
      <w:r w:rsidR="000A1E5A" w:rsidRPr="002E118D">
        <w:rPr>
          <w:rFonts w:asciiTheme="minorBidi" w:hAnsiTheme="minorBidi"/>
        </w:rPr>
        <w:t xml:space="preserve"> </w:t>
      </w:r>
      <w:r w:rsidR="0043728E" w:rsidRPr="002E118D">
        <w:rPr>
          <w:rFonts w:asciiTheme="minorBidi" w:hAnsiTheme="minorBidi"/>
        </w:rPr>
        <w:t>I</w:t>
      </w:r>
      <w:r w:rsidR="000118BC">
        <w:rPr>
          <w:rFonts w:asciiTheme="minorBidi" w:hAnsiTheme="minorBidi"/>
        </w:rPr>
        <w:t>n particular, our research is</w:t>
      </w:r>
      <w:r w:rsidR="0043728E" w:rsidRPr="002E118D">
        <w:rPr>
          <w:rFonts w:asciiTheme="minorBidi" w:hAnsiTheme="minorBidi"/>
        </w:rPr>
        <w:t xml:space="preserve"> </w:t>
      </w:r>
      <w:r w:rsidR="005849CD" w:rsidRPr="002E118D">
        <w:rPr>
          <w:rFonts w:asciiTheme="minorBidi" w:hAnsiTheme="minorBidi"/>
        </w:rPr>
        <w:t xml:space="preserve">innovative </w:t>
      </w:r>
      <w:r w:rsidR="009D5552" w:rsidRPr="002E118D">
        <w:rPr>
          <w:rFonts w:asciiTheme="minorBidi" w:hAnsiTheme="minorBidi"/>
        </w:rPr>
        <w:t>in</w:t>
      </w:r>
      <w:r w:rsidR="003C1524" w:rsidRPr="002E118D">
        <w:rPr>
          <w:rFonts w:asciiTheme="minorBidi" w:hAnsiTheme="minorBidi"/>
        </w:rPr>
        <w:t xml:space="preserve"> extending work on visual impression management through</w:t>
      </w:r>
      <w:r w:rsidR="009D5552" w:rsidRPr="002E118D">
        <w:rPr>
          <w:rFonts w:asciiTheme="minorBidi" w:hAnsiTheme="minorBidi"/>
        </w:rPr>
        <w:t xml:space="preserve"> investigating</w:t>
      </w:r>
      <w:r w:rsidR="00903F56" w:rsidRPr="002E118D">
        <w:rPr>
          <w:rFonts w:asciiTheme="minorBidi" w:hAnsiTheme="minorBidi"/>
        </w:rPr>
        <w:t xml:space="preserve"> the employment of blank space</w:t>
      </w:r>
      <w:r w:rsidRPr="002E118D">
        <w:rPr>
          <w:rFonts w:asciiTheme="minorBidi" w:hAnsiTheme="minorBidi"/>
        </w:rPr>
        <w:t>,</w:t>
      </w:r>
      <w:r w:rsidR="00FC30CE" w:rsidRPr="002E118D">
        <w:rPr>
          <w:rFonts w:asciiTheme="minorBidi" w:hAnsiTheme="minorBidi"/>
        </w:rPr>
        <w:t xml:space="preserve"> or</w:t>
      </w:r>
      <w:r w:rsidRPr="002E118D">
        <w:rPr>
          <w:rFonts w:asciiTheme="minorBidi" w:hAnsiTheme="minorBidi"/>
        </w:rPr>
        <w:t xml:space="preserve"> the absence of text and visual material. Blank space can help to make the report more readable, for example by breaking up long passages of text, but it can also be used strategically, for example to draw the attention of readers to particular items in the report, by making these items stand out. </w:t>
      </w:r>
      <w:r w:rsidR="00991901" w:rsidRPr="002E118D">
        <w:rPr>
          <w:rFonts w:asciiTheme="minorBidi" w:hAnsiTheme="minorBidi"/>
        </w:rPr>
        <w:t>B</w:t>
      </w:r>
      <w:r w:rsidR="004002C8" w:rsidRPr="002E118D">
        <w:rPr>
          <w:rFonts w:asciiTheme="minorBidi" w:hAnsiTheme="minorBidi"/>
        </w:rPr>
        <w:t xml:space="preserve">lank space </w:t>
      </w:r>
      <w:r w:rsidR="00991901" w:rsidRPr="002E118D">
        <w:rPr>
          <w:rFonts w:asciiTheme="minorBidi" w:hAnsiTheme="minorBidi"/>
        </w:rPr>
        <w:t xml:space="preserve">in SASRs </w:t>
      </w:r>
      <w:r w:rsidR="00290034" w:rsidRPr="002E118D">
        <w:rPr>
          <w:rFonts w:asciiTheme="minorBidi" w:hAnsiTheme="minorBidi"/>
        </w:rPr>
        <w:t xml:space="preserve">may be a </w:t>
      </w:r>
      <w:r w:rsidR="004002C8" w:rsidRPr="002E118D">
        <w:rPr>
          <w:rFonts w:asciiTheme="minorBidi" w:hAnsiTheme="minorBidi"/>
        </w:rPr>
        <w:t>part of a visual</w:t>
      </w:r>
      <w:r w:rsidR="000A177C" w:rsidRPr="002E118D">
        <w:rPr>
          <w:rFonts w:asciiTheme="minorBidi" w:hAnsiTheme="minorBidi"/>
        </w:rPr>
        <w:t xml:space="preserve"> impression management </w:t>
      </w:r>
      <w:r w:rsidR="004002C8" w:rsidRPr="002E118D">
        <w:rPr>
          <w:rFonts w:asciiTheme="minorBidi" w:hAnsiTheme="minorBidi"/>
        </w:rPr>
        <w:t>strategy used by companies</w:t>
      </w:r>
      <w:r w:rsidR="000A177C" w:rsidRPr="002E118D">
        <w:rPr>
          <w:rFonts w:asciiTheme="minorBidi" w:hAnsiTheme="minorBidi"/>
        </w:rPr>
        <w:t>: it</w:t>
      </w:r>
      <w:r w:rsidR="004002C8" w:rsidRPr="002E118D">
        <w:rPr>
          <w:rFonts w:asciiTheme="minorBidi" w:hAnsiTheme="minorBidi"/>
        </w:rPr>
        <w:t xml:space="preserve"> is not merely </w:t>
      </w:r>
      <w:r w:rsidR="00991901" w:rsidRPr="002E118D">
        <w:rPr>
          <w:rFonts w:asciiTheme="minorBidi" w:hAnsiTheme="minorBidi"/>
        </w:rPr>
        <w:t>decorative but</w:t>
      </w:r>
      <w:r w:rsidR="004002C8" w:rsidRPr="002E118D">
        <w:rPr>
          <w:rFonts w:asciiTheme="minorBidi" w:hAnsiTheme="minorBidi"/>
        </w:rPr>
        <w:t xml:space="preserve"> has </w:t>
      </w:r>
      <w:r w:rsidR="00CB5392" w:rsidRPr="002E118D">
        <w:rPr>
          <w:rFonts w:asciiTheme="minorBidi" w:hAnsiTheme="minorBidi"/>
        </w:rPr>
        <w:t xml:space="preserve">rhetorical significance. </w:t>
      </w:r>
    </w:p>
    <w:p w14:paraId="5534FEAB" w14:textId="3432E062" w:rsidR="006A0860" w:rsidRPr="002E118D" w:rsidRDefault="008C0F0C">
      <w:pPr>
        <w:rPr>
          <w:rFonts w:asciiTheme="minorBidi" w:hAnsiTheme="minorBidi"/>
        </w:rPr>
      </w:pPr>
      <w:r w:rsidRPr="002E118D">
        <w:rPr>
          <w:rFonts w:asciiTheme="minorBidi" w:hAnsiTheme="minorBidi"/>
        </w:rPr>
        <w:t xml:space="preserve">Thirdly, </w:t>
      </w:r>
      <w:r w:rsidR="003C1524" w:rsidRPr="002E118D">
        <w:rPr>
          <w:rFonts w:asciiTheme="minorBidi" w:hAnsiTheme="minorBidi"/>
        </w:rPr>
        <w:t xml:space="preserve">we extend theorisation of management behaviour in sustainability reporting through the introduction of </w:t>
      </w:r>
      <w:r w:rsidR="00E65A43" w:rsidRPr="002E118D">
        <w:rPr>
          <w:rFonts w:asciiTheme="minorBidi" w:hAnsiTheme="minorBidi"/>
        </w:rPr>
        <w:t xml:space="preserve">the </w:t>
      </w:r>
      <w:r w:rsidR="003C1524" w:rsidRPr="002E118D">
        <w:rPr>
          <w:rFonts w:asciiTheme="minorBidi" w:hAnsiTheme="minorBidi"/>
        </w:rPr>
        <w:t>concept of “functional stupidity”</w:t>
      </w:r>
      <w:r w:rsidR="005A42D9" w:rsidRPr="002E118D">
        <w:rPr>
          <w:rFonts w:asciiTheme="minorBidi" w:hAnsiTheme="minorBidi"/>
        </w:rPr>
        <w:t xml:space="preserve"> at the organisational level</w:t>
      </w:r>
      <w:r w:rsidR="003C1524" w:rsidRPr="002E118D">
        <w:rPr>
          <w:rFonts w:asciiTheme="minorBidi" w:hAnsiTheme="minorBidi"/>
        </w:rPr>
        <w:t xml:space="preserve"> (Alvesson &amp; Spicer, 2012).</w:t>
      </w:r>
      <w:r w:rsidR="00623D22">
        <w:rPr>
          <w:rStyle w:val="FootnoteReference"/>
        </w:rPr>
        <w:footnoteReference w:id="2"/>
      </w:r>
      <w:r w:rsidR="009C3F8A" w:rsidRPr="002E118D">
        <w:rPr>
          <w:rFonts w:asciiTheme="minorBidi" w:hAnsiTheme="minorBidi"/>
        </w:rPr>
        <w:t xml:space="preserve"> A common framework</w:t>
      </w:r>
      <w:r w:rsidR="003C1524" w:rsidRPr="002E118D">
        <w:rPr>
          <w:rFonts w:asciiTheme="minorBidi" w:hAnsiTheme="minorBidi"/>
        </w:rPr>
        <w:t xml:space="preserve"> in prior literature</w:t>
      </w:r>
      <w:r w:rsidR="009C3F8A" w:rsidRPr="002E118D">
        <w:rPr>
          <w:rFonts w:asciiTheme="minorBidi" w:hAnsiTheme="minorBidi"/>
        </w:rPr>
        <w:t xml:space="preserve"> is that of impression management</w:t>
      </w:r>
      <w:r w:rsidR="00E65A43" w:rsidRPr="002E118D">
        <w:rPr>
          <w:rFonts w:asciiTheme="minorBidi" w:hAnsiTheme="minorBidi"/>
        </w:rPr>
        <w:t xml:space="preserve"> </w:t>
      </w:r>
      <w:r w:rsidR="00E65A43" w:rsidRPr="002E118D">
        <w:rPr>
          <w:rFonts w:asciiTheme="minorBidi" w:hAnsiTheme="minorBidi"/>
        </w:rPr>
        <w:lastRenderedPageBreak/>
        <w:t>(Merkl-Davies &amp; Brennan, 2011)</w:t>
      </w:r>
      <w:r w:rsidR="000A177C" w:rsidRPr="002E118D">
        <w:rPr>
          <w:rFonts w:asciiTheme="minorBidi" w:hAnsiTheme="minorBidi"/>
        </w:rPr>
        <w:t>,</w:t>
      </w:r>
      <w:r w:rsidR="009C3F8A" w:rsidRPr="002E118D">
        <w:rPr>
          <w:rFonts w:asciiTheme="minorBidi" w:hAnsiTheme="minorBidi"/>
        </w:rPr>
        <w:t xml:space="preserve"> which suggests that management use visuals</w:t>
      </w:r>
      <w:r w:rsidR="0043728E" w:rsidRPr="002E118D">
        <w:rPr>
          <w:rFonts w:asciiTheme="minorBidi" w:hAnsiTheme="minorBidi"/>
        </w:rPr>
        <w:t xml:space="preserve"> </w:t>
      </w:r>
      <w:r w:rsidR="009C3F8A" w:rsidRPr="002E118D">
        <w:rPr>
          <w:rFonts w:asciiTheme="minorBidi" w:hAnsiTheme="minorBidi"/>
        </w:rPr>
        <w:t>to present a favourable view of corporate performance.</w:t>
      </w:r>
      <w:r w:rsidR="00562269" w:rsidRPr="002E118D">
        <w:rPr>
          <w:rFonts w:asciiTheme="minorBidi" w:hAnsiTheme="minorBidi"/>
        </w:rPr>
        <w:t xml:space="preserve"> </w:t>
      </w:r>
      <w:r w:rsidR="00E65A43" w:rsidRPr="002E118D">
        <w:rPr>
          <w:rFonts w:asciiTheme="minorBidi" w:hAnsiTheme="minorBidi"/>
        </w:rPr>
        <w:t xml:space="preserve">For example, </w:t>
      </w:r>
      <w:r w:rsidR="00562269" w:rsidRPr="002E118D">
        <w:rPr>
          <w:rFonts w:asciiTheme="minorBidi" w:hAnsiTheme="minorBidi"/>
        </w:rPr>
        <w:t>Davison (2010</w:t>
      </w:r>
      <w:r w:rsidR="00B04F8C">
        <w:rPr>
          <w:rFonts w:asciiTheme="minorBidi" w:hAnsiTheme="minorBidi"/>
        </w:rPr>
        <w:t>, p.168</w:t>
      </w:r>
      <w:r w:rsidR="00562269" w:rsidRPr="002E118D">
        <w:rPr>
          <w:rFonts w:asciiTheme="minorBidi" w:hAnsiTheme="minorBidi"/>
        </w:rPr>
        <w:t xml:space="preserve">) </w:t>
      </w:r>
      <w:r w:rsidR="003901ED" w:rsidRPr="002E118D">
        <w:rPr>
          <w:rFonts w:asciiTheme="minorBidi" w:hAnsiTheme="minorBidi"/>
        </w:rPr>
        <w:t>show</w:t>
      </w:r>
      <w:r w:rsidR="000118BC">
        <w:rPr>
          <w:rFonts w:asciiTheme="minorBidi" w:hAnsiTheme="minorBidi"/>
        </w:rPr>
        <w:t>s</w:t>
      </w:r>
      <w:r w:rsidR="003901ED" w:rsidRPr="002E118D">
        <w:rPr>
          <w:rFonts w:asciiTheme="minorBidi" w:hAnsiTheme="minorBidi"/>
        </w:rPr>
        <w:t xml:space="preserve"> that visuals </w:t>
      </w:r>
      <w:r w:rsidR="00562269" w:rsidRPr="002E118D">
        <w:rPr>
          <w:rFonts w:asciiTheme="minorBidi" w:hAnsiTheme="minorBidi"/>
        </w:rPr>
        <w:t xml:space="preserve">constitute an </w:t>
      </w:r>
      <w:r w:rsidR="003C1524" w:rsidRPr="002E118D">
        <w:rPr>
          <w:rFonts w:asciiTheme="minorBidi" w:hAnsiTheme="minorBidi"/>
        </w:rPr>
        <w:t>“</w:t>
      </w:r>
      <w:r w:rsidR="00562269" w:rsidRPr="002E118D">
        <w:rPr>
          <w:rFonts w:asciiTheme="minorBidi" w:hAnsiTheme="minorBidi"/>
        </w:rPr>
        <w:t>intricate, inter-linking, and overlapping mélange of representation and construction</w:t>
      </w:r>
      <w:r w:rsidR="003C1524" w:rsidRPr="002E118D">
        <w:rPr>
          <w:rFonts w:asciiTheme="minorBidi" w:hAnsiTheme="minorBidi"/>
        </w:rPr>
        <w:t>”</w:t>
      </w:r>
      <w:r w:rsidR="00562269" w:rsidRPr="002E118D">
        <w:rPr>
          <w:rFonts w:asciiTheme="minorBidi" w:hAnsiTheme="minorBidi"/>
        </w:rPr>
        <w:t xml:space="preserve">. </w:t>
      </w:r>
      <w:r w:rsidR="00ED620C" w:rsidRPr="002E118D">
        <w:rPr>
          <w:rFonts w:asciiTheme="minorBidi" w:hAnsiTheme="minorBidi"/>
        </w:rPr>
        <w:t xml:space="preserve">However, the </w:t>
      </w:r>
      <w:r w:rsidR="000A177C" w:rsidRPr="002E118D">
        <w:rPr>
          <w:rFonts w:asciiTheme="minorBidi" w:hAnsiTheme="minorBidi"/>
        </w:rPr>
        <w:t xml:space="preserve">concept of </w:t>
      </w:r>
      <w:r w:rsidR="00ED620C" w:rsidRPr="002E118D">
        <w:rPr>
          <w:rFonts w:asciiTheme="minorBidi" w:hAnsiTheme="minorBidi"/>
        </w:rPr>
        <w:t>impression management</w:t>
      </w:r>
      <w:r w:rsidR="00BD108C" w:rsidRPr="002E118D">
        <w:rPr>
          <w:rFonts w:asciiTheme="minorBidi" w:hAnsiTheme="minorBidi"/>
        </w:rPr>
        <w:t xml:space="preserve"> </w:t>
      </w:r>
      <w:r w:rsidR="002C3A48" w:rsidRPr="002E118D">
        <w:rPr>
          <w:rFonts w:asciiTheme="minorBidi" w:hAnsiTheme="minorBidi"/>
        </w:rPr>
        <w:t xml:space="preserve">does not in itself </w:t>
      </w:r>
      <w:r w:rsidR="00BD108C" w:rsidRPr="002E118D">
        <w:rPr>
          <w:rFonts w:asciiTheme="minorBidi" w:hAnsiTheme="minorBidi"/>
        </w:rPr>
        <w:t>explain</w:t>
      </w:r>
      <w:r w:rsidR="002C3A48" w:rsidRPr="002E118D">
        <w:rPr>
          <w:rFonts w:asciiTheme="minorBidi" w:hAnsiTheme="minorBidi"/>
        </w:rPr>
        <w:t xml:space="preserve"> why organisations should engage in impression management, nor </w:t>
      </w:r>
      <w:r w:rsidR="00CE7AB1" w:rsidRPr="002E118D">
        <w:rPr>
          <w:rFonts w:asciiTheme="minorBidi" w:hAnsiTheme="minorBidi"/>
        </w:rPr>
        <w:t xml:space="preserve">does the concept identify </w:t>
      </w:r>
      <w:r w:rsidR="002C3A48" w:rsidRPr="002E118D">
        <w:rPr>
          <w:rFonts w:asciiTheme="minorBidi" w:hAnsiTheme="minorBidi"/>
        </w:rPr>
        <w:t>those responsible for making visual impression management choices.</w:t>
      </w:r>
      <w:r w:rsidR="00ED620C" w:rsidRPr="002E118D">
        <w:rPr>
          <w:rFonts w:asciiTheme="minorBidi" w:hAnsiTheme="minorBidi"/>
        </w:rPr>
        <w:t xml:space="preserve"> </w:t>
      </w:r>
      <w:r w:rsidR="000C2CA3" w:rsidRPr="002E118D">
        <w:rPr>
          <w:rFonts w:asciiTheme="minorBidi" w:hAnsiTheme="minorBidi"/>
        </w:rPr>
        <w:t>Are the key decisions about visuals in SASRs made by the CEO, the reporting manager</w:t>
      </w:r>
      <w:r w:rsidR="00627976">
        <w:rPr>
          <w:rFonts w:asciiTheme="minorBidi" w:hAnsiTheme="minorBidi"/>
        </w:rPr>
        <w:t>(</w:t>
      </w:r>
      <w:r w:rsidR="00B47104" w:rsidRPr="002E118D">
        <w:rPr>
          <w:rFonts w:asciiTheme="minorBidi" w:hAnsiTheme="minorBidi"/>
        </w:rPr>
        <w:t>s</w:t>
      </w:r>
      <w:r w:rsidR="00627976">
        <w:rPr>
          <w:rFonts w:asciiTheme="minorBidi" w:hAnsiTheme="minorBidi"/>
        </w:rPr>
        <w:t>)</w:t>
      </w:r>
      <w:r w:rsidR="000C2CA3" w:rsidRPr="002E118D">
        <w:rPr>
          <w:rFonts w:asciiTheme="minorBidi" w:hAnsiTheme="minorBidi"/>
        </w:rPr>
        <w:t xml:space="preserve">, or external designers? </w:t>
      </w:r>
      <w:r w:rsidR="00CE7AB1" w:rsidRPr="002E118D">
        <w:rPr>
          <w:rFonts w:asciiTheme="minorBidi" w:hAnsiTheme="minorBidi"/>
        </w:rPr>
        <w:t>Knowing how and by whom decisions relating to impression management are</w:t>
      </w:r>
      <w:r w:rsidR="00886A4E">
        <w:rPr>
          <w:rFonts w:asciiTheme="minorBidi" w:hAnsiTheme="minorBidi"/>
        </w:rPr>
        <w:t xml:space="preserve"> </w:t>
      </w:r>
      <w:r w:rsidR="00CE7AB1" w:rsidRPr="002E118D">
        <w:rPr>
          <w:rFonts w:asciiTheme="minorBidi" w:hAnsiTheme="minorBidi"/>
        </w:rPr>
        <w:t xml:space="preserve">made is important because it provides evidence of the extent to which impression management is a deliberate means of putting into effect a reporting strategy or is just a by-product of the production process. Answers to the “how” and “by whom” questions involve a consideration of organisational dynamics. In this paper, we suggest that these questions </w:t>
      </w:r>
      <w:r w:rsidR="00142FF2" w:rsidRPr="002E118D">
        <w:rPr>
          <w:rFonts w:asciiTheme="minorBidi" w:hAnsiTheme="minorBidi"/>
        </w:rPr>
        <w:t xml:space="preserve">may be </w:t>
      </w:r>
      <w:r w:rsidR="00D46720" w:rsidRPr="002E118D">
        <w:rPr>
          <w:rFonts w:asciiTheme="minorBidi" w:hAnsiTheme="minorBidi"/>
        </w:rPr>
        <w:t>answered by reference to</w:t>
      </w:r>
      <w:r w:rsidR="00CE7AB1" w:rsidRPr="002E118D">
        <w:rPr>
          <w:rFonts w:asciiTheme="minorBidi" w:hAnsiTheme="minorBidi"/>
        </w:rPr>
        <w:t xml:space="preserve"> the concept of</w:t>
      </w:r>
      <w:r w:rsidR="00D46720" w:rsidRPr="002E118D">
        <w:rPr>
          <w:rFonts w:asciiTheme="minorBidi" w:hAnsiTheme="minorBidi"/>
        </w:rPr>
        <w:t xml:space="preserve"> </w:t>
      </w:r>
      <w:r w:rsidR="003C1524" w:rsidRPr="002E118D">
        <w:rPr>
          <w:rFonts w:asciiTheme="minorBidi" w:hAnsiTheme="minorBidi"/>
        </w:rPr>
        <w:t>”</w:t>
      </w:r>
      <w:r w:rsidR="00D46720" w:rsidRPr="002E118D">
        <w:rPr>
          <w:rFonts w:asciiTheme="minorBidi" w:hAnsiTheme="minorBidi"/>
        </w:rPr>
        <w:t>functional stupidity</w:t>
      </w:r>
      <w:r w:rsidR="003C1524" w:rsidRPr="002E118D">
        <w:rPr>
          <w:rFonts w:asciiTheme="minorBidi" w:hAnsiTheme="minorBidi"/>
        </w:rPr>
        <w:t xml:space="preserve">”, which </w:t>
      </w:r>
      <w:r w:rsidR="005C18C5" w:rsidRPr="002E118D">
        <w:rPr>
          <w:rFonts w:asciiTheme="minorBidi" w:hAnsiTheme="minorBidi"/>
        </w:rPr>
        <w:t>has been defined as the “inability and/or unwillingness to use cognitive and reflective capacities in anything other than narrow and circumspect ways” (Alvesson &amp; Spicer, 2012</w:t>
      </w:r>
      <w:r w:rsidR="003C1524" w:rsidRPr="002E118D">
        <w:rPr>
          <w:rFonts w:asciiTheme="minorBidi" w:hAnsiTheme="minorBidi"/>
        </w:rPr>
        <w:t>, p.</w:t>
      </w:r>
      <w:r w:rsidR="005C18C5" w:rsidRPr="002E118D">
        <w:rPr>
          <w:rFonts w:asciiTheme="minorBidi" w:hAnsiTheme="minorBidi"/>
        </w:rPr>
        <w:t>1201).</w:t>
      </w:r>
      <w:r w:rsidR="00886A4E">
        <w:rPr>
          <w:rFonts w:asciiTheme="minorBidi" w:hAnsiTheme="minorBidi"/>
        </w:rPr>
        <w:t xml:space="preserve"> </w:t>
      </w:r>
      <w:r w:rsidR="008A3241" w:rsidRPr="002E118D">
        <w:rPr>
          <w:rFonts w:asciiTheme="minorBidi" w:hAnsiTheme="minorBidi"/>
        </w:rPr>
        <w:t xml:space="preserve">We argue that functional stupidity </w:t>
      </w:r>
      <w:r w:rsidR="005A42D9" w:rsidRPr="002E118D">
        <w:rPr>
          <w:rFonts w:asciiTheme="minorBidi" w:hAnsiTheme="minorBidi"/>
        </w:rPr>
        <w:t xml:space="preserve">at the organisational level </w:t>
      </w:r>
      <w:r w:rsidR="00142FF2" w:rsidRPr="002E118D">
        <w:rPr>
          <w:rFonts w:asciiTheme="minorBidi" w:hAnsiTheme="minorBidi"/>
        </w:rPr>
        <w:t>may be</w:t>
      </w:r>
      <w:r w:rsidR="008A3241" w:rsidRPr="002E118D">
        <w:rPr>
          <w:rFonts w:asciiTheme="minorBidi" w:hAnsiTheme="minorBidi"/>
        </w:rPr>
        <w:t xml:space="preserve"> prevalent in contexts dominated by the economics of persuasion, which emphasises image and symbolic manipulation.</w:t>
      </w:r>
      <w:r w:rsidR="00E760AE" w:rsidRPr="002E118D">
        <w:rPr>
          <w:rFonts w:asciiTheme="minorBidi" w:hAnsiTheme="minorBidi"/>
        </w:rPr>
        <w:t xml:space="preserve"> </w:t>
      </w:r>
      <w:r w:rsidR="00A005DF" w:rsidRPr="002E118D">
        <w:rPr>
          <w:rFonts w:asciiTheme="minorBidi" w:hAnsiTheme="minorBidi"/>
        </w:rPr>
        <w:t xml:space="preserve">The paper </w:t>
      </w:r>
      <w:r w:rsidR="00273743" w:rsidRPr="002E118D">
        <w:rPr>
          <w:rFonts w:asciiTheme="minorBidi" w:hAnsiTheme="minorBidi"/>
        </w:rPr>
        <w:t xml:space="preserve">also </w:t>
      </w:r>
      <w:r w:rsidR="00A005DF" w:rsidRPr="002E118D">
        <w:rPr>
          <w:rFonts w:asciiTheme="minorBidi" w:hAnsiTheme="minorBidi"/>
        </w:rPr>
        <w:t>responds to the observation of Michelon et al</w:t>
      </w:r>
      <w:r w:rsidR="00F92958" w:rsidRPr="002E118D">
        <w:rPr>
          <w:rFonts w:asciiTheme="minorBidi" w:hAnsiTheme="minorBidi"/>
        </w:rPr>
        <w:t>.</w:t>
      </w:r>
      <w:r w:rsidR="00A005DF" w:rsidRPr="002E118D">
        <w:rPr>
          <w:rFonts w:asciiTheme="minorBidi" w:hAnsiTheme="minorBidi"/>
        </w:rPr>
        <w:t xml:space="preserve"> (2016, p.21),</w:t>
      </w:r>
      <w:r w:rsidR="00E65A43" w:rsidRPr="002E118D">
        <w:rPr>
          <w:rFonts w:asciiTheme="minorBidi" w:hAnsiTheme="minorBidi"/>
        </w:rPr>
        <w:t xml:space="preserve"> that</w:t>
      </w:r>
      <w:r w:rsidR="00A005DF" w:rsidRPr="002E118D">
        <w:rPr>
          <w:rFonts w:asciiTheme="minorBidi" w:hAnsiTheme="minorBidi"/>
        </w:rPr>
        <w:t xml:space="preserve"> “although functional stupidity has been used recently in accounting research</w:t>
      </w:r>
      <w:r w:rsidR="003F790D" w:rsidRPr="002E118D">
        <w:rPr>
          <w:rFonts w:asciiTheme="minorBidi" w:hAnsiTheme="minorBidi"/>
        </w:rPr>
        <w:t xml:space="preserve">, </w:t>
      </w:r>
      <w:r w:rsidR="00A005DF" w:rsidRPr="002E118D">
        <w:rPr>
          <w:rFonts w:asciiTheme="minorBidi" w:hAnsiTheme="minorBidi"/>
        </w:rPr>
        <w:t>we are not aware of its use in the area of social and environmental accounting, in which we believe it holds promise”.</w:t>
      </w:r>
    </w:p>
    <w:p w14:paraId="2108D2F7" w14:textId="303BB650" w:rsidR="00B04E52" w:rsidRPr="002E118D" w:rsidRDefault="00AE005F">
      <w:pPr>
        <w:rPr>
          <w:rFonts w:asciiTheme="minorBidi" w:hAnsiTheme="minorBidi"/>
        </w:rPr>
      </w:pPr>
      <w:r w:rsidRPr="002E118D">
        <w:rPr>
          <w:rFonts w:asciiTheme="minorBidi" w:hAnsiTheme="minorBidi"/>
        </w:rPr>
        <w:t>O</w:t>
      </w:r>
      <w:r w:rsidR="00154E02" w:rsidRPr="002E118D">
        <w:rPr>
          <w:rFonts w:asciiTheme="minorBidi" w:hAnsiTheme="minorBidi"/>
        </w:rPr>
        <w:t xml:space="preserve">ur research objectives are: </w:t>
      </w:r>
    </w:p>
    <w:p w14:paraId="14E75355" w14:textId="34B66E3D" w:rsidR="00BE225E" w:rsidRPr="002E118D" w:rsidRDefault="00BE225E">
      <w:pPr>
        <w:pStyle w:val="ListParagraph"/>
        <w:numPr>
          <w:ilvl w:val="0"/>
          <w:numId w:val="4"/>
        </w:numPr>
        <w:rPr>
          <w:rFonts w:asciiTheme="minorBidi" w:hAnsiTheme="minorBidi"/>
        </w:rPr>
      </w:pPr>
      <w:r w:rsidRPr="002E118D">
        <w:rPr>
          <w:rFonts w:asciiTheme="minorBidi" w:hAnsiTheme="minorBidi"/>
        </w:rPr>
        <w:t>To understand the process by which GRI-</w:t>
      </w:r>
      <w:r w:rsidR="007B0637" w:rsidRPr="002E118D">
        <w:rPr>
          <w:rFonts w:asciiTheme="minorBidi" w:hAnsiTheme="minorBidi"/>
        </w:rPr>
        <w:t>compliant</w:t>
      </w:r>
      <w:r w:rsidRPr="002E118D">
        <w:rPr>
          <w:rFonts w:asciiTheme="minorBidi" w:hAnsiTheme="minorBidi"/>
        </w:rPr>
        <w:t xml:space="preserve"> SARSs are prepared</w:t>
      </w:r>
      <w:r w:rsidR="004478D8" w:rsidRPr="002E118D">
        <w:rPr>
          <w:rFonts w:asciiTheme="minorBidi" w:hAnsiTheme="minorBidi"/>
        </w:rPr>
        <w:t>.</w:t>
      </w:r>
    </w:p>
    <w:p w14:paraId="7438A20D" w14:textId="7E618E52" w:rsidR="00517C52" w:rsidRPr="002E118D" w:rsidRDefault="00517C52" w:rsidP="00517C52">
      <w:pPr>
        <w:pStyle w:val="ListParagraph"/>
        <w:numPr>
          <w:ilvl w:val="0"/>
          <w:numId w:val="4"/>
        </w:numPr>
        <w:rPr>
          <w:rFonts w:asciiTheme="minorBidi" w:hAnsiTheme="minorBidi"/>
        </w:rPr>
      </w:pPr>
      <w:r w:rsidRPr="002E118D">
        <w:rPr>
          <w:rFonts w:asciiTheme="minorBidi" w:hAnsiTheme="minorBidi"/>
        </w:rPr>
        <w:t>To understand the respective roles of the CEO and the reporting manager in the detailed process of preparation.</w:t>
      </w:r>
    </w:p>
    <w:p w14:paraId="5D654364" w14:textId="77777777" w:rsidR="00517C52" w:rsidRPr="002E118D" w:rsidRDefault="00BE225E">
      <w:pPr>
        <w:pStyle w:val="ListParagraph"/>
        <w:numPr>
          <w:ilvl w:val="0"/>
          <w:numId w:val="4"/>
        </w:numPr>
        <w:rPr>
          <w:rFonts w:asciiTheme="minorBidi" w:hAnsiTheme="minorBidi"/>
        </w:rPr>
      </w:pPr>
      <w:r w:rsidRPr="002E118D">
        <w:rPr>
          <w:rFonts w:asciiTheme="minorBidi" w:hAnsiTheme="minorBidi"/>
        </w:rPr>
        <w:t>To investigate the selection process of visuals</w:t>
      </w:r>
      <w:r w:rsidR="00517C52" w:rsidRPr="002E118D">
        <w:rPr>
          <w:rFonts w:asciiTheme="minorBidi" w:hAnsiTheme="minorBidi"/>
        </w:rPr>
        <w:t>.</w:t>
      </w:r>
    </w:p>
    <w:p w14:paraId="57C87C46" w14:textId="6542ED3D" w:rsidR="00BE225E" w:rsidRPr="002E118D" w:rsidRDefault="00517C52">
      <w:pPr>
        <w:pStyle w:val="ListParagraph"/>
        <w:numPr>
          <w:ilvl w:val="0"/>
          <w:numId w:val="4"/>
        </w:numPr>
        <w:rPr>
          <w:rFonts w:asciiTheme="minorBidi" w:hAnsiTheme="minorBidi"/>
        </w:rPr>
      </w:pPr>
      <w:r w:rsidRPr="002E118D">
        <w:rPr>
          <w:rFonts w:asciiTheme="minorBidi" w:hAnsiTheme="minorBidi"/>
        </w:rPr>
        <w:t xml:space="preserve">To investigate the use of </w:t>
      </w:r>
      <w:r w:rsidR="00BE225E" w:rsidRPr="002E118D">
        <w:rPr>
          <w:rFonts w:asciiTheme="minorBidi" w:hAnsiTheme="minorBidi"/>
        </w:rPr>
        <w:t>blank</w:t>
      </w:r>
      <w:r w:rsidR="00E65A43" w:rsidRPr="002E118D">
        <w:rPr>
          <w:rFonts w:asciiTheme="minorBidi" w:hAnsiTheme="minorBidi"/>
        </w:rPr>
        <w:t xml:space="preserve"> space</w:t>
      </w:r>
      <w:r w:rsidR="004478D8" w:rsidRPr="002E118D">
        <w:rPr>
          <w:rFonts w:asciiTheme="minorBidi" w:hAnsiTheme="minorBidi"/>
        </w:rPr>
        <w:t>.</w:t>
      </w:r>
      <w:r w:rsidR="00BE225E" w:rsidRPr="002E118D">
        <w:rPr>
          <w:rFonts w:asciiTheme="minorBidi" w:hAnsiTheme="minorBidi"/>
        </w:rPr>
        <w:t xml:space="preserve"> </w:t>
      </w:r>
    </w:p>
    <w:p w14:paraId="51200D73" w14:textId="1ED6CF38" w:rsidR="00C6193B" w:rsidRPr="002E118D" w:rsidRDefault="000118BC">
      <w:pPr>
        <w:rPr>
          <w:rFonts w:asciiTheme="minorBidi" w:hAnsiTheme="minorBidi"/>
        </w:rPr>
      </w:pPr>
      <w:r>
        <w:rPr>
          <w:rFonts w:asciiTheme="minorBidi" w:hAnsiTheme="minorBidi"/>
        </w:rPr>
        <w:t>We organise our paper</w:t>
      </w:r>
      <w:r w:rsidR="00154E02" w:rsidRPr="002E118D">
        <w:rPr>
          <w:rFonts w:asciiTheme="minorBidi" w:hAnsiTheme="minorBidi"/>
        </w:rPr>
        <w:t xml:space="preserve"> as follows: We discuss prior studies </w:t>
      </w:r>
      <w:r w:rsidR="00F92958" w:rsidRPr="002E118D">
        <w:rPr>
          <w:rFonts w:asciiTheme="minorBidi" w:hAnsiTheme="minorBidi"/>
        </w:rPr>
        <w:t xml:space="preserve">of </w:t>
      </w:r>
      <w:r w:rsidR="00154E02" w:rsidRPr="002E118D">
        <w:rPr>
          <w:rFonts w:asciiTheme="minorBidi" w:hAnsiTheme="minorBidi"/>
        </w:rPr>
        <w:t>SASRs</w:t>
      </w:r>
      <w:r w:rsidR="002D142D" w:rsidRPr="002E118D">
        <w:rPr>
          <w:rFonts w:asciiTheme="minorBidi" w:hAnsiTheme="minorBidi"/>
        </w:rPr>
        <w:t xml:space="preserve">, </w:t>
      </w:r>
      <w:r w:rsidR="00B950DB" w:rsidRPr="002E118D">
        <w:rPr>
          <w:rFonts w:asciiTheme="minorBidi" w:hAnsiTheme="minorBidi"/>
        </w:rPr>
        <w:t xml:space="preserve">authorship, and visual </w:t>
      </w:r>
      <w:r w:rsidR="002D142D" w:rsidRPr="002E118D">
        <w:rPr>
          <w:rFonts w:asciiTheme="minorBidi" w:hAnsiTheme="minorBidi"/>
        </w:rPr>
        <w:t>impression management in</w:t>
      </w:r>
      <w:r w:rsidR="00154E02" w:rsidRPr="002E118D">
        <w:rPr>
          <w:rFonts w:asciiTheme="minorBidi" w:hAnsiTheme="minorBidi"/>
        </w:rPr>
        <w:t xml:space="preserve"> </w:t>
      </w:r>
      <w:r w:rsidR="003C1524" w:rsidRPr="002E118D">
        <w:rPr>
          <w:rFonts w:asciiTheme="minorBidi" w:hAnsiTheme="minorBidi"/>
        </w:rPr>
        <w:t>S</w:t>
      </w:r>
      <w:r w:rsidR="00154E02" w:rsidRPr="002E118D">
        <w:rPr>
          <w:rFonts w:asciiTheme="minorBidi" w:hAnsiTheme="minorBidi"/>
        </w:rPr>
        <w:t xml:space="preserve">ection 2. </w:t>
      </w:r>
      <w:r>
        <w:rPr>
          <w:rFonts w:asciiTheme="minorBidi" w:hAnsiTheme="minorBidi"/>
        </w:rPr>
        <w:t xml:space="preserve">In </w:t>
      </w:r>
      <w:r w:rsidR="00154E02" w:rsidRPr="002E118D">
        <w:rPr>
          <w:rFonts w:asciiTheme="minorBidi" w:hAnsiTheme="minorBidi"/>
        </w:rPr>
        <w:t xml:space="preserve">Section 3 </w:t>
      </w:r>
      <w:r>
        <w:rPr>
          <w:rFonts w:asciiTheme="minorBidi" w:hAnsiTheme="minorBidi"/>
        </w:rPr>
        <w:t xml:space="preserve">we </w:t>
      </w:r>
      <w:r w:rsidR="00B666AF" w:rsidRPr="002E118D">
        <w:rPr>
          <w:rFonts w:asciiTheme="minorBidi" w:hAnsiTheme="minorBidi"/>
        </w:rPr>
        <w:t xml:space="preserve">develop a </w:t>
      </w:r>
      <w:r w:rsidR="00154E02" w:rsidRPr="002E118D">
        <w:rPr>
          <w:rFonts w:asciiTheme="minorBidi" w:hAnsiTheme="minorBidi"/>
        </w:rPr>
        <w:t>theoretical framework</w:t>
      </w:r>
      <w:r w:rsidR="003C1524" w:rsidRPr="002E118D">
        <w:rPr>
          <w:rFonts w:asciiTheme="minorBidi" w:hAnsiTheme="minorBidi"/>
        </w:rPr>
        <w:t xml:space="preserve"> of “functional stupidity”</w:t>
      </w:r>
      <w:r w:rsidR="00154E02" w:rsidRPr="002E118D">
        <w:rPr>
          <w:rFonts w:asciiTheme="minorBidi" w:hAnsiTheme="minorBidi"/>
        </w:rPr>
        <w:t xml:space="preserve"> </w:t>
      </w:r>
      <w:r w:rsidR="00BD108C" w:rsidRPr="002E118D">
        <w:rPr>
          <w:rFonts w:asciiTheme="minorBidi" w:hAnsiTheme="minorBidi"/>
        </w:rPr>
        <w:t xml:space="preserve">for possible explanation of the behaviour of the reporting managers and </w:t>
      </w:r>
      <w:r w:rsidR="005904FD" w:rsidRPr="002E118D">
        <w:rPr>
          <w:rFonts w:asciiTheme="minorBidi" w:hAnsiTheme="minorBidi"/>
        </w:rPr>
        <w:t>CEOs in</w:t>
      </w:r>
      <w:r w:rsidR="00BD108C" w:rsidRPr="002E118D">
        <w:rPr>
          <w:rFonts w:asciiTheme="minorBidi" w:hAnsiTheme="minorBidi"/>
        </w:rPr>
        <w:t xml:space="preserve"> the disclosure process of environmental and social information including the inclusion of blank space and visuals in SASRs</w:t>
      </w:r>
      <w:r w:rsidR="00154E02" w:rsidRPr="002E118D">
        <w:rPr>
          <w:rFonts w:asciiTheme="minorBidi" w:hAnsiTheme="minorBidi"/>
        </w:rPr>
        <w:t>. We outline the research method in Section 4. We d</w:t>
      </w:r>
      <w:r w:rsidR="003C1524" w:rsidRPr="002E118D">
        <w:rPr>
          <w:rFonts w:asciiTheme="minorBidi" w:hAnsiTheme="minorBidi"/>
        </w:rPr>
        <w:t>etail</w:t>
      </w:r>
      <w:r w:rsidR="00154E02" w:rsidRPr="002E118D">
        <w:rPr>
          <w:rFonts w:asciiTheme="minorBidi" w:hAnsiTheme="minorBidi"/>
        </w:rPr>
        <w:t xml:space="preserve"> the </w:t>
      </w:r>
      <w:r w:rsidR="00B666AF" w:rsidRPr="002E118D">
        <w:rPr>
          <w:rFonts w:asciiTheme="minorBidi" w:hAnsiTheme="minorBidi"/>
        </w:rPr>
        <w:t>empirical findings</w:t>
      </w:r>
      <w:r w:rsidR="00154E02" w:rsidRPr="002E118D">
        <w:rPr>
          <w:rFonts w:asciiTheme="minorBidi" w:hAnsiTheme="minorBidi"/>
        </w:rPr>
        <w:t xml:space="preserve"> in Section </w:t>
      </w:r>
      <w:r w:rsidR="003F790D" w:rsidRPr="002E118D">
        <w:rPr>
          <w:rFonts w:asciiTheme="minorBidi" w:hAnsiTheme="minorBidi"/>
        </w:rPr>
        <w:t>5 and</w:t>
      </w:r>
      <w:r w:rsidR="003C1524" w:rsidRPr="002E118D">
        <w:rPr>
          <w:rFonts w:asciiTheme="minorBidi" w:hAnsiTheme="minorBidi"/>
        </w:rPr>
        <w:t xml:space="preserve"> discuss them</w:t>
      </w:r>
      <w:r w:rsidR="00A005DF" w:rsidRPr="002E118D">
        <w:rPr>
          <w:rFonts w:asciiTheme="minorBidi" w:hAnsiTheme="minorBidi"/>
        </w:rPr>
        <w:t xml:space="preserve"> in the context of </w:t>
      </w:r>
      <w:r w:rsidR="003C1524" w:rsidRPr="002E118D">
        <w:rPr>
          <w:rFonts w:asciiTheme="minorBidi" w:hAnsiTheme="minorBidi"/>
        </w:rPr>
        <w:t>“</w:t>
      </w:r>
      <w:r w:rsidR="00A005DF" w:rsidRPr="002E118D">
        <w:rPr>
          <w:rFonts w:asciiTheme="minorBidi" w:hAnsiTheme="minorBidi"/>
        </w:rPr>
        <w:t>functional stupidity</w:t>
      </w:r>
      <w:r w:rsidR="003C1524" w:rsidRPr="002E118D">
        <w:rPr>
          <w:rFonts w:asciiTheme="minorBidi" w:hAnsiTheme="minorBidi"/>
        </w:rPr>
        <w:t>”</w:t>
      </w:r>
      <w:r w:rsidR="00A005DF" w:rsidRPr="002E118D">
        <w:rPr>
          <w:rFonts w:asciiTheme="minorBidi" w:hAnsiTheme="minorBidi"/>
        </w:rPr>
        <w:t xml:space="preserve"> in Section 6</w:t>
      </w:r>
      <w:r w:rsidR="00312E74">
        <w:rPr>
          <w:rFonts w:asciiTheme="minorBidi" w:hAnsiTheme="minorBidi"/>
        </w:rPr>
        <w:t>.</w:t>
      </w:r>
      <w:r w:rsidR="00886A4E">
        <w:rPr>
          <w:rFonts w:asciiTheme="minorBidi" w:hAnsiTheme="minorBidi"/>
        </w:rPr>
        <w:t xml:space="preserve"> </w:t>
      </w:r>
      <w:r w:rsidR="003C1524" w:rsidRPr="002E118D">
        <w:rPr>
          <w:rFonts w:asciiTheme="minorBidi" w:hAnsiTheme="minorBidi"/>
        </w:rPr>
        <w:t>We</w:t>
      </w:r>
      <w:r w:rsidR="00154E02" w:rsidRPr="002E118D">
        <w:rPr>
          <w:rFonts w:asciiTheme="minorBidi" w:hAnsiTheme="minorBidi"/>
        </w:rPr>
        <w:t xml:space="preserve"> </w:t>
      </w:r>
      <w:r w:rsidR="00B666AF" w:rsidRPr="002E118D">
        <w:rPr>
          <w:rFonts w:asciiTheme="minorBidi" w:hAnsiTheme="minorBidi"/>
        </w:rPr>
        <w:t>set out our conclusions</w:t>
      </w:r>
      <w:r w:rsidR="00154E02" w:rsidRPr="002E118D">
        <w:rPr>
          <w:rFonts w:asciiTheme="minorBidi" w:hAnsiTheme="minorBidi"/>
        </w:rPr>
        <w:t xml:space="preserve"> in Section </w:t>
      </w:r>
      <w:r w:rsidR="00A005DF" w:rsidRPr="002E118D">
        <w:rPr>
          <w:rFonts w:asciiTheme="minorBidi" w:hAnsiTheme="minorBidi"/>
        </w:rPr>
        <w:t>7</w:t>
      </w:r>
      <w:r w:rsidR="00154E02" w:rsidRPr="002E118D">
        <w:rPr>
          <w:rFonts w:asciiTheme="minorBidi" w:hAnsiTheme="minorBidi"/>
        </w:rPr>
        <w:t>.</w:t>
      </w:r>
    </w:p>
    <w:p w14:paraId="22059960" w14:textId="501C7444" w:rsidR="00853B88" w:rsidRPr="002E118D" w:rsidRDefault="00860934" w:rsidP="00BA12C2">
      <w:pPr>
        <w:pStyle w:val="Heading1"/>
      </w:pPr>
      <w:r w:rsidRPr="002E118D">
        <w:lastRenderedPageBreak/>
        <w:t>Previous studies of sustainability reports</w:t>
      </w:r>
    </w:p>
    <w:p w14:paraId="10930B2E" w14:textId="732B811B" w:rsidR="001508FB" w:rsidRPr="002E118D" w:rsidRDefault="00895201" w:rsidP="00175417">
      <w:pPr>
        <w:pStyle w:val="Heading2"/>
        <w:spacing w:line="240" w:lineRule="auto"/>
        <w:ind w:left="360" w:hanging="360"/>
        <w:rPr>
          <w:rFonts w:asciiTheme="minorBidi" w:hAnsiTheme="minorBidi" w:cstheme="minorBidi"/>
        </w:rPr>
      </w:pPr>
      <w:r w:rsidRPr="002E118D">
        <w:rPr>
          <w:rFonts w:asciiTheme="minorBidi" w:hAnsiTheme="minorBidi" w:cstheme="minorBidi"/>
        </w:rPr>
        <w:t xml:space="preserve">2.1 </w:t>
      </w:r>
      <w:r w:rsidR="00EC4E0E" w:rsidRPr="002E118D">
        <w:rPr>
          <w:rFonts w:asciiTheme="minorBidi" w:hAnsiTheme="minorBidi" w:cstheme="minorBidi"/>
        </w:rPr>
        <w:t xml:space="preserve">Stand-alone sustainability reports </w:t>
      </w:r>
    </w:p>
    <w:p w14:paraId="182F0E5B" w14:textId="1DBF955E" w:rsidR="001434CC" w:rsidRPr="002E118D" w:rsidRDefault="001508FB" w:rsidP="001434CC">
      <w:pPr>
        <w:rPr>
          <w:rFonts w:asciiTheme="minorBidi" w:eastAsia="SimSun" w:hAnsiTheme="minorBidi"/>
        </w:rPr>
      </w:pPr>
      <w:r w:rsidRPr="002E118D">
        <w:rPr>
          <w:rFonts w:asciiTheme="minorBidi" w:hAnsiTheme="minorBidi"/>
        </w:rPr>
        <w:t>The Global Reporting Initiative (GRI) describes sustainability reporting as the voluntary disclosure of information on the economic, social and environmental impact of organisational operations (GRI, 2015).</w:t>
      </w:r>
      <w:r w:rsidR="001434CC" w:rsidRPr="002E118D">
        <w:rPr>
          <w:rFonts w:asciiTheme="minorBidi" w:hAnsiTheme="minorBidi"/>
        </w:rPr>
        <w:t xml:space="preserve"> The GRI guidelines were a voluntary reporting framework that were superseded by the GRI Standards, which came into effect for periods beginning on or after 1 July 2018</w:t>
      </w:r>
      <w:r w:rsidR="001434CC" w:rsidRPr="002E118D">
        <w:rPr>
          <w:rFonts w:asciiTheme="minorBidi" w:eastAsia="SimSun" w:hAnsiTheme="minorBidi"/>
        </w:rPr>
        <w:t xml:space="preserve">. </w:t>
      </w:r>
      <w:r w:rsidR="00F740F7">
        <w:rPr>
          <w:rFonts w:asciiTheme="minorBidi" w:hAnsiTheme="minorBidi"/>
          <w:bCs/>
        </w:rPr>
        <w:t>Cho</w:t>
      </w:r>
      <w:r w:rsidR="003D5444">
        <w:rPr>
          <w:rFonts w:asciiTheme="minorBidi" w:hAnsiTheme="minorBidi"/>
          <w:bCs/>
        </w:rPr>
        <w:t>, Michelon</w:t>
      </w:r>
      <w:r w:rsidR="00CD20F6">
        <w:rPr>
          <w:rFonts w:asciiTheme="minorBidi" w:hAnsiTheme="minorBidi"/>
          <w:bCs/>
        </w:rPr>
        <w:t xml:space="preserve"> </w:t>
      </w:r>
      <w:r w:rsidR="00F740F7">
        <w:rPr>
          <w:rFonts w:asciiTheme="minorBidi" w:hAnsiTheme="minorBidi"/>
          <w:bCs/>
        </w:rPr>
        <w:t>et al. (2015) consider that t</w:t>
      </w:r>
      <w:r w:rsidR="001434CC" w:rsidRPr="002E118D">
        <w:rPr>
          <w:rFonts w:asciiTheme="minorBidi" w:hAnsiTheme="minorBidi"/>
        </w:rPr>
        <w:t>he</w:t>
      </w:r>
      <w:r w:rsidR="001434CC" w:rsidRPr="002E118D">
        <w:rPr>
          <w:rFonts w:asciiTheme="minorBidi" w:hAnsiTheme="minorBidi"/>
          <w:b/>
        </w:rPr>
        <w:t xml:space="preserve"> </w:t>
      </w:r>
      <w:r w:rsidR="001434CC" w:rsidRPr="002E118D">
        <w:rPr>
          <w:rFonts w:asciiTheme="minorBidi" w:hAnsiTheme="minorBidi"/>
        </w:rPr>
        <w:t xml:space="preserve">GRI guidelines </w:t>
      </w:r>
      <w:r w:rsidR="00F740F7">
        <w:rPr>
          <w:rFonts w:asciiTheme="minorBidi" w:hAnsiTheme="minorBidi"/>
        </w:rPr>
        <w:t>we</w:t>
      </w:r>
      <w:r w:rsidR="000118BC">
        <w:rPr>
          <w:rFonts w:asciiTheme="minorBidi" w:hAnsiTheme="minorBidi"/>
        </w:rPr>
        <w:t>re</w:t>
      </w:r>
      <w:r w:rsidR="001434CC" w:rsidRPr="002E118D">
        <w:rPr>
          <w:rFonts w:asciiTheme="minorBidi" w:hAnsiTheme="minorBidi"/>
        </w:rPr>
        <w:t xml:space="preserve"> an important factor in driving the growth of SASRs</w:t>
      </w:r>
      <w:r w:rsidR="001434CC" w:rsidRPr="002E118D">
        <w:rPr>
          <w:rFonts w:asciiTheme="minorBidi" w:hAnsiTheme="minorBidi"/>
          <w:bCs/>
        </w:rPr>
        <w:t>.</w:t>
      </w:r>
      <w:r w:rsidR="00886A4E">
        <w:rPr>
          <w:rFonts w:asciiTheme="minorBidi" w:hAnsiTheme="minorBidi"/>
          <w:bCs/>
        </w:rPr>
        <w:t xml:space="preserve"> </w:t>
      </w:r>
      <w:r w:rsidR="0043728E" w:rsidRPr="002E118D">
        <w:rPr>
          <w:rFonts w:asciiTheme="minorBidi" w:eastAsia="SimSun" w:hAnsiTheme="minorBidi"/>
        </w:rPr>
        <w:t xml:space="preserve">GRI-compliant companies appear to have higher levels of commitment to SASRs than non-GRI-compliant companies. However, </w:t>
      </w:r>
      <w:r w:rsidR="00693E8C" w:rsidRPr="00C6560E">
        <w:rPr>
          <w:rFonts w:asciiTheme="minorBidi" w:eastAsia="SimSun" w:hAnsiTheme="minorBidi"/>
        </w:rPr>
        <w:t>De</w:t>
      </w:r>
      <w:r w:rsidR="0043728E" w:rsidRPr="00C6560E">
        <w:rPr>
          <w:rFonts w:asciiTheme="minorBidi" w:eastAsia="SimSun" w:hAnsiTheme="minorBidi"/>
        </w:rPr>
        <w:t xml:space="preserve"> Villiers </w:t>
      </w:r>
      <w:r w:rsidR="00684FF7">
        <w:rPr>
          <w:rFonts w:asciiTheme="minorBidi" w:eastAsia="SimSun" w:hAnsiTheme="minorBidi"/>
        </w:rPr>
        <w:t>and</w:t>
      </w:r>
      <w:r w:rsidR="0046417D" w:rsidRPr="00C6560E">
        <w:rPr>
          <w:rFonts w:asciiTheme="minorBidi" w:eastAsia="SimSun" w:hAnsiTheme="minorBidi"/>
        </w:rPr>
        <w:t xml:space="preserve"> </w:t>
      </w:r>
      <w:r w:rsidR="0043728E" w:rsidRPr="00C6560E">
        <w:rPr>
          <w:rFonts w:asciiTheme="minorBidi" w:eastAsia="SimSun" w:hAnsiTheme="minorBidi"/>
        </w:rPr>
        <w:t>Alexander (2014)</w:t>
      </w:r>
      <w:r w:rsidR="0043728E" w:rsidRPr="002E118D">
        <w:rPr>
          <w:rFonts w:asciiTheme="minorBidi" w:eastAsia="SimSun" w:hAnsiTheme="minorBidi"/>
        </w:rPr>
        <w:t xml:space="preserve"> sugges</w:t>
      </w:r>
      <w:r w:rsidR="00BD108C" w:rsidRPr="002E118D">
        <w:rPr>
          <w:rFonts w:asciiTheme="minorBidi" w:eastAsia="SimSun" w:hAnsiTheme="minorBidi"/>
        </w:rPr>
        <w:t xml:space="preserve">t </w:t>
      </w:r>
      <w:r w:rsidR="0043728E" w:rsidRPr="002E118D">
        <w:rPr>
          <w:rFonts w:asciiTheme="minorBidi" w:eastAsia="SimSun" w:hAnsiTheme="minorBidi"/>
        </w:rPr>
        <w:t xml:space="preserve">that companies may increase their symbolic performance by being able to “tick more GRI boxes”. The disclosed information also tends to reflect business interests rather than a genuine concern for accountability </w:t>
      </w:r>
      <w:r w:rsidR="00886A4E">
        <w:rPr>
          <w:rFonts w:asciiTheme="minorBidi" w:eastAsia="SimSun" w:hAnsiTheme="minorBidi"/>
        </w:rPr>
        <w:t>(</w:t>
      </w:r>
      <w:r w:rsidR="0043728E" w:rsidRPr="002E118D">
        <w:rPr>
          <w:rFonts w:asciiTheme="minorBidi" w:eastAsia="SimSun" w:hAnsiTheme="minorBidi"/>
        </w:rPr>
        <w:t>Boiral &amp; Diouf, 2017; Boiral &amp;</w:t>
      </w:r>
      <w:r w:rsidR="008022B6" w:rsidRPr="002E118D">
        <w:rPr>
          <w:rFonts w:asciiTheme="minorBidi" w:eastAsia="SimSun" w:hAnsiTheme="minorBidi"/>
        </w:rPr>
        <w:t xml:space="preserve"> </w:t>
      </w:r>
      <w:r w:rsidR="0043728E" w:rsidRPr="002E118D">
        <w:rPr>
          <w:rFonts w:asciiTheme="minorBidi" w:eastAsia="SimSun" w:hAnsiTheme="minorBidi"/>
        </w:rPr>
        <w:t xml:space="preserve">Talbot, 2018). </w:t>
      </w:r>
    </w:p>
    <w:p w14:paraId="05C6275E" w14:textId="18B61FF4" w:rsidR="003D0E32" w:rsidRPr="002E118D" w:rsidRDefault="00AC003E">
      <w:pPr>
        <w:rPr>
          <w:rFonts w:asciiTheme="minorBidi" w:eastAsia="SimSun" w:hAnsiTheme="minorBidi"/>
        </w:rPr>
      </w:pPr>
      <w:r w:rsidRPr="002E118D">
        <w:rPr>
          <w:rFonts w:asciiTheme="minorBidi" w:hAnsiTheme="minorBidi"/>
        </w:rPr>
        <w:t>Companies</w:t>
      </w:r>
      <w:r w:rsidR="007D0959" w:rsidRPr="002E118D">
        <w:rPr>
          <w:rFonts w:asciiTheme="minorBidi" w:hAnsiTheme="minorBidi"/>
        </w:rPr>
        <w:t xml:space="preserve"> </w:t>
      </w:r>
      <w:r w:rsidR="005456C1" w:rsidRPr="002E118D">
        <w:rPr>
          <w:rFonts w:asciiTheme="minorBidi" w:hAnsiTheme="minorBidi"/>
        </w:rPr>
        <w:t>employ</w:t>
      </w:r>
      <w:r w:rsidR="00853B88" w:rsidRPr="002E118D">
        <w:rPr>
          <w:rFonts w:asciiTheme="minorBidi" w:hAnsiTheme="minorBidi"/>
        </w:rPr>
        <w:t xml:space="preserve"> </w:t>
      </w:r>
      <w:r w:rsidR="005456C1" w:rsidRPr="002E118D">
        <w:rPr>
          <w:rFonts w:asciiTheme="minorBidi" w:hAnsiTheme="minorBidi"/>
        </w:rPr>
        <w:t xml:space="preserve">SASRs </w:t>
      </w:r>
      <w:r w:rsidR="00853B88" w:rsidRPr="002E118D">
        <w:rPr>
          <w:rFonts w:asciiTheme="minorBidi" w:hAnsiTheme="minorBidi"/>
        </w:rPr>
        <w:t>to portray intangible assets</w:t>
      </w:r>
      <w:r w:rsidR="009755CC" w:rsidRPr="002E118D">
        <w:rPr>
          <w:rFonts w:asciiTheme="minorBidi" w:hAnsiTheme="minorBidi"/>
        </w:rPr>
        <w:t xml:space="preserve"> and</w:t>
      </w:r>
      <w:r w:rsidR="00853B88" w:rsidRPr="002E118D">
        <w:rPr>
          <w:rFonts w:asciiTheme="minorBidi" w:hAnsiTheme="minorBidi"/>
        </w:rPr>
        <w:t xml:space="preserve"> to </w:t>
      </w:r>
      <w:r w:rsidR="00A005DF" w:rsidRPr="002E118D">
        <w:rPr>
          <w:rFonts w:asciiTheme="minorBidi" w:hAnsiTheme="minorBidi"/>
        </w:rPr>
        <w:t>explain</w:t>
      </w:r>
      <w:r w:rsidR="00853B88" w:rsidRPr="002E118D">
        <w:rPr>
          <w:rFonts w:asciiTheme="minorBidi" w:hAnsiTheme="minorBidi"/>
        </w:rPr>
        <w:t xml:space="preserve"> their corporate responsibility efforts (</w:t>
      </w:r>
      <w:r w:rsidR="00B66364" w:rsidRPr="002E118D">
        <w:rPr>
          <w:rFonts w:asciiTheme="minorBidi" w:hAnsiTheme="minorBidi"/>
        </w:rPr>
        <w:t xml:space="preserve"> </w:t>
      </w:r>
      <w:r w:rsidR="0043728E" w:rsidRPr="002E118D">
        <w:rPr>
          <w:rFonts w:asciiTheme="minorBidi" w:hAnsiTheme="minorBidi"/>
        </w:rPr>
        <w:t>Flyverbom &amp;</w:t>
      </w:r>
      <w:r w:rsidR="00E65A43" w:rsidRPr="002E118D">
        <w:rPr>
          <w:rFonts w:asciiTheme="minorBidi" w:hAnsiTheme="minorBidi"/>
        </w:rPr>
        <w:t xml:space="preserve"> Reinecke, 2017</w:t>
      </w:r>
      <w:r w:rsidR="00853B88" w:rsidRPr="002E118D">
        <w:rPr>
          <w:rFonts w:asciiTheme="minorBidi" w:hAnsiTheme="minorBidi"/>
        </w:rPr>
        <w:t xml:space="preserve">). </w:t>
      </w:r>
      <w:r w:rsidR="00853B88" w:rsidRPr="002E118D">
        <w:rPr>
          <w:rFonts w:asciiTheme="minorBidi" w:eastAsia="SimSun" w:hAnsiTheme="minorBidi"/>
        </w:rPr>
        <w:t>CSR ratings and index memberships can promote improved stakeholder relationships (Cooper &amp; Owen, 2007) and lead to inclusion in social responsibility investment funds (</w:t>
      </w:r>
      <w:hyperlink r:id="rId13" w:anchor="_ENREF_77" w:tooltip="Cho, 2015 #12" w:history="1">
        <w:r w:rsidR="00853B88" w:rsidRPr="002E118D">
          <w:rPr>
            <w:rFonts w:asciiTheme="minorBidi" w:eastAsia="SimSun" w:hAnsiTheme="minorBidi"/>
          </w:rPr>
          <w:t>Cho et al., 2015</w:t>
        </w:r>
      </w:hyperlink>
      <w:r w:rsidR="0017430E" w:rsidRPr="002E118D">
        <w:rPr>
          <w:rFonts w:asciiTheme="minorBidi" w:eastAsia="SimSun" w:hAnsiTheme="minorBidi"/>
        </w:rPr>
        <w:t>a</w:t>
      </w:r>
      <w:r w:rsidR="00853B88" w:rsidRPr="002E118D">
        <w:rPr>
          <w:rFonts w:asciiTheme="minorBidi" w:eastAsia="SimSun" w:hAnsiTheme="minorBidi"/>
        </w:rPr>
        <w:t xml:space="preserve">). This </w:t>
      </w:r>
      <w:r w:rsidR="00F70493" w:rsidRPr="002E118D">
        <w:rPr>
          <w:rFonts w:asciiTheme="minorBidi" w:eastAsia="SimSun" w:hAnsiTheme="minorBidi"/>
        </w:rPr>
        <w:t xml:space="preserve">has </w:t>
      </w:r>
      <w:r w:rsidR="009755CC" w:rsidRPr="002E118D">
        <w:rPr>
          <w:rFonts w:asciiTheme="minorBidi" w:eastAsia="SimSun" w:hAnsiTheme="minorBidi"/>
        </w:rPr>
        <w:t>led</w:t>
      </w:r>
      <w:r w:rsidR="00853B88" w:rsidRPr="002E118D">
        <w:rPr>
          <w:rFonts w:asciiTheme="minorBidi" w:eastAsia="SimSun" w:hAnsiTheme="minorBidi"/>
        </w:rPr>
        <w:t xml:space="preserve"> </w:t>
      </w:r>
      <w:r w:rsidR="00F70493" w:rsidRPr="002E118D">
        <w:rPr>
          <w:rFonts w:asciiTheme="minorBidi" w:eastAsia="SimSun" w:hAnsiTheme="minorBidi"/>
        </w:rPr>
        <w:t xml:space="preserve">to </w:t>
      </w:r>
      <w:r w:rsidR="00853B88" w:rsidRPr="002E118D">
        <w:rPr>
          <w:rFonts w:asciiTheme="minorBidi" w:eastAsia="SimSun" w:hAnsiTheme="minorBidi"/>
        </w:rPr>
        <w:t>stakeholder demand for corporate transparency and complete information on CSR</w:t>
      </w:r>
      <w:r w:rsidR="00853B88" w:rsidRPr="002E118D">
        <w:rPr>
          <w:rFonts w:asciiTheme="minorBidi" w:eastAsia="SimSun" w:hAnsiTheme="minorBidi"/>
          <w:b/>
        </w:rPr>
        <w:t xml:space="preserve"> (</w:t>
      </w:r>
      <w:hyperlink r:id="rId14" w:anchor="_ENREF_214" w:tooltip="Kolk, 2008 #115" w:history="1">
        <w:r w:rsidR="00853B88" w:rsidRPr="002E118D">
          <w:rPr>
            <w:rFonts w:asciiTheme="minorBidi" w:eastAsia="SimSun" w:hAnsiTheme="minorBidi"/>
          </w:rPr>
          <w:t>Kolk, 2008</w:t>
        </w:r>
      </w:hyperlink>
      <w:r w:rsidR="00853B88" w:rsidRPr="002E118D">
        <w:rPr>
          <w:rFonts w:asciiTheme="minorBidi" w:eastAsia="SimSun" w:hAnsiTheme="minorBidi"/>
        </w:rPr>
        <w:t>).</w:t>
      </w:r>
      <w:r w:rsidR="007573DA" w:rsidRPr="002E118D">
        <w:rPr>
          <w:rFonts w:asciiTheme="minorBidi" w:eastAsia="SimSun" w:hAnsiTheme="minorBidi"/>
        </w:rPr>
        <w:t xml:space="preserve"> </w:t>
      </w:r>
      <w:r w:rsidR="001434CC" w:rsidRPr="002E118D">
        <w:rPr>
          <w:rFonts w:asciiTheme="minorBidi" w:eastAsia="SimSun" w:hAnsiTheme="minorBidi"/>
        </w:rPr>
        <w:t xml:space="preserve">However, </w:t>
      </w:r>
      <w:r w:rsidR="00BC7543" w:rsidRPr="002E118D">
        <w:rPr>
          <w:rFonts w:asciiTheme="minorBidi" w:eastAsia="SimSun" w:hAnsiTheme="minorBidi"/>
        </w:rPr>
        <w:t>SASRs</w:t>
      </w:r>
      <w:r w:rsidR="007573DA" w:rsidRPr="002E118D">
        <w:rPr>
          <w:rFonts w:asciiTheme="minorBidi" w:eastAsia="SimSun" w:hAnsiTheme="minorBidi"/>
        </w:rPr>
        <w:t xml:space="preserve"> </w:t>
      </w:r>
      <w:r w:rsidR="000118BC">
        <w:rPr>
          <w:rFonts w:asciiTheme="minorBidi" w:eastAsia="SimSun" w:hAnsiTheme="minorBidi"/>
        </w:rPr>
        <w:t>are</w:t>
      </w:r>
      <w:r w:rsidR="007573DA" w:rsidRPr="002E118D">
        <w:rPr>
          <w:rFonts w:asciiTheme="minorBidi" w:eastAsia="SimSun" w:hAnsiTheme="minorBidi"/>
        </w:rPr>
        <w:t xml:space="preserve"> harshly criticised for lacking credibility (Dando </w:t>
      </w:r>
      <w:r w:rsidR="0002226E" w:rsidRPr="002E118D">
        <w:rPr>
          <w:rFonts w:asciiTheme="minorBidi" w:eastAsia="SimSun" w:hAnsiTheme="minorBidi"/>
        </w:rPr>
        <w:t>&amp;</w:t>
      </w:r>
      <w:r w:rsidR="007573DA" w:rsidRPr="002E118D">
        <w:rPr>
          <w:rFonts w:asciiTheme="minorBidi" w:eastAsia="SimSun" w:hAnsiTheme="minorBidi"/>
        </w:rPr>
        <w:t xml:space="preserve"> Swift, 2003), being pseudo-transparent (Coombs </w:t>
      </w:r>
      <w:r w:rsidR="0002226E" w:rsidRPr="002E118D">
        <w:rPr>
          <w:rFonts w:asciiTheme="minorBidi" w:eastAsia="SimSun" w:hAnsiTheme="minorBidi"/>
        </w:rPr>
        <w:t>&amp;</w:t>
      </w:r>
      <w:r w:rsidR="007573DA" w:rsidRPr="002E118D">
        <w:rPr>
          <w:rFonts w:asciiTheme="minorBidi" w:eastAsia="SimSun" w:hAnsiTheme="minorBidi"/>
        </w:rPr>
        <w:t xml:space="preserve"> Holladay, 2013), being poor in quality (Milne </w:t>
      </w:r>
      <w:r w:rsidR="0002226E" w:rsidRPr="002E118D">
        <w:rPr>
          <w:rFonts w:asciiTheme="minorBidi" w:eastAsia="SimSun" w:hAnsiTheme="minorBidi"/>
        </w:rPr>
        <w:t>&amp;</w:t>
      </w:r>
      <w:r w:rsidR="007573DA" w:rsidRPr="002E118D">
        <w:rPr>
          <w:rFonts w:asciiTheme="minorBidi" w:eastAsia="SimSun" w:hAnsiTheme="minorBidi"/>
        </w:rPr>
        <w:t xml:space="preserve"> Gray, 2013</w:t>
      </w:r>
      <w:r w:rsidR="00BC7543" w:rsidRPr="002E118D">
        <w:rPr>
          <w:rFonts w:asciiTheme="minorBidi" w:eastAsia="SimSun" w:hAnsiTheme="minorBidi"/>
        </w:rPr>
        <w:t xml:space="preserve">), </w:t>
      </w:r>
      <w:r w:rsidR="001C7344" w:rsidRPr="002E118D">
        <w:rPr>
          <w:rFonts w:asciiTheme="minorBidi" w:eastAsia="SimSun" w:hAnsiTheme="minorBidi"/>
        </w:rPr>
        <w:t>and adding</w:t>
      </w:r>
      <w:r w:rsidR="007573DA" w:rsidRPr="002E118D">
        <w:rPr>
          <w:rFonts w:asciiTheme="minorBidi" w:eastAsia="SimSun" w:hAnsiTheme="minorBidi"/>
        </w:rPr>
        <w:t xml:space="preserve"> to corporate greenwashing (</w:t>
      </w:r>
      <w:r w:rsidR="00D450E8" w:rsidRPr="002E118D">
        <w:rPr>
          <w:rFonts w:asciiTheme="minorBidi" w:eastAsia="SimSun" w:hAnsiTheme="minorBidi"/>
        </w:rPr>
        <w:t xml:space="preserve">Knebel </w:t>
      </w:r>
      <w:r w:rsidR="0002226E" w:rsidRPr="002E118D">
        <w:rPr>
          <w:rFonts w:asciiTheme="minorBidi" w:eastAsia="SimSun" w:hAnsiTheme="minorBidi"/>
        </w:rPr>
        <w:t>&amp;</w:t>
      </w:r>
      <w:r w:rsidR="00D450E8" w:rsidRPr="002E118D">
        <w:rPr>
          <w:rFonts w:asciiTheme="minorBidi" w:eastAsia="SimSun" w:hAnsiTheme="minorBidi"/>
        </w:rPr>
        <w:t xml:space="preserve"> Seele, 2015</w:t>
      </w:r>
      <w:r w:rsidR="007573DA" w:rsidRPr="002E118D">
        <w:rPr>
          <w:rFonts w:asciiTheme="minorBidi" w:eastAsia="SimSun" w:hAnsiTheme="minorBidi"/>
        </w:rPr>
        <w:t>).</w:t>
      </w:r>
      <w:r w:rsidR="009945C1" w:rsidRPr="002E118D">
        <w:rPr>
          <w:rFonts w:asciiTheme="minorBidi" w:eastAsia="SimSun" w:hAnsiTheme="minorBidi"/>
        </w:rPr>
        <w:t xml:space="preserve"> </w:t>
      </w:r>
      <w:r w:rsidR="00CA7666" w:rsidRPr="002E118D">
        <w:rPr>
          <w:rFonts w:asciiTheme="minorBidi" w:eastAsia="SimSun" w:hAnsiTheme="minorBidi"/>
        </w:rPr>
        <w:t xml:space="preserve">The assurance of </w:t>
      </w:r>
      <w:r w:rsidR="009572A7" w:rsidRPr="002E118D">
        <w:rPr>
          <w:rFonts w:asciiTheme="minorBidi" w:eastAsia="SimSun" w:hAnsiTheme="minorBidi"/>
        </w:rPr>
        <w:t xml:space="preserve">SASRs </w:t>
      </w:r>
      <w:r w:rsidR="005456C1" w:rsidRPr="002E118D">
        <w:rPr>
          <w:rFonts w:asciiTheme="minorBidi" w:eastAsia="SimSun" w:hAnsiTheme="minorBidi"/>
        </w:rPr>
        <w:t xml:space="preserve">is seen </w:t>
      </w:r>
      <w:r w:rsidR="00CA7666" w:rsidRPr="002E118D">
        <w:rPr>
          <w:rFonts w:asciiTheme="minorBidi" w:eastAsia="SimSun" w:hAnsiTheme="minorBidi"/>
        </w:rPr>
        <w:t xml:space="preserve">as symbolic practice that </w:t>
      </w:r>
      <w:r w:rsidR="00244CEC" w:rsidRPr="002E118D">
        <w:rPr>
          <w:rFonts w:asciiTheme="minorBidi" w:eastAsia="SimSun" w:hAnsiTheme="minorBidi"/>
        </w:rPr>
        <w:t>companie</w:t>
      </w:r>
      <w:r w:rsidR="001C7344" w:rsidRPr="002E118D">
        <w:rPr>
          <w:rFonts w:asciiTheme="minorBidi" w:eastAsia="SimSun" w:hAnsiTheme="minorBidi"/>
        </w:rPr>
        <w:t xml:space="preserve">s </w:t>
      </w:r>
      <w:r w:rsidR="00CA7666" w:rsidRPr="002E118D">
        <w:rPr>
          <w:rFonts w:asciiTheme="minorBidi" w:eastAsia="SimSun" w:hAnsiTheme="minorBidi"/>
        </w:rPr>
        <w:t>use to influence stakeholder</w:t>
      </w:r>
      <w:r w:rsidR="00B1369B" w:rsidRPr="002E118D">
        <w:rPr>
          <w:rFonts w:asciiTheme="minorBidi" w:eastAsia="SimSun" w:hAnsiTheme="minorBidi"/>
        </w:rPr>
        <w:t>s</w:t>
      </w:r>
      <w:r w:rsidR="00CA7666" w:rsidRPr="002E118D">
        <w:rPr>
          <w:rFonts w:asciiTheme="minorBidi" w:eastAsia="SimSun" w:hAnsiTheme="minorBidi"/>
        </w:rPr>
        <w:t>’ perception</w:t>
      </w:r>
      <w:r w:rsidR="00386D0E" w:rsidRPr="002E118D">
        <w:rPr>
          <w:rFonts w:asciiTheme="minorBidi" w:eastAsia="SimSun" w:hAnsiTheme="minorBidi"/>
        </w:rPr>
        <w:t>s</w:t>
      </w:r>
      <w:r w:rsidR="00CA7666" w:rsidRPr="002E118D">
        <w:rPr>
          <w:rFonts w:asciiTheme="minorBidi" w:eastAsia="SimSun" w:hAnsiTheme="minorBidi"/>
        </w:rPr>
        <w:t xml:space="preserve"> of corporate commitment to CSR reporting (</w:t>
      </w:r>
      <w:r w:rsidR="00273543" w:rsidRPr="002E118D">
        <w:rPr>
          <w:rFonts w:asciiTheme="minorBidi" w:eastAsia="SimSun" w:hAnsiTheme="minorBidi"/>
        </w:rPr>
        <w:t>Birkey</w:t>
      </w:r>
      <w:r w:rsidR="00CA7666" w:rsidRPr="002E118D">
        <w:rPr>
          <w:rFonts w:asciiTheme="minorBidi" w:eastAsia="SimSun" w:hAnsiTheme="minorBidi"/>
        </w:rPr>
        <w:t xml:space="preserve"> et al.</w:t>
      </w:r>
      <w:r w:rsidR="001136B4" w:rsidRPr="002E118D">
        <w:rPr>
          <w:rFonts w:asciiTheme="minorBidi" w:eastAsia="SimSun" w:hAnsiTheme="minorBidi"/>
        </w:rPr>
        <w:t>,</w:t>
      </w:r>
      <w:r w:rsidR="00CA7666" w:rsidRPr="002E118D">
        <w:rPr>
          <w:rFonts w:asciiTheme="minorBidi" w:eastAsia="SimSun" w:hAnsiTheme="minorBidi"/>
        </w:rPr>
        <w:t xml:space="preserve"> 20</w:t>
      </w:r>
      <w:r w:rsidR="00273543" w:rsidRPr="002E118D">
        <w:rPr>
          <w:rFonts w:asciiTheme="minorBidi" w:eastAsia="SimSun" w:hAnsiTheme="minorBidi"/>
        </w:rPr>
        <w:t>16</w:t>
      </w:r>
      <w:r w:rsidR="00CA7666" w:rsidRPr="002E118D">
        <w:rPr>
          <w:rFonts w:asciiTheme="minorBidi" w:eastAsia="SimSun" w:hAnsiTheme="minorBidi"/>
        </w:rPr>
        <w:t xml:space="preserve">). </w:t>
      </w:r>
    </w:p>
    <w:p w14:paraId="419F8EAB" w14:textId="65BC9D6E" w:rsidR="00294D79" w:rsidRPr="002E118D" w:rsidRDefault="00571E75" w:rsidP="00294D79">
      <w:pPr>
        <w:pStyle w:val="Heading2"/>
        <w:ind w:left="576" w:hanging="576"/>
        <w:rPr>
          <w:rFonts w:asciiTheme="minorBidi" w:hAnsiTheme="minorBidi" w:cstheme="minorBidi"/>
          <w:szCs w:val="22"/>
        </w:rPr>
      </w:pPr>
      <w:r w:rsidRPr="002E118D">
        <w:rPr>
          <w:rFonts w:asciiTheme="minorBidi" w:hAnsiTheme="minorBidi" w:cstheme="minorBidi"/>
          <w:szCs w:val="22"/>
        </w:rPr>
        <w:t xml:space="preserve">2.2 </w:t>
      </w:r>
      <w:r w:rsidR="00294D79" w:rsidRPr="002E118D">
        <w:rPr>
          <w:rFonts w:asciiTheme="minorBidi" w:hAnsiTheme="minorBidi" w:cstheme="minorBidi"/>
          <w:szCs w:val="22"/>
        </w:rPr>
        <w:t xml:space="preserve">Authorship </w:t>
      </w:r>
    </w:p>
    <w:p w14:paraId="6E86B4BF" w14:textId="59D1EE38" w:rsidR="008022B6" w:rsidRPr="002E118D" w:rsidRDefault="00DB2131" w:rsidP="009B0443">
      <w:r w:rsidRPr="002E118D">
        <w:rPr>
          <w:rFonts w:asciiTheme="minorBidi" w:hAnsiTheme="minorBidi"/>
        </w:rPr>
        <w:t xml:space="preserve">Prior </w:t>
      </w:r>
      <w:r w:rsidR="00AD1686" w:rsidRPr="002E118D">
        <w:rPr>
          <w:rFonts w:asciiTheme="minorBidi" w:hAnsiTheme="minorBidi"/>
        </w:rPr>
        <w:t>research has shown</w:t>
      </w:r>
      <w:r w:rsidRPr="002E118D">
        <w:rPr>
          <w:rFonts w:asciiTheme="minorBidi" w:hAnsiTheme="minorBidi"/>
        </w:rPr>
        <w:t xml:space="preserve"> a range of different approaches to preparing SASRs. For example, Adams (2002) noted that some reporters</w:t>
      </w:r>
      <w:r w:rsidR="005A5825" w:rsidRPr="002E118D">
        <w:rPr>
          <w:rFonts w:asciiTheme="minorBidi" w:hAnsiTheme="minorBidi"/>
        </w:rPr>
        <w:t xml:space="preserve"> (in the UK and Germany)</w:t>
      </w:r>
      <w:r w:rsidRPr="002E118D">
        <w:rPr>
          <w:rFonts w:asciiTheme="minorBidi" w:hAnsiTheme="minorBidi"/>
        </w:rPr>
        <w:t xml:space="preserve"> take an informal approach to sustainability reporting while others adopt a more structured formal reporting process</w:t>
      </w:r>
      <w:r w:rsidR="00AD1686" w:rsidRPr="002E118D">
        <w:rPr>
          <w:rFonts w:asciiTheme="minorBidi" w:hAnsiTheme="minorBidi"/>
        </w:rPr>
        <w:t xml:space="preserve">. </w:t>
      </w:r>
      <w:r w:rsidR="005456C1" w:rsidRPr="002E118D">
        <w:rPr>
          <w:rFonts w:asciiTheme="minorBidi" w:hAnsiTheme="minorBidi"/>
        </w:rPr>
        <w:t>T</w:t>
      </w:r>
      <w:r w:rsidRPr="002E118D">
        <w:rPr>
          <w:rFonts w:asciiTheme="minorBidi" w:hAnsiTheme="minorBidi"/>
        </w:rPr>
        <w:t xml:space="preserve">here is no clear preference for who should manage the reporting process (Adams </w:t>
      </w:r>
      <w:r w:rsidR="0002226E" w:rsidRPr="002E118D">
        <w:rPr>
          <w:rFonts w:asciiTheme="minorBidi" w:hAnsiTheme="minorBidi"/>
        </w:rPr>
        <w:t>&amp;</w:t>
      </w:r>
      <w:r w:rsidRPr="002E118D">
        <w:rPr>
          <w:rFonts w:asciiTheme="minorBidi" w:hAnsiTheme="minorBidi"/>
        </w:rPr>
        <w:t xml:space="preserve"> Frost, 2006</w:t>
      </w:r>
      <w:r w:rsidR="00EC337B" w:rsidRPr="002E118D">
        <w:rPr>
          <w:rFonts w:asciiTheme="minorBidi" w:hAnsiTheme="minorBidi"/>
        </w:rPr>
        <w:t>)</w:t>
      </w:r>
      <w:r w:rsidRPr="002E118D">
        <w:rPr>
          <w:rFonts w:asciiTheme="minorBidi" w:hAnsiTheme="minorBidi"/>
        </w:rPr>
        <w:t>.</w:t>
      </w:r>
      <w:r w:rsidR="00A11713" w:rsidRPr="002E118D">
        <w:rPr>
          <w:rFonts w:asciiTheme="minorBidi" w:hAnsiTheme="minorBidi"/>
        </w:rPr>
        <w:t xml:space="preserve"> </w:t>
      </w:r>
      <w:r w:rsidR="00294D79" w:rsidRPr="002E118D">
        <w:rPr>
          <w:rFonts w:asciiTheme="minorBidi" w:hAnsiTheme="minorBidi"/>
        </w:rPr>
        <w:t>Farneti and Guthrie (2009) analyse the motivations of preparers of sustainability reports issued by Australian public-sector bodies and f</w:t>
      </w:r>
      <w:r w:rsidR="000118BC">
        <w:rPr>
          <w:rFonts w:asciiTheme="minorBidi" w:hAnsiTheme="minorBidi"/>
        </w:rPr>
        <w:t>i</w:t>
      </w:r>
      <w:r w:rsidR="00294D79" w:rsidRPr="002E118D">
        <w:rPr>
          <w:rFonts w:asciiTheme="minorBidi" w:hAnsiTheme="minorBidi"/>
        </w:rPr>
        <w:t xml:space="preserve">nd that sustainability reports </w:t>
      </w:r>
      <w:r w:rsidR="000118BC">
        <w:rPr>
          <w:rFonts w:asciiTheme="minorBidi" w:hAnsiTheme="minorBidi"/>
        </w:rPr>
        <w:t>a</w:t>
      </w:r>
      <w:r w:rsidR="00294D79" w:rsidRPr="002E118D">
        <w:rPr>
          <w:rFonts w:asciiTheme="minorBidi" w:hAnsiTheme="minorBidi"/>
        </w:rPr>
        <w:t xml:space="preserve">re issued to communicate with a variety of stakeholders. SASRs </w:t>
      </w:r>
      <w:r w:rsidR="000118BC">
        <w:rPr>
          <w:rFonts w:asciiTheme="minorBidi" w:hAnsiTheme="minorBidi"/>
        </w:rPr>
        <w:t>a</w:t>
      </w:r>
      <w:r w:rsidR="00294D79" w:rsidRPr="002E118D">
        <w:rPr>
          <w:rFonts w:asciiTheme="minorBidi" w:hAnsiTheme="minorBidi"/>
        </w:rPr>
        <w:t>re prepared by environmental units and neither the accounting nor the finance teams were involved. Chaidali and Jones (2017) examine the preparation of Integrated Reports (which cover much of the same sustainability disclosures</w:t>
      </w:r>
      <w:r w:rsidR="00643B3D" w:rsidRPr="002E118D">
        <w:rPr>
          <w:rFonts w:asciiTheme="minorBidi" w:hAnsiTheme="minorBidi"/>
        </w:rPr>
        <w:t xml:space="preserve"> as SASRs</w:t>
      </w:r>
      <w:r w:rsidR="00294D79" w:rsidRPr="002E118D">
        <w:rPr>
          <w:rFonts w:asciiTheme="minorBidi" w:hAnsiTheme="minorBidi"/>
        </w:rPr>
        <w:t>) through interviewing managers and design consultants</w:t>
      </w:r>
      <w:r w:rsidR="00643B3D" w:rsidRPr="002E118D">
        <w:rPr>
          <w:rFonts w:asciiTheme="minorBidi" w:hAnsiTheme="minorBidi"/>
        </w:rPr>
        <w:t xml:space="preserve"> of UK </w:t>
      </w:r>
      <w:r w:rsidR="00643B3D" w:rsidRPr="002E118D">
        <w:rPr>
          <w:rFonts w:asciiTheme="minorBidi" w:hAnsiTheme="minorBidi"/>
        </w:rPr>
        <w:lastRenderedPageBreak/>
        <w:t>companies</w:t>
      </w:r>
      <w:r w:rsidR="00294D79" w:rsidRPr="002E118D">
        <w:rPr>
          <w:rFonts w:asciiTheme="minorBidi" w:hAnsiTheme="minorBidi"/>
        </w:rPr>
        <w:t xml:space="preserve">, </w:t>
      </w:r>
      <w:r w:rsidR="00643B3D" w:rsidRPr="002E118D">
        <w:rPr>
          <w:rFonts w:asciiTheme="minorBidi" w:hAnsiTheme="minorBidi"/>
        </w:rPr>
        <w:t>but</w:t>
      </w:r>
      <w:r w:rsidR="00294D79" w:rsidRPr="002E118D">
        <w:rPr>
          <w:rFonts w:asciiTheme="minorBidi" w:hAnsiTheme="minorBidi"/>
        </w:rPr>
        <w:t xml:space="preserve"> the focus of their study </w:t>
      </w:r>
      <w:r w:rsidR="000118BC">
        <w:rPr>
          <w:rFonts w:asciiTheme="minorBidi" w:hAnsiTheme="minorBidi"/>
        </w:rPr>
        <w:t>i</w:t>
      </w:r>
      <w:r w:rsidR="00294D79" w:rsidRPr="002E118D">
        <w:rPr>
          <w:rFonts w:asciiTheme="minorBidi" w:hAnsiTheme="minorBidi"/>
        </w:rPr>
        <w:t>s the attitudes of preparers to the reporting framework of the International Integrated Reporting Council (IIRC). Preparers tend to support the emphasis placed by the IIRC on the business model and organisational strategy, with less attention being paid to sustainability</w:t>
      </w:r>
      <w:r w:rsidR="00643B3D" w:rsidRPr="002E118D">
        <w:rPr>
          <w:rFonts w:asciiTheme="minorBidi" w:hAnsiTheme="minorBidi"/>
        </w:rPr>
        <w:t xml:space="preserve">; concerns </w:t>
      </w:r>
      <w:r w:rsidR="000118BC">
        <w:rPr>
          <w:rFonts w:asciiTheme="minorBidi" w:hAnsiTheme="minorBidi"/>
        </w:rPr>
        <w:t>a</w:t>
      </w:r>
      <w:r w:rsidR="00643B3D" w:rsidRPr="002E118D">
        <w:rPr>
          <w:rFonts w:asciiTheme="minorBidi" w:hAnsiTheme="minorBidi"/>
        </w:rPr>
        <w:t>re expressed regarding reporting length, and the costs involved</w:t>
      </w:r>
      <w:r w:rsidR="00294D79" w:rsidRPr="002E118D">
        <w:rPr>
          <w:rFonts w:asciiTheme="minorBidi" w:hAnsiTheme="minorBidi"/>
        </w:rPr>
        <w:t xml:space="preserve">. </w:t>
      </w:r>
      <w:r w:rsidR="0043728E" w:rsidRPr="00C6560E">
        <w:t xml:space="preserve">Farooq and </w:t>
      </w:r>
      <w:r w:rsidR="0059067E">
        <w:t>D</w:t>
      </w:r>
      <w:r w:rsidR="00BD108C" w:rsidRPr="00C6560E">
        <w:t xml:space="preserve">e </w:t>
      </w:r>
      <w:r w:rsidR="0043728E" w:rsidRPr="00C6560E">
        <w:t>Vill</w:t>
      </w:r>
      <w:r w:rsidR="00684FF7">
        <w:t>i</w:t>
      </w:r>
      <w:r w:rsidR="0043728E" w:rsidRPr="00C6560E">
        <w:t>ers (2019</w:t>
      </w:r>
      <w:r w:rsidR="0043728E" w:rsidRPr="002E118D">
        <w:t>) consider the relationship between external professional assurance advisers and internal preparers in Australia and New Zealand through an institutional work lens.</w:t>
      </w:r>
    </w:p>
    <w:p w14:paraId="73032DCC" w14:textId="0AA55BD5" w:rsidR="005456C1" w:rsidRPr="002E118D" w:rsidRDefault="005456C1" w:rsidP="009B0443">
      <w:r w:rsidRPr="002E118D">
        <w:t xml:space="preserve">However, the practical procedures </w:t>
      </w:r>
      <w:r w:rsidRPr="002E118D">
        <w:rPr>
          <w:rFonts w:asciiTheme="minorBidi" w:hAnsiTheme="minorBidi"/>
        </w:rPr>
        <w:t>regarding the preparation of corporate reports, including decisions regarding the use of visual material</w:t>
      </w:r>
      <w:r w:rsidR="00684FF7">
        <w:rPr>
          <w:rFonts w:asciiTheme="minorBidi" w:hAnsiTheme="minorBidi"/>
        </w:rPr>
        <w:t>,</w:t>
      </w:r>
      <w:r w:rsidRPr="002E118D">
        <w:rPr>
          <w:rFonts w:asciiTheme="minorBidi" w:hAnsiTheme="minorBidi"/>
        </w:rPr>
        <w:t xml:space="preserve"> </w:t>
      </w:r>
      <w:r w:rsidR="008022B6" w:rsidRPr="002E118D">
        <w:rPr>
          <w:rFonts w:asciiTheme="minorBidi" w:hAnsiTheme="minorBidi"/>
        </w:rPr>
        <w:t>are</w:t>
      </w:r>
      <w:r w:rsidR="00F729CC" w:rsidRPr="002E118D">
        <w:rPr>
          <w:rFonts w:asciiTheme="minorBidi" w:hAnsiTheme="minorBidi"/>
        </w:rPr>
        <w:t xml:space="preserve"> largely</w:t>
      </w:r>
      <w:r w:rsidRPr="002E118D">
        <w:rPr>
          <w:rFonts w:asciiTheme="minorBidi" w:hAnsiTheme="minorBidi"/>
        </w:rPr>
        <w:t xml:space="preserve"> neglected in accounting research (Davison, 2015). Davison (2014) argues that organisational intentions in annual report designs are not always clear, even to the organisations themselves. Beyond the general knowledge that many authors are involved (for example, directors, accountants, auditors, and creative design companies), we have little evidence of how and by whom corporate reports are prepared and compiled. They could be prepared by various internal parties, such as the organisation’s accounting and finance department or the public relations or investor relations department. They could be prepared by external parties, such as design consultants. Or multiple parties could be involved. Who makes the key decisions regarding content and presentation: the reporting managers or the CEO</w:t>
      </w:r>
      <w:r w:rsidR="0091061A" w:rsidRPr="002E118D">
        <w:rPr>
          <w:rFonts w:asciiTheme="minorBidi" w:hAnsiTheme="minorBidi"/>
        </w:rPr>
        <w:t>?</w:t>
      </w:r>
      <w:r w:rsidR="000012C9">
        <w:rPr>
          <w:rFonts w:asciiTheme="minorBidi" w:hAnsiTheme="minorBidi"/>
        </w:rPr>
        <w:t xml:space="preserve"> </w:t>
      </w:r>
      <w:r w:rsidR="00C26FBB">
        <w:rPr>
          <w:rFonts w:asciiTheme="minorBidi" w:hAnsiTheme="minorBidi"/>
        </w:rPr>
        <w:t>Gibb</w:t>
      </w:r>
      <w:r w:rsidR="001C4A84">
        <w:rPr>
          <w:rFonts w:asciiTheme="minorBidi" w:hAnsiTheme="minorBidi"/>
        </w:rPr>
        <w:t>in</w:t>
      </w:r>
      <w:r w:rsidR="00C26FBB">
        <w:rPr>
          <w:rFonts w:asciiTheme="minorBidi" w:hAnsiTheme="minorBidi"/>
        </w:rPr>
        <w:t xml:space="preserve">s et al. </w:t>
      </w:r>
      <w:r w:rsidR="00506C3C">
        <w:rPr>
          <w:rFonts w:asciiTheme="minorBidi" w:hAnsiTheme="minorBidi"/>
        </w:rPr>
        <w:t>(1990) found that corporate reporting strategies were important for understanding corporate disclosure practices</w:t>
      </w:r>
      <w:r w:rsidR="000012C9">
        <w:rPr>
          <w:rFonts w:asciiTheme="minorBidi" w:hAnsiTheme="minorBidi"/>
        </w:rPr>
        <w:t>.</w:t>
      </w:r>
      <w:r w:rsidR="007D066F">
        <w:rPr>
          <w:rFonts w:asciiTheme="minorBidi" w:hAnsiTheme="minorBidi"/>
        </w:rPr>
        <w:t xml:space="preserve"> </w:t>
      </w:r>
      <w:r w:rsidR="00F729CC" w:rsidRPr="002E118D">
        <w:rPr>
          <w:rFonts w:asciiTheme="minorBidi" w:hAnsiTheme="minorBidi"/>
        </w:rPr>
        <w:t>On</w:t>
      </w:r>
      <w:r w:rsidRPr="002E118D">
        <w:rPr>
          <w:rFonts w:asciiTheme="minorBidi" w:hAnsiTheme="minorBidi"/>
        </w:rPr>
        <w:t xml:space="preserve"> </w:t>
      </w:r>
      <w:r w:rsidR="00506C3C">
        <w:rPr>
          <w:rFonts w:asciiTheme="minorBidi" w:hAnsiTheme="minorBidi"/>
        </w:rPr>
        <w:t xml:space="preserve">the </w:t>
      </w:r>
      <w:r w:rsidRPr="002E118D">
        <w:rPr>
          <w:rFonts w:asciiTheme="minorBidi" w:hAnsiTheme="minorBidi"/>
        </w:rPr>
        <w:t xml:space="preserve">one hand, </w:t>
      </w:r>
      <w:r w:rsidR="00311ED3">
        <w:rPr>
          <w:rFonts w:asciiTheme="minorBidi" w:hAnsiTheme="minorBidi"/>
        </w:rPr>
        <w:t xml:space="preserve">the </w:t>
      </w:r>
      <w:r w:rsidR="002C5DFE" w:rsidRPr="002E118D">
        <w:rPr>
          <w:rFonts w:asciiTheme="minorBidi" w:hAnsiTheme="minorBidi"/>
        </w:rPr>
        <w:t xml:space="preserve">CEO </w:t>
      </w:r>
      <w:r w:rsidRPr="002E118D">
        <w:rPr>
          <w:rFonts w:asciiTheme="minorBidi" w:hAnsiTheme="minorBidi"/>
        </w:rPr>
        <w:t xml:space="preserve">may wish to protect proprietary information in order to exploit its potential economic advantages (Dye, 1985). On the other hand, </w:t>
      </w:r>
      <w:r w:rsidR="00311ED3">
        <w:rPr>
          <w:rFonts w:asciiTheme="minorBidi" w:hAnsiTheme="minorBidi"/>
        </w:rPr>
        <w:t xml:space="preserve">the </w:t>
      </w:r>
      <w:r w:rsidR="002C5DFE" w:rsidRPr="002E118D">
        <w:rPr>
          <w:rFonts w:asciiTheme="minorBidi" w:hAnsiTheme="minorBidi"/>
        </w:rPr>
        <w:t>CEO</w:t>
      </w:r>
      <w:r w:rsidRPr="002E118D">
        <w:rPr>
          <w:rFonts w:asciiTheme="minorBidi" w:hAnsiTheme="minorBidi"/>
        </w:rPr>
        <w:t xml:space="preserve"> may wish to disclose environmental and social information to build value by creating trust among their stakeholder group (Deegan &amp;</w:t>
      </w:r>
      <w:r w:rsidR="002C5DFE" w:rsidRPr="002E118D">
        <w:rPr>
          <w:rFonts w:asciiTheme="minorBidi" w:hAnsiTheme="minorBidi"/>
        </w:rPr>
        <w:t xml:space="preserve"> </w:t>
      </w:r>
      <w:r w:rsidRPr="002E118D">
        <w:rPr>
          <w:rFonts w:asciiTheme="minorBidi" w:hAnsiTheme="minorBidi"/>
        </w:rPr>
        <w:t xml:space="preserve">Unerman, 2011), </w:t>
      </w:r>
      <w:r w:rsidR="002C5DFE" w:rsidRPr="002E118D">
        <w:rPr>
          <w:rFonts w:asciiTheme="minorBidi" w:hAnsiTheme="minorBidi"/>
        </w:rPr>
        <w:t xml:space="preserve">and </w:t>
      </w:r>
      <w:r w:rsidRPr="002E118D">
        <w:t>to promote organisational reputation and legitimacy (Merkl-Davies &amp; Brennan, 2007) with a resultant overlap between the finance and marketing functions (Beattie, Ros</w:t>
      </w:r>
      <w:r w:rsidR="00927936">
        <w:t>lender</w:t>
      </w:r>
      <w:r w:rsidR="00F740F7">
        <w:t xml:space="preserve"> </w:t>
      </w:r>
      <w:r w:rsidRPr="002E118D">
        <w:t>&amp; Smith, 201</w:t>
      </w:r>
      <w:r w:rsidR="00927936">
        <w:t>3</w:t>
      </w:r>
      <w:r w:rsidRPr="002E118D">
        <w:t>)</w:t>
      </w:r>
      <w:r w:rsidRPr="002E118D">
        <w:rPr>
          <w:rFonts w:asciiTheme="minorBidi" w:hAnsiTheme="minorBidi"/>
        </w:rPr>
        <w:t xml:space="preserve">. </w:t>
      </w:r>
    </w:p>
    <w:p w14:paraId="536EAD0D" w14:textId="35FBDB3E" w:rsidR="00BD0E9B" w:rsidRPr="002E118D" w:rsidRDefault="00294D79">
      <w:pPr>
        <w:rPr>
          <w:rFonts w:asciiTheme="minorBidi" w:hAnsiTheme="minorBidi"/>
        </w:rPr>
      </w:pPr>
      <w:r w:rsidRPr="002E118D">
        <w:rPr>
          <w:rFonts w:asciiTheme="minorBidi" w:hAnsiTheme="minorBidi"/>
        </w:rPr>
        <w:t xml:space="preserve">This suggests </w:t>
      </w:r>
      <w:r w:rsidR="000118BC">
        <w:rPr>
          <w:rFonts w:asciiTheme="minorBidi" w:hAnsiTheme="minorBidi"/>
        </w:rPr>
        <w:t>our</w:t>
      </w:r>
      <w:r w:rsidRPr="002E118D">
        <w:rPr>
          <w:rFonts w:asciiTheme="minorBidi" w:hAnsiTheme="minorBidi"/>
        </w:rPr>
        <w:t xml:space="preserve"> first research question:</w:t>
      </w:r>
    </w:p>
    <w:p w14:paraId="5D57CB67" w14:textId="49625A94" w:rsidR="0030123B" w:rsidRPr="002E118D" w:rsidRDefault="00AD1686" w:rsidP="00BA12C2">
      <w:pPr>
        <w:rPr>
          <w:rFonts w:asciiTheme="minorBidi" w:hAnsiTheme="minorBidi"/>
          <w:b/>
          <w:bCs/>
        </w:rPr>
      </w:pPr>
      <w:r w:rsidRPr="002E118D">
        <w:rPr>
          <w:rFonts w:asciiTheme="minorBidi" w:hAnsiTheme="minorBidi"/>
          <w:b/>
          <w:bCs/>
        </w:rPr>
        <w:t>RQ</w:t>
      </w:r>
      <w:r w:rsidR="002E0E13" w:rsidRPr="002E118D">
        <w:rPr>
          <w:rFonts w:asciiTheme="minorBidi" w:hAnsiTheme="minorBidi"/>
          <w:b/>
          <w:bCs/>
        </w:rPr>
        <w:t>1</w:t>
      </w:r>
      <w:r w:rsidR="002E0E13" w:rsidRPr="002E118D">
        <w:rPr>
          <w:rFonts w:asciiTheme="minorBidi" w:hAnsiTheme="minorBidi"/>
        </w:rPr>
        <w:t xml:space="preserve">. </w:t>
      </w:r>
      <w:r w:rsidR="002E0E13" w:rsidRPr="002E118D">
        <w:rPr>
          <w:rFonts w:asciiTheme="minorBidi" w:hAnsiTheme="minorBidi"/>
          <w:b/>
          <w:bCs/>
        </w:rPr>
        <w:t>How</w:t>
      </w:r>
      <w:r w:rsidR="00294D79" w:rsidRPr="002E118D">
        <w:rPr>
          <w:rFonts w:asciiTheme="minorBidi" w:hAnsiTheme="minorBidi"/>
          <w:b/>
          <w:bCs/>
        </w:rPr>
        <w:t xml:space="preserve"> and by whom are GRI-compliant SASRs prepared?</w:t>
      </w:r>
      <w:bookmarkStart w:id="2" w:name="_Toc507928480"/>
    </w:p>
    <w:p w14:paraId="385C25FC" w14:textId="546BED0B" w:rsidR="0030123B" w:rsidRPr="002E118D" w:rsidRDefault="000118BC" w:rsidP="00BA12C2">
      <w:pPr>
        <w:rPr>
          <w:rFonts w:asciiTheme="minorBidi" w:hAnsiTheme="minorBidi"/>
          <w:bCs/>
        </w:rPr>
      </w:pPr>
      <w:r>
        <w:rPr>
          <w:rFonts w:asciiTheme="minorBidi" w:hAnsiTheme="minorBidi"/>
          <w:bCs/>
        </w:rPr>
        <w:t>We break this</w:t>
      </w:r>
      <w:r w:rsidR="0030123B" w:rsidRPr="002E118D">
        <w:rPr>
          <w:rFonts w:asciiTheme="minorBidi" w:hAnsiTheme="minorBidi"/>
          <w:bCs/>
        </w:rPr>
        <w:t xml:space="preserve"> down into t</w:t>
      </w:r>
      <w:r>
        <w:rPr>
          <w:rFonts w:asciiTheme="minorBidi" w:hAnsiTheme="minorBidi"/>
          <w:bCs/>
        </w:rPr>
        <w:t>wo</w:t>
      </w:r>
      <w:r w:rsidR="0030123B" w:rsidRPr="002E118D">
        <w:rPr>
          <w:rFonts w:asciiTheme="minorBidi" w:hAnsiTheme="minorBidi"/>
          <w:bCs/>
        </w:rPr>
        <w:t xml:space="preserve"> sub-questions: (RQ1.1) Who is responsible within the organisation for preparing SASRs? (RQ1.2) How long does it take</w:t>
      </w:r>
      <w:r w:rsidR="002B1D11">
        <w:rPr>
          <w:rFonts w:asciiTheme="minorBidi" w:hAnsiTheme="minorBidi"/>
          <w:bCs/>
        </w:rPr>
        <w:t>, how many people are involved,</w:t>
      </w:r>
      <w:r w:rsidR="0030123B" w:rsidRPr="002E118D">
        <w:rPr>
          <w:rFonts w:asciiTheme="minorBidi" w:hAnsiTheme="minorBidi"/>
          <w:bCs/>
        </w:rPr>
        <w:t xml:space="preserve"> and how much does it cost to produce SASRs? </w:t>
      </w:r>
    </w:p>
    <w:p w14:paraId="4732D6DF" w14:textId="65ACC796" w:rsidR="00517C52" w:rsidRPr="002E118D" w:rsidRDefault="00517C52" w:rsidP="00517C52">
      <w:pPr>
        <w:rPr>
          <w:rFonts w:asciiTheme="minorBidi" w:hAnsiTheme="minorBidi"/>
        </w:rPr>
      </w:pPr>
      <w:r w:rsidRPr="002E118D">
        <w:rPr>
          <w:rFonts w:asciiTheme="minorBidi" w:hAnsiTheme="minorBidi"/>
        </w:rPr>
        <w:t>Merkl-Davies and Brennan (2017) observe that there is little research on the conversational and relational aspects of accounting communication.</w:t>
      </w:r>
      <w:r w:rsidR="001A5B6E">
        <w:rPr>
          <w:rFonts w:asciiTheme="minorBidi" w:hAnsiTheme="minorBidi"/>
        </w:rPr>
        <w:t xml:space="preserve"> </w:t>
      </w:r>
      <w:r w:rsidRPr="002E118D">
        <w:rPr>
          <w:rFonts w:asciiTheme="minorBidi" w:hAnsiTheme="minorBidi"/>
        </w:rPr>
        <w:t xml:space="preserve">The implicit assumption is that individuals in the company, such as the chairman or the CEO, are responsible for writing corporate narrative documents. The statements of CEOs tend to define the company’s </w:t>
      </w:r>
      <w:r w:rsidRPr="002E118D">
        <w:rPr>
          <w:rFonts w:asciiTheme="minorBidi" w:hAnsiTheme="minorBidi"/>
        </w:rPr>
        <w:lastRenderedPageBreak/>
        <w:t xml:space="preserve">strategy and are therefore key parts of corporate reports. </w:t>
      </w:r>
      <w:r w:rsidR="002D5437" w:rsidRPr="002E118D">
        <w:t xml:space="preserve">Gibbins et al. (1990) show that management’s attitudes toward disclosure reflect the CEO’s attitudes. There </w:t>
      </w:r>
      <w:r w:rsidR="000118BC">
        <w:t>i</w:t>
      </w:r>
      <w:r w:rsidR="002D5437" w:rsidRPr="002E118D">
        <w:t xml:space="preserve">s no uniformity of belief or action among those with responsibility for disclosure, but most managers indicated they </w:t>
      </w:r>
      <w:r w:rsidR="000118BC">
        <w:t>a</w:t>
      </w:r>
      <w:r w:rsidR="002D5437" w:rsidRPr="002E118D">
        <w:t xml:space="preserve">re aware of where the CEO stood on the issues. The attitude of the CEO and the degree of internal consensus on disclosure issues is considered to affect the </w:t>
      </w:r>
      <w:r w:rsidR="00F15560" w:rsidRPr="002E118D">
        <w:t>organisation</w:t>
      </w:r>
      <w:r w:rsidR="002D5437" w:rsidRPr="002E118D">
        <w:t xml:space="preserve">’s disclosure practices. </w:t>
      </w:r>
      <w:r w:rsidRPr="002E118D">
        <w:rPr>
          <w:rFonts w:asciiTheme="minorBidi" w:hAnsiTheme="minorBidi"/>
        </w:rPr>
        <w:t xml:space="preserve">Interviews with consultants undertaken by </w:t>
      </w:r>
      <w:r w:rsidR="0029363B" w:rsidRPr="002E118D">
        <w:rPr>
          <w:rFonts w:asciiTheme="minorBidi" w:hAnsiTheme="minorBidi"/>
        </w:rPr>
        <w:t>Castell</w:t>
      </w:r>
      <w:r w:rsidR="0029363B">
        <w:rPr>
          <w:rFonts w:asciiTheme="minorBidi" w:hAnsiTheme="minorBidi"/>
        </w:rPr>
        <w:t>ó</w:t>
      </w:r>
      <w:r w:rsidR="0029363B" w:rsidRPr="002E118D">
        <w:rPr>
          <w:rFonts w:asciiTheme="minorBidi" w:hAnsiTheme="minorBidi"/>
        </w:rPr>
        <w:t xml:space="preserve"> </w:t>
      </w:r>
      <w:r w:rsidRPr="002E118D">
        <w:rPr>
          <w:rFonts w:asciiTheme="minorBidi" w:hAnsiTheme="minorBidi"/>
        </w:rPr>
        <w:t>and Lozano (2011) reveal that, although letters from management are usually drafted by consultants or communication officers in external design and consulting companies, the CEO will read the draft very carefully and change both content and presentation style. Barkemeyer et al. (2014) f</w:t>
      </w:r>
      <w:r w:rsidR="000118BC">
        <w:rPr>
          <w:rFonts w:asciiTheme="minorBidi" w:hAnsiTheme="minorBidi"/>
        </w:rPr>
        <w:t>i</w:t>
      </w:r>
      <w:r w:rsidRPr="002E118D">
        <w:rPr>
          <w:rFonts w:asciiTheme="minorBidi" w:hAnsiTheme="minorBidi"/>
        </w:rPr>
        <w:t>nd that the rhetoric in the CEO statements of sustainability reports is indicative of impression management rather than accountability</w:t>
      </w:r>
      <w:r w:rsidR="00B30ACA" w:rsidRPr="002E118D">
        <w:rPr>
          <w:rFonts w:asciiTheme="minorBidi" w:hAnsiTheme="minorBidi"/>
        </w:rPr>
        <w:t xml:space="preserve"> </w:t>
      </w:r>
    </w:p>
    <w:p w14:paraId="046A106B" w14:textId="728AA534" w:rsidR="00517C52" w:rsidRPr="002E118D" w:rsidRDefault="00251D55" w:rsidP="00517C52">
      <w:pPr>
        <w:rPr>
          <w:rFonts w:asciiTheme="minorBidi" w:hAnsiTheme="minorBidi"/>
        </w:rPr>
      </w:pPr>
      <w:r w:rsidRPr="002E118D">
        <w:rPr>
          <w:rFonts w:asciiTheme="minorBidi" w:hAnsiTheme="minorBidi"/>
        </w:rPr>
        <w:t>However, i</w:t>
      </w:r>
      <w:r w:rsidR="00517C52" w:rsidRPr="002E118D">
        <w:rPr>
          <w:rFonts w:asciiTheme="minorBidi" w:hAnsiTheme="minorBidi"/>
        </w:rPr>
        <w:t>n previous studies, disclosures are usually explained statistically by reference to company-specific factors (in some cases, CEO-specific factors), but the role of reporting managers, and how this is related to the CEO’s reporting strategy, is not considered.</w:t>
      </w:r>
      <w:r w:rsidR="002C21CA" w:rsidRPr="002E118D">
        <w:rPr>
          <w:rFonts w:asciiTheme="minorBidi" w:hAnsiTheme="minorBidi"/>
        </w:rPr>
        <w:t xml:space="preserve"> Merkl- Davis and Bren</w:t>
      </w:r>
      <w:r w:rsidR="00927936">
        <w:rPr>
          <w:rFonts w:asciiTheme="minorBidi" w:hAnsiTheme="minorBidi"/>
        </w:rPr>
        <w:t>n</w:t>
      </w:r>
      <w:r w:rsidR="002C21CA" w:rsidRPr="002E118D">
        <w:rPr>
          <w:rFonts w:asciiTheme="minorBidi" w:hAnsiTheme="minorBidi"/>
        </w:rPr>
        <w:t>an (2007</w:t>
      </w:r>
      <w:r w:rsidR="00927936">
        <w:rPr>
          <w:rFonts w:asciiTheme="minorBidi" w:hAnsiTheme="minorBidi"/>
        </w:rPr>
        <w:t>, p.</w:t>
      </w:r>
      <w:r w:rsidR="0029363B">
        <w:rPr>
          <w:rFonts w:asciiTheme="minorBidi" w:hAnsiTheme="minorBidi"/>
        </w:rPr>
        <w:t xml:space="preserve"> </w:t>
      </w:r>
      <w:r w:rsidR="00927936">
        <w:rPr>
          <w:rFonts w:asciiTheme="minorBidi" w:hAnsiTheme="minorBidi"/>
        </w:rPr>
        <w:t>62</w:t>
      </w:r>
      <w:r w:rsidR="002C21CA" w:rsidRPr="002E118D">
        <w:rPr>
          <w:rFonts w:asciiTheme="minorBidi" w:hAnsiTheme="minorBidi"/>
        </w:rPr>
        <w:t>)</w:t>
      </w:r>
      <w:r w:rsidR="002D5437" w:rsidRPr="002E118D">
        <w:rPr>
          <w:rFonts w:asciiTheme="minorBidi" w:hAnsiTheme="minorBidi"/>
        </w:rPr>
        <w:t xml:space="preserve"> </w:t>
      </w:r>
      <w:r w:rsidR="00620FEC" w:rsidRPr="002E118D">
        <w:rPr>
          <w:rFonts w:asciiTheme="minorBidi" w:hAnsiTheme="minorBidi"/>
        </w:rPr>
        <w:t>have asked</w:t>
      </w:r>
      <w:r w:rsidR="002C21CA" w:rsidRPr="002E118D">
        <w:rPr>
          <w:rFonts w:asciiTheme="minorBidi" w:hAnsiTheme="minorBidi"/>
        </w:rPr>
        <w:t xml:space="preserve"> “Are there any links between impression management and managerial dominance, especially CEO dominance?</w:t>
      </w:r>
      <w:r w:rsidR="002D5437" w:rsidRPr="002E118D">
        <w:rPr>
          <w:rFonts w:asciiTheme="minorBidi" w:hAnsiTheme="minorBidi"/>
        </w:rPr>
        <w:t>”</w:t>
      </w:r>
      <w:r w:rsidR="002C21CA" w:rsidRPr="002E118D">
        <w:rPr>
          <w:rFonts w:asciiTheme="minorBidi" w:hAnsiTheme="minorBidi"/>
        </w:rPr>
        <w:t xml:space="preserve"> </w:t>
      </w:r>
      <w:r w:rsidR="00517C52" w:rsidRPr="002E118D">
        <w:rPr>
          <w:rFonts w:asciiTheme="minorBidi" w:hAnsiTheme="minorBidi"/>
        </w:rPr>
        <w:t xml:space="preserve">This suggests </w:t>
      </w:r>
      <w:r w:rsidR="000118BC">
        <w:rPr>
          <w:rFonts w:asciiTheme="minorBidi" w:hAnsiTheme="minorBidi"/>
        </w:rPr>
        <w:t>our</w:t>
      </w:r>
      <w:r w:rsidR="00517C52" w:rsidRPr="002E118D">
        <w:rPr>
          <w:rFonts w:asciiTheme="minorBidi" w:hAnsiTheme="minorBidi"/>
        </w:rPr>
        <w:t xml:space="preserve"> second research question:</w:t>
      </w:r>
    </w:p>
    <w:p w14:paraId="74047F75" w14:textId="3071BF40" w:rsidR="00517C52" w:rsidRPr="002E118D" w:rsidRDefault="00517C52" w:rsidP="00517C52">
      <w:pPr>
        <w:rPr>
          <w:rFonts w:cs="Arial"/>
        </w:rPr>
      </w:pPr>
      <w:r w:rsidRPr="002E118D">
        <w:rPr>
          <w:rFonts w:cs="Arial"/>
          <w:b/>
          <w:bCs/>
        </w:rPr>
        <w:t xml:space="preserve">RQ2. </w:t>
      </w:r>
      <w:r w:rsidRPr="002E118D">
        <w:rPr>
          <w:rFonts w:eastAsiaTheme="majorEastAsia" w:cs="Arial"/>
          <w:b/>
          <w:bCs/>
        </w:rPr>
        <w:t>What are the respective roles of the CEO and the reporting manager</w:t>
      </w:r>
      <w:r w:rsidR="00627976">
        <w:rPr>
          <w:rFonts w:eastAsiaTheme="majorEastAsia" w:cs="Arial"/>
          <w:b/>
          <w:bCs/>
        </w:rPr>
        <w:t>(</w:t>
      </w:r>
      <w:r w:rsidRPr="002E118D">
        <w:rPr>
          <w:rFonts w:eastAsiaTheme="majorEastAsia" w:cs="Arial"/>
          <w:b/>
          <w:bCs/>
        </w:rPr>
        <w:t>s</w:t>
      </w:r>
      <w:r w:rsidR="00627976">
        <w:rPr>
          <w:rFonts w:eastAsiaTheme="majorEastAsia" w:cs="Arial"/>
          <w:b/>
          <w:bCs/>
        </w:rPr>
        <w:t>)</w:t>
      </w:r>
      <w:r w:rsidRPr="002E118D">
        <w:rPr>
          <w:rFonts w:eastAsiaTheme="majorEastAsia" w:cs="Arial"/>
          <w:b/>
          <w:bCs/>
        </w:rPr>
        <w:t xml:space="preserve"> in the process and preparation of GRI-compliant SASRs?</w:t>
      </w:r>
    </w:p>
    <w:p w14:paraId="6A4933FB" w14:textId="2EEDEBE7" w:rsidR="00294D79" w:rsidRPr="002E118D" w:rsidRDefault="002E0E13" w:rsidP="00BA12C2">
      <w:pPr>
        <w:pStyle w:val="Heading2"/>
        <w:rPr>
          <w:rFonts w:asciiTheme="minorBidi" w:hAnsiTheme="minorBidi" w:cstheme="minorBidi"/>
        </w:rPr>
      </w:pPr>
      <w:r w:rsidRPr="002E118D">
        <w:rPr>
          <w:rFonts w:asciiTheme="minorBidi" w:hAnsiTheme="minorBidi" w:cstheme="minorBidi"/>
        </w:rPr>
        <w:t>2.3</w:t>
      </w:r>
      <w:r w:rsidR="00A02AE0" w:rsidRPr="002E118D">
        <w:rPr>
          <w:rFonts w:asciiTheme="minorBidi" w:hAnsiTheme="minorBidi" w:cstheme="minorBidi"/>
        </w:rPr>
        <w:t xml:space="preserve"> </w:t>
      </w:r>
      <w:bookmarkEnd w:id="2"/>
      <w:r w:rsidR="006D1D7F" w:rsidRPr="002E118D">
        <w:rPr>
          <w:rFonts w:asciiTheme="minorBidi" w:hAnsiTheme="minorBidi" w:cstheme="minorBidi"/>
        </w:rPr>
        <w:t>Visual impression management</w:t>
      </w:r>
    </w:p>
    <w:p w14:paraId="14015C94" w14:textId="41E2629A" w:rsidR="007D066F" w:rsidRDefault="00FF2298" w:rsidP="00D80F41">
      <w:pPr>
        <w:rPr>
          <w:rFonts w:asciiTheme="minorBidi" w:hAnsiTheme="minorBidi"/>
        </w:rPr>
      </w:pPr>
      <w:r w:rsidRPr="002E118D">
        <w:rPr>
          <w:rFonts w:asciiTheme="minorBidi" w:hAnsiTheme="minorBidi"/>
        </w:rPr>
        <w:t>“It is often erroneously thought that accounting is all about numbers; however, visual media are just as important as numbers in communicating issues relevant to accounting” (</w:t>
      </w:r>
      <w:hyperlink r:id="rId15" w:anchor="_ENREF_101" w:tooltip="Davison, 2013 #29" w:history="1">
        <w:r w:rsidRPr="002E118D">
          <w:rPr>
            <w:rFonts w:asciiTheme="minorBidi" w:hAnsiTheme="minorBidi"/>
          </w:rPr>
          <w:t>Davison, 201</w:t>
        </w:r>
        <w:r w:rsidR="00197E58" w:rsidRPr="002E118D">
          <w:rPr>
            <w:rFonts w:asciiTheme="minorBidi" w:hAnsiTheme="minorBidi"/>
          </w:rPr>
          <w:t xml:space="preserve">3, p. </w:t>
        </w:r>
        <w:r w:rsidRPr="002E118D">
          <w:rPr>
            <w:rFonts w:asciiTheme="minorBidi" w:hAnsiTheme="minorBidi"/>
          </w:rPr>
          <w:t>14</w:t>
        </w:r>
      </w:hyperlink>
      <w:r w:rsidRPr="002E118D">
        <w:rPr>
          <w:rFonts w:asciiTheme="minorBidi" w:hAnsiTheme="minorBidi"/>
        </w:rPr>
        <w:t xml:space="preserve">). </w:t>
      </w:r>
      <w:bookmarkStart w:id="3" w:name="_Hlk527984668"/>
      <w:r w:rsidR="00971A2C" w:rsidRPr="002E118D">
        <w:rPr>
          <w:rFonts w:asciiTheme="minorBidi" w:hAnsiTheme="minorBidi"/>
        </w:rPr>
        <w:t>In accounting, a</w:t>
      </w:r>
      <w:r w:rsidR="002B25C3" w:rsidRPr="002E118D">
        <w:rPr>
          <w:rFonts w:asciiTheme="minorBidi" w:hAnsiTheme="minorBidi"/>
        </w:rPr>
        <w:t>s in society generally, visualisation has increased significantly in recent times as visual communication has advanced from the</w:t>
      </w:r>
      <w:r w:rsidR="00197E58" w:rsidRPr="002E118D">
        <w:rPr>
          <w:rFonts w:asciiTheme="minorBidi" w:hAnsiTheme="minorBidi"/>
        </w:rPr>
        <w:t xml:space="preserve"> mass-produced</w:t>
      </w:r>
      <w:r w:rsidR="002B25C3" w:rsidRPr="002E118D">
        <w:rPr>
          <w:rFonts w:asciiTheme="minorBidi" w:hAnsiTheme="minorBidi"/>
        </w:rPr>
        <w:t xml:space="preserve"> photograph (Benjamin, 1999) to electronic media. </w:t>
      </w:r>
      <w:r w:rsidR="00197E58" w:rsidRPr="002E118D">
        <w:rPr>
          <w:rFonts w:asciiTheme="minorBidi" w:hAnsiTheme="minorBidi"/>
        </w:rPr>
        <w:t xml:space="preserve">Visuals focus interest in annual reporting (Ruiz-Garrido et al., 2005). While pictures and words can activate common meanings, such that “a picture can serve as a word-in-context”, visual information facilitates recall </w:t>
      </w:r>
      <w:r w:rsidR="004C0DB7" w:rsidRPr="002E118D">
        <w:rPr>
          <w:rFonts w:asciiTheme="minorBidi" w:hAnsiTheme="minorBidi"/>
        </w:rPr>
        <w:t>(Nelson &amp; Casta</w:t>
      </w:r>
      <w:r w:rsidR="006C2582">
        <w:rPr>
          <w:rFonts w:asciiTheme="minorBidi" w:hAnsiTheme="minorBidi"/>
        </w:rPr>
        <w:t>ñ</w:t>
      </w:r>
      <w:r w:rsidR="004C0DB7" w:rsidRPr="002E118D">
        <w:rPr>
          <w:rFonts w:asciiTheme="minorBidi" w:hAnsiTheme="minorBidi"/>
        </w:rPr>
        <w:t>o, 1</w:t>
      </w:r>
      <w:r w:rsidR="00197E58" w:rsidRPr="002E118D">
        <w:rPr>
          <w:rFonts w:asciiTheme="minorBidi" w:hAnsiTheme="minorBidi"/>
        </w:rPr>
        <w:t>984, pp. 12</w:t>
      </w:r>
      <w:r w:rsidR="0029363B">
        <w:rPr>
          <w:rFonts w:asciiTheme="minorBidi" w:hAnsiTheme="minorBidi"/>
        </w:rPr>
        <w:t>-</w:t>
      </w:r>
      <w:r w:rsidR="00197E58" w:rsidRPr="002E118D">
        <w:rPr>
          <w:rFonts w:asciiTheme="minorBidi" w:hAnsiTheme="minorBidi"/>
        </w:rPr>
        <w:t>13)</w:t>
      </w:r>
      <w:r w:rsidR="003B0358">
        <w:rPr>
          <w:rFonts w:asciiTheme="minorBidi" w:hAnsiTheme="minorBidi"/>
        </w:rPr>
        <w:t>, and has a special place in memory and cognition (Davison, 2014)</w:t>
      </w:r>
      <w:r w:rsidR="00197E58" w:rsidRPr="002E118D">
        <w:rPr>
          <w:rFonts w:asciiTheme="minorBidi" w:hAnsiTheme="minorBidi"/>
        </w:rPr>
        <w:t>.</w:t>
      </w:r>
      <w:r w:rsidR="003B0358">
        <w:rPr>
          <w:rFonts w:asciiTheme="minorBidi" w:hAnsiTheme="minorBidi"/>
        </w:rPr>
        <w:t xml:space="preserve"> </w:t>
      </w:r>
      <w:hyperlink r:id="rId16" w:anchor="_ENREF_101" w:tooltip="Davison, 2013 #29" w:history="1">
        <w:r w:rsidRPr="002E118D">
          <w:rPr>
            <w:rFonts w:asciiTheme="minorBidi" w:hAnsiTheme="minorBidi"/>
          </w:rPr>
          <w:t>Davison (2013</w:t>
        </w:r>
        <w:r w:rsidR="00197E58" w:rsidRPr="002E118D">
          <w:rPr>
            <w:rFonts w:asciiTheme="minorBidi" w:hAnsiTheme="minorBidi"/>
          </w:rPr>
          <w:t xml:space="preserve">, p. </w:t>
        </w:r>
        <w:r w:rsidRPr="002E118D">
          <w:rPr>
            <w:rFonts w:asciiTheme="minorBidi" w:hAnsiTheme="minorBidi"/>
          </w:rPr>
          <w:t>58)</w:t>
        </w:r>
      </w:hyperlink>
      <w:r w:rsidRPr="002E118D">
        <w:rPr>
          <w:rFonts w:asciiTheme="minorBidi" w:hAnsiTheme="minorBidi"/>
        </w:rPr>
        <w:t xml:space="preserve"> argue</w:t>
      </w:r>
      <w:r w:rsidR="000118BC">
        <w:rPr>
          <w:rFonts w:asciiTheme="minorBidi" w:hAnsiTheme="minorBidi"/>
        </w:rPr>
        <w:t>s</w:t>
      </w:r>
      <w:r w:rsidRPr="002E118D">
        <w:rPr>
          <w:rFonts w:asciiTheme="minorBidi" w:hAnsiTheme="minorBidi"/>
        </w:rPr>
        <w:t xml:space="preserve"> that “visualisation can provide important framing and impression management to the reception of information and thus influence decision-making” and can portray messages beyond the capacity of </w:t>
      </w:r>
      <w:r w:rsidR="0089451F" w:rsidRPr="002E118D">
        <w:rPr>
          <w:rFonts w:asciiTheme="minorBidi" w:hAnsiTheme="minorBidi"/>
        </w:rPr>
        <w:t xml:space="preserve">quantified </w:t>
      </w:r>
      <w:r w:rsidRPr="002E118D">
        <w:rPr>
          <w:rFonts w:asciiTheme="minorBidi" w:hAnsiTheme="minorBidi"/>
        </w:rPr>
        <w:t xml:space="preserve">accounting </w:t>
      </w:r>
      <w:r w:rsidR="0095585A" w:rsidRPr="002E118D">
        <w:rPr>
          <w:rFonts w:asciiTheme="minorBidi" w:hAnsiTheme="minorBidi"/>
        </w:rPr>
        <w:t xml:space="preserve">statements. </w:t>
      </w:r>
      <w:bookmarkEnd w:id="3"/>
      <w:r w:rsidR="00197E58" w:rsidRPr="002E118D">
        <w:rPr>
          <w:rFonts w:asciiTheme="minorBidi" w:hAnsiTheme="minorBidi"/>
        </w:rPr>
        <w:t>Davison (2014, p. 22) argue</w:t>
      </w:r>
      <w:r w:rsidR="000118BC">
        <w:rPr>
          <w:rFonts w:asciiTheme="minorBidi" w:hAnsiTheme="minorBidi"/>
        </w:rPr>
        <w:t>s</w:t>
      </w:r>
      <w:r w:rsidR="00197E58" w:rsidRPr="002E118D">
        <w:rPr>
          <w:rFonts w:asciiTheme="minorBidi" w:hAnsiTheme="minorBidi"/>
        </w:rPr>
        <w:t xml:space="preserve"> further that “v</w:t>
      </w:r>
      <w:r w:rsidR="00294D79" w:rsidRPr="002E118D">
        <w:rPr>
          <w:rFonts w:asciiTheme="minorBidi" w:hAnsiTheme="minorBidi"/>
        </w:rPr>
        <w:t xml:space="preserve">isuals </w:t>
      </w:r>
      <w:r w:rsidR="00610000" w:rsidRPr="002E118D">
        <w:rPr>
          <w:rFonts w:asciiTheme="minorBidi" w:hAnsiTheme="minorBidi"/>
        </w:rPr>
        <w:t>lie at a complex crossroad between reality and creation, objectivity and subjectivity</w:t>
      </w:r>
      <w:r w:rsidR="00AD1686" w:rsidRPr="002E118D">
        <w:rPr>
          <w:rFonts w:asciiTheme="minorBidi" w:hAnsiTheme="minorBidi"/>
        </w:rPr>
        <w:t>,</w:t>
      </w:r>
      <w:r w:rsidR="00610000" w:rsidRPr="002E118D">
        <w:rPr>
          <w:rFonts w:asciiTheme="minorBidi" w:hAnsiTheme="minorBidi"/>
        </w:rPr>
        <w:t xml:space="preserve"> where the nature of reality, ‘representational faithfulness’ or ‘truth’ is often elusive</w:t>
      </w:r>
      <w:r w:rsidR="00971A2C" w:rsidRPr="002E118D">
        <w:rPr>
          <w:rFonts w:asciiTheme="minorBidi" w:hAnsiTheme="minorBidi"/>
        </w:rPr>
        <w:t>”</w:t>
      </w:r>
      <w:r w:rsidR="00197E58" w:rsidRPr="002E118D">
        <w:rPr>
          <w:rFonts w:asciiTheme="minorBidi" w:hAnsiTheme="minorBidi"/>
        </w:rPr>
        <w:t xml:space="preserve">. </w:t>
      </w:r>
    </w:p>
    <w:p w14:paraId="30A501AC" w14:textId="0AA72FDF" w:rsidR="004C6B1C" w:rsidRPr="001D1EEE" w:rsidRDefault="00902E27" w:rsidP="00D80F41">
      <w:r>
        <w:rPr>
          <w:rFonts w:asciiTheme="minorBidi" w:hAnsiTheme="minorBidi"/>
        </w:rPr>
        <w:lastRenderedPageBreak/>
        <w:t>T</w:t>
      </w:r>
      <w:r w:rsidR="00EC1637" w:rsidRPr="002E118D">
        <w:rPr>
          <w:rFonts w:asciiTheme="minorBidi" w:hAnsiTheme="minorBidi"/>
        </w:rPr>
        <w:t>he inclusion of visual images</w:t>
      </w:r>
      <w:r>
        <w:t xml:space="preserve"> is of particular interest</w:t>
      </w:r>
      <w:r w:rsidR="00EC1637" w:rsidRPr="002E118D">
        <w:t xml:space="preserve"> in the case of sustainability reports, which are viewed as powerful tools for communicating with stakeholder groups (Dingwerth &amp; Eichinger, 2010),</w:t>
      </w:r>
      <w:r w:rsidR="00886A4E">
        <w:t xml:space="preserve"> </w:t>
      </w:r>
      <w:r w:rsidR="00993CB6" w:rsidRPr="002E118D">
        <w:rPr>
          <w:rFonts w:asciiTheme="minorBidi" w:hAnsiTheme="minorBidi"/>
        </w:rPr>
        <w:t>At one level the pictures</w:t>
      </w:r>
      <w:r w:rsidR="00971A2C" w:rsidRPr="002E118D">
        <w:rPr>
          <w:rFonts w:asciiTheme="minorBidi" w:hAnsiTheme="minorBidi"/>
        </w:rPr>
        <w:t xml:space="preserve"> and </w:t>
      </w:r>
      <w:r w:rsidR="00993CB6" w:rsidRPr="002E118D">
        <w:rPr>
          <w:rFonts w:asciiTheme="minorBidi" w:hAnsiTheme="minorBidi"/>
        </w:rPr>
        <w:t>photographs in SASRs may be neutral representation, documentary evidence</w:t>
      </w:r>
      <w:r w:rsidR="00197E58" w:rsidRPr="002E118D">
        <w:rPr>
          <w:rFonts w:asciiTheme="minorBidi" w:hAnsiTheme="minorBidi"/>
        </w:rPr>
        <w:t xml:space="preserve"> and </w:t>
      </w:r>
      <w:r w:rsidR="003D235E" w:rsidRPr="002E118D">
        <w:rPr>
          <w:rFonts w:asciiTheme="minorBidi" w:hAnsiTheme="minorBidi"/>
        </w:rPr>
        <w:t>may thus be regarded as incremental information, transparent carriers of intended organisational messag</w:t>
      </w:r>
      <w:r w:rsidR="00197E58" w:rsidRPr="002E118D">
        <w:rPr>
          <w:rFonts w:asciiTheme="minorBidi" w:hAnsiTheme="minorBidi"/>
        </w:rPr>
        <w:t>es (Preston et al., 1996)</w:t>
      </w:r>
      <w:r w:rsidR="004D0C65" w:rsidRPr="002E118D">
        <w:rPr>
          <w:rFonts w:asciiTheme="minorBidi" w:hAnsiTheme="minorBidi"/>
        </w:rPr>
        <w:t>. At another level, visual images</w:t>
      </w:r>
      <w:r w:rsidR="00FF5396" w:rsidRPr="002E118D">
        <w:rPr>
          <w:rFonts w:asciiTheme="minorBidi" w:hAnsiTheme="minorBidi"/>
        </w:rPr>
        <w:t xml:space="preserve"> in SASRs</w:t>
      </w:r>
      <w:r w:rsidR="004D0C65" w:rsidRPr="002E118D">
        <w:rPr>
          <w:rFonts w:asciiTheme="minorBidi" w:hAnsiTheme="minorBidi"/>
        </w:rPr>
        <w:t xml:space="preserve"> </w:t>
      </w:r>
      <w:r w:rsidR="00D45AD4" w:rsidRPr="002E118D">
        <w:rPr>
          <w:rFonts w:asciiTheme="minorBidi" w:hAnsiTheme="minorBidi"/>
        </w:rPr>
        <w:t xml:space="preserve">may </w:t>
      </w:r>
      <w:r w:rsidR="004D0C65" w:rsidRPr="002E118D">
        <w:rPr>
          <w:rFonts w:asciiTheme="minorBidi" w:hAnsiTheme="minorBidi"/>
        </w:rPr>
        <w:t>have a</w:t>
      </w:r>
      <w:r w:rsidR="00D45AD4" w:rsidRPr="002E118D">
        <w:rPr>
          <w:rFonts w:asciiTheme="minorBidi" w:hAnsiTheme="minorBidi"/>
        </w:rPr>
        <w:t>n impression management</w:t>
      </w:r>
      <w:r w:rsidR="004D0C65" w:rsidRPr="002E118D">
        <w:rPr>
          <w:rFonts w:asciiTheme="minorBidi" w:hAnsiTheme="minorBidi"/>
        </w:rPr>
        <w:t xml:space="preserve"> role</w:t>
      </w:r>
      <w:r w:rsidR="00FF5396" w:rsidRPr="002E118D">
        <w:rPr>
          <w:rFonts w:asciiTheme="minorBidi" w:hAnsiTheme="minorBidi"/>
        </w:rPr>
        <w:t xml:space="preserve"> </w:t>
      </w:r>
      <w:r w:rsidR="00731EF1" w:rsidRPr="002E118D">
        <w:rPr>
          <w:rFonts w:asciiTheme="minorBidi" w:hAnsiTheme="minorBidi"/>
        </w:rPr>
        <w:t>(</w:t>
      </w:r>
      <w:r w:rsidR="004C6B1C" w:rsidRPr="002E118D">
        <w:rPr>
          <w:rFonts w:asciiTheme="minorBidi" w:hAnsiTheme="minorBidi"/>
        </w:rPr>
        <w:t xml:space="preserve">Boiral, 2013; </w:t>
      </w:r>
      <w:r w:rsidR="00731EF1" w:rsidRPr="002E118D">
        <w:rPr>
          <w:rFonts w:asciiTheme="minorBidi" w:hAnsiTheme="minorBidi"/>
        </w:rPr>
        <w:t>Hrasky, 2012).</w:t>
      </w:r>
      <w:r w:rsidR="00971A2C" w:rsidRPr="002E118D">
        <w:rPr>
          <w:rFonts w:asciiTheme="minorBidi" w:hAnsiTheme="minorBidi"/>
        </w:rPr>
        <w:t xml:space="preserve"> Often the two aspects are intertwined (Davison, 2015)</w:t>
      </w:r>
      <w:r w:rsidR="00F07EA3" w:rsidRPr="002E118D">
        <w:rPr>
          <w:rFonts w:asciiTheme="minorBidi" w:hAnsiTheme="minorBidi"/>
        </w:rPr>
        <w:t>.</w:t>
      </w:r>
      <w:r w:rsidR="00886A4E">
        <w:rPr>
          <w:rFonts w:asciiTheme="minorBidi" w:hAnsiTheme="minorBidi"/>
        </w:rPr>
        <w:t xml:space="preserve"> </w:t>
      </w:r>
      <w:r w:rsidR="0026291C">
        <w:rPr>
          <w:rFonts w:asciiTheme="minorBidi" w:hAnsiTheme="minorBidi"/>
        </w:rPr>
        <w:t>External designers are often involved, but we know next to nothing about their precise role.</w:t>
      </w:r>
    </w:p>
    <w:p w14:paraId="119FAF37" w14:textId="1FAF4E0C" w:rsidR="004C6B1C" w:rsidRPr="002E118D" w:rsidRDefault="00D45AD4" w:rsidP="00D80F41">
      <w:pPr>
        <w:rPr>
          <w:rFonts w:asciiTheme="minorBidi" w:hAnsiTheme="minorBidi"/>
        </w:rPr>
      </w:pPr>
      <w:r w:rsidRPr="002E118D">
        <w:rPr>
          <w:rFonts w:asciiTheme="minorBidi" w:hAnsiTheme="minorBidi"/>
        </w:rPr>
        <w:t>G</w:t>
      </w:r>
      <w:r w:rsidR="004C6B1C" w:rsidRPr="002E118D">
        <w:rPr>
          <w:rFonts w:asciiTheme="minorBidi" w:hAnsiTheme="minorBidi"/>
        </w:rPr>
        <w:t xml:space="preserve">raphs have the advantage of attracting and holding the attention and understanding of readers. </w:t>
      </w:r>
      <w:r w:rsidRPr="002E118D">
        <w:rPr>
          <w:rFonts w:asciiTheme="minorBidi" w:hAnsiTheme="minorBidi"/>
        </w:rPr>
        <w:t xml:space="preserve">Visual features such as the length of the document and the type and number of graphs and photos </w:t>
      </w:r>
      <w:r w:rsidR="000118BC">
        <w:rPr>
          <w:rFonts w:asciiTheme="minorBidi" w:hAnsiTheme="minorBidi"/>
        </w:rPr>
        <w:t>may</w:t>
      </w:r>
      <w:r w:rsidRPr="002E118D">
        <w:rPr>
          <w:rFonts w:asciiTheme="minorBidi" w:hAnsiTheme="minorBidi"/>
        </w:rPr>
        <w:t xml:space="preserve"> have an impact on stakeholders’ decision-making (Beattie </w:t>
      </w:r>
      <w:r w:rsidR="00D16F78">
        <w:rPr>
          <w:rFonts w:asciiTheme="minorBidi" w:hAnsiTheme="minorBidi"/>
        </w:rPr>
        <w:t>&amp; Jones</w:t>
      </w:r>
      <w:r w:rsidRPr="002E118D">
        <w:rPr>
          <w:rFonts w:asciiTheme="minorBidi" w:hAnsiTheme="minorBidi"/>
        </w:rPr>
        <w:t xml:space="preserve">, 2008; </w:t>
      </w:r>
      <w:r w:rsidR="00517C52" w:rsidRPr="002E118D">
        <w:rPr>
          <w:rFonts w:asciiTheme="minorBidi" w:hAnsiTheme="minorBidi"/>
        </w:rPr>
        <w:t>Davison &amp; Skerratt, 2007</w:t>
      </w:r>
      <w:r w:rsidRPr="002E118D">
        <w:rPr>
          <w:rFonts w:asciiTheme="minorBidi" w:hAnsiTheme="minorBidi"/>
        </w:rPr>
        <w:t xml:space="preserve">; Jones, 2011; Lee, 1994). </w:t>
      </w:r>
      <w:r w:rsidR="004C0DB7" w:rsidRPr="002E118D">
        <w:rPr>
          <w:rFonts w:asciiTheme="minorBidi" w:hAnsiTheme="minorBidi"/>
        </w:rPr>
        <w:t>Graphs are</w:t>
      </w:r>
      <w:r w:rsidR="00A643FE" w:rsidRPr="002E118D">
        <w:rPr>
          <w:rFonts w:asciiTheme="minorBidi" w:hAnsiTheme="minorBidi"/>
        </w:rPr>
        <w:t xml:space="preserve"> more user-friendly than tables (</w:t>
      </w:r>
      <w:hyperlink r:id="rId17" w:anchor="_ENREF_29" w:tooltip="Beattie, 1997 #79" w:history="1">
        <w:r w:rsidR="00A643FE" w:rsidRPr="002E118D">
          <w:rPr>
            <w:rFonts w:asciiTheme="minorBidi" w:hAnsiTheme="minorBidi"/>
          </w:rPr>
          <w:t>Beattie &amp; Jones, 1997</w:t>
        </w:r>
      </w:hyperlink>
      <w:r w:rsidR="00A643FE" w:rsidRPr="002E118D">
        <w:rPr>
          <w:rFonts w:asciiTheme="minorBidi" w:hAnsiTheme="minorBidi"/>
        </w:rPr>
        <w:t xml:space="preserve">), </w:t>
      </w:r>
      <w:r w:rsidR="004C0DB7" w:rsidRPr="002E118D">
        <w:rPr>
          <w:rFonts w:asciiTheme="minorBidi" w:hAnsiTheme="minorBidi"/>
        </w:rPr>
        <w:t>and</w:t>
      </w:r>
      <w:r w:rsidR="00A643FE" w:rsidRPr="002E118D">
        <w:rPr>
          <w:rFonts w:asciiTheme="minorBidi" w:hAnsiTheme="minorBidi"/>
        </w:rPr>
        <w:t xml:space="preserve"> may increase the speed of decision making (</w:t>
      </w:r>
      <w:hyperlink r:id="rId18" w:anchor="_ENREF_326" w:tooltip="Sullivan, 1988 #78" w:history="1">
        <w:r w:rsidR="00A643FE" w:rsidRPr="002E118D">
          <w:rPr>
            <w:rFonts w:asciiTheme="minorBidi" w:hAnsiTheme="minorBidi"/>
          </w:rPr>
          <w:t>Sullivan, 1988</w:t>
        </w:r>
      </w:hyperlink>
      <w:r w:rsidR="00A643FE" w:rsidRPr="002E118D">
        <w:rPr>
          <w:rFonts w:asciiTheme="minorBidi" w:hAnsiTheme="minorBidi"/>
        </w:rPr>
        <w:t xml:space="preserve">). </w:t>
      </w:r>
      <w:r w:rsidR="004C6B1C" w:rsidRPr="002E118D">
        <w:rPr>
          <w:rFonts w:asciiTheme="minorBidi" w:hAnsiTheme="minorBidi"/>
        </w:rPr>
        <w:t xml:space="preserve">The </w:t>
      </w:r>
      <w:r w:rsidRPr="002E118D">
        <w:rPr>
          <w:rFonts w:asciiTheme="minorBidi" w:hAnsiTheme="minorBidi"/>
        </w:rPr>
        <w:t xml:space="preserve">use of graphs in annual reports for </w:t>
      </w:r>
      <w:r w:rsidR="004C6B1C" w:rsidRPr="002E118D">
        <w:rPr>
          <w:rFonts w:asciiTheme="minorBidi" w:hAnsiTheme="minorBidi"/>
        </w:rPr>
        <w:t xml:space="preserve">impression management </w:t>
      </w:r>
      <w:r w:rsidR="000118BC">
        <w:rPr>
          <w:rFonts w:asciiTheme="minorBidi" w:hAnsiTheme="minorBidi"/>
        </w:rPr>
        <w:t>is</w:t>
      </w:r>
      <w:r w:rsidR="004C6B1C" w:rsidRPr="002E118D">
        <w:rPr>
          <w:rFonts w:asciiTheme="minorBidi" w:hAnsiTheme="minorBidi"/>
        </w:rPr>
        <w:t xml:space="preserve"> widely researched (Beattie &amp; Jones,</w:t>
      </w:r>
      <w:r w:rsidR="00886A4E">
        <w:rPr>
          <w:rFonts w:asciiTheme="minorBidi" w:hAnsiTheme="minorBidi"/>
        </w:rPr>
        <w:t xml:space="preserve"> </w:t>
      </w:r>
      <w:r w:rsidR="004C6B1C" w:rsidRPr="002E118D">
        <w:rPr>
          <w:rFonts w:asciiTheme="minorBidi" w:hAnsiTheme="minorBidi"/>
        </w:rPr>
        <w:t xml:space="preserve">2008; </w:t>
      </w:r>
      <w:r w:rsidR="004D2822" w:rsidRPr="002E118D">
        <w:rPr>
          <w:rFonts w:asciiTheme="minorBidi" w:hAnsiTheme="minorBidi"/>
        </w:rPr>
        <w:t xml:space="preserve">Falschlunger et al., 2015; </w:t>
      </w:r>
      <w:r w:rsidR="004C6B1C" w:rsidRPr="002E118D">
        <w:rPr>
          <w:rFonts w:asciiTheme="minorBidi" w:hAnsiTheme="minorBidi"/>
        </w:rPr>
        <w:t>Godfrey et al., 2003). Experimental research in accounting has shown that graphs change an accountant’s perceptions of company performance (Tang et al., 2016) and impression management of graphs in the form of measurement distortions and selectivity techniques is effective for reflective and impulsive analysts (</w:t>
      </w:r>
      <w:r w:rsidR="00EF40BF" w:rsidRPr="002E118D">
        <w:rPr>
          <w:rFonts w:asciiTheme="minorBidi" w:hAnsiTheme="minorBidi"/>
        </w:rPr>
        <w:t xml:space="preserve">Cardoso </w:t>
      </w:r>
      <w:r w:rsidR="004C6B1C" w:rsidRPr="002E118D">
        <w:rPr>
          <w:rFonts w:asciiTheme="minorBidi" w:hAnsiTheme="minorBidi"/>
        </w:rPr>
        <w:t xml:space="preserve">et al., 2018). </w:t>
      </w:r>
    </w:p>
    <w:p w14:paraId="58FA1373" w14:textId="2351E0C7" w:rsidR="00B77AF2" w:rsidRPr="00620FEC" w:rsidRDefault="00A643FE">
      <w:pPr>
        <w:rPr>
          <w:rFonts w:asciiTheme="minorBidi" w:hAnsiTheme="minorBidi"/>
        </w:rPr>
      </w:pPr>
      <w:r w:rsidRPr="002E118D">
        <w:rPr>
          <w:rFonts w:asciiTheme="minorBidi" w:hAnsiTheme="minorBidi"/>
        </w:rPr>
        <w:t>A few studies have already been undertaken on</w:t>
      </w:r>
      <w:r w:rsidR="0001167C" w:rsidRPr="002E118D">
        <w:rPr>
          <w:rFonts w:asciiTheme="minorBidi" w:hAnsiTheme="minorBidi"/>
        </w:rPr>
        <w:t xml:space="preserve"> visual materials in sustainability reporting</w:t>
      </w:r>
      <w:r w:rsidRPr="002E118D">
        <w:rPr>
          <w:rFonts w:asciiTheme="minorBidi" w:hAnsiTheme="minorBidi"/>
        </w:rPr>
        <w:t>.</w:t>
      </w:r>
      <w:r w:rsidR="0001167C" w:rsidRPr="002E118D">
        <w:rPr>
          <w:rFonts w:asciiTheme="minorBidi" w:hAnsiTheme="minorBidi"/>
        </w:rPr>
        <w:t xml:space="preserve"> </w:t>
      </w:r>
      <w:r w:rsidR="00902E27">
        <w:rPr>
          <w:rFonts w:asciiTheme="minorBidi" w:hAnsiTheme="minorBidi"/>
        </w:rPr>
        <w:t>Cho et al. (2009) conduct experimental research to show that visual material influences user perceptions of corporate social responsibility.</w:t>
      </w:r>
      <w:r w:rsidR="00886A4E">
        <w:rPr>
          <w:rFonts w:asciiTheme="minorBidi" w:hAnsiTheme="minorBidi"/>
        </w:rPr>
        <w:t xml:space="preserve"> </w:t>
      </w:r>
      <w:r w:rsidRPr="002E118D">
        <w:rPr>
          <w:rFonts w:asciiTheme="minorBidi" w:hAnsiTheme="minorBidi"/>
        </w:rPr>
        <w:t xml:space="preserve">Pesci and Costa (2014) </w:t>
      </w:r>
      <w:r w:rsidR="0089451F" w:rsidRPr="002E118D">
        <w:rPr>
          <w:rFonts w:asciiTheme="minorBidi" w:hAnsiTheme="minorBidi"/>
        </w:rPr>
        <w:t>use</w:t>
      </w:r>
      <w:r w:rsidR="0001167C" w:rsidRPr="002E118D">
        <w:rPr>
          <w:rFonts w:asciiTheme="minorBidi" w:hAnsiTheme="minorBidi"/>
        </w:rPr>
        <w:t xml:space="preserve"> content analysis </w:t>
      </w:r>
      <w:r w:rsidR="0089451F" w:rsidRPr="002E118D">
        <w:rPr>
          <w:rFonts w:asciiTheme="minorBidi" w:hAnsiTheme="minorBidi"/>
        </w:rPr>
        <w:t>to</w:t>
      </w:r>
      <w:r w:rsidR="0001167C" w:rsidRPr="002E118D">
        <w:rPr>
          <w:rFonts w:asciiTheme="minorBidi" w:hAnsiTheme="minorBidi"/>
        </w:rPr>
        <w:t xml:space="preserve"> compar</w:t>
      </w:r>
      <w:r w:rsidR="0089451F" w:rsidRPr="002E118D">
        <w:rPr>
          <w:rFonts w:asciiTheme="minorBidi" w:hAnsiTheme="minorBidi"/>
        </w:rPr>
        <w:t>e</w:t>
      </w:r>
      <w:r w:rsidR="0001167C" w:rsidRPr="002E118D">
        <w:rPr>
          <w:rFonts w:asciiTheme="minorBidi" w:hAnsiTheme="minorBidi"/>
        </w:rPr>
        <w:t xml:space="preserve"> narratives and visuals</w:t>
      </w:r>
      <w:r w:rsidRPr="002E118D">
        <w:rPr>
          <w:rFonts w:asciiTheme="minorBidi" w:hAnsiTheme="minorBidi"/>
        </w:rPr>
        <w:t>. Duff (2016)</w:t>
      </w:r>
      <w:r w:rsidR="0001167C" w:rsidRPr="002E118D">
        <w:rPr>
          <w:rFonts w:asciiTheme="minorBidi" w:hAnsiTheme="minorBidi"/>
        </w:rPr>
        <w:t xml:space="preserve"> examines the quantitative, narrative, and visual content of sustainability reporting across a range of media (including websites and recruitment material)</w:t>
      </w:r>
      <w:r w:rsidR="00B77AF2" w:rsidRPr="002E118D">
        <w:rPr>
          <w:rFonts w:asciiTheme="minorBidi" w:hAnsiTheme="minorBidi"/>
        </w:rPr>
        <w:t xml:space="preserve">. </w:t>
      </w:r>
      <w:r w:rsidRPr="002E118D">
        <w:rPr>
          <w:rFonts w:asciiTheme="minorBidi" w:hAnsiTheme="minorBidi"/>
        </w:rPr>
        <w:t>Rämö (2011) and Boiral (2013) examine</w:t>
      </w:r>
      <w:r w:rsidR="0001167C" w:rsidRPr="002E118D">
        <w:rPr>
          <w:rFonts w:asciiTheme="minorBidi" w:hAnsiTheme="minorBidi"/>
        </w:rPr>
        <w:t xml:space="preserve"> photographs and </w:t>
      </w:r>
      <w:r w:rsidRPr="002E118D">
        <w:rPr>
          <w:rFonts w:asciiTheme="minorBidi" w:hAnsiTheme="minorBidi"/>
        </w:rPr>
        <w:t xml:space="preserve">Hrasky (2012) </w:t>
      </w:r>
      <w:r w:rsidR="0001167C" w:rsidRPr="002E118D">
        <w:rPr>
          <w:rFonts w:asciiTheme="minorBidi" w:hAnsiTheme="minorBidi"/>
        </w:rPr>
        <w:t xml:space="preserve">compares pictures and graphs </w:t>
      </w:r>
      <w:r w:rsidRPr="002E118D">
        <w:rPr>
          <w:rFonts w:asciiTheme="minorBidi" w:hAnsiTheme="minorBidi"/>
        </w:rPr>
        <w:t>T</w:t>
      </w:r>
      <w:r w:rsidR="0001167C" w:rsidRPr="002E118D">
        <w:rPr>
          <w:rFonts w:asciiTheme="minorBidi" w:hAnsiTheme="minorBidi"/>
        </w:rPr>
        <w:t>hree papers specifically examine the use of graphs</w:t>
      </w:r>
      <w:r w:rsidRPr="002E118D">
        <w:rPr>
          <w:rFonts w:asciiTheme="minorBidi" w:hAnsiTheme="minorBidi"/>
        </w:rPr>
        <w:t xml:space="preserve"> in sustainability reporting</w:t>
      </w:r>
      <w:r w:rsidR="0001167C" w:rsidRPr="002E118D">
        <w:rPr>
          <w:rFonts w:asciiTheme="minorBidi" w:hAnsiTheme="minorBidi"/>
        </w:rPr>
        <w:t xml:space="preserve"> (Jones, 2011; Cho et al., 2012a, 2012b).</w:t>
      </w:r>
      <w:r w:rsidR="00620FEC">
        <w:rPr>
          <w:rFonts w:asciiTheme="minorBidi" w:hAnsiTheme="minorBidi"/>
        </w:rPr>
        <w:t xml:space="preserve"> </w:t>
      </w:r>
      <w:r w:rsidRPr="002E118D">
        <w:rPr>
          <w:rFonts w:asciiTheme="minorBidi" w:hAnsiTheme="minorBidi"/>
        </w:rPr>
        <w:t>T</w:t>
      </w:r>
      <w:r w:rsidR="0001167C" w:rsidRPr="002E118D">
        <w:rPr>
          <w:rFonts w:asciiTheme="minorBidi" w:hAnsiTheme="minorBidi"/>
        </w:rPr>
        <w:t>hese studies have analysed published statements, but they have not investigated the process by which, and by whom, decisions about visual impression management</w:t>
      </w:r>
      <w:r w:rsidR="00CB1CBF" w:rsidRPr="002E118D">
        <w:rPr>
          <w:rFonts w:asciiTheme="minorBidi" w:hAnsiTheme="minorBidi"/>
        </w:rPr>
        <w:t xml:space="preserve"> choices</w:t>
      </w:r>
      <w:r w:rsidR="0001167C" w:rsidRPr="002E118D">
        <w:rPr>
          <w:rFonts w:asciiTheme="minorBidi" w:hAnsiTheme="minorBidi"/>
        </w:rPr>
        <w:t xml:space="preserve"> are made. </w:t>
      </w:r>
      <w:r w:rsidR="00732BAE" w:rsidRPr="002E118D">
        <w:rPr>
          <w:rFonts w:asciiTheme="minorBidi" w:hAnsiTheme="minorBidi"/>
        </w:rPr>
        <w:t>These are important issues for both internal and external users</w:t>
      </w:r>
      <w:r w:rsidR="002D5437" w:rsidRPr="002E118D">
        <w:rPr>
          <w:rFonts w:asciiTheme="minorBidi" w:hAnsiTheme="minorBidi"/>
        </w:rPr>
        <w:t>.</w:t>
      </w:r>
      <w:r w:rsidR="00732BAE" w:rsidRPr="002E118D">
        <w:rPr>
          <w:rFonts w:asciiTheme="minorBidi" w:hAnsiTheme="minorBidi"/>
        </w:rPr>
        <w:t xml:space="preserve"> </w:t>
      </w:r>
      <w:r w:rsidR="002D5437" w:rsidRPr="002E118D">
        <w:rPr>
          <w:rFonts w:asciiTheme="minorBidi" w:hAnsiTheme="minorBidi"/>
        </w:rPr>
        <w:t>As</w:t>
      </w:r>
      <w:r w:rsidR="005A42D9" w:rsidRPr="002E118D">
        <w:rPr>
          <w:rFonts w:asciiTheme="minorBidi" w:hAnsiTheme="minorBidi"/>
        </w:rPr>
        <w:t xml:space="preserve"> visuals are used </w:t>
      </w:r>
      <w:r w:rsidR="00620FEC" w:rsidRPr="002E118D">
        <w:rPr>
          <w:rFonts w:asciiTheme="minorBidi" w:hAnsiTheme="minorBidi"/>
        </w:rPr>
        <w:t>for impression</w:t>
      </w:r>
      <w:r w:rsidR="005A42D9" w:rsidRPr="002E118D">
        <w:rPr>
          <w:rFonts w:asciiTheme="minorBidi" w:hAnsiTheme="minorBidi"/>
        </w:rPr>
        <w:t xml:space="preserve"> management</w:t>
      </w:r>
      <w:r w:rsidR="002D5437" w:rsidRPr="002E118D">
        <w:rPr>
          <w:rFonts w:asciiTheme="minorBidi" w:hAnsiTheme="minorBidi"/>
        </w:rPr>
        <w:t>,</w:t>
      </w:r>
      <w:r w:rsidR="00037D54" w:rsidRPr="002E118D">
        <w:rPr>
          <w:rFonts w:asciiTheme="minorBidi" w:hAnsiTheme="minorBidi"/>
        </w:rPr>
        <w:t xml:space="preserve"> regulator</w:t>
      </w:r>
      <w:r w:rsidR="002D5437" w:rsidRPr="002E118D">
        <w:rPr>
          <w:rFonts w:asciiTheme="minorBidi" w:hAnsiTheme="minorBidi"/>
        </w:rPr>
        <w:t>s</w:t>
      </w:r>
      <w:r w:rsidR="00A449D6" w:rsidRPr="002E118D">
        <w:rPr>
          <w:rFonts w:asciiTheme="minorBidi" w:hAnsiTheme="minorBidi"/>
        </w:rPr>
        <w:t xml:space="preserve"> need to consider guidelines for the visual disclosure of</w:t>
      </w:r>
      <w:r w:rsidR="00B06445" w:rsidRPr="002E118D">
        <w:rPr>
          <w:rFonts w:asciiTheme="minorBidi" w:hAnsiTheme="minorBidi"/>
        </w:rPr>
        <w:t xml:space="preserve"> both positive and negative environmental and social information</w:t>
      </w:r>
      <w:r w:rsidR="00A449D6" w:rsidRPr="002E118D">
        <w:rPr>
          <w:rFonts w:asciiTheme="minorBidi" w:hAnsiTheme="minorBidi"/>
        </w:rPr>
        <w:t>, whether this takes the form of images or graphs.</w:t>
      </w:r>
      <w:r w:rsidR="005C3117" w:rsidRPr="002E118D">
        <w:rPr>
          <w:rFonts w:asciiTheme="minorBidi" w:hAnsiTheme="minorBidi"/>
        </w:rPr>
        <w:t xml:space="preserve"> </w:t>
      </w:r>
    </w:p>
    <w:p w14:paraId="36C95C37" w14:textId="678CF964" w:rsidR="005A632F" w:rsidRPr="002E118D" w:rsidRDefault="0001167C" w:rsidP="00CA074D">
      <w:pPr>
        <w:rPr>
          <w:rFonts w:asciiTheme="minorBidi" w:hAnsiTheme="minorBidi"/>
        </w:rPr>
      </w:pPr>
      <w:r w:rsidRPr="002E118D">
        <w:rPr>
          <w:rFonts w:asciiTheme="minorBidi" w:hAnsiTheme="minorBidi"/>
        </w:rPr>
        <w:t xml:space="preserve">This suggests </w:t>
      </w:r>
      <w:r w:rsidR="000118BC">
        <w:rPr>
          <w:rFonts w:asciiTheme="minorBidi" w:hAnsiTheme="minorBidi"/>
        </w:rPr>
        <w:t>our</w:t>
      </w:r>
      <w:r w:rsidRPr="002E118D">
        <w:rPr>
          <w:rFonts w:asciiTheme="minorBidi" w:hAnsiTheme="minorBidi"/>
        </w:rPr>
        <w:t xml:space="preserve"> </w:t>
      </w:r>
      <w:r w:rsidR="00EE5BD0" w:rsidRPr="002E118D">
        <w:rPr>
          <w:rFonts w:asciiTheme="minorBidi" w:hAnsiTheme="minorBidi"/>
        </w:rPr>
        <w:t>third</w:t>
      </w:r>
      <w:r w:rsidRPr="002E118D">
        <w:rPr>
          <w:rFonts w:asciiTheme="minorBidi" w:hAnsiTheme="minorBidi"/>
        </w:rPr>
        <w:t xml:space="preserve"> research </w:t>
      </w:r>
      <w:r w:rsidR="00721F1A" w:rsidRPr="002E118D">
        <w:rPr>
          <w:rFonts w:asciiTheme="minorBidi" w:hAnsiTheme="minorBidi"/>
        </w:rPr>
        <w:t>question</w:t>
      </w:r>
      <w:r w:rsidR="00A643FE" w:rsidRPr="002E118D">
        <w:rPr>
          <w:rFonts w:asciiTheme="minorBidi" w:hAnsiTheme="minorBidi"/>
        </w:rPr>
        <w:t>:</w:t>
      </w:r>
    </w:p>
    <w:p w14:paraId="7D91F322" w14:textId="113716FF" w:rsidR="0001167C" w:rsidRPr="002E118D" w:rsidRDefault="00A643FE">
      <w:pPr>
        <w:rPr>
          <w:rFonts w:asciiTheme="minorBidi" w:hAnsiTheme="minorBidi"/>
          <w:b/>
          <w:bCs/>
        </w:rPr>
      </w:pPr>
      <w:r w:rsidRPr="002E118D">
        <w:rPr>
          <w:rFonts w:asciiTheme="minorBidi" w:hAnsiTheme="minorBidi"/>
          <w:b/>
          <w:bCs/>
        </w:rPr>
        <w:t>RQ</w:t>
      </w:r>
      <w:r w:rsidR="00EE5BD0" w:rsidRPr="002E118D">
        <w:rPr>
          <w:rFonts w:asciiTheme="minorBidi" w:hAnsiTheme="minorBidi"/>
          <w:b/>
          <w:bCs/>
        </w:rPr>
        <w:t>3</w:t>
      </w:r>
      <w:r w:rsidR="005A632F" w:rsidRPr="002E118D">
        <w:rPr>
          <w:rFonts w:asciiTheme="minorBidi" w:hAnsiTheme="minorBidi"/>
          <w:b/>
          <w:bCs/>
        </w:rPr>
        <w:t xml:space="preserve">. </w:t>
      </w:r>
      <w:r w:rsidR="0001167C" w:rsidRPr="002E118D">
        <w:rPr>
          <w:rFonts w:asciiTheme="minorBidi" w:hAnsiTheme="minorBidi"/>
          <w:b/>
          <w:bCs/>
        </w:rPr>
        <w:t>Why do companies use visuals and how are visuals selected/designed</w:t>
      </w:r>
      <w:r w:rsidR="00294D79" w:rsidRPr="002E118D">
        <w:rPr>
          <w:rFonts w:asciiTheme="minorBidi" w:hAnsiTheme="minorBidi"/>
          <w:b/>
          <w:bCs/>
        </w:rPr>
        <w:t>?</w:t>
      </w:r>
    </w:p>
    <w:p w14:paraId="73718B17" w14:textId="655D9568" w:rsidR="004568B0" w:rsidRPr="002E118D" w:rsidRDefault="004D0C65" w:rsidP="00CA074D">
      <w:pPr>
        <w:rPr>
          <w:rFonts w:asciiTheme="minorBidi" w:hAnsiTheme="minorBidi"/>
        </w:rPr>
      </w:pPr>
      <w:r w:rsidRPr="008B52F7">
        <w:rPr>
          <w:rFonts w:asciiTheme="minorBidi" w:hAnsiTheme="minorBidi"/>
        </w:rPr>
        <w:lastRenderedPageBreak/>
        <w:t xml:space="preserve">Similarly, the </w:t>
      </w:r>
      <w:r w:rsidR="00A643FE" w:rsidRPr="008B52F7">
        <w:rPr>
          <w:rFonts w:asciiTheme="minorBidi" w:hAnsiTheme="minorBidi"/>
        </w:rPr>
        <w:t xml:space="preserve">use of </w:t>
      </w:r>
      <w:r w:rsidRPr="008B52F7">
        <w:rPr>
          <w:rFonts w:asciiTheme="minorBidi" w:hAnsiTheme="minorBidi"/>
        </w:rPr>
        <w:t xml:space="preserve">blank space </w:t>
      </w:r>
      <w:r w:rsidR="004C2D75" w:rsidRPr="008B52F7">
        <w:rPr>
          <w:rFonts w:asciiTheme="minorBidi" w:hAnsiTheme="minorBidi"/>
        </w:rPr>
        <w:t>(sometimes referred to as white space</w:t>
      </w:r>
      <w:r w:rsidR="00EB7C8D" w:rsidRPr="008B52F7">
        <w:rPr>
          <w:rFonts w:asciiTheme="minorBidi" w:hAnsiTheme="minorBidi"/>
        </w:rPr>
        <w:t xml:space="preserve"> – see for example Murray, 2006</w:t>
      </w:r>
      <w:r w:rsidR="00EB7C8D" w:rsidRPr="002E118D">
        <w:rPr>
          <w:rFonts w:asciiTheme="minorBidi" w:hAnsiTheme="minorBidi"/>
        </w:rPr>
        <w:t>)</w:t>
      </w:r>
      <w:r w:rsidR="004C2D75" w:rsidRPr="002E118D">
        <w:rPr>
          <w:rFonts w:asciiTheme="minorBidi" w:hAnsiTheme="minorBidi"/>
        </w:rPr>
        <w:t xml:space="preserve"> </w:t>
      </w:r>
      <w:r w:rsidR="00325EED" w:rsidRPr="002E118D">
        <w:rPr>
          <w:rFonts w:asciiTheme="minorBidi" w:hAnsiTheme="minorBidi"/>
        </w:rPr>
        <w:t>in SASR</w:t>
      </w:r>
      <w:r w:rsidR="007D0959" w:rsidRPr="002E118D">
        <w:rPr>
          <w:rFonts w:asciiTheme="minorBidi" w:hAnsiTheme="minorBidi"/>
        </w:rPr>
        <w:t>s</w:t>
      </w:r>
      <w:r w:rsidR="00325EED" w:rsidRPr="002E118D">
        <w:rPr>
          <w:rFonts w:asciiTheme="minorBidi" w:hAnsiTheme="minorBidi"/>
        </w:rPr>
        <w:t xml:space="preserve"> </w:t>
      </w:r>
      <w:r w:rsidR="00A643FE" w:rsidRPr="002E118D">
        <w:rPr>
          <w:rFonts w:asciiTheme="minorBidi" w:hAnsiTheme="minorBidi"/>
        </w:rPr>
        <w:t>is a</w:t>
      </w:r>
      <w:r w:rsidR="00325EED" w:rsidRPr="002E118D">
        <w:rPr>
          <w:rFonts w:asciiTheme="minorBidi" w:hAnsiTheme="minorBidi"/>
        </w:rPr>
        <w:t xml:space="preserve"> design </w:t>
      </w:r>
      <w:r w:rsidR="00EC3560" w:rsidRPr="002E118D">
        <w:rPr>
          <w:rFonts w:asciiTheme="minorBidi" w:hAnsiTheme="minorBidi"/>
        </w:rPr>
        <w:t>technique</w:t>
      </w:r>
      <w:r w:rsidR="00325EED" w:rsidRPr="002E118D">
        <w:rPr>
          <w:rFonts w:asciiTheme="minorBidi" w:hAnsiTheme="minorBidi"/>
        </w:rPr>
        <w:t xml:space="preserve"> </w:t>
      </w:r>
      <w:r w:rsidR="00A00CAA" w:rsidRPr="002E118D">
        <w:rPr>
          <w:rFonts w:asciiTheme="minorBidi" w:hAnsiTheme="minorBidi"/>
        </w:rPr>
        <w:t>to</w:t>
      </w:r>
      <w:r w:rsidR="00EC3560" w:rsidRPr="002E118D">
        <w:rPr>
          <w:rFonts w:asciiTheme="minorBidi" w:hAnsiTheme="minorBidi"/>
        </w:rPr>
        <w:t xml:space="preserve"> </w:t>
      </w:r>
      <w:r w:rsidR="0089451F" w:rsidRPr="002E118D">
        <w:rPr>
          <w:rFonts w:asciiTheme="minorBidi" w:hAnsiTheme="minorBidi"/>
        </w:rPr>
        <w:t xml:space="preserve">enhance readability by </w:t>
      </w:r>
      <w:r w:rsidR="00B715A7" w:rsidRPr="002E118D">
        <w:rPr>
          <w:rFonts w:asciiTheme="minorBidi" w:hAnsiTheme="minorBidi"/>
        </w:rPr>
        <w:t>balanc</w:t>
      </w:r>
      <w:r w:rsidR="0089451F" w:rsidRPr="002E118D">
        <w:rPr>
          <w:rFonts w:asciiTheme="minorBidi" w:hAnsiTheme="minorBidi"/>
        </w:rPr>
        <w:t>ing</w:t>
      </w:r>
      <w:r w:rsidR="00B715A7" w:rsidRPr="002E118D">
        <w:rPr>
          <w:rFonts w:asciiTheme="minorBidi" w:hAnsiTheme="minorBidi"/>
        </w:rPr>
        <w:t xml:space="preserve"> words or images in a way that </w:t>
      </w:r>
      <w:r w:rsidR="007D0959" w:rsidRPr="002E118D">
        <w:rPr>
          <w:rFonts w:asciiTheme="minorBidi" w:hAnsiTheme="minorBidi"/>
        </w:rPr>
        <w:t xml:space="preserve">is </w:t>
      </w:r>
      <w:r w:rsidR="00281D2C" w:rsidRPr="002E118D">
        <w:rPr>
          <w:rFonts w:asciiTheme="minorBidi" w:hAnsiTheme="minorBidi"/>
        </w:rPr>
        <w:t>appealing to the users of SASR</w:t>
      </w:r>
      <w:r w:rsidR="0089451F" w:rsidRPr="002E118D">
        <w:rPr>
          <w:rFonts w:asciiTheme="minorBidi" w:hAnsiTheme="minorBidi"/>
        </w:rPr>
        <w:t>s</w:t>
      </w:r>
      <w:r w:rsidR="00904581" w:rsidRPr="002E118D">
        <w:rPr>
          <w:rFonts w:asciiTheme="minorBidi" w:hAnsiTheme="minorBidi"/>
        </w:rPr>
        <w:t xml:space="preserve">. </w:t>
      </w:r>
      <w:r w:rsidR="00F5766C" w:rsidRPr="002E118D">
        <w:rPr>
          <w:rFonts w:asciiTheme="minorBidi" w:hAnsiTheme="minorBidi"/>
        </w:rPr>
        <w:t xml:space="preserve">The use of blank space </w:t>
      </w:r>
      <w:r w:rsidR="006753B5" w:rsidRPr="002E118D">
        <w:rPr>
          <w:rFonts w:asciiTheme="minorBidi" w:hAnsiTheme="minorBidi"/>
        </w:rPr>
        <w:t>may also serve rhetorical purposes, by highlighting material that the preparer wants to emphasise</w:t>
      </w:r>
      <w:r w:rsidR="0089451F" w:rsidRPr="002E118D">
        <w:rPr>
          <w:rFonts w:asciiTheme="minorBidi" w:hAnsiTheme="minorBidi"/>
        </w:rPr>
        <w:t>,</w:t>
      </w:r>
      <w:r w:rsidR="006753B5" w:rsidRPr="002E118D">
        <w:rPr>
          <w:rFonts w:asciiTheme="minorBidi" w:hAnsiTheme="minorBidi"/>
        </w:rPr>
        <w:t xml:space="preserve"> against a background of blank space. Including significant blank space </w:t>
      </w:r>
      <w:r w:rsidR="00F5766C" w:rsidRPr="002E118D">
        <w:rPr>
          <w:rFonts w:asciiTheme="minorBidi" w:hAnsiTheme="minorBidi"/>
        </w:rPr>
        <w:t xml:space="preserve">will result in longer SASRs, which may suggest that the company is committed to environmental and social issues </w:t>
      </w:r>
      <w:r w:rsidR="00281D2C" w:rsidRPr="002E118D">
        <w:rPr>
          <w:rFonts w:asciiTheme="minorBidi" w:hAnsiTheme="minorBidi"/>
        </w:rPr>
        <w:t xml:space="preserve">and </w:t>
      </w:r>
      <w:r w:rsidR="0089451F" w:rsidRPr="002E118D">
        <w:rPr>
          <w:rFonts w:asciiTheme="minorBidi" w:hAnsiTheme="minorBidi"/>
        </w:rPr>
        <w:t>has</w:t>
      </w:r>
      <w:r w:rsidR="00F53BF6" w:rsidRPr="002E118D">
        <w:rPr>
          <w:rFonts w:asciiTheme="minorBidi" w:hAnsiTheme="minorBidi"/>
        </w:rPr>
        <w:t xml:space="preserve"> invested time and effort </w:t>
      </w:r>
      <w:r w:rsidR="00281D2C" w:rsidRPr="002E118D">
        <w:rPr>
          <w:rFonts w:asciiTheme="minorBidi" w:hAnsiTheme="minorBidi"/>
        </w:rPr>
        <w:t xml:space="preserve">in preparing </w:t>
      </w:r>
      <w:r w:rsidR="00731EF1" w:rsidRPr="002E118D">
        <w:rPr>
          <w:rFonts w:asciiTheme="minorBidi" w:hAnsiTheme="minorBidi"/>
        </w:rPr>
        <w:t>the</w:t>
      </w:r>
      <w:r w:rsidR="0089451F" w:rsidRPr="002E118D">
        <w:rPr>
          <w:rFonts w:asciiTheme="minorBidi" w:hAnsiTheme="minorBidi"/>
        </w:rPr>
        <w:t>ir</w:t>
      </w:r>
      <w:r w:rsidR="00731EF1" w:rsidRPr="002E118D">
        <w:rPr>
          <w:rFonts w:asciiTheme="minorBidi" w:hAnsiTheme="minorBidi"/>
        </w:rPr>
        <w:t xml:space="preserve"> </w:t>
      </w:r>
      <w:r w:rsidR="00281D2C" w:rsidRPr="002E118D">
        <w:rPr>
          <w:rFonts w:asciiTheme="minorBidi" w:hAnsiTheme="minorBidi"/>
        </w:rPr>
        <w:t>SASR</w:t>
      </w:r>
      <w:r w:rsidR="007D4490" w:rsidRPr="002E118D">
        <w:rPr>
          <w:rFonts w:asciiTheme="minorBidi" w:hAnsiTheme="minorBidi"/>
        </w:rPr>
        <w:t>s</w:t>
      </w:r>
      <w:r w:rsidR="00555FDC" w:rsidRPr="002E118D">
        <w:rPr>
          <w:rFonts w:asciiTheme="minorBidi" w:hAnsiTheme="minorBidi"/>
        </w:rPr>
        <w:t>.</w:t>
      </w:r>
      <w:r w:rsidR="0000216C" w:rsidRPr="002E118D">
        <w:rPr>
          <w:rFonts w:asciiTheme="minorBidi" w:hAnsiTheme="minorBidi"/>
        </w:rPr>
        <w:t xml:space="preserve"> </w:t>
      </w:r>
      <w:r w:rsidR="0089451F" w:rsidRPr="002E118D">
        <w:rPr>
          <w:rFonts w:asciiTheme="minorBidi" w:hAnsiTheme="minorBidi"/>
        </w:rPr>
        <w:t>L</w:t>
      </w:r>
      <w:r w:rsidR="00A643FE" w:rsidRPr="002E118D">
        <w:rPr>
          <w:rFonts w:asciiTheme="minorBidi" w:hAnsiTheme="minorBidi"/>
        </w:rPr>
        <w:t xml:space="preserve">engthening SASRs through </w:t>
      </w:r>
      <w:r w:rsidR="000057ED" w:rsidRPr="002E118D">
        <w:rPr>
          <w:rFonts w:asciiTheme="minorBidi" w:hAnsiTheme="minorBidi"/>
        </w:rPr>
        <w:t>blank space may</w:t>
      </w:r>
      <w:r w:rsidR="0089451F" w:rsidRPr="002E118D">
        <w:rPr>
          <w:rFonts w:asciiTheme="minorBidi" w:hAnsiTheme="minorBidi"/>
        </w:rPr>
        <w:t>, however,</w:t>
      </w:r>
      <w:r w:rsidR="000057ED" w:rsidRPr="002E118D">
        <w:rPr>
          <w:rFonts w:asciiTheme="minorBidi" w:hAnsiTheme="minorBidi"/>
        </w:rPr>
        <w:t xml:space="preserve"> discourage </w:t>
      </w:r>
      <w:r w:rsidR="0022550C" w:rsidRPr="002E118D">
        <w:rPr>
          <w:rFonts w:asciiTheme="minorBidi" w:hAnsiTheme="minorBidi"/>
        </w:rPr>
        <w:t xml:space="preserve">users </w:t>
      </w:r>
      <w:r w:rsidR="00A643FE" w:rsidRPr="002E118D">
        <w:rPr>
          <w:rFonts w:asciiTheme="minorBidi" w:hAnsiTheme="minorBidi"/>
        </w:rPr>
        <w:t>from</w:t>
      </w:r>
      <w:r w:rsidR="0022550C" w:rsidRPr="002E118D">
        <w:rPr>
          <w:rFonts w:asciiTheme="minorBidi" w:hAnsiTheme="minorBidi"/>
        </w:rPr>
        <w:t xml:space="preserve"> </w:t>
      </w:r>
      <w:r w:rsidR="00A643FE" w:rsidRPr="002E118D">
        <w:rPr>
          <w:rFonts w:asciiTheme="minorBidi" w:hAnsiTheme="minorBidi"/>
        </w:rPr>
        <w:t>engaging with</w:t>
      </w:r>
      <w:r w:rsidR="0022550C" w:rsidRPr="002E118D">
        <w:rPr>
          <w:rFonts w:asciiTheme="minorBidi" w:hAnsiTheme="minorBidi"/>
        </w:rPr>
        <w:t xml:space="preserve"> </w:t>
      </w:r>
      <w:r w:rsidR="00A643FE" w:rsidRPr="002E118D">
        <w:rPr>
          <w:rFonts w:asciiTheme="minorBidi" w:hAnsiTheme="minorBidi"/>
        </w:rPr>
        <w:t xml:space="preserve">the documents. </w:t>
      </w:r>
    </w:p>
    <w:p w14:paraId="023AC112" w14:textId="1EBD5663" w:rsidR="006A72E0" w:rsidRPr="002E118D" w:rsidRDefault="00A643FE" w:rsidP="00F5189D">
      <w:pPr>
        <w:rPr>
          <w:rFonts w:asciiTheme="minorBidi" w:hAnsiTheme="minorBidi"/>
        </w:rPr>
      </w:pPr>
      <w:r w:rsidRPr="002E118D">
        <w:rPr>
          <w:rFonts w:asciiTheme="minorBidi" w:hAnsiTheme="minorBidi"/>
        </w:rPr>
        <w:t>A</w:t>
      </w:r>
      <w:r w:rsidR="004C2D75" w:rsidRPr="002E118D">
        <w:rPr>
          <w:rFonts w:asciiTheme="minorBidi" w:hAnsiTheme="minorBidi"/>
        </w:rPr>
        <w:t>n experimental</w:t>
      </w:r>
      <w:r w:rsidR="007241A8" w:rsidRPr="002E118D">
        <w:rPr>
          <w:rFonts w:asciiTheme="minorBidi" w:hAnsiTheme="minorBidi"/>
        </w:rPr>
        <w:t xml:space="preserve"> marketing</w:t>
      </w:r>
      <w:r w:rsidR="00C82B91" w:rsidRPr="002E118D">
        <w:rPr>
          <w:rFonts w:asciiTheme="minorBidi" w:hAnsiTheme="minorBidi"/>
        </w:rPr>
        <w:t xml:space="preserve"> </w:t>
      </w:r>
      <w:r w:rsidR="004C67E7" w:rsidRPr="002E118D">
        <w:rPr>
          <w:rFonts w:asciiTheme="minorBidi" w:hAnsiTheme="minorBidi"/>
        </w:rPr>
        <w:t xml:space="preserve">study </w:t>
      </w:r>
      <w:r w:rsidR="0089451F" w:rsidRPr="002E118D">
        <w:rPr>
          <w:rFonts w:asciiTheme="minorBidi" w:hAnsiTheme="minorBidi"/>
        </w:rPr>
        <w:t>that</w:t>
      </w:r>
      <w:r w:rsidRPr="002E118D">
        <w:rPr>
          <w:rFonts w:asciiTheme="minorBidi" w:hAnsiTheme="minorBidi"/>
        </w:rPr>
        <w:t xml:space="preserve"> </w:t>
      </w:r>
      <w:r w:rsidR="004C67E7" w:rsidRPr="002E118D">
        <w:rPr>
          <w:rFonts w:asciiTheme="minorBidi" w:hAnsiTheme="minorBidi"/>
        </w:rPr>
        <w:t>investigate</w:t>
      </w:r>
      <w:r w:rsidR="000118BC">
        <w:rPr>
          <w:rFonts w:asciiTheme="minorBidi" w:hAnsiTheme="minorBidi"/>
        </w:rPr>
        <w:t>s</w:t>
      </w:r>
      <w:r w:rsidR="00FF3D7C" w:rsidRPr="002E118D">
        <w:rPr>
          <w:rFonts w:asciiTheme="minorBidi" w:hAnsiTheme="minorBidi"/>
        </w:rPr>
        <w:t xml:space="preserve"> consumers</w:t>
      </w:r>
      <w:r w:rsidRPr="002E118D">
        <w:rPr>
          <w:rFonts w:asciiTheme="minorBidi" w:hAnsiTheme="minorBidi"/>
        </w:rPr>
        <w:t>’</w:t>
      </w:r>
      <w:r w:rsidR="00FF3D7C" w:rsidRPr="002E118D">
        <w:rPr>
          <w:rFonts w:asciiTheme="minorBidi" w:hAnsiTheme="minorBidi"/>
        </w:rPr>
        <w:t xml:space="preserve"> perceptions and inferences</w:t>
      </w:r>
      <w:r w:rsidR="00D90BA6" w:rsidRPr="002E118D">
        <w:rPr>
          <w:rFonts w:asciiTheme="minorBidi" w:hAnsiTheme="minorBidi"/>
        </w:rPr>
        <w:t xml:space="preserve"> </w:t>
      </w:r>
      <w:r w:rsidR="008B52F7" w:rsidRPr="00121994">
        <w:rPr>
          <w:rFonts w:asciiTheme="minorBidi" w:hAnsiTheme="minorBidi"/>
        </w:rPr>
        <w:t>(</w:t>
      </w:r>
      <w:r w:rsidR="008B52F7" w:rsidRPr="00121994">
        <w:rPr>
          <w:rFonts w:cs="Arial"/>
          <w:color w:val="222222"/>
          <w:shd w:val="clear" w:color="auto" w:fill="FFFFFF"/>
        </w:rPr>
        <w:t>Pracejus</w:t>
      </w:r>
      <w:r w:rsidR="008B52F7" w:rsidRPr="003C6E16" w:rsidDel="0096247F">
        <w:rPr>
          <w:rFonts w:asciiTheme="minorBidi" w:hAnsiTheme="minorBidi"/>
        </w:rPr>
        <w:t xml:space="preserve"> </w:t>
      </w:r>
      <w:r w:rsidR="008B52F7" w:rsidRPr="00121994">
        <w:rPr>
          <w:rFonts w:asciiTheme="minorBidi" w:hAnsiTheme="minorBidi"/>
        </w:rPr>
        <w:t>et al., 2006)</w:t>
      </w:r>
      <w:r w:rsidR="008B52F7" w:rsidRPr="00732BAE">
        <w:rPr>
          <w:rFonts w:asciiTheme="minorBidi" w:hAnsiTheme="minorBidi"/>
        </w:rPr>
        <w:t xml:space="preserve"> </w:t>
      </w:r>
      <w:r w:rsidR="008B52F7" w:rsidRPr="002E118D">
        <w:rPr>
          <w:rFonts w:asciiTheme="minorBidi" w:hAnsiTheme="minorBidi"/>
        </w:rPr>
        <w:t>finds</w:t>
      </w:r>
      <w:r w:rsidR="007653AD" w:rsidRPr="002E118D">
        <w:rPr>
          <w:rFonts w:asciiTheme="minorBidi" w:hAnsiTheme="minorBidi"/>
        </w:rPr>
        <w:t xml:space="preserve"> that </w:t>
      </w:r>
      <w:r w:rsidR="00C82B91" w:rsidRPr="002E118D">
        <w:rPr>
          <w:rFonts w:asciiTheme="minorBidi" w:hAnsiTheme="minorBidi"/>
        </w:rPr>
        <w:t>white space</w:t>
      </w:r>
      <w:r w:rsidR="004C2D75" w:rsidRPr="002E118D">
        <w:rPr>
          <w:rFonts w:asciiTheme="minorBidi" w:hAnsiTheme="minorBidi"/>
        </w:rPr>
        <w:t>, combined</w:t>
      </w:r>
      <w:r w:rsidR="007241A8" w:rsidRPr="002E118D">
        <w:rPr>
          <w:rFonts w:asciiTheme="minorBidi" w:hAnsiTheme="minorBidi"/>
        </w:rPr>
        <w:t xml:space="preserve"> with imag</w:t>
      </w:r>
      <w:r w:rsidR="009C3B57" w:rsidRPr="002E118D">
        <w:rPr>
          <w:rFonts w:asciiTheme="minorBidi" w:hAnsiTheme="minorBidi"/>
        </w:rPr>
        <w:t>e</w:t>
      </w:r>
      <w:r w:rsidR="004C2D75" w:rsidRPr="002E118D">
        <w:rPr>
          <w:rFonts w:asciiTheme="minorBidi" w:hAnsiTheme="minorBidi"/>
        </w:rPr>
        <w:t>s,</w:t>
      </w:r>
      <w:r w:rsidR="00C82B91" w:rsidRPr="002E118D">
        <w:rPr>
          <w:rFonts w:asciiTheme="minorBidi" w:hAnsiTheme="minorBidi"/>
        </w:rPr>
        <w:t xml:space="preserve"> influence</w:t>
      </w:r>
      <w:r w:rsidR="000118BC">
        <w:rPr>
          <w:rFonts w:asciiTheme="minorBidi" w:hAnsiTheme="minorBidi"/>
        </w:rPr>
        <w:t>s</w:t>
      </w:r>
      <w:r w:rsidR="00C82B91" w:rsidRPr="002E118D">
        <w:rPr>
          <w:rFonts w:asciiTheme="minorBidi" w:hAnsiTheme="minorBidi"/>
        </w:rPr>
        <w:t xml:space="preserve"> consumer brand perceptions. </w:t>
      </w:r>
      <w:r w:rsidR="00846D0F">
        <w:rPr>
          <w:rFonts w:asciiTheme="minorBidi" w:hAnsiTheme="minorBidi"/>
        </w:rPr>
        <w:t>B</w:t>
      </w:r>
      <w:r w:rsidR="00A1674B" w:rsidRPr="002E118D">
        <w:rPr>
          <w:rFonts w:asciiTheme="minorBidi" w:hAnsiTheme="minorBidi"/>
        </w:rPr>
        <w:t>lank space</w:t>
      </w:r>
      <w:r w:rsidR="00CB2858" w:rsidRPr="002E118D">
        <w:rPr>
          <w:rFonts w:asciiTheme="minorBidi" w:hAnsiTheme="minorBidi"/>
        </w:rPr>
        <w:t xml:space="preserve"> may </w:t>
      </w:r>
      <w:r w:rsidR="0011143E" w:rsidRPr="002E118D">
        <w:rPr>
          <w:rFonts w:asciiTheme="minorBidi" w:hAnsiTheme="minorBidi"/>
        </w:rPr>
        <w:t>enhance</w:t>
      </w:r>
      <w:r w:rsidR="00A1674B" w:rsidRPr="002E118D">
        <w:rPr>
          <w:rFonts w:asciiTheme="minorBidi" w:hAnsiTheme="minorBidi"/>
        </w:rPr>
        <w:t xml:space="preserve"> the readability of SASRs </w:t>
      </w:r>
      <w:r w:rsidR="00BE764F" w:rsidRPr="002E118D">
        <w:rPr>
          <w:rFonts w:asciiTheme="minorBidi" w:hAnsiTheme="minorBidi"/>
        </w:rPr>
        <w:t>by making the reports visually appealing.</w:t>
      </w:r>
      <w:r w:rsidR="00732BAE" w:rsidRPr="002E118D">
        <w:rPr>
          <w:rFonts w:asciiTheme="minorBidi" w:hAnsiTheme="minorBidi"/>
        </w:rPr>
        <w:t xml:space="preserve"> Squiers (1989, p.</w:t>
      </w:r>
      <w:r w:rsidR="0029363B">
        <w:rPr>
          <w:rFonts w:asciiTheme="minorBidi" w:hAnsiTheme="minorBidi"/>
        </w:rPr>
        <w:t xml:space="preserve"> </w:t>
      </w:r>
      <w:r w:rsidR="00732BAE" w:rsidRPr="002E118D">
        <w:rPr>
          <w:rFonts w:asciiTheme="minorBidi" w:hAnsiTheme="minorBidi"/>
        </w:rPr>
        <w:t xml:space="preserve">218) </w:t>
      </w:r>
      <w:r w:rsidR="00CF5619">
        <w:rPr>
          <w:rFonts w:asciiTheme="minorBidi" w:hAnsiTheme="minorBidi"/>
        </w:rPr>
        <w:t>finds that</w:t>
      </w:r>
      <w:r w:rsidR="00732BAE" w:rsidRPr="002E118D">
        <w:rPr>
          <w:rFonts w:asciiTheme="minorBidi" w:hAnsiTheme="minorBidi"/>
        </w:rPr>
        <w:t xml:space="preserve"> “40% of stakeholders spend five minutes or less looking at annual reports”. Lee and Tweedie (1975) also reveal that although the annual report is a primary source, it is not read thoroughly. </w:t>
      </w:r>
      <w:r w:rsidR="00846D0F">
        <w:rPr>
          <w:rFonts w:asciiTheme="minorBidi" w:hAnsiTheme="minorBidi"/>
        </w:rPr>
        <w:t>T</w:t>
      </w:r>
      <w:r w:rsidR="00294D79" w:rsidRPr="002E118D">
        <w:rPr>
          <w:rFonts w:asciiTheme="minorBidi" w:hAnsiTheme="minorBidi"/>
        </w:rPr>
        <w:t>here is no pr</w:t>
      </w:r>
      <w:r w:rsidR="004C2D75" w:rsidRPr="002E118D">
        <w:rPr>
          <w:rFonts w:asciiTheme="minorBidi" w:hAnsiTheme="minorBidi"/>
        </w:rPr>
        <w:t>evious</w:t>
      </w:r>
      <w:r w:rsidR="00294D79" w:rsidRPr="002E118D">
        <w:rPr>
          <w:rFonts w:asciiTheme="minorBidi" w:hAnsiTheme="minorBidi"/>
        </w:rPr>
        <w:t xml:space="preserve"> research </w:t>
      </w:r>
      <w:r w:rsidR="00A449D6" w:rsidRPr="002E118D">
        <w:rPr>
          <w:rFonts w:asciiTheme="minorBidi" w:hAnsiTheme="minorBidi"/>
        </w:rPr>
        <w:t xml:space="preserve">that </w:t>
      </w:r>
      <w:r w:rsidR="00F5189D" w:rsidRPr="002E118D">
        <w:rPr>
          <w:rFonts w:asciiTheme="minorBidi" w:hAnsiTheme="minorBidi"/>
        </w:rPr>
        <w:t xml:space="preserve">explains the motivation </w:t>
      </w:r>
      <w:r w:rsidR="00A449D6" w:rsidRPr="002E118D">
        <w:rPr>
          <w:rFonts w:asciiTheme="minorBidi" w:hAnsiTheme="minorBidi"/>
        </w:rPr>
        <w:t>for</w:t>
      </w:r>
      <w:r w:rsidR="00F5189D" w:rsidRPr="002E118D">
        <w:rPr>
          <w:rFonts w:asciiTheme="minorBidi" w:hAnsiTheme="minorBidi"/>
        </w:rPr>
        <w:t xml:space="preserve"> the use </w:t>
      </w:r>
      <w:r w:rsidR="005904FD" w:rsidRPr="002E118D">
        <w:rPr>
          <w:rFonts w:asciiTheme="minorBidi" w:hAnsiTheme="minorBidi"/>
        </w:rPr>
        <w:t>of blank</w:t>
      </w:r>
      <w:r w:rsidR="00294D79" w:rsidRPr="002E118D">
        <w:rPr>
          <w:rFonts w:asciiTheme="minorBidi" w:hAnsiTheme="minorBidi"/>
        </w:rPr>
        <w:t xml:space="preserve"> space in </w:t>
      </w:r>
      <w:r w:rsidR="004C2D75" w:rsidRPr="002E118D">
        <w:rPr>
          <w:rFonts w:asciiTheme="minorBidi" w:hAnsiTheme="minorBidi"/>
        </w:rPr>
        <w:t>either</w:t>
      </w:r>
      <w:r w:rsidR="00294D79" w:rsidRPr="002E118D">
        <w:rPr>
          <w:rFonts w:asciiTheme="minorBidi" w:hAnsiTheme="minorBidi"/>
        </w:rPr>
        <w:t xml:space="preserve"> annual reports </w:t>
      </w:r>
      <w:r w:rsidR="004C2D75" w:rsidRPr="002E118D">
        <w:rPr>
          <w:rFonts w:asciiTheme="minorBidi" w:hAnsiTheme="minorBidi"/>
        </w:rPr>
        <w:t>or</w:t>
      </w:r>
      <w:r w:rsidR="00294D79" w:rsidRPr="002E118D">
        <w:rPr>
          <w:rFonts w:asciiTheme="minorBidi" w:hAnsiTheme="minorBidi"/>
        </w:rPr>
        <w:t xml:space="preserve"> SASRs. </w:t>
      </w:r>
      <w:r w:rsidR="0001167C" w:rsidRPr="002E118D">
        <w:rPr>
          <w:rFonts w:asciiTheme="minorBidi" w:hAnsiTheme="minorBidi"/>
        </w:rPr>
        <w:t xml:space="preserve">This suggests </w:t>
      </w:r>
      <w:r w:rsidR="000118BC">
        <w:rPr>
          <w:rFonts w:asciiTheme="minorBidi" w:hAnsiTheme="minorBidi"/>
        </w:rPr>
        <w:t>our</w:t>
      </w:r>
      <w:r w:rsidR="0001167C" w:rsidRPr="002E118D">
        <w:rPr>
          <w:rFonts w:asciiTheme="minorBidi" w:hAnsiTheme="minorBidi"/>
        </w:rPr>
        <w:t xml:space="preserve"> </w:t>
      </w:r>
      <w:r w:rsidR="00EE5BD0" w:rsidRPr="002E118D">
        <w:rPr>
          <w:rFonts w:asciiTheme="minorBidi" w:hAnsiTheme="minorBidi"/>
        </w:rPr>
        <w:t>fourth</w:t>
      </w:r>
      <w:r w:rsidR="0001167C" w:rsidRPr="002E118D">
        <w:rPr>
          <w:rFonts w:asciiTheme="minorBidi" w:hAnsiTheme="minorBidi"/>
        </w:rPr>
        <w:t xml:space="preserve"> research question:</w:t>
      </w:r>
    </w:p>
    <w:p w14:paraId="65154320" w14:textId="2C30C6B0" w:rsidR="008D1D1F" w:rsidRPr="002E118D" w:rsidRDefault="004C2D75">
      <w:pPr>
        <w:rPr>
          <w:rFonts w:asciiTheme="minorBidi" w:hAnsiTheme="minorBidi"/>
          <w:b/>
          <w:bCs/>
        </w:rPr>
      </w:pPr>
      <w:r w:rsidRPr="002E118D">
        <w:rPr>
          <w:rFonts w:asciiTheme="minorBidi" w:hAnsiTheme="minorBidi"/>
          <w:b/>
          <w:bCs/>
        </w:rPr>
        <w:t>RQ</w:t>
      </w:r>
      <w:r w:rsidR="002F66F4" w:rsidRPr="002E118D">
        <w:rPr>
          <w:rFonts w:asciiTheme="minorBidi" w:hAnsiTheme="minorBidi"/>
          <w:b/>
          <w:bCs/>
        </w:rPr>
        <w:t>4</w:t>
      </w:r>
      <w:r w:rsidR="006A72E0" w:rsidRPr="002E118D">
        <w:rPr>
          <w:rFonts w:asciiTheme="minorBidi" w:hAnsiTheme="minorBidi"/>
          <w:b/>
          <w:bCs/>
        </w:rPr>
        <w:t xml:space="preserve">. Why do companies use </w:t>
      </w:r>
      <w:r w:rsidR="00287C0D" w:rsidRPr="002E118D">
        <w:rPr>
          <w:rFonts w:asciiTheme="minorBidi" w:hAnsiTheme="minorBidi"/>
          <w:b/>
          <w:bCs/>
        </w:rPr>
        <w:t xml:space="preserve">blank space </w:t>
      </w:r>
      <w:r w:rsidR="006A72E0" w:rsidRPr="002E118D">
        <w:rPr>
          <w:rFonts w:asciiTheme="minorBidi" w:hAnsiTheme="minorBidi"/>
          <w:b/>
          <w:bCs/>
        </w:rPr>
        <w:t xml:space="preserve">and how </w:t>
      </w:r>
      <w:r w:rsidRPr="002E118D">
        <w:rPr>
          <w:rFonts w:asciiTheme="minorBidi" w:hAnsiTheme="minorBidi"/>
          <w:b/>
          <w:bCs/>
        </w:rPr>
        <w:t xml:space="preserve">is </w:t>
      </w:r>
      <w:r w:rsidR="00287C0D" w:rsidRPr="002E118D">
        <w:rPr>
          <w:rFonts w:asciiTheme="minorBidi" w:hAnsiTheme="minorBidi"/>
          <w:b/>
          <w:bCs/>
        </w:rPr>
        <w:t>blank space</w:t>
      </w:r>
      <w:r w:rsidR="006A72E0" w:rsidRPr="002E118D">
        <w:rPr>
          <w:rFonts w:asciiTheme="minorBidi" w:hAnsiTheme="minorBidi"/>
          <w:b/>
          <w:bCs/>
        </w:rPr>
        <w:t xml:space="preserve"> selected/designed?</w:t>
      </w:r>
    </w:p>
    <w:p w14:paraId="7E763318" w14:textId="41776AE4" w:rsidR="00143CFC" w:rsidRPr="002E118D" w:rsidRDefault="001E1853" w:rsidP="00BA12C2">
      <w:pPr>
        <w:pStyle w:val="Heading1"/>
      </w:pPr>
      <w:r w:rsidRPr="002E118D">
        <w:t>Theoretical framework</w:t>
      </w:r>
    </w:p>
    <w:p w14:paraId="064F3FF8" w14:textId="21635B9F" w:rsidR="006B7C7B" w:rsidRPr="002E118D" w:rsidRDefault="00143CFC">
      <w:pPr>
        <w:rPr>
          <w:rFonts w:asciiTheme="minorBidi" w:hAnsiTheme="minorBidi"/>
        </w:rPr>
      </w:pPr>
      <w:r w:rsidRPr="002E118D">
        <w:rPr>
          <w:rFonts w:asciiTheme="minorBidi" w:hAnsiTheme="minorBidi"/>
        </w:rPr>
        <w:t xml:space="preserve">Motivation for environmental and social disclosure by companies can vary </w:t>
      </w:r>
      <w:r w:rsidR="008D1D1F" w:rsidRPr="002E118D">
        <w:rPr>
          <w:rFonts w:asciiTheme="minorBidi" w:hAnsiTheme="minorBidi"/>
        </w:rPr>
        <w:t>widely and</w:t>
      </w:r>
      <w:r w:rsidR="005701F7" w:rsidRPr="002E118D">
        <w:rPr>
          <w:rFonts w:asciiTheme="minorBidi" w:hAnsiTheme="minorBidi"/>
        </w:rPr>
        <w:t xml:space="preserve"> can reflect both internal and external pressures for disclosure</w:t>
      </w:r>
      <w:r w:rsidR="00135C54" w:rsidRPr="002E118D">
        <w:rPr>
          <w:rFonts w:asciiTheme="minorBidi" w:hAnsiTheme="minorBidi"/>
        </w:rPr>
        <w:t xml:space="preserve"> (P</w:t>
      </w:r>
      <w:r w:rsidR="00627976">
        <w:rPr>
          <w:rFonts w:asciiTheme="minorBidi" w:hAnsiTheme="minorBidi"/>
        </w:rPr>
        <w:t>é</w:t>
      </w:r>
      <w:r w:rsidR="00135C54" w:rsidRPr="002E118D">
        <w:rPr>
          <w:rFonts w:asciiTheme="minorBidi" w:hAnsiTheme="minorBidi"/>
        </w:rPr>
        <w:t>rez-L</w:t>
      </w:r>
      <w:r w:rsidR="00627976">
        <w:rPr>
          <w:rFonts w:asciiTheme="minorBidi" w:hAnsiTheme="minorBidi"/>
        </w:rPr>
        <w:t>ó</w:t>
      </w:r>
      <w:r w:rsidR="00135C54" w:rsidRPr="002E118D">
        <w:rPr>
          <w:rFonts w:asciiTheme="minorBidi" w:hAnsiTheme="minorBidi"/>
        </w:rPr>
        <w:t>pez</w:t>
      </w:r>
      <w:r w:rsidR="008C0DF8" w:rsidRPr="002E118D">
        <w:rPr>
          <w:rFonts w:asciiTheme="minorBidi" w:hAnsiTheme="minorBidi"/>
        </w:rPr>
        <w:t xml:space="preserve"> et al.</w:t>
      </w:r>
      <w:r w:rsidR="00135C54" w:rsidRPr="002E118D">
        <w:rPr>
          <w:rFonts w:asciiTheme="minorBidi" w:hAnsiTheme="minorBidi"/>
        </w:rPr>
        <w:t>, 2015)</w:t>
      </w:r>
      <w:r w:rsidR="008C0DF8" w:rsidRPr="002E118D">
        <w:rPr>
          <w:rFonts w:asciiTheme="minorBidi" w:hAnsiTheme="minorBidi"/>
        </w:rPr>
        <w:t>.</w:t>
      </w:r>
      <w:r w:rsidR="004870B9" w:rsidRPr="002E118D">
        <w:rPr>
          <w:rFonts w:asciiTheme="minorBidi" w:hAnsiTheme="minorBidi"/>
        </w:rPr>
        <w:t xml:space="preserve"> </w:t>
      </w:r>
      <w:r w:rsidR="008C0DF8" w:rsidRPr="002E118D">
        <w:rPr>
          <w:rFonts w:asciiTheme="minorBidi" w:hAnsiTheme="minorBidi"/>
        </w:rPr>
        <w:t>L</w:t>
      </w:r>
      <w:r w:rsidRPr="002E118D">
        <w:rPr>
          <w:rFonts w:asciiTheme="minorBidi" w:hAnsiTheme="minorBidi"/>
        </w:rPr>
        <w:t xml:space="preserve">egitimacy theory is often used as the lens to explain why these disclosures are made (Deegan </w:t>
      </w:r>
      <w:r w:rsidR="00290DF6">
        <w:rPr>
          <w:rFonts w:asciiTheme="minorBidi" w:hAnsiTheme="minorBidi"/>
        </w:rPr>
        <w:t xml:space="preserve">et al., </w:t>
      </w:r>
      <w:r w:rsidRPr="002E118D">
        <w:rPr>
          <w:rFonts w:asciiTheme="minorBidi" w:hAnsiTheme="minorBidi"/>
        </w:rPr>
        <w:t xml:space="preserve">2002). </w:t>
      </w:r>
      <w:r w:rsidR="006D1D7F" w:rsidRPr="002E118D">
        <w:rPr>
          <w:rFonts w:asciiTheme="minorBidi" w:hAnsiTheme="minorBidi"/>
        </w:rPr>
        <w:t>Suchman (1995</w:t>
      </w:r>
      <w:r w:rsidR="008005BF" w:rsidRPr="002E118D">
        <w:rPr>
          <w:rFonts w:asciiTheme="minorBidi" w:hAnsiTheme="minorBidi"/>
        </w:rPr>
        <w:t xml:space="preserve">, p. </w:t>
      </w:r>
      <w:r w:rsidR="006D1D7F" w:rsidRPr="002E118D">
        <w:rPr>
          <w:rFonts w:asciiTheme="minorBidi" w:hAnsiTheme="minorBidi"/>
        </w:rPr>
        <w:t>574) define</w:t>
      </w:r>
      <w:r w:rsidR="000118BC">
        <w:rPr>
          <w:rFonts w:asciiTheme="minorBidi" w:hAnsiTheme="minorBidi"/>
        </w:rPr>
        <w:t>s</w:t>
      </w:r>
      <w:r w:rsidR="006D1D7F" w:rsidRPr="002E118D">
        <w:rPr>
          <w:rFonts w:asciiTheme="minorBidi" w:hAnsiTheme="minorBidi"/>
        </w:rPr>
        <w:t xml:space="preserve"> organi</w:t>
      </w:r>
      <w:r w:rsidR="00627976">
        <w:rPr>
          <w:rFonts w:asciiTheme="minorBidi" w:hAnsiTheme="minorBidi"/>
        </w:rPr>
        <w:t>s</w:t>
      </w:r>
      <w:r w:rsidR="006D1D7F" w:rsidRPr="002E118D">
        <w:rPr>
          <w:rFonts w:asciiTheme="minorBidi" w:hAnsiTheme="minorBidi"/>
        </w:rPr>
        <w:t>ational legitimacy as “a general perception or assumption that the actions of an entity are desirable, proper, or appropriate within some socially constructed system of norms, values, beliefs and definitions</w:t>
      </w:r>
      <w:r w:rsidR="00D252F0" w:rsidRPr="002E118D">
        <w:rPr>
          <w:rFonts w:asciiTheme="minorBidi" w:hAnsiTheme="minorBidi"/>
        </w:rPr>
        <w:t>”.</w:t>
      </w:r>
      <w:r w:rsidR="006D1D7F" w:rsidRPr="002E118D">
        <w:rPr>
          <w:rFonts w:asciiTheme="minorBidi" w:hAnsiTheme="minorBidi"/>
        </w:rPr>
        <w:t xml:space="preserve"> </w:t>
      </w:r>
      <w:bookmarkStart w:id="4" w:name="_Hlk527984757"/>
      <w:r w:rsidR="006D1D7F" w:rsidRPr="002E118D">
        <w:rPr>
          <w:rFonts w:asciiTheme="minorBidi" w:hAnsiTheme="minorBidi"/>
        </w:rPr>
        <w:t xml:space="preserve">Hence, it is expected that the </w:t>
      </w:r>
      <w:bookmarkStart w:id="5" w:name="_Hlk528078562"/>
      <w:r w:rsidR="006D1D7F" w:rsidRPr="002E118D">
        <w:rPr>
          <w:rFonts w:asciiTheme="minorBidi" w:hAnsiTheme="minorBidi"/>
        </w:rPr>
        <w:t xml:space="preserve">CEO and the reporting manager will devote considerable resources </w:t>
      </w:r>
      <w:r w:rsidR="00B93615" w:rsidRPr="002E118D">
        <w:rPr>
          <w:rFonts w:asciiTheme="minorBidi" w:hAnsiTheme="minorBidi"/>
        </w:rPr>
        <w:t xml:space="preserve">in establishing or protecting legitimacy, as this is essential for organisational survival (Ashforth </w:t>
      </w:r>
      <w:r w:rsidR="008005BF" w:rsidRPr="002E118D">
        <w:rPr>
          <w:rFonts w:asciiTheme="minorBidi" w:hAnsiTheme="minorBidi"/>
        </w:rPr>
        <w:t>&amp;</w:t>
      </w:r>
      <w:r w:rsidR="00B93615" w:rsidRPr="002E118D">
        <w:rPr>
          <w:rFonts w:asciiTheme="minorBidi" w:hAnsiTheme="minorBidi"/>
        </w:rPr>
        <w:t xml:space="preserve"> Gibbs, 1990).</w:t>
      </w:r>
      <w:r w:rsidR="0008011A" w:rsidRPr="002E118D">
        <w:rPr>
          <w:rFonts w:asciiTheme="minorBidi" w:hAnsiTheme="minorBidi"/>
        </w:rPr>
        <w:t xml:space="preserve"> </w:t>
      </w:r>
      <w:bookmarkEnd w:id="4"/>
      <w:bookmarkEnd w:id="5"/>
      <w:r w:rsidR="0008011A" w:rsidRPr="002E118D">
        <w:rPr>
          <w:rFonts w:asciiTheme="minorBidi" w:hAnsiTheme="minorBidi"/>
        </w:rPr>
        <w:t xml:space="preserve">However, as legitimacy </w:t>
      </w:r>
      <w:r w:rsidR="00B90C3C" w:rsidRPr="002E118D">
        <w:rPr>
          <w:rFonts w:asciiTheme="minorBidi" w:hAnsiTheme="minorBidi"/>
        </w:rPr>
        <w:t xml:space="preserve">is </w:t>
      </w:r>
      <w:r w:rsidR="00A243C3" w:rsidRPr="002E118D">
        <w:rPr>
          <w:rFonts w:asciiTheme="minorBidi" w:hAnsiTheme="minorBidi"/>
        </w:rPr>
        <w:t>dynamic in nature</w:t>
      </w:r>
      <w:r w:rsidR="00DC1EE5">
        <w:rPr>
          <w:rFonts w:asciiTheme="minorBidi" w:hAnsiTheme="minorBidi"/>
        </w:rPr>
        <w:t>,</w:t>
      </w:r>
      <w:r w:rsidR="00A243C3" w:rsidRPr="002E118D">
        <w:rPr>
          <w:rFonts w:asciiTheme="minorBidi" w:hAnsiTheme="minorBidi"/>
        </w:rPr>
        <w:t xml:space="preserve"> reporting managers are prone to use thoughtful prepared “legitimation” strategies to manipulate public perceptions about the status</w:t>
      </w:r>
      <w:r w:rsidR="00B90C3C" w:rsidRPr="002E118D">
        <w:rPr>
          <w:rFonts w:asciiTheme="minorBidi" w:hAnsiTheme="minorBidi"/>
        </w:rPr>
        <w:t xml:space="preserve"> of the organisation</w:t>
      </w:r>
      <w:r w:rsidR="00A243C3" w:rsidRPr="002E118D">
        <w:rPr>
          <w:rFonts w:asciiTheme="minorBidi" w:hAnsiTheme="minorBidi"/>
        </w:rPr>
        <w:t xml:space="preserve"> (Cho</w:t>
      </w:r>
      <w:r w:rsidR="004D2822" w:rsidRPr="002E118D">
        <w:rPr>
          <w:rFonts w:asciiTheme="minorBidi" w:hAnsiTheme="minorBidi"/>
        </w:rPr>
        <w:t xml:space="preserve"> et al.</w:t>
      </w:r>
      <w:r w:rsidR="00A243C3" w:rsidRPr="002E118D">
        <w:rPr>
          <w:rFonts w:asciiTheme="minorBidi" w:hAnsiTheme="minorBidi"/>
        </w:rPr>
        <w:t>, 2009; Deegan</w:t>
      </w:r>
      <w:r w:rsidR="004D2822" w:rsidRPr="002E118D">
        <w:rPr>
          <w:rFonts w:asciiTheme="minorBidi" w:hAnsiTheme="minorBidi"/>
        </w:rPr>
        <w:t xml:space="preserve"> et al.</w:t>
      </w:r>
      <w:r w:rsidR="00A243C3" w:rsidRPr="002E118D">
        <w:rPr>
          <w:rFonts w:asciiTheme="minorBidi" w:hAnsiTheme="minorBidi"/>
        </w:rPr>
        <w:t xml:space="preserve">, 2002). </w:t>
      </w:r>
    </w:p>
    <w:p w14:paraId="5580BE26" w14:textId="7BBEB913" w:rsidR="008E4F0C" w:rsidRPr="002E118D" w:rsidRDefault="006B7C7B">
      <w:pPr>
        <w:rPr>
          <w:rFonts w:asciiTheme="minorBidi" w:hAnsiTheme="minorBidi"/>
        </w:rPr>
      </w:pPr>
      <w:r w:rsidRPr="002E118D">
        <w:rPr>
          <w:rFonts w:asciiTheme="minorBidi" w:hAnsiTheme="minorBidi"/>
        </w:rPr>
        <w:t xml:space="preserve">Ashforth and Gibbs (1990) find that organisations engage in legitimation </w:t>
      </w:r>
      <w:r w:rsidR="008B2C2E" w:rsidRPr="002E118D">
        <w:rPr>
          <w:rFonts w:asciiTheme="minorBidi" w:hAnsiTheme="minorBidi"/>
        </w:rPr>
        <w:t xml:space="preserve">through </w:t>
      </w:r>
      <w:r w:rsidRPr="002E118D">
        <w:rPr>
          <w:rFonts w:asciiTheme="minorBidi" w:hAnsiTheme="minorBidi"/>
        </w:rPr>
        <w:t xml:space="preserve">either substantive </w:t>
      </w:r>
      <w:r w:rsidR="008B2C2E" w:rsidRPr="002E118D">
        <w:rPr>
          <w:rFonts w:asciiTheme="minorBidi" w:hAnsiTheme="minorBidi"/>
        </w:rPr>
        <w:t xml:space="preserve">action </w:t>
      </w:r>
      <w:r w:rsidRPr="002E118D">
        <w:rPr>
          <w:rFonts w:asciiTheme="minorBidi" w:hAnsiTheme="minorBidi"/>
        </w:rPr>
        <w:t xml:space="preserve">or symbolic management. </w:t>
      </w:r>
      <w:r w:rsidR="008B2C2E" w:rsidRPr="002E118D">
        <w:rPr>
          <w:rFonts w:asciiTheme="minorBidi" w:hAnsiTheme="minorBidi"/>
        </w:rPr>
        <w:t>For s</w:t>
      </w:r>
      <w:r w:rsidRPr="002E118D">
        <w:rPr>
          <w:rFonts w:asciiTheme="minorBidi" w:hAnsiTheme="minorBidi"/>
        </w:rPr>
        <w:t>ubstantive action</w:t>
      </w:r>
      <w:r w:rsidR="008B2C2E" w:rsidRPr="002E118D">
        <w:rPr>
          <w:rFonts w:asciiTheme="minorBidi" w:hAnsiTheme="minorBidi"/>
        </w:rPr>
        <w:t xml:space="preserve">, </w:t>
      </w:r>
      <w:r w:rsidR="008C0DF8" w:rsidRPr="002E118D">
        <w:rPr>
          <w:rFonts w:asciiTheme="minorBidi" w:hAnsiTheme="minorBidi"/>
        </w:rPr>
        <w:t>“</w:t>
      </w:r>
      <w:r w:rsidR="008B2C2E" w:rsidRPr="002E118D">
        <w:rPr>
          <w:rFonts w:asciiTheme="minorBidi" w:hAnsiTheme="minorBidi"/>
        </w:rPr>
        <w:t>the organisation undertakes real actions to meet the expectations of those societal actors upon which it depends for critical resources” (Ashforth &amp; Gibbs, 1990</w:t>
      </w:r>
      <w:r w:rsidR="008005BF" w:rsidRPr="002E118D">
        <w:rPr>
          <w:rFonts w:asciiTheme="minorBidi" w:hAnsiTheme="minorBidi"/>
        </w:rPr>
        <w:t xml:space="preserve">, p. </w:t>
      </w:r>
      <w:r w:rsidR="008B2C2E" w:rsidRPr="002E118D">
        <w:rPr>
          <w:rFonts w:asciiTheme="minorBidi" w:hAnsiTheme="minorBidi"/>
        </w:rPr>
        <w:t>182).</w:t>
      </w:r>
      <w:r w:rsidR="00886A4E">
        <w:rPr>
          <w:rFonts w:asciiTheme="minorBidi" w:hAnsiTheme="minorBidi"/>
        </w:rPr>
        <w:t xml:space="preserve"> </w:t>
      </w:r>
      <w:r w:rsidR="008B2C2E" w:rsidRPr="002E118D">
        <w:rPr>
          <w:rFonts w:asciiTheme="minorBidi" w:hAnsiTheme="minorBidi"/>
        </w:rPr>
        <w:t>S</w:t>
      </w:r>
      <w:r w:rsidRPr="002E118D">
        <w:rPr>
          <w:rFonts w:asciiTheme="minorBidi" w:hAnsiTheme="minorBidi"/>
        </w:rPr>
        <w:t>ymbolic management involves strategies to change stakeholders’ perceptions</w:t>
      </w:r>
      <w:r w:rsidR="008B2C2E" w:rsidRPr="002E118D">
        <w:rPr>
          <w:rFonts w:asciiTheme="minorBidi" w:hAnsiTheme="minorBidi"/>
        </w:rPr>
        <w:t>, from</w:t>
      </w:r>
      <w:r w:rsidRPr="002E118D">
        <w:rPr>
          <w:rFonts w:asciiTheme="minorBidi" w:hAnsiTheme="minorBidi"/>
        </w:rPr>
        <w:t xml:space="preserve"> announc</w:t>
      </w:r>
      <w:r w:rsidR="008B2C2E" w:rsidRPr="002E118D">
        <w:rPr>
          <w:rFonts w:asciiTheme="minorBidi" w:hAnsiTheme="minorBidi"/>
        </w:rPr>
        <w:t>ing</w:t>
      </w:r>
      <w:r w:rsidRPr="002E118D">
        <w:rPr>
          <w:rFonts w:asciiTheme="minorBidi" w:hAnsiTheme="minorBidi"/>
        </w:rPr>
        <w:t xml:space="preserve"> the establishment </w:t>
      </w:r>
      <w:r w:rsidRPr="002E118D">
        <w:rPr>
          <w:rFonts w:asciiTheme="minorBidi" w:hAnsiTheme="minorBidi"/>
        </w:rPr>
        <w:lastRenderedPageBreak/>
        <w:t xml:space="preserve">of an ethics committee, all the way </w:t>
      </w:r>
      <w:r w:rsidR="008B2C2E" w:rsidRPr="002E118D">
        <w:rPr>
          <w:rFonts w:asciiTheme="minorBidi" w:hAnsiTheme="minorBidi"/>
        </w:rPr>
        <w:t xml:space="preserve">through </w:t>
      </w:r>
      <w:r w:rsidRPr="002E118D">
        <w:rPr>
          <w:rFonts w:asciiTheme="minorBidi" w:hAnsiTheme="minorBidi"/>
        </w:rPr>
        <w:t xml:space="preserve">to </w:t>
      </w:r>
      <w:r w:rsidR="004D2822" w:rsidRPr="002E118D">
        <w:rPr>
          <w:rFonts w:asciiTheme="minorBidi" w:hAnsiTheme="minorBidi"/>
        </w:rPr>
        <w:t>“</w:t>
      </w:r>
      <w:r w:rsidRPr="002E118D">
        <w:rPr>
          <w:rFonts w:asciiTheme="minorBidi" w:hAnsiTheme="minorBidi"/>
        </w:rPr>
        <w:t>greenwashing</w:t>
      </w:r>
      <w:r w:rsidR="004D2822" w:rsidRPr="002E118D">
        <w:rPr>
          <w:rFonts w:asciiTheme="minorBidi" w:hAnsiTheme="minorBidi"/>
        </w:rPr>
        <w:t>”</w:t>
      </w:r>
      <w:r w:rsidRPr="002E118D">
        <w:rPr>
          <w:rFonts w:asciiTheme="minorBidi" w:hAnsiTheme="minorBidi"/>
        </w:rPr>
        <w:t xml:space="preserve"> efforts designed to give the appearance of action, while enabling companies to continue operating as before (</w:t>
      </w:r>
      <w:hyperlink w:anchor="_ENREF_16" w:tooltip="Ashforth, 1990 #293" w:history="1">
        <w:r w:rsidRPr="002E118D">
          <w:rPr>
            <w:rFonts w:asciiTheme="minorBidi" w:hAnsiTheme="minorBidi"/>
          </w:rPr>
          <w:t>Ashforth &amp; Gibbs, 1990</w:t>
        </w:r>
      </w:hyperlink>
      <w:r w:rsidRPr="002E118D">
        <w:rPr>
          <w:rFonts w:asciiTheme="minorBidi" w:hAnsiTheme="minorBidi"/>
        </w:rPr>
        <w:t xml:space="preserve">). </w:t>
      </w:r>
      <w:r w:rsidR="008C0DF8" w:rsidRPr="002E118D">
        <w:rPr>
          <w:rFonts w:asciiTheme="minorBidi" w:hAnsiTheme="minorBidi"/>
        </w:rPr>
        <w:t>Legitimation strategies may involve</w:t>
      </w:r>
      <w:r w:rsidR="008B2C2E" w:rsidRPr="002E118D">
        <w:rPr>
          <w:rFonts w:asciiTheme="minorBidi" w:hAnsiTheme="minorBidi"/>
        </w:rPr>
        <w:t xml:space="preserve"> impression management</w:t>
      </w:r>
      <w:r w:rsidR="008C0DF8" w:rsidRPr="002E118D">
        <w:rPr>
          <w:rFonts w:asciiTheme="minorBidi" w:hAnsiTheme="minorBidi"/>
        </w:rPr>
        <w:t>.</w:t>
      </w:r>
    </w:p>
    <w:p w14:paraId="0FF75611" w14:textId="49CCE300" w:rsidR="006B7C7B" w:rsidRPr="002E118D" w:rsidRDefault="00D04C9B">
      <w:pPr>
        <w:rPr>
          <w:rFonts w:asciiTheme="minorBidi" w:hAnsiTheme="minorBidi"/>
        </w:rPr>
      </w:pPr>
      <w:r w:rsidRPr="002E118D">
        <w:rPr>
          <w:rFonts w:asciiTheme="minorBidi" w:hAnsiTheme="minorBidi"/>
        </w:rPr>
        <w:t>P</w:t>
      </w:r>
      <w:r w:rsidR="00927008" w:rsidRPr="002E118D">
        <w:rPr>
          <w:rFonts w:asciiTheme="minorBidi" w:hAnsiTheme="minorBidi"/>
        </w:rPr>
        <w:t xml:space="preserve">rior studies </w:t>
      </w:r>
      <w:r w:rsidR="008B2C2E" w:rsidRPr="002E118D">
        <w:rPr>
          <w:rFonts w:asciiTheme="minorBidi" w:hAnsiTheme="minorBidi"/>
        </w:rPr>
        <w:t>of</w:t>
      </w:r>
      <w:r w:rsidR="00927008" w:rsidRPr="002E118D">
        <w:rPr>
          <w:rFonts w:asciiTheme="minorBidi" w:hAnsiTheme="minorBidi"/>
        </w:rPr>
        <w:t xml:space="preserve"> </w:t>
      </w:r>
      <w:r w:rsidR="008B2C2E" w:rsidRPr="002E118D">
        <w:rPr>
          <w:rFonts w:asciiTheme="minorBidi" w:hAnsiTheme="minorBidi"/>
        </w:rPr>
        <w:t xml:space="preserve">the </w:t>
      </w:r>
      <w:r w:rsidR="00AF7ED5" w:rsidRPr="002E118D">
        <w:rPr>
          <w:rFonts w:asciiTheme="minorBidi" w:hAnsiTheme="minorBidi"/>
        </w:rPr>
        <w:t>visual in</w:t>
      </w:r>
      <w:r w:rsidR="00927008" w:rsidRPr="002E118D">
        <w:rPr>
          <w:rFonts w:asciiTheme="minorBidi" w:hAnsiTheme="minorBidi"/>
        </w:rPr>
        <w:t xml:space="preserve"> SASRs often </w:t>
      </w:r>
      <w:r w:rsidR="008B2C2E" w:rsidRPr="002E118D">
        <w:rPr>
          <w:rFonts w:asciiTheme="minorBidi" w:hAnsiTheme="minorBidi"/>
        </w:rPr>
        <w:t xml:space="preserve">draw </w:t>
      </w:r>
      <w:r w:rsidR="00E142EB" w:rsidRPr="002E118D">
        <w:rPr>
          <w:rFonts w:asciiTheme="minorBidi" w:hAnsiTheme="minorBidi"/>
        </w:rPr>
        <w:t xml:space="preserve">on </w:t>
      </w:r>
      <w:r w:rsidR="008C0DF8" w:rsidRPr="002E118D">
        <w:rPr>
          <w:rFonts w:asciiTheme="minorBidi" w:hAnsiTheme="minorBidi"/>
        </w:rPr>
        <w:t xml:space="preserve">legitimacy and </w:t>
      </w:r>
      <w:r w:rsidR="00E142EB" w:rsidRPr="002E118D">
        <w:rPr>
          <w:rFonts w:asciiTheme="minorBidi" w:hAnsiTheme="minorBidi"/>
        </w:rPr>
        <w:t xml:space="preserve">impression management </w:t>
      </w:r>
      <w:r w:rsidR="00303AD7" w:rsidRPr="002E118D">
        <w:rPr>
          <w:rFonts w:asciiTheme="minorBidi" w:hAnsiTheme="minorBidi"/>
        </w:rPr>
        <w:t>(</w:t>
      </w:r>
      <w:r w:rsidR="008005BF" w:rsidRPr="002E118D">
        <w:rPr>
          <w:rFonts w:asciiTheme="minorBidi" w:hAnsiTheme="minorBidi"/>
        </w:rPr>
        <w:t xml:space="preserve">Boiral, 2013; Cho et al. 2012a; 2012b; Hrasky, </w:t>
      </w:r>
      <w:r w:rsidR="00A81B23" w:rsidRPr="002E118D">
        <w:rPr>
          <w:rFonts w:asciiTheme="minorBidi" w:hAnsiTheme="minorBidi"/>
        </w:rPr>
        <w:t>2012; Jones</w:t>
      </w:r>
      <w:r w:rsidR="00303AD7" w:rsidRPr="002E118D">
        <w:rPr>
          <w:rFonts w:asciiTheme="minorBidi" w:hAnsiTheme="minorBidi"/>
        </w:rPr>
        <w:t>, 2011)</w:t>
      </w:r>
      <w:r w:rsidR="0071642C" w:rsidRPr="002E118D">
        <w:rPr>
          <w:rFonts w:asciiTheme="minorBidi" w:hAnsiTheme="minorBidi"/>
        </w:rPr>
        <w:t>.</w:t>
      </w:r>
      <w:r w:rsidR="00F34E56" w:rsidRPr="002E118D">
        <w:rPr>
          <w:rFonts w:asciiTheme="minorBidi" w:hAnsiTheme="minorBidi"/>
        </w:rPr>
        <w:t xml:space="preserve"> </w:t>
      </w:r>
      <w:r w:rsidR="005E0E2D" w:rsidRPr="002E118D">
        <w:rPr>
          <w:rFonts w:asciiTheme="minorBidi" w:hAnsiTheme="minorBidi"/>
        </w:rPr>
        <w:t xml:space="preserve">Some more recent theoretical developments provide a nuanced view of legitimacy theory, </w:t>
      </w:r>
      <w:r w:rsidR="008C0DF8" w:rsidRPr="002E118D">
        <w:rPr>
          <w:rFonts w:asciiTheme="minorBidi" w:hAnsiTheme="minorBidi"/>
        </w:rPr>
        <w:t>for example</w:t>
      </w:r>
      <w:r w:rsidR="005E0E2D" w:rsidRPr="002E118D">
        <w:rPr>
          <w:rFonts w:asciiTheme="minorBidi" w:hAnsiTheme="minorBidi"/>
        </w:rPr>
        <w:t xml:space="preserve"> “organi</w:t>
      </w:r>
      <w:r w:rsidR="001A7872">
        <w:rPr>
          <w:rFonts w:asciiTheme="minorBidi" w:hAnsiTheme="minorBidi"/>
        </w:rPr>
        <w:t>z</w:t>
      </w:r>
      <w:r w:rsidR="005E0E2D" w:rsidRPr="002E118D">
        <w:rPr>
          <w:rFonts w:asciiTheme="minorBidi" w:hAnsiTheme="minorBidi"/>
        </w:rPr>
        <w:t>ed hypocrisy” (Cho</w:t>
      </w:r>
      <w:r w:rsidR="003D5444">
        <w:rPr>
          <w:rFonts w:asciiTheme="minorBidi" w:hAnsiTheme="minorBidi"/>
        </w:rPr>
        <w:t xml:space="preserve">, Laine, </w:t>
      </w:r>
      <w:r w:rsidR="005E0E2D" w:rsidRPr="002E118D">
        <w:rPr>
          <w:rFonts w:asciiTheme="minorBidi" w:hAnsiTheme="minorBidi"/>
        </w:rPr>
        <w:t>et al.</w:t>
      </w:r>
      <w:r w:rsidR="008005BF" w:rsidRPr="002E118D">
        <w:rPr>
          <w:rFonts w:asciiTheme="minorBidi" w:hAnsiTheme="minorBidi"/>
        </w:rPr>
        <w:t>,</w:t>
      </w:r>
      <w:r w:rsidR="005E0E2D" w:rsidRPr="002E118D">
        <w:rPr>
          <w:rFonts w:asciiTheme="minorBidi" w:hAnsiTheme="minorBidi"/>
        </w:rPr>
        <w:t xml:space="preserve"> 2015). However, such theories aim to explain sustainability reporting at the company level and may be less useful for understanding how managers involved in the actual preparation of SASRs behave. Also</w:t>
      </w:r>
      <w:r w:rsidR="00F34E56" w:rsidRPr="002E118D">
        <w:rPr>
          <w:rFonts w:asciiTheme="minorBidi" w:hAnsiTheme="minorBidi"/>
        </w:rPr>
        <w:t xml:space="preserve">, these studies are </w:t>
      </w:r>
      <w:r w:rsidR="003E22AB" w:rsidRPr="002E118D">
        <w:rPr>
          <w:rFonts w:asciiTheme="minorBidi" w:hAnsiTheme="minorBidi"/>
        </w:rPr>
        <w:t xml:space="preserve">based </w:t>
      </w:r>
      <w:r w:rsidR="00044C02" w:rsidRPr="002E118D">
        <w:rPr>
          <w:rFonts w:asciiTheme="minorBidi" w:hAnsiTheme="minorBidi"/>
        </w:rPr>
        <w:t xml:space="preserve">on </w:t>
      </w:r>
      <w:r w:rsidR="008B2C2E" w:rsidRPr="002E118D">
        <w:rPr>
          <w:rFonts w:asciiTheme="minorBidi" w:hAnsiTheme="minorBidi"/>
        </w:rPr>
        <w:t>analysing the content of published statements and therefore</w:t>
      </w:r>
      <w:r w:rsidR="002822DE" w:rsidRPr="002E118D">
        <w:rPr>
          <w:rFonts w:asciiTheme="minorBidi" w:hAnsiTheme="minorBidi"/>
        </w:rPr>
        <w:t xml:space="preserve"> do not </w:t>
      </w:r>
      <w:r w:rsidR="008B2C2E" w:rsidRPr="002E118D">
        <w:rPr>
          <w:rFonts w:asciiTheme="minorBidi" w:hAnsiTheme="minorBidi"/>
        </w:rPr>
        <w:t>provide</w:t>
      </w:r>
      <w:r w:rsidR="00973033" w:rsidRPr="002E118D">
        <w:rPr>
          <w:rFonts w:asciiTheme="minorBidi" w:hAnsiTheme="minorBidi"/>
        </w:rPr>
        <w:t xml:space="preserve"> direct access</w:t>
      </w:r>
      <w:r w:rsidR="00082509" w:rsidRPr="002E118D">
        <w:rPr>
          <w:rFonts w:asciiTheme="minorBidi" w:hAnsiTheme="minorBidi"/>
        </w:rPr>
        <w:t xml:space="preserve"> to </w:t>
      </w:r>
      <w:r w:rsidR="008B2C2E" w:rsidRPr="002E118D">
        <w:rPr>
          <w:rFonts w:asciiTheme="minorBidi" w:hAnsiTheme="minorBidi"/>
        </w:rPr>
        <w:t xml:space="preserve">the motivations and decision making of organisational actors. </w:t>
      </w:r>
      <w:r w:rsidR="005E0E2D" w:rsidRPr="002E118D">
        <w:rPr>
          <w:rFonts w:asciiTheme="minorBidi" w:hAnsiTheme="minorBidi"/>
        </w:rPr>
        <w:t xml:space="preserve">Although </w:t>
      </w:r>
      <w:r w:rsidR="00C43524" w:rsidRPr="002E118D">
        <w:rPr>
          <w:rFonts w:asciiTheme="minorBidi" w:hAnsiTheme="minorBidi"/>
        </w:rPr>
        <w:t xml:space="preserve">legitimacy theory may help to explain </w:t>
      </w:r>
      <w:r w:rsidR="00D1630A" w:rsidRPr="002E118D">
        <w:rPr>
          <w:rFonts w:asciiTheme="minorBidi" w:hAnsiTheme="minorBidi"/>
        </w:rPr>
        <w:t>the motives and determin</w:t>
      </w:r>
      <w:r w:rsidR="00DF5ADB" w:rsidRPr="002E118D">
        <w:rPr>
          <w:rFonts w:asciiTheme="minorBidi" w:hAnsiTheme="minorBidi"/>
        </w:rPr>
        <w:t>ants of CSR disclosure</w:t>
      </w:r>
      <w:r w:rsidR="005E0E2D" w:rsidRPr="002E118D">
        <w:rPr>
          <w:rFonts w:asciiTheme="minorBidi" w:hAnsiTheme="minorBidi"/>
        </w:rPr>
        <w:t>, it</w:t>
      </w:r>
      <w:r w:rsidR="00DF5ADB" w:rsidRPr="002E118D">
        <w:rPr>
          <w:rFonts w:asciiTheme="minorBidi" w:hAnsiTheme="minorBidi"/>
        </w:rPr>
        <w:t xml:space="preserve"> </w:t>
      </w:r>
      <w:r w:rsidR="007178A2" w:rsidRPr="002E118D">
        <w:rPr>
          <w:rFonts w:asciiTheme="minorBidi" w:hAnsiTheme="minorBidi"/>
        </w:rPr>
        <w:t xml:space="preserve">may not be useful </w:t>
      </w:r>
      <w:r w:rsidR="00355797" w:rsidRPr="002E118D">
        <w:rPr>
          <w:rFonts w:asciiTheme="minorBidi" w:hAnsiTheme="minorBidi"/>
        </w:rPr>
        <w:t xml:space="preserve">by itself </w:t>
      </w:r>
      <w:r w:rsidR="00486459" w:rsidRPr="002E118D">
        <w:rPr>
          <w:rFonts w:asciiTheme="minorBidi" w:hAnsiTheme="minorBidi"/>
        </w:rPr>
        <w:t xml:space="preserve">in explaining </w:t>
      </w:r>
      <w:r w:rsidR="008005BF" w:rsidRPr="002E118D">
        <w:rPr>
          <w:rFonts w:asciiTheme="minorBidi" w:hAnsiTheme="minorBidi"/>
        </w:rPr>
        <w:t>“</w:t>
      </w:r>
      <w:r w:rsidR="00486459" w:rsidRPr="002E118D">
        <w:rPr>
          <w:rFonts w:asciiTheme="minorBidi" w:hAnsiTheme="minorBidi"/>
        </w:rPr>
        <w:t>how</w:t>
      </w:r>
      <w:r w:rsidR="008005BF" w:rsidRPr="002E118D">
        <w:rPr>
          <w:rFonts w:asciiTheme="minorBidi" w:hAnsiTheme="minorBidi"/>
        </w:rPr>
        <w:t>”</w:t>
      </w:r>
      <w:r w:rsidR="00486459" w:rsidRPr="002E118D">
        <w:rPr>
          <w:rFonts w:asciiTheme="minorBidi" w:hAnsiTheme="minorBidi"/>
        </w:rPr>
        <w:t xml:space="preserve"> and </w:t>
      </w:r>
      <w:r w:rsidR="008005BF" w:rsidRPr="002E118D">
        <w:rPr>
          <w:rFonts w:asciiTheme="minorBidi" w:hAnsiTheme="minorBidi"/>
        </w:rPr>
        <w:t>“</w:t>
      </w:r>
      <w:r w:rsidR="009A4061" w:rsidRPr="002E118D">
        <w:rPr>
          <w:rFonts w:asciiTheme="minorBidi" w:hAnsiTheme="minorBidi"/>
        </w:rPr>
        <w:t>by whom</w:t>
      </w:r>
      <w:r w:rsidR="008005BF" w:rsidRPr="002E118D">
        <w:rPr>
          <w:rFonts w:asciiTheme="minorBidi" w:hAnsiTheme="minorBidi"/>
        </w:rPr>
        <w:t>”</w:t>
      </w:r>
      <w:r w:rsidR="009A4061" w:rsidRPr="002E118D">
        <w:rPr>
          <w:rFonts w:asciiTheme="minorBidi" w:hAnsiTheme="minorBidi"/>
        </w:rPr>
        <w:t xml:space="preserve"> visual impression management choices are made</w:t>
      </w:r>
      <w:r w:rsidR="005E0E2D" w:rsidRPr="002E118D">
        <w:rPr>
          <w:rFonts w:asciiTheme="minorBidi" w:hAnsiTheme="minorBidi"/>
        </w:rPr>
        <w:t>.</w:t>
      </w:r>
      <w:r w:rsidR="009A4061" w:rsidRPr="002E118D">
        <w:rPr>
          <w:rFonts w:asciiTheme="minorBidi" w:hAnsiTheme="minorBidi"/>
        </w:rPr>
        <w:t xml:space="preserve"> </w:t>
      </w:r>
      <w:r w:rsidR="005E0E2D" w:rsidRPr="002E118D">
        <w:rPr>
          <w:rFonts w:asciiTheme="minorBidi" w:hAnsiTheme="minorBidi"/>
        </w:rPr>
        <w:t xml:space="preserve">In this paper, we build on </w:t>
      </w:r>
      <w:r w:rsidR="00B43FB1" w:rsidRPr="002E118D">
        <w:rPr>
          <w:rFonts w:asciiTheme="minorBidi" w:hAnsiTheme="minorBidi"/>
        </w:rPr>
        <w:t xml:space="preserve">legitimacy theory </w:t>
      </w:r>
      <w:r w:rsidR="005E0E2D" w:rsidRPr="002E118D">
        <w:rPr>
          <w:rFonts w:asciiTheme="minorBidi" w:hAnsiTheme="minorBidi"/>
        </w:rPr>
        <w:t>by using the concept of</w:t>
      </w:r>
      <w:r w:rsidR="00CD529B" w:rsidRPr="002E118D">
        <w:rPr>
          <w:rFonts w:asciiTheme="minorBidi" w:hAnsiTheme="minorBidi"/>
        </w:rPr>
        <w:t xml:space="preserve"> </w:t>
      </w:r>
      <w:r w:rsidR="008005BF" w:rsidRPr="002E118D">
        <w:rPr>
          <w:rFonts w:asciiTheme="minorBidi" w:hAnsiTheme="minorBidi"/>
        </w:rPr>
        <w:t>“</w:t>
      </w:r>
      <w:r w:rsidR="00CD529B" w:rsidRPr="002E118D">
        <w:rPr>
          <w:rFonts w:asciiTheme="minorBidi" w:hAnsiTheme="minorBidi"/>
        </w:rPr>
        <w:t>functional stupidity</w:t>
      </w:r>
      <w:r w:rsidR="008005BF" w:rsidRPr="002E118D">
        <w:rPr>
          <w:rFonts w:asciiTheme="minorBidi" w:hAnsiTheme="minorBidi"/>
        </w:rPr>
        <w:t>”</w:t>
      </w:r>
      <w:r w:rsidR="005E0E2D" w:rsidRPr="002E118D">
        <w:rPr>
          <w:rFonts w:asciiTheme="minorBidi" w:hAnsiTheme="minorBidi"/>
        </w:rPr>
        <w:t>.</w:t>
      </w:r>
      <w:r w:rsidR="002B472C" w:rsidRPr="002E118D">
        <w:rPr>
          <w:rFonts w:asciiTheme="minorBidi" w:hAnsiTheme="minorBidi"/>
        </w:rPr>
        <w:t xml:space="preserve"> </w:t>
      </w:r>
    </w:p>
    <w:p w14:paraId="0F2D11C1" w14:textId="542D60F3" w:rsidR="003D25D6" w:rsidRPr="002E118D" w:rsidRDefault="003D25D6">
      <w:pPr>
        <w:rPr>
          <w:rFonts w:asciiTheme="minorBidi" w:hAnsiTheme="minorBidi"/>
        </w:rPr>
      </w:pPr>
      <w:r w:rsidRPr="002E118D">
        <w:rPr>
          <w:rFonts w:asciiTheme="minorBidi" w:hAnsiTheme="minorBidi"/>
        </w:rPr>
        <w:t>Alves</w:t>
      </w:r>
      <w:r w:rsidR="00B9335E" w:rsidRPr="002E118D">
        <w:rPr>
          <w:rFonts w:asciiTheme="minorBidi" w:hAnsiTheme="minorBidi"/>
        </w:rPr>
        <w:t>s</w:t>
      </w:r>
      <w:r w:rsidRPr="002E118D">
        <w:rPr>
          <w:rFonts w:asciiTheme="minorBidi" w:hAnsiTheme="minorBidi"/>
        </w:rPr>
        <w:t xml:space="preserve">on and Spicer (2012) develop a model of </w:t>
      </w:r>
      <w:r w:rsidR="00F07EA3" w:rsidRPr="002E118D">
        <w:rPr>
          <w:rFonts w:asciiTheme="minorBidi" w:hAnsiTheme="minorBidi"/>
        </w:rPr>
        <w:t>“</w:t>
      </w:r>
      <w:r w:rsidRPr="002E118D">
        <w:rPr>
          <w:rFonts w:asciiTheme="minorBidi" w:hAnsiTheme="minorBidi"/>
        </w:rPr>
        <w:t>functional stupidity</w:t>
      </w:r>
      <w:r w:rsidR="00F07EA3" w:rsidRPr="002E118D">
        <w:rPr>
          <w:rFonts w:asciiTheme="minorBidi" w:hAnsiTheme="minorBidi"/>
        </w:rPr>
        <w:t>”</w:t>
      </w:r>
      <w:r w:rsidRPr="002E118D">
        <w:rPr>
          <w:rFonts w:asciiTheme="minorBidi" w:hAnsiTheme="minorBidi"/>
        </w:rPr>
        <w:t xml:space="preserve"> that provides a comprehensive alternative to models of rational choice, representing a variation on the idea of bounded rationality. Organisations are seen to restrict the “mobili</w:t>
      </w:r>
      <w:r w:rsidR="00D75BEC">
        <w:rPr>
          <w:rFonts w:asciiTheme="minorBidi" w:hAnsiTheme="minorBidi"/>
        </w:rPr>
        <w:t>z</w:t>
      </w:r>
      <w:r w:rsidRPr="002E118D">
        <w:rPr>
          <w:rFonts w:asciiTheme="minorBidi" w:hAnsiTheme="minorBidi"/>
        </w:rPr>
        <w:t xml:space="preserve">ation of cognitive capabilities” </w:t>
      </w:r>
      <w:r w:rsidR="00D75BEC">
        <w:rPr>
          <w:rFonts w:asciiTheme="minorBidi" w:hAnsiTheme="minorBidi"/>
        </w:rPr>
        <w:t xml:space="preserve">(Alvesson &amp; Spicer, 2012, p. 1195) </w:t>
      </w:r>
      <w:r w:rsidRPr="002E118D">
        <w:rPr>
          <w:rFonts w:asciiTheme="minorBidi" w:hAnsiTheme="minorBidi"/>
        </w:rPr>
        <w:t>to such an extent that they promote and sustain functional stupidity. Alvesson and Spicer (2012</w:t>
      </w:r>
      <w:r w:rsidR="008005BF" w:rsidRPr="002E118D">
        <w:rPr>
          <w:rFonts w:asciiTheme="minorBidi" w:hAnsiTheme="minorBidi"/>
        </w:rPr>
        <w:t xml:space="preserve">, pp. </w:t>
      </w:r>
      <w:r w:rsidRPr="002E118D">
        <w:rPr>
          <w:rFonts w:asciiTheme="minorBidi" w:hAnsiTheme="minorBidi"/>
        </w:rPr>
        <w:t>1199-1200) explain that functional stupidity is predominant in organisations</w:t>
      </w:r>
      <w:r w:rsidR="005E0E2D" w:rsidRPr="002E118D">
        <w:rPr>
          <w:rFonts w:asciiTheme="minorBidi" w:hAnsiTheme="minorBidi"/>
        </w:rPr>
        <w:t>,</w:t>
      </w:r>
      <w:r w:rsidRPr="002E118D">
        <w:rPr>
          <w:rFonts w:asciiTheme="minorBidi" w:hAnsiTheme="minorBidi"/>
        </w:rPr>
        <w:t xml:space="preserve"> as organisations tend to nurture environments that structurally inhibit three distinct aspects of cognitive capacity:</w:t>
      </w:r>
    </w:p>
    <w:p w14:paraId="4F0EC625" w14:textId="77777777" w:rsidR="003D25D6" w:rsidRPr="002E118D" w:rsidRDefault="003D25D6">
      <w:pPr>
        <w:pStyle w:val="ListParagraph"/>
        <w:numPr>
          <w:ilvl w:val="0"/>
          <w:numId w:val="23"/>
        </w:numPr>
        <w:rPr>
          <w:rFonts w:asciiTheme="minorBidi" w:hAnsiTheme="minorBidi"/>
        </w:rPr>
      </w:pPr>
      <w:r w:rsidRPr="002E118D">
        <w:rPr>
          <w:rFonts w:asciiTheme="minorBidi" w:hAnsiTheme="minorBidi"/>
        </w:rPr>
        <w:t>Reflexivity: When an organisation suppresses reflexivity, it reduces the likelihood that employees will challenge its dominating values, norms, rules, and routines, or the morality of its actions.</w:t>
      </w:r>
    </w:p>
    <w:p w14:paraId="04D459A7" w14:textId="77777777" w:rsidR="003D25D6" w:rsidRPr="002E118D" w:rsidRDefault="003D25D6">
      <w:pPr>
        <w:pStyle w:val="ListParagraph"/>
        <w:numPr>
          <w:ilvl w:val="0"/>
          <w:numId w:val="23"/>
        </w:numPr>
        <w:rPr>
          <w:rFonts w:asciiTheme="minorBidi" w:hAnsiTheme="minorBidi"/>
        </w:rPr>
      </w:pPr>
      <w:r w:rsidRPr="002E118D">
        <w:rPr>
          <w:rFonts w:asciiTheme="minorBidi" w:hAnsiTheme="minorBidi"/>
        </w:rPr>
        <w:t xml:space="preserve">Justification: When an organisation discourages its members from seeking justifications for the decisions or actions in which they are involved it reduces dialogue and moral scrutiny. Justifications become “managerial edicts” and core organisational problems are continually reproduced. </w:t>
      </w:r>
    </w:p>
    <w:p w14:paraId="618017D5" w14:textId="77777777" w:rsidR="003D25D6" w:rsidRPr="002E118D" w:rsidRDefault="003D25D6">
      <w:pPr>
        <w:pStyle w:val="ListParagraph"/>
        <w:numPr>
          <w:ilvl w:val="0"/>
          <w:numId w:val="23"/>
        </w:numPr>
        <w:rPr>
          <w:rFonts w:asciiTheme="minorBidi" w:hAnsiTheme="minorBidi"/>
        </w:rPr>
      </w:pPr>
      <w:r w:rsidRPr="002E118D">
        <w:rPr>
          <w:rFonts w:asciiTheme="minorBidi" w:hAnsiTheme="minorBidi"/>
        </w:rPr>
        <w:t>Substantive reasoning: When an organisation inhibits substantive reasoning, the logic applied to specific situations becomes myopic and instrumental. The reasoning becomes “focused on the efficient achievement of a given end, and ignorance of the broader substantive questions about what that end actually is” builds. The lack of substantive reasoning “frames questions in very narrow and focused ways” (p.1200).</w:t>
      </w:r>
    </w:p>
    <w:p w14:paraId="09CEB761" w14:textId="51FEE223" w:rsidR="00ED5A88" w:rsidRPr="002E118D" w:rsidRDefault="003D25D6" w:rsidP="00177D0F">
      <w:pPr>
        <w:rPr>
          <w:rFonts w:asciiTheme="minorBidi" w:hAnsiTheme="minorBidi"/>
        </w:rPr>
      </w:pPr>
      <w:r w:rsidRPr="002E118D">
        <w:rPr>
          <w:rFonts w:asciiTheme="minorBidi" w:hAnsiTheme="minorBidi"/>
        </w:rPr>
        <w:t>Alvesson and Spicer (2012</w:t>
      </w:r>
      <w:r w:rsidR="008005BF" w:rsidRPr="002E118D">
        <w:rPr>
          <w:rFonts w:asciiTheme="minorBidi" w:hAnsiTheme="minorBidi"/>
        </w:rPr>
        <w:t xml:space="preserve">, p. </w:t>
      </w:r>
      <w:r w:rsidRPr="002E118D">
        <w:rPr>
          <w:rFonts w:asciiTheme="minorBidi" w:hAnsiTheme="minorBidi"/>
        </w:rPr>
        <w:t>1202) argue that functional stupidity is “a generali</w:t>
      </w:r>
      <w:r w:rsidR="00ED5448">
        <w:rPr>
          <w:rFonts w:asciiTheme="minorBidi" w:hAnsiTheme="minorBidi"/>
        </w:rPr>
        <w:t>z</w:t>
      </w:r>
      <w:r w:rsidRPr="002E118D">
        <w:rPr>
          <w:rFonts w:asciiTheme="minorBidi" w:hAnsiTheme="minorBidi"/>
        </w:rPr>
        <w:t>ed element of organi</w:t>
      </w:r>
      <w:r w:rsidR="00ED5448">
        <w:rPr>
          <w:rFonts w:asciiTheme="minorBidi" w:hAnsiTheme="minorBidi"/>
        </w:rPr>
        <w:t>z</w:t>
      </w:r>
      <w:r w:rsidRPr="002E118D">
        <w:rPr>
          <w:rFonts w:asciiTheme="minorBidi" w:hAnsiTheme="minorBidi"/>
        </w:rPr>
        <w:t xml:space="preserve">ational processes”. </w:t>
      </w:r>
      <w:r w:rsidR="00C85A6B" w:rsidRPr="002E118D">
        <w:rPr>
          <w:rFonts w:asciiTheme="minorBidi" w:hAnsiTheme="minorBidi"/>
        </w:rPr>
        <w:t xml:space="preserve">This implies that functional stupidity is more than merely a matter </w:t>
      </w:r>
      <w:r w:rsidR="00C85A6B" w:rsidRPr="002E118D">
        <w:rPr>
          <w:rFonts w:asciiTheme="minorBidi" w:hAnsiTheme="minorBidi"/>
        </w:rPr>
        <w:lastRenderedPageBreak/>
        <w:t xml:space="preserve">of specific individuals working in a “stupid” way. </w:t>
      </w:r>
      <w:r w:rsidR="00A83011" w:rsidRPr="002E118D">
        <w:rPr>
          <w:rFonts w:asciiTheme="minorBidi" w:hAnsiTheme="minorBidi"/>
        </w:rPr>
        <w:t>They theorise how organisations develop and sustain functional stupidity</w:t>
      </w:r>
      <w:r w:rsidR="008C0DF8" w:rsidRPr="002E118D">
        <w:rPr>
          <w:rFonts w:asciiTheme="minorBidi" w:hAnsiTheme="minorBidi"/>
        </w:rPr>
        <w:t xml:space="preserve">. </w:t>
      </w:r>
      <w:r w:rsidR="00C77EA7" w:rsidRPr="002E118D">
        <w:rPr>
          <w:rFonts w:asciiTheme="minorBidi" w:hAnsiTheme="minorBidi"/>
        </w:rPr>
        <w:t>Alvesson and Spicer (2012)</w:t>
      </w:r>
      <w:r w:rsidRPr="002E118D">
        <w:rPr>
          <w:rFonts w:asciiTheme="minorBidi" w:hAnsiTheme="minorBidi"/>
        </w:rPr>
        <w:t xml:space="preserve"> use the term “economics of persuasion” to describe the increasing importance of corporate efforts to generate consumer and general public desires, expectations, and significant affiliations for the company and its products. The economics of persuasion permeates organisational life in a way that privileges symbolism over substance. Symbolic manipulation, defined as the “crafting of images and the engineering of fantasies” (Alvesson </w:t>
      </w:r>
      <w:r w:rsidR="00ED7144" w:rsidRPr="002E118D">
        <w:rPr>
          <w:rFonts w:asciiTheme="minorBidi" w:hAnsiTheme="minorBidi"/>
        </w:rPr>
        <w:t>and</w:t>
      </w:r>
      <w:r w:rsidRPr="002E118D">
        <w:rPr>
          <w:rFonts w:asciiTheme="minorBidi" w:hAnsiTheme="minorBidi"/>
        </w:rPr>
        <w:t xml:space="preserve"> Spicer, 2012</w:t>
      </w:r>
      <w:r w:rsidR="008005BF" w:rsidRPr="002E118D">
        <w:rPr>
          <w:rFonts w:asciiTheme="minorBidi" w:hAnsiTheme="minorBidi"/>
        </w:rPr>
        <w:t xml:space="preserve">, p. </w:t>
      </w:r>
      <w:r w:rsidRPr="002E118D">
        <w:rPr>
          <w:rFonts w:asciiTheme="minorBidi" w:hAnsiTheme="minorBidi"/>
        </w:rPr>
        <w:t>1203), is directed internally towards employees through strategic initiatives, which build well-defined organisational identities that help to cultivate a unified corporate culture</w:t>
      </w:r>
      <w:r w:rsidR="00F20471" w:rsidRPr="002E118D">
        <w:rPr>
          <w:rFonts w:asciiTheme="minorBidi" w:hAnsiTheme="minorBidi"/>
        </w:rPr>
        <w:t xml:space="preserve"> exercised often through stupidity management</w:t>
      </w:r>
      <w:r w:rsidRPr="002E118D">
        <w:rPr>
          <w:rFonts w:asciiTheme="minorBidi" w:hAnsiTheme="minorBidi"/>
        </w:rPr>
        <w:t>.</w:t>
      </w:r>
      <w:r w:rsidR="00F20471" w:rsidRPr="002E118D">
        <w:rPr>
          <w:rFonts w:asciiTheme="minorBidi" w:hAnsiTheme="minorBidi"/>
        </w:rPr>
        <w:t xml:space="preserve"> This happens when various actors exercise power to block communication</w:t>
      </w:r>
      <w:r w:rsidR="00957175" w:rsidRPr="002E118D">
        <w:rPr>
          <w:rFonts w:asciiTheme="minorBidi" w:hAnsiTheme="minorBidi"/>
        </w:rPr>
        <w:t>, with</w:t>
      </w:r>
      <w:r w:rsidR="00F20471" w:rsidRPr="002E118D">
        <w:rPr>
          <w:rFonts w:asciiTheme="minorBidi" w:hAnsiTheme="minorBidi"/>
        </w:rPr>
        <w:t xml:space="preserve"> </w:t>
      </w:r>
      <w:r w:rsidR="00957175" w:rsidRPr="002E118D">
        <w:rPr>
          <w:rFonts w:asciiTheme="minorBidi" w:hAnsiTheme="minorBidi"/>
        </w:rPr>
        <w:t>t</w:t>
      </w:r>
      <w:r w:rsidR="0010207B" w:rsidRPr="002E118D">
        <w:rPr>
          <w:rFonts w:asciiTheme="minorBidi" w:hAnsiTheme="minorBidi"/>
        </w:rPr>
        <w:t xml:space="preserve">he result that adherence </w:t>
      </w:r>
      <w:r w:rsidR="00512443" w:rsidRPr="002E118D">
        <w:rPr>
          <w:rFonts w:asciiTheme="minorBidi" w:hAnsiTheme="minorBidi"/>
        </w:rPr>
        <w:t xml:space="preserve">to managerial edicts </w:t>
      </w:r>
      <w:r w:rsidR="00966AB8" w:rsidRPr="002E118D">
        <w:rPr>
          <w:rFonts w:asciiTheme="minorBidi" w:hAnsiTheme="minorBidi"/>
        </w:rPr>
        <w:t xml:space="preserve">is encouraged, and </w:t>
      </w:r>
      <w:r w:rsidR="007508EA" w:rsidRPr="002E118D">
        <w:rPr>
          <w:rFonts w:asciiTheme="minorBidi" w:hAnsiTheme="minorBidi"/>
        </w:rPr>
        <w:t xml:space="preserve">criticisms or reflections on them </w:t>
      </w:r>
      <w:r w:rsidR="00ED5A88" w:rsidRPr="002E118D">
        <w:rPr>
          <w:rFonts w:asciiTheme="minorBidi" w:hAnsiTheme="minorBidi"/>
        </w:rPr>
        <w:t>are</w:t>
      </w:r>
      <w:r w:rsidR="007508EA" w:rsidRPr="002E118D">
        <w:rPr>
          <w:rFonts w:asciiTheme="minorBidi" w:hAnsiTheme="minorBidi"/>
        </w:rPr>
        <w:t xml:space="preserve"> </w:t>
      </w:r>
      <w:r w:rsidR="00724790" w:rsidRPr="002E118D">
        <w:rPr>
          <w:rFonts w:asciiTheme="minorBidi" w:hAnsiTheme="minorBidi"/>
        </w:rPr>
        <w:t xml:space="preserve">discouraged (Alvesson </w:t>
      </w:r>
      <w:r w:rsidR="008005BF" w:rsidRPr="002E118D">
        <w:rPr>
          <w:rFonts w:asciiTheme="minorBidi" w:hAnsiTheme="minorBidi"/>
        </w:rPr>
        <w:t>&amp;</w:t>
      </w:r>
      <w:r w:rsidR="00724790" w:rsidRPr="002E118D">
        <w:rPr>
          <w:rFonts w:asciiTheme="minorBidi" w:hAnsiTheme="minorBidi"/>
        </w:rPr>
        <w:t xml:space="preserve"> Spicer, 2012). </w:t>
      </w:r>
      <w:r w:rsidR="00B37E18" w:rsidRPr="002E118D">
        <w:rPr>
          <w:rFonts w:asciiTheme="minorBidi" w:hAnsiTheme="minorBidi"/>
        </w:rPr>
        <w:t xml:space="preserve">Hence, the possible situation </w:t>
      </w:r>
      <w:r w:rsidR="00251D55" w:rsidRPr="002E118D">
        <w:rPr>
          <w:rFonts w:asciiTheme="minorBidi" w:hAnsiTheme="minorBidi"/>
        </w:rPr>
        <w:t>may be</w:t>
      </w:r>
      <w:r w:rsidR="00B37E18" w:rsidRPr="002E118D">
        <w:rPr>
          <w:rFonts w:asciiTheme="minorBidi" w:hAnsiTheme="minorBidi"/>
        </w:rPr>
        <w:t xml:space="preserve"> that</w:t>
      </w:r>
      <w:r w:rsidR="00251D55" w:rsidRPr="002E118D">
        <w:rPr>
          <w:rFonts w:asciiTheme="minorBidi" w:hAnsiTheme="minorBidi"/>
        </w:rPr>
        <w:t xml:space="preserve"> the</w:t>
      </w:r>
      <w:r w:rsidR="00B37E18" w:rsidRPr="002E118D">
        <w:rPr>
          <w:rFonts w:asciiTheme="minorBidi" w:hAnsiTheme="minorBidi"/>
        </w:rPr>
        <w:t xml:space="preserve"> managers responsible for preparing </w:t>
      </w:r>
      <w:r w:rsidR="00957175" w:rsidRPr="002E118D">
        <w:rPr>
          <w:rFonts w:asciiTheme="minorBidi" w:hAnsiTheme="minorBidi"/>
        </w:rPr>
        <w:t>SASRs</w:t>
      </w:r>
      <w:r w:rsidR="00B37E18" w:rsidRPr="002E118D">
        <w:rPr>
          <w:rFonts w:asciiTheme="minorBidi" w:hAnsiTheme="minorBidi"/>
        </w:rPr>
        <w:t xml:space="preserve"> aim for sincerity but realise that they are constrained by </w:t>
      </w:r>
      <w:r w:rsidR="00ED5A88" w:rsidRPr="002E118D">
        <w:rPr>
          <w:rFonts w:asciiTheme="minorBidi" w:hAnsiTheme="minorBidi"/>
        </w:rPr>
        <w:t xml:space="preserve">their </w:t>
      </w:r>
      <w:r w:rsidR="00B37E18" w:rsidRPr="002E118D">
        <w:rPr>
          <w:rFonts w:asciiTheme="minorBidi" w:hAnsiTheme="minorBidi"/>
        </w:rPr>
        <w:t>company’s general reporting strategy</w:t>
      </w:r>
      <w:r w:rsidR="008B16BF" w:rsidRPr="002E118D">
        <w:rPr>
          <w:rFonts w:asciiTheme="minorBidi" w:hAnsiTheme="minorBidi"/>
        </w:rPr>
        <w:t>.</w:t>
      </w:r>
    </w:p>
    <w:p w14:paraId="45F2FF82" w14:textId="068452A9" w:rsidR="00DA7B5E" w:rsidRPr="002E118D" w:rsidRDefault="008B16BF" w:rsidP="00177D0F">
      <w:pPr>
        <w:rPr>
          <w:rFonts w:asciiTheme="minorBidi" w:hAnsiTheme="minorBidi"/>
        </w:rPr>
      </w:pPr>
      <w:r w:rsidRPr="002E118D">
        <w:rPr>
          <w:rFonts w:asciiTheme="minorBidi" w:hAnsiTheme="minorBidi"/>
        </w:rPr>
        <w:t xml:space="preserve">Alvesson and Spicer (2012) argue that a significant proportion of employees will </w:t>
      </w:r>
      <w:r w:rsidR="008005BF" w:rsidRPr="002E118D">
        <w:rPr>
          <w:rFonts w:asciiTheme="minorBidi" w:hAnsiTheme="minorBidi"/>
        </w:rPr>
        <w:t>“</w:t>
      </w:r>
      <w:r w:rsidRPr="002E118D">
        <w:rPr>
          <w:rFonts w:asciiTheme="minorBidi" w:hAnsiTheme="minorBidi"/>
        </w:rPr>
        <w:t>buy into</w:t>
      </w:r>
      <w:r w:rsidR="008005BF" w:rsidRPr="002E118D">
        <w:rPr>
          <w:rFonts w:asciiTheme="minorBidi" w:hAnsiTheme="minorBidi"/>
        </w:rPr>
        <w:t xml:space="preserve">” </w:t>
      </w:r>
      <w:r w:rsidRPr="002E118D">
        <w:rPr>
          <w:rFonts w:asciiTheme="minorBidi" w:hAnsiTheme="minorBidi"/>
        </w:rPr>
        <w:t xml:space="preserve">this symbolic </w:t>
      </w:r>
      <w:r w:rsidR="0062483C" w:rsidRPr="002E118D">
        <w:rPr>
          <w:rFonts w:asciiTheme="minorBidi" w:hAnsiTheme="minorBidi"/>
        </w:rPr>
        <w:t>manipulation and</w:t>
      </w:r>
      <w:r w:rsidRPr="002E118D">
        <w:rPr>
          <w:rFonts w:asciiTheme="minorBidi" w:hAnsiTheme="minorBidi"/>
        </w:rPr>
        <w:t xml:space="preserve"> become devoted to the </w:t>
      </w:r>
      <w:r w:rsidR="00244CEC" w:rsidRPr="002E118D">
        <w:rPr>
          <w:rFonts w:asciiTheme="minorBidi" w:hAnsiTheme="minorBidi"/>
        </w:rPr>
        <w:t>compan</w:t>
      </w:r>
      <w:r w:rsidR="00813BB9" w:rsidRPr="002E118D">
        <w:rPr>
          <w:rFonts w:asciiTheme="minorBidi" w:hAnsiTheme="minorBidi"/>
        </w:rPr>
        <w:t xml:space="preserve">y. </w:t>
      </w:r>
      <w:r w:rsidR="007B114A" w:rsidRPr="002E118D">
        <w:rPr>
          <w:rFonts w:asciiTheme="minorBidi" w:hAnsiTheme="minorBidi"/>
        </w:rPr>
        <w:t xml:space="preserve">Many employees operate in contexts </w:t>
      </w:r>
      <w:r w:rsidRPr="002E118D">
        <w:rPr>
          <w:rFonts w:asciiTheme="minorBidi" w:hAnsiTheme="minorBidi"/>
        </w:rPr>
        <w:t>that value and reward conformity more than autonomy and independent thinking (Willmott, 1993</w:t>
      </w:r>
      <w:r w:rsidR="00466180" w:rsidRPr="002E118D">
        <w:rPr>
          <w:rFonts w:asciiTheme="minorBidi" w:hAnsiTheme="minorBidi"/>
        </w:rPr>
        <w:t>).</w:t>
      </w:r>
      <w:r w:rsidR="00C85A6B" w:rsidRPr="002E118D">
        <w:rPr>
          <w:rFonts w:asciiTheme="minorBidi" w:hAnsiTheme="minorBidi"/>
        </w:rPr>
        <w:t xml:space="preserve"> To Alvesson and Spicer (2012</w:t>
      </w:r>
      <w:r w:rsidR="00DA7B5E" w:rsidRPr="002E118D">
        <w:rPr>
          <w:rFonts w:asciiTheme="minorBidi" w:hAnsiTheme="minorBidi"/>
        </w:rPr>
        <w:t>, p. 1201), “stupidity ... is a mixed blessing. …</w:t>
      </w:r>
      <w:r w:rsidR="003D25D6" w:rsidRPr="002E118D">
        <w:rPr>
          <w:rFonts w:asciiTheme="minorBidi" w:hAnsiTheme="minorBidi"/>
        </w:rPr>
        <w:t xml:space="preserve"> </w:t>
      </w:r>
      <w:r w:rsidR="00DA7B5E" w:rsidRPr="002E118D">
        <w:rPr>
          <w:rFonts w:asciiTheme="minorBidi" w:hAnsiTheme="minorBidi"/>
        </w:rPr>
        <w:t xml:space="preserve">It encourages organizational members to refrain from asking difficult questions. It also facilitates employees to play along with the dominant norms.” Stupidity is therefore “functional”, in that it provides managers with “a sense of </w:t>
      </w:r>
      <w:r w:rsidR="00DA7B5E" w:rsidRPr="002E118D">
        <w:rPr>
          <w:rFonts w:asciiTheme="minorBidi" w:hAnsiTheme="minorBidi"/>
          <w:i/>
          <w:iCs/>
        </w:rPr>
        <w:t>certainty</w:t>
      </w:r>
      <w:r w:rsidR="00DA7B5E" w:rsidRPr="002E118D">
        <w:rPr>
          <w:rFonts w:asciiTheme="minorBidi" w:hAnsiTheme="minorBidi"/>
        </w:rPr>
        <w:t xml:space="preserve"> that produces </w:t>
      </w:r>
      <w:r w:rsidR="00DA7B5E" w:rsidRPr="002E118D">
        <w:rPr>
          <w:rFonts w:asciiTheme="minorBidi" w:hAnsiTheme="minorBidi"/>
          <w:i/>
          <w:iCs/>
        </w:rPr>
        <w:t>functionality</w:t>
      </w:r>
      <w:r w:rsidR="00DA7B5E" w:rsidRPr="002E118D">
        <w:rPr>
          <w:rFonts w:asciiTheme="minorBidi" w:hAnsiTheme="minorBidi"/>
        </w:rPr>
        <w:t xml:space="preserve"> for both the organization as a whole and the individuals within it” (Alvesson &amp; Spicer, 2012, p. 1202, emphasis in original). This means that, within an organisation exhibiting functional stupidity, managers are </w:t>
      </w:r>
      <w:r w:rsidR="005F11F1" w:rsidRPr="002E118D">
        <w:rPr>
          <w:rFonts w:asciiTheme="minorBidi" w:hAnsiTheme="minorBidi"/>
        </w:rPr>
        <w:t xml:space="preserve">not acting in an inherently irrational or dysfunctional manner, but their actions “may be actively supported by organizations and may create rather ‘functional’ outcomes” (Alvesson &amp; Spicer, 2012, p. 1199). </w:t>
      </w:r>
    </w:p>
    <w:p w14:paraId="6F819B3E" w14:textId="5C2EFE3A" w:rsidR="00ED5A88" w:rsidRPr="002E118D" w:rsidRDefault="00251D55" w:rsidP="00177D0F">
      <w:pPr>
        <w:rPr>
          <w:rFonts w:asciiTheme="minorBidi" w:hAnsiTheme="minorBidi"/>
          <w:lang w:val="en"/>
        </w:rPr>
      </w:pPr>
      <w:r w:rsidRPr="002E118D">
        <w:rPr>
          <w:rFonts w:asciiTheme="minorBidi" w:hAnsiTheme="minorBidi"/>
        </w:rPr>
        <w:t xml:space="preserve">Hence, </w:t>
      </w:r>
      <w:r w:rsidR="005F11F1" w:rsidRPr="002E118D">
        <w:rPr>
          <w:rFonts w:asciiTheme="minorBidi" w:hAnsiTheme="minorBidi"/>
        </w:rPr>
        <w:t xml:space="preserve">if </w:t>
      </w:r>
      <w:r w:rsidRPr="002E118D">
        <w:rPr>
          <w:rFonts w:asciiTheme="minorBidi" w:hAnsiTheme="minorBidi"/>
        </w:rPr>
        <w:t xml:space="preserve">the CEO is perceived </w:t>
      </w:r>
      <w:r w:rsidR="003D25D6" w:rsidRPr="002E118D">
        <w:rPr>
          <w:rFonts w:asciiTheme="minorBidi" w:hAnsiTheme="minorBidi"/>
        </w:rPr>
        <w:t xml:space="preserve">to want a “hypocritical” SASR, then </w:t>
      </w:r>
      <w:r w:rsidRPr="002E118D">
        <w:rPr>
          <w:rFonts w:asciiTheme="minorBidi" w:hAnsiTheme="minorBidi"/>
        </w:rPr>
        <w:t xml:space="preserve">this may </w:t>
      </w:r>
      <w:r w:rsidR="003D25D6" w:rsidRPr="002E118D">
        <w:rPr>
          <w:rFonts w:asciiTheme="minorBidi" w:hAnsiTheme="minorBidi"/>
        </w:rPr>
        <w:t>be internalised by the reporting manager and there will be an emphasis on providing “positive” sustainability stories. “</w:t>
      </w:r>
      <w:r w:rsidR="003D25D6" w:rsidRPr="002E118D">
        <w:rPr>
          <w:rFonts w:asciiTheme="minorBidi" w:hAnsiTheme="minorBidi"/>
          <w:lang w:val="en"/>
        </w:rPr>
        <w:t>Of course, people can act strategically and be cynical, but a belief in image production makes persuasion of others easier and more credible, and ultimately can create a more positive organi</w:t>
      </w:r>
      <w:r w:rsidR="0059067E">
        <w:rPr>
          <w:rFonts w:asciiTheme="minorBidi" w:hAnsiTheme="minorBidi"/>
          <w:lang w:val="en"/>
        </w:rPr>
        <w:t>z</w:t>
      </w:r>
      <w:r w:rsidR="003D25D6" w:rsidRPr="002E118D">
        <w:rPr>
          <w:rFonts w:asciiTheme="minorBidi" w:hAnsiTheme="minorBidi"/>
          <w:lang w:val="en"/>
        </w:rPr>
        <w:t>ational climate and work experience” (Alvesson and Spicer, 2012</w:t>
      </w:r>
      <w:r w:rsidR="008005BF" w:rsidRPr="002E118D">
        <w:rPr>
          <w:rFonts w:asciiTheme="minorBidi" w:hAnsiTheme="minorBidi"/>
          <w:lang w:val="en"/>
        </w:rPr>
        <w:t xml:space="preserve">, p. </w:t>
      </w:r>
      <w:r w:rsidR="003D25D6" w:rsidRPr="002E118D">
        <w:rPr>
          <w:rFonts w:asciiTheme="minorBidi" w:hAnsiTheme="minorBidi"/>
          <w:lang w:val="en"/>
        </w:rPr>
        <w:t>1204).</w:t>
      </w:r>
      <w:r w:rsidR="00E76313" w:rsidRPr="002E118D">
        <w:rPr>
          <w:rFonts w:asciiTheme="minorBidi" w:hAnsiTheme="minorBidi"/>
          <w:lang w:val="en"/>
        </w:rPr>
        <w:t xml:space="preserve"> </w:t>
      </w:r>
      <w:r w:rsidR="004870B9" w:rsidRPr="002E118D">
        <w:rPr>
          <w:rFonts w:asciiTheme="minorBidi" w:hAnsiTheme="minorBidi"/>
          <w:lang w:val="en"/>
        </w:rPr>
        <w:t>T</w:t>
      </w:r>
      <w:r w:rsidR="00E76313" w:rsidRPr="002E118D">
        <w:rPr>
          <w:rFonts w:asciiTheme="minorBidi" w:hAnsiTheme="minorBidi"/>
          <w:lang w:val="en"/>
        </w:rPr>
        <w:t xml:space="preserve">herefore, </w:t>
      </w:r>
      <w:r w:rsidR="00A449D6" w:rsidRPr="002E118D">
        <w:rPr>
          <w:rFonts w:asciiTheme="minorBidi" w:hAnsiTheme="minorBidi"/>
          <w:lang w:val="en"/>
        </w:rPr>
        <w:t xml:space="preserve">an organisational culture consistent with </w:t>
      </w:r>
      <w:r w:rsidR="00E76313" w:rsidRPr="002E118D">
        <w:rPr>
          <w:rFonts w:asciiTheme="minorBidi" w:hAnsiTheme="minorBidi"/>
          <w:lang w:val="en"/>
        </w:rPr>
        <w:t>functional stupidity may constrain how organi</w:t>
      </w:r>
      <w:r w:rsidR="001111CF">
        <w:rPr>
          <w:rFonts w:asciiTheme="minorBidi" w:hAnsiTheme="minorBidi"/>
          <w:lang w:val="en"/>
        </w:rPr>
        <w:t>z</w:t>
      </w:r>
      <w:r w:rsidR="00E76313" w:rsidRPr="002E118D">
        <w:rPr>
          <w:rFonts w:asciiTheme="minorBidi" w:hAnsiTheme="minorBidi"/>
          <w:lang w:val="en"/>
        </w:rPr>
        <w:t>ations operate, by making it more difficult for subordinates to question the plans and actions of superiors, but it does not necessarily inhibit the operation of the organi</w:t>
      </w:r>
      <w:r w:rsidR="001111CF">
        <w:rPr>
          <w:rFonts w:asciiTheme="minorBidi" w:hAnsiTheme="minorBidi"/>
          <w:lang w:val="en"/>
        </w:rPr>
        <w:t>z</w:t>
      </w:r>
      <w:r w:rsidR="00E76313" w:rsidRPr="002E118D">
        <w:rPr>
          <w:rFonts w:asciiTheme="minorBidi" w:hAnsiTheme="minorBidi"/>
          <w:lang w:val="en"/>
        </w:rPr>
        <w:t>ation – “functional outcomes” (Alvesson &amp; Spicer 2012</w:t>
      </w:r>
      <w:r w:rsidR="008005BF" w:rsidRPr="002E118D">
        <w:rPr>
          <w:rFonts w:asciiTheme="minorBidi" w:hAnsiTheme="minorBidi"/>
          <w:lang w:val="en"/>
        </w:rPr>
        <w:t xml:space="preserve">, p. </w:t>
      </w:r>
      <w:r w:rsidR="00E76313" w:rsidRPr="002E118D">
        <w:rPr>
          <w:rFonts w:asciiTheme="minorBidi" w:hAnsiTheme="minorBidi"/>
          <w:lang w:val="en"/>
        </w:rPr>
        <w:t xml:space="preserve">1199) are always possible. </w:t>
      </w:r>
    </w:p>
    <w:p w14:paraId="4C3F92AB" w14:textId="02A3AF2E" w:rsidR="00B950DB" w:rsidRDefault="00ED5A88" w:rsidP="00A81B23">
      <w:pPr>
        <w:rPr>
          <w:rFonts w:asciiTheme="minorBidi" w:hAnsiTheme="minorBidi"/>
        </w:rPr>
      </w:pPr>
      <w:r w:rsidRPr="002E118D">
        <w:rPr>
          <w:rFonts w:asciiTheme="minorBidi" w:hAnsiTheme="minorBidi"/>
        </w:rPr>
        <w:lastRenderedPageBreak/>
        <w:t>T</w:t>
      </w:r>
      <w:r w:rsidR="001240F8" w:rsidRPr="002E118D">
        <w:rPr>
          <w:rFonts w:asciiTheme="minorBidi" w:hAnsiTheme="minorBidi"/>
        </w:rPr>
        <w:t xml:space="preserve">he CEO may, for example, want </w:t>
      </w:r>
      <w:r w:rsidRPr="002E118D">
        <w:rPr>
          <w:rFonts w:asciiTheme="minorBidi" w:hAnsiTheme="minorBidi"/>
        </w:rPr>
        <w:t xml:space="preserve">their SASRs to gain </w:t>
      </w:r>
      <w:r w:rsidR="001240F8" w:rsidRPr="002E118D">
        <w:rPr>
          <w:rFonts w:asciiTheme="minorBidi" w:hAnsiTheme="minorBidi"/>
        </w:rPr>
        <w:t xml:space="preserve">GRI A+ rating for “legitimacy” reasons, and reporting managers </w:t>
      </w:r>
      <w:r w:rsidR="00B26DBB" w:rsidRPr="002E118D">
        <w:rPr>
          <w:rFonts w:asciiTheme="minorBidi" w:hAnsiTheme="minorBidi"/>
        </w:rPr>
        <w:t>may</w:t>
      </w:r>
      <w:r w:rsidR="002C3A48" w:rsidRPr="002E118D">
        <w:rPr>
          <w:rFonts w:asciiTheme="minorBidi" w:hAnsiTheme="minorBidi"/>
        </w:rPr>
        <w:t xml:space="preserve"> </w:t>
      </w:r>
      <w:r w:rsidR="001240F8" w:rsidRPr="002E118D">
        <w:rPr>
          <w:rFonts w:asciiTheme="minorBidi" w:hAnsiTheme="minorBidi"/>
        </w:rPr>
        <w:t>be under pressure to comply. The format, content and details of SASRs are not legally regulated, which makes it easier for reporting managers to select content and presentation style to satisfy the CEO’s reporting strategy</w:t>
      </w:r>
      <w:r w:rsidR="00B950DB" w:rsidRPr="002E118D">
        <w:rPr>
          <w:rFonts w:asciiTheme="minorBidi" w:hAnsiTheme="minorBidi"/>
        </w:rPr>
        <w:t>.</w:t>
      </w:r>
      <w:r w:rsidR="00620FEC">
        <w:rPr>
          <w:rFonts w:asciiTheme="minorBidi" w:hAnsiTheme="minorBidi"/>
        </w:rPr>
        <w:t xml:space="preserve"> </w:t>
      </w:r>
      <w:r w:rsidR="00957175" w:rsidRPr="002E118D">
        <w:rPr>
          <w:rFonts w:asciiTheme="minorBidi" w:hAnsiTheme="minorBidi"/>
        </w:rPr>
        <w:t>Reporting m</w:t>
      </w:r>
      <w:r w:rsidR="001240F8" w:rsidRPr="002E118D">
        <w:rPr>
          <w:rFonts w:asciiTheme="minorBidi" w:hAnsiTheme="minorBidi"/>
        </w:rPr>
        <w:t xml:space="preserve">anagers </w:t>
      </w:r>
      <w:r w:rsidR="00896373" w:rsidRPr="002E118D">
        <w:rPr>
          <w:rFonts w:asciiTheme="minorBidi" w:hAnsiTheme="minorBidi"/>
        </w:rPr>
        <w:t>may</w:t>
      </w:r>
      <w:r w:rsidR="001240F8" w:rsidRPr="002E118D">
        <w:rPr>
          <w:rFonts w:asciiTheme="minorBidi" w:hAnsiTheme="minorBidi"/>
        </w:rPr>
        <w:t xml:space="preserve"> be rewarded to the extent that the SASRs help to maintain and advance the strategy of the CEO, so the managers need to </w:t>
      </w:r>
      <w:r w:rsidR="00D70DDC" w:rsidRPr="002E118D">
        <w:rPr>
          <w:rFonts w:asciiTheme="minorBidi" w:hAnsiTheme="minorBidi"/>
        </w:rPr>
        <w:t>“</w:t>
      </w:r>
      <w:r w:rsidR="001240F8" w:rsidRPr="002E118D">
        <w:rPr>
          <w:rFonts w:asciiTheme="minorBidi" w:hAnsiTheme="minorBidi"/>
        </w:rPr>
        <w:t>internalise</w:t>
      </w:r>
      <w:r w:rsidR="00D70DDC" w:rsidRPr="002E118D">
        <w:rPr>
          <w:rFonts w:asciiTheme="minorBidi" w:hAnsiTheme="minorBidi"/>
        </w:rPr>
        <w:t>”</w:t>
      </w:r>
      <w:r w:rsidR="001240F8" w:rsidRPr="002E118D">
        <w:rPr>
          <w:rFonts w:asciiTheme="minorBidi" w:hAnsiTheme="minorBidi"/>
        </w:rPr>
        <w:t xml:space="preserve"> this strategy, and this may affect the way information is collected and how it is presented. Guthrie and Parker (1989</w:t>
      </w:r>
      <w:r w:rsidR="00D70DDC" w:rsidRPr="002E118D">
        <w:rPr>
          <w:rFonts w:asciiTheme="minorBidi" w:hAnsiTheme="minorBidi"/>
        </w:rPr>
        <w:t xml:space="preserve">, p. </w:t>
      </w:r>
      <w:r w:rsidR="001240F8" w:rsidRPr="002E118D">
        <w:rPr>
          <w:rFonts w:asciiTheme="minorBidi" w:hAnsiTheme="minorBidi"/>
        </w:rPr>
        <w:t xml:space="preserve">351) recognise </w:t>
      </w:r>
      <w:r w:rsidR="00957175" w:rsidRPr="002E118D">
        <w:rPr>
          <w:rFonts w:asciiTheme="minorBidi" w:hAnsiTheme="minorBidi"/>
        </w:rPr>
        <w:t>“</w:t>
      </w:r>
      <w:r w:rsidR="001240F8" w:rsidRPr="002E118D">
        <w:rPr>
          <w:rFonts w:asciiTheme="minorBidi" w:hAnsiTheme="minorBidi"/>
        </w:rPr>
        <w:t>the potential for management to tell its own story or refrain from doing so, according to his/her own self-interest”.</w:t>
      </w:r>
    </w:p>
    <w:p w14:paraId="5A12E9C2" w14:textId="5C842365" w:rsidR="00EB362B" w:rsidRPr="002E118D" w:rsidRDefault="00EB362B" w:rsidP="00A81B23">
      <w:pPr>
        <w:rPr>
          <w:rFonts w:asciiTheme="minorBidi" w:hAnsiTheme="minorBidi"/>
        </w:rPr>
      </w:pPr>
      <w:r>
        <w:rPr>
          <w:rFonts w:asciiTheme="minorBidi" w:hAnsiTheme="minorBidi"/>
        </w:rPr>
        <w:t>W</w:t>
      </w:r>
      <w:r w:rsidRPr="00BA12C2">
        <w:rPr>
          <w:rFonts w:asciiTheme="minorBidi" w:hAnsiTheme="minorBidi"/>
        </w:rPr>
        <w:t xml:space="preserve">e </w:t>
      </w:r>
      <w:r>
        <w:rPr>
          <w:rFonts w:asciiTheme="minorBidi" w:hAnsiTheme="minorBidi"/>
        </w:rPr>
        <w:t>expect</w:t>
      </w:r>
      <w:r w:rsidRPr="00BA12C2">
        <w:rPr>
          <w:rFonts w:asciiTheme="minorBidi" w:hAnsiTheme="minorBidi"/>
        </w:rPr>
        <w:t xml:space="preserve"> that the reporting managers will, other things being equal, be likely to engage in symbolic management to portray an environmental commitment and to convince relevant stakeholders including the CEO that their expectations have been met (</w:t>
      </w:r>
      <w:r>
        <w:rPr>
          <w:rFonts w:asciiTheme="minorBidi" w:hAnsiTheme="minorBidi"/>
        </w:rPr>
        <w:t>Thorne et al., 2014;</w:t>
      </w:r>
      <w:r w:rsidR="00886A4E">
        <w:rPr>
          <w:rFonts w:asciiTheme="minorBidi" w:hAnsiTheme="minorBidi"/>
        </w:rPr>
        <w:t xml:space="preserve"> </w:t>
      </w:r>
      <w:r>
        <w:rPr>
          <w:rFonts w:asciiTheme="minorBidi" w:hAnsiTheme="minorBidi"/>
        </w:rPr>
        <w:t>Michelon et al., 2016</w:t>
      </w:r>
      <w:r w:rsidRPr="00BA12C2">
        <w:rPr>
          <w:rFonts w:asciiTheme="minorBidi" w:hAnsiTheme="minorBidi"/>
        </w:rPr>
        <w:t xml:space="preserve">). The reporting managers may use various techniques including visuals to tell a </w:t>
      </w:r>
      <w:r>
        <w:rPr>
          <w:rFonts w:asciiTheme="minorBidi" w:hAnsiTheme="minorBidi"/>
        </w:rPr>
        <w:t>“</w:t>
      </w:r>
      <w:r w:rsidRPr="00BA12C2">
        <w:rPr>
          <w:rFonts w:asciiTheme="minorBidi" w:hAnsiTheme="minorBidi"/>
        </w:rPr>
        <w:t>good story</w:t>
      </w:r>
      <w:r>
        <w:rPr>
          <w:rFonts w:asciiTheme="minorBidi" w:hAnsiTheme="minorBidi"/>
        </w:rPr>
        <w:t>”</w:t>
      </w:r>
      <w:r w:rsidRPr="00BA12C2">
        <w:rPr>
          <w:rFonts w:asciiTheme="minorBidi" w:hAnsiTheme="minorBidi"/>
        </w:rPr>
        <w:t xml:space="preserve"> about the company and its sustainability activities. Blank space may also be used as </w:t>
      </w:r>
      <w:r>
        <w:rPr>
          <w:rFonts w:asciiTheme="minorBidi" w:hAnsiTheme="minorBidi"/>
        </w:rPr>
        <w:t xml:space="preserve">part of a visual </w:t>
      </w:r>
      <w:r w:rsidRPr="00BA12C2">
        <w:rPr>
          <w:rFonts w:asciiTheme="minorBidi" w:hAnsiTheme="minorBidi"/>
        </w:rPr>
        <w:t xml:space="preserve">impression management </w:t>
      </w:r>
      <w:r>
        <w:rPr>
          <w:rFonts w:asciiTheme="minorBidi" w:hAnsiTheme="minorBidi"/>
        </w:rPr>
        <w:t>strategy</w:t>
      </w:r>
      <w:r w:rsidRPr="00BA12C2">
        <w:rPr>
          <w:rFonts w:asciiTheme="minorBidi" w:hAnsiTheme="minorBidi"/>
        </w:rPr>
        <w:t xml:space="preserve"> suited to maintain organisational legitimacy, whereby managers employ structural manipulations to represent their company’s performance in the best possible light (Merkl-Davies</w:t>
      </w:r>
      <w:r>
        <w:rPr>
          <w:rFonts w:asciiTheme="minorBidi" w:hAnsiTheme="minorBidi"/>
        </w:rPr>
        <w:t xml:space="preserve"> &amp; Brennan</w:t>
      </w:r>
      <w:r w:rsidRPr="00BA12C2">
        <w:rPr>
          <w:rFonts w:asciiTheme="minorBidi" w:hAnsiTheme="minorBidi"/>
        </w:rPr>
        <w:t>, 2007).</w:t>
      </w:r>
    </w:p>
    <w:p w14:paraId="056CF5C7" w14:textId="34742881" w:rsidR="00EB362B" w:rsidRPr="002E118D" w:rsidRDefault="00B950DB" w:rsidP="00620FEC">
      <w:pPr>
        <w:rPr>
          <w:rFonts w:asciiTheme="minorBidi" w:hAnsiTheme="minorBidi"/>
        </w:rPr>
      </w:pPr>
      <w:r w:rsidRPr="002E118D">
        <w:rPr>
          <w:rFonts w:asciiTheme="minorBidi" w:hAnsiTheme="minorBidi"/>
        </w:rPr>
        <w:t>The CEO’s reporting strategy may also be influenced by the extent to which the CEO’s remuneration depends</w:t>
      </w:r>
      <w:r w:rsidR="00BE7267" w:rsidRPr="002E118D">
        <w:rPr>
          <w:rFonts w:asciiTheme="minorBidi" w:hAnsiTheme="minorBidi"/>
        </w:rPr>
        <w:t xml:space="preserve"> </w:t>
      </w:r>
      <w:r w:rsidRPr="002E118D">
        <w:rPr>
          <w:rFonts w:asciiTheme="minorBidi" w:hAnsiTheme="minorBidi"/>
        </w:rPr>
        <w:t>on the company’s CSR performance (</w:t>
      </w:r>
      <w:r w:rsidR="00CB0893" w:rsidRPr="002E118D">
        <w:rPr>
          <w:rFonts w:asciiTheme="minorBidi" w:hAnsiTheme="minorBidi"/>
        </w:rPr>
        <w:t>Velte</w:t>
      </w:r>
      <w:r w:rsidR="00D70DDC" w:rsidRPr="002E118D">
        <w:rPr>
          <w:rFonts w:asciiTheme="minorBidi" w:hAnsiTheme="minorBidi"/>
        </w:rPr>
        <w:t>,</w:t>
      </w:r>
      <w:r w:rsidR="00CB0893" w:rsidRPr="002E118D">
        <w:rPr>
          <w:rFonts w:asciiTheme="minorBidi" w:hAnsiTheme="minorBidi"/>
        </w:rPr>
        <w:t xml:space="preserve"> 2019).</w:t>
      </w:r>
      <w:r w:rsidRPr="002E118D">
        <w:rPr>
          <w:rFonts w:asciiTheme="minorBidi" w:hAnsiTheme="minorBidi"/>
        </w:rPr>
        <w:t xml:space="preserve"> </w:t>
      </w:r>
      <w:r w:rsidR="00311ED3">
        <w:rPr>
          <w:rFonts w:asciiTheme="minorBidi" w:hAnsiTheme="minorBidi"/>
        </w:rPr>
        <w:t xml:space="preserve">The </w:t>
      </w:r>
      <w:r w:rsidR="00CB0893" w:rsidRPr="002E118D">
        <w:rPr>
          <w:rFonts w:asciiTheme="minorBidi" w:hAnsiTheme="minorBidi"/>
        </w:rPr>
        <w:t xml:space="preserve">CEO may have a direct personal financial interest, as a result of entitlements to remuneration that depend in part on CSR disclosures, in ensuring that a favourable impression of the company’s social and environmental activities is presented in the SASR. </w:t>
      </w:r>
      <w:r w:rsidR="009006AA" w:rsidRPr="002E118D">
        <w:rPr>
          <w:rFonts w:asciiTheme="minorBidi" w:hAnsiTheme="minorBidi"/>
        </w:rPr>
        <w:t>Although theoretical explanations of disclosure and non-disclosure often appeal to agency theory (see for example Shrives &amp; Brennan, 2015), which emphasises the economic interests of the CEO and other actors, the predictions of agency theory and legitimacy theory are often the same, and in this paper, to avoid excessive theoretical complexity, we do not appeal to agency theory arguments.</w:t>
      </w:r>
    </w:p>
    <w:p w14:paraId="5B74D758" w14:textId="7894958E" w:rsidR="00853B88" w:rsidRPr="002E118D" w:rsidRDefault="00853B88" w:rsidP="00BA12C2">
      <w:pPr>
        <w:pStyle w:val="Heading1"/>
      </w:pPr>
      <w:r w:rsidRPr="002E118D">
        <w:t>Research method</w:t>
      </w:r>
    </w:p>
    <w:p w14:paraId="4CF5D948" w14:textId="69B1F7EF" w:rsidR="00853B88" w:rsidRPr="002E118D" w:rsidRDefault="000118BC">
      <w:pPr>
        <w:rPr>
          <w:rFonts w:asciiTheme="minorBidi" w:hAnsiTheme="minorBidi"/>
        </w:rPr>
      </w:pPr>
      <w:r>
        <w:rPr>
          <w:rFonts w:asciiTheme="minorBidi" w:hAnsiTheme="minorBidi"/>
        </w:rPr>
        <w:t>We identified c</w:t>
      </w:r>
      <w:r w:rsidR="00853B88" w:rsidRPr="002E118D">
        <w:rPr>
          <w:rFonts w:asciiTheme="minorBidi" w:hAnsiTheme="minorBidi"/>
        </w:rPr>
        <w:t xml:space="preserve">ompanies producing SASRs through the GRI guidelines disclosure website. </w:t>
      </w:r>
      <w:r w:rsidR="0034532A">
        <w:rPr>
          <w:rFonts w:asciiTheme="minorBidi" w:hAnsiTheme="minorBidi"/>
        </w:rPr>
        <w:t>We considered o</w:t>
      </w:r>
      <w:r w:rsidR="00853B88" w:rsidRPr="002E118D">
        <w:rPr>
          <w:rFonts w:asciiTheme="minorBidi" w:hAnsiTheme="minorBidi"/>
        </w:rPr>
        <w:t>nly those companies that published SASRs in English in 2014 and that rated their disclosures as achieving the G3.1 A+ application levels.</w:t>
      </w:r>
      <w:r w:rsidR="00DE088C" w:rsidRPr="002E118D">
        <w:rPr>
          <w:rFonts w:asciiTheme="minorBidi" w:hAnsiTheme="minorBidi"/>
        </w:rPr>
        <w:t xml:space="preserve"> </w:t>
      </w:r>
      <w:r w:rsidR="00620FEC" w:rsidRPr="002E118D">
        <w:rPr>
          <w:rFonts w:asciiTheme="minorBidi" w:hAnsiTheme="minorBidi"/>
        </w:rPr>
        <w:t>Th</w:t>
      </w:r>
      <w:r w:rsidR="00620FEC">
        <w:rPr>
          <w:rFonts w:asciiTheme="minorBidi" w:hAnsiTheme="minorBidi"/>
        </w:rPr>
        <w:t>us,</w:t>
      </w:r>
      <w:r w:rsidR="0034532A">
        <w:rPr>
          <w:rFonts w:asciiTheme="minorBidi" w:hAnsiTheme="minorBidi"/>
        </w:rPr>
        <w:t xml:space="preserve"> we</w:t>
      </w:r>
      <w:r w:rsidR="00853B88" w:rsidRPr="002E118D">
        <w:rPr>
          <w:rFonts w:asciiTheme="minorBidi" w:hAnsiTheme="minorBidi"/>
        </w:rPr>
        <w:t xml:space="preserve"> generated a sample of 69 companies</w:t>
      </w:r>
      <w:r w:rsidR="00D70DDC" w:rsidRPr="002E118D">
        <w:rPr>
          <w:rFonts w:asciiTheme="minorBidi" w:hAnsiTheme="minorBidi"/>
        </w:rPr>
        <w:t xml:space="preserve"> across the world</w:t>
      </w:r>
      <w:r w:rsidR="00853B88" w:rsidRPr="002E118D">
        <w:rPr>
          <w:rFonts w:asciiTheme="minorBidi" w:hAnsiTheme="minorBidi"/>
        </w:rPr>
        <w:t xml:space="preserve">. </w:t>
      </w:r>
      <w:r w:rsidR="00886CA2" w:rsidRPr="002E118D">
        <w:rPr>
          <w:rFonts w:asciiTheme="minorBidi" w:hAnsiTheme="minorBidi"/>
        </w:rPr>
        <w:t>To</w:t>
      </w:r>
      <w:r w:rsidR="00655DDD" w:rsidRPr="002E118D">
        <w:rPr>
          <w:rFonts w:asciiTheme="minorBidi" w:hAnsiTheme="minorBidi"/>
        </w:rPr>
        <w:t xml:space="preserve"> arrange interviews with reporting managers, </w:t>
      </w:r>
      <w:r w:rsidR="0034532A">
        <w:rPr>
          <w:rFonts w:asciiTheme="minorBidi" w:hAnsiTheme="minorBidi"/>
        </w:rPr>
        <w:t xml:space="preserve">we sent </w:t>
      </w:r>
      <w:r w:rsidR="00655DDD" w:rsidRPr="002E118D">
        <w:rPr>
          <w:rFonts w:asciiTheme="minorBidi" w:hAnsiTheme="minorBidi"/>
        </w:rPr>
        <w:t>e</w:t>
      </w:r>
      <w:r w:rsidR="00853B88" w:rsidRPr="002E118D">
        <w:rPr>
          <w:rFonts w:asciiTheme="minorBidi" w:hAnsiTheme="minorBidi"/>
        </w:rPr>
        <w:t>mails to the public relations team at each company, requesting the identity of the main person responsible for preparing the SASR</w:t>
      </w:r>
      <w:r w:rsidR="007771EC" w:rsidRPr="002E118D">
        <w:rPr>
          <w:rFonts w:asciiTheme="minorBidi" w:hAnsiTheme="minorBidi"/>
        </w:rPr>
        <w:t>s</w:t>
      </w:r>
      <w:r w:rsidR="00853B88" w:rsidRPr="002E118D">
        <w:rPr>
          <w:rFonts w:asciiTheme="minorBidi" w:hAnsiTheme="minorBidi"/>
        </w:rPr>
        <w:t>.</w:t>
      </w:r>
      <w:r w:rsidR="00886A4E">
        <w:rPr>
          <w:rFonts w:asciiTheme="minorBidi" w:hAnsiTheme="minorBidi"/>
        </w:rPr>
        <w:t xml:space="preserve"> </w:t>
      </w:r>
      <w:r w:rsidR="0034532A">
        <w:rPr>
          <w:rFonts w:asciiTheme="minorBidi" w:hAnsiTheme="minorBidi"/>
        </w:rPr>
        <w:t>We</w:t>
      </w:r>
      <w:r w:rsidR="00853B88" w:rsidRPr="002E118D">
        <w:rPr>
          <w:rFonts w:asciiTheme="minorBidi" w:hAnsiTheme="minorBidi"/>
        </w:rPr>
        <w:t xml:space="preserve"> received </w:t>
      </w:r>
      <w:r w:rsidR="0034532A">
        <w:rPr>
          <w:rFonts w:asciiTheme="minorBidi" w:hAnsiTheme="minorBidi"/>
        </w:rPr>
        <w:t xml:space="preserve">responses </w:t>
      </w:r>
      <w:r w:rsidR="00853B88" w:rsidRPr="002E118D">
        <w:rPr>
          <w:rFonts w:asciiTheme="minorBidi" w:hAnsiTheme="minorBidi"/>
        </w:rPr>
        <w:t xml:space="preserve">from 40 companies, but most of these were negative. However, </w:t>
      </w:r>
      <w:r w:rsidR="0034532A">
        <w:rPr>
          <w:rFonts w:asciiTheme="minorBidi" w:hAnsiTheme="minorBidi"/>
        </w:rPr>
        <w:t xml:space="preserve">we were able </w:t>
      </w:r>
      <w:r w:rsidR="00853B88" w:rsidRPr="002E118D">
        <w:rPr>
          <w:rFonts w:asciiTheme="minorBidi" w:hAnsiTheme="minorBidi"/>
        </w:rPr>
        <w:t xml:space="preserve">to arrange interviews with preparers from </w:t>
      </w:r>
      <w:r w:rsidR="007541FC" w:rsidRPr="002E118D">
        <w:rPr>
          <w:rFonts w:asciiTheme="minorBidi" w:hAnsiTheme="minorBidi"/>
        </w:rPr>
        <w:t>ten</w:t>
      </w:r>
      <w:r w:rsidR="00853B88" w:rsidRPr="002E118D">
        <w:rPr>
          <w:rFonts w:asciiTheme="minorBidi" w:hAnsiTheme="minorBidi"/>
        </w:rPr>
        <w:t xml:space="preserve"> </w:t>
      </w:r>
      <w:r w:rsidR="00853B88" w:rsidRPr="002E118D">
        <w:rPr>
          <w:rFonts w:asciiTheme="minorBidi" w:hAnsiTheme="minorBidi"/>
        </w:rPr>
        <w:lastRenderedPageBreak/>
        <w:t>companies</w:t>
      </w:r>
      <w:r w:rsidR="00655DDD" w:rsidRPr="002E118D">
        <w:rPr>
          <w:rFonts w:asciiTheme="minorBidi" w:hAnsiTheme="minorBidi"/>
        </w:rPr>
        <w:t xml:space="preserve"> across a range of </w:t>
      </w:r>
      <w:r w:rsidR="00886CA2" w:rsidRPr="002E118D">
        <w:rPr>
          <w:rFonts w:asciiTheme="minorBidi" w:hAnsiTheme="minorBidi"/>
        </w:rPr>
        <w:t>industries</w:t>
      </w:r>
      <w:r w:rsidR="00853B88" w:rsidRPr="002E118D">
        <w:rPr>
          <w:rFonts w:asciiTheme="minorBidi" w:hAnsiTheme="minorBidi"/>
        </w:rPr>
        <w:t>.</w:t>
      </w:r>
      <w:r w:rsidR="00CF67E1" w:rsidRPr="002E118D">
        <w:rPr>
          <w:rFonts w:asciiTheme="minorBidi" w:hAnsiTheme="minorBidi"/>
        </w:rPr>
        <w:t xml:space="preserve"> While this is relatively small study, it is appropriate for an initial exploratory study</w:t>
      </w:r>
      <w:r w:rsidR="00805425" w:rsidRPr="002E118D">
        <w:rPr>
          <w:rFonts w:asciiTheme="minorBidi" w:hAnsiTheme="minorBidi"/>
        </w:rPr>
        <w:t xml:space="preserve"> of a phenomen</w:t>
      </w:r>
      <w:r w:rsidR="00A449D6" w:rsidRPr="002E118D">
        <w:rPr>
          <w:rFonts w:asciiTheme="minorBidi" w:hAnsiTheme="minorBidi"/>
        </w:rPr>
        <w:t>on</w:t>
      </w:r>
      <w:r w:rsidR="00805425" w:rsidRPr="002E118D">
        <w:rPr>
          <w:rFonts w:asciiTheme="minorBidi" w:hAnsiTheme="minorBidi"/>
        </w:rPr>
        <w:t xml:space="preserve"> that is </w:t>
      </w:r>
      <w:r w:rsidR="00B26DBB" w:rsidRPr="002E118D">
        <w:rPr>
          <w:rFonts w:asciiTheme="minorBidi" w:hAnsiTheme="minorBidi"/>
        </w:rPr>
        <w:t xml:space="preserve">new and </w:t>
      </w:r>
      <w:r w:rsidR="00805425" w:rsidRPr="002E118D">
        <w:rPr>
          <w:rFonts w:asciiTheme="minorBidi" w:hAnsiTheme="minorBidi"/>
        </w:rPr>
        <w:t>under-researche</w:t>
      </w:r>
      <w:r w:rsidR="00B26DBB" w:rsidRPr="002E118D">
        <w:rPr>
          <w:rFonts w:asciiTheme="minorBidi" w:hAnsiTheme="minorBidi"/>
        </w:rPr>
        <w:t>d</w:t>
      </w:r>
      <w:r w:rsidR="00805425" w:rsidRPr="002E118D">
        <w:rPr>
          <w:rFonts w:asciiTheme="minorBidi" w:hAnsiTheme="minorBidi"/>
        </w:rPr>
        <w:t xml:space="preserve">. </w:t>
      </w:r>
      <w:r w:rsidR="00B26DBB" w:rsidRPr="002E118D">
        <w:rPr>
          <w:rFonts w:asciiTheme="minorBidi" w:hAnsiTheme="minorBidi"/>
        </w:rPr>
        <w:t>Also, m</w:t>
      </w:r>
      <w:r w:rsidR="00CF67E1" w:rsidRPr="002E118D">
        <w:rPr>
          <w:rFonts w:asciiTheme="minorBidi" w:hAnsiTheme="minorBidi"/>
        </w:rPr>
        <w:t xml:space="preserve">ost of the empirical data collected provided similar themes/information, and further interviews would </w:t>
      </w:r>
      <w:r w:rsidR="00A449D6" w:rsidRPr="002E118D">
        <w:rPr>
          <w:rFonts w:asciiTheme="minorBidi" w:hAnsiTheme="minorBidi"/>
        </w:rPr>
        <w:t xml:space="preserve">probably </w:t>
      </w:r>
      <w:r w:rsidR="00CF67E1" w:rsidRPr="002E118D">
        <w:rPr>
          <w:rFonts w:asciiTheme="minorBidi" w:hAnsiTheme="minorBidi"/>
        </w:rPr>
        <w:t>have made no difference to the overall findings</w:t>
      </w:r>
      <w:r w:rsidR="006A3695">
        <w:rPr>
          <w:rFonts w:asciiTheme="minorBidi" w:hAnsiTheme="minorBidi"/>
        </w:rPr>
        <w:t>.</w:t>
      </w:r>
      <w:r w:rsidR="00CF67E1" w:rsidRPr="002E118D">
        <w:rPr>
          <w:rFonts w:asciiTheme="minorBidi" w:hAnsiTheme="minorBidi"/>
        </w:rPr>
        <w:t xml:space="preserve"> </w:t>
      </w:r>
      <w:r w:rsidR="00655DDD" w:rsidRPr="002E118D">
        <w:rPr>
          <w:rFonts w:asciiTheme="minorBidi" w:hAnsiTheme="minorBidi"/>
        </w:rPr>
        <w:t>Although interviewees had various job titles (</w:t>
      </w:r>
      <w:r w:rsidR="00106BDD" w:rsidRPr="002E118D">
        <w:rPr>
          <w:rFonts w:asciiTheme="minorBidi" w:hAnsiTheme="minorBidi"/>
        </w:rPr>
        <w:t>director</w:t>
      </w:r>
      <w:r w:rsidR="00D338D2" w:rsidRPr="002E118D">
        <w:rPr>
          <w:rFonts w:asciiTheme="minorBidi" w:hAnsiTheme="minorBidi"/>
        </w:rPr>
        <w:t>, manager, department</w:t>
      </w:r>
      <w:r w:rsidR="00655DDD" w:rsidRPr="002E118D">
        <w:rPr>
          <w:rFonts w:asciiTheme="minorBidi" w:hAnsiTheme="minorBidi"/>
        </w:rPr>
        <w:t xml:space="preserve"> head,</w:t>
      </w:r>
      <w:r w:rsidR="00D338D2" w:rsidRPr="002E118D">
        <w:rPr>
          <w:rFonts w:asciiTheme="minorBidi" w:hAnsiTheme="minorBidi"/>
        </w:rPr>
        <w:t xml:space="preserve"> senior adviser</w:t>
      </w:r>
      <w:r w:rsidR="00655DDD" w:rsidRPr="002E118D">
        <w:rPr>
          <w:rFonts w:asciiTheme="minorBidi" w:hAnsiTheme="minorBidi"/>
        </w:rPr>
        <w:t>), in all cases t</w:t>
      </w:r>
      <w:r w:rsidR="007771EC" w:rsidRPr="002E118D">
        <w:rPr>
          <w:rFonts w:asciiTheme="minorBidi" w:hAnsiTheme="minorBidi"/>
        </w:rPr>
        <w:t xml:space="preserve">hey were the main people involved </w:t>
      </w:r>
      <w:r w:rsidR="009006AA" w:rsidRPr="002E118D">
        <w:rPr>
          <w:rFonts w:asciiTheme="minorBidi" w:hAnsiTheme="minorBidi"/>
        </w:rPr>
        <w:t xml:space="preserve">in </w:t>
      </w:r>
      <w:r w:rsidR="007771EC" w:rsidRPr="002E118D">
        <w:rPr>
          <w:rFonts w:asciiTheme="minorBidi" w:hAnsiTheme="minorBidi"/>
        </w:rPr>
        <w:t>initiating the SASR</w:t>
      </w:r>
      <w:r w:rsidR="00886CA2" w:rsidRPr="002E118D">
        <w:rPr>
          <w:rFonts w:asciiTheme="minorBidi" w:hAnsiTheme="minorBidi"/>
        </w:rPr>
        <w:t xml:space="preserve"> process</w:t>
      </w:r>
      <w:r w:rsidR="007771EC" w:rsidRPr="002E118D">
        <w:rPr>
          <w:rFonts w:asciiTheme="minorBidi" w:hAnsiTheme="minorBidi"/>
        </w:rPr>
        <w:t xml:space="preserve">. </w:t>
      </w:r>
      <w:r w:rsidR="0034532A">
        <w:rPr>
          <w:rFonts w:asciiTheme="minorBidi" w:hAnsiTheme="minorBidi"/>
        </w:rPr>
        <w:t>We sent each</w:t>
      </w:r>
      <w:r w:rsidR="00853B88" w:rsidRPr="002E118D">
        <w:rPr>
          <w:rFonts w:asciiTheme="minorBidi" w:hAnsiTheme="minorBidi"/>
        </w:rPr>
        <w:t xml:space="preserve"> respondent in advance a formal interview letter giving an outline of the research project. </w:t>
      </w:r>
      <w:r w:rsidR="0034532A">
        <w:rPr>
          <w:rFonts w:asciiTheme="minorBidi" w:hAnsiTheme="minorBidi"/>
        </w:rPr>
        <w:t xml:space="preserve"> We </w:t>
      </w:r>
      <w:r w:rsidR="00853B88" w:rsidRPr="002E118D">
        <w:rPr>
          <w:rFonts w:asciiTheme="minorBidi" w:hAnsiTheme="minorBidi"/>
        </w:rPr>
        <w:t>promised</w:t>
      </w:r>
      <w:r w:rsidR="0034532A">
        <w:rPr>
          <w:rFonts w:asciiTheme="minorBidi" w:hAnsiTheme="minorBidi"/>
        </w:rPr>
        <w:t xml:space="preserve"> respondents</w:t>
      </w:r>
      <w:r w:rsidR="00853B88" w:rsidRPr="002E118D">
        <w:rPr>
          <w:rFonts w:asciiTheme="minorBidi" w:hAnsiTheme="minorBidi"/>
        </w:rPr>
        <w:t xml:space="preserve"> that neither their company nor </w:t>
      </w:r>
      <w:r w:rsidR="00EC6094" w:rsidRPr="002E118D">
        <w:rPr>
          <w:rFonts w:asciiTheme="minorBidi" w:hAnsiTheme="minorBidi"/>
        </w:rPr>
        <w:t>they</w:t>
      </w:r>
      <w:r w:rsidR="00853B88" w:rsidRPr="002E118D">
        <w:rPr>
          <w:rFonts w:asciiTheme="minorBidi" w:hAnsiTheme="minorBidi"/>
        </w:rPr>
        <w:t xml:space="preserve"> personally would be identified in any research outputs. </w:t>
      </w:r>
      <w:r w:rsidR="0034532A">
        <w:rPr>
          <w:rFonts w:asciiTheme="minorBidi" w:hAnsiTheme="minorBidi"/>
        </w:rPr>
        <w:t>We conducted f</w:t>
      </w:r>
      <w:r w:rsidR="00106BDD" w:rsidRPr="002E118D">
        <w:rPr>
          <w:rFonts w:asciiTheme="minorBidi" w:hAnsiTheme="minorBidi"/>
        </w:rPr>
        <w:t>our</w:t>
      </w:r>
      <w:r w:rsidR="007771EC" w:rsidRPr="002E118D">
        <w:rPr>
          <w:rFonts w:asciiTheme="minorBidi" w:hAnsiTheme="minorBidi"/>
        </w:rPr>
        <w:t xml:space="preserve"> </w:t>
      </w:r>
      <w:r w:rsidR="00853B88" w:rsidRPr="002E118D">
        <w:rPr>
          <w:rFonts w:asciiTheme="minorBidi" w:hAnsiTheme="minorBidi"/>
        </w:rPr>
        <w:t>interviews face-to-face at the preparer’s office</w:t>
      </w:r>
      <w:r w:rsidR="007771EC" w:rsidRPr="002E118D">
        <w:rPr>
          <w:rFonts w:asciiTheme="minorBidi" w:hAnsiTheme="minorBidi"/>
        </w:rPr>
        <w:t xml:space="preserve">, three </w:t>
      </w:r>
      <w:r w:rsidR="00D221E4" w:rsidRPr="002E118D">
        <w:rPr>
          <w:rFonts w:asciiTheme="minorBidi" w:hAnsiTheme="minorBidi"/>
        </w:rPr>
        <w:t>through</w:t>
      </w:r>
      <w:r w:rsidR="007771EC" w:rsidRPr="002E118D">
        <w:rPr>
          <w:rFonts w:asciiTheme="minorBidi" w:hAnsiTheme="minorBidi"/>
        </w:rPr>
        <w:t xml:space="preserve"> Skype</w:t>
      </w:r>
      <w:r w:rsidR="00D221E4" w:rsidRPr="002E118D">
        <w:rPr>
          <w:rFonts w:asciiTheme="minorBidi" w:hAnsiTheme="minorBidi"/>
        </w:rPr>
        <w:t>,</w:t>
      </w:r>
      <w:r w:rsidR="007771EC" w:rsidRPr="002E118D">
        <w:rPr>
          <w:rFonts w:asciiTheme="minorBidi" w:hAnsiTheme="minorBidi"/>
        </w:rPr>
        <w:t xml:space="preserve"> and three </w:t>
      </w:r>
      <w:r w:rsidR="00D221E4" w:rsidRPr="002E118D">
        <w:rPr>
          <w:rFonts w:asciiTheme="minorBidi" w:hAnsiTheme="minorBidi"/>
        </w:rPr>
        <w:t>by</w:t>
      </w:r>
      <w:r w:rsidR="007771EC" w:rsidRPr="002E118D">
        <w:rPr>
          <w:rFonts w:asciiTheme="minorBidi" w:hAnsiTheme="minorBidi"/>
        </w:rPr>
        <w:t xml:space="preserve"> telephone</w:t>
      </w:r>
      <w:r w:rsidR="00853B88" w:rsidRPr="002E118D">
        <w:rPr>
          <w:rFonts w:asciiTheme="minorBidi" w:hAnsiTheme="minorBidi"/>
        </w:rPr>
        <w:t xml:space="preserve">. </w:t>
      </w:r>
    </w:p>
    <w:p w14:paraId="573CC6D9" w14:textId="4C463865" w:rsidR="005017AA" w:rsidRDefault="003A1938">
      <w:pPr>
        <w:rPr>
          <w:rFonts w:asciiTheme="minorBidi" w:hAnsiTheme="minorBidi"/>
        </w:rPr>
      </w:pPr>
      <w:r>
        <w:rPr>
          <w:rFonts w:asciiTheme="minorBidi" w:hAnsiTheme="minorBidi"/>
        </w:rPr>
        <w:t xml:space="preserve">We conducted </w:t>
      </w:r>
      <w:r w:rsidR="00E91BEA" w:rsidRPr="002E118D">
        <w:rPr>
          <w:rFonts w:asciiTheme="minorBidi" w:hAnsiTheme="minorBidi"/>
        </w:rPr>
        <w:t>semi-structured interview</w:t>
      </w:r>
      <w:r w:rsidR="0042549E" w:rsidRPr="002E118D">
        <w:rPr>
          <w:rFonts w:asciiTheme="minorBidi" w:hAnsiTheme="minorBidi"/>
        </w:rPr>
        <w:t>s</w:t>
      </w:r>
      <w:r w:rsidR="00E91BEA" w:rsidRPr="002E118D">
        <w:rPr>
          <w:rFonts w:asciiTheme="minorBidi" w:hAnsiTheme="minorBidi"/>
        </w:rPr>
        <w:t xml:space="preserve"> </w:t>
      </w:r>
      <w:r w:rsidR="002C5492" w:rsidRPr="002E118D">
        <w:rPr>
          <w:rFonts w:asciiTheme="minorBidi" w:hAnsiTheme="minorBidi"/>
        </w:rPr>
        <w:t>follow</w:t>
      </w:r>
      <w:r>
        <w:rPr>
          <w:rFonts w:asciiTheme="minorBidi" w:hAnsiTheme="minorBidi"/>
        </w:rPr>
        <w:t xml:space="preserve">ing </w:t>
      </w:r>
      <w:r w:rsidR="002C5492" w:rsidRPr="002E118D">
        <w:rPr>
          <w:rFonts w:asciiTheme="minorBidi" w:hAnsiTheme="minorBidi"/>
        </w:rPr>
        <w:t xml:space="preserve">an interview guide, which aimed to capture </w:t>
      </w:r>
      <w:r w:rsidR="00FE18FC" w:rsidRPr="002E118D">
        <w:rPr>
          <w:rFonts w:asciiTheme="minorBidi" w:hAnsiTheme="minorBidi"/>
        </w:rPr>
        <w:t xml:space="preserve">the process </w:t>
      </w:r>
      <w:r w:rsidR="0042549E" w:rsidRPr="002E118D">
        <w:rPr>
          <w:rFonts w:asciiTheme="minorBidi" w:hAnsiTheme="minorBidi"/>
        </w:rPr>
        <w:t>of preparing SASRs, particularly decisions involving</w:t>
      </w:r>
      <w:r w:rsidR="00FE18FC" w:rsidRPr="002E118D">
        <w:rPr>
          <w:rFonts w:asciiTheme="minorBidi" w:hAnsiTheme="minorBidi"/>
        </w:rPr>
        <w:t xml:space="preserve"> visual</w:t>
      </w:r>
      <w:r w:rsidR="0042549E" w:rsidRPr="002E118D">
        <w:rPr>
          <w:rFonts w:asciiTheme="minorBidi" w:hAnsiTheme="minorBidi"/>
        </w:rPr>
        <w:t>s</w:t>
      </w:r>
      <w:r w:rsidR="000A48CE" w:rsidRPr="002E118D">
        <w:rPr>
          <w:rFonts w:asciiTheme="minorBidi" w:hAnsiTheme="minorBidi"/>
        </w:rPr>
        <w:t xml:space="preserve"> </w:t>
      </w:r>
      <w:r w:rsidR="00FE18FC" w:rsidRPr="002E118D">
        <w:rPr>
          <w:rFonts w:asciiTheme="minorBidi" w:hAnsiTheme="minorBidi"/>
        </w:rPr>
        <w:t>and blank space</w:t>
      </w:r>
      <w:r w:rsidR="0042549E" w:rsidRPr="002E118D">
        <w:rPr>
          <w:rFonts w:asciiTheme="minorBidi" w:hAnsiTheme="minorBidi"/>
        </w:rPr>
        <w:t>, referring to</w:t>
      </w:r>
      <w:r w:rsidR="00FE18FC" w:rsidRPr="002E118D">
        <w:rPr>
          <w:rFonts w:asciiTheme="minorBidi" w:hAnsiTheme="minorBidi"/>
        </w:rPr>
        <w:t xml:space="preserve"> the respective roles of the reporting managers and the CEOs in the process. </w:t>
      </w:r>
      <w:r w:rsidR="00D221E4" w:rsidRPr="002E118D">
        <w:rPr>
          <w:rFonts w:asciiTheme="minorBidi" w:hAnsiTheme="minorBidi"/>
        </w:rPr>
        <w:t>I</w:t>
      </w:r>
      <w:r w:rsidR="00874C91" w:rsidRPr="002E118D">
        <w:rPr>
          <w:rFonts w:asciiTheme="minorBidi" w:hAnsiTheme="minorBidi"/>
        </w:rPr>
        <w:t xml:space="preserve">nterviewees </w:t>
      </w:r>
      <w:r w:rsidR="00D221E4" w:rsidRPr="002E118D">
        <w:rPr>
          <w:rFonts w:asciiTheme="minorBidi" w:hAnsiTheme="minorBidi"/>
        </w:rPr>
        <w:t xml:space="preserve">were able </w:t>
      </w:r>
      <w:r w:rsidR="00874C91" w:rsidRPr="002E118D">
        <w:rPr>
          <w:rFonts w:asciiTheme="minorBidi" w:hAnsiTheme="minorBidi"/>
        </w:rPr>
        <w:t>to express themselves without specific boundaries or restrictions</w:t>
      </w:r>
      <w:r w:rsidR="00D221E4" w:rsidRPr="002E118D">
        <w:rPr>
          <w:rFonts w:asciiTheme="minorBidi" w:hAnsiTheme="minorBidi"/>
        </w:rPr>
        <w:t>,</w:t>
      </w:r>
      <w:r w:rsidR="00874C91" w:rsidRPr="002E118D">
        <w:rPr>
          <w:rFonts w:asciiTheme="minorBidi" w:hAnsiTheme="minorBidi"/>
        </w:rPr>
        <w:t xml:space="preserve"> </w:t>
      </w:r>
      <w:r w:rsidR="00D221E4" w:rsidRPr="002E118D">
        <w:rPr>
          <w:rFonts w:asciiTheme="minorBidi" w:hAnsiTheme="minorBidi"/>
        </w:rPr>
        <w:t>although</w:t>
      </w:r>
      <w:r w:rsidR="00F22A56" w:rsidRPr="002E118D">
        <w:rPr>
          <w:rFonts w:asciiTheme="minorBidi" w:hAnsiTheme="minorBidi"/>
        </w:rPr>
        <w:t xml:space="preserve"> </w:t>
      </w:r>
      <w:r w:rsidR="00D221E4" w:rsidRPr="002E118D">
        <w:rPr>
          <w:rFonts w:asciiTheme="minorBidi" w:hAnsiTheme="minorBidi"/>
        </w:rPr>
        <w:t xml:space="preserve">the </w:t>
      </w:r>
      <w:r w:rsidR="00F22A56" w:rsidRPr="002E118D">
        <w:rPr>
          <w:rFonts w:asciiTheme="minorBidi" w:hAnsiTheme="minorBidi"/>
        </w:rPr>
        <w:t>interviewer ensure</w:t>
      </w:r>
      <w:r w:rsidR="00D221E4" w:rsidRPr="002E118D">
        <w:rPr>
          <w:rFonts w:asciiTheme="minorBidi" w:hAnsiTheme="minorBidi"/>
        </w:rPr>
        <w:t>d</w:t>
      </w:r>
      <w:r w:rsidR="00F22A56" w:rsidRPr="002E118D">
        <w:rPr>
          <w:rFonts w:asciiTheme="minorBidi" w:hAnsiTheme="minorBidi"/>
        </w:rPr>
        <w:t xml:space="preserve"> that </w:t>
      </w:r>
      <w:r w:rsidR="00D221E4" w:rsidRPr="002E118D">
        <w:rPr>
          <w:rFonts w:asciiTheme="minorBidi" w:hAnsiTheme="minorBidi"/>
        </w:rPr>
        <w:t>all</w:t>
      </w:r>
      <w:r w:rsidR="00F22A56" w:rsidRPr="002E118D">
        <w:rPr>
          <w:rFonts w:asciiTheme="minorBidi" w:hAnsiTheme="minorBidi"/>
        </w:rPr>
        <w:t xml:space="preserve"> topic</w:t>
      </w:r>
      <w:r w:rsidR="00D221E4" w:rsidRPr="002E118D">
        <w:rPr>
          <w:rFonts w:asciiTheme="minorBidi" w:hAnsiTheme="minorBidi"/>
        </w:rPr>
        <w:t>s</w:t>
      </w:r>
      <w:r w:rsidR="00F22A56" w:rsidRPr="002E118D">
        <w:rPr>
          <w:rFonts w:asciiTheme="minorBidi" w:hAnsiTheme="minorBidi"/>
        </w:rPr>
        <w:t xml:space="preserve"> listed in the interview guide were covered. </w:t>
      </w:r>
      <w:r w:rsidR="00D221E4" w:rsidRPr="002E118D">
        <w:rPr>
          <w:rFonts w:asciiTheme="minorBidi" w:hAnsiTheme="minorBidi"/>
        </w:rPr>
        <w:t>At the end of the interview, i</w:t>
      </w:r>
      <w:r w:rsidR="00F22A56" w:rsidRPr="002E118D">
        <w:rPr>
          <w:rFonts w:asciiTheme="minorBidi" w:hAnsiTheme="minorBidi"/>
        </w:rPr>
        <w:t xml:space="preserve">nterviewees were </w:t>
      </w:r>
      <w:r w:rsidR="00D221E4" w:rsidRPr="002E118D">
        <w:rPr>
          <w:rFonts w:asciiTheme="minorBidi" w:hAnsiTheme="minorBidi"/>
        </w:rPr>
        <w:t>invited</w:t>
      </w:r>
      <w:r w:rsidR="00F22A56" w:rsidRPr="002E118D">
        <w:rPr>
          <w:rFonts w:asciiTheme="minorBidi" w:hAnsiTheme="minorBidi"/>
        </w:rPr>
        <w:t xml:space="preserve"> to raise any further issues.</w:t>
      </w:r>
      <w:r w:rsidR="00F176A9" w:rsidRPr="002E118D">
        <w:rPr>
          <w:rFonts w:asciiTheme="minorBidi" w:hAnsiTheme="minorBidi"/>
        </w:rPr>
        <w:t xml:space="preserve"> </w:t>
      </w:r>
      <w:r w:rsidR="00853B88" w:rsidRPr="002E118D">
        <w:rPr>
          <w:rFonts w:asciiTheme="minorBidi" w:hAnsiTheme="minorBidi"/>
        </w:rPr>
        <w:t xml:space="preserve">Interviews lasted between </w:t>
      </w:r>
      <w:r w:rsidR="00DD4625" w:rsidRPr="002E118D">
        <w:rPr>
          <w:rFonts w:asciiTheme="minorBidi" w:hAnsiTheme="minorBidi"/>
        </w:rPr>
        <w:t>20</w:t>
      </w:r>
      <w:r w:rsidR="009C46A1" w:rsidRPr="002E118D">
        <w:rPr>
          <w:rFonts w:asciiTheme="minorBidi" w:hAnsiTheme="minorBidi"/>
        </w:rPr>
        <w:t xml:space="preserve"> </w:t>
      </w:r>
      <w:r w:rsidR="00D221E4" w:rsidRPr="002E118D">
        <w:rPr>
          <w:rFonts w:asciiTheme="minorBidi" w:hAnsiTheme="minorBidi"/>
        </w:rPr>
        <w:t>and</w:t>
      </w:r>
      <w:r w:rsidR="009C46A1" w:rsidRPr="002E118D">
        <w:rPr>
          <w:rFonts w:asciiTheme="minorBidi" w:hAnsiTheme="minorBidi"/>
        </w:rPr>
        <w:t xml:space="preserve"> 60</w:t>
      </w:r>
      <w:r w:rsidR="00853B88" w:rsidRPr="002E118D">
        <w:rPr>
          <w:rFonts w:asciiTheme="minorBidi" w:hAnsiTheme="minorBidi"/>
        </w:rPr>
        <w:t xml:space="preserve"> minutes. </w:t>
      </w:r>
      <w:r>
        <w:rPr>
          <w:rFonts w:asciiTheme="minorBidi" w:hAnsiTheme="minorBidi"/>
        </w:rPr>
        <w:t>We recorded t</w:t>
      </w:r>
      <w:r w:rsidR="00853B88" w:rsidRPr="002E118D">
        <w:rPr>
          <w:rFonts w:asciiTheme="minorBidi" w:hAnsiTheme="minorBidi"/>
        </w:rPr>
        <w:t>he face-to-face interviews</w:t>
      </w:r>
      <w:r w:rsidR="00F673E6" w:rsidRPr="002E118D">
        <w:rPr>
          <w:rFonts w:asciiTheme="minorBidi" w:hAnsiTheme="minorBidi"/>
        </w:rPr>
        <w:t xml:space="preserve"> and telephone interviews</w:t>
      </w:r>
      <w:r w:rsidR="00853B88" w:rsidRPr="002E118D">
        <w:rPr>
          <w:rFonts w:asciiTheme="minorBidi" w:hAnsiTheme="minorBidi"/>
        </w:rPr>
        <w:t>, with the agreement of the interviewees, using a hand-held audio recorder</w:t>
      </w:r>
      <w:r w:rsidR="00D221E4" w:rsidRPr="002E118D">
        <w:rPr>
          <w:rFonts w:asciiTheme="minorBidi" w:hAnsiTheme="minorBidi"/>
        </w:rPr>
        <w:t>,</w:t>
      </w:r>
      <w:r w:rsidR="00853B88" w:rsidRPr="002E118D">
        <w:rPr>
          <w:rFonts w:asciiTheme="minorBidi" w:hAnsiTheme="minorBidi"/>
        </w:rPr>
        <w:t xml:space="preserve"> and the Skype interviews were recorded using Evaer software, a package designed specifically for capturing Skype audio and video</w:t>
      </w:r>
      <w:r w:rsidR="00D221E4" w:rsidRPr="002E118D">
        <w:rPr>
          <w:rFonts w:asciiTheme="minorBidi" w:hAnsiTheme="minorBidi"/>
        </w:rPr>
        <w:t>, backed</w:t>
      </w:r>
      <w:r w:rsidR="00853B88" w:rsidRPr="002E118D">
        <w:rPr>
          <w:rFonts w:asciiTheme="minorBidi" w:hAnsiTheme="minorBidi"/>
        </w:rPr>
        <w:t xml:space="preserve"> up through manual </w:t>
      </w:r>
      <w:r w:rsidR="00797097" w:rsidRPr="002E118D">
        <w:rPr>
          <w:rFonts w:asciiTheme="minorBidi" w:hAnsiTheme="minorBidi"/>
        </w:rPr>
        <w:t>notetaking</w:t>
      </w:r>
      <w:r w:rsidR="00853B88" w:rsidRPr="002E118D">
        <w:rPr>
          <w:rFonts w:asciiTheme="minorBidi" w:hAnsiTheme="minorBidi"/>
        </w:rPr>
        <w:t>. Table 1 provides information about the respondents and the industries in which they worked.</w:t>
      </w:r>
    </w:p>
    <w:p w14:paraId="3CEE6B16" w14:textId="218EF027" w:rsidR="00AE1881" w:rsidRDefault="00AE1881">
      <w:pPr>
        <w:spacing w:after="160" w:line="259" w:lineRule="auto"/>
        <w:rPr>
          <w:rFonts w:asciiTheme="minorBidi" w:hAnsiTheme="minorBidi"/>
        </w:rPr>
      </w:pPr>
      <w:r>
        <w:rPr>
          <w:rFonts w:asciiTheme="minorBidi" w:hAnsiTheme="minorBidi"/>
        </w:rPr>
        <w:br w:type="page"/>
      </w:r>
    </w:p>
    <w:p w14:paraId="53C997EB" w14:textId="6CD67F3E" w:rsidR="00853B88" w:rsidRPr="002E118D" w:rsidRDefault="00853B88">
      <w:pPr>
        <w:rPr>
          <w:rFonts w:asciiTheme="minorBidi" w:hAnsiTheme="minorBidi"/>
          <w:b/>
        </w:rPr>
      </w:pPr>
      <w:r w:rsidRPr="002E118D">
        <w:rPr>
          <w:rFonts w:asciiTheme="minorBidi" w:hAnsiTheme="minorBidi"/>
          <w:b/>
        </w:rPr>
        <w:lastRenderedPageBreak/>
        <w:t xml:space="preserve">Table </w:t>
      </w:r>
      <w:r w:rsidR="00D94FEC" w:rsidRPr="002E118D">
        <w:rPr>
          <w:rFonts w:asciiTheme="minorBidi" w:hAnsiTheme="minorBidi"/>
          <w:b/>
          <w:noProof/>
        </w:rPr>
        <w:t>1</w:t>
      </w:r>
      <w:r w:rsidRPr="002E118D">
        <w:rPr>
          <w:rFonts w:asciiTheme="minorBidi" w:hAnsiTheme="minorBidi"/>
          <w:b/>
        </w:rPr>
        <w:t>: Interview respondents</w:t>
      </w:r>
    </w:p>
    <w:tbl>
      <w:tblPr>
        <w:tblW w:w="5000" w:type="pct"/>
        <w:tblCellMar>
          <w:left w:w="10" w:type="dxa"/>
          <w:right w:w="10" w:type="dxa"/>
        </w:tblCellMar>
        <w:tblLook w:val="0000" w:firstRow="0" w:lastRow="0" w:firstColumn="0" w:lastColumn="0" w:noHBand="0" w:noVBand="0"/>
      </w:tblPr>
      <w:tblGrid>
        <w:gridCol w:w="759"/>
        <w:gridCol w:w="2507"/>
        <w:gridCol w:w="3186"/>
        <w:gridCol w:w="1285"/>
        <w:gridCol w:w="1289"/>
      </w:tblGrid>
      <w:tr w:rsidR="002E118D" w:rsidRPr="002E118D" w14:paraId="369FC56B" w14:textId="77777777" w:rsidTr="00034D4F">
        <w:trPr>
          <w:trHeight w:val="593"/>
        </w:trPr>
        <w:tc>
          <w:tcPr>
            <w:tcW w:w="420" w:type="pct"/>
            <w:tcBorders>
              <w:top w:val="single" w:sz="4" w:space="0" w:color="auto"/>
              <w:bottom w:val="single" w:sz="4" w:space="0" w:color="auto"/>
            </w:tcBorders>
            <w:shd w:val="clear" w:color="auto" w:fill="auto"/>
            <w:tcMar>
              <w:top w:w="0" w:type="dxa"/>
              <w:left w:w="108" w:type="dxa"/>
              <w:bottom w:w="0" w:type="dxa"/>
              <w:right w:w="108" w:type="dxa"/>
            </w:tcMar>
          </w:tcPr>
          <w:p w14:paraId="77D5E577" w14:textId="77777777" w:rsidR="00853B88" w:rsidRPr="008060B4" w:rsidRDefault="00853B88" w:rsidP="008060B4">
            <w:pPr>
              <w:pStyle w:val="Tabletext"/>
              <w:rPr>
                <w:b/>
              </w:rPr>
            </w:pPr>
            <w:r w:rsidRPr="008060B4">
              <w:rPr>
                <w:b/>
              </w:rPr>
              <w:t>Code</w:t>
            </w:r>
          </w:p>
        </w:tc>
        <w:tc>
          <w:tcPr>
            <w:tcW w:w="1389" w:type="pct"/>
            <w:tcBorders>
              <w:top w:val="single" w:sz="4" w:space="0" w:color="auto"/>
              <w:bottom w:val="single" w:sz="4" w:space="0" w:color="auto"/>
            </w:tcBorders>
            <w:shd w:val="clear" w:color="auto" w:fill="auto"/>
            <w:tcMar>
              <w:top w:w="0" w:type="dxa"/>
              <w:left w:w="108" w:type="dxa"/>
              <w:bottom w:w="0" w:type="dxa"/>
              <w:right w:w="108" w:type="dxa"/>
            </w:tcMar>
          </w:tcPr>
          <w:p w14:paraId="63D0F0ED" w14:textId="20C7FD99" w:rsidR="00853B88" w:rsidRPr="008060B4" w:rsidRDefault="00853B88" w:rsidP="008060B4">
            <w:pPr>
              <w:pStyle w:val="Tabletext"/>
              <w:rPr>
                <w:b/>
              </w:rPr>
            </w:pPr>
            <w:r w:rsidRPr="008060B4">
              <w:rPr>
                <w:b/>
              </w:rPr>
              <w:t>Industry/</w:t>
            </w:r>
            <w:r w:rsidR="006F4F63" w:rsidRPr="008060B4">
              <w:rPr>
                <w:b/>
              </w:rPr>
              <w:t>Company’s</w:t>
            </w:r>
            <w:r w:rsidRPr="008060B4">
              <w:rPr>
                <w:b/>
              </w:rPr>
              <w:t xml:space="preserve"> 2014 Revenue</w:t>
            </w:r>
          </w:p>
        </w:tc>
        <w:tc>
          <w:tcPr>
            <w:tcW w:w="1765" w:type="pct"/>
            <w:tcBorders>
              <w:top w:val="single" w:sz="4" w:space="0" w:color="auto"/>
              <w:bottom w:val="single" w:sz="4" w:space="0" w:color="auto"/>
            </w:tcBorders>
            <w:shd w:val="clear" w:color="auto" w:fill="auto"/>
            <w:tcMar>
              <w:top w:w="0" w:type="dxa"/>
              <w:left w:w="108" w:type="dxa"/>
              <w:bottom w:w="0" w:type="dxa"/>
              <w:right w:w="108" w:type="dxa"/>
            </w:tcMar>
          </w:tcPr>
          <w:p w14:paraId="61B7A71C" w14:textId="77777777" w:rsidR="00853B88" w:rsidRPr="008060B4" w:rsidRDefault="00853B88" w:rsidP="008060B4">
            <w:pPr>
              <w:pStyle w:val="Tabletext"/>
              <w:rPr>
                <w:b/>
              </w:rPr>
            </w:pPr>
            <w:r w:rsidRPr="008060B4">
              <w:rPr>
                <w:b/>
              </w:rPr>
              <w:t>Role of interviewee</w:t>
            </w:r>
          </w:p>
        </w:tc>
        <w:tc>
          <w:tcPr>
            <w:tcW w:w="712" w:type="pct"/>
            <w:tcBorders>
              <w:top w:val="single" w:sz="4" w:space="0" w:color="auto"/>
              <w:bottom w:val="single" w:sz="4" w:space="0" w:color="auto"/>
            </w:tcBorders>
            <w:shd w:val="clear" w:color="auto" w:fill="auto"/>
            <w:tcMar>
              <w:top w:w="0" w:type="dxa"/>
              <w:left w:w="108" w:type="dxa"/>
              <w:bottom w:w="0" w:type="dxa"/>
              <w:right w:w="108" w:type="dxa"/>
            </w:tcMar>
          </w:tcPr>
          <w:p w14:paraId="5D92D668" w14:textId="29083093" w:rsidR="00853B88" w:rsidRPr="008060B4" w:rsidRDefault="00853B88" w:rsidP="008060B4">
            <w:pPr>
              <w:pStyle w:val="Tabletext"/>
              <w:rPr>
                <w:b/>
              </w:rPr>
            </w:pPr>
            <w:r w:rsidRPr="008060B4">
              <w:rPr>
                <w:b/>
              </w:rPr>
              <w:t>Duration of interview</w:t>
            </w:r>
          </w:p>
        </w:tc>
        <w:tc>
          <w:tcPr>
            <w:tcW w:w="714" w:type="pct"/>
            <w:tcBorders>
              <w:top w:val="single" w:sz="4" w:space="0" w:color="auto"/>
              <w:bottom w:val="single" w:sz="4" w:space="0" w:color="auto"/>
            </w:tcBorders>
            <w:shd w:val="clear" w:color="auto" w:fill="auto"/>
            <w:tcMar>
              <w:top w:w="0" w:type="dxa"/>
              <w:left w:w="108" w:type="dxa"/>
              <w:bottom w:w="0" w:type="dxa"/>
              <w:right w:w="108" w:type="dxa"/>
            </w:tcMar>
          </w:tcPr>
          <w:p w14:paraId="65382992" w14:textId="77777777" w:rsidR="00853B88" w:rsidRPr="008060B4" w:rsidRDefault="00853B88" w:rsidP="008060B4">
            <w:pPr>
              <w:pStyle w:val="Tabletext"/>
              <w:rPr>
                <w:b/>
              </w:rPr>
            </w:pPr>
            <w:r w:rsidRPr="008060B4">
              <w:rPr>
                <w:b/>
              </w:rPr>
              <w:t>Type of interview</w:t>
            </w:r>
          </w:p>
        </w:tc>
      </w:tr>
      <w:tr w:rsidR="002E118D" w:rsidRPr="002E118D" w14:paraId="6ED182AC" w14:textId="77777777" w:rsidTr="00034D4F">
        <w:tc>
          <w:tcPr>
            <w:tcW w:w="420" w:type="pct"/>
            <w:tcBorders>
              <w:top w:val="single" w:sz="4" w:space="0" w:color="auto"/>
            </w:tcBorders>
            <w:shd w:val="clear" w:color="auto" w:fill="auto"/>
            <w:tcMar>
              <w:top w:w="0" w:type="dxa"/>
              <w:left w:w="108" w:type="dxa"/>
              <w:bottom w:w="0" w:type="dxa"/>
              <w:right w:w="108" w:type="dxa"/>
            </w:tcMar>
          </w:tcPr>
          <w:p w14:paraId="2A656B9F" w14:textId="77777777" w:rsidR="00853B88" w:rsidRPr="008060B4" w:rsidRDefault="00853B88" w:rsidP="008060B4">
            <w:pPr>
              <w:pStyle w:val="Tabletext"/>
            </w:pPr>
            <w:r w:rsidRPr="008060B4">
              <w:t>B1</w:t>
            </w:r>
          </w:p>
        </w:tc>
        <w:tc>
          <w:tcPr>
            <w:tcW w:w="1389" w:type="pct"/>
            <w:tcBorders>
              <w:top w:val="single" w:sz="4" w:space="0" w:color="auto"/>
            </w:tcBorders>
            <w:shd w:val="clear" w:color="auto" w:fill="auto"/>
            <w:tcMar>
              <w:top w:w="0" w:type="dxa"/>
              <w:left w:w="108" w:type="dxa"/>
              <w:bottom w:w="0" w:type="dxa"/>
              <w:right w:w="108" w:type="dxa"/>
            </w:tcMar>
          </w:tcPr>
          <w:p w14:paraId="0FDE6CC2" w14:textId="62C4D36D" w:rsidR="00853B88" w:rsidRPr="008060B4" w:rsidRDefault="00853B88" w:rsidP="008060B4">
            <w:pPr>
              <w:pStyle w:val="Tabletext"/>
            </w:pPr>
            <w:r w:rsidRPr="008060B4">
              <w:t>Automotive (£75.4 b</w:t>
            </w:r>
            <w:r w:rsidR="00034D4F" w:rsidRPr="008060B4">
              <w:t>n</w:t>
            </w:r>
            <w:r w:rsidRPr="008060B4">
              <w:t>)</w:t>
            </w:r>
          </w:p>
        </w:tc>
        <w:tc>
          <w:tcPr>
            <w:tcW w:w="1765" w:type="pct"/>
            <w:tcBorders>
              <w:top w:val="single" w:sz="4" w:space="0" w:color="auto"/>
            </w:tcBorders>
            <w:shd w:val="clear" w:color="auto" w:fill="auto"/>
            <w:tcMar>
              <w:top w:w="0" w:type="dxa"/>
              <w:left w:w="108" w:type="dxa"/>
              <w:bottom w:w="0" w:type="dxa"/>
              <w:right w:w="108" w:type="dxa"/>
            </w:tcMar>
          </w:tcPr>
          <w:p w14:paraId="62FF1894" w14:textId="77777777" w:rsidR="00853B88" w:rsidRPr="008060B4" w:rsidRDefault="00853B88" w:rsidP="008060B4">
            <w:pPr>
              <w:pStyle w:val="Tabletext"/>
            </w:pPr>
            <w:r w:rsidRPr="008060B4">
              <w:t xml:space="preserve">Director </w:t>
            </w:r>
            <w:r w:rsidR="003D6BD4" w:rsidRPr="008060B4">
              <w:t xml:space="preserve">(Head of sustainability stakeholder engagement, business council for </w:t>
            </w:r>
            <w:r w:rsidR="00F673E6" w:rsidRPr="008060B4">
              <w:t>SD)</w:t>
            </w:r>
          </w:p>
        </w:tc>
        <w:tc>
          <w:tcPr>
            <w:tcW w:w="712" w:type="pct"/>
            <w:tcBorders>
              <w:top w:val="single" w:sz="4" w:space="0" w:color="auto"/>
            </w:tcBorders>
            <w:shd w:val="clear" w:color="auto" w:fill="auto"/>
            <w:tcMar>
              <w:top w:w="0" w:type="dxa"/>
              <w:left w:w="108" w:type="dxa"/>
              <w:bottom w:w="0" w:type="dxa"/>
              <w:right w:w="108" w:type="dxa"/>
            </w:tcMar>
          </w:tcPr>
          <w:p w14:paraId="6F5ED841" w14:textId="77777777" w:rsidR="00853B88" w:rsidRPr="008060B4" w:rsidRDefault="00853B88" w:rsidP="008060B4">
            <w:pPr>
              <w:pStyle w:val="Tabletext"/>
            </w:pPr>
            <w:r w:rsidRPr="008060B4">
              <w:t xml:space="preserve">38 minutes </w:t>
            </w:r>
          </w:p>
        </w:tc>
        <w:tc>
          <w:tcPr>
            <w:tcW w:w="714" w:type="pct"/>
            <w:tcBorders>
              <w:top w:val="single" w:sz="4" w:space="0" w:color="auto"/>
            </w:tcBorders>
            <w:shd w:val="clear" w:color="auto" w:fill="auto"/>
            <w:tcMar>
              <w:top w:w="0" w:type="dxa"/>
              <w:left w:w="108" w:type="dxa"/>
              <w:bottom w:w="0" w:type="dxa"/>
              <w:right w:w="108" w:type="dxa"/>
            </w:tcMar>
          </w:tcPr>
          <w:p w14:paraId="249B246F" w14:textId="77777777" w:rsidR="00853B88" w:rsidRPr="008060B4" w:rsidRDefault="00853B88" w:rsidP="008060B4">
            <w:pPr>
              <w:pStyle w:val="Tabletext"/>
            </w:pPr>
            <w:r w:rsidRPr="008060B4">
              <w:t>Skype</w:t>
            </w:r>
          </w:p>
        </w:tc>
      </w:tr>
      <w:tr w:rsidR="002E118D" w:rsidRPr="002E118D" w14:paraId="27351F7D" w14:textId="77777777" w:rsidTr="00034D4F">
        <w:tc>
          <w:tcPr>
            <w:tcW w:w="420" w:type="pct"/>
            <w:shd w:val="clear" w:color="auto" w:fill="auto"/>
            <w:tcMar>
              <w:top w:w="0" w:type="dxa"/>
              <w:left w:w="108" w:type="dxa"/>
              <w:bottom w:w="0" w:type="dxa"/>
              <w:right w:w="108" w:type="dxa"/>
            </w:tcMar>
          </w:tcPr>
          <w:p w14:paraId="768F0435" w14:textId="77777777" w:rsidR="00853B88" w:rsidRPr="008060B4" w:rsidRDefault="00853B88" w:rsidP="008060B4">
            <w:pPr>
              <w:pStyle w:val="Tabletext"/>
            </w:pPr>
            <w:r w:rsidRPr="008060B4">
              <w:t>B2</w:t>
            </w:r>
          </w:p>
        </w:tc>
        <w:tc>
          <w:tcPr>
            <w:tcW w:w="1389" w:type="pct"/>
            <w:shd w:val="clear" w:color="auto" w:fill="auto"/>
            <w:tcMar>
              <w:top w:w="0" w:type="dxa"/>
              <w:left w:w="108" w:type="dxa"/>
              <w:bottom w:w="0" w:type="dxa"/>
              <w:right w:w="108" w:type="dxa"/>
            </w:tcMar>
          </w:tcPr>
          <w:p w14:paraId="67A14BAE" w14:textId="228E6B4E" w:rsidR="00853B88" w:rsidRPr="008060B4" w:rsidRDefault="00034D4F" w:rsidP="008060B4">
            <w:pPr>
              <w:pStyle w:val="Tabletext"/>
            </w:pPr>
            <w:r w:rsidRPr="008060B4">
              <w:t>Retailer (</w:t>
            </w:r>
            <w:r w:rsidR="00853B88" w:rsidRPr="008060B4">
              <w:t>£43.6 b</w:t>
            </w:r>
            <w:r w:rsidRPr="008060B4">
              <w:t>n</w:t>
            </w:r>
            <w:r w:rsidR="00853B88" w:rsidRPr="008060B4">
              <w:t>)</w:t>
            </w:r>
          </w:p>
        </w:tc>
        <w:tc>
          <w:tcPr>
            <w:tcW w:w="1765" w:type="pct"/>
            <w:shd w:val="clear" w:color="auto" w:fill="auto"/>
            <w:tcMar>
              <w:top w:w="0" w:type="dxa"/>
              <w:left w:w="108" w:type="dxa"/>
              <w:bottom w:w="0" w:type="dxa"/>
              <w:right w:w="108" w:type="dxa"/>
            </w:tcMar>
          </w:tcPr>
          <w:p w14:paraId="31E137BD" w14:textId="77777777" w:rsidR="00853B88" w:rsidRPr="008060B4" w:rsidRDefault="00853B88" w:rsidP="008060B4">
            <w:pPr>
              <w:pStyle w:val="Tabletext"/>
            </w:pPr>
            <w:r w:rsidRPr="008060B4">
              <w:t>Director (</w:t>
            </w:r>
            <w:r w:rsidR="003D6BD4" w:rsidRPr="008060B4">
              <w:t>Sustainability reports planner and Environmental/Social corporate strategy decision-maker</w:t>
            </w:r>
            <w:r w:rsidR="003F1195" w:rsidRPr="008060B4">
              <w:t xml:space="preserve"> and continuous improvements)</w:t>
            </w:r>
          </w:p>
        </w:tc>
        <w:tc>
          <w:tcPr>
            <w:tcW w:w="712" w:type="pct"/>
            <w:shd w:val="clear" w:color="auto" w:fill="auto"/>
            <w:tcMar>
              <w:top w:w="0" w:type="dxa"/>
              <w:left w:w="108" w:type="dxa"/>
              <w:bottom w:w="0" w:type="dxa"/>
              <w:right w:w="108" w:type="dxa"/>
            </w:tcMar>
          </w:tcPr>
          <w:p w14:paraId="28242C39" w14:textId="77777777" w:rsidR="00853B88" w:rsidRPr="008060B4" w:rsidRDefault="00853B88" w:rsidP="008060B4">
            <w:pPr>
              <w:pStyle w:val="Tabletext"/>
            </w:pPr>
            <w:r w:rsidRPr="008060B4">
              <w:t>36 minutes</w:t>
            </w:r>
          </w:p>
        </w:tc>
        <w:tc>
          <w:tcPr>
            <w:tcW w:w="714" w:type="pct"/>
            <w:shd w:val="clear" w:color="auto" w:fill="auto"/>
            <w:tcMar>
              <w:top w:w="0" w:type="dxa"/>
              <w:left w:w="108" w:type="dxa"/>
              <w:bottom w:w="0" w:type="dxa"/>
              <w:right w:w="108" w:type="dxa"/>
            </w:tcMar>
          </w:tcPr>
          <w:p w14:paraId="0EC14307" w14:textId="77777777" w:rsidR="00853B88" w:rsidRPr="008060B4" w:rsidRDefault="00853B88" w:rsidP="008060B4">
            <w:pPr>
              <w:pStyle w:val="Tabletext"/>
            </w:pPr>
            <w:r w:rsidRPr="008060B4">
              <w:t xml:space="preserve">Face-to-face </w:t>
            </w:r>
          </w:p>
        </w:tc>
      </w:tr>
      <w:tr w:rsidR="002E118D" w:rsidRPr="002E118D" w14:paraId="6878292F" w14:textId="77777777" w:rsidTr="00034D4F">
        <w:trPr>
          <w:trHeight w:val="609"/>
        </w:trPr>
        <w:tc>
          <w:tcPr>
            <w:tcW w:w="420" w:type="pct"/>
            <w:shd w:val="clear" w:color="auto" w:fill="auto"/>
            <w:tcMar>
              <w:top w:w="0" w:type="dxa"/>
              <w:left w:w="108" w:type="dxa"/>
              <w:bottom w:w="0" w:type="dxa"/>
              <w:right w:w="108" w:type="dxa"/>
            </w:tcMar>
          </w:tcPr>
          <w:p w14:paraId="3C05BDE0" w14:textId="77777777" w:rsidR="00853B88" w:rsidRPr="008060B4" w:rsidRDefault="00853B88" w:rsidP="008060B4">
            <w:pPr>
              <w:pStyle w:val="Tabletext"/>
            </w:pPr>
            <w:r w:rsidRPr="008060B4">
              <w:t>B3</w:t>
            </w:r>
          </w:p>
        </w:tc>
        <w:tc>
          <w:tcPr>
            <w:tcW w:w="1389" w:type="pct"/>
            <w:shd w:val="clear" w:color="auto" w:fill="auto"/>
            <w:tcMar>
              <w:top w:w="0" w:type="dxa"/>
              <w:left w:w="108" w:type="dxa"/>
              <w:bottom w:w="0" w:type="dxa"/>
              <w:right w:w="108" w:type="dxa"/>
            </w:tcMar>
          </w:tcPr>
          <w:p w14:paraId="43520E72" w14:textId="7455623D" w:rsidR="00853B88" w:rsidRPr="008060B4" w:rsidRDefault="00853B88" w:rsidP="008060B4">
            <w:pPr>
              <w:pStyle w:val="Tabletext"/>
            </w:pPr>
            <w:r w:rsidRPr="008060B4">
              <w:t>Retailer (£49.5 b</w:t>
            </w:r>
            <w:r w:rsidR="00034D4F" w:rsidRPr="008060B4">
              <w:t>n</w:t>
            </w:r>
            <w:r w:rsidRPr="008060B4">
              <w:t>)</w:t>
            </w:r>
          </w:p>
        </w:tc>
        <w:tc>
          <w:tcPr>
            <w:tcW w:w="1765" w:type="pct"/>
            <w:shd w:val="clear" w:color="auto" w:fill="auto"/>
            <w:tcMar>
              <w:top w:w="0" w:type="dxa"/>
              <w:left w:w="108" w:type="dxa"/>
              <w:bottom w:w="0" w:type="dxa"/>
              <w:right w:w="108" w:type="dxa"/>
            </w:tcMar>
          </w:tcPr>
          <w:p w14:paraId="3E00FD9C" w14:textId="77777777" w:rsidR="00853B88" w:rsidRPr="008060B4" w:rsidRDefault="00853B88" w:rsidP="008060B4">
            <w:pPr>
              <w:pStyle w:val="Tabletext"/>
            </w:pPr>
            <w:r w:rsidRPr="008060B4">
              <w:t>Director (</w:t>
            </w:r>
            <w:r w:rsidR="003F1195" w:rsidRPr="008060B4">
              <w:t xml:space="preserve">Strategic planner for </w:t>
            </w:r>
            <w:r w:rsidR="00F673E6" w:rsidRPr="008060B4">
              <w:t>SD</w:t>
            </w:r>
            <w:r w:rsidR="003F1195" w:rsidRPr="008060B4">
              <w:t>)</w:t>
            </w:r>
          </w:p>
        </w:tc>
        <w:tc>
          <w:tcPr>
            <w:tcW w:w="712" w:type="pct"/>
            <w:shd w:val="clear" w:color="auto" w:fill="auto"/>
            <w:tcMar>
              <w:top w:w="0" w:type="dxa"/>
              <w:left w:w="108" w:type="dxa"/>
              <w:bottom w:w="0" w:type="dxa"/>
              <w:right w:w="108" w:type="dxa"/>
            </w:tcMar>
          </w:tcPr>
          <w:p w14:paraId="470E2D7A" w14:textId="77777777" w:rsidR="00853B88" w:rsidRPr="008060B4" w:rsidRDefault="008B6ED0" w:rsidP="008060B4">
            <w:pPr>
              <w:pStyle w:val="Tabletext"/>
            </w:pPr>
            <w:r w:rsidRPr="008060B4">
              <w:t>1 hour</w:t>
            </w:r>
          </w:p>
        </w:tc>
        <w:tc>
          <w:tcPr>
            <w:tcW w:w="714" w:type="pct"/>
            <w:shd w:val="clear" w:color="auto" w:fill="auto"/>
            <w:tcMar>
              <w:top w:w="0" w:type="dxa"/>
              <w:left w:w="108" w:type="dxa"/>
              <w:bottom w:w="0" w:type="dxa"/>
              <w:right w:w="108" w:type="dxa"/>
            </w:tcMar>
          </w:tcPr>
          <w:p w14:paraId="05F37911" w14:textId="77777777" w:rsidR="00853B88" w:rsidRPr="008060B4" w:rsidRDefault="00853B88" w:rsidP="008060B4">
            <w:pPr>
              <w:pStyle w:val="Tabletext"/>
            </w:pPr>
            <w:r w:rsidRPr="008060B4">
              <w:t>Face-to-face</w:t>
            </w:r>
          </w:p>
        </w:tc>
      </w:tr>
      <w:tr w:rsidR="002E118D" w:rsidRPr="002E118D" w14:paraId="69B404EC" w14:textId="77777777" w:rsidTr="00034D4F">
        <w:trPr>
          <w:trHeight w:val="593"/>
        </w:trPr>
        <w:tc>
          <w:tcPr>
            <w:tcW w:w="420" w:type="pct"/>
            <w:shd w:val="clear" w:color="auto" w:fill="auto"/>
            <w:tcMar>
              <w:top w:w="0" w:type="dxa"/>
              <w:left w:w="108" w:type="dxa"/>
              <w:bottom w:w="0" w:type="dxa"/>
              <w:right w:w="108" w:type="dxa"/>
            </w:tcMar>
          </w:tcPr>
          <w:p w14:paraId="64D0F020" w14:textId="77777777" w:rsidR="00853B88" w:rsidRPr="008060B4" w:rsidRDefault="00853B88" w:rsidP="008060B4">
            <w:pPr>
              <w:pStyle w:val="Tabletext"/>
            </w:pPr>
            <w:r w:rsidRPr="008060B4">
              <w:t>B4</w:t>
            </w:r>
          </w:p>
        </w:tc>
        <w:tc>
          <w:tcPr>
            <w:tcW w:w="1389" w:type="pct"/>
            <w:shd w:val="clear" w:color="auto" w:fill="auto"/>
            <w:tcMar>
              <w:top w:w="0" w:type="dxa"/>
              <w:left w:w="108" w:type="dxa"/>
              <w:bottom w:w="0" w:type="dxa"/>
              <w:right w:w="108" w:type="dxa"/>
            </w:tcMar>
          </w:tcPr>
          <w:p w14:paraId="3E98E5B9" w14:textId="6EE021A7" w:rsidR="00853B88" w:rsidRPr="008060B4" w:rsidRDefault="00853B88" w:rsidP="008060B4">
            <w:pPr>
              <w:pStyle w:val="Tabletext"/>
            </w:pPr>
            <w:r w:rsidRPr="008060B4">
              <w:t>Mining (£45.1 b</w:t>
            </w:r>
            <w:r w:rsidR="00034D4F" w:rsidRPr="008060B4">
              <w:t>n</w:t>
            </w:r>
            <w:r w:rsidRPr="008060B4">
              <w:t>)</w:t>
            </w:r>
          </w:p>
        </w:tc>
        <w:tc>
          <w:tcPr>
            <w:tcW w:w="1765" w:type="pct"/>
            <w:shd w:val="clear" w:color="auto" w:fill="auto"/>
            <w:tcMar>
              <w:top w:w="0" w:type="dxa"/>
              <w:left w:w="108" w:type="dxa"/>
              <w:bottom w:w="0" w:type="dxa"/>
              <w:right w:w="108" w:type="dxa"/>
            </w:tcMar>
          </w:tcPr>
          <w:p w14:paraId="0AB1CBD8" w14:textId="77777777" w:rsidR="00853B88" w:rsidRPr="008060B4" w:rsidRDefault="00853B88" w:rsidP="008060B4">
            <w:pPr>
              <w:pStyle w:val="Tabletext"/>
            </w:pPr>
            <w:r w:rsidRPr="008060B4">
              <w:t>Manager (</w:t>
            </w:r>
            <w:r w:rsidR="003F1195" w:rsidRPr="008060B4">
              <w:t xml:space="preserve">Sustainability report coordinator, continuous improvement for </w:t>
            </w:r>
            <w:r w:rsidR="00F673E6" w:rsidRPr="008060B4">
              <w:t>SD)</w:t>
            </w:r>
          </w:p>
        </w:tc>
        <w:tc>
          <w:tcPr>
            <w:tcW w:w="712" w:type="pct"/>
            <w:shd w:val="clear" w:color="auto" w:fill="auto"/>
            <w:tcMar>
              <w:top w:w="0" w:type="dxa"/>
              <w:left w:w="108" w:type="dxa"/>
              <w:bottom w:w="0" w:type="dxa"/>
              <w:right w:w="108" w:type="dxa"/>
            </w:tcMar>
          </w:tcPr>
          <w:p w14:paraId="61E5C494" w14:textId="77777777" w:rsidR="00853B88" w:rsidRPr="008060B4" w:rsidRDefault="00853B88" w:rsidP="008060B4">
            <w:pPr>
              <w:pStyle w:val="Tabletext"/>
            </w:pPr>
            <w:r w:rsidRPr="008060B4">
              <w:t>39 minutes</w:t>
            </w:r>
          </w:p>
        </w:tc>
        <w:tc>
          <w:tcPr>
            <w:tcW w:w="714" w:type="pct"/>
            <w:shd w:val="clear" w:color="auto" w:fill="auto"/>
            <w:tcMar>
              <w:top w:w="0" w:type="dxa"/>
              <w:left w:w="108" w:type="dxa"/>
              <w:bottom w:w="0" w:type="dxa"/>
              <w:right w:w="108" w:type="dxa"/>
            </w:tcMar>
          </w:tcPr>
          <w:p w14:paraId="46B35AED" w14:textId="77777777" w:rsidR="00853B88" w:rsidRPr="008060B4" w:rsidRDefault="00853B88" w:rsidP="008060B4">
            <w:pPr>
              <w:pStyle w:val="Tabletext"/>
            </w:pPr>
            <w:r w:rsidRPr="008060B4">
              <w:t>Skype</w:t>
            </w:r>
          </w:p>
        </w:tc>
      </w:tr>
      <w:tr w:rsidR="002E118D" w:rsidRPr="002E118D" w14:paraId="26213FFB" w14:textId="77777777" w:rsidTr="00034D4F">
        <w:trPr>
          <w:trHeight w:val="609"/>
        </w:trPr>
        <w:tc>
          <w:tcPr>
            <w:tcW w:w="420" w:type="pct"/>
            <w:shd w:val="clear" w:color="auto" w:fill="auto"/>
            <w:tcMar>
              <w:top w:w="0" w:type="dxa"/>
              <w:left w:w="108" w:type="dxa"/>
              <w:bottom w:w="0" w:type="dxa"/>
              <w:right w:w="108" w:type="dxa"/>
            </w:tcMar>
          </w:tcPr>
          <w:p w14:paraId="3A2DAEDF" w14:textId="77777777" w:rsidR="00853B88" w:rsidRPr="008060B4" w:rsidRDefault="00853B88" w:rsidP="008060B4">
            <w:pPr>
              <w:pStyle w:val="Tabletext"/>
            </w:pPr>
            <w:r w:rsidRPr="008060B4">
              <w:t>B5</w:t>
            </w:r>
          </w:p>
        </w:tc>
        <w:tc>
          <w:tcPr>
            <w:tcW w:w="1389" w:type="pct"/>
            <w:shd w:val="clear" w:color="auto" w:fill="auto"/>
            <w:tcMar>
              <w:top w:w="0" w:type="dxa"/>
              <w:left w:w="108" w:type="dxa"/>
              <w:bottom w:w="0" w:type="dxa"/>
              <w:right w:w="108" w:type="dxa"/>
            </w:tcMar>
          </w:tcPr>
          <w:p w14:paraId="059A7263" w14:textId="064B7677" w:rsidR="00853B88" w:rsidRPr="008060B4" w:rsidRDefault="00853B88" w:rsidP="008060B4">
            <w:pPr>
              <w:pStyle w:val="Tabletext"/>
            </w:pPr>
            <w:r w:rsidRPr="008060B4">
              <w:t>Mining (£69.2 b</w:t>
            </w:r>
            <w:r w:rsidR="00034D4F" w:rsidRPr="008060B4">
              <w:t>n</w:t>
            </w:r>
            <w:r w:rsidRPr="008060B4">
              <w:t>)</w:t>
            </w:r>
          </w:p>
        </w:tc>
        <w:tc>
          <w:tcPr>
            <w:tcW w:w="1765" w:type="pct"/>
            <w:shd w:val="clear" w:color="auto" w:fill="auto"/>
            <w:tcMar>
              <w:top w:w="0" w:type="dxa"/>
              <w:left w:w="108" w:type="dxa"/>
              <w:bottom w:w="0" w:type="dxa"/>
              <w:right w:w="108" w:type="dxa"/>
            </w:tcMar>
          </w:tcPr>
          <w:p w14:paraId="1122FD7C" w14:textId="77777777" w:rsidR="00853B88" w:rsidRPr="008060B4" w:rsidRDefault="00853B88" w:rsidP="008060B4">
            <w:pPr>
              <w:pStyle w:val="Tabletext"/>
            </w:pPr>
            <w:r w:rsidRPr="008060B4">
              <w:t>Manager (</w:t>
            </w:r>
            <w:r w:rsidR="003F1195" w:rsidRPr="008060B4">
              <w:t>Sustainability reporting advisor)</w:t>
            </w:r>
          </w:p>
        </w:tc>
        <w:tc>
          <w:tcPr>
            <w:tcW w:w="712" w:type="pct"/>
            <w:shd w:val="clear" w:color="auto" w:fill="auto"/>
            <w:tcMar>
              <w:top w:w="0" w:type="dxa"/>
              <w:left w:w="108" w:type="dxa"/>
              <w:bottom w:w="0" w:type="dxa"/>
              <w:right w:w="108" w:type="dxa"/>
            </w:tcMar>
          </w:tcPr>
          <w:p w14:paraId="06633666" w14:textId="77777777" w:rsidR="00853B88" w:rsidRPr="008060B4" w:rsidRDefault="00853B88" w:rsidP="008060B4">
            <w:pPr>
              <w:pStyle w:val="Tabletext"/>
            </w:pPr>
            <w:r w:rsidRPr="008060B4">
              <w:t>40 minutes</w:t>
            </w:r>
          </w:p>
        </w:tc>
        <w:tc>
          <w:tcPr>
            <w:tcW w:w="714" w:type="pct"/>
            <w:shd w:val="clear" w:color="auto" w:fill="auto"/>
            <w:tcMar>
              <w:top w:w="0" w:type="dxa"/>
              <w:left w:w="108" w:type="dxa"/>
              <w:bottom w:w="0" w:type="dxa"/>
              <w:right w:w="108" w:type="dxa"/>
            </w:tcMar>
          </w:tcPr>
          <w:p w14:paraId="272A8AF2" w14:textId="77777777" w:rsidR="00853B88" w:rsidRPr="008060B4" w:rsidRDefault="00853B88" w:rsidP="008060B4">
            <w:pPr>
              <w:pStyle w:val="Tabletext"/>
            </w:pPr>
            <w:r w:rsidRPr="008060B4">
              <w:t>Face-to-face</w:t>
            </w:r>
          </w:p>
        </w:tc>
      </w:tr>
      <w:tr w:rsidR="002E118D" w:rsidRPr="002E118D" w14:paraId="33A8BC73" w14:textId="77777777" w:rsidTr="00034D4F">
        <w:trPr>
          <w:trHeight w:val="593"/>
        </w:trPr>
        <w:tc>
          <w:tcPr>
            <w:tcW w:w="420" w:type="pct"/>
            <w:shd w:val="clear" w:color="auto" w:fill="auto"/>
            <w:tcMar>
              <w:top w:w="0" w:type="dxa"/>
              <w:left w:w="108" w:type="dxa"/>
              <w:bottom w:w="0" w:type="dxa"/>
              <w:right w:w="108" w:type="dxa"/>
            </w:tcMar>
          </w:tcPr>
          <w:p w14:paraId="64A04065" w14:textId="77777777" w:rsidR="00853B88" w:rsidRPr="008060B4" w:rsidRDefault="00853B88" w:rsidP="008060B4">
            <w:pPr>
              <w:pStyle w:val="Tabletext"/>
            </w:pPr>
            <w:r w:rsidRPr="008060B4">
              <w:t>B6</w:t>
            </w:r>
          </w:p>
        </w:tc>
        <w:tc>
          <w:tcPr>
            <w:tcW w:w="1389" w:type="pct"/>
            <w:shd w:val="clear" w:color="auto" w:fill="auto"/>
            <w:tcMar>
              <w:top w:w="0" w:type="dxa"/>
              <w:left w:w="108" w:type="dxa"/>
              <w:bottom w:w="0" w:type="dxa"/>
              <w:right w:w="108" w:type="dxa"/>
            </w:tcMar>
          </w:tcPr>
          <w:p w14:paraId="72D35614" w14:textId="4DD196F6" w:rsidR="00853B88" w:rsidRPr="008060B4" w:rsidRDefault="00853B88" w:rsidP="008060B4">
            <w:pPr>
              <w:pStyle w:val="Tabletext"/>
            </w:pPr>
            <w:r w:rsidRPr="008060B4">
              <w:t>Mining (£40 b</w:t>
            </w:r>
            <w:r w:rsidR="00034D4F" w:rsidRPr="008060B4">
              <w:t>n</w:t>
            </w:r>
            <w:r w:rsidRPr="008060B4">
              <w:t>)</w:t>
            </w:r>
          </w:p>
        </w:tc>
        <w:tc>
          <w:tcPr>
            <w:tcW w:w="1765" w:type="pct"/>
            <w:shd w:val="clear" w:color="auto" w:fill="auto"/>
            <w:tcMar>
              <w:top w:w="0" w:type="dxa"/>
              <w:left w:w="108" w:type="dxa"/>
              <w:bottom w:w="0" w:type="dxa"/>
              <w:right w:w="108" w:type="dxa"/>
            </w:tcMar>
          </w:tcPr>
          <w:p w14:paraId="309A32FB" w14:textId="77777777" w:rsidR="00853B88" w:rsidRPr="008060B4" w:rsidRDefault="00853B88" w:rsidP="008060B4">
            <w:pPr>
              <w:pStyle w:val="Tabletext"/>
            </w:pPr>
            <w:r w:rsidRPr="008060B4">
              <w:t>Manager (</w:t>
            </w:r>
            <w:r w:rsidR="003F1195" w:rsidRPr="008060B4">
              <w:t>Sustainability strategy, Reporting and Communication, Group Sustainability, Group Identity and Communication)</w:t>
            </w:r>
          </w:p>
        </w:tc>
        <w:tc>
          <w:tcPr>
            <w:tcW w:w="712" w:type="pct"/>
            <w:shd w:val="clear" w:color="auto" w:fill="auto"/>
            <w:tcMar>
              <w:top w:w="0" w:type="dxa"/>
              <w:left w:w="108" w:type="dxa"/>
              <w:bottom w:w="0" w:type="dxa"/>
              <w:right w:w="108" w:type="dxa"/>
            </w:tcMar>
          </w:tcPr>
          <w:p w14:paraId="26A28873" w14:textId="77777777" w:rsidR="00853B88" w:rsidRPr="008060B4" w:rsidRDefault="00853B88" w:rsidP="008060B4">
            <w:pPr>
              <w:pStyle w:val="Tabletext"/>
            </w:pPr>
            <w:r w:rsidRPr="008060B4">
              <w:t xml:space="preserve">30 minutes </w:t>
            </w:r>
          </w:p>
        </w:tc>
        <w:tc>
          <w:tcPr>
            <w:tcW w:w="714" w:type="pct"/>
            <w:shd w:val="clear" w:color="auto" w:fill="auto"/>
            <w:tcMar>
              <w:top w:w="0" w:type="dxa"/>
              <w:left w:w="108" w:type="dxa"/>
              <w:bottom w:w="0" w:type="dxa"/>
              <w:right w:w="108" w:type="dxa"/>
            </w:tcMar>
          </w:tcPr>
          <w:p w14:paraId="44595F45" w14:textId="77777777" w:rsidR="00853B88" w:rsidRPr="008060B4" w:rsidRDefault="00853B88" w:rsidP="008060B4">
            <w:pPr>
              <w:pStyle w:val="Tabletext"/>
            </w:pPr>
            <w:r w:rsidRPr="008060B4">
              <w:t xml:space="preserve">Skype </w:t>
            </w:r>
          </w:p>
        </w:tc>
      </w:tr>
      <w:tr w:rsidR="002E118D" w:rsidRPr="002E118D" w14:paraId="738AFBB6" w14:textId="77777777" w:rsidTr="00034D4F">
        <w:trPr>
          <w:trHeight w:val="593"/>
        </w:trPr>
        <w:tc>
          <w:tcPr>
            <w:tcW w:w="420" w:type="pct"/>
            <w:shd w:val="clear" w:color="auto" w:fill="auto"/>
            <w:tcMar>
              <w:top w:w="0" w:type="dxa"/>
              <w:left w:w="108" w:type="dxa"/>
              <w:bottom w:w="0" w:type="dxa"/>
              <w:right w:w="108" w:type="dxa"/>
            </w:tcMar>
          </w:tcPr>
          <w:p w14:paraId="6B524E35" w14:textId="77777777" w:rsidR="007541FC" w:rsidRPr="008060B4" w:rsidRDefault="007541FC" w:rsidP="008060B4">
            <w:pPr>
              <w:pStyle w:val="Tabletext"/>
            </w:pPr>
            <w:r w:rsidRPr="008060B4">
              <w:t>B7</w:t>
            </w:r>
          </w:p>
        </w:tc>
        <w:tc>
          <w:tcPr>
            <w:tcW w:w="1389" w:type="pct"/>
            <w:shd w:val="clear" w:color="auto" w:fill="auto"/>
            <w:tcMar>
              <w:top w:w="0" w:type="dxa"/>
              <w:left w:w="108" w:type="dxa"/>
              <w:bottom w:w="0" w:type="dxa"/>
              <w:right w:w="108" w:type="dxa"/>
            </w:tcMar>
          </w:tcPr>
          <w:p w14:paraId="4F8F3D91" w14:textId="1ECDE07C" w:rsidR="007541FC" w:rsidRPr="008060B4" w:rsidRDefault="003D6BD4" w:rsidP="008060B4">
            <w:pPr>
              <w:pStyle w:val="Tabletext"/>
            </w:pPr>
            <w:r w:rsidRPr="008060B4">
              <w:t>Financial service</w:t>
            </w:r>
            <w:r w:rsidR="008B2F28" w:rsidRPr="008060B4">
              <w:t>s</w:t>
            </w:r>
            <w:r w:rsidRPr="008060B4">
              <w:t xml:space="preserve"> (£46.9</w:t>
            </w:r>
            <w:r w:rsidR="00D967D7" w:rsidRPr="008060B4">
              <w:t> </w:t>
            </w:r>
            <w:r w:rsidRPr="008060B4">
              <w:t>b</w:t>
            </w:r>
            <w:r w:rsidR="00034D4F" w:rsidRPr="008060B4">
              <w:t>n</w:t>
            </w:r>
            <w:r w:rsidRPr="008060B4">
              <w:t>)</w:t>
            </w:r>
          </w:p>
        </w:tc>
        <w:tc>
          <w:tcPr>
            <w:tcW w:w="1765" w:type="pct"/>
            <w:shd w:val="clear" w:color="auto" w:fill="auto"/>
            <w:tcMar>
              <w:top w:w="0" w:type="dxa"/>
              <w:left w:w="108" w:type="dxa"/>
              <w:bottom w:w="0" w:type="dxa"/>
              <w:right w:w="108" w:type="dxa"/>
            </w:tcMar>
          </w:tcPr>
          <w:p w14:paraId="4539B652" w14:textId="77777777" w:rsidR="007541FC" w:rsidRPr="008060B4" w:rsidRDefault="003D6BD4" w:rsidP="008060B4">
            <w:pPr>
              <w:pStyle w:val="Tabletext"/>
            </w:pPr>
            <w:r w:rsidRPr="008060B4">
              <w:t xml:space="preserve">Head of Corporate responsibility and Civil Society </w:t>
            </w:r>
          </w:p>
        </w:tc>
        <w:tc>
          <w:tcPr>
            <w:tcW w:w="712" w:type="pct"/>
            <w:shd w:val="clear" w:color="auto" w:fill="auto"/>
            <w:tcMar>
              <w:top w:w="0" w:type="dxa"/>
              <w:left w:w="108" w:type="dxa"/>
              <w:bottom w:w="0" w:type="dxa"/>
              <w:right w:w="108" w:type="dxa"/>
            </w:tcMar>
          </w:tcPr>
          <w:p w14:paraId="52144F0A" w14:textId="77777777" w:rsidR="007541FC" w:rsidRPr="008060B4" w:rsidRDefault="003D6BD4" w:rsidP="008060B4">
            <w:pPr>
              <w:pStyle w:val="Tabletext"/>
            </w:pPr>
            <w:r w:rsidRPr="008060B4">
              <w:t>30 minutes</w:t>
            </w:r>
          </w:p>
        </w:tc>
        <w:tc>
          <w:tcPr>
            <w:tcW w:w="714" w:type="pct"/>
            <w:shd w:val="clear" w:color="auto" w:fill="auto"/>
            <w:tcMar>
              <w:top w:w="0" w:type="dxa"/>
              <w:left w:w="108" w:type="dxa"/>
              <w:bottom w:w="0" w:type="dxa"/>
              <w:right w:w="108" w:type="dxa"/>
            </w:tcMar>
          </w:tcPr>
          <w:p w14:paraId="70291802" w14:textId="77777777" w:rsidR="007541FC" w:rsidRPr="008060B4" w:rsidRDefault="003D6BD4" w:rsidP="008060B4">
            <w:pPr>
              <w:pStyle w:val="Tabletext"/>
            </w:pPr>
            <w:r w:rsidRPr="008060B4">
              <w:t>Telephone</w:t>
            </w:r>
          </w:p>
        </w:tc>
      </w:tr>
      <w:tr w:rsidR="002E118D" w:rsidRPr="002E118D" w14:paraId="03B667DD" w14:textId="77777777" w:rsidTr="00034D4F">
        <w:trPr>
          <w:trHeight w:val="593"/>
        </w:trPr>
        <w:tc>
          <w:tcPr>
            <w:tcW w:w="420" w:type="pct"/>
            <w:shd w:val="clear" w:color="auto" w:fill="auto"/>
            <w:tcMar>
              <w:top w:w="0" w:type="dxa"/>
              <w:left w:w="108" w:type="dxa"/>
              <w:bottom w:w="0" w:type="dxa"/>
              <w:right w:w="108" w:type="dxa"/>
            </w:tcMar>
          </w:tcPr>
          <w:p w14:paraId="35E7600A" w14:textId="77777777" w:rsidR="007541FC" w:rsidRPr="008060B4" w:rsidRDefault="007541FC" w:rsidP="008060B4">
            <w:pPr>
              <w:pStyle w:val="Tabletext"/>
            </w:pPr>
            <w:r w:rsidRPr="008060B4">
              <w:t>B8</w:t>
            </w:r>
          </w:p>
        </w:tc>
        <w:tc>
          <w:tcPr>
            <w:tcW w:w="1389" w:type="pct"/>
            <w:shd w:val="clear" w:color="auto" w:fill="auto"/>
            <w:tcMar>
              <w:top w:w="0" w:type="dxa"/>
              <w:left w:w="108" w:type="dxa"/>
              <w:bottom w:w="0" w:type="dxa"/>
              <w:right w:w="108" w:type="dxa"/>
            </w:tcMar>
          </w:tcPr>
          <w:p w14:paraId="085C4145" w14:textId="3358966C" w:rsidR="007541FC" w:rsidRPr="008060B4" w:rsidRDefault="003F1195" w:rsidP="008060B4">
            <w:pPr>
              <w:pStyle w:val="Tabletext"/>
            </w:pPr>
            <w:r w:rsidRPr="008060B4">
              <w:t>Telecommunication</w:t>
            </w:r>
            <w:r w:rsidR="008B2F28" w:rsidRPr="008060B4">
              <w:t>s</w:t>
            </w:r>
            <w:r w:rsidRPr="008060B4">
              <w:t xml:space="preserve"> (</w:t>
            </w:r>
            <w:r w:rsidR="004946F3" w:rsidRPr="008060B4">
              <w:t>£38.9</w:t>
            </w:r>
            <w:r w:rsidR="002F2D72" w:rsidRPr="008060B4">
              <w:t> </w:t>
            </w:r>
            <w:r w:rsidRPr="008060B4">
              <w:t>b</w:t>
            </w:r>
            <w:r w:rsidR="00034D4F" w:rsidRPr="008060B4">
              <w:t>n</w:t>
            </w:r>
            <w:r w:rsidRPr="008060B4">
              <w:t>)</w:t>
            </w:r>
          </w:p>
        </w:tc>
        <w:tc>
          <w:tcPr>
            <w:tcW w:w="1765" w:type="pct"/>
            <w:shd w:val="clear" w:color="auto" w:fill="auto"/>
            <w:tcMar>
              <w:top w:w="0" w:type="dxa"/>
              <w:left w:w="108" w:type="dxa"/>
              <w:bottom w:w="0" w:type="dxa"/>
              <w:right w:w="108" w:type="dxa"/>
            </w:tcMar>
          </w:tcPr>
          <w:p w14:paraId="56409B2E" w14:textId="77777777" w:rsidR="007541FC" w:rsidRPr="008060B4" w:rsidRDefault="003F1195" w:rsidP="008060B4">
            <w:pPr>
              <w:pStyle w:val="Tabletext"/>
            </w:pPr>
            <w:r w:rsidRPr="008060B4">
              <w:t>Director (Reporting and Insight within sustainability team)</w:t>
            </w:r>
          </w:p>
        </w:tc>
        <w:tc>
          <w:tcPr>
            <w:tcW w:w="712" w:type="pct"/>
            <w:shd w:val="clear" w:color="auto" w:fill="auto"/>
            <w:tcMar>
              <w:top w:w="0" w:type="dxa"/>
              <w:left w:w="108" w:type="dxa"/>
              <w:bottom w:w="0" w:type="dxa"/>
              <w:right w:w="108" w:type="dxa"/>
            </w:tcMar>
          </w:tcPr>
          <w:p w14:paraId="078E0683" w14:textId="77777777" w:rsidR="007541FC" w:rsidRPr="008060B4" w:rsidRDefault="003F1195" w:rsidP="008060B4">
            <w:pPr>
              <w:pStyle w:val="Tabletext"/>
            </w:pPr>
            <w:r w:rsidRPr="008060B4">
              <w:t>35 minutes</w:t>
            </w:r>
          </w:p>
        </w:tc>
        <w:tc>
          <w:tcPr>
            <w:tcW w:w="714" w:type="pct"/>
            <w:shd w:val="clear" w:color="auto" w:fill="auto"/>
            <w:tcMar>
              <w:top w:w="0" w:type="dxa"/>
              <w:left w:w="108" w:type="dxa"/>
              <w:bottom w:w="0" w:type="dxa"/>
              <w:right w:w="108" w:type="dxa"/>
            </w:tcMar>
          </w:tcPr>
          <w:p w14:paraId="6E9C780C" w14:textId="77777777" w:rsidR="007541FC" w:rsidRPr="008060B4" w:rsidRDefault="003F1195" w:rsidP="008060B4">
            <w:pPr>
              <w:pStyle w:val="Tabletext"/>
            </w:pPr>
            <w:r w:rsidRPr="008060B4">
              <w:t>Telephone</w:t>
            </w:r>
          </w:p>
        </w:tc>
      </w:tr>
      <w:tr w:rsidR="002E118D" w:rsidRPr="002E118D" w14:paraId="291F2403" w14:textId="77777777" w:rsidTr="00034D4F">
        <w:trPr>
          <w:trHeight w:val="593"/>
        </w:trPr>
        <w:tc>
          <w:tcPr>
            <w:tcW w:w="420" w:type="pct"/>
            <w:shd w:val="clear" w:color="auto" w:fill="auto"/>
            <w:tcMar>
              <w:top w:w="0" w:type="dxa"/>
              <w:left w:w="108" w:type="dxa"/>
              <w:bottom w:w="0" w:type="dxa"/>
              <w:right w:w="108" w:type="dxa"/>
            </w:tcMar>
          </w:tcPr>
          <w:p w14:paraId="07BB345F" w14:textId="77777777" w:rsidR="007541FC" w:rsidRPr="008060B4" w:rsidRDefault="007541FC" w:rsidP="008060B4">
            <w:pPr>
              <w:pStyle w:val="Tabletext"/>
            </w:pPr>
            <w:r w:rsidRPr="008060B4">
              <w:t>B9</w:t>
            </w:r>
          </w:p>
        </w:tc>
        <w:tc>
          <w:tcPr>
            <w:tcW w:w="1389" w:type="pct"/>
            <w:shd w:val="clear" w:color="auto" w:fill="auto"/>
            <w:tcMar>
              <w:top w:w="0" w:type="dxa"/>
              <w:left w:w="108" w:type="dxa"/>
              <w:bottom w:w="0" w:type="dxa"/>
              <w:right w:w="108" w:type="dxa"/>
            </w:tcMar>
          </w:tcPr>
          <w:p w14:paraId="33D4E4FF" w14:textId="0CDD7B1F" w:rsidR="007541FC" w:rsidRPr="008060B4" w:rsidRDefault="003F1195" w:rsidP="008060B4">
            <w:pPr>
              <w:pStyle w:val="Tabletext"/>
            </w:pPr>
            <w:r w:rsidRPr="008060B4">
              <w:t>Energy (</w:t>
            </w:r>
            <w:r w:rsidR="004946F3" w:rsidRPr="008060B4">
              <w:t xml:space="preserve">£45.9 </w:t>
            </w:r>
            <w:r w:rsidRPr="008060B4">
              <w:t>b</w:t>
            </w:r>
            <w:r w:rsidR="00034D4F" w:rsidRPr="008060B4">
              <w:t>n</w:t>
            </w:r>
            <w:r w:rsidRPr="008060B4">
              <w:t>)</w:t>
            </w:r>
          </w:p>
        </w:tc>
        <w:tc>
          <w:tcPr>
            <w:tcW w:w="1765" w:type="pct"/>
            <w:shd w:val="clear" w:color="auto" w:fill="auto"/>
            <w:tcMar>
              <w:top w:w="0" w:type="dxa"/>
              <w:left w:w="108" w:type="dxa"/>
              <w:bottom w:w="0" w:type="dxa"/>
              <w:right w:w="108" w:type="dxa"/>
            </w:tcMar>
          </w:tcPr>
          <w:p w14:paraId="0961E53B" w14:textId="77777777" w:rsidR="007541FC" w:rsidRPr="008060B4" w:rsidRDefault="003F1195" w:rsidP="008060B4">
            <w:pPr>
              <w:pStyle w:val="Tabletext"/>
            </w:pPr>
            <w:r w:rsidRPr="008060B4">
              <w:t>Senior Advisor (</w:t>
            </w:r>
            <w:r w:rsidR="00F673E6" w:rsidRPr="008060B4">
              <w:t>SASRs</w:t>
            </w:r>
            <w:r w:rsidRPr="008060B4">
              <w:t>)</w:t>
            </w:r>
          </w:p>
        </w:tc>
        <w:tc>
          <w:tcPr>
            <w:tcW w:w="712" w:type="pct"/>
            <w:shd w:val="clear" w:color="auto" w:fill="auto"/>
            <w:tcMar>
              <w:top w:w="0" w:type="dxa"/>
              <w:left w:w="108" w:type="dxa"/>
              <w:bottom w:w="0" w:type="dxa"/>
              <w:right w:w="108" w:type="dxa"/>
            </w:tcMar>
          </w:tcPr>
          <w:p w14:paraId="0BA3ACB4" w14:textId="77777777" w:rsidR="007541FC" w:rsidRPr="008060B4" w:rsidRDefault="003F1195" w:rsidP="008060B4">
            <w:pPr>
              <w:pStyle w:val="Tabletext"/>
            </w:pPr>
            <w:r w:rsidRPr="008060B4">
              <w:t>30 minutes</w:t>
            </w:r>
          </w:p>
        </w:tc>
        <w:tc>
          <w:tcPr>
            <w:tcW w:w="714" w:type="pct"/>
            <w:shd w:val="clear" w:color="auto" w:fill="auto"/>
            <w:tcMar>
              <w:top w:w="0" w:type="dxa"/>
              <w:left w:w="108" w:type="dxa"/>
              <w:bottom w:w="0" w:type="dxa"/>
              <w:right w:w="108" w:type="dxa"/>
            </w:tcMar>
          </w:tcPr>
          <w:p w14:paraId="21252592" w14:textId="5B29BC61" w:rsidR="007541FC" w:rsidRPr="008060B4" w:rsidRDefault="005F0425" w:rsidP="008060B4">
            <w:pPr>
              <w:pStyle w:val="Tabletext"/>
            </w:pPr>
            <w:r w:rsidRPr="008060B4">
              <w:t>Face-to-face</w:t>
            </w:r>
          </w:p>
        </w:tc>
      </w:tr>
      <w:tr w:rsidR="002E118D" w:rsidRPr="002E118D" w14:paraId="1FE75101" w14:textId="77777777" w:rsidTr="00780A08">
        <w:trPr>
          <w:trHeight w:val="593"/>
        </w:trPr>
        <w:tc>
          <w:tcPr>
            <w:tcW w:w="420" w:type="pct"/>
            <w:tcBorders>
              <w:bottom w:val="single" w:sz="4" w:space="0" w:color="auto"/>
            </w:tcBorders>
            <w:shd w:val="clear" w:color="auto" w:fill="auto"/>
            <w:tcMar>
              <w:top w:w="0" w:type="dxa"/>
              <w:left w:w="108" w:type="dxa"/>
              <w:bottom w:w="0" w:type="dxa"/>
              <w:right w:w="108" w:type="dxa"/>
            </w:tcMar>
          </w:tcPr>
          <w:p w14:paraId="2AB555FE" w14:textId="77777777" w:rsidR="007541FC" w:rsidRPr="008060B4" w:rsidRDefault="007541FC" w:rsidP="008060B4">
            <w:pPr>
              <w:pStyle w:val="Tabletext"/>
            </w:pPr>
            <w:r w:rsidRPr="008060B4">
              <w:t>B10</w:t>
            </w:r>
          </w:p>
        </w:tc>
        <w:tc>
          <w:tcPr>
            <w:tcW w:w="1389" w:type="pct"/>
            <w:tcBorders>
              <w:bottom w:val="single" w:sz="4" w:space="0" w:color="auto"/>
            </w:tcBorders>
            <w:shd w:val="clear" w:color="auto" w:fill="auto"/>
            <w:tcMar>
              <w:top w:w="0" w:type="dxa"/>
              <w:left w:w="108" w:type="dxa"/>
              <w:bottom w:w="0" w:type="dxa"/>
              <w:right w:w="108" w:type="dxa"/>
            </w:tcMar>
          </w:tcPr>
          <w:p w14:paraId="09B0AF05" w14:textId="688F7DC8" w:rsidR="007541FC" w:rsidRPr="008060B4" w:rsidRDefault="003F1195" w:rsidP="008060B4">
            <w:pPr>
              <w:pStyle w:val="Tabletext"/>
            </w:pPr>
            <w:r w:rsidRPr="008060B4">
              <w:t>Telecommunication</w:t>
            </w:r>
            <w:r w:rsidR="008B2F28" w:rsidRPr="008060B4">
              <w:t>s</w:t>
            </w:r>
            <w:r w:rsidRPr="008060B4">
              <w:t xml:space="preserve"> </w:t>
            </w:r>
            <w:r w:rsidR="00F673E6" w:rsidRPr="008060B4">
              <w:t>(£</w:t>
            </w:r>
            <w:r w:rsidR="004946F3" w:rsidRPr="008060B4">
              <w:t>52.5</w:t>
            </w:r>
            <w:r w:rsidR="002F2D72" w:rsidRPr="008060B4">
              <w:t> </w:t>
            </w:r>
            <w:r w:rsidR="00034D4F" w:rsidRPr="008060B4">
              <w:t>bn</w:t>
            </w:r>
            <w:r w:rsidR="004946F3" w:rsidRPr="008060B4">
              <w:t>)</w:t>
            </w:r>
          </w:p>
        </w:tc>
        <w:tc>
          <w:tcPr>
            <w:tcW w:w="1765" w:type="pct"/>
            <w:tcBorders>
              <w:bottom w:val="single" w:sz="4" w:space="0" w:color="auto"/>
            </w:tcBorders>
            <w:shd w:val="clear" w:color="auto" w:fill="auto"/>
            <w:tcMar>
              <w:top w:w="0" w:type="dxa"/>
              <w:left w:w="108" w:type="dxa"/>
              <w:bottom w:w="0" w:type="dxa"/>
              <w:right w:w="108" w:type="dxa"/>
            </w:tcMar>
          </w:tcPr>
          <w:p w14:paraId="5A36F9B4" w14:textId="77777777" w:rsidR="007541FC" w:rsidRPr="008060B4" w:rsidRDefault="003F1195" w:rsidP="008060B4">
            <w:pPr>
              <w:pStyle w:val="Tabletext"/>
            </w:pPr>
            <w:r w:rsidRPr="008060B4">
              <w:t>Head of sustainability engagement</w:t>
            </w:r>
          </w:p>
        </w:tc>
        <w:tc>
          <w:tcPr>
            <w:tcW w:w="712" w:type="pct"/>
            <w:tcBorders>
              <w:bottom w:val="single" w:sz="4" w:space="0" w:color="auto"/>
            </w:tcBorders>
            <w:shd w:val="clear" w:color="auto" w:fill="auto"/>
            <w:tcMar>
              <w:top w:w="0" w:type="dxa"/>
              <w:left w:w="108" w:type="dxa"/>
              <w:bottom w:w="0" w:type="dxa"/>
              <w:right w:w="108" w:type="dxa"/>
            </w:tcMar>
          </w:tcPr>
          <w:p w14:paraId="0A1652A6" w14:textId="77777777" w:rsidR="007541FC" w:rsidRPr="008060B4" w:rsidRDefault="003F1195" w:rsidP="008060B4">
            <w:pPr>
              <w:pStyle w:val="Tabletext"/>
            </w:pPr>
            <w:r w:rsidRPr="008060B4">
              <w:t>20 minutes</w:t>
            </w:r>
          </w:p>
        </w:tc>
        <w:tc>
          <w:tcPr>
            <w:tcW w:w="714" w:type="pct"/>
            <w:tcBorders>
              <w:bottom w:val="single" w:sz="4" w:space="0" w:color="auto"/>
            </w:tcBorders>
            <w:shd w:val="clear" w:color="auto" w:fill="auto"/>
            <w:tcMar>
              <w:top w:w="0" w:type="dxa"/>
              <w:left w:w="108" w:type="dxa"/>
              <w:bottom w:w="0" w:type="dxa"/>
              <w:right w:w="108" w:type="dxa"/>
            </w:tcMar>
          </w:tcPr>
          <w:p w14:paraId="156D5F22" w14:textId="77777777" w:rsidR="007541FC" w:rsidRPr="008060B4" w:rsidRDefault="003F1195" w:rsidP="008060B4">
            <w:pPr>
              <w:pStyle w:val="Tabletext"/>
            </w:pPr>
            <w:r w:rsidRPr="008060B4">
              <w:t>Telephone</w:t>
            </w:r>
          </w:p>
        </w:tc>
      </w:tr>
      <w:tr w:rsidR="00780A08" w:rsidRPr="002E118D" w14:paraId="4F32FB88" w14:textId="77777777" w:rsidTr="00780A08">
        <w:trPr>
          <w:trHeight w:val="593"/>
        </w:trPr>
        <w:tc>
          <w:tcPr>
            <w:tcW w:w="5000" w:type="pct"/>
            <w:gridSpan w:val="5"/>
            <w:tcBorders>
              <w:top w:val="single" w:sz="4" w:space="0" w:color="auto"/>
            </w:tcBorders>
            <w:shd w:val="clear" w:color="auto" w:fill="auto"/>
            <w:tcMar>
              <w:top w:w="0" w:type="dxa"/>
              <w:left w:w="108" w:type="dxa"/>
              <w:bottom w:w="0" w:type="dxa"/>
              <w:right w:w="108" w:type="dxa"/>
            </w:tcMar>
          </w:tcPr>
          <w:p w14:paraId="4D2CEAA8" w14:textId="33FB77CF" w:rsidR="00780A08" w:rsidRPr="008060B4" w:rsidRDefault="00780A08" w:rsidP="008060B4">
            <w:pPr>
              <w:pStyle w:val="Tabletext"/>
            </w:pPr>
            <w:r w:rsidRPr="008060B4">
              <w:t>Note: revenue amounts translated into £ at 31 December 2014</w:t>
            </w:r>
          </w:p>
        </w:tc>
      </w:tr>
    </w:tbl>
    <w:p w14:paraId="0EBA0D0F" w14:textId="3A3C35E5" w:rsidR="00216E2C" w:rsidRDefault="003A1938">
      <w:pPr>
        <w:rPr>
          <w:rFonts w:asciiTheme="minorBidi" w:hAnsiTheme="minorBidi"/>
        </w:rPr>
      </w:pPr>
      <w:r>
        <w:rPr>
          <w:rFonts w:asciiTheme="minorBidi" w:hAnsiTheme="minorBidi"/>
        </w:rPr>
        <w:t>We transcribed t</w:t>
      </w:r>
      <w:r w:rsidR="003F3E9E" w:rsidRPr="002E118D">
        <w:rPr>
          <w:rFonts w:asciiTheme="minorBidi" w:hAnsiTheme="minorBidi"/>
        </w:rPr>
        <w:t xml:space="preserve">he interviews and analysed </w:t>
      </w:r>
      <w:r>
        <w:rPr>
          <w:rFonts w:asciiTheme="minorBidi" w:hAnsiTheme="minorBidi"/>
        </w:rPr>
        <w:t xml:space="preserve">them </w:t>
      </w:r>
      <w:r w:rsidR="003F3E9E" w:rsidRPr="002E118D">
        <w:rPr>
          <w:rFonts w:asciiTheme="minorBidi" w:hAnsiTheme="minorBidi"/>
        </w:rPr>
        <w:t xml:space="preserve">by classifying responses to the various questions asked. </w:t>
      </w:r>
      <w:r>
        <w:rPr>
          <w:rFonts w:asciiTheme="minorBidi" w:hAnsiTheme="minorBidi"/>
        </w:rPr>
        <w:t>We highlighted p</w:t>
      </w:r>
      <w:r w:rsidR="003F3E9E" w:rsidRPr="002E118D">
        <w:rPr>
          <w:rFonts w:asciiTheme="minorBidi" w:hAnsiTheme="minorBidi"/>
        </w:rPr>
        <w:t xml:space="preserve">articularly informative and illustrative comments for later use in the discussion of research findings. Inevitably, some interviewees were more informative than others. The most helpful and informative comments came from face-to-face interviews, where it was easier for the interviewer to respond to non-verbal cues and probe in depth. In analysing the responses, we paid particular attention to evidence that would either support or contradict the </w:t>
      </w:r>
      <w:r w:rsidR="004C37C0" w:rsidRPr="002E118D">
        <w:rPr>
          <w:rFonts w:asciiTheme="minorBidi" w:hAnsiTheme="minorBidi"/>
        </w:rPr>
        <w:t>existence</w:t>
      </w:r>
      <w:r w:rsidR="003F3E9E" w:rsidRPr="002E118D">
        <w:rPr>
          <w:rFonts w:asciiTheme="minorBidi" w:hAnsiTheme="minorBidi"/>
        </w:rPr>
        <w:t xml:space="preserve"> of functional stupidity</w:t>
      </w:r>
      <w:r w:rsidR="004C37C0" w:rsidRPr="002E118D">
        <w:rPr>
          <w:rFonts w:asciiTheme="minorBidi" w:hAnsiTheme="minorBidi"/>
        </w:rPr>
        <w:t xml:space="preserve"> in the organisation</w:t>
      </w:r>
      <w:r w:rsidR="003F3E9E" w:rsidRPr="002E118D">
        <w:rPr>
          <w:rFonts w:asciiTheme="minorBidi" w:hAnsiTheme="minorBidi"/>
        </w:rPr>
        <w:t xml:space="preserve">. As noted in Section 3, functional stupidity in an organisation is associated with a significant reduction in </w:t>
      </w:r>
      <w:r w:rsidR="003F3E9E" w:rsidRPr="001D1EEE">
        <w:rPr>
          <w:rFonts w:asciiTheme="minorBidi" w:hAnsiTheme="minorBidi"/>
          <w:i/>
        </w:rPr>
        <w:t>reflexivity</w:t>
      </w:r>
      <w:r w:rsidR="003F3E9E" w:rsidRPr="002E118D">
        <w:rPr>
          <w:rFonts w:asciiTheme="minorBidi" w:hAnsiTheme="minorBidi"/>
        </w:rPr>
        <w:t xml:space="preserve">, </w:t>
      </w:r>
      <w:r w:rsidR="007F1444" w:rsidRPr="001D1EEE">
        <w:rPr>
          <w:rFonts w:asciiTheme="minorBidi" w:hAnsiTheme="minorBidi"/>
          <w:i/>
        </w:rPr>
        <w:t>justification,</w:t>
      </w:r>
      <w:r w:rsidR="003F3E9E" w:rsidRPr="001D1EEE">
        <w:rPr>
          <w:rFonts w:asciiTheme="minorBidi" w:hAnsiTheme="minorBidi"/>
          <w:i/>
        </w:rPr>
        <w:t xml:space="preserve"> </w:t>
      </w:r>
      <w:r w:rsidR="003F3E9E" w:rsidRPr="002E118D">
        <w:rPr>
          <w:rFonts w:asciiTheme="minorBidi" w:hAnsiTheme="minorBidi"/>
        </w:rPr>
        <w:t xml:space="preserve">and </w:t>
      </w:r>
      <w:r w:rsidR="003F3E9E" w:rsidRPr="001D1EEE">
        <w:rPr>
          <w:rFonts w:asciiTheme="minorBidi" w:hAnsiTheme="minorBidi"/>
          <w:i/>
        </w:rPr>
        <w:t>substantive reasoning</w:t>
      </w:r>
      <w:r w:rsidR="003F3E9E" w:rsidRPr="002E118D">
        <w:rPr>
          <w:rFonts w:asciiTheme="minorBidi" w:hAnsiTheme="minorBidi"/>
        </w:rPr>
        <w:t>. We therefore identified statements where interviewees discussed the extent to which they felt able to exercise autonomy over the preparation of SASRs, rather than regarding themselves as constrained by the CEO’s reporting strategy</w:t>
      </w:r>
      <w:r w:rsidR="00D75BEC">
        <w:rPr>
          <w:rFonts w:asciiTheme="minorBidi" w:hAnsiTheme="minorBidi"/>
        </w:rPr>
        <w:t>:</w:t>
      </w:r>
      <w:r w:rsidR="003F3E9E" w:rsidRPr="002E118D">
        <w:rPr>
          <w:rFonts w:asciiTheme="minorBidi" w:hAnsiTheme="minorBidi"/>
        </w:rPr>
        <w:t xml:space="preserve"> </w:t>
      </w:r>
    </w:p>
    <w:p w14:paraId="33D1951D" w14:textId="32EC5866" w:rsidR="00216E2C" w:rsidRDefault="003F3E9E" w:rsidP="001D1EEE">
      <w:pPr>
        <w:pStyle w:val="ListParagraph"/>
        <w:numPr>
          <w:ilvl w:val="0"/>
          <w:numId w:val="56"/>
        </w:numPr>
        <w:rPr>
          <w:rFonts w:asciiTheme="minorBidi" w:hAnsiTheme="minorBidi"/>
        </w:rPr>
      </w:pPr>
      <w:r w:rsidRPr="001D1EEE">
        <w:rPr>
          <w:rFonts w:asciiTheme="minorBidi" w:hAnsiTheme="minorBidi"/>
        </w:rPr>
        <w:t xml:space="preserve">How far were reporting managers able to reflect on and criticise </w:t>
      </w:r>
      <w:r w:rsidR="008D6AAA" w:rsidRPr="001D1EEE">
        <w:rPr>
          <w:rFonts w:asciiTheme="minorBidi" w:hAnsiTheme="minorBidi"/>
        </w:rPr>
        <w:t>the CEO’s strategy, rather than such criticism being discouraged or even blocked altogether</w:t>
      </w:r>
      <w:r w:rsidR="0048300A" w:rsidRPr="001D1EEE">
        <w:rPr>
          <w:rFonts w:asciiTheme="minorBidi" w:hAnsiTheme="minorBidi"/>
        </w:rPr>
        <w:t>? (Reflexivity).</w:t>
      </w:r>
      <w:r w:rsidR="00886A4E">
        <w:rPr>
          <w:rFonts w:asciiTheme="minorBidi" w:hAnsiTheme="minorBidi"/>
        </w:rPr>
        <w:t xml:space="preserve"> </w:t>
      </w:r>
    </w:p>
    <w:p w14:paraId="12278921" w14:textId="431EE7CD" w:rsidR="00216E2C" w:rsidRDefault="00216E2C" w:rsidP="001D1EEE">
      <w:pPr>
        <w:pStyle w:val="ListParagraph"/>
        <w:numPr>
          <w:ilvl w:val="0"/>
          <w:numId w:val="56"/>
        </w:numPr>
        <w:rPr>
          <w:rFonts w:asciiTheme="minorBidi" w:hAnsiTheme="minorBidi"/>
        </w:rPr>
      </w:pPr>
      <w:r w:rsidRPr="001D1EEE">
        <w:rPr>
          <w:rFonts w:asciiTheme="minorBidi" w:hAnsiTheme="minorBidi"/>
        </w:rPr>
        <w:lastRenderedPageBreak/>
        <w:t>Were managers discouraged from dialogue?</w:t>
      </w:r>
      <w:r w:rsidR="00886A4E">
        <w:rPr>
          <w:rFonts w:asciiTheme="minorBidi" w:hAnsiTheme="minorBidi"/>
        </w:rPr>
        <w:t xml:space="preserve"> </w:t>
      </w:r>
      <w:r w:rsidRPr="001D1EEE">
        <w:rPr>
          <w:rFonts w:asciiTheme="minorBidi" w:hAnsiTheme="minorBidi"/>
        </w:rPr>
        <w:t>(Justification).</w:t>
      </w:r>
      <w:r w:rsidR="00886A4E">
        <w:rPr>
          <w:rFonts w:asciiTheme="minorBidi" w:hAnsiTheme="minorBidi"/>
        </w:rPr>
        <w:t xml:space="preserve"> </w:t>
      </w:r>
    </w:p>
    <w:p w14:paraId="38BEF72F" w14:textId="77777777" w:rsidR="00216E2C" w:rsidRDefault="008D6AAA" w:rsidP="001D1EEE">
      <w:pPr>
        <w:pStyle w:val="ListParagraph"/>
        <w:numPr>
          <w:ilvl w:val="0"/>
          <w:numId w:val="56"/>
        </w:numPr>
        <w:rPr>
          <w:rFonts w:asciiTheme="minorBidi" w:hAnsiTheme="minorBidi"/>
        </w:rPr>
      </w:pPr>
      <w:r w:rsidRPr="001D1EEE">
        <w:rPr>
          <w:rFonts w:asciiTheme="minorBidi" w:hAnsiTheme="minorBidi"/>
        </w:rPr>
        <w:t xml:space="preserve">How was the use and role of external design consultants rationalised: as enhancing the substantive content of the SASRs, or as providing a superficial design framework for a report that ultimately supported a strategy of </w:t>
      </w:r>
      <w:r w:rsidR="004C37C0" w:rsidRPr="001D1EEE">
        <w:rPr>
          <w:rFonts w:asciiTheme="minorBidi" w:hAnsiTheme="minorBidi"/>
        </w:rPr>
        <w:t>impression management</w:t>
      </w:r>
      <w:r w:rsidRPr="001D1EEE">
        <w:rPr>
          <w:rFonts w:asciiTheme="minorBidi" w:hAnsiTheme="minorBidi"/>
        </w:rPr>
        <w:t>?</w:t>
      </w:r>
      <w:r w:rsidR="00216E2C" w:rsidRPr="001D1EEE">
        <w:rPr>
          <w:rFonts w:asciiTheme="minorBidi" w:hAnsiTheme="minorBidi"/>
        </w:rPr>
        <w:t xml:space="preserve"> (Substantive reasoning)</w:t>
      </w:r>
      <w:r w:rsidRPr="001D1EEE">
        <w:rPr>
          <w:rFonts w:asciiTheme="minorBidi" w:hAnsiTheme="minorBidi"/>
        </w:rPr>
        <w:t xml:space="preserve"> </w:t>
      </w:r>
    </w:p>
    <w:p w14:paraId="13F1ED64" w14:textId="111DAA55" w:rsidR="003F3E9E" w:rsidRPr="001D1EEE" w:rsidRDefault="004C37C0" w:rsidP="00631B75">
      <w:r w:rsidRPr="001D1EEE">
        <w:t>If</w:t>
      </w:r>
      <w:r w:rsidR="008D6AAA" w:rsidRPr="001D1EEE">
        <w:t xml:space="preserve"> the reporting managers and external designers were able to exercise a substantive and autonomous role in preparing the SASRs, we </w:t>
      </w:r>
      <w:r w:rsidRPr="001D1EEE">
        <w:t xml:space="preserve">would be able to </w:t>
      </w:r>
      <w:r w:rsidR="008D6AAA" w:rsidRPr="001D1EEE">
        <w:t>conclude that functional stupidity was not an important factor in describing the organisation</w:t>
      </w:r>
      <w:r w:rsidRPr="001D1EEE">
        <w:t>.</w:t>
      </w:r>
      <w:r w:rsidR="008D6AAA" w:rsidRPr="001D1EEE">
        <w:t xml:space="preserve"> </w:t>
      </w:r>
      <w:r w:rsidRPr="001D1EEE">
        <w:t>On the other hand, if</w:t>
      </w:r>
      <w:r w:rsidR="008D6AAA" w:rsidRPr="001D1EEE">
        <w:t xml:space="preserve"> preparation </w:t>
      </w:r>
      <w:r w:rsidRPr="001D1EEE">
        <w:t xml:space="preserve">of the SASR </w:t>
      </w:r>
      <w:r w:rsidR="008D6AAA" w:rsidRPr="001D1EEE">
        <w:t xml:space="preserve">was largely driven by the CEO’s strategy, with the expertise of the reporting managers and external designers focused on putting this strategy into effect rather than being used to challenge dominant values in the organisation, the functional stupidity explanation </w:t>
      </w:r>
      <w:r w:rsidRPr="001D1EEE">
        <w:t>would</w:t>
      </w:r>
      <w:r w:rsidR="008D6AAA" w:rsidRPr="001D1EEE">
        <w:t xml:space="preserve"> be more plausible.</w:t>
      </w:r>
    </w:p>
    <w:p w14:paraId="7E8A15B2" w14:textId="6796040B" w:rsidR="006633DD" w:rsidRPr="002E118D" w:rsidRDefault="00FE51B4" w:rsidP="00D56CC9">
      <w:pPr>
        <w:pStyle w:val="Heading1"/>
      </w:pPr>
      <w:r w:rsidRPr="002E118D">
        <w:t>Findings</w:t>
      </w:r>
    </w:p>
    <w:p w14:paraId="60B107BF" w14:textId="7E595EEC" w:rsidR="00D56CC9" w:rsidRPr="002E118D" w:rsidRDefault="003A1938" w:rsidP="009338AF">
      <w:r>
        <w:t xml:space="preserve">We </w:t>
      </w:r>
      <w:r w:rsidR="00D2600B">
        <w:t>have</w:t>
      </w:r>
      <w:r w:rsidR="007F1444">
        <w:t xml:space="preserve"> </w:t>
      </w:r>
      <w:r>
        <w:t>divided t</w:t>
      </w:r>
      <w:r w:rsidR="00D56CC9" w:rsidRPr="002E118D">
        <w:t xml:space="preserve">he </w:t>
      </w:r>
      <w:r w:rsidR="004C37C0" w:rsidRPr="002E118D">
        <w:t xml:space="preserve">review of the empirical </w:t>
      </w:r>
      <w:r w:rsidR="00D56CC9" w:rsidRPr="002E118D">
        <w:t>findings</w:t>
      </w:r>
      <w:r w:rsidR="004C37C0" w:rsidRPr="002E118D">
        <w:t xml:space="preserve"> </w:t>
      </w:r>
      <w:r w:rsidR="00D56CC9" w:rsidRPr="002E118D">
        <w:t xml:space="preserve">into </w:t>
      </w:r>
      <w:r w:rsidR="002D531C" w:rsidRPr="002E118D">
        <w:t>four</w:t>
      </w:r>
      <w:r w:rsidR="00D56CC9" w:rsidRPr="002E118D">
        <w:t xml:space="preserve"> </w:t>
      </w:r>
      <w:r w:rsidR="006633DD" w:rsidRPr="002E118D">
        <w:t>parts</w:t>
      </w:r>
      <w:r w:rsidR="00D56CC9" w:rsidRPr="002E118D">
        <w:t xml:space="preserve">. Section 5.1 </w:t>
      </w:r>
      <w:r w:rsidR="00BF3106">
        <w:t>is fact-finding</w:t>
      </w:r>
      <w:r w:rsidR="00D2600B">
        <w:t>:</w:t>
      </w:r>
      <w:r w:rsidR="00BF3106">
        <w:t xml:space="preserve"> </w:t>
      </w:r>
      <w:r>
        <w:t>we explore</w:t>
      </w:r>
      <w:r w:rsidR="00D56CC9" w:rsidRPr="002E118D">
        <w:t xml:space="preserve"> the people</w:t>
      </w:r>
      <w:r w:rsidR="00BF3106">
        <w:t xml:space="preserve"> and </w:t>
      </w:r>
      <w:r w:rsidR="00620FEC">
        <w:t xml:space="preserve">departments </w:t>
      </w:r>
      <w:r w:rsidR="00620FEC" w:rsidRPr="002E118D">
        <w:t>that</w:t>
      </w:r>
      <w:r w:rsidR="00D56CC9" w:rsidRPr="002E118D">
        <w:t xml:space="preserve"> are involved in the preparation of SASRs</w:t>
      </w:r>
      <w:r w:rsidR="004C37C0" w:rsidRPr="002E118D">
        <w:t xml:space="preserve">, and </w:t>
      </w:r>
      <w:r w:rsidR="00D2600B">
        <w:t xml:space="preserve">we </w:t>
      </w:r>
      <w:r w:rsidR="004C37C0" w:rsidRPr="002E118D">
        <w:t>also examine practical issues such as</w:t>
      </w:r>
      <w:r w:rsidR="00BF3106">
        <w:t xml:space="preserve"> the</w:t>
      </w:r>
      <w:r w:rsidR="00D56CC9" w:rsidRPr="002E118D">
        <w:t xml:space="preserve"> time taken and cost. </w:t>
      </w:r>
      <w:r>
        <w:t xml:space="preserve">In </w:t>
      </w:r>
      <w:r w:rsidR="00D56CC9" w:rsidRPr="002E118D">
        <w:t>Section 5.</w:t>
      </w:r>
      <w:r>
        <w:t>2 we investigate</w:t>
      </w:r>
      <w:r w:rsidR="00BF3106">
        <w:t xml:space="preserve"> in more detail the respective roles of the</w:t>
      </w:r>
      <w:r w:rsidR="008B4396">
        <w:t xml:space="preserve"> CEO and the reporting manager</w:t>
      </w:r>
      <w:r w:rsidR="00D75BEC">
        <w:t>(</w:t>
      </w:r>
      <w:r w:rsidR="008B4396">
        <w:t>s</w:t>
      </w:r>
      <w:r w:rsidR="00D75BEC">
        <w:t>)</w:t>
      </w:r>
      <w:r w:rsidR="004C37C0" w:rsidRPr="002E118D">
        <w:t>.</w:t>
      </w:r>
      <w:r w:rsidR="00D56CC9" w:rsidRPr="002E118D">
        <w:t xml:space="preserve"> </w:t>
      </w:r>
      <w:r>
        <w:t xml:space="preserve">In </w:t>
      </w:r>
      <w:r w:rsidR="00D56CC9" w:rsidRPr="002E118D">
        <w:t>Section 5.</w:t>
      </w:r>
      <w:r w:rsidR="00646C48" w:rsidRPr="002E118D">
        <w:t>3</w:t>
      </w:r>
      <w:r w:rsidR="00D56CC9" w:rsidRPr="002E118D">
        <w:t xml:space="preserve"> </w:t>
      </w:r>
      <w:r>
        <w:t xml:space="preserve">we </w:t>
      </w:r>
      <w:r w:rsidR="00D56CC9" w:rsidRPr="002E118D">
        <w:t>dis</w:t>
      </w:r>
      <w:r w:rsidR="006633DD" w:rsidRPr="002E118D">
        <w:t>cuss the rationale for the inclusion of visuals and the role of the</w:t>
      </w:r>
      <w:r w:rsidR="008B4396">
        <w:t xml:space="preserve"> CEO and the</w:t>
      </w:r>
      <w:r w:rsidR="006633DD" w:rsidRPr="002E118D">
        <w:t xml:space="preserve"> reporting manager</w:t>
      </w:r>
      <w:r w:rsidR="00D75BEC">
        <w:t>(</w:t>
      </w:r>
      <w:r w:rsidR="006633DD" w:rsidRPr="002E118D">
        <w:t>s</w:t>
      </w:r>
      <w:r w:rsidR="00D75BEC">
        <w:t>)</w:t>
      </w:r>
      <w:r w:rsidR="006633DD" w:rsidRPr="002E118D">
        <w:t xml:space="preserve"> in the </w:t>
      </w:r>
      <w:r w:rsidR="004C37C0" w:rsidRPr="002E118D">
        <w:t xml:space="preserve">process of </w:t>
      </w:r>
      <w:r w:rsidR="006633DD" w:rsidRPr="002E118D">
        <w:t>selectin</w:t>
      </w:r>
      <w:r w:rsidR="004C37C0" w:rsidRPr="002E118D">
        <w:t>g</w:t>
      </w:r>
      <w:r w:rsidR="006633DD" w:rsidRPr="002E118D">
        <w:t xml:space="preserve"> </w:t>
      </w:r>
      <w:r w:rsidR="004C37C0" w:rsidRPr="002E118D">
        <w:t>visuals</w:t>
      </w:r>
      <w:r w:rsidR="006633DD" w:rsidRPr="002E118D">
        <w:t xml:space="preserve">. </w:t>
      </w:r>
      <w:r>
        <w:t xml:space="preserve">We consider </w:t>
      </w:r>
      <w:r w:rsidR="0058288D" w:rsidRPr="002E118D">
        <w:t>the use</w:t>
      </w:r>
      <w:r w:rsidR="008B4396">
        <w:t>, selection and design</w:t>
      </w:r>
      <w:r w:rsidR="0058288D" w:rsidRPr="002E118D">
        <w:t xml:space="preserve"> of blank </w:t>
      </w:r>
      <w:r w:rsidR="00272F63" w:rsidRPr="002E118D">
        <w:t>space</w:t>
      </w:r>
      <w:r>
        <w:t xml:space="preserve"> in Section 5.4</w:t>
      </w:r>
      <w:r w:rsidR="00BD6B52" w:rsidRPr="002E118D">
        <w:t>.</w:t>
      </w:r>
      <w:r w:rsidR="006633DD" w:rsidRPr="002E118D">
        <w:t xml:space="preserve"> </w:t>
      </w:r>
    </w:p>
    <w:p w14:paraId="0F64EED7" w14:textId="7B0602BB" w:rsidR="0054266F" w:rsidRPr="002E118D" w:rsidRDefault="00D2600B" w:rsidP="00631B75">
      <w:pPr>
        <w:pStyle w:val="Heading2"/>
      </w:pPr>
      <w:r>
        <w:t xml:space="preserve">5.1 </w:t>
      </w:r>
      <w:r w:rsidR="0054266F" w:rsidRPr="002E118D">
        <w:t>How and by whom are GRI-compliant SASRs prepared?</w:t>
      </w:r>
    </w:p>
    <w:p w14:paraId="76246A09" w14:textId="6F04EEBE" w:rsidR="008B4396" w:rsidRPr="00620FEC" w:rsidRDefault="00D2600B" w:rsidP="00620FEC">
      <w:pPr>
        <w:rPr>
          <w:rFonts w:asciiTheme="minorBidi" w:hAnsiTheme="minorBidi"/>
          <w:bCs/>
        </w:rPr>
      </w:pPr>
      <w:r>
        <w:rPr>
          <w:rFonts w:asciiTheme="minorBidi" w:hAnsiTheme="minorBidi"/>
          <w:bCs/>
        </w:rPr>
        <w:t xml:space="preserve">This section addresses the first research question (RQ1). This is split into two sub-questions: </w:t>
      </w:r>
      <w:r w:rsidR="00794D2D">
        <w:rPr>
          <w:rFonts w:asciiTheme="minorBidi" w:hAnsiTheme="minorBidi"/>
          <w:bCs/>
        </w:rPr>
        <w:t>w</w:t>
      </w:r>
      <w:r w:rsidR="0054266F" w:rsidRPr="002E118D">
        <w:rPr>
          <w:rFonts w:asciiTheme="minorBidi" w:hAnsiTheme="minorBidi"/>
          <w:bCs/>
        </w:rPr>
        <w:t>ho is responsible within the organisation for preparing SASRs?</w:t>
      </w:r>
      <w:r>
        <w:rPr>
          <w:rFonts w:asciiTheme="minorBidi" w:hAnsiTheme="minorBidi"/>
          <w:bCs/>
        </w:rPr>
        <w:t xml:space="preserve"> (RQ1.1); and</w:t>
      </w:r>
      <w:r w:rsidR="0054266F" w:rsidRPr="002E118D">
        <w:rPr>
          <w:rFonts w:asciiTheme="minorBidi" w:hAnsiTheme="minorBidi"/>
          <w:bCs/>
        </w:rPr>
        <w:t xml:space="preserve"> </w:t>
      </w:r>
      <w:r w:rsidR="00794D2D">
        <w:rPr>
          <w:rFonts w:asciiTheme="minorBidi" w:hAnsiTheme="minorBidi"/>
          <w:bCs/>
        </w:rPr>
        <w:t>h</w:t>
      </w:r>
      <w:r w:rsidR="0054266F" w:rsidRPr="002E118D">
        <w:rPr>
          <w:rFonts w:asciiTheme="minorBidi" w:hAnsiTheme="minorBidi"/>
          <w:bCs/>
        </w:rPr>
        <w:t>ow long does it take</w:t>
      </w:r>
      <w:r w:rsidR="002B1D11">
        <w:rPr>
          <w:rFonts w:asciiTheme="minorBidi" w:hAnsiTheme="minorBidi"/>
          <w:bCs/>
        </w:rPr>
        <w:t>, how many people are involved,</w:t>
      </w:r>
      <w:r w:rsidR="0054266F" w:rsidRPr="002E118D">
        <w:rPr>
          <w:rFonts w:asciiTheme="minorBidi" w:hAnsiTheme="minorBidi"/>
          <w:bCs/>
        </w:rPr>
        <w:t xml:space="preserve"> and how much does it cost to produce SASRs? </w:t>
      </w:r>
      <w:r>
        <w:rPr>
          <w:rFonts w:asciiTheme="minorBidi" w:hAnsiTheme="minorBidi"/>
          <w:bCs/>
        </w:rPr>
        <w:t>(RQ1.2)</w:t>
      </w:r>
    </w:p>
    <w:p w14:paraId="6A511446" w14:textId="2512B129" w:rsidR="002D5058" w:rsidRPr="002E118D" w:rsidRDefault="00BA6F1D" w:rsidP="00F86AA8">
      <w:pPr>
        <w:rPr>
          <w:rFonts w:asciiTheme="minorBidi" w:hAnsiTheme="minorBidi"/>
        </w:rPr>
      </w:pPr>
      <w:r w:rsidRPr="002E118D">
        <w:rPr>
          <w:rFonts w:asciiTheme="minorBidi" w:hAnsiTheme="minorBidi"/>
        </w:rPr>
        <w:t>Most of the interviewees stated that there are several departments involved in the process of preparing SASRs, organised under topics such as sustainable corporate management (risk management and human rights), supplier management (</w:t>
      </w:r>
      <w:r w:rsidR="00294BEB" w:rsidRPr="002E118D">
        <w:rPr>
          <w:rFonts w:asciiTheme="minorBidi" w:hAnsiTheme="minorBidi"/>
        </w:rPr>
        <w:t>for example,</w:t>
      </w:r>
      <w:r w:rsidRPr="002E118D">
        <w:rPr>
          <w:rFonts w:asciiTheme="minorBidi" w:hAnsiTheme="minorBidi"/>
        </w:rPr>
        <w:t xml:space="preserve"> minimising risk), employees (health and safety, training and further education, diversity), corporate citizenship and environmental protections (energy, CO2 emissions, waste, water usage). </w:t>
      </w:r>
      <w:bookmarkStart w:id="6" w:name="_Hlk525997439"/>
      <w:r w:rsidR="005770F8" w:rsidRPr="002E118D">
        <w:rPr>
          <w:rFonts w:asciiTheme="minorBidi" w:hAnsiTheme="minorBidi"/>
        </w:rPr>
        <w:t xml:space="preserve">The preparation task involves collecting data from all </w:t>
      </w:r>
      <w:r w:rsidR="001B4885" w:rsidRPr="002E118D">
        <w:rPr>
          <w:rFonts w:asciiTheme="minorBidi" w:hAnsiTheme="minorBidi"/>
        </w:rPr>
        <w:t>departments</w:t>
      </w:r>
      <w:r w:rsidR="005770F8" w:rsidRPr="002E118D">
        <w:rPr>
          <w:rFonts w:asciiTheme="minorBidi" w:hAnsiTheme="minorBidi"/>
        </w:rPr>
        <w:t xml:space="preserve"> within the organisation</w:t>
      </w:r>
      <w:r w:rsidR="001B4885" w:rsidRPr="002E118D">
        <w:rPr>
          <w:rFonts w:asciiTheme="minorBidi" w:hAnsiTheme="minorBidi"/>
        </w:rPr>
        <w:t xml:space="preserve">, for example, information on employee training and diversity would be supplied by the human resources department and on environmental protection from the production and operations departments. </w:t>
      </w:r>
    </w:p>
    <w:p w14:paraId="16208F87" w14:textId="459B6C8F" w:rsidR="004B0B6F" w:rsidRPr="002E118D" w:rsidRDefault="005770F8" w:rsidP="00ED7144">
      <w:pPr>
        <w:pStyle w:val="Indentquote"/>
        <w:rPr>
          <w:i w:val="0"/>
          <w:iCs/>
        </w:rPr>
      </w:pPr>
      <w:r w:rsidRPr="002E118D">
        <w:lastRenderedPageBreak/>
        <w:t xml:space="preserve">We work very closely together, it is a company report, </w:t>
      </w:r>
      <w:r w:rsidR="007A70B1" w:rsidRPr="002E118D">
        <w:t>and</w:t>
      </w:r>
      <w:r w:rsidRPr="002E118D">
        <w:t xml:space="preserve"> a corporate social responsibility </w:t>
      </w:r>
      <w:r w:rsidR="00215B01" w:rsidRPr="002E118D">
        <w:t>report,</w:t>
      </w:r>
      <w:r w:rsidRPr="002E118D">
        <w:t xml:space="preserve"> so we have active involvements from the main departments to whoever is responsible for the collection of the data. </w:t>
      </w:r>
      <w:r w:rsidRPr="002E118D">
        <w:rPr>
          <w:i w:val="0"/>
          <w:iCs/>
        </w:rPr>
        <w:t>(B2)</w:t>
      </w:r>
    </w:p>
    <w:p w14:paraId="56BECBC1" w14:textId="686FFD03" w:rsidR="004B0B6F" w:rsidRPr="002E118D" w:rsidRDefault="004B0B6F" w:rsidP="00F86AA8">
      <w:pPr>
        <w:rPr>
          <w:rFonts w:asciiTheme="minorBidi" w:hAnsiTheme="minorBidi"/>
        </w:rPr>
      </w:pPr>
      <w:r w:rsidRPr="002E118D">
        <w:rPr>
          <w:rFonts w:asciiTheme="minorBidi" w:hAnsiTheme="minorBidi"/>
        </w:rPr>
        <w:t>The accounting department provides data relevant to the economic domain, but its main contribution is to authorise costs associated with the SASRs.</w:t>
      </w:r>
    </w:p>
    <w:p w14:paraId="709B7EF5" w14:textId="77777777" w:rsidR="004B0B6F" w:rsidRPr="002E118D" w:rsidRDefault="004B0B6F" w:rsidP="00ED7144">
      <w:pPr>
        <w:pStyle w:val="Indentquote"/>
        <w:rPr>
          <w:i w:val="0"/>
          <w:iCs/>
        </w:rPr>
      </w:pPr>
      <w:r w:rsidRPr="002E118D">
        <w:t>The accounting department is not involved extensively in the process of the SASRs as we do not report much on numbers, the focus is more towards social and environmental reporting.</w:t>
      </w:r>
      <w:r w:rsidRPr="002E118D">
        <w:rPr>
          <w:i w:val="0"/>
          <w:iCs/>
        </w:rPr>
        <w:t xml:space="preserve"> (B2)</w:t>
      </w:r>
    </w:p>
    <w:p w14:paraId="186260A9" w14:textId="00319005" w:rsidR="004B0B6F" w:rsidRPr="002E118D" w:rsidRDefault="004B0B6F" w:rsidP="00ED7144">
      <w:pPr>
        <w:pStyle w:val="Indentquote"/>
      </w:pPr>
      <w:r w:rsidRPr="002E118D">
        <w:t xml:space="preserve">The accounting department is involved mostly around sustainability development and verify the sustainability development pay. I must show documentations for each project for them to pay. In the rest of the report, they are not involved. (B3) </w:t>
      </w:r>
    </w:p>
    <w:p w14:paraId="2D4D2C8F" w14:textId="2A0C7A88" w:rsidR="007E052B" w:rsidRPr="002E118D" w:rsidRDefault="005017AA">
      <w:pPr>
        <w:rPr>
          <w:rFonts w:asciiTheme="minorBidi" w:hAnsiTheme="minorBidi"/>
        </w:rPr>
      </w:pPr>
      <w:r w:rsidRPr="002E118D">
        <w:rPr>
          <w:rFonts w:asciiTheme="minorBidi" w:hAnsiTheme="minorBidi"/>
        </w:rPr>
        <w:t>T</w:t>
      </w:r>
      <w:r w:rsidR="00F63173" w:rsidRPr="002E118D">
        <w:rPr>
          <w:rFonts w:asciiTheme="minorBidi" w:hAnsiTheme="minorBidi"/>
        </w:rPr>
        <w:t xml:space="preserve">he process and preparation of SASRs is very time-consuming. </w:t>
      </w:r>
      <w:r w:rsidR="007E052B" w:rsidRPr="002E118D">
        <w:rPr>
          <w:rFonts w:asciiTheme="minorBidi" w:hAnsiTheme="minorBidi"/>
        </w:rPr>
        <w:t xml:space="preserve">For example, organisations spend a minimum of four months to a maximum of one year in </w:t>
      </w:r>
      <w:r w:rsidR="00694EF2" w:rsidRPr="002E118D">
        <w:rPr>
          <w:rFonts w:asciiTheme="minorBidi" w:hAnsiTheme="minorBidi"/>
        </w:rPr>
        <w:t>the initiating and developing stage of SASRs</w:t>
      </w:r>
      <w:r w:rsidR="007E052B" w:rsidRPr="002E118D">
        <w:rPr>
          <w:rFonts w:asciiTheme="minorBidi" w:hAnsiTheme="minorBidi"/>
        </w:rPr>
        <w:t>. Most of the interviewees claimed that they spend at least six months:</w:t>
      </w:r>
    </w:p>
    <w:p w14:paraId="04B32E36" w14:textId="0E06EBD3" w:rsidR="00F4214C" w:rsidRPr="002E118D" w:rsidRDefault="007E052B" w:rsidP="00ED7144">
      <w:pPr>
        <w:pStyle w:val="Indentquote"/>
        <w:rPr>
          <w:rFonts w:asciiTheme="minorBidi" w:hAnsiTheme="minorBidi"/>
        </w:rPr>
      </w:pPr>
      <w:r w:rsidRPr="002E118D">
        <w:t>Well, we start with some preparation activities in the fall, maybe myself and our team and then it kicks out in January with the full group of people and then it takes from January to July. (B4</w:t>
      </w:r>
      <w:r w:rsidRPr="002E118D">
        <w:rPr>
          <w:rFonts w:asciiTheme="minorBidi" w:hAnsiTheme="minorBidi"/>
        </w:rPr>
        <w:t>)</w:t>
      </w:r>
    </w:p>
    <w:p w14:paraId="6900934C" w14:textId="248AE510" w:rsidR="007D558D" w:rsidRPr="002E118D" w:rsidRDefault="00E50DB5" w:rsidP="00ED7144">
      <w:r w:rsidRPr="002E118D">
        <w:t>The interviewees stressed that they take SASR reporting very seriously and</w:t>
      </w:r>
      <w:r w:rsidRPr="002E118D">
        <w:rPr>
          <w:i/>
        </w:rPr>
        <w:t xml:space="preserve"> </w:t>
      </w:r>
      <w:r w:rsidR="001B4885" w:rsidRPr="002E118D">
        <w:t xml:space="preserve">a </w:t>
      </w:r>
      <w:r w:rsidR="00C933C1" w:rsidRPr="002E118D">
        <w:t xml:space="preserve">considerable amount of time and </w:t>
      </w:r>
      <w:r w:rsidR="00F4214C" w:rsidRPr="002E118D">
        <w:t xml:space="preserve">resources </w:t>
      </w:r>
      <w:r w:rsidR="009862CA" w:rsidRPr="002E118D">
        <w:t xml:space="preserve">is absorbed </w:t>
      </w:r>
      <w:r w:rsidR="00F4214C" w:rsidRPr="002E118D">
        <w:t>in</w:t>
      </w:r>
      <w:r w:rsidR="00254571" w:rsidRPr="002E118D">
        <w:t xml:space="preserve"> redesigning SASRs to enhance user</w:t>
      </w:r>
      <w:r w:rsidR="006A2512" w:rsidRPr="002E118D">
        <w:t>s</w:t>
      </w:r>
      <w:r w:rsidR="009862CA" w:rsidRPr="002E118D">
        <w:t>’</w:t>
      </w:r>
      <w:r w:rsidR="00254571" w:rsidRPr="002E118D">
        <w:t xml:space="preserve"> experience</w:t>
      </w:r>
      <w:r w:rsidR="00886CA2" w:rsidRPr="002E118D">
        <w:t>:</w:t>
      </w:r>
      <w:r w:rsidR="00254571" w:rsidRPr="002E118D">
        <w:t xml:space="preserve"> </w:t>
      </w:r>
    </w:p>
    <w:p w14:paraId="561FC7F7" w14:textId="76A08848" w:rsidR="007D558D" w:rsidRPr="002E118D" w:rsidRDefault="007D558D" w:rsidP="00ED7144">
      <w:pPr>
        <w:pStyle w:val="Indentquote"/>
      </w:pPr>
      <w:r w:rsidRPr="002E118D">
        <w:t xml:space="preserve">We invest time and resources for complete redesign of both our website, and PDF publications. Our </w:t>
      </w:r>
      <w:r w:rsidR="00D75BEC">
        <w:t>most recent</w:t>
      </w:r>
      <w:r w:rsidR="00D75BEC" w:rsidRPr="002E118D">
        <w:t xml:space="preserve"> </w:t>
      </w:r>
      <w:r w:rsidRPr="002E118D">
        <w:t xml:space="preserve">report reflects these step changes from previous years and was </w:t>
      </w:r>
      <w:r w:rsidR="001B4885" w:rsidRPr="002E118D">
        <w:t xml:space="preserve">the </w:t>
      </w:r>
      <w:r w:rsidRPr="002E118D">
        <w:t xml:space="preserve">result </w:t>
      </w:r>
      <w:r w:rsidR="001B4885" w:rsidRPr="002E118D">
        <w:t xml:space="preserve">of </w:t>
      </w:r>
      <w:r w:rsidRPr="002E118D">
        <w:t>months of research, benchmarking and stakeholder feedback</w:t>
      </w:r>
      <w:r w:rsidR="00A161FB" w:rsidRPr="002E118D">
        <w:t>s</w:t>
      </w:r>
      <w:r w:rsidRPr="002E118D">
        <w:t>. Enhancements included a new website platform, refreshed visual and narrative content</w:t>
      </w:r>
      <w:r w:rsidR="00846A45" w:rsidRPr="002E118D">
        <w:t>s</w:t>
      </w:r>
      <w:r w:rsidRPr="002E118D">
        <w:t xml:space="preserve"> and a full scope, download</w:t>
      </w:r>
      <w:r w:rsidR="001B4885" w:rsidRPr="002E118D">
        <w:t>able</w:t>
      </w:r>
      <w:r w:rsidRPr="002E118D">
        <w:t xml:space="preserve"> PDF. (B9)</w:t>
      </w:r>
    </w:p>
    <w:p w14:paraId="03A28614" w14:textId="479645F5" w:rsidR="00FF59CB" w:rsidRPr="002E118D" w:rsidRDefault="004E0549">
      <w:pPr>
        <w:rPr>
          <w:rFonts w:asciiTheme="minorBidi" w:hAnsiTheme="minorBidi"/>
        </w:rPr>
      </w:pPr>
      <w:r w:rsidRPr="002E118D">
        <w:rPr>
          <w:rFonts w:asciiTheme="minorBidi" w:hAnsiTheme="minorBidi"/>
        </w:rPr>
        <w:t>A</w:t>
      </w:r>
      <w:r w:rsidR="001B4885" w:rsidRPr="002E118D">
        <w:rPr>
          <w:rFonts w:asciiTheme="minorBidi" w:hAnsiTheme="minorBidi"/>
        </w:rPr>
        <w:t>t least</w:t>
      </w:r>
      <w:r w:rsidR="00FF59CB" w:rsidRPr="002E118D">
        <w:rPr>
          <w:rFonts w:asciiTheme="minorBidi" w:hAnsiTheme="minorBidi"/>
        </w:rPr>
        <w:t xml:space="preserve"> 25 to 30 employees</w:t>
      </w:r>
      <w:r w:rsidR="001B4885" w:rsidRPr="002E118D">
        <w:rPr>
          <w:rFonts w:asciiTheme="minorBidi" w:hAnsiTheme="minorBidi"/>
        </w:rPr>
        <w:t xml:space="preserve"> were </w:t>
      </w:r>
      <w:r w:rsidR="00FF59CB" w:rsidRPr="002E118D">
        <w:rPr>
          <w:rFonts w:asciiTheme="minorBidi" w:hAnsiTheme="minorBidi"/>
        </w:rPr>
        <w:t xml:space="preserve">involved </w:t>
      </w:r>
      <w:r w:rsidRPr="002E118D">
        <w:rPr>
          <w:rFonts w:asciiTheme="minorBidi" w:hAnsiTheme="minorBidi"/>
        </w:rPr>
        <w:t xml:space="preserve">across the company </w:t>
      </w:r>
      <w:r w:rsidR="00FF59CB" w:rsidRPr="002E118D">
        <w:rPr>
          <w:rFonts w:asciiTheme="minorBidi" w:hAnsiTheme="minorBidi"/>
        </w:rPr>
        <w:t>in the production of the SASR</w:t>
      </w:r>
      <w:r w:rsidR="001B4885" w:rsidRPr="002E118D">
        <w:rPr>
          <w:rFonts w:asciiTheme="minorBidi" w:hAnsiTheme="minorBidi"/>
        </w:rPr>
        <w:t>, and in some cases the number was considerably more</w:t>
      </w:r>
      <w:r w:rsidR="00FF59CB" w:rsidRPr="002E118D">
        <w:rPr>
          <w:rFonts w:asciiTheme="minorBidi" w:hAnsiTheme="minorBidi"/>
        </w:rPr>
        <w:t>. Most of these employees were involved in the materiality process</w:t>
      </w:r>
      <w:r w:rsidR="009862CA" w:rsidRPr="002E118D">
        <w:rPr>
          <w:rFonts w:asciiTheme="minorBidi" w:hAnsiTheme="minorBidi"/>
        </w:rPr>
        <w:t xml:space="preserve"> –</w:t>
      </w:r>
      <w:r w:rsidR="00FF59CB" w:rsidRPr="002E118D">
        <w:rPr>
          <w:rFonts w:asciiTheme="minorBidi" w:hAnsiTheme="minorBidi"/>
        </w:rPr>
        <w:t xml:space="preserve"> defining the environmental and social topics that matter most to the business and stakeholders </w:t>
      </w:r>
      <w:r w:rsidR="009862CA" w:rsidRPr="002E118D">
        <w:rPr>
          <w:rFonts w:asciiTheme="minorBidi" w:hAnsiTheme="minorBidi"/>
        </w:rPr>
        <w:t xml:space="preserve">– </w:t>
      </w:r>
      <w:r w:rsidR="00FF59CB" w:rsidRPr="002E118D">
        <w:rPr>
          <w:rFonts w:asciiTheme="minorBidi" w:hAnsiTheme="minorBidi"/>
        </w:rPr>
        <w:t>in their departments</w:t>
      </w:r>
      <w:r w:rsidR="001B4885" w:rsidRPr="002E118D">
        <w:rPr>
          <w:rFonts w:asciiTheme="minorBidi" w:hAnsiTheme="minorBidi"/>
        </w:rPr>
        <w:t xml:space="preserve"> and collecting relevant data</w:t>
      </w:r>
      <w:r w:rsidR="00FF59CB" w:rsidRPr="002E118D">
        <w:rPr>
          <w:rFonts w:asciiTheme="minorBidi" w:hAnsiTheme="minorBidi"/>
        </w:rPr>
        <w:t>.</w:t>
      </w:r>
    </w:p>
    <w:p w14:paraId="0CFE5FD8" w14:textId="77777777" w:rsidR="00FF59CB" w:rsidRPr="002E118D" w:rsidRDefault="00FF59CB">
      <w:pPr>
        <w:pStyle w:val="Indentquote"/>
        <w:rPr>
          <w:rFonts w:asciiTheme="minorBidi" w:hAnsiTheme="minorBidi"/>
          <w:i w:val="0"/>
        </w:rPr>
      </w:pPr>
      <w:r w:rsidRPr="002E118D">
        <w:rPr>
          <w:rFonts w:asciiTheme="minorBidi" w:hAnsiTheme="minorBidi"/>
        </w:rPr>
        <w:t xml:space="preserve">I would say particularly with the materiality process, 25 people but maybe 5 or 6 primarily. But in terms of the data collections, you think about all the data that you need to collect. For example, energy, water, volunteer hours, and stories of volunteers in the community. There are a lot of people that I must reach out to over the year to assemble the information and the stories in the report. The CEO, the COO, our engineering groups. (B3) </w:t>
      </w:r>
    </w:p>
    <w:p w14:paraId="15AFAC40" w14:textId="0799264D" w:rsidR="00FF59CB" w:rsidRPr="002E118D" w:rsidRDefault="00FF59CB">
      <w:pPr>
        <w:rPr>
          <w:rFonts w:asciiTheme="minorBidi" w:hAnsiTheme="minorBidi"/>
        </w:rPr>
      </w:pPr>
      <w:r w:rsidRPr="002E118D">
        <w:rPr>
          <w:rFonts w:asciiTheme="minorBidi" w:hAnsiTheme="minorBidi"/>
        </w:rPr>
        <w:t>One of the interviewees (B5) stated that they reach out to people internationally during the data collection phase:</w:t>
      </w:r>
      <w:r w:rsidRPr="002E118D">
        <w:rPr>
          <w:rFonts w:asciiTheme="minorBidi" w:hAnsiTheme="minorBidi"/>
          <w:i/>
        </w:rPr>
        <w:t xml:space="preserve"> ‘‘We collect the data from approximately 500 colleagues in at least 17 countries.’’</w:t>
      </w:r>
      <w:r w:rsidR="00886A4E">
        <w:rPr>
          <w:rFonts w:asciiTheme="minorBidi" w:hAnsiTheme="minorBidi"/>
          <w:i/>
        </w:rPr>
        <w:t xml:space="preserve"> </w:t>
      </w:r>
    </w:p>
    <w:p w14:paraId="01029AA4" w14:textId="3A61743D" w:rsidR="007E052B" w:rsidRPr="002E118D" w:rsidRDefault="007E052B" w:rsidP="00ED7144">
      <w:r w:rsidRPr="002E118D">
        <w:lastRenderedPageBreak/>
        <w:t>SASR</w:t>
      </w:r>
      <w:r w:rsidR="004E0549" w:rsidRPr="002E118D">
        <w:t>s</w:t>
      </w:r>
      <w:r w:rsidRPr="002E118D">
        <w:t xml:space="preserve"> </w:t>
      </w:r>
      <w:r w:rsidR="00254571" w:rsidRPr="002E118D">
        <w:t>w</w:t>
      </w:r>
      <w:r w:rsidR="004E0549" w:rsidRPr="002E118D">
        <w:t>ere</w:t>
      </w:r>
      <w:r w:rsidR="00254571" w:rsidRPr="002E118D">
        <w:t xml:space="preserve"> also considered </w:t>
      </w:r>
      <w:r w:rsidR="00886CA2" w:rsidRPr="002E118D">
        <w:t>to be expensive</w:t>
      </w:r>
      <w:r w:rsidRPr="002E118D">
        <w:t>, ranging from £100,000 to £500,000</w:t>
      </w:r>
      <w:r w:rsidR="001B4885" w:rsidRPr="002E118D">
        <w:t xml:space="preserve"> to produce</w:t>
      </w:r>
      <w:r w:rsidRPr="002E118D">
        <w:t xml:space="preserve">. This includes the cost of </w:t>
      </w:r>
      <w:r w:rsidR="00A03BF7" w:rsidRPr="002E118D">
        <w:t>preparation</w:t>
      </w:r>
      <w:r w:rsidRPr="002E118D">
        <w:t xml:space="preserve">, </w:t>
      </w:r>
      <w:r w:rsidR="00387231" w:rsidRPr="002E118D">
        <w:t>design,</w:t>
      </w:r>
      <w:r w:rsidRPr="002E118D">
        <w:t xml:space="preserve"> and printing.</w:t>
      </w:r>
    </w:p>
    <w:p w14:paraId="5BF348DD" w14:textId="7537FBAB" w:rsidR="007E052B" w:rsidRPr="002E118D" w:rsidRDefault="00A03BF7">
      <w:pPr>
        <w:pStyle w:val="Indentquote"/>
        <w:rPr>
          <w:rFonts w:asciiTheme="minorBidi" w:hAnsiTheme="minorBidi"/>
        </w:rPr>
      </w:pPr>
      <w:r w:rsidRPr="002E118D">
        <w:rPr>
          <w:rFonts w:asciiTheme="minorBidi" w:hAnsiTheme="minorBidi"/>
        </w:rPr>
        <w:t>T</w:t>
      </w:r>
      <w:r w:rsidR="007E052B" w:rsidRPr="002E118D">
        <w:rPr>
          <w:rFonts w:asciiTheme="minorBidi" w:hAnsiTheme="minorBidi"/>
        </w:rPr>
        <w:t xml:space="preserve">here are several factors that go into the </w:t>
      </w:r>
      <w:r w:rsidR="009A0939" w:rsidRPr="002E118D">
        <w:rPr>
          <w:rFonts w:asciiTheme="minorBidi" w:hAnsiTheme="minorBidi"/>
        </w:rPr>
        <w:t>SASRs</w:t>
      </w:r>
      <w:r w:rsidR="00C701A6" w:rsidRPr="002E118D">
        <w:rPr>
          <w:rFonts w:asciiTheme="minorBidi" w:hAnsiTheme="minorBidi"/>
        </w:rPr>
        <w:t>, I</w:t>
      </w:r>
      <w:r w:rsidR="007E052B" w:rsidRPr="002E118D">
        <w:rPr>
          <w:rFonts w:asciiTheme="minorBidi" w:hAnsiTheme="minorBidi"/>
        </w:rPr>
        <w:t xml:space="preserve"> think it is approximately half a million for the production and design of the reports excluding our time. (B2)</w:t>
      </w:r>
    </w:p>
    <w:p w14:paraId="549E5760" w14:textId="52D56D2B" w:rsidR="00A03BF7" w:rsidRPr="002E118D" w:rsidRDefault="007E052B" w:rsidP="00ED7144">
      <w:r w:rsidRPr="002E118D">
        <w:t xml:space="preserve">Two factors were identified </w:t>
      </w:r>
      <w:r w:rsidR="00A03BF7" w:rsidRPr="002E118D">
        <w:t xml:space="preserve">as </w:t>
      </w:r>
      <w:r w:rsidRPr="002E118D">
        <w:t>increasing the cost of SASRs</w:t>
      </w:r>
      <w:r w:rsidR="00A03BF7" w:rsidRPr="002E118D">
        <w:t>:</w:t>
      </w:r>
      <w:r w:rsidRPr="002E118D">
        <w:t xml:space="preserve"> the burden of compl</w:t>
      </w:r>
      <w:r w:rsidR="00A03BF7" w:rsidRPr="002E118D">
        <w:t>iance</w:t>
      </w:r>
      <w:r w:rsidRPr="002E118D">
        <w:t xml:space="preserve"> with the GRI guidelines, and </w:t>
      </w:r>
      <w:r w:rsidR="00A03BF7" w:rsidRPr="002E118D">
        <w:t xml:space="preserve">the </w:t>
      </w:r>
      <w:r w:rsidRPr="002E118D">
        <w:t xml:space="preserve">use of multiple </w:t>
      </w:r>
      <w:r w:rsidR="00A03BF7" w:rsidRPr="002E118D">
        <w:t xml:space="preserve">publication </w:t>
      </w:r>
      <w:r w:rsidRPr="002E118D">
        <w:t>format</w:t>
      </w:r>
      <w:r w:rsidR="00A03BF7" w:rsidRPr="002E118D">
        <w:t xml:space="preserve">s: </w:t>
      </w:r>
    </w:p>
    <w:p w14:paraId="6A06C14C" w14:textId="01C6565F" w:rsidR="00A03BF7" w:rsidRPr="002E118D" w:rsidRDefault="007E052B">
      <w:pPr>
        <w:pStyle w:val="Indentquote"/>
        <w:rPr>
          <w:rFonts w:asciiTheme="minorBidi" w:hAnsiTheme="minorBidi"/>
          <w:i w:val="0"/>
        </w:rPr>
      </w:pPr>
      <w:r w:rsidRPr="002E118D">
        <w:rPr>
          <w:rFonts w:asciiTheme="minorBidi" w:hAnsiTheme="minorBidi"/>
        </w:rPr>
        <w:t xml:space="preserve">This is because this year we decided to publish our online report, and a fully functional pdf and in addition to that, we are also doing a summary </w:t>
      </w:r>
      <w:r w:rsidR="009A0939" w:rsidRPr="002E118D">
        <w:rPr>
          <w:rFonts w:asciiTheme="minorBidi" w:hAnsiTheme="minorBidi"/>
        </w:rPr>
        <w:t>SASR</w:t>
      </w:r>
      <w:r w:rsidRPr="002E118D">
        <w:rPr>
          <w:rFonts w:asciiTheme="minorBidi" w:hAnsiTheme="minorBidi"/>
        </w:rPr>
        <w:t>.</w:t>
      </w:r>
      <w:r w:rsidR="00A03BF7" w:rsidRPr="002E118D">
        <w:rPr>
          <w:rFonts w:asciiTheme="minorBidi" w:hAnsiTheme="minorBidi"/>
        </w:rPr>
        <w:t xml:space="preserve"> (B2)</w:t>
      </w:r>
      <w:r w:rsidRPr="002E118D">
        <w:rPr>
          <w:rFonts w:asciiTheme="minorBidi" w:hAnsiTheme="minorBidi"/>
        </w:rPr>
        <w:t xml:space="preserve"> </w:t>
      </w:r>
    </w:p>
    <w:p w14:paraId="54670142" w14:textId="26798AF0" w:rsidR="007E052B" w:rsidRPr="002E118D" w:rsidRDefault="00A03BF7" w:rsidP="00ED7144">
      <w:pPr>
        <w:pStyle w:val="Indentquote"/>
      </w:pPr>
      <w:r w:rsidRPr="002E118D">
        <w:t>I</w:t>
      </w:r>
      <w:r w:rsidR="007E052B" w:rsidRPr="002E118D">
        <w:t>n a normal year, we would spend around $100,000 to $110,000, but in 2014, we spent $200,000 because of the materiality processe</w:t>
      </w:r>
      <w:r w:rsidR="007443F8" w:rsidRPr="002E118D">
        <w:t>s. (B3)</w:t>
      </w:r>
    </w:p>
    <w:p w14:paraId="1FD3DD00" w14:textId="01BEED6D" w:rsidR="00C41C91" w:rsidRPr="002E118D" w:rsidRDefault="00C41C91" w:rsidP="00ED7144">
      <w:r w:rsidRPr="002E118D">
        <w:t xml:space="preserve">However, the interviewees were not concerned </w:t>
      </w:r>
      <w:r w:rsidR="00CD662A" w:rsidRPr="002E118D">
        <w:t xml:space="preserve">with the </w:t>
      </w:r>
      <w:r w:rsidRPr="002E118D">
        <w:t>cost as they believed it is a good business model to have</w:t>
      </w:r>
      <w:r w:rsidR="00843E65" w:rsidRPr="002E118D">
        <w:t xml:space="preserve"> well-designed and innovative SASRs</w:t>
      </w:r>
      <w:r w:rsidRPr="002E118D">
        <w:t>.</w:t>
      </w:r>
    </w:p>
    <w:p w14:paraId="63C85702" w14:textId="7DF4F6E1" w:rsidR="00C41C91" w:rsidRPr="002E118D" w:rsidRDefault="00C41C91">
      <w:pPr>
        <w:pStyle w:val="Indentquote"/>
        <w:rPr>
          <w:rFonts w:asciiTheme="minorBidi" w:hAnsiTheme="minorBidi"/>
          <w:i w:val="0"/>
        </w:rPr>
      </w:pPr>
      <w:r w:rsidRPr="002E118D">
        <w:rPr>
          <w:rFonts w:asciiTheme="minorBidi" w:hAnsiTheme="minorBidi"/>
        </w:rPr>
        <w:t>We know that the demand for SASRs has escalated, we have concerned stakeholders, and I think it makes good business sense to have a creative SASRs to fulfil stakeholders demand and need. (B6)</w:t>
      </w:r>
    </w:p>
    <w:p w14:paraId="64A6DDCE" w14:textId="46E57A88" w:rsidR="007E4C01" w:rsidRPr="002E118D" w:rsidRDefault="00A03BF7">
      <w:pPr>
        <w:rPr>
          <w:rFonts w:asciiTheme="minorBidi" w:hAnsiTheme="minorBidi"/>
          <w:b/>
          <w:bCs/>
          <w:i/>
          <w:iCs/>
        </w:rPr>
      </w:pPr>
      <w:r w:rsidRPr="002E118D">
        <w:rPr>
          <w:rFonts w:asciiTheme="minorBidi" w:hAnsiTheme="minorBidi"/>
        </w:rPr>
        <w:t>Because</w:t>
      </w:r>
      <w:r w:rsidR="007E052B" w:rsidRPr="002E118D">
        <w:rPr>
          <w:rFonts w:asciiTheme="minorBidi" w:hAnsiTheme="minorBidi"/>
        </w:rPr>
        <w:t xml:space="preserve"> the GRI guidelines require </w:t>
      </w:r>
      <w:r w:rsidRPr="002E118D">
        <w:rPr>
          <w:rFonts w:asciiTheme="minorBidi" w:hAnsiTheme="minorBidi"/>
        </w:rPr>
        <w:t xml:space="preserve">increasingly </w:t>
      </w:r>
      <w:r w:rsidR="007E052B" w:rsidRPr="002E118D">
        <w:rPr>
          <w:rFonts w:asciiTheme="minorBidi" w:hAnsiTheme="minorBidi"/>
        </w:rPr>
        <w:t>detailed information in the SASRs</w:t>
      </w:r>
      <w:r w:rsidRPr="002E118D">
        <w:rPr>
          <w:rFonts w:asciiTheme="minorBidi" w:hAnsiTheme="minorBidi"/>
        </w:rPr>
        <w:t>,</w:t>
      </w:r>
      <w:r w:rsidR="007E052B" w:rsidRPr="002E118D">
        <w:rPr>
          <w:rFonts w:asciiTheme="minorBidi" w:hAnsiTheme="minorBidi"/>
        </w:rPr>
        <w:t xml:space="preserve"> costs have </w:t>
      </w:r>
      <w:r w:rsidRPr="002E118D">
        <w:rPr>
          <w:rFonts w:asciiTheme="minorBidi" w:hAnsiTheme="minorBidi"/>
        </w:rPr>
        <w:t>risen</w:t>
      </w:r>
      <w:r w:rsidR="007E052B" w:rsidRPr="002E118D">
        <w:rPr>
          <w:rFonts w:asciiTheme="minorBidi" w:hAnsiTheme="minorBidi"/>
        </w:rPr>
        <w:t xml:space="preserve"> dramatically</w:t>
      </w:r>
      <w:r w:rsidRPr="002E118D">
        <w:rPr>
          <w:rFonts w:asciiTheme="minorBidi" w:hAnsiTheme="minorBidi"/>
        </w:rPr>
        <w:t xml:space="preserve"> in recent years</w:t>
      </w:r>
      <w:r w:rsidR="007E052B" w:rsidRPr="002E118D">
        <w:rPr>
          <w:rFonts w:asciiTheme="minorBidi" w:hAnsiTheme="minorBidi"/>
        </w:rPr>
        <w:t>.</w:t>
      </w:r>
      <w:r w:rsidR="005770F8" w:rsidRPr="002E118D">
        <w:rPr>
          <w:rFonts w:asciiTheme="minorBidi" w:hAnsiTheme="minorBidi"/>
        </w:rPr>
        <w:t xml:space="preserve"> </w:t>
      </w:r>
      <w:r w:rsidR="000F53F5" w:rsidRPr="002E118D">
        <w:rPr>
          <w:rFonts w:asciiTheme="minorBidi" w:hAnsiTheme="minorBidi"/>
        </w:rPr>
        <w:t xml:space="preserve">This is </w:t>
      </w:r>
      <w:r w:rsidRPr="002E118D">
        <w:rPr>
          <w:rFonts w:asciiTheme="minorBidi" w:hAnsiTheme="minorBidi"/>
        </w:rPr>
        <w:t>consistent</w:t>
      </w:r>
      <w:r w:rsidR="000F53F5" w:rsidRPr="002E118D">
        <w:rPr>
          <w:rFonts w:asciiTheme="minorBidi" w:hAnsiTheme="minorBidi"/>
        </w:rPr>
        <w:t xml:space="preserve"> with </w:t>
      </w:r>
      <w:r w:rsidR="009862CA" w:rsidRPr="002E118D">
        <w:rPr>
          <w:rFonts w:asciiTheme="minorBidi" w:hAnsiTheme="minorBidi"/>
        </w:rPr>
        <w:t xml:space="preserve">the findings of </w:t>
      </w:r>
      <w:r w:rsidR="00694EF2" w:rsidRPr="002E118D">
        <w:rPr>
          <w:rFonts w:asciiTheme="minorBidi" w:hAnsiTheme="minorBidi"/>
        </w:rPr>
        <w:t>Flyverbom and Reinecke (2017</w:t>
      </w:r>
      <w:r w:rsidR="00294BEB" w:rsidRPr="002E118D">
        <w:rPr>
          <w:rFonts w:asciiTheme="minorBidi" w:hAnsiTheme="minorBidi"/>
        </w:rPr>
        <w:t xml:space="preserve">, p. </w:t>
      </w:r>
      <w:r w:rsidR="002D74DB">
        <w:rPr>
          <w:rFonts w:asciiTheme="minorBidi" w:hAnsiTheme="minorBidi"/>
        </w:rPr>
        <w:t>1</w:t>
      </w:r>
      <w:r w:rsidR="00B0046B" w:rsidRPr="002E118D">
        <w:rPr>
          <w:rFonts w:asciiTheme="minorBidi" w:hAnsiTheme="minorBidi"/>
        </w:rPr>
        <w:t>6</w:t>
      </w:r>
      <w:r w:rsidR="002D74DB">
        <w:rPr>
          <w:rFonts w:asciiTheme="minorBidi" w:hAnsiTheme="minorBidi"/>
        </w:rPr>
        <w:t>30</w:t>
      </w:r>
      <w:r w:rsidR="00694EF2" w:rsidRPr="002E118D">
        <w:rPr>
          <w:rFonts w:asciiTheme="minorBidi" w:hAnsiTheme="minorBidi"/>
        </w:rPr>
        <w:t>) that: “Organi</w:t>
      </w:r>
      <w:r w:rsidR="002D74DB">
        <w:rPr>
          <w:rFonts w:asciiTheme="minorBidi" w:hAnsiTheme="minorBidi"/>
        </w:rPr>
        <w:t>z</w:t>
      </w:r>
      <w:r w:rsidR="00694EF2" w:rsidRPr="002E118D">
        <w:rPr>
          <w:rFonts w:asciiTheme="minorBidi" w:hAnsiTheme="minorBidi"/>
        </w:rPr>
        <w:t>ations invest an increasing amount of time, resources and skills into activities whose primary and explicit targets are the impressions of the audiences the company wants to affect</w:t>
      </w:r>
      <w:r w:rsidR="002D74DB">
        <w:rPr>
          <w:rFonts w:asciiTheme="minorBidi" w:hAnsiTheme="minorBidi"/>
        </w:rPr>
        <w:t xml:space="preserve"> …</w:t>
      </w:r>
      <w:r w:rsidR="00694EF2" w:rsidRPr="002E118D">
        <w:rPr>
          <w:rFonts w:asciiTheme="minorBidi" w:hAnsiTheme="minorBidi"/>
        </w:rPr>
        <w:t xml:space="preserve">, including window-dressing, </w:t>
      </w:r>
      <w:r w:rsidR="00191BB4" w:rsidRPr="002E118D">
        <w:rPr>
          <w:rFonts w:asciiTheme="minorBidi" w:hAnsiTheme="minorBidi"/>
        </w:rPr>
        <w:t>storytelling</w:t>
      </w:r>
      <w:r w:rsidR="00694EF2" w:rsidRPr="002E118D">
        <w:rPr>
          <w:rFonts w:asciiTheme="minorBidi" w:hAnsiTheme="minorBidi"/>
        </w:rPr>
        <w:t xml:space="preserve"> and impression management.”</w:t>
      </w:r>
      <w:r w:rsidR="00F706C3" w:rsidRPr="002E118D">
        <w:rPr>
          <w:rFonts w:asciiTheme="minorBidi" w:hAnsiTheme="minorBidi"/>
        </w:rPr>
        <w:t xml:space="preserve"> </w:t>
      </w:r>
      <w:bookmarkStart w:id="7" w:name="_Toc442815565"/>
      <w:bookmarkStart w:id="8" w:name="_Toc442613350"/>
      <w:bookmarkStart w:id="9" w:name="_Toc453619633"/>
      <w:bookmarkStart w:id="10" w:name="_Toc453545625"/>
      <w:bookmarkStart w:id="11" w:name="_Toc453232630"/>
      <w:bookmarkStart w:id="12" w:name="_Toc452806050"/>
      <w:bookmarkStart w:id="13" w:name="_Toc452712211"/>
      <w:bookmarkStart w:id="14" w:name="_Toc443688884"/>
      <w:bookmarkStart w:id="15" w:name="_Toc443340515"/>
      <w:bookmarkStart w:id="16" w:name="_Toc443242846"/>
      <w:bookmarkStart w:id="17" w:name="_Toc443175451"/>
      <w:bookmarkStart w:id="18" w:name="_Toc443083420"/>
      <w:bookmarkStart w:id="19" w:name="_Toc507928634"/>
      <w:bookmarkEnd w:id="6"/>
    </w:p>
    <w:p w14:paraId="313E8227" w14:textId="6C9A9DE1" w:rsidR="0026291C" w:rsidRPr="00620FEC" w:rsidRDefault="00294BEB" w:rsidP="0011627B">
      <w:pPr>
        <w:pStyle w:val="Heading2"/>
        <w:ind w:left="576" w:hanging="576"/>
        <w:rPr>
          <w:rFonts w:cs="Arial"/>
        </w:rPr>
      </w:pPr>
      <w:bookmarkStart w:id="20" w:name="_Hlk38289646"/>
      <w:r w:rsidRPr="002E118D">
        <w:rPr>
          <w:rFonts w:asciiTheme="minorBidi" w:hAnsiTheme="minorBidi" w:cstheme="minorBidi"/>
          <w:szCs w:val="22"/>
        </w:rPr>
        <w:t>5.</w:t>
      </w:r>
      <w:r w:rsidR="00794D2D">
        <w:rPr>
          <w:rFonts w:asciiTheme="minorBidi" w:hAnsiTheme="minorBidi" w:cstheme="minorBidi"/>
          <w:szCs w:val="22"/>
        </w:rPr>
        <w:t xml:space="preserve">2 </w:t>
      </w:r>
      <w:r w:rsidRPr="002E118D">
        <w:rPr>
          <w:rFonts w:asciiTheme="minorBidi" w:hAnsiTheme="minorBidi" w:cstheme="minorBidi"/>
          <w:szCs w:val="22"/>
        </w:rPr>
        <w:t xml:space="preserve">What are the </w:t>
      </w:r>
      <w:r w:rsidR="0026291C">
        <w:rPr>
          <w:rFonts w:asciiTheme="minorBidi" w:hAnsiTheme="minorBidi" w:cstheme="minorBidi"/>
          <w:szCs w:val="22"/>
        </w:rPr>
        <w:t>respective roles of the CEO and the reporting manager</w:t>
      </w:r>
      <w:r w:rsidR="002D74DB">
        <w:rPr>
          <w:rFonts w:asciiTheme="minorBidi" w:hAnsiTheme="minorBidi" w:cstheme="minorBidi"/>
          <w:szCs w:val="22"/>
        </w:rPr>
        <w:t>(</w:t>
      </w:r>
      <w:r w:rsidR="0026291C">
        <w:rPr>
          <w:rFonts w:asciiTheme="minorBidi" w:hAnsiTheme="minorBidi" w:cstheme="minorBidi"/>
          <w:szCs w:val="22"/>
        </w:rPr>
        <w:t>s</w:t>
      </w:r>
      <w:r w:rsidR="002D74DB">
        <w:rPr>
          <w:rFonts w:asciiTheme="minorBidi" w:hAnsiTheme="minorBidi" w:cstheme="minorBidi"/>
          <w:szCs w:val="22"/>
        </w:rPr>
        <w:t>)</w:t>
      </w:r>
      <w:r w:rsidRPr="002E118D">
        <w:rPr>
          <w:rFonts w:asciiTheme="minorBidi" w:hAnsiTheme="minorBidi" w:cstheme="minorBidi"/>
          <w:szCs w:val="22"/>
        </w:rPr>
        <w:t xml:space="preserve"> in the </w:t>
      </w:r>
      <w:r w:rsidR="00794D2D" w:rsidRPr="00794D2D">
        <w:rPr>
          <w:rFonts w:asciiTheme="minorBidi" w:hAnsiTheme="minorBidi" w:cstheme="minorBidi"/>
          <w:bCs/>
          <w:szCs w:val="22"/>
        </w:rPr>
        <w:t>process and preparation of GRI-compliant SASRs?</w:t>
      </w:r>
    </w:p>
    <w:p w14:paraId="3A825F16" w14:textId="499D3942" w:rsidR="00387231" w:rsidRPr="002E118D" w:rsidRDefault="00794D2D">
      <w:pPr>
        <w:rPr>
          <w:rFonts w:asciiTheme="minorBidi" w:hAnsiTheme="minorBidi"/>
        </w:rPr>
      </w:pPr>
      <w:bookmarkStart w:id="21" w:name="_Hlk39356676"/>
      <w:r>
        <w:rPr>
          <w:rFonts w:asciiTheme="minorBidi" w:hAnsiTheme="minorBidi"/>
        </w:rPr>
        <w:t xml:space="preserve">This section addresses the second research question (RQ2). </w:t>
      </w:r>
      <w:r w:rsidR="00BD6B52" w:rsidRPr="002E118D">
        <w:rPr>
          <w:rFonts w:asciiTheme="minorBidi" w:hAnsiTheme="minorBidi"/>
        </w:rPr>
        <w:t>In assessing the extent to which an organisation may be described as “functionally stupid”, th</w:t>
      </w:r>
      <w:r w:rsidR="00D33C90" w:rsidRPr="002E118D">
        <w:rPr>
          <w:rFonts w:asciiTheme="minorBidi" w:hAnsiTheme="minorBidi"/>
        </w:rPr>
        <w:t xml:space="preserve">e </w:t>
      </w:r>
      <w:r w:rsidR="00BD6B52" w:rsidRPr="002E118D">
        <w:rPr>
          <w:rFonts w:asciiTheme="minorBidi" w:hAnsiTheme="minorBidi"/>
        </w:rPr>
        <w:t>extent to which junior managers are able to reflect on and challenge the strategies and policies of senior management is important evidence. We found that</w:t>
      </w:r>
      <w:r w:rsidR="00387231" w:rsidRPr="002E118D">
        <w:rPr>
          <w:rFonts w:asciiTheme="minorBidi" w:hAnsiTheme="minorBidi"/>
        </w:rPr>
        <w:t xml:space="preserve"> reporting managers a</w:t>
      </w:r>
      <w:r w:rsidR="00BD6B52" w:rsidRPr="002E118D">
        <w:rPr>
          <w:rFonts w:asciiTheme="minorBidi" w:hAnsiTheme="minorBidi"/>
        </w:rPr>
        <w:t>re considered to be</w:t>
      </w:r>
      <w:r w:rsidR="00387231" w:rsidRPr="002E118D">
        <w:rPr>
          <w:rFonts w:asciiTheme="minorBidi" w:hAnsiTheme="minorBidi"/>
        </w:rPr>
        <w:t xml:space="preserve"> the organisation</w:t>
      </w:r>
      <w:r w:rsidR="00BD6B52" w:rsidRPr="002E118D">
        <w:rPr>
          <w:rFonts w:asciiTheme="minorBidi" w:hAnsiTheme="minorBidi"/>
        </w:rPr>
        <w:t>s’</w:t>
      </w:r>
      <w:r w:rsidR="00387231" w:rsidRPr="002E118D">
        <w:rPr>
          <w:rFonts w:asciiTheme="minorBidi" w:hAnsiTheme="minorBidi"/>
        </w:rPr>
        <w:t xml:space="preserve"> sustainability reporting expert</w:t>
      </w:r>
      <w:r w:rsidR="00BD6B52" w:rsidRPr="002E118D">
        <w:rPr>
          <w:rFonts w:asciiTheme="minorBidi" w:hAnsiTheme="minorBidi"/>
        </w:rPr>
        <w:t>s</w:t>
      </w:r>
      <w:r w:rsidR="004262FF" w:rsidRPr="002E118D">
        <w:rPr>
          <w:rFonts w:asciiTheme="minorBidi" w:hAnsiTheme="minorBidi"/>
        </w:rPr>
        <w:t xml:space="preserve"> but </w:t>
      </w:r>
      <w:r w:rsidR="00BD6B52" w:rsidRPr="002E118D">
        <w:rPr>
          <w:rFonts w:asciiTheme="minorBidi" w:hAnsiTheme="minorBidi"/>
        </w:rPr>
        <w:t xml:space="preserve">that </w:t>
      </w:r>
      <w:r w:rsidR="00096F44" w:rsidRPr="002E118D">
        <w:rPr>
          <w:rFonts w:asciiTheme="minorBidi" w:hAnsiTheme="minorBidi"/>
        </w:rPr>
        <w:t xml:space="preserve">generally </w:t>
      </w:r>
      <w:r w:rsidR="00BD6B52" w:rsidRPr="002E118D">
        <w:rPr>
          <w:rFonts w:asciiTheme="minorBidi" w:hAnsiTheme="minorBidi"/>
        </w:rPr>
        <w:t>they are</w:t>
      </w:r>
      <w:r w:rsidR="004262FF" w:rsidRPr="002E118D">
        <w:rPr>
          <w:rFonts w:asciiTheme="minorBidi" w:hAnsiTheme="minorBidi"/>
        </w:rPr>
        <w:t xml:space="preserve"> constrained by the CEO</w:t>
      </w:r>
      <w:r w:rsidR="00BD6B52" w:rsidRPr="002E118D">
        <w:rPr>
          <w:rFonts w:asciiTheme="minorBidi" w:hAnsiTheme="minorBidi"/>
        </w:rPr>
        <w:t>’</w:t>
      </w:r>
      <w:r w:rsidR="004262FF" w:rsidRPr="002E118D">
        <w:rPr>
          <w:rFonts w:asciiTheme="minorBidi" w:hAnsiTheme="minorBidi"/>
        </w:rPr>
        <w:t>s reporting strategy</w:t>
      </w:r>
      <w:bookmarkEnd w:id="21"/>
      <w:r w:rsidR="00673849" w:rsidRPr="002E118D">
        <w:rPr>
          <w:rFonts w:asciiTheme="minorBidi" w:hAnsiTheme="minorBidi"/>
        </w:rPr>
        <w:t xml:space="preserve">. </w:t>
      </w:r>
      <w:r w:rsidR="00387231" w:rsidRPr="002E118D">
        <w:rPr>
          <w:rFonts w:asciiTheme="minorBidi" w:hAnsiTheme="minorBidi"/>
        </w:rPr>
        <w:t xml:space="preserve">The CEO </w:t>
      </w:r>
      <w:r w:rsidR="00096F44" w:rsidRPr="002E118D">
        <w:rPr>
          <w:rFonts w:asciiTheme="minorBidi" w:hAnsiTheme="minorBidi"/>
        </w:rPr>
        <w:t xml:space="preserve">normally </w:t>
      </w:r>
      <w:r w:rsidR="00387231" w:rsidRPr="002E118D">
        <w:rPr>
          <w:rFonts w:asciiTheme="minorBidi" w:hAnsiTheme="minorBidi"/>
        </w:rPr>
        <w:t>set</w:t>
      </w:r>
      <w:r w:rsidR="00096F44" w:rsidRPr="002E118D">
        <w:rPr>
          <w:rFonts w:asciiTheme="minorBidi" w:hAnsiTheme="minorBidi"/>
        </w:rPr>
        <w:t>s</w:t>
      </w:r>
      <w:r w:rsidR="00387231" w:rsidRPr="002E118D">
        <w:rPr>
          <w:rFonts w:asciiTheme="minorBidi" w:hAnsiTheme="minorBidi"/>
        </w:rPr>
        <w:t xml:space="preserve"> the reporting strategy for SASRs and it is the responsibility of the reporting manager to educate and </w:t>
      </w:r>
      <w:r w:rsidR="00F10BDA" w:rsidRPr="002E118D">
        <w:rPr>
          <w:rFonts w:asciiTheme="minorBidi" w:hAnsiTheme="minorBidi"/>
        </w:rPr>
        <w:t>train</w:t>
      </w:r>
      <w:r w:rsidR="00387231" w:rsidRPr="002E118D">
        <w:rPr>
          <w:rFonts w:asciiTheme="minorBidi" w:hAnsiTheme="minorBidi"/>
        </w:rPr>
        <w:t xml:space="preserve"> the junior to mid-tier managers </w:t>
      </w:r>
      <w:r w:rsidR="00BD6B52" w:rsidRPr="002E118D">
        <w:rPr>
          <w:rFonts w:asciiTheme="minorBidi" w:hAnsiTheme="minorBidi"/>
        </w:rPr>
        <w:t>to put into practice</w:t>
      </w:r>
      <w:r w:rsidR="00387231" w:rsidRPr="002E118D">
        <w:rPr>
          <w:rFonts w:asciiTheme="minorBidi" w:hAnsiTheme="minorBidi"/>
        </w:rPr>
        <w:t xml:space="preserve"> the CEO</w:t>
      </w:r>
      <w:r w:rsidR="00BD6B52" w:rsidRPr="002E118D">
        <w:rPr>
          <w:rFonts w:asciiTheme="minorBidi" w:hAnsiTheme="minorBidi"/>
        </w:rPr>
        <w:t>’</w:t>
      </w:r>
      <w:r w:rsidR="00387231" w:rsidRPr="002E118D">
        <w:rPr>
          <w:rFonts w:asciiTheme="minorBidi" w:hAnsiTheme="minorBidi"/>
        </w:rPr>
        <w:t xml:space="preserve">s </w:t>
      </w:r>
      <w:r w:rsidR="00466180" w:rsidRPr="002E118D">
        <w:rPr>
          <w:rFonts w:asciiTheme="minorBidi" w:hAnsiTheme="minorBidi"/>
        </w:rPr>
        <w:t xml:space="preserve">reporting </w:t>
      </w:r>
      <w:r w:rsidR="00387231" w:rsidRPr="002E118D">
        <w:rPr>
          <w:rFonts w:asciiTheme="minorBidi" w:hAnsiTheme="minorBidi"/>
        </w:rPr>
        <w:t>strategy</w:t>
      </w:r>
      <w:r w:rsidR="00466180" w:rsidRPr="002E118D">
        <w:rPr>
          <w:rFonts w:asciiTheme="minorBidi" w:hAnsiTheme="minorBidi"/>
        </w:rPr>
        <w:t>.</w:t>
      </w:r>
      <w:r w:rsidR="00387231" w:rsidRPr="002E118D">
        <w:rPr>
          <w:rFonts w:asciiTheme="minorBidi" w:hAnsiTheme="minorBidi"/>
        </w:rPr>
        <w:t xml:space="preserve"> </w:t>
      </w:r>
    </w:p>
    <w:p w14:paraId="3686AF6D" w14:textId="778CF189" w:rsidR="00387231" w:rsidRPr="002E118D" w:rsidRDefault="00387231" w:rsidP="009338AF">
      <w:pPr>
        <w:pStyle w:val="Indentquote"/>
      </w:pPr>
      <w:r w:rsidRPr="002E118D">
        <w:t>The CEO sets SASR strategy for the overall organisation and we ensure to work towards this. (B7)</w:t>
      </w:r>
    </w:p>
    <w:p w14:paraId="169BE011" w14:textId="6898ADF1" w:rsidR="00387231" w:rsidRPr="002E118D" w:rsidRDefault="00B405AC">
      <w:pPr>
        <w:rPr>
          <w:lang w:eastAsia="zh-CN"/>
        </w:rPr>
      </w:pPr>
      <w:bookmarkStart w:id="22" w:name="_Hlk39358177"/>
      <w:r>
        <w:lastRenderedPageBreak/>
        <w:t>We asked the i</w:t>
      </w:r>
      <w:r w:rsidR="00387231" w:rsidRPr="002E118D">
        <w:t>nterviewees whether they have a</w:t>
      </w:r>
      <w:r w:rsidR="00673849" w:rsidRPr="002E118D">
        <w:t>ny</w:t>
      </w:r>
      <w:r w:rsidR="00387231" w:rsidRPr="002E118D">
        <w:t xml:space="preserve"> say in the SASR strategy</w:t>
      </w:r>
      <w:r w:rsidR="00BD6B52" w:rsidRPr="002E118D">
        <w:t>. M</w:t>
      </w:r>
      <w:r w:rsidR="00387231" w:rsidRPr="002E118D">
        <w:t>ost of the interviewees indicated that they work towards the CEO</w:t>
      </w:r>
      <w:r w:rsidR="00BD6B52" w:rsidRPr="002E118D">
        <w:t>’</w:t>
      </w:r>
      <w:r w:rsidR="00387231" w:rsidRPr="002E118D">
        <w:t>s vision</w:t>
      </w:r>
      <w:r w:rsidR="00BD6B52" w:rsidRPr="002E118D">
        <w:t>. They are able to</w:t>
      </w:r>
      <w:r w:rsidR="00387231" w:rsidRPr="002E118D">
        <w:t xml:space="preserve"> make recommendations but ultimately the CEO has </w:t>
      </w:r>
      <w:r w:rsidR="00BD6B52" w:rsidRPr="002E118D">
        <w:t>the</w:t>
      </w:r>
      <w:r w:rsidR="00387231" w:rsidRPr="002E118D">
        <w:t xml:space="preserve"> final say</w:t>
      </w:r>
      <w:r w:rsidR="00BD6B52" w:rsidRPr="002E118D">
        <w:t>. Reporting managers</w:t>
      </w:r>
      <w:r w:rsidR="00387231" w:rsidRPr="002E118D">
        <w:t xml:space="preserve"> do not </w:t>
      </w:r>
      <w:r w:rsidR="00096F44" w:rsidRPr="002E118D">
        <w:t xml:space="preserve">normally </w:t>
      </w:r>
      <w:r w:rsidR="00387231" w:rsidRPr="002E118D">
        <w:t>question the CEO</w:t>
      </w:r>
      <w:r w:rsidR="00BD6B52" w:rsidRPr="002E118D">
        <w:t>’</w:t>
      </w:r>
      <w:r w:rsidR="00387231" w:rsidRPr="002E118D">
        <w:t xml:space="preserve">s reporting strategy as </w:t>
      </w:r>
      <w:r w:rsidR="00BD6B52" w:rsidRPr="002E118D">
        <w:t xml:space="preserve">they believe that </w:t>
      </w:r>
      <w:r w:rsidR="00387231" w:rsidRPr="002E118D">
        <w:t>ultimately the CEO know</w:t>
      </w:r>
      <w:r w:rsidR="00BD6B52" w:rsidRPr="002E118D">
        <w:t>s</w:t>
      </w:r>
      <w:r w:rsidR="00387231" w:rsidRPr="002E118D">
        <w:t xml:space="preserve"> what is best for the organisation based on internal and external business environment</w:t>
      </w:r>
      <w:r w:rsidR="00ED7144" w:rsidRPr="002E118D">
        <w:t>s</w:t>
      </w:r>
      <w:r w:rsidR="00387231" w:rsidRPr="002E118D">
        <w:t xml:space="preserve">. </w:t>
      </w:r>
      <w:bookmarkStart w:id="23" w:name="_Hlk39370477"/>
      <w:bookmarkEnd w:id="22"/>
      <w:r w:rsidR="00722548" w:rsidRPr="002E118D">
        <w:rPr>
          <w:lang w:eastAsia="zh-CN"/>
        </w:rPr>
        <w:t>T</w:t>
      </w:r>
      <w:r w:rsidR="00387231" w:rsidRPr="002E118D">
        <w:rPr>
          <w:lang w:eastAsia="zh-CN"/>
        </w:rPr>
        <w:t>he CEO</w:t>
      </w:r>
      <w:r w:rsidR="00722548" w:rsidRPr="002E118D">
        <w:rPr>
          <w:lang w:eastAsia="zh-CN"/>
        </w:rPr>
        <w:t>’</w:t>
      </w:r>
      <w:r w:rsidR="00387231" w:rsidRPr="002E118D">
        <w:rPr>
          <w:lang w:eastAsia="zh-CN"/>
        </w:rPr>
        <w:t xml:space="preserve">s </w:t>
      </w:r>
      <w:r w:rsidR="00466180" w:rsidRPr="002E118D">
        <w:rPr>
          <w:lang w:eastAsia="zh-CN"/>
        </w:rPr>
        <w:t xml:space="preserve">reporting </w:t>
      </w:r>
      <w:r w:rsidR="00387231" w:rsidRPr="002E118D">
        <w:rPr>
          <w:lang w:eastAsia="zh-CN"/>
        </w:rPr>
        <w:t xml:space="preserve">strategy </w:t>
      </w:r>
      <w:r w:rsidR="00722548" w:rsidRPr="002E118D">
        <w:rPr>
          <w:lang w:eastAsia="zh-CN"/>
        </w:rPr>
        <w:t>determines the</w:t>
      </w:r>
      <w:r w:rsidR="00387231" w:rsidRPr="002E118D">
        <w:rPr>
          <w:lang w:eastAsia="zh-CN"/>
        </w:rPr>
        <w:t xml:space="preserve"> information to be collected </w:t>
      </w:r>
      <w:r w:rsidR="00722548" w:rsidRPr="002E118D">
        <w:rPr>
          <w:lang w:eastAsia="zh-CN"/>
        </w:rPr>
        <w:t xml:space="preserve">by the reporting manager </w:t>
      </w:r>
      <w:r w:rsidR="0009757D" w:rsidRPr="002E118D">
        <w:rPr>
          <w:lang w:eastAsia="zh-CN"/>
        </w:rPr>
        <w:t xml:space="preserve">in compiling </w:t>
      </w:r>
      <w:r w:rsidR="00722548" w:rsidRPr="002E118D">
        <w:rPr>
          <w:lang w:eastAsia="zh-CN"/>
        </w:rPr>
        <w:t xml:space="preserve">the </w:t>
      </w:r>
      <w:r w:rsidR="0009757D" w:rsidRPr="002E118D">
        <w:rPr>
          <w:lang w:eastAsia="zh-CN"/>
        </w:rPr>
        <w:t>SASR</w:t>
      </w:r>
      <w:r w:rsidR="00387231" w:rsidRPr="002E118D">
        <w:rPr>
          <w:lang w:eastAsia="zh-CN"/>
        </w:rPr>
        <w:t xml:space="preserve">. </w:t>
      </w:r>
      <w:r w:rsidR="00722548" w:rsidRPr="002E118D">
        <w:rPr>
          <w:lang w:eastAsia="zh-CN"/>
        </w:rPr>
        <w:t>R</w:t>
      </w:r>
      <w:r w:rsidR="00387231" w:rsidRPr="002E118D">
        <w:rPr>
          <w:lang w:eastAsia="zh-CN"/>
        </w:rPr>
        <w:t xml:space="preserve">eporting managers </w:t>
      </w:r>
      <w:r w:rsidR="00722548" w:rsidRPr="002E118D">
        <w:rPr>
          <w:lang w:eastAsia="zh-CN"/>
        </w:rPr>
        <w:t xml:space="preserve">typically </w:t>
      </w:r>
      <w:r w:rsidR="00387231" w:rsidRPr="002E118D">
        <w:rPr>
          <w:lang w:eastAsia="zh-CN"/>
        </w:rPr>
        <w:t>provide content owners (i.e. junior to mid-tier managers responsible for sustainability report content) with an information pack containing detailed guidelines on the CEO</w:t>
      </w:r>
      <w:r w:rsidR="00722548" w:rsidRPr="002E118D">
        <w:rPr>
          <w:lang w:eastAsia="zh-CN"/>
        </w:rPr>
        <w:t>’</w:t>
      </w:r>
      <w:r w:rsidR="00387231" w:rsidRPr="002E118D">
        <w:rPr>
          <w:lang w:eastAsia="zh-CN"/>
        </w:rPr>
        <w:t>s reporting strategy, types of information to be collected and the time</w:t>
      </w:r>
      <w:r w:rsidR="00722548" w:rsidRPr="002E118D">
        <w:rPr>
          <w:lang w:eastAsia="zh-CN"/>
        </w:rPr>
        <w:t xml:space="preserve"> </w:t>
      </w:r>
      <w:r w:rsidR="00387231" w:rsidRPr="002E118D">
        <w:rPr>
          <w:lang w:eastAsia="zh-CN"/>
        </w:rPr>
        <w:t>frame</w:t>
      </w:r>
      <w:bookmarkEnd w:id="23"/>
      <w:r w:rsidR="00387231" w:rsidRPr="002E118D">
        <w:rPr>
          <w:lang w:eastAsia="zh-CN"/>
        </w:rPr>
        <w:t>.</w:t>
      </w:r>
    </w:p>
    <w:p w14:paraId="74EFADF6" w14:textId="77777777" w:rsidR="00387231" w:rsidRPr="002E118D" w:rsidRDefault="00387231" w:rsidP="009338AF">
      <w:pPr>
        <w:pStyle w:val="Indentquote"/>
      </w:pPr>
      <w:r w:rsidRPr="002E118D">
        <w:t>I give a briefing of the strategy before the collection of data; therefore, they have a good sense of what type of information is required by the CEO. (B3)</w:t>
      </w:r>
    </w:p>
    <w:p w14:paraId="2508FB3C" w14:textId="2FE8474C" w:rsidR="00324010" w:rsidRPr="002E118D" w:rsidRDefault="00387231">
      <w:pPr>
        <w:rPr>
          <w:rFonts w:asciiTheme="minorBidi" w:hAnsiTheme="minorBidi"/>
          <w:lang w:eastAsia="zh-CN"/>
        </w:rPr>
      </w:pPr>
      <w:r w:rsidRPr="002E118D">
        <w:rPr>
          <w:rFonts w:asciiTheme="minorBidi" w:hAnsiTheme="minorBidi"/>
          <w:lang w:eastAsia="zh-CN"/>
        </w:rPr>
        <w:t>Additionally,</w:t>
      </w:r>
      <w:r w:rsidR="00AE58EE">
        <w:rPr>
          <w:rFonts w:asciiTheme="minorBidi" w:hAnsiTheme="minorBidi"/>
          <w:lang w:eastAsia="zh-CN"/>
        </w:rPr>
        <w:t xml:space="preserve"> </w:t>
      </w:r>
      <w:r w:rsidRPr="002E118D">
        <w:rPr>
          <w:rFonts w:asciiTheme="minorBidi" w:hAnsiTheme="minorBidi"/>
          <w:lang w:eastAsia="zh-CN"/>
        </w:rPr>
        <w:t xml:space="preserve">reporting managers ensure </w:t>
      </w:r>
      <w:r w:rsidR="00466180" w:rsidRPr="002E118D">
        <w:rPr>
          <w:rFonts w:asciiTheme="minorBidi" w:hAnsiTheme="minorBidi"/>
          <w:lang w:eastAsia="zh-CN"/>
        </w:rPr>
        <w:t xml:space="preserve">that </w:t>
      </w:r>
      <w:r w:rsidRPr="002E118D">
        <w:rPr>
          <w:rFonts w:asciiTheme="minorBidi" w:hAnsiTheme="minorBidi"/>
          <w:lang w:eastAsia="zh-CN"/>
        </w:rPr>
        <w:t>both junior and mid-tier managers are knowledgeable and resourceful</w:t>
      </w:r>
      <w:r w:rsidR="002D531C" w:rsidRPr="002E118D">
        <w:rPr>
          <w:rFonts w:asciiTheme="minorBidi" w:hAnsiTheme="minorBidi"/>
          <w:lang w:eastAsia="zh-CN"/>
        </w:rPr>
        <w:t xml:space="preserve">. </w:t>
      </w:r>
      <w:r w:rsidRPr="002E118D">
        <w:rPr>
          <w:rFonts w:asciiTheme="minorBidi" w:hAnsiTheme="minorBidi"/>
          <w:lang w:eastAsia="zh-CN"/>
        </w:rPr>
        <w:t xml:space="preserve">However, most of the interviewees revealed that it is time-consuming and challenging for the reporting managers to educate </w:t>
      </w:r>
      <w:r w:rsidR="009E5CF9" w:rsidRPr="002E118D">
        <w:rPr>
          <w:rFonts w:asciiTheme="minorBidi" w:hAnsiTheme="minorBidi"/>
          <w:lang w:eastAsia="zh-CN"/>
        </w:rPr>
        <w:t xml:space="preserve">new and </w:t>
      </w:r>
      <w:r w:rsidRPr="002E118D">
        <w:rPr>
          <w:rFonts w:asciiTheme="minorBidi" w:hAnsiTheme="minorBidi"/>
          <w:lang w:eastAsia="zh-CN"/>
        </w:rPr>
        <w:t>inexperience</w:t>
      </w:r>
      <w:r w:rsidR="00722548" w:rsidRPr="002E118D">
        <w:rPr>
          <w:rFonts w:asciiTheme="minorBidi" w:hAnsiTheme="minorBidi"/>
          <w:lang w:eastAsia="zh-CN"/>
        </w:rPr>
        <w:t>d</w:t>
      </w:r>
      <w:r w:rsidRPr="002E118D">
        <w:rPr>
          <w:rFonts w:asciiTheme="minorBidi" w:hAnsiTheme="minorBidi"/>
          <w:lang w:eastAsia="zh-CN"/>
        </w:rPr>
        <w:t xml:space="preserve"> </w:t>
      </w:r>
      <w:r w:rsidR="00722548" w:rsidRPr="002E118D">
        <w:rPr>
          <w:rFonts w:asciiTheme="minorBidi" w:hAnsiTheme="minorBidi"/>
          <w:lang w:eastAsia="zh-CN"/>
        </w:rPr>
        <w:t>staff</w:t>
      </w:r>
      <w:r w:rsidRPr="002E118D">
        <w:rPr>
          <w:rFonts w:asciiTheme="minorBidi" w:hAnsiTheme="minorBidi"/>
          <w:lang w:eastAsia="zh-CN"/>
        </w:rPr>
        <w:t>.</w:t>
      </w:r>
    </w:p>
    <w:p w14:paraId="29F1A2A4" w14:textId="20C4AB56" w:rsidR="00387231" w:rsidRPr="002E118D" w:rsidRDefault="00722548">
      <w:pPr>
        <w:rPr>
          <w:rFonts w:asciiTheme="minorBidi" w:eastAsia="Times New Roman" w:hAnsiTheme="minorBidi"/>
          <w:lang w:eastAsia="zh-CN"/>
        </w:rPr>
      </w:pPr>
      <w:r w:rsidRPr="002E118D">
        <w:rPr>
          <w:rFonts w:asciiTheme="minorBidi" w:eastAsia="Times New Roman" w:hAnsiTheme="minorBidi"/>
          <w:lang w:eastAsia="zh-CN"/>
        </w:rPr>
        <w:t>B</w:t>
      </w:r>
      <w:r w:rsidR="00387231" w:rsidRPr="002E118D">
        <w:rPr>
          <w:rFonts w:asciiTheme="minorBidi" w:eastAsia="Times New Roman" w:hAnsiTheme="minorBidi"/>
          <w:lang w:eastAsia="zh-CN"/>
        </w:rPr>
        <w:t xml:space="preserve">oth junior and mid-tier managers are </w:t>
      </w:r>
      <w:r w:rsidRPr="002E118D">
        <w:rPr>
          <w:rFonts w:asciiTheme="minorBidi" w:eastAsia="Times New Roman" w:hAnsiTheme="minorBidi"/>
          <w:lang w:eastAsia="zh-CN"/>
        </w:rPr>
        <w:t xml:space="preserve">expected to </w:t>
      </w:r>
      <w:r w:rsidR="00685D0E" w:rsidRPr="002E118D">
        <w:rPr>
          <w:rFonts w:asciiTheme="minorBidi" w:eastAsia="Times New Roman" w:hAnsiTheme="minorBidi"/>
          <w:lang w:eastAsia="zh-CN"/>
        </w:rPr>
        <w:t>cooperate in</w:t>
      </w:r>
      <w:r w:rsidR="00673849" w:rsidRPr="002E118D">
        <w:rPr>
          <w:rFonts w:asciiTheme="minorBidi" w:eastAsia="Times New Roman" w:hAnsiTheme="minorBidi"/>
          <w:lang w:eastAsia="zh-CN"/>
        </w:rPr>
        <w:t xml:space="preserve"> achieving the CEO</w:t>
      </w:r>
      <w:r w:rsidRPr="002E118D">
        <w:rPr>
          <w:rFonts w:asciiTheme="minorBidi" w:eastAsia="Times New Roman" w:hAnsiTheme="minorBidi"/>
          <w:lang w:eastAsia="zh-CN"/>
        </w:rPr>
        <w:t>’</w:t>
      </w:r>
      <w:r w:rsidR="00673849" w:rsidRPr="002E118D">
        <w:rPr>
          <w:rFonts w:asciiTheme="minorBidi" w:eastAsia="Times New Roman" w:hAnsiTheme="minorBidi"/>
          <w:lang w:eastAsia="zh-CN"/>
        </w:rPr>
        <w:t>s reporting strategy</w:t>
      </w:r>
      <w:r w:rsidR="00387231" w:rsidRPr="002E118D">
        <w:rPr>
          <w:rFonts w:asciiTheme="minorBidi" w:eastAsia="Times New Roman" w:hAnsiTheme="minorBidi"/>
          <w:lang w:eastAsia="zh-CN"/>
        </w:rPr>
        <w:t xml:space="preserve">. </w:t>
      </w:r>
      <w:r w:rsidR="00324010" w:rsidRPr="002E118D">
        <w:rPr>
          <w:rFonts w:asciiTheme="minorBidi" w:eastAsia="Times New Roman" w:hAnsiTheme="minorBidi"/>
          <w:lang w:eastAsia="zh-CN"/>
        </w:rPr>
        <w:t>T</w:t>
      </w:r>
      <w:r w:rsidR="00685D0E" w:rsidRPr="002E118D">
        <w:rPr>
          <w:rFonts w:asciiTheme="minorBidi" w:eastAsia="Times New Roman" w:hAnsiTheme="minorBidi"/>
          <w:lang w:eastAsia="zh-CN"/>
        </w:rPr>
        <w:t>o</w:t>
      </w:r>
      <w:r w:rsidR="007600B3" w:rsidRPr="002E118D">
        <w:rPr>
          <w:rFonts w:asciiTheme="minorBidi" w:eastAsia="Times New Roman" w:hAnsiTheme="minorBidi"/>
          <w:lang w:eastAsia="zh-CN"/>
        </w:rPr>
        <w:t xml:space="preserve"> ensure that everyone within the organisation</w:t>
      </w:r>
      <w:r w:rsidR="00324010" w:rsidRPr="002E118D">
        <w:rPr>
          <w:rFonts w:asciiTheme="minorBidi" w:eastAsia="Times New Roman" w:hAnsiTheme="minorBidi"/>
          <w:lang w:eastAsia="zh-CN"/>
        </w:rPr>
        <w:t xml:space="preserve"> is</w:t>
      </w:r>
      <w:r w:rsidR="007600B3" w:rsidRPr="002E118D">
        <w:rPr>
          <w:rFonts w:asciiTheme="minorBidi" w:eastAsia="Times New Roman" w:hAnsiTheme="minorBidi"/>
          <w:lang w:eastAsia="zh-CN"/>
        </w:rPr>
        <w:t xml:space="preserve"> working towards one vision, the reporting manager communicate</w:t>
      </w:r>
      <w:r w:rsidR="00324010" w:rsidRPr="002E118D">
        <w:rPr>
          <w:rFonts w:asciiTheme="minorBidi" w:eastAsia="Times New Roman" w:hAnsiTheme="minorBidi"/>
          <w:lang w:eastAsia="zh-CN"/>
        </w:rPr>
        <w:t>s</w:t>
      </w:r>
      <w:r w:rsidR="007600B3" w:rsidRPr="002E118D">
        <w:rPr>
          <w:rFonts w:asciiTheme="minorBidi" w:eastAsia="Times New Roman" w:hAnsiTheme="minorBidi"/>
          <w:lang w:eastAsia="zh-CN"/>
        </w:rPr>
        <w:t xml:space="preserve"> regularly with junior and mid-tier managers and provide</w:t>
      </w:r>
      <w:r w:rsidR="00324010" w:rsidRPr="002E118D">
        <w:rPr>
          <w:rFonts w:asciiTheme="minorBidi" w:eastAsia="Times New Roman" w:hAnsiTheme="minorBidi"/>
          <w:lang w:eastAsia="zh-CN"/>
        </w:rPr>
        <w:t>s</w:t>
      </w:r>
      <w:r w:rsidR="007600B3" w:rsidRPr="002E118D">
        <w:rPr>
          <w:rFonts w:asciiTheme="minorBidi" w:eastAsia="Times New Roman" w:hAnsiTheme="minorBidi"/>
          <w:lang w:eastAsia="zh-CN"/>
        </w:rPr>
        <w:t xml:space="preserve"> regular feedback and updates </w:t>
      </w:r>
      <w:r w:rsidR="00387231" w:rsidRPr="002E118D">
        <w:rPr>
          <w:rFonts w:asciiTheme="minorBidi" w:hAnsiTheme="minorBidi"/>
        </w:rPr>
        <w:t>through an internal collaborative system.</w:t>
      </w:r>
    </w:p>
    <w:p w14:paraId="35F93330" w14:textId="77777777" w:rsidR="00387231" w:rsidRPr="002E118D" w:rsidRDefault="00387231" w:rsidP="009338AF">
      <w:pPr>
        <w:pStyle w:val="Indentquote"/>
      </w:pPr>
      <w:r w:rsidRPr="002E118D">
        <w:t>We have an internal system like drop box which is updated daily, each department submits their work and I provide them feedback. (B4)</w:t>
      </w:r>
    </w:p>
    <w:p w14:paraId="51D8F068" w14:textId="02A79EDA" w:rsidR="00387231" w:rsidRPr="002E118D" w:rsidRDefault="00387231" w:rsidP="009338AF">
      <w:pPr>
        <w:pStyle w:val="Indentquote"/>
      </w:pPr>
      <w:r w:rsidRPr="002E118D">
        <w:t>We contacted managers of the concerned department and had a one to one meeting, so that we are on the same page and working towards same vision (B6)</w:t>
      </w:r>
      <w:r w:rsidR="00886A4E">
        <w:t xml:space="preserve"> </w:t>
      </w:r>
    </w:p>
    <w:p w14:paraId="596D6313" w14:textId="77777777" w:rsidR="00324010" w:rsidRPr="002E118D" w:rsidRDefault="00324010">
      <w:pPr>
        <w:rPr>
          <w:rFonts w:asciiTheme="minorBidi" w:hAnsiTheme="minorBidi"/>
        </w:rPr>
      </w:pPr>
    </w:p>
    <w:p w14:paraId="0A8BA1F2" w14:textId="769A0832" w:rsidR="00387231" w:rsidRPr="002E118D" w:rsidRDefault="00B405AC">
      <w:pPr>
        <w:rPr>
          <w:rFonts w:asciiTheme="minorBidi" w:hAnsiTheme="minorBidi"/>
        </w:rPr>
      </w:pPr>
      <w:r>
        <w:rPr>
          <w:rFonts w:asciiTheme="minorBidi" w:hAnsiTheme="minorBidi"/>
        </w:rPr>
        <w:t>We asked t</w:t>
      </w:r>
      <w:r w:rsidR="00387231" w:rsidRPr="002E118D">
        <w:rPr>
          <w:rFonts w:asciiTheme="minorBidi" w:hAnsiTheme="minorBidi"/>
        </w:rPr>
        <w:t>he interviewees what their personal objective was for SASRs. Most interviewees referred instead to their perception of the CEO’s objectives</w:t>
      </w:r>
      <w:r w:rsidR="00324010" w:rsidRPr="002E118D">
        <w:rPr>
          <w:rFonts w:asciiTheme="minorBidi" w:hAnsiTheme="minorBidi"/>
        </w:rPr>
        <w:t>, for example</w:t>
      </w:r>
      <w:r w:rsidR="00387231" w:rsidRPr="002E118D">
        <w:rPr>
          <w:rFonts w:asciiTheme="minorBidi" w:hAnsiTheme="minorBidi"/>
        </w:rPr>
        <w:t>:</w:t>
      </w:r>
    </w:p>
    <w:p w14:paraId="29D0846D" w14:textId="77777777" w:rsidR="00387231" w:rsidRPr="002E118D" w:rsidRDefault="00387231" w:rsidP="009338AF">
      <w:pPr>
        <w:pStyle w:val="Indentquote"/>
      </w:pPr>
      <w:r w:rsidRPr="002E118D">
        <w:t>The CEO wants us to stay ahead the competitors, SASRs are vital for our financial success and shows our commitment to CSR. (B3)</w:t>
      </w:r>
    </w:p>
    <w:p w14:paraId="3F751653" w14:textId="7385CA10" w:rsidR="00387231" w:rsidRPr="002E118D" w:rsidRDefault="00324010" w:rsidP="00053DCC">
      <w:r w:rsidRPr="002E118D">
        <w:t xml:space="preserve">What was the approach of </w:t>
      </w:r>
      <w:r w:rsidR="00387231" w:rsidRPr="002E118D">
        <w:t xml:space="preserve">interviewees </w:t>
      </w:r>
      <w:r w:rsidRPr="002E118D">
        <w:t>to</w:t>
      </w:r>
      <w:r w:rsidR="00387231" w:rsidRPr="002E118D">
        <w:t xml:space="preserve"> report</w:t>
      </w:r>
      <w:r w:rsidRPr="002E118D">
        <w:t>ing</w:t>
      </w:r>
      <w:r w:rsidR="00387231" w:rsidRPr="002E118D">
        <w:t xml:space="preserve"> any material bad news in SASRs</w:t>
      </w:r>
      <w:r w:rsidRPr="002E118D">
        <w:t>?</w:t>
      </w:r>
      <w:r w:rsidR="00387231" w:rsidRPr="002E118D">
        <w:t xml:space="preserve"> </w:t>
      </w:r>
      <w:bookmarkStart w:id="24" w:name="_Hlk39370723"/>
      <w:r w:rsidRPr="002E118D">
        <w:t>I</w:t>
      </w:r>
      <w:r w:rsidR="00387231" w:rsidRPr="002E118D">
        <w:t xml:space="preserve">nterviewees </w:t>
      </w:r>
      <w:r w:rsidR="00770CAC" w:rsidRPr="002E118D">
        <w:t xml:space="preserve">informed us that they </w:t>
      </w:r>
      <w:r w:rsidR="00387231" w:rsidRPr="002E118D">
        <w:t>try to be as sincere as they can</w:t>
      </w:r>
      <w:r w:rsidR="00541A54" w:rsidRPr="002E118D">
        <w:t xml:space="preserve"> </w:t>
      </w:r>
      <w:r w:rsidR="00466180" w:rsidRPr="002E118D">
        <w:t>b</w:t>
      </w:r>
      <w:r w:rsidR="00387231" w:rsidRPr="002E118D">
        <w:t xml:space="preserve">ut </w:t>
      </w:r>
      <w:r w:rsidR="002D74DB">
        <w:t xml:space="preserve">that </w:t>
      </w:r>
      <w:r w:rsidR="00387231" w:rsidRPr="002E118D">
        <w:t>they</w:t>
      </w:r>
      <w:r w:rsidR="00770CAC" w:rsidRPr="002E118D">
        <w:t xml:space="preserve"> construct</w:t>
      </w:r>
      <w:r w:rsidR="00387231" w:rsidRPr="002E118D">
        <w:t xml:space="preserve"> the SASR in line with the CEO</w:t>
      </w:r>
      <w:r w:rsidR="00770CAC" w:rsidRPr="002E118D">
        <w:t>’</w:t>
      </w:r>
      <w:r w:rsidR="00387231" w:rsidRPr="002E118D">
        <w:t>s reporting strategy</w:t>
      </w:r>
      <w:r w:rsidR="00770CAC" w:rsidRPr="002E118D">
        <w:t>, aware that they may be asked to downplay or even remove negative news:</w:t>
      </w:r>
      <w:r w:rsidR="00387231" w:rsidRPr="002E118D">
        <w:t xml:space="preserve"> </w:t>
      </w:r>
      <w:bookmarkEnd w:id="24"/>
    </w:p>
    <w:p w14:paraId="09E647FF" w14:textId="33C8064C" w:rsidR="00387231" w:rsidRPr="002E118D" w:rsidRDefault="00387231" w:rsidP="009338AF">
      <w:pPr>
        <w:pStyle w:val="Indentquote"/>
      </w:pPr>
      <w:r w:rsidRPr="002E118D">
        <w:lastRenderedPageBreak/>
        <w:t xml:space="preserve"> We try to be sincere in the disclosure of environmental and social information but ultimately it is the CEO which has a final say and that the report is read by the CEO in great detail and any bad news related to environmental and social information is ultimately suggested to be removed from the SASR </w:t>
      </w:r>
      <w:r w:rsidR="009E5CF9" w:rsidRPr="002E118D">
        <w:t>by the CEO</w:t>
      </w:r>
      <w:r w:rsidR="00466180" w:rsidRPr="002E118D">
        <w:t>.</w:t>
      </w:r>
      <w:r w:rsidR="009E5CF9" w:rsidRPr="002E118D">
        <w:t xml:space="preserve"> </w:t>
      </w:r>
      <w:r w:rsidRPr="002E118D">
        <w:t>(B8)</w:t>
      </w:r>
    </w:p>
    <w:p w14:paraId="59BF0E53" w14:textId="6EA5C2D8" w:rsidR="007F4126" w:rsidRPr="002E118D" w:rsidRDefault="00770CAC" w:rsidP="007F4126">
      <w:r w:rsidRPr="002E118D">
        <w:t>P</w:t>
      </w:r>
      <w:r w:rsidR="007F4126" w:rsidRPr="002E118D">
        <w:t>rior stud</w:t>
      </w:r>
      <w:r w:rsidRPr="002E118D">
        <w:t xml:space="preserve">ies </w:t>
      </w:r>
      <w:r w:rsidR="006669A4">
        <w:rPr>
          <w:lang w:eastAsia="zh-CN"/>
        </w:rPr>
        <w:t>(</w:t>
      </w:r>
      <w:r w:rsidRPr="002E118D">
        <w:rPr>
          <w:lang w:eastAsia="zh-CN"/>
        </w:rPr>
        <w:t>Adam</w:t>
      </w:r>
      <w:r w:rsidR="00B04F8C">
        <w:rPr>
          <w:lang w:eastAsia="zh-CN"/>
        </w:rPr>
        <w:t>s, 2002;</w:t>
      </w:r>
      <w:r w:rsidR="002D74DB">
        <w:rPr>
          <w:lang w:eastAsia="zh-CN"/>
        </w:rPr>
        <w:t xml:space="preserve"> </w:t>
      </w:r>
      <w:r w:rsidRPr="002E118D">
        <w:rPr>
          <w:lang w:eastAsia="zh-CN"/>
        </w:rPr>
        <w:t>Bellringer et al., 2011; O'Dwyer, 2002)</w:t>
      </w:r>
      <w:r w:rsidR="007F4126" w:rsidRPr="002E118D">
        <w:t xml:space="preserve"> suggest that senior managers and board members remain reluctant to disclose material bad news</w:t>
      </w:r>
      <w:r w:rsidRPr="002E118D">
        <w:t>. Our findings indicate that many reporting managers anticipate such reluctance and as a consequence may feel that they need to suppress bad news. They focus on what the CEO wants the SASR to contain, rather than what their expertise in sustainability would suggest. This may lead reporting managers to seek out good news to report in the SASR rather than bad news.</w:t>
      </w:r>
      <w:r w:rsidR="00886A4E">
        <w:t xml:space="preserve"> </w:t>
      </w:r>
    </w:p>
    <w:p w14:paraId="794F609D" w14:textId="75636E51" w:rsidR="007F4126" w:rsidRPr="002E118D" w:rsidRDefault="007600B3" w:rsidP="007F4126">
      <w:pPr>
        <w:pStyle w:val="Indentquote"/>
      </w:pPr>
      <w:r w:rsidRPr="002E118D">
        <w:t xml:space="preserve">There is nothing wrong with </w:t>
      </w:r>
      <w:r w:rsidR="00956A9F" w:rsidRPr="002E118D">
        <w:t xml:space="preserve">the </w:t>
      </w:r>
      <w:r w:rsidRPr="002E118D">
        <w:t>disclos</w:t>
      </w:r>
      <w:r w:rsidR="00956A9F" w:rsidRPr="002E118D">
        <w:t>ure of</w:t>
      </w:r>
      <w:r w:rsidRPr="002E118D">
        <w:t xml:space="preserve"> favourable environmental and social information, we are proud of these achievements </w:t>
      </w:r>
      <w:r w:rsidR="00956A9F" w:rsidRPr="002E118D">
        <w:t xml:space="preserve">and </w:t>
      </w:r>
      <w:r w:rsidRPr="002E118D">
        <w:t>our CEO</w:t>
      </w:r>
      <w:r w:rsidR="00770CAC" w:rsidRPr="002E118D">
        <w:t xml:space="preserve"> is</w:t>
      </w:r>
      <w:r w:rsidRPr="002E118D">
        <w:t xml:space="preserve"> supportive and impressed </w:t>
      </w:r>
      <w:r w:rsidR="00770CAC" w:rsidRPr="002E118D">
        <w:t xml:space="preserve">by </w:t>
      </w:r>
      <w:r w:rsidRPr="002E118D">
        <w:t xml:space="preserve">what we </w:t>
      </w:r>
      <w:r w:rsidR="00F42365" w:rsidRPr="002E118D">
        <w:t>have achieved</w:t>
      </w:r>
      <w:r w:rsidRPr="002E118D">
        <w:t xml:space="preserve">. (B10) </w:t>
      </w:r>
    </w:p>
    <w:p w14:paraId="5E117CE3" w14:textId="77777777" w:rsidR="00770CAC" w:rsidRPr="002E118D" w:rsidRDefault="00770CAC" w:rsidP="00053DCC"/>
    <w:p w14:paraId="4B4B994E" w14:textId="53098D3D" w:rsidR="00387231" w:rsidRPr="002E118D" w:rsidRDefault="00770CAC" w:rsidP="00053DCC">
      <w:pPr>
        <w:rPr>
          <w:rFonts w:eastAsia="Calibri"/>
        </w:rPr>
      </w:pPr>
      <w:r w:rsidRPr="002E118D">
        <w:t>R</w:t>
      </w:r>
      <w:r w:rsidR="00387231" w:rsidRPr="002E118D">
        <w:t>eporting managers</w:t>
      </w:r>
      <w:r w:rsidR="009A341D">
        <w:t xml:space="preserve"> </w:t>
      </w:r>
      <w:r w:rsidR="00387231" w:rsidRPr="002E118D">
        <w:t>feel under pressure from the</w:t>
      </w:r>
      <w:r w:rsidRPr="002E118D">
        <w:t>ir</w:t>
      </w:r>
      <w:r w:rsidR="00387231" w:rsidRPr="002E118D">
        <w:t xml:space="preserve"> CEOs to achieve the highest possible GRI rating</w:t>
      </w:r>
      <w:r w:rsidR="00685D0E" w:rsidRPr="002E118D">
        <w:t>s</w:t>
      </w:r>
      <w:r w:rsidR="00387231" w:rsidRPr="002E118D">
        <w:t xml:space="preserve">, as this is thought to signal that the organisation is committed to sustainability issues: </w:t>
      </w:r>
    </w:p>
    <w:p w14:paraId="2E451390" w14:textId="77777777" w:rsidR="00387231" w:rsidRPr="002E118D" w:rsidRDefault="00387231" w:rsidP="009338AF">
      <w:pPr>
        <w:pStyle w:val="Indentquote"/>
      </w:pPr>
      <w:r w:rsidRPr="002E118D">
        <w:t>I ensure that the report follows the GRI guidelines, so we are the subject matter experts on GRI guidelines, and we reach out to business functions to gather all the data. (B3)</w:t>
      </w:r>
    </w:p>
    <w:p w14:paraId="2B0C4711" w14:textId="77777777" w:rsidR="00387231" w:rsidRPr="002E118D" w:rsidRDefault="00387231" w:rsidP="009338AF">
      <w:pPr>
        <w:pStyle w:val="Indentquote"/>
      </w:pPr>
      <w:r w:rsidRPr="002E118D">
        <w:t>This is the target set by our CEO and is part of the reporting strategy. We self-declare the ratings based on our own assessments of our report contents against the GRI criteria in the GRI applications level. (B3)</w:t>
      </w:r>
    </w:p>
    <w:p w14:paraId="6F7A8AF5" w14:textId="4F6CDA59" w:rsidR="00661326" w:rsidRPr="002E118D" w:rsidRDefault="00387231" w:rsidP="00661326">
      <w:pPr>
        <w:pStyle w:val="Indentquote"/>
      </w:pPr>
      <w:r w:rsidRPr="002E118D">
        <w:t>The president and CEO offices are certainly aware of the GRI framework and would expect the reporting manager to be reporting at the highest level and be ‘best in class’ in all operations. (B7)</w:t>
      </w:r>
    </w:p>
    <w:p w14:paraId="1E015B35" w14:textId="77777777" w:rsidR="00661326" w:rsidRPr="002E118D" w:rsidRDefault="00661326" w:rsidP="009338AF">
      <w:pPr>
        <w:pStyle w:val="Indentquote"/>
      </w:pPr>
    </w:p>
    <w:p w14:paraId="0CC4700E" w14:textId="6C4A70AE" w:rsidR="00387231" w:rsidRPr="002E118D" w:rsidRDefault="004A2D0E">
      <w:pPr>
        <w:rPr>
          <w:rFonts w:asciiTheme="minorBidi" w:hAnsiTheme="minorBidi"/>
        </w:rPr>
      </w:pPr>
      <w:r w:rsidRPr="002E118D">
        <w:rPr>
          <w:rFonts w:asciiTheme="minorBidi" w:hAnsiTheme="minorBidi"/>
        </w:rPr>
        <w:t>Interviewees stressed</w:t>
      </w:r>
      <w:r w:rsidR="00387231" w:rsidRPr="002E118D">
        <w:rPr>
          <w:rFonts w:asciiTheme="minorBidi" w:hAnsiTheme="minorBidi"/>
        </w:rPr>
        <w:t xml:space="preserve"> that it is in their best interest to work in line with the CEO’s strategy as failing to do so will have a negative impact on the assessment of their overall individual performances:</w:t>
      </w:r>
    </w:p>
    <w:p w14:paraId="670B773D" w14:textId="77777777" w:rsidR="00387231" w:rsidRPr="002E118D" w:rsidRDefault="00387231" w:rsidP="009338AF">
      <w:pPr>
        <w:pStyle w:val="Indentquote"/>
      </w:pPr>
      <w:r w:rsidRPr="002E118D">
        <w:t>The manager would be scored poorly in their performance rating, which could affect remuneration. (B10)</w:t>
      </w:r>
    </w:p>
    <w:p w14:paraId="3DEA5B2B" w14:textId="77777777" w:rsidR="00387231" w:rsidRPr="002E118D" w:rsidRDefault="00387231" w:rsidP="009338AF">
      <w:pPr>
        <w:pStyle w:val="Indentquote"/>
      </w:pPr>
      <w:r w:rsidRPr="002E118D">
        <w:t>There is a positive PR externally and internally recognitions of their achievements. (B3)</w:t>
      </w:r>
    </w:p>
    <w:p w14:paraId="0138ABA7" w14:textId="4AEF5EFA" w:rsidR="009E4A4B" w:rsidRPr="002E118D" w:rsidRDefault="00387231" w:rsidP="00C522F3">
      <w:pPr>
        <w:pStyle w:val="Indentquote"/>
      </w:pPr>
      <w:r w:rsidRPr="002E118D">
        <w:t>It is everyone’s interest to maintain the highest ratings possible. (B7)</w:t>
      </w:r>
    </w:p>
    <w:p w14:paraId="533CEC04" w14:textId="16A602CE" w:rsidR="00387231" w:rsidRPr="002E118D" w:rsidRDefault="00770CAC">
      <w:pPr>
        <w:rPr>
          <w:rFonts w:asciiTheme="minorBidi" w:hAnsiTheme="minorBidi"/>
        </w:rPr>
      </w:pPr>
      <w:r w:rsidRPr="002E118D">
        <w:rPr>
          <w:rFonts w:asciiTheme="minorBidi" w:eastAsia="Calibri" w:hAnsiTheme="minorBidi"/>
        </w:rPr>
        <w:t xml:space="preserve">Reporting managers are thus </w:t>
      </w:r>
      <w:r w:rsidR="00D33C90" w:rsidRPr="002E118D">
        <w:rPr>
          <w:rFonts w:asciiTheme="minorBidi" w:eastAsia="Calibri" w:hAnsiTheme="minorBidi"/>
        </w:rPr>
        <w:t>incentivised</w:t>
      </w:r>
      <w:r w:rsidRPr="002E118D">
        <w:rPr>
          <w:rFonts w:asciiTheme="minorBidi" w:eastAsia="Calibri" w:hAnsiTheme="minorBidi"/>
        </w:rPr>
        <w:t xml:space="preserve"> to </w:t>
      </w:r>
      <w:r w:rsidR="00E6673C" w:rsidRPr="002E118D">
        <w:rPr>
          <w:rFonts w:asciiTheme="minorBidi" w:eastAsia="Calibri" w:hAnsiTheme="minorBidi"/>
        </w:rPr>
        <w:t xml:space="preserve">enact the CEO’s reporting strategy. This is rational behaviour on the part of the reporting managers, so it cannot be described as “stupid” </w:t>
      </w:r>
      <w:r w:rsidR="00E6673C" w:rsidRPr="002E118D">
        <w:rPr>
          <w:rFonts w:asciiTheme="minorBidi" w:eastAsia="Calibri" w:hAnsiTheme="minorBidi"/>
        </w:rPr>
        <w:lastRenderedPageBreak/>
        <w:t xml:space="preserve">at a personal level. The inhibition of managerial reflexivity in the preparation of SASRs is, however, consistent with </w:t>
      </w:r>
      <w:r w:rsidR="00387231" w:rsidRPr="002E118D">
        <w:rPr>
          <w:rFonts w:asciiTheme="minorBidi" w:eastAsia="Calibri" w:hAnsiTheme="minorBidi"/>
        </w:rPr>
        <w:t xml:space="preserve">functional stupidity at the organisational level. For example, </w:t>
      </w:r>
      <w:r w:rsidR="00096F44" w:rsidRPr="002E118D">
        <w:rPr>
          <w:rFonts w:asciiTheme="minorBidi" w:eastAsia="Calibri" w:hAnsiTheme="minorBidi"/>
        </w:rPr>
        <w:t xml:space="preserve">the </w:t>
      </w:r>
      <w:r w:rsidR="00D33C90" w:rsidRPr="002E118D">
        <w:rPr>
          <w:rFonts w:asciiTheme="minorBidi" w:eastAsia="Calibri" w:hAnsiTheme="minorBidi"/>
        </w:rPr>
        <w:t xml:space="preserve">majority of the </w:t>
      </w:r>
      <w:r w:rsidR="00E6673C" w:rsidRPr="002E118D">
        <w:rPr>
          <w:rFonts w:asciiTheme="minorBidi" w:eastAsia="Calibri" w:hAnsiTheme="minorBidi"/>
        </w:rPr>
        <w:t>interviewee</w:t>
      </w:r>
      <w:r w:rsidR="00D33C90" w:rsidRPr="002E118D">
        <w:rPr>
          <w:rFonts w:asciiTheme="minorBidi" w:eastAsia="Calibri" w:hAnsiTheme="minorBidi"/>
        </w:rPr>
        <w:t>s</w:t>
      </w:r>
      <w:r w:rsidR="00E6673C" w:rsidRPr="002E118D">
        <w:rPr>
          <w:rFonts w:asciiTheme="minorBidi" w:eastAsia="Calibri" w:hAnsiTheme="minorBidi"/>
        </w:rPr>
        <w:t xml:space="preserve"> reported that they had</w:t>
      </w:r>
      <w:r w:rsidR="00D33C90" w:rsidRPr="002E118D">
        <w:rPr>
          <w:rFonts w:asciiTheme="minorBidi" w:eastAsia="Calibri" w:hAnsiTheme="minorBidi"/>
        </w:rPr>
        <w:t xml:space="preserve"> not</w:t>
      </w:r>
      <w:r w:rsidR="00387231" w:rsidRPr="002E118D">
        <w:rPr>
          <w:rFonts w:asciiTheme="minorBidi" w:eastAsia="Calibri" w:hAnsiTheme="minorBidi"/>
        </w:rPr>
        <w:t xml:space="preserve"> question</w:t>
      </w:r>
      <w:r w:rsidR="00E6673C" w:rsidRPr="002E118D">
        <w:rPr>
          <w:rFonts w:asciiTheme="minorBidi" w:eastAsia="Calibri" w:hAnsiTheme="minorBidi"/>
        </w:rPr>
        <w:t>ed</w:t>
      </w:r>
      <w:r w:rsidR="00387231" w:rsidRPr="002E118D">
        <w:rPr>
          <w:rFonts w:asciiTheme="minorBidi" w:eastAsia="Calibri" w:hAnsiTheme="minorBidi"/>
        </w:rPr>
        <w:t xml:space="preserve"> the CEO</w:t>
      </w:r>
      <w:r w:rsidR="00E6673C" w:rsidRPr="002E118D">
        <w:rPr>
          <w:rFonts w:asciiTheme="minorBidi" w:eastAsia="Calibri" w:hAnsiTheme="minorBidi"/>
        </w:rPr>
        <w:t>’</w:t>
      </w:r>
      <w:r w:rsidR="00387231" w:rsidRPr="002E118D">
        <w:rPr>
          <w:rFonts w:asciiTheme="minorBidi" w:eastAsia="Calibri" w:hAnsiTheme="minorBidi"/>
        </w:rPr>
        <w:t>s reporting strategy</w:t>
      </w:r>
      <w:r w:rsidR="00E6673C" w:rsidRPr="002E118D">
        <w:rPr>
          <w:rFonts w:asciiTheme="minorBidi" w:eastAsia="Calibri" w:hAnsiTheme="minorBidi"/>
        </w:rPr>
        <w:t>,</w:t>
      </w:r>
      <w:r w:rsidR="00387231" w:rsidRPr="002E118D">
        <w:rPr>
          <w:rFonts w:asciiTheme="minorBidi" w:eastAsia="Calibri" w:hAnsiTheme="minorBidi"/>
        </w:rPr>
        <w:t xml:space="preserve"> as </w:t>
      </w:r>
      <w:r w:rsidR="00E6673C" w:rsidRPr="002E118D">
        <w:rPr>
          <w:rFonts w:asciiTheme="minorBidi" w:eastAsia="Calibri" w:hAnsiTheme="minorBidi"/>
        </w:rPr>
        <w:t xml:space="preserve">interviewees generally </w:t>
      </w:r>
      <w:r w:rsidR="00387231" w:rsidRPr="002E118D">
        <w:rPr>
          <w:rFonts w:asciiTheme="minorBidi" w:eastAsia="Calibri" w:hAnsiTheme="minorBidi"/>
        </w:rPr>
        <w:t>believe that the CEO had a clear vision and strategy for SASRs. This supports Alvesson and Spicer (2012</w:t>
      </w:r>
      <w:r w:rsidR="00E6673C" w:rsidRPr="002E118D">
        <w:rPr>
          <w:rFonts w:asciiTheme="minorBidi" w:eastAsia="Calibri" w:hAnsiTheme="minorBidi"/>
        </w:rPr>
        <w:t>, p. 1199</w:t>
      </w:r>
      <w:r w:rsidR="00387231" w:rsidRPr="002E118D">
        <w:rPr>
          <w:rFonts w:asciiTheme="minorBidi" w:eastAsia="Calibri" w:hAnsiTheme="minorBidi"/>
        </w:rPr>
        <w:t>)</w:t>
      </w:r>
      <w:r w:rsidR="00E6673C" w:rsidRPr="002E118D">
        <w:rPr>
          <w:rFonts w:asciiTheme="minorBidi" w:eastAsia="Calibri" w:hAnsiTheme="minorBidi"/>
        </w:rPr>
        <w:t>, who suggest</w:t>
      </w:r>
      <w:r w:rsidR="00387231" w:rsidRPr="002E118D">
        <w:rPr>
          <w:rFonts w:asciiTheme="minorBidi" w:eastAsia="Calibri" w:hAnsiTheme="minorBidi"/>
        </w:rPr>
        <w:t xml:space="preserve"> that “</w:t>
      </w:r>
      <w:r w:rsidR="00387231" w:rsidRPr="002E118D">
        <w:rPr>
          <w:rFonts w:asciiTheme="minorBidi" w:hAnsiTheme="minorBidi"/>
        </w:rPr>
        <w:t>the employees may not consider or question (im)morality because ‘what is right in the corporation is what the guy above you want</w:t>
      </w:r>
      <w:r w:rsidR="00E6673C" w:rsidRPr="002E118D">
        <w:rPr>
          <w:rFonts w:asciiTheme="minorBidi" w:hAnsiTheme="minorBidi"/>
        </w:rPr>
        <w:t>s</w:t>
      </w:r>
      <w:r w:rsidR="00387231" w:rsidRPr="002E118D">
        <w:rPr>
          <w:rFonts w:asciiTheme="minorBidi" w:hAnsiTheme="minorBidi"/>
        </w:rPr>
        <w:t xml:space="preserve"> from you’.” </w:t>
      </w:r>
      <w:r w:rsidR="00E6673C" w:rsidRPr="002E118D">
        <w:rPr>
          <w:rFonts w:asciiTheme="minorBidi" w:hAnsiTheme="minorBidi"/>
        </w:rPr>
        <w:t>O</w:t>
      </w:r>
      <w:r w:rsidR="00387231" w:rsidRPr="002E118D">
        <w:rPr>
          <w:rFonts w:asciiTheme="minorBidi" w:hAnsiTheme="minorBidi"/>
        </w:rPr>
        <w:t>rganisation</w:t>
      </w:r>
      <w:r w:rsidR="00E6673C" w:rsidRPr="002E118D">
        <w:rPr>
          <w:rFonts w:asciiTheme="minorBidi" w:hAnsiTheme="minorBidi"/>
        </w:rPr>
        <w:t>al</w:t>
      </w:r>
      <w:r w:rsidR="00387231" w:rsidRPr="002E118D">
        <w:rPr>
          <w:rFonts w:asciiTheme="minorBidi" w:hAnsiTheme="minorBidi"/>
        </w:rPr>
        <w:t xml:space="preserve"> rules, norms, and routines enable the reporting managers to contribute to maintaining and strengthening organisational order</w:t>
      </w:r>
      <w:r w:rsidR="00E6673C" w:rsidRPr="002E118D">
        <w:rPr>
          <w:rFonts w:asciiTheme="minorBidi" w:hAnsiTheme="minorBidi"/>
        </w:rPr>
        <w:t>,</w:t>
      </w:r>
      <w:r w:rsidR="00387231" w:rsidRPr="002E118D">
        <w:rPr>
          <w:rFonts w:asciiTheme="minorBidi" w:hAnsiTheme="minorBidi"/>
        </w:rPr>
        <w:t xml:space="preserve"> whether the </w:t>
      </w:r>
      <w:r w:rsidR="00E960D9" w:rsidRPr="002E118D">
        <w:rPr>
          <w:rFonts w:asciiTheme="minorBidi" w:hAnsiTheme="minorBidi"/>
        </w:rPr>
        <w:t xml:space="preserve">information disclosed in </w:t>
      </w:r>
      <w:r w:rsidR="00387231" w:rsidRPr="002E118D">
        <w:rPr>
          <w:rFonts w:asciiTheme="minorBidi" w:hAnsiTheme="minorBidi"/>
        </w:rPr>
        <w:t xml:space="preserve">SASRs </w:t>
      </w:r>
      <w:r w:rsidR="00E960D9" w:rsidRPr="002E118D">
        <w:rPr>
          <w:rFonts w:asciiTheme="minorBidi" w:hAnsiTheme="minorBidi"/>
        </w:rPr>
        <w:t>is symbolic or substantive</w:t>
      </w:r>
      <w:r w:rsidR="00E6673C" w:rsidRPr="002E118D">
        <w:rPr>
          <w:rFonts w:asciiTheme="minorBidi" w:hAnsiTheme="minorBidi"/>
        </w:rPr>
        <w:t>,</w:t>
      </w:r>
      <w:r w:rsidR="00E960D9" w:rsidRPr="002E118D">
        <w:rPr>
          <w:rFonts w:asciiTheme="minorBidi" w:hAnsiTheme="minorBidi"/>
        </w:rPr>
        <w:t xml:space="preserve"> as long as </w:t>
      </w:r>
      <w:r w:rsidR="00387231" w:rsidRPr="002E118D">
        <w:rPr>
          <w:rFonts w:asciiTheme="minorBidi" w:hAnsiTheme="minorBidi"/>
        </w:rPr>
        <w:t>the CEO</w:t>
      </w:r>
      <w:r w:rsidR="00E6673C" w:rsidRPr="002E118D">
        <w:rPr>
          <w:rFonts w:asciiTheme="minorBidi" w:hAnsiTheme="minorBidi"/>
        </w:rPr>
        <w:t>’</w:t>
      </w:r>
      <w:r w:rsidR="00387231" w:rsidRPr="002E118D">
        <w:rPr>
          <w:rFonts w:asciiTheme="minorBidi" w:hAnsiTheme="minorBidi"/>
        </w:rPr>
        <w:t xml:space="preserve">s </w:t>
      </w:r>
      <w:r w:rsidR="00E6673C" w:rsidRPr="002E118D">
        <w:rPr>
          <w:rFonts w:asciiTheme="minorBidi" w:hAnsiTheme="minorBidi"/>
        </w:rPr>
        <w:t>expectations</w:t>
      </w:r>
      <w:r w:rsidR="00387231" w:rsidRPr="002E118D">
        <w:rPr>
          <w:rFonts w:asciiTheme="minorBidi" w:hAnsiTheme="minorBidi"/>
        </w:rPr>
        <w:t xml:space="preserve"> for </w:t>
      </w:r>
      <w:r w:rsidR="00E6673C" w:rsidRPr="002E118D">
        <w:rPr>
          <w:rFonts w:asciiTheme="minorBidi" w:hAnsiTheme="minorBidi"/>
        </w:rPr>
        <w:t xml:space="preserve">the </w:t>
      </w:r>
      <w:r w:rsidR="00387231" w:rsidRPr="002E118D">
        <w:rPr>
          <w:rFonts w:asciiTheme="minorBidi" w:hAnsiTheme="minorBidi"/>
        </w:rPr>
        <w:t xml:space="preserve">SASR is fulfilled. </w:t>
      </w:r>
    </w:p>
    <w:p w14:paraId="24C0EC45" w14:textId="6125ABCF" w:rsidR="00096F44" w:rsidRPr="002E118D" w:rsidRDefault="00096F44">
      <w:pPr>
        <w:rPr>
          <w:rFonts w:asciiTheme="minorBidi" w:hAnsiTheme="minorBidi"/>
        </w:rPr>
      </w:pPr>
      <w:r w:rsidRPr="002E118D">
        <w:rPr>
          <w:rFonts w:asciiTheme="minorBidi" w:hAnsiTheme="minorBidi"/>
        </w:rPr>
        <w:t>An exception to this was interviewee B5, who considered that the CEO played only a minimal role in the preparation of the SASR. The interviewee commented:</w:t>
      </w:r>
    </w:p>
    <w:p w14:paraId="58390FBF" w14:textId="77777777" w:rsidR="00096F44" w:rsidRPr="002E118D" w:rsidRDefault="00096F44" w:rsidP="00096F44">
      <w:pPr>
        <w:pStyle w:val="Indentquote"/>
      </w:pPr>
      <w:r w:rsidRPr="002E118D">
        <w:t>I make the key decisions and leave the rest to the junior and mid-tier managers. The CEO will briefly read the draft of the report, but does not engage to a greater extent. (B5)</w:t>
      </w:r>
    </w:p>
    <w:p w14:paraId="36FD8C13" w14:textId="77777777" w:rsidR="00096F44" w:rsidRPr="00596D72" w:rsidRDefault="00096F44" w:rsidP="00096F44">
      <w:r w:rsidRPr="00596D72">
        <w:t>The relaxed attitude of the CEO to sustainability reporting appears strange as this is a mining company, where the impact on the environment is likely to be material. However, the reporting manager observed that:</w:t>
      </w:r>
    </w:p>
    <w:p w14:paraId="4F44758C" w14:textId="402A41D4" w:rsidR="00096F44" w:rsidRPr="009A341D" w:rsidRDefault="00096F44" w:rsidP="009A341D">
      <w:pPr>
        <w:pStyle w:val="Indentquote"/>
        <w:rPr>
          <w:iCs/>
          <w:lang w:val="en-NZ"/>
        </w:rPr>
      </w:pPr>
      <w:r w:rsidRPr="00596D72">
        <w:rPr>
          <w:iCs/>
          <w:lang w:val="en-NZ"/>
        </w:rPr>
        <w:t>There is lack of interest in sustainability, including our CEO is not concerned in what we disclose. If the users are not interested in the report then there is no motivation to spend extensive time and money reporting on environmental and social issues. (B5)</w:t>
      </w:r>
    </w:p>
    <w:p w14:paraId="2CB66F67" w14:textId="5821EBE2" w:rsidR="00387231" w:rsidRPr="002E118D" w:rsidRDefault="00387231">
      <w:pPr>
        <w:rPr>
          <w:rFonts w:asciiTheme="minorBidi" w:hAnsiTheme="minorBidi"/>
          <w:lang w:val="en"/>
        </w:rPr>
      </w:pPr>
      <w:r w:rsidRPr="002E118D">
        <w:rPr>
          <w:rFonts w:asciiTheme="minorBidi" w:hAnsiTheme="minorBidi"/>
        </w:rPr>
        <w:t xml:space="preserve">GRI guidelines and GRI A+ ratings were also used </w:t>
      </w:r>
      <w:r w:rsidR="0010408E" w:rsidRPr="002E118D">
        <w:rPr>
          <w:rFonts w:asciiTheme="minorBidi" w:hAnsiTheme="minorBidi"/>
        </w:rPr>
        <w:t xml:space="preserve">to </w:t>
      </w:r>
      <w:r w:rsidRPr="002E118D">
        <w:rPr>
          <w:rFonts w:asciiTheme="minorBidi" w:hAnsiTheme="minorBidi"/>
        </w:rPr>
        <w:t>symbolise corporate commitments to CSR.</w:t>
      </w:r>
      <w:r w:rsidR="00D33C90" w:rsidRPr="002E118D">
        <w:rPr>
          <w:rFonts w:asciiTheme="minorBidi" w:hAnsiTheme="minorBidi"/>
        </w:rPr>
        <w:t xml:space="preserve"> </w:t>
      </w:r>
      <w:r w:rsidR="00053DCC" w:rsidRPr="002E118D">
        <w:rPr>
          <w:rFonts w:asciiTheme="minorBidi" w:hAnsiTheme="minorBidi"/>
        </w:rPr>
        <w:t xml:space="preserve">CEOs require the reporting managers to </w:t>
      </w:r>
      <w:r w:rsidR="00F42365" w:rsidRPr="002E118D">
        <w:rPr>
          <w:rFonts w:asciiTheme="minorBidi" w:hAnsiTheme="minorBidi"/>
        </w:rPr>
        <w:t>attain the highest possible GRI ratings.</w:t>
      </w:r>
      <w:r w:rsidR="00886A4E">
        <w:rPr>
          <w:rFonts w:asciiTheme="minorBidi" w:hAnsiTheme="minorBidi"/>
        </w:rPr>
        <w:t xml:space="preserve"> </w:t>
      </w:r>
      <w:r w:rsidR="00053DCC" w:rsidRPr="002E118D">
        <w:rPr>
          <w:rFonts w:asciiTheme="minorBidi" w:hAnsiTheme="minorBidi"/>
        </w:rPr>
        <w:t xml:space="preserve">However, </w:t>
      </w:r>
      <w:r w:rsidR="00E960D9" w:rsidRPr="002E118D">
        <w:rPr>
          <w:rFonts w:asciiTheme="minorBidi" w:hAnsiTheme="minorBidi"/>
        </w:rPr>
        <w:t>as</w:t>
      </w:r>
      <w:r w:rsidRPr="002E118D">
        <w:rPr>
          <w:rFonts w:asciiTheme="minorBidi" w:hAnsiTheme="minorBidi"/>
        </w:rPr>
        <w:t xml:space="preserve"> the</w:t>
      </w:r>
      <w:r w:rsidR="00053DCC" w:rsidRPr="002E118D">
        <w:rPr>
          <w:rFonts w:asciiTheme="minorBidi" w:hAnsiTheme="minorBidi"/>
        </w:rPr>
        <w:t xml:space="preserve"> </w:t>
      </w:r>
      <w:r w:rsidR="00E6673C" w:rsidRPr="002E118D">
        <w:rPr>
          <w:rFonts w:asciiTheme="minorBidi" w:hAnsiTheme="minorBidi"/>
        </w:rPr>
        <w:t xml:space="preserve">GRI guidelines are voluntary and </w:t>
      </w:r>
      <w:r w:rsidR="00053DCC" w:rsidRPr="002E118D">
        <w:rPr>
          <w:rFonts w:asciiTheme="minorBidi" w:hAnsiTheme="minorBidi"/>
        </w:rPr>
        <w:t xml:space="preserve">GRI ratings </w:t>
      </w:r>
      <w:r w:rsidR="00E6673C" w:rsidRPr="002E118D">
        <w:rPr>
          <w:rFonts w:asciiTheme="minorBidi" w:hAnsiTheme="minorBidi"/>
        </w:rPr>
        <w:t>are</w:t>
      </w:r>
      <w:r w:rsidR="00053DCC" w:rsidRPr="002E118D">
        <w:rPr>
          <w:rFonts w:asciiTheme="minorBidi" w:hAnsiTheme="minorBidi"/>
        </w:rPr>
        <w:t xml:space="preserve"> self-declared, the reporting managers may</w:t>
      </w:r>
      <w:r w:rsidR="0010408E" w:rsidRPr="002E118D">
        <w:rPr>
          <w:rFonts w:asciiTheme="minorBidi" w:hAnsiTheme="minorBidi"/>
        </w:rPr>
        <w:t xml:space="preserve"> seek to</w:t>
      </w:r>
      <w:r w:rsidR="00053DCC" w:rsidRPr="002E118D">
        <w:rPr>
          <w:rFonts w:asciiTheme="minorBidi" w:hAnsiTheme="minorBidi"/>
        </w:rPr>
        <w:t xml:space="preserve"> </w:t>
      </w:r>
      <w:r w:rsidR="00132A00" w:rsidRPr="002E118D">
        <w:rPr>
          <w:rFonts w:asciiTheme="minorBidi" w:hAnsiTheme="minorBidi"/>
        </w:rPr>
        <w:t xml:space="preserve">enhance </w:t>
      </w:r>
      <w:r w:rsidRPr="002E118D">
        <w:rPr>
          <w:rFonts w:asciiTheme="minorBidi" w:hAnsiTheme="minorBidi"/>
        </w:rPr>
        <w:t xml:space="preserve">the symbolic performance </w:t>
      </w:r>
      <w:r w:rsidR="00132A00" w:rsidRPr="002E118D">
        <w:rPr>
          <w:rFonts w:asciiTheme="minorBidi" w:hAnsiTheme="minorBidi"/>
        </w:rPr>
        <w:t xml:space="preserve">of the organisation </w:t>
      </w:r>
      <w:r w:rsidRPr="002E118D">
        <w:rPr>
          <w:rFonts w:asciiTheme="minorBidi" w:hAnsiTheme="minorBidi"/>
        </w:rPr>
        <w:t>by being able to “to tick more GRI boxes” (</w:t>
      </w:r>
      <w:r w:rsidRPr="002E118D">
        <w:rPr>
          <w:rFonts w:asciiTheme="minorBidi" w:eastAsia="SimSun" w:hAnsiTheme="minorBidi"/>
        </w:rPr>
        <w:t xml:space="preserve">De Villiers </w:t>
      </w:r>
      <w:r w:rsidR="00647CB5">
        <w:rPr>
          <w:rFonts w:asciiTheme="minorBidi" w:eastAsia="SimSun" w:hAnsiTheme="minorBidi"/>
        </w:rPr>
        <w:t>&amp;</w:t>
      </w:r>
      <w:r w:rsidR="00647CB5" w:rsidRPr="002E118D">
        <w:rPr>
          <w:rFonts w:asciiTheme="minorBidi" w:eastAsia="SimSun" w:hAnsiTheme="minorBidi"/>
        </w:rPr>
        <w:t xml:space="preserve"> </w:t>
      </w:r>
      <w:r w:rsidRPr="002E118D">
        <w:rPr>
          <w:rFonts w:asciiTheme="minorBidi" w:eastAsia="SimSun" w:hAnsiTheme="minorBidi"/>
        </w:rPr>
        <w:t>Alexander, 2014).</w:t>
      </w:r>
      <w:r w:rsidR="00C522F3" w:rsidRPr="002E118D">
        <w:rPr>
          <w:rFonts w:asciiTheme="minorBidi" w:eastAsia="SimSun" w:hAnsiTheme="minorBidi"/>
        </w:rPr>
        <w:t xml:space="preserve"> </w:t>
      </w:r>
      <w:r w:rsidR="0010408E" w:rsidRPr="002E118D">
        <w:rPr>
          <w:rFonts w:asciiTheme="minorBidi" w:eastAsia="SimSun" w:hAnsiTheme="minorBidi"/>
        </w:rPr>
        <w:t>R</w:t>
      </w:r>
      <w:r w:rsidR="00C522F3" w:rsidRPr="002E118D">
        <w:rPr>
          <w:rFonts w:asciiTheme="minorBidi" w:eastAsia="SimSun" w:hAnsiTheme="minorBidi"/>
        </w:rPr>
        <w:t xml:space="preserve">eporting managers </w:t>
      </w:r>
      <w:r w:rsidR="00673849" w:rsidRPr="002E118D">
        <w:rPr>
          <w:rFonts w:asciiTheme="minorBidi" w:eastAsia="SimSun" w:hAnsiTheme="minorBidi"/>
        </w:rPr>
        <w:t xml:space="preserve">are </w:t>
      </w:r>
      <w:r w:rsidR="00C522F3" w:rsidRPr="002E118D">
        <w:rPr>
          <w:rFonts w:asciiTheme="minorBidi" w:eastAsia="SimSun" w:hAnsiTheme="minorBidi"/>
        </w:rPr>
        <w:t>motivated to engage in symbolic CSR practices to cultivate their careers by educating</w:t>
      </w:r>
      <w:r w:rsidR="00132A00" w:rsidRPr="002E118D">
        <w:rPr>
          <w:rFonts w:asciiTheme="minorBidi" w:eastAsia="SimSun" w:hAnsiTheme="minorBidi"/>
        </w:rPr>
        <w:t xml:space="preserve"> other managers</w:t>
      </w:r>
      <w:r w:rsidR="00C522F3" w:rsidRPr="002E118D">
        <w:rPr>
          <w:rFonts w:asciiTheme="minorBidi" w:eastAsia="SimSun" w:hAnsiTheme="minorBidi"/>
        </w:rPr>
        <w:t xml:space="preserve"> and collecting data consistent with the CEO</w:t>
      </w:r>
      <w:r w:rsidR="00132A00" w:rsidRPr="002E118D">
        <w:rPr>
          <w:rFonts w:asciiTheme="minorBidi" w:eastAsia="SimSun" w:hAnsiTheme="minorBidi"/>
        </w:rPr>
        <w:t>’</w:t>
      </w:r>
      <w:r w:rsidR="00C522F3" w:rsidRPr="002E118D">
        <w:rPr>
          <w:rFonts w:asciiTheme="minorBidi" w:eastAsia="SimSun" w:hAnsiTheme="minorBidi"/>
        </w:rPr>
        <w:t>s reporting strategy</w:t>
      </w:r>
      <w:r w:rsidRPr="002E118D">
        <w:rPr>
          <w:rFonts w:asciiTheme="minorBidi" w:hAnsiTheme="minorBidi"/>
          <w:lang w:val="en"/>
        </w:rPr>
        <w:t>.</w:t>
      </w:r>
      <w:r w:rsidR="00673849" w:rsidRPr="002E118D">
        <w:rPr>
          <w:rFonts w:asciiTheme="minorBidi" w:hAnsiTheme="minorBidi"/>
          <w:lang w:val="en"/>
        </w:rPr>
        <w:t xml:space="preserve"> </w:t>
      </w:r>
      <w:r w:rsidR="00132A00" w:rsidRPr="002E118D">
        <w:rPr>
          <w:rFonts w:asciiTheme="minorBidi" w:hAnsiTheme="minorBidi"/>
        </w:rPr>
        <w:t>By not</w:t>
      </w:r>
      <w:r w:rsidRPr="002E118D">
        <w:rPr>
          <w:rFonts w:asciiTheme="minorBidi" w:hAnsiTheme="minorBidi"/>
          <w:lang w:val="en"/>
        </w:rPr>
        <w:t xml:space="preserve"> reveal</w:t>
      </w:r>
      <w:r w:rsidR="00132A00" w:rsidRPr="002E118D">
        <w:rPr>
          <w:rFonts w:asciiTheme="minorBidi" w:hAnsiTheme="minorBidi"/>
          <w:lang w:val="en"/>
        </w:rPr>
        <w:t>ing</w:t>
      </w:r>
      <w:r w:rsidRPr="002E118D">
        <w:rPr>
          <w:rFonts w:asciiTheme="minorBidi" w:hAnsiTheme="minorBidi"/>
          <w:lang w:val="en"/>
        </w:rPr>
        <w:t xml:space="preserve"> </w:t>
      </w:r>
      <w:r w:rsidR="00132A00" w:rsidRPr="002E118D">
        <w:rPr>
          <w:rFonts w:asciiTheme="minorBidi" w:hAnsiTheme="minorBidi"/>
          <w:lang w:val="en"/>
        </w:rPr>
        <w:t xml:space="preserve">a </w:t>
      </w:r>
      <w:r w:rsidRPr="002E118D">
        <w:rPr>
          <w:rFonts w:asciiTheme="minorBidi" w:hAnsiTheme="minorBidi"/>
          <w:lang w:val="en"/>
        </w:rPr>
        <w:t xml:space="preserve">personal goal or vision for </w:t>
      </w:r>
      <w:r w:rsidR="00132A00" w:rsidRPr="002E118D">
        <w:rPr>
          <w:rFonts w:asciiTheme="minorBidi" w:hAnsiTheme="minorBidi"/>
          <w:lang w:val="en"/>
        </w:rPr>
        <w:t xml:space="preserve">the </w:t>
      </w:r>
      <w:r w:rsidRPr="002E118D">
        <w:rPr>
          <w:rFonts w:asciiTheme="minorBidi" w:hAnsiTheme="minorBidi"/>
          <w:lang w:val="en"/>
        </w:rPr>
        <w:t>SASR</w:t>
      </w:r>
      <w:r w:rsidR="00132A00" w:rsidRPr="002E118D">
        <w:rPr>
          <w:rFonts w:asciiTheme="minorBidi" w:hAnsiTheme="minorBidi"/>
          <w:lang w:val="en"/>
        </w:rPr>
        <w:t>, but rather emphasising the CEO’s vision and strategy,</w:t>
      </w:r>
      <w:r w:rsidRPr="002E118D">
        <w:rPr>
          <w:rFonts w:asciiTheme="minorBidi" w:hAnsiTheme="minorBidi"/>
          <w:lang w:val="en"/>
        </w:rPr>
        <w:t xml:space="preserve"> reporting managers </w:t>
      </w:r>
      <w:r w:rsidR="00132A00" w:rsidRPr="002E118D">
        <w:rPr>
          <w:rFonts w:asciiTheme="minorBidi" w:hAnsiTheme="minorBidi"/>
          <w:lang w:val="en"/>
        </w:rPr>
        <w:t xml:space="preserve">are </w:t>
      </w:r>
      <w:r w:rsidRPr="002E118D">
        <w:rPr>
          <w:rFonts w:asciiTheme="minorBidi" w:hAnsiTheme="minorBidi"/>
          <w:lang w:val="en"/>
        </w:rPr>
        <w:t>subordinat</w:t>
      </w:r>
      <w:r w:rsidR="00132A00" w:rsidRPr="002E118D">
        <w:rPr>
          <w:rFonts w:asciiTheme="minorBidi" w:hAnsiTheme="minorBidi"/>
          <w:lang w:val="en"/>
        </w:rPr>
        <w:t>ing</w:t>
      </w:r>
      <w:r w:rsidRPr="002E118D">
        <w:rPr>
          <w:rFonts w:asciiTheme="minorBidi" w:hAnsiTheme="minorBidi"/>
          <w:lang w:val="en"/>
        </w:rPr>
        <w:t xml:space="preserve"> their personal views to </w:t>
      </w:r>
      <w:r w:rsidR="00132A00" w:rsidRPr="002E118D">
        <w:rPr>
          <w:rFonts w:asciiTheme="minorBidi" w:hAnsiTheme="minorBidi"/>
          <w:lang w:val="en"/>
        </w:rPr>
        <w:t xml:space="preserve">those of </w:t>
      </w:r>
      <w:r w:rsidRPr="002E118D">
        <w:rPr>
          <w:rFonts w:asciiTheme="minorBidi" w:hAnsiTheme="minorBidi"/>
          <w:lang w:val="en"/>
        </w:rPr>
        <w:t>the CEO</w:t>
      </w:r>
      <w:r w:rsidR="00132A00" w:rsidRPr="002E118D">
        <w:rPr>
          <w:rFonts w:asciiTheme="minorBidi" w:hAnsiTheme="minorBidi"/>
          <w:lang w:val="en"/>
        </w:rPr>
        <w:t xml:space="preserve">, and are therefore not </w:t>
      </w:r>
      <w:r w:rsidR="0010408E" w:rsidRPr="002E118D">
        <w:rPr>
          <w:rFonts w:asciiTheme="minorBidi" w:hAnsiTheme="minorBidi"/>
          <w:lang w:val="en"/>
        </w:rPr>
        <w:t xml:space="preserve">able to </w:t>
      </w:r>
      <w:r w:rsidR="00132A00" w:rsidRPr="002E118D">
        <w:rPr>
          <w:rFonts w:asciiTheme="minorBidi" w:hAnsiTheme="minorBidi"/>
          <w:lang w:val="en"/>
        </w:rPr>
        <w:t>us</w:t>
      </w:r>
      <w:r w:rsidR="0010408E" w:rsidRPr="002E118D">
        <w:rPr>
          <w:rFonts w:asciiTheme="minorBidi" w:hAnsiTheme="minorBidi"/>
          <w:lang w:val="en"/>
        </w:rPr>
        <w:t>e</w:t>
      </w:r>
      <w:r w:rsidR="00132A00" w:rsidRPr="002E118D">
        <w:rPr>
          <w:rFonts w:asciiTheme="minorBidi" w:hAnsiTheme="minorBidi"/>
          <w:lang w:val="en"/>
        </w:rPr>
        <w:t xml:space="preserve"> their full</w:t>
      </w:r>
      <w:r w:rsidRPr="002E118D">
        <w:rPr>
          <w:rFonts w:asciiTheme="minorBidi" w:hAnsiTheme="minorBidi"/>
          <w:lang w:val="en"/>
        </w:rPr>
        <w:t xml:space="preserve"> capacity for refle</w:t>
      </w:r>
      <w:r w:rsidR="00132A00" w:rsidRPr="002E118D">
        <w:rPr>
          <w:rFonts w:asciiTheme="minorBidi" w:hAnsiTheme="minorBidi"/>
          <w:lang w:val="en"/>
        </w:rPr>
        <w:t>ction</w:t>
      </w:r>
      <w:r w:rsidRPr="002E118D">
        <w:rPr>
          <w:rFonts w:asciiTheme="minorBidi" w:hAnsiTheme="minorBidi"/>
          <w:lang w:val="en"/>
        </w:rPr>
        <w:t xml:space="preserve"> and cognition. As a result, despite the “functional outcome” (Alvesson &amp; Spicer, 2012, p. 1199) represented by the SASR, the behaviour of the reporting manager</w:t>
      </w:r>
      <w:r w:rsidR="00997BD0" w:rsidRPr="002E118D">
        <w:rPr>
          <w:rFonts w:asciiTheme="minorBidi" w:hAnsiTheme="minorBidi"/>
          <w:lang w:val="en"/>
        </w:rPr>
        <w:t>s</w:t>
      </w:r>
      <w:r w:rsidRPr="002E118D">
        <w:rPr>
          <w:rFonts w:asciiTheme="minorBidi" w:hAnsiTheme="minorBidi"/>
          <w:lang w:val="en"/>
        </w:rPr>
        <w:t xml:space="preserve"> </w:t>
      </w:r>
      <w:r w:rsidR="0010408E" w:rsidRPr="002E118D">
        <w:rPr>
          <w:rFonts w:asciiTheme="minorBidi" w:hAnsiTheme="minorBidi"/>
          <w:lang w:val="en"/>
        </w:rPr>
        <w:t>is</w:t>
      </w:r>
      <w:r w:rsidRPr="002E118D">
        <w:rPr>
          <w:rFonts w:asciiTheme="minorBidi" w:hAnsiTheme="minorBidi"/>
          <w:lang w:val="en"/>
        </w:rPr>
        <w:t xml:space="preserve"> </w:t>
      </w:r>
      <w:r w:rsidR="007A228B" w:rsidRPr="002E118D">
        <w:rPr>
          <w:rFonts w:asciiTheme="minorBidi" w:hAnsiTheme="minorBidi"/>
          <w:lang w:val="en"/>
        </w:rPr>
        <w:t>constrain</w:t>
      </w:r>
      <w:r w:rsidR="00132A00" w:rsidRPr="002E118D">
        <w:rPr>
          <w:rFonts w:asciiTheme="minorBidi" w:hAnsiTheme="minorBidi"/>
          <w:lang w:val="en"/>
        </w:rPr>
        <w:t>ed</w:t>
      </w:r>
      <w:r w:rsidR="007A228B" w:rsidRPr="002E118D">
        <w:rPr>
          <w:rFonts w:asciiTheme="minorBidi" w:hAnsiTheme="minorBidi"/>
          <w:lang w:val="en"/>
        </w:rPr>
        <w:t xml:space="preserve"> by the CEO</w:t>
      </w:r>
      <w:r w:rsidR="00132A00" w:rsidRPr="002E118D">
        <w:rPr>
          <w:rFonts w:asciiTheme="minorBidi" w:hAnsiTheme="minorBidi"/>
          <w:lang w:val="en"/>
        </w:rPr>
        <w:t>’</w:t>
      </w:r>
      <w:r w:rsidR="007A228B" w:rsidRPr="002E118D">
        <w:rPr>
          <w:rFonts w:asciiTheme="minorBidi" w:hAnsiTheme="minorBidi"/>
          <w:lang w:val="en"/>
        </w:rPr>
        <w:t>s reporting strategy</w:t>
      </w:r>
      <w:r w:rsidR="00132A00" w:rsidRPr="002E118D">
        <w:rPr>
          <w:rFonts w:asciiTheme="minorBidi" w:hAnsiTheme="minorBidi"/>
          <w:lang w:val="en"/>
        </w:rPr>
        <w:t>, which shapes the organisation’s processes</w:t>
      </w:r>
      <w:r w:rsidR="0010408E" w:rsidRPr="002E118D">
        <w:rPr>
          <w:rFonts w:asciiTheme="minorBidi" w:hAnsiTheme="minorBidi"/>
          <w:lang w:val="en"/>
        </w:rPr>
        <w:t xml:space="preserve"> in a functionally stupid way.</w:t>
      </w:r>
      <w:r w:rsidR="00886A4E">
        <w:rPr>
          <w:rFonts w:asciiTheme="minorBidi" w:hAnsiTheme="minorBidi"/>
          <w:lang w:val="en"/>
        </w:rPr>
        <w:t xml:space="preserve"> </w:t>
      </w:r>
    </w:p>
    <w:p w14:paraId="444297B6" w14:textId="2D3FD12F" w:rsidR="00543D90" w:rsidRPr="00543D90" w:rsidRDefault="004E0549" w:rsidP="00543D90">
      <w:pPr>
        <w:pStyle w:val="Heading2"/>
      </w:pPr>
      <w:bookmarkStart w:id="25" w:name="_Hlk38535585"/>
      <w:bookmarkEnd w:id="20"/>
      <w:r w:rsidRPr="002E118D">
        <w:lastRenderedPageBreak/>
        <w:t>5.</w:t>
      </w:r>
      <w:r w:rsidR="009338AF" w:rsidRPr="002E118D">
        <w:t>3</w:t>
      </w:r>
      <w:r w:rsidRPr="002E118D">
        <w:t xml:space="preserve"> </w:t>
      </w:r>
      <w:r w:rsidR="00F049ED" w:rsidRPr="002E118D">
        <w:t>Why</w:t>
      </w:r>
      <w:r w:rsidR="00543D90">
        <w:t xml:space="preserve"> do companies use visuals and how are visuals selected/designed</w:t>
      </w:r>
      <w:r w:rsidR="00EC3731" w:rsidRPr="002E118D">
        <w:t>?</w:t>
      </w:r>
    </w:p>
    <w:p w14:paraId="36649552" w14:textId="2D0C6B65" w:rsidR="006432F8" w:rsidRPr="002E118D" w:rsidRDefault="00794D2D" w:rsidP="006432F8">
      <w:pPr>
        <w:rPr>
          <w:rFonts w:asciiTheme="minorBidi" w:hAnsiTheme="minorBidi"/>
        </w:rPr>
      </w:pPr>
      <w:r>
        <w:rPr>
          <w:rFonts w:asciiTheme="minorBidi" w:hAnsiTheme="minorBidi"/>
        </w:rPr>
        <w:t xml:space="preserve">This section addresses the third research question (RQ3). </w:t>
      </w:r>
      <w:r w:rsidR="006432F8" w:rsidRPr="002E118D">
        <w:rPr>
          <w:rFonts w:asciiTheme="minorBidi" w:hAnsiTheme="minorBidi"/>
        </w:rPr>
        <w:t>Although the literature on sustainability reporting has largely overlooked the presence of visual images, they often occupy more space than words and numbers (Davison, 2014). The ten organisations in which interviews were undertaken have used hundreds of visual images and graphs in their SASRs aiming to show the benefits of sustainability development.</w:t>
      </w:r>
    </w:p>
    <w:p w14:paraId="4BC13186" w14:textId="12AEDCCE" w:rsidR="006432F8" w:rsidRPr="002E118D" w:rsidRDefault="006432F8" w:rsidP="006432F8">
      <w:pPr>
        <w:rPr>
          <w:rFonts w:asciiTheme="minorBidi" w:hAnsiTheme="minorBidi"/>
        </w:rPr>
      </w:pPr>
      <w:bookmarkStart w:id="26" w:name="_Hlk39435080"/>
      <w:r w:rsidRPr="002E118D">
        <w:rPr>
          <w:rFonts w:asciiTheme="minorBidi" w:hAnsiTheme="minorBidi"/>
        </w:rPr>
        <w:t>The interviewees were asked why visuals were used in their SASRs. Interviewees stated that visuals are an important part of the CEO</w:t>
      </w:r>
      <w:r w:rsidR="0010408E" w:rsidRPr="002E118D">
        <w:rPr>
          <w:rFonts w:asciiTheme="minorBidi" w:hAnsiTheme="minorBidi"/>
        </w:rPr>
        <w:t>’</w:t>
      </w:r>
      <w:r w:rsidRPr="002E118D">
        <w:rPr>
          <w:rFonts w:asciiTheme="minorBidi" w:hAnsiTheme="minorBidi"/>
        </w:rPr>
        <w:t xml:space="preserve">s strategy </w:t>
      </w:r>
      <w:r w:rsidR="0010408E" w:rsidRPr="002E118D">
        <w:rPr>
          <w:rFonts w:asciiTheme="minorBidi" w:hAnsiTheme="minorBidi"/>
        </w:rPr>
        <w:t>for the</w:t>
      </w:r>
      <w:bookmarkEnd w:id="26"/>
      <w:r w:rsidRPr="002E118D">
        <w:rPr>
          <w:rFonts w:asciiTheme="minorBidi" w:hAnsiTheme="minorBidi"/>
        </w:rPr>
        <w:t xml:space="preserve"> SASR </w:t>
      </w:r>
      <w:r w:rsidR="0010408E" w:rsidRPr="002E118D">
        <w:rPr>
          <w:rFonts w:asciiTheme="minorBidi" w:hAnsiTheme="minorBidi"/>
        </w:rPr>
        <w:t>to “tell a story”. V</w:t>
      </w:r>
      <w:r w:rsidRPr="002E118D">
        <w:rPr>
          <w:rFonts w:asciiTheme="minorBidi" w:hAnsiTheme="minorBidi"/>
        </w:rPr>
        <w:t>isuals enable the</w:t>
      </w:r>
      <w:r w:rsidR="0010408E" w:rsidRPr="002E118D">
        <w:rPr>
          <w:rFonts w:asciiTheme="minorBidi" w:hAnsiTheme="minorBidi"/>
        </w:rPr>
        <w:t xml:space="preserve"> organisation</w:t>
      </w:r>
      <w:r w:rsidRPr="002E118D">
        <w:rPr>
          <w:rFonts w:asciiTheme="minorBidi" w:hAnsiTheme="minorBidi"/>
        </w:rPr>
        <w:t xml:space="preserve"> to </w:t>
      </w:r>
      <w:r w:rsidR="000F7646" w:rsidRPr="002E118D">
        <w:rPr>
          <w:rFonts w:asciiTheme="minorBidi" w:hAnsiTheme="minorBidi"/>
        </w:rPr>
        <w:t xml:space="preserve">present </w:t>
      </w:r>
      <w:r w:rsidRPr="002E118D">
        <w:rPr>
          <w:rFonts w:asciiTheme="minorBidi" w:hAnsiTheme="minorBidi"/>
        </w:rPr>
        <w:t xml:space="preserve">stories </w:t>
      </w:r>
      <w:r w:rsidR="0010408E" w:rsidRPr="002E118D">
        <w:rPr>
          <w:rFonts w:asciiTheme="minorBidi" w:hAnsiTheme="minorBidi"/>
        </w:rPr>
        <w:t>that stand out as being</w:t>
      </w:r>
      <w:r w:rsidRPr="002E118D">
        <w:rPr>
          <w:rFonts w:asciiTheme="minorBidi" w:hAnsiTheme="minorBidi"/>
        </w:rPr>
        <w:t xml:space="preserve"> interesting and memorable. The overall message communicated by visuals was important, to the extent that one interviewee was critical of photographs used in a previous SASR and considered that they did not represent the company appropriately:</w:t>
      </w:r>
    </w:p>
    <w:p w14:paraId="04AC4A77" w14:textId="7FFA1C8C" w:rsidR="006432F8" w:rsidRPr="002E118D" w:rsidRDefault="006432F8" w:rsidP="00C522F3">
      <w:pPr>
        <w:pStyle w:val="Indentquote"/>
      </w:pPr>
      <w:r w:rsidRPr="002E118D">
        <w:t>We also ensure that the pictures show the proper safety equipment, for example, some of the pictures that we included in the report this year did not contain the proper personal protective equipment, like safety protective glasses […] because we are a mining company, so safety is important. So next year, I am going to ensure that the safety materials are included in the picture. (B3)</w:t>
      </w:r>
    </w:p>
    <w:p w14:paraId="60B17379" w14:textId="13A7B6E4" w:rsidR="006432F8" w:rsidRPr="002E118D" w:rsidRDefault="00A965B2" w:rsidP="000C41BA">
      <w:r w:rsidRPr="002E118D">
        <w:t>I</w:t>
      </w:r>
      <w:r w:rsidR="006432F8" w:rsidRPr="002E118D">
        <w:t>nterviewees believe</w:t>
      </w:r>
      <w:r w:rsidRPr="002E118D">
        <w:t xml:space="preserve"> that visuals are important because</w:t>
      </w:r>
      <w:r w:rsidR="006432F8" w:rsidRPr="002E118D">
        <w:t xml:space="preserve"> users do not read the SASR in detail</w:t>
      </w:r>
      <w:r w:rsidRPr="002E118D">
        <w:t>, so visuals give</w:t>
      </w:r>
      <w:r w:rsidR="006432F8" w:rsidRPr="002E118D">
        <w:t xml:space="preserve"> users a feel for the content and key messages.</w:t>
      </w:r>
    </w:p>
    <w:p w14:paraId="12A7C44C" w14:textId="77777777" w:rsidR="006432F8" w:rsidRPr="002E118D" w:rsidRDefault="006432F8" w:rsidP="00C522F3">
      <w:pPr>
        <w:pStyle w:val="Indentquote"/>
      </w:pPr>
      <w:r w:rsidRPr="002E118D">
        <w:t>We believe that people do not have time to read sustainability reports, they flick through the reports, and visuals are good tools for serving this purpose. (B4)</w:t>
      </w:r>
    </w:p>
    <w:p w14:paraId="49225B32" w14:textId="77777777" w:rsidR="006432F8" w:rsidRPr="002E118D" w:rsidRDefault="006432F8" w:rsidP="00C522F3">
      <w:pPr>
        <w:pStyle w:val="Indentquote"/>
      </w:pPr>
      <w:r w:rsidRPr="002E118D">
        <w:t>If you see the front cover of our annual report, it says, ‘defining different’ and the CSR report says, ‘boldly different’, it is important that these two works together not only visually but thematically. (B3)</w:t>
      </w:r>
    </w:p>
    <w:p w14:paraId="461160DC" w14:textId="286311D9" w:rsidR="006432F8" w:rsidRPr="002E118D" w:rsidRDefault="006432F8" w:rsidP="000C41BA">
      <w:bookmarkStart w:id="27" w:name="_Hlk39435115"/>
      <w:r w:rsidRPr="002E118D">
        <w:t xml:space="preserve">However, </w:t>
      </w:r>
      <w:r w:rsidR="00A965B2" w:rsidRPr="002E118D">
        <w:t>interviewees</w:t>
      </w:r>
      <w:r w:rsidRPr="002E118D">
        <w:t xml:space="preserve"> strong</w:t>
      </w:r>
      <w:r w:rsidR="00A965B2" w:rsidRPr="002E118D">
        <w:t>ly</w:t>
      </w:r>
      <w:r w:rsidRPr="002E118D">
        <w:t xml:space="preserve"> suggest</w:t>
      </w:r>
      <w:r w:rsidR="00A965B2" w:rsidRPr="002E118D">
        <w:t>ed</w:t>
      </w:r>
      <w:r w:rsidRPr="002E118D">
        <w:t xml:space="preserve"> that visuals are used to legitimate environmental and social activities</w:t>
      </w:r>
      <w:r w:rsidR="00A965B2" w:rsidRPr="002E118D">
        <w:t xml:space="preserve"> rather than to communicate incremental information.</w:t>
      </w:r>
      <w:r w:rsidRPr="002E118D">
        <w:t xml:space="preserve"> </w:t>
      </w:r>
      <w:r w:rsidR="00A965B2" w:rsidRPr="002E118D">
        <w:t>R</w:t>
      </w:r>
      <w:r w:rsidRPr="002E118D">
        <w:t>eporting managers are constantly pressed by senior management</w:t>
      </w:r>
      <w:r w:rsidR="00A965B2" w:rsidRPr="002E118D">
        <w:t xml:space="preserve"> </w:t>
      </w:r>
      <w:r w:rsidRPr="002E118D">
        <w:t>to use more visuals in SASRs.</w:t>
      </w:r>
    </w:p>
    <w:bookmarkEnd w:id="27"/>
    <w:p w14:paraId="23BDADA4" w14:textId="77777777" w:rsidR="006432F8" w:rsidRPr="002E118D" w:rsidRDefault="006432F8" w:rsidP="00BC01B7">
      <w:pPr>
        <w:pStyle w:val="Indentquote"/>
      </w:pPr>
      <w:r w:rsidRPr="002E118D">
        <w:t xml:space="preserve"> We do have a lot of pressure on us to disclose more visuals as CEOs want the SASRs to be more interesting and engaging (B9)</w:t>
      </w:r>
    </w:p>
    <w:p w14:paraId="3EBB3EA0" w14:textId="4256632B" w:rsidR="006432F8" w:rsidRPr="002E118D" w:rsidRDefault="006432F8" w:rsidP="000C41BA">
      <w:r w:rsidRPr="002E118D">
        <w:t xml:space="preserve">Hence, </w:t>
      </w:r>
      <w:r w:rsidR="00A965B2" w:rsidRPr="002E118D">
        <w:t xml:space="preserve">the use of </w:t>
      </w:r>
      <w:r w:rsidRPr="002E118D">
        <w:t>visuals in SASRs is intended to influence external perceptions</w:t>
      </w:r>
      <w:r w:rsidR="00A965B2" w:rsidRPr="002E118D">
        <w:t>,</w:t>
      </w:r>
      <w:r w:rsidRPr="002E118D">
        <w:t xml:space="preserve"> to build or maintain the</w:t>
      </w:r>
      <w:r w:rsidR="00A965B2" w:rsidRPr="002E118D">
        <w:t xml:space="preserve"> organisation’s</w:t>
      </w:r>
      <w:r w:rsidRPr="002E118D">
        <w:t xml:space="preserve"> legitimacy to operate (Suchman, 1995) and </w:t>
      </w:r>
      <w:r w:rsidR="00A965B2" w:rsidRPr="002E118D">
        <w:t xml:space="preserve">to </w:t>
      </w:r>
      <w:r w:rsidRPr="002E118D">
        <w:t>enhance stakeholder engagement.</w:t>
      </w:r>
    </w:p>
    <w:p w14:paraId="305E55FE" w14:textId="07274F0D" w:rsidR="006432F8" w:rsidRPr="002E118D" w:rsidRDefault="006432F8" w:rsidP="00BC01B7">
      <w:pPr>
        <w:pStyle w:val="Indentquote"/>
      </w:pPr>
      <w:r w:rsidRPr="002E118D">
        <w:t>Based on the feedback from external stakeholders, we came to know that the audiences want to see the report more interesting and we use more visuals to meet their needs. (B2)</w:t>
      </w:r>
    </w:p>
    <w:p w14:paraId="2E15D142" w14:textId="7D302E2C" w:rsidR="006432F8" w:rsidRPr="002E118D" w:rsidRDefault="00A965B2" w:rsidP="000C41BA">
      <w:bookmarkStart w:id="28" w:name="_Hlk39435178"/>
      <w:r w:rsidRPr="002E118D">
        <w:lastRenderedPageBreak/>
        <w:t>I</w:t>
      </w:r>
      <w:r w:rsidR="006432F8" w:rsidRPr="002E118D">
        <w:t xml:space="preserve">nterviewees </w:t>
      </w:r>
      <w:r w:rsidRPr="002E118D">
        <w:t>suggested</w:t>
      </w:r>
      <w:r w:rsidR="006432F8" w:rsidRPr="002E118D">
        <w:t xml:space="preserve"> that CEOs </w:t>
      </w:r>
      <w:r w:rsidR="00A5390B" w:rsidRPr="002E118D">
        <w:t xml:space="preserve">want SASRs to be visually appealing in order to stay ahead </w:t>
      </w:r>
      <w:r w:rsidR="006432F8" w:rsidRPr="002E118D">
        <w:t xml:space="preserve">of competitors. This is consistent with </w:t>
      </w:r>
      <w:r w:rsidRPr="002E118D">
        <w:t xml:space="preserve">the observation of </w:t>
      </w:r>
      <w:r w:rsidR="006432F8" w:rsidRPr="002E118D">
        <w:t>Alvesson and Spicer (2012</w:t>
      </w:r>
      <w:r w:rsidRPr="002E118D">
        <w:t>, p. 1200</w:t>
      </w:r>
      <w:r w:rsidR="006432F8" w:rsidRPr="002E118D">
        <w:t>) that organisation</w:t>
      </w:r>
      <w:r w:rsidRPr="002E118D">
        <w:t>s</w:t>
      </w:r>
      <w:r w:rsidR="006432F8" w:rsidRPr="002E118D">
        <w:t xml:space="preserve"> “often adopt new practices with few robust reasons beyond the fact they make the company ‘look good’ or that ‘others are doing it</w:t>
      </w:r>
      <w:r w:rsidRPr="002E118D">
        <w:t>.</w:t>
      </w:r>
      <w:r w:rsidR="006432F8" w:rsidRPr="002E118D">
        <w:t xml:space="preserve">” </w:t>
      </w:r>
    </w:p>
    <w:p w14:paraId="16099E9B" w14:textId="77777777" w:rsidR="006432F8" w:rsidRPr="002E118D" w:rsidRDefault="006432F8" w:rsidP="00BC01B7">
      <w:pPr>
        <w:pStyle w:val="Indentquote"/>
      </w:pPr>
      <w:r w:rsidRPr="002E118D">
        <w:t>Our research indicates that our competitors have been using more visuals more recently than historically, we also use more visuals to stay ahead of competitors. (B9)</w:t>
      </w:r>
    </w:p>
    <w:p w14:paraId="0A165AAE" w14:textId="77777777" w:rsidR="006432F8" w:rsidRPr="002E118D" w:rsidRDefault="006432F8" w:rsidP="00BC01B7">
      <w:pPr>
        <w:pStyle w:val="Indentquote"/>
      </w:pPr>
      <w:r w:rsidRPr="002E118D">
        <w:t>Our role is just to oversee the process of visuals, we do not own any of the information that goes into any of our reports. … we really just act as a facilitator and ensure that we do our job to the best. (B10)</w:t>
      </w:r>
    </w:p>
    <w:p w14:paraId="4E7CC8A1" w14:textId="76CF8504" w:rsidR="006432F8" w:rsidRPr="002E118D" w:rsidRDefault="006432F8" w:rsidP="000C41BA">
      <w:pPr>
        <w:rPr>
          <w:rFonts w:asciiTheme="minorBidi" w:hAnsiTheme="minorBidi"/>
        </w:rPr>
      </w:pPr>
      <w:r w:rsidRPr="002E118D">
        <w:t xml:space="preserve">The inclusion of visuals in SASRs is supported by organisational norms and reporting managers facilitate the smooth interaction of the inclusion of visuals in SASRs within the organisation. </w:t>
      </w:r>
      <w:r w:rsidR="000A63A2" w:rsidRPr="002E118D">
        <w:t xml:space="preserve">Managers are concentrating enthusiastically on the task at hand, rather than criticising the CEO’s strategy for the use of visuals in the SASR. The organisation </w:t>
      </w:r>
      <w:r w:rsidR="00794D2D">
        <w:t>“</w:t>
      </w:r>
      <w:r w:rsidR="000A63A2" w:rsidRPr="002E118D">
        <w:t>functions</w:t>
      </w:r>
      <w:r w:rsidR="00794D2D">
        <w:t>”</w:t>
      </w:r>
      <w:r w:rsidR="000A63A2" w:rsidRPr="002E118D">
        <w:t xml:space="preserve">, as visuals are selected and incorporated in the SASR, but the inability of the reporting manager to challenge the CEO in the ultimate choice of visuals means that the organisation </w:t>
      </w:r>
      <w:r w:rsidR="000F0108">
        <w:t>“</w:t>
      </w:r>
      <w:r w:rsidR="000A63A2" w:rsidRPr="002E118D">
        <w:t>functions stupidly</w:t>
      </w:r>
      <w:r w:rsidR="000F0108">
        <w:t>” (Alvesson &amp; Spicer, 2012)</w:t>
      </w:r>
      <w:r w:rsidR="000A63A2" w:rsidRPr="002E118D">
        <w:t xml:space="preserve">. </w:t>
      </w:r>
      <w:r w:rsidR="000A63A2" w:rsidRPr="002E118D">
        <w:rPr>
          <w:rFonts w:asciiTheme="minorBidi" w:hAnsiTheme="minorBidi"/>
        </w:rPr>
        <w:t xml:space="preserve">This is borne out by interviewees’ comments on the selection process for visuals. </w:t>
      </w:r>
      <w:r w:rsidRPr="002E118D">
        <w:rPr>
          <w:rFonts w:asciiTheme="minorBidi" w:hAnsiTheme="minorBidi"/>
        </w:rPr>
        <w:t xml:space="preserve">The communication department works closely with the CSR-related activities department and </w:t>
      </w:r>
      <w:r w:rsidR="000A63A2" w:rsidRPr="002E118D">
        <w:rPr>
          <w:rFonts w:asciiTheme="minorBidi" w:hAnsiTheme="minorBidi"/>
        </w:rPr>
        <w:t xml:space="preserve">they </w:t>
      </w:r>
      <w:r w:rsidRPr="002E118D">
        <w:rPr>
          <w:rFonts w:asciiTheme="minorBidi" w:hAnsiTheme="minorBidi"/>
        </w:rPr>
        <w:t>jointly identify areas where graphs, pictures</w:t>
      </w:r>
      <w:r w:rsidR="000A63A2" w:rsidRPr="002E118D">
        <w:rPr>
          <w:rFonts w:asciiTheme="minorBidi" w:hAnsiTheme="minorBidi"/>
        </w:rPr>
        <w:t xml:space="preserve">, </w:t>
      </w:r>
      <w:r w:rsidRPr="002E118D">
        <w:rPr>
          <w:rFonts w:asciiTheme="minorBidi" w:hAnsiTheme="minorBidi"/>
        </w:rPr>
        <w:t xml:space="preserve">photographs, diagrams and charts </w:t>
      </w:r>
      <w:r w:rsidR="000A63A2" w:rsidRPr="002E118D">
        <w:rPr>
          <w:rFonts w:asciiTheme="minorBidi" w:hAnsiTheme="minorBidi"/>
        </w:rPr>
        <w:t>could</w:t>
      </w:r>
      <w:r w:rsidRPr="002E118D">
        <w:rPr>
          <w:rFonts w:asciiTheme="minorBidi" w:hAnsiTheme="minorBidi"/>
        </w:rPr>
        <w:t xml:space="preserve"> be included. They then jointly select visuals that are technically sound and visually appealing. The communication department then coordinates with the external designers in improving and redesigning these visuals into visually engaging content and integrates these visuals into a good environmental and social story. The idea is to focus on visuals that draw the users’ attention to important environmental and social issues.</w:t>
      </w:r>
    </w:p>
    <w:p w14:paraId="2429B92F" w14:textId="77777777" w:rsidR="006432F8" w:rsidRPr="002E118D" w:rsidRDefault="006432F8" w:rsidP="00BC01B7">
      <w:pPr>
        <w:pStyle w:val="Indentquote"/>
      </w:pPr>
      <w:r w:rsidRPr="002E118D">
        <w:t>If you look at page 10 of our SASR, our performance in the Greenhouse Gas Emission is explained verbally and visually to make them attractive and easy to understand. (B4)</w:t>
      </w:r>
    </w:p>
    <w:p w14:paraId="2C7B2DDD" w14:textId="4F76BD05" w:rsidR="000A63A2" w:rsidRPr="002E118D" w:rsidRDefault="000A63A2" w:rsidP="000C41BA">
      <w:r w:rsidRPr="002E118D">
        <w:t>Interviewees devote</w:t>
      </w:r>
      <w:r w:rsidR="006432F8" w:rsidRPr="002E118D">
        <w:t xml:space="preserve"> considerable time and effort </w:t>
      </w:r>
      <w:r w:rsidRPr="002E118D">
        <w:t>to</w:t>
      </w:r>
      <w:r w:rsidR="00A5390B" w:rsidRPr="002E118D">
        <w:t xml:space="preserve"> the selection and inclusion of visuals in SASRs</w:t>
      </w:r>
      <w:r w:rsidRPr="002E118D">
        <w:t>. This is</w:t>
      </w:r>
      <w:r w:rsidR="006432F8" w:rsidRPr="002E118D">
        <w:t xml:space="preserve"> </w:t>
      </w:r>
      <w:r w:rsidRPr="002E118D">
        <w:t xml:space="preserve">consistent with the observation of </w:t>
      </w:r>
      <w:r w:rsidR="006432F8" w:rsidRPr="002E118D">
        <w:t>Alvesson and Spicer (2012)</w:t>
      </w:r>
      <w:r w:rsidRPr="002E118D">
        <w:t xml:space="preserve"> </w:t>
      </w:r>
      <w:r w:rsidR="006432F8" w:rsidRPr="002E118D">
        <w:t>that</w:t>
      </w:r>
      <w:r w:rsidRPr="002E118D">
        <w:t>,</w:t>
      </w:r>
      <w:r w:rsidR="006432F8" w:rsidRPr="002E118D">
        <w:t xml:space="preserve"> in the context of </w:t>
      </w:r>
      <w:r w:rsidRPr="002E118D">
        <w:t xml:space="preserve">the </w:t>
      </w:r>
      <w:r w:rsidR="006432F8" w:rsidRPr="002E118D">
        <w:t>economics of persuasion, organisations devote a significant proportion of their efforts to creating demand for their products by promoting expectations, producing images and influencing desires.</w:t>
      </w:r>
    </w:p>
    <w:p w14:paraId="6FB1FABE" w14:textId="519449AC" w:rsidR="006432F8" w:rsidRPr="002E118D" w:rsidRDefault="000A63A2" w:rsidP="000C41BA">
      <w:r w:rsidRPr="002E118D">
        <w:t>In some cases, interviewees reported that</w:t>
      </w:r>
      <w:r w:rsidR="00C522F3" w:rsidRPr="002E118D">
        <w:t xml:space="preserve"> the</w:t>
      </w:r>
      <w:r w:rsidR="00D11643" w:rsidRPr="002E118D">
        <w:t xml:space="preserve"> </w:t>
      </w:r>
      <w:r w:rsidR="006432F8" w:rsidRPr="002E118D">
        <w:t xml:space="preserve">CEO is </w:t>
      </w:r>
      <w:r w:rsidRPr="002E118D">
        <w:t xml:space="preserve">heavily </w:t>
      </w:r>
      <w:r w:rsidR="006432F8" w:rsidRPr="002E118D">
        <w:t>engaged in the recruitment selection process of external designers:</w:t>
      </w:r>
    </w:p>
    <w:p w14:paraId="19ED2D7B" w14:textId="3DCE78BE" w:rsidR="006432F8" w:rsidRPr="002E118D" w:rsidRDefault="006432F8" w:rsidP="00BC01B7">
      <w:pPr>
        <w:pStyle w:val="Indentquote"/>
      </w:pPr>
      <w:r w:rsidRPr="002E118D">
        <w:t xml:space="preserve">We ensure that the external designers are expert in the sustainability reporting issues and most importantly know the GRI guidelines thoroughly. The communication department begun the process of outsourcing and selecting the </w:t>
      </w:r>
      <w:r w:rsidRPr="002E118D">
        <w:lastRenderedPageBreak/>
        <w:t>external designers, but it is the CEO that has a final say based on the external designers’ previous experience and reputation. (B2)</w:t>
      </w:r>
    </w:p>
    <w:p w14:paraId="3AF6953C" w14:textId="6766A444" w:rsidR="006432F8" w:rsidRPr="002E118D" w:rsidRDefault="006432F8" w:rsidP="000C41BA">
      <w:r w:rsidRPr="002E118D">
        <w:t>The interviewees also revealed that the</w:t>
      </w:r>
      <w:r w:rsidR="00D11643" w:rsidRPr="002E118D">
        <w:t xml:space="preserve"> design of SASRs is very crucial to the</w:t>
      </w:r>
      <w:r w:rsidR="00123FFE" w:rsidRPr="002E118D">
        <w:t xml:space="preserve"> strategy of the </w:t>
      </w:r>
      <w:r w:rsidR="009A341D" w:rsidRPr="002E118D">
        <w:t>CEOs and</w:t>
      </w:r>
      <w:r w:rsidR="00D11643" w:rsidRPr="002E118D">
        <w:t xml:space="preserve"> that the</w:t>
      </w:r>
      <w:r w:rsidRPr="002E118D">
        <w:t xml:space="preserve"> external designer selected for the SASR is not the annual report designer:</w:t>
      </w:r>
    </w:p>
    <w:p w14:paraId="20C7F890" w14:textId="77777777" w:rsidR="006432F8" w:rsidRPr="002E118D" w:rsidRDefault="006432F8" w:rsidP="00BC01B7">
      <w:pPr>
        <w:pStyle w:val="Indentquote"/>
      </w:pPr>
      <w:r w:rsidRPr="002E118D">
        <w:t>We have different external designers for the annual report. We believe that they do not have any expertise in sustainability reporting and are not GRI experts. Our team did query with them and research their expertise. We believe that the SASR is more about telling a good story and that story can be described well visually by the CSR design experts. They know what the internal and external stakeholders demand in terms of the environmental and social issues. (B4)</w:t>
      </w:r>
    </w:p>
    <w:p w14:paraId="32977704" w14:textId="37A11D3F" w:rsidR="006432F8" w:rsidRPr="002E118D" w:rsidRDefault="005923BF" w:rsidP="006432F8">
      <w:r w:rsidRPr="002E118D">
        <w:t>Even though</w:t>
      </w:r>
      <w:r w:rsidR="006432F8" w:rsidRPr="002E118D">
        <w:t xml:space="preserve"> the final selection process of visuals involves inputs from the communication department and the external designers</w:t>
      </w:r>
      <w:r w:rsidRPr="002E118D">
        <w:t>,</w:t>
      </w:r>
      <w:r w:rsidR="006432F8" w:rsidRPr="002E118D">
        <w:t xml:space="preserve"> ultimately </w:t>
      </w:r>
      <w:r w:rsidRPr="002E118D">
        <w:t xml:space="preserve">the choice </w:t>
      </w:r>
      <w:r w:rsidR="006432F8" w:rsidRPr="002E118D">
        <w:t>is finalised and approved by the CEO.</w:t>
      </w:r>
    </w:p>
    <w:p w14:paraId="77BDB1F6" w14:textId="77777777" w:rsidR="006432F8" w:rsidRPr="002E118D" w:rsidRDefault="006432F8" w:rsidP="00BC01B7">
      <w:pPr>
        <w:pStyle w:val="Indentquote"/>
      </w:pPr>
      <w:r w:rsidRPr="002E118D">
        <w:t>It is the CEO that selects and decides what goes into the report and makes the key strategy decision around sustainability issues including the types of visuals that are inserted in the report. (B1)</w:t>
      </w:r>
    </w:p>
    <w:p w14:paraId="43611E95" w14:textId="718262C9" w:rsidR="006432F8" w:rsidRPr="002E118D" w:rsidRDefault="006432F8" w:rsidP="00BC01B7">
      <w:pPr>
        <w:pStyle w:val="Indentquote"/>
      </w:pPr>
      <w:r w:rsidRPr="002E118D">
        <w:t>The CEO will go through each visual and will ensure that it is aligned with the company’s overall objectives and strategy, and it portrays the company in a balanced and accurate dimension. (B2)</w:t>
      </w:r>
    </w:p>
    <w:p w14:paraId="3214B1BB" w14:textId="7FFB1A9E" w:rsidR="00F67597" w:rsidRPr="002E118D" w:rsidRDefault="00F67597" w:rsidP="00F67597">
      <w:r w:rsidRPr="002E118D">
        <w:t>Again, interviewee B5’s responses were out of line with the consensus position. This interviewee emphasised that the budget for the preparation of the SASR was limited, and the detailed preparation was largely delegated to the external designers:</w:t>
      </w:r>
    </w:p>
    <w:p w14:paraId="6B4B3A6B" w14:textId="5B50FC31" w:rsidR="00F67597" w:rsidRPr="002E118D" w:rsidRDefault="00F67597" w:rsidP="00F67597">
      <w:pPr>
        <w:pStyle w:val="Indentquote"/>
        <w:rPr>
          <w:iCs/>
        </w:rPr>
      </w:pPr>
      <w:r w:rsidRPr="002E118D">
        <w:rPr>
          <w:iCs/>
        </w:rPr>
        <w:t xml:space="preserve">Neither I nor the CEO is engaged in the selection of visuals and blank space, our external designers are expert in the area, and we trust their inputs to our SASRs (B5). </w:t>
      </w:r>
    </w:p>
    <w:p w14:paraId="5F391961" w14:textId="77777777" w:rsidR="00F67597" w:rsidRPr="002E118D" w:rsidRDefault="00F67597">
      <w:pPr>
        <w:pStyle w:val="Indentquote"/>
      </w:pPr>
    </w:p>
    <w:bookmarkEnd w:id="28"/>
    <w:p w14:paraId="0D8EAA72" w14:textId="17C8E3AF" w:rsidR="006042C6" w:rsidRPr="002E118D" w:rsidRDefault="005923BF" w:rsidP="00992AE7">
      <w:pPr>
        <w:rPr>
          <w:rFonts w:asciiTheme="minorBidi" w:hAnsiTheme="minorBidi"/>
        </w:rPr>
      </w:pPr>
      <w:r w:rsidRPr="002E118D">
        <w:t>We find that t</w:t>
      </w:r>
      <w:r w:rsidR="006432F8" w:rsidRPr="002E118D">
        <w:t>he choice of</w:t>
      </w:r>
      <w:r w:rsidRPr="002E118D">
        <w:t xml:space="preserve"> </w:t>
      </w:r>
      <w:r w:rsidR="006432F8" w:rsidRPr="002E118D">
        <w:t>visual</w:t>
      </w:r>
      <w:r w:rsidR="009338AF" w:rsidRPr="002E118D">
        <w:t xml:space="preserve">s </w:t>
      </w:r>
      <w:r w:rsidR="006432F8" w:rsidRPr="002E118D">
        <w:t xml:space="preserve">is driven by </w:t>
      </w:r>
      <w:r w:rsidR="00BC01B7" w:rsidRPr="002E118D">
        <w:t xml:space="preserve">the </w:t>
      </w:r>
      <w:r w:rsidR="006432F8" w:rsidRPr="002E118D">
        <w:t>CEO</w:t>
      </w:r>
      <w:r w:rsidRPr="002E118D">
        <w:t>’</w:t>
      </w:r>
      <w:r w:rsidR="006432F8" w:rsidRPr="002E118D">
        <w:t xml:space="preserve">s </w:t>
      </w:r>
      <w:r w:rsidR="00BC01B7" w:rsidRPr="002E118D">
        <w:t xml:space="preserve">reporting strategy </w:t>
      </w:r>
      <w:r w:rsidR="006432F8" w:rsidRPr="002E118D">
        <w:t xml:space="preserve">and is more about legitimising environmental and social activities than providing incremental information. Given that SASRs are voluntary, there are significant opportunities for using </w:t>
      </w:r>
      <w:r w:rsidRPr="002E118D">
        <w:t>visuals</w:t>
      </w:r>
      <w:r w:rsidR="006432F8" w:rsidRPr="002E118D">
        <w:t xml:space="preserve"> as a symbolic practice</w:t>
      </w:r>
      <w:r w:rsidRPr="002E118D">
        <w:t xml:space="preserve"> rather than for their substantive content</w:t>
      </w:r>
      <w:r w:rsidR="006432F8" w:rsidRPr="002E118D">
        <w:t xml:space="preserve">. </w:t>
      </w:r>
      <w:r w:rsidRPr="002E118D">
        <w:t>O</w:t>
      </w:r>
      <w:r w:rsidR="006432F8" w:rsidRPr="002E118D">
        <w:t xml:space="preserve">ur </w:t>
      </w:r>
      <w:r w:rsidRPr="002E118D">
        <w:t>findings</w:t>
      </w:r>
      <w:r w:rsidR="006432F8" w:rsidRPr="002E118D">
        <w:t xml:space="preserve"> suggest that the reporting managers </w:t>
      </w:r>
      <w:r w:rsidRPr="002E118D">
        <w:t>and</w:t>
      </w:r>
      <w:r w:rsidR="006432F8" w:rsidRPr="002E118D">
        <w:t xml:space="preserve"> external designers </w:t>
      </w:r>
      <w:r w:rsidRPr="002E118D">
        <w:t>are</w:t>
      </w:r>
      <w:r w:rsidR="006432F8" w:rsidRPr="002E118D">
        <w:t xml:space="preserve"> constrained by the CEO</w:t>
      </w:r>
      <w:r w:rsidRPr="002E118D">
        <w:t>’</w:t>
      </w:r>
      <w:r w:rsidR="006432F8" w:rsidRPr="002E118D">
        <w:t xml:space="preserve">s reporting strategy. </w:t>
      </w:r>
      <w:r w:rsidRPr="002E118D">
        <w:t>R</w:t>
      </w:r>
      <w:r w:rsidR="006432F8" w:rsidRPr="002E118D">
        <w:t xml:space="preserve">eporting managers act </w:t>
      </w:r>
      <w:r w:rsidRPr="002E118D">
        <w:t xml:space="preserve">as </w:t>
      </w:r>
      <w:r w:rsidR="006432F8" w:rsidRPr="002E118D">
        <w:t>facilitator</w:t>
      </w:r>
      <w:r w:rsidRPr="002E118D">
        <w:t>s rather</w:t>
      </w:r>
      <w:r w:rsidR="006432F8" w:rsidRPr="002E118D">
        <w:t xml:space="preserve"> </w:t>
      </w:r>
      <w:r w:rsidR="00B4061C" w:rsidRPr="002E118D">
        <w:t xml:space="preserve">than </w:t>
      </w:r>
      <w:r w:rsidRPr="002E118D">
        <w:t xml:space="preserve">as </w:t>
      </w:r>
      <w:r w:rsidR="00B4061C" w:rsidRPr="002E118D">
        <w:t>decision-makers in the choice and selection of visuals</w:t>
      </w:r>
      <w:r w:rsidR="006432F8" w:rsidRPr="002E118D">
        <w:rPr>
          <w:rFonts w:asciiTheme="minorBidi" w:hAnsiTheme="minorBidi"/>
        </w:rPr>
        <w:t xml:space="preserve">. </w:t>
      </w:r>
      <w:r w:rsidRPr="002E118D">
        <w:rPr>
          <w:rFonts w:asciiTheme="minorBidi" w:hAnsiTheme="minorBidi"/>
        </w:rPr>
        <w:t>R</w:t>
      </w:r>
      <w:r w:rsidR="00123FFE" w:rsidRPr="002E118D">
        <w:rPr>
          <w:rFonts w:asciiTheme="minorBidi" w:hAnsiTheme="minorBidi"/>
        </w:rPr>
        <w:t xml:space="preserve">eporting managers </w:t>
      </w:r>
      <w:r w:rsidRPr="002E118D">
        <w:rPr>
          <w:rFonts w:asciiTheme="minorBidi" w:hAnsiTheme="minorBidi"/>
        </w:rPr>
        <w:t>tend to</w:t>
      </w:r>
      <w:r w:rsidR="00010D23" w:rsidRPr="002E118D">
        <w:rPr>
          <w:rFonts w:asciiTheme="minorBidi" w:hAnsiTheme="minorBidi"/>
        </w:rPr>
        <w:t xml:space="preserve"> </w:t>
      </w:r>
      <w:r w:rsidR="00123FFE" w:rsidRPr="002E118D">
        <w:rPr>
          <w:rFonts w:asciiTheme="minorBidi" w:hAnsiTheme="minorBidi"/>
        </w:rPr>
        <w:t>refrain from questioning the CEO</w:t>
      </w:r>
      <w:r w:rsidRPr="002E118D">
        <w:rPr>
          <w:rFonts w:asciiTheme="minorBidi" w:hAnsiTheme="minorBidi"/>
        </w:rPr>
        <w:t>’</w:t>
      </w:r>
      <w:r w:rsidR="00123FFE" w:rsidRPr="002E118D">
        <w:rPr>
          <w:rFonts w:asciiTheme="minorBidi" w:hAnsiTheme="minorBidi"/>
        </w:rPr>
        <w:t>s reporting strategy</w:t>
      </w:r>
      <w:r w:rsidRPr="002E118D">
        <w:rPr>
          <w:rFonts w:asciiTheme="minorBidi" w:hAnsiTheme="minorBidi"/>
        </w:rPr>
        <w:t>, as criticism or reflection</w:t>
      </w:r>
      <w:r w:rsidR="00D33C90" w:rsidRPr="002E118D">
        <w:rPr>
          <w:rFonts w:asciiTheme="minorBidi" w:hAnsiTheme="minorBidi"/>
        </w:rPr>
        <w:t xml:space="preserve"> on CEOs reporting strategy</w:t>
      </w:r>
      <w:r w:rsidRPr="002E118D">
        <w:rPr>
          <w:rFonts w:asciiTheme="minorBidi" w:hAnsiTheme="minorBidi"/>
        </w:rPr>
        <w:t xml:space="preserve"> is discouraged. </w:t>
      </w:r>
      <w:r w:rsidR="00010D23" w:rsidRPr="002E118D">
        <w:rPr>
          <w:rFonts w:asciiTheme="minorBidi" w:hAnsiTheme="minorBidi"/>
        </w:rPr>
        <w:t>Hence</w:t>
      </w:r>
      <w:r w:rsidR="00F42701" w:rsidRPr="002E118D">
        <w:rPr>
          <w:rFonts w:asciiTheme="minorBidi" w:hAnsiTheme="minorBidi"/>
        </w:rPr>
        <w:t>, as Alvesson and Spicer (2012, p.1206) suggest: “A true follower relies heavily on the leader to do the thinking and decision making about the key issues, such as visions, strategies, values and identities. Co-workers are expected to ad</w:t>
      </w:r>
      <w:r w:rsidRPr="002E118D">
        <w:rPr>
          <w:rFonts w:asciiTheme="minorBidi" w:hAnsiTheme="minorBidi"/>
        </w:rPr>
        <w:t>o</w:t>
      </w:r>
      <w:r w:rsidR="00F42701" w:rsidRPr="002E118D">
        <w:rPr>
          <w:rFonts w:asciiTheme="minorBidi" w:hAnsiTheme="minorBidi"/>
        </w:rPr>
        <w:t>pt follower positions and passively accept what the leader suggests</w:t>
      </w:r>
      <w:r w:rsidR="00F42701" w:rsidRPr="002E118D">
        <w:rPr>
          <w:rFonts w:asciiTheme="minorBidi" w:hAnsiTheme="minorBidi"/>
          <w:i/>
          <w:iCs/>
        </w:rPr>
        <w:t>”.</w:t>
      </w:r>
      <w:r w:rsidR="00992AE7" w:rsidRPr="002E118D">
        <w:rPr>
          <w:rFonts w:asciiTheme="minorBidi" w:hAnsiTheme="minorBidi"/>
          <w:i/>
          <w:iCs/>
        </w:rPr>
        <w:t xml:space="preserve"> </w:t>
      </w:r>
    </w:p>
    <w:bookmarkEnd w:id="25"/>
    <w:p w14:paraId="4AD340C1" w14:textId="48D204DA" w:rsidR="00F049ED" w:rsidRPr="002E118D" w:rsidRDefault="00C82043" w:rsidP="002540F5">
      <w:pPr>
        <w:pStyle w:val="Heading2"/>
      </w:pPr>
      <w:r w:rsidRPr="002E118D">
        <w:lastRenderedPageBreak/>
        <w:t>5.</w:t>
      </w:r>
      <w:r w:rsidR="009338AF" w:rsidRPr="002E118D">
        <w:t>4</w:t>
      </w:r>
      <w:r w:rsidRPr="002E118D">
        <w:t xml:space="preserve"> Why do companies use blank space and how is blank space </w:t>
      </w:r>
      <w:r w:rsidR="006232B3">
        <w:t>selected/designed</w:t>
      </w:r>
      <w:r w:rsidRPr="002E118D">
        <w:t>?</w:t>
      </w:r>
    </w:p>
    <w:p w14:paraId="5300A54B" w14:textId="719D4287" w:rsidR="00F049ED" w:rsidRPr="002E118D" w:rsidRDefault="00794D2D" w:rsidP="001A618E">
      <w:bookmarkStart w:id="29" w:name="_Hlk38920898"/>
      <w:bookmarkStart w:id="30" w:name="_Hlk38845303"/>
      <w:r>
        <w:t xml:space="preserve">In this section, we address the fourth research question (RQ4). </w:t>
      </w:r>
      <w:r w:rsidR="00006D7A" w:rsidRPr="002E118D">
        <w:t>I</w:t>
      </w:r>
      <w:r w:rsidR="00F049ED" w:rsidRPr="002E118D">
        <w:t xml:space="preserve">nterviewees indicated that </w:t>
      </w:r>
      <w:r w:rsidR="00006D7A" w:rsidRPr="002E118D">
        <w:t xml:space="preserve">effective use of </w:t>
      </w:r>
      <w:r w:rsidR="00F049ED" w:rsidRPr="002E118D">
        <w:t>blank space</w:t>
      </w:r>
      <w:r w:rsidR="009B4180" w:rsidRPr="002E118D">
        <w:t xml:space="preserve"> is an important part of </w:t>
      </w:r>
      <w:r w:rsidR="00320D8C" w:rsidRPr="002E118D">
        <w:t xml:space="preserve">the reporting </w:t>
      </w:r>
      <w:r w:rsidR="002477D4" w:rsidRPr="002E118D">
        <w:t xml:space="preserve">strategy. </w:t>
      </w:r>
      <w:r w:rsidR="00006D7A" w:rsidRPr="002E118D">
        <w:t>T</w:t>
      </w:r>
      <w:r w:rsidR="000F7646" w:rsidRPr="002E118D">
        <w:t xml:space="preserve">he </w:t>
      </w:r>
      <w:r w:rsidR="00006D7A" w:rsidRPr="002E118D">
        <w:t>use</w:t>
      </w:r>
      <w:r w:rsidR="000F7646" w:rsidRPr="002E118D">
        <w:t xml:space="preserve"> of blank space in SASRs is </w:t>
      </w:r>
      <w:r w:rsidR="00006D7A" w:rsidRPr="002E118D">
        <w:t xml:space="preserve">an effect of </w:t>
      </w:r>
      <w:r w:rsidR="000F7646" w:rsidRPr="002E118D">
        <w:t>the CEO</w:t>
      </w:r>
      <w:r w:rsidR="00006D7A" w:rsidRPr="002E118D">
        <w:t>’</w:t>
      </w:r>
      <w:r w:rsidR="000F7646" w:rsidRPr="002E118D">
        <w:t xml:space="preserve">s </w:t>
      </w:r>
      <w:r w:rsidR="002477D4" w:rsidRPr="002E118D">
        <w:t>desire</w:t>
      </w:r>
      <w:r w:rsidR="001A618E" w:rsidRPr="002E118D">
        <w:t xml:space="preserve"> to make the SASRs more user-friendly</w:t>
      </w:r>
      <w:r w:rsidR="00006D7A" w:rsidRPr="002E118D">
        <w:t>, giving the report enough</w:t>
      </w:r>
      <w:r w:rsidR="00A5390B" w:rsidRPr="002E118D">
        <w:t xml:space="preserve"> </w:t>
      </w:r>
      <w:r w:rsidR="00006D7A" w:rsidRPr="002E118D">
        <w:t>“</w:t>
      </w:r>
      <w:r w:rsidR="00A5390B" w:rsidRPr="002E118D">
        <w:t>room to breathe</w:t>
      </w:r>
      <w:r w:rsidR="00006D7A" w:rsidRPr="002E118D">
        <w:t>”</w:t>
      </w:r>
      <w:r w:rsidR="001A618E" w:rsidRPr="002E118D">
        <w:t xml:space="preserve">, as large blocks of </w:t>
      </w:r>
      <w:r w:rsidR="00F049ED" w:rsidRPr="002E118D">
        <w:t xml:space="preserve">uninterrupted text in the SASRs would cause the intended message to become lost. </w:t>
      </w:r>
      <w:r w:rsidR="00006D7A" w:rsidRPr="002E118D">
        <w:t>Because the process of preparing SASRs is time-consuming and costly, CEOs want to ensure that the end product is eye-catching, and as well as using striking visuals, the use of blank space helps to achieve an attractive SASR.</w:t>
      </w:r>
    </w:p>
    <w:p w14:paraId="475B4793" w14:textId="328436B3" w:rsidR="00A30E22" w:rsidRPr="002E118D" w:rsidRDefault="001A618E" w:rsidP="009F4339">
      <w:pPr>
        <w:pStyle w:val="Indentquote"/>
      </w:pPr>
      <w:r w:rsidRPr="002E118D">
        <w:t>We use blank space as it is something which our CEO require</w:t>
      </w:r>
      <w:r w:rsidR="00311ED3">
        <w:t>s</w:t>
      </w:r>
      <w:r w:rsidRPr="002E118D">
        <w:t xml:space="preserve"> us to include in SASRs. (B7)</w:t>
      </w:r>
    </w:p>
    <w:p w14:paraId="4A0AFD72" w14:textId="4FFDC724" w:rsidR="00F049ED" w:rsidRPr="002E118D" w:rsidRDefault="00F049ED" w:rsidP="001A618E">
      <w:pPr>
        <w:pStyle w:val="Indentquote"/>
      </w:pPr>
      <w:r w:rsidRPr="002E118D">
        <w:t xml:space="preserve">It is a communication strategy, you </w:t>
      </w:r>
      <w:r w:rsidR="001A618E" w:rsidRPr="002E118D">
        <w:t>do not</w:t>
      </w:r>
      <w:r w:rsidRPr="002E118D">
        <w:t xml:space="preserve"> want to see the report dull and boring with lots of texts and visuals, it is best to leave blank space to make the report unique. (B3)</w:t>
      </w:r>
    </w:p>
    <w:p w14:paraId="7D3408D4" w14:textId="7BB07603" w:rsidR="002477D4" w:rsidRPr="002E118D" w:rsidRDefault="00006D7A" w:rsidP="000C41BA">
      <w:r w:rsidRPr="002E118D">
        <w:t xml:space="preserve">Blank space, which has no substantive content, therefore has a symbolic role in the SASR. </w:t>
      </w:r>
      <w:r w:rsidR="00670A75" w:rsidRPr="002E118D">
        <w:t xml:space="preserve">This </w:t>
      </w:r>
      <w:r w:rsidRPr="002E118D">
        <w:t>extends the conclusion of</w:t>
      </w:r>
      <w:r w:rsidR="00670A75" w:rsidRPr="002E118D">
        <w:t xml:space="preserve"> </w:t>
      </w:r>
      <w:r w:rsidR="000C41BA" w:rsidRPr="002E118D">
        <w:t>Michelon et al. (2015)</w:t>
      </w:r>
      <w:r w:rsidR="00670A75" w:rsidRPr="002E118D">
        <w:t xml:space="preserve"> that</w:t>
      </w:r>
      <w:r w:rsidRPr="002E118D">
        <w:t>,</w:t>
      </w:r>
      <w:r w:rsidR="00670A75" w:rsidRPr="002E118D">
        <w:t xml:space="preserve"> in a symbolic use of SASRs, disclosure would translate in</w:t>
      </w:r>
      <w:r w:rsidRPr="002E118D">
        <w:t>to</w:t>
      </w:r>
      <w:r w:rsidR="00670A75" w:rsidRPr="002E118D">
        <w:t xml:space="preserve"> a diffusion of a great volume of “empty</w:t>
      </w:r>
      <w:r w:rsidRPr="002E118D">
        <w:t>”</w:t>
      </w:r>
      <w:r w:rsidR="00670A75" w:rsidRPr="002E118D">
        <w:t xml:space="preserve"> sentences or </w:t>
      </w:r>
      <w:r w:rsidRPr="002E118D">
        <w:t xml:space="preserve">would </w:t>
      </w:r>
      <w:r w:rsidR="00670A75" w:rsidRPr="002E118D">
        <w:t xml:space="preserve">replicate boiler-plate information in a way that </w:t>
      </w:r>
      <w:r w:rsidRPr="002E118D">
        <w:t xml:space="preserve">would </w:t>
      </w:r>
      <w:r w:rsidR="00670A75" w:rsidRPr="002E118D">
        <w:t>offer little to enhance stakeholder engage</w:t>
      </w:r>
      <w:r w:rsidR="002477D4" w:rsidRPr="002E118D">
        <w:t>ment</w:t>
      </w:r>
      <w:r w:rsidR="006669A4">
        <w:t>s</w:t>
      </w:r>
      <w:r w:rsidRPr="002E118D">
        <w:t>.</w:t>
      </w:r>
      <w:r w:rsidR="00714886" w:rsidRPr="002E118D">
        <w:t xml:space="preserve"> The interviewees also </w:t>
      </w:r>
      <w:r w:rsidR="008E3322" w:rsidRPr="002E118D">
        <w:t xml:space="preserve">reported </w:t>
      </w:r>
      <w:r w:rsidR="00714886" w:rsidRPr="002E118D">
        <w:t>that</w:t>
      </w:r>
      <w:r w:rsidR="00577199" w:rsidRPr="002E118D">
        <w:t xml:space="preserve"> they have </w:t>
      </w:r>
      <w:r w:rsidR="008E3322" w:rsidRPr="002E118D">
        <w:t xml:space="preserve">recently </w:t>
      </w:r>
      <w:r w:rsidR="00577199" w:rsidRPr="002E118D">
        <w:t>been</w:t>
      </w:r>
      <w:r w:rsidR="00312F6B" w:rsidRPr="002E118D">
        <w:t xml:space="preserve"> deploying </w:t>
      </w:r>
      <w:r w:rsidR="008E3322" w:rsidRPr="002E118D">
        <w:t>more</w:t>
      </w:r>
      <w:r w:rsidR="00312F6B" w:rsidRPr="002E118D">
        <w:t xml:space="preserve"> blank space in SASRs</w:t>
      </w:r>
      <w:r w:rsidR="008E3322" w:rsidRPr="002E118D">
        <w:t>,</w:t>
      </w:r>
      <w:r w:rsidR="00312F6B" w:rsidRPr="002E118D">
        <w:t xml:space="preserve"> </w:t>
      </w:r>
      <w:r w:rsidR="00714886" w:rsidRPr="002E118D">
        <w:t>and th</w:t>
      </w:r>
      <w:r w:rsidR="008E3322" w:rsidRPr="002E118D">
        <w:t>at</w:t>
      </w:r>
      <w:r w:rsidR="00714886" w:rsidRPr="002E118D">
        <w:t xml:space="preserve"> internal and external stakeholders</w:t>
      </w:r>
      <w:r w:rsidR="00312F6B" w:rsidRPr="002E118D">
        <w:t xml:space="preserve"> were supportive</w:t>
      </w:r>
      <w:r w:rsidR="009F4339" w:rsidRPr="002E118D">
        <w:t xml:space="preserve"> of the use of blank space</w:t>
      </w:r>
      <w:r w:rsidR="00714886" w:rsidRPr="002E118D">
        <w:t>.</w:t>
      </w:r>
      <w:r w:rsidR="00886A4E">
        <w:t xml:space="preserve"> </w:t>
      </w:r>
    </w:p>
    <w:p w14:paraId="55AD8BD3" w14:textId="4809601D" w:rsidR="00714886" w:rsidRPr="002E118D" w:rsidRDefault="00714886" w:rsidP="00714886">
      <w:pPr>
        <w:pStyle w:val="Indentquote"/>
      </w:pPr>
      <w:r w:rsidRPr="002E118D">
        <w:t xml:space="preserve">Based on internal and external stakeholders’ feedbacks, we came to know that the audience wants to see the report more interesting and we use more blank space in SASRs to meet those needs. (B10). </w:t>
      </w:r>
    </w:p>
    <w:p w14:paraId="7233666A" w14:textId="77777777" w:rsidR="00F049ED" w:rsidRPr="002E118D" w:rsidRDefault="00F049ED" w:rsidP="00D94FEC">
      <w:pPr>
        <w:pStyle w:val="Indentquote"/>
      </w:pPr>
      <w:r w:rsidRPr="002E118D">
        <w:t>White space is important in SASRs as it aids readability. (B3)</w:t>
      </w:r>
    </w:p>
    <w:p w14:paraId="38ECE147" w14:textId="2714F615" w:rsidR="00F049ED" w:rsidRPr="002E118D" w:rsidRDefault="00F049ED" w:rsidP="00D94FEC">
      <w:pPr>
        <w:pStyle w:val="Indentquote"/>
      </w:pPr>
      <w:r w:rsidRPr="002E118D">
        <w:t>If you stuff your pages in SASRs full of text and pictures, those pages will be hard to parse. Readers will be unable to focus on the key message as a result. (B6)</w:t>
      </w:r>
    </w:p>
    <w:p w14:paraId="728B2281" w14:textId="5E66A898" w:rsidR="00F049ED" w:rsidRPr="002E118D" w:rsidRDefault="00F049ED" w:rsidP="00820937">
      <w:r w:rsidRPr="002E118D">
        <w:t xml:space="preserve">With a document as </w:t>
      </w:r>
      <w:r w:rsidR="003A79EC" w:rsidRPr="002E118D">
        <w:t>packed</w:t>
      </w:r>
      <w:r w:rsidRPr="002E118D">
        <w:t xml:space="preserve"> as an SASR, </w:t>
      </w:r>
      <w:r w:rsidR="008E3322" w:rsidRPr="002E118D">
        <w:t xml:space="preserve">the information in the report </w:t>
      </w:r>
      <w:r w:rsidRPr="002E118D">
        <w:t>needs plenty of room to breathe. The blank space balances the text</w:t>
      </w:r>
      <w:r w:rsidR="007E1795" w:rsidRPr="002E118D">
        <w:t>:</w:t>
      </w:r>
      <w:r w:rsidRPr="002E118D">
        <w:t xml:space="preserve"> </w:t>
      </w:r>
    </w:p>
    <w:p w14:paraId="5EB7942A" w14:textId="77777777" w:rsidR="00F049ED" w:rsidRPr="002E118D" w:rsidRDefault="00F049ED" w:rsidP="00777283">
      <w:pPr>
        <w:pStyle w:val="Indentquote"/>
      </w:pPr>
      <w:r w:rsidRPr="002E118D">
        <w:t>If you look at our report: it contains text, visuals but enough space to balance the words in a way that still feels easy to read. (B7)</w:t>
      </w:r>
    </w:p>
    <w:p w14:paraId="77AFB1BB" w14:textId="7A319258" w:rsidR="00777283" w:rsidRPr="002E118D" w:rsidRDefault="00F049ED" w:rsidP="00820937">
      <w:pPr>
        <w:pStyle w:val="Indentquote"/>
      </w:pPr>
      <w:r w:rsidRPr="002E118D">
        <w:t>We use white space in SASRs to enhance the content of the reports. (B7)</w:t>
      </w:r>
      <w:bookmarkEnd w:id="29"/>
    </w:p>
    <w:p w14:paraId="5AC83812" w14:textId="77777777" w:rsidR="00820937" w:rsidRPr="002E118D" w:rsidRDefault="00820937" w:rsidP="00820937">
      <w:pPr>
        <w:pStyle w:val="Indentquote"/>
      </w:pPr>
    </w:p>
    <w:p w14:paraId="60CA6A85" w14:textId="0E0014DE" w:rsidR="000C41BA" w:rsidRPr="002E118D" w:rsidRDefault="008E3322" w:rsidP="00820937">
      <w:r w:rsidRPr="002E118D">
        <w:t>S</w:t>
      </w:r>
      <w:r w:rsidR="00777283" w:rsidRPr="002E118D">
        <w:t xml:space="preserve">ome interviewees thought that blank space and visuals could be </w:t>
      </w:r>
      <w:r w:rsidRPr="002E118D">
        <w:t>overused</w:t>
      </w:r>
      <w:r w:rsidR="00777283" w:rsidRPr="002E118D">
        <w:t xml:space="preserve">, but CEOs </w:t>
      </w:r>
      <w:r w:rsidRPr="002E118D">
        <w:t>like the use of</w:t>
      </w:r>
      <w:r w:rsidR="00777283" w:rsidRPr="002E118D">
        <w:t xml:space="preserve"> </w:t>
      </w:r>
      <w:r w:rsidRPr="002E118D">
        <w:t>visuals and blank space. These interviewees report</w:t>
      </w:r>
      <w:r w:rsidR="00777283" w:rsidRPr="002E118D">
        <w:t xml:space="preserve"> that </w:t>
      </w:r>
      <w:r w:rsidR="00A5390B" w:rsidRPr="002E118D">
        <w:t>th</w:t>
      </w:r>
      <w:r w:rsidR="0093667C" w:rsidRPr="002E118D">
        <w:t xml:space="preserve">ey have been preparing their SASRs </w:t>
      </w:r>
      <w:r w:rsidRPr="002E118D">
        <w:t>to comply with the CEO’s preferences</w:t>
      </w:r>
      <w:r w:rsidR="00A5390B" w:rsidRPr="002E118D">
        <w:t>.</w:t>
      </w:r>
    </w:p>
    <w:p w14:paraId="7F82DB73" w14:textId="2A42383D" w:rsidR="007E1795" w:rsidRPr="002E118D" w:rsidRDefault="00466464" w:rsidP="00777283">
      <w:pPr>
        <w:pStyle w:val="Indentquote"/>
      </w:pPr>
      <w:r w:rsidRPr="002E118D">
        <w:lastRenderedPageBreak/>
        <w:t>B</w:t>
      </w:r>
      <w:r w:rsidR="007E1795" w:rsidRPr="002E118D">
        <w:t>lank space can lead to a longer SASR, which will put off the reader from looking into the report. (B2)</w:t>
      </w:r>
    </w:p>
    <w:p w14:paraId="198A31FC" w14:textId="153350DD" w:rsidR="000C41BA" w:rsidRPr="002E118D" w:rsidRDefault="00777283" w:rsidP="00C47981">
      <w:pPr>
        <w:pStyle w:val="Indentquote"/>
      </w:pPr>
      <w:r w:rsidRPr="002E118D">
        <w:t xml:space="preserve">We </w:t>
      </w:r>
      <w:r w:rsidR="00541A54" w:rsidRPr="002E118D">
        <w:t xml:space="preserve">use blank space as the CEO is impressed with our reports in the past and we continue the same patterns in our most recent SASRs. (B9). </w:t>
      </w:r>
    </w:p>
    <w:p w14:paraId="628A0CE5" w14:textId="77777777" w:rsidR="00C47981" w:rsidRPr="002E118D" w:rsidRDefault="00C47981" w:rsidP="00C47981">
      <w:pPr>
        <w:pStyle w:val="Indentquote"/>
      </w:pPr>
    </w:p>
    <w:p w14:paraId="27BD6BCD" w14:textId="235EAB3C" w:rsidR="00015D89" w:rsidRPr="002E118D" w:rsidRDefault="00015D89" w:rsidP="00015D89">
      <w:r w:rsidRPr="002E118D">
        <w:t xml:space="preserve">The use of blank space in SASRs may render documents attractive to readers. However, blank space in conjunction with visuals may be used to manage impressions, for example, by producing a document that readers interpret as a signal of organisational legitimacy because of its length and attractive appearance, while not actually engaging with the detailed contents of the document. </w:t>
      </w:r>
      <w:r w:rsidR="008E3322" w:rsidRPr="002E118D">
        <w:t xml:space="preserve">The use of blank space creates a tension between the desire of the reporting manager to </w:t>
      </w:r>
      <w:r w:rsidRPr="002E118D">
        <w:t>construct</w:t>
      </w:r>
      <w:r w:rsidR="008E3322" w:rsidRPr="002E118D">
        <w:t xml:space="preserve"> a</w:t>
      </w:r>
      <w:r w:rsidR="00351BB0" w:rsidRPr="002E118D">
        <w:t xml:space="preserve">n SASR that presents a clear message in a manageable document and the CEO’s aesthetic preferences. In the opinion of some reporting managers, CEOs are excessively influenced by the practices of other organisations, rather than the needs of their own organisation. To the reporting managers, CEOs regard the SASRs as legitimating devices, and both </w:t>
      </w:r>
      <w:r w:rsidR="00384FA5" w:rsidRPr="002E118D">
        <w:t xml:space="preserve">reporting managers and external designers </w:t>
      </w:r>
      <w:r w:rsidR="00351BB0" w:rsidRPr="002E118D">
        <w:t>end up acting as</w:t>
      </w:r>
      <w:r w:rsidR="007557E2" w:rsidRPr="002E118D">
        <w:t xml:space="preserve"> facilitator</w:t>
      </w:r>
      <w:r w:rsidR="00351BB0" w:rsidRPr="002E118D">
        <w:t>s</w:t>
      </w:r>
      <w:r w:rsidR="007B1303" w:rsidRPr="002E118D">
        <w:t xml:space="preserve"> </w:t>
      </w:r>
      <w:r w:rsidR="00351BB0" w:rsidRPr="002E118D">
        <w:t xml:space="preserve">rather </w:t>
      </w:r>
      <w:r w:rsidR="007B1303" w:rsidRPr="002E118D">
        <w:t>than</w:t>
      </w:r>
      <w:r w:rsidR="00351BB0" w:rsidRPr="002E118D">
        <w:t xml:space="preserve"> as</w:t>
      </w:r>
      <w:r w:rsidR="007B1303" w:rsidRPr="002E118D">
        <w:t xml:space="preserve"> decision-makers</w:t>
      </w:r>
      <w:r w:rsidR="001B0C9C" w:rsidRPr="002E118D">
        <w:t xml:space="preserve"> in </w:t>
      </w:r>
      <w:r w:rsidR="00351BB0" w:rsidRPr="002E118D">
        <w:t>determining the use</w:t>
      </w:r>
      <w:r w:rsidR="001B0C9C" w:rsidRPr="002E118D">
        <w:t xml:space="preserve"> of blank space</w:t>
      </w:r>
      <w:r w:rsidR="009F4339" w:rsidRPr="002E118D">
        <w:t>.</w:t>
      </w:r>
      <w:r w:rsidR="007B1303" w:rsidRPr="002E118D">
        <w:t xml:space="preserve"> </w:t>
      </w:r>
      <w:r w:rsidR="00351BB0" w:rsidRPr="002E118D">
        <w:t>S</w:t>
      </w:r>
      <w:r w:rsidR="007B1303" w:rsidRPr="002E118D">
        <w:t xml:space="preserve">ome of the reporting managers </w:t>
      </w:r>
      <w:r w:rsidR="00351BB0" w:rsidRPr="002E118D">
        <w:t>believed</w:t>
      </w:r>
      <w:r w:rsidR="007B1303" w:rsidRPr="002E118D">
        <w:t xml:space="preserve"> that too much use of blank space in SASRs could be </w:t>
      </w:r>
      <w:r w:rsidR="002E02E8" w:rsidRPr="002E118D">
        <w:t>detrimental</w:t>
      </w:r>
      <w:r w:rsidR="002E02E8">
        <w:t>,</w:t>
      </w:r>
      <w:r w:rsidR="002E02E8" w:rsidRPr="002E118D">
        <w:t xml:space="preserve"> but</w:t>
      </w:r>
      <w:r w:rsidR="00351BB0" w:rsidRPr="002E118D">
        <w:t xml:space="preserve"> </w:t>
      </w:r>
      <w:r w:rsidR="004C19D2">
        <w:t xml:space="preserve">they </w:t>
      </w:r>
      <w:r w:rsidR="00351BB0" w:rsidRPr="002E118D">
        <w:t>felt constrained to comply with the CEO’s expectations</w:t>
      </w:r>
      <w:r w:rsidR="007B1303" w:rsidRPr="002E118D">
        <w:t xml:space="preserve">. </w:t>
      </w:r>
      <w:r w:rsidR="00351BB0" w:rsidRPr="002E118D">
        <w:t xml:space="preserve">Reporting managers must focus on the CEO’s desire for a legitimising SASR, and therefore there is little opportunity for dialogue rather than following the CEO’s edicts, which is suggestive of </w:t>
      </w:r>
      <w:r w:rsidR="000F0108">
        <w:t>“</w:t>
      </w:r>
      <w:r w:rsidR="00351BB0" w:rsidRPr="002E118D">
        <w:t>functional stupidity</w:t>
      </w:r>
      <w:r w:rsidR="000F0108">
        <w:t>” (Alvesson &amp; Spicer, 2012)</w:t>
      </w:r>
      <w:r w:rsidR="00351BB0" w:rsidRPr="002E118D">
        <w:t xml:space="preserve"> at the organisational level.</w:t>
      </w:r>
      <w:bookmarkEnd w:id="30"/>
      <w:r w:rsidR="00886A4E">
        <w:t xml:space="preserve"> </w:t>
      </w:r>
      <w:r w:rsidR="00D81923">
        <w:t xml:space="preserve"> The CEO’s reporting strategy discourages reflexivity, justification and substantive reasoning, the components of “functional stupidity” (Alvesson &amp; Spicer, 2012).</w:t>
      </w:r>
    </w:p>
    <w:p w14:paraId="31C52C2C" w14:textId="5453B69E" w:rsidR="0083719D" w:rsidRPr="002E118D" w:rsidRDefault="00D827AE" w:rsidP="00C74B64">
      <w:pPr>
        <w:pStyle w:val="Heading1"/>
      </w:pPr>
      <w:r w:rsidRPr="002E118D">
        <w:t xml:space="preserve">Discussion of </w:t>
      </w:r>
      <w:r w:rsidR="00312E74">
        <w:t>“functional stupidity”</w:t>
      </w:r>
    </w:p>
    <w:p w14:paraId="0FFC45A3" w14:textId="2F913170" w:rsidR="0083719D" w:rsidRPr="002E118D" w:rsidRDefault="0083719D" w:rsidP="00BA12C2">
      <w:pPr>
        <w:rPr>
          <w:rFonts w:asciiTheme="minorBidi" w:hAnsiTheme="minorBidi"/>
        </w:rPr>
      </w:pPr>
      <w:r w:rsidRPr="002E118D">
        <w:rPr>
          <w:rFonts w:asciiTheme="minorBidi" w:hAnsiTheme="minorBidi"/>
        </w:rPr>
        <w:t>According to Michelon et al</w:t>
      </w:r>
      <w:r w:rsidR="00A72CFB" w:rsidRPr="002E118D">
        <w:rPr>
          <w:rFonts w:asciiTheme="minorBidi" w:hAnsiTheme="minorBidi"/>
        </w:rPr>
        <w:t>.</w:t>
      </w:r>
      <w:r w:rsidRPr="002E118D">
        <w:rPr>
          <w:rFonts w:asciiTheme="minorBidi" w:hAnsiTheme="minorBidi"/>
        </w:rPr>
        <w:t xml:space="preserve"> (2016, p.21) there is a need to investigate functional stupidity in the area of social and environmental accounting. </w:t>
      </w:r>
      <w:r w:rsidR="00B7560C">
        <w:rPr>
          <w:rFonts w:asciiTheme="minorBidi" w:hAnsiTheme="minorBidi"/>
        </w:rPr>
        <w:t>We have</w:t>
      </w:r>
      <w:r w:rsidR="00A72CFB" w:rsidRPr="002E118D">
        <w:rPr>
          <w:rFonts w:asciiTheme="minorBidi" w:hAnsiTheme="minorBidi"/>
        </w:rPr>
        <w:t xml:space="preserve"> further</w:t>
      </w:r>
      <w:r w:rsidR="00F07EA3" w:rsidRPr="002E118D">
        <w:rPr>
          <w:rFonts w:asciiTheme="minorBidi" w:hAnsiTheme="minorBidi"/>
        </w:rPr>
        <w:t>ed</w:t>
      </w:r>
      <w:r w:rsidR="00A72CFB" w:rsidRPr="002E118D">
        <w:rPr>
          <w:rFonts w:asciiTheme="minorBidi" w:hAnsiTheme="minorBidi"/>
        </w:rPr>
        <w:t xml:space="preserve"> understanding of functional stupid</w:t>
      </w:r>
      <w:r w:rsidR="00F07EA3" w:rsidRPr="002E118D">
        <w:rPr>
          <w:rFonts w:asciiTheme="minorBidi" w:hAnsiTheme="minorBidi"/>
        </w:rPr>
        <w:t>it</w:t>
      </w:r>
      <w:r w:rsidR="00A72CFB" w:rsidRPr="002E118D">
        <w:rPr>
          <w:rFonts w:asciiTheme="minorBidi" w:hAnsiTheme="minorBidi"/>
        </w:rPr>
        <w:t>y as follows</w:t>
      </w:r>
      <w:r w:rsidR="00871F9D" w:rsidRPr="002E118D">
        <w:rPr>
          <w:rFonts w:asciiTheme="minorBidi" w:hAnsiTheme="minorBidi"/>
        </w:rPr>
        <w:t>.</w:t>
      </w:r>
    </w:p>
    <w:p w14:paraId="57B91153" w14:textId="5F7C754A" w:rsidR="00312E74" w:rsidRDefault="003C420D" w:rsidP="00224EBF">
      <w:pPr>
        <w:rPr>
          <w:rFonts w:asciiTheme="minorBidi" w:hAnsiTheme="minorBidi"/>
        </w:rPr>
      </w:pPr>
      <w:bookmarkStart w:id="31" w:name="_Hlk39358432"/>
      <w:r w:rsidRPr="002E118D">
        <w:rPr>
          <w:rFonts w:asciiTheme="minorBidi" w:hAnsiTheme="minorBidi"/>
        </w:rPr>
        <w:t>Firstly, the voluntary nature of SASRs allows us to see legitimacy and functional stupidity more clearly at work in the preparation of SASRs. Symbolic manipulation is employed in the preparation of SASRs to fulfil the CEO’s reporting strategy of “staying ahead of competitors” and being “recognised as good sustainability performers” (for example, Interviewees B1, B3, B4, B7). The reporting managers make recommendations but ultimately it is the CEOs that make key decisions</w:t>
      </w:r>
      <w:r w:rsidR="00015D89" w:rsidRPr="002E118D">
        <w:rPr>
          <w:rFonts w:asciiTheme="minorBidi" w:hAnsiTheme="minorBidi"/>
        </w:rPr>
        <w:t>.</w:t>
      </w:r>
      <w:r w:rsidRPr="002E118D">
        <w:rPr>
          <w:rFonts w:asciiTheme="minorBidi" w:hAnsiTheme="minorBidi"/>
        </w:rPr>
        <w:t xml:space="preserve"> </w:t>
      </w:r>
      <w:r w:rsidR="00015D89" w:rsidRPr="002E118D">
        <w:rPr>
          <w:rFonts w:asciiTheme="minorBidi" w:hAnsiTheme="minorBidi"/>
        </w:rPr>
        <w:t>T</w:t>
      </w:r>
      <w:r w:rsidRPr="002E118D">
        <w:rPr>
          <w:rFonts w:asciiTheme="minorBidi" w:hAnsiTheme="minorBidi"/>
        </w:rPr>
        <w:t xml:space="preserve">he reporting managers </w:t>
      </w:r>
      <w:r w:rsidR="00015D89" w:rsidRPr="002E118D">
        <w:rPr>
          <w:rFonts w:asciiTheme="minorBidi" w:hAnsiTheme="minorBidi"/>
        </w:rPr>
        <w:t xml:space="preserve">therefore </w:t>
      </w:r>
      <w:r w:rsidRPr="002E118D">
        <w:rPr>
          <w:rFonts w:asciiTheme="minorBidi" w:hAnsiTheme="minorBidi"/>
        </w:rPr>
        <w:t>act a</w:t>
      </w:r>
      <w:r w:rsidR="00015D89" w:rsidRPr="002E118D">
        <w:rPr>
          <w:rFonts w:asciiTheme="minorBidi" w:hAnsiTheme="minorBidi"/>
        </w:rPr>
        <w:t>s</w:t>
      </w:r>
      <w:r w:rsidRPr="002E118D">
        <w:rPr>
          <w:rFonts w:asciiTheme="minorBidi" w:hAnsiTheme="minorBidi"/>
        </w:rPr>
        <w:t xml:space="preserve"> facilitator</w:t>
      </w:r>
      <w:r w:rsidR="00015D89" w:rsidRPr="002E118D">
        <w:rPr>
          <w:rFonts w:asciiTheme="minorBidi" w:hAnsiTheme="minorBidi"/>
        </w:rPr>
        <w:t>s</w:t>
      </w:r>
      <w:r w:rsidR="00735FE8" w:rsidRPr="002E118D">
        <w:rPr>
          <w:rFonts w:asciiTheme="minorBidi" w:hAnsiTheme="minorBidi"/>
        </w:rPr>
        <w:t>, putting into effect managerial edicts,</w:t>
      </w:r>
      <w:r w:rsidR="00015D89" w:rsidRPr="002E118D">
        <w:rPr>
          <w:rFonts w:asciiTheme="minorBidi" w:hAnsiTheme="minorBidi"/>
        </w:rPr>
        <w:t xml:space="preserve"> rather</w:t>
      </w:r>
      <w:r w:rsidRPr="002E118D">
        <w:rPr>
          <w:rFonts w:asciiTheme="minorBidi" w:hAnsiTheme="minorBidi"/>
        </w:rPr>
        <w:t xml:space="preserve"> than</w:t>
      </w:r>
      <w:r w:rsidR="00015D89" w:rsidRPr="002E118D">
        <w:rPr>
          <w:rFonts w:asciiTheme="minorBidi" w:hAnsiTheme="minorBidi"/>
        </w:rPr>
        <w:t xml:space="preserve"> as</w:t>
      </w:r>
      <w:r w:rsidRPr="002E118D">
        <w:rPr>
          <w:rFonts w:asciiTheme="minorBidi" w:hAnsiTheme="minorBidi"/>
        </w:rPr>
        <w:t xml:space="preserve"> decision-makers</w:t>
      </w:r>
      <w:r w:rsidR="00015D89" w:rsidRPr="002E118D">
        <w:rPr>
          <w:rFonts w:asciiTheme="minorBidi" w:hAnsiTheme="minorBidi"/>
        </w:rPr>
        <w:t>.</w:t>
      </w:r>
      <w:r w:rsidRPr="002E118D">
        <w:rPr>
          <w:rFonts w:asciiTheme="minorBidi" w:hAnsiTheme="minorBidi"/>
        </w:rPr>
        <w:t xml:space="preserve"> For example, </w:t>
      </w:r>
      <w:r w:rsidR="00015D89" w:rsidRPr="002E118D">
        <w:rPr>
          <w:rFonts w:asciiTheme="minorBidi" w:hAnsiTheme="minorBidi"/>
        </w:rPr>
        <w:t>the majority of the interviewees</w:t>
      </w:r>
      <w:r w:rsidRPr="002E118D">
        <w:rPr>
          <w:rFonts w:asciiTheme="minorBidi" w:hAnsiTheme="minorBidi"/>
        </w:rPr>
        <w:t xml:space="preserve"> stated</w:t>
      </w:r>
      <w:r w:rsidR="00F67597" w:rsidRPr="002E118D">
        <w:rPr>
          <w:rFonts w:asciiTheme="minorBidi" w:hAnsiTheme="minorBidi"/>
        </w:rPr>
        <w:t xml:space="preserve"> explicitly</w:t>
      </w:r>
      <w:r w:rsidRPr="002E118D">
        <w:rPr>
          <w:rFonts w:asciiTheme="minorBidi" w:hAnsiTheme="minorBidi"/>
        </w:rPr>
        <w:t xml:space="preserve"> that </w:t>
      </w:r>
      <w:r w:rsidR="00015D89" w:rsidRPr="002E118D">
        <w:rPr>
          <w:rFonts w:asciiTheme="minorBidi" w:hAnsiTheme="minorBidi"/>
        </w:rPr>
        <w:t>they</w:t>
      </w:r>
      <w:r w:rsidRPr="002E118D">
        <w:rPr>
          <w:rFonts w:asciiTheme="minorBidi" w:hAnsiTheme="minorBidi"/>
        </w:rPr>
        <w:t xml:space="preserve"> do not question the CEO</w:t>
      </w:r>
      <w:r w:rsidR="00015D89" w:rsidRPr="002E118D">
        <w:rPr>
          <w:rFonts w:asciiTheme="minorBidi" w:hAnsiTheme="minorBidi"/>
        </w:rPr>
        <w:t>’</w:t>
      </w:r>
      <w:r w:rsidRPr="002E118D">
        <w:rPr>
          <w:rFonts w:asciiTheme="minorBidi" w:hAnsiTheme="minorBidi"/>
        </w:rPr>
        <w:t xml:space="preserve">s reporting strategy as </w:t>
      </w:r>
      <w:r w:rsidR="00015D89" w:rsidRPr="002E118D">
        <w:rPr>
          <w:rFonts w:asciiTheme="minorBidi" w:hAnsiTheme="minorBidi"/>
        </w:rPr>
        <w:t xml:space="preserve">the </w:t>
      </w:r>
      <w:r w:rsidRPr="002E118D">
        <w:rPr>
          <w:rFonts w:asciiTheme="minorBidi" w:hAnsiTheme="minorBidi"/>
        </w:rPr>
        <w:lastRenderedPageBreak/>
        <w:t>CEO know</w:t>
      </w:r>
      <w:r w:rsidR="00015D89" w:rsidRPr="002E118D">
        <w:rPr>
          <w:rFonts w:asciiTheme="minorBidi" w:hAnsiTheme="minorBidi"/>
        </w:rPr>
        <w:t>s</w:t>
      </w:r>
      <w:r w:rsidRPr="002E118D">
        <w:rPr>
          <w:rFonts w:asciiTheme="minorBidi" w:hAnsiTheme="minorBidi"/>
        </w:rPr>
        <w:t xml:space="preserve"> what is best for the organisation</w:t>
      </w:r>
      <w:r w:rsidR="00F67597" w:rsidRPr="002E118D">
        <w:rPr>
          <w:rFonts w:asciiTheme="minorBidi" w:hAnsiTheme="minorBidi"/>
        </w:rPr>
        <w:t xml:space="preserve"> (although interviewee B5 denied that the CEO actually had a strategy: “I don’t think we’ve had a single email or phone call from the CEO about our sustainability performance”)</w:t>
      </w:r>
      <w:r w:rsidRPr="002E118D">
        <w:rPr>
          <w:rFonts w:asciiTheme="minorBidi" w:hAnsiTheme="minorBidi"/>
        </w:rPr>
        <w:t xml:space="preserve">. </w:t>
      </w:r>
      <w:r w:rsidR="00EF798E" w:rsidRPr="002E118D">
        <w:rPr>
          <w:rFonts w:asciiTheme="minorBidi" w:hAnsiTheme="minorBidi"/>
        </w:rPr>
        <w:t>R</w:t>
      </w:r>
      <w:r w:rsidRPr="002E118D">
        <w:rPr>
          <w:rFonts w:asciiTheme="minorBidi" w:hAnsiTheme="minorBidi"/>
        </w:rPr>
        <w:t>eporting managers must collect environmental and social information that the CEO will regard as “positive” by first internalising the CEO’s strategy and then educating junior and mid-tier managers in implementing the strategy.</w:t>
      </w:r>
      <w:r w:rsidR="00735FE8" w:rsidRPr="002E118D">
        <w:rPr>
          <w:rFonts w:asciiTheme="minorBidi" w:hAnsiTheme="minorBidi"/>
        </w:rPr>
        <w:t xml:space="preserve"> Reporting managers do not expect CEOs to justify their detailed decisions and preferences for SASRs.</w:t>
      </w:r>
      <w:r w:rsidRPr="002E118D">
        <w:rPr>
          <w:rFonts w:asciiTheme="minorBidi" w:hAnsiTheme="minorBidi"/>
        </w:rPr>
        <w:t xml:space="preserve"> </w:t>
      </w:r>
      <w:r w:rsidR="002E02E8" w:rsidRPr="002E118D">
        <w:rPr>
          <w:rFonts w:asciiTheme="minorBidi" w:hAnsiTheme="minorBidi"/>
        </w:rPr>
        <w:t>H</w:t>
      </w:r>
      <w:r w:rsidR="002E02E8">
        <w:rPr>
          <w:rFonts w:asciiTheme="minorBidi" w:hAnsiTheme="minorBidi"/>
        </w:rPr>
        <w:t>owever,</w:t>
      </w:r>
      <w:r w:rsidR="00312E74" w:rsidRPr="002E118D">
        <w:rPr>
          <w:rFonts w:asciiTheme="minorBidi" w:hAnsiTheme="minorBidi"/>
        </w:rPr>
        <w:t xml:space="preserve"> managers’ ability to reflect on the contents and presentation of the SASR, and on the overall purpose of the document, are inhibited.</w:t>
      </w:r>
    </w:p>
    <w:p w14:paraId="2C9CA0D8" w14:textId="3C110313" w:rsidR="00312E74" w:rsidRDefault="00EF798E" w:rsidP="00224EBF">
      <w:pPr>
        <w:rPr>
          <w:rFonts w:asciiTheme="minorBidi" w:hAnsiTheme="minorBidi"/>
        </w:rPr>
      </w:pPr>
      <w:r w:rsidRPr="002E118D">
        <w:rPr>
          <w:rFonts w:asciiTheme="minorBidi" w:hAnsiTheme="minorBidi"/>
        </w:rPr>
        <w:t>I</w:t>
      </w:r>
      <w:r w:rsidR="003C420D" w:rsidRPr="002E118D">
        <w:rPr>
          <w:rFonts w:asciiTheme="minorBidi" w:hAnsiTheme="minorBidi"/>
        </w:rPr>
        <w:t xml:space="preserve">nterviewees </w:t>
      </w:r>
      <w:r w:rsidRPr="002E118D">
        <w:rPr>
          <w:rFonts w:asciiTheme="minorBidi" w:hAnsiTheme="minorBidi"/>
        </w:rPr>
        <w:t xml:space="preserve">clearly face personal tensions, as they </w:t>
      </w:r>
      <w:r w:rsidR="003C420D" w:rsidRPr="002E118D">
        <w:rPr>
          <w:rFonts w:asciiTheme="minorBidi" w:hAnsiTheme="minorBidi"/>
        </w:rPr>
        <w:t>try to be sincere in prepar</w:t>
      </w:r>
      <w:r w:rsidRPr="002E118D">
        <w:rPr>
          <w:rFonts w:asciiTheme="minorBidi" w:hAnsiTheme="minorBidi"/>
        </w:rPr>
        <w:t>ing</w:t>
      </w:r>
      <w:r w:rsidR="003C420D" w:rsidRPr="002E118D">
        <w:rPr>
          <w:rFonts w:asciiTheme="minorBidi" w:hAnsiTheme="minorBidi"/>
        </w:rPr>
        <w:t xml:space="preserve"> SASRs</w:t>
      </w:r>
      <w:r w:rsidRPr="002E118D">
        <w:rPr>
          <w:rFonts w:asciiTheme="minorBidi" w:hAnsiTheme="minorBidi"/>
        </w:rPr>
        <w:t xml:space="preserve"> (for example, by not downplaying bad news and overemphasising good news), but they are conscious that</w:t>
      </w:r>
      <w:r w:rsidR="003C420D" w:rsidRPr="002E118D">
        <w:rPr>
          <w:rFonts w:asciiTheme="minorBidi" w:hAnsiTheme="minorBidi"/>
        </w:rPr>
        <w:t xml:space="preserve"> ultimately it is </w:t>
      </w:r>
      <w:r w:rsidRPr="002E118D">
        <w:rPr>
          <w:rFonts w:asciiTheme="minorBidi" w:hAnsiTheme="minorBidi"/>
        </w:rPr>
        <w:t xml:space="preserve">the </w:t>
      </w:r>
      <w:r w:rsidR="003C420D" w:rsidRPr="002E118D">
        <w:rPr>
          <w:rFonts w:asciiTheme="minorBidi" w:hAnsiTheme="minorBidi"/>
        </w:rPr>
        <w:t>CEO who decides what should go into the report</w:t>
      </w:r>
      <w:r w:rsidRPr="002E118D">
        <w:rPr>
          <w:rFonts w:asciiTheme="minorBidi" w:hAnsiTheme="minorBidi"/>
        </w:rPr>
        <w:t>.</w:t>
      </w:r>
      <w:r w:rsidR="00735FE8" w:rsidRPr="002E118D">
        <w:rPr>
          <w:rFonts w:asciiTheme="minorBidi" w:hAnsiTheme="minorBidi"/>
        </w:rPr>
        <w:t xml:space="preserve"> </w:t>
      </w:r>
      <w:r w:rsidR="00312E74" w:rsidRPr="002E118D">
        <w:rPr>
          <w:rFonts w:asciiTheme="minorBidi" w:hAnsiTheme="minorBidi"/>
        </w:rPr>
        <w:t>The typical response from the reporting managers was that it is in their best interest</w:t>
      </w:r>
      <w:r w:rsidR="00312E74">
        <w:rPr>
          <w:rFonts w:asciiTheme="minorBidi" w:hAnsiTheme="minorBidi"/>
        </w:rPr>
        <w:t>s</w:t>
      </w:r>
      <w:r w:rsidR="00312E74" w:rsidRPr="002E118D">
        <w:rPr>
          <w:rFonts w:asciiTheme="minorBidi" w:hAnsiTheme="minorBidi"/>
        </w:rPr>
        <w:t xml:space="preserve"> to work in line with the CEO’s SASR strategy by providing positive and interesting environmental and social stories, as failing to do so will have a negative consequence on the assessment of their individual performance.</w:t>
      </w:r>
    </w:p>
    <w:p w14:paraId="626554BA" w14:textId="73AFCE9C" w:rsidR="00312E74" w:rsidRDefault="003C420D" w:rsidP="00224EBF">
      <w:pPr>
        <w:rPr>
          <w:rFonts w:asciiTheme="minorBidi" w:hAnsiTheme="minorBidi"/>
        </w:rPr>
      </w:pPr>
      <w:r w:rsidRPr="002E118D">
        <w:rPr>
          <w:rFonts w:asciiTheme="minorBidi" w:hAnsiTheme="minorBidi"/>
        </w:rPr>
        <w:t xml:space="preserve">The </w:t>
      </w:r>
      <w:r w:rsidR="00EF798E" w:rsidRPr="002E118D">
        <w:rPr>
          <w:rFonts w:asciiTheme="minorBidi" w:hAnsiTheme="minorBidi"/>
        </w:rPr>
        <w:t xml:space="preserve">involvement of the CEO in the process of engaging external designers means that </w:t>
      </w:r>
      <w:r w:rsidR="00312E74">
        <w:rPr>
          <w:rFonts w:asciiTheme="minorBidi" w:hAnsiTheme="minorBidi"/>
        </w:rPr>
        <w:t>they too</w:t>
      </w:r>
      <w:r w:rsidR="00EF798E" w:rsidRPr="002E118D">
        <w:rPr>
          <w:rFonts w:asciiTheme="minorBidi" w:hAnsiTheme="minorBidi"/>
        </w:rPr>
        <w:t xml:space="preserve"> will feel constrained to work towards the CEO’s reporting strategy. </w:t>
      </w:r>
      <w:r w:rsidRPr="002E118D">
        <w:rPr>
          <w:rFonts w:asciiTheme="minorBidi" w:hAnsiTheme="minorBidi"/>
        </w:rPr>
        <w:t>If the external designers do not comply with the CEO’s requirements, then their contract may not be renewed</w:t>
      </w:r>
      <w:r w:rsidR="00E46677" w:rsidRPr="002E118D">
        <w:rPr>
          <w:rFonts w:asciiTheme="minorBidi" w:hAnsiTheme="minorBidi"/>
        </w:rPr>
        <w:t>.</w:t>
      </w:r>
      <w:r w:rsidRPr="002E118D">
        <w:rPr>
          <w:rFonts w:asciiTheme="minorBidi" w:hAnsiTheme="minorBidi"/>
        </w:rPr>
        <w:t xml:space="preserve"> </w:t>
      </w:r>
      <w:r w:rsidR="00312E74" w:rsidRPr="002E118D">
        <w:rPr>
          <w:rFonts w:asciiTheme="minorBidi" w:hAnsiTheme="minorBidi"/>
        </w:rPr>
        <w:t>The CEO’s SASR reporting strategy therefore becomes self-reinforcing within the organisation. Neither the reporting managers themselves nor other participants, including external designers, seem able to question the CEO’s SASR reporting strategy and objectives once these have been specified. Although some managers told us that they were able to make recommendations to the CEO about the general approach to social and environmental reporting, once the strategy was developed, they had to work within it.</w:t>
      </w:r>
    </w:p>
    <w:p w14:paraId="08536706" w14:textId="01DBD260" w:rsidR="003C420D" w:rsidRPr="002E118D" w:rsidRDefault="003C420D" w:rsidP="00224EBF">
      <w:pPr>
        <w:rPr>
          <w:rFonts w:asciiTheme="minorBidi" w:hAnsiTheme="minorBidi"/>
        </w:rPr>
      </w:pPr>
      <w:r w:rsidRPr="002E118D">
        <w:rPr>
          <w:rFonts w:asciiTheme="minorBidi" w:hAnsiTheme="minorBidi"/>
        </w:rPr>
        <w:t xml:space="preserve">As Alvesson and Spicer (2012, p.1196) state: “functional stupidity contributes to maintaining and strengthening organisational order”. </w:t>
      </w:r>
      <w:r w:rsidR="00735FE8" w:rsidRPr="002E118D">
        <w:rPr>
          <w:rFonts w:asciiTheme="minorBidi" w:hAnsiTheme="minorBidi"/>
        </w:rPr>
        <w:t xml:space="preserve">Indeed, some reporting managers praised rather than criticised </w:t>
      </w:r>
      <w:r w:rsidR="00DF3C0D" w:rsidRPr="002E118D">
        <w:rPr>
          <w:rFonts w:asciiTheme="minorBidi" w:hAnsiTheme="minorBidi"/>
        </w:rPr>
        <w:t xml:space="preserve">the </w:t>
      </w:r>
      <w:r w:rsidR="00735FE8" w:rsidRPr="002E118D">
        <w:rPr>
          <w:rFonts w:asciiTheme="minorBidi" w:hAnsiTheme="minorBidi"/>
        </w:rPr>
        <w:t>common</w:t>
      </w:r>
      <w:r w:rsidR="00DF3C0D" w:rsidRPr="002E118D">
        <w:rPr>
          <w:rFonts w:asciiTheme="minorBidi" w:hAnsiTheme="minorBidi"/>
        </w:rPr>
        <w:t xml:space="preserve"> reporting strategy of disclosing positive environmental and social information</w:t>
      </w:r>
      <w:r w:rsidR="00735FE8" w:rsidRPr="002E118D">
        <w:rPr>
          <w:rFonts w:asciiTheme="minorBidi" w:hAnsiTheme="minorBidi"/>
        </w:rPr>
        <w:t xml:space="preserve"> and downplaying negative information</w:t>
      </w:r>
      <w:r w:rsidR="00DF3C0D" w:rsidRPr="002E118D">
        <w:rPr>
          <w:rFonts w:asciiTheme="minorBidi" w:hAnsiTheme="minorBidi"/>
        </w:rPr>
        <w:t>.</w:t>
      </w:r>
      <w:bookmarkStart w:id="32" w:name="_Hlk39358501"/>
      <w:bookmarkEnd w:id="31"/>
      <w:r w:rsidR="00886A4E">
        <w:rPr>
          <w:rFonts w:asciiTheme="minorBidi" w:hAnsiTheme="minorBidi"/>
        </w:rPr>
        <w:t xml:space="preserve"> </w:t>
      </w:r>
      <w:r w:rsidR="006120F1" w:rsidRPr="002E118D">
        <w:rPr>
          <w:rFonts w:asciiTheme="minorBidi" w:hAnsiTheme="minorBidi"/>
        </w:rPr>
        <w:t>Overall, the possibility that reporting managers could challenge dominant values, enter into a dialogue with the CEO, and discuss the objectives of social and environmental reporting rather than just working to achieve the CEO’s goals, were all inhibited, which is suggestive of functional stupidity at the organisational level.</w:t>
      </w:r>
    </w:p>
    <w:p w14:paraId="1C90F1EC" w14:textId="60235F01" w:rsidR="00540DD9" w:rsidRPr="002E118D" w:rsidRDefault="00236271" w:rsidP="002E118D">
      <w:pPr>
        <w:rPr>
          <w:rFonts w:asciiTheme="minorBidi" w:hAnsiTheme="minorBidi"/>
        </w:rPr>
      </w:pPr>
      <w:r w:rsidRPr="002E118D">
        <w:rPr>
          <w:rFonts w:asciiTheme="minorBidi" w:hAnsiTheme="minorBidi"/>
        </w:rPr>
        <w:t xml:space="preserve">Secondly, </w:t>
      </w:r>
      <w:r w:rsidR="009770D1">
        <w:rPr>
          <w:rFonts w:asciiTheme="minorBidi" w:hAnsiTheme="minorBidi"/>
        </w:rPr>
        <w:t xml:space="preserve">we find </w:t>
      </w:r>
      <w:r w:rsidR="006120F1" w:rsidRPr="002E118D">
        <w:rPr>
          <w:rFonts w:asciiTheme="minorBidi" w:hAnsiTheme="minorBidi"/>
        </w:rPr>
        <w:t>the use of visuals</w:t>
      </w:r>
      <w:r w:rsidRPr="002E118D">
        <w:rPr>
          <w:rFonts w:asciiTheme="minorBidi" w:hAnsiTheme="minorBidi"/>
        </w:rPr>
        <w:t xml:space="preserve"> </w:t>
      </w:r>
      <w:r w:rsidR="006120F1" w:rsidRPr="002E118D">
        <w:rPr>
          <w:rFonts w:asciiTheme="minorBidi" w:hAnsiTheme="minorBidi"/>
        </w:rPr>
        <w:t xml:space="preserve">is </w:t>
      </w:r>
      <w:r w:rsidRPr="002E118D">
        <w:rPr>
          <w:rFonts w:asciiTheme="minorBidi" w:hAnsiTheme="minorBidi"/>
        </w:rPr>
        <w:t>an important part of the CEO</w:t>
      </w:r>
      <w:r w:rsidR="006120F1" w:rsidRPr="002E118D">
        <w:rPr>
          <w:rFonts w:asciiTheme="minorBidi" w:hAnsiTheme="minorBidi"/>
        </w:rPr>
        <w:t>’</w:t>
      </w:r>
      <w:r w:rsidRPr="002E118D">
        <w:rPr>
          <w:rFonts w:asciiTheme="minorBidi" w:hAnsiTheme="minorBidi"/>
        </w:rPr>
        <w:t>s disclosure strategy. Companies use different forms of visuals (pictures</w:t>
      </w:r>
      <w:r w:rsidR="006120F1" w:rsidRPr="002E118D">
        <w:rPr>
          <w:rFonts w:asciiTheme="minorBidi" w:hAnsiTheme="minorBidi"/>
        </w:rPr>
        <w:t xml:space="preserve">, </w:t>
      </w:r>
      <w:r w:rsidRPr="002E118D">
        <w:rPr>
          <w:rFonts w:asciiTheme="minorBidi" w:hAnsiTheme="minorBidi"/>
        </w:rPr>
        <w:t xml:space="preserve">photographs, diagrams, charts and graphs) with the aim of legitimising corporate activity. </w:t>
      </w:r>
      <w:r w:rsidR="006120F1" w:rsidRPr="002E118D">
        <w:rPr>
          <w:rFonts w:asciiTheme="minorBidi" w:hAnsiTheme="minorBidi"/>
        </w:rPr>
        <w:t>V</w:t>
      </w:r>
      <w:r w:rsidRPr="002E118D">
        <w:rPr>
          <w:rFonts w:asciiTheme="minorBidi" w:hAnsiTheme="minorBidi"/>
        </w:rPr>
        <w:t xml:space="preserve">isuals </w:t>
      </w:r>
      <w:r w:rsidR="006120F1" w:rsidRPr="002E118D">
        <w:rPr>
          <w:rFonts w:asciiTheme="minorBidi" w:hAnsiTheme="minorBidi"/>
        </w:rPr>
        <w:t xml:space="preserve">have the ability to divert users’ </w:t>
      </w:r>
      <w:r w:rsidR="006120F1" w:rsidRPr="002E118D">
        <w:rPr>
          <w:rFonts w:asciiTheme="minorBidi" w:hAnsiTheme="minorBidi"/>
        </w:rPr>
        <w:lastRenderedPageBreak/>
        <w:t>attention</w:t>
      </w:r>
      <w:r w:rsidRPr="002E118D">
        <w:rPr>
          <w:rFonts w:asciiTheme="minorBidi" w:hAnsiTheme="minorBidi"/>
        </w:rPr>
        <w:t xml:space="preserve"> from actual operations, while creating an impression of good corporate citizenship. CEOs recognise the power of visuals in sustaining legitimacy</w:t>
      </w:r>
      <w:r w:rsidR="008D0DF6" w:rsidRPr="002E118D">
        <w:rPr>
          <w:rFonts w:asciiTheme="minorBidi" w:hAnsiTheme="minorBidi"/>
        </w:rPr>
        <w:t>. They</w:t>
      </w:r>
      <w:r w:rsidRPr="002E118D">
        <w:rPr>
          <w:rFonts w:asciiTheme="minorBidi" w:hAnsiTheme="minorBidi"/>
        </w:rPr>
        <w:t xml:space="preserve"> </w:t>
      </w:r>
      <w:r w:rsidR="008D0DF6" w:rsidRPr="002E118D">
        <w:rPr>
          <w:rFonts w:asciiTheme="minorBidi" w:hAnsiTheme="minorBidi"/>
        </w:rPr>
        <w:t>are</w:t>
      </w:r>
      <w:r w:rsidRPr="002E118D">
        <w:rPr>
          <w:rFonts w:asciiTheme="minorBidi" w:hAnsiTheme="minorBidi"/>
        </w:rPr>
        <w:t xml:space="preserve"> engaged extensively in the selection process of visuals and often approve </w:t>
      </w:r>
      <w:r w:rsidR="008D0DF6" w:rsidRPr="002E118D">
        <w:rPr>
          <w:rFonts w:asciiTheme="minorBidi" w:hAnsiTheme="minorBidi"/>
        </w:rPr>
        <w:t xml:space="preserve">not just </w:t>
      </w:r>
      <w:r w:rsidRPr="002E118D">
        <w:rPr>
          <w:rFonts w:asciiTheme="minorBidi" w:hAnsiTheme="minorBidi"/>
        </w:rPr>
        <w:t>the type of visuals to be included in SASRs</w:t>
      </w:r>
      <w:r w:rsidR="008D0DF6" w:rsidRPr="002E118D">
        <w:rPr>
          <w:rFonts w:asciiTheme="minorBidi" w:hAnsiTheme="minorBidi"/>
        </w:rPr>
        <w:t xml:space="preserve"> but specific images</w:t>
      </w:r>
      <w:r w:rsidRPr="002E118D">
        <w:rPr>
          <w:rFonts w:asciiTheme="minorBidi" w:hAnsiTheme="minorBidi"/>
        </w:rPr>
        <w:t>.</w:t>
      </w:r>
      <w:r w:rsidR="008D0DF6" w:rsidRPr="002E118D">
        <w:rPr>
          <w:rFonts w:asciiTheme="minorBidi" w:hAnsiTheme="minorBidi"/>
        </w:rPr>
        <w:t xml:space="preserve"> </w:t>
      </w:r>
      <w:r w:rsidRPr="002E118D">
        <w:rPr>
          <w:rFonts w:asciiTheme="minorBidi" w:hAnsiTheme="minorBidi"/>
        </w:rPr>
        <w:t xml:space="preserve">The </w:t>
      </w:r>
      <w:r w:rsidR="008D0DF6" w:rsidRPr="002E118D">
        <w:rPr>
          <w:rFonts w:asciiTheme="minorBidi" w:hAnsiTheme="minorBidi"/>
        </w:rPr>
        <w:t xml:space="preserve">approach of </w:t>
      </w:r>
      <w:r w:rsidRPr="002E118D">
        <w:rPr>
          <w:rFonts w:asciiTheme="minorBidi" w:hAnsiTheme="minorBidi"/>
        </w:rPr>
        <w:t xml:space="preserve">CEOs to </w:t>
      </w:r>
      <w:r w:rsidR="008D0DF6" w:rsidRPr="002E118D">
        <w:rPr>
          <w:rFonts w:asciiTheme="minorBidi" w:hAnsiTheme="minorBidi"/>
        </w:rPr>
        <w:t xml:space="preserve">the </w:t>
      </w:r>
      <w:r w:rsidRPr="002E118D">
        <w:rPr>
          <w:rFonts w:asciiTheme="minorBidi" w:hAnsiTheme="minorBidi"/>
        </w:rPr>
        <w:t xml:space="preserve">use </w:t>
      </w:r>
      <w:r w:rsidR="008D0DF6" w:rsidRPr="002E118D">
        <w:rPr>
          <w:rFonts w:asciiTheme="minorBidi" w:hAnsiTheme="minorBidi"/>
        </w:rPr>
        <w:t>of</w:t>
      </w:r>
      <w:r w:rsidRPr="002E118D">
        <w:rPr>
          <w:rFonts w:asciiTheme="minorBidi" w:hAnsiTheme="minorBidi"/>
        </w:rPr>
        <w:t xml:space="preserve"> visuals in SASRs </w:t>
      </w:r>
      <w:r w:rsidR="008D0DF6" w:rsidRPr="002E118D">
        <w:rPr>
          <w:rFonts w:asciiTheme="minorBidi" w:hAnsiTheme="minorBidi"/>
        </w:rPr>
        <w:t>i</w:t>
      </w:r>
      <w:r w:rsidRPr="002E118D">
        <w:rPr>
          <w:rFonts w:asciiTheme="minorBidi" w:hAnsiTheme="minorBidi"/>
        </w:rPr>
        <w:t xml:space="preserve">s </w:t>
      </w:r>
      <w:r w:rsidR="008D0DF6" w:rsidRPr="002E118D">
        <w:rPr>
          <w:rFonts w:asciiTheme="minorBidi" w:hAnsiTheme="minorBidi"/>
        </w:rPr>
        <w:t xml:space="preserve">often motivated by a desire </w:t>
      </w:r>
      <w:r w:rsidRPr="002E118D">
        <w:rPr>
          <w:rFonts w:asciiTheme="minorBidi" w:hAnsiTheme="minorBidi"/>
        </w:rPr>
        <w:t>to imitate competitors</w:t>
      </w:r>
      <w:r w:rsidR="008D0DF6" w:rsidRPr="002E118D">
        <w:rPr>
          <w:rFonts w:asciiTheme="minorBidi" w:hAnsiTheme="minorBidi"/>
        </w:rPr>
        <w:t>: this</w:t>
      </w:r>
      <w:r w:rsidRPr="002E118D">
        <w:rPr>
          <w:rFonts w:asciiTheme="minorBidi" w:hAnsiTheme="minorBidi"/>
        </w:rPr>
        <w:t xml:space="preserve"> is consistent with </w:t>
      </w:r>
      <w:r w:rsidR="008D0DF6" w:rsidRPr="002E118D">
        <w:rPr>
          <w:rFonts w:asciiTheme="minorBidi" w:hAnsiTheme="minorBidi"/>
        </w:rPr>
        <w:t xml:space="preserve">the comment of </w:t>
      </w:r>
      <w:r w:rsidRPr="002E118D">
        <w:rPr>
          <w:rFonts w:asciiTheme="minorBidi" w:hAnsiTheme="minorBidi"/>
        </w:rPr>
        <w:t>Alvesson and Spicer (2012</w:t>
      </w:r>
      <w:r w:rsidR="008D0DF6" w:rsidRPr="002E118D">
        <w:rPr>
          <w:rFonts w:asciiTheme="minorBidi" w:hAnsiTheme="minorBidi"/>
        </w:rPr>
        <w:t>, p. 1200</w:t>
      </w:r>
      <w:r w:rsidRPr="002E118D">
        <w:rPr>
          <w:rFonts w:asciiTheme="minorBidi" w:hAnsiTheme="minorBidi"/>
        </w:rPr>
        <w:t>) that organisation</w:t>
      </w:r>
      <w:r w:rsidR="008D0DF6" w:rsidRPr="002E118D">
        <w:rPr>
          <w:rFonts w:asciiTheme="minorBidi" w:hAnsiTheme="minorBidi"/>
        </w:rPr>
        <w:t>s</w:t>
      </w:r>
      <w:r w:rsidRPr="002E118D">
        <w:rPr>
          <w:rFonts w:asciiTheme="minorBidi" w:hAnsiTheme="minorBidi"/>
        </w:rPr>
        <w:t xml:space="preserve"> “often adopt new practices with few robust reasons beyond the fact that </w:t>
      </w:r>
      <w:r w:rsidR="008D0DF6" w:rsidRPr="002E118D">
        <w:rPr>
          <w:rFonts w:asciiTheme="minorBidi" w:hAnsiTheme="minorBidi"/>
        </w:rPr>
        <w:t xml:space="preserve">they </w:t>
      </w:r>
      <w:r w:rsidRPr="002E118D">
        <w:rPr>
          <w:rFonts w:asciiTheme="minorBidi" w:hAnsiTheme="minorBidi"/>
        </w:rPr>
        <w:t xml:space="preserve">make the company ‘look good’ or that </w:t>
      </w:r>
      <w:r w:rsidR="008D0DF6" w:rsidRPr="002E118D">
        <w:rPr>
          <w:rFonts w:asciiTheme="minorBidi" w:hAnsiTheme="minorBidi"/>
        </w:rPr>
        <w:t>‘</w:t>
      </w:r>
      <w:r w:rsidRPr="002E118D">
        <w:rPr>
          <w:rFonts w:asciiTheme="minorBidi" w:hAnsiTheme="minorBidi"/>
        </w:rPr>
        <w:t>others are doing it</w:t>
      </w:r>
      <w:r w:rsidR="008D0DF6" w:rsidRPr="002E118D">
        <w:rPr>
          <w:rFonts w:asciiTheme="minorBidi" w:hAnsiTheme="minorBidi"/>
        </w:rPr>
        <w:t>’.</w:t>
      </w:r>
      <w:r w:rsidRPr="002E118D">
        <w:rPr>
          <w:rFonts w:asciiTheme="minorBidi" w:hAnsiTheme="minorBidi"/>
        </w:rPr>
        <w:t xml:space="preserve">” </w:t>
      </w:r>
      <w:r w:rsidR="008D0DF6" w:rsidRPr="002E118D">
        <w:rPr>
          <w:rFonts w:asciiTheme="minorBidi" w:hAnsiTheme="minorBidi"/>
        </w:rPr>
        <w:t>R</w:t>
      </w:r>
      <w:r w:rsidRPr="002E118D">
        <w:rPr>
          <w:rFonts w:asciiTheme="minorBidi" w:hAnsiTheme="minorBidi"/>
        </w:rPr>
        <w:t xml:space="preserve">eporting managers </w:t>
      </w:r>
      <w:r w:rsidR="008D0DF6" w:rsidRPr="002E118D">
        <w:rPr>
          <w:rFonts w:asciiTheme="minorBidi" w:hAnsiTheme="minorBidi"/>
        </w:rPr>
        <w:t>give high priority to</w:t>
      </w:r>
      <w:r w:rsidRPr="002E118D">
        <w:rPr>
          <w:rFonts w:asciiTheme="minorBidi" w:hAnsiTheme="minorBidi"/>
        </w:rPr>
        <w:t xml:space="preserve"> the CEO</w:t>
      </w:r>
      <w:r w:rsidR="008D0DF6" w:rsidRPr="002E118D">
        <w:rPr>
          <w:rFonts w:asciiTheme="minorBidi" w:hAnsiTheme="minorBidi"/>
        </w:rPr>
        <w:t>’</w:t>
      </w:r>
      <w:r w:rsidRPr="002E118D">
        <w:rPr>
          <w:rFonts w:asciiTheme="minorBidi" w:hAnsiTheme="minorBidi"/>
        </w:rPr>
        <w:t>s strategy</w:t>
      </w:r>
      <w:r w:rsidR="008D0DF6" w:rsidRPr="002E118D">
        <w:rPr>
          <w:rFonts w:asciiTheme="minorBidi" w:hAnsiTheme="minorBidi"/>
        </w:rPr>
        <w:t xml:space="preserve"> for visuals.</w:t>
      </w:r>
      <w:r w:rsidRPr="002E118D">
        <w:rPr>
          <w:rFonts w:asciiTheme="minorBidi" w:hAnsiTheme="minorBidi"/>
        </w:rPr>
        <w:t xml:space="preserve"> </w:t>
      </w:r>
      <w:r w:rsidR="008D0DF6" w:rsidRPr="002E118D">
        <w:rPr>
          <w:rFonts w:asciiTheme="minorBidi" w:hAnsiTheme="minorBidi"/>
        </w:rPr>
        <w:t>R</w:t>
      </w:r>
      <w:r w:rsidRPr="002E118D">
        <w:rPr>
          <w:rFonts w:asciiTheme="minorBidi" w:hAnsiTheme="minorBidi"/>
        </w:rPr>
        <w:t>eporting managers refrain from asking questions or challenging the CEO</w:t>
      </w:r>
      <w:r w:rsidR="008D0DF6" w:rsidRPr="002E118D">
        <w:rPr>
          <w:rFonts w:asciiTheme="minorBidi" w:hAnsiTheme="minorBidi"/>
        </w:rPr>
        <w:t>’</w:t>
      </w:r>
      <w:r w:rsidRPr="002E118D">
        <w:rPr>
          <w:rFonts w:asciiTheme="minorBidi" w:hAnsiTheme="minorBidi"/>
        </w:rPr>
        <w:t>s reporting strategy</w:t>
      </w:r>
      <w:r w:rsidR="008D0DF6" w:rsidRPr="002E118D">
        <w:rPr>
          <w:rFonts w:asciiTheme="minorBidi" w:hAnsiTheme="minorBidi"/>
        </w:rPr>
        <w:t>.</w:t>
      </w:r>
      <w:r w:rsidR="00540DD9" w:rsidRPr="002E118D">
        <w:rPr>
          <w:rFonts w:asciiTheme="minorBidi" w:hAnsiTheme="minorBidi"/>
        </w:rPr>
        <w:t xml:space="preserve"> The comment from interviewee B10 </w:t>
      </w:r>
      <w:r w:rsidR="008D0DF6" w:rsidRPr="002E118D">
        <w:rPr>
          <w:rFonts w:asciiTheme="minorBidi" w:hAnsiTheme="minorBidi"/>
        </w:rPr>
        <w:t>that</w:t>
      </w:r>
      <w:r w:rsidR="00540DD9" w:rsidRPr="002E118D">
        <w:rPr>
          <w:rFonts w:asciiTheme="minorBidi" w:hAnsiTheme="minorBidi"/>
        </w:rPr>
        <w:t xml:space="preserve"> “T</w:t>
      </w:r>
      <w:r w:rsidR="00540DD9" w:rsidRPr="002E118D">
        <w:t>he manager would be scored poorly in their performance rating, which could affect remuneration”</w:t>
      </w:r>
      <w:r w:rsidR="008D0DF6" w:rsidRPr="002E118D">
        <w:t>,</w:t>
      </w:r>
      <w:r w:rsidR="00540DD9" w:rsidRPr="002E118D">
        <w:t xml:space="preserve"> is </w:t>
      </w:r>
      <w:r w:rsidR="00934226" w:rsidRPr="002E118D">
        <w:t>significant here, as it shows that reporting managers</w:t>
      </w:r>
      <w:r w:rsidR="008D0DF6" w:rsidRPr="002E118D">
        <w:t xml:space="preserve"> are constrained by the need to protect</w:t>
      </w:r>
      <w:r w:rsidR="00934226" w:rsidRPr="002E118D">
        <w:t xml:space="preserve"> their own career and material rewards</w:t>
      </w:r>
      <w:r w:rsidR="008D0DF6" w:rsidRPr="002E118D">
        <w:t xml:space="preserve">, even if this means that they have to act insincerely by </w:t>
      </w:r>
      <w:r w:rsidR="00934226" w:rsidRPr="002E118D">
        <w:t>providing environmental and social information</w:t>
      </w:r>
      <w:r w:rsidR="008D0DF6" w:rsidRPr="002E118D">
        <w:t xml:space="preserve"> that they consider to be more symbolic than substantive</w:t>
      </w:r>
      <w:r w:rsidR="008E0E11" w:rsidRPr="002E118D">
        <w:t>. Pressures inside an organisation towards</w:t>
      </w:r>
      <w:r w:rsidR="008D0DF6" w:rsidRPr="002E118D">
        <w:rPr>
          <w:rFonts w:asciiTheme="minorBidi" w:hAnsiTheme="minorBidi"/>
        </w:rPr>
        <w:t xml:space="preserve"> maximising careerism </w:t>
      </w:r>
      <w:r w:rsidR="008E0E11" w:rsidRPr="002E118D">
        <w:rPr>
          <w:rFonts w:asciiTheme="minorBidi" w:hAnsiTheme="minorBidi"/>
        </w:rPr>
        <w:t>are suggestive of functional stupidity (Alvesson and Spicer, 2012, p. 1214)</w:t>
      </w:r>
      <w:r w:rsidR="008D0DF6" w:rsidRPr="002E118D">
        <w:rPr>
          <w:rFonts w:asciiTheme="minorBidi" w:hAnsiTheme="minorBidi"/>
        </w:rPr>
        <w:t>.</w:t>
      </w:r>
    </w:p>
    <w:bookmarkEnd w:id="32"/>
    <w:p w14:paraId="0892195D" w14:textId="6839D9A5" w:rsidR="00D827AE" w:rsidRPr="002E118D" w:rsidRDefault="007E4C01" w:rsidP="00FB1646">
      <w:pPr>
        <w:rPr>
          <w:rFonts w:asciiTheme="minorBidi" w:hAnsiTheme="minorBidi"/>
        </w:rPr>
      </w:pPr>
      <w:r w:rsidRPr="002E118D">
        <w:rPr>
          <w:rFonts w:asciiTheme="minorBidi" w:hAnsiTheme="minorBidi"/>
        </w:rPr>
        <w:t xml:space="preserve">Thirdly, </w:t>
      </w:r>
      <w:r w:rsidR="009770D1">
        <w:rPr>
          <w:rFonts w:asciiTheme="minorBidi" w:hAnsiTheme="minorBidi"/>
        </w:rPr>
        <w:t xml:space="preserve">we find </w:t>
      </w:r>
      <w:r w:rsidR="006E2022" w:rsidRPr="002E118D">
        <w:rPr>
          <w:rFonts w:asciiTheme="minorBidi" w:hAnsiTheme="minorBidi"/>
        </w:rPr>
        <w:t xml:space="preserve">the </w:t>
      </w:r>
      <w:r w:rsidR="008E0E11" w:rsidRPr="002E118D">
        <w:rPr>
          <w:rFonts w:asciiTheme="minorBidi" w:hAnsiTheme="minorBidi"/>
        </w:rPr>
        <w:t>way in which b</w:t>
      </w:r>
      <w:r w:rsidRPr="002E118D">
        <w:rPr>
          <w:rFonts w:asciiTheme="minorBidi" w:hAnsiTheme="minorBidi"/>
        </w:rPr>
        <w:t xml:space="preserve">lank space </w:t>
      </w:r>
      <w:r w:rsidR="003F61BF" w:rsidRPr="002E118D">
        <w:rPr>
          <w:rFonts w:asciiTheme="minorBidi" w:hAnsiTheme="minorBidi"/>
        </w:rPr>
        <w:t xml:space="preserve">is </w:t>
      </w:r>
      <w:r w:rsidR="008E0E11" w:rsidRPr="002E118D">
        <w:rPr>
          <w:rFonts w:asciiTheme="minorBidi" w:hAnsiTheme="minorBidi"/>
        </w:rPr>
        <w:t xml:space="preserve">used </w:t>
      </w:r>
      <w:r w:rsidR="003F61BF" w:rsidRPr="002E118D">
        <w:rPr>
          <w:rFonts w:asciiTheme="minorBidi" w:hAnsiTheme="minorBidi"/>
        </w:rPr>
        <w:t xml:space="preserve">also </w:t>
      </w:r>
      <w:r w:rsidR="008E0E11" w:rsidRPr="002E118D">
        <w:rPr>
          <w:rFonts w:asciiTheme="minorBidi" w:hAnsiTheme="minorBidi"/>
        </w:rPr>
        <w:t>depends on</w:t>
      </w:r>
      <w:r w:rsidR="003F61BF" w:rsidRPr="002E118D">
        <w:rPr>
          <w:rFonts w:asciiTheme="minorBidi" w:hAnsiTheme="minorBidi"/>
        </w:rPr>
        <w:t xml:space="preserve"> the CEO</w:t>
      </w:r>
      <w:r w:rsidR="008E0E11" w:rsidRPr="002E118D">
        <w:rPr>
          <w:rFonts w:asciiTheme="minorBidi" w:hAnsiTheme="minorBidi"/>
        </w:rPr>
        <w:t>’</w:t>
      </w:r>
      <w:r w:rsidR="003F61BF" w:rsidRPr="002E118D">
        <w:rPr>
          <w:rFonts w:asciiTheme="minorBidi" w:hAnsiTheme="minorBidi"/>
        </w:rPr>
        <w:t>s reporting strategy</w:t>
      </w:r>
      <w:r w:rsidR="008E0E11" w:rsidRPr="002E118D">
        <w:rPr>
          <w:rFonts w:asciiTheme="minorBidi" w:hAnsiTheme="minorBidi"/>
        </w:rPr>
        <w:t>.</w:t>
      </w:r>
      <w:r w:rsidR="003F61BF" w:rsidRPr="002E118D">
        <w:rPr>
          <w:rFonts w:asciiTheme="minorBidi" w:hAnsiTheme="minorBidi"/>
        </w:rPr>
        <w:t xml:space="preserve"> </w:t>
      </w:r>
      <w:r w:rsidR="006E2022" w:rsidRPr="002E118D">
        <w:rPr>
          <w:rFonts w:asciiTheme="minorBidi" w:hAnsiTheme="minorBidi"/>
        </w:rPr>
        <w:t>B</w:t>
      </w:r>
      <w:r w:rsidRPr="002E118D">
        <w:rPr>
          <w:rFonts w:asciiTheme="minorBidi" w:hAnsiTheme="minorBidi"/>
        </w:rPr>
        <w:t xml:space="preserve">lank </w:t>
      </w:r>
      <w:r w:rsidR="006E2022" w:rsidRPr="002E118D">
        <w:rPr>
          <w:rFonts w:asciiTheme="minorBidi" w:hAnsiTheme="minorBidi"/>
        </w:rPr>
        <w:t xml:space="preserve">space </w:t>
      </w:r>
      <w:r w:rsidR="00C74B64" w:rsidRPr="002E118D">
        <w:rPr>
          <w:rFonts w:asciiTheme="minorBidi" w:hAnsiTheme="minorBidi"/>
        </w:rPr>
        <w:t xml:space="preserve">may </w:t>
      </w:r>
      <w:r w:rsidR="003601B7" w:rsidRPr="002E118D">
        <w:rPr>
          <w:rFonts w:asciiTheme="minorBidi" w:hAnsiTheme="minorBidi"/>
        </w:rPr>
        <w:t>improve</w:t>
      </w:r>
      <w:r w:rsidRPr="002E118D">
        <w:rPr>
          <w:rFonts w:asciiTheme="minorBidi" w:hAnsiTheme="minorBidi"/>
        </w:rPr>
        <w:t xml:space="preserve"> the readability of </w:t>
      </w:r>
      <w:r w:rsidR="00934226" w:rsidRPr="002E118D">
        <w:rPr>
          <w:rFonts w:asciiTheme="minorBidi" w:hAnsiTheme="minorBidi"/>
        </w:rPr>
        <w:t>SASRs</w:t>
      </w:r>
      <w:r w:rsidR="00C74B64" w:rsidRPr="002E118D">
        <w:rPr>
          <w:rFonts w:asciiTheme="minorBidi" w:hAnsiTheme="minorBidi"/>
        </w:rPr>
        <w:t>: the idea that information needs “room to breathe” was supported by several interviewees, who reported that</w:t>
      </w:r>
      <w:r w:rsidR="00CB6DD7" w:rsidRPr="002E118D">
        <w:rPr>
          <w:rFonts w:asciiTheme="minorBidi" w:hAnsiTheme="minorBidi"/>
        </w:rPr>
        <w:t xml:space="preserve"> external designers often initiated a discussion of </w:t>
      </w:r>
      <w:r w:rsidR="00CE61D9" w:rsidRPr="002E118D">
        <w:rPr>
          <w:rFonts w:asciiTheme="minorBidi" w:hAnsiTheme="minorBidi"/>
        </w:rPr>
        <w:t>whether to use substantial blank space</w:t>
      </w:r>
      <w:r w:rsidR="00C74B64" w:rsidRPr="002E118D">
        <w:rPr>
          <w:rFonts w:asciiTheme="minorBidi" w:hAnsiTheme="minorBidi"/>
        </w:rPr>
        <w:t xml:space="preserve">. However, recommendations from designers were ultimately subject to approval by the CEO. </w:t>
      </w:r>
      <w:r w:rsidR="006E2022" w:rsidRPr="002E118D">
        <w:rPr>
          <w:rFonts w:asciiTheme="minorBidi" w:hAnsiTheme="minorBidi"/>
        </w:rPr>
        <w:t>Effective use of b</w:t>
      </w:r>
      <w:r w:rsidR="001F73A0" w:rsidRPr="002E118D">
        <w:rPr>
          <w:rFonts w:asciiTheme="minorBidi" w:hAnsiTheme="minorBidi"/>
        </w:rPr>
        <w:t xml:space="preserve">lank space in conjunction with visuals may </w:t>
      </w:r>
      <w:r w:rsidR="001B509D" w:rsidRPr="002E118D">
        <w:rPr>
          <w:rFonts w:asciiTheme="minorBidi" w:hAnsiTheme="minorBidi"/>
        </w:rPr>
        <w:t>resemble marketing tools</w:t>
      </w:r>
      <w:r w:rsidR="003325E2" w:rsidRPr="002E118D">
        <w:rPr>
          <w:rFonts w:asciiTheme="minorBidi" w:hAnsiTheme="minorBidi"/>
        </w:rPr>
        <w:t xml:space="preserve"> designed to </w:t>
      </w:r>
      <w:r w:rsidR="003C305B" w:rsidRPr="002E118D">
        <w:rPr>
          <w:rFonts w:asciiTheme="minorBidi" w:hAnsiTheme="minorBidi"/>
        </w:rPr>
        <w:t>maintain the approval</w:t>
      </w:r>
      <w:r w:rsidR="00C125A3" w:rsidRPr="002E118D">
        <w:rPr>
          <w:rFonts w:asciiTheme="minorBidi" w:hAnsiTheme="minorBidi"/>
        </w:rPr>
        <w:t xml:space="preserve"> of crucial stakeholders </w:t>
      </w:r>
      <w:r w:rsidR="006D598C" w:rsidRPr="002E118D">
        <w:rPr>
          <w:rFonts w:asciiTheme="minorBidi" w:hAnsiTheme="minorBidi"/>
        </w:rPr>
        <w:t>for the survival of the business (Unerman et al.</w:t>
      </w:r>
      <w:r w:rsidR="00B65056" w:rsidRPr="002E118D">
        <w:rPr>
          <w:rFonts w:asciiTheme="minorBidi" w:hAnsiTheme="minorBidi"/>
        </w:rPr>
        <w:t>,</w:t>
      </w:r>
      <w:r w:rsidR="006D598C" w:rsidRPr="002E118D">
        <w:rPr>
          <w:rFonts w:asciiTheme="minorBidi" w:hAnsiTheme="minorBidi"/>
        </w:rPr>
        <w:t xml:space="preserve"> 2007)</w:t>
      </w:r>
      <w:r w:rsidR="009D584F" w:rsidRPr="002E118D">
        <w:rPr>
          <w:rFonts w:asciiTheme="minorBidi" w:hAnsiTheme="minorBidi"/>
        </w:rPr>
        <w:t xml:space="preserve"> or to manage </w:t>
      </w:r>
      <w:r w:rsidR="00035ED2" w:rsidRPr="002E118D">
        <w:rPr>
          <w:rFonts w:asciiTheme="minorBidi" w:hAnsiTheme="minorBidi"/>
        </w:rPr>
        <w:t xml:space="preserve">political and media visibility </w:t>
      </w:r>
      <w:r w:rsidR="00A41A2D" w:rsidRPr="002E118D">
        <w:rPr>
          <w:rFonts w:asciiTheme="minorBidi" w:hAnsiTheme="minorBidi"/>
        </w:rPr>
        <w:t>(Thorne</w:t>
      </w:r>
      <w:r w:rsidR="0064140A">
        <w:rPr>
          <w:rFonts w:asciiTheme="minorBidi" w:hAnsiTheme="minorBidi"/>
        </w:rPr>
        <w:t xml:space="preserve"> et al.</w:t>
      </w:r>
      <w:r w:rsidR="00A41A2D" w:rsidRPr="002E118D">
        <w:rPr>
          <w:rFonts w:asciiTheme="minorBidi" w:hAnsiTheme="minorBidi"/>
        </w:rPr>
        <w:t>, 2014)</w:t>
      </w:r>
      <w:r w:rsidR="006B7474" w:rsidRPr="002E118D">
        <w:rPr>
          <w:rFonts w:asciiTheme="minorBidi" w:hAnsiTheme="minorBidi"/>
        </w:rPr>
        <w:t xml:space="preserve">. Given that </w:t>
      </w:r>
      <w:r w:rsidR="003E6CF0" w:rsidRPr="002E118D">
        <w:rPr>
          <w:rFonts w:asciiTheme="minorBidi" w:hAnsiTheme="minorBidi"/>
        </w:rPr>
        <w:t>visual</w:t>
      </w:r>
      <w:r w:rsidR="00D827AE" w:rsidRPr="002E118D">
        <w:rPr>
          <w:rFonts w:asciiTheme="minorBidi" w:hAnsiTheme="minorBidi"/>
        </w:rPr>
        <w:t>s</w:t>
      </w:r>
      <w:r w:rsidR="003E6CF0" w:rsidRPr="002E118D">
        <w:rPr>
          <w:rFonts w:asciiTheme="minorBidi" w:hAnsiTheme="minorBidi"/>
        </w:rPr>
        <w:t xml:space="preserve"> and blank space </w:t>
      </w:r>
      <w:r w:rsidR="00D827AE" w:rsidRPr="002E118D">
        <w:rPr>
          <w:rFonts w:asciiTheme="minorBidi" w:hAnsiTheme="minorBidi"/>
        </w:rPr>
        <w:t>make the SASR a longer document, their use may suggest</w:t>
      </w:r>
      <w:r w:rsidR="00CB6DD7" w:rsidRPr="002E118D">
        <w:rPr>
          <w:rFonts w:asciiTheme="minorBidi" w:hAnsiTheme="minorBidi"/>
        </w:rPr>
        <w:t xml:space="preserve"> to readers</w:t>
      </w:r>
      <w:r w:rsidR="00D827AE" w:rsidRPr="002E118D">
        <w:rPr>
          <w:rFonts w:asciiTheme="minorBidi" w:hAnsiTheme="minorBidi"/>
        </w:rPr>
        <w:t xml:space="preserve"> that companies have a greater commitment to CSR than is actually the case. </w:t>
      </w:r>
      <w:r w:rsidR="00C74B64" w:rsidRPr="002E118D">
        <w:rPr>
          <w:rFonts w:asciiTheme="minorBidi" w:hAnsiTheme="minorBidi"/>
        </w:rPr>
        <w:t xml:space="preserve">However, managers felt unable to resist pressures from the CEO to use what the managers considered to be excessive blank space. </w:t>
      </w:r>
      <w:r w:rsidR="00D827AE" w:rsidRPr="002E118D">
        <w:rPr>
          <w:rFonts w:asciiTheme="minorBidi" w:hAnsiTheme="minorBidi"/>
        </w:rPr>
        <w:t xml:space="preserve">As there are no official </w:t>
      </w:r>
      <w:r w:rsidR="003537A3" w:rsidRPr="002E118D">
        <w:rPr>
          <w:rFonts w:asciiTheme="minorBidi" w:hAnsiTheme="minorBidi"/>
        </w:rPr>
        <w:t>design guidelines and requirements</w:t>
      </w:r>
      <w:r w:rsidR="00D827AE" w:rsidRPr="002E118D">
        <w:rPr>
          <w:rFonts w:asciiTheme="minorBidi" w:hAnsiTheme="minorBidi"/>
        </w:rPr>
        <w:t xml:space="preserve"> for visuals and blank space</w:t>
      </w:r>
      <w:r w:rsidR="003537A3" w:rsidRPr="002E118D">
        <w:rPr>
          <w:rFonts w:asciiTheme="minorBidi" w:hAnsiTheme="minorBidi"/>
        </w:rPr>
        <w:t>,</w:t>
      </w:r>
      <w:r w:rsidR="006F0BA9" w:rsidRPr="002E118D">
        <w:rPr>
          <w:rFonts w:asciiTheme="minorBidi" w:hAnsiTheme="minorBidi"/>
        </w:rPr>
        <w:t xml:space="preserve"> there are significant opportunities </w:t>
      </w:r>
      <w:r w:rsidR="007C7DD2" w:rsidRPr="002E118D">
        <w:rPr>
          <w:rFonts w:asciiTheme="minorBidi" w:hAnsiTheme="minorBidi"/>
        </w:rPr>
        <w:t xml:space="preserve">for using </w:t>
      </w:r>
      <w:r w:rsidR="00C82043" w:rsidRPr="002E118D">
        <w:rPr>
          <w:rFonts w:asciiTheme="minorBidi" w:hAnsiTheme="minorBidi"/>
        </w:rPr>
        <w:t xml:space="preserve">these devices </w:t>
      </w:r>
      <w:r w:rsidR="00D827AE" w:rsidRPr="002E118D">
        <w:rPr>
          <w:rFonts w:asciiTheme="minorBidi" w:hAnsiTheme="minorBidi"/>
        </w:rPr>
        <w:t xml:space="preserve">for </w:t>
      </w:r>
      <w:r w:rsidR="007C7DD2" w:rsidRPr="002E118D">
        <w:rPr>
          <w:rFonts w:asciiTheme="minorBidi" w:hAnsiTheme="minorBidi"/>
        </w:rPr>
        <w:t>symbolic</w:t>
      </w:r>
      <w:r w:rsidR="00D827AE" w:rsidRPr="002E118D">
        <w:rPr>
          <w:rFonts w:asciiTheme="minorBidi" w:hAnsiTheme="minorBidi"/>
        </w:rPr>
        <w:t xml:space="preserve"> manipulation</w:t>
      </w:r>
      <w:r w:rsidR="003F61BF" w:rsidRPr="002E118D">
        <w:rPr>
          <w:rFonts w:asciiTheme="minorBidi" w:hAnsiTheme="minorBidi"/>
        </w:rPr>
        <w:t>.</w:t>
      </w:r>
    </w:p>
    <w:p w14:paraId="19EB040C" w14:textId="0E5F887A" w:rsidR="00177D0F" w:rsidRPr="002E118D" w:rsidRDefault="00D827AE">
      <w:r w:rsidRPr="002E118D">
        <w:t xml:space="preserve">Our interviews revealed that the process of preparing SASRs is a complex one, with the reporting manager not only co-ordinating the collection of information and images from </w:t>
      </w:r>
      <w:r w:rsidR="00CB6DD7" w:rsidRPr="002E118D">
        <w:t>across</w:t>
      </w:r>
      <w:r w:rsidRPr="002E118D">
        <w:t xml:space="preserve"> the organisation but also liaising with the external designer to put together the SASR. </w:t>
      </w:r>
      <w:r w:rsidR="00343E9F" w:rsidRPr="002E118D">
        <w:t>Interviewee B7 expressed the position of the reporting manager in stark terms:</w:t>
      </w:r>
      <w:r w:rsidR="00540DD9" w:rsidRPr="002E118D">
        <w:t xml:space="preserve"> “</w:t>
      </w:r>
      <w:r w:rsidR="00540DD9" w:rsidRPr="002E118D">
        <w:rPr>
          <w:iCs/>
        </w:rPr>
        <w:t>We do not question the CEO</w:t>
      </w:r>
      <w:r w:rsidR="00C74B64" w:rsidRPr="002E118D">
        <w:rPr>
          <w:iCs/>
        </w:rPr>
        <w:t>’</w:t>
      </w:r>
      <w:r w:rsidR="00540DD9" w:rsidRPr="002E118D">
        <w:rPr>
          <w:iCs/>
        </w:rPr>
        <w:t xml:space="preserve">s reporting strategy as </w:t>
      </w:r>
      <w:r w:rsidR="00343E9F" w:rsidRPr="002E118D">
        <w:rPr>
          <w:iCs/>
        </w:rPr>
        <w:t xml:space="preserve">the </w:t>
      </w:r>
      <w:r w:rsidR="00540DD9" w:rsidRPr="002E118D">
        <w:rPr>
          <w:iCs/>
        </w:rPr>
        <w:t>CEO know</w:t>
      </w:r>
      <w:r w:rsidR="00343E9F" w:rsidRPr="002E118D">
        <w:rPr>
          <w:iCs/>
        </w:rPr>
        <w:t>s</w:t>
      </w:r>
      <w:r w:rsidR="00540DD9" w:rsidRPr="002E118D">
        <w:rPr>
          <w:iCs/>
        </w:rPr>
        <w:t xml:space="preserve"> what is best for the organisation</w:t>
      </w:r>
      <w:r w:rsidR="00343E9F" w:rsidRPr="002E118D">
        <w:rPr>
          <w:iCs/>
        </w:rPr>
        <w:t>’s</w:t>
      </w:r>
      <w:r w:rsidR="00540DD9" w:rsidRPr="002E118D">
        <w:rPr>
          <w:iCs/>
        </w:rPr>
        <w:t xml:space="preserve"> future</w:t>
      </w:r>
      <w:r w:rsidR="00343E9F" w:rsidRPr="002E118D">
        <w:rPr>
          <w:iCs/>
        </w:rPr>
        <w:t>.</w:t>
      </w:r>
      <w:r w:rsidR="00540DD9" w:rsidRPr="002E118D">
        <w:t xml:space="preserve">” </w:t>
      </w:r>
      <w:r w:rsidR="00343E9F" w:rsidRPr="002E118D">
        <w:t xml:space="preserve">Other interviewees were also reluctant to question the CEO’s strategy once it had </w:t>
      </w:r>
      <w:r w:rsidR="00343E9F" w:rsidRPr="002E118D">
        <w:lastRenderedPageBreak/>
        <w:t xml:space="preserve">been communicated to them and they had </w:t>
      </w:r>
      <w:r w:rsidRPr="002E118D">
        <w:t xml:space="preserve">internalised </w:t>
      </w:r>
      <w:r w:rsidR="00343E9F" w:rsidRPr="002E118D">
        <w:t>it</w:t>
      </w:r>
      <w:r w:rsidRPr="002E118D">
        <w:t>. It does not in the end matter how much research the reporting manager</w:t>
      </w:r>
      <w:r w:rsidR="003F61BF" w:rsidRPr="002E118D">
        <w:t xml:space="preserve">s </w:t>
      </w:r>
      <w:r w:rsidRPr="002E118D">
        <w:t xml:space="preserve">undertake with internal and external stakeholders, what drives the </w:t>
      </w:r>
      <w:r w:rsidR="00343E9F" w:rsidRPr="002E118D">
        <w:t xml:space="preserve">form and </w:t>
      </w:r>
      <w:r w:rsidRPr="002E118D">
        <w:t xml:space="preserve">content of the SASR is the CEO’s preferences. These may be explained in terms of </w:t>
      </w:r>
      <w:r w:rsidR="00652ED0" w:rsidRPr="002E118D">
        <w:t xml:space="preserve">legitimacy or the CEO’s desire to maximise remuneration that may be dependent on CSR performance, but the important insight of this paper is that, at the level at which the SASR is actually produced, it is not the knowledge and attitudes of the </w:t>
      </w:r>
      <w:r w:rsidR="00343E9F" w:rsidRPr="002E118D">
        <w:t>“</w:t>
      </w:r>
      <w:r w:rsidR="00652ED0" w:rsidRPr="002E118D">
        <w:t>expert</w:t>
      </w:r>
      <w:r w:rsidR="00343E9F" w:rsidRPr="002E118D">
        <w:t>”</w:t>
      </w:r>
      <w:r w:rsidR="00652ED0" w:rsidRPr="002E118D">
        <w:t xml:space="preserve"> – the reporting manager – that dominate but rather the strategies of the CEO. Hence, reporting managers</w:t>
      </w:r>
      <w:r w:rsidR="00CB6DD7" w:rsidRPr="002E118D">
        <w:t xml:space="preserve"> </w:t>
      </w:r>
      <w:r w:rsidR="00343E9F" w:rsidRPr="002E118D">
        <w:t xml:space="preserve">feel that they </w:t>
      </w:r>
      <w:r w:rsidR="00CB6DD7" w:rsidRPr="002E118D">
        <w:t>have</w:t>
      </w:r>
      <w:r w:rsidR="00652ED0" w:rsidRPr="002E118D">
        <w:t xml:space="preserve"> no option, if they want to preserve their jobs, other than internalising and enacting the CEO’s strategies. </w:t>
      </w:r>
      <w:r w:rsidR="0081738C" w:rsidRPr="002E118D">
        <w:t xml:space="preserve">An implication of our findings is that research that attempts to explain variations in social and environmental reporting by reference to the personal characteristics and remuneration packages of CEOs is making use of relevant variables. Even if the CEO does not personally write the SASR, the document is, in most organisations, likely to be </w:t>
      </w:r>
      <w:r w:rsidR="004C19D2">
        <w:t>prepared</w:t>
      </w:r>
      <w:r w:rsidR="004C19D2" w:rsidRPr="002E118D">
        <w:t xml:space="preserve"> </w:t>
      </w:r>
      <w:r w:rsidR="0081738C" w:rsidRPr="002E118D">
        <w:t xml:space="preserve">in line with the CEO’s expectations. </w:t>
      </w:r>
    </w:p>
    <w:p w14:paraId="4FE2A48F" w14:textId="1912A645" w:rsidR="00A014B2" w:rsidRPr="002E118D" w:rsidRDefault="00A014B2" w:rsidP="00BA12C2">
      <w:pPr>
        <w:pStyle w:val="Heading1"/>
      </w:pPr>
      <w:r w:rsidRPr="002E118D">
        <w:t xml:space="preserve">Conclusions </w:t>
      </w:r>
    </w:p>
    <w:p w14:paraId="706F352B" w14:textId="28BD19A9" w:rsidR="00652ED0" w:rsidRPr="002E118D" w:rsidRDefault="00A014B2">
      <w:pPr>
        <w:rPr>
          <w:rFonts w:asciiTheme="minorBidi" w:hAnsiTheme="minorBidi"/>
        </w:rPr>
      </w:pPr>
      <w:r w:rsidRPr="002E118D">
        <w:rPr>
          <w:rFonts w:asciiTheme="minorBidi" w:hAnsiTheme="minorBidi"/>
        </w:rPr>
        <w:t xml:space="preserve">By interviewing </w:t>
      </w:r>
      <w:r w:rsidR="00597E6C" w:rsidRPr="002E118D">
        <w:rPr>
          <w:rFonts w:asciiTheme="minorBidi" w:hAnsiTheme="minorBidi"/>
        </w:rPr>
        <w:t>managers responsible for the</w:t>
      </w:r>
      <w:r w:rsidRPr="002E118D">
        <w:rPr>
          <w:rFonts w:asciiTheme="minorBidi" w:hAnsiTheme="minorBidi"/>
        </w:rPr>
        <w:t xml:space="preserve"> preparation of SASRs, </w:t>
      </w:r>
      <w:r w:rsidR="009770D1">
        <w:rPr>
          <w:rFonts w:asciiTheme="minorBidi" w:hAnsiTheme="minorBidi"/>
        </w:rPr>
        <w:t>we have</w:t>
      </w:r>
      <w:r w:rsidRPr="002E118D">
        <w:rPr>
          <w:rFonts w:asciiTheme="minorBidi" w:hAnsiTheme="minorBidi"/>
        </w:rPr>
        <w:t xml:space="preserve"> provided useful empirical evidence relating to the issues involved in compiling these reports. The </w:t>
      </w:r>
      <w:r w:rsidR="00E46677" w:rsidRPr="002E118D">
        <w:rPr>
          <w:rFonts w:asciiTheme="minorBidi" w:hAnsiTheme="minorBidi"/>
        </w:rPr>
        <w:t xml:space="preserve">typical </w:t>
      </w:r>
      <w:r w:rsidRPr="002E118D">
        <w:rPr>
          <w:rFonts w:asciiTheme="minorBidi" w:hAnsiTheme="minorBidi"/>
        </w:rPr>
        <w:t>findings are summarised in Table 2</w:t>
      </w:r>
      <w:r w:rsidR="00E46677" w:rsidRPr="002E118D">
        <w:rPr>
          <w:rFonts w:asciiTheme="minorBidi" w:hAnsiTheme="minorBidi"/>
        </w:rPr>
        <w:t>; the exceptional responses of interviewee B5, who commented that the CEO in the interviewee’s organisation was uninterested in sustainability, have not been separately identified.</w:t>
      </w:r>
    </w:p>
    <w:p w14:paraId="77744BEE" w14:textId="7394B108" w:rsidR="00A014B2" w:rsidRPr="002E118D" w:rsidRDefault="00A014B2">
      <w:pPr>
        <w:keepNext/>
        <w:rPr>
          <w:rFonts w:asciiTheme="minorBidi" w:hAnsiTheme="minorBidi"/>
          <w:b/>
        </w:rPr>
      </w:pPr>
      <w:r w:rsidRPr="002E118D">
        <w:rPr>
          <w:rFonts w:asciiTheme="minorBidi" w:hAnsiTheme="minorBidi"/>
          <w:b/>
        </w:rPr>
        <w:t xml:space="preserve">Table </w:t>
      </w:r>
      <w:r w:rsidR="00D94FEC" w:rsidRPr="002E118D">
        <w:rPr>
          <w:rFonts w:asciiTheme="minorBidi" w:hAnsiTheme="minorBidi"/>
          <w:b/>
          <w:noProof/>
        </w:rPr>
        <w:t>2</w:t>
      </w:r>
      <w:r w:rsidRPr="002E118D">
        <w:rPr>
          <w:rFonts w:asciiTheme="minorBidi" w:hAnsiTheme="minorBidi"/>
          <w:b/>
        </w:rPr>
        <w:t>: Summary of empirical findings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661"/>
        <w:gridCol w:w="2143"/>
        <w:gridCol w:w="5736"/>
      </w:tblGrid>
      <w:tr w:rsidR="002E118D" w:rsidRPr="002E118D" w14:paraId="7375FC00" w14:textId="77777777" w:rsidTr="002540F5">
        <w:trPr>
          <w:trHeight w:val="187"/>
        </w:trPr>
        <w:tc>
          <w:tcPr>
            <w:tcW w:w="0" w:type="auto"/>
            <w:tcBorders>
              <w:top w:val="single" w:sz="4" w:space="0" w:color="auto"/>
              <w:bottom w:val="single" w:sz="4" w:space="0" w:color="auto"/>
            </w:tcBorders>
          </w:tcPr>
          <w:p w14:paraId="55258C4B" w14:textId="5ACE9B79" w:rsidR="006753B5" w:rsidRPr="008060B4" w:rsidRDefault="006753B5" w:rsidP="008060B4">
            <w:pPr>
              <w:pStyle w:val="Tabletext"/>
              <w:rPr>
                <w:b/>
              </w:rPr>
            </w:pPr>
            <w:r w:rsidRPr="008060B4">
              <w:rPr>
                <w:b/>
              </w:rPr>
              <w:t>RQ</w:t>
            </w:r>
          </w:p>
        </w:tc>
        <w:tc>
          <w:tcPr>
            <w:tcW w:w="0" w:type="auto"/>
            <w:tcBorders>
              <w:top w:val="single" w:sz="4" w:space="0" w:color="auto"/>
              <w:bottom w:val="single" w:sz="4" w:space="0" w:color="auto"/>
            </w:tcBorders>
            <w:tcMar>
              <w:top w:w="144" w:type="dxa"/>
              <w:left w:w="115" w:type="dxa"/>
              <w:bottom w:w="144" w:type="dxa"/>
              <w:right w:w="115" w:type="dxa"/>
            </w:tcMar>
          </w:tcPr>
          <w:p w14:paraId="4391CE64" w14:textId="432F62FF" w:rsidR="006753B5" w:rsidRPr="008060B4" w:rsidRDefault="006753B5" w:rsidP="008060B4">
            <w:pPr>
              <w:pStyle w:val="Tabletext"/>
              <w:rPr>
                <w:b/>
              </w:rPr>
            </w:pPr>
            <w:r w:rsidRPr="008060B4">
              <w:rPr>
                <w:b/>
              </w:rPr>
              <w:t>Sect.</w:t>
            </w:r>
          </w:p>
        </w:tc>
        <w:tc>
          <w:tcPr>
            <w:tcW w:w="0" w:type="auto"/>
            <w:tcBorders>
              <w:top w:val="single" w:sz="4" w:space="0" w:color="auto"/>
              <w:bottom w:val="single" w:sz="4" w:space="0" w:color="auto"/>
            </w:tcBorders>
            <w:tcMar>
              <w:top w:w="144" w:type="dxa"/>
              <w:left w:w="115" w:type="dxa"/>
              <w:bottom w:w="144" w:type="dxa"/>
              <w:right w:w="115" w:type="dxa"/>
            </w:tcMar>
          </w:tcPr>
          <w:p w14:paraId="4BA79F94" w14:textId="77777777" w:rsidR="006753B5" w:rsidRPr="008060B4" w:rsidRDefault="006753B5" w:rsidP="008060B4">
            <w:pPr>
              <w:pStyle w:val="Tabletext"/>
              <w:rPr>
                <w:b/>
              </w:rPr>
            </w:pPr>
            <w:r w:rsidRPr="008060B4">
              <w:rPr>
                <w:b/>
              </w:rPr>
              <w:t>Topic</w:t>
            </w:r>
          </w:p>
        </w:tc>
        <w:tc>
          <w:tcPr>
            <w:tcW w:w="0" w:type="auto"/>
            <w:tcBorders>
              <w:top w:val="single" w:sz="4" w:space="0" w:color="auto"/>
              <w:bottom w:val="single" w:sz="4" w:space="0" w:color="auto"/>
            </w:tcBorders>
            <w:tcMar>
              <w:top w:w="144" w:type="dxa"/>
              <w:left w:w="115" w:type="dxa"/>
              <w:bottom w:w="144" w:type="dxa"/>
              <w:right w:w="115" w:type="dxa"/>
            </w:tcMar>
          </w:tcPr>
          <w:p w14:paraId="78A1D504" w14:textId="18C81171" w:rsidR="006753B5" w:rsidRPr="008060B4" w:rsidRDefault="00E46677" w:rsidP="008060B4">
            <w:pPr>
              <w:pStyle w:val="Tabletext"/>
              <w:rPr>
                <w:b/>
              </w:rPr>
            </w:pPr>
            <w:r w:rsidRPr="008060B4">
              <w:rPr>
                <w:b/>
              </w:rPr>
              <w:t>Typical f</w:t>
            </w:r>
            <w:r w:rsidR="006753B5" w:rsidRPr="008060B4">
              <w:rPr>
                <w:b/>
              </w:rPr>
              <w:t>indings</w:t>
            </w:r>
          </w:p>
        </w:tc>
      </w:tr>
      <w:tr w:rsidR="002E118D" w:rsidRPr="002E118D" w14:paraId="2D616897" w14:textId="77777777" w:rsidTr="002540F5">
        <w:trPr>
          <w:trHeight w:val="362"/>
        </w:trPr>
        <w:tc>
          <w:tcPr>
            <w:tcW w:w="0" w:type="auto"/>
            <w:tcBorders>
              <w:top w:val="single" w:sz="4" w:space="0" w:color="auto"/>
            </w:tcBorders>
          </w:tcPr>
          <w:p w14:paraId="0CD7E741" w14:textId="0BF5BC03" w:rsidR="006753B5" w:rsidRPr="008060B4" w:rsidRDefault="006753B5" w:rsidP="00CD20F6">
            <w:pPr>
              <w:pStyle w:val="Tabletext"/>
            </w:pPr>
            <w:r w:rsidRPr="008060B4">
              <w:t>1.1</w:t>
            </w:r>
          </w:p>
        </w:tc>
        <w:tc>
          <w:tcPr>
            <w:tcW w:w="0" w:type="auto"/>
            <w:tcBorders>
              <w:top w:val="single" w:sz="4" w:space="0" w:color="auto"/>
            </w:tcBorders>
            <w:tcMar>
              <w:top w:w="144" w:type="dxa"/>
              <w:left w:w="115" w:type="dxa"/>
              <w:bottom w:w="144" w:type="dxa"/>
              <w:right w:w="115" w:type="dxa"/>
            </w:tcMar>
          </w:tcPr>
          <w:p w14:paraId="10518E74" w14:textId="1C83F197" w:rsidR="006753B5" w:rsidRPr="008060B4" w:rsidRDefault="006753B5" w:rsidP="00CD20F6">
            <w:pPr>
              <w:pStyle w:val="Tabletext"/>
            </w:pPr>
            <w:r w:rsidRPr="008060B4">
              <w:t>5.1</w:t>
            </w:r>
          </w:p>
        </w:tc>
        <w:tc>
          <w:tcPr>
            <w:tcW w:w="0" w:type="auto"/>
            <w:tcBorders>
              <w:top w:val="single" w:sz="4" w:space="0" w:color="auto"/>
            </w:tcBorders>
            <w:tcMar>
              <w:top w:w="144" w:type="dxa"/>
              <w:left w:w="115" w:type="dxa"/>
              <w:bottom w:w="144" w:type="dxa"/>
              <w:right w:w="115" w:type="dxa"/>
            </w:tcMar>
          </w:tcPr>
          <w:p w14:paraId="23D2B4C2" w14:textId="77777777" w:rsidR="006753B5" w:rsidRPr="008060B4" w:rsidRDefault="006753B5" w:rsidP="00CD20F6">
            <w:pPr>
              <w:pStyle w:val="Tabletext"/>
            </w:pPr>
            <w:r w:rsidRPr="008060B4">
              <w:t>Responsibility for preparation</w:t>
            </w:r>
          </w:p>
        </w:tc>
        <w:tc>
          <w:tcPr>
            <w:tcW w:w="0" w:type="auto"/>
            <w:tcBorders>
              <w:top w:val="single" w:sz="4" w:space="0" w:color="auto"/>
            </w:tcBorders>
            <w:tcMar>
              <w:top w:w="144" w:type="dxa"/>
              <w:left w:w="115" w:type="dxa"/>
              <w:bottom w:w="144" w:type="dxa"/>
              <w:right w:w="115" w:type="dxa"/>
            </w:tcMar>
          </w:tcPr>
          <w:p w14:paraId="656D4E4A" w14:textId="36EFBE93" w:rsidR="006753B5" w:rsidRPr="008060B4" w:rsidRDefault="006753B5" w:rsidP="00CD20F6">
            <w:pPr>
              <w:pStyle w:val="Tabletext"/>
            </w:pPr>
            <w:r w:rsidRPr="008060B4">
              <w:t>Mainly communications departments and external designers</w:t>
            </w:r>
            <w:r w:rsidR="00780A08" w:rsidRPr="008060B4">
              <w:t>.</w:t>
            </w:r>
          </w:p>
        </w:tc>
      </w:tr>
      <w:tr w:rsidR="002E118D" w:rsidRPr="002E118D" w14:paraId="2C73919C" w14:textId="77777777" w:rsidTr="002540F5">
        <w:trPr>
          <w:trHeight w:val="362"/>
        </w:trPr>
        <w:tc>
          <w:tcPr>
            <w:tcW w:w="0" w:type="auto"/>
          </w:tcPr>
          <w:p w14:paraId="1BD5E6FA" w14:textId="6D3A7DBA" w:rsidR="006753B5" w:rsidRPr="008060B4" w:rsidRDefault="006753B5" w:rsidP="00CD20F6">
            <w:pPr>
              <w:pStyle w:val="Tabletext"/>
            </w:pPr>
            <w:r w:rsidRPr="008060B4">
              <w:t>1.2</w:t>
            </w:r>
          </w:p>
        </w:tc>
        <w:tc>
          <w:tcPr>
            <w:tcW w:w="0" w:type="auto"/>
            <w:tcMar>
              <w:top w:w="144" w:type="dxa"/>
              <w:left w:w="115" w:type="dxa"/>
              <w:bottom w:w="144" w:type="dxa"/>
              <w:right w:w="115" w:type="dxa"/>
            </w:tcMar>
          </w:tcPr>
          <w:p w14:paraId="2FA66BFD" w14:textId="3A96274A" w:rsidR="006753B5" w:rsidRPr="008060B4" w:rsidRDefault="006753B5" w:rsidP="00CD20F6">
            <w:pPr>
              <w:pStyle w:val="Tabletext"/>
            </w:pPr>
            <w:r w:rsidRPr="008060B4">
              <w:t>5.</w:t>
            </w:r>
            <w:r w:rsidR="002452BC" w:rsidRPr="008060B4">
              <w:t>1</w:t>
            </w:r>
          </w:p>
        </w:tc>
        <w:tc>
          <w:tcPr>
            <w:tcW w:w="0" w:type="auto"/>
            <w:tcMar>
              <w:top w:w="144" w:type="dxa"/>
              <w:left w:w="115" w:type="dxa"/>
              <w:bottom w:w="144" w:type="dxa"/>
              <w:right w:w="115" w:type="dxa"/>
            </w:tcMar>
          </w:tcPr>
          <w:p w14:paraId="1E8991A1" w14:textId="49BC4A2A" w:rsidR="006753B5" w:rsidRPr="008060B4" w:rsidRDefault="006753B5" w:rsidP="00CD20F6">
            <w:pPr>
              <w:pStyle w:val="Tabletext"/>
            </w:pPr>
            <w:r w:rsidRPr="008060B4">
              <w:t xml:space="preserve">Time taken, number of people involved, and cost </w:t>
            </w:r>
          </w:p>
        </w:tc>
        <w:tc>
          <w:tcPr>
            <w:tcW w:w="0" w:type="auto"/>
            <w:tcMar>
              <w:top w:w="144" w:type="dxa"/>
              <w:left w:w="115" w:type="dxa"/>
              <w:bottom w:w="144" w:type="dxa"/>
              <w:right w:w="115" w:type="dxa"/>
            </w:tcMar>
          </w:tcPr>
          <w:p w14:paraId="1EA49EFA" w14:textId="266EDC14" w:rsidR="006753B5" w:rsidRPr="008060B4" w:rsidRDefault="006753B5" w:rsidP="00CD20F6">
            <w:pPr>
              <w:pStyle w:val="Tabletext"/>
            </w:pPr>
            <w:r w:rsidRPr="008060B4">
              <w:t>At least six months to prepare SASRs, with around 25 to 30 up to as many as 500 involved. Annual direct cost from £100,000 to £500,000</w:t>
            </w:r>
            <w:r w:rsidR="00780A08" w:rsidRPr="008060B4">
              <w:t>.</w:t>
            </w:r>
            <w:r w:rsidRPr="008060B4">
              <w:t xml:space="preserve"> </w:t>
            </w:r>
          </w:p>
        </w:tc>
      </w:tr>
      <w:tr w:rsidR="002E118D" w:rsidRPr="002E118D" w14:paraId="0CC81380" w14:textId="77777777" w:rsidTr="002540F5">
        <w:trPr>
          <w:trHeight w:val="187"/>
        </w:trPr>
        <w:tc>
          <w:tcPr>
            <w:tcW w:w="0" w:type="auto"/>
          </w:tcPr>
          <w:p w14:paraId="6D65E41F" w14:textId="1FBD944D" w:rsidR="00634CFF" w:rsidRPr="008060B4" w:rsidRDefault="00634CFF" w:rsidP="00CD20F6">
            <w:pPr>
              <w:pStyle w:val="Tabletext"/>
            </w:pPr>
            <w:r w:rsidRPr="008060B4">
              <w:t>2</w:t>
            </w:r>
          </w:p>
        </w:tc>
        <w:tc>
          <w:tcPr>
            <w:tcW w:w="0" w:type="auto"/>
            <w:tcMar>
              <w:top w:w="144" w:type="dxa"/>
              <w:left w:w="115" w:type="dxa"/>
              <w:bottom w:w="144" w:type="dxa"/>
              <w:right w:w="115" w:type="dxa"/>
            </w:tcMar>
          </w:tcPr>
          <w:p w14:paraId="78ED6C80" w14:textId="2D6E1C06" w:rsidR="00634CFF" w:rsidRPr="008060B4" w:rsidRDefault="00634CFF" w:rsidP="00CD20F6">
            <w:pPr>
              <w:pStyle w:val="Tabletext"/>
            </w:pPr>
            <w:r w:rsidRPr="008060B4">
              <w:t>5.</w:t>
            </w:r>
            <w:r w:rsidR="002452BC" w:rsidRPr="008060B4">
              <w:t>2</w:t>
            </w:r>
          </w:p>
        </w:tc>
        <w:tc>
          <w:tcPr>
            <w:tcW w:w="0" w:type="auto"/>
            <w:tcMar>
              <w:top w:w="144" w:type="dxa"/>
              <w:left w:w="115" w:type="dxa"/>
              <w:bottom w:w="144" w:type="dxa"/>
              <w:right w:w="115" w:type="dxa"/>
            </w:tcMar>
          </w:tcPr>
          <w:p w14:paraId="4768526D" w14:textId="775672EE" w:rsidR="00634CFF" w:rsidRPr="008060B4" w:rsidRDefault="00634CFF" w:rsidP="00CD20F6">
            <w:pPr>
              <w:pStyle w:val="Tabletext"/>
            </w:pPr>
            <w:r w:rsidRPr="008060B4">
              <w:t xml:space="preserve">Role of the </w:t>
            </w:r>
            <w:r w:rsidR="00780A08" w:rsidRPr="008060B4">
              <w:t xml:space="preserve">CEO and the </w:t>
            </w:r>
            <w:r w:rsidRPr="008060B4">
              <w:t xml:space="preserve">reporting manager </w:t>
            </w:r>
          </w:p>
        </w:tc>
        <w:tc>
          <w:tcPr>
            <w:tcW w:w="0" w:type="auto"/>
            <w:tcMar>
              <w:top w:w="144" w:type="dxa"/>
              <w:left w:w="115" w:type="dxa"/>
              <w:bottom w:w="144" w:type="dxa"/>
              <w:right w:w="115" w:type="dxa"/>
            </w:tcMar>
          </w:tcPr>
          <w:p w14:paraId="082EF70B" w14:textId="74DAF082" w:rsidR="00634CFF" w:rsidRPr="008060B4" w:rsidRDefault="00634CFF" w:rsidP="00CD20F6">
            <w:pPr>
              <w:pStyle w:val="Tabletext"/>
            </w:pPr>
            <w:r w:rsidRPr="008060B4">
              <w:t>CEO sets reporting strategy, approves and authorises the reports</w:t>
            </w:r>
            <w:r w:rsidR="00780A08" w:rsidRPr="008060B4">
              <w:t xml:space="preserve">. Reporting manager collects data, micro-manages the process of SASRs and works towards advancing the CEO’s reporting strategy. </w:t>
            </w:r>
          </w:p>
        </w:tc>
      </w:tr>
      <w:tr w:rsidR="002E118D" w:rsidRPr="002E118D" w14:paraId="05C34BF3" w14:textId="77777777" w:rsidTr="00453E41">
        <w:trPr>
          <w:trHeight w:val="187"/>
        </w:trPr>
        <w:tc>
          <w:tcPr>
            <w:tcW w:w="0" w:type="auto"/>
          </w:tcPr>
          <w:p w14:paraId="11F406FF" w14:textId="595B10C4" w:rsidR="006753B5" w:rsidRPr="008060B4" w:rsidRDefault="00634CFF" w:rsidP="00CD20F6">
            <w:pPr>
              <w:pStyle w:val="Tabletext"/>
            </w:pPr>
            <w:r w:rsidRPr="008060B4">
              <w:t>3</w:t>
            </w:r>
          </w:p>
        </w:tc>
        <w:tc>
          <w:tcPr>
            <w:tcW w:w="0" w:type="auto"/>
            <w:tcMar>
              <w:top w:w="144" w:type="dxa"/>
              <w:left w:w="115" w:type="dxa"/>
              <w:bottom w:w="144" w:type="dxa"/>
              <w:right w:w="115" w:type="dxa"/>
            </w:tcMar>
          </w:tcPr>
          <w:p w14:paraId="59BD121E" w14:textId="7435D95C" w:rsidR="006753B5" w:rsidRPr="008060B4" w:rsidRDefault="006753B5" w:rsidP="00CD20F6">
            <w:pPr>
              <w:pStyle w:val="Tabletext"/>
            </w:pPr>
            <w:r w:rsidRPr="008060B4">
              <w:t>5.</w:t>
            </w:r>
            <w:r w:rsidR="002452BC" w:rsidRPr="008060B4">
              <w:t>3</w:t>
            </w:r>
          </w:p>
        </w:tc>
        <w:tc>
          <w:tcPr>
            <w:tcW w:w="0" w:type="auto"/>
            <w:tcMar>
              <w:top w:w="144" w:type="dxa"/>
              <w:left w:w="115" w:type="dxa"/>
              <w:bottom w:w="144" w:type="dxa"/>
              <w:right w:w="115" w:type="dxa"/>
            </w:tcMar>
          </w:tcPr>
          <w:p w14:paraId="456CEC8E" w14:textId="5BDE268B" w:rsidR="006753B5" w:rsidRPr="008060B4" w:rsidRDefault="006753B5" w:rsidP="00CD20F6">
            <w:pPr>
              <w:pStyle w:val="Tabletext"/>
            </w:pPr>
            <w:r w:rsidRPr="008060B4">
              <w:t>Reasons for using visuals</w:t>
            </w:r>
          </w:p>
        </w:tc>
        <w:tc>
          <w:tcPr>
            <w:tcW w:w="0" w:type="auto"/>
            <w:tcMar>
              <w:top w:w="144" w:type="dxa"/>
              <w:left w:w="115" w:type="dxa"/>
              <w:bottom w:w="144" w:type="dxa"/>
              <w:right w:w="115" w:type="dxa"/>
            </w:tcMar>
          </w:tcPr>
          <w:p w14:paraId="7EBBCD63" w14:textId="29064D93" w:rsidR="006753B5" w:rsidRPr="008060B4" w:rsidRDefault="00F07EA3" w:rsidP="00CD20F6">
            <w:pPr>
              <w:pStyle w:val="Tabletext"/>
            </w:pPr>
            <w:r w:rsidRPr="008060B4">
              <w:t>Visuals focus attention, tell stories, and make information interesting and memorable.</w:t>
            </w:r>
          </w:p>
        </w:tc>
      </w:tr>
      <w:tr w:rsidR="006753B5" w:rsidRPr="002E118D" w14:paraId="12116F37" w14:textId="77777777" w:rsidTr="008060B4">
        <w:trPr>
          <w:trHeight w:val="187"/>
        </w:trPr>
        <w:tc>
          <w:tcPr>
            <w:tcW w:w="0" w:type="auto"/>
            <w:tcBorders>
              <w:bottom w:val="single" w:sz="4" w:space="0" w:color="auto"/>
            </w:tcBorders>
          </w:tcPr>
          <w:p w14:paraId="325F76B5" w14:textId="71DAB72C" w:rsidR="006753B5" w:rsidRPr="008060B4" w:rsidRDefault="00634CFF" w:rsidP="00CD20F6">
            <w:pPr>
              <w:pStyle w:val="Tabletext"/>
            </w:pPr>
            <w:r w:rsidRPr="008060B4">
              <w:t>4</w:t>
            </w:r>
          </w:p>
        </w:tc>
        <w:tc>
          <w:tcPr>
            <w:tcW w:w="0" w:type="auto"/>
            <w:tcBorders>
              <w:bottom w:val="single" w:sz="4" w:space="0" w:color="auto"/>
            </w:tcBorders>
            <w:tcMar>
              <w:top w:w="144" w:type="dxa"/>
              <w:left w:w="115" w:type="dxa"/>
              <w:bottom w:w="144" w:type="dxa"/>
              <w:right w:w="115" w:type="dxa"/>
            </w:tcMar>
          </w:tcPr>
          <w:p w14:paraId="1359D6B2" w14:textId="50E08DB1" w:rsidR="006753B5" w:rsidRPr="008060B4" w:rsidRDefault="006753B5" w:rsidP="00CD20F6">
            <w:pPr>
              <w:pStyle w:val="Tabletext"/>
            </w:pPr>
            <w:r w:rsidRPr="008060B4">
              <w:t>5.</w:t>
            </w:r>
            <w:r w:rsidR="002452BC" w:rsidRPr="008060B4">
              <w:t>4</w:t>
            </w:r>
          </w:p>
        </w:tc>
        <w:tc>
          <w:tcPr>
            <w:tcW w:w="0" w:type="auto"/>
            <w:tcBorders>
              <w:bottom w:val="single" w:sz="4" w:space="0" w:color="auto"/>
            </w:tcBorders>
            <w:tcMar>
              <w:top w:w="144" w:type="dxa"/>
              <w:left w:w="115" w:type="dxa"/>
              <w:bottom w:w="144" w:type="dxa"/>
              <w:right w:w="115" w:type="dxa"/>
            </w:tcMar>
          </w:tcPr>
          <w:p w14:paraId="788E3570" w14:textId="5CA2C3B8" w:rsidR="006753B5" w:rsidRPr="008060B4" w:rsidRDefault="00CA2136" w:rsidP="00CD20F6">
            <w:pPr>
              <w:pStyle w:val="Tabletext"/>
            </w:pPr>
            <w:r w:rsidRPr="008060B4">
              <w:t>Reasons for using blank space</w:t>
            </w:r>
          </w:p>
        </w:tc>
        <w:tc>
          <w:tcPr>
            <w:tcW w:w="0" w:type="auto"/>
            <w:tcBorders>
              <w:bottom w:val="single" w:sz="4" w:space="0" w:color="auto"/>
            </w:tcBorders>
            <w:tcMar>
              <w:top w:w="144" w:type="dxa"/>
              <w:left w:w="115" w:type="dxa"/>
              <w:bottom w:w="144" w:type="dxa"/>
              <w:right w:w="115" w:type="dxa"/>
            </w:tcMar>
          </w:tcPr>
          <w:p w14:paraId="02A51489" w14:textId="0E498E96" w:rsidR="006753B5" w:rsidRPr="008060B4" w:rsidRDefault="00F07EA3" w:rsidP="00CD20F6">
            <w:pPr>
              <w:pStyle w:val="Tabletext"/>
            </w:pPr>
            <w:r w:rsidRPr="008060B4">
              <w:t>Assists readability and</w:t>
            </w:r>
            <w:r w:rsidR="00CA2136" w:rsidRPr="008060B4">
              <w:t xml:space="preserve"> </w:t>
            </w:r>
            <w:r w:rsidRPr="008060B4">
              <w:t>makes</w:t>
            </w:r>
            <w:r w:rsidR="00CA2136" w:rsidRPr="008060B4">
              <w:t xml:space="preserve"> information stand out in a visually appealing way</w:t>
            </w:r>
            <w:r w:rsidR="00780A08" w:rsidRPr="008060B4">
              <w:t>.</w:t>
            </w:r>
          </w:p>
        </w:tc>
      </w:tr>
    </w:tbl>
    <w:p w14:paraId="58EC5F5C" w14:textId="77777777" w:rsidR="00A014B2" w:rsidRPr="002E118D" w:rsidRDefault="00A014B2">
      <w:pPr>
        <w:spacing w:line="480" w:lineRule="auto"/>
        <w:rPr>
          <w:rFonts w:asciiTheme="minorBidi" w:hAnsiTheme="minorBidi"/>
        </w:rPr>
      </w:pPr>
    </w:p>
    <w:p w14:paraId="7F133BFD" w14:textId="6A76CFFA" w:rsidR="00A014B2" w:rsidRPr="002E118D" w:rsidRDefault="00A014B2">
      <w:pPr>
        <w:rPr>
          <w:rFonts w:asciiTheme="minorBidi" w:hAnsiTheme="minorBidi"/>
        </w:rPr>
      </w:pPr>
      <w:r w:rsidRPr="002E118D">
        <w:rPr>
          <w:rFonts w:asciiTheme="minorBidi" w:hAnsiTheme="minorBidi"/>
        </w:rPr>
        <w:lastRenderedPageBreak/>
        <w:t xml:space="preserve">Some findings are particularly interesting. For example, respondents emphasised that the accounting department was usually not involved in the preparations of SASRs, other than </w:t>
      </w:r>
      <w:r w:rsidR="003249E9" w:rsidRPr="002E118D">
        <w:rPr>
          <w:rFonts w:asciiTheme="minorBidi" w:hAnsiTheme="minorBidi"/>
        </w:rPr>
        <w:t>verifying cost</w:t>
      </w:r>
      <w:r w:rsidR="00597E6C" w:rsidRPr="002E118D">
        <w:rPr>
          <w:rFonts w:asciiTheme="minorBidi" w:hAnsiTheme="minorBidi"/>
        </w:rPr>
        <w:t>s</w:t>
      </w:r>
      <w:r w:rsidR="003249E9" w:rsidRPr="002E118D">
        <w:rPr>
          <w:rFonts w:asciiTheme="minorBidi" w:hAnsiTheme="minorBidi"/>
        </w:rPr>
        <w:t xml:space="preserve"> associated with </w:t>
      </w:r>
      <w:r w:rsidR="00597E6C" w:rsidRPr="002E118D">
        <w:rPr>
          <w:rFonts w:asciiTheme="minorBidi" w:hAnsiTheme="minorBidi"/>
        </w:rPr>
        <w:t xml:space="preserve">producing the </w:t>
      </w:r>
      <w:r w:rsidR="003249E9" w:rsidRPr="002E118D">
        <w:rPr>
          <w:rFonts w:asciiTheme="minorBidi" w:hAnsiTheme="minorBidi"/>
        </w:rPr>
        <w:t>SASRs</w:t>
      </w:r>
      <w:r w:rsidRPr="002E118D">
        <w:rPr>
          <w:rFonts w:asciiTheme="minorBidi" w:hAnsiTheme="minorBidi"/>
        </w:rPr>
        <w:t xml:space="preserve">. </w:t>
      </w:r>
    </w:p>
    <w:p w14:paraId="05DE02C7" w14:textId="25338C84" w:rsidR="00A014B2" w:rsidRPr="002E118D" w:rsidRDefault="00A014B2" w:rsidP="002540F5">
      <w:pPr>
        <w:rPr>
          <w:rFonts w:asciiTheme="minorBidi" w:hAnsiTheme="minorBidi"/>
        </w:rPr>
      </w:pPr>
      <w:r w:rsidRPr="002E118D">
        <w:rPr>
          <w:rFonts w:asciiTheme="minorBidi" w:hAnsiTheme="minorBidi"/>
        </w:rPr>
        <w:t xml:space="preserve">Interviewees </w:t>
      </w:r>
      <w:r w:rsidR="00E46677" w:rsidRPr="002E118D">
        <w:rPr>
          <w:rFonts w:asciiTheme="minorBidi" w:hAnsiTheme="minorBidi"/>
        </w:rPr>
        <w:t xml:space="preserve">typically </w:t>
      </w:r>
      <w:r w:rsidRPr="002E118D">
        <w:rPr>
          <w:rFonts w:asciiTheme="minorBidi" w:hAnsiTheme="minorBidi"/>
        </w:rPr>
        <w:t xml:space="preserve">described the process of preparing SASRs </w:t>
      </w:r>
      <w:r w:rsidR="000C04EB" w:rsidRPr="002E118D">
        <w:rPr>
          <w:rFonts w:asciiTheme="minorBidi" w:hAnsiTheme="minorBidi"/>
        </w:rPr>
        <w:t xml:space="preserve">as </w:t>
      </w:r>
      <w:r w:rsidR="00321B3B" w:rsidRPr="002E118D">
        <w:rPr>
          <w:rFonts w:asciiTheme="minorBidi" w:hAnsiTheme="minorBidi"/>
        </w:rPr>
        <w:t xml:space="preserve">expensive </w:t>
      </w:r>
      <w:r w:rsidRPr="002E118D">
        <w:rPr>
          <w:rFonts w:asciiTheme="minorBidi" w:hAnsiTheme="minorBidi"/>
        </w:rPr>
        <w:t xml:space="preserve">and time-consuming, particularly as costs are likely to be considerably in excess of direct expenditure on external designers and production. </w:t>
      </w:r>
      <w:r w:rsidR="00CB6DD7" w:rsidRPr="002E118D">
        <w:rPr>
          <w:rFonts w:asciiTheme="minorBidi" w:hAnsiTheme="minorBidi"/>
        </w:rPr>
        <w:t xml:space="preserve">Considerable </w:t>
      </w:r>
      <w:r w:rsidRPr="002E118D">
        <w:rPr>
          <w:rFonts w:asciiTheme="minorBidi" w:hAnsiTheme="minorBidi"/>
        </w:rPr>
        <w:t xml:space="preserve">employee time </w:t>
      </w:r>
      <w:r w:rsidR="00CB6DD7" w:rsidRPr="002E118D">
        <w:rPr>
          <w:rFonts w:asciiTheme="minorBidi" w:hAnsiTheme="minorBidi"/>
        </w:rPr>
        <w:t xml:space="preserve">is </w:t>
      </w:r>
      <w:r w:rsidRPr="002E118D">
        <w:rPr>
          <w:rFonts w:asciiTheme="minorBidi" w:hAnsiTheme="minorBidi"/>
        </w:rPr>
        <w:t xml:space="preserve">devoted to preparing SASRs. Hence the range of costs quoted in Table 2 is likely to understate the </w:t>
      </w:r>
      <w:r w:rsidR="000C04EB" w:rsidRPr="002E118D">
        <w:rPr>
          <w:rFonts w:asciiTheme="minorBidi" w:hAnsiTheme="minorBidi"/>
        </w:rPr>
        <w:t xml:space="preserve">overall </w:t>
      </w:r>
      <w:r w:rsidRPr="002E118D">
        <w:rPr>
          <w:rFonts w:asciiTheme="minorBidi" w:hAnsiTheme="minorBidi"/>
        </w:rPr>
        <w:t>costs by a substantial amount. Respondents suggested that two factors that tend to inflate costs are compliance with GRI guidelines and producing the SASRs in multiple forms (printed versions, downloadable pdf versions, interactive versions, summaries).</w:t>
      </w:r>
    </w:p>
    <w:p w14:paraId="48545241" w14:textId="7AEF0420" w:rsidR="002D5414" w:rsidRPr="002E118D" w:rsidRDefault="002D5414" w:rsidP="002540F5">
      <w:pPr>
        <w:rPr>
          <w:rFonts w:asciiTheme="minorBidi" w:hAnsiTheme="minorBidi"/>
        </w:rPr>
      </w:pPr>
      <w:r w:rsidRPr="002E118D">
        <w:rPr>
          <w:rFonts w:asciiTheme="minorBidi" w:hAnsiTheme="minorBidi"/>
        </w:rPr>
        <w:t xml:space="preserve">CEOs play a crucial role and are responsible for setting the overall reporting strategy. </w:t>
      </w:r>
      <w:r w:rsidR="009A6721" w:rsidRPr="002E118D">
        <w:rPr>
          <w:rFonts w:asciiTheme="minorBidi" w:hAnsiTheme="minorBidi"/>
        </w:rPr>
        <w:t>The reporting managers advance the CEO</w:t>
      </w:r>
      <w:r w:rsidR="00F50C6D" w:rsidRPr="002E118D">
        <w:rPr>
          <w:rFonts w:asciiTheme="minorBidi" w:hAnsiTheme="minorBidi"/>
        </w:rPr>
        <w:t>s’</w:t>
      </w:r>
      <w:r w:rsidR="009A6721" w:rsidRPr="002E118D">
        <w:rPr>
          <w:rFonts w:asciiTheme="minorBidi" w:hAnsiTheme="minorBidi"/>
        </w:rPr>
        <w:t xml:space="preserve"> SASR strateg</w:t>
      </w:r>
      <w:r w:rsidR="00F50C6D" w:rsidRPr="002E118D">
        <w:rPr>
          <w:rFonts w:asciiTheme="minorBidi" w:hAnsiTheme="minorBidi"/>
        </w:rPr>
        <w:t>ies</w:t>
      </w:r>
      <w:r w:rsidR="009A6721" w:rsidRPr="002E118D">
        <w:rPr>
          <w:rFonts w:asciiTheme="minorBidi" w:hAnsiTheme="minorBidi"/>
        </w:rPr>
        <w:t xml:space="preserve"> by educating and communicating the strategy internally </w:t>
      </w:r>
      <w:r w:rsidR="00F50C6D" w:rsidRPr="002E118D">
        <w:rPr>
          <w:rFonts w:asciiTheme="minorBidi" w:hAnsiTheme="minorBidi"/>
        </w:rPr>
        <w:t xml:space="preserve">to </w:t>
      </w:r>
      <w:r w:rsidR="009A6721" w:rsidRPr="002E118D">
        <w:rPr>
          <w:rFonts w:asciiTheme="minorBidi" w:hAnsiTheme="minorBidi"/>
        </w:rPr>
        <w:t xml:space="preserve">junior managers and externally </w:t>
      </w:r>
      <w:r w:rsidR="00F50C6D" w:rsidRPr="002E118D">
        <w:rPr>
          <w:rFonts w:asciiTheme="minorBidi" w:hAnsiTheme="minorBidi"/>
        </w:rPr>
        <w:t xml:space="preserve">to </w:t>
      </w:r>
      <w:r w:rsidR="009A6721" w:rsidRPr="002E118D">
        <w:rPr>
          <w:rFonts w:asciiTheme="minorBidi" w:hAnsiTheme="minorBidi"/>
        </w:rPr>
        <w:t xml:space="preserve">the designers to ensure that the companies achieve </w:t>
      </w:r>
      <w:r w:rsidR="00F50C6D" w:rsidRPr="002E118D">
        <w:rPr>
          <w:rFonts w:asciiTheme="minorBidi" w:hAnsiTheme="minorBidi"/>
        </w:rPr>
        <w:t>a</w:t>
      </w:r>
      <w:r w:rsidR="009A6721" w:rsidRPr="002E118D">
        <w:rPr>
          <w:rFonts w:asciiTheme="minorBidi" w:hAnsiTheme="minorBidi"/>
        </w:rPr>
        <w:t xml:space="preserve"> </w:t>
      </w:r>
      <w:r w:rsidR="006E0D48" w:rsidRPr="002E118D">
        <w:rPr>
          <w:rFonts w:asciiTheme="minorBidi" w:hAnsiTheme="minorBidi"/>
        </w:rPr>
        <w:t>GRI A</w:t>
      </w:r>
      <w:r w:rsidR="009A6721" w:rsidRPr="002E118D">
        <w:rPr>
          <w:rFonts w:asciiTheme="minorBidi" w:hAnsiTheme="minorBidi"/>
        </w:rPr>
        <w:t>+</w:t>
      </w:r>
      <w:r w:rsidR="00415AF1" w:rsidRPr="002E118D">
        <w:rPr>
          <w:rFonts w:asciiTheme="minorBidi" w:hAnsiTheme="minorBidi"/>
        </w:rPr>
        <w:t xml:space="preserve"> rating</w:t>
      </w:r>
      <w:r w:rsidR="00F50C6D" w:rsidRPr="002E118D">
        <w:rPr>
          <w:rFonts w:asciiTheme="minorBidi" w:hAnsiTheme="minorBidi"/>
        </w:rPr>
        <w:t>. Reporting managers believe that CSR is vital to corporate financial success, so they want the SASR to communicate a</w:t>
      </w:r>
      <w:r w:rsidR="0089502D" w:rsidRPr="002E118D">
        <w:rPr>
          <w:rFonts w:asciiTheme="minorBidi" w:hAnsiTheme="minorBidi"/>
        </w:rPr>
        <w:t xml:space="preserve"> positive environmental and social story</w:t>
      </w:r>
      <w:r w:rsidR="009A6721" w:rsidRPr="002E118D">
        <w:rPr>
          <w:rFonts w:asciiTheme="minorBidi" w:hAnsiTheme="minorBidi"/>
        </w:rPr>
        <w:t>.</w:t>
      </w:r>
      <w:r w:rsidR="00C2075F" w:rsidRPr="002E118D">
        <w:rPr>
          <w:rFonts w:asciiTheme="minorBidi" w:hAnsiTheme="minorBidi"/>
        </w:rPr>
        <w:t xml:space="preserve"> </w:t>
      </w:r>
      <w:r w:rsidR="00F50C6D" w:rsidRPr="002E118D">
        <w:rPr>
          <w:rFonts w:asciiTheme="minorBidi" w:hAnsiTheme="minorBidi"/>
        </w:rPr>
        <w:t>The</w:t>
      </w:r>
      <w:r w:rsidR="00C2075F" w:rsidRPr="002E118D">
        <w:rPr>
          <w:rFonts w:asciiTheme="minorBidi" w:hAnsiTheme="minorBidi"/>
        </w:rPr>
        <w:t xml:space="preserve"> preparation of </w:t>
      </w:r>
      <w:r w:rsidR="00F50C6D" w:rsidRPr="002E118D">
        <w:rPr>
          <w:rFonts w:asciiTheme="minorBidi" w:hAnsiTheme="minorBidi"/>
        </w:rPr>
        <w:t xml:space="preserve">the </w:t>
      </w:r>
      <w:r w:rsidR="00C2075F" w:rsidRPr="002E118D">
        <w:rPr>
          <w:rFonts w:asciiTheme="minorBidi" w:hAnsiTheme="minorBidi"/>
        </w:rPr>
        <w:t>SASR</w:t>
      </w:r>
      <w:r w:rsidR="003B2774" w:rsidRPr="002E118D">
        <w:rPr>
          <w:rFonts w:asciiTheme="minorBidi" w:hAnsiTheme="minorBidi"/>
        </w:rPr>
        <w:t xml:space="preserve"> </w:t>
      </w:r>
      <w:r w:rsidR="00C2075F" w:rsidRPr="002E118D">
        <w:rPr>
          <w:rFonts w:asciiTheme="minorBidi" w:hAnsiTheme="minorBidi"/>
        </w:rPr>
        <w:t xml:space="preserve">is </w:t>
      </w:r>
      <w:r w:rsidR="00CB6DD7" w:rsidRPr="002E118D">
        <w:rPr>
          <w:rFonts w:asciiTheme="minorBidi" w:hAnsiTheme="minorBidi"/>
        </w:rPr>
        <w:t xml:space="preserve">driven by a need for </w:t>
      </w:r>
      <w:r w:rsidR="00C2075F" w:rsidRPr="002E118D">
        <w:rPr>
          <w:rFonts w:asciiTheme="minorBidi" w:hAnsiTheme="minorBidi"/>
        </w:rPr>
        <w:t>symbolic</w:t>
      </w:r>
      <w:r w:rsidR="00CB6DD7" w:rsidRPr="002E118D">
        <w:rPr>
          <w:rFonts w:asciiTheme="minorBidi" w:hAnsiTheme="minorBidi"/>
        </w:rPr>
        <w:t xml:space="preserve"> manipulation</w:t>
      </w:r>
      <w:r w:rsidR="00C2075F" w:rsidRPr="002E118D">
        <w:rPr>
          <w:rFonts w:asciiTheme="minorBidi" w:hAnsiTheme="minorBidi"/>
        </w:rPr>
        <w:t xml:space="preserve"> </w:t>
      </w:r>
      <w:r w:rsidR="00F50C6D" w:rsidRPr="002E118D">
        <w:rPr>
          <w:rFonts w:asciiTheme="minorBidi" w:hAnsiTheme="minorBidi"/>
        </w:rPr>
        <w:t>as much as</w:t>
      </w:r>
      <w:r w:rsidR="00C2075F" w:rsidRPr="002E118D">
        <w:rPr>
          <w:rFonts w:asciiTheme="minorBidi" w:hAnsiTheme="minorBidi"/>
        </w:rPr>
        <w:t xml:space="preserve"> </w:t>
      </w:r>
      <w:r w:rsidR="00CB6DD7" w:rsidRPr="002E118D">
        <w:rPr>
          <w:rFonts w:asciiTheme="minorBidi" w:hAnsiTheme="minorBidi"/>
        </w:rPr>
        <w:t xml:space="preserve">a desire to </w:t>
      </w:r>
      <w:r w:rsidR="00C2075F" w:rsidRPr="002E118D">
        <w:rPr>
          <w:rFonts w:asciiTheme="minorBidi" w:hAnsiTheme="minorBidi"/>
        </w:rPr>
        <w:t>provid</w:t>
      </w:r>
      <w:r w:rsidR="00CB6DD7" w:rsidRPr="002E118D">
        <w:rPr>
          <w:rFonts w:asciiTheme="minorBidi" w:hAnsiTheme="minorBidi"/>
        </w:rPr>
        <w:t>e</w:t>
      </w:r>
      <w:r w:rsidR="00C2075F" w:rsidRPr="002E118D">
        <w:rPr>
          <w:rFonts w:asciiTheme="minorBidi" w:hAnsiTheme="minorBidi"/>
        </w:rPr>
        <w:t xml:space="preserve"> substantive environmental and social information.</w:t>
      </w:r>
      <w:r w:rsidR="00DF1AB3" w:rsidRPr="002E118D">
        <w:rPr>
          <w:rFonts w:asciiTheme="minorBidi" w:hAnsiTheme="minorBidi"/>
        </w:rPr>
        <w:t xml:space="preserve"> </w:t>
      </w:r>
      <w:r w:rsidR="00F50C6D" w:rsidRPr="002E118D">
        <w:rPr>
          <w:rFonts w:asciiTheme="minorBidi" w:hAnsiTheme="minorBidi"/>
        </w:rPr>
        <w:t>T</w:t>
      </w:r>
      <w:r w:rsidR="00DF1AB3" w:rsidRPr="002E118D">
        <w:rPr>
          <w:rFonts w:asciiTheme="minorBidi" w:hAnsiTheme="minorBidi"/>
        </w:rPr>
        <w:t xml:space="preserve">he reporting managers </w:t>
      </w:r>
      <w:r w:rsidR="00E46677" w:rsidRPr="002E118D">
        <w:rPr>
          <w:rFonts w:asciiTheme="minorBidi" w:hAnsiTheme="minorBidi"/>
        </w:rPr>
        <w:t xml:space="preserve">typically </w:t>
      </w:r>
      <w:r w:rsidR="00DF1AB3" w:rsidRPr="002E118D">
        <w:rPr>
          <w:rFonts w:asciiTheme="minorBidi" w:hAnsiTheme="minorBidi"/>
        </w:rPr>
        <w:t xml:space="preserve">stated they </w:t>
      </w:r>
      <w:r w:rsidR="00F50C6D" w:rsidRPr="002E118D">
        <w:rPr>
          <w:rFonts w:asciiTheme="minorBidi" w:hAnsiTheme="minorBidi"/>
        </w:rPr>
        <w:t>see</w:t>
      </w:r>
      <w:r w:rsidR="00DF1AB3" w:rsidRPr="002E118D">
        <w:rPr>
          <w:rFonts w:asciiTheme="minorBidi" w:hAnsiTheme="minorBidi"/>
        </w:rPr>
        <w:t xml:space="preserve"> their best interest</w:t>
      </w:r>
      <w:r w:rsidR="00F07EA3" w:rsidRPr="002E118D">
        <w:rPr>
          <w:rFonts w:asciiTheme="minorBidi" w:hAnsiTheme="minorBidi"/>
        </w:rPr>
        <w:t>s</w:t>
      </w:r>
      <w:r w:rsidR="00DF1AB3" w:rsidRPr="002E118D">
        <w:rPr>
          <w:rFonts w:asciiTheme="minorBidi" w:hAnsiTheme="minorBidi"/>
        </w:rPr>
        <w:t xml:space="preserve"> </w:t>
      </w:r>
      <w:r w:rsidR="00F50C6D" w:rsidRPr="002E118D">
        <w:rPr>
          <w:rFonts w:asciiTheme="minorBidi" w:hAnsiTheme="minorBidi"/>
        </w:rPr>
        <w:t>as</w:t>
      </w:r>
      <w:r w:rsidR="00DF1AB3" w:rsidRPr="002E118D">
        <w:rPr>
          <w:rFonts w:asciiTheme="minorBidi" w:hAnsiTheme="minorBidi"/>
        </w:rPr>
        <w:t xml:space="preserve"> work</w:t>
      </w:r>
      <w:r w:rsidR="00F50C6D" w:rsidRPr="002E118D">
        <w:rPr>
          <w:rFonts w:asciiTheme="minorBidi" w:hAnsiTheme="minorBidi"/>
        </w:rPr>
        <w:t>ing</w:t>
      </w:r>
      <w:r w:rsidR="00DF1AB3" w:rsidRPr="002E118D">
        <w:rPr>
          <w:rFonts w:asciiTheme="minorBidi" w:hAnsiTheme="minorBidi"/>
        </w:rPr>
        <w:t xml:space="preserve"> towards the CEO</w:t>
      </w:r>
      <w:r w:rsidR="00CB6DD7" w:rsidRPr="002E118D">
        <w:rPr>
          <w:rFonts w:asciiTheme="minorBidi" w:hAnsiTheme="minorBidi"/>
        </w:rPr>
        <w:t>’</w:t>
      </w:r>
      <w:r w:rsidR="00DF1AB3" w:rsidRPr="002E118D">
        <w:rPr>
          <w:rFonts w:asciiTheme="minorBidi" w:hAnsiTheme="minorBidi"/>
        </w:rPr>
        <w:t xml:space="preserve">s reporting strategy as failure to do </w:t>
      </w:r>
      <w:r w:rsidR="00CB6DD7" w:rsidRPr="002E118D">
        <w:rPr>
          <w:rFonts w:asciiTheme="minorBidi" w:hAnsiTheme="minorBidi"/>
        </w:rPr>
        <w:t xml:space="preserve">this </w:t>
      </w:r>
      <w:r w:rsidR="00DF1AB3" w:rsidRPr="002E118D">
        <w:rPr>
          <w:rFonts w:asciiTheme="minorBidi" w:hAnsiTheme="minorBidi"/>
        </w:rPr>
        <w:t xml:space="preserve">will </w:t>
      </w:r>
      <w:r w:rsidR="00D23DB6" w:rsidRPr="002E118D">
        <w:rPr>
          <w:rFonts w:asciiTheme="minorBidi" w:hAnsiTheme="minorBidi"/>
        </w:rPr>
        <w:t xml:space="preserve">have </w:t>
      </w:r>
      <w:r w:rsidR="00CB6DD7" w:rsidRPr="002E118D">
        <w:rPr>
          <w:rFonts w:asciiTheme="minorBidi" w:hAnsiTheme="minorBidi"/>
        </w:rPr>
        <w:t>financial</w:t>
      </w:r>
      <w:r w:rsidR="00D23DB6" w:rsidRPr="002E118D">
        <w:rPr>
          <w:rFonts w:asciiTheme="minorBidi" w:hAnsiTheme="minorBidi"/>
        </w:rPr>
        <w:t xml:space="preserve"> and career consequences. </w:t>
      </w:r>
      <w:r w:rsidRPr="002E118D">
        <w:rPr>
          <w:rFonts w:asciiTheme="minorBidi" w:hAnsiTheme="minorBidi"/>
        </w:rPr>
        <w:t xml:space="preserve">Internal and external pressures may encourage reporting managers to adopt a symbolic and superficial approach to report an apparently high level of sustainability performance: this emphasises the financial interests of the organisation rather than a genuine concern for transparency and accountability (Boiral, 2013). </w:t>
      </w:r>
    </w:p>
    <w:p w14:paraId="535F6150" w14:textId="0293CB35" w:rsidR="005F11F1" w:rsidRPr="002E118D" w:rsidRDefault="00A014B2" w:rsidP="002540F5">
      <w:pPr>
        <w:rPr>
          <w:rFonts w:asciiTheme="minorBidi" w:hAnsiTheme="minorBidi"/>
        </w:rPr>
      </w:pPr>
      <w:r w:rsidRPr="002E118D">
        <w:rPr>
          <w:rFonts w:asciiTheme="minorBidi" w:hAnsiTheme="minorBidi"/>
        </w:rPr>
        <w:t>O</w:t>
      </w:r>
      <w:r w:rsidR="009770D1">
        <w:rPr>
          <w:rFonts w:asciiTheme="minorBidi" w:hAnsiTheme="minorBidi"/>
        </w:rPr>
        <w:t>ur o</w:t>
      </w:r>
      <w:r w:rsidRPr="002E118D">
        <w:rPr>
          <w:rFonts w:asciiTheme="minorBidi" w:hAnsiTheme="minorBidi"/>
        </w:rPr>
        <w:t xml:space="preserve">ther findings provide additional support to previous research. </w:t>
      </w:r>
      <w:r w:rsidR="003E3AA9" w:rsidRPr="002E118D">
        <w:rPr>
          <w:rFonts w:asciiTheme="minorBidi" w:hAnsiTheme="minorBidi"/>
        </w:rPr>
        <w:t>C</w:t>
      </w:r>
      <w:r w:rsidRPr="002E118D">
        <w:rPr>
          <w:rFonts w:asciiTheme="minorBidi" w:hAnsiTheme="minorBidi"/>
        </w:rPr>
        <w:t>ompanies use visuals</w:t>
      </w:r>
      <w:r w:rsidR="00393B6E" w:rsidRPr="002E118D">
        <w:rPr>
          <w:rFonts w:asciiTheme="minorBidi" w:hAnsiTheme="minorBidi"/>
        </w:rPr>
        <w:t xml:space="preserve"> symbolically</w:t>
      </w:r>
      <w:r w:rsidRPr="002E118D">
        <w:rPr>
          <w:rFonts w:asciiTheme="minorBidi" w:hAnsiTheme="minorBidi"/>
        </w:rPr>
        <w:t xml:space="preserve"> to make their story more interesting</w:t>
      </w:r>
      <w:r w:rsidR="009A7E18" w:rsidRPr="002E118D">
        <w:rPr>
          <w:rFonts w:asciiTheme="minorBidi" w:hAnsiTheme="minorBidi"/>
        </w:rPr>
        <w:t xml:space="preserve"> and</w:t>
      </w:r>
      <w:r w:rsidRPr="002E118D">
        <w:rPr>
          <w:rFonts w:asciiTheme="minorBidi" w:hAnsiTheme="minorBidi"/>
        </w:rPr>
        <w:t xml:space="preserve"> memorable. Indeed, visual design techniques have become “heavyweight ingredients, in the richness and potency of their messages” (Davison, 2007</w:t>
      </w:r>
      <w:r w:rsidR="00481A51" w:rsidRPr="002E118D">
        <w:rPr>
          <w:rFonts w:asciiTheme="minorBidi" w:hAnsiTheme="minorBidi"/>
        </w:rPr>
        <w:t xml:space="preserve">, p. </w:t>
      </w:r>
      <w:r w:rsidRPr="002E118D">
        <w:rPr>
          <w:rFonts w:asciiTheme="minorBidi" w:hAnsiTheme="minorBidi"/>
        </w:rPr>
        <w:t xml:space="preserve">137). An example of this is the use of blank space to present information in a way that is visually appealing. The interviewees recognised that </w:t>
      </w:r>
      <w:r w:rsidR="004F4AB6" w:rsidRPr="002E118D">
        <w:rPr>
          <w:rFonts w:asciiTheme="minorBidi" w:hAnsiTheme="minorBidi"/>
        </w:rPr>
        <w:t>SASRs</w:t>
      </w:r>
      <w:r w:rsidRPr="002E118D">
        <w:rPr>
          <w:rFonts w:asciiTheme="minorBidi" w:hAnsiTheme="minorBidi"/>
        </w:rPr>
        <w:t xml:space="preserve"> are not read thoroughly and therefore visuals and blank space are useful </w:t>
      </w:r>
      <w:r w:rsidR="000C04EB" w:rsidRPr="002E118D">
        <w:rPr>
          <w:rFonts w:asciiTheme="minorBidi" w:hAnsiTheme="minorBidi"/>
        </w:rPr>
        <w:t>for enhancing readability</w:t>
      </w:r>
      <w:r w:rsidRPr="002E118D">
        <w:rPr>
          <w:rFonts w:asciiTheme="minorBidi" w:hAnsiTheme="minorBidi"/>
        </w:rPr>
        <w:t>. It has been recognised for a long time that most readers of corporate annual reports spend little time reading detailed text. The classic study by Lee and Tweedie (1975) f</w:t>
      </w:r>
      <w:r w:rsidR="009770D1">
        <w:rPr>
          <w:rFonts w:asciiTheme="minorBidi" w:hAnsiTheme="minorBidi"/>
        </w:rPr>
        <w:t>inds</w:t>
      </w:r>
      <w:r w:rsidRPr="002E118D">
        <w:rPr>
          <w:rFonts w:asciiTheme="minorBidi" w:hAnsiTheme="minorBidi"/>
        </w:rPr>
        <w:t xml:space="preserve"> that although the annual report is a primary source, it is not read thoroughly. This finding was supported by Squiers (1989</w:t>
      </w:r>
      <w:r w:rsidR="00481A51" w:rsidRPr="002E118D">
        <w:rPr>
          <w:rFonts w:asciiTheme="minorBidi" w:hAnsiTheme="minorBidi"/>
        </w:rPr>
        <w:t xml:space="preserve">, p. </w:t>
      </w:r>
      <w:r w:rsidRPr="002E118D">
        <w:rPr>
          <w:rFonts w:asciiTheme="minorBidi" w:hAnsiTheme="minorBidi"/>
        </w:rPr>
        <w:t>218), who document</w:t>
      </w:r>
      <w:r w:rsidR="001A7872">
        <w:rPr>
          <w:rFonts w:asciiTheme="minorBidi" w:hAnsiTheme="minorBidi"/>
        </w:rPr>
        <w:t>s</w:t>
      </w:r>
      <w:r w:rsidRPr="002E118D">
        <w:rPr>
          <w:rFonts w:asciiTheme="minorBidi" w:hAnsiTheme="minorBidi"/>
        </w:rPr>
        <w:t xml:space="preserve"> that “40% of stakeholders spend five minutes or less looking at annual reports”. </w:t>
      </w:r>
      <w:r w:rsidR="00F50C6D" w:rsidRPr="002E118D">
        <w:rPr>
          <w:rFonts w:asciiTheme="minorBidi" w:hAnsiTheme="minorBidi"/>
        </w:rPr>
        <w:t xml:space="preserve">Some of our interviewees feared that bulking the </w:t>
      </w:r>
      <w:r w:rsidR="00F50C6D" w:rsidRPr="002E118D">
        <w:rPr>
          <w:rFonts w:asciiTheme="minorBidi" w:hAnsiTheme="minorBidi"/>
        </w:rPr>
        <w:lastRenderedPageBreak/>
        <w:t>SASR out with visuals and blank space would paradoxically make the document less attractive to users, and therefore, like annual reports, not read in detail.</w:t>
      </w:r>
    </w:p>
    <w:p w14:paraId="111F7CE4" w14:textId="5735D7B7" w:rsidR="009E4AD1" w:rsidRPr="002E118D" w:rsidRDefault="005F11F1" w:rsidP="002540F5">
      <w:pPr>
        <w:rPr>
          <w:rFonts w:asciiTheme="minorBidi" w:hAnsiTheme="minorBidi"/>
        </w:rPr>
      </w:pPr>
      <w:r w:rsidRPr="002E118D">
        <w:rPr>
          <w:rFonts w:asciiTheme="minorBidi" w:hAnsiTheme="minorBidi"/>
        </w:rPr>
        <w:t>Our results support the conclusion of Alvesson and Spicer (2012, p. 1216)</w:t>
      </w:r>
      <w:r w:rsidR="00A014B2" w:rsidRPr="002E118D">
        <w:rPr>
          <w:rFonts w:asciiTheme="minorBidi" w:hAnsiTheme="minorBidi"/>
        </w:rPr>
        <w:t xml:space="preserve"> </w:t>
      </w:r>
      <w:r w:rsidRPr="002E118D">
        <w:rPr>
          <w:rFonts w:asciiTheme="minorBidi" w:hAnsiTheme="minorBidi"/>
        </w:rPr>
        <w:t>that “stupidity in organizational life is not necessarily an aberration. Rather it is a frequent and o</w:t>
      </w:r>
      <w:r w:rsidR="004A3FA5" w:rsidRPr="002E118D">
        <w:rPr>
          <w:rFonts w:asciiTheme="minorBidi" w:hAnsiTheme="minorBidi"/>
        </w:rPr>
        <w:t>rganizationally produced norm.” In most of the organisations included in our research, reflexivity, justification and substantive reasoning appear to be inhibited, so the ability of the reporting managers and external designers to exercise discretion and personal judgement is limited by the need to enact the CEO’s reporting strategy. Ironically, the organisation in which the CEO did not show interest in sustainability, leaving the reporting manager and external designer to make all the decisions about the SASR, could be considered “stupid” in a different sense, because of the absence of a clear reporting strategy.</w:t>
      </w:r>
    </w:p>
    <w:p w14:paraId="45D657CE" w14:textId="195F908D" w:rsidR="008D47A9" w:rsidRPr="002E118D" w:rsidRDefault="00F50C6D" w:rsidP="002540F5">
      <w:pPr>
        <w:rPr>
          <w:rFonts w:asciiTheme="minorBidi" w:hAnsiTheme="minorBidi"/>
        </w:rPr>
      </w:pPr>
      <w:r w:rsidRPr="002E118D">
        <w:rPr>
          <w:rFonts w:asciiTheme="minorBidi" w:hAnsiTheme="minorBidi"/>
        </w:rPr>
        <w:t>O</w:t>
      </w:r>
      <w:r w:rsidR="008D47A9" w:rsidRPr="002E118D">
        <w:rPr>
          <w:rFonts w:asciiTheme="minorBidi" w:hAnsiTheme="minorBidi"/>
        </w:rPr>
        <w:t>ur findings have several practical implications</w:t>
      </w:r>
      <w:r w:rsidR="00E574C4" w:rsidRPr="002E118D">
        <w:rPr>
          <w:rFonts w:asciiTheme="minorBidi" w:hAnsiTheme="minorBidi"/>
        </w:rPr>
        <w:t>.</w:t>
      </w:r>
      <w:r w:rsidR="006714C9">
        <w:rPr>
          <w:rFonts w:asciiTheme="minorBidi" w:hAnsiTheme="minorBidi"/>
        </w:rPr>
        <w:t xml:space="preserve"> They pave the way for stakeholders who use sustainability reports, and for students of sustainability reporting</w:t>
      </w:r>
      <w:r w:rsidR="00761A4A">
        <w:rPr>
          <w:rFonts w:asciiTheme="minorBidi" w:hAnsiTheme="minorBidi"/>
        </w:rPr>
        <w:t>,</w:t>
      </w:r>
      <w:r w:rsidR="00E574C4" w:rsidRPr="002E118D">
        <w:rPr>
          <w:rFonts w:asciiTheme="minorBidi" w:hAnsiTheme="minorBidi"/>
        </w:rPr>
        <w:t xml:space="preserve"> </w:t>
      </w:r>
      <w:r w:rsidR="006714C9">
        <w:rPr>
          <w:rFonts w:asciiTheme="minorBidi" w:hAnsiTheme="minorBidi"/>
        </w:rPr>
        <w:t>to be more fully informed as to the varying motives and the often complex lines of responsibility</w:t>
      </w:r>
      <w:r w:rsidR="008B7F55">
        <w:rPr>
          <w:rFonts w:asciiTheme="minorBidi" w:hAnsiTheme="minorBidi"/>
        </w:rPr>
        <w:t xml:space="preserve"> between CEOs, reporting managers and external designers,</w:t>
      </w:r>
      <w:r w:rsidR="006714C9">
        <w:rPr>
          <w:rFonts w:asciiTheme="minorBidi" w:hAnsiTheme="minorBidi"/>
        </w:rPr>
        <w:t xml:space="preserve"> and</w:t>
      </w:r>
      <w:r w:rsidR="008B7F55">
        <w:rPr>
          <w:rFonts w:asciiTheme="minorBidi" w:hAnsiTheme="minorBidi"/>
        </w:rPr>
        <w:t xml:space="preserve"> the</w:t>
      </w:r>
      <w:r w:rsidR="006714C9">
        <w:rPr>
          <w:rFonts w:asciiTheme="minorBidi" w:hAnsiTheme="minorBidi"/>
        </w:rPr>
        <w:t xml:space="preserve"> differing levels of competence that </w:t>
      </w:r>
      <w:r w:rsidR="0001122B">
        <w:rPr>
          <w:rFonts w:asciiTheme="minorBidi" w:hAnsiTheme="minorBidi"/>
        </w:rPr>
        <w:t>lie behind the production</w:t>
      </w:r>
      <w:r w:rsidR="002452BC">
        <w:rPr>
          <w:rFonts w:asciiTheme="minorBidi" w:hAnsiTheme="minorBidi"/>
        </w:rPr>
        <w:t xml:space="preserve"> of sustainability reports</w:t>
      </w:r>
      <w:r w:rsidR="0001122B">
        <w:rPr>
          <w:rFonts w:asciiTheme="minorBidi" w:hAnsiTheme="minorBidi"/>
        </w:rPr>
        <w:t>. Stakeholders should have greater appreciation</w:t>
      </w:r>
      <w:r w:rsidR="006714C9">
        <w:rPr>
          <w:rFonts w:asciiTheme="minorBidi" w:hAnsiTheme="minorBidi"/>
        </w:rPr>
        <w:t xml:space="preserve"> </w:t>
      </w:r>
      <w:r w:rsidR="0001122B">
        <w:rPr>
          <w:rFonts w:asciiTheme="minorBidi" w:hAnsiTheme="minorBidi"/>
        </w:rPr>
        <w:t>of</w:t>
      </w:r>
      <w:r w:rsidR="006714C9">
        <w:rPr>
          <w:rFonts w:asciiTheme="minorBidi" w:hAnsiTheme="minorBidi"/>
        </w:rPr>
        <w:t xml:space="preserve"> the contingencies at play in the preparation process</w:t>
      </w:r>
      <w:r w:rsidR="0001122B">
        <w:rPr>
          <w:rFonts w:asciiTheme="minorBidi" w:hAnsiTheme="minorBidi"/>
        </w:rPr>
        <w:t xml:space="preserve">, and </w:t>
      </w:r>
      <w:r w:rsidR="004C19D2">
        <w:rPr>
          <w:rFonts w:asciiTheme="minorBidi" w:hAnsiTheme="minorBidi"/>
        </w:rPr>
        <w:t xml:space="preserve">they should </w:t>
      </w:r>
      <w:r w:rsidR="0001122B">
        <w:rPr>
          <w:rFonts w:asciiTheme="minorBidi" w:hAnsiTheme="minorBidi"/>
        </w:rPr>
        <w:t>develop greater scepticism with regard to the finished products</w:t>
      </w:r>
      <w:r w:rsidR="006714C9">
        <w:rPr>
          <w:rFonts w:asciiTheme="minorBidi" w:hAnsiTheme="minorBidi"/>
        </w:rPr>
        <w:t xml:space="preserve">. </w:t>
      </w:r>
      <w:r w:rsidR="002452BC">
        <w:rPr>
          <w:rFonts w:asciiTheme="minorBidi" w:hAnsiTheme="minorBidi"/>
        </w:rPr>
        <w:t>Our findings</w:t>
      </w:r>
      <w:r w:rsidR="00761A4A">
        <w:rPr>
          <w:rFonts w:asciiTheme="minorBidi" w:hAnsiTheme="minorBidi"/>
        </w:rPr>
        <w:t xml:space="preserve"> are also of interest to preparers of such reports, in encouraging reflection on their own practice and raising awareness of practice elsewhere. There are also possible implications for regulation</w:t>
      </w:r>
      <w:r w:rsidR="008B7F55">
        <w:rPr>
          <w:rFonts w:asciiTheme="minorBidi" w:hAnsiTheme="minorBidi"/>
        </w:rPr>
        <w:t>. O</w:t>
      </w:r>
      <w:r w:rsidR="00343E9F" w:rsidRPr="002E118D">
        <w:rPr>
          <w:rFonts w:asciiTheme="minorBidi" w:hAnsiTheme="minorBidi"/>
        </w:rPr>
        <w:t xml:space="preserve">rganisations such as the </w:t>
      </w:r>
      <w:r w:rsidR="00780A08">
        <w:rPr>
          <w:rFonts w:asciiTheme="minorBidi" w:hAnsiTheme="minorBidi"/>
        </w:rPr>
        <w:t>Global Reporting Initiative</w:t>
      </w:r>
      <w:r w:rsidR="00343E9F" w:rsidRPr="002E118D">
        <w:rPr>
          <w:rFonts w:asciiTheme="minorBidi" w:hAnsiTheme="minorBidi"/>
        </w:rPr>
        <w:t xml:space="preserve"> </w:t>
      </w:r>
      <w:r w:rsidR="008B7F55">
        <w:rPr>
          <w:rFonts w:asciiTheme="minorBidi" w:hAnsiTheme="minorBidi"/>
        </w:rPr>
        <w:t>might</w:t>
      </w:r>
      <w:r w:rsidR="009A7E18" w:rsidRPr="002E118D">
        <w:rPr>
          <w:rFonts w:asciiTheme="minorBidi" w:hAnsiTheme="minorBidi"/>
        </w:rPr>
        <w:t xml:space="preserve"> provide </w:t>
      </w:r>
      <w:r w:rsidR="00557BE9" w:rsidRPr="002E118D">
        <w:rPr>
          <w:rFonts w:asciiTheme="minorBidi" w:hAnsiTheme="minorBidi"/>
        </w:rPr>
        <w:t xml:space="preserve">more formal guidance on </w:t>
      </w:r>
      <w:r w:rsidR="00E574C4" w:rsidRPr="002E118D">
        <w:rPr>
          <w:rFonts w:asciiTheme="minorBidi" w:hAnsiTheme="minorBidi"/>
        </w:rPr>
        <w:t>the use</w:t>
      </w:r>
      <w:r w:rsidR="008B7F55">
        <w:rPr>
          <w:rFonts w:asciiTheme="minorBidi" w:hAnsiTheme="minorBidi"/>
        </w:rPr>
        <w:t xml:space="preserve"> of powerful</w:t>
      </w:r>
      <w:r w:rsidR="00E574C4" w:rsidRPr="002E118D">
        <w:rPr>
          <w:rFonts w:asciiTheme="minorBidi" w:hAnsiTheme="minorBidi"/>
        </w:rPr>
        <w:t xml:space="preserve"> </w:t>
      </w:r>
      <w:r w:rsidR="00343E9F" w:rsidRPr="002E118D">
        <w:rPr>
          <w:rFonts w:asciiTheme="minorBidi" w:hAnsiTheme="minorBidi"/>
        </w:rPr>
        <w:t xml:space="preserve">visuals </w:t>
      </w:r>
      <w:r w:rsidR="009A7E18" w:rsidRPr="002E118D">
        <w:rPr>
          <w:rFonts w:asciiTheme="minorBidi" w:hAnsiTheme="minorBidi"/>
        </w:rPr>
        <w:t>in corporate reports</w:t>
      </w:r>
      <w:r w:rsidR="00557BE9" w:rsidRPr="002E118D">
        <w:rPr>
          <w:rFonts w:asciiTheme="minorBidi" w:hAnsiTheme="minorBidi"/>
        </w:rPr>
        <w:t xml:space="preserve">. </w:t>
      </w:r>
      <w:r w:rsidR="00083BCD" w:rsidRPr="002E118D">
        <w:rPr>
          <w:rFonts w:asciiTheme="minorBidi" w:hAnsiTheme="minorBidi"/>
        </w:rPr>
        <w:t xml:space="preserve">The use of extensive blank space in SASRs may improve communication but </w:t>
      </w:r>
      <w:r w:rsidR="00D432AA" w:rsidRPr="002E118D">
        <w:rPr>
          <w:rFonts w:asciiTheme="minorBidi" w:hAnsiTheme="minorBidi"/>
        </w:rPr>
        <w:t>may also</w:t>
      </w:r>
      <w:r w:rsidR="00083BCD" w:rsidRPr="002E118D">
        <w:rPr>
          <w:rFonts w:asciiTheme="minorBidi" w:hAnsiTheme="minorBidi"/>
        </w:rPr>
        <w:t xml:space="preserve"> discourage readers </w:t>
      </w:r>
      <w:r w:rsidR="00557BE9" w:rsidRPr="002E118D">
        <w:rPr>
          <w:rFonts w:asciiTheme="minorBidi" w:hAnsiTheme="minorBidi"/>
        </w:rPr>
        <w:t>from</w:t>
      </w:r>
      <w:r w:rsidR="00083BCD" w:rsidRPr="002E118D">
        <w:rPr>
          <w:rFonts w:asciiTheme="minorBidi" w:hAnsiTheme="minorBidi"/>
        </w:rPr>
        <w:t xml:space="preserve"> </w:t>
      </w:r>
      <w:r w:rsidR="008B7F55">
        <w:rPr>
          <w:rFonts w:asciiTheme="minorBidi" w:hAnsiTheme="minorBidi"/>
        </w:rPr>
        <w:t>reading</w:t>
      </w:r>
      <w:r w:rsidR="00083BCD" w:rsidRPr="002E118D">
        <w:rPr>
          <w:rFonts w:asciiTheme="minorBidi" w:hAnsiTheme="minorBidi"/>
        </w:rPr>
        <w:t xml:space="preserve"> a long SASR</w:t>
      </w:r>
      <w:r w:rsidR="008B7F55">
        <w:rPr>
          <w:rFonts w:asciiTheme="minorBidi" w:hAnsiTheme="minorBidi"/>
        </w:rPr>
        <w:t xml:space="preserve">, hence </w:t>
      </w:r>
      <w:r w:rsidR="00083BCD" w:rsidRPr="002E118D">
        <w:rPr>
          <w:rFonts w:asciiTheme="minorBidi" w:hAnsiTheme="minorBidi"/>
        </w:rPr>
        <w:t xml:space="preserve">specific guidance may be required to </w:t>
      </w:r>
      <w:r w:rsidR="00557BE9" w:rsidRPr="002E118D">
        <w:rPr>
          <w:rFonts w:asciiTheme="minorBidi" w:hAnsiTheme="minorBidi"/>
        </w:rPr>
        <w:t>provide parameters for</w:t>
      </w:r>
      <w:r w:rsidR="00083BCD" w:rsidRPr="002E118D">
        <w:rPr>
          <w:rFonts w:asciiTheme="minorBidi" w:hAnsiTheme="minorBidi"/>
        </w:rPr>
        <w:t xml:space="preserve"> the proportion of blank space </w:t>
      </w:r>
      <w:r w:rsidR="00D432AA" w:rsidRPr="002E118D">
        <w:rPr>
          <w:rFonts w:asciiTheme="minorBidi" w:hAnsiTheme="minorBidi"/>
        </w:rPr>
        <w:t xml:space="preserve">to be used in SASRs. </w:t>
      </w:r>
    </w:p>
    <w:p w14:paraId="68F08E47" w14:textId="02037BA1" w:rsidR="004C19D2" w:rsidRDefault="00557BE9">
      <w:pPr>
        <w:rPr>
          <w:rFonts w:asciiTheme="minorBidi" w:hAnsiTheme="minorBidi"/>
        </w:rPr>
      </w:pPr>
      <w:r w:rsidRPr="002E118D">
        <w:rPr>
          <w:rFonts w:asciiTheme="minorBidi" w:hAnsiTheme="minorBidi"/>
        </w:rPr>
        <w:t>Our study has some</w:t>
      </w:r>
      <w:r w:rsidR="00E95B5F" w:rsidRPr="002E118D">
        <w:rPr>
          <w:rFonts w:asciiTheme="minorBidi" w:hAnsiTheme="minorBidi"/>
        </w:rPr>
        <w:t xml:space="preserve"> limitations. </w:t>
      </w:r>
      <w:r w:rsidR="000C04EB" w:rsidRPr="002E118D">
        <w:rPr>
          <w:rFonts w:asciiTheme="minorBidi" w:hAnsiTheme="minorBidi"/>
        </w:rPr>
        <w:t>C</w:t>
      </w:r>
      <w:r w:rsidR="00A014B2" w:rsidRPr="002E118D">
        <w:rPr>
          <w:rFonts w:asciiTheme="minorBidi" w:hAnsiTheme="minorBidi"/>
        </w:rPr>
        <w:t xml:space="preserve">ompanies are often reluctant to expose </w:t>
      </w:r>
      <w:r w:rsidRPr="002E118D">
        <w:rPr>
          <w:rFonts w:asciiTheme="minorBidi" w:hAnsiTheme="minorBidi"/>
        </w:rPr>
        <w:t xml:space="preserve">to outside researchers </w:t>
      </w:r>
      <w:r w:rsidR="00A014B2" w:rsidRPr="002E118D">
        <w:rPr>
          <w:rFonts w:asciiTheme="minorBidi" w:hAnsiTheme="minorBidi"/>
        </w:rPr>
        <w:t xml:space="preserve">the process by which their external reports are prepared, and most companies contacted either refused to participate in the study or did not even respond. </w:t>
      </w:r>
      <w:r w:rsidR="006140D1" w:rsidRPr="002E118D">
        <w:rPr>
          <w:rFonts w:asciiTheme="minorBidi" w:hAnsiTheme="minorBidi"/>
        </w:rPr>
        <w:t>We</w:t>
      </w:r>
      <w:r w:rsidR="00805425" w:rsidRPr="002E118D">
        <w:rPr>
          <w:rFonts w:asciiTheme="minorBidi" w:hAnsiTheme="minorBidi"/>
        </w:rPr>
        <w:t xml:space="preserve"> conducted exploratory semi-structured interviews with</w:t>
      </w:r>
      <w:r w:rsidR="006140D1" w:rsidRPr="002E118D">
        <w:rPr>
          <w:rFonts w:asciiTheme="minorBidi" w:hAnsiTheme="minorBidi"/>
        </w:rPr>
        <w:t xml:space="preserve"> ten </w:t>
      </w:r>
      <w:r w:rsidR="000D0CB6" w:rsidRPr="002E118D">
        <w:rPr>
          <w:rFonts w:asciiTheme="minorBidi" w:hAnsiTheme="minorBidi"/>
        </w:rPr>
        <w:t>reporting managers.</w:t>
      </w:r>
      <w:r w:rsidRPr="002E118D">
        <w:rPr>
          <w:rFonts w:asciiTheme="minorBidi" w:hAnsiTheme="minorBidi"/>
        </w:rPr>
        <w:t xml:space="preserve"> </w:t>
      </w:r>
      <w:r w:rsidR="000D0CB6" w:rsidRPr="002E118D">
        <w:rPr>
          <w:rFonts w:asciiTheme="minorBidi" w:hAnsiTheme="minorBidi"/>
        </w:rPr>
        <w:t>A</w:t>
      </w:r>
      <w:r w:rsidRPr="002E118D">
        <w:rPr>
          <w:rFonts w:asciiTheme="minorBidi" w:hAnsiTheme="minorBidi"/>
        </w:rPr>
        <w:t>lthough these covered a range of industries and geographical locations</w:t>
      </w:r>
      <w:r w:rsidR="00766652" w:rsidRPr="002E118D">
        <w:rPr>
          <w:rFonts w:asciiTheme="minorBidi" w:hAnsiTheme="minorBidi"/>
        </w:rPr>
        <w:t xml:space="preserve">, we did not explore any </w:t>
      </w:r>
      <w:r w:rsidR="00E46677" w:rsidRPr="002E118D">
        <w:rPr>
          <w:rFonts w:asciiTheme="minorBidi" w:hAnsiTheme="minorBidi"/>
        </w:rPr>
        <w:t xml:space="preserve">industrial or geographic </w:t>
      </w:r>
      <w:r w:rsidR="00766652" w:rsidRPr="002E118D">
        <w:rPr>
          <w:rFonts w:asciiTheme="minorBidi" w:hAnsiTheme="minorBidi"/>
        </w:rPr>
        <w:t>variation within our results and cautio</w:t>
      </w:r>
      <w:r w:rsidR="006C174F">
        <w:rPr>
          <w:rFonts w:asciiTheme="minorBidi" w:hAnsiTheme="minorBidi"/>
        </w:rPr>
        <w:t>n</w:t>
      </w:r>
      <w:r w:rsidR="00766652" w:rsidRPr="002E118D">
        <w:rPr>
          <w:rFonts w:asciiTheme="minorBidi" w:hAnsiTheme="minorBidi"/>
        </w:rPr>
        <w:t xml:space="preserve"> needs to be exercised in generalising the findings. For example, </w:t>
      </w:r>
      <w:r w:rsidR="00F15560" w:rsidRPr="002E118D">
        <w:rPr>
          <w:rFonts w:asciiTheme="minorBidi" w:hAnsiTheme="minorBidi"/>
        </w:rPr>
        <w:t>the SASR</w:t>
      </w:r>
      <w:r w:rsidR="00766652" w:rsidRPr="002E118D">
        <w:rPr>
          <w:rFonts w:asciiTheme="minorBidi" w:hAnsiTheme="minorBidi"/>
        </w:rPr>
        <w:t xml:space="preserve"> may</w:t>
      </w:r>
      <w:r w:rsidR="00F15560" w:rsidRPr="002E118D">
        <w:rPr>
          <w:rFonts w:asciiTheme="minorBidi" w:hAnsiTheme="minorBidi"/>
        </w:rPr>
        <w:t xml:space="preserve"> </w:t>
      </w:r>
      <w:r w:rsidR="00766652" w:rsidRPr="002E118D">
        <w:rPr>
          <w:rFonts w:asciiTheme="minorBidi" w:hAnsiTheme="minorBidi"/>
        </w:rPr>
        <w:t xml:space="preserve">be influenced by several internal organisation factors, such as the </w:t>
      </w:r>
      <w:r w:rsidR="00F15560" w:rsidRPr="002E118D">
        <w:rPr>
          <w:rFonts w:asciiTheme="minorBidi" w:hAnsiTheme="minorBidi"/>
        </w:rPr>
        <w:t>organisation</w:t>
      </w:r>
      <w:r w:rsidR="00766652" w:rsidRPr="002E118D">
        <w:rPr>
          <w:rFonts w:asciiTheme="minorBidi" w:hAnsiTheme="minorBidi"/>
        </w:rPr>
        <w:t xml:space="preserve">’s history, </w:t>
      </w:r>
      <w:r w:rsidR="00F15560" w:rsidRPr="002E118D">
        <w:rPr>
          <w:rFonts w:asciiTheme="minorBidi" w:hAnsiTheme="minorBidi"/>
        </w:rPr>
        <w:t xml:space="preserve">its size, </w:t>
      </w:r>
      <w:r w:rsidR="00766652" w:rsidRPr="002E118D">
        <w:rPr>
          <w:rFonts w:asciiTheme="minorBidi" w:hAnsiTheme="minorBidi"/>
        </w:rPr>
        <w:t xml:space="preserve">its environmental and social performance, the personality and preferences of its CEO, </w:t>
      </w:r>
      <w:r w:rsidR="00F15560" w:rsidRPr="002E118D">
        <w:rPr>
          <w:rFonts w:asciiTheme="minorBidi" w:hAnsiTheme="minorBidi"/>
        </w:rPr>
        <w:t>and the internal structure of the organisation.</w:t>
      </w:r>
      <w:r w:rsidR="006C174F">
        <w:rPr>
          <w:rFonts w:asciiTheme="minorBidi" w:hAnsiTheme="minorBidi"/>
        </w:rPr>
        <w:t xml:space="preserve"> Evidence from reporting managers may understate the roles of organisational actors with whom the managers do not have much contact, such as the board of directors.</w:t>
      </w:r>
      <w:r w:rsidR="00F15560" w:rsidRPr="002E118D">
        <w:rPr>
          <w:rFonts w:asciiTheme="minorBidi" w:hAnsiTheme="minorBidi"/>
        </w:rPr>
        <w:t xml:space="preserve"> Although we </w:t>
      </w:r>
      <w:r w:rsidR="00F15560" w:rsidRPr="002E118D">
        <w:rPr>
          <w:rFonts w:asciiTheme="minorBidi" w:hAnsiTheme="minorBidi"/>
        </w:rPr>
        <w:lastRenderedPageBreak/>
        <w:t>found that, in most organisations, the CEO’s reporting strategy substantially constrained the decision-making ability of the reporting manager, in one organisation (that of interviewee B5), the CEO was unengaged, and the reporting manager had much greater control over the SASR.</w:t>
      </w:r>
    </w:p>
    <w:p w14:paraId="6AD6EFD9" w14:textId="70254611" w:rsidR="006D4233" w:rsidRPr="002E118D" w:rsidRDefault="00F15560">
      <w:pPr>
        <w:rPr>
          <w:rFonts w:asciiTheme="minorBidi" w:hAnsiTheme="minorBidi"/>
        </w:rPr>
      </w:pPr>
      <w:r w:rsidRPr="002E118D">
        <w:rPr>
          <w:rFonts w:asciiTheme="minorBidi" w:hAnsiTheme="minorBidi"/>
        </w:rPr>
        <w:t>Future research could explore</w:t>
      </w:r>
      <w:r w:rsidR="00C85A6B" w:rsidRPr="002E118D">
        <w:rPr>
          <w:rFonts w:asciiTheme="minorBidi" w:hAnsiTheme="minorBidi"/>
        </w:rPr>
        <w:t>, by reference to larger samples,</w:t>
      </w:r>
      <w:r w:rsidRPr="002E118D">
        <w:rPr>
          <w:rFonts w:asciiTheme="minorBidi" w:hAnsiTheme="minorBidi"/>
        </w:rPr>
        <w:t xml:space="preserve"> whether variations in t</w:t>
      </w:r>
      <w:r w:rsidR="00766652" w:rsidRPr="002E118D">
        <w:rPr>
          <w:rFonts w:asciiTheme="minorBidi" w:hAnsiTheme="minorBidi"/>
        </w:rPr>
        <w:t xml:space="preserve">hese factors influence </w:t>
      </w:r>
      <w:r w:rsidR="00C85A6B" w:rsidRPr="002E118D">
        <w:rPr>
          <w:rFonts w:asciiTheme="minorBidi" w:hAnsiTheme="minorBidi"/>
        </w:rPr>
        <w:t>the form and content of the SASR</w:t>
      </w:r>
      <w:r w:rsidRPr="002E118D">
        <w:rPr>
          <w:rFonts w:asciiTheme="minorBidi" w:hAnsiTheme="minorBidi"/>
        </w:rPr>
        <w:t xml:space="preserve">. </w:t>
      </w:r>
      <w:r w:rsidR="00EE30FD" w:rsidRPr="002E118D">
        <w:rPr>
          <w:rFonts w:asciiTheme="minorBidi" w:hAnsiTheme="minorBidi"/>
        </w:rPr>
        <w:t xml:space="preserve">However, </w:t>
      </w:r>
      <w:r w:rsidR="006140D1" w:rsidRPr="002E118D">
        <w:rPr>
          <w:rFonts w:asciiTheme="minorBidi" w:hAnsiTheme="minorBidi"/>
        </w:rPr>
        <w:t>our findings</w:t>
      </w:r>
      <w:r w:rsidR="00A014B2" w:rsidRPr="002E118D">
        <w:rPr>
          <w:rFonts w:asciiTheme="minorBidi" w:hAnsiTheme="minorBidi"/>
        </w:rPr>
        <w:t xml:space="preserve"> provide a useful basis of comparison with existing research</w:t>
      </w:r>
      <w:r w:rsidR="006140D1" w:rsidRPr="002E118D">
        <w:rPr>
          <w:rFonts w:asciiTheme="minorBidi" w:hAnsiTheme="minorBidi"/>
        </w:rPr>
        <w:t>. This</w:t>
      </w:r>
      <w:r w:rsidR="00A014B2" w:rsidRPr="002E118D">
        <w:rPr>
          <w:rFonts w:asciiTheme="minorBidi" w:hAnsiTheme="minorBidi"/>
        </w:rPr>
        <w:t xml:space="preserve"> often analyses SASRs (and other corporate reports) “from the outside”, by examining the published reports</w:t>
      </w:r>
      <w:r w:rsidR="006140D1" w:rsidRPr="002E118D">
        <w:rPr>
          <w:rFonts w:asciiTheme="minorBidi" w:hAnsiTheme="minorBidi"/>
        </w:rPr>
        <w:t xml:space="preserve"> themselves</w:t>
      </w:r>
      <w:r w:rsidR="00A014B2" w:rsidRPr="002E118D">
        <w:rPr>
          <w:rFonts w:asciiTheme="minorBidi" w:hAnsiTheme="minorBidi"/>
        </w:rPr>
        <w:t xml:space="preserve"> rather than considering the processes by which these reports are prepared. It would be useful to interview individual preparers and </w:t>
      </w:r>
      <w:r w:rsidR="009A7E18" w:rsidRPr="002E118D">
        <w:rPr>
          <w:rFonts w:asciiTheme="minorBidi" w:hAnsiTheme="minorBidi"/>
        </w:rPr>
        <w:t xml:space="preserve">to </w:t>
      </w:r>
      <w:r w:rsidR="00A014B2" w:rsidRPr="002E118D">
        <w:rPr>
          <w:rFonts w:asciiTheme="minorBidi" w:hAnsiTheme="minorBidi"/>
        </w:rPr>
        <w:t>survey organisations in a few years’ time, when the new GRI Standard ha</w:t>
      </w:r>
      <w:r w:rsidR="009A7E18" w:rsidRPr="002E118D">
        <w:rPr>
          <w:rFonts w:asciiTheme="minorBidi" w:hAnsiTheme="minorBidi"/>
        </w:rPr>
        <w:t>s</w:t>
      </w:r>
      <w:r w:rsidR="00A014B2" w:rsidRPr="002E118D">
        <w:rPr>
          <w:rFonts w:asciiTheme="minorBidi" w:hAnsiTheme="minorBidi"/>
        </w:rPr>
        <w:t xml:space="preserve"> had the opportunity of “bedding in”.</w:t>
      </w:r>
      <w:r w:rsidR="00AA57D7" w:rsidRPr="002E118D">
        <w:rPr>
          <w:rFonts w:asciiTheme="minorBidi" w:hAnsiTheme="minorBidi"/>
        </w:rPr>
        <w:t xml:space="preserve"> </w:t>
      </w:r>
      <w:r w:rsidR="00A014B2" w:rsidRPr="002E118D">
        <w:rPr>
          <w:rFonts w:asciiTheme="minorBidi" w:hAnsiTheme="minorBidi"/>
        </w:rPr>
        <w:t>Meanwhile, this study provides a useful overview of how SASRs are prepared</w:t>
      </w:r>
      <w:r w:rsidR="00F6321F" w:rsidRPr="002E118D">
        <w:rPr>
          <w:rFonts w:asciiTheme="minorBidi" w:hAnsiTheme="minorBidi"/>
        </w:rPr>
        <w:t xml:space="preserve"> and the role of CEOs and the reporting managers in the process and preparation of SASRs</w:t>
      </w:r>
      <w:r w:rsidR="00A014B2" w:rsidRPr="002E118D">
        <w:rPr>
          <w:rFonts w:asciiTheme="minorBidi" w:hAnsiTheme="minorBidi"/>
        </w:rPr>
        <w:t xml:space="preserve">. </w:t>
      </w:r>
      <w:r w:rsidR="00557BE9" w:rsidRPr="002E118D">
        <w:rPr>
          <w:rFonts w:asciiTheme="minorBidi" w:hAnsiTheme="minorBidi"/>
        </w:rPr>
        <w:t xml:space="preserve">We also explain the tensions experienced by reporting managers, the </w:t>
      </w:r>
      <w:r w:rsidR="00634CFF" w:rsidRPr="002E118D">
        <w:rPr>
          <w:rFonts w:asciiTheme="minorBidi" w:hAnsiTheme="minorBidi"/>
        </w:rPr>
        <w:t>“</w:t>
      </w:r>
      <w:r w:rsidR="00557BE9" w:rsidRPr="002E118D">
        <w:rPr>
          <w:rFonts w:asciiTheme="minorBidi" w:hAnsiTheme="minorBidi"/>
        </w:rPr>
        <w:t>internal experts</w:t>
      </w:r>
      <w:r w:rsidR="00634CFF" w:rsidRPr="002E118D">
        <w:rPr>
          <w:rFonts w:asciiTheme="minorBidi" w:hAnsiTheme="minorBidi"/>
        </w:rPr>
        <w:t>”</w:t>
      </w:r>
      <w:r w:rsidR="00557BE9" w:rsidRPr="002E118D">
        <w:rPr>
          <w:rFonts w:asciiTheme="minorBidi" w:hAnsiTheme="minorBidi"/>
        </w:rPr>
        <w:t xml:space="preserve"> in the SASR preparation process, but </w:t>
      </w:r>
      <w:r w:rsidRPr="002E118D">
        <w:rPr>
          <w:rFonts w:asciiTheme="minorBidi" w:hAnsiTheme="minorBidi"/>
        </w:rPr>
        <w:t xml:space="preserve">typically </w:t>
      </w:r>
      <w:r w:rsidR="00557BE9" w:rsidRPr="002E118D">
        <w:rPr>
          <w:rFonts w:asciiTheme="minorBidi" w:hAnsiTheme="minorBidi"/>
        </w:rPr>
        <w:t>having to work towards the strategies of CEOs, in terms of functional stupidity</w:t>
      </w:r>
      <w:r w:rsidR="00FB1646" w:rsidRPr="002E118D">
        <w:rPr>
          <w:rFonts w:asciiTheme="minorBidi" w:hAnsiTheme="minorBidi"/>
        </w:rPr>
        <w:t xml:space="preserve">, </w:t>
      </w:r>
      <w:r w:rsidR="004826CF">
        <w:rPr>
          <w:rFonts w:asciiTheme="minorBidi" w:hAnsiTheme="minorBidi"/>
        </w:rPr>
        <w:t xml:space="preserve">which </w:t>
      </w:r>
      <w:r w:rsidR="00FB1646" w:rsidRPr="002E118D">
        <w:rPr>
          <w:rFonts w:asciiTheme="minorBidi" w:hAnsiTheme="minorBidi"/>
        </w:rPr>
        <w:t xml:space="preserve">we believe </w:t>
      </w:r>
      <w:r w:rsidR="004826CF">
        <w:rPr>
          <w:rFonts w:asciiTheme="minorBidi" w:hAnsiTheme="minorBidi"/>
        </w:rPr>
        <w:t>operates as</w:t>
      </w:r>
      <w:r w:rsidR="00FB1646" w:rsidRPr="002E118D">
        <w:rPr>
          <w:rFonts w:asciiTheme="minorBidi" w:hAnsiTheme="minorBidi"/>
        </w:rPr>
        <w:t xml:space="preserve"> a general element of organisational processes rather than </w:t>
      </w:r>
      <w:r w:rsidR="004826CF">
        <w:rPr>
          <w:rFonts w:asciiTheme="minorBidi" w:hAnsiTheme="minorBidi"/>
        </w:rPr>
        <w:t>through the cognitions of individual managers</w:t>
      </w:r>
      <w:r w:rsidR="00FB1646" w:rsidRPr="002E118D">
        <w:rPr>
          <w:rFonts w:asciiTheme="minorBidi" w:hAnsiTheme="minorBidi"/>
        </w:rPr>
        <w:t xml:space="preserve">. </w:t>
      </w:r>
    </w:p>
    <w:p w14:paraId="424480AD" w14:textId="62FA30E5" w:rsidR="00180663" w:rsidRPr="002E118D" w:rsidRDefault="00180663" w:rsidP="002540F5">
      <w:pPr>
        <w:pStyle w:val="Heading1"/>
      </w:pPr>
      <w:r w:rsidRPr="002E118D">
        <w:t xml:space="preserve">Acknowledgements </w:t>
      </w:r>
    </w:p>
    <w:p w14:paraId="7660C55B" w14:textId="2F29B8F7" w:rsidR="006140D1" w:rsidRPr="002E118D" w:rsidRDefault="00180663" w:rsidP="002540F5">
      <w:pPr>
        <w:rPr>
          <w:rFonts w:asciiTheme="minorBidi" w:hAnsiTheme="minorBidi"/>
        </w:rPr>
      </w:pPr>
      <w:r w:rsidRPr="002E118D">
        <w:rPr>
          <w:rFonts w:asciiTheme="minorBidi" w:hAnsiTheme="minorBidi"/>
        </w:rPr>
        <w:t xml:space="preserve">The paper benefited from comments from participants at </w:t>
      </w:r>
      <w:r w:rsidR="000C04EB" w:rsidRPr="002E118D">
        <w:rPr>
          <w:rFonts w:asciiTheme="minorBidi" w:hAnsiTheme="minorBidi"/>
        </w:rPr>
        <w:t>the 7</w:t>
      </w:r>
      <w:r w:rsidR="000C04EB" w:rsidRPr="002E118D">
        <w:rPr>
          <w:rFonts w:asciiTheme="minorBidi" w:hAnsiTheme="minorBidi"/>
          <w:vertAlign w:val="superscript"/>
        </w:rPr>
        <w:t>th</w:t>
      </w:r>
      <w:r w:rsidR="000C04EB" w:rsidRPr="002E118D">
        <w:rPr>
          <w:rFonts w:asciiTheme="minorBidi" w:hAnsiTheme="minorBidi"/>
        </w:rPr>
        <w:t xml:space="preserve"> </w:t>
      </w:r>
      <w:r w:rsidRPr="002E118D">
        <w:rPr>
          <w:rFonts w:asciiTheme="minorBidi" w:hAnsiTheme="minorBidi"/>
        </w:rPr>
        <w:t xml:space="preserve">CSEAR </w:t>
      </w:r>
      <w:r w:rsidR="000C04EB" w:rsidRPr="002E118D">
        <w:rPr>
          <w:rFonts w:asciiTheme="minorBidi" w:hAnsiTheme="minorBidi"/>
        </w:rPr>
        <w:t xml:space="preserve">North America </w:t>
      </w:r>
      <w:r w:rsidRPr="002E118D">
        <w:rPr>
          <w:rFonts w:asciiTheme="minorBidi" w:hAnsiTheme="minorBidi"/>
        </w:rPr>
        <w:t>conference</w:t>
      </w:r>
      <w:r w:rsidR="000C04EB" w:rsidRPr="002E118D">
        <w:rPr>
          <w:rFonts w:asciiTheme="minorBidi" w:hAnsiTheme="minorBidi"/>
        </w:rPr>
        <w:t>, Toronto, June</w:t>
      </w:r>
      <w:r w:rsidRPr="002E118D">
        <w:rPr>
          <w:rFonts w:asciiTheme="minorBidi" w:hAnsiTheme="minorBidi"/>
        </w:rPr>
        <w:t xml:space="preserve"> 2018 and </w:t>
      </w:r>
      <w:r w:rsidR="000C04EB" w:rsidRPr="002E118D">
        <w:rPr>
          <w:rFonts w:asciiTheme="minorBidi" w:hAnsiTheme="minorBidi"/>
        </w:rPr>
        <w:t>the 22</w:t>
      </w:r>
      <w:r w:rsidR="000C04EB" w:rsidRPr="002E118D">
        <w:rPr>
          <w:rFonts w:asciiTheme="minorBidi" w:hAnsiTheme="minorBidi"/>
          <w:vertAlign w:val="superscript"/>
        </w:rPr>
        <w:t>nd</w:t>
      </w:r>
      <w:r w:rsidR="000C04EB" w:rsidRPr="002E118D">
        <w:rPr>
          <w:rFonts w:asciiTheme="minorBidi" w:hAnsiTheme="minorBidi"/>
        </w:rPr>
        <w:t xml:space="preserve"> Financial Reporting and Business Communication</w:t>
      </w:r>
      <w:r w:rsidRPr="002E118D">
        <w:rPr>
          <w:rFonts w:asciiTheme="minorBidi" w:hAnsiTheme="minorBidi"/>
        </w:rPr>
        <w:t xml:space="preserve"> conference, Bristol</w:t>
      </w:r>
      <w:r w:rsidR="000C04EB" w:rsidRPr="002E118D">
        <w:rPr>
          <w:rFonts w:asciiTheme="minorBidi" w:hAnsiTheme="minorBidi"/>
        </w:rPr>
        <w:t>, July</w:t>
      </w:r>
      <w:r w:rsidRPr="002E118D">
        <w:rPr>
          <w:rFonts w:asciiTheme="minorBidi" w:hAnsiTheme="minorBidi"/>
        </w:rPr>
        <w:t xml:space="preserve"> 2018. </w:t>
      </w:r>
      <w:bookmarkEnd w:id="7"/>
      <w:bookmarkEnd w:id="8"/>
      <w:bookmarkEnd w:id="9"/>
      <w:bookmarkEnd w:id="10"/>
      <w:bookmarkEnd w:id="11"/>
      <w:bookmarkEnd w:id="12"/>
      <w:bookmarkEnd w:id="13"/>
      <w:bookmarkEnd w:id="14"/>
      <w:bookmarkEnd w:id="15"/>
      <w:bookmarkEnd w:id="16"/>
      <w:bookmarkEnd w:id="17"/>
      <w:bookmarkEnd w:id="18"/>
      <w:bookmarkEnd w:id="19"/>
      <w:r w:rsidR="00652ED0" w:rsidRPr="002E118D">
        <w:rPr>
          <w:rFonts w:asciiTheme="minorBidi" w:hAnsiTheme="minorBidi"/>
        </w:rPr>
        <w:t>We also thank the editor, Carol Tilt, the associate editor, N</w:t>
      </w:r>
      <w:r w:rsidR="00481A51" w:rsidRPr="002E118D">
        <w:rPr>
          <w:rFonts w:asciiTheme="minorBidi" w:hAnsiTheme="minorBidi"/>
        </w:rPr>
        <w:t>ia</w:t>
      </w:r>
      <w:r w:rsidR="00652ED0" w:rsidRPr="002E118D">
        <w:rPr>
          <w:rFonts w:asciiTheme="minorBidi" w:hAnsiTheme="minorBidi"/>
        </w:rPr>
        <w:t>mh Brennan, and two anonymous reviewers for their very helpful comments on earlier drafts of the paper.</w:t>
      </w:r>
    </w:p>
    <w:p w14:paraId="0B2355FB" w14:textId="426A50A4" w:rsidR="00810A4B" w:rsidRPr="002E118D" w:rsidRDefault="00810A4B" w:rsidP="002540F5">
      <w:pPr>
        <w:pStyle w:val="Heading1"/>
      </w:pPr>
      <w:r w:rsidRPr="002E118D">
        <w:t>Funding</w:t>
      </w:r>
    </w:p>
    <w:p w14:paraId="7DA58D1A" w14:textId="77855B94" w:rsidR="00A434EE" w:rsidRPr="002E118D" w:rsidRDefault="00810A4B" w:rsidP="002540F5">
      <w:pPr>
        <w:rPr>
          <w:rFonts w:asciiTheme="minorBidi" w:hAnsiTheme="minorBidi"/>
        </w:rPr>
      </w:pPr>
      <w:r w:rsidRPr="002E118D">
        <w:rPr>
          <w:rFonts w:asciiTheme="minorBidi" w:hAnsiTheme="minorBidi"/>
        </w:rPr>
        <w:t>This research did not receive any specific grant from funding agencies in the public, commercial, or not-for-profit sectors.</w:t>
      </w:r>
    </w:p>
    <w:p w14:paraId="3F4A378A" w14:textId="77777777" w:rsidR="001D1EEE" w:rsidRPr="008A3241" w:rsidRDefault="001D1EEE" w:rsidP="001D1EEE">
      <w:pPr>
        <w:pStyle w:val="Heading1"/>
        <w:numPr>
          <w:ilvl w:val="0"/>
          <w:numId w:val="0"/>
        </w:numPr>
      </w:pPr>
      <w:r>
        <w:t>References</w:t>
      </w:r>
    </w:p>
    <w:p w14:paraId="1D4177BC" w14:textId="54CD077E" w:rsidR="001D1EEE" w:rsidRDefault="001D1EEE" w:rsidP="001D1EEE">
      <w:pPr>
        <w:pStyle w:val="References"/>
        <w:rPr>
          <w:rFonts w:asciiTheme="minorBidi" w:hAnsiTheme="minorBidi" w:cstheme="minorBidi"/>
          <w:szCs w:val="22"/>
        </w:rPr>
      </w:pPr>
      <w:r>
        <w:rPr>
          <w:rFonts w:asciiTheme="minorBidi" w:hAnsiTheme="minorBidi" w:cstheme="minorBidi"/>
          <w:szCs w:val="22"/>
        </w:rPr>
        <w:t>Adams, C. A. (2002).</w:t>
      </w:r>
      <w:r w:rsidR="00886A4E">
        <w:rPr>
          <w:rFonts w:asciiTheme="minorBidi" w:hAnsiTheme="minorBidi" w:cstheme="minorBidi"/>
          <w:szCs w:val="22"/>
        </w:rPr>
        <w:t xml:space="preserve"> </w:t>
      </w:r>
      <w:r>
        <w:rPr>
          <w:rFonts w:asciiTheme="minorBidi" w:hAnsiTheme="minorBidi" w:cstheme="minorBidi"/>
          <w:szCs w:val="22"/>
        </w:rPr>
        <w:t>Internal organi</w:t>
      </w:r>
      <w:r w:rsidR="004826CF">
        <w:rPr>
          <w:rFonts w:asciiTheme="minorBidi" w:hAnsiTheme="minorBidi" w:cstheme="minorBidi"/>
          <w:szCs w:val="22"/>
        </w:rPr>
        <w:t>s</w:t>
      </w:r>
      <w:r>
        <w:rPr>
          <w:rFonts w:asciiTheme="minorBidi" w:hAnsiTheme="minorBidi" w:cstheme="minorBidi"/>
          <w:szCs w:val="22"/>
        </w:rPr>
        <w:t>ational factors influencing corporate social and ethical reporting:</w:t>
      </w:r>
      <w:r w:rsidR="00886A4E">
        <w:rPr>
          <w:rFonts w:asciiTheme="minorBidi" w:hAnsiTheme="minorBidi" w:cstheme="minorBidi"/>
          <w:szCs w:val="22"/>
        </w:rPr>
        <w:t xml:space="preserve"> </w:t>
      </w:r>
      <w:r>
        <w:rPr>
          <w:rFonts w:asciiTheme="minorBidi" w:hAnsiTheme="minorBidi" w:cstheme="minorBidi"/>
          <w:szCs w:val="22"/>
        </w:rPr>
        <w:t>Beyond current theorising.</w:t>
      </w:r>
      <w:r w:rsidR="00886A4E">
        <w:rPr>
          <w:rFonts w:asciiTheme="minorBidi" w:hAnsiTheme="minorBidi" w:cstheme="minorBidi"/>
          <w:szCs w:val="22"/>
        </w:rPr>
        <w:t xml:space="preserve"> </w:t>
      </w:r>
      <w:r w:rsidRPr="00E96BC4">
        <w:rPr>
          <w:rFonts w:asciiTheme="minorBidi" w:hAnsiTheme="minorBidi" w:cstheme="minorBidi"/>
          <w:i/>
          <w:szCs w:val="22"/>
        </w:rPr>
        <w:t>Accounting, Auditing &amp; Accountability Journal, 15</w:t>
      </w:r>
      <w:r>
        <w:rPr>
          <w:rFonts w:asciiTheme="minorBidi" w:hAnsiTheme="minorBidi" w:cstheme="minorBidi"/>
          <w:szCs w:val="22"/>
        </w:rPr>
        <w:t>(2), 223-250.</w:t>
      </w:r>
    </w:p>
    <w:p w14:paraId="739B2F86" w14:textId="0470685B" w:rsidR="001D1EEE" w:rsidRDefault="001D1EEE" w:rsidP="001D1EEE">
      <w:pPr>
        <w:pStyle w:val="References"/>
        <w:rPr>
          <w:rFonts w:asciiTheme="minorBidi" w:hAnsiTheme="minorBidi" w:cstheme="minorBidi"/>
          <w:szCs w:val="22"/>
        </w:rPr>
      </w:pPr>
      <w:r>
        <w:rPr>
          <w:rFonts w:asciiTheme="minorBidi" w:hAnsiTheme="minorBidi" w:cstheme="minorBidi"/>
          <w:szCs w:val="22"/>
        </w:rPr>
        <w:lastRenderedPageBreak/>
        <w:t xml:space="preserve">Adams, C. A., </w:t>
      </w:r>
      <w:r w:rsidR="008C76FE">
        <w:rPr>
          <w:rFonts w:asciiTheme="minorBidi" w:hAnsiTheme="minorBidi" w:cstheme="minorBidi"/>
          <w:szCs w:val="22"/>
        </w:rPr>
        <w:t xml:space="preserve">&amp; </w:t>
      </w:r>
      <w:r>
        <w:rPr>
          <w:rFonts w:asciiTheme="minorBidi" w:hAnsiTheme="minorBidi" w:cstheme="minorBidi"/>
          <w:szCs w:val="22"/>
        </w:rPr>
        <w:t>Frost, G. R. (2006).</w:t>
      </w:r>
      <w:r w:rsidR="00886A4E">
        <w:rPr>
          <w:rFonts w:asciiTheme="minorBidi" w:hAnsiTheme="minorBidi" w:cstheme="minorBidi"/>
          <w:szCs w:val="22"/>
        </w:rPr>
        <w:t xml:space="preserve"> </w:t>
      </w:r>
      <w:r>
        <w:rPr>
          <w:rFonts w:asciiTheme="minorBidi" w:hAnsiTheme="minorBidi" w:cstheme="minorBidi"/>
          <w:szCs w:val="22"/>
        </w:rPr>
        <w:t>Accessibility and functionality of the corporate web site:</w:t>
      </w:r>
      <w:r w:rsidR="00886A4E">
        <w:rPr>
          <w:rFonts w:asciiTheme="minorBidi" w:hAnsiTheme="minorBidi" w:cstheme="minorBidi"/>
          <w:szCs w:val="22"/>
        </w:rPr>
        <w:t xml:space="preserve"> </w:t>
      </w:r>
      <w:r w:rsidR="004826CF">
        <w:rPr>
          <w:rFonts w:asciiTheme="minorBidi" w:hAnsiTheme="minorBidi" w:cstheme="minorBidi"/>
          <w:szCs w:val="22"/>
        </w:rPr>
        <w:t>I</w:t>
      </w:r>
      <w:r>
        <w:rPr>
          <w:rFonts w:asciiTheme="minorBidi" w:hAnsiTheme="minorBidi" w:cstheme="minorBidi"/>
          <w:szCs w:val="22"/>
        </w:rPr>
        <w:t>mplications for sustainability reporting.</w:t>
      </w:r>
      <w:r w:rsidR="00886A4E">
        <w:rPr>
          <w:rFonts w:asciiTheme="minorBidi" w:hAnsiTheme="minorBidi" w:cstheme="minorBidi"/>
          <w:szCs w:val="22"/>
        </w:rPr>
        <w:t xml:space="preserve"> </w:t>
      </w:r>
      <w:r w:rsidRPr="00E96BC4">
        <w:rPr>
          <w:rFonts w:asciiTheme="minorBidi" w:hAnsiTheme="minorBidi" w:cstheme="minorBidi"/>
          <w:i/>
          <w:szCs w:val="22"/>
        </w:rPr>
        <w:t>Business Strategy and the Environment, 15</w:t>
      </w:r>
      <w:r>
        <w:rPr>
          <w:rFonts w:asciiTheme="minorBidi" w:hAnsiTheme="minorBidi" w:cstheme="minorBidi"/>
          <w:szCs w:val="22"/>
        </w:rPr>
        <w:t>(4), 275-287.</w:t>
      </w:r>
    </w:p>
    <w:p w14:paraId="474B5420" w14:textId="703D9FE2"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Alvesson, M., </w:t>
      </w:r>
      <w:r w:rsidR="008C76FE">
        <w:rPr>
          <w:rFonts w:asciiTheme="minorBidi" w:hAnsiTheme="minorBidi" w:cstheme="minorBidi"/>
          <w:szCs w:val="22"/>
        </w:rPr>
        <w:t xml:space="preserve">&amp; </w:t>
      </w:r>
      <w:r w:rsidRPr="00BA12C2">
        <w:rPr>
          <w:rFonts w:asciiTheme="minorBidi" w:hAnsiTheme="minorBidi" w:cstheme="minorBidi"/>
          <w:szCs w:val="22"/>
        </w:rPr>
        <w:t>Spicer, A. (2012). A stupidity-</w:t>
      </w:r>
      <w:r w:rsidR="004826CF">
        <w:rPr>
          <w:rFonts w:asciiTheme="minorBidi" w:hAnsiTheme="minorBidi" w:cstheme="minorBidi"/>
          <w:szCs w:val="22"/>
        </w:rPr>
        <w:t>b</w:t>
      </w:r>
      <w:r w:rsidRPr="00BA12C2">
        <w:rPr>
          <w:rFonts w:asciiTheme="minorBidi" w:hAnsiTheme="minorBidi" w:cstheme="minorBidi"/>
          <w:szCs w:val="22"/>
        </w:rPr>
        <w:t>ased theory of organi</w:t>
      </w:r>
      <w:r w:rsidR="004826CF">
        <w:rPr>
          <w:rFonts w:asciiTheme="minorBidi" w:hAnsiTheme="minorBidi" w:cstheme="minorBidi"/>
          <w:szCs w:val="22"/>
        </w:rPr>
        <w:t>z</w:t>
      </w:r>
      <w:r w:rsidRPr="00BA12C2">
        <w:rPr>
          <w:rFonts w:asciiTheme="minorBidi" w:hAnsiTheme="minorBidi" w:cstheme="minorBidi"/>
          <w:szCs w:val="22"/>
        </w:rPr>
        <w:t xml:space="preserve">ations. </w:t>
      </w:r>
      <w:r w:rsidRPr="00BA12C2">
        <w:rPr>
          <w:rFonts w:asciiTheme="minorBidi" w:hAnsiTheme="minorBidi" w:cstheme="minorBidi"/>
          <w:i/>
          <w:szCs w:val="22"/>
        </w:rPr>
        <w:t>Journal of Management Studies, 49</w:t>
      </w:r>
      <w:r w:rsidRPr="008060B4">
        <w:rPr>
          <w:rFonts w:asciiTheme="minorBidi" w:hAnsiTheme="minorBidi"/>
        </w:rPr>
        <w:t>(7</w:t>
      </w:r>
      <w:r w:rsidR="004826CF" w:rsidRPr="008060B4">
        <w:rPr>
          <w:rFonts w:asciiTheme="minorBidi" w:hAnsiTheme="minorBidi"/>
        </w:rPr>
        <w:t>),</w:t>
      </w:r>
      <w:r w:rsidRPr="00BA12C2">
        <w:rPr>
          <w:rFonts w:asciiTheme="minorBidi" w:hAnsiTheme="minorBidi" w:cstheme="minorBidi"/>
          <w:i/>
          <w:szCs w:val="22"/>
        </w:rPr>
        <w:t xml:space="preserve"> </w:t>
      </w:r>
      <w:r w:rsidRPr="00BA12C2">
        <w:rPr>
          <w:rFonts w:asciiTheme="minorBidi" w:hAnsiTheme="minorBidi" w:cstheme="minorBidi"/>
          <w:szCs w:val="22"/>
        </w:rPr>
        <w:t>1194-1220</w:t>
      </w:r>
      <w:r w:rsidR="004826CF">
        <w:rPr>
          <w:rFonts w:asciiTheme="minorBidi" w:hAnsiTheme="minorBidi" w:cstheme="minorBidi"/>
          <w:szCs w:val="22"/>
        </w:rPr>
        <w:t>.</w:t>
      </w:r>
    </w:p>
    <w:p w14:paraId="2FE71981" w14:textId="21A104E7" w:rsidR="001D1EEE" w:rsidRPr="00BA12C2" w:rsidRDefault="001D1EEE" w:rsidP="001D1EEE">
      <w:pPr>
        <w:pStyle w:val="References"/>
        <w:rPr>
          <w:rFonts w:asciiTheme="minorBidi" w:hAnsiTheme="minorBidi" w:cstheme="minorBidi"/>
          <w:i/>
          <w:szCs w:val="22"/>
        </w:rPr>
      </w:pPr>
      <w:r w:rsidRPr="00BA12C2">
        <w:rPr>
          <w:rFonts w:asciiTheme="minorBidi" w:hAnsiTheme="minorBidi" w:cstheme="minorBidi"/>
          <w:szCs w:val="22"/>
        </w:rPr>
        <w:t>Amran, A., Lee, S.</w:t>
      </w:r>
      <w:r w:rsidR="008C76FE">
        <w:rPr>
          <w:rFonts w:asciiTheme="minorBidi" w:hAnsiTheme="minorBidi" w:cstheme="minorBidi"/>
          <w:szCs w:val="22"/>
        </w:rPr>
        <w:t xml:space="preserve"> </w:t>
      </w:r>
      <w:r w:rsidRPr="00BA12C2">
        <w:rPr>
          <w:rFonts w:asciiTheme="minorBidi" w:hAnsiTheme="minorBidi" w:cstheme="minorBidi"/>
          <w:szCs w:val="22"/>
        </w:rPr>
        <w:t xml:space="preserve">P., </w:t>
      </w:r>
      <w:r w:rsidR="008C76FE">
        <w:rPr>
          <w:rFonts w:asciiTheme="minorBidi" w:hAnsiTheme="minorBidi" w:cstheme="minorBidi"/>
          <w:szCs w:val="22"/>
        </w:rPr>
        <w:t xml:space="preserve">&amp; </w:t>
      </w:r>
      <w:r w:rsidRPr="00BA12C2">
        <w:rPr>
          <w:rFonts w:asciiTheme="minorBidi" w:hAnsiTheme="minorBidi" w:cstheme="minorBidi"/>
          <w:szCs w:val="22"/>
        </w:rPr>
        <w:t>Devi, S.</w:t>
      </w:r>
      <w:r w:rsidR="008C76FE">
        <w:rPr>
          <w:rFonts w:asciiTheme="minorBidi" w:hAnsiTheme="minorBidi" w:cstheme="minorBidi"/>
          <w:szCs w:val="22"/>
        </w:rPr>
        <w:t xml:space="preserve"> </w:t>
      </w:r>
      <w:r w:rsidRPr="00BA12C2">
        <w:rPr>
          <w:rFonts w:asciiTheme="minorBidi" w:hAnsiTheme="minorBidi" w:cstheme="minorBidi"/>
          <w:szCs w:val="22"/>
        </w:rPr>
        <w:t xml:space="preserve">S. (2014). The influence of </w:t>
      </w:r>
      <w:r w:rsidR="004826CF">
        <w:rPr>
          <w:rFonts w:asciiTheme="minorBidi" w:hAnsiTheme="minorBidi" w:cstheme="minorBidi"/>
          <w:szCs w:val="22"/>
        </w:rPr>
        <w:t>g</w:t>
      </w:r>
      <w:r w:rsidRPr="00BA12C2">
        <w:rPr>
          <w:rFonts w:asciiTheme="minorBidi" w:hAnsiTheme="minorBidi" w:cstheme="minorBidi"/>
          <w:szCs w:val="22"/>
        </w:rPr>
        <w:t xml:space="preserve">overnance </w:t>
      </w:r>
      <w:r w:rsidR="004826CF">
        <w:rPr>
          <w:rFonts w:asciiTheme="minorBidi" w:hAnsiTheme="minorBidi" w:cstheme="minorBidi"/>
          <w:szCs w:val="22"/>
        </w:rPr>
        <w:t>s</w:t>
      </w:r>
      <w:r w:rsidRPr="00BA12C2">
        <w:rPr>
          <w:rFonts w:asciiTheme="minorBidi" w:hAnsiTheme="minorBidi" w:cstheme="minorBidi"/>
          <w:szCs w:val="22"/>
        </w:rPr>
        <w:t xml:space="preserve">tructure and </w:t>
      </w:r>
      <w:r w:rsidR="004826CF">
        <w:rPr>
          <w:rFonts w:asciiTheme="minorBidi" w:hAnsiTheme="minorBidi" w:cstheme="minorBidi"/>
          <w:szCs w:val="22"/>
        </w:rPr>
        <w:t>s</w:t>
      </w:r>
      <w:r w:rsidRPr="00BA12C2">
        <w:rPr>
          <w:rFonts w:asciiTheme="minorBidi" w:hAnsiTheme="minorBidi" w:cstheme="minorBidi"/>
          <w:szCs w:val="22"/>
        </w:rPr>
        <w:t xml:space="preserve">trategic </w:t>
      </w:r>
      <w:r w:rsidR="004826CF">
        <w:rPr>
          <w:rFonts w:asciiTheme="minorBidi" w:hAnsiTheme="minorBidi" w:cstheme="minorBidi"/>
          <w:szCs w:val="22"/>
        </w:rPr>
        <w:t>c</w:t>
      </w:r>
      <w:r w:rsidRPr="00BA12C2">
        <w:rPr>
          <w:rFonts w:asciiTheme="minorBidi" w:hAnsiTheme="minorBidi" w:cstheme="minorBidi"/>
          <w:szCs w:val="22"/>
        </w:rPr>
        <w:t xml:space="preserve">orporate </w:t>
      </w:r>
      <w:r w:rsidR="004826CF">
        <w:rPr>
          <w:rFonts w:asciiTheme="minorBidi" w:hAnsiTheme="minorBidi" w:cstheme="minorBidi"/>
          <w:szCs w:val="22"/>
        </w:rPr>
        <w:t>s</w:t>
      </w:r>
      <w:r w:rsidRPr="00BA12C2">
        <w:rPr>
          <w:rFonts w:asciiTheme="minorBidi" w:hAnsiTheme="minorBidi" w:cstheme="minorBidi"/>
          <w:szCs w:val="22"/>
        </w:rPr>
        <w:t xml:space="preserve">ocial </w:t>
      </w:r>
      <w:r w:rsidR="004826CF">
        <w:rPr>
          <w:rFonts w:asciiTheme="minorBidi" w:hAnsiTheme="minorBidi" w:cstheme="minorBidi"/>
          <w:szCs w:val="22"/>
        </w:rPr>
        <w:t>r</w:t>
      </w:r>
      <w:r w:rsidRPr="00BA12C2">
        <w:rPr>
          <w:rFonts w:asciiTheme="minorBidi" w:hAnsiTheme="minorBidi" w:cstheme="minorBidi"/>
          <w:szCs w:val="22"/>
        </w:rPr>
        <w:t xml:space="preserve">esponsibility toward </w:t>
      </w:r>
      <w:r w:rsidR="004826CF">
        <w:rPr>
          <w:rFonts w:asciiTheme="minorBidi" w:hAnsiTheme="minorBidi" w:cstheme="minorBidi"/>
          <w:szCs w:val="22"/>
        </w:rPr>
        <w:t>s</w:t>
      </w:r>
      <w:r w:rsidRPr="00BA12C2">
        <w:rPr>
          <w:rFonts w:asciiTheme="minorBidi" w:hAnsiTheme="minorBidi" w:cstheme="minorBidi"/>
          <w:szCs w:val="22"/>
        </w:rPr>
        <w:t xml:space="preserve">ustainability </w:t>
      </w:r>
      <w:r w:rsidR="004826CF">
        <w:rPr>
          <w:rFonts w:asciiTheme="minorBidi" w:hAnsiTheme="minorBidi" w:cstheme="minorBidi"/>
          <w:szCs w:val="22"/>
        </w:rPr>
        <w:t>r</w:t>
      </w:r>
      <w:r w:rsidRPr="00BA12C2">
        <w:rPr>
          <w:rFonts w:asciiTheme="minorBidi" w:hAnsiTheme="minorBidi" w:cstheme="minorBidi"/>
          <w:szCs w:val="22"/>
        </w:rPr>
        <w:t xml:space="preserve">eporting </w:t>
      </w:r>
      <w:r w:rsidR="004826CF">
        <w:rPr>
          <w:rFonts w:asciiTheme="minorBidi" w:hAnsiTheme="minorBidi" w:cstheme="minorBidi"/>
          <w:szCs w:val="22"/>
        </w:rPr>
        <w:t>q</w:t>
      </w:r>
      <w:r w:rsidRPr="00BA12C2">
        <w:rPr>
          <w:rFonts w:asciiTheme="minorBidi" w:hAnsiTheme="minorBidi" w:cstheme="minorBidi"/>
          <w:szCs w:val="22"/>
        </w:rPr>
        <w:t xml:space="preserve">uality. </w:t>
      </w:r>
      <w:r w:rsidRPr="00BA12C2">
        <w:rPr>
          <w:rFonts w:asciiTheme="minorBidi" w:hAnsiTheme="minorBidi" w:cstheme="minorBidi"/>
          <w:i/>
          <w:szCs w:val="22"/>
        </w:rPr>
        <w:t>Business Strategy and the Environment, 23</w:t>
      </w:r>
      <w:r w:rsidR="004826CF">
        <w:rPr>
          <w:rFonts w:asciiTheme="minorBidi" w:hAnsiTheme="minorBidi" w:cstheme="minorBidi"/>
          <w:iCs/>
          <w:szCs w:val="22"/>
        </w:rPr>
        <w:t>(4),</w:t>
      </w:r>
      <w:r w:rsidRPr="00BA12C2">
        <w:rPr>
          <w:rFonts w:asciiTheme="minorBidi" w:hAnsiTheme="minorBidi" w:cstheme="minorBidi"/>
          <w:i/>
          <w:szCs w:val="22"/>
        </w:rPr>
        <w:t xml:space="preserve"> </w:t>
      </w:r>
      <w:r w:rsidRPr="00BA12C2">
        <w:rPr>
          <w:rFonts w:asciiTheme="minorBidi" w:hAnsiTheme="minorBidi" w:cstheme="minorBidi"/>
          <w:szCs w:val="22"/>
        </w:rPr>
        <w:t>217-235</w:t>
      </w:r>
      <w:r w:rsidR="004826CF">
        <w:rPr>
          <w:rFonts w:asciiTheme="minorBidi" w:hAnsiTheme="minorBidi" w:cstheme="minorBidi"/>
          <w:szCs w:val="22"/>
        </w:rPr>
        <w:t>.</w:t>
      </w:r>
    </w:p>
    <w:p w14:paraId="4FCA4773" w14:textId="24D152FB"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Ashforth, B.</w:t>
      </w:r>
      <w:r w:rsidR="008C76FE">
        <w:rPr>
          <w:rFonts w:asciiTheme="minorBidi" w:hAnsiTheme="minorBidi" w:cstheme="minorBidi"/>
        </w:rPr>
        <w:t xml:space="preserve"> </w:t>
      </w:r>
      <w:r w:rsidRPr="00BA12C2">
        <w:rPr>
          <w:rFonts w:asciiTheme="minorBidi" w:hAnsiTheme="minorBidi" w:cstheme="minorBidi"/>
        </w:rPr>
        <w:t xml:space="preserve">E., </w:t>
      </w:r>
      <w:r w:rsidR="008C76FE">
        <w:rPr>
          <w:rFonts w:asciiTheme="minorBidi" w:hAnsiTheme="minorBidi" w:cstheme="minorBidi"/>
        </w:rPr>
        <w:t xml:space="preserve">&amp; </w:t>
      </w:r>
      <w:r w:rsidRPr="00BA12C2">
        <w:rPr>
          <w:rFonts w:asciiTheme="minorBidi" w:hAnsiTheme="minorBidi" w:cstheme="minorBidi"/>
        </w:rPr>
        <w:t>Gibbs, B.</w:t>
      </w:r>
      <w:r w:rsidR="008C76FE">
        <w:rPr>
          <w:rFonts w:asciiTheme="minorBidi" w:hAnsiTheme="minorBidi" w:cstheme="minorBidi"/>
        </w:rPr>
        <w:t xml:space="preserve"> </w:t>
      </w:r>
      <w:r w:rsidRPr="00BA12C2">
        <w:rPr>
          <w:rFonts w:asciiTheme="minorBidi" w:hAnsiTheme="minorBidi" w:cstheme="minorBidi"/>
        </w:rPr>
        <w:t xml:space="preserve">W. (1990). The double-edge of organizational legitimation. </w:t>
      </w:r>
      <w:r w:rsidRPr="00BA12C2">
        <w:rPr>
          <w:rFonts w:asciiTheme="minorBidi" w:hAnsiTheme="minorBidi" w:cstheme="minorBidi"/>
          <w:i/>
        </w:rPr>
        <w:t>Organization Science, 1</w:t>
      </w:r>
      <w:r w:rsidRPr="00BA12C2">
        <w:rPr>
          <w:rFonts w:asciiTheme="minorBidi" w:hAnsiTheme="minorBidi" w:cstheme="minorBidi"/>
        </w:rPr>
        <w:t xml:space="preserve">(2), 177-194. </w:t>
      </w:r>
    </w:p>
    <w:p w14:paraId="1E23DB99" w14:textId="3945C997"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 xml:space="preserve">Barkemeyer, R., Comyns, B., Figge, F., </w:t>
      </w:r>
      <w:r w:rsidR="008C76FE">
        <w:rPr>
          <w:rFonts w:asciiTheme="minorBidi" w:hAnsiTheme="minorBidi" w:cstheme="minorBidi"/>
        </w:rPr>
        <w:t xml:space="preserve">&amp; </w:t>
      </w:r>
      <w:r w:rsidRPr="00BA12C2">
        <w:rPr>
          <w:rFonts w:asciiTheme="minorBidi" w:hAnsiTheme="minorBidi" w:cstheme="minorBidi"/>
        </w:rPr>
        <w:t xml:space="preserve">Napolitano, G. (2014). CEO statements in sustainability reports: Substantive information or background noise? </w:t>
      </w:r>
      <w:r w:rsidRPr="00BA12C2">
        <w:rPr>
          <w:rFonts w:asciiTheme="minorBidi" w:hAnsiTheme="minorBidi" w:cstheme="minorBidi"/>
          <w:i/>
        </w:rPr>
        <w:t xml:space="preserve">Accounting Forum, </w:t>
      </w:r>
      <w:r w:rsidR="00D16F78">
        <w:rPr>
          <w:rFonts w:asciiTheme="minorBidi" w:hAnsiTheme="minorBidi" w:cstheme="minorBidi"/>
          <w:i/>
        </w:rPr>
        <w:t>3</w:t>
      </w:r>
      <w:r w:rsidRPr="00BA12C2">
        <w:rPr>
          <w:rFonts w:asciiTheme="minorBidi" w:hAnsiTheme="minorBidi" w:cstheme="minorBidi"/>
          <w:i/>
        </w:rPr>
        <w:t>8</w:t>
      </w:r>
      <w:r w:rsidRPr="00BA12C2">
        <w:rPr>
          <w:rFonts w:asciiTheme="minorBidi" w:hAnsiTheme="minorBidi" w:cstheme="minorBidi"/>
        </w:rPr>
        <w:t>(4),</w:t>
      </w:r>
      <w:r w:rsidRPr="00BA12C2">
        <w:rPr>
          <w:rFonts w:asciiTheme="minorBidi" w:hAnsiTheme="minorBidi" w:cstheme="minorBidi"/>
          <w:i/>
        </w:rPr>
        <w:t xml:space="preserve"> </w:t>
      </w:r>
      <w:r w:rsidRPr="00BA12C2">
        <w:rPr>
          <w:rFonts w:asciiTheme="minorBidi" w:hAnsiTheme="minorBidi" w:cstheme="minorBidi"/>
        </w:rPr>
        <w:t>241-257</w:t>
      </w:r>
      <w:r w:rsidR="00D9166D">
        <w:rPr>
          <w:rFonts w:asciiTheme="minorBidi" w:hAnsiTheme="minorBidi" w:cstheme="minorBidi"/>
        </w:rPr>
        <w:t>.</w:t>
      </w:r>
    </w:p>
    <w:p w14:paraId="21A5E3F8" w14:textId="1E68A0FE"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Beattie, V., </w:t>
      </w:r>
      <w:r w:rsidR="008C76FE">
        <w:rPr>
          <w:rFonts w:asciiTheme="minorBidi" w:hAnsiTheme="minorBidi" w:cstheme="minorBidi"/>
          <w:szCs w:val="22"/>
        </w:rPr>
        <w:t xml:space="preserve">&amp; </w:t>
      </w:r>
      <w:r w:rsidRPr="00BA12C2">
        <w:rPr>
          <w:rFonts w:asciiTheme="minorBidi" w:hAnsiTheme="minorBidi" w:cstheme="minorBidi"/>
          <w:szCs w:val="22"/>
        </w:rPr>
        <w:t>Jones, M.</w:t>
      </w:r>
      <w:r w:rsidR="008C76FE">
        <w:rPr>
          <w:rFonts w:asciiTheme="minorBidi" w:hAnsiTheme="minorBidi" w:cstheme="minorBidi"/>
          <w:szCs w:val="22"/>
        </w:rPr>
        <w:t xml:space="preserve"> </w:t>
      </w:r>
      <w:r w:rsidRPr="00BA12C2">
        <w:rPr>
          <w:rFonts w:asciiTheme="minorBidi" w:hAnsiTheme="minorBidi" w:cstheme="minorBidi"/>
          <w:szCs w:val="22"/>
        </w:rPr>
        <w:t xml:space="preserve">J. (1997). A comparative study of the use of financial graphs in the corporate annual reports of major US and UK companies. </w:t>
      </w:r>
      <w:r w:rsidRPr="00BA12C2">
        <w:rPr>
          <w:rFonts w:asciiTheme="minorBidi" w:hAnsiTheme="minorBidi" w:cstheme="minorBidi"/>
          <w:i/>
          <w:szCs w:val="22"/>
        </w:rPr>
        <w:t>Journal of International Financial Management &amp; Accounting, 8</w:t>
      </w:r>
      <w:r w:rsidRPr="00BA12C2">
        <w:rPr>
          <w:rFonts w:asciiTheme="minorBidi" w:hAnsiTheme="minorBidi" w:cstheme="minorBidi"/>
          <w:szCs w:val="22"/>
        </w:rPr>
        <w:t xml:space="preserve">(1), 33-68. </w:t>
      </w:r>
    </w:p>
    <w:p w14:paraId="277C0D54" w14:textId="36D181AD"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Beattie, V., </w:t>
      </w:r>
      <w:r w:rsidR="008C76FE">
        <w:rPr>
          <w:rFonts w:asciiTheme="minorBidi" w:hAnsiTheme="minorBidi" w:cstheme="minorBidi"/>
          <w:szCs w:val="22"/>
        </w:rPr>
        <w:t xml:space="preserve">&amp; </w:t>
      </w:r>
      <w:r w:rsidRPr="00BA12C2">
        <w:rPr>
          <w:rFonts w:asciiTheme="minorBidi" w:hAnsiTheme="minorBidi" w:cstheme="minorBidi"/>
          <w:szCs w:val="22"/>
        </w:rPr>
        <w:t>Jones, M.</w:t>
      </w:r>
      <w:r w:rsidR="008C76FE">
        <w:rPr>
          <w:rFonts w:asciiTheme="minorBidi" w:hAnsiTheme="minorBidi" w:cstheme="minorBidi"/>
          <w:szCs w:val="22"/>
        </w:rPr>
        <w:t xml:space="preserve"> </w:t>
      </w:r>
      <w:r w:rsidRPr="00BA12C2">
        <w:rPr>
          <w:rFonts w:asciiTheme="minorBidi" w:hAnsiTheme="minorBidi" w:cstheme="minorBidi"/>
          <w:szCs w:val="22"/>
        </w:rPr>
        <w:t xml:space="preserve">J. (2008). Corporate reporting using graphs: A review and synthesis. </w:t>
      </w:r>
      <w:r w:rsidRPr="00BA12C2">
        <w:rPr>
          <w:rFonts w:asciiTheme="minorBidi" w:hAnsiTheme="minorBidi" w:cstheme="minorBidi"/>
          <w:i/>
          <w:szCs w:val="22"/>
        </w:rPr>
        <w:t>Journal of Accounting Literature, 27</w:t>
      </w:r>
      <w:r w:rsidRPr="00BA12C2">
        <w:rPr>
          <w:rFonts w:asciiTheme="minorBidi" w:hAnsiTheme="minorBidi" w:cstheme="minorBidi"/>
          <w:szCs w:val="22"/>
        </w:rPr>
        <w:t xml:space="preserve">(1), 71-110. </w:t>
      </w:r>
    </w:p>
    <w:p w14:paraId="47C9D806" w14:textId="616EA6BD" w:rsidR="00F740F7" w:rsidRPr="00311ED3" w:rsidRDefault="00F740F7" w:rsidP="001D1EEE">
      <w:pPr>
        <w:pStyle w:val="References"/>
      </w:pPr>
      <w:r>
        <w:t xml:space="preserve">Beattie, V., Roslender, R., </w:t>
      </w:r>
      <w:r w:rsidR="008C76FE">
        <w:t xml:space="preserve">&amp; </w:t>
      </w:r>
      <w:r>
        <w:t>Smith, S.</w:t>
      </w:r>
      <w:r w:rsidR="008C76FE">
        <w:t xml:space="preserve"> </w:t>
      </w:r>
      <w:r>
        <w:t xml:space="preserve">J. (2013). Balancing on a tightrope: Customer relational capital, value creation and disclosure. </w:t>
      </w:r>
      <w:r w:rsidR="00311ED3">
        <w:rPr>
          <w:i/>
          <w:iCs/>
        </w:rPr>
        <w:t xml:space="preserve">Financial Reporting, </w:t>
      </w:r>
      <w:r w:rsidR="00311ED3">
        <w:t>3-4/2013, 19-52.</w:t>
      </w:r>
    </w:p>
    <w:p w14:paraId="5D181AAB" w14:textId="2F1A440E" w:rsidR="001D1EEE" w:rsidRDefault="001D1EEE" w:rsidP="001D1EEE">
      <w:pPr>
        <w:pStyle w:val="References"/>
        <w:rPr>
          <w:rFonts w:asciiTheme="minorBidi" w:hAnsiTheme="minorBidi" w:cstheme="minorBidi"/>
          <w:szCs w:val="22"/>
        </w:rPr>
      </w:pPr>
      <w:r w:rsidRPr="0017188C">
        <w:t>Bellringer, A., Ball, A.,</w:t>
      </w:r>
      <w:r w:rsidR="008C76FE">
        <w:rPr>
          <w:noProof/>
        </w:rPr>
        <w:t>&amp;</w:t>
      </w:r>
      <w:r w:rsidRPr="0017188C">
        <w:rPr>
          <w:noProof/>
        </w:rPr>
        <w:t xml:space="preserve"> </w:t>
      </w:r>
      <w:r w:rsidRPr="0017188C">
        <w:t>Craig, R. (2011)</w:t>
      </w:r>
      <w:r>
        <w:t xml:space="preserve">. </w:t>
      </w:r>
      <w:r w:rsidRPr="0017188C">
        <w:t>Reasons for sustainability reporting by New Zealand local governments</w:t>
      </w:r>
      <w:r>
        <w:rPr>
          <w:noProof/>
          <w:lang w:val="en-US"/>
        </w:rPr>
        <w:t xml:space="preserve">. </w:t>
      </w:r>
      <w:r w:rsidRPr="0017188C">
        <w:rPr>
          <w:i/>
          <w:iCs/>
        </w:rPr>
        <w:t>Sustainability Accounting, Management and Policy Journal</w:t>
      </w:r>
      <w:r w:rsidRPr="0017188C">
        <w:t>, </w:t>
      </w:r>
      <w:r w:rsidRPr="008060B4">
        <w:rPr>
          <w:i/>
        </w:rPr>
        <w:t>2</w:t>
      </w:r>
      <w:r>
        <w:rPr>
          <w:iCs/>
        </w:rPr>
        <w:t>(</w:t>
      </w:r>
      <w:r w:rsidRPr="0017188C">
        <w:t>1</w:t>
      </w:r>
      <w:r>
        <w:t>)</w:t>
      </w:r>
      <w:r w:rsidRPr="0017188C">
        <w:t>,126-138.</w:t>
      </w:r>
    </w:p>
    <w:p w14:paraId="00C3F315" w14:textId="6A0867C2" w:rsidR="001D1EEE" w:rsidRPr="00BA12C2" w:rsidRDefault="001D1EEE" w:rsidP="001D1EEE">
      <w:pPr>
        <w:pStyle w:val="References"/>
        <w:rPr>
          <w:rFonts w:asciiTheme="minorBidi" w:hAnsiTheme="minorBidi" w:cstheme="minorBidi"/>
          <w:szCs w:val="22"/>
        </w:rPr>
      </w:pPr>
      <w:r>
        <w:rPr>
          <w:rFonts w:asciiTheme="minorBidi" w:hAnsiTheme="minorBidi" w:cstheme="minorBidi"/>
          <w:szCs w:val="22"/>
        </w:rPr>
        <w:t>Benjamin, W. (1999).</w:t>
      </w:r>
      <w:r w:rsidR="00886A4E">
        <w:rPr>
          <w:rFonts w:asciiTheme="minorBidi" w:hAnsiTheme="minorBidi" w:cstheme="minorBidi"/>
          <w:szCs w:val="22"/>
        </w:rPr>
        <w:t xml:space="preserve"> </w:t>
      </w:r>
      <w:r>
        <w:rPr>
          <w:rFonts w:asciiTheme="minorBidi" w:hAnsiTheme="minorBidi" w:cstheme="minorBidi"/>
          <w:szCs w:val="22"/>
        </w:rPr>
        <w:t>The work of art in the age of mechanical reproduction.</w:t>
      </w:r>
      <w:r w:rsidR="00886A4E">
        <w:rPr>
          <w:rFonts w:asciiTheme="minorBidi" w:hAnsiTheme="minorBidi" w:cstheme="minorBidi"/>
          <w:szCs w:val="22"/>
        </w:rPr>
        <w:t xml:space="preserve"> </w:t>
      </w:r>
      <w:r>
        <w:rPr>
          <w:rFonts w:asciiTheme="minorBidi" w:hAnsiTheme="minorBidi" w:cstheme="minorBidi"/>
          <w:szCs w:val="22"/>
        </w:rPr>
        <w:t xml:space="preserve">In </w:t>
      </w:r>
      <w:r w:rsidRPr="00E96BC4">
        <w:rPr>
          <w:rFonts w:asciiTheme="minorBidi" w:hAnsiTheme="minorBidi"/>
          <w:i/>
        </w:rPr>
        <w:t>Illuminations</w:t>
      </w:r>
      <w:r w:rsidR="00CF5619">
        <w:rPr>
          <w:rFonts w:asciiTheme="minorBidi" w:hAnsiTheme="minorBidi"/>
          <w:iCs/>
        </w:rPr>
        <w:t xml:space="preserve"> (pp. 211-244)</w:t>
      </w:r>
      <w:r w:rsidRPr="008060B4">
        <w:rPr>
          <w:rFonts w:asciiTheme="minorBidi" w:hAnsiTheme="minorBidi"/>
          <w:i/>
        </w:rPr>
        <w:t>.</w:t>
      </w:r>
      <w:r w:rsidR="00886A4E">
        <w:rPr>
          <w:rFonts w:asciiTheme="minorBidi" w:hAnsiTheme="minorBidi" w:cstheme="minorBidi"/>
          <w:szCs w:val="22"/>
        </w:rPr>
        <w:t xml:space="preserve"> </w:t>
      </w:r>
      <w:r>
        <w:rPr>
          <w:rFonts w:asciiTheme="minorBidi" w:hAnsiTheme="minorBidi" w:cstheme="minorBidi"/>
          <w:szCs w:val="22"/>
        </w:rPr>
        <w:t>Pimlico.</w:t>
      </w:r>
      <w:r w:rsidRPr="00BA12C2" w:rsidDel="00B90344">
        <w:rPr>
          <w:rFonts w:asciiTheme="minorBidi" w:hAnsiTheme="minorBidi" w:cstheme="minorBidi"/>
          <w:szCs w:val="22"/>
        </w:rPr>
        <w:t xml:space="preserve"> </w:t>
      </w:r>
    </w:p>
    <w:p w14:paraId="785121C0" w14:textId="5F815D62"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Birkey, R.</w:t>
      </w:r>
      <w:r w:rsidR="008C76FE">
        <w:rPr>
          <w:rFonts w:asciiTheme="minorBidi" w:hAnsiTheme="minorBidi" w:cstheme="minorBidi"/>
          <w:szCs w:val="22"/>
        </w:rPr>
        <w:t xml:space="preserve"> </w:t>
      </w:r>
      <w:r w:rsidRPr="00BA12C2">
        <w:rPr>
          <w:rFonts w:asciiTheme="minorBidi" w:hAnsiTheme="minorBidi" w:cstheme="minorBidi"/>
          <w:szCs w:val="22"/>
        </w:rPr>
        <w:t>N., Michelon, G., Patten, D.</w:t>
      </w:r>
      <w:r w:rsidR="008C76FE">
        <w:rPr>
          <w:rFonts w:asciiTheme="minorBidi" w:hAnsiTheme="minorBidi" w:cstheme="minorBidi"/>
          <w:szCs w:val="22"/>
        </w:rPr>
        <w:t xml:space="preserve"> </w:t>
      </w:r>
      <w:r w:rsidRPr="00BA12C2">
        <w:rPr>
          <w:rFonts w:asciiTheme="minorBidi" w:hAnsiTheme="minorBidi" w:cstheme="minorBidi"/>
          <w:szCs w:val="22"/>
        </w:rPr>
        <w:t xml:space="preserve">M., </w:t>
      </w:r>
      <w:r w:rsidR="008C76FE">
        <w:rPr>
          <w:rFonts w:asciiTheme="minorBidi" w:hAnsiTheme="minorBidi" w:cstheme="minorBidi"/>
          <w:szCs w:val="22"/>
        </w:rPr>
        <w:t xml:space="preserve">&amp; </w:t>
      </w:r>
      <w:r w:rsidRPr="00BA12C2">
        <w:rPr>
          <w:rFonts w:asciiTheme="minorBidi" w:hAnsiTheme="minorBidi" w:cstheme="minorBidi"/>
          <w:szCs w:val="22"/>
        </w:rPr>
        <w:t xml:space="preserve">Sankara, J. (2016). Does </w:t>
      </w:r>
      <w:r w:rsidR="00FC0853">
        <w:rPr>
          <w:rFonts w:asciiTheme="minorBidi" w:hAnsiTheme="minorBidi" w:cstheme="minorBidi"/>
          <w:szCs w:val="22"/>
        </w:rPr>
        <w:t>a</w:t>
      </w:r>
      <w:r w:rsidRPr="00BA12C2">
        <w:rPr>
          <w:rFonts w:asciiTheme="minorBidi" w:hAnsiTheme="minorBidi" w:cstheme="minorBidi"/>
          <w:szCs w:val="22"/>
        </w:rPr>
        <w:t xml:space="preserve">ssurance on CSR reporting enhance environmental reputation? An examination in the U.S. context. </w:t>
      </w:r>
      <w:r w:rsidRPr="00BA12C2">
        <w:rPr>
          <w:rFonts w:asciiTheme="minorBidi" w:hAnsiTheme="minorBidi" w:cstheme="minorBidi"/>
          <w:i/>
          <w:szCs w:val="22"/>
        </w:rPr>
        <w:t>Accounting Forum, 40</w:t>
      </w:r>
      <w:r w:rsidRPr="008060B4">
        <w:rPr>
          <w:rFonts w:asciiTheme="minorBidi" w:hAnsiTheme="minorBidi"/>
        </w:rPr>
        <w:t>(3),</w:t>
      </w:r>
      <w:r w:rsidRPr="00BA12C2">
        <w:rPr>
          <w:rFonts w:asciiTheme="minorBidi" w:hAnsiTheme="minorBidi" w:cstheme="minorBidi"/>
          <w:i/>
          <w:szCs w:val="22"/>
        </w:rPr>
        <w:t xml:space="preserve"> </w:t>
      </w:r>
      <w:r w:rsidRPr="00BA12C2">
        <w:rPr>
          <w:rFonts w:asciiTheme="minorBidi" w:hAnsiTheme="minorBidi" w:cstheme="minorBidi"/>
          <w:szCs w:val="22"/>
        </w:rPr>
        <w:t>143-152</w:t>
      </w:r>
      <w:r w:rsidR="00D9166D">
        <w:rPr>
          <w:rFonts w:asciiTheme="minorBidi" w:hAnsiTheme="minorBidi" w:cstheme="minorBidi"/>
          <w:szCs w:val="22"/>
        </w:rPr>
        <w:t>.</w:t>
      </w:r>
    </w:p>
    <w:p w14:paraId="5B88BAA3" w14:textId="77777777"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Boiral, O. (2013). Sustainability reports as simulacra? A counter-account of A and A+ GRI reports. </w:t>
      </w:r>
      <w:r w:rsidRPr="00BA12C2">
        <w:rPr>
          <w:rFonts w:asciiTheme="minorBidi" w:hAnsiTheme="minorBidi" w:cstheme="minorBidi"/>
          <w:i/>
          <w:szCs w:val="22"/>
        </w:rPr>
        <w:t>Accounting, Auditing &amp; Accountability Journal, 26</w:t>
      </w:r>
      <w:r w:rsidRPr="00BA12C2">
        <w:rPr>
          <w:rFonts w:asciiTheme="minorBidi" w:hAnsiTheme="minorBidi" w:cstheme="minorBidi"/>
          <w:szCs w:val="22"/>
        </w:rPr>
        <w:t xml:space="preserve">(7), 1036-1071. </w:t>
      </w:r>
    </w:p>
    <w:p w14:paraId="276CD635" w14:textId="00E865A0" w:rsidR="001D1EEE" w:rsidRPr="00BA12C2" w:rsidRDefault="001D1EEE" w:rsidP="001D1EEE">
      <w:pPr>
        <w:pStyle w:val="References"/>
        <w:rPr>
          <w:rFonts w:asciiTheme="minorBidi" w:hAnsiTheme="minorBidi" w:cstheme="minorBidi"/>
          <w:i/>
          <w:szCs w:val="22"/>
        </w:rPr>
      </w:pPr>
      <w:r w:rsidRPr="00BA12C2">
        <w:rPr>
          <w:rFonts w:asciiTheme="minorBidi" w:hAnsiTheme="minorBidi" w:cstheme="minorBidi"/>
          <w:szCs w:val="22"/>
        </w:rPr>
        <w:t xml:space="preserve">Boiral, O., </w:t>
      </w:r>
      <w:r w:rsidR="008C76FE">
        <w:rPr>
          <w:rFonts w:asciiTheme="minorBidi" w:hAnsiTheme="minorBidi" w:cstheme="minorBidi"/>
          <w:szCs w:val="22"/>
        </w:rPr>
        <w:t xml:space="preserve">&amp; </w:t>
      </w:r>
      <w:r w:rsidRPr="00BA12C2">
        <w:rPr>
          <w:rFonts w:asciiTheme="minorBidi" w:hAnsiTheme="minorBidi" w:cstheme="minorBidi"/>
          <w:szCs w:val="22"/>
        </w:rPr>
        <w:t xml:space="preserve">Diouf, D. (2017). The quality of sustainability reports and impression management. A stakeholder perspective. </w:t>
      </w:r>
      <w:r w:rsidRPr="00BA12C2">
        <w:rPr>
          <w:rFonts w:asciiTheme="minorBidi" w:hAnsiTheme="minorBidi" w:cstheme="minorBidi"/>
          <w:i/>
          <w:szCs w:val="22"/>
        </w:rPr>
        <w:t>Accounting, Auditing &amp; Accountability Journal, 30</w:t>
      </w:r>
      <w:r w:rsidRPr="008060B4">
        <w:rPr>
          <w:rFonts w:asciiTheme="minorBidi" w:hAnsiTheme="minorBidi"/>
        </w:rPr>
        <w:t>(3), 643-667</w:t>
      </w:r>
      <w:r w:rsidR="00D9166D">
        <w:rPr>
          <w:rFonts w:asciiTheme="minorBidi" w:hAnsiTheme="minorBidi" w:cstheme="minorBidi"/>
          <w:iCs/>
          <w:szCs w:val="22"/>
        </w:rPr>
        <w:t>.</w:t>
      </w:r>
    </w:p>
    <w:p w14:paraId="156284AD" w14:textId="7FC09CC9"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Boiral, O., </w:t>
      </w:r>
      <w:r w:rsidR="008C76FE">
        <w:rPr>
          <w:rFonts w:asciiTheme="minorBidi" w:hAnsiTheme="minorBidi" w:cstheme="minorBidi"/>
          <w:szCs w:val="22"/>
        </w:rPr>
        <w:t xml:space="preserve">&amp; </w:t>
      </w:r>
      <w:r w:rsidRPr="00BA12C2">
        <w:rPr>
          <w:rFonts w:asciiTheme="minorBidi" w:hAnsiTheme="minorBidi" w:cstheme="minorBidi"/>
          <w:szCs w:val="22"/>
        </w:rPr>
        <w:t xml:space="preserve">Talbot, D. (2018). GHG reporting and impression management: An assessment of sustainability reports from the energy sector. </w:t>
      </w:r>
      <w:r w:rsidRPr="00BA12C2">
        <w:rPr>
          <w:rFonts w:asciiTheme="minorBidi" w:hAnsiTheme="minorBidi" w:cstheme="minorBidi"/>
          <w:i/>
          <w:szCs w:val="22"/>
        </w:rPr>
        <w:t>Journal of Business Ethics, 147</w:t>
      </w:r>
      <w:r w:rsidRPr="008060B4">
        <w:rPr>
          <w:rFonts w:asciiTheme="minorBidi" w:hAnsiTheme="minorBidi"/>
        </w:rPr>
        <w:t>(2),</w:t>
      </w:r>
      <w:r w:rsidRPr="00BA12C2">
        <w:rPr>
          <w:rFonts w:asciiTheme="minorBidi" w:hAnsiTheme="minorBidi" w:cstheme="minorBidi"/>
          <w:szCs w:val="22"/>
        </w:rPr>
        <w:t xml:space="preserve"> 367-383</w:t>
      </w:r>
      <w:r w:rsidR="00D9166D">
        <w:rPr>
          <w:rFonts w:asciiTheme="minorBidi" w:hAnsiTheme="minorBidi" w:cstheme="minorBidi"/>
          <w:szCs w:val="22"/>
        </w:rPr>
        <w:t>.</w:t>
      </w:r>
    </w:p>
    <w:p w14:paraId="3616812B" w14:textId="0ED3989C" w:rsidR="001D1EEE" w:rsidRPr="00BA12C2" w:rsidRDefault="001D1EEE" w:rsidP="001D1EEE">
      <w:pPr>
        <w:pStyle w:val="References"/>
        <w:rPr>
          <w:rFonts w:asciiTheme="minorBidi" w:hAnsiTheme="minorBidi" w:cstheme="minorBidi"/>
          <w:szCs w:val="22"/>
        </w:rPr>
      </w:pPr>
      <w:r w:rsidRPr="00BA12C2">
        <w:rPr>
          <w:rFonts w:cs="Arial"/>
          <w:color w:val="222222"/>
          <w:szCs w:val="22"/>
          <w:shd w:val="clear" w:color="auto" w:fill="FFFFFF"/>
        </w:rPr>
        <w:lastRenderedPageBreak/>
        <w:t xml:space="preserve">Cardoso, R. L., Leite, R. </w:t>
      </w:r>
      <w:r w:rsidR="00D9166D">
        <w:rPr>
          <w:rFonts w:cs="Arial"/>
          <w:color w:val="222222"/>
          <w:szCs w:val="22"/>
          <w:shd w:val="clear" w:color="auto" w:fill="FFFFFF"/>
        </w:rPr>
        <w:t xml:space="preserve">de </w:t>
      </w:r>
      <w:r w:rsidRPr="00BA12C2">
        <w:rPr>
          <w:rFonts w:cs="Arial"/>
          <w:color w:val="222222"/>
          <w:szCs w:val="22"/>
          <w:shd w:val="clear" w:color="auto" w:fill="FFFFFF"/>
        </w:rPr>
        <w:t xml:space="preserve"> O., </w:t>
      </w:r>
      <w:r w:rsidR="008C76FE">
        <w:rPr>
          <w:rFonts w:cs="Arial"/>
          <w:color w:val="222222"/>
          <w:szCs w:val="22"/>
          <w:shd w:val="clear" w:color="auto" w:fill="FFFFFF"/>
        </w:rPr>
        <w:t xml:space="preserve">&amp; </w:t>
      </w:r>
      <w:r w:rsidR="00D9166D">
        <w:rPr>
          <w:rFonts w:cs="Arial"/>
          <w:color w:val="222222"/>
          <w:szCs w:val="22"/>
          <w:shd w:val="clear" w:color="auto" w:fill="FFFFFF"/>
        </w:rPr>
        <w:t xml:space="preserve">de </w:t>
      </w:r>
      <w:r w:rsidRPr="00BA12C2">
        <w:rPr>
          <w:rFonts w:cs="Arial"/>
          <w:color w:val="222222"/>
          <w:szCs w:val="22"/>
          <w:shd w:val="clear" w:color="auto" w:fill="FFFFFF"/>
        </w:rPr>
        <w:t>Aquino, A. C. B. (2018). The effect of cognitive reflection on the efficacy of impression management: An experimental analysis with financial analysts. </w:t>
      </w:r>
      <w:r w:rsidRPr="00BA12C2">
        <w:rPr>
          <w:rFonts w:cs="Arial"/>
          <w:i/>
          <w:iCs/>
          <w:color w:val="222222"/>
          <w:szCs w:val="22"/>
          <w:shd w:val="clear" w:color="auto" w:fill="FFFFFF"/>
        </w:rPr>
        <w:t>Accounting, Auditing &amp; Accountability Journal</w:t>
      </w:r>
      <w:r w:rsidRPr="00BA12C2">
        <w:rPr>
          <w:rFonts w:cs="Arial"/>
          <w:color w:val="222222"/>
          <w:szCs w:val="22"/>
          <w:shd w:val="clear" w:color="auto" w:fill="FFFFFF"/>
        </w:rPr>
        <w:t>, </w:t>
      </w:r>
      <w:r w:rsidRPr="00BA12C2">
        <w:rPr>
          <w:rFonts w:cs="Arial"/>
          <w:i/>
          <w:iCs/>
          <w:color w:val="222222"/>
          <w:szCs w:val="22"/>
          <w:shd w:val="clear" w:color="auto" w:fill="FFFFFF"/>
        </w:rPr>
        <w:t>31</w:t>
      </w:r>
      <w:r w:rsidRPr="00BA12C2">
        <w:rPr>
          <w:rFonts w:cs="Arial"/>
          <w:color w:val="222222"/>
          <w:szCs w:val="22"/>
          <w:shd w:val="clear" w:color="auto" w:fill="FFFFFF"/>
        </w:rPr>
        <w:t>(6), 1668-1690.</w:t>
      </w:r>
    </w:p>
    <w:p w14:paraId="18662D42" w14:textId="4B8CB417"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Castelló, I., </w:t>
      </w:r>
      <w:r w:rsidR="008C76FE">
        <w:rPr>
          <w:rFonts w:asciiTheme="minorBidi" w:hAnsiTheme="minorBidi" w:cstheme="minorBidi"/>
          <w:szCs w:val="22"/>
        </w:rPr>
        <w:t xml:space="preserve">&amp; </w:t>
      </w:r>
      <w:r w:rsidRPr="00BA12C2">
        <w:rPr>
          <w:rFonts w:asciiTheme="minorBidi" w:hAnsiTheme="minorBidi" w:cstheme="minorBidi"/>
          <w:szCs w:val="22"/>
        </w:rPr>
        <w:t xml:space="preserve">Lozano, J. M. (2011). Searching for new forms of legitimacy through corporate responsibility rhetoric. </w:t>
      </w:r>
      <w:r w:rsidRPr="00BA12C2">
        <w:rPr>
          <w:rFonts w:asciiTheme="minorBidi" w:hAnsiTheme="minorBidi" w:cstheme="minorBidi"/>
          <w:i/>
          <w:szCs w:val="22"/>
        </w:rPr>
        <w:t>Journal of Business Ethics, 100</w:t>
      </w:r>
      <w:r w:rsidRPr="00BA12C2">
        <w:rPr>
          <w:rFonts w:asciiTheme="minorBidi" w:hAnsiTheme="minorBidi" w:cstheme="minorBidi"/>
          <w:szCs w:val="22"/>
        </w:rPr>
        <w:t>(1), 11-29.</w:t>
      </w:r>
    </w:p>
    <w:p w14:paraId="798DE886" w14:textId="185FFE5F" w:rsidR="001D1EEE" w:rsidRPr="00BA12C2" w:rsidRDefault="001D1EEE" w:rsidP="001D1EEE">
      <w:pPr>
        <w:pStyle w:val="References"/>
        <w:rPr>
          <w:rFonts w:asciiTheme="minorBidi" w:hAnsiTheme="minorBidi" w:cstheme="minorBidi"/>
          <w:i/>
          <w:iCs/>
          <w:szCs w:val="22"/>
        </w:rPr>
      </w:pPr>
      <w:r w:rsidRPr="00BA12C2">
        <w:rPr>
          <w:rFonts w:asciiTheme="minorBidi" w:hAnsiTheme="minorBidi" w:cstheme="minorBidi"/>
          <w:szCs w:val="22"/>
        </w:rPr>
        <w:t xml:space="preserve">Chaidali, P. P., </w:t>
      </w:r>
      <w:r w:rsidR="008C76FE">
        <w:rPr>
          <w:rFonts w:asciiTheme="minorBidi" w:hAnsiTheme="minorBidi" w:cstheme="minorBidi"/>
          <w:szCs w:val="22"/>
        </w:rPr>
        <w:t xml:space="preserve">&amp; </w:t>
      </w:r>
      <w:r w:rsidRPr="00BA12C2">
        <w:rPr>
          <w:rFonts w:asciiTheme="minorBidi" w:hAnsiTheme="minorBidi" w:cstheme="minorBidi"/>
          <w:szCs w:val="22"/>
        </w:rPr>
        <w:t xml:space="preserve">Jones, M. J. (2017). It’s a matter of trust: Exploring the perceptions of Integrated Reporting preparers. </w:t>
      </w:r>
      <w:r w:rsidRPr="00BA12C2">
        <w:rPr>
          <w:rFonts w:asciiTheme="minorBidi" w:hAnsiTheme="minorBidi" w:cstheme="minorBidi"/>
          <w:i/>
          <w:iCs/>
          <w:szCs w:val="22"/>
        </w:rPr>
        <w:t>Critical Perspectives on Accounting, 48</w:t>
      </w:r>
      <w:r w:rsidRPr="00453E41">
        <w:rPr>
          <w:rFonts w:asciiTheme="minorBidi" w:hAnsiTheme="minorBidi" w:cstheme="minorBidi"/>
          <w:szCs w:val="22"/>
        </w:rPr>
        <w:t>,</w:t>
      </w:r>
      <w:r w:rsidRPr="008060B4">
        <w:rPr>
          <w:rFonts w:asciiTheme="minorBidi" w:hAnsiTheme="minorBidi"/>
        </w:rPr>
        <w:t xml:space="preserve"> 1-20</w:t>
      </w:r>
      <w:r w:rsidR="00D9166D">
        <w:rPr>
          <w:rFonts w:asciiTheme="minorBidi" w:hAnsiTheme="minorBidi" w:cstheme="minorBidi"/>
          <w:szCs w:val="22"/>
        </w:rPr>
        <w:t>.</w:t>
      </w:r>
    </w:p>
    <w:p w14:paraId="541E42E2" w14:textId="02FF2230" w:rsidR="001D1EEE" w:rsidRPr="00BA12C2" w:rsidRDefault="001D1EEE" w:rsidP="001D1EEE">
      <w:pPr>
        <w:pStyle w:val="References"/>
        <w:rPr>
          <w:rFonts w:asciiTheme="minorBidi" w:hAnsiTheme="minorBidi" w:cstheme="minorBidi"/>
          <w:iCs/>
          <w:szCs w:val="22"/>
        </w:rPr>
      </w:pPr>
      <w:r w:rsidRPr="00BA12C2">
        <w:rPr>
          <w:rFonts w:asciiTheme="minorBidi" w:hAnsiTheme="minorBidi" w:cstheme="minorBidi"/>
          <w:iCs/>
          <w:szCs w:val="22"/>
        </w:rPr>
        <w:t xml:space="preserve">Cho, C.H., Laine, M., Roberts, R. W., </w:t>
      </w:r>
      <w:r w:rsidR="008C76FE">
        <w:rPr>
          <w:rFonts w:asciiTheme="minorBidi" w:hAnsiTheme="minorBidi" w:cstheme="minorBidi"/>
          <w:iCs/>
          <w:szCs w:val="22"/>
        </w:rPr>
        <w:t xml:space="preserve">&amp; </w:t>
      </w:r>
      <w:r w:rsidRPr="00BA12C2">
        <w:rPr>
          <w:rFonts w:asciiTheme="minorBidi" w:hAnsiTheme="minorBidi" w:cstheme="minorBidi"/>
          <w:iCs/>
          <w:szCs w:val="22"/>
        </w:rPr>
        <w:t>Rodrigue, M. (2015). Organi</w:t>
      </w:r>
      <w:r w:rsidR="001A7872">
        <w:rPr>
          <w:rFonts w:asciiTheme="minorBidi" w:hAnsiTheme="minorBidi" w:cstheme="minorBidi"/>
          <w:iCs/>
          <w:szCs w:val="22"/>
        </w:rPr>
        <w:t>z</w:t>
      </w:r>
      <w:r w:rsidRPr="00BA12C2">
        <w:rPr>
          <w:rFonts w:asciiTheme="minorBidi" w:hAnsiTheme="minorBidi" w:cstheme="minorBidi"/>
          <w:iCs/>
          <w:szCs w:val="22"/>
        </w:rPr>
        <w:t>ed hypocrisy, organi</w:t>
      </w:r>
      <w:r w:rsidR="001A7872">
        <w:rPr>
          <w:rFonts w:asciiTheme="minorBidi" w:hAnsiTheme="minorBidi" w:cstheme="minorBidi"/>
          <w:iCs/>
          <w:szCs w:val="22"/>
        </w:rPr>
        <w:t>z</w:t>
      </w:r>
      <w:r w:rsidRPr="00BA12C2">
        <w:rPr>
          <w:rFonts w:asciiTheme="minorBidi" w:hAnsiTheme="minorBidi" w:cstheme="minorBidi"/>
          <w:iCs/>
          <w:szCs w:val="22"/>
        </w:rPr>
        <w:t>ational fa</w:t>
      </w:r>
      <w:r w:rsidR="003D5444">
        <w:rPr>
          <w:rFonts w:asciiTheme="minorBidi" w:hAnsiTheme="minorBidi" w:cstheme="minorBidi"/>
          <w:iCs/>
          <w:szCs w:val="22"/>
        </w:rPr>
        <w:t>ç</w:t>
      </w:r>
      <w:r w:rsidRPr="00BA12C2">
        <w:rPr>
          <w:rFonts w:asciiTheme="minorBidi" w:hAnsiTheme="minorBidi" w:cstheme="minorBidi"/>
          <w:iCs/>
          <w:szCs w:val="22"/>
        </w:rPr>
        <w:t xml:space="preserve">ades, and sustainability reporting. </w:t>
      </w:r>
      <w:r w:rsidRPr="00BA12C2">
        <w:rPr>
          <w:rFonts w:asciiTheme="minorBidi" w:hAnsiTheme="minorBidi" w:cstheme="minorBidi"/>
          <w:i/>
          <w:iCs/>
          <w:szCs w:val="22"/>
        </w:rPr>
        <w:t>Accounting, Organizations and Society,</w:t>
      </w:r>
      <w:r w:rsidRPr="00BA12C2">
        <w:rPr>
          <w:rFonts w:asciiTheme="minorBidi" w:hAnsiTheme="minorBidi" w:cstheme="minorBidi"/>
          <w:iCs/>
          <w:szCs w:val="22"/>
        </w:rPr>
        <w:t xml:space="preserve"> </w:t>
      </w:r>
      <w:r w:rsidRPr="008060B4">
        <w:rPr>
          <w:rFonts w:asciiTheme="minorBidi" w:hAnsiTheme="minorBidi"/>
          <w:i/>
        </w:rPr>
        <w:t>40</w:t>
      </w:r>
      <w:r w:rsidRPr="00BA12C2">
        <w:rPr>
          <w:rFonts w:asciiTheme="minorBidi" w:hAnsiTheme="minorBidi" w:cstheme="minorBidi"/>
          <w:iCs/>
          <w:szCs w:val="22"/>
        </w:rPr>
        <w:t>, 78-94</w:t>
      </w:r>
      <w:r w:rsidR="003D5444">
        <w:rPr>
          <w:rFonts w:asciiTheme="minorBidi" w:hAnsiTheme="minorBidi" w:cstheme="minorBidi"/>
          <w:iCs/>
          <w:szCs w:val="22"/>
        </w:rPr>
        <w:t>.</w:t>
      </w:r>
    </w:p>
    <w:p w14:paraId="27F8A8A7" w14:textId="202726A2" w:rsidR="001D1EEE" w:rsidRPr="00BA12C2" w:rsidRDefault="001D1EEE" w:rsidP="001D1EEE">
      <w:pPr>
        <w:pStyle w:val="References"/>
        <w:ind w:left="426" w:hanging="426"/>
        <w:rPr>
          <w:rFonts w:asciiTheme="minorBidi" w:hAnsiTheme="minorBidi" w:cstheme="minorBidi"/>
          <w:szCs w:val="22"/>
        </w:rPr>
      </w:pPr>
      <w:r w:rsidRPr="00BA12C2">
        <w:rPr>
          <w:rFonts w:asciiTheme="minorBidi" w:hAnsiTheme="minorBidi" w:cstheme="minorBidi"/>
          <w:szCs w:val="22"/>
        </w:rPr>
        <w:t xml:space="preserve">Cho, C. H., Michelon, G., </w:t>
      </w:r>
      <w:r w:rsidR="008C76FE">
        <w:rPr>
          <w:rFonts w:asciiTheme="minorBidi" w:hAnsiTheme="minorBidi" w:cstheme="minorBidi"/>
          <w:szCs w:val="22"/>
        </w:rPr>
        <w:t xml:space="preserve">&amp; </w:t>
      </w:r>
      <w:r w:rsidRPr="00BA12C2">
        <w:rPr>
          <w:rFonts w:asciiTheme="minorBidi" w:hAnsiTheme="minorBidi" w:cstheme="minorBidi"/>
          <w:szCs w:val="22"/>
        </w:rPr>
        <w:t xml:space="preserve">Patten, D. M. (2012a). Enhancement and obfuscation through the use of graphs in sustainability reports: An international comparison. </w:t>
      </w:r>
      <w:r w:rsidRPr="00BA12C2">
        <w:rPr>
          <w:rFonts w:asciiTheme="minorBidi" w:hAnsiTheme="minorBidi" w:cstheme="minorBidi"/>
          <w:i/>
          <w:szCs w:val="22"/>
        </w:rPr>
        <w:t>Sustainability Accounting, Management and Policy Journal, 3</w:t>
      </w:r>
      <w:r w:rsidRPr="00BA12C2">
        <w:rPr>
          <w:rFonts w:asciiTheme="minorBidi" w:hAnsiTheme="minorBidi" w:cstheme="minorBidi"/>
          <w:szCs w:val="22"/>
        </w:rPr>
        <w:t xml:space="preserve">(1), 74-88. </w:t>
      </w:r>
    </w:p>
    <w:p w14:paraId="096ACC43" w14:textId="7AA9CD33"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Cho, C. H., Michelon, G., </w:t>
      </w:r>
      <w:r w:rsidR="008C76FE">
        <w:rPr>
          <w:rFonts w:asciiTheme="minorBidi" w:hAnsiTheme="minorBidi" w:cstheme="minorBidi"/>
          <w:szCs w:val="22"/>
        </w:rPr>
        <w:t xml:space="preserve">&amp; </w:t>
      </w:r>
      <w:r w:rsidRPr="00BA12C2">
        <w:rPr>
          <w:rFonts w:asciiTheme="minorBidi" w:hAnsiTheme="minorBidi" w:cstheme="minorBidi"/>
          <w:szCs w:val="22"/>
        </w:rPr>
        <w:t xml:space="preserve">Patten, D. M. (2012b). Impression management in sustainability reports: An empirical investigation of the use of graphs. </w:t>
      </w:r>
      <w:r w:rsidRPr="00BA12C2">
        <w:rPr>
          <w:rFonts w:asciiTheme="minorBidi" w:hAnsiTheme="minorBidi" w:cstheme="minorBidi"/>
          <w:i/>
          <w:szCs w:val="22"/>
        </w:rPr>
        <w:t>Accounting and the Public Interest, 12</w:t>
      </w:r>
      <w:r w:rsidRPr="00BA12C2">
        <w:rPr>
          <w:rFonts w:asciiTheme="minorBidi" w:hAnsiTheme="minorBidi" w:cstheme="minorBidi"/>
          <w:szCs w:val="22"/>
        </w:rPr>
        <w:t xml:space="preserve">(1), 16-37. </w:t>
      </w:r>
    </w:p>
    <w:p w14:paraId="612AE5A7" w14:textId="106393BC"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Cho, C. H., Michelon, G., Patten, D. M., </w:t>
      </w:r>
      <w:r w:rsidR="008C76FE">
        <w:rPr>
          <w:rFonts w:asciiTheme="minorBidi" w:hAnsiTheme="minorBidi" w:cstheme="minorBidi"/>
          <w:szCs w:val="22"/>
        </w:rPr>
        <w:t xml:space="preserve">&amp; </w:t>
      </w:r>
      <w:r w:rsidRPr="00BA12C2">
        <w:rPr>
          <w:rFonts w:asciiTheme="minorBidi" w:hAnsiTheme="minorBidi" w:cstheme="minorBidi"/>
          <w:szCs w:val="22"/>
        </w:rPr>
        <w:t>Roberts, R. W</w:t>
      </w:r>
      <w:r w:rsidR="007E598B">
        <w:rPr>
          <w:rFonts w:asciiTheme="minorBidi" w:hAnsiTheme="minorBidi" w:cstheme="minorBidi"/>
          <w:szCs w:val="22"/>
        </w:rPr>
        <w:t>.</w:t>
      </w:r>
      <w:r w:rsidRPr="00BA12C2">
        <w:rPr>
          <w:rFonts w:asciiTheme="minorBidi" w:hAnsiTheme="minorBidi" w:cstheme="minorBidi"/>
          <w:szCs w:val="22"/>
        </w:rPr>
        <w:t xml:space="preserve"> (2015). CSR Disclosure: The more things change...? </w:t>
      </w:r>
      <w:r w:rsidRPr="00BA12C2">
        <w:rPr>
          <w:rFonts w:asciiTheme="minorBidi" w:hAnsiTheme="minorBidi" w:cstheme="minorBidi"/>
          <w:i/>
          <w:szCs w:val="22"/>
        </w:rPr>
        <w:t>Accounting, Auditing &amp; Accountability Journal, 28</w:t>
      </w:r>
      <w:r w:rsidRPr="00BA12C2">
        <w:rPr>
          <w:rFonts w:asciiTheme="minorBidi" w:hAnsiTheme="minorBidi" w:cstheme="minorBidi"/>
          <w:szCs w:val="22"/>
        </w:rPr>
        <w:t>(1),</w:t>
      </w:r>
      <w:r w:rsidR="003D5444">
        <w:rPr>
          <w:rFonts w:asciiTheme="minorBidi" w:hAnsiTheme="minorBidi" w:cstheme="minorBidi"/>
          <w:szCs w:val="22"/>
        </w:rPr>
        <w:t>4-35</w:t>
      </w:r>
      <w:r w:rsidR="00650E55">
        <w:rPr>
          <w:rFonts w:asciiTheme="minorBidi" w:hAnsiTheme="minorBidi" w:cstheme="minorBidi"/>
          <w:szCs w:val="22"/>
        </w:rPr>
        <w:t>.</w:t>
      </w:r>
      <w:r w:rsidRPr="00BA12C2">
        <w:rPr>
          <w:rFonts w:asciiTheme="minorBidi" w:hAnsiTheme="minorBidi" w:cstheme="minorBidi"/>
          <w:szCs w:val="22"/>
        </w:rPr>
        <w:t xml:space="preserve"> </w:t>
      </w:r>
    </w:p>
    <w:p w14:paraId="45B9242A" w14:textId="0CE65350"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Cho, C. H., Phillips, J. R., Hageman, A. M., </w:t>
      </w:r>
      <w:r w:rsidR="008C76FE">
        <w:rPr>
          <w:rFonts w:asciiTheme="minorBidi" w:hAnsiTheme="minorBidi" w:cstheme="minorBidi"/>
          <w:szCs w:val="22"/>
        </w:rPr>
        <w:t xml:space="preserve">&amp; </w:t>
      </w:r>
      <w:r w:rsidRPr="00BA12C2">
        <w:rPr>
          <w:rFonts w:asciiTheme="minorBidi" w:hAnsiTheme="minorBidi" w:cstheme="minorBidi"/>
          <w:szCs w:val="22"/>
        </w:rPr>
        <w:t xml:space="preserve">Patten, D. M. (2009). Media richness, user trust, and perceptions of corporate social responsibility: An experimental investigation of visual web site disclosures. </w:t>
      </w:r>
      <w:r w:rsidRPr="00BA12C2">
        <w:rPr>
          <w:rFonts w:asciiTheme="minorBidi" w:hAnsiTheme="minorBidi" w:cstheme="minorBidi"/>
          <w:i/>
          <w:szCs w:val="22"/>
        </w:rPr>
        <w:t>Accounting, Auditing &amp; Accountability Journal, 22</w:t>
      </w:r>
      <w:r w:rsidRPr="00BA12C2">
        <w:rPr>
          <w:rFonts w:asciiTheme="minorBidi" w:hAnsiTheme="minorBidi" w:cstheme="minorBidi"/>
          <w:szCs w:val="22"/>
        </w:rPr>
        <w:t xml:space="preserve">(6), 933-952. </w:t>
      </w:r>
    </w:p>
    <w:p w14:paraId="6AAD39B2" w14:textId="777F7D6F"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Cho, C. H., Roberts, R. W., </w:t>
      </w:r>
      <w:r w:rsidR="008C76FE">
        <w:rPr>
          <w:rFonts w:asciiTheme="minorBidi" w:hAnsiTheme="minorBidi" w:cstheme="minorBidi"/>
          <w:szCs w:val="22"/>
        </w:rPr>
        <w:t xml:space="preserve">&amp; </w:t>
      </w:r>
      <w:r w:rsidRPr="00BA12C2">
        <w:rPr>
          <w:rFonts w:asciiTheme="minorBidi" w:hAnsiTheme="minorBidi" w:cstheme="minorBidi"/>
          <w:szCs w:val="22"/>
        </w:rPr>
        <w:t xml:space="preserve">Patten, D. M. (2010). The language of US corporate environmental disclosure. </w:t>
      </w:r>
      <w:r w:rsidRPr="00BA12C2">
        <w:rPr>
          <w:rFonts w:asciiTheme="minorBidi" w:hAnsiTheme="minorBidi" w:cstheme="minorBidi"/>
          <w:i/>
          <w:szCs w:val="22"/>
        </w:rPr>
        <w:t>Accounting, Organizations and Society, 35</w:t>
      </w:r>
      <w:r w:rsidRPr="00BA12C2">
        <w:rPr>
          <w:rFonts w:asciiTheme="minorBidi" w:hAnsiTheme="minorBidi" w:cstheme="minorBidi"/>
          <w:szCs w:val="22"/>
        </w:rPr>
        <w:t>(4), 431-443</w:t>
      </w:r>
      <w:r w:rsidR="003D5444">
        <w:rPr>
          <w:rFonts w:asciiTheme="minorBidi" w:hAnsiTheme="minorBidi" w:cstheme="minorBidi"/>
          <w:szCs w:val="22"/>
        </w:rPr>
        <w:t>.</w:t>
      </w:r>
    </w:p>
    <w:p w14:paraId="128B44B9" w14:textId="57274D11"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Coombs, W. T., </w:t>
      </w:r>
      <w:r w:rsidR="008C76FE">
        <w:rPr>
          <w:rFonts w:asciiTheme="minorBidi" w:hAnsiTheme="minorBidi" w:cstheme="minorBidi"/>
          <w:szCs w:val="22"/>
        </w:rPr>
        <w:t xml:space="preserve">&amp; </w:t>
      </w:r>
      <w:r w:rsidRPr="00BA12C2">
        <w:rPr>
          <w:rFonts w:asciiTheme="minorBidi" w:hAnsiTheme="minorBidi" w:cstheme="minorBidi"/>
          <w:szCs w:val="22"/>
        </w:rPr>
        <w:t xml:space="preserve">Holladay, S. J. (2013). The pseudo-panopticon: </w:t>
      </w:r>
      <w:r w:rsidR="00650E55">
        <w:rPr>
          <w:rFonts w:asciiTheme="minorBidi" w:hAnsiTheme="minorBidi" w:cstheme="minorBidi"/>
          <w:szCs w:val="22"/>
        </w:rPr>
        <w:t>T</w:t>
      </w:r>
      <w:r w:rsidRPr="00BA12C2">
        <w:rPr>
          <w:rFonts w:asciiTheme="minorBidi" w:hAnsiTheme="minorBidi" w:cstheme="minorBidi"/>
          <w:szCs w:val="22"/>
        </w:rPr>
        <w:t xml:space="preserve">he illusion created by CSR-related transparency and the internet. </w:t>
      </w:r>
      <w:r w:rsidRPr="00BA12C2">
        <w:rPr>
          <w:rFonts w:asciiTheme="minorBidi" w:hAnsiTheme="minorBidi" w:cstheme="minorBidi"/>
          <w:i/>
          <w:szCs w:val="22"/>
        </w:rPr>
        <w:t>Corporate Communications:</w:t>
      </w:r>
      <w:r w:rsidRPr="00BA12C2">
        <w:rPr>
          <w:rFonts w:asciiTheme="minorBidi" w:hAnsiTheme="minorBidi" w:cstheme="minorBidi"/>
          <w:szCs w:val="22"/>
        </w:rPr>
        <w:t xml:space="preserve"> </w:t>
      </w:r>
      <w:r w:rsidRPr="00BA12C2">
        <w:rPr>
          <w:rFonts w:asciiTheme="minorBidi" w:hAnsiTheme="minorBidi" w:cstheme="minorBidi"/>
          <w:i/>
          <w:szCs w:val="22"/>
        </w:rPr>
        <w:t>An International Journal, 18</w:t>
      </w:r>
      <w:r w:rsidRPr="008060B4">
        <w:rPr>
          <w:rFonts w:asciiTheme="minorBidi" w:hAnsiTheme="minorBidi"/>
        </w:rPr>
        <w:t>(2),</w:t>
      </w:r>
      <w:r w:rsidRPr="00BA12C2">
        <w:rPr>
          <w:rFonts w:asciiTheme="minorBidi" w:hAnsiTheme="minorBidi" w:cstheme="minorBidi"/>
          <w:szCs w:val="22"/>
        </w:rPr>
        <w:t xml:space="preserve"> 212-227</w:t>
      </w:r>
      <w:r w:rsidR="00650E55">
        <w:rPr>
          <w:rFonts w:asciiTheme="minorBidi" w:hAnsiTheme="minorBidi" w:cstheme="minorBidi"/>
          <w:szCs w:val="22"/>
        </w:rPr>
        <w:t>.</w:t>
      </w:r>
    </w:p>
    <w:p w14:paraId="03D825A2" w14:textId="19C460BE" w:rsidR="001D1EEE" w:rsidRPr="00BA12C2" w:rsidRDefault="001D1EEE" w:rsidP="001D1EEE">
      <w:pPr>
        <w:pStyle w:val="References"/>
        <w:rPr>
          <w:rFonts w:asciiTheme="minorBidi" w:eastAsia="Times New Roman" w:hAnsiTheme="minorBidi" w:cstheme="minorBidi"/>
          <w:szCs w:val="22"/>
        </w:rPr>
      </w:pPr>
      <w:r w:rsidRPr="00BA12C2">
        <w:rPr>
          <w:rFonts w:asciiTheme="minorBidi" w:eastAsia="Times New Roman" w:hAnsiTheme="minorBidi" w:cstheme="minorBidi"/>
          <w:szCs w:val="22"/>
        </w:rPr>
        <w:t>Cooper, S.</w:t>
      </w:r>
      <w:r w:rsidR="008C76FE">
        <w:rPr>
          <w:rFonts w:asciiTheme="minorBidi" w:eastAsia="Times New Roman" w:hAnsiTheme="minorBidi" w:cstheme="minorBidi"/>
          <w:szCs w:val="22"/>
        </w:rPr>
        <w:t xml:space="preserve"> </w:t>
      </w:r>
      <w:r w:rsidRPr="00BA12C2">
        <w:rPr>
          <w:rFonts w:asciiTheme="minorBidi" w:eastAsia="Times New Roman" w:hAnsiTheme="minorBidi" w:cstheme="minorBidi"/>
          <w:szCs w:val="22"/>
        </w:rPr>
        <w:t xml:space="preserve">M., </w:t>
      </w:r>
      <w:r w:rsidR="008C76FE">
        <w:rPr>
          <w:rFonts w:asciiTheme="minorBidi" w:eastAsia="Times New Roman" w:hAnsiTheme="minorBidi" w:cstheme="minorBidi"/>
          <w:szCs w:val="22"/>
        </w:rPr>
        <w:t xml:space="preserve">&amp; </w:t>
      </w:r>
      <w:r w:rsidRPr="00BA12C2">
        <w:rPr>
          <w:rFonts w:asciiTheme="minorBidi" w:eastAsia="Times New Roman" w:hAnsiTheme="minorBidi" w:cstheme="minorBidi"/>
          <w:szCs w:val="22"/>
        </w:rPr>
        <w:t>Owen, D.</w:t>
      </w:r>
      <w:r w:rsidR="008C76FE">
        <w:rPr>
          <w:rFonts w:asciiTheme="minorBidi" w:eastAsia="Times New Roman" w:hAnsiTheme="minorBidi" w:cstheme="minorBidi"/>
          <w:szCs w:val="22"/>
        </w:rPr>
        <w:t xml:space="preserve"> </w:t>
      </w:r>
      <w:r w:rsidRPr="00BA12C2">
        <w:rPr>
          <w:rFonts w:asciiTheme="minorBidi" w:eastAsia="Times New Roman" w:hAnsiTheme="minorBidi" w:cstheme="minorBidi"/>
          <w:szCs w:val="22"/>
        </w:rPr>
        <w:t xml:space="preserve">L. (2007). Corporate social reporting and stakeholder accountability: The missing link. </w:t>
      </w:r>
      <w:r w:rsidRPr="00BA12C2">
        <w:rPr>
          <w:rFonts w:asciiTheme="minorBidi" w:eastAsia="Times New Roman" w:hAnsiTheme="minorBidi" w:cstheme="minorBidi"/>
          <w:i/>
          <w:szCs w:val="22"/>
        </w:rPr>
        <w:t>Accounting, Organizations and Society</w:t>
      </w:r>
      <w:r w:rsidR="007C1AF7">
        <w:rPr>
          <w:rFonts w:asciiTheme="minorBidi" w:eastAsia="Times New Roman" w:hAnsiTheme="minorBidi" w:cstheme="minorBidi"/>
          <w:i/>
          <w:szCs w:val="22"/>
        </w:rPr>
        <w:t>,</w:t>
      </w:r>
      <w:r w:rsidR="007C1AF7" w:rsidRPr="008060B4">
        <w:rPr>
          <w:rFonts w:asciiTheme="minorBidi" w:hAnsiTheme="minorBidi"/>
          <w:i/>
        </w:rPr>
        <w:t xml:space="preserve"> 32</w:t>
      </w:r>
      <w:r w:rsidR="007C1AF7">
        <w:rPr>
          <w:rFonts w:asciiTheme="minorBidi" w:eastAsia="Times New Roman" w:hAnsiTheme="minorBidi" w:cstheme="minorBidi"/>
          <w:iCs/>
          <w:szCs w:val="22"/>
        </w:rPr>
        <w:t>(7-8)</w:t>
      </w:r>
      <w:r w:rsidRPr="00BA12C2">
        <w:rPr>
          <w:rFonts w:asciiTheme="minorBidi" w:eastAsia="Times New Roman" w:hAnsiTheme="minorBidi" w:cstheme="minorBidi"/>
          <w:szCs w:val="22"/>
        </w:rPr>
        <w:t>, 649–667</w:t>
      </w:r>
      <w:r w:rsidR="00650E55">
        <w:rPr>
          <w:rFonts w:asciiTheme="minorBidi" w:eastAsia="Times New Roman" w:hAnsiTheme="minorBidi" w:cstheme="minorBidi"/>
          <w:szCs w:val="22"/>
        </w:rPr>
        <w:t>.</w:t>
      </w:r>
    </w:p>
    <w:p w14:paraId="162862B7" w14:textId="1DC00B27"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Cormier, D., Gordon, I. M., </w:t>
      </w:r>
      <w:r w:rsidR="008C76FE">
        <w:rPr>
          <w:rFonts w:asciiTheme="minorBidi" w:hAnsiTheme="minorBidi" w:cstheme="minorBidi"/>
          <w:szCs w:val="22"/>
        </w:rPr>
        <w:t xml:space="preserve">&amp; </w:t>
      </w:r>
      <w:r w:rsidRPr="00BA12C2">
        <w:rPr>
          <w:rFonts w:asciiTheme="minorBidi" w:hAnsiTheme="minorBidi" w:cstheme="minorBidi"/>
          <w:szCs w:val="22"/>
        </w:rPr>
        <w:t xml:space="preserve">Magnan, M. (2004). Corporate environmental disclosure: </w:t>
      </w:r>
      <w:r w:rsidR="007C1AF7">
        <w:rPr>
          <w:rFonts w:asciiTheme="minorBidi" w:hAnsiTheme="minorBidi" w:cstheme="minorBidi"/>
          <w:szCs w:val="22"/>
        </w:rPr>
        <w:t>C</w:t>
      </w:r>
      <w:r w:rsidRPr="00BA12C2">
        <w:rPr>
          <w:rFonts w:asciiTheme="minorBidi" w:hAnsiTheme="minorBidi" w:cstheme="minorBidi"/>
          <w:szCs w:val="22"/>
        </w:rPr>
        <w:t xml:space="preserve">ontrasting management's perceptions with reality. </w:t>
      </w:r>
      <w:r w:rsidRPr="00BA12C2">
        <w:rPr>
          <w:rFonts w:asciiTheme="minorBidi" w:hAnsiTheme="minorBidi" w:cstheme="minorBidi"/>
          <w:i/>
          <w:szCs w:val="22"/>
        </w:rPr>
        <w:t>Journal of Business Ethics, 49</w:t>
      </w:r>
      <w:r w:rsidRPr="00BA12C2">
        <w:rPr>
          <w:rFonts w:asciiTheme="minorBidi" w:hAnsiTheme="minorBidi" w:cstheme="minorBidi"/>
          <w:szCs w:val="22"/>
        </w:rPr>
        <w:t xml:space="preserve">(2), 143-165. </w:t>
      </w:r>
    </w:p>
    <w:p w14:paraId="265FB610" w14:textId="6B789E7F"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Dando, N., </w:t>
      </w:r>
      <w:r w:rsidR="008C76FE">
        <w:rPr>
          <w:rFonts w:asciiTheme="minorBidi" w:hAnsiTheme="minorBidi" w:cstheme="minorBidi"/>
          <w:szCs w:val="22"/>
        </w:rPr>
        <w:t xml:space="preserve">&amp; </w:t>
      </w:r>
      <w:r w:rsidRPr="00BA12C2">
        <w:rPr>
          <w:rFonts w:asciiTheme="minorBidi" w:hAnsiTheme="minorBidi" w:cstheme="minorBidi"/>
          <w:szCs w:val="22"/>
        </w:rPr>
        <w:t>Swift, T. (2003). Transparency and assurance</w:t>
      </w:r>
      <w:r w:rsidR="007C1AF7">
        <w:rPr>
          <w:rFonts w:asciiTheme="minorBidi" w:hAnsiTheme="minorBidi" w:cstheme="minorBidi"/>
          <w:szCs w:val="22"/>
        </w:rPr>
        <w:t>:</w:t>
      </w:r>
      <w:r w:rsidRPr="00BA12C2">
        <w:rPr>
          <w:rFonts w:asciiTheme="minorBidi" w:hAnsiTheme="minorBidi" w:cstheme="minorBidi"/>
          <w:szCs w:val="22"/>
        </w:rPr>
        <w:t xml:space="preserve"> </w:t>
      </w:r>
      <w:r w:rsidR="007C1AF7">
        <w:rPr>
          <w:rFonts w:asciiTheme="minorBidi" w:hAnsiTheme="minorBidi" w:cstheme="minorBidi"/>
          <w:szCs w:val="22"/>
        </w:rPr>
        <w:t>M</w:t>
      </w:r>
      <w:r w:rsidRPr="00BA12C2">
        <w:rPr>
          <w:rFonts w:asciiTheme="minorBidi" w:hAnsiTheme="minorBidi" w:cstheme="minorBidi"/>
          <w:szCs w:val="22"/>
        </w:rPr>
        <w:t xml:space="preserve">inding the credibility gap. </w:t>
      </w:r>
      <w:r w:rsidRPr="00BA12C2">
        <w:rPr>
          <w:rFonts w:asciiTheme="minorBidi" w:hAnsiTheme="minorBidi" w:cstheme="minorBidi"/>
          <w:i/>
          <w:szCs w:val="22"/>
        </w:rPr>
        <w:t>Journal of Business Ethics, 44</w:t>
      </w:r>
      <w:r w:rsidRPr="00BA12C2">
        <w:rPr>
          <w:rFonts w:asciiTheme="minorBidi" w:hAnsiTheme="minorBidi" w:cstheme="minorBidi"/>
          <w:szCs w:val="22"/>
        </w:rPr>
        <w:t xml:space="preserve">(2-3), 195-200. </w:t>
      </w:r>
    </w:p>
    <w:p w14:paraId="40D84467" w14:textId="0D656B58"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 xml:space="preserve">Davison, J. (2007). Photographs and accountability: </w:t>
      </w:r>
      <w:r w:rsidR="007C1AF7">
        <w:rPr>
          <w:rFonts w:asciiTheme="minorBidi" w:hAnsiTheme="minorBidi" w:cstheme="minorBidi"/>
        </w:rPr>
        <w:t>C</w:t>
      </w:r>
      <w:r w:rsidRPr="00BA12C2">
        <w:rPr>
          <w:rFonts w:asciiTheme="minorBidi" w:hAnsiTheme="minorBidi" w:cstheme="minorBidi"/>
        </w:rPr>
        <w:t xml:space="preserve">racking the codes of an NGO. </w:t>
      </w:r>
      <w:r w:rsidRPr="00BA12C2">
        <w:rPr>
          <w:rFonts w:asciiTheme="minorBidi" w:hAnsiTheme="minorBidi" w:cstheme="minorBidi"/>
          <w:i/>
        </w:rPr>
        <w:t>Accounting, Auditing &amp; Accountability Journal, 20</w:t>
      </w:r>
      <w:r w:rsidRPr="00BA12C2">
        <w:rPr>
          <w:rFonts w:asciiTheme="minorBidi" w:hAnsiTheme="minorBidi" w:cstheme="minorBidi"/>
        </w:rPr>
        <w:t xml:space="preserve">(1), 133-158. </w:t>
      </w:r>
    </w:p>
    <w:p w14:paraId="43C4ECEC" w14:textId="77777777"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lastRenderedPageBreak/>
        <w:t xml:space="preserve">Davison, J. (2010). [In]visible [in]tangibles: Visual portraits of the business élite. </w:t>
      </w:r>
      <w:r w:rsidRPr="00BA12C2">
        <w:rPr>
          <w:rFonts w:asciiTheme="minorBidi" w:hAnsiTheme="minorBidi" w:cstheme="minorBidi"/>
          <w:i/>
          <w:szCs w:val="22"/>
        </w:rPr>
        <w:t>Accounting, Organizations and Society, 35</w:t>
      </w:r>
      <w:r w:rsidRPr="00BA12C2">
        <w:rPr>
          <w:rFonts w:asciiTheme="minorBidi" w:hAnsiTheme="minorBidi" w:cstheme="minorBidi"/>
          <w:szCs w:val="22"/>
        </w:rPr>
        <w:t>(2), 165-183.</w:t>
      </w:r>
    </w:p>
    <w:p w14:paraId="74C1FAD7" w14:textId="1B73AEA5"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Davison, J. (2013). Visual perspectives. In </w:t>
      </w:r>
      <w:r w:rsidR="00CF5619">
        <w:rPr>
          <w:rFonts w:asciiTheme="minorBidi" w:hAnsiTheme="minorBidi" w:cstheme="minorBidi"/>
          <w:szCs w:val="22"/>
        </w:rPr>
        <w:t xml:space="preserve">L. </w:t>
      </w:r>
      <w:r w:rsidRPr="00BA12C2">
        <w:rPr>
          <w:rFonts w:asciiTheme="minorBidi" w:hAnsiTheme="minorBidi" w:cstheme="minorBidi"/>
          <w:szCs w:val="22"/>
        </w:rPr>
        <w:t>Jack,</w:t>
      </w:r>
      <w:r w:rsidR="00CF5619">
        <w:rPr>
          <w:rFonts w:asciiTheme="minorBidi" w:hAnsiTheme="minorBidi" w:cstheme="minorBidi"/>
          <w:szCs w:val="22"/>
        </w:rPr>
        <w:t xml:space="preserve"> J.</w:t>
      </w:r>
      <w:r w:rsidRPr="00BA12C2">
        <w:rPr>
          <w:rFonts w:asciiTheme="minorBidi" w:hAnsiTheme="minorBidi" w:cstheme="minorBidi"/>
          <w:szCs w:val="22"/>
        </w:rPr>
        <w:t xml:space="preserve"> Davison, </w:t>
      </w:r>
      <w:r w:rsidR="00CF5619">
        <w:rPr>
          <w:rFonts w:asciiTheme="minorBidi" w:hAnsiTheme="minorBidi" w:cstheme="minorBidi"/>
          <w:szCs w:val="22"/>
        </w:rPr>
        <w:t>&amp;</w:t>
      </w:r>
      <w:r w:rsidR="00CF5619" w:rsidRPr="00BA12C2">
        <w:rPr>
          <w:rFonts w:asciiTheme="minorBidi" w:hAnsiTheme="minorBidi" w:cstheme="minorBidi"/>
          <w:szCs w:val="22"/>
        </w:rPr>
        <w:t xml:space="preserve"> </w:t>
      </w:r>
      <w:r w:rsidR="00CF5619">
        <w:rPr>
          <w:rFonts w:asciiTheme="minorBidi" w:hAnsiTheme="minorBidi" w:cstheme="minorBidi"/>
          <w:szCs w:val="22"/>
        </w:rPr>
        <w:t xml:space="preserve">R. </w:t>
      </w:r>
      <w:r w:rsidRPr="00BA12C2">
        <w:rPr>
          <w:rFonts w:asciiTheme="minorBidi" w:hAnsiTheme="minorBidi" w:cstheme="minorBidi"/>
          <w:szCs w:val="22"/>
        </w:rPr>
        <w:t>Craig (</w:t>
      </w:r>
      <w:r w:rsidR="00CF5619">
        <w:rPr>
          <w:rFonts w:asciiTheme="minorBidi" w:hAnsiTheme="minorBidi" w:cstheme="minorBidi"/>
          <w:szCs w:val="22"/>
        </w:rPr>
        <w:t>E</w:t>
      </w:r>
      <w:r w:rsidRPr="00BA12C2">
        <w:rPr>
          <w:rFonts w:asciiTheme="minorBidi" w:hAnsiTheme="minorBidi" w:cstheme="minorBidi"/>
          <w:szCs w:val="22"/>
        </w:rPr>
        <w:t>ds</w:t>
      </w:r>
      <w:r w:rsidR="00CF5619">
        <w:rPr>
          <w:rFonts w:asciiTheme="minorBidi" w:hAnsiTheme="minorBidi" w:cstheme="minorBidi"/>
          <w:szCs w:val="22"/>
        </w:rPr>
        <w:t>.</w:t>
      </w:r>
      <w:r w:rsidRPr="00BA12C2">
        <w:rPr>
          <w:rFonts w:asciiTheme="minorBidi" w:hAnsiTheme="minorBidi" w:cstheme="minorBidi"/>
          <w:szCs w:val="22"/>
        </w:rPr>
        <w:t xml:space="preserve">) </w:t>
      </w:r>
      <w:r w:rsidRPr="00BA12C2">
        <w:rPr>
          <w:rFonts w:asciiTheme="minorBidi" w:hAnsiTheme="minorBidi" w:cstheme="minorBidi"/>
          <w:i/>
          <w:szCs w:val="22"/>
        </w:rPr>
        <w:t xml:space="preserve">The Routledge </w:t>
      </w:r>
      <w:r w:rsidR="00CF5619">
        <w:rPr>
          <w:rFonts w:asciiTheme="minorBidi" w:hAnsiTheme="minorBidi" w:cstheme="minorBidi"/>
          <w:i/>
          <w:szCs w:val="22"/>
        </w:rPr>
        <w:t>c</w:t>
      </w:r>
      <w:r w:rsidRPr="00BA12C2">
        <w:rPr>
          <w:rFonts w:asciiTheme="minorBidi" w:hAnsiTheme="minorBidi" w:cstheme="minorBidi"/>
          <w:i/>
          <w:szCs w:val="22"/>
        </w:rPr>
        <w:t xml:space="preserve">ompanion to </w:t>
      </w:r>
      <w:r w:rsidR="00CF5619">
        <w:rPr>
          <w:rFonts w:asciiTheme="minorBidi" w:hAnsiTheme="minorBidi" w:cstheme="minorBidi"/>
          <w:i/>
          <w:szCs w:val="22"/>
        </w:rPr>
        <w:t>a</w:t>
      </w:r>
      <w:r w:rsidRPr="00BA12C2">
        <w:rPr>
          <w:rFonts w:asciiTheme="minorBidi" w:hAnsiTheme="minorBidi" w:cstheme="minorBidi"/>
          <w:i/>
          <w:szCs w:val="22"/>
        </w:rPr>
        <w:t xml:space="preserve">ccounting </w:t>
      </w:r>
      <w:r w:rsidR="00CF5619">
        <w:rPr>
          <w:rFonts w:asciiTheme="minorBidi" w:hAnsiTheme="minorBidi" w:cstheme="minorBidi"/>
          <w:i/>
          <w:szCs w:val="22"/>
        </w:rPr>
        <w:t>c</w:t>
      </w:r>
      <w:r w:rsidRPr="00BA12C2">
        <w:rPr>
          <w:rFonts w:asciiTheme="minorBidi" w:hAnsiTheme="minorBidi" w:cstheme="minorBidi"/>
          <w:i/>
          <w:szCs w:val="22"/>
        </w:rPr>
        <w:t>ommunication</w:t>
      </w:r>
      <w:r w:rsidR="00CF5619">
        <w:rPr>
          <w:rFonts w:asciiTheme="minorBidi" w:hAnsiTheme="minorBidi" w:cstheme="minorBidi"/>
          <w:iCs/>
          <w:szCs w:val="22"/>
        </w:rPr>
        <w:t xml:space="preserve"> (pp. 58-75)</w:t>
      </w:r>
      <w:r w:rsidRPr="008060B4">
        <w:rPr>
          <w:rFonts w:asciiTheme="minorBidi" w:hAnsiTheme="minorBidi"/>
          <w:i/>
        </w:rPr>
        <w:t>.</w:t>
      </w:r>
      <w:r w:rsidRPr="00BA12C2">
        <w:rPr>
          <w:rFonts w:asciiTheme="minorBidi" w:hAnsiTheme="minorBidi" w:cstheme="minorBidi"/>
          <w:szCs w:val="22"/>
        </w:rPr>
        <w:t xml:space="preserve"> Routledge.</w:t>
      </w:r>
    </w:p>
    <w:p w14:paraId="50C0F387" w14:textId="77777777"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 xml:space="preserve">Davison, J. (2014). Visual rhetoric and the case of intellectual capital. </w:t>
      </w:r>
      <w:r w:rsidRPr="00BA12C2">
        <w:rPr>
          <w:rFonts w:asciiTheme="minorBidi" w:hAnsiTheme="minorBidi" w:cstheme="minorBidi"/>
          <w:i/>
        </w:rPr>
        <w:t>Accounting, Organizations and Society, 39</w:t>
      </w:r>
      <w:r w:rsidRPr="00BA12C2">
        <w:rPr>
          <w:rFonts w:asciiTheme="minorBidi" w:hAnsiTheme="minorBidi" w:cstheme="minorBidi"/>
        </w:rPr>
        <w:t xml:space="preserve">(1), 20-37. </w:t>
      </w:r>
    </w:p>
    <w:p w14:paraId="154B71C4" w14:textId="3FFFC00A"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 xml:space="preserve">Davison, J. (2015). Visualising accounting: </w:t>
      </w:r>
      <w:r w:rsidR="007C1AF7">
        <w:rPr>
          <w:rFonts w:asciiTheme="minorBidi" w:hAnsiTheme="minorBidi" w:cstheme="minorBidi"/>
        </w:rPr>
        <w:t>A</w:t>
      </w:r>
      <w:r w:rsidRPr="00BA12C2">
        <w:rPr>
          <w:rFonts w:asciiTheme="minorBidi" w:hAnsiTheme="minorBidi" w:cstheme="minorBidi"/>
        </w:rPr>
        <w:t xml:space="preserve">n interdisciplinary review and synthesis. </w:t>
      </w:r>
      <w:r w:rsidRPr="00BA12C2">
        <w:rPr>
          <w:rFonts w:asciiTheme="minorBidi" w:hAnsiTheme="minorBidi" w:cstheme="minorBidi"/>
          <w:i/>
        </w:rPr>
        <w:t>Accounting and Business Research</w:t>
      </w:r>
      <w:r w:rsidRPr="00BA12C2">
        <w:rPr>
          <w:rFonts w:asciiTheme="minorBidi" w:hAnsiTheme="minorBidi" w:cstheme="minorBidi"/>
        </w:rPr>
        <w:t xml:space="preserve">, </w:t>
      </w:r>
      <w:r w:rsidRPr="00BA12C2">
        <w:rPr>
          <w:rFonts w:asciiTheme="minorBidi" w:hAnsiTheme="minorBidi" w:cstheme="minorBidi"/>
          <w:i/>
        </w:rPr>
        <w:t>45</w:t>
      </w:r>
      <w:r w:rsidRPr="00BA12C2">
        <w:rPr>
          <w:rFonts w:asciiTheme="minorBidi" w:hAnsiTheme="minorBidi" w:cstheme="minorBidi"/>
        </w:rPr>
        <w:t>(2), 121-165.</w:t>
      </w:r>
    </w:p>
    <w:p w14:paraId="0A581904" w14:textId="1F5AA967"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 xml:space="preserve">Davison, J., </w:t>
      </w:r>
      <w:r w:rsidR="008C76FE">
        <w:rPr>
          <w:rFonts w:asciiTheme="minorBidi" w:hAnsiTheme="minorBidi" w:cstheme="minorBidi"/>
        </w:rPr>
        <w:t xml:space="preserve">&amp; </w:t>
      </w:r>
      <w:r w:rsidRPr="00BA12C2">
        <w:rPr>
          <w:rFonts w:asciiTheme="minorBidi" w:hAnsiTheme="minorBidi" w:cstheme="minorBidi"/>
        </w:rPr>
        <w:t>Skerratt, L. (2007).</w:t>
      </w:r>
      <w:r w:rsidR="00886A4E">
        <w:rPr>
          <w:rFonts w:asciiTheme="minorBidi" w:hAnsiTheme="minorBidi" w:cstheme="minorBidi"/>
        </w:rPr>
        <w:t xml:space="preserve"> </w:t>
      </w:r>
      <w:r w:rsidRPr="00BA12C2">
        <w:rPr>
          <w:rFonts w:asciiTheme="minorBidi" w:hAnsiTheme="minorBidi" w:cstheme="minorBidi"/>
          <w:i/>
        </w:rPr>
        <w:t xml:space="preserve">Words, </w:t>
      </w:r>
      <w:r w:rsidR="00CF5619">
        <w:rPr>
          <w:rFonts w:asciiTheme="minorBidi" w:hAnsiTheme="minorBidi" w:cstheme="minorBidi"/>
          <w:i/>
        </w:rPr>
        <w:t>p</w:t>
      </w:r>
      <w:r w:rsidRPr="00BA12C2">
        <w:rPr>
          <w:rFonts w:asciiTheme="minorBidi" w:hAnsiTheme="minorBidi" w:cstheme="minorBidi"/>
          <w:i/>
        </w:rPr>
        <w:t xml:space="preserve">ictures and </w:t>
      </w:r>
      <w:r w:rsidR="00CF5619">
        <w:rPr>
          <w:rFonts w:asciiTheme="minorBidi" w:hAnsiTheme="minorBidi" w:cstheme="minorBidi"/>
          <w:i/>
        </w:rPr>
        <w:t>i</w:t>
      </w:r>
      <w:r w:rsidRPr="00BA12C2">
        <w:rPr>
          <w:rFonts w:asciiTheme="minorBidi" w:hAnsiTheme="minorBidi" w:cstheme="minorBidi"/>
          <w:i/>
        </w:rPr>
        <w:t xml:space="preserve">ntangibles in the </w:t>
      </w:r>
      <w:r w:rsidR="00CF5619">
        <w:rPr>
          <w:rFonts w:asciiTheme="minorBidi" w:hAnsiTheme="minorBidi" w:cstheme="minorBidi"/>
          <w:i/>
        </w:rPr>
        <w:t>c</w:t>
      </w:r>
      <w:r w:rsidRPr="00BA12C2">
        <w:rPr>
          <w:rFonts w:asciiTheme="minorBidi" w:hAnsiTheme="minorBidi" w:cstheme="minorBidi"/>
          <w:i/>
        </w:rPr>
        <w:t xml:space="preserve">orporate </w:t>
      </w:r>
      <w:r w:rsidR="00CF5619">
        <w:rPr>
          <w:rFonts w:asciiTheme="minorBidi" w:hAnsiTheme="minorBidi" w:cstheme="minorBidi"/>
          <w:i/>
        </w:rPr>
        <w:t>r</w:t>
      </w:r>
      <w:r w:rsidRPr="00BA12C2">
        <w:rPr>
          <w:rFonts w:asciiTheme="minorBidi" w:hAnsiTheme="minorBidi" w:cstheme="minorBidi"/>
          <w:i/>
        </w:rPr>
        <w:t>eport.</w:t>
      </w:r>
      <w:r w:rsidR="00886A4E">
        <w:rPr>
          <w:rFonts w:asciiTheme="minorBidi" w:hAnsiTheme="minorBidi" w:cstheme="minorBidi"/>
        </w:rPr>
        <w:t xml:space="preserve"> </w:t>
      </w:r>
      <w:r w:rsidRPr="00BA12C2">
        <w:rPr>
          <w:rFonts w:asciiTheme="minorBidi" w:hAnsiTheme="minorBidi" w:cstheme="minorBidi"/>
        </w:rPr>
        <w:t>The Institute of Chartered Accountants of Scotland.</w:t>
      </w:r>
    </w:p>
    <w:p w14:paraId="70C45364" w14:textId="74218891" w:rsidR="001D1EEE"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Deegan, C., Rankin, M., </w:t>
      </w:r>
      <w:r w:rsidR="008C76FE">
        <w:rPr>
          <w:rFonts w:asciiTheme="minorBidi" w:hAnsiTheme="minorBidi" w:cstheme="minorBidi"/>
          <w:szCs w:val="22"/>
        </w:rPr>
        <w:t xml:space="preserve">&amp; </w:t>
      </w:r>
      <w:r w:rsidRPr="00BA12C2">
        <w:rPr>
          <w:rFonts w:asciiTheme="minorBidi" w:hAnsiTheme="minorBidi" w:cstheme="minorBidi"/>
          <w:szCs w:val="22"/>
        </w:rPr>
        <w:t xml:space="preserve">Tobin, J. (2002). An examination of the corporate social and environmental disclosures of BHP from 1983-1997: </w:t>
      </w:r>
      <w:r w:rsidR="00290DF6">
        <w:rPr>
          <w:rFonts w:asciiTheme="minorBidi" w:hAnsiTheme="minorBidi" w:cstheme="minorBidi"/>
          <w:szCs w:val="22"/>
        </w:rPr>
        <w:t>A</w:t>
      </w:r>
      <w:r w:rsidRPr="00BA12C2">
        <w:rPr>
          <w:rFonts w:asciiTheme="minorBidi" w:hAnsiTheme="minorBidi" w:cstheme="minorBidi"/>
          <w:szCs w:val="22"/>
        </w:rPr>
        <w:t xml:space="preserve"> test of legitimacy theory. </w:t>
      </w:r>
      <w:r w:rsidRPr="00BA12C2">
        <w:rPr>
          <w:rFonts w:asciiTheme="minorBidi" w:hAnsiTheme="minorBidi" w:cstheme="minorBidi"/>
          <w:i/>
          <w:szCs w:val="22"/>
        </w:rPr>
        <w:t>Accounting, Auditing &amp; Accountability Journal, 15</w:t>
      </w:r>
      <w:r w:rsidRPr="008060B4">
        <w:rPr>
          <w:rFonts w:asciiTheme="minorBidi" w:hAnsiTheme="minorBidi"/>
        </w:rPr>
        <w:t>(3),</w:t>
      </w:r>
      <w:r w:rsidRPr="00BA12C2">
        <w:rPr>
          <w:rFonts w:asciiTheme="minorBidi" w:hAnsiTheme="minorBidi" w:cstheme="minorBidi"/>
          <w:i/>
          <w:szCs w:val="22"/>
        </w:rPr>
        <w:t xml:space="preserve"> </w:t>
      </w:r>
      <w:r w:rsidRPr="00BA12C2">
        <w:rPr>
          <w:rFonts w:asciiTheme="minorBidi" w:hAnsiTheme="minorBidi" w:cstheme="minorBidi"/>
          <w:szCs w:val="22"/>
        </w:rPr>
        <w:t>312-343</w:t>
      </w:r>
      <w:r w:rsidR="00290DF6">
        <w:rPr>
          <w:rFonts w:asciiTheme="minorBidi" w:hAnsiTheme="minorBidi" w:cstheme="minorBidi"/>
          <w:szCs w:val="22"/>
        </w:rPr>
        <w:t>.</w:t>
      </w:r>
    </w:p>
    <w:p w14:paraId="36C01239" w14:textId="28707CC5" w:rsidR="001D1EEE" w:rsidRPr="00BA12C2" w:rsidRDefault="001D1EEE" w:rsidP="001D1EEE">
      <w:pPr>
        <w:pStyle w:val="References"/>
        <w:rPr>
          <w:rFonts w:asciiTheme="minorBidi" w:hAnsiTheme="minorBidi" w:cstheme="minorBidi"/>
          <w:szCs w:val="22"/>
        </w:rPr>
      </w:pPr>
      <w:r>
        <w:t xml:space="preserve">Deegan, C., &amp; Unerman, J. (2011). </w:t>
      </w:r>
      <w:r w:rsidRPr="008060B4">
        <w:rPr>
          <w:i/>
        </w:rPr>
        <w:t xml:space="preserve">Financial </w:t>
      </w:r>
      <w:r w:rsidR="00CF5619" w:rsidRPr="008060B4">
        <w:rPr>
          <w:i/>
        </w:rPr>
        <w:t>a</w:t>
      </w:r>
      <w:r w:rsidRPr="008060B4">
        <w:rPr>
          <w:i/>
        </w:rPr>
        <w:t xml:space="preserve">ccounting </w:t>
      </w:r>
      <w:r w:rsidR="00CF5619" w:rsidRPr="008060B4">
        <w:rPr>
          <w:i/>
        </w:rPr>
        <w:t>t</w:t>
      </w:r>
      <w:r w:rsidRPr="008060B4">
        <w:rPr>
          <w:i/>
        </w:rPr>
        <w:t>heory</w:t>
      </w:r>
      <w:r>
        <w:t>. McGraw-Hill.</w:t>
      </w:r>
    </w:p>
    <w:p w14:paraId="0187E7F5" w14:textId="7E6F5FDE" w:rsidR="001D1EEE"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De Villiers, C., </w:t>
      </w:r>
      <w:r w:rsidR="008C76FE">
        <w:rPr>
          <w:rFonts w:asciiTheme="minorBidi" w:hAnsiTheme="minorBidi" w:cstheme="minorBidi"/>
          <w:szCs w:val="22"/>
        </w:rPr>
        <w:t xml:space="preserve">&amp; </w:t>
      </w:r>
      <w:r w:rsidRPr="00BA12C2">
        <w:rPr>
          <w:rFonts w:asciiTheme="minorBidi" w:hAnsiTheme="minorBidi" w:cstheme="minorBidi"/>
          <w:szCs w:val="22"/>
        </w:rPr>
        <w:t xml:space="preserve">Alexander, D. (2014). The institutionalisation of corporate social responsibility reporting. </w:t>
      </w:r>
      <w:r w:rsidRPr="00BA12C2">
        <w:rPr>
          <w:rFonts w:asciiTheme="minorBidi" w:hAnsiTheme="minorBidi" w:cstheme="minorBidi"/>
          <w:i/>
          <w:szCs w:val="22"/>
        </w:rPr>
        <w:t>British Accounting Review,</w:t>
      </w:r>
      <w:r w:rsidRPr="00BA12C2">
        <w:rPr>
          <w:rFonts w:asciiTheme="minorBidi" w:hAnsiTheme="minorBidi" w:cstheme="minorBidi"/>
          <w:szCs w:val="22"/>
        </w:rPr>
        <w:t xml:space="preserve"> </w:t>
      </w:r>
      <w:r w:rsidRPr="008060B4">
        <w:rPr>
          <w:rFonts w:asciiTheme="minorBidi" w:hAnsiTheme="minorBidi"/>
          <w:i/>
        </w:rPr>
        <w:t>46</w:t>
      </w:r>
      <w:r w:rsidRPr="00BA12C2">
        <w:rPr>
          <w:rFonts w:asciiTheme="minorBidi" w:hAnsiTheme="minorBidi" w:cstheme="minorBidi"/>
          <w:szCs w:val="22"/>
        </w:rPr>
        <w:t>(2), 198-212</w:t>
      </w:r>
      <w:r w:rsidR="00290DF6">
        <w:rPr>
          <w:rFonts w:asciiTheme="minorBidi" w:hAnsiTheme="minorBidi" w:cstheme="minorBidi"/>
          <w:szCs w:val="22"/>
        </w:rPr>
        <w:t>.</w:t>
      </w:r>
    </w:p>
    <w:p w14:paraId="55DA4DE9" w14:textId="11BDB160" w:rsidR="001D1EEE" w:rsidRPr="00D93F33" w:rsidRDefault="001D1EEE" w:rsidP="001D1EEE">
      <w:pPr>
        <w:pStyle w:val="References"/>
        <w:rPr>
          <w:rFonts w:asciiTheme="minorBidi" w:hAnsiTheme="minorBidi" w:cstheme="minorBidi"/>
          <w:szCs w:val="22"/>
        </w:rPr>
      </w:pPr>
      <w:r w:rsidRPr="00B37F7B">
        <w:rPr>
          <w:rFonts w:cs="Arial"/>
          <w:color w:val="222222"/>
          <w:szCs w:val="22"/>
          <w:shd w:val="clear" w:color="auto" w:fill="FFFFFF"/>
        </w:rPr>
        <w:t xml:space="preserve">Dingwerth, K., &amp; Eichinger, M. (2010). Tamed transparency: How information disclosure under the </w:t>
      </w:r>
      <w:r w:rsidR="00290DF6">
        <w:rPr>
          <w:rFonts w:cs="Arial"/>
          <w:color w:val="222222"/>
          <w:szCs w:val="22"/>
          <w:shd w:val="clear" w:color="auto" w:fill="FFFFFF"/>
        </w:rPr>
        <w:t>G</w:t>
      </w:r>
      <w:r w:rsidRPr="00B37F7B">
        <w:rPr>
          <w:rFonts w:cs="Arial"/>
          <w:color w:val="222222"/>
          <w:szCs w:val="22"/>
          <w:shd w:val="clear" w:color="auto" w:fill="FFFFFF"/>
        </w:rPr>
        <w:t xml:space="preserve">lobal </w:t>
      </w:r>
      <w:r w:rsidR="00290DF6">
        <w:rPr>
          <w:rFonts w:cs="Arial"/>
          <w:color w:val="222222"/>
          <w:szCs w:val="22"/>
          <w:shd w:val="clear" w:color="auto" w:fill="FFFFFF"/>
        </w:rPr>
        <w:t>R</w:t>
      </w:r>
      <w:r w:rsidRPr="00B37F7B">
        <w:rPr>
          <w:rFonts w:cs="Arial"/>
          <w:color w:val="222222"/>
          <w:szCs w:val="22"/>
          <w:shd w:val="clear" w:color="auto" w:fill="FFFFFF"/>
        </w:rPr>
        <w:t xml:space="preserve">eporting </w:t>
      </w:r>
      <w:r w:rsidR="00290DF6">
        <w:rPr>
          <w:rFonts w:cs="Arial"/>
          <w:color w:val="222222"/>
          <w:szCs w:val="22"/>
          <w:shd w:val="clear" w:color="auto" w:fill="FFFFFF"/>
        </w:rPr>
        <w:t>I</w:t>
      </w:r>
      <w:r w:rsidRPr="00B37F7B">
        <w:rPr>
          <w:rFonts w:cs="Arial"/>
          <w:color w:val="222222"/>
          <w:szCs w:val="22"/>
          <w:shd w:val="clear" w:color="auto" w:fill="FFFFFF"/>
        </w:rPr>
        <w:t>nitiative fails to empower. </w:t>
      </w:r>
      <w:r w:rsidRPr="00B37F7B">
        <w:rPr>
          <w:rFonts w:cs="Arial"/>
          <w:i/>
          <w:iCs/>
          <w:color w:val="222222"/>
          <w:szCs w:val="22"/>
          <w:shd w:val="clear" w:color="auto" w:fill="FFFFFF"/>
        </w:rPr>
        <w:t>Global Environmental Politics</w:t>
      </w:r>
      <w:r w:rsidRPr="00B37F7B">
        <w:rPr>
          <w:rFonts w:cs="Arial"/>
          <w:color w:val="222222"/>
          <w:szCs w:val="22"/>
          <w:shd w:val="clear" w:color="auto" w:fill="FFFFFF"/>
        </w:rPr>
        <w:t>, </w:t>
      </w:r>
      <w:r w:rsidRPr="00B37F7B">
        <w:rPr>
          <w:rFonts w:cs="Arial"/>
          <w:i/>
          <w:iCs/>
          <w:color w:val="222222"/>
          <w:szCs w:val="22"/>
          <w:shd w:val="clear" w:color="auto" w:fill="FFFFFF"/>
        </w:rPr>
        <w:t>10</w:t>
      </w:r>
      <w:r w:rsidRPr="00B37F7B">
        <w:rPr>
          <w:rFonts w:cs="Arial"/>
          <w:color w:val="222222"/>
          <w:szCs w:val="22"/>
          <w:shd w:val="clear" w:color="auto" w:fill="FFFFFF"/>
        </w:rPr>
        <w:t>(3), 74-96.</w:t>
      </w:r>
    </w:p>
    <w:p w14:paraId="1B5ABDF5" w14:textId="77777777" w:rsidR="001D1EEE"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Duff, A. (2016). Corporate social responsibility reporting in professional accounting </w:t>
      </w:r>
      <w:r>
        <w:rPr>
          <w:rFonts w:asciiTheme="minorBidi" w:hAnsiTheme="minorBidi" w:cstheme="minorBidi"/>
          <w:szCs w:val="22"/>
        </w:rPr>
        <w:t>firm</w:t>
      </w:r>
      <w:r w:rsidRPr="00BA12C2">
        <w:rPr>
          <w:rFonts w:asciiTheme="minorBidi" w:hAnsiTheme="minorBidi" w:cstheme="minorBidi"/>
          <w:szCs w:val="22"/>
        </w:rPr>
        <w:t xml:space="preserve">s. </w:t>
      </w:r>
      <w:r w:rsidRPr="00BA12C2">
        <w:rPr>
          <w:rFonts w:asciiTheme="minorBidi" w:hAnsiTheme="minorBidi" w:cstheme="minorBidi"/>
          <w:i/>
          <w:szCs w:val="22"/>
        </w:rPr>
        <w:t>British Accounting Review, 48</w:t>
      </w:r>
      <w:r w:rsidRPr="00BA12C2">
        <w:rPr>
          <w:rFonts w:asciiTheme="minorBidi" w:hAnsiTheme="minorBidi" w:cstheme="minorBidi"/>
          <w:szCs w:val="22"/>
        </w:rPr>
        <w:t>(1), 74-86.</w:t>
      </w:r>
    </w:p>
    <w:p w14:paraId="033626BE" w14:textId="038731B7" w:rsidR="001D1EEE" w:rsidRDefault="001D1EEE" w:rsidP="001D1EEE">
      <w:pPr>
        <w:pStyle w:val="References"/>
        <w:rPr>
          <w:rFonts w:asciiTheme="minorBidi" w:hAnsiTheme="minorBidi" w:cstheme="minorBidi"/>
          <w:szCs w:val="22"/>
        </w:rPr>
      </w:pPr>
      <w:r>
        <w:rPr>
          <w:rFonts w:asciiTheme="minorBidi" w:hAnsiTheme="minorBidi" w:cstheme="minorBidi"/>
          <w:szCs w:val="22"/>
        </w:rPr>
        <w:t xml:space="preserve">Dye, R.A. (1985). Disclosure of </w:t>
      </w:r>
      <w:r w:rsidR="00290DF6">
        <w:rPr>
          <w:rFonts w:asciiTheme="minorBidi" w:hAnsiTheme="minorBidi" w:cstheme="minorBidi"/>
          <w:szCs w:val="22"/>
        </w:rPr>
        <w:t>n</w:t>
      </w:r>
      <w:r>
        <w:rPr>
          <w:rFonts w:asciiTheme="minorBidi" w:hAnsiTheme="minorBidi" w:cstheme="minorBidi"/>
          <w:szCs w:val="22"/>
        </w:rPr>
        <w:t xml:space="preserve">onproprietary information. </w:t>
      </w:r>
      <w:r w:rsidRPr="008060B4">
        <w:rPr>
          <w:rFonts w:asciiTheme="minorBidi" w:hAnsiTheme="minorBidi"/>
          <w:i/>
        </w:rPr>
        <w:t xml:space="preserve">Journal of Accounting </w:t>
      </w:r>
      <w:r w:rsidR="00290DF6">
        <w:rPr>
          <w:rFonts w:asciiTheme="minorBidi" w:hAnsiTheme="minorBidi" w:cstheme="minorBidi"/>
          <w:i/>
          <w:iCs/>
          <w:szCs w:val="22"/>
        </w:rPr>
        <w:t>R</w:t>
      </w:r>
      <w:r w:rsidRPr="00453E41">
        <w:rPr>
          <w:rFonts w:asciiTheme="minorBidi" w:hAnsiTheme="minorBidi" w:cstheme="minorBidi"/>
          <w:i/>
          <w:iCs/>
          <w:szCs w:val="22"/>
        </w:rPr>
        <w:t>esearch</w:t>
      </w:r>
      <w:r>
        <w:rPr>
          <w:rFonts w:asciiTheme="minorBidi" w:hAnsiTheme="minorBidi" w:cstheme="minorBidi"/>
          <w:szCs w:val="22"/>
        </w:rPr>
        <w:t>,</w:t>
      </w:r>
      <w:r w:rsidR="00290DF6">
        <w:rPr>
          <w:rFonts w:asciiTheme="minorBidi" w:hAnsiTheme="minorBidi" w:cstheme="minorBidi"/>
          <w:szCs w:val="22"/>
        </w:rPr>
        <w:t xml:space="preserve"> </w:t>
      </w:r>
      <w:r w:rsidR="00290DF6">
        <w:rPr>
          <w:rFonts w:asciiTheme="minorBidi" w:hAnsiTheme="minorBidi" w:cstheme="minorBidi"/>
          <w:i/>
          <w:iCs/>
          <w:szCs w:val="22"/>
        </w:rPr>
        <w:t>23</w:t>
      </w:r>
      <w:r w:rsidR="00290DF6">
        <w:rPr>
          <w:rFonts w:asciiTheme="minorBidi" w:hAnsiTheme="minorBidi" w:cstheme="minorBidi"/>
          <w:szCs w:val="22"/>
        </w:rPr>
        <w:t>(1),</w:t>
      </w:r>
      <w:r>
        <w:rPr>
          <w:rFonts w:asciiTheme="minorBidi" w:hAnsiTheme="minorBidi" w:cstheme="minorBidi"/>
          <w:szCs w:val="22"/>
        </w:rPr>
        <w:t xml:space="preserve"> 123-145</w:t>
      </w:r>
      <w:r w:rsidR="00290DF6">
        <w:rPr>
          <w:rFonts w:asciiTheme="minorBidi" w:hAnsiTheme="minorBidi" w:cstheme="minorBidi"/>
          <w:szCs w:val="22"/>
        </w:rPr>
        <w:t>.</w:t>
      </w:r>
    </w:p>
    <w:p w14:paraId="4F78E61E" w14:textId="748ADFEA"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Falschlunger, L.</w:t>
      </w:r>
      <w:r w:rsidR="00374A88">
        <w:rPr>
          <w:rFonts w:asciiTheme="minorBidi" w:hAnsiTheme="minorBidi" w:cstheme="minorBidi"/>
        </w:rPr>
        <w:t xml:space="preserve"> </w:t>
      </w:r>
      <w:r w:rsidRPr="00BA12C2">
        <w:rPr>
          <w:rFonts w:asciiTheme="minorBidi" w:hAnsiTheme="minorBidi" w:cstheme="minorBidi"/>
        </w:rPr>
        <w:t xml:space="preserve">M., Eisl, C., Losbichler, H., </w:t>
      </w:r>
      <w:r w:rsidR="008C76FE">
        <w:rPr>
          <w:rFonts w:asciiTheme="minorBidi" w:hAnsiTheme="minorBidi" w:cstheme="minorBidi"/>
        </w:rPr>
        <w:t xml:space="preserve">&amp; </w:t>
      </w:r>
      <w:r w:rsidRPr="00BA12C2">
        <w:rPr>
          <w:rFonts w:asciiTheme="minorBidi" w:hAnsiTheme="minorBidi" w:cstheme="minorBidi"/>
        </w:rPr>
        <w:t>Greil, A. M. (2015). Impression management in annual reports of the largest European companies</w:t>
      </w:r>
      <w:r w:rsidR="00374A88">
        <w:rPr>
          <w:rFonts w:asciiTheme="minorBidi" w:hAnsiTheme="minorBidi" w:cstheme="minorBidi"/>
        </w:rPr>
        <w:t>: A longitudinal study on graphical representations</w:t>
      </w:r>
      <w:r w:rsidRPr="00BA12C2">
        <w:rPr>
          <w:rFonts w:asciiTheme="minorBidi" w:hAnsiTheme="minorBidi" w:cstheme="minorBidi"/>
        </w:rPr>
        <w:t xml:space="preserve">. </w:t>
      </w:r>
      <w:r w:rsidRPr="00BA12C2">
        <w:rPr>
          <w:rFonts w:asciiTheme="minorBidi" w:hAnsiTheme="minorBidi" w:cstheme="minorBidi"/>
          <w:i/>
        </w:rPr>
        <w:t>Journal of Applied Accounting Research, 16</w:t>
      </w:r>
      <w:r w:rsidRPr="00BA12C2">
        <w:rPr>
          <w:rFonts w:asciiTheme="minorBidi" w:hAnsiTheme="minorBidi" w:cstheme="minorBidi"/>
        </w:rPr>
        <w:t>(3), 383</w:t>
      </w:r>
      <w:r w:rsidR="00374A88">
        <w:rPr>
          <w:rFonts w:asciiTheme="minorBidi" w:hAnsiTheme="minorBidi" w:cstheme="minorBidi"/>
        </w:rPr>
        <w:t>-399</w:t>
      </w:r>
      <w:r w:rsidRPr="00BA12C2">
        <w:rPr>
          <w:rFonts w:asciiTheme="minorBidi" w:hAnsiTheme="minorBidi" w:cstheme="minorBidi"/>
        </w:rPr>
        <w:t xml:space="preserve">. </w:t>
      </w:r>
    </w:p>
    <w:p w14:paraId="6C20F559" w14:textId="1AA6BE9A" w:rsidR="001D1EEE"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Farneti, F., </w:t>
      </w:r>
      <w:r w:rsidR="008C76FE">
        <w:rPr>
          <w:rFonts w:asciiTheme="minorBidi" w:hAnsiTheme="minorBidi" w:cstheme="minorBidi"/>
          <w:szCs w:val="22"/>
        </w:rPr>
        <w:t xml:space="preserve">&amp; </w:t>
      </w:r>
      <w:r w:rsidRPr="00BA12C2">
        <w:rPr>
          <w:rFonts w:asciiTheme="minorBidi" w:hAnsiTheme="minorBidi" w:cstheme="minorBidi"/>
          <w:szCs w:val="22"/>
        </w:rPr>
        <w:t xml:space="preserve">Guthrie, J. (2009). Sustainability reporting by Australian public sector organisations: Why they report. </w:t>
      </w:r>
      <w:r w:rsidRPr="00BA12C2">
        <w:rPr>
          <w:rFonts w:asciiTheme="minorBidi" w:hAnsiTheme="minorBidi" w:cstheme="minorBidi"/>
          <w:i/>
          <w:szCs w:val="22"/>
        </w:rPr>
        <w:t>Accounting Forum, 33</w:t>
      </w:r>
      <w:r w:rsidRPr="00BA12C2">
        <w:rPr>
          <w:rFonts w:asciiTheme="minorBidi" w:hAnsiTheme="minorBidi" w:cstheme="minorBidi"/>
          <w:szCs w:val="22"/>
        </w:rPr>
        <w:t>(2), 89-98.</w:t>
      </w:r>
    </w:p>
    <w:p w14:paraId="4771501E" w14:textId="149D22F2" w:rsidR="001D1EEE" w:rsidRPr="003D1519" w:rsidRDefault="001D1EEE" w:rsidP="001D1EEE">
      <w:pPr>
        <w:pStyle w:val="References"/>
      </w:pPr>
      <w:r w:rsidRPr="00D01B17">
        <w:t xml:space="preserve">Farooq, M. B., </w:t>
      </w:r>
      <w:r w:rsidR="008C76FE">
        <w:t xml:space="preserve">&amp; </w:t>
      </w:r>
      <w:r w:rsidRPr="00D01B17">
        <w:t xml:space="preserve">de Villiers, C. (2019). Understanding how managers institutionalise sustainability reporting: Evidence from Australia and New Zealand. </w:t>
      </w:r>
      <w:r w:rsidRPr="008060B4">
        <w:rPr>
          <w:i/>
        </w:rPr>
        <w:t>Accounting, Auditing &amp; Accountability Journal, 32</w:t>
      </w:r>
      <w:r w:rsidRPr="00D01B17">
        <w:t>(5), 1240-1269.</w:t>
      </w:r>
    </w:p>
    <w:p w14:paraId="611B613E" w14:textId="07C88144" w:rsidR="001D1EEE"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Flyverbom, M., </w:t>
      </w:r>
      <w:r w:rsidR="008C76FE">
        <w:rPr>
          <w:rFonts w:asciiTheme="minorBidi" w:hAnsiTheme="minorBidi" w:cstheme="minorBidi"/>
          <w:szCs w:val="22"/>
        </w:rPr>
        <w:t xml:space="preserve">&amp; </w:t>
      </w:r>
      <w:r w:rsidRPr="00BA12C2">
        <w:rPr>
          <w:rFonts w:asciiTheme="minorBidi" w:hAnsiTheme="minorBidi" w:cstheme="minorBidi"/>
          <w:szCs w:val="22"/>
        </w:rPr>
        <w:t>Reinecke, J. (2017). The spectacle and organi</w:t>
      </w:r>
      <w:r w:rsidR="002D74DB">
        <w:rPr>
          <w:rFonts w:asciiTheme="minorBidi" w:hAnsiTheme="minorBidi" w:cstheme="minorBidi"/>
          <w:szCs w:val="22"/>
        </w:rPr>
        <w:t>z</w:t>
      </w:r>
      <w:r w:rsidRPr="00BA12C2">
        <w:rPr>
          <w:rFonts w:asciiTheme="minorBidi" w:hAnsiTheme="minorBidi" w:cstheme="minorBidi"/>
          <w:szCs w:val="22"/>
        </w:rPr>
        <w:t xml:space="preserve">ation studies. </w:t>
      </w:r>
      <w:r w:rsidRPr="00BA12C2">
        <w:rPr>
          <w:rFonts w:asciiTheme="minorBidi" w:hAnsiTheme="minorBidi" w:cstheme="minorBidi"/>
          <w:i/>
          <w:szCs w:val="22"/>
        </w:rPr>
        <w:t>Organi</w:t>
      </w:r>
      <w:r w:rsidR="002D74DB">
        <w:rPr>
          <w:rFonts w:asciiTheme="minorBidi" w:hAnsiTheme="minorBidi" w:cstheme="minorBidi"/>
          <w:i/>
          <w:szCs w:val="22"/>
        </w:rPr>
        <w:t>z</w:t>
      </w:r>
      <w:r w:rsidRPr="00BA12C2">
        <w:rPr>
          <w:rFonts w:asciiTheme="minorBidi" w:hAnsiTheme="minorBidi" w:cstheme="minorBidi"/>
          <w:i/>
          <w:szCs w:val="22"/>
        </w:rPr>
        <w:t xml:space="preserve">ation </w:t>
      </w:r>
      <w:r w:rsidR="002D74DB">
        <w:rPr>
          <w:rFonts w:asciiTheme="minorBidi" w:hAnsiTheme="minorBidi" w:cstheme="minorBidi"/>
          <w:i/>
          <w:szCs w:val="22"/>
        </w:rPr>
        <w:t>S</w:t>
      </w:r>
      <w:r w:rsidRPr="00BA12C2">
        <w:rPr>
          <w:rFonts w:asciiTheme="minorBidi" w:hAnsiTheme="minorBidi" w:cstheme="minorBidi"/>
          <w:i/>
          <w:szCs w:val="22"/>
        </w:rPr>
        <w:t>tudies</w:t>
      </w:r>
      <w:r w:rsidRPr="00BA12C2">
        <w:rPr>
          <w:rFonts w:asciiTheme="minorBidi" w:hAnsiTheme="minorBidi" w:cstheme="minorBidi"/>
          <w:szCs w:val="22"/>
        </w:rPr>
        <w:t xml:space="preserve">, </w:t>
      </w:r>
      <w:r w:rsidRPr="00BA12C2">
        <w:rPr>
          <w:rFonts w:asciiTheme="minorBidi" w:hAnsiTheme="minorBidi" w:cstheme="minorBidi"/>
          <w:i/>
          <w:szCs w:val="22"/>
        </w:rPr>
        <w:t>38</w:t>
      </w:r>
      <w:r w:rsidRPr="008060B4">
        <w:rPr>
          <w:rFonts w:asciiTheme="minorBidi" w:hAnsiTheme="minorBidi"/>
        </w:rPr>
        <w:t>(11),</w:t>
      </w:r>
      <w:r w:rsidRPr="00BA12C2">
        <w:rPr>
          <w:rFonts w:asciiTheme="minorBidi" w:hAnsiTheme="minorBidi" w:cstheme="minorBidi"/>
          <w:szCs w:val="22"/>
        </w:rPr>
        <w:t xml:space="preserve"> 1625-1643</w:t>
      </w:r>
      <w:r w:rsidR="008C76FE">
        <w:rPr>
          <w:rFonts w:asciiTheme="minorBidi" w:hAnsiTheme="minorBidi" w:cstheme="minorBidi"/>
          <w:szCs w:val="22"/>
        </w:rPr>
        <w:t>.</w:t>
      </w:r>
    </w:p>
    <w:p w14:paraId="726E7943" w14:textId="3213C11B" w:rsidR="001D1EEE" w:rsidRPr="00B37F7B" w:rsidRDefault="001D1EEE" w:rsidP="001D1EEE">
      <w:pPr>
        <w:pStyle w:val="References"/>
      </w:pPr>
      <w:r w:rsidRPr="00B37F7B">
        <w:t xml:space="preserve">Gibbins, M., Richardson, A., &amp; Waterhouse, J. (1990). The management of corporate financial disclosure: opportunism, ritualism, policies, and processes. </w:t>
      </w:r>
      <w:r w:rsidRPr="00B37F7B">
        <w:rPr>
          <w:i/>
          <w:iCs/>
        </w:rPr>
        <w:t xml:space="preserve">Journal of </w:t>
      </w:r>
      <w:r w:rsidR="00374A88">
        <w:rPr>
          <w:i/>
          <w:iCs/>
        </w:rPr>
        <w:t>A</w:t>
      </w:r>
      <w:r w:rsidRPr="00B37F7B">
        <w:rPr>
          <w:i/>
          <w:iCs/>
        </w:rPr>
        <w:t xml:space="preserve">ccounting </w:t>
      </w:r>
      <w:r w:rsidR="00374A88">
        <w:rPr>
          <w:i/>
          <w:iCs/>
        </w:rPr>
        <w:t>R</w:t>
      </w:r>
      <w:r w:rsidRPr="00B37F7B">
        <w:rPr>
          <w:i/>
          <w:iCs/>
        </w:rPr>
        <w:t>esearch</w:t>
      </w:r>
      <w:r w:rsidRPr="00B37F7B">
        <w:t xml:space="preserve">, </w:t>
      </w:r>
      <w:r w:rsidRPr="008060B4">
        <w:rPr>
          <w:i/>
        </w:rPr>
        <w:t>28</w:t>
      </w:r>
      <w:r w:rsidRPr="00B37F7B">
        <w:t>(1), 121-143.</w:t>
      </w:r>
    </w:p>
    <w:p w14:paraId="132EF535" w14:textId="3AE3F383" w:rsidR="001D1EEE"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lastRenderedPageBreak/>
        <w:t>Godfrey, J., Mather, P.,</w:t>
      </w:r>
      <w:r w:rsidR="00886A4E">
        <w:rPr>
          <w:rFonts w:asciiTheme="minorBidi" w:hAnsiTheme="minorBidi" w:cstheme="minorBidi"/>
        </w:rPr>
        <w:t xml:space="preserve"> </w:t>
      </w:r>
      <w:r w:rsidR="000A76C0">
        <w:rPr>
          <w:rFonts w:asciiTheme="minorBidi" w:hAnsiTheme="minorBidi" w:cstheme="minorBidi"/>
        </w:rPr>
        <w:t xml:space="preserve">&amp; </w:t>
      </w:r>
      <w:r w:rsidRPr="00BA12C2">
        <w:rPr>
          <w:rFonts w:asciiTheme="minorBidi" w:hAnsiTheme="minorBidi" w:cstheme="minorBidi"/>
        </w:rPr>
        <w:t xml:space="preserve">Ramsay, A. (2003). Earnings and impression management in financial reports: </w:t>
      </w:r>
      <w:r w:rsidR="000A76C0">
        <w:rPr>
          <w:rFonts w:asciiTheme="minorBidi" w:hAnsiTheme="minorBidi" w:cstheme="minorBidi"/>
        </w:rPr>
        <w:t>T</w:t>
      </w:r>
      <w:r w:rsidRPr="00BA12C2">
        <w:rPr>
          <w:rFonts w:asciiTheme="minorBidi" w:hAnsiTheme="minorBidi" w:cstheme="minorBidi"/>
        </w:rPr>
        <w:t xml:space="preserve">he case of CEO changes. </w:t>
      </w:r>
      <w:r w:rsidRPr="00BA12C2">
        <w:rPr>
          <w:rFonts w:asciiTheme="minorBidi" w:hAnsiTheme="minorBidi" w:cstheme="minorBidi"/>
          <w:i/>
        </w:rPr>
        <w:t>Abacus, 39</w:t>
      </w:r>
      <w:r w:rsidRPr="00BA12C2">
        <w:rPr>
          <w:rFonts w:asciiTheme="minorBidi" w:hAnsiTheme="minorBidi" w:cstheme="minorBidi"/>
        </w:rPr>
        <w:t xml:space="preserve">(1), 95-123. </w:t>
      </w:r>
    </w:p>
    <w:p w14:paraId="06279AF9" w14:textId="1D19A14C" w:rsidR="001D1EEE" w:rsidRDefault="001D1EEE" w:rsidP="001D1EEE">
      <w:pPr>
        <w:pStyle w:val="References"/>
        <w:rPr>
          <w:rStyle w:val="Hyperlink"/>
          <w:rFonts w:asciiTheme="minorBidi" w:hAnsiTheme="minorBidi" w:cstheme="minorBidi"/>
          <w:iCs/>
          <w:color w:val="000000" w:themeColor="text1"/>
          <w:szCs w:val="22"/>
          <w:u w:val="none"/>
        </w:rPr>
      </w:pPr>
      <w:r w:rsidRPr="00BA12C2">
        <w:rPr>
          <w:rFonts w:asciiTheme="minorBidi" w:hAnsiTheme="minorBidi" w:cstheme="minorBidi"/>
          <w:szCs w:val="22"/>
        </w:rPr>
        <w:t>G</w:t>
      </w:r>
      <w:r w:rsidR="008F4C0D">
        <w:rPr>
          <w:rFonts w:asciiTheme="minorBidi" w:hAnsiTheme="minorBidi" w:cstheme="minorBidi"/>
          <w:szCs w:val="22"/>
        </w:rPr>
        <w:t xml:space="preserve">lobal </w:t>
      </w:r>
      <w:r w:rsidRPr="00BA12C2">
        <w:rPr>
          <w:rFonts w:asciiTheme="minorBidi" w:hAnsiTheme="minorBidi" w:cstheme="minorBidi"/>
          <w:szCs w:val="22"/>
        </w:rPr>
        <w:t>R</w:t>
      </w:r>
      <w:r w:rsidR="008F4C0D">
        <w:rPr>
          <w:rFonts w:asciiTheme="minorBidi" w:hAnsiTheme="minorBidi" w:cstheme="minorBidi"/>
          <w:szCs w:val="22"/>
        </w:rPr>
        <w:t xml:space="preserve">eporting </w:t>
      </w:r>
      <w:r w:rsidRPr="00BA12C2">
        <w:rPr>
          <w:rFonts w:asciiTheme="minorBidi" w:hAnsiTheme="minorBidi" w:cstheme="minorBidi"/>
          <w:szCs w:val="22"/>
        </w:rPr>
        <w:t>I</w:t>
      </w:r>
      <w:r w:rsidR="008F4C0D">
        <w:rPr>
          <w:rFonts w:asciiTheme="minorBidi" w:hAnsiTheme="minorBidi" w:cstheme="minorBidi"/>
          <w:szCs w:val="22"/>
        </w:rPr>
        <w:t>nitiative</w:t>
      </w:r>
      <w:r w:rsidRPr="00BA12C2">
        <w:rPr>
          <w:rFonts w:asciiTheme="minorBidi" w:hAnsiTheme="minorBidi" w:cstheme="minorBidi"/>
          <w:szCs w:val="22"/>
        </w:rPr>
        <w:t xml:space="preserve"> (2013). Taking responsibility: A discussion about quality reporting</w:t>
      </w:r>
      <w:r w:rsidR="008F4C0D">
        <w:rPr>
          <w:rFonts w:asciiTheme="minorBidi" w:hAnsiTheme="minorBidi" w:cstheme="minorBidi"/>
          <w:szCs w:val="22"/>
        </w:rPr>
        <w:t>.</w:t>
      </w:r>
      <w:r w:rsidRPr="00BA12C2">
        <w:rPr>
          <w:rFonts w:asciiTheme="minorBidi" w:hAnsiTheme="minorBidi" w:cstheme="minorBidi"/>
          <w:szCs w:val="22"/>
        </w:rPr>
        <w:t xml:space="preserve"> </w:t>
      </w:r>
      <w:hyperlink r:id="rId19" w:history="1">
        <w:r w:rsidRPr="00BA12C2">
          <w:rPr>
            <w:rStyle w:val="Hyperlink"/>
            <w:rFonts w:asciiTheme="minorBidi" w:hAnsiTheme="minorBidi" w:cstheme="minorBidi"/>
            <w:iCs/>
            <w:color w:val="000000" w:themeColor="text1"/>
            <w:szCs w:val="22"/>
            <w:u w:val="none"/>
          </w:rPr>
          <w:t>https://www.globalreporting.org/information/news-and-press-center/Pages/Taking-responsibility-a-discussion-about-report-quality.aspx</w:t>
        </w:r>
      </w:hyperlink>
    </w:p>
    <w:p w14:paraId="3870FF3A" w14:textId="17A7E5C2" w:rsidR="001D1EEE" w:rsidRPr="00BA12C2" w:rsidRDefault="001D1EEE" w:rsidP="001D1EEE">
      <w:pPr>
        <w:pStyle w:val="References"/>
        <w:rPr>
          <w:rStyle w:val="Hyperlink"/>
          <w:rFonts w:asciiTheme="minorBidi" w:hAnsiTheme="minorBidi" w:cstheme="minorBidi"/>
          <w:iCs/>
          <w:color w:val="000000" w:themeColor="text1"/>
          <w:szCs w:val="22"/>
          <w:u w:val="none"/>
        </w:rPr>
      </w:pPr>
      <w:r>
        <w:rPr>
          <w:rFonts w:asciiTheme="minorBidi" w:hAnsiTheme="minorBidi" w:cstheme="minorBidi"/>
          <w:szCs w:val="22"/>
        </w:rPr>
        <w:t>G</w:t>
      </w:r>
      <w:r w:rsidR="008F4C0D">
        <w:rPr>
          <w:rFonts w:asciiTheme="minorBidi" w:hAnsiTheme="minorBidi" w:cstheme="minorBidi"/>
          <w:szCs w:val="22"/>
        </w:rPr>
        <w:t>lobal Reporting Initiative</w:t>
      </w:r>
      <w:r>
        <w:rPr>
          <w:rFonts w:asciiTheme="minorBidi" w:hAnsiTheme="minorBidi" w:cstheme="minorBidi"/>
          <w:szCs w:val="22"/>
        </w:rPr>
        <w:t xml:space="preserve"> (2015). Moving beyond disclosure: Leverage </w:t>
      </w:r>
      <w:r w:rsidR="008F4C0D">
        <w:rPr>
          <w:rFonts w:asciiTheme="minorBidi" w:hAnsiTheme="minorBidi" w:cstheme="minorBidi"/>
          <w:szCs w:val="22"/>
        </w:rPr>
        <w:t>s</w:t>
      </w:r>
      <w:r>
        <w:rPr>
          <w:rFonts w:asciiTheme="minorBidi" w:hAnsiTheme="minorBidi" w:cstheme="minorBidi"/>
          <w:szCs w:val="22"/>
        </w:rPr>
        <w:t xml:space="preserve">ustainability </w:t>
      </w:r>
      <w:r w:rsidR="008F4C0D">
        <w:rPr>
          <w:rFonts w:asciiTheme="minorBidi" w:hAnsiTheme="minorBidi" w:cstheme="minorBidi"/>
          <w:szCs w:val="22"/>
        </w:rPr>
        <w:t>r</w:t>
      </w:r>
      <w:r>
        <w:rPr>
          <w:rFonts w:asciiTheme="minorBidi" w:hAnsiTheme="minorBidi" w:cstheme="minorBidi"/>
          <w:szCs w:val="22"/>
        </w:rPr>
        <w:t>eporting to drive change</w:t>
      </w:r>
      <w:r w:rsidR="008F4C0D">
        <w:rPr>
          <w:rFonts w:asciiTheme="minorBidi" w:hAnsiTheme="minorBidi" w:cstheme="minorBidi"/>
          <w:szCs w:val="22"/>
        </w:rPr>
        <w:t>.</w:t>
      </w:r>
      <w:r>
        <w:rPr>
          <w:rFonts w:asciiTheme="minorBidi" w:hAnsiTheme="minorBidi" w:cstheme="minorBidi"/>
          <w:szCs w:val="22"/>
        </w:rPr>
        <w:t xml:space="preserve"> </w:t>
      </w:r>
      <w:hyperlink r:id="rId20" w:history="1">
        <w:r w:rsidRPr="00621344">
          <w:rPr>
            <w:rStyle w:val="Hyperlink"/>
          </w:rPr>
          <w:t>https://www.globalreporting.org/resourcelibrary/TCS%20GRI%20Study%202015.pdf</w:t>
        </w:r>
      </w:hyperlink>
    </w:p>
    <w:p w14:paraId="61FC1375" w14:textId="736E36BB"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 xml:space="preserve">Guthrie, J., </w:t>
      </w:r>
      <w:r w:rsidR="008F4C0D">
        <w:rPr>
          <w:rFonts w:asciiTheme="minorBidi" w:hAnsiTheme="minorBidi" w:cstheme="minorBidi"/>
        </w:rPr>
        <w:t xml:space="preserve">&amp; </w:t>
      </w:r>
      <w:r w:rsidRPr="00BA12C2">
        <w:rPr>
          <w:rFonts w:asciiTheme="minorBidi" w:hAnsiTheme="minorBidi" w:cstheme="minorBidi"/>
        </w:rPr>
        <w:t xml:space="preserve">Parker, L. (1989). Corporate social reporting: a rebuttal of legitimacy theory. </w:t>
      </w:r>
      <w:r w:rsidRPr="00BA12C2">
        <w:rPr>
          <w:rFonts w:asciiTheme="minorBidi" w:hAnsiTheme="minorBidi" w:cstheme="minorBidi"/>
          <w:i/>
        </w:rPr>
        <w:t>Accounting and Business Research, 19</w:t>
      </w:r>
      <w:r w:rsidRPr="00BA12C2">
        <w:rPr>
          <w:rFonts w:asciiTheme="minorBidi" w:hAnsiTheme="minorBidi" w:cstheme="minorBidi"/>
        </w:rPr>
        <w:t xml:space="preserve">(76), 343-352. </w:t>
      </w:r>
    </w:p>
    <w:p w14:paraId="1E8362F9" w14:textId="77777777" w:rsidR="001D1EEE" w:rsidRPr="00BA12C2" w:rsidRDefault="001D1EEE" w:rsidP="001D1EEE">
      <w:pPr>
        <w:pStyle w:val="References"/>
        <w:rPr>
          <w:rFonts w:asciiTheme="minorBidi" w:hAnsiTheme="minorBidi" w:cstheme="minorBidi"/>
          <w:b/>
          <w:iCs/>
          <w:szCs w:val="22"/>
        </w:rPr>
      </w:pPr>
      <w:r w:rsidRPr="00BA12C2">
        <w:rPr>
          <w:rFonts w:asciiTheme="minorBidi" w:hAnsiTheme="minorBidi" w:cstheme="minorBidi"/>
          <w:szCs w:val="22"/>
        </w:rPr>
        <w:t xml:space="preserve">Hrasky, S. (2012). Visual disclosure strategies adopted by more and less sustainability-driven companies. </w:t>
      </w:r>
      <w:r w:rsidRPr="00BA12C2">
        <w:rPr>
          <w:rFonts w:asciiTheme="minorBidi" w:hAnsiTheme="minorBidi" w:cstheme="minorBidi"/>
          <w:i/>
          <w:szCs w:val="22"/>
        </w:rPr>
        <w:t>Accounting Forum, 36</w:t>
      </w:r>
      <w:r w:rsidRPr="00BA12C2">
        <w:rPr>
          <w:rFonts w:asciiTheme="minorBidi" w:hAnsiTheme="minorBidi" w:cstheme="minorBidi"/>
          <w:szCs w:val="22"/>
        </w:rPr>
        <w:t xml:space="preserve">(3), 154-165. </w:t>
      </w:r>
    </w:p>
    <w:p w14:paraId="7AC89192" w14:textId="67B4D078"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Jones, M. J. (2011). The nature</w:t>
      </w:r>
      <w:r w:rsidR="009375F4">
        <w:rPr>
          <w:rFonts w:asciiTheme="minorBidi" w:hAnsiTheme="minorBidi" w:cstheme="minorBidi"/>
          <w:szCs w:val="22"/>
        </w:rPr>
        <w:t>,</w:t>
      </w:r>
      <w:r w:rsidRPr="00BA12C2">
        <w:rPr>
          <w:rFonts w:asciiTheme="minorBidi" w:hAnsiTheme="minorBidi" w:cstheme="minorBidi"/>
          <w:szCs w:val="22"/>
        </w:rPr>
        <w:t xml:space="preserve"> use and impression management of graphs in social and environmental accounting. </w:t>
      </w:r>
      <w:r w:rsidRPr="00BA12C2">
        <w:rPr>
          <w:rFonts w:asciiTheme="minorBidi" w:hAnsiTheme="minorBidi" w:cstheme="minorBidi"/>
          <w:i/>
          <w:szCs w:val="22"/>
        </w:rPr>
        <w:t>Accounting Forum, 35</w:t>
      </w:r>
      <w:r w:rsidRPr="00BA12C2">
        <w:rPr>
          <w:rFonts w:asciiTheme="minorBidi" w:hAnsiTheme="minorBidi" w:cstheme="minorBidi"/>
          <w:szCs w:val="22"/>
        </w:rPr>
        <w:t xml:space="preserve">(2), 75-89. </w:t>
      </w:r>
    </w:p>
    <w:p w14:paraId="4DE54FE3" w14:textId="265603E4"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Knebel, S., </w:t>
      </w:r>
      <w:r w:rsidR="009375F4">
        <w:rPr>
          <w:rFonts w:asciiTheme="minorBidi" w:hAnsiTheme="minorBidi" w:cstheme="minorBidi"/>
          <w:szCs w:val="22"/>
        </w:rPr>
        <w:t xml:space="preserve">&amp; </w:t>
      </w:r>
      <w:r w:rsidRPr="00BA12C2">
        <w:rPr>
          <w:rFonts w:asciiTheme="minorBidi" w:hAnsiTheme="minorBidi" w:cstheme="minorBidi"/>
          <w:szCs w:val="22"/>
        </w:rPr>
        <w:t xml:space="preserve">Seele, P. (2015). Quo vadis GRI? A (critical) assessment of GRI 3.1 A+ non-financial reports and implications for credibility and standardization. </w:t>
      </w:r>
      <w:r w:rsidRPr="00BA12C2">
        <w:rPr>
          <w:rFonts w:asciiTheme="minorBidi" w:hAnsiTheme="minorBidi" w:cstheme="minorBidi"/>
          <w:i/>
          <w:szCs w:val="22"/>
        </w:rPr>
        <w:t>Corporate Communications: An International Journal, 20</w:t>
      </w:r>
      <w:r w:rsidRPr="00BA12C2">
        <w:rPr>
          <w:rFonts w:asciiTheme="minorBidi" w:hAnsiTheme="minorBidi" w:cstheme="minorBidi"/>
          <w:szCs w:val="22"/>
        </w:rPr>
        <w:t>(2), 196-212.</w:t>
      </w:r>
    </w:p>
    <w:p w14:paraId="71369D4A" w14:textId="77777777" w:rsidR="001D1EEE" w:rsidRPr="00BA12C2" w:rsidRDefault="001D1EEE" w:rsidP="008060B4">
      <w:pPr>
        <w:pStyle w:val="References"/>
        <w:ind w:left="357" w:hanging="357"/>
        <w:rPr>
          <w:rFonts w:asciiTheme="minorBidi" w:hAnsiTheme="minorBidi" w:cstheme="minorBidi"/>
          <w:szCs w:val="22"/>
        </w:rPr>
      </w:pPr>
      <w:r w:rsidRPr="00BA12C2">
        <w:rPr>
          <w:rFonts w:asciiTheme="minorBidi" w:hAnsiTheme="minorBidi" w:cstheme="minorBidi"/>
          <w:szCs w:val="22"/>
        </w:rPr>
        <w:t xml:space="preserve">Kolk, A. (2008). Sustainability, accountability and corporate governance: exploring multinationals' reporting practices. </w:t>
      </w:r>
      <w:r w:rsidRPr="00BA12C2">
        <w:rPr>
          <w:rFonts w:asciiTheme="minorBidi" w:hAnsiTheme="minorBidi" w:cstheme="minorBidi"/>
          <w:i/>
          <w:szCs w:val="22"/>
        </w:rPr>
        <w:t>Business Strategy and the Environment, 17</w:t>
      </w:r>
      <w:r w:rsidRPr="00BA12C2">
        <w:rPr>
          <w:rFonts w:asciiTheme="minorBidi" w:hAnsiTheme="minorBidi" w:cstheme="minorBidi"/>
          <w:szCs w:val="22"/>
        </w:rPr>
        <w:t>(1), 1-15.</w:t>
      </w:r>
    </w:p>
    <w:p w14:paraId="5E2767C5" w14:textId="26898051" w:rsidR="001D1EEE" w:rsidRPr="008060B4" w:rsidRDefault="001D1EEE" w:rsidP="008060B4">
      <w:pPr>
        <w:pStyle w:val="EndNoteBibliography"/>
        <w:spacing w:after="0" w:line="360" w:lineRule="auto"/>
        <w:ind w:left="357" w:hanging="357"/>
        <w:rPr>
          <w:rFonts w:ascii="Arial" w:hAnsi="Arial"/>
          <w:sz w:val="24"/>
        </w:rPr>
      </w:pPr>
      <w:r>
        <w:rPr>
          <w:rFonts w:asciiTheme="minorBidi" w:hAnsiTheme="minorBidi" w:cstheme="minorBidi"/>
        </w:rPr>
        <w:t>KPMG (2017). T</w:t>
      </w:r>
      <w:r w:rsidR="00DC1EE5">
        <w:rPr>
          <w:rFonts w:asciiTheme="minorBidi" w:hAnsiTheme="minorBidi" w:cstheme="minorBidi"/>
        </w:rPr>
        <w:t>he</w:t>
      </w:r>
      <w:r>
        <w:rPr>
          <w:rFonts w:asciiTheme="minorBidi" w:hAnsiTheme="minorBidi" w:cstheme="minorBidi"/>
        </w:rPr>
        <w:t xml:space="preserve"> KPMG Survey of Corporate Responsibility Reporting 2017</w:t>
      </w:r>
      <w:r w:rsidR="00DC1EE5">
        <w:rPr>
          <w:rFonts w:asciiTheme="minorBidi" w:hAnsiTheme="minorBidi" w:cstheme="minorBidi"/>
        </w:rPr>
        <w:t xml:space="preserve">. </w:t>
      </w:r>
      <w:hyperlink r:id="rId21" w:history="1">
        <w:r w:rsidRPr="008060B4">
          <w:rPr>
            <w:rStyle w:val="Hyperlink"/>
            <w:rFonts w:ascii="Arial" w:hAnsi="Arial"/>
          </w:rPr>
          <w:t>https://assets.kpmg/content/dam/kpmg/xx/pdf/2017/10/kpmg-survey-of-corporate-responsibility-reporting-2017.pdf</w:t>
        </w:r>
      </w:hyperlink>
    </w:p>
    <w:p w14:paraId="242AC033" w14:textId="470BC783"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Lee, T. (1994). The changing form of the corporate annual report. </w:t>
      </w:r>
      <w:r w:rsidRPr="00BA12C2">
        <w:rPr>
          <w:rFonts w:asciiTheme="minorBidi" w:hAnsiTheme="minorBidi" w:cstheme="minorBidi"/>
          <w:i/>
          <w:szCs w:val="22"/>
        </w:rPr>
        <w:t xml:space="preserve">Accounting Historians Journal, </w:t>
      </w:r>
      <w:r w:rsidR="00DC1EE5">
        <w:rPr>
          <w:rFonts w:asciiTheme="minorBidi" w:hAnsiTheme="minorBidi" w:cstheme="minorBidi"/>
          <w:i/>
          <w:szCs w:val="22"/>
        </w:rPr>
        <w:t>21</w:t>
      </w:r>
      <w:r w:rsidRPr="00BA12C2">
        <w:rPr>
          <w:rFonts w:asciiTheme="minorBidi" w:hAnsiTheme="minorBidi" w:cstheme="minorBidi"/>
          <w:szCs w:val="22"/>
        </w:rPr>
        <w:t>(</w:t>
      </w:r>
      <w:r w:rsidR="00DC1EE5">
        <w:rPr>
          <w:rFonts w:asciiTheme="minorBidi" w:hAnsiTheme="minorBidi" w:cstheme="minorBidi"/>
          <w:szCs w:val="22"/>
        </w:rPr>
        <w:t>1</w:t>
      </w:r>
      <w:r w:rsidRPr="00BA12C2">
        <w:rPr>
          <w:rFonts w:asciiTheme="minorBidi" w:hAnsiTheme="minorBidi" w:cstheme="minorBidi"/>
          <w:szCs w:val="22"/>
        </w:rPr>
        <w:t>), 215-232.</w:t>
      </w:r>
    </w:p>
    <w:p w14:paraId="171C33A8" w14:textId="3D2DD16C" w:rsidR="001D1EEE" w:rsidRPr="00BA12C2" w:rsidRDefault="001D1EEE" w:rsidP="001D1EEE">
      <w:pPr>
        <w:pStyle w:val="References"/>
        <w:rPr>
          <w:rFonts w:asciiTheme="minorBidi" w:eastAsia="Times New Roman" w:hAnsiTheme="minorBidi" w:cstheme="minorBidi"/>
          <w:szCs w:val="22"/>
        </w:rPr>
      </w:pPr>
      <w:r w:rsidRPr="00BA12C2">
        <w:rPr>
          <w:rFonts w:asciiTheme="minorBidi" w:eastAsia="Times New Roman" w:hAnsiTheme="minorBidi" w:cstheme="minorBidi"/>
          <w:szCs w:val="22"/>
        </w:rPr>
        <w:t xml:space="preserve">Lee, T. A., </w:t>
      </w:r>
      <w:r w:rsidR="00DC1EE5">
        <w:rPr>
          <w:rFonts w:asciiTheme="minorBidi" w:eastAsia="Times New Roman" w:hAnsiTheme="minorBidi" w:cstheme="minorBidi"/>
          <w:szCs w:val="22"/>
        </w:rPr>
        <w:t xml:space="preserve">&amp; </w:t>
      </w:r>
      <w:r w:rsidRPr="00BA12C2">
        <w:rPr>
          <w:rFonts w:asciiTheme="minorBidi" w:eastAsia="Times New Roman" w:hAnsiTheme="minorBidi" w:cstheme="minorBidi"/>
          <w:szCs w:val="22"/>
        </w:rPr>
        <w:t xml:space="preserve">Tweedie, D. P. (1975). Accounting information: An investigation of private shareholder usage. </w:t>
      </w:r>
      <w:r w:rsidRPr="00BA12C2">
        <w:rPr>
          <w:rFonts w:asciiTheme="minorBidi" w:eastAsia="Times New Roman" w:hAnsiTheme="minorBidi" w:cstheme="minorBidi"/>
          <w:i/>
          <w:szCs w:val="22"/>
        </w:rPr>
        <w:t>Accounting and Business Research</w:t>
      </w:r>
      <w:r w:rsidRPr="00BA12C2">
        <w:rPr>
          <w:rFonts w:asciiTheme="minorBidi" w:eastAsia="Times New Roman" w:hAnsiTheme="minorBidi" w:cstheme="minorBidi"/>
          <w:szCs w:val="22"/>
        </w:rPr>
        <w:t xml:space="preserve">, </w:t>
      </w:r>
      <w:r w:rsidRPr="008060B4">
        <w:rPr>
          <w:rFonts w:asciiTheme="minorBidi" w:hAnsiTheme="minorBidi"/>
          <w:i/>
        </w:rPr>
        <w:t>5</w:t>
      </w:r>
      <w:r w:rsidRPr="00BA12C2">
        <w:rPr>
          <w:rFonts w:asciiTheme="minorBidi" w:eastAsia="Times New Roman" w:hAnsiTheme="minorBidi" w:cstheme="minorBidi"/>
          <w:szCs w:val="22"/>
        </w:rPr>
        <w:t>(20), 280–291.</w:t>
      </w:r>
    </w:p>
    <w:p w14:paraId="51135A68" w14:textId="101FC595"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Merkl-Davies, D. M., </w:t>
      </w:r>
      <w:r w:rsidR="0027539F">
        <w:rPr>
          <w:rFonts w:asciiTheme="minorBidi" w:hAnsiTheme="minorBidi" w:cstheme="minorBidi"/>
          <w:szCs w:val="22"/>
        </w:rPr>
        <w:t xml:space="preserve">&amp; </w:t>
      </w:r>
      <w:r w:rsidRPr="00BA12C2">
        <w:rPr>
          <w:rFonts w:asciiTheme="minorBidi" w:hAnsiTheme="minorBidi" w:cstheme="minorBidi"/>
          <w:szCs w:val="22"/>
        </w:rPr>
        <w:t xml:space="preserve">Brennan, N. M. (2007). Discretionary disclosure strategies in corporate narratives: Incremental information or impression management? </w:t>
      </w:r>
      <w:r w:rsidRPr="00BA12C2">
        <w:rPr>
          <w:rFonts w:asciiTheme="minorBidi" w:hAnsiTheme="minorBidi" w:cstheme="minorBidi"/>
          <w:i/>
          <w:szCs w:val="22"/>
        </w:rPr>
        <w:t>Journal of Accounting Literature, 27</w:t>
      </w:r>
      <w:r w:rsidRPr="00BA12C2">
        <w:rPr>
          <w:rFonts w:asciiTheme="minorBidi" w:hAnsiTheme="minorBidi" w:cstheme="minorBidi"/>
          <w:szCs w:val="22"/>
        </w:rPr>
        <w:t xml:space="preserve">(2), 116-196. </w:t>
      </w:r>
    </w:p>
    <w:p w14:paraId="6E802969" w14:textId="30B65951"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Merkl-Davies, D. M., </w:t>
      </w:r>
      <w:r w:rsidR="0027539F">
        <w:rPr>
          <w:rFonts w:asciiTheme="minorBidi" w:hAnsiTheme="minorBidi" w:cstheme="minorBidi"/>
          <w:szCs w:val="22"/>
        </w:rPr>
        <w:t xml:space="preserve">&amp; </w:t>
      </w:r>
      <w:r w:rsidRPr="00BA12C2">
        <w:rPr>
          <w:rFonts w:asciiTheme="minorBidi" w:hAnsiTheme="minorBidi" w:cstheme="minorBidi"/>
          <w:szCs w:val="22"/>
        </w:rPr>
        <w:t xml:space="preserve">Brennan, N. M. (2011). A conceptual framework of impression management: New insights from psychology, sociology and critical perspectives. </w:t>
      </w:r>
      <w:r w:rsidRPr="00BA12C2">
        <w:rPr>
          <w:rFonts w:asciiTheme="minorBidi" w:hAnsiTheme="minorBidi" w:cstheme="minorBidi"/>
          <w:i/>
          <w:szCs w:val="22"/>
        </w:rPr>
        <w:t>Accounting and Business Research, 41</w:t>
      </w:r>
      <w:r w:rsidRPr="00BA12C2">
        <w:rPr>
          <w:rFonts w:asciiTheme="minorBidi" w:hAnsiTheme="minorBidi" w:cstheme="minorBidi"/>
          <w:szCs w:val="22"/>
        </w:rPr>
        <w:t xml:space="preserve">(5), 415-437. </w:t>
      </w:r>
    </w:p>
    <w:p w14:paraId="1A05708A" w14:textId="3B5E2F9D" w:rsidR="001D1EEE" w:rsidRDefault="001D1EEE" w:rsidP="00D01B17">
      <w:pPr>
        <w:pStyle w:val="References"/>
        <w:rPr>
          <w:rFonts w:asciiTheme="minorBidi" w:hAnsiTheme="minorBidi" w:cstheme="minorBidi"/>
          <w:szCs w:val="22"/>
        </w:rPr>
      </w:pPr>
      <w:r w:rsidRPr="00BA12C2">
        <w:rPr>
          <w:rFonts w:asciiTheme="minorBidi" w:hAnsiTheme="minorBidi" w:cstheme="minorBidi"/>
          <w:szCs w:val="22"/>
        </w:rPr>
        <w:t xml:space="preserve">Merkl-Davies, D. M., </w:t>
      </w:r>
      <w:r w:rsidR="0027539F">
        <w:rPr>
          <w:rFonts w:asciiTheme="minorBidi" w:hAnsiTheme="minorBidi" w:cstheme="minorBidi"/>
          <w:szCs w:val="22"/>
        </w:rPr>
        <w:t xml:space="preserve">&amp; </w:t>
      </w:r>
      <w:r w:rsidRPr="00BA12C2">
        <w:rPr>
          <w:rFonts w:asciiTheme="minorBidi" w:hAnsiTheme="minorBidi" w:cstheme="minorBidi"/>
          <w:szCs w:val="22"/>
        </w:rPr>
        <w:t xml:space="preserve">Brennan, N. M. (2017). A theoretical framework of external accounting communication: Research perspectives, traditions, and theories. </w:t>
      </w:r>
      <w:r w:rsidRPr="00BA12C2">
        <w:rPr>
          <w:rFonts w:asciiTheme="minorBidi" w:hAnsiTheme="minorBidi" w:cstheme="minorBidi"/>
          <w:i/>
          <w:szCs w:val="22"/>
        </w:rPr>
        <w:t>Accounting, Auditing &amp; Accountability Journal</w:t>
      </w:r>
      <w:r w:rsidRPr="00BA12C2">
        <w:rPr>
          <w:rFonts w:asciiTheme="minorBidi" w:hAnsiTheme="minorBidi" w:cstheme="minorBidi"/>
          <w:szCs w:val="22"/>
        </w:rPr>
        <w:t>, 30 (2), 433-469</w:t>
      </w:r>
      <w:r w:rsidR="0027539F">
        <w:rPr>
          <w:rFonts w:asciiTheme="minorBidi" w:hAnsiTheme="minorBidi" w:cstheme="minorBidi"/>
          <w:szCs w:val="22"/>
        </w:rPr>
        <w:t>.</w:t>
      </w:r>
    </w:p>
    <w:p w14:paraId="5DBB0CA9" w14:textId="17C8CE0F" w:rsidR="001D1EEE" w:rsidRPr="00A10B7E" w:rsidRDefault="001D1EEE" w:rsidP="001D1EEE">
      <w:pPr>
        <w:pStyle w:val="References"/>
        <w:rPr>
          <w:rFonts w:asciiTheme="minorBidi" w:hAnsiTheme="minorBidi" w:cstheme="minorBidi"/>
          <w:szCs w:val="22"/>
        </w:rPr>
      </w:pPr>
      <w:r w:rsidRPr="00B37F7B">
        <w:rPr>
          <w:rFonts w:cs="Arial"/>
          <w:color w:val="222222"/>
          <w:szCs w:val="22"/>
          <w:shd w:val="clear" w:color="auto" w:fill="FFFFFF"/>
        </w:rPr>
        <w:t>Michelon, G., Pilonato, S., &amp; Ricceri, F. (2015). CSR reporting practices and the quality of disclosure: An empirical analysis. </w:t>
      </w:r>
      <w:r w:rsidRPr="00B37F7B">
        <w:rPr>
          <w:rFonts w:cs="Arial"/>
          <w:i/>
          <w:iCs/>
          <w:color w:val="222222"/>
          <w:szCs w:val="22"/>
          <w:shd w:val="clear" w:color="auto" w:fill="FFFFFF"/>
        </w:rPr>
        <w:t xml:space="preserve">Critical </w:t>
      </w:r>
      <w:r w:rsidR="0027539F">
        <w:rPr>
          <w:rFonts w:cs="Arial"/>
          <w:i/>
          <w:iCs/>
          <w:color w:val="222222"/>
          <w:szCs w:val="22"/>
          <w:shd w:val="clear" w:color="auto" w:fill="FFFFFF"/>
        </w:rPr>
        <w:t>P</w:t>
      </w:r>
      <w:r w:rsidRPr="00B37F7B">
        <w:rPr>
          <w:rFonts w:cs="Arial"/>
          <w:i/>
          <w:iCs/>
          <w:color w:val="222222"/>
          <w:szCs w:val="22"/>
          <w:shd w:val="clear" w:color="auto" w:fill="FFFFFF"/>
        </w:rPr>
        <w:t xml:space="preserve">erspectives on </w:t>
      </w:r>
      <w:r w:rsidR="0027539F">
        <w:rPr>
          <w:rFonts w:cs="Arial"/>
          <w:i/>
          <w:iCs/>
          <w:color w:val="222222"/>
          <w:szCs w:val="22"/>
          <w:shd w:val="clear" w:color="auto" w:fill="FFFFFF"/>
        </w:rPr>
        <w:t>A</w:t>
      </w:r>
      <w:r w:rsidRPr="00B37F7B">
        <w:rPr>
          <w:rFonts w:cs="Arial"/>
          <w:i/>
          <w:iCs/>
          <w:color w:val="222222"/>
          <w:szCs w:val="22"/>
          <w:shd w:val="clear" w:color="auto" w:fill="FFFFFF"/>
        </w:rPr>
        <w:t>ccounting</w:t>
      </w:r>
      <w:r w:rsidRPr="00B37F7B">
        <w:rPr>
          <w:rFonts w:cs="Arial"/>
          <w:color w:val="222222"/>
          <w:szCs w:val="22"/>
          <w:shd w:val="clear" w:color="auto" w:fill="FFFFFF"/>
        </w:rPr>
        <w:t>, </w:t>
      </w:r>
      <w:r w:rsidRPr="00B37F7B">
        <w:rPr>
          <w:rFonts w:cs="Arial"/>
          <w:i/>
          <w:iCs/>
          <w:color w:val="222222"/>
          <w:szCs w:val="22"/>
          <w:shd w:val="clear" w:color="auto" w:fill="FFFFFF"/>
        </w:rPr>
        <w:t>33</w:t>
      </w:r>
      <w:r w:rsidRPr="00B37F7B">
        <w:rPr>
          <w:rFonts w:cs="Arial"/>
          <w:color w:val="222222"/>
          <w:szCs w:val="22"/>
          <w:shd w:val="clear" w:color="auto" w:fill="FFFFFF"/>
        </w:rPr>
        <w:t>, 59-78.</w:t>
      </w:r>
    </w:p>
    <w:p w14:paraId="6BE1A7E0" w14:textId="08AF3D3E" w:rsidR="001D1EEE" w:rsidRPr="00C00D26" w:rsidRDefault="001A7872" w:rsidP="001D1EEE">
      <w:pPr>
        <w:pStyle w:val="References"/>
        <w:rPr>
          <w:rFonts w:asciiTheme="minorBidi" w:hAnsiTheme="minorBidi" w:cstheme="minorBidi"/>
          <w:szCs w:val="22"/>
        </w:rPr>
      </w:pPr>
      <w:r w:rsidRPr="00C00D26">
        <w:rPr>
          <w:rFonts w:cs="Arial"/>
          <w:color w:val="222222"/>
          <w:szCs w:val="22"/>
          <w:shd w:val="clear" w:color="auto" w:fill="FFFFFF"/>
        </w:rPr>
        <w:lastRenderedPageBreak/>
        <w:t xml:space="preserve">Michelon, G., Pilonato, S., Ricceri, F., &amp; Roberts, R. W. </w:t>
      </w:r>
      <w:r w:rsidRPr="008060B4">
        <w:rPr>
          <w:color w:val="222222"/>
          <w:shd w:val="clear" w:color="auto" w:fill="FFFFFF"/>
        </w:rPr>
        <w:t>(2016</w:t>
      </w:r>
      <w:r w:rsidR="0027539F" w:rsidRPr="008060B4">
        <w:rPr>
          <w:color w:val="222222"/>
          <w:shd w:val="clear" w:color="auto" w:fill="FFFFFF"/>
        </w:rPr>
        <w:t xml:space="preserve">). </w:t>
      </w:r>
      <w:r w:rsidR="001D1EEE" w:rsidRPr="001A7872">
        <w:rPr>
          <w:rFonts w:asciiTheme="minorBidi" w:hAnsiTheme="minorBidi" w:cstheme="minorBidi"/>
          <w:szCs w:val="22"/>
        </w:rPr>
        <w:t xml:space="preserve">Behind camouflaging: tradition and innovative theoretical perspectives in social and environmental accounting research. </w:t>
      </w:r>
      <w:r w:rsidR="001D1EEE" w:rsidRPr="008060B4">
        <w:rPr>
          <w:rFonts w:asciiTheme="minorBidi" w:hAnsiTheme="minorBidi"/>
          <w:i/>
        </w:rPr>
        <w:t>Sustainability Accounting, Management and Policy Journal</w:t>
      </w:r>
      <w:r w:rsidR="001D1EEE" w:rsidRPr="00C00D26">
        <w:rPr>
          <w:rFonts w:asciiTheme="minorBidi" w:hAnsiTheme="minorBidi" w:cstheme="minorBidi"/>
          <w:szCs w:val="22"/>
        </w:rPr>
        <w:t>, 7(1), 2-25</w:t>
      </w:r>
      <w:r w:rsidR="0027539F">
        <w:rPr>
          <w:rFonts w:asciiTheme="minorBidi" w:hAnsiTheme="minorBidi" w:cstheme="minorBidi"/>
          <w:szCs w:val="22"/>
        </w:rPr>
        <w:t>.</w:t>
      </w:r>
    </w:p>
    <w:p w14:paraId="4AF23F93" w14:textId="1ABA767E" w:rsidR="001D1EEE" w:rsidRPr="00BA12C2" w:rsidRDefault="001D1EEE" w:rsidP="001D1EEE">
      <w:pPr>
        <w:pStyle w:val="References"/>
        <w:rPr>
          <w:rFonts w:asciiTheme="minorBidi" w:hAnsiTheme="minorBidi" w:cstheme="minorBidi"/>
          <w:i/>
          <w:szCs w:val="22"/>
        </w:rPr>
      </w:pPr>
      <w:r w:rsidRPr="00BA12C2">
        <w:rPr>
          <w:rFonts w:asciiTheme="minorBidi" w:hAnsiTheme="minorBidi" w:cstheme="minorBidi"/>
          <w:szCs w:val="22"/>
        </w:rPr>
        <w:t>Milne, M</w:t>
      </w:r>
      <w:r w:rsidR="002E24E8">
        <w:rPr>
          <w:rFonts w:asciiTheme="minorBidi" w:hAnsiTheme="minorBidi" w:cstheme="minorBidi"/>
          <w:szCs w:val="22"/>
        </w:rPr>
        <w:t>.</w:t>
      </w:r>
      <w:r w:rsidRPr="00BA12C2">
        <w:rPr>
          <w:rFonts w:asciiTheme="minorBidi" w:hAnsiTheme="minorBidi" w:cstheme="minorBidi"/>
          <w:szCs w:val="22"/>
        </w:rPr>
        <w:t xml:space="preserve"> J., </w:t>
      </w:r>
      <w:r w:rsidR="002E24E8">
        <w:rPr>
          <w:rFonts w:asciiTheme="minorBidi" w:hAnsiTheme="minorBidi" w:cstheme="minorBidi"/>
          <w:szCs w:val="22"/>
        </w:rPr>
        <w:t xml:space="preserve">&amp; </w:t>
      </w:r>
      <w:r w:rsidRPr="00BA12C2">
        <w:rPr>
          <w:rFonts w:asciiTheme="minorBidi" w:hAnsiTheme="minorBidi" w:cstheme="minorBidi"/>
          <w:szCs w:val="22"/>
        </w:rPr>
        <w:t>Gray, R. (2013).</w:t>
      </w:r>
      <w:r w:rsidRPr="00BA12C2">
        <w:rPr>
          <w:rFonts w:asciiTheme="minorBidi" w:hAnsiTheme="minorBidi" w:cstheme="minorBidi"/>
          <w:i/>
          <w:szCs w:val="22"/>
        </w:rPr>
        <w:t xml:space="preserve"> </w:t>
      </w:r>
      <w:r w:rsidRPr="00BA12C2">
        <w:rPr>
          <w:rFonts w:asciiTheme="minorBidi" w:hAnsiTheme="minorBidi" w:cstheme="minorBidi"/>
          <w:szCs w:val="22"/>
        </w:rPr>
        <w:t xml:space="preserve">W(h)ither </w:t>
      </w:r>
      <w:r w:rsidR="002E24E8">
        <w:rPr>
          <w:rFonts w:asciiTheme="minorBidi" w:hAnsiTheme="minorBidi" w:cstheme="minorBidi"/>
          <w:szCs w:val="22"/>
        </w:rPr>
        <w:t>e</w:t>
      </w:r>
      <w:r w:rsidRPr="00BA12C2">
        <w:rPr>
          <w:rFonts w:asciiTheme="minorBidi" w:hAnsiTheme="minorBidi" w:cstheme="minorBidi"/>
          <w:szCs w:val="22"/>
        </w:rPr>
        <w:t xml:space="preserve">cology? The triple bottom line, the global reporting initiative, and </w:t>
      </w:r>
      <w:r w:rsidR="002E24E8">
        <w:rPr>
          <w:rFonts w:asciiTheme="minorBidi" w:hAnsiTheme="minorBidi" w:cstheme="minorBidi"/>
          <w:szCs w:val="22"/>
        </w:rPr>
        <w:t>c</w:t>
      </w:r>
      <w:r w:rsidRPr="00BA12C2">
        <w:rPr>
          <w:rFonts w:asciiTheme="minorBidi" w:hAnsiTheme="minorBidi" w:cstheme="minorBidi"/>
          <w:szCs w:val="22"/>
        </w:rPr>
        <w:t xml:space="preserve">orporate </w:t>
      </w:r>
      <w:r w:rsidR="002E24E8">
        <w:rPr>
          <w:rFonts w:asciiTheme="minorBidi" w:hAnsiTheme="minorBidi" w:cstheme="minorBidi"/>
          <w:szCs w:val="22"/>
        </w:rPr>
        <w:t>s</w:t>
      </w:r>
      <w:r w:rsidRPr="00BA12C2">
        <w:rPr>
          <w:rFonts w:asciiTheme="minorBidi" w:hAnsiTheme="minorBidi" w:cstheme="minorBidi"/>
          <w:szCs w:val="22"/>
        </w:rPr>
        <w:t>ustainability reporting</w:t>
      </w:r>
      <w:r w:rsidRPr="00BA12C2">
        <w:rPr>
          <w:rFonts w:asciiTheme="minorBidi" w:hAnsiTheme="minorBidi" w:cstheme="minorBidi"/>
          <w:i/>
          <w:szCs w:val="22"/>
        </w:rPr>
        <w:t>. Journal of Business Ethics, 118</w:t>
      </w:r>
      <w:r w:rsidRPr="008060B4">
        <w:rPr>
          <w:rFonts w:asciiTheme="minorBidi" w:hAnsiTheme="minorBidi"/>
        </w:rPr>
        <w:t>(1), 13-29</w:t>
      </w:r>
      <w:r w:rsidR="002E24E8">
        <w:rPr>
          <w:rFonts w:asciiTheme="minorBidi" w:hAnsiTheme="minorBidi" w:cstheme="minorBidi"/>
          <w:iCs/>
          <w:szCs w:val="22"/>
        </w:rPr>
        <w:t>.</w:t>
      </w:r>
    </w:p>
    <w:p w14:paraId="5AF1F5FD" w14:textId="7E607EEF" w:rsidR="00596D72" w:rsidRPr="00596D72" w:rsidRDefault="00596D72" w:rsidP="001D1EEE">
      <w:pPr>
        <w:pStyle w:val="References"/>
        <w:rPr>
          <w:rFonts w:asciiTheme="minorBidi" w:hAnsiTheme="minorBidi" w:cstheme="minorBidi"/>
          <w:szCs w:val="22"/>
        </w:rPr>
      </w:pPr>
      <w:r w:rsidRPr="00596D72">
        <w:rPr>
          <w:rFonts w:cs="Arial"/>
          <w:color w:val="222222"/>
          <w:szCs w:val="22"/>
          <w:shd w:val="clear" w:color="auto" w:fill="FFFFFF"/>
        </w:rPr>
        <w:t xml:space="preserve">Moravcikova, K., Stefanikova, Ľ., &amp; Rypakova, M. (2015). CSR reporting as an important tool of CSR communication. </w:t>
      </w:r>
      <w:r w:rsidRPr="00596D72">
        <w:rPr>
          <w:rFonts w:cs="Arial"/>
          <w:i/>
          <w:iCs/>
          <w:color w:val="222222"/>
          <w:szCs w:val="22"/>
        </w:rPr>
        <w:t xml:space="preserve">Procedia Economics and </w:t>
      </w:r>
      <w:r w:rsidR="002E24E8">
        <w:rPr>
          <w:rFonts w:cs="Arial"/>
          <w:i/>
          <w:iCs/>
          <w:color w:val="222222"/>
          <w:szCs w:val="22"/>
        </w:rPr>
        <w:t>F</w:t>
      </w:r>
      <w:r w:rsidRPr="00596D72">
        <w:rPr>
          <w:rFonts w:cs="Arial"/>
          <w:i/>
          <w:iCs/>
          <w:color w:val="222222"/>
          <w:szCs w:val="22"/>
        </w:rPr>
        <w:t>inance</w:t>
      </w:r>
      <w:r w:rsidRPr="00596D72">
        <w:rPr>
          <w:rFonts w:cs="Arial"/>
          <w:color w:val="222222"/>
          <w:szCs w:val="22"/>
          <w:shd w:val="clear" w:color="auto" w:fill="FFFFFF"/>
        </w:rPr>
        <w:t xml:space="preserve">, </w:t>
      </w:r>
      <w:r w:rsidRPr="00596D72">
        <w:rPr>
          <w:rFonts w:cs="Arial"/>
          <w:i/>
          <w:iCs/>
          <w:color w:val="222222"/>
          <w:szCs w:val="22"/>
        </w:rPr>
        <w:t>26</w:t>
      </w:r>
      <w:r w:rsidRPr="00596D72">
        <w:rPr>
          <w:rFonts w:cs="Arial"/>
          <w:color w:val="222222"/>
          <w:szCs w:val="22"/>
          <w:shd w:val="clear" w:color="auto" w:fill="FFFFFF"/>
        </w:rPr>
        <w:t>, 332-338.</w:t>
      </w:r>
    </w:p>
    <w:p w14:paraId="562ECC93" w14:textId="2E65E458" w:rsidR="001D1EEE" w:rsidRPr="00BA12C2" w:rsidRDefault="001D1EEE" w:rsidP="001D1EEE">
      <w:pPr>
        <w:pStyle w:val="References"/>
        <w:rPr>
          <w:rFonts w:asciiTheme="minorBidi" w:hAnsiTheme="minorBidi" w:cstheme="minorBidi"/>
          <w:szCs w:val="22"/>
        </w:rPr>
      </w:pPr>
      <w:r>
        <w:rPr>
          <w:rFonts w:asciiTheme="minorBidi" w:hAnsiTheme="minorBidi" w:cstheme="minorBidi"/>
          <w:szCs w:val="22"/>
        </w:rPr>
        <w:t>Murray, J. (2006). White space as rhetorical space: Usability and image in electronic texts. In P. Bizzell (</w:t>
      </w:r>
      <w:r w:rsidR="00CF5619">
        <w:rPr>
          <w:rFonts w:asciiTheme="minorBidi" w:hAnsiTheme="minorBidi" w:cstheme="minorBidi"/>
          <w:szCs w:val="22"/>
        </w:rPr>
        <w:t>E</w:t>
      </w:r>
      <w:r>
        <w:rPr>
          <w:rFonts w:asciiTheme="minorBidi" w:hAnsiTheme="minorBidi" w:cstheme="minorBidi"/>
          <w:szCs w:val="22"/>
        </w:rPr>
        <w:t xml:space="preserve">d.) </w:t>
      </w:r>
      <w:r>
        <w:rPr>
          <w:rFonts w:asciiTheme="minorBidi" w:hAnsiTheme="minorBidi" w:cstheme="minorBidi"/>
          <w:i/>
          <w:szCs w:val="22"/>
        </w:rPr>
        <w:t xml:space="preserve">Rhetorical </w:t>
      </w:r>
      <w:r w:rsidR="00CF5619">
        <w:rPr>
          <w:rFonts w:asciiTheme="minorBidi" w:hAnsiTheme="minorBidi" w:cstheme="minorBidi"/>
          <w:i/>
          <w:szCs w:val="22"/>
        </w:rPr>
        <w:t>a</w:t>
      </w:r>
      <w:r>
        <w:rPr>
          <w:rFonts w:asciiTheme="minorBidi" w:hAnsiTheme="minorBidi" w:cstheme="minorBidi"/>
          <w:i/>
          <w:szCs w:val="22"/>
        </w:rPr>
        <w:t xml:space="preserve">gendas: Political, </w:t>
      </w:r>
      <w:r w:rsidR="00CF5619">
        <w:rPr>
          <w:rFonts w:asciiTheme="minorBidi" w:hAnsiTheme="minorBidi" w:cstheme="minorBidi"/>
          <w:i/>
          <w:szCs w:val="22"/>
        </w:rPr>
        <w:t>e</w:t>
      </w:r>
      <w:r>
        <w:rPr>
          <w:rFonts w:asciiTheme="minorBidi" w:hAnsiTheme="minorBidi" w:cstheme="minorBidi"/>
          <w:i/>
          <w:szCs w:val="22"/>
        </w:rPr>
        <w:t xml:space="preserve">thical, </w:t>
      </w:r>
      <w:r w:rsidR="00CF5619">
        <w:rPr>
          <w:rFonts w:asciiTheme="minorBidi" w:hAnsiTheme="minorBidi" w:cstheme="minorBidi"/>
          <w:i/>
          <w:szCs w:val="22"/>
        </w:rPr>
        <w:t>s</w:t>
      </w:r>
      <w:r>
        <w:rPr>
          <w:rFonts w:asciiTheme="minorBidi" w:hAnsiTheme="minorBidi" w:cstheme="minorBidi"/>
          <w:i/>
          <w:szCs w:val="22"/>
        </w:rPr>
        <w:t>piritual</w:t>
      </w:r>
      <w:r w:rsidR="00CF5619">
        <w:rPr>
          <w:rFonts w:asciiTheme="minorBidi" w:hAnsiTheme="minorBidi" w:cstheme="minorBidi"/>
          <w:iCs/>
          <w:szCs w:val="22"/>
        </w:rPr>
        <w:t xml:space="preserve"> (pp. </w:t>
      </w:r>
      <w:r w:rsidR="00CF5619">
        <w:rPr>
          <w:rFonts w:asciiTheme="minorBidi" w:hAnsiTheme="minorBidi" w:cstheme="minorBidi"/>
          <w:iCs/>
          <w:szCs w:val="22"/>
        </w:rPr>
        <w:t>145-150)</w:t>
      </w:r>
      <w:r>
        <w:rPr>
          <w:rFonts w:asciiTheme="minorBidi" w:hAnsiTheme="minorBidi" w:cstheme="minorBidi"/>
          <w:szCs w:val="22"/>
        </w:rPr>
        <w:t>.</w:t>
      </w:r>
      <w:r w:rsidR="00CF5619">
        <w:rPr>
          <w:rFonts w:asciiTheme="minorBidi" w:hAnsiTheme="minorBidi" w:cstheme="minorBidi"/>
          <w:szCs w:val="22"/>
        </w:rPr>
        <w:t xml:space="preserve"> </w:t>
      </w:r>
      <w:r>
        <w:rPr>
          <w:rFonts w:asciiTheme="minorBidi" w:hAnsiTheme="minorBidi" w:cstheme="minorBidi"/>
          <w:szCs w:val="22"/>
        </w:rPr>
        <w:t>Lawrence Erlbaum.</w:t>
      </w:r>
      <w:r w:rsidRPr="00BA12C2">
        <w:rPr>
          <w:rFonts w:asciiTheme="minorBidi" w:hAnsiTheme="minorBidi" w:cstheme="minorBidi"/>
          <w:szCs w:val="22"/>
        </w:rPr>
        <w:t xml:space="preserve"> </w:t>
      </w:r>
    </w:p>
    <w:p w14:paraId="5C6AFC7E" w14:textId="399B325E" w:rsidR="001D1EEE"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Nelson, D. L., </w:t>
      </w:r>
      <w:r w:rsidR="00F85F65">
        <w:rPr>
          <w:rFonts w:asciiTheme="minorBidi" w:hAnsiTheme="minorBidi" w:cstheme="minorBidi"/>
          <w:szCs w:val="22"/>
        </w:rPr>
        <w:t xml:space="preserve">&amp; </w:t>
      </w:r>
      <w:r w:rsidRPr="00BA12C2">
        <w:rPr>
          <w:rFonts w:asciiTheme="minorBidi" w:hAnsiTheme="minorBidi" w:cstheme="minorBidi"/>
          <w:szCs w:val="22"/>
        </w:rPr>
        <w:t>Casta</w:t>
      </w:r>
      <w:r w:rsidR="006C2582">
        <w:rPr>
          <w:rFonts w:asciiTheme="minorBidi" w:hAnsiTheme="minorBidi" w:cstheme="minorBidi"/>
          <w:szCs w:val="22"/>
        </w:rPr>
        <w:t>ñ</w:t>
      </w:r>
      <w:r w:rsidRPr="00BA12C2">
        <w:rPr>
          <w:rFonts w:asciiTheme="minorBidi" w:hAnsiTheme="minorBidi" w:cstheme="minorBidi"/>
          <w:szCs w:val="22"/>
        </w:rPr>
        <w:t xml:space="preserve">o, D. (1984). Mental representations for pictures and words: </w:t>
      </w:r>
      <w:r w:rsidR="00F85F65">
        <w:rPr>
          <w:rFonts w:asciiTheme="minorBidi" w:hAnsiTheme="minorBidi" w:cstheme="minorBidi"/>
          <w:szCs w:val="22"/>
        </w:rPr>
        <w:t>S</w:t>
      </w:r>
      <w:r w:rsidRPr="00BA12C2">
        <w:rPr>
          <w:rFonts w:asciiTheme="minorBidi" w:hAnsiTheme="minorBidi" w:cstheme="minorBidi"/>
          <w:szCs w:val="22"/>
        </w:rPr>
        <w:t xml:space="preserve">ame or different? </w:t>
      </w:r>
      <w:r w:rsidRPr="00BA12C2">
        <w:rPr>
          <w:rFonts w:asciiTheme="minorBidi" w:hAnsiTheme="minorBidi" w:cstheme="minorBidi"/>
          <w:i/>
          <w:szCs w:val="22"/>
        </w:rPr>
        <w:t xml:space="preserve">American Journal of Psychology, </w:t>
      </w:r>
      <w:r w:rsidR="00F85F65">
        <w:rPr>
          <w:rFonts w:asciiTheme="minorBidi" w:hAnsiTheme="minorBidi" w:cstheme="minorBidi"/>
          <w:i/>
          <w:szCs w:val="22"/>
        </w:rPr>
        <w:t>97</w:t>
      </w:r>
      <w:r w:rsidRPr="00BA12C2">
        <w:rPr>
          <w:rFonts w:asciiTheme="minorBidi" w:hAnsiTheme="minorBidi" w:cstheme="minorBidi"/>
          <w:szCs w:val="22"/>
        </w:rPr>
        <w:t>(</w:t>
      </w:r>
      <w:r w:rsidR="00F85F65">
        <w:rPr>
          <w:rFonts w:asciiTheme="minorBidi" w:hAnsiTheme="minorBidi" w:cstheme="minorBidi"/>
          <w:szCs w:val="22"/>
        </w:rPr>
        <w:t>1</w:t>
      </w:r>
      <w:r w:rsidRPr="00BA12C2">
        <w:rPr>
          <w:rFonts w:asciiTheme="minorBidi" w:hAnsiTheme="minorBidi" w:cstheme="minorBidi"/>
          <w:szCs w:val="22"/>
        </w:rPr>
        <w:t>), 1-15.</w:t>
      </w:r>
    </w:p>
    <w:p w14:paraId="0F65467E" w14:textId="6A333B41" w:rsidR="001D1EEE" w:rsidRDefault="001D1EEE" w:rsidP="001D1EEE">
      <w:pPr>
        <w:pStyle w:val="References"/>
        <w:rPr>
          <w:noProof/>
        </w:rPr>
      </w:pPr>
      <w:r w:rsidRPr="0017188C">
        <w:rPr>
          <w:noProof/>
        </w:rPr>
        <w:t>O</w:t>
      </w:r>
      <w:r w:rsidR="006C2582">
        <w:rPr>
          <w:noProof/>
        </w:rPr>
        <w:t>’</w:t>
      </w:r>
      <w:r w:rsidRPr="0017188C">
        <w:rPr>
          <w:noProof/>
        </w:rPr>
        <w:t>Dwyer, B. (2002)</w:t>
      </w:r>
      <w:r>
        <w:rPr>
          <w:noProof/>
        </w:rPr>
        <w:t xml:space="preserve">. </w:t>
      </w:r>
      <w:r w:rsidRPr="0017188C">
        <w:rPr>
          <w:noProof/>
        </w:rPr>
        <w:t xml:space="preserve">Managerial </w:t>
      </w:r>
      <w:r w:rsidR="006C2582">
        <w:rPr>
          <w:noProof/>
        </w:rPr>
        <w:t>p</w:t>
      </w:r>
      <w:r w:rsidRPr="0017188C">
        <w:rPr>
          <w:noProof/>
        </w:rPr>
        <w:t xml:space="preserve">erceptions of </w:t>
      </w:r>
      <w:r w:rsidR="006C2582">
        <w:rPr>
          <w:noProof/>
        </w:rPr>
        <w:t>c</w:t>
      </w:r>
      <w:r w:rsidRPr="0017188C">
        <w:rPr>
          <w:noProof/>
        </w:rPr>
        <w:t xml:space="preserve">orporate </w:t>
      </w:r>
      <w:r w:rsidR="006C2582">
        <w:rPr>
          <w:noProof/>
        </w:rPr>
        <w:t>s</w:t>
      </w:r>
      <w:r w:rsidRPr="0017188C">
        <w:rPr>
          <w:noProof/>
        </w:rPr>
        <w:t xml:space="preserve">ocial </w:t>
      </w:r>
      <w:r w:rsidR="006C2582">
        <w:rPr>
          <w:noProof/>
        </w:rPr>
        <w:t>d</w:t>
      </w:r>
      <w:r w:rsidRPr="0017188C">
        <w:rPr>
          <w:noProof/>
        </w:rPr>
        <w:t>isclosure; An Irish story</w:t>
      </w:r>
      <w:r>
        <w:rPr>
          <w:noProof/>
        </w:rPr>
        <w:t>.</w:t>
      </w:r>
      <w:r w:rsidRPr="0017188C">
        <w:rPr>
          <w:noProof/>
        </w:rPr>
        <w:t xml:space="preserve"> </w:t>
      </w:r>
      <w:r w:rsidRPr="0017188C">
        <w:rPr>
          <w:i/>
          <w:iCs/>
          <w:noProof/>
        </w:rPr>
        <w:t>Accounting, Auditing &amp; Accountability Journal</w:t>
      </w:r>
      <w:r w:rsidRPr="0017188C">
        <w:rPr>
          <w:iCs/>
          <w:noProof/>
        </w:rPr>
        <w:t>,</w:t>
      </w:r>
      <w:r w:rsidRPr="008060B4">
        <w:rPr>
          <w:i/>
        </w:rPr>
        <w:t>15</w:t>
      </w:r>
      <w:r>
        <w:rPr>
          <w:iCs/>
          <w:noProof/>
        </w:rPr>
        <w:t>(</w:t>
      </w:r>
      <w:r w:rsidRPr="0017188C">
        <w:rPr>
          <w:noProof/>
        </w:rPr>
        <w:t>3</w:t>
      </w:r>
      <w:r>
        <w:rPr>
          <w:noProof/>
        </w:rPr>
        <w:t>)</w:t>
      </w:r>
      <w:r w:rsidRPr="0017188C">
        <w:rPr>
          <w:noProof/>
        </w:rPr>
        <w:t>,</w:t>
      </w:r>
      <w:r w:rsidR="006C2582">
        <w:rPr>
          <w:noProof/>
        </w:rPr>
        <w:t xml:space="preserve"> </w:t>
      </w:r>
      <w:r w:rsidRPr="0017188C">
        <w:rPr>
          <w:noProof/>
        </w:rPr>
        <w:t>406-436.</w:t>
      </w:r>
    </w:p>
    <w:p w14:paraId="3B4E05A6" w14:textId="77777777" w:rsidR="001D1EEE" w:rsidRPr="00B37F7B" w:rsidRDefault="001D1EEE" w:rsidP="001D1EEE">
      <w:pPr>
        <w:pStyle w:val="References"/>
        <w:rPr>
          <w:rFonts w:asciiTheme="minorBidi" w:hAnsiTheme="minorBidi" w:cstheme="minorBidi"/>
          <w:noProof/>
        </w:rPr>
      </w:pPr>
      <w:r w:rsidRPr="00B37F7B">
        <w:rPr>
          <w:rFonts w:asciiTheme="minorBidi" w:hAnsiTheme="minorBidi" w:cstheme="minorBidi"/>
          <w:color w:val="201F1E"/>
          <w:szCs w:val="22"/>
          <w:shd w:val="clear" w:color="auto" w:fill="FFFFFF"/>
        </w:rPr>
        <w:t>Pérez</w:t>
      </w:r>
      <w:r w:rsidRPr="00B37F7B">
        <w:rPr>
          <w:rFonts w:ascii="Cambria Math" w:hAnsi="Cambria Math" w:cs="Cambria Math"/>
          <w:color w:val="201F1E"/>
          <w:szCs w:val="22"/>
          <w:shd w:val="clear" w:color="auto" w:fill="FFFFFF"/>
        </w:rPr>
        <w:t>‐</w:t>
      </w:r>
      <w:r w:rsidRPr="00B37F7B">
        <w:rPr>
          <w:rFonts w:asciiTheme="minorBidi" w:hAnsiTheme="minorBidi" w:cstheme="minorBidi"/>
          <w:color w:val="201F1E"/>
          <w:szCs w:val="22"/>
          <w:shd w:val="clear" w:color="auto" w:fill="FFFFFF"/>
        </w:rPr>
        <w:t>L</w:t>
      </w:r>
      <w:r w:rsidRPr="00B37F7B">
        <w:rPr>
          <w:rFonts w:cs="Arial"/>
          <w:color w:val="201F1E"/>
          <w:szCs w:val="22"/>
          <w:shd w:val="clear" w:color="auto" w:fill="FFFFFF"/>
        </w:rPr>
        <w:t>ó</w:t>
      </w:r>
      <w:r w:rsidRPr="00B37F7B">
        <w:rPr>
          <w:rFonts w:asciiTheme="minorBidi" w:hAnsiTheme="minorBidi" w:cstheme="minorBidi"/>
          <w:color w:val="201F1E"/>
          <w:szCs w:val="22"/>
          <w:shd w:val="clear" w:color="auto" w:fill="FFFFFF"/>
        </w:rPr>
        <w:t>pez, D., Moreno</w:t>
      </w:r>
      <w:r w:rsidRPr="00B37F7B">
        <w:rPr>
          <w:rFonts w:ascii="Cambria Math" w:hAnsi="Cambria Math" w:cs="Cambria Math"/>
          <w:color w:val="201F1E"/>
          <w:szCs w:val="22"/>
          <w:shd w:val="clear" w:color="auto" w:fill="FFFFFF"/>
        </w:rPr>
        <w:t>‐</w:t>
      </w:r>
      <w:r w:rsidRPr="00B37F7B">
        <w:rPr>
          <w:rFonts w:asciiTheme="minorBidi" w:hAnsiTheme="minorBidi" w:cstheme="minorBidi"/>
          <w:color w:val="201F1E"/>
          <w:szCs w:val="22"/>
          <w:shd w:val="clear" w:color="auto" w:fill="FFFFFF"/>
        </w:rPr>
        <w:t xml:space="preserve">Romero, A., &amp; Barkemeyer, R. (2015). Exploring the relationship between sustainability reporting and sustainability management practices. </w:t>
      </w:r>
      <w:r w:rsidRPr="008060B4">
        <w:rPr>
          <w:rFonts w:asciiTheme="minorBidi" w:hAnsiTheme="minorBidi"/>
          <w:i/>
          <w:color w:val="201F1E"/>
          <w:shd w:val="clear" w:color="auto" w:fill="FFFFFF"/>
        </w:rPr>
        <w:t>Business Strategy and the Environment, 24</w:t>
      </w:r>
      <w:r w:rsidRPr="00B37F7B">
        <w:rPr>
          <w:rFonts w:asciiTheme="minorBidi" w:hAnsiTheme="minorBidi" w:cstheme="minorBidi"/>
          <w:color w:val="201F1E"/>
          <w:szCs w:val="22"/>
          <w:shd w:val="clear" w:color="auto" w:fill="FFFFFF"/>
        </w:rPr>
        <w:t>(8), 720-734.</w:t>
      </w:r>
    </w:p>
    <w:p w14:paraId="3B3B7BC9" w14:textId="4A752E64" w:rsidR="001D1EEE" w:rsidRDefault="001D1EEE" w:rsidP="001D1EEE">
      <w:pPr>
        <w:pStyle w:val="References"/>
        <w:rPr>
          <w:rFonts w:cs="Arial"/>
          <w:color w:val="222222"/>
          <w:szCs w:val="22"/>
          <w:shd w:val="clear" w:color="auto" w:fill="FFFFFF"/>
        </w:rPr>
      </w:pPr>
      <w:r w:rsidRPr="00B37F7B">
        <w:rPr>
          <w:rFonts w:cs="Arial"/>
          <w:color w:val="222222"/>
          <w:szCs w:val="22"/>
          <w:shd w:val="clear" w:color="auto" w:fill="FFFFFF"/>
        </w:rPr>
        <w:t xml:space="preserve">Pesci, C., &amp; Costa, E. (2014). Content analysis of social and environmental reports of Italian cooperative banks: </w:t>
      </w:r>
      <w:r w:rsidR="006C2582">
        <w:rPr>
          <w:rFonts w:cs="Arial"/>
          <w:color w:val="222222"/>
          <w:szCs w:val="22"/>
          <w:shd w:val="clear" w:color="auto" w:fill="FFFFFF"/>
        </w:rPr>
        <w:t>M</w:t>
      </w:r>
      <w:r w:rsidRPr="00B37F7B">
        <w:rPr>
          <w:rFonts w:cs="Arial"/>
          <w:color w:val="222222"/>
          <w:szCs w:val="22"/>
          <w:shd w:val="clear" w:color="auto" w:fill="FFFFFF"/>
        </w:rPr>
        <w:t>ethodological issues. </w:t>
      </w:r>
      <w:r w:rsidRPr="00B37F7B">
        <w:rPr>
          <w:rFonts w:cs="Arial"/>
          <w:i/>
          <w:iCs/>
          <w:color w:val="222222"/>
          <w:szCs w:val="22"/>
          <w:shd w:val="clear" w:color="auto" w:fill="FFFFFF"/>
        </w:rPr>
        <w:t>Social and Environmental Accountability Journal</w:t>
      </w:r>
      <w:r w:rsidRPr="00B37F7B">
        <w:rPr>
          <w:rFonts w:cs="Arial"/>
          <w:color w:val="222222"/>
          <w:szCs w:val="22"/>
          <w:shd w:val="clear" w:color="auto" w:fill="FFFFFF"/>
        </w:rPr>
        <w:t>, </w:t>
      </w:r>
      <w:r w:rsidRPr="00B37F7B">
        <w:rPr>
          <w:rFonts w:cs="Arial"/>
          <w:i/>
          <w:iCs/>
          <w:color w:val="222222"/>
          <w:szCs w:val="22"/>
          <w:shd w:val="clear" w:color="auto" w:fill="FFFFFF"/>
        </w:rPr>
        <w:t>34</w:t>
      </w:r>
      <w:r w:rsidRPr="00B37F7B">
        <w:rPr>
          <w:rFonts w:cs="Arial"/>
          <w:color w:val="222222"/>
          <w:szCs w:val="22"/>
          <w:shd w:val="clear" w:color="auto" w:fill="FFFFFF"/>
        </w:rPr>
        <w:t>(3), 157-171.</w:t>
      </w:r>
    </w:p>
    <w:p w14:paraId="7408969F" w14:textId="5EA0B9AD" w:rsidR="001D1EEE" w:rsidRPr="00B37F7B" w:rsidRDefault="001D1EEE" w:rsidP="001D1EEE">
      <w:pPr>
        <w:pStyle w:val="References"/>
        <w:rPr>
          <w:rFonts w:cs="Arial"/>
          <w:color w:val="222222"/>
          <w:szCs w:val="22"/>
          <w:shd w:val="clear" w:color="auto" w:fill="FFFFFF"/>
        </w:rPr>
      </w:pPr>
      <w:r w:rsidRPr="00B37F7B">
        <w:rPr>
          <w:rFonts w:cs="Arial"/>
          <w:color w:val="222222"/>
          <w:szCs w:val="22"/>
          <w:shd w:val="clear" w:color="auto" w:fill="FFFFFF"/>
        </w:rPr>
        <w:t>Pracejus, J. W., Olsen, G. D., &amp; O</w:t>
      </w:r>
      <w:r w:rsidR="006C2582">
        <w:rPr>
          <w:rFonts w:cs="Arial"/>
          <w:color w:val="222222"/>
          <w:szCs w:val="22"/>
          <w:shd w:val="clear" w:color="auto" w:fill="FFFFFF"/>
        </w:rPr>
        <w:t>’</w:t>
      </w:r>
      <w:r w:rsidRPr="00B37F7B">
        <w:rPr>
          <w:rFonts w:cs="Arial"/>
          <w:color w:val="222222"/>
          <w:szCs w:val="22"/>
          <w:shd w:val="clear" w:color="auto" w:fill="FFFFFF"/>
        </w:rPr>
        <w:t xml:space="preserve">Guinn, T. C. (2006). How nothing became something: </w:t>
      </w:r>
      <w:r w:rsidR="006C2582">
        <w:rPr>
          <w:rFonts w:cs="Arial"/>
          <w:color w:val="222222"/>
          <w:szCs w:val="22"/>
          <w:shd w:val="clear" w:color="auto" w:fill="FFFFFF"/>
        </w:rPr>
        <w:t>W</w:t>
      </w:r>
      <w:r w:rsidRPr="00B37F7B">
        <w:rPr>
          <w:rFonts w:cs="Arial"/>
          <w:color w:val="222222"/>
          <w:szCs w:val="22"/>
          <w:shd w:val="clear" w:color="auto" w:fill="FFFFFF"/>
        </w:rPr>
        <w:t>hite space, rhetoric, history, and meaning. </w:t>
      </w:r>
      <w:r w:rsidRPr="00B37F7B">
        <w:rPr>
          <w:rFonts w:cs="Arial"/>
          <w:i/>
          <w:iCs/>
          <w:color w:val="222222"/>
          <w:szCs w:val="22"/>
          <w:shd w:val="clear" w:color="auto" w:fill="FFFFFF"/>
        </w:rPr>
        <w:t>Journal of Consumer Research</w:t>
      </w:r>
      <w:r w:rsidRPr="00B37F7B">
        <w:rPr>
          <w:rFonts w:cs="Arial"/>
          <w:color w:val="222222"/>
          <w:szCs w:val="22"/>
          <w:shd w:val="clear" w:color="auto" w:fill="FFFFFF"/>
        </w:rPr>
        <w:t>, </w:t>
      </w:r>
      <w:r w:rsidRPr="00B37F7B">
        <w:rPr>
          <w:rFonts w:cs="Arial"/>
          <w:i/>
          <w:iCs/>
          <w:color w:val="222222"/>
          <w:szCs w:val="22"/>
          <w:shd w:val="clear" w:color="auto" w:fill="FFFFFF"/>
        </w:rPr>
        <w:t>33</w:t>
      </w:r>
      <w:r w:rsidRPr="00B37F7B">
        <w:rPr>
          <w:rFonts w:cs="Arial"/>
          <w:color w:val="222222"/>
          <w:szCs w:val="22"/>
          <w:shd w:val="clear" w:color="auto" w:fill="FFFFFF"/>
        </w:rPr>
        <w:t>(1), 82-90.</w:t>
      </w:r>
    </w:p>
    <w:p w14:paraId="08875258" w14:textId="348A80A5" w:rsidR="001D1EEE" w:rsidRPr="00BA12C2" w:rsidRDefault="001D1EEE" w:rsidP="001D1EEE">
      <w:pPr>
        <w:pStyle w:val="EndNoteBibliography"/>
        <w:spacing w:after="0" w:line="360" w:lineRule="auto"/>
        <w:ind w:left="284" w:hanging="284"/>
        <w:rPr>
          <w:rFonts w:asciiTheme="minorBidi" w:hAnsiTheme="minorBidi" w:cstheme="minorBidi"/>
        </w:rPr>
      </w:pPr>
      <w:r w:rsidRPr="00BA12C2">
        <w:rPr>
          <w:rFonts w:asciiTheme="minorBidi" w:hAnsiTheme="minorBidi" w:cstheme="minorBidi"/>
        </w:rPr>
        <w:t xml:space="preserve">Preston, A. M., Wright, C., </w:t>
      </w:r>
      <w:r w:rsidR="006C2582">
        <w:rPr>
          <w:rFonts w:asciiTheme="minorBidi" w:hAnsiTheme="minorBidi" w:cstheme="minorBidi"/>
        </w:rPr>
        <w:t xml:space="preserve">&amp; </w:t>
      </w:r>
      <w:r w:rsidRPr="00BA12C2">
        <w:rPr>
          <w:rFonts w:asciiTheme="minorBidi" w:hAnsiTheme="minorBidi" w:cstheme="minorBidi"/>
        </w:rPr>
        <w:t xml:space="preserve">Young, J. J. (1996). Imag[in]ing annual reports. </w:t>
      </w:r>
      <w:r w:rsidRPr="00BA12C2">
        <w:rPr>
          <w:rFonts w:asciiTheme="minorBidi" w:hAnsiTheme="minorBidi" w:cstheme="minorBidi"/>
          <w:i/>
        </w:rPr>
        <w:t>Accounting, Organizations and Society, 21</w:t>
      </w:r>
      <w:r w:rsidRPr="00BA12C2">
        <w:rPr>
          <w:rFonts w:asciiTheme="minorBidi" w:hAnsiTheme="minorBidi" w:cstheme="minorBidi"/>
        </w:rPr>
        <w:t xml:space="preserve">(1), 113-137. </w:t>
      </w:r>
    </w:p>
    <w:p w14:paraId="4A6EA1C1" w14:textId="77777777" w:rsidR="001D1EEE" w:rsidRPr="00BA12C2" w:rsidRDefault="001D1EEE" w:rsidP="001D1EEE">
      <w:pPr>
        <w:pStyle w:val="EndNoteBibliography"/>
        <w:spacing w:after="0" w:line="360" w:lineRule="auto"/>
        <w:ind w:left="284" w:hanging="284"/>
        <w:rPr>
          <w:rFonts w:asciiTheme="minorBidi" w:hAnsiTheme="minorBidi" w:cstheme="minorBidi"/>
        </w:rPr>
      </w:pPr>
      <w:r w:rsidRPr="00BA12C2">
        <w:rPr>
          <w:rFonts w:asciiTheme="minorBidi" w:hAnsiTheme="minorBidi" w:cstheme="minorBidi"/>
        </w:rPr>
        <w:t xml:space="preserve">Rämö, H. (2011). Visualizing the phronetic organization: The case of photographs in CSR reports. </w:t>
      </w:r>
      <w:r w:rsidRPr="00BA12C2">
        <w:rPr>
          <w:rFonts w:asciiTheme="minorBidi" w:hAnsiTheme="minorBidi" w:cstheme="minorBidi"/>
          <w:i/>
        </w:rPr>
        <w:t>Journal of Business Ethics, 104</w:t>
      </w:r>
      <w:r w:rsidRPr="00BA12C2">
        <w:rPr>
          <w:rFonts w:asciiTheme="minorBidi" w:hAnsiTheme="minorBidi" w:cstheme="minorBidi"/>
        </w:rPr>
        <w:t>(3), 371-387.</w:t>
      </w:r>
    </w:p>
    <w:p w14:paraId="6BED5E70" w14:textId="282A88F0" w:rsidR="001D1EEE" w:rsidRDefault="001D1EEE" w:rsidP="001D1EEE">
      <w:pPr>
        <w:pStyle w:val="References"/>
        <w:rPr>
          <w:rFonts w:asciiTheme="minorBidi" w:hAnsiTheme="minorBidi" w:cstheme="minorBidi"/>
          <w:szCs w:val="22"/>
        </w:rPr>
      </w:pPr>
      <w:r w:rsidRPr="00BA12C2">
        <w:rPr>
          <w:rFonts w:asciiTheme="minorBidi" w:hAnsiTheme="minorBidi" w:cstheme="minorBidi"/>
          <w:szCs w:val="22"/>
        </w:rPr>
        <w:t xml:space="preserve">Ruiz-Garrido, M. F., Palmer-Silveira, J. C., </w:t>
      </w:r>
      <w:r w:rsidR="006A3695">
        <w:rPr>
          <w:rFonts w:asciiTheme="minorBidi" w:hAnsiTheme="minorBidi" w:cstheme="minorBidi"/>
          <w:szCs w:val="22"/>
        </w:rPr>
        <w:t xml:space="preserve">&amp; </w:t>
      </w:r>
      <w:r w:rsidRPr="00BA12C2">
        <w:rPr>
          <w:rFonts w:asciiTheme="minorBidi" w:hAnsiTheme="minorBidi" w:cstheme="minorBidi"/>
          <w:szCs w:val="22"/>
        </w:rPr>
        <w:t xml:space="preserve">Fortanet-Gómez, I. (2005). Discursive strategies in annual reports: The role of visuals. </w:t>
      </w:r>
      <w:r w:rsidR="006A3695">
        <w:rPr>
          <w:rFonts w:asciiTheme="minorBidi" w:hAnsiTheme="minorBidi" w:cstheme="minorBidi"/>
          <w:i/>
          <w:szCs w:val="22"/>
        </w:rPr>
        <w:t>Proceedings of t</w:t>
      </w:r>
      <w:r w:rsidRPr="00BA12C2">
        <w:rPr>
          <w:rFonts w:asciiTheme="minorBidi" w:hAnsiTheme="minorBidi" w:cstheme="minorBidi"/>
          <w:i/>
          <w:szCs w:val="22"/>
        </w:rPr>
        <w:t>he Association for Business Communication, 7</w:t>
      </w:r>
      <w:r w:rsidRPr="00BA12C2">
        <w:rPr>
          <w:rFonts w:asciiTheme="minorBidi" w:hAnsiTheme="minorBidi" w:cstheme="minorBidi"/>
          <w:szCs w:val="22"/>
        </w:rPr>
        <w:t xml:space="preserve">(2), 22-44. </w:t>
      </w:r>
    </w:p>
    <w:p w14:paraId="2E7CF43D" w14:textId="2274B9B1" w:rsidR="00894B56" w:rsidRDefault="001D1EEE" w:rsidP="001D1EEE">
      <w:pPr>
        <w:pStyle w:val="References"/>
        <w:rPr>
          <w:rFonts w:asciiTheme="minorBidi" w:hAnsiTheme="minorBidi" w:cstheme="minorBidi"/>
          <w:szCs w:val="22"/>
        </w:rPr>
      </w:pPr>
      <w:r>
        <w:rPr>
          <w:rFonts w:asciiTheme="minorBidi" w:hAnsiTheme="minorBidi" w:cstheme="minorBidi"/>
          <w:szCs w:val="22"/>
        </w:rPr>
        <w:t>Shrives, P. J.</w:t>
      </w:r>
      <w:r w:rsidR="006A3695">
        <w:rPr>
          <w:rFonts w:asciiTheme="minorBidi" w:hAnsiTheme="minorBidi" w:cstheme="minorBidi"/>
          <w:szCs w:val="22"/>
        </w:rPr>
        <w:t>, &amp;</w:t>
      </w:r>
      <w:r>
        <w:rPr>
          <w:rFonts w:asciiTheme="minorBidi" w:hAnsiTheme="minorBidi" w:cstheme="minorBidi"/>
          <w:szCs w:val="22"/>
        </w:rPr>
        <w:t xml:space="preserve"> Brennan, N. M. (2015). A typology for exploring the quality of explanations for non-compliance with UK corporate governance regulations. </w:t>
      </w:r>
      <w:r>
        <w:rPr>
          <w:rFonts w:asciiTheme="minorBidi" w:hAnsiTheme="minorBidi" w:cstheme="minorBidi"/>
          <w:i/>
          <w:szCs w:val="22"/>
        </w:rPr>
        <w:t>British Accounting Review</w:t>
      </w:r>
      <w:r>
        <w:rPr>
          <w:rFonts w:asciiTheme="minorBidi" w:hAnsiTheme="minorBidi" w:cstheme="minorBidi"/>
          <w:szCs w:val="22"/>
        </w:rPr>
        <w:t xml:space="preserve"> </w:t>
      </w:r>
      <w:r>
        <w:rPr>
          <w:rFonts w:asciiTheme="minorBidi" w:hAnsiTheme="minorBidi" w:cstheme="minorBidi"/>
          <w:i/>
          <w:szCs w:val="22"/>
        </w:rPr>
        <w:t>47</w:t>
      </w:r>
      <w:r>
        <w:rPr>
          <w:rFonts w:asciiTheme="minorBidi" w:hAnsiTheme="minorBidi" w:cstheme="minorBidi"/>
          <w:szCs w:val="22"/>
        </w:rPr>
        <w:t>(1), 85-99.</w:t>
      </w:r>
    </w:p>
    <w:p w14:paraId="5A02F57E" w14:textId="5DF1F36C" w:rsidR="001D1EEE" w:rsidRPr="00BA12C2" w:rsidRDefault="001D1EEE" w:rsidP="001D1EEE">
      <w:pPr>
        <w:pStyle w:val="References"/>
        <w:rPr>
          <w:rFonts w:asciiTheme="minorBidi" w:hAnsiTheme="minorBidi" w:cstheme="minorBidi"/>
          <w:szCs w:val="22"/>
        </w:rPr>
      </w:pPr>
      <w:r w:rsidRPr="00BA12C2">
        <w:rPr>
          <w:rFonts w:asciiTheme="minorBidi" w:hAnsiTheme="minorBidi" w:cstheme="minorBidi"/>
          <w:szCs w:val="22"/>
        </w:rPr>
        <w:t>Squiers, C. (1989). The corporate year in picture</w:t>
      </w:r>
      <w:r w:rsidR="00CF5619">
        <w:rPr>
          <w:rFonts w:asciiTheme="minorBidi" w:hAnsiTheme="minorBidi" w:cstheme="minorBidi"/>
          <w:szCs w:val="22"/>
        </w:rPr>
        <w:t>s. In</w:t>
      </w:r>
      <w:r w:rsidRPr="00BA12C2">
        <w:rPr>
          <w:rFonts w:asciiTheme="minorBidi" w:hAnsiTheme="minorBidi" w:cstheme="minorBidi"/>
          <w:szCs w:val="22"/>
        </w:rPr>
        <w:t xml:space="preserve"> </w:t>
      </w:r>
      <w:r w:rsidR="00CF5619">
        <w:rPr>
          <w:rFonts w:asciiTheme="minorBidi" w:hAnsiTheme="minorBidi" w:cstheme="minorBidi"/>
          <w:szCs w:val="22"/>
        </w:rPr>
        <w:t xml:space="preserve">R. </w:t>
      </w:r>
      <w:r w:rsidRPr="00BA12C2">
        <w:rPr>
          <w:rFonts w:asciiTheme="minorBidi" w:hAnsiTheme="minorBidi" w:cstheme="minorBidi"/>
          <w:szCs w:val="22"/>
        </w:rPr>
        <w:t xml:space="preserve">Bolton (Ed), </w:t>
      </w:r>
      <w:r w:rsidRPr="00BA12C2">
        <w:rPr>
          <w:rFonts w:asciiTheme="minorBidi" w:hAnsiTheme="minorBidi" w:cstheme="minorBidi"/>
          <w:i/>
          <w:szCs w:val="22"/>
        </w:rPr>
        <w:t xml:space="preserve">Contest of </w:t>
      </w:r>
      <w:r w:rsidR="00CF5619">
        <w:rPr>
          <w:rFonts w:asciiTheme="minorBidi" w:hAnsiTheme="minorBidi" w:cstheme="minorBidi"/>
          <w:i/>
          <w:szCs w:val="22"/>
        </w:rPr>
        <w:t>m</w:t>
      </w:r>
      <w:r w:rsidRPr="00BA12C2">
        <w:rPr>
          <w:rFonts w:asciiTheme="minorBidi" w:hAnsiTheme="minorBidi" w:cstheme="minorBidi"/>
          <w:i/>
          <w:szCs w:val="22"/>
        </w:rPr>
        <w:t xml:space="preserve">eaning </w:t>
      </w:r>
      <w:r w:rsidR="006A3695">
        <w:rPr>
          <w:rFonts w:asciiTheme="minorBidi" w:hAnsiTheme="minorBidi" w:cstheme="minorBidi"/>
          <w:szCs w:val="22"/>
        </w:rPr>
        <w:t xml:space="preserve">(pp. </w:t>
      </w:r>
      <w:r w:rsidRPr="00BA12C2">
        <w:rPr>
          <w:rFonts w:asciiTheme="minorBidi" w:hAnsiTheme="minorBidi" w:cstheme="minorBidi"/>
          <w:szCs w:val="22"/>
        </w:rPr>
        <w:t>207-218</w:t>
      </w:r>
      <w:r w:rsidR="006A3695">
        <w:rPr>
          <w:rFonts w:asciiTheme="minorBidi" w:hAnsiTheme="minorBidi" w:cstheme="minorBidi"/>
          <w:szCs w:val="22"/>
        </w:rPr>
        <w:t>)</w:t>
      </w:r>
      <w:r w:rsidR="00CF5619">
        <w:rPr>
          <w:rFonts w:asciiTheme="minorBidi" w:hAnsiTheme="minorBidi" w:cstheme="minorBidi"/>
          <w:szCs w:val="22"/>
        </w:rPr>
        <w:t>. MIT Press.</w:t>
      </w:r>
    </w:p>
    <w:p w14:paraId="3E90D471" w14:textId="77777777"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 xml:space="preserve">Suchman, M. C. (1995). Managing legitimacy: Strategic and institutional approaches. </w:t>
      </w:r>
      <w:r w:rsidRPr="00BA12C2">
        <w:rPr>
          <w:rFonts w:asciiTheme="minorBidi" w:hAnsiTheme="minorBidi" w:cstheme="minorBidi"/>
          <w:i/>
        </w:rPr>
        <w:t>Academy of Management Review, 20</w:t>
      </w:r>
      <w:r w:rsidRPr="00BA12C2">
        <w:rPr>
          <w:rFonts w:asciiTheme="minorBidi" w:hAnsiTheme="minorBidi" w:cstheme="minorBidi"/>
        </w:rPr>
        <w:t xml:space="preserve">(3), 571-610. </w:t>
      </w:r>
    </w:p>
    <w:p w14:paraId="5532BB95" w14:textId="53F35316"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lastRenderedPageBreak/>
        <w:t xml:space="preserve">Sullivan, J. J. (1988). Financial </w:t>
      </w:r>
      <w:r w:rsidR="0064140A">
        <w:rPr>
          <w:rFonts w:asciiTheme="minorBidi" w:hAnsiTheme="minorBidi" w:cstheme="minorBidi"/>
        </w:rPr>
        <w:t>p</w:t>
      </w:r>
      <w:r w:rsidRPr="00BA12C2">
        <w:rPr>
          <w:rFonts w:asciiTheme="minorBidi" w:hAnsiTheme="minorBidi" w:cstheme="minorBidi"/>
        </w:rPr>
        <w:t xml:space="preserve">resentation </w:t>
      </w:r>
      <w:r w:rsidR="0064140A">
        <w:rPr>
          <w:rFonts w:asciiTheme="minorBidi" w:hAnsiTheme="minorBidi" w:cstheme="minorBidi"/>
        </w:rPr>
        <w:t>f</w:t>
      </w:r>
      <w:r w:rsidRPr="00BA12C2">
        <w:rPr>
          <w:rFonts w:asciiTheme="minorBidi" w:hAnsiTheme="minorBidi" w:cstheme="minorBidi"/>
        </w:rPr>
        <w:t xml:space="preserve">ormat and </w:t>
      </w:r>
      <w:r w:rsidR="0064140A">
        <w:rPr>
          <w:rFonts w:asciiTheme="minorBidi" w:hAnsiTheme="minorBidi" w:cstheme="minorBidi"/>
        </w:rPr>
        <w:t>m</w:t>
      </w:r>
      <w:r w:rsidRPr="00BA12C2">
        <w:rPr>
          <w:rFonts w:asciiTheme="minorBidi" w:hAnsiTheme="minorBidi" w:cstheme="minorBidi"/>
        </w:rPr>
        <w:t xml:space="preserve">anagerial </w:t>
      </w:r>
      <w:r w:rsidR="0064140A">
        <w:rPr>
          <w:rFonts w:asciiTheme="minorBidi" w:hAnsiTheme="minorBidi" w:cstheme="minorBidi"/>
        </w:rPr>
        <w:t>d</w:t>
      </w:r>
      <w:r w:rsidRPr="00BA12C2">
        <w:rPr>
          <w:rFonts w:asciiTheme="minorBidi" w:hAnsiTheme="minorBidi" w:cstheme="minorBidi"/>
        </w:rPr>
        <w:t xml:space="preserve">ecision </w:t>
      </w:r>
      <w:r w:rsidR="0064140A">
        <w:rPr>
          <w:rFonts w:asciiTheme="minorBidi" w:hAnsiTheme="minorBidi" w:cstheme="minorBidi"/>
        </w:rPr>
        <w:t>m</w:t>
      </w:r>
      <w:r w:rsidRPr="00BA12C2">
        <w:rPr>
          <w:rFonts w:asciiTheme="minorBidi" w:hAnsiTheme="minorBidi" w:cstheme="minorBidi"/>
        </w:rPr>
        <w:t>aking</w:t>
      </w:r>
      <w:r w:rsidR="0064140A">
        <w:rPr>
          <w:rFonts w:asciiTheme="minorBidi" w:hAnsiTheme="minorBidi" w:cstheme="minorBidi"/>
        </w:rPr>
        <w:t>:</w:t>
      </w:r>
      <w:r w:rsidRPr="00BA12C2">
        <w:rPr>
          <w:rFonts w:asciiTheme="minorBidi" w:hAnsiTheme="minorBidi" w:cstheme="minorBidi"/>
        </w:rPr>
        <w:t xml:space="preserve"> Tables </w:t>
      </w:r>
      <w:r w:rsidR="0064140A">
        <w:rPr>
          <w:rFonts w:asciiTheme="minorBidi" w:hAnsiTheme="minorBidi" w:cstheme="minorBidi"/>
        </w:rPr>
        <w:t>v</w:t>
      </w:r>
      <w:r w:rsidRPr="00BA12C2">
        <w:rPr>
          <w:rFonts w:asciiTheme="minorBidi" w:hAnsiTheme="minorBidi" w:cstheme="minorBidi"/>
        </w:rPr>
        <w:t xml:space="preserve">ersus </w:t>
      </w:r>
      <w:r w:rsidR="0064140A">
        <w:rPr>
          <w:rFonts w:asciiTheme="minorBidi" w:hAnsiTheme="minorBidi" w:cstheme="minorBidi"/>
        </w:rPr>
        <w:t>g</w:t>
      </w:r>
      <w:r w:rsidRPr="00BA12C2">
        <w:rPr>
          <w:rFonts w:asciiTheme="minorBidi" w:hAnsiTheme="minorBidi" w:cstheme="minorBidi"/>
        </w:rPr>
        <w:t xml:space="preserve">raphs. </w:t>
      </w:r>
      <w:r w:rsidRPr="00BA12C2">
        <w:rPr>
          <w:rFonts w:asciiTheme="minorBidi" w:hAnsiTheme="minorBidi" w:cstheme="minorBidi"/>
          <w:i/>
        </w:rPr>
        <w:t>Management Communication Quarterly, 2</w:t>
      </w:r>
      <w:r w:rsidRPr="00BA12C2">
        <w:rPr>
          <w:rFonts w:asciiTheme="minorBidi" w:hAnsiTheme="minorBidi" w:cstheme="minorBidi"/>
        </w:rPr>
        <w:t>(2), 194-216.</w:t>
      </w:r>
    </w:p>
    <w:p w14:paraId="16531661" w14:textId="5FA6297E" w:rsidR="001D1EEE" w:rsidRPr="00BA12C2"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Tang, F., Eller, C.</w:t>
      </w:r>
      <w:r w:rsidR="0064140A">
        <w:rPr>
          <w:rFonts w:asciiTheme="minorBidi" w:hAnsiTheme="minorBidi" w:cstheme="minorBidi"/>
        </w:rPr>
        <w:t xml:space="preserve"> </w:t>
      </w:r>
      <w:r w:rsidRPr="00BA12C2">
        <w:rPr>
          <w:rFonts w:asciiTheme="minorBidi" w:hAnsiTheme="minorBidi" w:cstheme="minorBidi"/>
        </w:rPr>
        <w:t xml:space="preserve">K., </w:t>
      </w:r>
      <w:r w:rsidR="0064140A">
        <w:rPr>
          <w:rFonts w:asciiTheme="minorBidi" w:hAnsiTheme="minorBidi" w:cstheme="minorBidi"/>
        </w:rPr>
        <w:t xml:space="preserve">&amp; </w:t>
      </w:r>
      <w:r w:rsidRPr="00BA12C2">
        <w:rPr>
          <w:rFonts w:asciiTheme="minorBidi" w:hAnsiTheme="minorBidi" w:cstheme="minorBidi"/>
        </w:rPr>
        <w:t xml:space="preserve">Wier, B. (2016). Reporting </w:t>
      </w:r>
      <w:r w:rsidR="0064140A">
        <w:rPr>
          <w:rFonts w:asciiTheme="minorBidi" w:hAnsiTheme="minorBidi" w:cstheme="minorBidi"/>
        </w:rPr>
        <w:t>f</w:t>
      </w:r>
      <w:r w:rsidRPr="00BA12C2">
        <w:rPr>
          <w:rFonts w:asciiTheme="minorBidi" w:hAnsiTheme="minorBidi" w:cstheme="minorBidi"/>
        </w:rPr>
        <w:t xml:space="preserve">requency and </w:t>
      </w:r>
      <w:r w:rsidR="0064140A">
        <w:rPr>
          <w:rFonts w:asciiTheme="minorBidi" w:hAnsiTheme="minorBidi" w:cstheme="minorBidi"/>
        </w:rPr>
        <w:t>p</w:t>
      </w:r>
      <w:r w:rsidRPr="00BA12C2">
        <w:rPr>
          <w:rFonts w:asciiTheme="minorBidi" w:hAnsiTheme="minorBidi" w:cstheme="minorBidi"/>
        </w:rPr>
        <w:t xml:space="preserve">resentation </w:t>
      </w:r>
      <w:r w:rsidR="0064140A">
        <w:rPr>
          <w:rFonts w:asciiTheme="minorBidi" w:hAnsiTheme="minorBidi" w:cstheme="minorBidi"/>
        </w:rPr>
        <w:t>f</w:t>
      </w:r>
      <w:r w:rsidRPr="00BA12C2">
        <w:rPr>
          <w:rFonts w:asciiTheme="minorBidi" w:hAnsiTheme="minorBidi" w:cstheme="minorBidi"/>
        </w:rPr>
        <w:t xml:space="preserve">ormat: Detecting </w:t>
      </w:r>
      <w:r w:rsidR="0064140A">
        <w:rPr>
          <w:rFonts w:asciiTheme="minorBidi" w:hAnsiTheme="minorBidi" w:cstheme="minorBidi"/>
        </w:rPr>
        <w:t>r</w:t>
      </w:r>
      <w:r w:rsidRPr="00BA12C2">
        <w:rPr>
          <w:rFonts w:asciiTheme="minorBidi" w:hAnsiTheme="minorBidi" w:cstheme="minorBidi"/>
        </w:rPr>
        <w:t xml:space="preserve">eal </w:t>
      </w:r>
      <w:r w:rsidR="0064140A">
        <w:rPr>
          <w:rFonts w:asciiTheme="minorBidi" w:hAnsiTheme="minorBidi" w:cstheme="minorBidi"/>
        </w:rPr>
        <w:t>a</w:t>
      </w:r>
      <w:r w:rsidRPr="00BA12C2">
        <w:rPr>
          <w:rFonts w:asciiTheme="minorBidi" w:hAnsiTheme="minorBidi" w:cstheme="minorBidi"/>
        </w:rPr>
        <w:t xml:space="preserve">ctivities </w:t>
      </w:r>
      <w:r w:rsidR="0064140A">
        <w:rPr>
          <w:rFonts w:asciiTheme="minorBidi" w:hAnsiTheme="minorBidi" w:cstheme="minorBidi"/>
        </w:rPr>
        <w:t>m</w:t>
      </w:r>
      <w:r w:rsidRPr="00BA12C2">
        <w:rPr>
          <w:rFonts w:asciiTheme="minorBidi" w:hAnsiTheme="minorBidi" w:cstheme="minorBidi"/>
        </w:rPr>
        <w:t xml:space="preserve">anipulation. </w:t>
      </w:r>
      <w:r w:rsidRPr="00BA12C2">
        <w:rPr>
          <w:rFonts w:asciiTheme="minorBidi" w:hAnsiTheme="minorBidi" w:cstheme="minorBidi"/>
          <w:i/>
        </w:rPr>
        <w:t>Journal of Information Systems, 30</w:t>
      </w:r>
      <w:r w:rsidRPr="008060B4">
        <w:rPr>
          <w:rFonts w:asciiTheme="minorBidi" w:hAnsiTheme="minorBidi"/>
        </w:rPr>
        <w:t>(3),</w:t>
      </w:r>
      <w:r w:rsidR="0064140A">
        <w:rPr>
          <w:rFonts w:asciiTheme="minorBidi" w:hAnsiTheme="minorBidi" w:cstheme="minorBidi"/>
          <w:i/>
        </w:rPr>
        <w:t xml:space="preserve"> </w:t>
      </w:r>
      <w:r w:rsidRPr="00BA12C2">
        <w:rPr>
          <w:rFonts w:asciiTheme="minorBidi" w:hAnsiTheme="minorBidi" w:cstheme="minorBidi"/>
        </w:rPr>
        <w:t>63-77.</w:t>
      </w:r>
    </w:p>
    <w:p w14:paraId="0C8E3326" w14:textId="09EBC468" w:rsidR="001D1EEE" w:rsidRPr="00BA12C2" w:rsidRDefault="001D1EEE" w:rsidP="001D1EEE">
      <w:pPr>
        <w:pStyle w:val="References"/>
        <w:ind w:left="426" w:hanging="426"/>
        <w:rPr>
          <w:rFonts w:asciiTheme="minorBidi" w:hAnsiTheme="minorBidi" w:cstheme="minorBidi"/>
          <w:szCs w:val="22"/>
        </w:rPr>
      </w:pPr>
      <w:r w:rsidRPr="00BA12C2">
        <w:rPr>
          <w:rFonts w:asciiTheme="minorBidi" w:hAnsiTheme="minorBidi" w:cstheme="minorBidi"/>
          <w:szCs w:val="22"/>
        </w:rPr>
        <w:t>Thorne, L., Mahoney, L.</w:t>
      </w:r>
      <w:r w:rsidR="0064140A">
        <w:rPr>
          <w:rFonts w:asciiTheme="minorBidi" w:hAnsiTheme="minorBidi" w:cstheme="minorBidi"/>
          <w:szCs w:val="22"/>
        </w:rPr>
        <w:t xml:space="preserve"> S.</w:t>
      </w:r>
      <w:r w:rsidRPr="00BA12C2">
        <w:rPr>
          <w:rFonts w:asciiTheme="minorBidi" w:hAnsiTheme="minorBidi" w:cstheme="minorBidi"/>
          <w:szCs w:val="22"/>
        </w:rPr>
        <w:t xml:space="preserve">, </w:t>
      </w:r>
      <w:r w:rsidR="0064140A">
        <w:rPr>
          <w:rFonts w:asciiTheme="minorBidi" w:hAnsiTheme="minorBidi" w:cstheme="minorBidi"/>
          <w:szCs w:val="22"/>
        </w:rPr>
        <w:t xml:space="preserve">&amp; </w:t>
      </w:r>
      <w:r w:rsidRPr="00BA12C2">
        <w:rPr>
          <w:rFonts w:asciiTheme="minorBidi" w:hAnsiTheme="minorBidi" w:cstheme="minorBidi"/>
          <w:szCs w:val="22"/>
        </w:rPr>
        <w:t xml:space="preserve">Manetti, G. (2014). Motivations for issuing standalone CSR reports: A survey of Canadian </w:t>
      </w:r>
      <w:r>
        <w:rPr>
          <w:rFonts w:asciiTheme="minorBidi" w:hAnsiTheme="minorBidi" w:cstheme="minorBidi"/>
          <w:szCs w:val="22"/>
        </w:rPr>
        <w:t>firm</w:t>
      </w:r>
      <w:r w:rsidRPr="00BA12C2">
        <w:rPr>
          <w:rFonts w:asciiTheme="minorBidi" w:hAnsiTheme="minorBidi" w:cstheme="minorBidi"/>
          <w:szCs w:val="22"/>
        </w:rPr>
        <w:t xml:space="preserve">s. </w:t>
      </w:r>
      <w:r w:rsidRPr="00BA12C2">
        <w:rPr>
          <w:rFonts w:asciiTheme="minorBidi" w:hAnsiTheme="minorBidi" w:cstheme="minorBidi"/>
          <w:i/>
          <w:szCs w:val="22"/>
        </w:rPr>
        <w:t>Accounting, Auditing &amp; Accountability Journal, 27</w:t>
      </w:r>
      <w:r w:rsidRPr="00BA12C2">
        <w:rPr>
          <w:rFonts w:asciiTheme="minorBidi" w:hAnsiTheme="minorBidi" w:cstheme="minorBidi"/>
          <w:szCs w:val="22"/>
        </w:rPr>
        <w:t xml:space="preserve">(4), 686-714. </w:t>
      </w:r>
    </w:p>
    <w:p w14:paraId="464CFD37" w14:textId="34DA81FA" w:rsidR="001D1EEE" w:rsidRDefault="001D1EEE" w:rsidP="001D1EEE">
      <w:pPr>
        <w:pStyle w:val="EndNoteBibliography"/>
        <w:spacing w:after="0" w:line="360" w:lineRule="auto"/>
        <w:ind w:left="426" w:hanging="426"/>
        <w:rPr>
          <w:rFonts w:asciiTheme="minorBidi" w:hAnsiTheme="minorBidi" w:cstheme="minorBidi"/>
        </w:rPr>
      </w:pPr>
      <w:r w:rsidRPr="00BA12C2">
        <w:rPr>
          <w:rFonts w:asciiTheme="minorBidi" w:hAnsiTheme="minorBidi" w:cstheme="minorBidi"/>
        </w:rPr>
        <w:t xml:space="preserve">Unerman, J., Guthrie, J., </w:t>
      </w:r>
      <w:r w:rsidR="0064140A">
        <w:rPr>
          <w:rFonts w:asciiTheme="minorBidi" w:hAnsiTheme="minorBidi" w:cstheme="minorBidi"/>
        </w:rPr>
        <w:t xml:space="preserve">&amp; </w:t>
      </w:r>
      <w:r w:rsidRPr="00BA12C2">
        <w:rPr>
          <w:rFonts w:asciiTheme="minorBidi" w:hAnsiTheme="minorBidi" w:cstheme="minorBidi"/>
        </w:rPr>
        <w:t xml:space="preserve">Striukova, L. (2007). </w:t>
      </w:r>
      <w:r w:rsidRPr="00BA12C2">
        <w:rPr>
          <w:rFonts w:asciiTheme="minorBidi" w:hAnsiTheme="minorBidi" w:cstheme="minorBidi"/>
          <w:i/>
        </w:rPr>
        <w:t>UK reporting of intellectual capital</w:t>
      </w:r>
      <w:r w:rsidRPr="00BA12C2">
        <w:rPr>
          <w:rFonts w:asciiTheme="minorBidi" w:hAnsiTheme="minorBidi" w:cstheme="minorBidi"/>
        </w:rPr>
        <w:t>. Institute of Chartered Accountants in England and Wales.</w:t>
      </w:r>
    </w:p>
    <w:p w14:paraId="129AFA9B" w14:textId="056CAECF" w:rsidR="001D1EEE" w:rsidRPr="00CB0893" w:rsidRDefault="001D1EEE" w:rsidP="001D1EEE">
      <w:pPr>
        <w:pStyle w:val="EndNoteBibliography"/>
        <w:spacing w:after="0" w:line="360" w:lineRule="auto"/>
        <w:ind w:left="426" w:hanging="426"/>
        <w:rPr>
          <w:rFonts w:asciiTheme="minorBidi" w:hAnsiTheme="minorBidi" w:cstheme="minorBidi"/>
        </w:rPr>
      </w:pPr>
      <w:r>
        <w:rPr>
          <w:rFonts w:asciiTheme="minorBidi" w:hAnsiTheme="minorBidi" w:cstheme="minorBidi"/>
        </w:rPr>
        <w:t xml:space="preserve">Velte, P. (2019). Do CEO incentives and characteristics influence corporate social responsibility (CSR) and vice versa? A literature review. </w:t>
      </w:r>
      <w:r>
        <w:rPr>
          <w:rFonts w:asciiTheme="minorBidi" w:hAnsiTheme="minorBidi" w:cstheme="minorBidi"/>
          <w:i/>
        </w:rPr>
        <w:t>Social Responsibility Journal</w:t>
      </w:r>
      <w:r w:rsidR="00DB5967">
        <w:rPr>
          <w:rFonts w:asciiTheme="minorBidi" w:hAnsiTheme="minorBidi" w:cstheme="minorBidi"/>
          <w:iCs/>
        </w:rPr>
        <w:t>. Advance online publication</w:t>
      </w:r>
      <w:r w:rsidR="00DB5967">
        <w:rPr>
          <w:rFonts w:asciiTheme="minorBidi" w:hAnsiTheme="minorBidi" w:cstheme="minorBidi"/>
        </w:rPr>
        <w:t>.</w:t>
      </w:r>
      <w:r>
        <w:rPr>
          <w:rFonts w:asciiTheme="minorBidi" w:hAnsiTheme="minorBidi" w:cstheme="minorBidi"/>
        </w:rPr>
        <w:t xml:space="preserve"> </w:t>
      </w:r>
      <w:r w:rsidR="00DB5967">
        <w:rPr>
          <w:rFonts w:asciiTheme="minorBidi" w:hAnsiTheme="minorBidi" w:cstheme="minorBidi"/>
        </w:rPr>
        <w:t>https://doi.org/</w:t>
      </w:r>
      <w:r w:rsidRPr="00CB0893">
        <w:rPr>
          <w:rFonts w:asciiTheme="minorBidi" w:hAnsiTheme="minorBidi" w:cstheme="minorBidi"/>
        </w:rPr>
        <w:t>10.1108/SRJ-04-2019-0145</w:t>
      </w:r>
      <w:r>
        <w:rPr>
          <w:rFonts w:asciiTheme="minorBidi" w:hAnsiTheme="minorBidi" w:cstheme="minorBidi"/>
        </w:rPr>
        <w:t>.</w:t>
      </w:r>
    </w:p>
    <w:p w14:paraId="390BBB48" w14:textId="5E6D07ED" w:rsidR="00853B88" w:rsidRPr="002E118D" w:rsidRDefault="001D1EEE" w:rsidP="008060B4">
      <w:pPr>
        <w:pStyle w:val="References"/>
        <w:rPr>
          <w:rFonts w:asciiTheme="minorBidi" w:hAnsiTheme="minorBidi"/>
        </w:rPr>
      </w:pPr>
      <w:r>
        <w:rPr>
          <w:rFonts w:asciiTheme="minorBidi" w:hAnsiTheme="minorBidi" w:cstheme="minorBidi"/>
        </w:rPr>
        <w:t>Willmott, H., (1993).</w:t>
      </w:r>
      <w:r w:rsidR="00886A4E">
        <w:rPr>
          <w:rFonts w:asciiTheme="minorBidi" w:hAnsiTheme="minorBidi" w:cstheme="minorBidi"/>
        </w:rPr>
        <w:t xml:space="preserve"> </w:t>
      </w:r>
      <w:r>
        <w:rPr>
          <w:rFonts w:asciiTheme="minorBidi" w:hAnsiTheme="minorBidi" w:cstheme="minorBidi"/>
        </w:rPr>
        <w:t>Strength is ignorance;</w:t>
      </w:r>
      <w:r w:rsidR="00886A4E">
        <w:rPr>
          <w:rFonts w:asciiTheme="minorBidi" w:hAnsiTheme="minorBidi" w:cstheme="minorBidi"/>
        </w:rPr>
        <w:t xml:space="preserve"> </w:t>
      </w:r>
      <w:r>
        <w:rPr>
          <w:rFonts w:asciiTheme="minorBidi" w:hAnsiTheme="minorBidi" w:cstheme="minorBidi"/>
        </w:rPr>
        <w:t>slavery is freedom:</w:t>
      </w:r>
      <w:r w:rsidR="00886A4E">
        <w:rPr>
          <w:rFonts w:asciiTheme="minorBidi" w:hAnsiTheme="minorBidi" w:cstheme="minorBidi"/>
        </w:rPr>
        <w:t xml:space="preserve"> </w:t>
      </w:r>
      <w:r w:rsidR="00804D78">
        <w:rPr>
          <w:rFonts w:asciiTheme="minorBidi" w:hAnsiTheme="minorBidi" w:cstheme="minorBidi"/>
        </w:rPr>
        <w:t>M</w:t>
      </w:r>
      <w:r>
        <w:rPr>
          <w:rFonts w:asciiTheme="minorBidi" w:hAnsiTheme="minorBidi" w:cstheme="minorBidi"/>
        </w:rPr>
        <w:t>anaging culture in modern organizations.</w:t>
      </w:r>
      <w:r w:rsidR="00886A4E">
        <w:rPr>
          <w:rFonts w:asciiTheme="minorBidi" w:hAnsiTheme="minorBidi" w:cstheme="minorBidi"/>
        </w:rPr>
        <w:t xml:space="preserve"> </w:t>
      </w:r>
      <w:r w:rsidRPr="00E96BC4">
        <w:rPr>
          <w:rFonts w:asciiTheme="minorBidi" w:hAnsiTheme="minorBidi" w:cstheme="minorBidi"/>
          <w:i/>
        </w:rPr>
        <w:t>Journal of Management Studies</w:t>
      </w:r>
      <w:r>
        <w:rPr>
          <w:rFonts w:asciiTheme="minorBidi" w:hAnsiTheme="minorBidi" w:cstheme="minorBidi"/>
          <w:i/>
        </w:rPr>
        <w:t>,</w:t>
      </w:r>
      <w:r w:rsidRPr="00E96BC4">
        <w:rPr>
          <w:rFonts w:asciiTheme="minorBidi" w:hAnsiTheme="minorBidi" w:cstheme="minorBidi"/>
          <w:i/>
        </w:rPr>
        <w:t xml:space="preserve"> 30</w:t>
      </w:r>
      <w:r>
        <w:rPr>
          <w:rFonts w:asciiTheme="minorBidi" w:hAnsiTheme="minorBidi" w:cstheme="minorBidi"/>
        </w:rPr>
        <w:t>(4), 515-552.</w:t>
      </w:r>
    </w:p>
    <w:sectPr w:rsidR="00853B88" w:rsidRPr="002E118D" w:rsidSect="000E4567">
      <w:footerReference w:type="default" r:id="rId2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C90FE" w14:textId="77777777" w:rsidR="00101487" w:rsidRDefault="00101487" w:rsidP="00725337">
      <w:pPr>
        <w:spacing w:after="0" w:line="240" w:lineRule="auto"/>
      </w:pPr>
      <w:r>
        <w:separator/>
      </w:r>
    </w:p>
  </w:endnote>
  <w:endnote w:type="continuationSeparator" w:id="0">
    <w:p w14:paraId="3C7B99A0" w14:textId="77777777" w:rsidR="00101487" w:rsidRDefault="00101487" w:rsidP="00725337">
      <w:pPr>
        <w:spacing w:after="0" w:line="240" w:lineRule="auto"/>
      </w:pPr>
      <w:r>
        <w:continuationSeparator/>
      </w:r>
    </w:p>
  </w:endnote>
  <w:endnote w:type="continuationNotice" w:id="1">
    <w:p w14:paraId="4F556666" w14:textId="77777777" w:rsidR="00101487" w:rsidRDefault="001014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71E13" w14:textId="08335A34" w:rsidR="0064140A" w:rsidRDefault="0064140A">
    <w:pPr>
      <w:pStyle w:val="Footer"/>
      <w:jc w:val="center"/>
    </w:pPr>
  </w:p>
  <w:p w14:paraId="18793A6B" w14:textId="77777777" w:rsidR="0064140A" w:rsidRDefault="00641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703365"/>
      <w:docPartObj>
        <w:docPartGallery w:val="Page Numbers (Bottom of Page)"/>
        <w:docPartUnique/>
      </w:docPartObj>
    </w:sdtPr>
    <w:sdtEndPr/>
    <w:sdtContent>
      <w:p w14:paraId="60CFA85E" w14:textId="1FF55AA6" w:rsidR="0064140A" w:rsidRDefault="0064140A">
        <w:pPr>
          <w:pStyle w:val="Footer"/>
          <w:jc w:val="center"/>
        </w:pPr>
        <w:r>
          <w:t>[</w:t>
        </w:r>
        <w:r>
          <w:fldChar w:fldCharType="begin"/>
        </w:r>
        <w:r>
          <w:instrText xml:space="preserve"> PAGE   \* MERGEFORMAT </w:instrText>
        </w:r>
        <w:r>
          <w:fldChar w:fldCharType="separate"/>
        </w:r>
        <w:r w:rsidR="008060B4">
          <w:rPr>
            <w:noProof/>
          </w:rPr>
          <w:t>3</w:t>
        </w:r>
        <w:r>
          <w:rPr>
            <w:noProof/>
          </w:rPr>
          <w:fldChar w:fldCharType="end"/>
        </w:r>
        <w:r>
          <w:t>]</w:t>
        </w:r>
      </w:p>
    </w:sdtContent>
  </w:sdt>
  <w:p w14:paraId="29BDB624" w14:textId="77777777" w:rsidR="0064140A" w:rsidRDefault="00641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46D64" w14:textId="77777777" w:rsidR="00101487" w:rsidRDefault="00101487" w:rsidP="00725337">
      <w:pPr>
        <w:spacing w:after="0" w:line="240" w:lineRule="auto"/>
      </w:pPr>
      <w:r>
        <w:separator/>
      </w:r>
    </w:p>
  </w:footnote>
  <w:footnote w:type="continuationSeparator" w:id="0">
    <w:p w14:paraId="4E84DAB0" w14:textId="77777777" w:rsidR="00101487" w:rsidRDefault="00101487" w:rsidP="00725337">
      <w:pPr>
        <w:spacing w:after="0" w:line="240" w:lineRule="auto"/>
      </w:pPr>
      <w:r>
        <w:continuationSeparator/>
      </w:r>
    </w:p>
  </w:footnote>
  <w:footnote w:type="continuationNotice" w:id="1">
    <w:p w14:paraId="2FD0588C" w14:textId="77777777" w:rsidR="00101487" w:rsidRDefault="00101487">
      <w:pPr>
        <w:spacing w:after="0" w:line="240" w:lineRule="auto"/>
      </w:pPr>
    </w:p>
  </w:footnote>
  <w:footnote w:id="2">
    <w:p w14:paraId="4FB8B362" w14:textId="3F7AA650" w:rsidR="0064140A" w:rsidRDefault="0064140A" w:rsidP="00623D22">
      <w:pPr>
        <w:pStyle w:val="FootnoteText"/>
      </w:pPr>
      <w:r>
        <w:rPr>
          <w:rStyle w:val="FootnoteReference"/>
        </w:rPr>
        <w:footnoteRef/>
      </w:r>
      <w:r>
        <w:t xml:space="preserve"> For the purposes of this study, “functional stupidity” is a theoretical concept that applies at the level of the organisation, and should not be construed as pertaining to our interviewees.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45BD4" w14:textId="77777777" w:rsidR="0011627B" w:rsidRDefault="00116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F38"/>
    <w:multiLevelType w:val="hybridMultilevel"/>
    <w:tmpl w:val="FF6C6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21AF1"/>
    <w:multiLevelType w:val="hybridMultilevel"/>
    <w:tmpl w:val="8B301DF2"/>
    <w:lvl w:ilvl="0" w:tplc="08090013">
      <w:start w:val="1"/>
      <w:numFmt w:val="upperRoman"/>
      <w:lvlText w:val="%1."/>
      <w:lvlJc w:val="right"/>
      <w:pPr>
        <w:ind w:left="11494" w:hanging="360"/>
      </w:pPr>
    </w:lvl>
    <w:lvl w:ilvl="1" w:tplc="08090019" w:tentative="1">
      <w:start w:val="1"/>
      <w:numFmt w:val="lowerLetter"/>
      <w:lvlText w:val="%2."/>
      <w:lvlJc w:val="left"/>
      <w:pPr>
        <w:ind w:left="12214" w:hanging="360"/>
      </w:pPr>
    </w:lvl>
    <w:lvl w:ilvl="2" w:tplc="0809001B" w:tentative="1">
      <w:start w:val="1"/>
      <w:numFmt w:val="lowerRoman"/>
      <w:lvlText w:val="%3."/>
      <w:lvlJc w:val="right"/>
      <w:pPr>
        <w:ind w:left="12934" w:hanging="180"/>
      </w:pPr>
    </w:lvl>
    <w:lvl w:ilvl="3" w:tplc="0809000F" w:tentative="1">
      <w:start w:val="1"/>
      <w:numFmt w:val="decimal"/>
      <w:lvlText w:val="%4."/>
      <w:lvlJc w:val="left"/>
      <w:pPr>
        <w:ind w:left="13654" w:hanging="360"/>
      </w:pPr>
    </w:lvl>
    <w:lvl w:ilvl="4" w:tplc="08090019" w:tentative="1">
      <w:start w:val="1"/>
      <w:numFmt w:val="lowerLetter"/>
      <w:lvlText w:val="%5."/>
      <w:lvlJc w:val="left"/>
      <w:pPr>
        <w:ind w:left="14374" w:hanging="360"/>
      </w:pPr>
    </w:lvl>
    <w:lvl w:ilvl="5" w:tplc="0809001B" w:tentative="1">
      <w:start w:val="1"/>
      <w:numFmt w:val="lowerRoman"/>
      <w:lvlText w:val="%6."/>
      <w:lvlJc w:val="right"/>
      <w:pPr>
        <w:ind w:left="15094" w:hanging="180"/>
      </w:pPr>
    </w:lvl>
    <w:lvl w:ilvl="6" w:tplc="0809000F" w:tentative="1">
      <w:start w:val="1"/>
      <w:numFmt w:val="decimal"/>
      <w:lvlText w:val="%7."/>
      <w:lvlJc w:val="left"/>
      <w:pPr>
        <w:ind w:left="15814" w:hanging="360"/>
      </w:pPr>
    </w:lvl>
    <w:lvl w:ilvl="7" w:tplc="08090019" w:tentative="1">
      <w:start w:val="1"/>
      <w:numFmt w:val="lowerLetter"/>
      <w:lvlText w:val="%8."/>
      <w:lvlJc w:val="left"/>
      <w:pPr>
        <w:ind w:left="16534" w:hanging="360"/>
      </w:pPr>
    </w:lvl>
    <w:lvl w:ilvl="8" w:tplc="0809001B" w:tentative="1">
      <w:start w:val="1"/>
      <w:numFmt w:val="lowerRoman"/>
      <w:lvlText w:val="%9."/>
      <w:lvlJc w:val="right"/>
      <w:pPr>
        <w:ind w:left="17254" w:hanging="180"/>
      </w:pPr>
    </w:lvl>
  </w:abstractNum>
  <w:abstractNum w:abstractNumId="2" w15:restartNumberingAfterBreak="0">
    <w:nsid w:val="062451A8"/>
    <w:multiLevelType w:val="hybridMultilevel"/>
    <w:tmpl w:val="BD48F1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72944"/>
    <w:multiLevelType w:val="hybridMultilevel"/>
    <w:tmpl w:val="B45A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F0C7D"/>
    <w:multiLevelType w:val="hybridMultilevel"/>
    <w:tmpl w:val="99165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91542"/>
    <w:multiLevelType w:val="multilevel"/>
    <w:tmpl w:val="B7442804"/>
    <w:lvl w:ilvl="0">
      <w:start w:val="1"/>
      <w:numFmt w:val="decimal"/>
      <w:lvlText w:val="%1."/>
      <w:lvlJc w:val="left"/>
      <w:pPr>
        <w:ind w:left="360" w:hanging="360"/>
      </w:pPr>
      <w:rPr>
        <w:rFonts w:ascii="Calibri" w:hAnsi="Calibri" w:hint="default"/>
        <w:b/>
        <w:i w:val="0"/>
      </w:rPr>
    </w:lvl>
    <w:lvl w:ilvl="1">
      <w:start w:val="1"/>
      <w:numFmt w:val="decimal"/>
      <w:lvlText w:val="%1.%2"/>
      <w:lvlJc w:val="left"/>
      <w:pPr>
        <w:ind w:left="1285"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823545"/>
    <w:multiLevelType w:val="hybridMultilevel"/>
    <w:tmpl w:val="20E0B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577CC"/>
    <w:multiLevelType w:val="hybridMultilevel"/>
    <w:tmpl w:val="629EB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F4C2A"/>
    <w:multiLevelType w:val="hybridMultilevel"/>
    <w:tmpl w:val="6F6E32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B2514"/>
    <w:multiLevelType w:val="hybridMultilevel"/>
    <w:tmpl w:val="4D0E6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53835"/>
    <w:multiLevelType w:val="hybridMultilevel"/>
    <w:tmpl w:val="5BAA1EEE"/>
    <w:lvl w:ilvl="0" w:tplc="F1D4EB7C">
      <w:start w:val="1"/>
      <w:numFmt w:val="decimal"/>
      <w:lvlText w:val="%1."/>
      <w:lvlJc w:val="left"/>
      <w:pPr>
        <w:ind w:left="1080" w:hanging="360"/>
      </w:pPr>
      <w:rPr>
        <w:rFonts w:ascii="Calibri" w:hAnsi="Calibri"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F55EF"/>
    <w:multiLevelType w:val="hybridMultilevel"/>
    <w:tmpl w:val="D43A4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D008B3"/>
    <w:multiLevelType w:val="hybridMultilevel"/>
    <w:tmpl w:val="65F4B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8D7080"/>
    <w:multiLevelType w:val="hybridMultilevel"/>
    <w:tmpl w:val="20E0B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73F69"/>
    <w:multiLevelType w:val="hybridMultilevel"/>
    <w:tmpl w:val="82F8FCB8"/>
    <w:lvl w:ilvl="0" w:tplc="31D634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CD3CDD"/>
    <w:multiLevelType w:val="multilevel"/>
    <w:tmpl w:val="AB6CF46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F9179B7"/>
    <w:multiLevelType w:val="hybridMultilevel"/>
    <w:tmpl w:val="62D87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E512E"/>
    <w:multiLevelType w:val="hybridMultilevel"/>
    <w:tmpl w:val="4548291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3459AE"/>
    <w:multiLevelType w:val="hybridMultilevel"/>
    <w:tmpl w:val="20E0B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AC1CA2"/>
    <w:multiLevelType w:val="hybridMultilevel"/>
    <w:tmpl w:val="5E16F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8C0F77"/>
    <w:multiLevelType w:val="hybridMultilevel"/>
    <w:tmpl w:val="7E82C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A9205C"/>
    <w:multiLevelType w:val="hybridMultilevel"/>
    <w:tmpl w:val="2CDA2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75505"/>
    <w:multiLevelType w:val="hybridMultilevel"/>
    <w:tmpl w:val="2CDA2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5301E"/>
    <w:multiLevelType w:val="hybridMultilevel"/>
    <w:tmpl w:val="12349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7B685F"/>
    <w:multiLevelType w:val="hybridMultilevel"/>
    <w:tmpl w:val="65F4B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993FBD"/>
    <w:multiLevelType w:val="hybridMultilevel"/>
    <w:tmpl w:val="DF74D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64F8E"/>
    <w:multiLevelType w:val="hybridMultilevel"/>
    <w:tmpl w:val="ECD6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15F88"/>
    <w:multiLevelType w:val="hybridMultilevel"/>
    <w:tmpl w:val="4F643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57238E"/>
    <w:multiLevelType w:val="hybridMultilevel"/>
    <w:tmpl w:val="ECD6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3D081E"/>
    <w:multiLevelType w:val="hybridMultilevel"/>
    <w:tmpl w:val="3A80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2B2A12"/>
    <w:multiLevelType w:val="hybridMultilevel"/>
    <w:tmpl w:val="55343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A6078A"/>
    <w:multiLevelType w:val="hybridMultilevel"/>
    <w:tmpl w:val="D44880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241CE0"/>
    <w:multiLevelType w:val="hybridMultilevel"/>
    <w:tmpl w:val="C232AC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D5B7338"/>
    <w:multiLevelType w:val="hybridMultilevel"/>
    <w:tmpl w:val="F9D859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1CD6B45"/>
    <w:multiLevelType w:val="multilevel"/>
    <w:tmpl w:val="B47EDD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29C6092"/>
    <w:multiLevelType w:val="hybridMultilevel"/>
    <w:tmpl w:val="1CAC4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F756A4"/>
    <w:multiLevelType w:val="hybridMultilevel"/>
    <w:tmpl w:val="D416D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840C34"/>
    <w:multiLevelType w:val="hybridMultilevel"/>
    <w:tmpl w:val="B4FE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32C62"/>
    <w:multiLevelType w:val="hybridMultilevel"/>
    <w:tmpl w:val="E3E43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F866B4C"/>
    <w:multiLevelType w:val="hybridMultilevel"/>
    <w:tmpl w:val="3342D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FA87393"/>
    <w:multiLevelType w:val="hybridMultilevel"/>
    <w:tmpl w:val="3C5E6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5D0953"/>
    <w:multiLevelType w:val="hybridMultilevel"/>
    <w:tmpl w:val="BAE09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5900B2"/>
    <w:multiLevelType w:val="multilevel"/>
    <w:tmpl w:val="B106A684"/>
    <w:lvl w:ilvl="0">
      <w:start w:val="1"/>
      <w:numFmt w:val="decimal"/>
      <w:pStyle w:val="Heading1"/>
      <w:lvlText w:val="%1."/>
      <w:lvlJc w:val="left"/>
      <w:pPr>
        <w:ind w:left="643" w:hanging="360"/>
      </w:pPr>
    </w:lvl>
    <w:lvl w:ilvl="1">
      <w:start w:val="1"/>
      <w:numFmt w:val="decimal"/>
      <w:isLgl/>
      <w:lvlText w:val="%1.%2"/>
      <w:lvlJc w:val="left"/>
      <w:pPr>
        <w:ind w:left="5245"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3" w15:restartNumberingAfterBreak="0">
    <w:nsid w:val="694D76A1"/>
    <w:multiLevelType w:val="hybridMultilevel"/>
    <w:tmpl w:val="8F4E44A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176B2D"/>
    <w:multiLevelType w:val="hybridMultilevel"/>
    <w:tmpl w:val="D44880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BE3A0D"/>
    <w:multiLevelType w:val="hybridMultilevel"/>
    <w:tmpl w:val="82E2C1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6A5DFD"/>
    <w:multiLevelType w:val="hybridMultilevel"/>
    <w:tmpl w:val="E3CCA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E00574"/>
    <w:multiLevelType w:val="hybridMultilevel"/>
    <w:tmpl w:val="A5B6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6C5230"/>
    <w:multiLevelType w:val="hybridMultilevel"/>
    <w:tmpl w:val="7E16B2D0"/>
    <w:lvl w:ilvl="0" w:tplc="EA4CE2D4">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8"/>
  </w:num>
  <w:num w:numId="6">
    <w:abstractNumId w:val="47"/>
  </w:num>
  <w:num w:numId="7">
    <w:abstractNumId w:val="32"/>
  </w:num>
  <w:num w:numId="8">
    <w:abstractNumId w:val="19"/>
  </w:num>
  <w:num w:numId="9">
    <w:abstractNumId w:val="30"/>
  </w:num>
  <w:num w:numId="10">
    <w:abstractNumId w:val="33"/>
  </w:num>
  <w:num w:numId="11">
    <w:abstractNumId w:val="3"/>
  </w:num>
  <w:num w:numId="12">
    <w:abstractNumId w:val="34"/>
  </w:num>
  <w:num w:numId="13">
    <w:abstractNumId w:val="21"/>
  </w:num>
  <w:num w:numId="14">
    <w:abstractNumId w:val="34"/>
    <w:lvlOverride w:ilvl="0">
      <w:startOverride w:val="3"/>
    </w:lvlOverride>
  </w:num>
  <w:num w:numId="15">
    <w:abstractNumId w:val="6"/>
  </w:num>
  <w:num w:numId="16">
    <w:abstractNumId w:val="22"/>
  </w:num>
  <w:num w:numId="17">
    <w:abstractNumId w:val="26"/>
  </w:num>
  <w:num w:numId="18">
    <w:abstractNumId w:val="20"/>
  </w:num>
  <w:num w:numId="19">
    <w:abstractNumId w:val="18"/>
  </w:num>
  <w:num w:numId="20">
    <w:abstractNumId w:val="13"/>
  </w:num>
  <w:num w:numId="21">
    <w:abstractNumId w:val="28"/>
  </w:num>
  <w:num w:numId="22">
    <w:abstractNumId w:val="14"/>
  </w:num>
  <w:num w:numId="23">
    <w:abstractNumId w:val="9"/>
  </w:num>
  <w:num w:numId="24">
    <w:abstractNumId w:val="12"/>
  </w:num>
  <w:num w:numId="25">
    <w:abstractNumId w:val="5"/>
  </w:num>
  <w:num w:numId="26">
    <w:abstractNumId w:val="24"/>
  </w:num>
  <w:num w:numId="27">
    <w:abstractNumId w:val="10"/>
  </w:num>
  <w:num w:numId="28">
    <w:abstractNumId w:val="1"/>
  </w:num>
  <w:num w:numId="29">
    <w:abstractNumId w:val="17"/>
  </w:num>
  <w:num w:numId="30">
    <w:abstractNumId w:val="43"/>
  </w:num>
  <w:num w:numId="31">
    <w:abstractNumId w:val="8"/>
  </w:num>
  <w:num w:numId="32">
    <w:abstractNumId w:val="45"/>
  </w:num>
  <w:num w:numId="33">
    <w:abstractNumId w:val="31"/>
  </w:num>
  <w:num w:numId="34">
    <w:abstractNumId w:val="39"/>
  </w:num>
  <w:num w:numId="35">
    <w:abstractNumId w:val="44"/>
  </w:num>
  <w:num w:numId="36">
    <w:abstractNumId w:val="2"/>
  </w:num>
  <w:num w:numId="37">
    <w:abstractNumId w:val="35"/>
  </w:num>
  <w:num w:numId="38">
    <w:abstractNumId w:val="7"/>
  </w:num>
  <w:num w:numId="39">
    <w:abstractNumId w:val="46"/>
  </w:num>
  <w:num w:numId="40">
    <w:abstractNumId w:val="0"/>
  </w:num>
  <w:num w:numId="41">
    <w:abstractNumId w:val="25"/>
  </w:num>
  <w:num w:numId="42">
    <w:abstractNumId w:val="4"/>
  </w:num>
  <w:num w:numId="43">
    <w:abstractNumId w:val="40"/>
  </w:num>
  <w:num w:numId="44">
    <w:abstractNumId w:val="42"/>
  </w:num>
  <w:num w:numId="45">
    <w:abstractNumId w:val="48"/>
  </w:num>
  <w:num w:numId="46">
    <w:abstractNumId w:val="42"/>
    <w:lvlOverride w:ilvl="0">
      <w:startOverride w:val="2"/>
    </w:lvlOverride>
    <w:lvlOverride w:ilvl="1">
      <w:startOverride w:val="3"/>
    </w:lvlOverride>
  </w:num>
  <w:num w:numId="47">
    <w:abstractNumId w:val="42"/>
    <w:lvlOverride w:ilvl="0">
      <w:startOverride w:val="2"/>
    </w:lvlOverride>
    <w:lvlOverride w:ilvl="1">
      <w:startOverride w:val="3"/>
    </w:lvlOverride>
  </w:num>
  <w:num w:numId="48">
    <w:abstractNumId w:val="42"/>
    <w:lvlOverride w:ilvl="0">
      <w:startOverride w:val="2"/>
    </w:lvlOverride>
    <w:lvlOverride w:ilvl="1">
      <w:startOverride w:val="3"/>
    </w:lvlOverride>
  </w:num>
  <w:num w:numId="49">
    <w:abstractNumId w:val="42"/>
    <w:lvlOverride w:ilvl="0">
      <w:startOverride w:val="2"/>
    </w:lvlOverride>
    <w:lvlOverride w:ilvl="1">
      <w:startOverride w:val="3"/>
    </w:lvlOverride>
  </w:num>
  <w:num w:numId="50">
    <w:abstractNumId w:val="41"/>
  </w:num>
  <w:num w:numId="51">
    <w:abstractNumId w:val="23"/>
  </w:num>
  <w:num w:numId="52">
    <w:abstractNumId w:val="27"/>
  </w:num>
  <w:num w:numId="53">
    <w:abstractNumId w:val="11"/>
  </w:num>
  <w:num w:numId="54">
    <w:abstractNumId w:val="16"/>
  </w:num>
  <w:num w:numId="55">
    <w:abstractNumId w:val="37"/>
  </w:num>
  <w:num w:numId="5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337"/>
    <w:rsid w:val="000001F1"/>
    <w:rsid w:val="0000050D"/>
    <w:rsid w:val="00000547"/>
    <w:rsid w:val="000005CA"/>
    <w:rsid w:val="000012C9"/>
    <w:rsid w:val="0000163B"/>
    <w:rsid w:val="0000216C"/>
    <w:rsid w:val="0000258B"/>
    <w:rsid w:val="000025CA"/>
    <w:rsid w:val="000025DC"/>
    <w:rsid w:val="000030CE"/>
    <w:rsid w:val="00003903"/>
    <w:rsid w:val="00004125"/>
    <w:rsid w:val="00004B86"/>
    <w:rsid w:val="00005022"/>
    <w:rsid w:val="000052C2"/>
    <w:rsid w:val="00005348"/>
    <w:rsid w:val="0000560C"/>
    <w:rsid w:val="000057ED"/>
    <w:rsid w:val="00005923"/>
    <w:rsid w:val="00006D7A"/>
    <w:rsid w:val="00006F0C"/>
    <w:rsid w:val="0000710D"/>
    <w:rsid w:val="00007559"/>
    <w:rsid w:val="0001000D"/>
    <w:rsid w:val="00010A7A"/>
    <w:rsid w:val="00010CA4"/>
    <w:rsid w:val="00010D23"/>
    <w:rsid w:val="0001122B"/>
    <w:rsid w:val="000114EA"/>
    <w:rsid w:val="0001167C"/>
    <w:rsid w:val="000118BC"/>
    <w:rsid w:val="00011962"/>
    <w:rsid w:val="00012F71"/>
    <w:rsid w:val="0001358C"/>
    <w:rsid w:val="000139F7"/>
    <w:rsid w:val="00013A63"/>
    <w:rsid w:val="0001413A"/>
    <w:rsid w:val="00014E7D"/>
    <w:rsid w:val="0001502F"/>
    <w:rsid w:val="00015B58"/>
    <w:rsid w:val="00015D89"/>
    <w:rsid w:val="0001669F"/>
    <w:rsid w:val="00017D45"/>
    <w:rsid w:val="000201E6"/>
    <w:rsid w:val="000219EC"/>
    <w:rsid w:val="00021A8C"/>
    <w:rsid w:val="00021B2B"/>
    <w:rsid w:val="000220D8"/>
    <w:rsid w:val="0002226E"/>
    <w:rsid w:val="000226EE"/>
    <w:rsid w:val="0002368F"/>
    <w:rsid w:val="00023FCA"/>
    <w:rsid w:val="0002427D"/>
    <w:rsid w:val="00024785"/>
    <w:rsid w:val="00024E27"/>
    <w:rsid w:val="000254A9"/>
    <w:rsid w:val="000269C1"/>
    <w:rsid w:val="00027F45"/>
    <w:rsid w:val="000300C9"/>
    <w:rsid w:val="0003018F"/>
    <w:rsid w:val="00030A26"/>
    <w:rsid w:val="00030DB8"/>
    <w:rsid w:val="00031759"/>
    <w:rsid w:val="0003196C"/>
    <w:rsid w:val="00031D8B"/>
    <w:rsid w:val="00033076"/>
    <w:rsid w:val="00034D4F"/>
    <w:rsid w:val="000352C9"/>
    <w:rsid w:val="00035AA5"/>
    <w:rsid w:val="00035E82"/>
    <w:rsid w:val="00035ED2"/>
    <w:rsid w:val="000365B8"/>
    <w:rsid w:val="00036649"/>
    <w:rsid w:val="00037C9A"/>
    <w:rsid w:val="00037D54"/>
    <w:rsid w:val="000407DF"/>
    <w:rsid w:val="000433AE"/>
    <w:rsid w:val="0004343D"/>
    <w:rsid w:val="00043A0B"/>
    <w:rsid w:val="00044C02"/>
    <w:rsid w:val="0004747A"/>
    <w:rsid w:val="00050179"/>
    <w:rsid w:val="00050EB1"/>
    <w:rsid w:val="00051257"/>
    <w:rsid w:val="00052145"/>
    <w:rsid w:val="000524D6"/>
    <w:rsid w:val="00052C59"/>
    <w:rsid w:val="00053DCC"/>
    <w:rsid w:val="0005482C"/>
    <w:rsid w:val="000552BE"/>
    <w:rsid w:val="00055476"/>
    <w:rsid w:val="00055EE3"/>
    <w:rsid w:val="00060B2F"/>
    <w:rsid w:val="00060B45"/>
    <w:rsid w:val="00061C3A"/>
    <w:rsid w:val="00062123"/>
    <w:rsid w:val="000621EB"/>
    <w:rsid w:val="000625A4"/>
    <w:rsid w:val="000629EA"/>
    <w:rsid w:val="00062AFA"/>
    <w:rsid w:val="00064FD8"/>
    <w:rsid w:val="000653DE"/>
    <w:rsid w:val="0006542D"/>
    <w:rsid w:val="00066327"/>
    <w:rsid w:val="00066509"/>
    <w:rsid w:val="000668BC"/>
    <w:rsid w:val="00067725"/>
    <w:rsid w:val="00067C97"/>
    <w:rsid w:val="000714BD"/>
    <w:rsid w:val="0007160B"/>
    <w:rsid w:val="00071D77"/>
    <w:rsid w:val="00073248"/>
    <w:rsid w:val="00073564"/>
    <w:rsid w:val="00073F80"/>
    <w:rsid w:val="00074422"/>
    <w:rsid w:val="0007471E"/>
    <w:rsid w:val="00075D99"/>
    <w:rsid w:val="0008011A"/>
    <w:rsid w:val="000819E6"/>
    <w:rsid w:val="00082294"/>
    <w:rsid w:val="00082509"/>
    <w:rsid w:val="00082561"/>
    <w:rsid w:val="00083BC6"/>
    <w:rsid w:val="00083BCD"/>
    <w:rsid w:val="00084D23"/>
    <w:rsid w:val="00085AAD"/>
    <w:rsid w:val="00085D89"/>
    <w:rsid w:val="00085E49"/>
    <w:rsid w:val="000865B4"/>
    <w:rsid w:val="00086945"/>
    <w:rsid w:val="00086A10"/>
    <w:rsid w:val="00086A8A"/>
    <w:rsid w:val="00086E87"/>
    <w:rsid w:val="00087FAE"/>
    <w:rsid w:val="00091B17"/>
    <w:rsid w:val="00093484"/>
    <w:rsid w:val="00094A48"/>
    <w:rsid w:val="00095198"/>
    <w:rsid w:val="00095292"/>
    <w:rsid w:val="00095FF4"/>
    <w:rsid w:val="00096964"/>
    <w:rsid w:val="00096F44"/>
    <w:rsid w:val="00096F77"/>
    <w:rsid w:val="00097272"/>
    <w:rsid w:val="0009757D"/>
    <w:rsid w:val="00097CFC"/>
    <w:rsid w:val="00097F0B"/>
    <w:rsid w:val="000A116A"/>
    <w:rsid w:val="000A1205"/>
    <w:rsid w:val="000A177C"/>
    <w:rsid w:val="000A1D57"/>
    <w:rsid w:val="000A1E5A"/>
    <w:rsid w:val="000A21CB"/>
    <w:rsid w:val="000A25F8"/>
    <w:rsid w:val="000A2B61"/>
    <w:rsid w:val="000A353F"/>
    <w:rsid w:val="000A43ED"/>
    <w:rsid w:val="000A48CE"/>
    <w:rsid w:val="000A50C8"/>
    <w:rsid w:val="000A5748"/>
    <w:rsid w:val="000A63A2"/>
    <w:rsid w:val="000A6402"/>
    <w:rsid w:val="000A6659"/>
    <w:rsid w:val="000A76C0"/>
    <w:rsid w:val="000B02E9"/>
    <w:rsid w:val="000B0D93"/>
    <w:rsid w:val="000B1673"/>
    <w:rsid w:val="000B1D51"/>
    <w:rsid w:val="000B42C6"/>
    <w:rsid w:val="000B44E0"/>
    <w:rsid w:val="000B5ADA"/>
    <w:rsid w:val="000B7F0C"/>
    <w:rsid w:val="000C01F9"/>
    <w:rsid w:val="000C038A"/>
    <w:rsid w:val="000C04EB"/>
    <w:rsid w:val="000C1508"/>
    <w:rsid w:val="000C1650"/>
    <w:rsid w:val="000C16A9"/>
    <w:rsid w:val="000C26B3"/>
    <w:rsid w:val="000C2715"/>
    <w:rsid w:val="000C2CA3"/>
    <w:rsid w:val="000C3299"/>
    <w:rsid w:val="000C354D"/>
    <w:rsid w:val="000C41BA"/>
    <w:rsid w:val="000C46AB"/>
    <w:rsid w:val="000C5E72"/>
    <w:rsid w:val="000C6BE4"/>
    <w:rsid w:val="000D0049"/>
    <w:rsid w:val="000D0CB6"/>
    <w:rsid w:val="000D0F58"/>
    <w:rsid w:val="000D443E"/>
    <w:rsid w:val="000D45F7"/>
    <w:rsid w:val="000D57C9"/>
    <w:rsid w:val="000D6093"/>
    <w:rsid w:val="000D6BB8"/>
    <w:rsid w:val="000D7477"/>
    <w:rsid w:val="000E03FC"/>
    <w:rsid w:val="000E0468"/>
    <w:rsid w:val="000E06F6"/>
    <w:rsid w:val="000E0936"/>
    <w:rsid w:val="000E1132"/>
    <w:rsid w:val="000E1638"/>
    <w:rsid w:val="000E1798"/>
    <w:rsid w:val="000E1E6F"/>
    <w:rsid w:val="000E2F13"/>
    <w:rsid w:val="000E3D97"/>
    <w:rsid w:val="000E3FCF"/>
    <w:rsid w:val="000E450E"/>
    <w:rsid w:val="000E4567"/>
    <w:rsid w:val="000E5172"/>
    <w:rsid w:val="000E56F7"/>
    <w:rsid w:val="000E58B5"/>
    <w:rsid w:val="000E5924"/>
    <w:rsid w:val="000E6002"/>
    <w:rsid w:val="000E712C"/>
    <w:rsid w:val="000F0108"/>
    <w:rsid w:val="000F015E"/>
    <w:rsid w:val="000F0604"/>
    <w:rsid w:val="000F187E"/>
    <w:rsid w:val="000F43ED"/>
    <w:rsid w:val="000F53F5"/>
    <w:rsid w:val="000F585D"/>
    <w:rsid w:val="000F7646"/>
    <w:rsid w:val="000F77B8"/>
    <w:rsid w:val="000F7B18"/>
    <w:rsid w:val="00100AC9"/>
    <w:rsid w:val="0010124F"/>
    <w:rsid w:val="0010136C"/>
    <w:rsid w:val="00101487"/>
    <w:rsid w:val="00101B6C"/>
    <w:rsid w:val="00101C1C"/>
    <w:rsid w:val="0010207B"/>
    <w:rsid w:val="001021F1"/>
    <w:rsid w:val="0010277F"/>
    <w:rsid w:val="00102D91"/>
    <w:rsid w:val="0010408E"/>
    <w:rsid w:val="001056BA"/>
    <w:rsid w:val="00105C2A"/>
    <w:rsid w:val="001067C7"/>
    <w:rsid w:val="00106BDD"/>
    <w:rsid w:val="00106C8D"/>
    <w:rsid w:val="00106D5A"/>
    <w:rsid w:val="00107465"/>
    <w:rsid w:val="00107988"/>
    <w:rsid w:val="001102EC"/>
    <w:rsid w:val="001111CF"/>
    <w:rsid w:val="0011130A"/>
    <w:rsid w:val="0011143E"/>
    <w:rsid w:val="0011162D"/>
    <w:rsid w:val="001120F4"/>
    <w:rsid w:val="00112458"/>
    <w:rsid w:val="00112517"/>
    <w:rsid w:val="00112948"/>
    <w:rsid w:val="001136B4"/>
    <w:rsid w:val="00113BA1"/>
    <w:rsid w:val="00113C62"/>
    <w:rsid w:val="001153FD"/>
    <w:rsid w:val="0011627B"/>
    <w:rsid w:val="001167F7"/>
    <w:rsid w:val="00120339"/>
    <w:rsid w:val="00120BF7"/>
    <w:rsid w:val="001226BD"/>
    <w:rsid w:val="00122A5F"/>
    <w:rsid w:val="00123530"/>
    <w:rsid w:val="00123787"/>
    <w:rsid w:val="00123FFE"/>
    <w:rsid w:val="001240EA"/>
    <w:rsid w:val="001240F8"/>
    <w:rsid w:val="001243C6"/>
    <w:rsid w:val="00125A13"/>
    <w:rsid w:val="00127928"/>
    <w:rsid w:val="00130173"/>
    <w:rsid w:val="0013085F"/>
    <w:rsid w:val="001308BB"/>
    <w:rsid w:val="00130ED1"/>
    <w:rsid w:val="001324E3"/>
    <w:rsid w:val="00132A00"/>
    <w:rsid w:val="00133A3C"/>
    <w:rsid w:val="00135A04"/>
    <w:rsid w:val="00135C54"/>
    <w:rsid w:val="0013626A"/>
    <w:rsid w:val="00137889"/>
    <w:rsid w:val="0014088E"/>
    <w:rsid w:val="0014112D"/>
    <w:rsid w:val="001412FB"/>
    <w:rsid w:val="00141A09"/>
    <w:rsid w:val="00142FF2"/>
    <w:rsid w:val="001434CC"/>
    <w:rsid w:val="0014381A"/>
    <w:rsid w:val="00143CFC"/>
    <w:rsid w:val="001446EB"/>
    <w:rsid w:val="001456F5"/>
    <w:rsid w:val="001508FB"/>
    <w:rsid w:val="001515E4"/>
    <w:rsid w:val="00152040"/>
    <w:rsid w:val="0015471B"/>
    <w:rsid w:val="00154752"/>
    <w:rsid w:val="00154E02"/>
    <w:rsid w:val="00155440"/>
    <w:rsid w:val="00155E00"/>
    <w:rsid w:val="001566B7"/>
    <w:rsid w:val="001567A1"/>
    <w:rsid w:val="0016095C"/>
    <w:rsid w:val="00160BA7"/>
    <w:rsid w:val="00163A0B"/>
    <w:rsid w:val="00163C26"/>
    <w:rsid w:val="00164AD5"/>
    <w:rsid w:val="001653B3"/>
    <w:rsid w:val="00165D74"/>
    <w:rsid w:val="0016609F"/>
    <w:rsid w:val="0017099C"/>
    <w:rsid w:val="00170D9D"/>
    <w:rsid w:val="0017109D"/>
    <w:rsid w:val="00171441"/>
    <w:rsid w:val="001714C5"/>
    <w:rsid w:val="0017159F"/>
    <w:rsid w:val="0017430E"/>
    <w:rsid w:val="00174F3C"/>
    <w:rsid w:val="00175417"/>
    <w:rsid w:val="00175A84"/>
    <w:rsid w:val="00176C93"/>
    <w:rsid w:val="001778E2"/>
    <w:rsid w:val="00177D0F"/>
    <w:rsid w:val="00180663"/>
    <w:rsid w:val="00181BCB"/>
    <w:rsid w:val="0018266C"/>
    <w:rsid w:val="001830C4"/>
    <w:rsid w:val="00184454"/>
    <w:rsid w:val="001848E6"/>
    <w:rsid w:val="00186751"/>
    <w:rsid w:val="00186CC3"/>
    <w:rsid w:val="00186DF3"/>
    <w:rsid w:val="001904FD"/>
    <w:rsid w:val="00190946"/>
    <w:rsid w:val="00191009"/>
    <w:rsid w:val="00191921"/>
    <w:rsid w:val="00191BB4"/>
    <w:rsid w:val="001922BB"/>
    <w:rsid w:val="00192CCC"/>
    <w:rsid w:val="0019370C"/>
    <w:rsid w:val="00194E21"/>
    <w:rsid w:val="001950D3"/>
    <w:rsid w:val="00195423"/>
    <w:rsid w:val="00195CC6"/>
    <w:rsid w:val="001966E1"/>
    <w:rsid w:val="0019693D"/>
    <w:rsid w:val="001976E2"/>
    <w:rsid w:val="00197762"/>
    <w:rsid w:val="00197DAF"/>
    <w:rsid w:val="00197E58"/>
    <w:rsid w:val="001A01B4"/>
    <w:rsid w:val="001A02DF"/>
    <w:rsid w:val="001A033A"/>
    <w:rsid w:val="001A0BEE"/>
    <w:rsid w:val="001A1371"/>
    <w:rsid w:val="001A155C"/>
    <w:rsid w:val="001A1BE8"/>
    <w:rsid w:val="001A27B6"/>
    <w:rsid w:val="001A2E8D"/>
    <w:rsid w:val="001A2EB2"/>
    <w:rsid w:val="001A379F"/>
    <w:rsid w:val="001A3824"/>
    <w:rsid w:val="001A39FA"/>
    <w:rsid w:val="001A4087"/>
    <w:rsid w:val="001A4D70"/>
    <w:rsid w:val="001A5B6E"/>
    <w:rsid w:val="001A618E"/>
    <w:rsid w:val="001A6B2F"/>
    <w:rsid w:val="001A7872"/>
    <w:rsid w:val="001A788E"/>
    <w:rsid w:val="001A7EEB"/>
    <w:rsid w:val="001B05F3"/>
    <w:rsid w:val="001B0C9C"/>
    <w:rsid w:val="001B0CDC"/>
    <w:rsid w:val="001B1557"/>
    <w:rsid w:val="001B2B6C"/>
    <w:rsid w:val="001B38D2"/>
    <w:rsid w:val="001B4885"/>
    <w:rsid w:val="001B4AAE"/>
    <w:rsid w:val="001B4B3F"/>
    <w:rsid w:val="001B509D"/>
    <w:rsid w:val="001B5895"/>
    <w:rsid w:val="001B7EED"/>
    <w:rsid w:val="001C07DE"/>
    <w:rsid w:val="001C09D2"/>
    <w:rsid w:val="001C12B0"/>
    <w:rsid w:val="001C131C"/>
    <w:rsid w:val="001C1687"/>
    <w:rsid w:val="001C2497"/>
    <w:rsid w:val="001C32DD"/>
    <w:rsid w:val="001C3676"/>
    <w:rsid w:val="001C3A10"/>
    <w:rsid w:val="001C4824"/>
    <w:rsid w:val="001C4A84"/>
    <w:rsid w:val="001C4B17"/>
    <w:rsid w:val="001C5152"/>
    <w:rsid w:val="001C59B1"/>
    <w:rsid w:val="001C5F72"/>
    <w:rsid w:val="001C6647"/>
    <w:rsid w:val="001C7344"/>
    <w:rsid w:val="001C73A0"/>
    <w:rsid w:val="001C7D38"/>
    <w:rsid w:val="001D0BCB"/>
    <w:rsid w:val="001D1140"/>
    <w:rsid w:val="001D11F1"/>
    <w:rsid w:val="001D146C"/>
    <w:rsid w:val="001D14B7"/>
    <w:rsid w:val="001D1539"/>
    <w:rsid w:val="001D1EEE"/>
    <w:rsid w:val="001D2E2E"/>
    <w:rsid w:val="001D44F4"/>
    <w:rsid w:val="001D4D0A"/>
    <w:rsid w:val="001D57D5"/>
    <w:rsid w:val="001D59DB"/>
    <w:rsid w:val="001D5D88"/>
    <w:rsid w:val="001D6156"/>
    <w:rsid w:val="001D6679"/>
    <w:rsid w:val="001D6C2F"/>
    <w:rsid w:val="001D6F91"/>
    <w:rsid w:val="001D76D9"/>
    <w:rsid w:val="001E0C92"/>
    <w:rsid w:val="001E0D03"/>
    <w:rsid w:val="001E0D7F"/>
    <w:rsid w:val="001E1853"/>
    <w:rsid w:val="001E1C2F"/>
    <w:rsid w:val="001E22F4"/>
    <w:rsid w:val="001E3979"/>
    <w:rsid w:val="001E3BA0"/>
    <w:rsid w:val="001E4004"/>
    <w:rsid w:val="001E4426"/>
    <w:rsid w:val="001E5108"/>
    <w:rsid w:val="001E56DB"/>
    <w:rsid w:val="001E6814"/>
    <w:rsid w:val="001E6D10"/>
    <w:rsid w:val="001E6F84"/>
    <w:rsid w:val="001E717D"/>
    <w:rsid w:val="001E76FA"/>
    <w:rsid w:val="001F20A6"/>
    <w:rsid w:val="001F215F"/>
    <w:rsid w:val="001F3BA8"/>
    <w:rsid w:val="001F444C"/>
    <w:rsid w:val="001F47DD"/>
    <w:rsid w:val="001F54FC"/>
    <w:rsid w:val="001F5C93"/>
    <w:rsid w:val="001F673F"/>
    <w:rsid w:val="001F73A0"/>
    <w:rsid w:val="00200A4C"/>
    <w:rsid w:val="0020177B"/>
    <w:rsid w:val="00201C7A"/>
    <w:rsid w:val="0020206D"/>
    <w:rsid w:val="00202628"/>
    <w:rsid w:val="002027D8"/>
    <w:rsid w:val="0020391C"/>
    <w:rsid w:val="00203D09"/>
    <w:rsid w:val="002049E1"/>
    <w:rsid w:val="0020678C"/>
    <w:rsid w:val="00210BEC"/>
    <w:rsid w:val="00210DAC"/>
    <w:rsid w:val="0021140E"/>
    <w:rsid w:val="00211B95"/>
    <w:rsid w:val="00212D81"/>
    <w:rsid w:val="00212D9F"/>
    <w:rsid w:val="00213AD3"/>
    <w:rsid w:val="00215488"/>
    <w:rsid w:val="00215B01"/>
    <w:rsid w:val="00215B85"/>
    <w:rsid w:val="00215FF1"/>
    <w:rsid w:val="00216357"/>
    <w:rsid w:val="00216433"/>
    <w:rsid w:val="0021665B"/>
    <w:rsid w:val="00216E2C"/>
    <w:rsid w:val="002170D6"/>
    <w:rsid w:val="00217C18"/>
    <w:rsid w:val="002213C3"/>
    <w:rsid w:val="0022224A"/>
    <w:rsid w:val="00222BDD"/>
    <w:rsid w:val="00222FC4"/>
    <w:rsid w:val="00223660"/>
    <w:rsid w:val="00224466"/>
    <w:rsid w:val="00224EBF"/>
    <w:rsid w:val="002253AA"/>
    <w:rsid w:val="0022550C"/>
    <w:rsid w:val="00225B33"/>
    <w:rsid w:val="002260B9"/>
    <w:rsid w:val="002260F6"/>
    <w:rsid w:val="00227707"/>
    <w:rsid w:val="00230D39"/>
    <w:rsid w:val="002328F8"/>
    <w:rsid w:val="00233E79"/>
    <w:rsid w:val="00234E8D"/>
    <w:rsid w:val="00235372"/>
    <w:rsid w:val="00236271"/>
    <w:rsid w:val="0023744A"/>
    <w:rsid w:val="00237902"/>
    <w:rsid w:val="00240913"/>
    <w:rsid w:val="00241978"/>
    <w:rsid w:val="00242C5E"/>
    <w:rsid w:val="002444D7"/>
    <w:rsid w:val="00244CEC"/>
    <w:rsid w:val="00244D57"/>
    <w:rsid w:val="00245076"/>
    <w:rsid w:val="002452BC"/>
    <w:rsid w:val="0024674B"/>
    <w:rsid w:val="002473E3"/>
    <w:rsid w:val="002477D4"/>
    <w:rsid w:val="00250912"/>
    <w:rsid w:val="002516E6"/>
    <w:rsid w:val="00251C28"/>
    <w:rsid w:val="00251D55"/>
    <w:rsid w:val="002527F2"/>
    <w:rsid w:val="0025284D"/>
    <w:rsid w:val="00252B87"/>
    <w:rsid w:val="002536CF"/>
    <w:rsid w:val="00253A2C"/>
    <w:rsid w:val="002540F5"/>
    <w:rsid w:val="00254571"/>
    <w:rsid w:val="00254649"/>
    <w:rsid w:val="00254FEA"/>
    <w:rsid w:val="00255047"/>
    <w:rsid w:val="002555B1"/>
    <w:rsid w:val="0025605E"/>
    <w:rsid w:val="002561CD"/>
    <w:rsid w:val="002562CF"/>
    <w:rsid w:val="002602AD"/>
    <w:rsid w:val="00261934"/>
    <w:rsid w:val="00261CF2"/>
    <w:rsid w:val="0026291C"/>
    <w:rsid w:val="00263777"/>
    <w:rsid w:val="0026390A"/>
    <w:rsid w:val="00263B15"/>
    <w:rsid w:val="00263F72"/>
    <w:rsid w:val="00265591"/>
    <w:rsid w:val="00265752"/>
    <w:rsid w:val="00265E05"/>
    <w:rsid w:val="00266311"/>
    <w:rsid w:val="002663FE"/>
    <w:rsid w:val="00267779"/>
    <w:rsid w:val="002702FC"/>
    <w:rsid w:val="002707BD"/>
    <w:rsid w:val="002711B1"/>
    <w:rsid w:val="00271487"/>
    <w:rsid w:val="00271A77"/>
    <w:rsid w:val="00271B5D"/>
    <w:rsid w:val="00272C9C"/>
    <w:rsid w:val="00272DC0"/>
    <w:rsid w:val="00272F63"/>
    <w:rsid w:val="00273358"/>
    <w:rsid w:val="002733DB"/>
    <w:rsid w:val="00273543"/>
    <w:rsid w:val="00273743"/>
    <w:rsid w:val="0027539F"/>
    <w:rsid w:val="00275435"/>
    <w:rsid w:val="002755E8"/>
    <w:rsid w:val="00275FEC"/>
    <w:rsid w:val="002768F2"/>
    <w:rsid w:val="0027695B"/>
    <w:rsid w:val="0027798D"/>
    <w:rsid w:val="0028078E"/>
    <w:rsid w:val="00280909"/>
    <w:rsid w:val="00281D2C"/>
    <w:rsid w:val="002822DE"/>
    <w:rsid w:val="00283C10"/>
    <w:rsid w:val="00283EAB"/>
    <w:rsid w:val="002868C2"/>
    <w:rsid w:val="00286939"/>
    <w:rsid w:val="00287C0D"/>
    <w:rsid w:val="00290034"/>
    <w:rsid w:val="00290DF6"/>
    <w:rsid w:val="00291D48"/>
    <w:rsid w:val="00293254"/>
    <w:rsid w:val="0029363B"/>
    <w:rsid w:val="00293DAB"/>
    <w:rsid w:val="00294287"/>
    <w:rsid w:val="00294770"/>
    <w:rsid w:val="00294BEB"/>
    <w:rsid w:val="00294D79"/>
    <w:rsid w:val="00296BD9"/>
    <w:rsid w:val="00297666"/>
    <w:rsid w:val="002A0E25"/>
    <w:rsid w:val="002A1841"/>
    <w:rsid w:val="002A3D03"/>
    <w:rsid w:val="002A6895"/>
    <w:rsid w:val="002A7E42"/>
    <w:rsid w:val="002B0300"/>
    <w:rsid w:val="002B1760"/>
    <w:rsid w:val="002B1D11"/>
    <w:rsid w:val="002B234B"/>
    <w:rsid w:val="002B25C3"/>
    <w:rsid w:val="002B284C"/>
    <w:rsid w:val="002B2BB6"/>
    <w:rsid w:val="002B2C99"/>
    <w:rsid w:val="002B2CEF"/>
    <w:rsid w:val="002B32CA"/>
    <w:rsid w:val="002B41A0"/>
    <w:rsid w:val="002B472C"/>
    <w:rsid w:val="002B5274"/>
    <w:rsid w:val="002B6F3C"/>
    <w:rsid w:val="002B6FBF"/>
    <w:rsid w:val="002B7AA3"/>
    <w:rsid w:val="002C0006"/>
    <w:rsid w:val="002C000E"/>
    <w:rsid w:val="002C06B1"/>
    <w:rsid w:val="002C1CB9"/>
    <w:rsid w:val="002C21CA"/>
    <w:rsid w:val="002C2805"/>
    <w:rsid w:val="002C2843"/>
    <w:rsid w:val="002C2B99"/>
    <w:rsid w:val="002C2CEA"/>
    <w:rsid w:val="002C3967"/>
    <w:rsid w:val="002C3A48"/>
    <w:rsid w:val="002C3F2E"/>
    <w:rsid w:val="002C4A2C"/>
    <w:rsid w:val="002C4A32"/>
    <w:rsid w:val="002C5061"/>
    <w:rsid w:val="002C5492"/>
    <w:rsid w:val="002C5DFE"/>
    <w:rsid w:val="002C6954"/>
    <w:rsid w:val="002C7185"/>
    <w:rsid w:val="002C72D6"/>
    <w:rsid w:val="002C76BD"/>
    <w:rsid w:val="002C7D4A"/>
    <w:rsid w:val="002D00B7"/>
    <w:rsid w:val="002D142D"/>
    <w:rsid w:val="002D209C"/>
    <w:rsid w:val="002D285C"/>
    <w:rsid w:val="002D3192"/>
    <w:rsid w:val="002D4C40"/>
    <w:rsid w:val="002D5058"/>
    <w:rsid w:val="002D531C"/>
    <w:rsid w:val="002D5414"/>
    <w:rsid w:val="002D5437"/>
    <w:rsid w:val="002D545D"/>
    <w:rsid w:val="002D56F1"/>
    <w:rsid w:val="002D720A"/>
    <w:rsid w:val="002D74D2"/>
    <w:rsid w:val="002D74DB"/>
    <w:rsid w:val="002D7527"/>
    <w:rsid w:val="002E02E8"/>
    <w:rsid w:val="002E0422"/>
    <w:rsid w:val="002E04E0"/>
    <w:rsid w:val="002E08A9"/>
    <w:rsid w:val="002E0D97"/>
    <w:rsid w:val="002E0E13"/>
    <w:rsid w:val="002E118D"/>
    <w:rsid w:val="002E13CE"/>
    <w:rsid w:val="002E2095"/>
    <w:rsid w:val="002E230E"/>
    <w:rsid w:val="002E240F"/>
    <w:rsid w:val="002E24E8"/>
    <w:rsid w:val="002E3BBD"/>
    <w:rsid w:val="002E3CCA"/>
    <w:rsid w:val="002E3D86"/>
    <w:rsid w:val="002E4038"/>
    <w:rsid w:val="002E43D4"/>
    <w:rsid w:val="002E67CA"/>
    <w:rsid w:val="002E6AA3"/>
    <w:rsid w:val="002E6BBC"/>
    <w:rsid w:val="002F0241"/>
    <w:rsid w:val="002F02B7"/>
    <w:rsid w:val="002F153A"/>
    <w:rsid w:val="002F15B5"/>
    <w:rsid w:val="002F2C5A"/>
    <w:rsid w:val="002F2D72"/>
    <w:rsid w:val="002F31CC"/>
    <w:rsid w:val="002F321D"/>
    <w:rsid w:val="002F3F35"/>
    <w:rsid w:val="002F453A"/>
    <w:rsid w:val="002F50D6"/>
    <w:rsid w:val="002F5644"/>
    <w:rsid w:val="002F6522"/>
    <w:rsid w:val="002F66F4"/>
    <w:rsid w:val="002F696D"/>
    <w:rsid w:val="00300260"/>
    <w:rsid w:val="0030123B"/>
    <w:rsid w:val="00303302"/>
    <w:rsid w:val="00303ACC"/>
    <w:rsid w:val="00303AD7"/>
    <w:rsid w:val="003041D1"/>
    <w:rsid w:val="00304B7D"/>
    <w:rsid w:val="00304C36"/>
    <w:rsid w:val="003051C6"/>
    <w:rsid w:val="00307781"/>
    <w:rsid w:val="00310350"/>
    <w:rsid w:val="003105C3"/>
    <w:rsid w:val="00310C96"/>
    <w:rsid w:val="00311411"/>
    <w:rsid w:val="00311ED3"/>
    <w:rsid w:val="003120CB"/>
    <w:rsid w:val="003128A9"/>
    <w:rsid w:val="003129C8"/>
    <w:rsid w:val="00312B22"/>
    <w:rsid w:val="00312E74"/>
    <w:rsid w:val="00312F6B"/>
    <w:rsid w:val="0031315A"/>
    <w:rsid w:val="00314431"/>
    <w:rsid w:val="003147DA"/>
    <w:rsid w:val="003150E7"/>
    <w:rsid w:val="003156F0"/>
    <w:rsid w:val="00320D8C"/>
    <w:rsid w:val="003210F9"/>
    <w:rsid w:val="00321B3B"/>
    <w:rsid w:val="00321E39"/>
    <w:rsid w:val="0032226E"/>
    <w:rsid w:val="003223F8"/>
    <w:rsid w:val="00323AB5"/>
    <w:rsid w:val="00324010"/>
    <w:rsid w:val="003242F7"/>
    <w:rsid w:val="003249E9"/>
    <w:rsid w:val="00324AC0"/>
    <w:rsid w:val="00324C43"/>
    <w:rsid w:val="00324D09"/>
    <w:rsid w:val="0032553F"/>
    <w:rsid w:val="00325EED"/>
    <w:rsid w:val="0032605F"/>
    <w:rsid w:val="0032644A"/>
    <w:rsid w:val="0032660F"/>
    <w:rsid w:val="00327208"/>
    <w:rsid w:val="00330FF4"/>
    <w:rsid w:val="003310F5"/>
    <w:rsid w:val="003325E2"/>
    <w:rsid w:val="003330B3"/>
    <w:rsid w:val="0033335D"/>
    <w:rsid w:val="00333939"/>
    <w:rsid w:val="0033399C"/>
    <w:rsid w:val="003339CF"/>
    <w:rsid w:val="00334475"/>
    <w:rsid w:val="00334738"/>
    <w:rsid w:val="00334D65"/>
    <w:rsid w:val="003359BB"/>
    <w:rsid w:val="00335C87"/>
    <w:rsid w:val="00335FD6"/>
    <w:rsid w:val="00336309"/>
    <w:rsid w:val="003369D1"/>
    <w:rsid w:val="003400C2"/>
    <w:rsid w:val="00340340"/>
    <w:rsid w:val="0034034C"/>
    <w:rsid w:val="00343E9F"/>
    <w:rsid w:val="00344498"/>
    <w:rsid w:val="00344EAE"/>
    <w:rsid w:val="0034532A"/>
    <w:rsid w:val="0034589F"/>
    <w:rsid w:val="003467CB"/>
    <w:rsid w:val="00347F0E"/>
    <w:rsid w:val="00350339"/>
    <w:rsid w:val="0035124F"/>
    <w:rsid w:val="00351438"/>
    <w:rsid w:val="00351BB0"/>
    <w:rsid w:val="00352124"/>
    <w:rsid w:val="003526D3"/>
    <w:rsid w:val="00352981"/>
    <w:rsid w:val="0035314A"/>
    <w:rsid w:val="003537A3"/>
    <w:rsid w:val="00354C98"/>
    <w:rsid w:val="0035517E"/>
    <w:rsid w:val="00355797"/>
    <w:rsid w:val="00355FED"/>
    <w:rsid w:val="0035644C"/>
    <w:rsid w:val="00356922"/>
    <w:rsid w:val="00356B99"/>
    <w:rsid w:val="00356DBF"/>
    <w:rsid w:val="00357405"/>
    <w:rsid w:val="00357B1B"/>
    <w:rsid w:val="003601B7"/>
    <w:rsid w:val="00361925"/>
    <w:rsid w:val="00361D43"/>
    <w:rsid w:val="003626C8"/>
    <w:rsid w:val="00362ABA"/>
    <w:rsid w:val="00363303"/>
    <w:rsid w:val="00363995"/>
    <w:rsid w:val="003639BD"/>
    <w:rsid w:val="00364D40"/>
    <w:rsid w:val="003659A2"/>
    <w:rsid w:val="00366856"/>
    <w:rsid w:val="003672B8"/>
    <w:rsid w:val="003703C3"/>
    <w:rsid w:val="003703D0"/>
    <w:rsid w:val="00370A6C"/>
    <w:rsid w:val="00370E32"/>
    <w:rsid w:val="003714BE"/>
    <w:rsid w:val="00372132"/>
    <w:rsid w:val="0037298F"/>
    <w:rsid w:val="00373F56"/>
    <w:rsid w:val="003740A3"/>
    <w:rsid w:val="00374362"/>
    <w:rsid w:val="00374A4F"/>
    <w:rsid w:val="00374A88"/>
    <w:rsid w:val="00374B58"/>
    <w:rsid w:val="00375941"/>
    <w:rsid w:val="00376349"/>
    <w:rsid w:val="00376F61"/>
    <w:rsid w:val="00377131"/>
    <w:rsid w:val="003777D9"/>
    <w:rsid w:val="00377A5D"/>
    <w:rsid w:val="00377E06"/>
    <w:rsid w:val="0038209B"/>
    <w:rsid w:val="00382131"/>
    <w:rsid w:val="00382CBE"/>
    <w:rsid w:val="00383A02"/>
    <w:rsid w:val="00384FA5"/>
    <w:rsid w:val="0038532C"/>
    <w:rsid w:val="00386379"/>
    <w:rsid w:val="00386D0E"/>
    <w:rsid w:val="00387231"/>
    <w:rsid w:val="0038746F"/>
    <w:rsid w:val="003901ED"/>
    <w:rsid w:val="003902B6"/>
    <w:rsid w:val="00390ED7"/>
    <w:rsid w:val="00391682"/>
    <w:rsid w:val="00391DAA"/>
    <w:rsid w:val="003930BA"/>
    <w:rsid w:val="00393B6E"/>
    <w:rsid w:val="00394BD9"/>
    <w:rsid w:val="00395B83"/>
    <w:rsid w:val="003978C5"/>
    <w:rsid w:val="003A0633"/>
    <w:rsid w:val="003A06B1"/>
    <w:rsid w:val="003A06F8"/>
    <w:rsid w:val="003A0841"/>
    <w:rsid w:val="003A0E39"/>
    <w:rsid w:val="003A1882"/>
    <w:rsid w:val="003A1938"/>
    <w:rsid w:val="003A1AF0"/>
    <w:rsid w:val="003A1EA9"/>
    <w:rsid w:val="003A1F43"/>
    <w:rsid w:val="003A23F0"/>
    <w:rsid w:val="003A2F3F"/>
    <w:rsid w:val="003A34E8"/>
    <w:rsid w:val="003A527E"/>
    <w:rsid w:val="003A53DB"/>
    <w:rsid w:val="003A57F8"/>
    <w:rsid w:val="003A68C1"/>
    <w:rsid w:val="003A6A5B"/>
    <w:rsid w:val="003A6F3A"/>
    <w:rsid w:val="003A70E6"/>
    <w:rsid w:val="003A7138"/>
    <w:rsid w:val="003A79EC"/>
    <w:rsid w:val="003A7A5B"/>
    <w:rsid w:val="003B0358"/>
    <w:rsid w:val="003B0942"/>
    <w:rsid w:val="003B144A"/>
    <w:rsid w:val="003B1864"/>
    <w:rsid w:val="003B18C8"/>
    <w:rsid w:val="003B1CE7"/>
    <w:rsid w:val="003B2311"/>
    <w:rsid w:val="003B2774"/>
    <w:rsid w:val="003B352F"/>
    <w:rsid w:val="003B490E"/>
    <w:rsid w:val="003B4933"/>
    <w:rsid w:val="003B594C"/>
    <w:rsid w:val="003B75E5"/>
    <w:rsid w:val="003C0C46"/>
    <w:rsid w:val="003C1524"/>
    <w:rsid w:val="003C1FD6"/>
    <w:rsid w:val="003C26E9"/>
    <w:rsid w:val="003C2C79"/>
    <w:rsid w:val="003C305B"/>
    <w:rsid w:val="003C420D"/>
    <w:rsid w:val="003C4A7A"/>
    <w:rsid w:val="003C55F4"/>
    <w:rsid w:val="003C5B35"/>
    <w:rsid w:val="003C6D41"/>
    <w:rsid w:val="003C7B67"/>
    <w:rsid w:val="003D0121"/>
    <w:rsid w:val="003D0633"/>
    <w:rsid w:val="003D0CF0"/>
    <w:rsid w:val="003D0E32"/>
    <w:rsid w:val="003D0FFF"/>
    <w:rsid w:val="003D11C8"/>
    <w:rsid w:val="003D1519"/>
    <w:rsid w:val="003D1ED2"/>
    <w:rsid w:val="003D235E"/>
    <w:rsid w:val="003D25D6"/>
    <w:rsid w:val="003D331B"/>
    <w:rsid w:val="003D4513"/>
    <w:rsid w:val="003D4895"/>
    <w:rsid w:val="003D5444"/>
    <w:rsid w:val="003D5B02"/>
    <w:rsid w:val="003D67EB"/>
    <w:rsid w:val="003D6BD4"/>
    <w:rsid w:val="003D6E82"/>
    <w:rsid w:val="003D7200"/>
    <w:rsid w:val="003D7454"/>
    <w:rsid w:val="003D779A"/>
    <w:rsid w:val="003D79B4"/>
    <w:rsid w:val="003E13BB"/>
    <w:rsid w:val="003E1405"/>
    <w:rsid w:val="003E1512"/>
    <w:rsid w:val="003E1603"/>
    <w:rsid w:val="003E22AB"/>
    <w:rsid w:val="003E3440"/>
    <w:rsid w:val="003E3784"/>
    <w:rsid w:val="003E3AA9"/>
    <w:rsid w:val="003E51D3"/>
    <w:rsid w:val="003E5C24"/>
    <w:rsid w:val="003E5DFC"/>
    <w:rsid w:val="003E5FCA"/>
    <w:rsid w:val="003E68C7"/>
    <w:rsid w:val="003E6CF0"/>
    <w:rsid w:val="003E7A13"/>
    <w:rsid w:val="003E7A58"/>
    <w:rsid w:val="003F01DA"/>
    <w:rsid w:val="003F0354"/>
    <w:rsid w:val="003F042E"/>
    <w:rsid w:val="003F0B5B"/>
    <w:rsid w:val="003F1195"/>
    <w:rsid w:val="003F14AD"/>
    <w:rsid w:val="003F17B6"/>
    <w:rsid w:val="003F23A0"/>
    <w:rsid w:val="003F2B29"/>
    <w:rsid w:val="003F3E9E"/>
    <w:rsid w:val="003F46A5"/>
    <w:rsid w:val="003F4C6D"/>
    <w:rsid w:val="003F4D7C"/>
    <w:rsid w:val="003F5E93"/>
    <w:rsid w:val="003F6040"/>
    <w:rsid w:val="003F61BF"/>
    <w:rsid w:val="003F65CC"/>
    <w:rsid w:val="003F790D"/>
    <w:rsid w:val="004002C8"/>
    <w:rsid w:val="004005FA"/>
    <w:rsid w:val="00401B99"/>
    <w:rsid w:val="00403121"/>
    <w:rsid w:val="00403302"/>
    <w:rsid w:val="004042CB"/>
    <w:rsid w:val="004057A5"/>
    <w:rsid w:val="00407ABC"/>
    <w:rsid w:val="004107A6"/>
    <w:rsid w:val="004111A1"/>
    <w:rsid w:val="00411697"/>
    <w:rsid w:val="00412F31"/>
    <w:rsid w:val="004130B2"/>
    <w:rsid w:val="00413313"/>
    <w:rsid w:val="00413E8C"/>
    <w:rsid w:val="00414615"/>
    <w:rsid w:val="004149C8"/>
    <w:rsid w:val="00415AF1"/>
    <w:rsid w:val="00416B2B"/>
    <w:rsid w:val="00417117"/>
    <w:rsid w:val="00417126"/>
    <w:rsid w:val="0041786D"/>
    <w:rsid w:val="004179D3"/>
    <w:rsid w:val="00423A44"/>
    <w:rsid w:val="00424CDF"/>
    <w:rsid w:val="004252AF"/>
    <w:rsid w:val="004252B9"/>
    <w:rsid w:val="0042549E"/>
    <w:rsid w:val="00425626"/>
    <w:rsid w:val="004257BC"/>
    <w:rsid w:val="00425993"/>
    <w:rsid w:val="004262FF"/>
    <w:rsid w:val="00426A5E"/>
    <w:rsid w:val="004271F6"/>
    <w:rsid w:val="004272DE"/>
    <w:rsid w:val="004276C7"/>
    <w:rsid w:val="00427DD3"/>
    <w:rsid w:val="00430941"/>
    <w:rsid w:val="00430DD0"/>
    <w:rsid w:val="00431B40"/>
    <w:rsid w:val="00431EA9"/>
    <w:rsid w:val="00432441"/>
    <w:rsid w:val="00432932"/>
    <w:rsid w:val="00433099"/>
    <w:rsid w:val="004333CA"/>
    <w:rsid w:val="00433D39"/>
    <w:rsid w:val="004340E2"/>
    <w:rsid w:val="00434102"/>
    <w:rsid w:val="004343E6"/>
    <w:rsid w:val="004350F4"/>
    <w:rsid w:val="00436338"/>
    <w:rsid w:val="0043728E"/>
    <w:rsid w:val="0043757E"/>
    <w:rsid w:val="00437F38"/>
    <w:rsid w:val="00440A07"/>
    <w:rsid w:val="00440D6B"/>
    <w:rsid w:val="00441310"/>
    <w:rsid w:val="00441F86"/>
    <w:rsid w:val="004424BE"/>
    <w:rsid w:val="00442509"/>
    <w:rsid w:val="00443B32"/>
    <w:rsid w:val="00444688"/>
    <w:rsid w:val="00444723"/>
    <w:rsid w:val="00444970"/>
    <w:rsid w:val="00444E0E"/>
    <w:rsid w:val="004453EA"/>
    <w:rsid w:val="0044587E"/>
    <w:rsid w:val="0044653C"/>
    <w:rsid w:val="004478D8"/>
    <w:rsid w:val="00447E5B"/>
    <w:rsid w:val="0045056F"/>
    <w:rsid w:val="004507A7"/>
    <w:rsid w:val="00450F75"/>
    <w:rsid w:val="00451223"/>
    <w:rsid w:val="00452062"/>
    <w:rsid w:val="0045212A"/>
    <w:rsid w:val="00453061"/>
    <w:rsid w:val="004535E0"/>
    <w:rsid w:val="00453E41"/>
    <w:rsid w:val="00453EDA"/>
    <w:rsid w:val="00454109"/>
    <w:rsid w:val="0045440B"/>
    <w:rsid w:val="00454CB6"/>
    <w:rsid w:val="00455F76"/>
    <w:rsid w:val="004562B4"/>
    <w:rsid w:val="004568B0"/>
    <w:rsid w:val="00460205"/>
    <w:rsid w:val="004612C0"/>
    <w:rsid w:val="00461A29"/>
    <w:rsid w:val="00462196"/>
    <w:rsid w:val="00462D15"/>
    <w:rsid w:val="00463589"/>
    <w:rsid w:val="004638F1"/>
    <w:rsid w:val="0046417D"/>
    <w:rsid w:val="004641BA"/>
    <w:rsid w:val="00465F0D"/>
    <w:rsid w:val="00466180"/>
    <w:rsid w:val="00466464"/>
    <w:rsid w:val="00466688"/>
    <w:rsid w:val="00466F03"/>
    <w:rsid w:val="00467582"/>
    <w:rsid w:val="00467D62"/>
    <w:rsid w:val="00467F90"/>
    <w:rsid w:val="00470057"/>
    <w:rsid w:val="00470115"/>
    <w:rsid w:val="00470659"/>
    <w:rsid w:val="0047079D"/>
    <w:rsid w:val="00471FD6"/>
    <w:rsid w:val="00473185"/>
    <w:rsid w:val="0047494B"/>
    <w:rsid w:val="00475A35"/>
    <w:rsid w:val="00475B5C"/>
    <w:rsid w:val="004761A1"/>
    <w:rsid w:val="0047630E"/>
    <w:rsid w:val="00477027"/>
    <w:rsid w:val="004806F3"/>
    <w:rsid w:val="0048090E"/>
    <w:rsid w:val="00481A51"/>
    <w:rsid w:val="00481C8B"/>
    <w:rsid w:val="00482613"/>
    <w:rsid w:val="004826CF"/>
    <w:rsid w:val="0048300A"/>
    <w:rsid w:val="0048306B"/>
    <w:rsid w:val="0048325B"/>
    <w:rsid w:val="00483355"/>
    <w:rsid w:val="0048360F"/>
    <w:rsid w:val="00483D71"/>
    <w:rsid w:val="00484EC2"/>
    <w:rsid w:val="00485DB6"/>
    <w:rsid w:val="00486459"/>
    <w:rsid w:val="004869D4"/>
    <w:rsid w:val="004869FB"/>
    <w:rsid w:val="004870B9"/>
    <w:rsid w:val="004879BB"/>
    <w:rsid w:val="00487DD6"/>
    <w:rsid w:val="00490D4E"/>
    <w:rsid w:val="00492016"/>
    <w:rsid w:val="00492036"/>
    <w:rsid w:val="00493126"/>
    <w:rsid w:val="0049352A"/>
    <w:rsid w:val="00493B2C"/>
    <w:rsid w:val="0049420F"/>
    <w:rsid w:val="004946F3"/>
    <w:rsid w:val="00494C8C"/>
    <w:rsid w:val="00495E5A"/>
    <w:rsid w:val="00496657"/>
    <w:rsid w:val="004966C3"/>
    <w:rsid w:val="0049757F"/>
    <w:rsid w:val="0049772E"/>
    <w:rsid w:val="004A001F"/>
    <w:rsid w:val="004A03B8"/>
    <w:rsid w:val="004A053B"/>
    <w:rsid w:val="004A074C"/>
    <w:rsid w:val="004A07AE"/>
    <w:rsid w:val="004A0887"/>
    <w:rsid w:val="004A12AF"/>
    <w:rsid w:val="004A1970"/>
    <w:rsid w:val="004A1EDA"/>
    <w:rsid w:val="004A2D0E"/>
    <w:rsid w:val="004A2E28"/>
    <w:rsid w:val="004A34DF"/>
    <w:rsid w:val="004A39A0"/>
    <w:rsid w:val="004A3FA5"/>
    <w:rsid w:val="004A4212"/>
    <w:rsid w:val="004A4517"/>
    <w:rsid w:val="004A521F"/>
    <w:rsid w:val="004A61EC"/>
    <w:rsid w:val="004A672D"/>
    <w:rsid w:val="004A76A4"/>
    <w:rsid w:val="004A7B54"/>
    <w:rsid w:val="004A7C5D"/>
    <w:rsid w:val="004B028A"/>
    <w:rsid w:val="004B052F"/>
    <w:rsid w:val="004B0B6F"/>
    <w:rsid w:val="004B1D98"/>
    <w:rsid w:val="004B2B0A"/>
    <w:rsid w:val="004B2E03"/>
    <w:rsid w:val="004B2E04"/>
    <w:rsid w:val="004B4B06"/>
    <w:rsid w:val="004B5E93"/>
    <w:rsid w:val="004B7EB2"/>
    <w:rsid w:val="004C02B8"/>
    <w:rsid w:val="004C0787"/>
    <w:rsid w:val="004C0DB7"/>
    <w:rsid w:val="004C19D2"/>
    <w:rsid w:val="004C2684"/>
    <w:rsid w:val="004C2693"/>
    <w:rsid w:val="004C2D75"/>
    <w:rsid w:val="004C3646"/>
    <w:rsid w:val="004C37C0"/>
    <w:rsid w:val="004C3EAB"/>
    <w:rsid w:val="004C3FDE"/>
    <w:rsid w:val="004C3FED"/>
    <w:rsid w:val="004C4024"/>
    <w:rsid w:val="004C50CF"/>
    <w:rsid w:val="004C67E7"/>
    <w:rsid w:val="004C6B1C"/>
    <w:rsid w:val="004C6C17"/>
    <w:rsid w:val="004D03AA"/>
    <w:rsid w:val="004D0C65"/>
    <w:rsid w:val="004D1C4F"/>
    <w:rsid w:val="004D2217"/>
    <w:rsid w:val="004D2351"/>
    <w:rsid w:val="004D23CA"/>
    <w:rsid w:val="004D26FC"/>
    <w:rsid w:val="004D2822"/>
    <w:rsid w:val="004D2A84"/>
    <w:rsid w:val="004D2BE7"/>
    <w:rsid w:val="004D36DE"/>
    <w:rsid w:val="004D3D9A"/>
    <w:rsid w:val="004D4216"/>
    <w:rsid w:val="004D592E"/>
    <w:rsid w:val="004D596C"/>
    <w:rsid w:val="004D68EF"/>
    <w:rsid w:val="004D6B96"/>
    <w:rsid w:val="004D7134"/>
    <w:rsid w:val="004D720C"/>
    <w:rsid w:val="004D78D0"/>
    <w:rsid w:val="004E0314"/>
    <w:rsid w:val="004E0549"/>
    <w:rsid w:val="004E069D"/>
    <w:rsid w:val="004E0C80"/>
    <w:rsid w:val="004E1533"/>
    <w:rsid w:val="004E3377"/>
    <w:rsid w:val="004E3CE7"/>
    <w:rsid w:val="004E441A"/>
    <w:rsid w:val="004E500A"/>
    <w:rsid w:val="004E58CA"/>
    <w:rsid w:val="004E6496"/>
    <w:rsid w:val="004E6729"/>
    <w:rsid w:val="004E6AA1"/>
    <w:rsid w:val="004E73EA"/>
    <w:rsid w:val="004E7A54"/>
    <w:rsid w:val="004F0753"/>
    <w:rsid w:val="004F0BB4"/>
    <w:rsid w:val="004F1179"/>
    <w:rsid w:val="004F190F"/>
    <w:rsid w:val="004F1952"/>
    <w:rsid w:val="004F26ED"/>
    <w:rsid w:val="004F364A"/>
    <w:rsid w:val="004F3C28"/>
    <w:rsid w:val="004F4AB6"/>
    <w:rsid w:val="004F53F1"/>
    <w:rsid w:val="004F5E40"/>
    <w:rsid w:val="004F5E55"/>
    <w:rsid w:val="004F7857"/>
    <w:rsid w:val="004F7F01"/>
    <w:rsid w:val="00500A7E"/>
    <w:rsid w:val="00501310"/>
    <w:rsid w:val="005017AA"/>
    <w:rsid w:val="005019DA"/>
    <w:rsid w:val="005025C3"/>
    <w:rsid w:val="00504A60"/>
    <w:rsid w:val="005053C1"/>
    <w:rsid w:val="00505F3E"/>
    <w:rsid w:val="005061AF"/>
    <w:rsid w:val="0050638A"/>
    <w:rsid w:val="005066C2"/>
    <w:rsid w:val="00506C3C"/>
    <w:rsid w:val="0050745F"/>
    <w:rsid w:val="005102B3"/>
    <w:rsid w:val="00510D49"/>
    <w:rsid w:val="005116FC"/>
    <w:rsid w:val="00512443"/>
    <w:rsid w:val="00512512"/>
    <w:rsid w:val="00512ADF"/>
    <w:rsid w:val="005133C6"/>
    <w:rsid w:val="00513AAD"/>
    <w:rsid w:val="00513DAD"/>
    <w:rsid w:val="0051488E"/>
    <w:rsid w:val="00515915"/>
    <w:rsid w:val="00515DA5"/>
    <w:rsid w:val="00515F18"/>
    <w:rsid w:val="005171FE"/>
    <w:rsid w:val="00517C52"/>
    <w:rsid w:val="005211AC"/>
    <w:rsid w:val="005216C9"/>
    <w:rsid w:val="0052186C"/>
    <w:rsid w:val="005220A1"/>
    <w:rsid w:val="00522C30"/>
    <w:rsid w:val="00522FEE"/>
    <w:rsid w:val="00524314"/>
    <w:rsid w:val="00524B90"/>
    <w:rsid w:val="00525367"/>
    <w:rsid w:val="00526431"/>
    <w:rsid w:val="00527051"/>
    <w:rsid w:val="005272D8"/>
    <w:rsid w:val="00527663"/>
    <w:rsid w:val="0053038A"/>
    <w:rsid w:val="00530453"/>
    <w:rsid w:val="0053235E"/>
    <w:rsid w:val="00532862"/>
    <w:rsid w:val="00532C23"/>
    <w:rsid w:val="005333BD"/>
    <w:rsid w:val="0053395F"/>
    <w:rsid w:val="00533D3C"/>
    <w:rsid w:val="00533DA5"/>
    <w:rsid w:val="00534C4F"/>
    <w:rsid w:val="00535F2F"/>
    <w:rsid w:val="00536FCE"/>
    <w:rsid w:val="00537489"/>
    <w:rsid w:val="00540C22"/>
    <w:rsid w:val="00540D07"/>
    <w:rsid w:val="00540DD9"/>
    <w:rsid w:val="005410AF"/>
    <w:rsid w:val="00541A54"/>
    <w:rsid w:val="0054266F"/>
    <w:rsid w:val="00543810"/>
    <w:rsid w:val="00543D90"/>
    <w:rsid w:val="00545261"/>
    <w:rsid w:val="00545587"/>
    <w:rsid w:val="005456C1"/>
    <w:rsid w:val="005470D3"/>
    <w:rsid w:val="00550428"/>
    <w:rsid w:val="00550713"/>
    <w:rsid w:val="00553A68"/>
    <w:rsid w:val="00553D4C"/>
    <w:rsid w:val="00553F27"/>
    <w:rsid w:val="005553C1"/>
    <w:rsid w:val="00555FDC"/>
    <w:rsid w:val="00556213"/>
    <w:rsid w:val="00556701"/>
    <w:rsid w:val="00557529"/>
    <w:rsid w:val="00557BE9"/>
    <w:rsid w:val="0056067D"/>
    <w:rsid w:val="00560C1D"/>
    <w:rsid w:val="00560F1F"/>
    <w:rsid w:val="00561676"/>
    <w:rsid w:val="005617B7"/>
    <w:rsid w:val="00561C52"/>
    <w:rsid w:val="00562269"/>
    <w:rsid w:val="00562328"/>
    <w:rsid w:val="0056289C"/>
    <w:rsid w:val="00562961"/>
    <w:rsid w:val="00562F52"/>
    <w:rsid w:val="00563C72"/>
    <w:rsid w:val="005656E7"/>
    <w:rsid w:val="00566002"/>
    <w:rsid w:val="0056666D"/>
    <w:rsid w:val="00566ED9"/>
    <w:rsid w:val="005672AA"/>
    <w:rsid w:val="005701F7"/>
    <w:rsid w:val="005703E4"/>
    <w:rsid w:val="00570605"/>
    <w:rsid w:val="005715E6"/>
    <w:rsid w:val="00571E75"/>
    <w:rsid w:val="00571FE4"/>
    <w:rsid w:val="005721BF"/>
    <w:rsid w:val="005729A2"/>
    <w:rsid w:val="00572B82"/>
    <w:rsid w:val="005737F5"/>
    <w:rsid w:val="00575138"/>
    <w:rsid w:val="00576B62"/>
    <w:rsid w:val="00576C52"/>
    <w:rsid w:val="005770F8"/>
    <w:rsid w:val="00577199"/>
    <w:rsid w:val="00577CCA"/>
    <w:rsid w:val="00580293"/>
    <w:rsid w:val="005811B6"/>
    <w:rsid w:val="0058135D"/>
    <w:rsid w:val="0058143E"/>
    <w:rsid w:val="0058288D"/>
    <w:rsid w:val="00582B9F"/>
    <w:rsid w:val="00582F1D"/>
    <w:rsid w:val="005849CD"/>
    <w:rsid w:val="0058590D"/>
    <w:rsid w:val="005859AB"/>
    <w:rsid w:val="00586DF6"/>
    <w:rsid w:val="00586F54"/>
    <w:rsid w:val="0058745E"/>
    <w:rsid w:val="00587CCF"/>
    <w:rsid w:val="005903E4"/>
    <w:rsid w:val="005904FD"/>
    <w:rsid w:val="0059067E"/>
    <w:rsid w:val="0059098C"/>
    <w:rsid w:val="005923BF"/>
    <w:rsid w:val="005928EF"/>
    <w:rsid w:val="005932A2"/>
    <w:rsid w:val="00593762"/>
    <w:rsid w:val="00593D83"/>
    <w:rsid w:val="00594B21"/>
    <w:rsid w:val="00596537"/>
    <w:rsid w:val="00596D72"/>
    <w:rsid w:val="00596D93"/>
    <w:rsid w:val="005979C7"/>
    <w:rsid w:val="00597CD3"/>
    <w:rsid w:val="00597E6C"/>
    <w:rsid w:val="005A18AF"/>
    <w:rsid w:val="005A42D9"/>
    <w:rsid w:val="005A5825"/>
    <w:rsid w:val="005A632F"/>
    <w:rsid w:val="005A6E2B"/>
    <w:rsid w:val="005A70B0"/>
    <w:rsid w:val="005A71F7"/>
    <w:rsid w:val="005A7C0A"/>
    <w:rsid w:val="005B04FB"/>
    <w:rsid w:val="005B076C"/>
    <w:rsid w:val="005B0AE9"/>
    <w:rsid w:val="005B0D0B"/>
    <w:rsid w:val="005B1329"/>
    <w:rsid w:val="005B1DA6"/>
    <w:rsid w:val="005B255F"/>
    <w:rsid w:val="005B3483"/>
    <w:rsid w:val="005B769E"/>
    <w:rsid w:val="005B7EC4"/>
    <w:rsid w:val="005B7FDC"/>
    <w:rsid w:val="005C0073"/>
    <w:rsid w:val="005C01F1"/>
    <w:rsid w:val="005C07F8"/>
    <w:rsid w:val="005C14D6"/>
    <w:rsid w:val="005C18C5"/>
    <w:rsid w:val="005C256E"/>
    <w:rsid w:val="005C277A"/>
    <w:rsid w:val="005C3117"/>
    <w:rsid w:val="005C366C"/>
    <w:rsid w:val="005C3A62"/>
    <w:rsid w:val="005C4686"/>
    <w:rsid w:val="005C4808"/>
    <w:rsid w:val="005C4F15"/>
    <w:rsid w:val="005C5F8F"/>
    <w:rsid w:val="005C6173"/>
    <w:rsid w:val="005C61BF"/>
    <w:rsid w:val="005C65E6"/>
    <w:rsid w:val="005C7210"/>
    <w:rsid w:val="005C7CCD"/>
    <w:rsid w:val="005D098C"/>
    <w:rsid w:val="005D0C5E"/>
    <w:rsid w:val="005D12F9"/>
    <w:rsid w:val="005D1314"/>
    <w:rsid w:val="005D13A1"/>
    <w:rsid w:val="005D1A77"/>
    <w:rsid w:val="005D1C80"/>
    <w:rsid w:val="005D24F8"/>
    <w:rsid w:val="005D2C24"/>
    <w:rsid w:val="005D416C"/>
    <w:rsid w:val="005D50A8"/>
    <w:rsid w:val="005D5A8C"/>
    <w:rsid w:val="005D6B8F"/>
    <w:rsid w:val="005D7BDB"/>
    <w:rsid w:val="005E0E2D"/>
    <w:rsid w:val="005E136F"/>
    <w:rsid w:val="005E264A"/>
    <w:rsid w:val="005E267D"/>
    <w:rsid w:val="005E28F4"/>
    <w:rsid w:val="005E3F07"/>
    <w:rsid w:val="005E42BF"/>
    <w:rsid w:val="005E4453"/>
    <w:rsid w:val="005E4E31"/>
    <w:rsid w:val="005E4F02"/>
    <w:rsid w:val="005E53E5"/>
    <w:rsid w:val="005E575D"/>
    <w:rsid w:val="005E57F6"/>
    <w:rsid w:val="005E5DF8"/>
    <w:rsid w:val="005F0425"/>
    <w:rsid w:val="005F11F1"/>
    <w:rsid w:val="005F1583"/>
    <w:rsid w:val="005F2944"/>
    <w:rsid w:val="005F2D7E"/>
    <w:rsid w:val="005F2EBF"/>
    <w:rsid w:val="005F327F"/>
    <w:rsid w:val="005F348A"/>
    <w:rsid w:val="005F3863"/>
    <w:rsid w:val="005F4675"/>
    <w:rsid w:val="005F4B7B"/>
    <w:rsid w:val="005F4DFD"/>
    <w:rsid w:val="005F5B5B"/>
    <w:rsid w:val="005F6215"/>
    <w:rsid w:val="005F6398"/>
    <w:rsid w:val="005F652C"/>
    <w:rsid w:val="005F7508"/>
    <w:rsid w:val="005F7CE6"/>
    <w:rsid w:val="0060050D"/>
    <w:rsid w:val="00600800"/>
    <w:rsid w:val="006018E3"/>
    <w:rsid w:val="00602B9F"/>
    <w:rsid w:val="00603260"/>
    <w:rsid w:val="0060381D"/>
    <w:rsid w:val="006042C6"/>
    <w:rsid w:val="00604D55"/>
    <w:rsid w:val="006050C4"/>
    <w:rsid w:val="006057B5"/>
    <w:rsid w:val="00606BF5"/>
    <w:rsid w:val="006078E1"/>
    <w:rsid w:val="00607B1B"/>
    <w:rsid w:val="00607F4E"/>
    <w:rsid w:val="00610000"/>
    <w:rsid w:val="00610005"/>
    <w:rsid w:val="006120F1"/>
    <w:rsid w:val="0061214C"/>
    <w:rsid w:val="006122BE"/>
    <w:rsid w:val="00612596"/>
    <w:rsid w:val="006126BA"/>
    <w:rsid w:val="00612772"/>
    <w:rsid w:val="00613224"/>
    <w:rsid w:val="00613488"/>
    <w:rsid w:val="006137B6"/>
    <w:rsid w:val="00613E0B"/>
    <w:rsid w:val="006140D1"/>
    <w:rsid w:val="00614E1A"/>
    <w:rsid w:val="00615908"/>
    <w:rsid w:val="00615D51"/>
    <w:rsid w:val="00615E26"/>
    <w:rsid w:val="0061619A"/>
    <w:rsid w:val="00616286"/>
    <w:rsid w:val="00616C21"/>
    <w:rsid w:val="00616EB7"/>
    <w:rsid w:val="00617088"/>
    <w:rsid w:val="006177BD"/>
    <w:rsid w:val="00617FEE"/>
    <w:rsid w:val="00620CBD"/>
    <w:rsid w:val="00620F35"/>
    <w:rsid w:val="00620FEC"/>
    <w:rsid w:val="00622120"/>
    <w:rsid w:val="006223A1"/>
    <w:rsid w:val="006223EE"/>
    <w:rsid w:val="006225AB"/>
    <w:rsid w:val="006232B3"/>
    <w:rsid w:val="00623D22"/>
    <w:rsid w:val="0062483C"/>
    <w:rsid w:val="00624B0E"/>
    <w:rsid w:val="00625B69"/>
    <w:rsid w:val="00627976"/>
    <w:rsid w:val="0063068E"/>
    <w:rsid w:val="00630734"/>
    <w:rsid w:val="00631B75"/>
    <w:rsid w:val="00631CFE"/>
    <w:rsid w:val="00631DEA"/>
    <w:rsid w:val="00633BF5"/>
    <w:rsid w:val="00633D0F"/>
    <w:rsid w:val="006341D0"/>
    <w:rsid w:val="0063476C"/>
    <w:rsid w:val="00634CFF"/>
    <w:rsid w:val="00634D80"/>
    <w:rsid w:val="00635204"/>
    <w:rsid w:val="00635716"/>
    <w:rsid w:val="00635D04"/>
    <w:rsid w:val="00636151"/>
    <w:rsid w:val="0063639E"/>
    <w:rsid w:val="00636D84"/>
    <w:rsid w:val="00636E4E"/>
    <w:rsid w:val="0063726A"/>
    <w:rsid w:val="00640EE4"/>
    <w:rsid w:val="006411F6"/>
    <w:rsid w:val="0064140A"/>
    <w:rsid w:val="00641B23"/>
    <w:rsid w:val="00641CAB"/>
    <w:rsid w:val="00642691"/>
    <w:rsid w:val="00642BD1"/>
    <w:rsid w:val="0064322C"/>
    <w:rsid w:val="006432F8"/>
    <w:rsid w:val="006435F0"/>
    <w:rsid w:val="00643B3D"/>
    <w:rsid w:val="00643C63"/>
    <w:rsid w:val="00644154"/>
    <w:rsid w:val="00646C48"/>
    <w:rsid w:val="00646DE8"/>
    <w:rsid w:val="00647CB5"/>
    <w:rsid w:val="006502AE"/>
    <w:rsid w:val="006509CC"/>
    <w:rsid w:val="00650E55"/>
    <w:rsid w:val="006521F2"/>
    <w:rsid w:val="006524C6"/>
    <w:rsid w:val="00652ED0"/>
    <w:rsid w:val="00653E18"/>
    <w:rsid w:val="006548B0"/>
    <w:rsid w:val="0065560A"/>
    <w:rsid w:val="00655918"/>
    <w:rsid w:val="00655DDD"/>
    <w:rsid w:val="0065617A"/>
    <w:rsid w:val="006564A2"/>
    <w:rsid w:val="0065695E"/>
    <w:rsid w:val="00657525"/>
    <w:rsid w:val="00661326"/>
    <w:rsid w:val="00661B27"/>
    <w:rsid w:val="006629C0"/>
    <w:rsid w:val="006631ED"/>
    <w:rsid w:val="0066336D"/>
    <w:rsid w:val="006633DD"/>
    <w:rsid w:val="006644BF"/>
    <w:rsid w:val="0066617C"/>
    <w:rsid w:val="0066620F"/>
    <w:rsid w:val="00666428"/>
    <w:rsid w:val="006669A4"/>
    <w:rsid w:val="00667430"/>
    <w:rsid w:val="0066769F"/>
    <w:rsid w:val="00667883"/>
    <w:rsid w:val="00670A75"/>
    <w:rsid w:val="006714C9"/>
    <w:rsid w:val="00672A67"/>
    <w:rsid w:val="00672E13"/>
    <w:rsid w:val="00673173"/>
    <w:rsid w:val="0067362D"/>
    <w:rsid w:val="00673849"/>
    <w:rsid w:val="00673B51"/>
    <w:rsid w:val="0067469E"/>
    <w:rsid w:val="006747CB"/>
    <w:rsid w:val="00675037"/>
    <w:rsid w:val="006753B5"/>
    <w:rsid w:val="00675E99"/>
    <w:rsid w:val="00676089"/>
    <w:rsid w:val="006772C5"/>
    <w:rsid w:val="0067762F"/>
    <w:rsid w:val="00677BE8"/>
    <w:rsid w:val="00677CD0"/>
    <w:rsid w:val="00680822"/>
    <w:rsid w:val="00682EDC"/>
    <w:rsid w:val="00683F05"/>
    <w:rsid w:val="00684EF2"/>
    <w:rsid w:val="00684FF7"/>
    <w:rsid w:val="00685D0E"/>
    <w:rsid w:val="006875E2"/>
    <w:rsid w:val="00687E18"/>
    <w:rsid w:val="006901C7"/>
    <w:rsid w:val="006901CF"/>
    <w:rsid w:val="00690BEF"/>
    <w:rsid w:val="0069169C"/>
    <w:rsid w:val="00693E8C"/>
    <w:rsid w:val="00694BED"/>
    <w:rsid w:val="00694EF2"/>
    <w:rsid w:val="00694F29"/>
    <w:rsid w:val="006957B5"/>
    <w:rsid w:val="00696957"/>
    <w:rsid w:val="006A0860"/>
    <w:rsid w:val="006A0D6B"/>
    <w:rsid w:val="006A1965"/>
    <w:rsid w:val="006A2512"/>
    <w:rsid w:val="006A3695"/>
    <w:rsid w:val="006A37BA"/>
    <w:rsid w:val="006A3FB8"/>
    <w:rsid w:val="006A434E"/>
    <w:rsid w:val="006A5084"/>
    <w:rsid w:val="006A72E0"/>
    <w:rsid w:val="006A75B4"/>
    <w:rsid w:val="006A75D9"/>
    <w:rsid w:val="006B04AB"/>
    <w:rsid w:val="006B0E90"/>
    <w:rsid w:val="006B1F54"/>
    <w:rsid w:val="006B28BE"/>
    <w:rsid w:val="006B302E"/>
    <w:rsid w:val="006B3779"/>
    <w:rsid w:val="006B6688"/>
    <w:rsid w:val="006B6BFA"/>
    <w:rsid w:val="006B7474"/>
    <w:rsid w:val="006B79D1"/>
    <w:rsid w:val="006B7C7B"/>
    <w:rsid w:val="006C174F"/>
    <w:rsid w:val="006C1C11"/>
    <w:rsid w:val="006C2582"/>
    <w:rsid w:val="006C34EE"/>
    <w:rsid w:val="006C3D3E"/>
    <w:rsid w:val="006C4442"/>
    <w:rsid w:val="006C447F"/>
    <w:rsid w:val="006C4CF3"/>
    <w:rsid w:val="006C55C0"/>
    <w:rsid w:val="006C5A3C"/>
    <w:rsid w:val="006C68A3"/>
    <w:rsid w:val="006C6D06"/>
    <w:rsid w:val="006C6F21"/>
    <w:rsid w:val="006C78B2"/>
    <w:rsid w:val="006D008F"/>
    <w:rsid w:val="006D0703"/>
    <w:rsid w:val="006D0B9D"/>
    <w:rsid w:val="006D1556"/>
    <w:rsid w:val="006D1D7F"/>
    <w:rsid w:val="006D2405"/>
    <w:rsid w:val="006D280C"/>
    <w:rsid w:val="006D28E1"/>
    <w:rsid w:val="006D2987"/>
    <w:rsid w:val="006D31AA"/>
    <w:rsid w:val="006D378E"/>
    <w:rsid w:val="006D4233"/>
    <w:rsid w:val="006D4C1F"/>
    <w:rsid w:val="006D5357"/>
    <w:rsid w:val="006D598C"/>
    <w:rsid w:val="006D5C09"/>
    <w:rsid w:val="006D5E6B"/>
    <w:rsid w:val="006D6BC3"/>
    <w:rsid w:val="006E0D48"/>
    <w:rsid w:val="006E0F77"/>
    <w:rsid w:val="006E1117"/>
    <w:rsid w:val="006E11D1"/>
    <w:rsid w:val="006E2022"/>
    <w:rsid w:val="006E2507"/>
    <w:rsid w:val="006E259D"/>
    <w:rsid w:val="006E2FA3"/>
    <w:rsid w:val="006E3B33"/>
    <w:rsid w:val="006E3B69"/>
    <w:rsid w:val="006E3BAD"/>
    <w:rsid w:val="006E4066"/>
    <w:rsid w:val="006E44F4"/>
    <w:rsid w:val="006E4990"/>
    <w:rsid w:val="006E4E0C"/>
    <w:rsid w:val="006E56F7"/>
    <w:rsid w:val="006E5B72"/>
    <w:rsid w:val="006E72E3"/>
    <w:rsid w:val="006E7C22"/>
    <w:rsid w:val="006E7DB2"/>
    <w:rsid w:val="006F005F"/>
    <w:rsid w:val="006F0BA9"/>
    <w:rsid w:val="006F4F63"/>
    <w:rsid w:val="006F5184"/>
    <w:rsid w:val="006F69E2"/>
    <w:rsid w:val="006F6DE4"/>
    <w:rsid w:val="006F70D0"/>
    <w:rsid w:val="006F7122"/>
    <w:rsid w:val="006F769D"/>
    <w:rsid w:val="0070171A"/>
    <w:rsid w:val="00702CCF"/>
    <w:rsid w:val="00703BA8"/>
    <w:rsid w:val="00703BE6"/>
    <w:rsid w:val="007040A3"/>
    <w:rsid w:val="00704313"/>
    <w:rsid w:val="007048A5"/>
    <w:rsid w:val="00704CB3"/>
    <w:rsid w:val="007057B0"/>
    <w:rsid w:val="00705953"/>
    <w:rsid w:val="007076AA"/>
    <w:rsid w:val="007104A5"/>
    <w:rsid w:val="00710A16"/>
    <w:rsid w:val="00710AA9"/>
    <w:rsid w:val="0071103A"/>
    <w:rsid w:val="00711246"/>
    <w:rsid w:val="007112E8"/>
    <w:rsid w:val="00712552"/>
    <w:rsid w:val="00712CAB"/>
    <w:rsid w:val="00712E41"/>
    <w:rsid w:val="00714886"/>
    <w:rsid w:val="007153A9"/>
    <w:rsid w:val="00715486"/>
    <w:rsid w:val="007159CF"/>
    <w:rsid w:val="0071642C"/>
    <w:rsid w:val="007168C5"/>
    <w:rsid w:val="00716965"/>
    <w:rsid w:val="007171B8"/>
    <w:rsid w:val="007178A2"/>
    <w:rsid w:val="00717B45"/>
    <w:rsid w:val="00717C86"/>
    <w:rsid w:val="00721486"/>
    <w:rsid w:val="00721F1A"/>
    <w:rsid w:val="00722548"/>
    <w:rsid w:val="007226F2"/>
    <w:rsid w:val="00723E79"/>
    <w:rsid w:val="00723F70"/>
    <w:rsid w:val="007241A8"/>
    <w:rsid w:val="00724790"/>
    <w:rsid w:val="007249F5"/>
    <w:rsid w:val="00724A8E"/>
    <w:rsid w:val="00724D3D"/>
    <w:rsid w:val="00725337"/>
    <w:rsid w:val="00725BCD"/>
    <w:rsid w:val="00726E11"/>
    <w:rsid w:val="007302A8"/>
    <w:rsid w:val="00730620"/>
    <w:rsid w:val="0073068F"/>
    <w:rsid w:val="00730782"/>
    <w:rsid w:val="00730EC2"/>
    <w:rsid w:val="00731376"/>
    <w:rsid w:val="00731C11"/>
    <w:rsid w:val="00731EF1"/>
    <w:rsid w:val="007320A0"/>
    <w:rsid w:val="0073210D"/>
    <w:rsid w:val="00732BAE"/>
    <w:rsid w:val="00732CC8"/>
    <w:rsid w:val="0073462A"/>
    <w:rsid w:val="00735218"/>
    <w:rsid w:val="00735D8E"/>
    <w:rsid w:val="00735FE8"/>
    <w:rsid w:val="00740A08"/>
    <w:rsid w:val="00741CBD"/>
    <w:rsid w:val="00742AE9"/>
    <w:rsid w:val="00742D92"/>
    <w:rsid w:val="00742DC0"/>
    <w:rsid w:val="00743053"/>
    <w:rsid w:val="00743283"/>
    <w:rsid w:val="00743E09"/>
    <w:rsid w:val="007443D0"/>
    <w:rsid w:val="007443F8"/>
    <w:rsid w:val="00744591"/>
    <w:rsid w:val="007449BD"/>
    <w:rsid w:val="00744F10"/>
    <w:rsid w:val="00745A09"/>
    <w:rsid w:val="00745A7D"/>
    <w:rsid w:val="00745E79"/>
    <w:rsid w:val="00745F6D"/>
    <w:rsid w:val="0074699B"/>
    <w:rsid w:val="00747A0A"/>
    <w:rsid w:val="00747F86"/>
    <w:rsid w:val="00750389"/>
    <w:rsid w:val="0075079F"/>
    <w:rsid w:val="007508EA"/>
    <w:rsid w:val="00750A0C"/>
    <w:rsid w:val="0075106E"/>
    <w:rsid w:val="0075145C"/>
    <w:rsid w:val="00753515"/>
    <w:rsid w:val="0075375C"/>
    <w:rsid w:val="00753A40"/>
    <w:rsid w:val="007541FC"/>
    <w:rsid w:val="007557E2"/>
    <w:rsid w:val="00755836"/>
    <w:rsid w:val="00756B27"/>
    <w:rsid w:val="007573DA"/>
    <w:rsid w:val="007577E1"/>
    <w:rsid w:val="00757FEE"/>
    <w:rsid w:val="0076008D"/>
    <w:rsid w:val="007600B3"/>
    <w:rsid w:val="00760E04"/>
    <w:rsid w:val="00761324"/>
    <w:rsid w:val="00761A4A"/>
    <w:rsid w:val="00761AA9"/>
    <w:rsid w:val="00763273"/>
    <w:rsid w:val="00763E5D"/>
    <w:rsid w:val="007653AD"/>
    <w:rsid w:val="0076587D"/>
    <w:rsid w:val="00765891"/>
    <w:rsid w:val="00766262"/>
    <w:rsid w:val="00766652"/>
    <w:rsid w:val="007678A0"/>
    <w:rsid w:val="00767D69"/>
    <w:rsid w:val="00770CAC"/>
    <w:rsid w:val="00770CE2"/>
    <w:rsid w:val="00771D12"/>
    <w:rsid w:val="00772286"/>
    <w:rsid w:val="00773239"/>
    <w:rsid w:val="00773799"/>
    <w:rsid w:val="00773BF3"/>
    <w:rsid w:val="0077471B"/>
    <w:rsid w:val="007767D8"/>
    <w:rsid w:val="00776867"/>
    <w:rsid w:val="007771EC"/>
    <w:rsid w:val="00777257"/>
    <w:rsid w:val="00777283"/>
    <w:rsid w:val="00777EC1"/>
    <w:rsid w:val="00780A08"/>
    <w:rsid w:val="00780BC7"/>
    <w:rsid w:val="00780E57"/>
    <w:rsid w:val="007815A6"/>
    <w:rsid w:val="007816DC"/>
    <w:rsid w:val="00781BEF"/>
    <w:rsid w:val="00781EDC"/>
    <w:rsid w:val="007828DE"/>
    <w:rsid w:val="00784218"/>
    <w:rsid w:val="007845AA"/>
    <w:rsid w:val="00784B43"/>
    <w:rsid w:val="007860A0"/>
    <w:rsid w:val="00791161"/>
    <w:rsid w:val="007914C8"/>
    <w:rsid w:val="00792CF2"/>
    <w:rsid w:val="00792F58"/>
    <w:rsid w:val="00794D2D"/>
    <w:rsid w:val="00797097"/>
    <w:rsid w:val="007976DD"/>
    <w:rsid w:val="007A228B"/>
    <w:rsid w:val="007A3392"/>
    <w:rsid w:val="007A39B3"/>
    <w:rsid w:val="007A4655"/>
    <w:rsid w:val="007A4DC1"/>
    <w:rsid w:val="007A5931"/>
    <w:rsid w:val="007A6907"/>
    <w:rsid w:val="007A70B1"/>
    <w:rsid w:val="007A7580"/>
    <w:rsid w:val="007A7BD0"/>
    <w:rsid w:val="007B0637"/>
    <w:rsid w:val="007B114A"/>
    <w:rsid w:val="007B1303"/>
    <w:rsid w:val="007B1B3D"/>
    <w:rsid w:val="007B30F3"/>
    <w:rsid w:val="007B3B1A"/>
    <w:rsid w:val="007B4BD1"/>
    <w:rsid w:val="007B4CA9"/>
    <w:rsid w:val="007B4D49"/>
    <w:rsid w:val="007B5EAD"/>
    <w:rsid w:val="007B6713"/>
    <w:rsid w:val="007B6FDA"/>
    <w:rsid w:val="007C03FD"/>
    <w:rsid w:val="007C08F4"/>
    <w:rsid w:val="007C0F9E"/>
    <w:rsid w:val="007C120F"/>
    <w:rsid w:val="007C129B"/>
    <w:rsid w:val="007C12BD"/>
    <w:rsid w:val="007C1AF7"/>
    <w:rsid w:val="007C22D7"/>
    <w:rsid w:val="007C2AD8"/>
    <w:rsid w:val="007C2D1A"/>
    <w:rsid w:val="007C3C14"/>
    <w:rsid w:val="007C4117"/>
    <w:rsid w:val="007C4C73"/>
    <w:rsid w:val="007C7207"/>
    <w:rsid w:val="007C7C0E"/>
    <w:rsid w:val="007C7DD2"/>
    <w:rsid w:val="007D0091"/>
    <w:rsid w:val="007D066F"/>
    <w:rsid w:val="007D0959"/>
    <w:rsid w:val="007D1411"/>
    <w:rsid w:val="007D1B60"/>
    <w:rsid w:val="007D3F84"/>
    <w:rsid w:val="007D4490"/>
    <w:rsid w:val="007D4ED4"/>
    <w:rsid w:val="007D558D"/>
    <w:rsid w:val="007D5938"/>
    <w:rsid w:val="007D6903"/>
    <w:rsid w:val="007D69E0"/>
    <w:rsid w:val="007D7503"/>
    <w:rsid w:val="007E052B"/>
    <w:rsid w:val="007E1180"/>
    <w:rsid w:val="007E1795"/>
    <w:rsid w:val="007E1DB5"/>
    <w:rsid w:val="007E26DA"/>
    <w:rsid w:val="007E2E16"/>
    <w:rsid w:val="007E2E9E"/>
    <w:rsid w:val="007E393B"/>
    <w:rsid w:val="007E43BE"/>
    <w:rsid w:val="007E4952"/>
    <w:rsid w:val="007E4C01"/>
    <w:rsid w:val="007E5267"/>
    <w:rsid w:val="007E598B"/>
    <w:rsid w:val="007E6540"/>
    <w:rsid w:val="007E6991"/>
    <w:rsid w:val="007E69F8"/>
    <w:rsid w:val="007E7315"/>
    <w:rsid w:val="007F0626"/>
    <w:rsid w:val="007F08C5"/>
    <w:rsid w:val="007F127B"/>
    <w:rsid w:val="007F1444"/>
    <w:rsid w:val="007F1B05"/>
    <w:rsid w:val="007F2961"/>
    <w:rsid w:val="007F3903"/>
    <w:rsid w:val="007F3AD2"/>
    <w:rsid w:val="007F4126"/>
    <w:rsid w:val="007F43C4"/>
    <w:rsid w:val="007F5457"/>
    <w:rsid w:val="007F5621"/>
    <w:rsid w:val="007F5A6D"/>
    <w:rsid w:val="007F5B9A"/>
    <w:rsid w:val="007F616A"/>
    <w:rsid w:val="007F6E85"/>
    <w:rsid w:val="00800054"/>
    <w:rsid w:val="008005BF"/>
    <w:rsid w:val="0080185C"/>
    <w:rsid w:val="008021F1"/>
    <w:rsid w:val="008022B6"/>
    <w:rsid w:val="0080291C"/>
    <w:rsid w:val="00802B3E"/>
    <w:rsid w:val="008030A9"/>
    <w:rsid w:val="008033E9"/>
    <w:rsid w:val="0080437C"/>
    <w:rsid w:val="00804D78"/>
    <w:rsid w:val="00805043"/>
    <w:rsid w:val="00805425"/>
    <w:rsid w:val="008060B4"/>
    <w:rsid w:val="00810A28"/>
    <w:rsid w:val="00810A4B"/>
    <w:rsid w:val="00810D81"/>
    <w:rsid w:val="00810DA2"/>
    <w:rsid w:val="00812200"/>
    <w:rsid w:val="0081265B"/>
    <w:rsid w:val="00812718"/>
    <w:rsid w:val="00813BB9"/>
    <w:rsid w:val="00814192"/>
    <w:rsid w:val="00815864"/>
    <w:rsid w:val="00815C13"/>
    <w:rsid w:val="00816C0D"/>
    <w:rsid w:val="00816DA6"/>
    <w:rsid w:val="0081738C"/>
    <w:rsid w:val="00817668"/>
    <w:rsid w:val="00817AE1"/>
    <w:rsid w:val="008202A9"/>
    <w:rsid w:val="00820937"/>
    <w:rsid w:val="00821D2F"/>
    <w:rsid w:val="008229B6"/>
    <w:rsid w:val="00823635"/>
    <w:rsid w:val="00823D5F"/>
    <w:rsid w:val="0082465A"/>
    <w:rsid w:val="00824847"/>
    <w:rsid w:val="00826538"/>
    <w:rsid w:val="00826619"/>
    <w:rsid w:val="008269FC"/>
    <w:rsid w:val="00827886"/>
    <w:rsid w:val="00827CFC"/>
    <w:rsid w:val="00827E00"/>
    <w:rsid w:val="008304C7"/>
    <w:rsid w:val="00831083"/>
    <w:rsid w:val="008319B7"/>
    <w:rsid w:val="00833B2F"/>
    <w:rsid w:val="00833BEF"/>
    <w:rsid w:val="008369AA"/>
    <w:rsid w:val="0083719D"/>
    <w:rsid w:val="008412C4"/>
    <w:rsid w:val="00841E06"/>
    <w:rsid w:val="00842DBB"/>
    <w:rsid w:val="00843559"/>
    <w:rsid w:val="008435D8"/>
    <w:rsid w:val="00843E65"/>
    <w:rsid w:val="0084498F"/>
    <w:rsid w:val="00845FD9"/>
    <w:rsid w:val="00846A45"/>
    <w:rsid w:val="00846D0F"/>
    <w:rsid w:val="00846D9F"/>
    <w:rsid w:val="008470C0"/>
    <w:rsid w:val="00847B77"/>
    <w:rsid w:val="008510D7"/>
    <w:rsid w:val="008511FC"/>
    <w:rsid w:val="00851553"/>
    <w:rsid w:val="00851BDB"/>
    <w:rsid w:val="00852690"/>
    <w:rsid w:val="00852A37"/>
    <w:rsid w:val="008535F5"/>
    <w:rsid w:val="00853B88"/>
    <w:rsid w:val="0085530B"/>
    <w:rsid w:val="00855558"/>
    <w:rsid w:val="00856B48"/>
    <w:rsid w:val="00857016"/>
    <w:rsid w:val="00857A7F"/>
    <w:rsid w:val="00860599"/>
    <w:rsid w:val="0086080A"/>
    <w:rsid w:val="00860934"/>
    <w:rsid w:val="008615C5"/>
    <w:rsid w:val="00861681"/>
    <w:rsid w:val="00861A27"/>
    <w:rsid w:val="00862B20"/>
    <w:rsid w:val="00862FFF"/>
    <w:rsid w:val="008631CC"/>
    <w:rsid w:val="008632EA"/>
    <w:rsid w:val="0086378B"/>
    <w:rsid w:val="008658F5"/>
    <w:rsid w:val="00866708"/>
    <w:rsid w:val="00866E10"/>
    <w:rsid w:val="00866E1C"/>
    <w:rsid w:val="00870892"/>
    <w:rsid w:val="00870C5E"/>
    <w:rsid w:val="0087147F"/>
    <w:rsid w:val="00871F9D"/>
    <w:rsid w:val="008734B3"/>
    <w:rsid w:val="00873DC7"/>
    <w:rsid w:val="008747FD"/>
    <w:rsid w:val="008749A3"/>
    <w:rsid w:val="00874C91"/>
    <w:rsid w:val="00875ADE"/>
    <w:rsid w:val="008767F2"/>
    <w:rsid w:val="00876F93"/>
    <w:rsid w:val="00877596"/>
    <w:rsid w:val="0087766D"/>
    <w:rsid w:val="008777CF"/>
    <w:rsid w:val="0087799F"/>
    <w:rsid w:val="00881254"/>
    <w:rsid w:val="008813A6"/>
    <w:rsid w:val="0088186D"/>
    <w:rsid w:val="0088190F"/>
    <w:rsid w:val="00881E63"/>
    <w:rsid w:val="00882348"/>
    <w:rsid w:val="00882804"/>
    <w:rsid w:val="008829F5"/>
    <w:rsid w:val="00883CB2"/>
    <w:rsid w:val="0088449C"/>
    <w:rsid w:val="00884986"/>
    <w:rsid w:val="00885775"/>
    <w:rsid w:val="00885B9E"/>
    <w:rsid w:val="00886707"/>
    <w:rsid w:val="00886A4E"/>
    <w:rsid w:val="00886CA2"/>
    <w:rsid w:val="00890F69"/>
    <w:rsid w:val="00891799"/>
    <w:rsid w:val="0089228F"/>
    <w:rsid w:val="008926C0"/>
    <w:rsid w:val="0089338F"/>
    <w:rsid w:val="008933D0"/>
    <w:rsid w:val="0089340B"/>
    <w:rsid w:val="0089395A"/>
    <w:rsid w:val="00894038"/>
    <w:rsid w:val="0089451F"/>
    <w:rsid w:val="00894B56"/>
    <w:rsid w:val="0089502D"/>
    <w:rsid w:val="00895201"/>
    <w:rsid w:val="0089527E"/>
    <w:rsid w:val="00895630"/>
    <w:rsid w:val="00896157"/>
    <w:rsid w:val="00896373"/>
    <w:rsid w:val="00896A1D"/>
    <w:rsid w:val="0089700F"/>
    <w:rsid w:val="008A00A2"/>
    <w:rsid w:val="008A0445"/>
    <w:rsid w:val="008A06E1"/>
    <w:rsid w:val="008A0CC4"/>
    <w:rsid w:val="008A13AC"/>
    <w:rsid w:val="008A1E7F"/>
    <w:rsid w:val="008A1ED2"/>
    <w:rsid w:val="008A24BB"/>
    <w:rsid w:val="008A284F"/>
    <w:rsid w:val="008A2AEE"/>
    <w:rsid w:val="008A3241"/>
    <w:rsid w:val="008A3ED9"/>
    <w:rsid w:val="008A4422"/>
    <w:rsid w:val="008A5F4C"/>
    <w:rsid w:val="008A60F9"/>
    <w:rsid w:val="008A6C01"/>
    <w:rsid w:val="008A6F66"/>
    <w:rsid w:val="008A7220"/>
    <w:rsid w:val="008A723E"/>
    <w:rsid w:val="008A7452"/>
    <w:rsid w:val="008A76C4"/>
    <w:rsid w:val="008B019F"/>
    <w:rsid w:val="008B020C"/>
    <w:rsid w:val="008B0E8A"/>
    <w:rsid w:val="008B11C9"/>
    <w:rsid w:val="008B16BF"/>
    <w:rsid w:val="008B2C2E"/>
    <w:rsid w:val="008B2D20"/>
    <w:rsid w:val="008B2F28"/>
    <w:rsid w:val="008B2F96"/>
    <w:rsid w:val="008B3323"/>
    <w:rsid w:val="008B339F"/>
    <w:rsid w:val="008B3B27"/>
    <w:rsid w:val="008B4192"/>
    <w:rsid w:val="008B4396"/>
    <w:rsid w:val="008B4ACE"/>
    <w:rsid w:val="008B5113"/>
    <w:rsid w:val="008B52F7"/>
    <w:rsid w:val="008B565B"/>
    <w:rsid w:val="008B5ADA"/>
    <w:rsid w:val="008B5DBD"/>
    <w:rsid w:val="008B6ED0"/>
    <w:rsid w:val="008B7F55"/>
    <w:rsid w:val="008C0101"/>
    <w:rsid w:val="008C0497"/>
    <w:rsid w:val="008C0DF8"/>
    <w:rsid w:val="008C0F0C"/>
    <w:rsid w:val="008C1058"/>
    <w:rsid w:val="008C1362"/>
    <w:rsid w:val="008C19E9"/>
    <w:rsid w:val="008C1E45"/>
    <w:rsid w:val="008C2506"/>
    <w:rsid w:val="008C30CF"/>
    <w:rsid w:val="008C4032"/>
    <w:rsid w:val="008C52CD"/>
    <w:rsid w:val="008C53EF"/>
    <w:rsid w:val="008C56C9"/>
    <w:rsid w:val="008C5E4E"/>
    <w:rsid w:val="008C714D"/>
    <w:rsid w:val="008C76F2"/>
    <w:rsid w:val="008C76FE"/>
    <w:rsid w:val="008D0CC1"/>
    <w:rsid w:val="008D0DF6"/>
    <w:rsid w:val="008D0F60"/>
    <w:rsid w:val="008D1013"/>
    <w:rsid w:val="008D1B7A"/>
    <w:rsid w:val="008D1D1F"/>
    <w:rsid w:val="008D2A63"/>
    <w:rsid w:val="008D2E97"/>
    <w:rsid w:val="008D2EFE"/>
    <w:rsid w:val="008D46EF"/>
    <w:rsid w:val="008D47A9"/>
    <w:rsid w:val="008D5A50"/>
    <w:rsid w:val="008D5E27"/>
    <w:rsid w:val="008D6583"/>
    <w:rsid w:val="008D699F"/>
    <w:rsid w:val="008D6AAA"/>
    <w:rsid w:val="008D6B96"/>
    <w:rsid w:val="008D7A8F"/>
    <w:rsid w:val="008D7FC7"/>
    <w:rsid w:val="008D7FFA"/>
    <w:rsid w:val="008E0281"/>
    <w:rsid w:val="008E0E11"/>
    <w:rsid w:val="008E1F0B"/>
    <w:rsid w:val="008E26C1"/>
    <w:rsid w:val="008E2A67"/>
    <w:rsid w:val="008E2B06"/>
    <w:rsid w:val="008E2DD0"/>
    <w:rsid w:val="008E3322"/>
    <w:rsid w:val="008E333E"/>
    <w:rsid w:val="008E4C95"/>
    <w:rsid w:val="008E4F0C"/>
    <w:rsid w:val="008E532E"/>
    <w:rsid w:val="008E5AD7"/>
    <w:rsid w:val="008E5F92"/>
    <w:rsid w:val="008E616A"/>
    <w:rsid w:val="008E6495"/>
    <w:rsid w:val="008E6987"/>
    <w:rsid w:val="008F0086"/>
    <w:rsid w:val="008F1863"/>
    <w:rsid w:val="008F1ECE"/>
    <w:rsid w:val="008F230C"/>
    <w:rsid w:val="008F2954"/>
    <w:rsid w:val="008F3F30"/>
    <w:rsid w:val="008F4C0D"/>
    <w:rsid w:val="008F4F2E"/>
    <w:rsid w:val="008F6A54"/>
    <w:rsid w:val="00900634"/>
    <w:rsid w:val="009006AA"/>
    <w:rsid w:val="00900FE4"/>
    <w:rsid w:val="0090207E"/>
    <w:rsid w:val="0090215E"/>
    <w:rsid w:val="00902E27"/>
    <w:rsid w:val="009030DC"/>
    <w:rsid w:val="00903A20"/>
    <w:rsid w:val="00903C71"/>
    <w:rsid w:val="00903F56"/>
    <w:rsid w:val="00904581"/>
    <w:rsid w:val="00905EF2"/>
    <w:rsid w:val="00906418"/>
    <w:rsid w:val="009064C6"/>
    <w:rsid w:val="009066F9"/>
    <w:rsid w:val="00907238"/>
    <w:rsid w:val="00907559"/>
    <w:rsid w:val="00907B15"/>
    <w:rsid w:val="00907B2E"/>
    <w:rsid w:val="00907DC0"/>
    <w:rsid w:val="0091061A"/>
    <w:rsid w:val="0091082D"/>
    <w:rsid w:val="00910FC1"/>
    <w:rsid w:val="00911284"/>
    <w:rsid w:val="00912425"/>
    <w:rsid w:val="00912DEC"/>
    <w:rsid w:val="00915DB1"/>
    <w:rsid w:val="00916296"/>
    <w:rsid w:val="00916BBA"/>
    <w:rsid w:val="009204A7"/>
    <w:rsid w:val="00921647"/>
    <w:rsid w:val="00922413"/>
    <w:rsid w:val="0092375E"/>
    <w:rsid w:val="009248C4"/>
    <w:rsid w:val="00924B69"/>
    <w:rsid w:val="00926A1C"/>
    <w:rsid w:val="00927008"/>
    <w:rsid w:val="00927936"/>
    <w:rsid w:val="00932AD1"/>
    <w:rsid w:val="0093372B"/>
    <w:rsid w:val="009338AF"/>
    <w:rsid w:val="00934226"/>
    <w:rsid w:val="00934F7B"/>
    <w:rsid w:val="00935A08"/>
    <w:rsid w:val="0093667C"/>
    <w:rsid w:val="009375F4"/>
    <w:rsid w:val="009400D1"/>
    <w:rsid w:val="009406A6"/>
    <w:rsid w:val="00940E3B"/>
    <w:rsid w:val="00941017"/>
    <w:rsid w:val="009413F3"/>
    <w:rsid w:val="00941A07"/>
    <w:rsid w:val="00942005"/>
    <w:rsid w:val="00942235"/>
    <w:rsid w:val="00942912"/>
    <w:rsid w:val="00942F5D"/>
    <w:rsid w:val="0094452C"/>
    <w:rsid w:val="0094493D"/>
    <w:rsid w:val="00945924"/>
    <w:rsid w:val="0094596F"/>
    <w:rsid w:val="00947339"/>
    <w:rsid w:val="0094734F"/>
    <w:rsid w:val="00947C59"/>
    <w:rsid w:val="00951FC4"/>
    <w:rsid w:val="0095406D"/>
    <w:rsid w:val="009552E3"/>
    <w:rsid w:val="0095585A"/>
    <w:rsid w:val="00956055"/>
    <w:rsid w:val="0095680E"/>
    <w:rsid w:val="00956A96"/>
    <w:rsid w:val="00956A9F"/>
    <w:rsid w:val="0095700C"/>
    <w:rsid w:val="00957175"/>
    <w:rsid w:val="009572A7"/>
    <w:rsid w:val="00957AAF"/>
    <w:rsid w:val="00960783"/>
    <w:rsid w:val="00960929"/>
    <w:rsid w:val="00960EBB"/>
    <w:rsid w:val="009611FA"/>
    <w:rsid w:val="00962A94"/>
    <w:rsid w:val="00962EE9"/>
    <w:rsid w:val="00963F14"/>
    <w:rsid w:val="00964846"/>
    <w:rsid w:val="00966AB8"/>
    <w:rsid w:val="00970881"/>
    <w:rsid w:val="00971653"/>
    <w:rsid w:val="00971A2C"/>
    <w:rsid w:val="00972D9B"/>
    <w:rsid w:val="00973033"/>
    <w:rsid w:val="0097352E"/>
    <w:rsid w:val="009754A6"/>
    <w:rsid w:val="009754AE"/>
    <w:rsid w:val="009755CC"/>
    <w:rsid w:val="00976C27"/>
    <w:rsid w:val="009770D1"/>
    <w:rsid w:val="009773CF"/>
    <w:rsid w:val="00977CE7"/>
    <w:rsid w:val="009800DA"/>
    <w:rsid w:val="00980A75"/>
    <w:rsid w:val="00980F6E"/>
    <w:rsid w:val="00981BAB"/>
    <w:rsid w:val="009831FD"/>
    <w:rsid w:val="009832A6"/>
    <w:rsid w:val="009850E6"/>
    <w:rsid w:val="00985951"/>
    <w:rsid w:val="00986013"/>
    <w:rsid w:val="009862CA"/>
    <w:rsid w:val="0098658F"/>
    <w:rsid w:val="009867B4"/>
    <w:rsid w:val="00986F60"/>
    <w:rsid w:val="00987161"/>
    <w:rsid w:val="00990F37"/>
    <w:rsid w:val="009910EB"/>
    <w:rsid w:val="00991444"/>
    <w:rsid w:val="009915D2"/>
    <w:rsid w:val="00991901"/>
    <w:rsid w:val="00991979"/>
    <w:rsid w:val="009927AF"/>
    <w:rsid w:val="00992983"/>
    <w:rsid w:val="00992AE7"/>
    <w:rsid w:val="00992E68"/>
    <w:rsid w:val="00993AD1"/>
    <w:rsid w:val="00993B59"/>
    <w:rsid w:val="00993CB6"/>
    <w:rsid w:val="009945C1"/>
    <w:rsid w:val="009953AE"/>
    <w:rsid w:val="00995F90"/>
    <w:rsid w:val="009967C1"/>
    <w:rsid w:val="009967FB"/>
    <w:rsid w:val="00996AD2"/>
    <w:rsid w:val="00997ADB"/>
    <w:rsid w:val="00997BD0"/>
    <w:rsid w:val="009A0520"/>
    <w:rsid w:val="009A0939"/>
    <w:rsid w:val="009A0F7B"/>
    <w:rsid w:val="009A1B55"/>
    <w:rsid w:val="009A252C"/>
    <w:rsid w:val="009A2A2D"/>
    <w:rsid w:val="009A2FAC"/>
    <w:rsid w:val="009A3022"/>
    <w:rsid w:val="009A341D"/>
    <w:rsid w:val="009A4061"/>
    <w:rsid w:val="009A4F5F"/>
    <w:rsid w:val="009A5CEA"/>
    <w:rsid w:val="009A5D49"/>
    <w:rsid w:val="009A6721"/>
    <w:rsid w:val="009A6C23"/>
    <w:rsid w:val="009A7344"/>
    <w:rsid w:val="009A7E18"/>
    <w:rsid w:val="009B0443"/>
    <w:rsid w:val="009B04EB"/>
    <w:rsid w:val="009B0695"/>
    <w:rsid w:val="009B0B49"/>
    <w:rsid w:val="009B0E4B"/>
    <w:rsid w:val="009B3C50"/>
    <w:rsid w:val="009B40B3"/>
    <w:rsid w:val="009B4180"/>
    <w:rsid w:val="009B4C33"/>
    <w:rsid w:val="009B5BA4"/>
    <w:rsid w:val="009B600C"/>
    <w:rsid w:val="009B646C"/>
    <w:rsid w:val="009B647C"/>
    <w:rsid w:val="009B6BD1"/>
    <w:rsid w:val="009B741B"/>
    <w:rsid w:val="009B7B57"/>
    <w:rsid w:val="009C0868"/>
    <w:rsid w:val="009C0E0B"/>
    <w:rsid w:val="009C17FF"/>
    <w:rsid w:val="009C3B57"/>
    <w:rsid w:val="009C3F8A"/>
    <w:rsid w:val="009C4002"/>
    <w:rsid w:val="009C46A1"/>
    <w:rsid w:val="009C49B4"/>
    <w:rsid w:val="009C4FB6"/>
    <w:rsid w:val="009C4FC1"/>
    <w:rsid w:val="009C5ABC"/>
    <w:rsid w:val="009C627A"/>
    <w:rsid w:val="009C67C1"/>
    <w:rsid w:val="009C725A"/>
    <w:rsid w:val="009D278C"/>
    <w:rsid w:val="009D4873"/>
    <w:rsid w:val="009D4A19"/>
    <w:rsid w:val="009D50F2"/>
    <w:rsid w:val="009D5444"/>
    <w:rsid w:val="009D549C"/>
    <w:rsid w:val="009D54B3"/>
    <w:rsid w:val="009D5552"/>
    <w:rsid w:val="009D584F"/>
    <w:rsid w:val="009D5966"/>
    <w:rsid w:val="009D6F30"/>
    <w:rsid w:val="009D71AD"/>
    <w:rsid w:val="009D77A2"/>
    <w:rsid w:val="009E1037"/>
    <w:rsid w:val="009E15A9"/>
    <w:rsid w:val="009E1D95"/>
    <w:rsid w:val="009E1E63"/>
    <w:rsid w:val="009E332A"/>
    <w:rsid w:val="009E3D0E"/>
    <w:rsid w:val="009E3DCE"/>
    <w:rsid w:val="009E4478"/>
    <w:rsid w:val="009E4A4B"/>
    <w:rsid w:val="009E4AD1"/>
    <w:rsid w:val="009E4F5F"/>
    <w:rsid w:val="009E5258"/>
    <w:rsid w:val="009E527B"/>
    <w:rsid w:val="009E5380"/>
    <w:rsid w:val="009E54DA"/>
    <w:rsid w:val="009E5A19"/>
    <w:rsid w:val="009E5C1C"/>
    <w:rsid w:val="009E5CF9"/>
    <w:rsid w:val="009E5E06"/>
    <w:rsid w:val="009E6EE5"/>
    <w:rsid w:val="009E7655"/>
    <w:rsid w:val="009F0F36"/>
    <w:rsid w:val="009F114C"/>
    <w:rsid w:val="009F1FCB"/>
    <w:rsid w:val="009F26B5"/>
    <w:rsid w:val="009F2B32"/>
    <w:rsid w:val="009F2F98"/>
    <w:rsid w:val="009F3A73"/>
    <w:rsid w:val="009F4323"/>
    <w:rsid w:val="009F4339"/>
    <w:rsid w:val="009F4D47"/>
    <w:rsid w:val="009F4DED"/>
    <w:rsid w:val="009F6552"/>
    <w:rsid w:val="009F6D34"/>
    <w:rsid w:val="00A005DF"/>
    <w:rsid w:val="00A00750"/>
    <w:rsid w:val="00A00884"/>
    <w:rsid w:val="00A00CAA"/>
    <w:rsid w:val="00A012C4"/>
    <w:rsid w:val="00A014B2"/>
    <w:rsid w:val="00A01781"/>
    <w:rsid w:val="00A01A76"/>
    <w:rsid w:val="00A01B9B"/>
    <w:rsid w:val="00A02AE0"/>
    <w:rsid w:val="00A02EB8"/>
    <w:rsid w:val="00A03BF7"/>
    <w:rsid w:val="00A0413E"/>
    <w:rsid w:val="00A0498B"/>
    <w:rsid w:val="00A054D9"/>
    <w:rsid w:val="00A05E57"/>
    <w:rsid w:val="00A06B76"/>
    <w:rsid w:val="00A07D44"/>
    <w:rsid w:val="00A1047C"/>
    <w:rsid w:val="00A11713"/>
    <w:rsid w:val="00A121A7"/>
    <w:rsid w:val="00A124B5"/>
    <w:rsid w:val="00A13B2D"/>
    <w:rsid w:val="00A14502"/>
    <w:rsid w:val="00A161FB"/>
    <w:rsid w:val="00A1674B"/>
    <w:rsid w:val="00A17675"/>
    <w:rsid w:val="00A201E3"/>
    <w:rsid w:val="00A20F5A"/>
    <w:rsid w:val="00A21508"/>
    <w:rsid w:val="00A21598"/>
    <w:rsid w:val="00A218B4"/>
    <w:rsid w:val="00A21946"/>
    <w:rsid w:val="00A21F9F"/>
    <w:rsid w:val="00A2288A"/>
    <w:rsid w:val="00A2378B"/>
    <w:rsid w:val="00A23A29"/>
    <w:rsid w:val="00A23A70"/>
    <w:rsid w:val="00A243C3"/>
    <w:rsid w:val="00A24C0A"/>
    <w:rsid w:val="00A24CAD"/>
    <w:rsid w:val="00A24F21"/>
    <w:rsid w:val="00A24FA6"/>
    <w:rsid w:val="00A25572"/>
    <w:rsid w:val="00A25B21"/>
    <w:rsid w:val="00A263A7"/>
    <w:rsid w:val="00A27DCF"/>
    <w:rsid w:val="00A30256"/>
    <w:rsid w:val="00A30BD8"/>
    <w:rsid w:val="00A30E22"/>
    <w:rsid w:val="00A31A55"/>
    <w:rsid w:val="00A31F28"/>
    <w:rsid w:val="00A3231C"/>
    <w:rsid w:val="00A32A37"/>
    <w:rsid w:val="00A32E14"/>
    <w:rsid w:val="00A32E3E"/>
    <w:rsid w:val="00A33810"/>
    <w:rsid w:val="00A3397D"/>
    <w:rsid w:val="00A34811"/>
    <w:rsid w:val="00A34DD0"/>
    <w:rsid w:val="00A3557B"/>
    <w:rsid w:val="00A35AC9"/>
    <w:rsid w:val="00A35F6A"/>
    <w:rsid w:val="00A36086"/>
    <w:rsid w:val="00A36F0E"/>
    <w:rsid w:val="00A370E1"/>
    <w:rsid w:val="00A3772A"/>
    <w:rsid w:val="00A408BA"/>
    <w:rsid w:val="00A40A72"/>
    <w:rsid w:val="00A411FC"/>
    <w:rsid w:val="00A4121E"/>
    <w:rsid w:val="00A41A2D"/>
    <w:rsid w:val="00A42E0A"/>
    <w:rsid w:val="00A434EE"/>
    <w:rsid w:val="00A435BB"/>
    <w:rsid w:val="00A43F3B"/>
    <w:rsid w:val="00A4424C"/>
    <w:rsid w:val="00A449D6"/>
    <w:rsid w:val="00A44A6A"/>
    <w:rsid w:val="00A45905"/>
    <w:rsid w:val="00A45C58"/>
    <w:rsid w:val="00A46590"/>
    <w:rsid w:val="00A46B25"/>
    <w:rsid w:val="00A47092"/>
    <w:rsid w:val="00A47AE7"/>
    <w:rsid w:val="00A47F0D"/>
    <w:rsid w:val="00A50CCD"/>
    <w:rsid w:val="00A50FE3"/>
    <w:rsid w:val="00A51EB4"/>
    <w:rsid w:val="00A52B6A"/>
    <w:rsid w:val="00A531CA"/>
    <w:rsid w:val="00A5390B"/>
    <w:rsid w:val="00A5464D"/>
    <w:rsid w:val="00A54936"/>
    <w:rsid w:val="00A5543E"/>
    <w:rsid w:val="00A56674"/>
    <w:rsid w:val="00A56EB0"/>
    <w:rsid w:val="00A56EE6"/>
    <w:rsid w:val="00A60680"/>
    <w:rsid w:val="00A61086"/>
    <w:rsid w:val="00A616A5"/>
    <w:rsid w:val="00A61F65"/>
    <w:rsid w:val="00A62238"/>
    <w:rsid w:val="00A631F3"/>
    <w:rsid w:val="00A63E2F"/>
    <w:rsid w:val="00A64316"/>
    <w:rsid w:val="00A643FE"/>
    <w:rsid w:val="00A644E6"/>
    <w:rsid w:val="00A64765"/>
    <w:rsid w:val="00A650E5"/>
    <w:rsid w:val="00A656CC"/>
    <w:rsid w:val="00A661AC"/>
    <w:rsid w:val="00A6633C"/>
    <w:rsid w:val="00A6670F"/>
    <w:rsid w:val="00A668CC"/>
    <w:rsid w:val="00A700B6"/>
    <w:rsid w:val="00A703B5"/>
    <w:rsid w:val="00A709A1"/>
    <w:rsid w:val="00A717A6"/>
    <w:rsid w:val="00A7213A"/>
    <w:rsid w:val="00A726F8"/>
    <w:rsid w:val="00A728CA"/>
    <w:rsid w:val="00A72CFB"/>
    <w:rsid w:val="00A73764"/>
    <w:rsid w:val="00A73AAE"/>
    <w:rsid w:val="00A740E8"/>
    <w:rsid w:val="00A741C8"/>
    <w:rsid w:val="00A74891"/>
    <w:rsid w:val="00A74998"/>
    <w:rsid w:val="00A74CCD"/>
    <w:rsid w:val="00A815B4"/>
    <w:rsid w:val="00A81AE3"/>
    <w:rsid w:val="00A81B23"/>
    <w:rsid w:val="00A83011"/>
    <w:rsid w:val="00A8425F"/>
    <w:rsid w:val="00A85C55"/>
    <w:rsid w:val="00A8637E"/>
    <w:rsid w:val="00A87121"/>
    <w:rsid w:val="00A878AB"/>
    <w:rsid w:val="00A92983"/>
    <w:rsid w:val="00A92C48"/>
    <w:rsid w:val="00A93D2E"/>
    <w:rsid w:val="00A9455E"/>
    <w:rsid w:val="00A94F64"/>
    <w:rsid w:val="00A95031"/>
    <w:rsid w:val="00A95041"/>
    <w:rsid w:val="00A9575E"/>
    <w:rsid w:val="00A965B2"/>
    <w:rsid w:val="00A97274"/>
    <w:rsid w:val="00A97505"/>
    <w:rsid w:val="00A97BF5"/>
    <w:rsid w:val="00AA023E"/>
    <w:rsid w:val="00AA1003"/>
    <w:rsid w:val="00AA1077"/>
    <w:rsid w:val="00AA2CF4"/>
    <w:rsid w:val="00AA2F9A"/>
    <w:rsid w:val="00AA363B"/>
    <w:rsid w:val="00AA374F"/>
    <w:rsid w:val="00AA3D63"/>
    <w:rsid w:val="00AA45CB"/>
    <w:rsid w:val="00AA49BA"/>
    <w:rsid w:val="00AA4CE0"/>
    <w:rsid w:val="00AA57D7"/>
    <w:rsid w:val="00AA5CAF"/>
    <w:rsid w:val="00AA68DE"/>
    <w:rsid w:val="00AA79E1"/>
    <w:rsid w:val="00AB045A"/>
    <w:rsid w:val="00AB08AB"/>
    <w:rsid w:val="00AB08E2"/>
    <w:rsid w:val="00AB102F"/>
    <w:rsid w:val="00AB10E9"/>
    <w:rsid w:val="00AB111C"/>
    <w:rsid w:val="00AB235B"/>
    <w:rsid w:val="00AB32D1"/>
    <w:rsid w:val="00AB3E46"/>
    <w:rsid w:val="00AB443E"/>
    <w:rsid w:val="00AB5FA4"/>
    <w:rsid w:val="00AB6359"/>
    <w:rsid w:val="00AC003E"/>
    <w:rsid w:val="00AC196E"/>
    <w:rsid w:val="00AC1FC2"/>
    <w:rsid w:val="00AC2ECA"/>
    <w:rsid w:val="00AC3044"/>
    <w:rsid w:val="00AC338B"/>
    <w:rsid w:val="00AC3B62"/>
    <w:rsid w:val="00AC5389"/>
    <w:rsid w:val="00AC5C0F"/>
    <w:rsid w:val="00AC6838"/>
    <w:rsid w:val="00AC7046"/>
    <w:rsid w:val="00AD0659"/>
    <w:rsid w:val="00AD083F"/>
    <w:rsid w:val="00AD0A7E"/>
    <w:rsid w:val="00AD0ADD"/>
    <w:rsid w:val="00AD0BE5"/>
    <w:rsid w:val="00AD0E87"/>
    <w:rsid w:val="00AD1686"/>
    <w:rsid w:val="00AD1B6F"/>
    <w:rsid w:val="00AD2682"/>
    <w:rsid w:val="00AD26B1"/>
    <w:rsid w:val="00AD2A80"/>
    <w:rsid w:val="00AD2D54"/>
    <w:rsid w:val="00AD399D"/>
    <w:rsid w:val="00AD39A6"/>
    <w:rsid w:val="00AD3C98"/>
    <w:rsid w:val="00AD425A"/>
    <w:rsid w:val="00AD4D48"/>
    <w:rsid w:val="00AD4DD5"/>
    <w:rsid w:val="00AD549A"/>
    <w:rsid w:val="00AD6540"/>
    <w:rsid w:val="00AD691A"/>
    <w:rsid w:val="00AD6BC1"/>
    <w:rsid w:val="00AD7279"/>
    <w:rsid w:val="00AD7733"/>
    <w:rsid w:val="00AD7AF9"/>
    <w:rsid w:val="00AD7B4E"/>
    <w:rsid w:val="00AE005F"/>
    <w:rsid w:val="00AE0385"/>
    <w:rsid w:val="00AE1881"/>
    <w:rsid w:val="00AE1D8E"/>
    <w:rsid w:val="00AE2A6F"/>
    <w:rsid w:val="00AE324D"/>
    <w:rsid w:val="00AE33E5"/>
    <w:rsid w:val="00AE374A"/>
    <w:rsid w:val="00AE3A18"/>
    <w:rsid w:val="00AE3A68"/>
    <w:rsid w:val="00AE47D5"/>
    <w:rsid w:val="00AE485B"/>
    <w:rsid w:val="00AE568B"/>
    <w:rsid w:val="00AE58EE"/>
    <w:rsid w:val="00AE5ADB"/>
    <w:rsid w:val="00AE60C3"/>
    <w:rsid w:val="00AE713D"/>
    <w:rsid w:val="00AE7D33"/>
    <w:rsid w:val="00AF0698"/>
    <w:rsid w:val="00AF0884"/>
    <w:rsid w:val="00AF1718"/>
    <w:rsid w:val="00AF1E62"/>
    <w:rsid w:val="00AF2302"/>
    <w:rsid w:val="00AF354C"/>
    <w:rsid w:val="00AF453F"/>
    <w:rsid w:val="00AF53FB"/>
    <w:rsid w:val="00AF5844"/>
    <w:rsid w:val="00AF5DA7"/>
    <w:rsid w:val="00AF6538"/>
    <w:rsid w:val="00AF7432"/>
    <w:rsid w:val="00AF7445"/>
    <w:rsid w:val="00AF7A29"/>
    <w:rsid w:val="00AF7ED5"/>
    <w:rsid w:val="00B00419"/>
    <w:rsid w:val="00B0046B"/>
    <w:rsid w:val="00B00499"/>
    <w:rsid w:val="00B0061C"/>
    <w:rsid w:val="00B00801"/>
    <w:rsid w:val="00B00C32"/>
    <w:rsid w:val="00B011BD"/>
    <w:rsid w:val="00B011C4"/>
    <w:rsid w:val="00B025DE"/>
    <w:rsid w:val="00B02CBE"/>
    <w:rsid w:val="00B02F37"/>
    <w:rsid w:val="00B034BE"/>
    <w:rsid w:val="00B0352A"/>
    <w:rsid w:val="00B03AF4"/>
    <w:rsid w:val="00B040FD"/>
    <w:rsid w:val="00B04BD7"/>
    <w:rsid w:val="00B04E52"/>
    <w:rsid w:val="00B04F5E"/>
    <w:rsid w:val="00B04F8C"/>
    <w:rsid w:val="00B0518C"/>
    <w:rsid w:val="00B06445"/>
    <w:rsid w:val="00B06D8C"/>
    <w:rsid w:val="00B10A4E"/>
    <w:rsid w:val="00B10BE3"/>
    <w:rsid w:val="00B10CED"/>
    <w:rsid w:val="00B11011"/>
    <w:rsid w:val="00B11A80"/>
    <w:rsid w:val="00B12906"/>
    <w:rsid w:val="00B12916"/>
    <w:rsid w:val="00B13667"/>
    <w:rsid w:val="00B1369B"/>
    <w:rsid w:val="00B13803"/>
    <w:rsid w:val="00B13A6F"/>
    <w:rsid w:val="00B13AA7"/>
    <w:rsid w:val="00B147AC"/>
    <w:rsid w:val="00B151C1"/>
    <w:rsid w:val="00B15A27"/>
    <w:rsid w:val="00B15ED2"/>
    <w:rsid w:val="00B161AA"/>
    <w:rsid w:val="00B16704"/>
    <w:rsid w:val="00B1677A"/>
    <w:rsid w:val="00B177F2"/>
    <w:rsid w:val="00B20A16"/>
    <w:rsid w:val="00B20ED9"/>
    <w:rsid w:val="00B23056"/>
    <w:rsid w:val="00B2338D"/>
    <w:rsid w:val="00B23AAE"/>
    <w:rsid w:val="00B23F97"/>
    <w:rsid w:val="00B2496C"/>
    <w:rsid w:val="00B24D3E"/>
    <w:rsid w:val="00B257EE"/>
    <w:rsid w:val="00B26DBB"/>
    <w:rsid w:val="00B2716C"/>
    <w:rsid w:val="00B30ACA"/>
    <w:rsid w:val="00B316CC"/>
    <w:rsid w:val="00B323B6"/>
    <w:rsid w:val="00B3259C"/>
    <w:rsid w:val="00B3277E"/>
    <w:rsid w:val="00B32F35"/>
    <w:rsid w:val="00B33B2D"/>
    <w:rsid w:val="00B349F6"/>
    <w:rsid w:val="00B34A68"/>
    <w:rsid w:val="00B34D76"/>
    <w:rsid w:val="00B352CC"/>
    <w:rsid w:val="00B35C96"/>
    <w:rsid w:val="00B35D9B"/>
    <w:rsid w:val="00B35FFC"/>
    <w:rsid w:val="00B3633C"/>
    <w:rsid w:val="00B3702E"/>
    <w:rsid w:val="00B37E18"/>
    <w:rsid w:val="00B40053"/>
    <w:rsid w:val="00B4010E"/>
    <w:rsid w:val="00B405AC"/>
    <w:rsid w:val="00B4061C"/>
    <w:rsid w:val="00B41096"/>
    <w:rsid w:val="00B413B2"/>
    <w:rsid w:val="00B4159C"/>
    <w:rsid w:val="00B416ED"/>
    <w:rsid w:val="00B41E02"/>
    <w:rsid w:val="00B43FB1"/>
    <w:rsid w:val="00B44484"/>
    <w:rsid w:val="00B44785"/>
    <w:rsid w:val="00B44D54"/>
    <w:rsid w:val="00B45799"/>
    <w:rsid w:val="00B45ACC"/>
    <w:rsid w:val="00B46236"/>
    <w:rsid w:val="00B46789"/>
    <w:rsid w:val="00B47104"/>
    <w:rsid w:val="00B475EA"/>
    <w:rsid w:val="00B50555"/>
    <w:rsid w:val="00B505CE"/>
    <w:rsid w:val="00B50CD7"/>
    <w:rsid w:val="00B50ECC"/>
    <w:rsid w:val="00B51DEA"/>
    <w:rsid w:val="00B51E95"/>
    <w:rsid w:val="00B520D6"/>
    <w:rsid w:val="00B531B3"/>
    <w:rsid w:val="00B53A94"/>
    <w:rsid w:val="00B550D9"/>
    <w:rsid w:val="00B555FE"/>
    <w:rsid w:val="00B56CC3"/>
    <w:rsid w:val="00B57518"/>
    <w:rsid w:val="00B577DF"/>
    <w:rsid w:val="00B6004E"/>
    <w:rsid w:val="00B61F19"/>
    <w:rsid w:val="00B63771"/>
    <w:rsid w:val="00B65056"/>
    <w:rsid w:val="00B65A90"/>
    <w:rsid w:val="00B65B11"/>
    <w:rsid w:val="00B66364"/>
    <w:rsid w:val="00B6646F"/>
    <w:rsid w:val="00B666AF"/>
    <w:rsid w:val="00B6670C"/>
    <w:rsid w:val="00B6698D"/>
    <w:rsid w:val="00B66C95"/>
    <w:rsid w:val="00B7076D"/>
    <w:rsid w:val="00B70941"/>
    <w:rsid w:val="00B715A7"/>
    <w:rsid w:val="00B71A0D"/>
    <w:rsid w:val="00B72023"/>
    <w:rsid w:val="00B72216"/>
    <w:rsid w:val="00B723E0"/>
    <w:rsid w:val="00B7371C"/>
    <w:rsid w:val="00B7436F"/>
    <w:rsid w:val="00B743F7"/>
    <w:rsid w:val="00B7441A"/>
    <w:rsid w:val="00B749D1"/>
    <w:rsid w:val="00B74CEA"/>
    <w:rsid w:val="00B74F2A"/>
    <w:rsid w:val="00B7560C"/>
    <w:rsid w:val="00B75763"/>
    <w:rsid w:val="00B75BBC"/>
    <w:rsid w:val="00B761F0"/>
    <w:rsid w:val="00B76532"/>
    <w:rsid w:val="00B76EB8"/>
    <w:rsid w:val="00B7783E"/>
    <w:rsid w:val="00B77AF2"/>
    <w:rsid w:val="00B803BB"/>
    <w:rsid w:val="00B80AA9"/>
    <w:rsid w:val="00B80C5C"/>
    <w:rsid w:val="00B81D6B"/>
    <w:rsid w:val="00B821EE"/>
    <w:rsid w:val="00B825AB"/>
    <w:rsid w:val="00B82613"/>
    <w:rsid w:val="00B828F9"/>
    <w:rsid w:val="00B82AC5"/>
    <w:rsid w:val="00B82E6B"/>
    <w:rsid w:val="00B83625"/>
    <w:rsid w:val="00B83C9F"/>
    <w:rsid w:val="00B84835"/>
    <w:rsid w:val="00B86590"/>
    <w:rsid w:val="00B86A1F"/>
    <w:rsid w:val="00B87165"/>
    <w:rsid w:val="00B87E86"/>
    <w:rsid w:val="00B90344"/>
    <w:rsid w:val="00B905FD"/>
    <w:rsid w:val="00B90C3C"/>
    <w:rsid w:val="00B9134B"/>
    <w:rsid w:val="00B916E9"/>
    <w:rsid w:val="00B91B3E"/>
    <w:rsid w:val="00B91D1D"/>
    <w:rsid w:val="00B91E24"/>
    <w:rsid w:val="00B922F7"/>
    <w:rsid w:val="00B92A73"/>
    <w:rsid w:val="00B9335E"/>
    <w:rsid w:val="00B93615"/>
    <w:rsid w:val="00B93C1E"/>
    <w:rsid w:val="00B950DB"/>
    <w:rsid w:val="00B9658C"/>
    <w:rsid w:val="00BA0026"/>
    <w:rsid w:val="00BA046E"/>
    <w:rsid w:val="00BA0C1B"/>
    <w:rsid w:val="00BA12C2"/>
    <w:rsid w:val="00BA25BE"/>
    <w:rsid w:val="00BA272B"/>
    <w:rsid w:val="00BA38AF"/>
    <w:rsid w:val="00BA4FA2"/>
    <w:rsid w:val="00BA6F1D"/>
    <w:rsid w:val="00BA70E1"/>
    <w:rsid w:val="00BA77E1"/>
    <w:rsid w:val="00BB1313"/>
    <w:rsid w:val="00BB1BA9"/>
    <w:rsid w:val="00BB2040"/>
    <w:rsid w:val="00BB3B89"/>
    <w:rsid w:val="00BB41CF"/>
    <w:rsid w:val="00BB5477"/>
    <w:rsid w:val="00BB5FF0"/>
    <w:rsid w:val="00BB6AB9"/>
    <w:rsid w:val="00BB6F06"/>
    <w:rsid w:val="00BB71E2"/>
    <w:rsid w:val="00BB7312"/>
    <w:rsid w:val="00BC01B7"/>
    <w:rsid w:val="00BC06CA"/>
    <w:rsid w:val="00BC0BBD"/>
    <w:rsid w:val="00BC109A"/>
    <w:rsid w:val="00BC16DC"/>
    <w:rsid w:val="00BC2F47"/>
    <w:rsid w:val="00BC4757"/>
    <w:rsid w:val="00BC4DE3"/>
    <w:rsid w:val="00BC5BFD"/>
    <w:rsid w:val="00BC67A6"/>
    <w:rsid w:val="00BC6C06"/>
    <w:rsid w:val="00BC706D"/>
    <w:rsid w:val="00BC73D3"/>
    <w:rsid w:val="00BC7543"/>
    <w:rsid w:val="00BD0AB6"/>
    <w:rsid w:val="00BD0E9B"/>
    <w:rsid w:val="00BD106A"/>
    <w:rsid w:val="00BD108C"/>
    <w:rsid w:val="00BD2ABF"/>
    <w:rsid w:val="00BD36D1"/>
    <w:rsid w:val="00BD49E1"/>
    <w:rsid w:val="00BD57FA"/>
    <w:rsid w:val="00BD5E96"/>
    <w:rsid w:val="00BD6B52"/>
    <w:rsid w:val="00BD6F29"/>
    <w:rsid w:val="00BD7798"/>
    <w:rsid w:val="00BD7A77"/>
    <w:rsid w:val="00BE023E"/>
    <w:rsid w:val="00BE0952"/>
    <w:rsid w:val="00BE0DAB"/>
    <w:rsid w:val="00BE225E"/>
    <w:rsid w:val="00BE2859"/>
    <w:rsid w:val="00BE3BE3"/>
    <w:rsid w:val="00BE3C74"/>
    <w:rsid w:val="00BE4790"/>
    <w:rsid w:val="00BE52A8"/>
    <w:rsid w:val="00BE6316"/>
    <w:rsid w:val="00BE715B"/>
    <w:rsid w:val="00BE7267"/>
    <w:rsid w:val="00BE764F"/>
    <w:rsid w:val="00BF02B9"/>
    <w:rsid w:val="00BF0AB8"/>
    <w:rsid w:val="00BF1C97"/>
    <w:rsid w:val="00BF2569"/>
    <w:rsid w:val="00BF2C3D"/>
    <w:rsid w:val="00BF3052"/>
    <w:rsid w:val="00BF3106"/>
    <w:rsid w:val="00BF3446"/>
    <w:rsid w:val="00BF3B64"/>
    <w:rsid w:val="00BF3D8D"/>
    <w:rsid w:val="00BF52EB"/>
    <w:rsid w:val="00BF5461"/>
    <w:rsid w:val="00BF5704"/>
    <w:rsid w:val="00BF72B4"/>
    <w:rsid w:val="00C007A3"/>
    <w:rsid w:val="00C00D26"/>
    <w:rsid w:val="00C0195C"/>
    <w:rsid w:val="00C01F7F"/>
    <w:rsid w:val="00C0221E"/>
    <w:rsid w:val="00C023A9"/>
    <w:rsid w:val="00C0296C"/>
    <w:rsid w:val="00C0307D"/>
    <w:rsid w:val="00C04AF9"/>
    <w:rsid w:val="00C05E64"/>
    <w:rsid w:val="00C06134"/>
    <w:rsid w:val="00C06B87"/>
    <w:rsid w:val="00C06E48"/>
    <w:rsid w:val="00C06F40"/>
    <w:rsid w:val="00C06F5D"/>
    <w:rsid w:val="00C07BDF"/>
    <w:rsid w:val="00C10B1A"/>
    <w:rsid w:val="00C113CB"/>
    <w:rsid w:val="00C11A30"/>
    <w:rsid w:val="00C12357"/>
    <w:rsid w:val="00C125A3"/>
    <w:rsid w:val="00C133D7"/>
    <w:rsid w:val="00C1440D"/>
    <w:rsid w:val="00C16626"/>
    <w:rsid w:val="00C177CA"/>
    <w:rsid w:val="00C17F63"/>
    <w:rsid w:val="00C202C1"/>
    <w:rsid w:val="00C2075F"/>
    <w:rsid w:val="00C20B3D"/>
    <w:rsid w:val="00C218F0"/>
    <w:rsid w:val="00C23EA0"/>
    <w:rsid w:val="00C24262"/>
    <w:rsid w:val="00C242D4"/>
    <w:rsid w:val="00C253FD"/>
    <w:rsid w:val="00C2589B"/>
    <w:rsid w:val="00C26B2F"/>
    <w:rsid w:val="00C26FBB"/>
    <w:rsid w:val="00C3151A"/>
    <w:rsid w:val="00C315F1"/>
    <w:rsid w:val="00C31751"/>
    <w:rsid w:val="00C31D49"/>
    <w:rsid w:val="00C31F9A"/>
    <w:rsid w:val="00C32783"/>
    <w:rsid w:val="00C32ECA"/>
    <w:rsid w:val="00C34452"/>
    <w:rsid w:val="00C3446F"/>
    <w:rsid w:val="00C352B8"/>
    <w:rsid w:val="00C35912"/>
    <w:rsid w:val="00C35C09"/>
    <w:rsid w:val="00C36D2B"/>
    <w:rsid w:val="00C37C32"/>
    <w:rsid w:val="00C37D91"/>
    <w:rsid w:val="00C37FC9"/>
    <w:rsid w:val="00C41B7A"/>
    <w:rsid w:val="00C41C91"/>
    <w:rsid w:val="00C42977"/>
    <w:rsid w:val="00C43524"/>
    <w:rsid w:val="00C44077"/>
    <w:rsid w:val="00C44B12"/>
    <w:rsid w:val="00C45ABB"/>
    <w:rsid w:val="00C46705"/>
    <w:rsid w:val="00C47981"/>
    <w:rsid w:val="00C522F3"/>
    <w:rsid w:val="00C53602"/>
    <w:rsid w:val="00C54A4D"/>
    <w:rsid w:val="00C54BAC"/>
    <w:rsid w:val="00C55C1F"/>
    <w:rsid w:val="00C5614A"/>
    <w:rsid w:val="00C56548"/>
    <w:rsid w:val="00C56F7F"/>
    <w:rsid w:val="00C57A70"/>
    <w:rsid w:val="00C57C3B"/>
    <w:rsid w:val="00C600A6"/>
    <w:rsid w:val="00C605D2"/>
    <w:rsid w:val="00C60EF1"/>
    <w:rsid w:val="00C610EC"/>
    <w:rsid w:val="00C6193B"/>
    <w:rsid w:val="00C61A33"/>
    <w:rsid w:val="00C61B7E"/>
    <w:rsid w:val="00C6325E"/>
    <w:rsid w:val="00C632C3"/>
    <w:rsid w:val="00C63AA9"/>
    <w:rsid w:val="00C654E0"/>
    <w:rsid w:val="00C6560E"/>
    <w:rsid w:val="00C664D0"/>
    <w:rsid w:val="00C665B1"/>
    <w:rsid w:val="00C669BD"/>
    <w:rsid w:val="00C66BA6"/>
    <w:rsid w:val="00C67B5E"/>
    <w:rsid w:val="00C70007"/>
    <w:rsid w:val="00C701A6"/>
    <w:rsid w:val="00C712CB"/>
    <w:rsid w:val="00C726E6"/>
    <w:rsid w:val="00C72A7D"/>
    <w:rsid w:val="00C72F20"/>
    <w:rsid w:val="00C7312C"/>
    <w:rsid w:val="00C737E4"/>
    <w:rsid w:val="00C741CA"/>
    <w:rsid w:val="00C747DD"/>
    <w:rsid w:val="00C74B64"/>
    <w:rsid w:val="00C750EF"/>
    <w:rsid w:val="00C75BB8"/>
    <w:rsid w:val="00C76931"/>
    <w:rsid w:val="00C77EA7"/>
    <w:rsid w:val="00C81A84"/>
    <w:rsid w:val="00C82043"/>
    <w:rsid w:val="00C82876"/>
    <w:rsid w:val="00C82B11"/>
    <w:rsid w:val="00C82B91"/>
    <w:rsid w:val="00C82C06"/>
    <w:rsid w:val="00C834CA"/>
    <w:rsid w:val="00C83A2D"/>
    <w:rsid w:val="00C83C1B"/>
    <w:rsid w:val="00C8454C"/>
    <w:rsid w:val="00C849E8"/>
    <w:rsid w:val="00C84B10"/>
    <w:rsid w:val="00C8568A"/>
    <w:rsid w:val="00C85A6B"/>
    <w:rsid w:val="00C85EDF"/>
    <w:rsid w:val="00C867C8"/>
    <w:rsid w:val="00C87138"/>
    <w:rsid w:val="00C90300"/>
    <w:rsid w:val="00C90DC5"/>
    <w:rsid w:val="00C91C10"/>
    <w:rsid w:val="00C92455"/>
    <w:rsid w:val="00C9273A"/>
    <w:rsid w:val="00C933C1"/>
    <w:rsid w:val="00C93CDB"/>
    <w:rsid w:val="00C954C7"/>
    <w:rsid w:val="00C95E72"/>
    <w:rsid w:val="00C95F20"/>
    <w:rsid w:val="00C960BC"/>
    <w:rsid w:val="00C9629F"/>
    <w:rsid w:val="00C9646B"/>
    <w:rsid w:val="00C96FA2"/>
    <w:rsid w:val="00C971B6"/>
    <w:rsid w:val="00C97446"/>
    <w:rsid w:val="00CA0528"/>
    <w:rsid w:val="00CA074D"/>
    <w:rsid w:val="00CA0758"/>
    <w:rsid w:val="00CA09CF"/>
    <w:rsid w:val="00CA1E09"/>
    <w:rsid w:val="00CA1F17"/>
    <w:rsid w:val="00CA2136"/>
    <w:rsid w:val="00CA27CF"/>
    <w:rsid w:val="00CA27F3"/>
    <w:rsid w:val="00CA4409"/>
    <w:rsid w:val="00CA709D"/>
    <w:rsid w:val="00CA7666"/>
    <w:rsid w:val="00CA7DEE"/>
    <w:rsid w:val="00CB0893"/>
    <w:rsid w:val="00CB1326"/>
    <w:rsid w:val="00CB1CBF"/>
    <w:rsid w:val="00CB22E9"/>
    <w:rsid w:val="00CB2358"/>
    <w:rsid w:val="00CB2858"/>
    <w:rsid w:val="00CB295B"/>
    <w:rsid w:val="00CB3180"/>
    <w:rsid w:val="00CB3474"/>
    <w:rsid w:val="00CB3CB4"/>
    <w:rsid w:val="00CB4795"/>
    <w:rsid w:val="00CB492A"/>
    <w:rsid w:val="00CB4E51"/>
    <w:rsid w:val="00CB5021"/>
    <w:rsid w:val="00CB5392"/>
    <w:rsid w:val="00CB6D9C"/>
    <w:rsid w:val="00CB6DD7"/>
    <w:rsid w:val="00CB70F8"/>
    <w:rsid w:val="00CB78BE"/>
    <w:rsid w:val="00CC0CC1"/>
    <w:rsid w:val="00CC1F03"/>
    <w:rsid w:val="00CC32CE"/>
    <w:rsid w:val="00CC3F4D"/>
    <w:rsid w:val="00CC50F0"/>
    <w:rsid w:val="00CC56C5"/>
    <w:rsid w:val="00CC7056"/>
    <w:rsid w:val="00CC7811"/>
    <w:rsid w:val="00CC7AEF"/>
    <w:rsid w:val="00CD1236"/>
    <w:rsid w:val="00CD1B0F"/>
    <w:rsid w:val="00CD20F6"/>
    <w:rsid w:val="00CD257F"/>
    <w:rsid w:val="00CD4092"/>
    <w:rsid w:val="00CD47F3"/>
    <w:rsid w:val="00CD4E3F"/>
    <w:rsid w:val="00CD529B"/>
    <w:rsid w:val="00CD5A5C"/>
    <w:rsid w:val="00CD5C46"/>
    <w:rsid w:val="00CD5EA2"/>
    <w:rsid w:val="00CD62F5"/>
    <w:rsid w:val="00CD662A"/>
    <w:rsid w:val="00CD6E84"/>
    <w:rsid w:val="00CD6F88"/>
    <w:rsid w:val="00CD7FE0"/>
    <w:rsid w:val="00CE1B8D"/>
    <w:rsid w:val="00CE1CF6"/>
    <w:rsid w:val="00CE29F2"/>
    <w:rsid w:val="00CE3AE2"/>
    <w:rsid w:val="00CE4D92"/>
    <w:rsid w:val="00CE4F62"/>
    <w:rsid w:val="00CE51E9"/>
    <w:rsid w:val="00CE575A"/>
    <w:rsid w:val="00CE5DDE"/>
    <w:rsid w:val="00CE61D9"/>
    <w:rsid w:val="00CE6B40"/>
    <w:rsid w:val="00CE6E20"/>
    <w:rsid w:val="00CE7552"/>
    <w:rsid w:val="00CE7AB1"/>
    <w:rsid w:val="00CE7DF2"/>
    <w:rsid w:val="00CF04E9"/>
    <w:rsid w:val="00CF1190"/>
    <w:rsid w:val="00CF268F"/>
    <w:rsid w:val="00CF4343"/>
    <w:rsid w:val="00CF48A5"/>
    <w:rsid w:val="00CF5619"/>
    <w:rsid w:val="00CF59CB"/>
    <w:rsid w:val="00CF67E1"/>
    <w:rsid w:val="00CF67E8"/>
    <w:rsid w:val="00CF6C59"/>
    <w:rsid w:val="00D00E4C"/>
    <w:rsid w:val="00D01B06"/>
    <w:rsid w:val="00D01B17"/>
    <w:rsid w:val="00D01D84"/>
    <w:rsid w:val="00D02D8B"/>
    <w:rsid w:val="00D032A0"/>
    <w:rsid w:val="00D03E8E"/>
    <w:rsid w:val="00D04983"/>
    <w:rsid w:val="00D04C9B"/>
    <w:rsid w:val="00D05062"/>
    <w:rsid w:val="00D05186"/>
    <w:rsid w:val="00D05940"/>
    <w:rsid w:val="00D069AF"/>
    <w:rsid w:val="00D06D98"/>
    <w:rsid w:val="00D07608"/>
    <w:rsid w:val="00D07890"/>
    <w:rsid w:val="00D0789B"/>
    <w:rsid w:val="00D11643"/>
    <w:rsid w:val="00D13725"/>
    <w:rsid w:val="00D14488"/>
    <w:rsid w:val="00D1463B"/>
    <w:rsid w:val="00D14E06"/>
    <w:rsid w:val="00D153F5"/>
    <w:rsid w:val="00D15DBE"/>
    <w:rsid w:val="00D1630A"/>
    <w:rsid w:val="00D16F78"/>
    <w:rsid w:val="00D17199"/>
    <w:rsid w:val="00D20C5D"/>
    <w:rsid w:val="00D20C63"/>
    <w:rsid w:val="00D21C04"/>
    <w:rsid w:val="00D221E4"/>
    <w:rsid w:val="00D230A0"/>
    <w:rsid w:val="00D23B07"/>
    <w:rsid w:val="00D23DB6"/>
    <w:rsid w:val="00D24DE6"/>
    <w:rsid w:val="00D252F0"/>
    <w:rsid w:val="00D25964"/>
    <w:rsid w:val="00D2600B"/>
    <w:rsid w:val="00D26991"/>
    <w:rsid w:val="00D269C7"/>
    <w:rsid w:val="00D27D26"/>
    <w:rsid w:val="00D308AD"/>
    <w:rsid w:val="00D30A59"/>
    <w:rsid w:val="00D30CAE"/>
    <w:rsid w:val="00D312DA"/>
    <w:rsid w:val="00D31D1D"/>
    <w:rsid w:val="00D3334D"/>
    <w:rsid w:val="00D338D2"/>
    <w:rsid w:val="00D33937"/>
    <w:rsid w:val="00D33C11"/>
    <w:rsid w:val="00D33C90"/>
    <w:rsid w:val="00D33DBE"/>
    <w:rsid w:val="00D35CD4"/>
    <w:rsid w:val="00D35CD9"/>
    <w:rsid w:val="00D3641B"/>
    <w:rsid w:val="00D36620"/>
    <w:rsid w:val="00D36F07"/>
    <w:rsid w:val="00D376C0"/>
    <w:rsid w:val="00D37E0E"/>
    <w:rsid w:val="00D42128"/>
    <w:rsid w:val="00D421D4"/>
    <w:rsid w:val="00D424BC"/>
    <w:rsid w:val="00D431E6"/>
    <w:rsid w:val="00D432AA"/>
    <w:rsid w:val="00D450E8"/>
    <w:rsid w:val="00D45AD4"/>
    <w:rsid w:val="00D45B07"/>
    <w:rsid w:val="00D45C06"/>
    <w:rsid w:val="00D45F18"/>
    <w:rsid w:val="00D46149"/>
    <w:rsid w:val="00D46323"/>
    <w:rsid w:val="00D46720"/>
    <w:rsid w:val="00D47890"/>
    <w:rsid w:val="00D5185D"/>
    <w:rsid w:val="00D51C9B"/>
    <w:rsid w:val="00D52EC4"/>
    <w:rsid w:val="00D52F05"/>
    <w:rsid w:val="00D53183"/>
    <w:rsid w:val="00D54286"/>
    <w:rsid w:val="00D55821"/>
    <w:rsid w:val="00D562FF"/>
    <w:rsid w:val="00D5657B"/>
    <w:rsid w:val="00D565E1"/>
    <w:rsid w:val="00D56CC9"/>
    <w:rsid w:val="00D60AF0"/>
    <w:rsid w:val="00D60B8C"/>
    <w:rsid w:val="00D61115"/>
    <w:rsid w:val="00D628D4"/>
    <w:rsid w:val="00D63926"/>
    <w:rsid w:val="00D63938"/>
    <w:rsid w:val="00D639AD"/>
    <w:rsid w:val="00D64C09"/>
    <w:rsid w:val="00D6538A"/>
    <w:rsid w:val="00D65575"/>
    <w:rsid w:val="00D657B4"/>
    <w:rsid w:val="00D658B4"/>
    <w:rsid w:val="00D66412"/>
    <w:rsid w:val="00D666BF"/>
    <w:rsid w:val="00D66B3E"/>
    <w:rsid w:val="00D67922"/>
    <w:rsid w:val="00D700AD"/>
    <w:rsid w:val="00D70AA9"/>
    <w:rsid w:val="00D70DDC"/>
    <w:rsid w:val="00D719C7"/>
    <w:rsid w:val="00D72D11"/>
    <w:rsid w:val="00D73AAF"/>
    <w:rsid w:val="00D73D48"/>
    <w:rsid w:val="00D75201"/>
    <w:rsid w:val="00D75BEC"/>
    <w:rsid w:val="00D769C3"/>
    <w:rsid w:val="00D77349"/>
    <w:rsid w:val="00D776D1"/>
    <w:rsid w:val="00D80E21"/>
    <w:rsid w:val="00D80F41"/>
    <w:rsid w:val="00D81923"/>
    <w:rsid w:val="00D81BFD"/>
    <w:rsid w:val="00D827AE"/>
    <w:rsid w:val="00D828E0"/>
    <w:rsid w:val="00D82E62"/>
    <w:rsid w:val="00D833EA"/>
    <w:rsid w:val="00D83445"/>
    <w:rsid w:val="00D84802"/>
    <w:rsid w:val="00D852CB"/>
    <w:rsid w:val="00D854E9"/>
    <w:rsid w:val="00D85806"/>
    <w:rsid w:val="00D858BA"/>
    <w:rsid w:val="00D85CEE"/>
    <w:rsid w:val="00D85D0C"/>
    <w:rsid w:val="00D8678F"/>
    <w:rsid w:val="00D8720F"/>
    <w:rsid w:val="00D87CB4"/>
    <w:rsid w:val="00D9026D"/>
    <w:rsid w:val="00D904A8"/>
    <w:rsid w:val="00D9066A"/>
    <w:rsid w:val="00D907FD"/>
    <w:rsid w:val="00D90BA6"/>
    <w:rsid w:val="00D90F69"/>
    <w:rsid w:val="00D9166D"/>
    <w:rsid w:val="00D92613"/>
    <w:rsid w:val="00D93311"/>
    <w:rsid w:val="00D93961"/>
    <w:rsid w:val="00D94FEC"/>
    <w:rsid w:val="00D953E9"/>
    <w:rsid w:val="00D956CE"/>
    <w:rsid w:val="00D96433"/>
    <w:rsid w:val="00D96661"/>
    <w:rsid w:val="00D967D7"/>
    <w:rsid w:val="00D96A29"/>
    <w:rsid w:val="00DA0AE1"/>
    <w:rsid w:val="00DA15C2"/>
    <w:rsid w:val="00DA15C7"/>
    <w:rsid w:val="00DA1949"/>
    <w:rsid w:val="00DA1EEB"/>
    <w:rsid w:val="00DA2ED2"/>
    <w:rsid w:val="00DA31A7"/>
    <w:rsid w:val="00DA3E27"/>
    <w:rsid w:val="00DA49C0"/>
    <w:rsid w:val="00DA4A95"/>
    <w:rsid w:val="00DA4EB4"/>
    <w:rsid w:val="00DA50B7"/>
    <w:rsid w:val="00DA5FFA"/>
    <w:rsid w:val="00DA6692"/>
    <w:rsid w:val="00DA7161"/>
    <w:rsid w:val="00DA7B5E"/>
    <w:rsid w:val="00DB1A09"/>
    <w:rsid w:val="00DB1AB8"/>
    <w:rsid w:val="00DB2131"/>
    <w:rsid w:val="00DB2863"/>
    <w:rsid w:val="00DB291F"/>
    <w:rsid w:val="00DB2A67"/>
    <w:rsid w:val="00DB3689"/>
    <w:rsid w:val="00DB4AF1"/>
    <w:rsid w:val="00DB5967"/>
    <w:rsid w:val="00DB75CF"/>
    <w:rsid w:val="00DB7FBE"/>
    <w:rsid w:val="00DC0139"/>
    <w:rsid w:val="00DC092B"/>
    <w:rsid w:val="00DC1953"/>
    <w:rsid w:val="00DC1EE5"/>
    <w:rsid w:val="00DC1F02"/>
    <w:rsid w:val="00DC21F9"/>
    <w:rsid w:val="00DC2888"/>
    <w:rsid w:val="00DC2E3A"/>
    <w:rsid w:val="00DC3347"/>
    <w:rsid w:val="00DC35C6"/>
    <w:rsid w:val="00DC3AB3"/>
    <w:rsid w:val="00DC3E6B"/>
    <w:rsid w:val="00DC532B"/>
    <w:rsid w:val="00DC586E"/>
    <w:rsid w:val="00DC5BE5"/>
    <w:rsid w:val="00DC61AE"/>
    <w:rsid w:val="00DC65CF"/>
    <w:rsid w:val="00DC6E78"/>
    <w:rsid w:val="00DC7154"/>
    <w:rsid w:val="00DC71C8"/>
    <w:rsid w:val="00DC75AE"/>
    <w:rsid w:val="00DC78E2"/>
    <w:rsid w:val="00DD1508"/>
    <w:rsid w:val="00DD2440"/>
    <w:rsid w:val="00DD2D06"/>
    <w:rsid w:val="00DD3076"/>
    <w:rsid w:val="00DD384C"/>
    <w:rsid w:val="00DD3EE7"/>
    <w:rsid w:val="00DD4625"/>
    <w:rsid w:val="00DD54E9"/>
    <w:rsid w:val="00DD56AC"/>
    <w:rsid w:val="00DD7E81"/>
    <w:rsid w:val="00DE088C"/>
    <w:rsid w:val="00DE0D63"/>
    <w:rsid w:val="00DE19B4"/>
    <w:rsid w:val="00DE2785"/>
    <w:rsid w:val="00DE2BDA"/>
    <w:rsid w:val="00DE3252"/>
    <w:rsid w:val="00DE3E54"/>
    <w:rsid w:val="00DE60C4"/>
    <w:rsid w:val="00DE6279"/>
    <w:rsid w:val="00DE69C3"/>
    <w:rsid w:val="00DE6ABA"/>
    <w:rsid w:val="00DE6B96"/>
    <w:rsid w:val="00DF03D0"/>
    <w:rsid w:val="00DF0583"/>
    <w:rsid w:val="00DF1309"/>
    <w:rsid w:val="00DF1AB3"/>
    <w:rsid w:val="00DF1DF6"/>
    <w:rsid w:val="00DF22B0"/>
    <w:rsid w:val="00DF3C0D"/>
    <w:rsid w:val="00DF3DDF"/>
    <w:rsid w:val="00DF468D"/>
    <w:rsid w:val="00DF55F7"/>
    <w:rsid w:val="00DF5A1F"/>
    <w:rsid w:val="00DF5ADB"/>
    <w:rsid w:val="00DF5BCE"/>
    <w:rsid w:val="00DF75FA"/>
    <w:rsid w:val="00DF7892"/>
    <w:rsid w:val="00DF7B52"/>
    <w:rsid w:val="00DF7EB8"/>
    <w:rsid w:val="00E007F9"/>
    <w:rsid w:val="00E020CD"/>
    <w:rsid w:val="00E02DD9"/>
    <w:rsid w:val="00E02EBB"/>
    <w:rsid w:val="00E03441"/>
    <w:rsid w:val="00E03650"/>
    <w:rsid w:val="00E0554D"/>
    <w:rsid w:val="00E063E1"/>
    <w:rsid w:val="00E064C1"/>
    <w:rsid w:val="00E10677"/>
    <w:rsid w:val="00E10AEE"/>
    <w:rsid w:val="00E10C69"/>
    <w:rsid w:val="00E10D5E"/>
    <w:rsid w:val="00E11C3A"/>
    <w:rsid w:val="00E12923"/>
    <w:rsid w:val="00E12A4D"/>
    <w:rsid w:val="00E134CD"/>
    <w:rsid w:val="00E1379F"/>
    <w:rsid w:val="00E13839"/>
    <w:rsid w:val="00E142EB"/>
    <w:rsid w:val="00E151A3"/>
    <w:rsid w:val="00E1549F"/>
    <w:rsid w:val="00E20A31"/>
    <w:rsid w:val="00E20D9C"/>
    <w:rsid w:val="00E20EC4"/>
    <w:rsid w:val="00E21229"/>
    <w:rsid w:val="00E24305"/>
    <w:rsid w:val="00E24B9F"/>
    <w:rsid w:val="00E24E0E"/>
    <w:rsid w:val="00E24E23"/>
    <w:rsid w:val="00E25432"/>
    <w:rsid w:val="00E2550B"/>
    <w:rsid w:val="00E255D0"/>
    <w:rsid w:val="00E2665A"/>
    <w:rsid w:val="00E26D63"/>
    <w:rsid w:val="00E276D8"/>
    <w:rsid w:val="00E277E7"/>
    <w:rsid w:val="00E279BD"/>
    <w:rsid w:val="00E3190F"/>
    <w:rsid w:val="00E326D7"/>
    <w:rsid w:val="00E330D5"/>
    <w:rsid w:val="00E330FD"/>
    <w:rsid w:val="00E3458E"/>
    <w:rsid w:val="00E34FE6"/>
    <w:rsid w:val="00E356CF"/>
    <w:rsid w:val="00E356D8"/>
    <w:rsid w:val="00E35E4B"/>
    <w:rsid w:val="00E36411"/>
    <w:rsid w:val="00E37799"/>
    <w:rsid w:val="00E4088D"/>
    <w:rsid w:val="00E40B5F"/>
    <w:rsid w:val="00E4165C"/>
    <w:rsid w:val="00E42E92"/>
    <w:rsid w:val="00E434EA"/>
    <w:rsid w:val="00E43BFA"/>
    <w:rsid w:val="00E448F1"/>
    <w:rsid w:val="00E44D5F"/>
    <w:rsid w:val="00E44E65"/>
    <w:rsid w:val="00E458AA"/>
    <w:rsid w:val="00E465AC"/>
    <w:rsid w:val="00E46677"/>
    <w:rsid w:val="00E46E7D"/>
    <w:rsid w:val="00E4719D"/>
    <w:rsid w:val="00E47D35"/>
    <w:rsid w:val="00E47FA8"/>
    <w:rsid w:val="00E50120"/>
    <w:rsid w:val="00E508DC"/>
    <w:rsid w:val="00E509E5"/>
    <w:rsid w:val="00E50C18"/>
    <w:rsid w:val="00E50DB5"/>
    <w:rsid w:val="00E52C19"/>
    <w:rsid w:val="00E554FF"/>
    <w:rsid w:val="00E558E7"/>
    <w:rsid w:val="00E5648F"/>
    <w:rsid w:val="00E56506"/>
    <w:rsid w:val="00E56C6F"/>
    <w:rsid w:val="00E574C4"/>
    <w:rsid w:val="00E61DF2"/>
    <w:rsid w:val="00E624C7"/>
    <w:rsid w:val="00E62AE6"/>
    <w:rsid w:val="00E630B2"/>
    <w:rsid w:val="00E632C6"/>
    <w:rsid w:val="00E638CE"/>
    <w:rsid w:val="00E65894"/>
    <w:rsid w:val="00E65A43"/>
    <w:rsid w:val="00E65BD0"/>
    <w:rsid w:val="00E65C57"/>
    <w:rsid w:val="00E6673C"/>
    <w:rsid w:val="00E671BF"/>
    <w:rsid w:val="00E678EF"/>
    <w:rsid w:val="00E67A6C"/>
    <w:rsid w:val="00E70502"/>
    <w:rsid w:val="00E707CE"/>
    <w:rsid w:val="00E70DAA"/>
    <w:rsid w:val="00E70E14"/>
    <w:rsid w:val="00E7104C"/>
    <w:rsid w:val="00E718F2"/>
    <w:rsid w:val="00E72B69"/>
    <w:rsid w:val="00E72DF1"/>
    <w:rsid w:val="00E731B4"/>
    <w:rsid w:val="00E73202"/>
    <w:rsid w:val="00E73801"/>
    <w:rsid w:val="00E73A05"/>
    <w:rsid w:val="00E7411D"/>
    <w:rsid w:val="00E742F7"/>
    <w:rsid w:val="00E74C0C"/>
    <w:rsid w:val="00E7513F"/>
    <w:rsid w:val="00E760AE"/>
    <w:rsid w:val="00E76313"/>
    <w:rsid w:val="00E76A5D"/>
    <w:rsid w:val="00E77531"/>
    <w:rsid w:val="00E77D47"/>
    <w:rsid w:val="00E803F8"/>
    <w:rsid w:val="00E80A7E"/>
    <w:rsid w:val="00E81252"/>
    <w:rsid w:val="00E81613"/>
    <w:rsid w:val="00E819BD"/>
    <w:rsid w:val="00E829C5"/>
    <w:rsid w:val="00E831EB"/>
    <w:rsid w:val="00E8435A"/>
    <w:rsid w:val="00E849DA"/>
    <w:rsid w:val="00E84A7A"/>
    <w:rsid w:val="00E851B8"/>
    <w:rsid w:val="00E859B1"/>
    <w:rsid w:val="00E869DC"/>
    <w:rsid w:val="00E86FA6"/>
    <w:rsid w:val="00E90238"/>
    <w:rsid w:val="00E910DA"/>
    <w:rsid w:val="00E91BEA"/>
    <w:rsid w:val="00E9285F"/>
    <w:rsid w:val="00E940F5"/>
    <w:rsid w:val="00E94A53"/>
    <w:rsid w:val="00E95008"/>
    <w:rsid w:val="00E95231"/>
    <w:rsid w:val="00E95283"/>
    <w:rsid w:val="00E95AE5"/>
    <w:rsid w:val="00E95B5F"/>
    <w:rsid w:val="00E95E94"/>
    <w:rsid w:val="00E960D9"/>
    <w:rsid w:val="00E96135"/>
    <w:rsid w:val="00E9652B"/>
    <w:rsid w:val="00E96BC4"/>
    <w:rsid w:val="00E96E19"/>
    <w:rsid w:val="00E96E4B"/>
    <w:rsid w:val="00E97873"/>
    <w:rsid w:val="00EA081B"/>
    <w:rsid w:val="00EA0A37"/>
    <w:rsid w:val="00EA0A65"/>
    <w:rsid w:val="00EA129C"/>
    <w:rsid w:val="00EA2174"/>
    <w:rsid w:val="00EA3415"/>
    <w:rsid w:val="00EA3849"/>
    <w:rsid w:val="00EA4391"/>
    <w:rsid w:val="00EA494C"/>
    <w:rsid w:val="00EA4C65"/>
    <w:rsid w:val="00EA58BB"/>
    <w:rsid w:val="00EA645F"/>
    <w:rsid w:val="00EA6B7C"/>
    <w:rsid w:val="00EA6EA3"/>
    <w:rsid w:val="00EB0334"/>
    <w:rsid w:val="00EB0AEE"/>
    <w:rsid w:val="00EB1288"/>
    <w:rsid w:val="00EB1E41"/>
    <w:rsid w:val="00EB2F5D"/>
    <w:rsid w:val="00EB2F62"/>
    <w:rsid w:val="00EB362B"/>
    <w:rsid w:val="00EB3784"/>
    <w:rsid w:val="00EB37C4"/>
    <w:rsid w:val="00EB4450"/>
    <w:rsid w:val="00EB493F"/>
    <w:rsid w:val="00EB4F82"/>
    <w:rsid w:val="00EB5A3F"/>
    <w:rsid w:val="00EB7C8D"/>
    <w:rsid w:val="00EC0834"/>
    <w:rsid w:val="00EC1637"/>
    <w:rsid w:val="00EC301A"/>
    <w:rsid w:val="00EC337B"/>
    <w:rsid w:val="00EC34C9"/>
    <w:rsid w:val="00EC3560"/>
    <w:rsid w:val="00EC3731"/>
    <w:rsid w:val="00EC4DCD"/>
    <w:rsid w:val="00EC4E0E"/>
    <w:rsid w:val="00EC5F98"/>
    <w:rsid w:val="00EC6094"/>
    <w:rsid w:val="00EC62EA"/>
    <w:rsid w:val="00EC66D8"/>
    <w:rsid w:val="00ED12B8"/>
    <w:rsid w:val="00ED1812"/>
    <w:rsid w:val="00ED221A"/>
    <w:rsid w:val="00ED223F"/>
    <w:rsid w:val="00ED24E1"/>
    <w:rsid w:val="00ED2669"/>
    <w:rsid w:val="00ED38FB"/>
    <w:rsid w:val="00ED3E11"/>
    <w:rsid w:val="00ED3E28"/>
    <w:rsid w:val="00ED5110"/>
    <w:rsid w:val="00ED5448"/>
    <w:rsid w:val="00ED5A88"/>
    <w:rsid w:val="00ED620C"/>
    <w:rsid w:val="00ED638A"/>
    <w:rsid w:val="00ED7144"/>
    <w:rsid w:val="00ED7343"/>
    <w:rsid w:val="00ED7524"/>
    <w:rsid w:val="00ED7B17"/>
    <w:rsid w:val="00EE10BD"/>
    <w:rsid w:val="00EE1C25"/>
    <w:rsid w:val="00EE30FD"/>
    <w:rsid w:val="00EE4156"/>
    <w:rsid w:val="00EE456F"/>
    <w:rsid w:val="00EE471B"/>
    <w:rsid w:val="00EE5297"/>
    <w:rsid w:val="00EE5761"/>
    <w:rsid w:val="00EE5BD0"/>
    <w:rsid w:val="00EE5E80"/>
    <w:rsid w:val="00EE6BEA"/>
    <w:rsid w:val="00EE7733"/>
    <w:rsid w:val="00EF1191"/>
    <w:rsid w:val="00EF16DF"/>
    <w:rsid w:val="00EF1CB3"/>
    <w:rsid w:val="00EF2E6F"/>
    <w:rsid w:val="00EF354B"/>
    <w:rsid w:val="00EF3CEF"/>
    <w:rsid w:val="00EF40BF"/>
    <w:rsid w:val="00EF4AC7"/>
    <w:rsid w:val="00EF4C69"/>
    <w:rsid w:val="00EF4CAF"/>
    <w:rsid w:val="00EF57AB"/>
    <w:rsid w:val="00EF60ED"/>
    <w:rsid w:val="00EF634B"/>
    <w:rsid w:val="00EF6376"/>
    <w:rsid w:val="00EF6C39"/>
    <w:rsid w:val="00EF798E"/>
    <w:rsid w:val="00EF7BE2"/>
    <w:rsid w:val="00EF7DBB"/>
    <w:rsid w:val="00F008C0"/>
    <w:rsid w:val="00F017F4"/>
    <w:rsid w:val="00F0261C"/>
    <w:rsid w:val="00F02E10"/>
    <w:rsid w:val="00F0323E"/>
    <w:rsid w:val="00F049ED"/>
    <w:rsid w:val="00F04D45"/>
    <w:rsid w:val="00F04E86"/>
    <w:rsid w:val="00F05CBC"/>
    <w:rsid w:val="00F06A9D"/>
    <w:rsid w:val="00F07233"/>
    <w:rsid w:val="00F07EA3"/>
    <w:rsid w:val="00F10BDA"/>
    <w:rsid w:val="00F10EDC"/>
    <w:rsid w:val="00F110F9"/>
    <w:rsid w:val="00F114F2"/>
    <w:rsid w:val="00F11C32"/>
    <w:rsid w:val="00F14994"/>
    <w:rsid w:val="00F14A80"/>
    <w:rsid w:val="00F15026"/>
    <w:rsid w:val="00F15560"/>
    <w:rsid w:val="00F157AC"/>
    <w:rsid w:val="00F16C5A"/>
    <w:rsid w:val="00F17597"/>
    <w:rsid w:val="00F176A9"/>
    <w:rsid w:val="00F17C99"/>
    <w:rsid w:val="00F20471"/>
    <w:rsid w:val="00F20B19"/>
    <w:rsid w:val="00F2172B"/>
    <w:rsid w:val="00F21D6F"/>
    <w:rsid w:val="00F21FA1"/>
    <w:rsid w:val="00F22178"/>
    <w:rsid w:val="00F225E9"/>
    <w:rsid w:val="00F22A56"/>
    <w:rsid w:val="00F22C81"/>
    <w:rsid w:val="00F230C1"/>
    <w:rsid w:val="00F24C7A"/>
    <w:rsid w:val="00F2664F"/>
    <w:rsid w:val="00F267FA"/>
    <w:rsid w:val="00F26C1B"/>
    <w:rsid w:val="00F270B5"/>
    <w:rsid w:val="00F27462"/>
    <w:rsid w:val="00F27748"/>
    <w:rsid w:val="00F305BE"/>
    <w:rsid w:val="00F30E2E"/>
    <w:rsid w:val="00F31159"/>
    <w:rsid w:val="00F31820"/>
    <w:rsid w:val="00F31E0F"/>
    <w:rsid w:val="00F32EA0"/>
    <w:rsid w:val="00F342ED"/>
    <w:rsid w:val="00F34E24"/>
    <w:rsid w:val="00F34E56"/>
    <w:rsid w:val="00F35B94"/>
    <w:rsid w:val="00F35DC3"/>
    <w:rsid w:val="00F36410"/>
    <w:rsid w:val="00F37081"/>
    <w:rsid w:val="00F408F7"/>
    <w:rsid w:val="00F413C0"/>
    <w:rsid w:val="00F4214C"/>
    <w:rsid w:val="00F42365"/>
    <w:rsid w:val="00F424DA"/>
    <w:rsid w:val="00F42701"/>
    <w:rsid w:val="00F433E4"/>
    <w:rsid w:val="00F4370A"/>
    <w:rsid w:val="00F4397D"/>
    <w:rsid w:val="00F450B4"/>
    <w:rsid w:val="00F46A85"/>
    <w:rsid w:val="00F46EAA"/>
    <w:rsid w:val="00F50402"/>
    <w:rsid w:val="00F509E9"/>
    <w:rsid w:val="00F50C6D"/>
    <w:rsid w:val="00F5189D"/>
    <w:rsid w:val="00F5293C"/>
    <w:rsid w:val="00F52B64"/>
    <w:rsid w:val="00F53002"/>
    <w:rsid w:val="00F53630"/>
    <w:rsid w:val="00F53BF6"/>
    <w:rsid w:val="00F54314"/>
    <w:rsid w:val="00F5560B"/>
    <w:rsid w:val="00F56D4A"/>
    <w:rsid w:val="00F5766C"/>
    <w:rsid w:val="00F57831"/>
    <w:rsid w:val="00F61C9D"/>
    <w:rsid w:val="00F62331"/>
    <w:rsid w:val="00F62C3B"/>
    <w:rsid w:val="00F63173"/>
    <w:rsid w:val="00F6321F"/>
    <w:rsid w:val="00F63DF5"/>
    <w:rsid w:val="00F6492E"/>
    <w:rsid w:val="00F66A67"/>
    <w:rsid w:val="00F673E6"/>
    <w:rsid w:val="00F67597"/>
    <w:rsid w:val="00F67EEE"/>
    <w:rsid w:val="00F7034F"/>
    <w:rsid w:val="00F70422"/>
    <w:rsid w:val="00F70493"/>
    <w:rsid w:val="00F70690"/>
    <w:rsid w:val="00F706C3"/>
    <w:rsid w:val="00F70ACB"/>
    <w:rsid w:val="00F70CCD"/>
    <w:rsid w:val="00F70FB5"/>
    <w:rsid w:val="00F71008"/>
    <w:rsid w:val="00F71A9E"/>
    <w:rsid w:val="00F71CFF"/>
    <w:rsid w:val="00F71EAE"/>
    <w:rsid w:val="00F729CC"/>
    <w:rsid w:val="00F73F2C"/>
    <w:rsid w:val="00F740F7"/>
    <w:rsid w:val="00F7765F"/>
    <w:rsid w:val="00F80A48"/>
    <w:rsid w:val="00F80CC5"/>
    <w:rsid w:val="00F817CA"/>
    <w:rsid w:val="00F821B3"/>
    <w:rsid w:val="00F823FD"/>
    <w:rsid w:val="00F842C5"/>
    <w:rsid w:val="00F848CC"/>
    <w:rsid w:val="00F851EA"/>
    <w:rsid w:val="00F85F65"/>
    <w:rsid w:val="00F8663F"/>
    <w:rsid w:val="00F86A8C"/>
    <w:rsid w:val="00F86AA8"/>
    <w:rsid w:val="00F90BE2"/>
    <w:rsid w:val="00F92958"/>
    <w:rsid w:val="00F94643"/>
    <w:rsid w:val="00F94BC9"/>
    <w:rsid w:val="00F94E8E"/>
    <w:rsid w:val="00F95205"/>
    <w:rsid w:val="00F95F2C"/>
    <w:rsid w:val="00F9786E"/>
    <w:rsid w:val="00F978ED"/>
    <w:rsid w:val="00F97A90"/>
    <w:rsid w:val="00FA1A66"/>
    <w:rsid w:val="00FA28DD"/>
    <w:rsid w:val="00FA4018"/>
    <w:rsid w:val="00FA42EF"/>
    <w:rsid w:val="00FA4A63"/>
    <w:rsid w:val="00FA6664"/>
    <w:rsid w:val="00FA673A"/>
    <w:rsid w:val="00FA6DA7"/>
    <w:rsid w:val="00FA6FFD"/>
    <w:rsid w:val="00FA7144"/>
    <w:rsid w:val="00FB0DED"/>
    <w:rsid w:val="00FB1646"/>
    <w:rsid w:val="00FB1BB1"/>
    <w:rsid w:val="00FB2EDB"/>
    <w:rsid w:val="00FB332A"/>
    <w:rsid w:val="00FB37A5"/>
    <w:rsid w:val="00FB3CAB"/>
    <w:rsid w:val="00FB423F"/>
    <w:rsid w:val="00FB5C85"/>
    <w:rsid w:val="00FB61D6"/>
    <w:rsid w:val="00FB69D0"/>
    <w:rsid w:val="00FB784F"/>
    <w:rsid w:val="00FC0727"/>
    <w:rsid w:val="00FC0853"/>
    <w:rsid w:val="00FC1D76"/>
    <w:rsid w:val="00FC29D3"/>
    <w:rsid w:val="00FC2DE0"/>
    <w:rsid w:val="00FC30CE"/>
    <w:rsid w:val="00FC4D0D"/>
    <w:rsid w:val="00FC4D82"/>
    <w:rsid w:val="00FC500A"/>
    <w:rsid w:val="00FC618B"/>
    <w:rsid w:val="00FC6214"/>
    <w:rsid w:val="00FC6F54"/>
    <w:rsid w:val="00FC6F89"/>
    <w:rsid w:val="00FC7AED"/>
    <w:rsid w:val="00FD2DD9"/>
    <w:rsid w:val="00FD3A77"/>
    <w:rsid w:val="00FD3BD5"/>
    <w:rsid w:val="00FD4BA3"/>
    <w:rsid w:val="00FD4E22"/>
    <w:rsid w:val="00FD5200"/>
    <w:rsid w:val="00FD53F1"/>
    <w:rsid w:val="00FD5B2D"/>
    <w:rsid w:val="00FD6FD9"/>
    <w:rsid w:val="00FD783B"/>
    <w:rsid w:val="00FD7C2F"/>
    <w:rsid w:val="00FE0263"/>
    <w:rsid w:val="00FE09FF"/>
    <w:rsid w:val="00FE0C46"/>
    <w:rsid w:val="00FE0F5B"/>
    <w:rsid w:val="00FE18FC"/>
    <w:rsid w:val="00FE2AA0"/>
    <w:rsid w:val="00FE49E2"/>
    <w:rsid w:val="00FE51B4"/>
    <w:rsid w:val="00FE64F8"/>
    <w:rsid w:val="00FE6B82"/>
    <w:rsid w:val="00FE756B"/>
    <w:rsid w:val="00FE7D88"/>
    <w:rsid w:val="00FF2298"/>
    <w:rsid w:val="00FF2B60"/>
    <w:rsid w:val="00FF2E83"/>
    <w:rsid w:val="00FF31FE"/>
    <w:rsid w:val="00FF3D7C"/>
    <w:rsid w:val="00FF3E86"/>
    <w:rsid w:val="00FF4D58"/>
    <w:rsid w:val="00FF5396"/>
    <w:rsid w:val="00FF59CB"/>
    <w:rsid w:val="00FF750D"/>
    <w:rsid w:val="00FF7D35"/>
    <w:rsid w:val="00FF7F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8321D"/>
  <w15:docId w15:val="{948E06CD-B6AC-41BB-B3A1-6DE0E122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27B"/>
    <w:pPr>
      <w:spacing w:after="200" w:line="360" w:lineRule="auto"/>
      <w:jc w:val="both"/>
    </w:pPr>
    <w:rPr>
      <w:rFonts w:ascii="Arial" w:hAnsi="Arial"/>
    </w:rPr>
  </w:style>
  <w:style w:type="paragraph" w:styleId="Heading1">
    <w:name w:val="heading 1"/>
    <w:basedOn w:val="Normal"/>
    <w:next w:val="Normal"/>
    <w:link w:val="Heading1Char"/>
    <w:autoRedefine/>
    <w:uiPriority w:val="9"/>
    <w:qFormat/>
    <w:rsid w:val="00A005DF"/>
    <w:pPr>
      <w:keepNext/>
      <w:keepLines/>
      <w:numPr>
        <w:numId w:val="44"/>
      </w:numPr>
      <w:tabs>
        <w:tab w:val="left" w:pos="357"/>
      </w:tabs>
      <w:spacing w:before="280" w:after="280" w:line="240" w:lineRule="auto"/>
      <w:ind w:left="357" w:hanging="357"/>
      <w:outlineLvl w:val="0"/>
    </w:pPr>
    <w:rPr>
      <w:rFonts w:asciiTheme="minorBidi" w:eastAsiaTheme="majorEastAsia" w:hAnsiTheme="minorBidi"/>
      <w:b/>
      <w:sz w:val="24"/>
    </w:rPr>
  </w:style>
  <w:style w:type="paragraph" w:styleId="Heading2">
    <w:name w:val="heading 2"/>
    <w:basedOn w:val="Normal"/>
    <w:next w:val="Normal"/>
    <w:link w:val="Heading2Char"/>
    <w:uiPriority w:val="9"/>
    <w:unhideWhenUsed/>
    <w:qFormat/>
    <w:rsid w:val="00D967D7"/>
    <w:pPr>
      <w:keepNext/>
      <w:keepLines/>
      <w:tabs>
        <w:tab w:val="left" w:pos="357"/>
      </w:tabs>
      <w:spacing w:before="20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CC7AEF"/>
    <w:pPr>
      <w:keepNext/>
      <w:keepLines/>
      <w:numPr>
        <w:ilvl w:val="2"/>
        <w:numId w:val="25"/>
      </w:numPr>
      <w:spacing w:after="100" w:line="240" w:lineRule="auto"/>
      <w:outlineLvl w:val="2"/>
    </w:pPr>
    <w:rPr>
      <w:rFonts w:eastAsiaTheme="majorEastAsia" w:cstheme="majorBidi"/>
      <w:sz w:val="24"/>
      <w:szCs w:val="24"/>
    </w:rPr>
  </w:style>
  <w:style w:type="paragraph" w:styleId="Heading4">
    <w:name w:val="heading 4"/>
    <w:basedOn w:val="Normal"/>
    <w:next w:val="Normal"/>
    <w:link w:val="Heading4Char"/>
    <w:uiPriority w:val="9"/>
    <w:semiHidden/>
    <w:unhideWhenUsed/>
    <w:qFormat/>
    <w:rsid w:val="00BA4FA2"/>
    <w:pPr>
      <w:keepNext/>
      <w:keepLines/>
      <w:numPr>
        <w:ilvl w:val="3"/>
        <w:numId w:val="2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6134"/>
    <w:pPr>
      <w:keepNext/>
      <w:keepLines/>
      <w:numPr>
        <w:ilvl w:val="4"/>
        <w:numId w:val="2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06134"/>
    <w:pPr>
      <w:keepNext/>
      <w:keepLines/>
      <w:numPr>
        <w:ilvl w:val="5"/>
        <w:numId w:val="2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06134"/>
    <w:pPr>
      <w:keepNext/>
      <w:keepLines/>
      <w:numPr>
        <w:ilvl w:val="6"/>
        <w:numId w:val="2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06134"/>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6134"/>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2136"/>
    <w:pPr>
      <w:spacing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A2136"/>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A005DF"/>
    <w:rPr>
      <w:rFonts w:asciiTheme="minorBidi" w:eastAsiaTheme="majorEastAsia" w:hAnsiTheme="minorBidi"/>
      <w:b/>
      <w:sz w:val="24"/>
    </w:rPr>
  </w:style>
  <w:style w:type="paragraph" w:styleId="Header">
    <w:name w:val="header"/>
    <w:basedOn w:val="Normal"/>
    <w:link w:val="HeaderChar"/>
    <w:uiPriority w:val="99"/>
    <w:unhideWhenUsed/>
    <w:rsid w:val="00725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337"/>
  </w:style>
  <w:style w:type="paragraph" w:styleId="Footer">
    <w:name w:val="footer"/>
    <w:basedOn w:val="Normal"/>
    <w:link w:val="FooterChar"/>
    <w:uiPriority w:val="99"/>
    <w:unhideWhenUsed/>
    <w:rsid w:val="00725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337"/>
  </w:style>
  <w:style w:type="character" w:customStyle="1" w:styleId="Heading2Char">
    <w:name w:val="Heading 2 Char"/>
    <w:basedOn w:val="DefaultParagraphFont"/>
    <w:link w:val="Heading2"/>
    <w:uiPriority w:val="9"/>
    <w:rsid w:val="00A005DF"/>
    <w:rPr>
      <w:rFonts w:ascii="Arial" w:eastAsiaTheme="majorEastAsia" w:hAnsi="Arial" w:cstheme="majorBidi"/>
      <w:b/>
      <w:i/>
      <w:szCs w:val="26"/>
    </w:rPr>
  </w:style>
  <w:style w:type="paragraph" w:styleId="Caption">
    <w:name w:val="caption"/>
    <w:basedOn w:val="Normal"/>
    <w:next w:val="Normal"/>
    <w:uiPriority w:val="35"/>
    <w:unhideWhenUsed/>
    <w:qFormat/>
    <w:rsid w:val="00E37799"/>
    <w:pPr>
      <w:spacing w:line="240" w:lineRule="auto"/>
    </w:pPr>
    <w:rPr>
      <w:i/>
      <w:iCs/>
      <w:szCs w:val="18"/>
    </w:rPr>
  </w:style>
  <w:style w:type="paragraph" w:customStyle="1" w:styleId="Indentquote">
    <w:name w:val="Indent quote"/>
    <w:basedOn w:val="Normal"/>
    <w:qFormat/>
    <w:rsid w:val="00ED7144"/>
    <w:pPr>
      <w:spacing w:line="240" w:lineRule="auto"/>
      <w:ind w:left="720" w:right="720"/>
    </w:pPr>
    <w:rPr>
      <w:i/>
    </w:rPr>
  </w:style>
  <w:style w:type="character" w:customStyle="1" w:styleId="Heading3Char">
    <w:name w:val="Heading 3 Char"/>
    <w:basedOn w:val="DefaultParagraphFont"/>
    <w:link w:val="Heading3"/>
    <w:uiPriority w:val="9"/>
    <w:rsid w:val="00CC7AEF"/>
    <w:rPr>
      <w:rFonts w:eastAsiaTheme="majorEastAsia" w:cstheme="majorBidi"/>
      <w:sz w:val="24"/>
      <w:szCs w:val="24"/>
    </w:rPr>
  </w:style>
  <w:style w:type="table" w:styleId="TableGrid">
    <w:name w:val="Table Grid"/>
    <w:basedOn w:val="TableNormal"/>
    <w:uiPriority w:val="39"/>
    <w:rsid w:val="0043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11627B"/>
    <w:pPr>
      <w:spacing w:after="0" w:line="240" w:lineRule="auto"/>
      <w:jc w:val="left"/>
    </w:pPr>
    <w:rPr>
      <w:sz w:val="18"/>
    </w:rPr>
  </w:style>
  <w:style w:type="paragraph" w:customStyle="1" w:styleId="References">
    <w:name w:val="References"/>
    <w:basedOn w:val="Normal"/>
    <w:link w:val="ReferencesChar"/>
    <w:qFormat/>
    <w:rsid w:val="005C6173"/>
    <w:pPr>
      <w:spacing w:after="0"/>
      <w:ind w:left="360" w:hanging="360"/>
    </w:pPr>
    <w:rPr>
      <w:rFonts w:cs="Times New Roman"/>
      <w:szCs w:val="24"/>
    </w:rPr>
  </w:style>
  <w:style w:type="character" w:customStyle="1" w:styleId="ReferencesChar">
    <w:name w:val="References Char"/>
    <w:basedOn w:val="DefaultParagraphFont"/>
    <w:link w:val="References"/>
    <w:rsid w:val="005C6173"/>
    <w:rPr>
      <w:rFonts w:cs="Times New Roman"/>
      <w:szCs w:val="24"/>
    </w:rPr>
  </w:style>
  <w:style w:type="paragraph" w:styleId="BalloonText">
    <w:name w:val="Balloon Text"/>
    <w:basedOn w:val="Normal"/>
    <w:link w:val="BalloonTextChar"/>
    <w:uiPriority w:val="99"/>
    <w:semiHidden/>
    <w:unhideWhenUsed/>
    <w:rsid w:val="00C9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C5"/>
    <w:rPr>
      <w:rFonts w:ascii="Tahoma" w:hAnsi="Tahoma" w:cs="Tahoma"/>
      <w:sz w:val="16"/>
      <w:szCs w:val="16"/>
    </w:rPr>
  </w:style>
  <w:style w:type="paragraph" w:styleId="ListParagraph">
    <w:name w:val="List Paragraph"/>
    <w:basedOn w:val="Normal"/>
    <w:uiPriority w:val="34"/>
    <w:qFormat/>
    <w:rsid w:val="00DB4AF1"/>
    <w:pPr>
      <w:ind w:left="720"/>
      <w:contextualSpacing/>
    </w:pPr>
  </w:style>
  <w:style w:type="character" w:styleId="Hyperlink">
    <w:name w:val="Hyperlink"/>
    <w:basedOn w:val="DefaultParagraphFont"/>
    <w:uiPriority w:val="99"/>
    <w:unhideWhenUsed/>
    <w:rsid w:val="008412C4"/>
    <w:rPr>
      <w:color w:val="0000FF"/>
      <w:u w:val="single"/>
    </w:rPr>
  </w:style>
  <w:style w:type="character" w:customStyle="1" w:styleId="Heading4Char">
    <w:name w:val="Heading 4 Char"/>
    <w:basedOn w:val="DefaultParagraphFont"/>
    <w:link w:val="Heading4"/>
    <w:uiPriority w:val="9"/>
    <w:semiHidden/>
    <w:rsid w:val="00BA4FA2"/>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027F45"/>
    <w:rPr>
      <w:sz w:val="16"/>
      <w:szCs w:val="16"/>
    </w:rPr>
  </w:style>
  <w:style w:type="paragraph" w:styleId="CommentText">
    <w:name w:val="annotation text"/>
    <w:basedOn w:val="Normal"/>
    <w:link w:val="CommentTextChar"/>
    <w:uiPriority w:val="99"/>
    <w:semiHidden/>
    <w:unhideWhenUsed/>
    <w:rsid w:val="00027F45"/>
    <w:pPr>
      <w:spacing w:line="240" w:lineRule="auto"/>
    </w:pPr>
    <w:rPr>
      <w:sz w:val="20"/>
      <w:szCs w:val="20"/>
    </w:rPr>
  </w:style>
  <w:style w:type="character" w:customStyle="1" w:styleId="CommentTextChar">
    <w:name w:val="Comment Text Char"/>
    <w:basedOn w:val="DefaultParagraphFont"/>
    <w:link w:val="CommentText"/>
    <w:uiPriority w:val="99"/>
    <w:semiHidden/>
    <w:rsid w:val="00027F45"/>
    <w:rPr>
      <w:sz w:val="20"/>
      <w:szCs w:val="20"/>
    </w:rPr>
  </w:style>
  <w:style w:type="paragraph" w:styleId="CommentSubject">
    <w:name w:val="annotation subject"/>
    <w:basedOn w:val="CommentText"/>
    <w:next w:val="CommentText"/>
    <w:link w:val="CommentSubjectChar"/>
    <w:uiPriority w:val="99"/>
    <w:semiHidden/>
    <w:unhideWhenUsed/>
    <w:rsid w:val="00027F45"/>
    <w:rPr>
      <w:b/>
      <w:bCs/>
    </w:rPr>
  </w:style>
  <w:style w:type="character" w:customStyle="1" w:styleId="CommentSubjectChar">
    <w:name w:val="Comment Subject Char"/>
    <w:basedOn w:val="CommentTextChar"/>
    <w:link w:val="CommentSubject"/>
    <w:uiPriority w:val="99"/>
    <w:semiHidden/>
    <w:rsid w:val="00027F45"/>
    <w:rPr>
      <w:b/>
      <w:bCs/>
      <w:sz w:val="20"/>
      <w:szCs w:val="20"/>
    </w:rPr>
  </w:style>
  <w:style w:type="character" w:customStyle="1" w:styleId="Heading5Char">
    <w:name w:val="Heading 5 Char"/>
    <w:basedOn w:val="DefaultParagraphFont"/>
    <w:link w:val="Heading5"/>
    <w:uiPriority w:val="9"/>
    <w:semiHidden/>
    <w:rsid w:val="00C0613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0613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0613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061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6134"/>
    <w:rPr>
      <w:rFonts w:asciiTheme="majorHAnsi" w:eastAsiaTheme="majorEastAsia" w:hAnsiTheme="majorHAnsi" w:cstheme="majorBidi"/>
      <w:i/>
      <w:iCs/>
      <w:color w:val="272727" w:themeColor="text1" w:themeTint="D8"/>
      <w:sz w:val="21"/>
      <w:szCs w:val="21"/>
    </w:rPr>
  </w:style>
  <w:style w:type="paragraph" w:customStyle="1" w:styleId="EndNoteBibliography">
    <w:name w:val="EndNote Bibliography"/>
    <w:basedOn w:val="Normal"/>
    <w:link w:val="EndNoteBibliographyChar"/>
    <w:rsid w:val="00E24E0E"/>
    <w:pPr>
      <w:spacing w:line="240" w:lineRule="auto"/>
    </w:pPr>
    <w:rPr>
      <w:rFonts w:ascii="Calibri" w:eastAsia="Calibri" w:hAnsi="Calibri" w:cs="Calibri"/>
      <w:noProof/>
      <w:lang w:val="en-US" w:eastAsia="en-US"/>
    </w:rPr>
  </w:style>
  <w:style w:type="character" w:customStyle="1" w:styleId="EndNoteBibliographyChar">
    <w:name w:val="EndNote Bibliography Char"/>
    <w:basedOn w:val="DefaultParagraphFont"/>
    <w:link w:val="EndNoteBibliography"/>
    <w:rsid w:val="00E24E0E"/>
    <w:rPr>
      <w:rFonts w:ascii="Calibri" w:eastAsia="Calibri" w:hAnsi="Calibri" w:cs="Calibri"/>
      <w:noProof/>
      <w:lang w:val="en-US" w:eastAsia="en-US"/>
    </w:rPr>
  </w:style>
  <w:style w:type="character" w:customStyle="1" w:styleId="UnresolvedMention1">
    <w:name w:val="Unresolved Mention1"/>
    <w:basedOn w:val="DefaultParagraphFont"/>
    <w:uiPriority w:val="99"/>
    <w:semiHidden/>
    <w:unhideWhenUsed/>
    <w:rsid w:val="00AD7279"/>
    <w:rPr>
      <w:color w:val="605E5C"/>
      <w:shd w:val="clear" w:color="auto" w:fill="E1DFDD"/>
    </w:rPr>
  </w:style>
  <w:style w:type="paragraph" w:styleId="NormalWeb">
    <w:name w:val="Normal (Web)"/>
    <w:basedOn w:val="Normal"/>
    <w:uiPriority w:val="99"/>
    <w:semiHidden/>
    <w:unhideWhenUsed/>
    <w:rsid w:val="006D008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7411D"/>
    <w:pPr>
      <w:spacing w:after="0" w:line="240" w:lineRule="auto"/>
    </w:pPr>
  </w:style>
  <w:style w:type="paragraph" w:styleId="NoSpacing">
    <w:name w:val="No Spacing"/>
    <w:uiPriority w:val="1"/>
    <w:qFormat/>
    <w:rsid w:val="00D967D7"/>
    <w:pPr>
      <w:spacing w:after="0" w:line="240" w:lineRule="auto"/>
    </w:pPr>
    <w:rPr>
      <w:rFonts w:ascii="Arial" w:hAnsi="Arial"/>
    </w:rPr>
  </w:style>
  <w:style w:type="paragraph" w:styleId="FootnoteText">
    <w:name w:val="footnote text"/>
    <w:basedOn w:val="Normal"/>
    <w:link w:val="FootnoteTextChar"/>
    <w:uiPriority w:val="99"/>
    <w:semiHidden/>
    <w:unhideWhenUsed/>
    <w:rsid w:val="00283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C10"/>
    <w:rPr>
      <w:rFonts w:ascii="Arial" w:hAnsi="Arial"/>
      <w:sz w:val="20"/>
      <w:szCs w:val="20"/>
    </w:rPr>
  </w:style>
  <w:style w:type="character" w:styleId="FootnoteReference">
    <w:name w:val="footnote reference"/>
    <w:basedOn w:val="DefaultParagraphFont"/>
    <w:uiPriority w:val="99"/>
    <w:semiHidden/>
    <w:unhideWhenUsed/>
    <w:rsid w:val="00283C10"/>
    <w:rPr>
      <w:vertAlign w:val="superscript"/>
    </w:rPr>
  </w:style>
  <w:style w:type="paragraph" w:styleId="IntenseQuote">
    <w:name w:val="Intense Quote"/>
    <w:basedOn w:val="Normal"/>
    <w:next w:val="Normal"/>
    <w:link w:val="IntenseQuoteChar"/>
    <w:uiPriority w:val="30"/>
    <w:qFormat/>
    <w:rsid w:val="00096F44"/>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i/>
      <w:iCs/>
      <w:color w:val="4472C4" w:themeColor="accent1"/>
      <w:lang w:val="en-NZ" w:eastAsia="en-US"/>
    </w:rPr>
  </w:style>
  <w:style w:type="character" w:customStyle="1" w:styleId="IntenseQuoteChar">
    <w:name w:val="Intense Quote Char"/>
    <w:basedOn w:val="DefaultParagraphFont"/>
    <w:link w:val="IntenseQuote"/>
    <w:uiPriority w:val="30"/>
    <w:rsid w:val="00096F44"/>
    <w:rPr>
      <w:i/>
      <w:iCs/>
      <w:color w:val="4472C4" w:themeColor="accent1"/>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4882">
      <w:bodyDiv w:val="1"/>
      <w:marLeft w:val="0"/>
      <w:marRight w:val="0"/>
      <w:marTop w:val="0"/>
      <w:marBottom w:val="0"/>
      <w:divBdr>
        <w:top w:val="none" w:sz="0" w:space="0" w:color="auto"/>
        <w:left w:val="none" w:sz="0" w:space="0" w:color="auto"/>
        <w:bottom w:val="none" w:sz="0" w:space="0" w:color="auto"/>
        <w:right w:val="none" w:sz="0" w:space="0" w:color="auto"/>
      </w:divBdr>
    </w:div>
    <w:div w:id="230503964">
      <w:bodyDiv w:val="1"/>
      <w:marLeft w:val="0"/>
      <w:marRight w:val="0"/>
      <w:marTop w:val="0"/>
      <w:marBottom w:val="0"/>
      <w:divBdr>
        <w:top w:val="none" w:sz="0" w:space="0" w:color="auto"/>
        <w:left w:val="none" w:sz="0" w:space="0" w:color="auto"/>
        <w:bottom w:val="none" w:sz="0" w:space="0" w:color="auto"/>
        <w:right w:val="none" w:sz="0" w:space="0" w:color="auto"/>
      </w:divBdr>
    </w:div>
    <w:div w:id="453405221">
      <w:bodyDiv w:val="1"/>
      <w:marLeft w:val="0"/>
      <w:marRight w:val="0"/>
      <w:marTop w:val="0"/>
      <w:marBottom w:val="0"/>
      <w:divBdr>
        <w:top w:val="none" w:sz="0" w:space="0" w:color="auto"/>
        <w:left w:val="none" w:sz="0" w:space="0" w:color="auto"/>
        <w:bottom w:val="none" w:sz="0" w:space="0" w:color="auto"/>
        <w:right w:val="none" w:sz="0" w:space="0" w:color="auto"/>
      </w:divBdr>
    </w:div>
    <w:div w:id="512649670">
      <w:bodyDiv w:val="1"/>
      <w:marLeft w:val="0"/>
      <w:marRight w:val="0"/>
      <w:marTop w:val="0"/>
      <w:marBottom w:val="0"/>
      <w:divBdr>
        <w:top w:val="none" w:sz="0" w:space="0" w:color="auto"/>
        <w:left w:val="none" w:sz="0" w:space="0" w:color="auto"/>
        <w:bottom w:val="none" w:sz="0" w:space="0" w:color="auto"/>
        <w:right w:val="none" w:sz="0" w:space="0" w:color="auto"/>
      </w:divBdr>
    </w:div>
    <w:div w:id="728722033">
      <w:bodyDiv w:val="1"/>
      <w:marLeft w:val="0"/>
      <w:marRight w:val="0"/>
      <w:marTop w:val="0"/>
      <w:marBottom w:val="0"/>
      <w:divBdr>
        <w:top w:val="none" w:sz="0" w:space="0" w:color="auto"/>
        <w:left w:val="none" w:sz="0" w:space="0" w:color="auto"/>
        <w:bottom w:val="none" w:sz="0" w:space="0" w:color="auto"/>
        <w:right w:val="none" w:sz="0" w:space="0" w:color="auto"/>
      </w:divBdr>
    </w:div>
    <w:div w:id="768890545">
      <w:bodyDiv w:val="1"/>
      <w:marLeft w:val="0"/>
      <w:marRight w:val="0"/>
      <w:marTop w:val="0"/>
      <w:marBottom w:val="0"/>
      <w:divBdr>
        <w:top w:val="none" w:sz="0" w:space="0" w:color="auto"/>
        <w:left w:val="none" w:sz="0" w:space="0" w:color="auto"/>
        <w:bottom w:val="none" w:sz="0" w:space="0" w:color="auto"/>
        <w:right w:val="none" w:sz="0" w:space="0" w:color="auto"/>
      </w:divBdr>
    </w:div>
    <w:div w:id="841430530">
      <w:bodyDiv w:val="1"/>
      <w:marLeft w:val="0"/>
      <w:marRight w:val="0"/>
      <w:marTop w:val="0"/>
      <w:marBottom w:val="0"/>
      <w:divBdr>
        <w:top w:val="none" w:sz="0" w:space="0" w:color="auto"/>
        <w:left w:val="none" w:sz="0" w:space="0" w:color="auto"/>
        <w:bottom w:val="none" w:sz="0" w:space="0" w:color="auto"/>
        <w:right w:val="none" w:sz="0" w:space="0" w:color="auto"/>
      </w:divBdr>
    </w:div>
    <w:div w:id="871501345">
      <w:bodyDiv w:val="1"/>
      <w:marLeft w:val="0"/>
      <w:marRight w:val="0"/>
      <w:marTop w:val="0"/>
      <w:marBottom w:val="0"/>
      <w:divBdr>
        <w:top w:val="none" w:sz="0" w:space="0" w:color="auto"/>
        <w:left w:val="none" w:sz="0" w:space="0" w:color="auto"/>
        <w:bottom w:val="none" w:sz="0" w:space="0" w:color="auto"/>
        <w:right w:val="none" w:sz="0" w:space="0" w:color="auto"/>
      </w:divBdr>
    </w:div>
    <w:div w:id="1115714894">
      <w:bodyDiv w:val="1"/>
      <w:marLeft w:val="0"/>
      <w:marRight w:val="0"/>
      <w:marTop w:val="0"/>
      <w:marBottom w:val="0"/>
      <w:divBdr>
        <w:top w:val="none" w:sz="0" w:space="0" w:color="auto"/>
        <w:left w:val="none" w:sz="0" w:space="0" w:color="auto"/>
        <w:bottom w:val="none" w:sz="0" w:space="0" w:color="auto"/>
        <w:right w:val="none" w:sz="0" w:space="0" w:color="auto"/>
      </w:divBdr>
    </w:div>
    <w:div w:id="1133525647">
      <w:bodyDiv w:val="1"/>
      <w:marLeft w:val="0"/>
      <w:marRight w:val="0"/>
      <w:marTop w:val="0"/>
      <w:marBottom w:val="0"/>
      <w:divBdr>
        <w:top w:val="none" w:sz="0" w:space="0" w:color="auto"/>
        <w:left w:val="none" w:sz="0" w:space="0" w:color="auto"/>
        <w:bottom w:val="none" w:sz="0" w:space="0" w:color="auto"/>
        <w:right w:val="none" w:sz="0" w:space="0" w:color="auto"/>
      </w:divBdr>
      <w:divsChild>
        <w:div w:id="212039445">
          <w:marLeft w:val="0"/>
          <w:marRight w:val="0"/>
          <w:marTop w:val="0"/>
          <w:marBottom w:val="0"/>
          <w:divBdr>
            <w:top w:val="none" w:sz="0" w:space="0" w:color="auto"/>
            <w:left w:val="none" w:sz="0" w:space="0" w:color="auto"/>
            <w:bottom w:val="none" w:sz="0" w:space="0" w:color="auto"/>
            <w:right w:val="none" w:sz="0" w:space="0" w:color="auto"/>
          </w:divBdr>
          <w:divsChild>
            <w:div w:id="282150367">
              <w:marLeft w:val="0"/>
              <w:marRight w:val="0"/>
              <w:marTop w:val="0"/>
              <w:marBottom w:val="0"/>
              <w:divBdr>
                <w:top w:val="none" w:sz="0" w:space="0" w:color="auto"/>
                <w:left w:val="none" w:sz="0" w:space="0" w:color="auto"/>
                <w:bottom w:val="none" w:sz="0" w:space="0" w:color="auto"/>
                <w:right w:val="none" w:sz="0" w:space="0" w:color="auto"/>
              </w:divBdr>
              <w:divsChild>
                <w:div w:id="839203385">
                  <w:marLeft w:val="780"/>
                  <w:marRight w:val="0"/>
                  <w:marTop w:val="0"/>
                  <w:marBottom w:val="0"/>
                  <w:divBdr>
                    <w:top w:val="none" w:sz="0" w:space="0" w:color="auto"/>
                    <w:left w:val="none" w:sz="0" w:space="0" w:color="auto"/>
                    <w:bottom w:val="none" w:sz="0" w:space="0" w:color="auto"/>
                    <w:right w:val="none" w:sz="0" w:space="0" w:color="auto"/>
                  </w:divBdr>
                  <w:divsChild>
                    <w:div w:id="1159228047">
                      <w:marLeft w:val="0"/>
                      <w:marRight w:val="0"/>
                      <w:marTop w:val="0"/>
                      <w:marBottom w:val="0"/>
                      <w:divBdr>
                        <w:top w:val="none" w:sz="0" w:space="0" w:color="auto"/>
                        <w:left w:val="none" w:sz="0" w:space="0" w:color="auto"/>
                        <w:bottom w:val="none" w:sz="0" w:space="0" w:color="auto"/>
                        <w:right w:val="none" w:sz="0" w:space="0" w:color="auto"/>
                      </w:divBdr>
                      <w:divsChild>
                        <w:div w:id="849829774">
                          <w:marLeft w:val="0"/>
                          <w:marRight w:val="0"/>
                          <w:marTop w:val="0"/>
                          <w:marBottom w:val="0"/>
                          <w:divBdr>
                            <w:top w:val="none" w:sz="0" w:space="0" w:color="auto"/>
                            <w:left w:val="none" w:sz="0" w:space="0" w:color="auto"/>
                            <w:bottom w:val="none" w:sz="0" w:space="0" w:color="auto"/>
                            <w:right w:val="none" w:sz="0" w:space="0" w:color="auto"/>
                          </w:divBdr>
                          <w:divsChild>
                            <w:div w:id="167602645">
                              <w:marLeft w:val="0"/>
                              <w:marRight w:val="0"/>
                              <w:marTop w:val="0"/>
                              <w:marBottom w:val="0"/>
                              <w:divBdr>
                                <w:top w:val="none" w:sz="0" w:space="0" w:color="auto"/>
                                <w:left w:val="none" w:sz="0" w:space="0" w:color="auto"/>
                                <w:bottom w:val="none" w:sz="0" w:space="0" w:color="auto"/>
                                <w:right w:val="none" w:sz="0" w:space="0" w:color="auto"/>
                              </w:divBdr>
                            </w:div>
                          </w:divsChild>
                        </w:div>
                        <w:div w:id="1772775406">
                          <w:marLeft w:val="0"/>
                          <w:marRight w:val="0"/>
                          <w:marTop w:val="30"/>
                          <w:marBottom w:val="0"/>
                          <w:divBdr>
                            <w:top w:val="none" w:sz="0" w:space="0" w:color="auto"/>
                            <w:left w:val="none" w:sz="0" w:space="0" w:color="auto"/>
                            <w:bottom w:val="none" w:sz="0" w:space="0" w:color="auto"/>
                            <w:right w:val="none" w:sz="0" w:space="0" w:color="auto"/>
                          </w:divBdr>
                        </w:div>
                      </w:divsChild>
                    </w:div>
                    <w:div w:id="159467576">
                      <w:marLeft w:val="0"/>
                      <w:marRight w:val="0"/>
                      <w:marTop w:val="0"/>
                      <w:marBottom w:val="0"/>
                      <w:divBdr>
                        <w:top w:val="none" w:sz="0" w:space="0" w:color="auto"/>
                        <w:left w:val="none" w:sz="0" w:space="0" w:color="auto"/>
                        <w:bottom w:val="none" w:sz="0" w:space="0" w:color="auto"/>
                        <w:right w:val="none" w:sz="0" w:space="0" w:color="auto"/>
                      </w:divBdr>
                      <w:divsChild>
                        <w:div w:id="213854891">
                          <w:marLeft w:val="0"/>
                          <w:marRight w:val="0"/>
                          <w:marTop w:val="0"/>
                          <w:marBottom w:val="0"/>
                          <w:divBdr>
                            <w:top w:val="none" w:sz="0" w:space="0" w:color="auto"/>
                            <w:left w:val="none" w:sz="0" w:space="0" w:color="auto"/>
                            <w:bottom w:val="none" w:sz="0" w:space="0" w:color="auto"/>
                            <w:right w:val="none" w:sz="0" w:space="0" w:color="auto"/>
                          </w:divBdr>
                          <w:divsChild>
                            <w:div w:id="1330787005">
                              <w:marLeft w:val="0"/>
                              <w:marRight w:val="0"/>
                              <w:marTop w:val="0"/>
                              <w:marBottom w:val="0"/>
                              <w:divBdr>
                                <w:top w:val="none" w:sz="0" w:space="0" w:color="auto"/>
                                <w:left w:val="none" w:sz="0" w:space="0" w:color="auto"/>
                                <w:bottom w:val="none" w:sz="0" w:space="0" w:color="auto"/>
                                <w:right w:val="none" w:sz="0" w:space="0" w:color="auto"/>
                              </w:divBdr>
                              <w:divsChild>
                                <w:div w:id="2133404840">
                                  <w:marLeft w:val="0"/>
                                  <w:marRight w:val="0"/>
                                  <w:marTop w:val="0"/>
                                  <w:marBottom w:val="0"/>
                                  <w:divBdr>
                                    <w:top w:val="none" w:sz="0" w:space="0" w:color="auto"/>
                                    <w:left w:val="none" w:sz="0" w:space="0" w:color="auto"/>
                                    <w:bottom w:val="none" w:sz="0" w:space="0" w:color="auto"/>
                                    <w:right w:val="none" w:sz="0" w:space="0" w:color="auto"/>
                                  </w:divBdr>
                                  <w:divsChild>
                                    <w:div w:id="1478959807">
                                      <w:marLeft w:val="0"/>
                                      <w:marRight w:val="0"/>
                                      <w:marTop w:val="0"/>
                                      <w:marBottom w:val="0"/>
                                      <w:divBdr>
                                        <w:top w:val="none" w:sz="0" w:space="0" w:color="auto"/>
                                        <w:left w:val="none" w:sz="0" w:space="0" w:color="auto"/>
                                        <w:bottom w:val="none" w:sz="0" w:space="0" w:color="auto"/>
                                        <w:right w:val="none" w:sz="0" w:space="0" w:color="auto"/>
                                      </w:divBdr>
                                      <w:divsChild>
                                        <w:div w:id="1474563265">
                                          <w:marLeft w:val="0"/>
                                          <w:marRight w:val="0"/>
                                          <w:marTop w:val="0"/>
                                          <w:marBottom w:val="0"/>
                                          <w:divBdr>
                                            <w:top w:val="none" w:sz="0" w:space="0" w:color="auto"/>
                                            <w:left w:val="none" w:sz="0" w:space="0" w:color="auto"/>
                                            <w:bottom w:val="none" w:sz="0" w:space="0" w:color="auto"/>
                                            <w:right w:val="none" w:sz="0" w:space="0" w:color="auto"/>
                                          </w:divBdr>
                                          <w:divsChild>
                                            <w:div w:id="1766876823">
                                              <w:marLeft w:val="0"/>
                                              <w:marRight w:val="0"/>
                                              <w:marTop w:val="0"/>
                                              <w:marBottom w:val="0"/>
                                              <w:divBdr>
                                                <w:top w:val="none" w:sz="0" w:space="0" w:color="auto"/>
                                                <w:left w:val="none" w:sz="0" w:space="0" w:color="auto"/>
                                                <w:bottom w:val="none" w:sz="0" w:space="0" w:color="auto"/>
                                                <w:right w:val="none" w:sz="0" w:space="0" w:color="auto"/>
                                              </w:divBdr>
                                              <w:divsChild>
                                                <w:div w:id="115950279">
                                                  <w:marLeft w:val="0"/>
                                                  <w:marRight w:val="0"/>
                                                  <w:marTop w:val="0"/>
                                                  <w:marBottom w:val="0"/>
                                                  <w:divBdr>
                                                    <w:top w:val="none" w:sz="0" w:space="0" w:color="auto"/>
                                                    <w:left w:val="none" w:sz="0" w:space="0" w:color="auto"/>
                                                    <w:bottom w:val="none" w:sz="0" w:space="0" w:color="auto"/>
                                                    <w:right w:val="none" w:sz="0" w:space="0" w:color="auto"/>
                                                  </w:divBdr>
                                                </w:div>
                                              </w:divsChild>
                                            </w:div>
                                            <w:div w:id="855310829">
                                              <w:marLeft w:val="0"/>
                                              <w:marRight w:val="0"/>
                                              <w:marTop w:val="0"/>
                                              <w:marBottom w:val="0"/>
                                              <w:divBdr>
                                                <w:top w:val="none" w:sz="0" w:space="0" w:color="auto"/>
                                                <w:left w:val="none" w:sz="0" w:space="0" w:color="auto"/>
                                                <w:bottom w:val="none" w:sz="0" w:space="0" w:color="auto"/>
                                                <w:right w:val="none" w:sz="0" w:space="0" w:color="auto"/>
                                              </w:divBdr>
                                              <w:divsChild>
                                                <w:div w:id="1622881405">
                                                  <w:marLeft w:val="0"/>
                                                  <w:marRight w:val="0"/>
                                                  <w:marTop w:val="0"/>
                                                  <w:marBottom w:val="0"/>
                                                  <w:divBdr>
                                                    <w:top w:val="none" w:sz="0" w:space="0" w:color="auto"/>
                                                    <w:left w:val="none" w:sz="0" w:space="0" w:color="auto"/>
                                                    <w:bottom w:val="none" w:sz="0" w:space="0" w:color="auto"/>
                                                    <w:right w:val="none" w:sz="0" w:space="0" w:color="auto"/>
                                                  </w:divBdr>
                                                </w:div>
                                              </w:divsChild>
                                            </w:div>
                                            <w:div w:id="77288904">
                                              <w:marLeft w:val="0"/>
                                              <w:marRight w:val="0"/>
                                              <w:marTop w:val="0"/>
                                              <w:marBottom w:val="0"/>
                                              <w:divBdr>
                                                <w:top w:val="none" w:sz="0" w:space="0" w:color="auto"/>
                                                <w:left w:val="none" w:sz="0" w:space="0" w:color="auto"/>
                                                <w:bottom w:val="none" w:sz="0" w:space="0" w:color="auto"/>
                                                <w:right w:val="none" w:sz="0" w:space="0" w:color="auto"/>
                                              </w:divBdr>
                                              <w:divsChild>
                                                <w:div w:id="467865991">
                                                  <w:marLeft w:val="0"/>
                                                  <w:marRight w:val="0"/>
                                                  <w:marTop w:val="0"/>
                                                  <w:marBottom w:val="0"/>
                                                  <w:divBdr>
                                                    <w:top w:val="none" w:sz="0" w:space="0" w:color="auto"/>
                                                    <w:left w:val="none" w:sz="0" w:space="0" w:color="auto"/>
                                                    <w:bottom w:val="none" w:sz="0" w:space="0" w:color="auto"/>
                                                    <w:right w:val="none" w:sz="0" w:space="0" w:color="auto"/>
                                                  </w:divBdr>
                                                  <w:divsChild>
                                                    <w:div w:id="190139860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64584378">
                                              <w:marLeft w:val="0"/>
                                              <w:marRight w:val="0"/>
                                              <w:marTop w:val="0"/>
                                              <w:marBottom w:val="0"/>
                                              <w:divBdr>
                                                <w:top w:val="none" w:sz="0" w:space="0" w:color="auto"/>
                                                <w:left w:val="none" w:sz="0" w:space="0" w:color="auto"/>
                                                <w:bottom w:val="none" w:sz="0" w:space="0" w:color="auto"/>
                                                <w:right w:val="none" w:sz="0" w:space="0" w:color="auto"/>
                                              </w:divBdr>
                                              <w:divsChild>
                                                <w:div w:id="340859027">
                                                  <w:marLeft w:val="0"/>
                                                  <w:marRight w:val="0"/>
                                                  <w:marTop w:val="0"/>
                                                  <w:marBottom w:val="0"/>
                                                  <w:divBdr>
                                                    <w:top w:val="none" w:sz="0" w:space="0" w:color="auto"/>
                                                    <w:left w:val="none" w:sz="0" w:space="0" w:color="auto"/>
                                                    <w:bottom w:val="none" w:sz="0" w:space="0" w:color="auto"/>
                                                    <w:right w:val="none" w:sz="0" w:space="0" w:color="auto"/>
                                                  </w:divBdr>
                                                  <w:divsChild>
                                                    <w:div w:id="201834167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49779">
                                              <w:marLeft w:val="0"/>
                                              <w:marRight w:val="0"/>
                                              <w:marTop w:val="0"/>
                                              <w:marBottom w:val="0"/>
                                              <w:divBdr>
                                                <w:top w:val="none" w:sz="0" w:space="0" w:color="auto"/>
                                                <w:left w:val="none" w:sz="0" w:space="0" w:color="auto"/>
                                                <w:bottom w:val="none" w:sz="0" w:space="0" w:color="auto"/>
                                                <w:right w:val="none" w:sz="0" w:space="0" w:color="auto"/>
                                              </w:divBdr>
                                              <w:divsChild>
                                                <w:div w:id="301009854">
                                                  <w:marLeft w:val="0"/>
                                                  <w:marRight w:val="0"/>
                                                  <w:marTop w:val="0"/>
                                                  <w:marBottom w:val="0"/>
                                                  <w:divBdr>
                                                    <w:top w:val="none" w:sz="0" w:space="0" w:color="auto"/>
                                                    <w:left w:val="none" w:sz="0" w:space="0" w:color="auto"/>
                                                    <w:bottom w:val="none" w:sz="0" w:space="0" w:color="auto"/>
                                                    <w:right w:val="none" w:sz="0" w:space="0" w:color="auto"/>
                                                  </w:divBdr>
                                                  <w:divsChild>
                                                    <w:div w:id="142345610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341876">
                  <w:marLeft w:val="0"/>
                  <w:marRight w:val="0"/>
                  <w:marTop w:val="0"/>
                  <w:marBottom w:val="0"/>
                  <w:divBdr>
                    <w:top w:val="none" w:sz="0" w:space="0" w:color="auto"/>
                    <w:left w:val="none" w:sz="0" w:space="0" w:color="auto"/>
                    <w:bottom w:val="none" w:sz="0" w:space="0" w:color="auto"/>
                    <w:right w:val="none" w:sz="0" w:space="0" w:color="auto"/>
                  </w:divBdr>
                  <w:divsChild>
                    <w:div w:id="1037050922">
                      <w:marLeft w:val="0"/>
                      <w:marRight w:val="0"/>
                      <w:marTop w:val="0"/>
                      <w:marBottom w:val="0"/>
                      <w:divBdr>
                        <w:top w:val="none" w:sz="0" w:space="0" w:color="auto"/>
                        <w:left w:val="none" w:sz="0" w:space="0" w:color="auto"/>
                        <w:bottom w:val="none" w:sz="0" w:space="0" w:color="auto"/>
                        <w:right w:val="none" w:sz="0" w:space="0" w:color="auto"/>
                      </w:divBdr>
                      <w:divsChild>
                        <w:div w:id="1859587151">
                          <w:marLeft w:val="0"/>
                          <w:marRight w:val="0"/>
                          <w:marTop w:val="0"/>
                          <w:marBottom w:val="0"/>
                          <w:divBdr>
                            <w:top w:val="none" w:sz="0" w:space="0" w:color="auto"/>
                            <w:left w:val="none" w:sz="0" w:space="0" w:color="auto"/>
                            <w:bottom w:val="none" w:sz="0" w:space="0" w:color="auto"/>
                            <w:right w:val="none" w:sz="0" w:space="0" w:color="auto"/>
                          </w:divBdr>
                          <w:divsChild>
                            <w:div w:id="198504362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342298">
          <w:marLeft w:val="0"/>
          <w:marRight w:val="0"/>
          <w:marTop w:val="0"/>
          <w:marBottom w:val="0"/>
          <w:divBdr>
            <w:top w:val="none" w:sz="0" w:space="0" w:color="auto"/>
            <w:left w:val="none" w:sz="0" w:space="0" w:color="auto"/>
            <w:bottom w:val="none" w:sz="0" w:space="0" w:color="auto"/>
            <w:right w:val="none" w:sz="0" w:space="0" w:color="auto"/>
          </w:divBdr>
          <w:divsChild>
            <w:div w:id="324667932">
              <w:marLeft w:val="780"/>
              <w:marRight w:val="240"/>
              <w:marTop w:val="180"/>
              <w:marBottom w:val="150"/>
              <w:divBdr>
                <w:top w:val="none" w:sz="0" w:space="0" w:color="auto"/>
                <w:left w:val="none" w:sz="0" w:space="0" w:color="auto"/>
                <w:bottom w:val="none" w:sz="0" w:space="0" w:color="auto"/>
                <w:right w:val="none" w:sz="0" w:space="0" w:color="auto"/>
              </w:divBdr>
              <w:divsChild>
                <w:div w:id="1780102188">
                  <w:marLeft w:val="0"/>
                  <w:marRight w:val="0"/>
                  <w:marTop w:val="0"/>
                  <w:marBottom w:val="0"/>
                  <w:divBdr>
                    <w:top w:val="none" w:sz="0" w:space="0" w:color="auto"/>
                    <w:left w:val="none" w:sz="0" w:space="0" w:color="auto"/>
                    <w:bottom w:val="none" w:sz="0" w:space="0" w:color="auto"/>
                    <w:right w:val="none" w:sz="0" w:space="0" w:color="auto"/>
                  </w:divBdr>
                  <w:divsChild>
                    <w:div w:id="1542355105">
                      <w:marLeft w:val="0"/>
                      <w:marRight w:val="0"/>
                      <w:marTop w:val="0"/>
                      <w:marBottom w:val="0"/>
                      <w:divBdr>
                        <w:top w:val="none" w:sz="0" w:space="0" w:color="auto"/>
                        <w:left w:val="none" w:sz="0" w:space="0" w:color="auto"/>
                        <w:bottom w:val="none" w:sz="0" w:space="0" w:color="auto"/>
                        <w:right w:val="none" w:sz="0" w:space="0" w:color="auto"/>
                      </w:divBdr>
                      <w:divsChild>
                        <w:div w:id="1053769585">
                          <w:marLeft w:val="0"/>
                          <w:marRight w:val="0"/>
                          <w:marTop w:val="0"/>
                          <w:marBottom w:val="0"/>
                          <w:divBdr>
                            <w:top w:val="none" w:sz="0" w:space="0" w:color="auto"/>
                            <w:left w:val="none" w:sz="0" w:space="0" w:color="auto"/>
                            <w:bottom w:val="none" w:sz="0" w:space="0" w:color="auto"/>
                            <w:right w:val="none" w:sz="0" w:space="0" w:color="auto"/>
                          </w:divBdr>
                          <w:divsChild>
                            <w:div w:id="767382979">
                              <w:marLeft w:val="0"/>
                              <w:marRight w:val="0"/>
                              <w:marTop w:val="0"/>
                              <w:marBottom w:val="0"/>
                              <w:divBdr>
                                <w:top w:val="none" w:sz="0" w:space="0" w:color="auto"/>
                                <w:left w:val="none" w:sz="0" w:space="0" w:color="auto"/>
                                <w:bottom w:val="none" w:sz="0" w:space="0" w:color="auto"/>
                                <w:right w:val="none" w:sz="0" w:space="0" w:color="auto"/>
                              </w:divBdr>
                              <w:divsChild>
                                <w:div w:id="1453859650">
                                  <w:marLeft w:val="0"/>
                                  <w:marRight w:val="0"/>
                                  <w:marTop w:val="0"/>
                                  <w:marBottom w:val="0"/>
                                  <w:divBdr>
                                    <w:top w:val="none" w:sz="0" w:space="0" w:color="auto"/>
                                    <w:left w:val="none" w:sz="0" w:space="0" w:color="auto"/>
                                    <w:bottom w:val="none" w:sz="0" w:space="0" w:color="auto"/>
                                    <w:right w:val="none" w:sz="0" w:space="0" w:color="auto"/>
                                  </w:divBdr>
                                  <w:divsChild>
                                    <w:div w:id="296109393">
                                      <w:marLeft w:val="0"/>
                                      <w:marRight w:val="0"/>
                                      <w:marTop w:val="0"/>
                                      <w:marBottom w:val="0"/>
                                      <w:divBdr>
                                        <w:top w:val="single" w:sz="8" w:space="3" w:color="E1E1E1"/>
                                        <w:left w:val="none" w:sz="0" w:space="0" w:color="auto"/>
                                        <w:bottom w:val="none" w:sz="0" w:space="0" w:color="auto"/>
                                        <w:right w:val="none" w:sz="0" w:space="0" w:color="auto"/>
                                      </w:divBdr>
                                    </w:div>
                                  </w:divsChild>
                                </w:div>
                                <w:div w:id="614138813">
                                  <w:marLeft w:val="0"/>
                                  <w:marRight w:val="0"/>
                                  <w:marTop w:val="0"/>
                                  <w:marBottom w:val="0"/>
                                  <w:divBdr>
                                    <w:top w:val="none" w:sz="0" w:space="0" w:color="auto"/>
                                    <w:left w:val="none" w:sz="0" w:space="0" w:color="auto"/>
                                    <w:bottom w:val="none" w:sz="0" w:space="0" w:color="auto"/>
                                    <w:right w:val="none" w:sz="0" w:space="0" w:color="auto"/>
                                  </w:divBdr>
                                </w:div>
                                <w:div w:id="2059209004">
                                  <w:marLeft w:val="0"/>
                                  <w:marRight w:val="0"/>
                                  <w:marTop w:val="0"/>
                                  <w:marBottom w:val="0"/>
                                  <w:divBdr>
                                    <w:top w:val="none" w:sz="0" w:space="0" w:color="auto"/>
                                    <w:left w:val="none" w:sz="0" w:space="0" w:color="auto"/>
                                    <w:bottom w:val="none" w:sz="0" w:space="0" w:color="auto"/>
                                    <w:right w:val="none" w:sz="0" w:space="0" w:color="auto"/>
                                  </w:divBdr>
                                </w:div>
                                <w:div w:id="1948728428">
                                  <w:marLeft w:val="0"/>
                                  <w:marRight w:val="0"/>
                                  <w:marTop w:val="0"/>
                                  <w:marBottom w:val="0"/>
                                  <w:divBdr>
                                    <w:top w:val="none" w:sz="0" w:space="0" w:color="auto"/>
                                    <w:left w:val="none" w:sz="0" w:space="0" w:color="auto"/>
                                    <w:bottom w:val="none" w:sz="0" w:space="0" w:color="auto"/>
                                    <w:right w:val="none" w:sz="0" w:space="0" w:color="auto"/>
                                  </w:divBdr>
                                </w:div>
                                <w:div w:id="585192641">
                                  <w:marLeft w:val="0"/>
                                  <w:marRight w:val="0"/>
                                  <w:marTop w:val="0"/>
                                  <w:marBottom w:val="0"/>
                                  <w:divBdr>
                                    <w:top w:val="none" w:sz="0" w:space="0" w:color="auto"/>
                                    <w:left w:val="none" w:sz="0" w:space="0" w:color="auto"/>
                                    <w:bottom w:val="none" w:sz="0" w:space="0" w:color="auto"/>
                                    <w:right w:val="none" w:sz="0" w:space="0" w:color="auto"/>
                                  </w:divBdr>
                                </w:div>
                                <w:div w:id="2145465007">
                                  <w:marLeft w:val="0"/>
                                  <w:marRight w:val="0"/>
                                  <w:marTop w:val="0"/>
                                  <w:marBottom w:val="0"/>
                                  <w:divBdr>
                                    <w:top w:val="none" w:sz="0" w:space="0" w:color="auto"/>
                                    <w:left w:val="none" w:sz="0" w:space="0" w:color="auto"/>
                                    <w:bottom w:val="none" w:sz="0" w:space="0" w:color="auto"/>
                                    <w:right w:val="none" w:sz="0" w:space="0" w:color="auto"/>
                                  </w:divBdr>
                                </w:div>
                                <w:div w:id="1817801022">
                                  <w:marLeft w:val="0"/>
                                  <w:marRight w:val="0"/>
                                  <w:marTop w:val="0"/>
                                  <w:marBottom w:val="0"/>
                                  <w:divBdr>
                                    <w:top w:val="none" w:sz="0" w:space="0" w:color="auto"/>
                                    <w:left w:val="none" w:sz="0" w:space="0" w:color="auto"/>
                                    <w:bottom w:val="none" w:sz="0" w:space="0" w:color="auto"/>
                                    <w:right w:val="none" w:sz="0" w:space="0" w:color="auto"/>
                                  </w:divBdr>
                                </w:div>
                                <w:div w:id="913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715180">
      <w:bodyDiv w:val="1"/>
      <w:marLeft w:val="0"/>
      <w:marRight w:val="0"/>
      <w:marTop w:val="0"/>
      <w:marBottom w:val="0"/>
      <w:divBdr>
        <w:top w:val="none" w:sz="0" w:space="0" w:color="auto"/>
        <w:left w:val="none" w:sz="0" w:space="0" w:color="auto"/>
        <w:bottom w:val="none" w:sz="0" w:space="0" w:color="auto"/>
        <w:right w:val="none" w:sz="0" w:space="0" w:color="auto"/>
      </w:divBdr>
    </w:div>
    <w:div w:id="1177496395">
      <w:bodyDiv w:val="1"/>
      <w:marLeft w:val="0"/>
      <w:marRight w:val="0"/>
      <w:marTop w:val="0"/>
      <w:marBottom w:val="0"/>
      <w:divBdr>
        <w:top w:val="none" w:sz="0" w:space="0" w:color="auto"/>
        <w:left w:val="none" w:sz="0" w:space="0" w:color="auto"/>
        <w:bottom w:val="none" w:sz="0" w:space="0" w:color="auto"/>
        <w:right w:val="none" w:sz="0" w:space="0" w:color="auto"/>
      </w:divBdr>
    </w:div>
    <w:div w:id="1204825295">
      <w:bodyDiv w:val="1"/>
      <w:marLeft w:val="0"/>
      <w:marRight w:val="0"/>
      <w:marTop w:val="0"/>
      <w:marBottom w:val="0"/>
      <w:divBdr>
        <w:top w:val="none" w:sz="0" w:space="0" w:color="auto"/>
        <w:left w:val="none" w:sz="0" w:space="0" w:color="auto"/>
        <w:bottom w:val="none" w:sz="0" w:space="0" w:color="auto"/>
        <w:right w:val="none" w:sz="0" w:space="0" w:color="auto"/>
      </w:divBdr>
    </w:div>
    <w:div w:id="1298025609">
      <w:bodyDiv w:val="1"/>
      <w:marLeft w:val="0"/>
      <w:marRight w:val="0"/>
      <w:marTop w:val="0"/>
      <w:marBottom w:val="0"/>
      <w:divBdr>
        <w:top w:val="none" w:sz="0" w:space="0" w:color="auto"/>
        <w:left w:val="none" w:sz="0" w:space="0" w:color="auto"/>
        <w:bottom w:val="none" w:sz="0" w:space="0" w:color="auto"/>
        <w:right w:val="none" w:sz="0" w:space="0" w:color="auto"/>
      </w:divBdr>
    </w:div>
    <w:div w:id="1435129665">
      <w:bodyDiv w:val="1"/>
      <w:marLeft w:val="0"/>
      <w:marRight w:val="0"/>
      <w:marTop w:val="0"/>
      <w:marBottom w:val="0"/>
      <w:divBdr>
        <w:top w:val="none" w:sz="0" w:space="0" w:color="auto"/>
        <w:left w:val="none" w:sz="0" w:space="0" w:color="auto"/>
        <w:bottom w:val="none" w:sz="0" w:space="0" w:color="auto"/>
        <w:right w:val="none" w:sz="0" w:space="0" w:color="auto"/>
      </w:divBdr>
    </w:div>
    <w:div w:id="1472670096">
      <w:bodyDiv w:val="1"/>
      <w:marLeft w:val="0"/>
      <w:marRight w:val="0"/>
      <w:marTop w:val="0"/>
      <w:marBottom w:val="0"/>
      <w:divBdr>
        <w:top w:val="none" w:sz="0" w:space="0" w:color="auto"/>
        <w:left w:val="none" w:sz="0" w:space="0" w:color="auto"/>
        <w:bottom w:val="none" w:sz="0" w:space="0" w:color="auto"/>
        <w:right w:val="none" w:sz="0" w:space="0" w:color="auto"/>
      </w:divBdr>
    </w:div>
    <w:div w:id="1702433288">
      <w:bodyDiv w:val="1"/>
      <w:marLeft w:val="0"/>
      <w:marRight w:val="0"/>
      <w:marTop w:val="0"/>
      <w:marBottom w:val="0"/>
      <w:divBdr>
        <w:top w:val="none" w:sz="0" w:space="0" w:color="auto"/>
        <w:left w:val="none" w:sz="0" w:space="0" w:color="auto"/>
        <w:bottom w:val="none" w:sz="0" w:space="0" w:color="auto"/>
        <w:right w:val="none" w:sz="0" w:space="0" w:color="auto"/>
      </w:divBdr>
    </w:div>
    <w:div w:id="1807818778">
      <w:bodyDiv w:val="1"/>
      <w:marLeft w:val="0"/>
      <w:marRight w:val="0"/>
      <w:marTop w:val="0"/>
      <w:marBottom w:val="0"/>
      <w:divBdr>
        <w:top w:val="none" w:sz="0" w:space="0" w:color="auto"/>
        <w:left w:val="none" w:sz="0" w:space="0" w:color="auto"/>
        <w:bottom w:val="none" w:sz="0" w:space="0" w:color="auto"/>
        <w:right w:val="none" w:sz="0" w:space="0" w:color="auto"/>
      </w:divBdr>
    </w:div>
    <w:div w:id="1884125357">
      <w:bodyDiv w:val="1"/>
      <w:marLeft w:val="0"/>
      <w:marRight w:val="0"/>
      <w:marTop w:val="0"/>
      <w:marBottom w:val="0"/>
      <w:divBdr>
        <w:top w:val="none" w:sz="0" w:space="0" w:color="auto"/>
        <w:left w:val="none" w:sz="0" w:space="0" w:color="auto"/>
        <w:bottom w:val="none" w:sz="0" w:space="0" w:color="auto"/>
        <w:right w:val="none" w:sz="0" w:space="0" w:color="auto"/>
      </w:divBdr>
    </w:div>
    <w:div w:id="1929582773">
      <w:bodyDiv w:val="1"/>
      <w:marLeft w:val="0"/>
      <w:marRight w:val="0"/>
      <w:marTop w:val="0"/>
      <w:marBottom w:val="0"/>
      <w:divBdr>
        <w:top w:val="none" w:sz="0" w:space="0" w:color="auto"/>
        <w:left w:val="none" w:sz="0" w:space="0" w:color="auto"/>
        <w:bottom w:val="none" w:sz="0" w:space="0" w:color="auto"/>
        <w:right w:val="none" w:sz="0" w:space="0" w:color="auto"/>
      </w:divBdr>
    </w:div>
    <w:div w:id="2004820258">
      <w:bodyDiv w:val="1"/>
      <w:marLeft w:val="0"/>
      <w:marRight w:val="0"/>
      <w:marTop w:val="0"/>
      <w:marBottom w:val="0"/>
      <w:divBdr>
        <w:top w:val="none" w:sz="0" w:space="0" w:color="auto"/>
        <w:left w:val="none" w:sz="0" w:space="0" w:color="auto"/>
        <w:bottom w:val="none" w:sz="0" w:space="0" w:color="auto"/>
        <w:right w:val="none" w:sz="0" w:space="0" w:color="auto"/>
      </w:divBdr>
    </w:div>
    <w:div w:id="208352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0217-62A1-43D9-9E20-88C7476D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14857</Words>
  <Characters>84686</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99345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Mirwais Usmani</dc:creator>
  <cp:keywords/>
  <dc:description/>
  <cp:lastModifiedBy>Davison, Jane</cp:lastModifiedBy>
  <cp:revision>3</cp:revision>
  <cp:lastPrinted>2020-05-14T14:26:00Z</cp:lastPrinted>
  <dcterms:created xsi:type="dcterms:W3CDTF">2020-06-11T15:27:00Z</dcterms:created>
  <dcterms:modified xsi:type="dcterms:W3CDTF">2020-06-11T15:27:00Z</dcterms:modified>
</cp:coreProperties>
</file>