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B8A689" w14:textId="5B34ACA3" w:rsidR="006A3612" w:rsidRPr="004A2990" w:rsidRDefault="008C73EB" w:rsidP="007C0D19">
      <w:pPr>
        <w:spacing w:line="480" w:lineRule="auto"/>
        <w:jc w:val="center"/>
        <w:rPr>
          <w:rFonts w:ascii="Times New Roman" w:hAnsi="Times New Roman"/>
          <w:lang w:val="en-US"/>
        </w:rPr>
      </w:pPr>
      <w:r w:rsidRPr="004A2990">
        <w:rPr>
          <w:rFonts w:ascii="Times New Roman" w:hAnsi="Times New Roman"/>
          <w:noProof/>
        </w:rPr>
        <mc:AlternateContent>
          <mc:Choice Requires="wps">
            <w:drawing>
              <wp:anchor distT="72390" distB="72390" distL="72390" distR="72390" simplePos="0" relativeHeight="251655168" behindDoc="0" locked="0" layoutInCell="1" allowOverlap="1" wp14:anchorId="3EA2BAB4" wp14:editId="0EC5661C">
                <wp:simplePos x="0" y="0"/>
                <wp:positionH relativeFrom="page">
                  <wp:posOffset>901065</wp:posOffset>
                </wp:positionH>
                <wp:positionV relativeFrom="page">
                  <wp:posOffset>6446520</wp:posOffset>
                </wp:positionV>
                <wp:extent cx="5758815" cy="281241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81241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D1F31A" w14:textId="77777777" w:rsidR="00140504" w:rsidRDefault="00140504">
                            <w:pPr>
                              <w:pStyle w:val="APABodyText"/>
                              <w:spacing w:after="0"/>
                            </w:pPr>
                            <w:r>
                              <w:t>Correspondence concerning this article should be addressed to:</w:t>
                            </w:r>
                          </w:p>
                          <w:p w14:paraId="73680F59" w14:textId="29DB7FBD" w:rsidR="00140504" w:rsidRDefault="00140504">
                            <w:pPr>
                              <w:pStyle w:val="APABodyText"/>
                              <w:spacing w:after="0"/>
                            </w:pPr>
                            <w:r>
                              <w:t>Hanna Zagefka,</w:t>
                            </w:r>
                          </w:p>
                          <w:p w14:paraId="7A21C08A" w14:textId="77777777" w:rsidR="00140504" w:rsidRDefault="00140504">
                            <w:pPr>
                              <w:pStyle w:val="APABodyText"/>
                              <w:spacing w:after="0"/>
                            </w:pPr>
                            <w:r>
                              <w:t>Department of Psychology,</w:t>
                            </w:r>
                          </w:p>
                          <w:p w14:paraId="7BE46E08" w14:textId="77777777" w:rsidR="00140504" w:rsidRDefault="00140504">
                            <w:pPr>
                              <w:pStyle w:val="APABodyText"/>
                              <w:spacing w:after="0"/>
                            </w:pPr>
                            <w:r>
                              <w:t xml:space="preserve">Royal Holloway University of London, </w:t>
                            </w:r>
                          </w:p>
                          <w:p w14:paraId="055E2B83" w14:textId="77777777" w:rsidR="00140504" w:rsidRDefault="00140504">
                            <w:pPr>
                              <w:pStyle w:val="APABodyText"/>
                              <w:spacing w:after="0"/>
                            </w:pPr>
                            <w:r>
                              <w:t>Egham.</w:t>
                            </w:r>
                          </w:p>
                          <w:p w14:paraId="08B7E4C9" w14:textId="77777777" w:rsidR="00140504" w:rsidRDefault="00140504">
                            <w:pPr>
                              <w:pStyle w:val="APABodyText"/>
                              <w:spacing w:after="0"/>
                            </w:pPr>
                            <w:r>
                              <w:t>TW20 0EX</w:t>
                            </w:r>
                          </w:p>
                          <w:p w14:paraId="11D09C3C" w14:textId="1D3AE8B1" w:rsidR="00140504" w:rsidRDefault="00140504">
                            <w:pPr>
                              <w:pStyle w:val="APABodyText"/>
                              <w:spacing w:after="0"/>
                            </w:pPr>
                            <w:r>
                              <w:t>Email: Hanna.Zagefka@rhul.ac.uk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EA2BAB4" id="_x0000_t202" coordsize="21600,21600" o:spt="202" path="m,l,21600r21600,l21600,xe">
                <v:stroke joinstyle="miter"/>
                <v:path gradientshapeok="t" o:connecttype="rect"/>
              </v:shapetype>
              <v:shape id="Text Box 3" o:spid="_x0000_s1026" type="#_x0000_t202" style="position:absolute;left:0;text-align:left;margin-left:70.95pt;margin-top:507.6pt;width:453.45pt;height:221.45pt;z-index:251655168;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" stroked="f">
                <v:textbox inset="0,0,0,0">
                  <w:txbxContent>
                    <w:p w14:paraId="4AD1F31A" w14:textId="77777777" w:rsidR="00140504" w:rsidRDefault="00140504">
                      <w:pPr>
                        <w:pStyle w:val="APABodyText"/>
                        <w:spacing w:after="0"/>
                      </w:pPr>
                      <w:r>
                        <w:t>Correspondence concerning this article should be addressed to:</w:t>
                      </w:r>
                    </w:p>
                    <w:p w14:paraId="73680F59" w14:textId="29DB7FBD" w:rsidR="00140504" w:rsidRDefault="00140504">
                      <w:pPr>
                        <w:pStyle w:val="APABodyText"/>
                        <w:spacing w:after="0"/>
                      </w:pPr>
                      <w:r>
                        <w:t>Hanna Zagefka,</w:t>
                      </w:r>
                    </w:p>
                    <w:p w14:paraId="7A21C08A" w14:textId="77777777" w:rsidR="00140504" w:rsidRDefault="00140504">
                      <w:pPr>
                        <w:pStyle w:val="APABodyText"/>
                        <w:spacing w:after="0"/>
                      </w:pPr>
                      <w:r>
                        <w:t>Department of Psychology,</w:t>
                      </w:r>
                    </w:p>
                    <w:p w14:paraId="7BE46E08" w14:textId="77777777" w:rsidR="00140504" w:rsidRDefault="00140504">
                      <w:pPr>
                        <w:pStyle w:val="APABodyText"/>
                        <w:spacing w:after="0"/>
                      </w:pPr>
                      <w:r>
                        <w:t xml:space="preserve">Royal Holloway University of London, </w:t>
                      </w:r>
                    </w:p>
                    <w:p w14:paraId="055E2B83" w14:textId="77777777" w:rsidR="00140504" w:rsidRDefault="00140504">
                      <w:pPr>
                        <w:pStyle w:val="APABodyText"/>
                        <w:spacing w:after="0"/>
                      </w:pPr>
                      <w:r>
                        <w:t>Egham.</w:t>
                      </w:r>
                    </w:p>
                    <w:p w14:paraId="08B7E4C9" w14:textId="77777777" w:rsidR="00140504" w:rsidRDefault="00140504">
                      <w:pPr>
                        <w:pStyle w:val="APABodyText"/>
                        <w:spacing w:after="0"/>
                      </w:pPr>
                      <w:r>
                        <w:t>TW20 0EX</w:t>
                      </w:r>
                    </w:p>
                    <w:p w14:paraId="11D09C3C" w14:textId="1D3AE8B1" w:rsidR="00140504" w:rsidRDefault="00140504">
                      <w:pPr>
                        <w:pStyle w:val="APABodyText"/>
                        <w:spacing w:after="0"/>
                      </w:pPr>
                      <w:r>
                        <w:t>Email: Hanna.Zagefka@rhul.ac.uk</w:t>
                      </w:r>
                    </w:p>
                  </w:txbxContent>
                </v:textbox>
                <w10:wrap type="square" anchorx="page" anchory="page"/>
              </v:shape>
            </w:pict>
          </mc:Fallback>
        </mc:AlternateContent>
      </w:r>
    </w:p>
    <w:p w14:paraId="36B3ADC6" w14:textId="50E7716C" w:rsidR="0029574E" w:rsidRPr="004A2990" w:rsidRDefault="009E7D2C" w:rsidP="007C0D19">
      <w:pPr>
        <w:spacing w:line="480" w:lineRule="auto"/>
        <w:jc w:val="center"/>
        <w:rPr>
          <w:rFonts w:ascii="Times New Roman" w:hAnsi="Times New Roman"/>
          <w:lang w:val="en-US"/>
        </w:rPr>
      </w:pPr>
      <w:r w:rsidRPr="004A2990">
        <w:rPr>
          <w:rFonts w:ascii="Times New Roman" w:hAnsi="Times New Roman"/>
          <w:lang w:val="en-US"/>
        </w:rPr>
        <w:t>“The Boat is full!</w:t>
      </w:r>
      <w:proofErr w:type="gramStart"/>
      <w:r w:rsidRPr="004A2990">
        <w:rPr>
          <w:rFonts w:ascii="Times New Roman" w:hAnsi="Times New Roman"/>
          <w:lang w:val="en-US"/>
        </w:rPr>
        <w:t>”</w:t>
      </w:r>
      <w:r w:rsidR="0029574E" w:rsidRPr="004A2990">
        <w:rPr>
          <w:rFonts w:ascii="Times New Roman" w:hAnsi="Times New Roman"/>
          <w:lang w:val="en-US"/>
        </w:rPr>
        <w:t>:</w:t>
      </w:r>
      <w:proofErr w:type="gramEnd"/>
    </w:p>
    <w:p w14:paraId="261E5840" w14:textId="0839B7C4" w:rsidR="0029574E" w:rsidRPr="004A2990" w:rsidRDefault="0029574E" w:rsidP="007C0D19">
      <w:pPr>
        <w:spacing w:line="480" w:lineRule="auto"/>
        <w:jc w:val="center"/>
        <w:rPr>
          <w:rFonts w:ascii="Times New Roman" w:hAnsi="Times New Roman"/>
          <w:lang w:val="en-US"/>
        </w:rPr>
      </w:pPr>
      <w:r w:rsidRPr="004A2990">
        <w:rPr>
          <w:rFonts w:ascii="Times New Roman" w:hAnsi="Times New Roman"/>
          <w:lang w:val="en-US"/>
        </w:rPr>
        <w:t>Predictors of perceived migrant group size and perceived right to stay</w:t>
      </w:r>
      <w:r w:rsidR="009E7D2C" w:rsidRPr="004A2990">
        <w:rPr>
          <w:rFonts w:ascii="Times New Roman" w:hAnsi="Times New Roman"/>
          <w:lang w:val="en-US"/>
        </w:rPr>
        <w:t xml:space="preserve"> for immigrants</w:t>
      </w:r>
    </w:p>
    <w:p w14:paraId="752C687D" w14:textId="77777777" w:rsidR="0029574E" w:rsidRPr="004A2990" w:rsidRDefault="0029574E" w:rsidP="007C0D19">
      <w:pPr>
        <w:spacing w:line="480" w:lineRule="auto"/>
        <w:jc w:val="center"/>
        <w:rPr>
          <w:rFonts w:ascii="Times New Roman" w:hAnsi="Times New Roman"/>
          <w:lang w:val="en-US"/>
        </w:rPr>
      </w:pPr>
    </w:p>
    <w:p w14:paraId="43B16A10" w14:textId="5D30C26A" w:rsidR="0029574E" w:rsidRPr="004A2990" w:rsidRDefault="000B2CDA" w:rsidP="007C0D19">
      <w:pPr>
        <w:spacing w:line="480" w:lineRule="auto"/>
        <w:jc w:val="center"/>
        <w:rPr>
          <w:rFonts w:ascii="Times New Roman" w:hAnsi="Times New Roman"/>
          <w:lang w:val="en-US"/>
        </w:rPr>
      </w:pPr>
      <w:r w:rsidRPr="004A2990">
        <w:rPr>
          <w:rFonts w:ascii="Times New Roman" w:hAnsi="Times New Roman"/>
          <w:lang w:val="en-US"/>
        </w:rPr>
        <w:t xml:space="preserve">Hanna Zagefka, </w:t>
      </w:r>
      <w:r w:rsidR="00110B30" w:rsidRPr="004A2990">
        <w:rPr>
          <w:rFonts w:ascii="Times New Roman" w:hAnsi="Times New Roman"/>
          <w:lang w:val="en-US"/>
        </w:rPr>
        <w:t xml:space="preserve">Nali Moftizadeh, </w:t>
      </w:r>
      <w:r w:rsidR="00C277D0" w:rsidRPr="004A2990">
        <w:rPr>
          <w:rFonts w:ascii="Times New Roman" w:hAnsi="Times New Roman"/>
          <w:lang w:val="en-US"/>
        </w:rPr>
        <w:t xml:space="preserve">Jessica Barber </w:t>
      </w:r>
    </w:p>
    <w:p w14:paraId="5C7500D7" w14:textId="083EBBF6" w:rsidR="006A3612" w:rsidRPr="004A2990" w:rsidRDefault="0029574E" w:rsidP="007C0D19">
      <w:pPr>
        <w:spacing w:line="480" w:lineRule="auto"/>
        <w:jc w:val="center"/>
        <w:rPr>
          <w:rFonts w:ascii="Times New Roman" w:hAnsi="Times New Roman"/>
          <w:lang w:val="en-US"/>
        </w:rPr>
      </w:pPr>
      <w:r w:rsidRPr="004A2990">
        <w:rPr>
          <w:rFonts w:ascii="Times New Roman" w:hAnsi="Times New Roman"/>
          <w:lang w:val="en-US"/>
        </w:rPr>
        <w:t>Royal Holloway University of London</w:t>
      </w:r>
    </w:p>
    <w:p w14:paraId="0FAE2308" w14:textId="0D5136BD" w:rsidR="006A3612" w:rsidRPr="004A2990" w:rsidRDefault="006A3612" w:rsidP="007C0D19">
      <w:pPr>
        <w:spacing w:line="480" w:lineRule="auto"/>
        <w:jc w:val="center"/>
        <w:rPr>
          <w:rFonts w:ascii="Times New Roman" w:hAnsi="Times New Roman"/>
          <w:lang w:val="en-US"/>
        </w:rPr>
      </w:pPr>
    </w:p>
    <w:p w14:paraId="7FADB331" w14:textId="7037DF07" w:rsidR="00E25175" w:rsidRPr="004A2990" w:rsidRDefault="00E25175" w:rsidP="00E25175">
      <w:pPr>
        <w:spacing w:line="480" w:lineRule="auto"/>
        <w:jc w:val="center"/>
        <w:rPr>
          <w:rFonts w:ascii="Times New Roman" w:hAnsi="Times New Roman"/>
          <w:lang w:val="en-US"/>
        </w:rPr>
      </w:pPr>
      <w:r w:rsidRPr="004A2990">
        <w:rPr>
          <w:rFonts w:ascii="Times New Roman" w:hAnsi="Times New Roman"/>
          <w:lang w:val="en-US"/>
        </w:rPr>
        <w:t>Siugmin Lay</w:t>
      </w:r>
    </w:p>
    <w:p w14:paraId="2682A51A" w14:textId="784A3927" w:rsidR="006A3612" w:rsidRPr="004A2990" w:rsidRDefault="00E25175" w:rsidP="007C0D19">
      <w:pPr>
        <w:spacing w:line="480" w:lineRule="auto"/>
        <w:jc w:val="center"/>
        <w:rPr>
          <w:rFonts w:ascii="Times New Roman" w:hAnsi="Times New Roman"/>
          <w:lang w:val="en-US"/>
        </w:rPr>
      </w:pPr>
      <w:r w:rsidRPr="004A2990">
        <w:rPr>
          <w:rFonts w:ascii="Times New Roman" w:hAnsi="Times New Roman"/>
          <w:lang w:val="en-US"/>
        </w:rPr>
        <w:t xml:space="preserve">Centro de </w:t>
      </w:r>
      <w:proofErr w:type="spellStart"/>
      <w:r w:rsidRPr="004A2990">
        <w:rPr>
          <w:rFonts w:ascii="Times New Roman" w:hAnsi="Times New Roman"/>
          <w:lang w:val="en-US"/>
        </w:rPr>
        <w:t>Medición</w:t>
      </w:r>
      <w:proofErr w:type="spellEnd"/>
      <w:r w:rsidRPr="004A2990">
        <w:rPr>
          <w:rFonts w:ascii="Times New Roman" w:hAnsi="Times New Roman"/>
          <w:lang w:val="en-US"/>
        </w:rPr>
        <w:t xml:space="preserve"> MIDE UC, </w:t>
      </w:r>
      <w:proofErr w:type="spellStart"/>
      <w:r w:rsidRPr="004A2990">
        <w:rPr>
          <w:rFonts w:ascii="Times New Roman" w:hAnsi="Times New Roman"/>
          <w:lang w:val="en-US"/>
        </w:rPr>
        <w:t>Pontificia</w:t>
      </w:r>
      <w:proofErr w:type="spellEnd"/>
      <w:r w:rsidRPr="004A2990">
        <w:rPr>
          <w:rFonts w:ascii="Times New Roman" w:hAnsi="Times New Roman"/>
          <w:lang w:val="en-US"/>
        </w:rPr>
        <w:t xml:space="preserve"> Universidad </w:t>
      </w:r>
      <w:proofErr w:type="spellStart"/>
      <w:r w:rsidRPr="004A2990">
        <w:rPr>
          <w:rFonts w:ascii="Times New Roman" w:hAnsi="Times New Roman"/>
          <w:lang w:val="en-US"/>
        </w:rPr>
        <w:t>Católica</w:t>
      </w:r>
      <w:proofErr w:type="spellEnd"/>
      <w:r w:rsidRPr="004A2990">
        <w:rPr>
          <w:rFonts w:ascii="Times New Roman" w:hAnsi="Times New Roman"/>
          <w:lang w:val="en-US"/>
        </w:rPr>
        <w:t xml:space="preserve"> de Chile</w:t>
      </w:r>
    </w:p>
    <w:p w14:paraId="527F782A" w14:textId="6DE49D95" w:rsidR="00E25175" w:rsidRPr="004A2990" w:rsidRDefault="00E25175" w:rsidP="007C0D19">
      <w:pPr>
        <w:spacing w:line="480" w:lineRule="auto"/>
        <w:jc w:val="center"/>
        <w:rPr>
          <w:rFonts w:ascii="Times New Roman" w:hAnsi="Times New Roman"/>
          <w:lang w:val="en-US"/>
        </w:rPr>
      </w:pPr>
    </w:p>
    <w:p w14:paraId="767E4AF9" w14:textId="7CC0EB2A" w:rsidR="00E25175" w:rsidRPr="004A2990" w:rsidRDefault="00E25175" w:rsidP="007C0D19">
      <w:pPr>
        <w:spacing w:line="480" w:lineRule="auto"/>
        <w:jc w:val="center"/>
        <w:rPr>
          <w:rFonts w:ascii="Times New Roman" w:hAnsi="Times New Roman"/>
          <w:lang w:val="en-US"/>
        </w:rPr>
      </w:pPr>
      <w:proofErr w:type="spellStart"/>
      <w:r w:rsidRPr="004A2990">
        <w:rPr>
          <w:rFonts w:ascii="Times New Roman" w:hAnsi="Times New Roman"/>
          <w:lang w:val="en-US"/>
        </w:rPr>
        <w:t>Ravinder</w:t>
      </w:r>
      <w:proofErr w:type="spellEnd"/>
      <w:r w:rsidRPr="004A2990">
        <w:rPr>
          <w:rFonts w:ascii="Times New Roman" w:hAnsi="Times New Roman"/>
          <w:lang w:val="en-US"/>
        </w:rPr>
        <w:t xml:space="preserve"> Barn</w:t>
      </w:r>
    </w:p>
    <w:p w14:paraId="191D4F88" w14:textId="77777777" w:rsidR="00E25175" w:rsidRPr="004A2990" w:rsidRDefault="00E25175" w:rsidP="00E25175">
      <w:pPr>
        <w:spacing w:line="480" w:lineRule="auto"/>
        <w:jc w:val="center"/>
        <w:rPr>
          <w:rFonts w:ascii="Times New Roman" w:hAnsi="Times New Roman"/>
          <w:lang w:val="en-US"/>
        </w:rPr>
      </w:pPr>
      <w:r w:rsidRPr="004A2990">
        <w:rPr>
          <w:rFonts w:ascii="Times New Roman" w:hAnsi="Times New Roman"/>
          <w:lang w:val="en-US"/>
        </w:rPr>
        <w:t>Royal Holloway University of London</w:t>
      </w:r>
    </w:p>
    <w:p w14:paraId="7D049CF3" w14:textId="1E2A0B21" w:rsidR="006A3612" w:rsidRPr="004A2990" w:rsidRDefault="006A3612" w:rsidP="007C0D19">
      <w:pPr>
        <w:spacing w:line="480" w:lineRule="auto"/>
        <w:jc w:val="center"/>
        <w:rPr>
          <w:rFonts w:ascii="Times New Roman" w:hAnsi="Times New Roman"/>
          <w:lang w:val="en-US"/>
        </w:rPr>
      </w:pPr>
    </w:p>
    <w:p w14:paraId="4DF9BFD0" w14:textId="19414BDF" w:rsidR="00E25175" w:rsidRPr="004A2990" w:rsidRDefault="00E25175" w:rsidP="007C0D19">
      <w:pPr>
        <w:spacing w:line="480" w:lineRule="auto"/>
        <w:jc w:val="center"/>
        <w:rPr>
          <w:rFonts w:ascii="Times New Roman" w:hAnsi="Times New Roman"/>
          <w:lang w:val="en-US"/>
        </w:rPr>
      </w:pPr>
    </w:p>
    <w:p w14:paraId="790858C4" w14:textId="77777777" w:rsidR="00E25175" w:rsidRPr="004A2990" w:rsidRDefault="00E25175" w:rsidP="007C0D19">
      <w:pPr>
        <w:spacing w:line="480" w:lineRule="auto"/>
        <w:jc w:val="center"/>
        <w:rPr>
          <w:rFonts w:ascii="Times New Roman" w:hAnsi="Times New Roman"/>
          <w:lang w:val="en-US"/>
        </w:rPr>
      </w:pPr>
    </w:p>
    <w:p w14:paraId="3506138F" w14:textId="178B2E76" w:rsidR="006A3612" w:rsidRPr="004A2990" w:rsidRDefault="006A3612" w:rsidP="007C0D19">
      <w:pPr>
        <w:tabs>
          <w:tab w:val="left" w:pos="1605"/>
        </w:tabs>
        <w:spacing w:line="480" w:lineRule="auto"/>
        <w:jc w:val="center"/>
        <w:rPr>
          <w:rFonts w:ascii="Times New Roman" w:hAnsi="Times New Roman"/>
          <w:lang w:val="en-US"/>
        </w:rPr>
      </w:pPr>
    </w:p>
    <w:p w14:paraId="15EBAB0D" w14:textId="77777777" w:rsidR="009A2730" w:rsidRPr="004A2990" w:rsidRDefault="009A2730" w:rsidP="007C0D19">
      <w:pPr>
        <w:pStyle w:val="APAAbstract"/>
        <w:spacing w:after="0"/>
        <w:jc w:val="center"/>
        <w:rPr>
          <w:lang w:val="en-US"/>
        </w:rPr>
      </w:pPr>
      <w:r w:rsidRPr="004A2990">
        <w:rPr>
          <w:lang w:val="en-US"/>
        </w:rPr>
        <w:lastRenderedPageBreak/>
        <w:t>Abstract</w:t>
      </w:r>
    </w:p>
    <w:p w14:paraId="136C44B8" w14:textId="090489FF" w:rsidR="001F5885" w:rsidRDefault="001F5885" w:rsidP="007C0D19">
      <w:pPr>
        <w:pStyle w:val="APAAbstract"/>
        <w:spacing w:after="0"/>
        <w:rPr>
          <w:lang w:val="en-US"/>
        </w:rPr>
      </w:pPr>
    </w:p>
    <w:p w14:paraId="791C8F71" w14:textId="13D4CE2B" w:rsidR="001F5885" w:rsidRPr="00EA7B8B" w:rsidRDefault="001F5885" w:rsidP="007C0D19">
      <w:pPr>
        <w:pStyle w:val="APAAbstract"/>
        <w:spacing w:after="0"/>
        <w:rPr>
          <w:lang w:val="en-US"/>
        </w:rPr>
      </w:pPr>
      <w:r>
        <w:rPr>
          <w:lang w:val="en-US"/>
        </w:rPr>
        <w:t xml:space="preserve">Predictors of perceived population size and perceived right to </w:t>
      </w:r>
      <w:r w:rsidR="003D74FE">
        <w:rPr>
          <w:lang w:val="en-US"/>
        </w:rPr>
        <w:t>reside</w:t>
      </w:r>
      <w:r w:rsidR="00C0706E">
        <w:rPr>
          <w:lang w:val="en-US"/>
        </w:rPr>
        <w:t xml:space="preserve"> in the UK</w:t>
      </w:r>
      <w:r>
        <w:rPr>
          <w:lang w:val="en-US"/>
        </w:rPr>
        <w:t xml:space="preserve"> were tested for immigrants to Britain. </w:t>
      </w:r>
      <w:r w:rsidR="00B04114">
        <w:rPr>
          <w:lang w:val="en-US"/>
        </w:rPr>
        <w:t>Two</w:t>
      </w:r>
      <w:r w:rsidR="009A2730" w:rsidRPr="004A2990">
        <w:rPr>
          <w:lang w:val="en-US"/>
        </w:rPr>
        <w:t xml:space="preserve"> studies</w:t>
      </w:r>
      <w:r w:rsidR="009A2730" w:rsidRPr="004A2990" w:rsidDel="00AA3AE9">
        <w:rPr>
          <w:lang w:val="en-US"/>
        </w:rPr>
        <w:t xml:space="preserve"> </w:t>
      </w:r>
      <w:r w:rsidR="009A2730" w:rsidRPr="004A2990">
        <w:rPr>
          <w:lang w:val="en-US"/>
        </w:rPr>
        <w:t>explore</w:t>
      </w:r>
      <w:r w:rsidR="007A408D" w:rsidRPr="004A2990">
        <w:rPr>
          <w:lang w:val="en-US"/>
        </w:rPr>
        <w:t>d</w:t>
      </w:r>
      <w:r w:rsidR="009A2730" w:rsidRPr="004A2990">
        <w:rPr>
          <w:lang w:val="en-US"/>
        </w:rPr>
        <w:t xml:space="preserve"> </w:t>
      </w:r>
      <w:r w:rsidR="00D822D0" w:rsidRPr="004A2990">
        <w:rPr>
          <w:lang w:val="en-US"/>
        </w:rPr>
        <w:t>psychological responses of</w:t>
      </w:r>
      <w:r w:rsidR="009A2730" w:rsidRPr="004A2990">
        <w:rPr>
          <w:lang w:val="en-US"/>
        </w:rPr>
        <w:t xml:space="preserve"> British </w:t>
      </w:r>
      <w:r w:rsidR="00C905D9" w:rsidRPr="004A2990">
        <w:rPr>
          <w:lang w:val="en-US"/>
        </w:rPr>
        <w:t>respondents</w:t>
      </w:r>
      <w:r w:rsidR="009A2730" w:rsidRPr="004A2990">
        <w:rPr>
          <w:lang w:val="en-US"/>
        </w:rPr>
        <w:t xml:space="preserve"> </w:t>
      </w:r>
      <w:r w:rsidR="00D822D0" w:rsidRPr="004A2990">
        <w:rPr>
          <w:lang w:val="en-US"/>
        </w:rPr>
        <w:t>to</w:t>
      </w:r>
      <w:r w:rsidR="009A2730" w:rsidRPr="004A2990">
        <w:rPr>
          <w:lang w:val="en-US"/>
        </w:rPr>
        <w:t xml:space="preserve"> immigration</w:t>
      </w:r>
      <w:r w:rsidR="00D822D0" w:rsidRPr="004A2990">
        <w:rPr>
          <w:lang w:val="en-US"/>
        </w:rPr>
        <w:t xml:space="preserve"> to the UK</w:t>
      </w:r>
      <w:r w:rsidR="009A2730" w:rsidRPr="004A2990">
        <w:rPr>
          <w:lang w:val="en-US"/>
        </w:rPr>
        <w:t xml:space="preserve">. A questionnaire </w:t>
      </w:r>
      <w:r w:rsidR="00A544FD" w:rsidRPr="004A2990">
        <w:rPr>
          <w:lang w:val="en-US"/>
        </w:rPr>
        <w:t xml:space="preserve">study </w:t>
      </w:r>
      <w:r w:rsidR="009A2730" w:rsidRPr="004A2990">
        <w:rPr>
          <w:lang w:val="en-US"/>
        </w:rPr>
        <w:t xml:space="preserve">examined responses towards migrants </w:t>
      </w:r>
      <w:r w:rsidR="007A408D" w:rsidRPr="004A2990">
        <w:rPr>
          <w:lang w:val="en-US"/>
        </w:rPr>
        <w:t>living in</w:t>
      </w:r>
      <w:r w:rsidR="009A2730" w:rsidRPr="004A2990">
        <w:rPr>
          <w:lang w:val="en-US"/>
        </w:rPr>
        <w:t xml:space="preserve"> the UK from India, Poland and Syria (study </w:t>
      </w:r>
      <w:r w:rsidR="00B04114">
        <w:rPr>
          <w:lang w:val="en-US"/>
        </w:rPr>
        <w:t>1,</w:t>
      </w:r>
      <w:r w:rsidR="00B04114" w:rsidRPr="00C34368">
        <w:rPr>
          <w:i/>
          <w:iCs/>
          <w:lang w:val="en-US"/>
        </w:rPr>
        <w:t xml:space="preserve"> N</w:t>
      </w:r>
      <w:r w:rsidR="00B04114">
        <w:rPr>
          <w:lang w:val="en-US"/>
        </w:rPr>
        <w:t xml:space="preserve"> = 1</w:t>
      </w:r>
      <w:r w:rsidR="00593775">
        <w:rPr>
          <w:lang w:val="en-US"/>
        </w:rPr>
        <w:t>36</w:t>
      </w:r>
      <w:r w:rsidR="00B04114">
        <w:rPr>
          <w:lang w:val="en-US"/>
        </w:rPr>
        <w:t>). In this study</w:t>
      </w:r>
      <w:r w:rsidR="00B04114" w:rsidRPr="004A2990">
        <w:rPr>
          <w:lang w:val="en-US"/>
        </w:rPr>
        <w:t xml:space="preserve">, perceived intergroup similarity and intergroup threat predicted intergroup </w:t>
      </w:r>
      <w:r w:rsidR="00B04114">
        <w:rPr>
          <w:lang w:val="en-US"/>
        </w:rPr>
        <w:t>affect</w:t>
      </w:r>
      <w:r w:rsidR="00B04114" w:rsidRPr="004A2990">
        <w:rPr>
          <w:lang w:val="en-US"/>
        </w:rPr>
        <w:t xml:space="preserve">, which in turn predicted estimates of the migrant group size and the perceived right of the migrants to reside in the UK. </w:t>
      </w:r>
      <w:r w:rsidR="00B04114">
        <w:rPr>
          <w:lang w:val="en-US"/>
        </w:rPr>
        <w:t xml:space="preserve">Study 2 </w:t>
      </w:r>
      <w:r w:rsidR="00B04114" w:rsidRPr="004A2990">
        <w:rPr>
          <w:lang w:val="en-US"/>
        </w:rPr>
        <w:t>(</w:t>
      </w:r>
      <w:r w:rsidR="00B04114" w:rsidRPr="00C34368">
        <w:rPr>
          <w:i/>
          <w:iCs/>
          <w:lang w:val="en-US"/>
        </w:rPr>
        <w:t>N</w:t>
      </w:r>
      <w:r w:rsidR="00B04114" w:rsidRPr="004A2990">
        <w:rPr>
          <w:lang w:val="en-US"/>
        </w:rPr>
        <w:t xml:space="preserve"> = 126)</w:t>
      </w:r>
      <w:r w:rsidR="00B04114">
        <w:rPr>
          <w:lang w:val="en-US"/>
        </w:rPr>
        <w:t xml:space="preserve"> was an experiment which </w:t>
      </w:r>
      <w:r w:rsidR="009A2730" w:rsidRPr="004A2990">
        <w:rPr>
          <w:lang w:val="en-US"/>
        </w:rPr>
        <w:t>manipulated similarity and threat, and elicited responses towards a fictional migrant group</w:t>
      </w:r>
      <w:r w:rsidR="00B04114">
        <w:rPr>
          <w:lang w:val="en-US"/>
        </w:rPr>
        <w:t>, to get a better handle on the causal direction of effects observed in study 1</w:t>
      </w:r>
      <w:r w:rsidR="009A2730" w:rsidRPr="004A2990">
        <w:rPr>
          <w:lang w:val="en-US"/>
        </w:rPr>
        <w:t>.</w:t>
      </w:r>
      <w:r w:rsidR="002B5C1F" w:rsidRPr="004A2990">
        <w:rPr>
          <w:lang w:val="en-US"/>
        </w:rPr>
        <w:t xml:space="preserve"> </w:t>
      </w:r>
      <w:r w:rsidR="00B04114">
        <w:rPr>
          <w:lang w:val="en-US"/>
        </w:rPr>
        <w:t>Taken together, the studies showed that p</w:t>
      </w:r>
      <w:r>
        <w:rPr>
          <w:lang w:val="en-US"/>
        </w:rPr>
        <w:t>erceived population size and perceived right</w:t>
      </w:r>
      <w:r w:rsidR="00297001">
        <w:rPr>
          <w:lang w:val="en-US"/>
        </w:rPr>
        <w:t xml:space="preserve"> to reside in Britain were predicted by intergroup similarity, threat, and </w:t>
      </w:r>
      <w:r w:rsidR="00B86E79">
        <w:rPr>
          <w:lang w:val="en-US"/>
        </w:rPr>
        <w:t>affect</w:t>
      </w:r>
      <w:r w:rsidR="00297001">
        <w:rPr>
          <w:lang w:val="en-US"/>
        </w:rPr>
        <w:t xml:space="preserve">. </w:t>
      </w:r>
    </w:p>
    <w:p w14:paraId="39C86B87" w14:textId="77777777" w:rsidR="00EF6ED1" w:rsidRPr="004A2990" w:rsidRDefault="00EF6ED1" w:rsidP="007C0D19">
      <w:pPr>
        <w:pStyle w:val="APAAbstract"/>
        <w:spacing w:after="0"/>
        <w:rPr>
          <w:i/>
          <w:lang w:val="en-US"/>
        </w:rPr>
      </w:pPr>
    </w:p>
    <w:p w14:paraId="2ECD52BB" w14:textId="364DCA89" w:rsidR="009A2730" w:rsidRPr="004A2990" w:rsidRDefault="009A2730" w:rsidP="003D53CE">
      <w:pPr>
        <w:pStyle w:val="APAAbstract"/>
        <w:spacing w:after="0"/>
        <w:rPr>
          <w:b/>
          <w:bCs/>
          <w:lang w:val="en-US"/>
        </w:rPr>
      </w:pPr>
      <w:r w:rsidRPr="004A2990">
        <w:rPr>
          <w:i/>
          <w:lang w:val="en-US"/>
        </w:rPr>
        <w:t xml:space="preserve">Keywords: </w:t>
      </w:r>
      <w:r w:rsidRPr="004A2990">
        <w:rPr>
          <w:lang w:val="en-US"/>
        </w:rPr>
        <w:t xml:space="preserve">immigration; </w:t>
      </w:r>
      <w:r w:rsidRPr="004A2990">
        <w:rPr>
          <w:lang w:val="en-US"/>
        </w:rPr>
        <w:fldChar w:fldCharType="begin"/>
      </w:r>
      <w:r w:rsidRPr="004A2990">
        <w:rPr>
          <w:lang w:val="en-US"/>
        </w:rPr>
        <w:instrText xml:space="preserve"> KEYWORDS </w:instrText>
      </w:r>
      <w:r w:rsidRPr="004A2990">
        <w:rPr>
          <w:lang w:val="en-US"/>
        </w:rPr>
        <w:fldChar w:fldCharType="separate"/>
      </w:r>
      <w:r w:rsidRPr="004A2990">
        <w:rPr>
          <w:lang w:val="en-US"/>
        </w:rPr>
        <w:t>int</w:t>
      </w:r>
      <w:r w:rsidRPr="004A2990">
        <w:rPr>
          <w:lang w:val="en-US"/>
        </w:rPr>
        <w:fldChar w:fldCharType="end"/>
      </w:r>
      <w:r w:rsidRPr="004A2990">
        <w:rPr>
          <w:lang w:val="en-US"/>
        </w:rPr>
        <w:t>ergroup relations; intergroup threat; intergroup similarity</w:t>
      </w:r>
      <w:r w:rsidR="006229AD">
        <w:rPr>
          <w:lang w:val="en-US"/>
        </w:rPr>
        <w:t xml:space="preserve">; </w:t>
      </w:r>
      <w:r w:rsidR="003D53CE">
        <w:rPr>
          <w:lang w:val="en-US"/>
        </w:rPr>
        <w:t xml:space="preserve">intergroup </w:t>
      </w:r>
      <w:r w:rsidR="00B86E79">
        <w:rPr>
          <w:lang w:val="en-US"/>
        </w:rPr>
        <w:t>affect</w:t>
      </w:r>
    </w:p>
    <w:p w14:paraId="616EAB98" w14:textId="77777777" w:rsidR="007C0D19" w:rsidRPr="004A2990" w:rsidRDefault="007C0D19" w:rsidP="007C0D19">
      <w:pPr>
        <w:widowControl/>
        <w:suppressAutoHyphens w:val="0"/>
        <w:spacing w:line="480" w:lineRule="auto"/>
        <w:rPr>
          <w:rFonts w:ascii="Times New Roman" w:hAnsi="Times New Roman"/>
          <w:b/>
          <w:bCs/>
          <w:lang w:val="en-US"/>
        </w:rPr>
      </w:pPr>
    </w:p>
    <w:p w14:paraId="5FF92237" w14:textId="5B80FA70" w:rsidR="00C905D9" w:rsidRPr="004A2990" w:rsidRDefault="00C905D9">
      <w:pPr>
        <w:widowControl/>
        <w:suppressAutoHyphens w:val="0"/>
        <w:rPr>
          <w:rFonts w:ascii="Times New Roman" w:hAnsi="Times New Roman"/>
          <w:b/>
          <w:bCs/>
          <w:lang w:val="en-US"/>
        </w:rPr>
      </w:pPr>
      <w:r w:rsidRPr="004A2990">
        <w:rPr>
          <w:rFonts w:ascii="Times New Roman" w:hAnsi="Times New Roman"/>
          <w:b/>
          <w:bCs/>
          <w:lang w:val="en-US"/>
        </w:rPr>
        <w:br w:type="page"/>
      </w:r>
    </w:p>
    <w:p w14:paraId="146E1983" w14:textId="6CF5F411" w:rsidR="0029574E" w:rsidRPr="004A2990" w:rsidRDefault="005871CD" w:rsidP="00C905D9">
      <w:pPr>
        <w:widowControl/>
        <w:suppressAutoHyphens w:val="0"/>
        <w:spacing w:line="480" w:lineRule="auto"/>
        <w:jc w:val="center"/>
        <w:rPr>
          <w:rFonts w:ascii="Times New Roman" w:hAnsi="Times New Roman"/>
          <w:bCs/>
          <w:lang w:val="en-US"/>
        </w:rPr>
      </w:pPr>
      <w:r w:rsidRPr="004A2990">
        <w:rPr>
          <w:rFonts w:ascii="Times New Roman" w:hAnsi="Times New Roman"/>
          <w:lang w:val="en-US"/>
        </w:rPr>
        <w:lastRenderedPageBreak/>
        <w:t>“The Boat is full!</w:t>
      </w:r>
      <w:proofErr w:type="gramStart"/>
      <w:r w:rsidRPr="004A2990">
        <w:rPr>
          <w:rFonts w:ascii="Times New Roman" w:hAnsi="Times New Roman"/>
          <w:lang w:val="en-US"/>
        </w:rPr>
        <w:t>”</w:t>
      </w:r>
      <w:r w:rsidR="0029574E" w:rsidRPr="004A2990">
        <w:rPr>
          <w:rFonts w:ascii="Times New Roman" w:hAnsi="Times New Roman"/>
          <w:bCs/>
          <w:lang w:val="en-US"/>
        </w:rPr>
        <w:t>:</w:t>
      </w:r>
      <w:proofErr w:type="gramEnd"/>
    </w:p>
    <w:p w14:paraId="5B4CD980" w14:textId="71733BCA" w:rsidR="0029574E" w:rsidRPr="004A2990" w:rsidRDefault="0029574E" w:rsidP="00C905D9">
      <w:pPr>
        <w:pStyle w:val="APABodyText"/>
        <w:spacing w:after="0"/>
        <w:ind w:firstLine="0"/>
        <w:jc w:val="center"/>
        <w:rPr>
          <w:bCs/>
          <w:lang w:val="en-US"/>
        </w:rPr>
      </w:pPr>
      <w:r w:rsidRPr="004A2990">
        <w:rPr>
          <w:bCs/>
          <w:lang w:val="en-US"/>
        </w:rPr>
        <w:t>Predictors of perceived migrant group size and perceived right to stay</w:t>
      </w:r>
    </w:p>
    <w:p w14:paraId="70FF0E68" w14:textId="77777777" w:rsidR="0029574E" w:rsidRPr="004A2990" w:rsidRDefault="0029574E" w:rsidP="007C0D19">
      <w:pPr>
        <w:pStyle w:val="APABodyText"/>
        <w:spacing w:after="0"/>
        <w:ind w:firstLine="0"/>
        <w:rPr>
          <w:b/>
          <w:bCs/>
          <w:lang w:val="en-US"/>
        </w:rPr>
      </w:pPr>
    </w:p>
    <w:p w14:paraId="13091D1D" w14:textId="6DCC3484" w:rsidR="00C905D9" w:rsidRPr="004A2990" w:rsidRDefault="00717E8F" w:rsidP="00C905D9">
      <w:pPr>
        <w:pStyle w:val="APABodyText"/>
        <w:spacing w:after="0"/>
        <w:ind w:firstLine="0"/>
        <w:rPr>
          <w:lang w:val="en-US"/>
        </w:rPr>
      </w:pPr>
      <w:r w:rsidRPr="004A2990">
        <w:rPr>
          <w:lang w:val="en-US"/>
        </w:rPr>
        <w:t xml:space="preserve">Immigration </w:t>
      </w:r>
      <w:r w:rsidR="00E36736" w:rsidRPr="004A2990">
        <w:rPr>
          <w:lang w:val="en-US"/>
        </w:rPr>
        <w:t>is</w:t>
      </w:r>
      <w:r w:rsidRPr="004A2990">
        <w:rPr>
          <w:lang w:val="en-US"/>
        </w:rPr>
        <w:t xml:space="preserve"> a key social issue </w:t>
      </w:r>
      <w:r w:rsidR="00EF6ED1" w:rsidRPr="004A2990">
        <w:rPr>
          <w:lang w:val="en-US"/>
        </w:rPr>
        <w:t>for</w:t>
      </w:r>
      <w:r w:rsidRPr="004A2990">
        <w:rPr>
          <w:lang w:val="en-US"/>
        </w:rPr>
        <w:t xml:space="preserve"> politicians</w:t>
      </w:r>
      <w:r w:rsidR="00C905D9" w:rsidRPr="004A2990">
        <w:rPr>
          <w:lang w:val="en-US"/>
        </w:rPr>
        <w:t xml:space="preserve"> and</w:t>
      </w:r>
      <w:r w:rsidRPr="004A2990">
        <w:rPr>
          <w:lang w:val="en-US"/>
        </w:rPr>
        <w:t xml:space="preserve"> the media. International immigration is defined as the movement and settlement of people from one na</w:t>
      </w:r>
      <w:r w:rsidR="00AE7250" w:rsidRPr="004A2990">
        <w:rPr>
          <w:lang w:val="en-US"/>
        </w:rPr>
        <w:t>tion state to another (Castles</w:t>
      </w:r>
      <w:r w:rsidRPr="004A2990">
        <w:rPr>
          <w:lang w:val="en-US"/>
        </w:rPr>
        <w:t>, 2000)</w:t>
      </w:r>
      <w:r w:rsidR="00E36736" w:rsidRPr="004A2990">
        <w:rPr>
          <w:lang w:val="en-US"/>
        </w:rPr>
        <w:t>.</w:t>
      </w:r>
      <w:r w:rsidRPr="004A2990">
        <w:rPr>
          <w:lang w:val="en-US"/>
        </w:rPr>
        <w:t xml:space="preserve"> </w:t>
      </w:r>
      <w:r w:rsidR="007E1B60" w:rsidRPr="004A2990">
        <w:rPr>
          <w:lang w:val="en-US"/>
        </w:rPr>
        <w:t>T</w:t>
      </w:r>
      <w:r w:rsidRPr="004A2990">
        <w:rPr>
          <w:lang w:val="en-US"/>
        </w:rPr>
        <w:t>he rate of international migration has increased rapidly</w:t>
      </w:r>
      <w:r w:rsidR="004F3B11">
        <w:rPr>
          <w:lang w:val="en-US"/>
        </w:rPr>
        <w:t xml:space="preserve"> over recent decades, with 258</w:t>
      </w:r>
      <w:r w:rsidRPr="004A2990">
        <w:rPr>
          <w:lang w:val="en-US"/>
        </w:rPr>
        <w:t xml:space="preserve"> million international migrants residing abroad in 201</w:t>
      </w:r>
      <w:r w:rsidR="004F3B11">
        <w:rPr>
          <w:lang w:val="en-US"/>
        </w:rPr>
        <w:t>7</w:t>
      </w:r>
      <w:r w:rsidRPr="004A2990">
        <w:rPr>
          <w:lang w:val="en-US"/>
        </w:rPr>
        <w:t>, accounting for 3.</w:t>
      </w:r>
      <w:r w:rsidR="004F3B11">
        <w:rPr>
          <w:lang w:val="en-US"/>
        </w:rPr>
        <w:t>4</w:t>
      </w:r>
      <w:r w:rsidRPr="004A2990">
        <w:rPr>
          <w:lang w:val="en-US"/>
        </w:rPr>
        <w:t>% of the global population (U</w:t>
      </w:r>
      <w:r w:rsidR="00AE7250" w:rsidRPr="004A2990">
        <w:rPr>
          <w:lang w:val="en-US"/>
        </w:rPr>
        <w:t xml:space="preserve">nited </w:t>
      </w:r>
      <w:r w:rsidRPr="004A2990">
        <w:rPr>
          <w:lang w:val="en-US"/>
        </w:rPr>
        <w:t>N</w:t>
      </w:r>
      <w:r w:rsidR="00AE7250" w:rsidRPr="004A2990">
        <w:rPr>
          <w:lang w:val="en-US"/>
        </w:rPr>
        <w:t>ations</w:t>
      </w:r>
      <w:r w:rsidR="004F3B11">
        <w:rPr>
          <w:lang w:val="en-US"/>
        </w:rPr>
        <w:t>, 2017</w:t>
      </w:r>
      <w:r w:rsidRPr="004A2990">
        <w:rPr>
          <w:lang w:val="en-US"/>
        </w:rPr>
        <w:t xml:space="preserve">). </w:t>
      </w:r>
      <w:r w:rsidRPr="004A2990">
        <w:rPr>
          <w:noProof/>
        </w:rPr>
        <mc:AlternateContent>
          <mc:Choice Requires="wps">
            <w:drawing>
              <wp:anchor distT="72390" distB="72390" distL="72390" distR="72390" simplePos="0" relativeHeight="251656192" behindDoc="0" locked="0" layoutInCell="1" allowOverlap="1" wp14:anchorId="52F64595" wp14:editId="45EAE8A2">
                <wp:simplePos x="0" y="0"/>
                <wp:positionH relativeFrom="page">
                  <wp:posOffset>641985</wp:posOffset>
                </wp:positionH>
                <wp:positionV relativeFrom="page">
                  <wp:posOffset>18959558</wp:posOffset>
                </wp:positionV>
                <wp:extent cx="5758815" cy="242125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42125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519C3E" w14:textId="77777777" w:rsidR="00140504" w:rsidRDefault="00140504" w:rsidP="00717E8F">
                            <w:pPr>
                              <w:spacing w:line="480" w:lineRule="auto"/>
                              <w:jc w:val="center"/>
                            </w:pPr>
                            <w:r>
                              <w:t>{Title of the Manuscript in Title Case}</w:t>
                            </w:r>
                          </w:p>
                          <w:p w14:paraId="45E3BE9B" w14:textId="77777777" w:rsidR="00140504" w:rsidRDefault="00140504" w:rsidP="00717E8F">
                            <w:pPr>
                              <w:spacing w:line="480" w:lineRule="auto"/>
                              <w:jc w:val="center"/>
                            </w:pPr>
                            <w:r>
                              <w:t>{Author(s)}</w:t>
                            </w:r>
                          </w:p>
                          <w:p w14:paraId="4D14101B" w14:textId="77777777" w:rsidR="00140504" w:rsidRDefault="00140504" w:rsidP="00717E8F">
                            <w:pPr>
                              <w:spacing w:line="480" w:lineRule="auto"/>
                              <w:jc w:val="center"/>
                            </w:pPr>
                            <w:r>
                              <w:t>{Institution}</w:t>
                            </w:r>
                          </w:p>
                          <w:p w14:paraId="15BAC6CF" w14:textId="77777777" w:rsidR="00140504" w:rsidRDefault="00140504" w:rsidP="00717E8F">
                            <w:pPr>
                              <w:spacing w:line="480" w:lineRule="auto"/>
                              <w:jc w:val="center"/>
                            </w:pPr>
                            <w:r>
                              <w:t>{Author(s)}</w:t>
                            </w:r>
                          </w:p>
                          <w:p w14:paraId="3969B55D" w14:textId="77777777" w:rsidR="00140504" w:rsidRDefault="00140504" w:rsidP="00717E8F">
                            <w:pPr>
                              <w:spacing w:line="480" w:lineRule="auto"/>
                              <w:jc w:val="center"/>
                            </w:pPr>
                            <w:r>
                              <w:t>{Institution}</w:t>
                            </w:r>
                          </w:p>
                          <w:p w14:paraId="275F732C" w14:textId="77777777" w:rsidR="00140504" w:rsidRDefault="00140504" w:rsidP="00717E8F">
                            <w:pPr>
                              <w:spacing w:line="480" w:lineRule="auto"/>
                              <w:jc w:val="center"/>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2F64595" id="Text Box 5" o:spid="_x0000_s1027" type="#_x0000_t202" style="position:absolute;margin-left:50.55pt;margin-top:1492.9pt;width:453.45pt;height:190.65pt;z-index:251656192;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" stroked="f">
                <v:textbox inset="0,0,0,0">
                  <w:txbxContent>
                    <w:p w14:paraId="30519C3E" w14:textId="77777777" w:rsidR="00140504" w:rsidRDefault="00140504" w:rsidP="00717E8F">
                      <w:pPr>
                        <w:spacing w:line="480" w:lineRule="auto"/>
                        <w:jc w:val="center"/>
                      </w:pPr>
                      <w:r>
                        <w:t>{Title of the Manuscript in Title Case}</w:t>
                      </w:r>
                    </w:p>
                    <w:p w14:paraId="45E3BE9B" w14:textId="77777777" w:rsidR="00140504" w:rsidRDefault="00140504" w:rsidP="00717E8F">
                      <w:pPr>
                        <w:spacing w:line="480" w:lineRule="auto"/>
                        <w:jc w:val="center"/>
                      </w:pPr>
                      <w:r>
                        <w:t>{Author(s)}</w:t>
                      </w:r>
                    </w:p>
                    <w:p w14:paraId="4D14101B" w14:textId="77777777" w:rsidR="00140504" w:rsidRDefault="00140504" w:rsidP="00717E8F">
                      <w:pPr>
                        <w:spacing w:line="480" w:lineRule="auto"/>
                        <w:jc w:val="center"/>
                      </w:pPr>
                      <w:r>
                        <w:t>{Institution}</w:t>
                      </w:r>
                    </w:p>
                    <w:p w14:paraId="15BAC6CF" w14:textId="77777777" w:rsidR="00140504" w:rsidRDefault="00140504" w:rsidP="00717E8F">
                      <w:pPr>
                        <w:spacing w:line="480" w:lineRule="auto"/>
                        <w:jc w:val="center"/>
                      </w:pPr>
                      <w:r>
                        <w:t>{Author(s)}</w:t>
                      </w:r>
                    </w:p>
                    <w:p w14:paraId="3969B55D" w14:textId="77777777" w:rsidR="00140504" w:rsidRDefault="00140504" w:rsidP="00717E8F">
                      <w:pPr>
                        <w:spacing w:line="480" w:lineRule="auto"/>
                        <w:jc w:val="center"/>
                      </w:pPr>
                      <w:r>
                        <w:t>{Institution}</w:t>
                      </w:r>
                    </w:p>
                    <w:p w14:paraId="275F732C" w14:textId="77777777" w:rsidR="00140504" w:rsidRDefault="00140504" w:rsidP="00717E8F">
                      <w:pPr>
                        <w:spacing w:line="480" w:lineRule="auto"/>
                        <w:jc w:val="center"/>
                      </w:pPr>
                      <w:r>
                        <w:t>{…}</w:t>
                      </w:r>
                    </w:p>
                  </w:txbxContent>
                </v:textbox>
                <w10:wrap type="square" anchorx="page" anchory="page"/>
              </v:shape>
            </w:pict>
          </mc:Fallback>
        </mc:AlternateContent>
      </w:r>
      <w:r w:rsidR="00E36736" w:rsidRPr="004A2990">
        <w:rPr>
          <w:lang w:val="en-US"/>
        </w:rPr>
        <w:t xml:space="preserve">The presence of migrants </w:t>
      </w:r>
      <w:r w:rsidR="00EF6ED1" w:rsidRPr="004A2990">
        <w:rPr>
          <w:lang w:val="en-US"/>
        </w:rPr>
        <w:t>can</w:t>
      </w:r>
      <w:r w:rsidR="00E36736" w:rsidRPr="004A2990">
        <w:rPr>
          <w:lang w:val="en-US"/>
        </w:rPr>
        <w:t xml:space="preserve"> result in perceived intergroup threat or competition and</w:t>
      </w:r>
      <w:r w:rsidRPr="004A2990">
        <w:rPr>
          <w:lang w:val="en-US"/>
        </w:rPr>
        <w:t xml:space="preserve"> negative intergroup relations</w:t>
      </w:r>
      <w:r w:rsidR="009940BB" w:rsidRPr="004A2990">
        <w:rPr>
          <w:lang w:val="en-US"/>
        </w:rPr>
        <w:t xml:space="preserve"> </w:t>
      </w:r>
      <w:r w:rsidR="00EF6ED1" w:rsidRPr="004A2990">
        <w:rPr>
          <w:lang w:val="en-US"/>
        </w:rPr>
        <w:t xml:space="preserve">among majority members </w:t>
      </w:r>
      <w:r w:rsidR="009940BB" w:rsidRPr="004A2990">
        <w:rPr>
          <w:lang w:val="en-US"/>
        </w:rPr>
        <w:t>(Esses, Dovidio, Jackson &amp; Armstrong, 2001)</w:t>
      </w:r>
      <w:r w:rsidRPr="004A2990">
        <w:rPr>
          <w:lang w:val="en-US"/>
        </w:rPr>
        <w:t xml:space="preserve">. Indeed, a 2016 survey across 22 countries found that an average of 78% of respondents </w:t>
      </w:r>
      <w:r w:rsidR="00E36736" w:rsidRPr="004A2990">
        <w:rPr>
          <w:lang w:val="en-US"/>
        </w:rPr>
        <w:t>viewed</w:t>
      </w:r>
      <w:r w:rsidRPr="004A2990">
        <w:rPr>
          <w:lang w:val="en-US"/>
        </w:rPr>
        <w:t xml:space="preserve"> the</w:t>
      </w:r>
      <w:r w:rsidR="00E36736" w:rsidRPr="004A2990">
        <w:rPr>
          <w:lang w:val="en-US"/>
        </w:rPr>
        <w:t xml:space="preserve"> level of immigratio</w:t>
      </w:r>
      <w:r w:rsidR="00EF6ED1" w:rsidRPr="004A2990">
        <w:rPr>
          <w:lang w:val="en-US"/>
        </w:rPr>
        <w:t xml:space="preserve">n to their country as too high </w:t>
      </w:r>
      <w:r w:rsidRPr="004A2990">
        <w:rPr>
          <w:lang w:val="en-US"/>
        </w:rPr>
        <w:t>(</w:t>
      </w:r>
      <w:proofErr w:type="spellStart"/>
      <w:r w:rsidRPr="004A2990">
        <w:rPr>
          <w:lang w:val="en-US"/>
        </w:rPr>
        <w:t>Ipsos</w:t>
      </w:r>
      <w:proofErr w:type="spellEnd"/>
      <w:r w:rsidRPr="004A2990">
        <w:rPr>
          <w:lang w:val="en-US"/>
        </w:rPr>
        <w:t xml:space="preserve"> MORI, 2016). </w:t>
      </w:r>
      <w:r w:rsidR="00EF6ED1" w:rsidRPr="004A2990">
        <w:rPr>
          <w:lang w:val="en-US"/>
        </w:rPr>
        <w:t>A</w:t>
      </w:r>
      <w:r w:rsidRPr="004A2990">
        <w:rPr>
          <w:lang w:val="en-US"/>
        </w:rPr>
        <w:t>nti-immigrant prejudice is also widespread in the UK, with 77% of individuals wanting immigration to be reduced (British Social Attitudes 31</w:t>
      </w:r>
      <w:r w:rsidR="006C49F4" w:rsidRPr="004A2990">
        <w:rPr>
          <w:lang w:val="en-US"/>
        </w:rPr>
        <w:t>, 2014</w:t>
      </w:r>
      <w:r w:rsidR="00EF6ED1" w:rsidRPr="004A2990">
        <w:rPr>
          <w:lang w:val="en-US"/>
        </w:rPr>
        <w:t xml:space="preserve">, see also </w:t>
      </w:r>
      <w:proofErr w:type="spellStart"/>
      <w:r w:rsidRPr="004A2990">
        <w:rPr>
          <w:lang w:val="en-US"/>
        </w:rPr>
        <w:t>Co</w:t>
      </w:r>
      <w:r w:rsidR="006C49F4" w:rsidRPr="004A2990">
        <w:rPr>
          <w:lang w:val="en-US"/>
        </w:rPr>
        <w:t>enders</w:t>
      </w:r>
      <w:proofErr w:type="spellEnd"/>
      <w:r w:rsidR="006C49F4" w:rsidRPr="004A2990">
        <w:rPr>
          <w:lang w:val="en-US"/>
        </w:rPr>
        <w:t xml:space="preserve">, Lubbers &amp; </w:t>
      </w:r>
      <w:proofErr w:type="spellStart"/>
      <w:r w:rsidR="006C49F4" w:rsidRPr="004A2990">
        <w:rPr>
          <w:lang w:val="en-US"/>
        </w:rPr>
        <w:t>Scheepers</w:t>
      </w:r>
      <w:proofErr w:type="spellEnd"/>
      <w:r w:rsidR="006C49F4" w:rsidRPr="004A2990">
        <w:rPr>
          <w:lang w:val="en-US"/>
        </w:rPr>
        <w:t>, 201</w:t>
      </w:r>
      <w:r w:rsidRPr="004A2990">
        <w:rPr>
          <w:lang w:val="en-US"/>
        </w:rPr>
        <w:t xml:space="preserve">3). </w:t>
      </w:r>
    </w:p>
    <w:p w14:paraId="4FC29544" w14:textId="3EDBA53C" w:rsidR="00B36571" w:rsidRPr="004A2990" w:rsidRDefault="002441B3" w:rsidP="007C0D19">
      <w:pPr>
        <w:pStyle w:val="APABodyText"/>
        <w:spacing w:after="0"/>
        <w:rPr>
          <w:color w:val="auto"/>
          <w:lang w:val="en-US"/>
        </w:rPr>
      </w:pPr>
      <w:r w:rsidRPr="004A2990">
        <w:rPr>
          <w:lang w:val="en-US"/>
        </w:rPr>
        <w:t xml:space="preserve">This research will study predictors of responses to migrants in Britain. </w:t>
      </w:r>
      <w:r w:rsidR="00E6729D" w:rsidRPr="004A2990">
        <w:rPr>
          <w:lang w:val="en-US"/>
        </w:rPr>
        <w:t xml:space="preserve">In particular, we will study </w:t>
      </w:r>
      <w:r w:rsidR="007116E8" w:rsidRPr="004A2990">
        <w:rPr>
          <w:lang w:val="en-US"/>
        </w:rPr>
        <w:t xml:space="preserve">a) </w:t>
      </w:r>
      <w:r w:rsidR="00E6729D" w:rsidRPr="004A2990">
        <w:rPr>
          <w:lang w:val="en-US"/>
        </w:rPr>
        <w:t xml:space="preserve">predictors of British </w:t>
      </w:r>
      <w:r w:rsidR="00C905D9" w:rsidRPr="004A2990">
        <w:rPr>
          <w:lang w:val="en-US"/>
        </w:rPr>
        <w:t>respondents</w:t>
      </w:r>
      <w:r w:rsidR="00E6729D" w:rsidRPr="004A2990">
        <w:rPr>
          <w:lang w:val="en-US"/>
        </w:rPr>
        <w:t xml:space="preserve"> believing that immigrants have a right to reside in Britain, and </w:t>
      </w:r>
      <w:r w:rsidR="007116E8" w:rsidRPr="004A2990">
        <w:rPr>
          <w:lang w:val="en-US"/>
        </w:rPr>
        <w:t xml:space="preserve">b) </w:t>
      </w:r>
      <w:r w:rsidR="00E6729D" w:rsidRPr="004A2990">
        <w:rPr>
          <w:lang w:val="en-US"/>
        </w:rPr>
        <w:t xml:space="preserve">predictors of </w:t>
      </w:r>
      <w:r w:rsidR="00C905D9" w:rsidRPr="004A2990">
        <w:rPr>
          <w:lang w:val="en-US"/>
        </w:rPr>
        <w:t>British respondents</w:t>
      </w:r>
      <w:r w:rsidR="00E6729D" w:rsidRPr="004A2990">
        <w:rPr>
          <w:lang w:val="en-US"/>
        </w:rPr>
        <w:t xml:space="preserve">’ </w:t>
      </w:r>
      <w:r w:rsidR="007116E8" w:rsidRPr="004A2990">
        <w:rPr>
          <w:lang w:val="en-US"/>
        </w:rPr>
        <w:t>subjectively perceived size</w:t>
      </w:r>
      <w:r w:rsidR="00E6729D" w:rsidRPr="004A2990">
        <w:rPr>
          <w:lang w:val="en-US"/>
        </w:rPr>
        <w:t xml:space="preserve"> of </w:t>
      </w:r>
      <w:r w:rsidR="00C905D9" w:rsidRPr="004A2990">
        <w:rPr>
          <w:color w:val="auto"/>
          <w:lang w:val="en-US"/>
        </w:rPr>
        <w:t>migrant</w:t>
      </w:r>
      <w:r w:rsidR="00E6729D" w:rsidRPr="004A2990">
        <w:rPr>
          <w:color w:val="auto"/>
          <w:lang w:val="en-US"/>
        </w:rPr>
        <w:t xml:space="preserve"> groups. </w:t>
      </w:r>
      <w:r w:rsidR="00C905D9" w:rsidRPr="004A2990">
        <w:rPr>
          <w:color w:val="auto"/>
          <w:lang w:val="en-US"/>
        </w:rPr>
        <w:t xml:space="preserve">These </w:t>
      </w:r>
      <w:r w:rsidR="007116E8" w:rsidRPr="004A2990">
        <w:rPr>
          <w:color w:val="auto"/>
          <w:lang w:val="en-US"/>
        </w:rPr>
        <w:t xml:space="preserve">key outcome variables were chosen because of their theoretical and applied </w:t>
      </w:r>
      <w:r w:rsidR="008C00CB">
        <w:rPr>
          <w:color w:val="auto"/>
          <w:lang w:val="en-US"/>
        </w:rPr>
        <w:t>importance</w:t>
      </w:r>
      <w:r w:rsidR="007116E8" w:rsidRPr="004A2990">
        <w:rPr>
          <w:color w:val="auto"/>
          <w:lang w:val="en-US"/>
        </w:rPr>
        <w:t xml:space="preserve">. Much previous research has studied antecedents of prejudice and negative intergroup attitudes (e.g., Brown, 2010). </w:t>
      </w:r>
      <w:r w:rsidR="00B36571" w:rsidRPr="004A2990">
        <w:rPr>
          <w:color w:val="auto"/>
          <w:lang w:val="en-US"/>
        </w:rPr>
        <w:t xml:space="preserve">However, prejudiced individuals rarely base arguments about the need to reject immigrants on the rationale that they ‘simply don’t like them’. Instead, calls for the need to keep immigration in check often refer to the issue of rights, i.e. who has a right to </w:t>
      </w:r>
      <w:r w:rsidR="00E25175" w:rsidRPr="004A2990">
        <w:rPr>
          <w:color w:val="auto"/>
          <w:lang w:val="en-US"/>
        </w:rPr>
        <w:t xml:space="preserve">reside in </w:t>
      </w:r>
      <w:r w:rsidR="00B36571" w:rsidRPr="004A2990">
        <w:rPr>
          <w:color w:val="auto"/>
          <w:lang w:val="en-US"/>
        </w:rPr>
        <w:t>the land (</w:t>
      </w:r>
      <w:r w:rsidR="009E0BD2">
        <w:rPr>
          <w:color w:val="auto"/>
          <w:lang w:val="en-US"/>
        </w:rPr>
        <w:t xml:space="preserve">e.g. </w:t>
      </w:r>
      <w:r w:rsidR="006D39B1">
        <w:rPr>
          <w:color w:val="auto"/>
          <w:lang w:val="en-US"/>
        </w:rPr>
        <w:t>Drury</w:t>
      </w:r>
      <w:r w:rsidR="009E0BD2">
        <w:rPr>
          <w:color w:val="auto"/>
          <w:lang w:val="en-US"/>
        </w:rPr>
        <w:t xml:space="preserve"> in the Daily Mail</w:t>
      </w:r>
      <w:r w:rsidR="006D39B1">
        <w:rPr>
          <w:color w:val="auto"/>
          <w:lang w:val="en-US"/>
        </w:rPr>
        <w:t>, 2017</w:t>
      </w:r>
      <w:r w:rsidR="00B36571" w:rsidRPr="004A2990">
        <w:rPr>
          <w:color w:val="auto"/>
          <w:lang w:val="en-US"/>
        </w:rPr>
        <w:t>). They also often refer to fears related to group size</w:t>
      </w:r>
      <w:r w:rsidR="006D39B1">
        <w:rPr>
          <w:color w:val="auto"/>
          <w:lang w:val="en-US"/>
        </w:rPr>
        <w:t xml:space="preserve">, </w:t>
      </w:r>
      <w:r w:rsidR="00B36571" w:rsidRPr="004A2990">
        <w:rPr>
          <w:lang w:val="en-US"/>
        </w:rPr>
        <w:t>e.g., ‘the boat is full’</w:t>
      </w:r>
      <w:r w:rsidR="006D39B1">
        <w:rPr>
          <w:color w:val="auto"/>
          <w:lang w:val="en-US"/>
        </w:rPr>
        <w:t xml:space="preserve"> (</w:t>
      </w:r>
      <w:r w:rsidR="009E0BD2">
        <w:rPr>
          <w:color w:val="auto"/>
          <w:lang w:val="en-US"/>
        </w:rPr>
        <w:t xml:space="preserve">e.g., </w:t>
      </w:r>
      <w:r w:rsidR="006D39B1">
        <w:rPr>
          <w:color w:val="auto"/>
          <w:lang w:val="en-US"/>
        </w:rPr>
        <w:t>Drury</w:t>
      </w:r>
      <w:r w:rsidR="009E0BD2">
        <w:rPr>
          <w:color w:val="auto"/>
          <w:lang w:val="en-US"/>
        </w:rPr>
        <w:t xml:space="preserve"> in the Daily Mail</w:t>
      </w:r>
      <w:r w:rsidR="006D39B1">
        <w:rPr>
          <w:color w:val="auto"/>
          <w:lang w:val="en-US"/>
        </w:rPr>
        <w:t xml:space="preserve">, </w:t>
      </w:r>
      <w:r w:rsidR="006D39B1">
        <w:rPr>
          <w:color w:val="auto"/>
          <w:lang w:val="en-US"/>
        </w:rPr>
        <w:lastRenderedPageBreak/>
        <w:t>2018)</w:t>
      </w:r>
      <w:r w:rsidR="00B36571" w:rsidRPr="004A2990">
        <w:rPr>
          <w:color w:val="auto"/>
          <w:lang w:val="en-US"/>
        </w:rPr>
        <w:t>. Despite the fact that references to ‘rights’ and ‘size’ prominently feature in political discourse, these concepts have not been directly studied in the psychological literature to date; and the field has instead favored focusing on prejudice itself. By focusing directly on predictors of ‘rights’ and ‘size’, this contribution fill</w:t>
      </w:r>
      <w:r w:rsidR="007A411D">
        <w:rPr>
          <w:color w:val="auto"/>
          <w:lang w:val="en-US"/>
        </w:rPr>
        <w:t>s</w:t>
      </w:r>
      <w:r w:rsidR="00B36571" w:rsidRPr="004A2990">
        <w:rPr>
          <w:color w:val="auto"/>
          <w:lang w:val="en-US"/>
        </w:rPr>
        <w:t xml:space="preserve"> an obvious gap in the existing literature. This work </w:t>
      </w:r>
      <w:r w:rsidR="00E25175" w:rsidRPr="004A2990">
        <w:rPr>
          <w:color w:val="auto"/>
          <w:lang w:val="en-US"/>
        </w:rPr>
        <w:t xml:space="preserve">tested the hypothesis that perceived intergroup similarity will decrease perceived intergroup threat, which will in turn render intergroup </w:t>
      </w:r>
      <w:r w:rsidR="00B86E79">
        <w:rPr>
          <w:color w:val="auto"/>
          <w:lang w:val="en-US"/>
        </w:rPr>
        <w:t>affect</w:t>
      </w:r>
      <w:r w:rsidR="00E25175" w:rsidRPr="004A2990">
        <w:rPr>
          <w:color w:val="auto"/>
          <w:lang w:val="en-US"/>
        </w:rPr>
        <w:t xml:space="preserve"> to be more positive, which will in turn lead to lower subjective minority group size estimates and to greater endorsement of the idea that migrant groups have a right t</w:t>
      </w:r>
      <w:r w:rsidR="00725AD5">
        <w:rPr>
          <w:color w:val="auto"/>
          <w:lang w:val="en-US"/>
        </w:rPr>
        <w:t>o reside in the UK (see Figure 1</w:t>
      </w:r>
      <w:r w:rsidR="00E25175" w:rsidRPr="004A2990">
        <w:rPr>
          <w:color w:val="auto"/>
          <w:lang w:val="en-US"/>
        </w:rPr>
        <w:t>). In the following, the rationale for these predictions w</w:t>
      </w:r>
      <w:r w:rsidR="007A411D">
        <w:rPr>
          <w:color w:val="auto"/>
          <w:lang w:val="en-US"/>
        </w:rPr>
        <w:t>ill be explained in more detail</w:t>
      </w:r>
      <w:r w:rsidR="00E25175" w:rsidRPr="004A2990">
        <w:rPr>
          <w:color w:val="auto"/>
          <w:lang w:val="en-US"/>
        </w:rPr>
        <w:t xml:space="preserve">. </w:t>
      </w:r>
    </w:p>
    <w:p w14:paraId="0087C75E" w14:textId="4DB78A1A" w:rsidR="00765B27" w:rsidRPr="004A2990" w:rsidRDefault="00885F6F" w:rsidP="007C0D19">
      <w:pPr>
        <w:pStyle w:val="APABodyText"/>
        <w:spacing w:after="0"/>
        <w:rPr>
          <w:lang w:val="en-US"/>
        </w:rPr>
      </w:pPr>
      <w:r w:rsidRPr="004A2990">
        <w:rPr>
          <w:i/>
          <w:lang w:val="en-US"/>
        </w:rPr>
        <w:t>Similarity</w:t>
      </w:r>
      <w:r w:rsidR="00570207">
        <w:rPr>
          <w:i/>
          <w:lang w:val="en-US"/>
        </w:rPr>
        <w:t>, t</w:t>
      </w:r>
      <w:r w:rsidR="00DC7FC0" w:rsidRPr="004A2990">
        <w:rPr>
          <w:i/>
          <w:lang w:val="en-US"/>
        </w:rPr>
        <w:t xml:space="preserve">hreat, and </w:t>
      </w:r>
      <w:r w:rsidR="00B86E79">
        <w:rPr>
          <w:i/>
          <w:lang w:val="en-US"/>
        </w:rPr>
        <w:t>affect</w:t>
      </w:r>
      <w:r w:rsidRPr="004A2990">
        <w:rPr>
          <w:lang w:val="en-US"/>
        </w:rPr>
        <w:t xml:space="preserve">. </w:t>
      </w:r>
      <w:r w:rsidR="00565994" w:rsidRPr="004A2990">
        <w:rPr>
          <w:lang w:val="en-US"/>
        </w:rPr>
        <w:t>Overall, research suggests that intergroup similarity is associated with more harmonious intergroup relations</w:t>
      </w:r>
      <w:r w:rsidR="00373761">
        <w:rPr>
          <w:lang w:val="en-US"/>
        </w:rPr>
        <w:t xml:space="preserve"> (</w:t>
      </w:r>
      <w:r w:rsidR="00373761" w:rsidRPr="00373761">
        <w:rPr>
          <w:lang w:val="en-US"/>
        </w:rPr>
        <w:t>L</w:t>
      </w:r>
      <w:r w:rsidR="00373761" w:rsidRPr="00373761">
        <w:rPr>
          <w:rFonts w:hint="cs"/>
          <w:lang w:val="en-US"/>
        </w:rPr>
        <w:t>ó</w:t>
      </w:r>
      <w:r w:rsidR="00373761" w:rsidRPr="00373761">
        <w:rPr>
          <w:lang w:val="en-US"/>
        </w:rPr>
        <w:t>pez-Rodr</w:t>
      </w:r>
      <w:r w:rsidR="00373761" w:rsidRPr="00373761">
        <w:rPr>
          <w:rFonts w:hint="cs"/>
          <w:lang w:val="en-US"/>
        </w:rPr>
        <w:t>í</w:t>
      </w:r>
      <w:r w:rsidR="00373761" w:rsidRPr="00373761">
        <w:rPr>
          <w:lang w:val="en-US"/>
        </w:rPr>
        <w:t xml:space="preserve">guez, </w:t>
      </w:r>
      <w:proofErr w:type="spellStart"/>
      <w:r w:rsidR="00373761" w:rsidRPr="00373761">
        <w:rPr>
          <w:lang w:val="en-US"/>
        </w:rPr>
        <w:t>Cuadrado</w:t>
      </w:r>
      <w:proofErr w:type="spellEnd"/>
      <w:r w:rsidR="00373761" w:rsidRPr="00373761">
        <w:rPr>
          <w:lang w:val="en-US"/>
        </w:rPr>
        <w:t>, &amp; Navas, 2017</w:t>
      </w:r>
      <w:r w:rsidR="00373761">
        <w:rPr>
          <w:lang w:val="en-US"/>
        </w:rPr>
        <w:t>)</w:t>
      </w:r>
      <w:r w:rsidR="00565994" w:rsidRPr="004A2990">
        <w:rPr>
          <w:lang w:val="en-US"/>
        </w:rPr>
        <w:t xml:space="preserve">. </w:t>
      </w:r>
      <w:r w:rsidR="00630B6B" w:rsidRPr="004A2990">
        <w:rPr>
          <w:lang w:val="en-US"/>
        </w:rPr>
        <w:t xml:space="preserve">When examining the effect of intergroup similarity on intergroup attitudes and readiness for intergroup contact among high school students, Roccas and Schwartz (1993) </w:t>
      </w:r>
      <w:r w:rsidR="00EF6ED1" w:rsidRPr="004A2990">
        <w:rPr>
          <w:lang w:val="en-US"/>
        </w:rPr>
        <w:t>found that h</w:t>
      </w:r>
      <w:r w:rsidR="00630B6B" w:rsidRPr="004A2990">
        <w:rPr>
          <w:lang w:val="en-US"/>
        </w:rPr>
        <w:t xml:space="preserve">igher intergroup similarity </w:t>
      </w:r>
      <w:r w:rsidR="00EF6ED1" w:rsidRPr="004A2990">
        <w:rPr>
          <w:lang w:val="en-US"/>
        </w:rPr>
        <w:t>increased</w:t>
      </w:r>
      <w:r w:rsidR="00630B6B" w:rsidRPr="004A2990">
        <w:rPr>
          <w:lang w:val="en-US"/>
        </w:rPr>
        <w:t xml:space="preserve"> willingness for intergroup contact. Furthermore, manipulation of perceived belief similarity </w:t>
      </w:r>
      <w:r w:rsidR="00EF6ED1" w:rsidRPr="004A2990">
        <w:rPr>
          <w:lang w:val="en-US"/>
        </w:rPr>
        <w:t>showed that t</w:t>
      </w:r>
      <w:r w:rsidR="00630B6B" w:rsidRPr="004A2990">
        <w:rPr>
          <w:lang w:val="en-US"/>
        </w:rPr>
        <w:t xml:space="preserve">hose believing </w:t>
      </w:r>
      <w:r w:rsidR="00003C2D" w:rsidRPr="004A2990">
        <w:rPr>
          <w:lang w:val="en-US"/>
        </w:rPr>
        <w:t xml:space="preserve">that </w:t>
      </w:r>
      <w:r w:rsidR="00630B6B" w:rsidRPr="004A2990">
        <w:rPr>
          <w:lang w:val="en-US"/>
        </w:rPr>
        <w:t xml:space="preserve">the outgroup held beliefs more in line with those of their own group had significantly more positive views towards </w:t>
      </w:r>
      <w:r w:rsidR="001167CC">
        <w:rPr>
          <w:lang w:val="en-US"/>
        </w:rPr>
        <w:t>the</w:t>
      </w:r>
      <w:r w:rsidR="00630B6B" w:rsidRPr="004A2990">
        <w:rPr>
          <w:lang w:val="en-US"/>
        </w:rPr>
        <w:t xml:space="preserve"> outgroup (Grant, 1993)</w:t>
      </w:r>
      <w:r w:rsidR="007873EF">
        <w:rPr>
          <w:lang w:val="en-US"/>
        </w:rPr>
        <w:t>,</w:t>
      </w:r>
      <w:r w:rsidR="00630B6B" w:rsidRPr="004A2990">
        <w:rPr>
          <w:lang w:val="en-US"/>
        </w:rPr>
        <w:t xml:space="preserve"> and were more willing to interact with members of groups perceived to be similar (</w:t>
      </w:r>
      <w:proofErr w:type="spellStart"/>
      <w:r w:rsidR="00630B6B" w:rsidRPr="004A2990">
        <w:rPr>
          <w:lang w:val="en-US"/>
        </w:rPr>
        <w:t>Osbeck</w:t>
      </w:r>
      <w:proofErr w:type="spellEnd"/>
      <w:r w:rsidR="00630B6B" w:rsidRPr="004A2990">
        <w:rPr>
          <w:lang w:val="en-US"/>
        </w:rPr>
        <w:t xml:space="preserve">, </w:t>
      </w:r>
      <w:proofErr w:type="spellStart"/>
      <w:r w:rsidR="00630B6B" w:rsidRPr="004A2990">
        <w:rPr>
          <w:lang w:val="en-US"/>
        </w:rPr>
        <w:t>Mohaddam</w:t>
      </w:r>
      <w:proofErr w:type="spellEnd"/>
      <w:r w:rsidR="00630B6B" w:rsidRPr="004A2990">
        <w:rPr>
          <w:lang w:val="en-US"/>
        </w:rPr>
        <w:t xml:space="preserve"> &amp; Perrault, 1997). </w:t>
      </w:r>
      <w:r w:rsidR="00003C2D" w:rsidRPr="004A2990">
        <w:rPr>
          <w:lang w:val="en-US"/>
        </w:rPr>
        <w:t>G</w:t>
      </w:r>
      <w:r w:rsidR="00630B6B" w:rsidRPr="004A2990">
        <w:rPr>
          <w:lang w:val="en-US"/>
        </w:rPr>
        <w:t xml:space="preserve">roup similarity has </w:t>
      </w:r>
      <w:r w:rsidR="00003C2D" w:rsidRPr="004A2990">
        <w:rPr>
          <w:lang w:val="en-US"/>
        </w:rPr>
        <w:t xml:space="preserve">also </w:t>
      </w:r>
      <w:r w:rsidR="00630B6B" w:rsidRPr="004A2990">
        <w:rPr>
          <w:lang w:val="en-US"/>
        </w:rPr>
        <w:t>been found to be a significant predict</w:t>
      </w:r>
      <w:r w:rsidR="00565994" w:rsidRPr="004A2990">
        <w:rPr>
          <w:lang w:val="en-US"/>
        </w:rPr>
        <w:t>or of</w:t>
      </w:r>
      <w:r w:rsidR="00630B6B" w:rsidRPr="004A2990">
        <w:rPr>
          <w:lang w:val="en-US"/>
        </w:rPr>
        <w:t xml:space="preserve"> the relations between Spanish majority members and Ecuadorian and Romanian immigrants (López-Rodríguez, Navas, </w:t>
      </w:r>
      <w:proofErr w:type="spellStart"/>
      <w:r w:rsidR="00630B6B" w:rsidRPr="004A2990">
        <w:rPr>
          <w:lang w:val="en-US"/>
        </w:rPr>
        <w:t>Cuadrado</w:t>
      </w:r>
      <w:proofErr w:type="spellEnd"/>
      <w:r w:rsidR="00630B6B" w:rsidRPr="004A2990">
        <w:rPr>
          <w:lang w:val="en-US"/>
        </w:rPr>
        <w:t xml:space="preserve">, </w:t>
      </w:r>
      <w:proofErr w:type="spellStart"/>
      <w:r w:rsidR="00630B6B" w:rsidRPr="004A2990">
        <w:rPr>
          <w:lang w:val="en-US"/>
        </w:rPr>
        <w:t>Coutant</w:t>
      </w:r>
      <w:proofErr w:type="spellEnd"/>
      <w:r w:rsidR="00630B6B" w:rsidRPr="004A2990">
        <w:rPr>
          <w:lang w:val="en-US"/>
        </w:rPr>
        <w:t xml:space="preserve"> &amp; </w:t>
      </w:r>
      <w:proofErr w:type="spellStart"/>
      <w:r w:rsidR="00630B6B" w:rsidRPr="004A2990">
        <w:rPr>
          <w:lang w:val="en-US"/>
        </w:rPr>
        <w:t>Worchel</w:t>
      </w:r>
      <w:proofErr w:type="spellEnd"/>
      <w:r w:rsidR="00630B6B" w:rsidRPr="004A2990">
        <w:rPr>
          <w:lang w:val="en-US"/>
        </w:rPr>
        <w:t xml:space="preserve">, 2014). </w:t>
      </w:r>
      <w:proofErr w:type="spellStart"/>
      <w:r w:rsidR="00A6296C" w:rsidRPr="004A2990">
        <w:rPr>
          <w:lang w:val="en-US"/>
        </w:rPr>
        <w:t>Dustmann</w:t>
      </w:r>
      <w:proofErr w:type="spellEnd"/>
      <w:r w:rsidR="00A6296C" w:rsidRPr="004A2990">
        <w:rPr>
          <w:lang w:val="en-US"/>
        </w:rPr>
        <w:t xml:space="preserve"> and Preston (2007) too found that</w:t>
      </w:r>
      <w:r w:rsidR="00630B6B" w:rsidRPr="004A2990">
        <w:rPr>
          <w:lang w:val="en-US"/>
        </w:rPr>
        <w:t xml:space="preserve"> immigration attitudes </w:t>
      </w:r>
      <w:r w:rsidR="00A6296C" w:rsidRPr="004A2990">
        <w:rPr>
          <w:lang w:val="en-US"/>
        </w:rPr>
        <w:t xml:space="preserve">were </w:t>
      </w:r>
      <w:r w:rsidR="00630B6B" w:rsidRPr="004A2990">
        <w:rPr>
          <w:lang w:val="en-US"/>
        </w:rPr>
        <w:t xml:space="preserve">more negative when considering immigrant groups that are more culturally or racially distinct from the </w:t>
      </w:r>
      <w:r w:rsidR="005871CD" w:rsidRPr="004A2990">
        <w:rPr>
          <w:lang w:val="en-US"/>
        </w:rPr>
        <w:t>ingroup</w:t>
      </w:r>
      <w:r w:rsidR="00630B6B" w:rsidRPr="004A2990">
        <w:rPr>
          <w:lang w:val="en-US"/>
        </w:rPr>
        <w:t xml:space="preserve">. </w:t>
      </w:r>
      <w:r w:rsidR="00765B27" w:rsidRPr="004A2990">
        <w:rPr>
          <w:lang w:val="en-US"/>
        </w:rPr>
        <w:t>Although similarity can interfere with desire for positive distinctiveness of the</w:t>
      </w:r>
      <w:r w:rsidR="007A411D">
        <w:rPr>
          <w:lang w:val="en-US"/>
        </w:rPr>
        <w:t xml:space="preserve"> ingroup (</w:t>
      </w:r>
      <w:proofErr w:type="spellStart"/>
      <w:r w:rsidR="007A411D">
        <w:rPr>
          <w:lang w:val="en-US"/>
        </w:rPr>
        <w:t>Tajfel</w:t>
      </w:r>
      <w:proofErr w:type="spellEnd"/>
      <w:r w:rsidR="007A411D">
        <w:rPr>
          <w:lang w:val="en-US"/>
        </w:rPr>
        <w:t xml:space="preserve"> &amp; Turner, 1986</w:t>
      </w:r>
      <w:r w:rsidR="00765B27" w:rsidRPr="004A2990">
        <w:rPr>
          <w:lang w:val="en-US"/>
        </w:rPr>
        <w:t>)</w:t>
      </w:r>
      <w:r w:rsidR="005F6EAD">
        <w:rPr>
          <w:lang w:val="en-US"/>
        </w:rPr>
        <w:t>,</w:t>
      </w:r>
      <w:r w:rsidR="00765B27" w:rsidRPr="004A2990">
        <w:rPr>
          <w:lang w:val="en-US"/>
        </w:rPr>
        <w:t xml:space="preserve"> by and large</w:t>
      </w:r>
      <w:r w:rsidR="00003C2D" w:rsidRPr="004A2990">
        <w:rPr>
          <w:lang w:val="en-US"/>
        </w:rPr>
        <w:t xml:space="preserve"> the presence </w:t>
      </w:r>
      <w:r w:rsidR="00003C2D" w:rsidRPr="004A2990">
        <w:rPr>
          <w:lang w:val="en-US"/>
        </w:rPr>
        <w:lastRenderedPageBreak/>
        <w:t>of a similar group is perceived to be less threatening than that of a dissimilar group (</w:t>
      </w:r>
      <w:r w:rsidR="00765B27" w:rsidRPr="004A2990">
        <w:rPr>
          <w:lang w:val="en-US"/>
        </w:rPr>
        <w:t xml:space="preserve">e.g., </w:t>
      </w:r>
      <w:proofErr w:type="spellStart"/>
      <w:r w:rsidR="00003C2D" w:rsidRPr="004A2990">
        <w:rPr>
          <w:lang w:val="en-US"/>
        </w:rPr>
        <w:t>Rohmann</w:t>
      </w:r>
      <w:proofErr w:type="spellEnd"/>
      <w:r w:rsidR="00003C2D" w:rsidRPr="004A2990">
        <w:rPr>
          <w:lang w:val="en-US"/>
        </w:rPr>
        <w:t xml:space="preserve">, </w:t>
      </w:r>
      <w:proofErr w:type="spellStart"/>
      <w:r w:rsidR="00003C2D" w:rsidRPr="004A2990">
        <w:rPr>
          <w:lang w:val="en-US"/>
        </w:rPr>
        <w:t>Piontkowski</w:t>
      </w:r>
      <w:proofErr w:type="spellEnd"/>
      <w:r w:rsidR="00003C2D" w:rsidRPr="004A2990">
        <w:rPr>
          <w:lang w:val="en-US"/>
        </w:rPr>
        <w:t xml:space="preserve"> &amp; van </w:t>
      </w:r>
      <w:proofErr w:type="spellStart"/>
      <w:r w:rsidR="00003C2D" w:rsidRPr="004A2990">
        <w:rPr>
          <w:lang w:val="en-US"/>
        </w:rPr>
        <w:t>Randenborgh</w:t>
      </w:r>
      <w:proofErr w:type="spellEnd"/>
      <w:r w:rsidR="00003C2D" w:rsidRPr="004A2990">
        <w:rPr>
          <w:lang w:val="en-US"/>
        </w:rPr>
        <w:t xml:space="preserve">, 2008; </w:t>
      </w:r>
      <w:r w:rsidR="00630B6B" w:rsidRPr="004A2990">
        <w:rPr>
          <w:lang w:val="en-US"/>
        </w:rPr>
        <w:t>Stephan, Ybarra &amp; Morrison, 2009).</w:t>
      </w:r>
      <w:r w:rsidR="00565994" w:rsidRPr="004A2990">
        <w:rPr>
          <w:lang w:val="en-US"/>
        </w:rPr>
        <w:t xml:space="preserve"> </w:t>
      </w:r>
    </w:p>
    <w:p w14:paraId="3F7CEE06" w14:textId="4FDA925C" w:rsidR="00003C2D" w:rsidRPr="004A2990" w:rsidRDefault="00765B27" w:rsidP="000718E4">
      <w:pPr>
        <w:pStyle w:val="APABodyText"/>
        <w:spacing w:after="0"/>
        <w:rPr>
          <w:lang w:val="en-US"/>
        </w:rPr>
      </w:pPr>
      <w:r w:rsidRPr="004A2990">
        <w:rPr>
          <w:lang w:val="en-US"/>
        </w:rPr>
        <w:t>As confirmed in a meta-analysis of 95 separate samples (</w:t>
      </w:r>
      <w:proofErr w:type="spellStart"/>
      <w:r w:rsidRPr="004A2990">
        <w:rPr>
          <w:lang w:val="en-US"/>
        </w:rPr>
        <w:t>Riek</w:t>
      </w:r>
      <w:proofErr w:type="spellEnd"/>
      <w:r w:rsidRPr="004A2990">
        <w:rPr>
          <w:lang w:val="en-US"/>
        </w:rPr>
        <w:t xml:space="preserve">, </w:t>
      </w:r>
      <w:proofErr w:type="spellStart"/>
      <w:r w:rsidRPr="004A2990">
        <w:rPr>
          <w:lang w:val="en-US"/>
        </w:rPr>
        <w:t>Gaertner</w:t>
      </w:r>
      <w:proofErr w:type="spellEnd"/>
      <w:r w:rsidRPr="004A2990">
        <w:rPr>
          <w:lang w:val="en-US"/>
        </w:rPr>
        <w:t xml:space="preserve"> &amp; Mania, 2006), perceived intergroup threat plays a pivotal role in strained intergroup relations. </w:t>
      </w:r>
      <w:r w:rsidR="00717E8F" w:rsidRPr="004A2990">
        <w:rPr>
          <w:lang w:val="en-US"/>
        </w:rPr>
        <w:t>Threat is one of the most commonly reported antecedent</w:t>
      </w:r>
      <w:r w:rsidRPr="004A2990">
        <w:rPr>
          <w:lang w:val="en-US"/>
        </w:rPr>
        <w:t>s</w:t>
      </w:r>
      <w:r w:rsidR="00717E8F" w:rsidRPr="004A2990">
        <w:rPr>
          <w:lang w:val="en-US"/>
        </w:rPr>
        <w:t xml:space="preserve"> </w:t>
      </w:r>
      <w:r w:rsidRPr="004A2990">
        <w:rPr>
          <w:lang w:val="en-US"/>
        </w:rPr>
        <w:t>of</w:t>
      </w:r>
      <w:r w:rsidR="00717E8F" w:rsidRPr="004A2990">
        <w:rPr>
          <w:lang w:val="en-US"/>
        </w:rPr>
        <w:t xml:space="preserve"> intergroup prejudice (</w:t>
      </w:r>
      <w:proofErr w:type="spellStart"/>
      <w:r w:rsidR="00B17E2C" w:rsidRPr="004A2990">
        <w:rPr>
          <w:lang w:val="en-US"/>
        </w:rPr>
        <w:t>Quillian</w:t>
      </w:r>
      <w:proofErr w:type="spellEnd"/>
      <w:r w:rsidR="00B17E2C" w:rsidRPr="004A2990">
        <w:rPr>
          <w:lang w:val="en-US"/>
        </w:rPr>
        <w:t>, 1995</w:t>
      </w:r>
      <w:r w:rsidR="00B17E2C">
        <w:rPr>
          <w:lang w:val="en-US"/>
        </w:rPr>
        <w:t xml:space="preserve">; </w:t>
      </w:r>
      <w:r w:rsidR="00466A30" w:rsidRPr="004A2990">
        <w:rPr>
          <w:lang w:val="en-US"/>
        </w:rPr>
        <w:t>Stephan, Ybarra &amp; Morrison, 2009</w:t>
      </w:r>
      <w:r w:rsidR="00717E8F" w:rsidRPr="004A2990">
        <w:rPr>
          <w:lang w:val="en-US"/>
        </w:rPr>
        <w:t xml:space="preserve">). </w:t>
      </w:r>
      <w:r w:rsidR="00A30054" w:rsidRPr="004A2990">
        <w:rPr>
          <w:lang w:val="en-US"/>
        </w:rPr>
        <w:t>T</w:t>
      </w:r>
      <w:r w:rsidR="00717E8F" w:rsidRPr="004A2990">
        <w:rPr>
          <w:lang w:val="en-US"/>
        </w:rPr>
        <w:t xml:space="preserve">hreat </w:t>
      </w:r>
      <w:r w:rsidR="00A30054" w:rsidRPr="004A2990">
        <w:rPr>
          <w:lang w:val="en-US"/>
        </w:rPr>
        <w:t xml:space="preserve">can </w:t>
      </w:r>
      <w:r w:rsidR="00717E8F" w:rsidRPr="004A2990">
        <w:rPr>
          <w:lang w:val="en-US"/>
        </w:rPr>
        <w:t xml:space="preserve">refer to concerns for the </w:t>
      </w:r>
      <w:r w:rsidR="00885F6F" w:rsidRPr="004A2990">
        <w:rPr>
          <w:lang w:val="en-US"/>
        </w:rPr>
        <w:t xml:space="preserve">ingroup’s </w:t>
      </w:r>
      <w:r w:rsidR="00717E8F" w:rsidRPr="004A2990">
        <w:rPr>
          <w:lang w:val="en-US"/>
        </w:rPr>
        <w:t>culture, values and norms</w:t>
      </w:r>
      <w:r w:rsidR="004F3B11">
        <w:rPr>
          <w:lang w:val="en-US"/>
        </w:rPr>
        <w:t xml:space="preserve"> (symbolic threat)</w:t>
      </w:r>
      <w:r w:rsidR="00717E8F" w:rsidRPr="004A2990">
        <w:rPr>
          <w:lang w:val="en-US"/>
        </w:rPr>
        <w:t xml:space="preserve">, </w:t>
      </w:r>
      <w:r w:rsidR="00A30054" w:rsidRPr="004A2990">
        <w:rPr>
          <w:lang w:val="en-US"/>
        </w:rPr>
        <w:t>but also</w:t>
      </w:r>
      <w:r w:rsidR="00717E8F" w:rsidRPr="004A2990">
        <w:rPr>
          <w:lang w:val="en-US"/>
        </w:rPr>
        <w:t xml:space="preserve"> to more concrete concerns regarding issues such as jobs or resources</w:t>
      </w:r>
      <w:r w:rsidR="004F3B11">
        <w:rPr>
          <w:lang w:val="en-US"/>
        </w:rPr>
        <w:t xml:space="preserve"> (realistic threat)</w:t>
      </w:r>
      <w:r w:rsidR="00717E8F" w:rsidRPr="004A2990">
        <w:rPr>
          <w:lang w:val="en-US"/>
        </w:rPr>
        <w:t>. Threats need not be real to i</w:t>
      </w:r>
      <w:r w:rsidR="00A6296C" w:rsidRPr="004A2990">
        <w:rPr>
          <w:lang w:val="en-US"/>
        </w:rPr>
        <w:t>mpact upon intergroup relations; subjective threat suffices</w:t>
      </w:r>
      <w:r w:rsidR="00717E8F" w:rsidRPr="004A2990">
        <w:rPr>
          <w:lang w:val="en-US"/>
        </w:rPr>
        <w:t xml:space="preserve"> </w:t>
      </w:r>
      <w:r w:rsidR="0029574E" w:rsidRPr="004A2990">
        <w:rPr>
          <w:lang w:val="en-US"/>
        </w:rPr>
        <w:t xml:space="preserve">(Semyonov, </w:t>
      </w:r>
      <w:proofErr w:type="spellStart"/>
      <w:r w:rsidR="0029574E" w:rsidRPr="004A2990">
        <w:rPr>
          <w:lang w:val="en-US"/>
        </w:rPr>
        <w:t>Raijman</w:t>
      </w:r>
      <w:proofErr w:type="spellEnd"/>
      <w:r w:rsidR="0029574E" w:rsidRPr="004A2990">
        <w:rPr>
          <w:lang w:val="en-US"/>
        </w:rPr>
        <w:t>, Yom Tom &amp; Schmidt, 2004)</w:t>
      </w:r>
      <w:r w:rsidR="00717E8F" w:rsidRPr="004A2990">
        <w:rPr>
          <w:lang w:val="en-US"/>
        </w:rPr>
        <w:t xml:space="preserve">. Perceived threats can have numerous negative intergroup outcomes, such as heightening the risk of conflict, reducing empathy for </w:t>
      </w:r>
      <w:r w:rsidR="00A30054" w:rsidRPr="004A2990">
        <w:rPr>
          <w:lang w:val="en-US"/>
        </w:rPr>
        <w:t>outgroup</w:t>
      </w:r>
      <w:r w:rsidR="00717E8F" w:rsidRPr="004A2990">
        <w:rPr>
          <w:lang w:val="en-US"/>
        </w:rPr>
        <w:t xml:space="preserve"> members, and arousing negative attitudes and emotions towards the </w:t>
      </w:r>
      <w:r w:rsidR="00A30054" w:rsidRPr="004A2990">
        <w:rPr>
          <w:lang w:val="en-US"/>
        </w:rPr>
        <w:t>outgroup</w:t>
      </w:r>
      <w:r w:rsidR="00717E8F" w:rsidRPr="004A2990">
        <w:rPr>
          <w:lang w:val="en-US"/>
        </w:rPr>
        <w:t xml:space="preserve"> (Stephan &amp; Mealy, 2009). </w:t>
      </w:r>
      <w:r w:rsidR="00DD7AFA" w:rsidRPr="004A2990">
        <w:rPr>
          <w:lang w:val="en-US"/>
        </w:rPr>
        <w:t>A</w:t>
      </w:r>
      <w:r w:rsidR="00717E8F" w:rsidRPr="004A2990">
        <w:rPr>
          <w:lang w:val="en-US"/>
        </w:rPr>
        <w:t xml:space="preserve"> significant body of research supports the </w:t>
      </w:r>
      <w:r w:rsidRPr="004A2990">
        <w:rPr>
          <w:lang w:val="en-US"/>
        </w:rPr>
        <w:t>detrimental effect of</w:t>
      </w:r>
      <w:r w:rsidR="00717E8F" w:rsidRPr="004A2990">
        <w:rPr>
          <w:lang w:val="en-US"/>
        </w:rPr>
        <w:t xml:space="preserve"> threat perceptions </w:t>
      </w:r>
      <w:r w:rsidRPr="004A2990">
        <w:rPr>
          <w:lang w:val="en-US"/>
        </w:rPr>
        <w:t>on</w:t>
      </w:r>
      <w:r w:rsidR="00717E8F" w:rsidRPr="004A2990">
        <w:rPr>
          <w:lang w:val="en-US"/>
        </w:rPr>
        <w:t xml:space="preserve"> attitudes towards immigrants (e.g</w:t>
      </w:r>
      <w:r w:rsidR="00CE254F" w:rsidRPr="004A2990">
        <w:rPr>
          <w:lang w:val="en-US"/>
        </w:rPr>
        <w:t>.,</w:t>
      </w:r>
      <w:r w:rsidR="00717E8F" w:rsidRPr="004A2990">
        <w:rPr>
          <w:lang w:val="en-US"/>
        </w:rPr>
        <w:t xml:space="preserve"> </w:t>
      </w:r>
      <w:proofErr w:type="spellStart"/>
      <w:r w:rsidR="00717E8F" w:rsidRPr="004A2990">
        <w:rPr>
          <w:lang w:val="en-US"/>
        </w:rPr>
        <w:t>Florack</w:t>
      </w:r>
      <w:proofErr w:type="spellEnd"/>
      <w:r w:rsidR="00717E8F" w:rsidRPr="004A2990">
        <w:rPr>
          <w:lang w:val="en-US"/>
        </w:rPr>
        <w:t xml:space="preserve">, </w:t>
      </w:r>
      <w:proofErr w:type="spellStart"/>
      <w:r w:rsidR="00717E8F" w:rsidRPr="004A2990">
        <w:rPr>
          <w:lang w:val="en-US"/>
        </w:rPr>
        <w:t>Piontkowksi</w:t>
      </w:r>
      <w:proofErr w:type="spellEnd"/>
      <w:r w:rsidR="00717E8F" w:rsidRPr="004A2990">
        <w:rPr>
          <w:lang w:val="en-US"/>
        </w:rPr>
        <w:t xml:space="preserve">, </w:t>
      </w:r>
      <w:proofErr w:type="spellStart"/>
      <w:r w:rsidR="00717E8F" w:rsidRPr="004A2990">
        <w:rPr>
          <w:lang w:val="en-US"/>
        </w:rPr>
        <w:t>Rohmann</w:t>
      </w:r>
      <w:proofErr w:type="spellEnd"/>
      <w:r w:rsidR="00717E8F" w:rsidRPr="004A2990">
        <w:rPr>
          <w:lang w:val="en-US"/>
        </w:rPr>
        <w:t xml:space="preserve">, </w:t>
      </w:r>
      <w:proofErr w:type="spellStart"/>
      <w:r w:rsidR="00717E8F" w:rsidRPr="004A2990">
        <w:rPr>
          <w:lang w:val="en-US"/>
        </w:rPr>
        <w:t>Balzer</w:t>
      </w:r>
      <w:proofErr w:type="spellEnd"/>
      <w:r w:rsidR="00717E8F" w:rsidRPr="004A2990">
        <w:rPr>
          <w:lang w:val="en-US"/>
        </w:rPr>
        <w:t xml:space="preserve"> &amp; </w:t>
      </w:r>
      <w:proofErr w:type="spellStart"/>
      <w:r w:rsidR="00717E8F" w:rsidRPr="004A2990">
        <w:rPr>
          <w:lang w:val="en-US"/>
        </w:rPr>
        <w:t>Perzig</w:t>
      </w:r>
      <w:proofErr w:type="spellEnd"/>
      <w:r w:rsidR="00717E8F" w:rsidRPr="004A2990">
        <w:rPr>
          <w:lang w:val="en-US"/>
        </w:rPr>
        <w:t>, 2003;</w:t>
      </w:r>
      <w:r w:rsidR="00CF6266" w:rsidRPr="004A2990">
        <w:rPr>
          <w:lang w:val="en-US"/>
        </w:rPr>
        <w:t xml:space="preserve"> Leong &amp; Ward, 2011</w:t>
      </w:r>
      <w:r w:rsidR="00DD7AFA" w:rsidRPr="004A2990">
        <w:rPr>
          <w:lang w:val="en-US"/>
        </w:rPr>
        <w:t xml:space="preserve">; Pereira, </w:t>
      </w:r>
      <w:proofErr w:type="spellStart"/>
      <w:r w:rsidR="00DD7AFA" w:rsidRPr="004A2990">
        <w:rPr>
          <w:lang w:val="en-US"/>
        </w:rPr>
        <w:t>Vala</w:t>
      </w:r>
      <w:proofErr w:type="spellEnd"/>
      <w:r w:rsidR="00DD7AFA" w:rsidRPr="004A2990">
        <w:rPr>
          <w:lang w:val="en-US"/>
        </w:rPr>
        <w:t xml:space="preserve"> &amp; Costa-Lopes, 2010; </w:t>
      </w:r>
      <w:proofErr w:type="spellStart"/>
      <w:r w:rsidR="00DD7AFA" w:rsidRPr="004A2990">
        <w:rPr>
          <w:lang w:val="en-US"/>
        </w:rPr>
        <w:t>Piontkowksi</w:t>
      </w:r>
      <w:proofErr w:type="spellEnd"/>
      <w:r w:rsidR="00DD7AFA" w:rsidRPr="004A2990">
        <w:rPr>
          <w:lang w:val="en-US"/>
        </w:rPr>
        <w:t xml:space="preserve">, </w:t>
      </w:r>
      <w:proofErr w:type="spellStart"/>
      <w:r w:rsidR="00DD7AFA" w:rsidRPr="004A2990">
        <w:rPr>
          <w:lang w:val="en-US"/>
        </w:rPr>
        <w:t>Rohmann</w:t>
      </w:r>
      <w:proofErr w:type="spellEnd"/>
      <w:r w:rsidR="00DD7AFA" w:rsidRPr="004A2990">
        <w:rPr>
          <w:lang w:val="en-US"/>
        </w:rPr>
        <w:t xml:space="preserve"> &amp; </w:t>
      </w:r>
      <w:proofErr w:type="spellStart"/>
      <w:r w:rsidR="00DD7AFA" w:rsidRPr="004A2990">
        <w:rPr>
          <w:lang w:val="en-US"/>
        </w:rPr>
        <w:t>Florack</w:t>
      </w:r>
      <w:proofErr w:type="spellEnd"/>
      <w:r w:rsidR="00DD7AFA" w:rsidRPr="004A2990">
        <w:rPr>
          <w:lang w:val="en-US"/>
        </w:rPr>
        <w:t>, 2002</w:t>
      </w:r>
      <w:r w:rsidR="000718E4" w:rsidRPr="004A2990">
        <w:rPr>
          <w:lang w:val="en-US"/>
        </w:rPr>
        <w:t xml:space="preserve">, </w:t>
      </w:r>
      <w:proofErr w:type="spellStart"/>
      <w:r w:rsidR="00C23DB6" w:rsidRPr="004A2990">
        <w:rPr>
          <w:lang w:val="en-US"/>
        </w:rPr>
        <w:t>Schlueter</w:t>
      </w:r>
      <w:proofErr w:type="spellEnd"/>
      <w:r w:rsidR="00C23DB6" w:rsidRPr="004A2990">
        <w:rPr>
          <w:lang w:val="en-US"/>
        </w:rPr>
        <w:t xml:space="preserve"> &amp; </w:t>
      </w:r>
      <w:proofErr w:type="spellStart"/>
      <w:r w:rsidR="00C23DB6" w:rsidRPr="004A2990">
        <w:rPr>
          <w:lang w:val="en-US"/>
        </w:rPr>
        <w:t>Scheepers</w:t>
      </w:r>
      <w:proofErr w:type="spellEnd"/>
      <w:r w:rsidR="00C23DB6" w:rsidRPr="004A2990">
        <w:rPr>
          <w:lang w:val="en-US"/>
        </w:rPr>
        <w:t xml:space="preserve">, 2010; </w:t>
      </w:r>
      <w:r w:rsidR="000718E4" w:rsidRPr="004A2990">
        <w:rPr>
          <w:lang w:val="en-US"/>
        </w:rPr>
        <w:t xml:space="preserve">however, see </w:t>
      </w:r>
      <w:proofErr w:type="spellStart"/>
      <w:r w:rsidR="000718E4" w:rsidRPr="004A2990">
        <w:rPr>
          <w:lang w:val="en-US"/>
        </w:rPr>
        <w:t>Scheibner</w:t>
      </w:r>
      <w:proofErr w:type="spellEnd"/>
      <w:r w:rsidR="000718E4" w:rsidRPr="004A2990">
        <w:rPr>
          <w:lang w:val="en-US"/>
        </w:rPr>
        <w:t xml:space="preserve"> &amp; Morrison, 2009</w:t>
      </w:r>
      <w:r w:rsidR="00717E8F" w:rsidRPr="004A2990">
        <w:rPr>
          <w:lang w:val="en-US"/>
        </w:rPr>
        <w:t xml:space="preserve">). </w:t>
      </w:r>
    </w:p>
    <w:p w14:paraId="7B6A25B8" w14:textId="6687852C" w:rsidR="00765B27" w:rsidRPr="004A2990" w:rsidRDefault="00DC7FC0" w:rsidP="00DC7FC0">
      <w:pPr>
        <w:pStyle w:val="APABodyText"/>
        <w:spacing w:after="0"/>
        <w:rPr>
          <w:lang w:val="en-US"/>
        </w:rPr>
      </w:pPr>
      <w:r w:rsidRPr="004A2990">
        <w:rPr>
          <w:lang w:val="en-US"/>
        </w:rPr>
        <w:t xml:space="preserve">On the basis of this evidence, we hypothesized </w:t>
      </w:r>
      <w:r w:rsidR="006E26A6" w:rsidRPr="004A2990">
        <w:rPr>
          <w:lang w:val="en-US"/>
        </w:rPr>
        <w:t xml:space="preserve">(see Figure 1) </w:t>
      </w:r>
      <w:r w:rsidRPr="004A2990">
        <w:rPr>
          <w:lang w:val="en-US"/>
        </w:rPr>
        <w:t>that strong perceived intergroup similarity between British participants and immigrants would lead to less perceived threat</w:t>
      </w:r>
      <w:r w:rsidR="006E26A6" w:rsidRPr="004A2990">
        <w:rPr>
          <w:lang w:val="en-US"/>
        </w:rPr>
        <w:t xml:space="preserve"> (path A)</w:t>
      </w:r>
      <w:r w:rsidRPr="004A2990">
        <w:rPr>
          <w:lang w:val="en-US"/>
        </w:rPr>
        <w:t xml:space="preserve">, and to more positive </w:t>
      </w:r>
      <w:r w:rsidR="00B86E79">
        <w:rPr>
          <w:lang w:val="en-US"/>
        </w:rPr>
        <w:t>affect</w:t>
      </w:r>
      <w:r w:rsidRPr="004A2990">
        <w:rPr>
          <w:lang w:val="en-US"/>
        </w:rPr>
        <w:t xml:space="preserve"> towards immigrants</w:t>
      </w:r>
      <w:r w:rsidR="006E26A6" w:rsidRPr="004A2990">
        <w:rPr>
          <w:lang w:val="en-US"/>
        </w:rPr>
        <w:t xml:space="preserve"> (path B)</w:t>
      </w:r>
      <w:r w:rsidRPr="004A2990">
        <w:rPr>
          <w:lang w:val="en-US"/>
        </w:rPr>
        <w:t xml:space="preserve">. Further, we predicted that </w:t>
      </w:r>
      <w:r w:rsidR="00765B27" w:rsidRPr="004A2990">
        <w:rPr>
          <w:lang w:val="en-US"/>
        </w:rPr>
        <w:t xml:space="preserve">threat perceived to be emanating from immigrants would decrease positive </w:t>
      </w:r>
      <w:r w:rsidR="00B86E79">
        <w:rPr>
          <w:lang w:val="en-US"/>
        </w:rPr>
        <w:t>affect</w:t>
      </w:r>
      <w:r w:rsidR="00765B27" w:rsidRPr="004A2990">
        <w:rPr>
          <w:lang w:val="en-US"/>
        </w:rPr>
        <w:t xml:space="preserve"> towards immigrants</w:t>
      </w:r>
      <w:r w:rsidRPr="004A2990">
        <w:rPr>
          <w:lang w:val="en-US"/>
        </w:rPr>
        <w:t xml:space="preserve"> (</w:t>
      </w:r>
      <w:r w:rsidR="006E26A6" w:rsidRPr="004A2990">
        <w:rPr>
          <w:lang w:val="en-US"/>
        </w:rPr>
        <w:t>path C</w:t>
      </w:r>
      <w:r w:rsidRPr="004A2990">
        <w:rPr>
          <w:lang w:val="en-US"/>
        </w:rPr>
        <w:t>)</w:t>
      </w:r>
      <w:r w:rsidR="00765B27" w:rsidRPr="004A2990">
        <w:rPr>
          <w:lang w:val="en-US"/>
        </w:rPr>
        <w:t>.</w:t>
      </w:r>
    </w:p>
    <w:p w14:paraId="0D6D00E6" w14:textId="567CF459" w:rsidR="00DC7FC0" w:rsidRPr="004A2990" w:rsidRDefault="00616A9F" w:rsidP="00AE0A67">
      <w:pPr>
        <w:pStyle w:val="APABodyText"/>
        <w:spacing w:after="0"/>
        <w:rPr>
          <w:lang w:val="en-US"/>
        </w:rPr>
      </w:pPr>
      <w:r w:rsidRPr="004A2990">
        <w:rPr>
          <w:i/>
          <w:lang w:val="en-US"/>
        </w:rPr>
        <w:t>Perceived right to be here</w:t>
      </w:r>
      <w:r w:rsidRPr="004A2990">
        <w:rPr>
          <w:lang w:val="en-US"/>
        </w:rPr>
        <w:t xml:space="preserve">. </w:t>
      </w:r>
      <w:r w:rsidR="000718E4" w:rsidRPr="004A2990">
        <w:rPr>
          <w:lang w:val="en-US"/>
        </w:rPr>
        <w:t xml:space="preserve">Perceived right </w:t>
      </w:r>
      <w:r w:rsidR="00AE0A67" w:rsidRPr="004A2990">
        <w:rPr>
          <w:lang w:val="en-US"/>
        </w:rPr>
        <w:t xml:space="preserve">of immigrants to reside in Britain </w:t>
      </w:r>
      <w:r w:rsidR="000718E4" w:rsidRPr="004A2990">
        <w:rPr>
          <w:lang w:val="en-US"/>
        </w:rPr>
        <w:t>was predicted to be</w:t>
      </w:r>
      <w:r w:rsidR="00DC7FC0" w:rsidRPr="004A2990">
        <w:rPr>
          <w:lang w:val="en-US"/>
        </w:rPr>
        <w:t xml:space="preserve"> affected by intergroup threat and </w:t>
      </w:r>
      <w:r w:rsidR="000718E4" w:rsidRPr="004A2990">
        <w:rPr>
          <w:lang w:val="en-US"/>
        </w:rPr>
        <w:t xml:space="preserve">intergroup </w:t>
      </w:r>
      <w:r w:rsidR="00B86E79">
        <w:rPr>
          <w:lang w:val="en-US"/>
        </w:rPr>
        <w:t>affect</w:t>
      </w:r>
      <w:r w:rsidR="00DC7FC0" w:rsidRPr="004A2990">
        <w:rPr>
          <w:lang w:val="en-US"/>
        </w:rPr>
        <w:t xml:space="preserve"> </w:t>
      </w:r>
      <w:r w:rsidR="00AE0A67" w:rsidRPr="004A2990">
        <w:rPr>
          <w:lang w:val="en-US"/>
        </w:rPr>
        <w:t xml:space="preserve">(see </w:t>
      </w:r>
      <w:r w:rsidR="006E26A6" w:rsidRPr="004A2990">
        <w:rPr>
          <w:lang w:val="en-US"/>
        </w:rPr>
        <w:t xml:space="preserve">paths </w:t>
      </w:r>
      <w:r w:rsidR="000A449B" w:rsidRPr="004A2990">
        <w:rPr>
          <w:lang w:val="en-US"/>
        </w:rPr>
        <w:t xml:space="preserve">D &amp; E, </w:t>
      </w:r>
      <w:r w:rsidR="00AE0A67" w:rsidRPr="004A2990">
        <w:rPr>
          <w:lang w:val="en-US"/>
        </w:rPr>
        <w:t>F</w:t>
      </w:r>
      <w:r w:rsidR="000A449B" w:rsidRPr="004A2990">
        <w:rPr>
          <w:lang w:val="en-US"/>
        </w:rPr>
        <w:t>igure 1</w:t>
      </w:r>
      <w:r w:rsidR="00AE0A67" w:rsidRPr="004A2990">
        <w:rPr>
          <w:lang w:val="en-US"/>
        </w:rPr>
        <w:t>)</w:t>
      </w:r>
      <w:r w:rsidR="000718E4" w:rsidRPr="004A2990">
        <w:rPr>
          <w:lang w:val="en-US"/>
        </w:rPr>
        <w:t xml:space="preserve">. </w:t>
      </w:r>
      <w:r w:rsidR="00AE0A67" w:rsidRPr="004A2990">
        <w:rPr>
          <w:lang w:val="en-US"/>
        </w:rPr>
        <w:t xml:space="preserve">Let us first outline the rationale for predicting an effect of threat. A typical response to </w:t>
      </w:r>
      <w:r w:rsidR="00AE0A67" w:rsidRPr="004A2990">
        <w:rPr>
          <w:lang w:val="en-US"/>
        </w:rPr>
        <w:lastRenderedPageBreak/>
        <w:t xml:space="preserve">threat is to attempt to put distance between the self and the threatening stimulus (Blanchard, </w:t>
      </w:r>
      <w:proofErr w:type="spellStart"/>
      <w:r w:rsidR="00AE0A67" w:rsidRPr="004A2990">
        <w:rPr>
          <w:lang w:val="en-US"/>
        </w:rPr>
        <w:t>Hynd</w:t>
      </w:r>
      <w:proofErr w:type="spellEnd"/>
      <w:r w:rsidR="00AE0A67" w:rsidRPr="004A2990">
        <w:rPr>
          <w:lang w:val="en-US"/>
        </w:rPr>
        <w:t xml:space="preserve">, </w:t>
      </w:r>
      <w:proofErr w:type="spellStart"/>
      <w:r w:rsidR="00AE0A67" w:rsidRPr="004A2990">
        <w:rPr>
          <w:lang w:val="en-US"/>
        </w:rPr>
        <w:t>Minke</w:t>
      </w:r>
      <w:proofErr w:type="spellEnd"/>
      <w:r w:rsidR="00AE0A67" w:rsidRPr="004A2990">
        <w:rPr>
          <w:lang w:val="en-US"/>
        </w:rPr>
        <w:t xml:space="preserve">, </w:t>
      </w:r>
      <w:proofErr w:type="spellStart"/>
      <w:r w:rsidR="00AE0A67" w:rsidRPr="004A2990">
        <w:rPr>
          <w:lang w:val="en-US"/>
        </w:rPr>
        <w:t>Minemoto</w:t>
      </w:r>
      <w:proofErr w:type="spellEnd"/>
      <w:r w:rsidR="00AE0A67" w:rsidRPr="004A2990">
        <w:rPr>
          <w:lang w:val="en-US"/>
        </w:rPr>
        <w:t xml:space="preserve"> &amp; Blanchard, 2001). In the context of migration, the desire to create distance between the self and the threatening stimulus might manifest itself in arguments that immigrants should be removed because they have no right to be here. </w:t>
      </w:r>
    </w:p>
    <w:p w14:paraId="11AB4045" w14:textId="7EC270D2" w:rsidR="00CD3D1E" w:rsidRPr="004A2990" w:rsidRDefault="00AE0A67" w:rsidP="007C0D19">
      <w:pPr>
        <w:pStyle w:val="APABodyText"/>
        <w:spacing w:after="0"/>
        <w:rPr>
          <w:lang w:val="en-US"/>
        </w:rPr>
      </w:pPr>
      <w:r w:rsidRPr="004A2990">
        <w:rPr>
          <w:lang w:val="en-US"/>
        </w:rPr>
        <w:t>Tur</w:t>
      </w:r>
      <w:r w:rsidR="00A136F4">
        <w:rPr>
          <w:lang w:val="en-US"/>
        </w:rPr>
        <w:t>n</w:t>
      </w:r>
      <w:r w:rsidRPr="004A2990">
        <w:rPr>
          <w:lang w:val="en-US"/>
        </w:rPr>
        <w:t xml:space="preserve">ing now to the rationale for predicting an effect of intergroup </w:t>
      </w:r>
      <w:r w:rsidR="00B86E79">
        <w:rPr>
          <w:lang w:val="en-US"/>
        </w:rPr>
        <w:t>affect</w:t>
      </w:r>
      <w:r w:rsidRPr="004A2990">
        <w:rPr>
          <w:lang w:val="en-US"/>
        </w:rPr>
        <w:t>, i</w:t>
      </w:r>
      <w:r w:rsidR="00616A9F" w:rsidRPr="004A2990">
        <w:rPr>
          <w:lang w:val="en-US"/>
        </w:rPr>
        <w:t xml:space="preserve">t is a well-established finding in the interpersonal literature that we are more willing to make allowances for those we </w:t>
      </w:r>
      <w:r w:rsidR="00616A9F" w:rsidRPr="004A2990">
        <w:rPr>
          <w:color w:val="auto"/>
          <w:lang w:val="en-US"/>
        </w:rPr>
        <w:t xml:space="preserve">like </w:t>
      </w:r>
      <w:r w:rsidR="00605852" w:rsidRPr="004A2990">
        <w:rPr>
          <w:color w:val="auto"/>
          <w:lang w:val="en-US"/>
        </w:rPr>
        <w:t xml:space="preserve">(e.g. </w:t>
      </w:r>
      <w:proofErr w:type="spellStart"/>
      <w:r w:rsidR="00605852" w:rsidRPr="004A2990">
        <w:rPr>
          <w:color w:val="auto"/>
          <w:lang w:val="en-US"/>
        </w:rPr>
        <w:t>Flannagan</w:t>
      </w:r>
      <w:proofErr w:type="spellEnd"/>
      <w:r w:rsidR="00605852" w:rsidRPr="004A2990">
        <w:rPr>
          <w:color w:val="auto"/>
          <w:lang w:val="en-US"/>
        </w:rPr>
        <w:t>, Mark &amp; Fuhrman, 2005</w:t>
      </w:r>
      <w:r w:rsidR="0011395D" w:rsidRPr="004A2990">
        <w:rPr>
          <w:color w:val="auto"/>
          <w:lang w:val="en-US"/>
        </w:rPr>
        <w:t xml:space="preserve">). </w:t>
      </w:r>
      <w:r w:rsidR="00616A9F" w:rsidRPr="004A2990">
        <w:rPr>
          <w:lang w:val="en-US"/>
        </w:rPr>
        <w:t xml:space="preserve">For example, while we might be outraged about the lateness or selfishness of a distant colleague, we might be more willing to make excuses or tolerate the same </w:t>
      </w:r>
      <w:r w:rsidR="000C54E9" w:rsidRPr="004A2990">
        <w:rPr>
          <w:lang w:val="en-US"/>
        </w:rPr>
        <w:t>behavior</w:t>
      </w:r>
      <w:r w:rsidR="00616A9F" w:rsidRPr="004A2990">
        <w:rPr>
          <w:lang w:val="en-US"/>
        </w:rPr>
        <w:t xml:space="preserve"> or traits in our closes</w:t>
      </w:r>
      <w:r w:rsidR="00A136F4">
        <w:rPr>
          <w:lang w:val="en-US"/>
        </w:rPr>
        <w:t>t</w:t>
      </w:r>
      <w:r w:rsidR="00616A9F" w:rsidRPr="004A2990">
        <w:rPr>
          <w:lang w:val="en-US"/>
        </w:rPr>
        <w:t xml:space="preserve"> loved ones. </w:t>
      </w:r>
      <w:r w:rsidR="001E6A6F">
        <w:rPr>
          <w:lang w:val="en-US"/>
        </w:rPr>
        <w:t>Similar evidence has been found in the realm of group perception, i.e. affect towards outgroup targets can taint judgements about them (</w:t>
      </w:r>
      <w:proofErr w:type="spellStart"/>
      <w:r w:rsidR="001E6A6F" w:rsidRPr="001E6A6F">
        <w:rPr>
          <w:lang w:val="en-US"/>
        </w:rPr>
        <w:t>Bodenhausen</w:t>
      </w:r>
      <w:proofErr w:type="spellEnd"/>
      <w:r w:rsidR="001E6A6F" w:rsidRPr="001E6A6F">
        <w:rPr>
          <w:lang w:val="en-US"/>
        </w:rPr>
        <w:t xml:space="preserve"> &amp; Moreno, 2000</w:t>
      </w:r>
      <w:r w:rsidR="001E6A6F">
        <w:rPr>
          <w:lang w:val="en-US"/>
        </w:rPr>
        <w:t>). For example, transgressions committed by disliked outgroup members tend to be judged more harshly than transgressions by ingroup members (</w:t>
      </w:r>
      <w:r w:rsidR="001E6A6F" w:rsidRPr="001E6A6F">
        <w:rPr>
          <w:lang w:val="en-US"/>
        </w:rPr>
        <w:t xml:space="preserve">Chapman, May, Scofield, </w:t>
      </w:r>
      <w:proofErr w:type="spellStart"/>
      <w:r w:rsidR="001E6A6F" w:rsidRPr="001E6A6F">
        <w:rPr>
          <w:lang w:val="en-US"/>
        </w:rPr>
        <w:t>DeCoster</w:t>
      </w:r>
      <w:proofErr w:type="spellEnd"/>
      <w:r w:rsidR="001E6A6F" w:rsidRPr="001E6A6F">
        <w:rPr>
          <w:lang w:val="en-US"/>
        </w:rPr>
        <w:t>, &amp; Bui, 2020</w:t>
      </w:r>
      <w:r w:rsidR="001E6A6F">
        <w:rPr>
          <w:lang w:val="en-US"/>
        </w:rPr>
        <w:t>). Hence</w:t>
      </w:r>
      <w:r w:rsidR="00616A9F" w:rsidRPr="004A2990">
        <w:rPr>
          <w:lang w:val="en-US"/>
        </w:rPr>
        <w:t xml:space="preserve">, </w:t>
      </w:r>
      <w:r w:rsidR="001E6A6F">
        <w:rPr>
          <w:lang w:val="en-US"/>
        </w:rPr>
        <w:t xml:space="preserve">because affect impacts judgements of and psychological privileged granted to others, </w:t>
      </w:r>
      <w:r w:rsidR="00616A9F" w:rsidRPr="004A2990">
        <w:rPr>
          <w:lang w:val="en-US"/>
        </w:rPr>
        <w:t xml:space="preserve">one might assume that positive </w:t>
      </w:r>
      <w:r w:rsidR="00B86E79">
        <w:rPr>
          <w:lang w:val="en-US"/>
        </w:rPr>
        <w:t>affect</w:t>
      </w:r>
      <w:r w:rsidR="00616A9F" w:rsidRPr="004A2990">
        <w:rPr>
          <w:lang w:val="en-US"/>
        </w:rPr>
        <w:t xml:space="preserve"> towards immigrants are positively associated with their perceived right to be in the UK. In short, if migrants are liked, they are likely to be granted psychological rights which would otherwise be withheld. We therefore </w:t>
      </w:r>
      <w:r w:rsidR="00CE254F" w:rsidRPr="004A2990">
        <w:rPr>
          <w:lang w:val="en-US"/>
        </w:rPr>
        <w:t>hypothesized</w:t>
      </w:r>
      <w:r w:rsidR="00616A9F" w:rsidRPr="004A2990">
        <w:rPr>
          <w:lang w:val="en-US"/>
        </w:rPr>
        <w:t xml:space="preserve"> that positive intergroup </w:t>
      </w:r>
      <w:r w:rsidR="00B86E79">
        <w:rPr>
          <w:lang w:val="en-US"/>
        </w:rPr>
        <w:t>affect</w:t>
      </w:r>
      <w:r w:rsidR="00616A9F" w:rsidRPr="004A2990">
        <w:rPr>
          <w:lang w:val="en-US"/>
        </w:rPr>
        <w:t xml:space="preserve"> would be positively associated with a perceived right to be in the UK</w:t>
      </w:r>
      <w:r w:rsidRPr="004A2990">
        <w:rPr>
          <w:lang w:val="en-US"/>
        </w:rPr>
        <w:t>, and that threat would be negatively associated with perceived rights</w:t>
      </w:r>
      <w:r w:rsidR="00616A9F" w:rsidRPr="004A2990">
        <w:rPr>
          <w:lang w:val="en-US"/>
        </w:rPr>
        <w:t xml:space="preserve">. </w:t>
      </w:r>
    </w:p>
    <w:p w14:paraId="2601E4B1" w14:textId="58B62BFA" w:rsidR="00EC7D4C" w:rsidRPr="004A2990" w:rsidRDefault="00717E8F" w:rsidP="00EC7D4C">
      <w:pPr>
        <w:pStyle w:val="APABodyText"/>
        <w:spacing w:after="0"/>
        <w:rPr>
          <w:lang w:val="en-US"/>
        </w:rPr>
      </w:pPr>
      <w:r w:rsidRPr="004A2990">
        <w:rPr>
          <w:rStyle w:val="Emphasis"/>
          <w:lang w:val="en-US"/>
        </w:rPr>
        <w:t xml:space="preserve">Perceived </w:t>
      </w:r>
      <w:r w:rsidR="00570207">
        <w:rPr>
          <w:rStyle w:val="Emphasis"/>
          <w:lang w:val="en-US"/>
        </w:rPr>
        <w:t>p</w:t>
      </w:r>
      <w:r w:rsidRPr="004A2990">
        <w:rPr>
          <w:rStyle w:val="Emphasis"/>
          <w:lang w:val="en-US"/>
        </w:rPr>
        <w:t xml:space="preserve">opulation </w:t>
      </w:r>
      <w:r w:rsidR="00570207">
        <w:rPr>
          <w:rStyle w:val="Emphasis"/>
          <w:lang w:val="en-US"/>
        </w:rPr>
        <w:t>s</w:t>
      </w:r>
      <w:r w:rsidRPr="004A2990">
        <w:rPr>
          <w:rStyle w:val="Emphasis"/>
          <w:lang w:val="en-US"/>
        </w:rPr>
        <w:t>ize</w:t>
      </w:r>
      <w:r w:rsidR="00400266" w:rsidRPr="004A2990">
        <w:rPr>
          <w:rStyle w:val="Emphasis"/>
          <w:lang w:val="en-US"/>
        </w:rPr>
        <w:t>.</w:t>
      </w:r>
      <w:r w:rsidRPr="004A2990">
        <w:rPr>
          <w:rStyle w:val="Emphasis"/>
          <w:lang w:val="en-US"/>
        </w:rPr>
        <w:t xml:space="preserve"> </w:t>
      </w:r>
      <w:r w:rsidRPr="004A2990">
        <w:rPr>
          <w:lang w:val="en-US"/>
        </w:rPr>
        <w:t xml:space="preserve">The population sizes of different immigrant groups in the UK differ quite considerably. The perception of the size of </w:t>
      </w:r>
      <w:r w:rsidR="00A30054" w:rsidRPr="004A2990">
        <w:rPr>
          <w:lang w:val="en-US"/>
        </w:rPr>
        <w:t>outgroups</w:t>
      </w:r>
      <w:r w:rsidRPr="004A2990">
        <w:rPr>
          <w:lang w:val="en-US"/>
        </w:rPr>
        <w:t xml:space="preserve"> has been shown to impact upon attitudes towards them</w:t>
      </w:r>
      <w:r w:rsidR="00117F1B">
        <w:rPr>
          <w:lang w:val="en-US"/>
        </w:rPr>
        <w:t xml:space="preserve"> (</w:t>
      </w:r>
      <w:r w:rsidR="00117F1B" w:rsidRPr="00117F1B">
        <w:rPr>
          <w:lang w:val="en-US"/>
        </w:rPr>
        <w:t xml:space="preserve">Wilson, </w:t>
      </w:r>
      <w:proofErr w:type="spellStart"/>
      <w:r w:rsidR="00117F1B" w:rsidRPr="00117F1B">
        <w:rPr>
          <w:lang w:val="en-US"/>
        </w:rPr>
        <w:t>Hugenberg</w:t>
      </w:r>
      <w:proofErr w:type="spellEnd"/>
      <w:r w:rsidR="00117F1B" w:rsidRPr="00117F1B">
        <w:rPr>
          <w:lang w:val="en-US"/>
        </w:rPr>
        <w:t>, &amp; Rule, 2017</w:t>
      </w:r>
      <w:r w:rsidR="00117F1B">
        <w:rPr>
          <w:lang w:val="en-US"/>
        </w:rPr>
        <w:t>)</w:t>
      </w:r>
      <w:r w:rsidRPr="004A2990">
        <w:rPr>
          <w:lang w:val="en-US"/>
        </w:rPr>
        <w:t xml:space="preserve">. </w:t>
      </w:r>
      <w:proofErr w:type="spellStart"/>
      <w:r w:rsidRPr="004A2990">
        <w:rPr>
          <w:lang w:val="en-US"/>
        </w:rPr>
        <w:t>Quillian</w:t>
      </w:r>
      <w:proofErr w:type="spellEnd"/>
      <w:r w:rsidRPr="004A2990">
        <w:rPr>
          <w:lang w:val="en-US"/>
        </w:rPr>
        <w:t xml:space="preserve"> (1995), for example, noted that the amount of prejudice shown to immigrants was determined by the relative size of the majority and minority populations, with greater prejudice associated with </w:t>
      </w:r>
      <w:r w:rsidRPr="004A2990">
        <w:rPr>
          <w:lang w:val="en-US"/>
        </w:rPr>
        <w:lastRenderedPageBreak/>
        <w:t>larger immigrant groups</w:t>
      </w:r>
      <w:r w:rsidR="009164C4" w:rsidRPr="004A2990">
        <w:rPr>
          <w:lang w:val="en-US"/>
        </w:rPr>
        <w:t xml:space="preserve"> (see </w:t>
      </w:r>
      <w:proofErr w:type="spellStart"/>
      <w:r w:rsidR="009164C4" w:rsidRPr="004A2990">
        <w:rPr>
          <w:lang w:val="en-US"/>
        </w:rPr>
        <w:t>Scheepers</w:t>
      </w:r>
      <w:proofErr w:type="spellEnd"/>
      <w:r w:rsidR="009164C4" w:rsidRPr="004A2990">
        <w:rPr>
          <w:lang w:val="en-US"/>
        </w:rPr>
        <w:t xml:space="preserve">, </w:t>
      </w:r>
      <w:proofErr w:type="spellStart"/>
      <w:r w:rsidR="009164C4" w:rsidRPr="004A2990">
        <w:rPr>
          <w:lang w:val="en-US"/>
        </w:rPr>
        <w:t>Gjitsberts</w:t>
      </w:r>
      <w:proofErr w:type="spellEnd"/>
      <w:r w:rsidR="009164C4" w:rsidRPr="004A2990">
        <w:rPr>
          <w:lang w:val="en-US"/>
        </w:rPr>
        <w:t xml:space="preserve"> &amp; </w:t>
      </w:r>
      <w:proofErr w:type="spellStart"/>
      <w:r w:rsidR="009164C4" w:rsidRPr="004A2990">
        <w:rPr>
          <w:lang w:val="en-US"/>
        </w:rPr>
        <w:t>Coenders</w:t>
      </w:r>
      <w:proofErr w:type="spellEnd"/>
      <w:r w:rsidR="009164C4" w:rsidRPr="004A2990">
        <w:rPr>
          <w:lang w:val="en-US"/>
        </w:rPr>
        <w:t>, 2002</w:t>
      </w:r>
      <w:r w:rsidR="002E091E" w:rsidRPr="004A2990">
        <w:rPr>
          <w:lang w:val="en-US"/>
        </w:rPr>
        <w:t>;</w:t>
      </w:r>
      <w:r w:rsidR="009164C4" w:rsidRPr="004A2990">
        <w:rPr>
          <w:lang w:val="en-US"/>
        </w:rPr>
        <w:t xml:space="preserve"> </w:t>
      </w:r>
      <w:r w:rsidR="002E091E" w:rsidRPr="004A2990">
        <w:rPr>
          <w:lang w:val="en-US"/>
        </w:rPr>
        <w:t xml:space="preserve">Semyonov, </w:t>
      </w:r>
      <w:proofErr w:type="spellStart"/>
      <w:r w:rsidR="002E091E" w:rsidRPr="004A2990">
        <w:rPr>
          <w:lang w:val="en-US"/>
        </w:rPr>
        <w:t>Raijman</w:t>
      </w:r>
      <w:proofErr w:type="spellEnd"/>
      <w:r w:rsidR="002E091E" w:rsidRPr="004A2990">
        <w:rPr>
          <w:lang w:val="en-US"/>
        </w:rPr>
        <w:t xml:space="preserve">, Yom Tov and Schmidt, 2004; and </w:t>
      </w:r>
      <w:proofErr w:type="spellStart"/>
      <w:r w:rsidR="009164C4" w:rsidRPr="004A2990">
        <w:rPr>
          <w:lang w:val="en-US"/>
        </w:rPr>
        <w:t>Strabac</w:t>
      </w:r>
      <w:proofErr w:type="spellEnd"/>
      <w:r w:rsidR="009164C4" w:rsidRPr="004A2990">
        <w:rPr>
          <w:lang w:val="en-US"/>
        </w:rPr>
        <w:t>, 2011 for similar findings)</w:t>
      </w:r>
      <w:r w:rsidRPr="004A2990">
        <w:rPr>
          <w:lang w:val="en-US"/>
        </w:rPr>
        <w:t xml:space="preserve">. </w:t>
      </w:r>
      <w:r w:rsidR="00561A68" w:rsidRPr="004A2990">
        <w:rPr>
          <w:lang w:val="en-US"/>
        </w:rPr>
        <w:t xml:space="preserve">Indeed, inflated minority population estimates have been found to </w:t>
      </w:r>
      <w:r w:rsidR="009940BB" w:rsidRPr="004A2990">
        <w:rPr>
          <w:lang w:val="en-US"/>
        </w:rPr>
        <w:t xml:space="preserve">be </w:t>
      </w:r>
      <w:r w:rsidR="00561A68" w:rsidRPr="004A2990">
        <w:rPr>
          <w:lang w:val="en-US"/>
        </w:rPr>
        <w:t>associated with opposition to immigration (</w:t>
      </w:r>
      <w:proofErr w:type="spellStart"/>
      <w:r w:rsidR="00561A68" w:rsidRPr="004A2990">
        <w:rPr>
          <w:lang w:val="en-US"/>
        </w:rPr>
        <w:t>Herda</w:t>
      </w:r>
      <w:proofErr w:type="spellEnd"/>
      <w:r w:rsidR="00561A68" w:rsidRPr="004A2990">
        <w:rPr>
          <w:lang w:val="en-US"/>
        </w:rPr>
        <w:t>, 2010</w:t>
      </w:r>
      <w:r w:rsidR="00C23DB6">
        <w:rPr>
          <w:lang w:val="en-US"/>
        </w:rPr>
        <w:t xml:space="preserve">; </w:t>
      </w:r>
      <w:proofErr w:type="spellStart"/>
      <w:r w:rsidR="00C23DB6">
        <w:rPr>
          <w:lang w:val="en-US"/>
        </w:rPr>
        <w:t>Hjerm</w:t>
      </w:r>
      <w:proofErr w:type="spellEnd"/>
      <w:r w:rsidR="00C23DB6">
        <w:rPr>
          <w:lang w:val="en-US"/>
        </w:rPr>
        <w:t xml:space="preserve"> 2007</w:t>
      </w:r>
      <w:r w:rsidR="00561A68" w:rsidRPr="004A2990">
        <w:rPr>
          <w:lang w:val="en-US"/>
        </w:rPr>
        <w:t>)</w:t>
      </w:r>
      <w:r w:rsidR="00EC7D4C" w:rsidRPr="004A2990">
        <w:rPr>
          <w:lang w:val="en-US"/>
        </w:rPr>
        <w:t>.</w:t>
      </w:r>
    </w:p>
    <w:p w14:paraId="5C7C0A5B" w14:textId="21BAF4F4" w:rsidR="00DC7FC0" w:rsidRPr="004A2990" w:rsidRDefault="002E091E" w:rsidP="00AE0A67">
      <w:pPr>
        <w:pStyle w:val="APABodyText"/>
        <w:spacing w:after="0"/>
        <w:rPr>
          <w:rStyle w:val="Emphasis"/>
          <w:i w:val="0"/>
          <w:iCs w:val="0"/>
          <w:lang w:val="en-US"/>
        </w:rPr>
      </w:pPr>
      <w:r w:rsidRPr="004A2990">
        <w:rPr>
          <w:lang w:val="en-US"/>
        </w:rPr>
        <w:t>W</w:t>
      </w:r>
      <w:r w:rsidR="00561A68" w:rsidRPr="004A2990">
        <w:rPr>
          <w:lang w:val="en-US"/>
        </w:rPr>
        <w:t xml:space="preserve">hile previous research has mainly </w:t>
      </w:r>
      <w:r w:rsidR="000C54E9" w:rsidRPr="004A2990">
        <w:rPr>
          <w:lang w:val="en-US"/>
        </w:rPr>
        <w:t>conceptualized</w:t>
      </w:r>
      <w:r w:rsidR="00561A68" w:rsidRPr="004A2990">
        <w:rPr>
          <w:lang w:val="en-US"/>
        </w:rPr>
        <w:t xml:space="preserve"> perceive</w:t>
      </w:r>
      <w:r w:rsidR="00A136F4">
        <w:rPr>
          <w:lang w:val="en-US"/>
        </w:rPr>
        <w:t>d</w:t>
      </w:r>
      <w:r w:rsidR="00561A68" w:rsidRPr="004A2990">
        <w:rPr>
          <w:lang w:val="en-US"/>
        </w:rPr>
        <w:t xml:space="preserve"> size as an antecedent of intergroup </w:t>
      </w:r>
      <w:r w:rsidRPr="004A2990">
        <w:rPr>
          <w:lang w:val="en-US"/>
        </w:rPr>
        <w:t>attitudes</w:t>
      </w:r>
      <w:r w:rsidR="00561A68" w:rsidRPr="004A2990">
        <w:rPr>
          <w:lang w:val="en-US"/>
        </w:rPr>
        <w:t>, there is reason to believe that the intergroup</w:t>
      </w:r>
      <w:r w:rsidR="002A788E" w:rsidRPr="004A2990">
        <w:rPr>
          <w:lang w:val="en-US"/>
        </w:rPr>
        <w:t xml:space="preserve"> attitudes</w:t>
      </w:r>
      <w:r w:rsidR="00561A68" w:rsidRPr="004A2990">
        <w:rPr>
          <w:lang w:val="en-US"/>
        </w:rPr>
        <w:t xml:space="preserve"> might also influence perceptions of size. The correspondence between actual and perceived minorit</w:t>
      </w:r>
      <w:r w:rsidR="00086BED" w:rsidRPr="004A2990">
        <w:rPr>
          <w:lang w:val="en-US"/>
        </w:rPr>
        <w:t>y group size tends to be poor</w:t>
      </w:r>
      <w:r w:rsidR="00561A68" w:rsidRPr="004A2990">
        <w:rPr>
          <w:lang w:val="en-US"/>
        </w:rPr>
        <w:t xml:space="preserve"> (e.</w:t>
      </w:r>
      <w:r w:rsidR="002A788E" w:rsidRPr="004A2990">
        <w:rPr>
          <w:lang w:val="en-US"/>
        </w:rPr>
        <w:t>g.</w:t>
      </w:r>
      <w:r w:rsidRPr="004A2990">
        <w:rPr>
          <w:lang w:val="en-US"/>
        </w:rPr>
        <w:t>,</w:t>
      </w:r>
      <w:r w:rsidR="002A788E" w:rsidRPr="004A2990">
        <w:rPr>
          <w:lang w:val="en-US"/>
        </w:rPr>
        <w:t xml:space="preserve"> </w:t>
      </w:r>
      <w:r w:rsidR="00561A68" w:rsidRPr="004A2990">
        <w:rPr>
          <w:lang w:val="en-US"/>
        </w:rPr>
        <w:t xml:space="preserve">Alba, </w:t>
      </w:r>
      <w:proofErr w:type="spellStart"/>
      <w:r w:rsidR="00561A68" w:rsidRPr="004A2990">
        <w:rPr>
          <w:lang w:val="en-US"/>
        </w:rPr>
        <w:t>Rumbaut</w:t>
      </w:r>
      <w:proofErr w:type="spellEnd"/>
      <w:r w:rsidR="00561A68" w:rsidRPr="004A2990">
        <w:rPr>
          <w:lang w:val="en-US"/>
        </w:rPr>
        <w:t xml:space="preserve"> &amp; </w:t>
      </w:r>
      <w:proofErr w:type="spellStart"/>
      <w:r w:rsidR="00561A68" w:rsidRPr="004A2990">
        <w:rPr>
          <w:lang w:val="en-US"/>
        </w:rPr>
        <w:t>Marotz</w:t>
      </w:r>
      <w:proofErr w:type="spellEnd"/>
      <w:r w:rsidR="00561A68" w:rsidRPr="004A2990">
        <w:rPr>
          <w:lang w:val="en-US"/>
        </w:rPr>
        <w:t>, 2005)</w:t>
      </w:r>
      <w:r w:rsidRPr="004A2990">
        <w:rPr>
          <w:lang w:val="en-US"/>
        </w:rPr>
        <w:t>,</w:t>
      </w:r>
      <w:r w:rsidR="00086BED" w:rsidRPr="004A2990">
        <w:rPr>
          <w:lang w:val="en-US"/>
        </w:rPr>
        <w:t xml:space="preserve"> </w:t>
      </w:r>
      <w:r w:rsidR="002441B3" w:rsidRPr="004A2990">
        <w:rPr>
          <w:lang w:val="en-US"/>
        </w:rPr>
        <w:t>so perceived size must clearly be informed by subjective psychological processes rather than the observation of objective facts. Following the psychological truth that problems are often seen to loom large</w:t>
      </w:r>
      <w:r w:rsidR="002A788E" w:rsidRPr="004A2990">
        <w:rPr>
          <w:lang w:val="en-US"/>
        </w:rPr>
        <w:t xml:space="preserve"> and that individuals tend to overestimate the size of negative or feared stimuli (e.g. </w:t>
      </w:r>
      <w:r w:rsidR="00E541CE" w:rsidRPr="004A2990">
        <w:rPr>
          <w:lang w:val="en-US"/>
        </w:rPr>
        <w:t xml:space="preserve">Cole, </w:t>
      </w:r>
      <w:proofErr w:type="spellStart"/>
      <w:r w:rsidR="00E541CE" w:rsidRPr="004A2990">
        <w:rPr>
          <w:lang w:val="en-US"/>
        </w:rPr>
        <w:t>Balcetis</w:t>
      </w:r>
      <w:proofErr w:type="spellEnd"/>
      <w:r w:rsidR="00E541CE" w:rsidRPr="004A2990">
        <w:rPr>
          <w:lang w:val="en-US"/>
        </w:rPr>
        <w:t xml:space="preserve"> &amp; Dunning, 2013; </w:t>
      </w:r>
      <w:proofErr w:type="spellStart"/>
      <w:r w:rsidR="00117F1B" w:rsidRPr="00385C62">
        <w:rPr>
          <w:lang w:val="en-US"/>
        </w:rPr>
        <w:t>Fessler</w:t>
      </w:r>
      <w:proofErr w:type="spellEnd"/>
      <w:r w:rsidR="00117F1B" w:rsidRPr="00385C62">
        <w:rPr>
          <w:lang w:val="en-US"/>
        </w:rPr>
        <w:t xml:space="preserve">, Holbrook, Pollack, </w:t>
      </w:r>
      <w:r w:rsidR="00117F1B">
        <w:rPr>
          <w:lang w:val="en-US"/>
        </w:rPr>
        <w:t xml:space="preserve">&amp; </w:t>
      </w:r>
      <w:r w:rsidR="00117F1B" w:rsidRPr="00385C62">
        <w:rPr>
          <w:lang w:val="en-US"/>
        </w:rPr>
        <w:t>Hahn-Holbrook,</w:t>
      </w:r>
      <w:r w:rsidR="00117F1B">
        <w:rPr>
          <w:lang w:val="en-US"/>
        </w:rPr>
        <w:t xml:space="preserve"> 2014; </w:t>
      </w:r>
      <w:proofErr w:type="spellStart"/>
      <w:r w:rsidR="002A788E" w:rsidRPr="004A2990">
        <w:rPr>
          <w:lang w:val="en-US"/>
        </w:rPr>
        <w:t>Leibowich</w:t>
      </w:r>
      <w:proofErr w:type="spellEnd"/>
      <w:r w:rsidR="002A788E" w:rsidRPr="004A2990">
        <w:rPr>
          <w:lang w:val="en-US"/>
        </w:rPr>
        <w:t xml:space="preserve">, Cohen &amp; </w:t>
      </w:r>
      <w:proofErr w:type="spellStart"/>
      <w:r w:rsidR="002A788E" w:rsidRPr="004A2990">
        <w:rPr>
          <w:lang w:val="en-US"/>
        </w:rPr>
        <w:t>Henik</w:t>
      </w:r>
      <w:proofErr w:type="spellEnd"/>
      <w:r w:rsidR="002A788E" w:rsidRPr="004A2990">
        <w:rPr>
          <w:lang w:val="en-US"/>
        </w:rPr>
        <w:t xml:space="preserve">, 2016; van </w:t>
      </w:r>
      <w:proofErr w:type="spellStart"/>
      <w:r w:rsidR="002A788E" w:rsidRPr="004A2990">
        <w:rPr>
          <w:lang w:val="en-US"/>
        </w:rPr>
        <w:t>Ulzen</w:t>
      </w:r>
      <w:proofErr w:type="spellEnd"/>
      <w:r w:rsidR="002A788E" w:rsidRPr="004A2990">
        <w:rPr>
          <w:lang w:val="en-US"/>
        </w:rPr>
        <w:t xml:space="preserve">, </w:t>
      </w:r>
      <w:proofErr w:type="spellStart"/>
      <w:r w:rsidR="002A788E" w:rsidRPr="004A2990">
        <w:rPr>
          <w:lang w:val="en-US"/>
        </w:rPr>
        <w:t>Semin</w:t>
      </w:r>
      <w:proofErr w:type="spellEnd"/>
      <w:r w:rsidR="002A788E" w:rsidRPr="004A2990">
        <w:rPr>
          <w:lang w:val="en-US"/>
        </w:rPr>
        <w:t xml:space="preserve">, </w:t>
      </w:r>
      <w:proofErr w:type="spellStart"/>
      <w:r w:rsidR="002A788E" w:rsidRPr="004A2990">
        <w:rPr>
          <w:lang w:val="en-US"/>
        </w:rPr>
        <w:t>Oudejans</w:t>
      </w:r>
      <w:proofErr w:type="spellEnd"/>
      <w:r w:rsidR="002A788E" w:rsidRPr="004A2990">
        <w:rPr>
          <w:lang w:val="en-US"/>
        </w:rPr>
        <w:t xml:space="preserve"> &amp; </w:t>
      </w:r>
      <w:proofErr w:type="spellStart"/>
      <w:r w:rsidR="002A788E" w:rsidRPr="004A2990">
        <w:rPr>
          <w:lang w:val="en-US"/>
        </w:rPr>
        <w:t>Beek</w:t>
      </w:r>
      <w:proofErr w:type="spellEnd"/>
      <w:r w:rsidR="002A788E" w:rsidRPr="004A2990">
        <w:rPr>
          <w:lang w:val="en-US"/>
        </w:rPr>
        <w:t>, 2008)</w:t>
      </w:r>
      <w:r w:rsidRPr="004A2990">
        <w:rPr>
          <w:lang w:val="en-US"/>
        </w:rPr>
        <w:t>,</w:t>
      </w:r>
      <w:r w:rsidR="002441B3" w:rsidRPr="004A2990">
        <w:rPr>
          <w:lang w:val="en-US"/>
        </w:rPr>
        <w:t xml:space="preserve"> one can hypothesi</w:t>
      </w:r>
      <w:r w:rsidR="000C54E9" w:rsidRPr="004A2990">
        <w:rPr>
          <w:lang w:val="en-US"/>
        </w:rPr>
        <w:t>z</w:t>
      </w:r>
      <w:r w:rsidR="002441B3" w:rsidRPr="004A2990">
        <w:rPr>
          <w:lang w:val="en-US"/>
        </w:rPr>
        <w:t xml:space="preserve">e that those with negative </w:t>
      </w:r>
      <w:r w:rsidR="00B86E79">
        <w:rPr>
          <w:lang w:val="en-US"/>
        </w:rPr>
        <w:t>affect</w:t>
      </w:r>
      <w:r w:rsidR="002441B3" w:rsidRPr="004A2990">
        <w:rPr>
          <w:lang w:val="en-US"/>
        </w:rPr>
        <w:t xml:space="preserve"> towards migrants are likely to overestimate migrant group size. Conversely, those with positive </w:t>
      </w:r>
      <w:r w:rsidR="00B86E79">
        <w:rPr>
          <w:lang w:val="en-US"/>
        </w:rPr>
        <w:t>affect</w:t>
      </w:r>
      <w:r w:rsidR="002441B3" w:rsidRPr="004A2990">
        <w:rPr>
          <w:lang w:val="en-US"/>
        </w:rPr>
        <w:t xml:space="preserve"> towards migrants might be less prone to over-</w:t>
      </w:r>
      <w:r w:rsidR="000C54E9" w:rsidRPr="004A2990">
        <w:rPr>
          <w:lang w:val="en-US"/>
        </w:rPr>
        <w:t>emphasize</w:t>
      </w:r>
      <w:r w:rsidR="002441B3" w:rsidRPr="004A2990">
        <w:rPr>
          <w:lang w:val="en-US"/>
        </w:rPr>
        <w:t xml:space="preserve"> their group size, resulting in a predicted negative association between positive </w:t>
      </w:r>
      <w:r w:rsidR="00B86E79">
        <w:rPr>
          <w:lang w:val="en-US"/>
        </w:rPr>
        <w:t>affect</w:t>
      </w:r>
      <w:r w:rsidR="002441B3" w:rsidRPr="004A2990">
        <w:rPr>
          <w:lang w:val="en-US"/>
        </w:rPr>
        <w:t xml:space="preserve"> and population estimates</w:t>
      </w:r>
      <w:r w:rsidR="00AE0A67" w:rsidRPr="004A2990">
        <w:rPr>
          <w:lang w:val="en-US"/>
        </w:rPr>
        <w:t xml:space="preserve"> (see </w:t>
      </w:r>
      <w:r w:rsidR="000A449B" w:rsidRPr="004A2990">
        <w:rPr>
          <w:lang w:val="en-US"/>
        </w:rPr>
        <w:t xml:space="preserve">path F, </w:t>
      </w:r>
      <w:r w:rsidR="00AE0A67" w:rsidRPr="004A2990">
        <w:rPr>
          <w:lang w:val="en-US"/>
        </w:rPr>
        <w:t xml:space="preserve">Figure </w:t>
      </w:r>
      <w:r w:rsidR="000A449B" w:rsidRPr="004A2990">
        <w:rPr>
          <w:lang w:val="en-US"/>
        </w:rPr>
        <w:t>1</w:t>
      </w:r>
      <w:r w:rsidR="00AE0A67" w:rsidRPr="004A2990">
        <w:rPr>
          <w:lang w:val="en-US"/>
        </w:rPr>
        <w:t>)</w:t>
      </w:r>
      <w:r w:rsidR="002441B3" w:rsidRPr="004A2990">
        <w:rPr>
          <w:lang w:val="en-US"/>
        </w:rPr>
        <w:t xml:space="preserve">. </w:t>
      </w:r>
    </w:p>
    <w:p w14:paraId="5166A4F3" w14:textId="52BA4C29" w:rsidR="00805038" w:rsidRPr="004A2990" w:rsidRDefault="00B553A5" w:rsidP="00805038">
      <w:pPr>
        <w:pStyle w:val="APABodyText"/>
        <w:spacing w:after="0"/>
        <w:rPr>
          <w:lang w:val="en-US"/>
        </w:rPr>
      </w:pPr>
      <w:r w:rsidRPr="004A2990">
        <w:rPr>
          <w:rStyle w:val="Emphasis"/>
          <w:lang w:val="en-US"/>
        </w:rPr>
        <w:t xml:space="preserve">Migration </w:t>
      </w:r>
      <w:r w:rsidR="00570207">
        <w:rPr>
          <w:rStyle w:val="Emphasis"/>
          <w:lang w:val="en-US"/>
        </w:rPr>
        <w:t>c</w:t>
      </w:r>
      <w:r w:rsidRPr="004A2990">
        <w:rPr>
          <w:rStyle w:val="Emphasis"/>
          <w:lang w:val="en-US"/>
        </w:rPr>
        <w:t xml:space="preserve">ountry of </w:t>
      </w:r>
      <w:r w:rsidR="00570207">
        <w:rPr>
          <w:rStyle w:val="Emphasis"/>
          <w:lang w:val="en-US"/>
        </w:rPr>
        <w:t>o</w:t>
      </w:r>
      <w:r w:rsidRPr="004A2990">
        <w:rPr>
          <w:rStyle w:val="Emphasis"/>
          <w:lang w:val="en-US"/>
        </w:rPr>
        <w:t>rigin</w:t>
      </w:r>
      <w:r w:rsidR="002441B3" w:rsidRPr="004A2990">
        <w:rPr>
          <w:rStyle w:val="Emphasis"/>
          <w:lang w:val="en-US"/>
        </w:rPr>
        <w:t xml:space="preserve">. </w:t>
      </w:r>
      <w:r w:rsidR="00805038" w:rsidRPr="004A2990">
        <w:rPr>
          <w:lang w:val="en-US"/>
        </w:rPr>
        <w:t xml:space="preserve">Previous research has noted that attitudes of majority members tend to be more negative towards immigrant groups labelled as ‘devalued’, as compared to those considered ‘valued’ (Montreuil &amp; </w:t>
      </w:r>
      <w:proofErr w:type="spellStart"/>
      <w:r w:rsidR="00805038" w:rsidRPr="004A2990">
        <w:rPr>
          <w:lang w:val="en-US"/>
        </w:rPr>
        <w:t>Bourhis</w:t>
      </w:r>
      <w:proofErr w:type="spellEnd"/>
      <w:r w:rsidR="00805038" w:rsidRPr="004A2990">
        <w:rPr>
          <w:lang w:val="en-US"/>
        </w:rPr>
        <w:t>, 2001). Attitudes also differ towards ‘unauthorized’ compared to ‘authorized’ immigrants (Murray &amp; Marx, 2012). It has also been found that majority individuals differ in attitudes depending on the specific immigrant group in question (López-</w:t>
      </w:r>
      <w:r w:rsidR="00570207">
        <w:rPr>
          <w:lang w:val="en-US"/>
        </w:rPr>
        <w:t>Rodríguez, et al., 2014), with w</w:t>
      </w:r>
      <w:r w:rsidR="00805038" w:rsidRPr="004A2990">
        <w:rPr>
          <w:lang w:val="en-US"/>
        </w:rPr>
        <w:t xml:space="preserve">hite and culturally similar groups being viewed most favorably (Ford, 2010). In light of these findings, the </w:t>
      </w:r>
      <w:r w:rsidR="00805038" w:rsidRPr="004A2990">
        <w:rPr>
          <w:lang w:val="en-US"/>
        </w:rPr>
        <w:lastRenderedPageBreak/>
        <w:t>current work aimed to explore the differential attitudes held by British participants towards individuals migrating to the UK from different countries of origin.</w:t>
      </w:r>
    </w:p>
    <w:p w14:paraId="0A52D60B" w14:textId="3839DD1C" w:rsidR="000A449B" w:rsidRPr="00E148D6" w:rsidRDefault="00805038" w:rsidP="00CF722E">
      <w:pPr>
        <w:pStyle w:val="APABodyText"/>
        <w:spacing w:after="0"/>
        <w:rPr>
          <w:color w:val="auto"/>
          <w:lang w:val="en-US"/>
        </w:rPr>
      </w:pPr>
      <w:r w:rsidRPr="00E148D6">
        <w:rPr>
          <w:rStyle w:val="Emphasis"/>
          <w:color w:val="auto"/>
          <w:lang w:val="en-US"/>
        </w:rPr>
        <w:t>Context of this research</w:t>
      </w:r>
      <w:r w:rsidRPr="00E148D6">
        <w:rPr>
          <w:rStyle w:val="Emphasis"/>
          <w:i w:val="0"/>
          <w:color w:val="auto"/>
          <w:lang w:val="en-US"/>
        </w:rPr>
        <w:t xml:space="preserve">. </w:t>
      </w:r>
      <w:r w:rsidR="00AE0A67" w:rsidRPr="00E148D6">
        <w:rPr>
          <w:rStyle w:val="Emphasis"/>
          <w:i w:val="0"/>
          <w:color w:val="auto"/>
          <w:lang w:val="en-US"/>
        </w:rPr>
        <w:t>Having outlined the theoretical rationale for each of the paths in the hypothesized model, t</w:t>
      </w:r>
      <w:r w:rsidR="004B0118" w:rsidRPr="00E148D6">
        <w:rPr>
          <w:rStyle w:val="Emphasis"/>
          <w:i w:val="0"/>
          <w:color w:val="auto"/>
          <w:lang w:val="en-US"/>
        </w:rPr>
        <w:t>he context in which the research was conducted must be briefly described. Since 1994 there has been greater immigration than emigration</w:t>
      </w:r>
      <w:r w:rsidR="000A449B" w:rsidRPr="00E148D6">
        <w:rPr>
          <w:rStyle w:val="Emphasis"/>
          <w:i w:val="0"/>
          <w:color w:val="auto"/>
          <w:lang w:val="en-US"/>
        </w:rPr>
        <w:t xml:space="preserve"> in Britain</w:t>
      </w:r>
      <w:r w:rsidR="004B0118" w:rsidRPr="00E148D6">
        <w:rPr>
          <w:rStyle w:val="Emphasis"/>
          <w:i w:val="0"/>
          <w:color w:val="auto"/>
          <w:lang w:val="en-US"/>
        </w:rPr>
        <w:t>, with a</w:t>
      </w:r>
      <w:r w:rsidR="00040E22" w:rsidRPr="00E148D6">
        <w:rPr>
          <w:rStyle w:val="Emphasis"/>
          <w:i w:val="0"/>
          <w:color w:val="auto"/>
          <w:lang w:val="en-US"/>
        </w:rPr>
        <w:t>n estimated</w:t>
      </w:r>
      <w:r w:rsidR="004B0118" w:rsidRPr="00E148D6">
        <w:rPr>
          <w:rStyle w:val="Emphasis"/>
          <w:i w:val="0"/>
          <w:color w:val="auto"/>
          <w:lang w:val="en-US"/>
        </w:rPr>
        <w:t xml:space="preserve"> net migration figure of </w:t>
      </w:r>
      <w:r w:rsidR="00040E22" w:rsidRPr="00E148D6">
        <w:rPr>
          <w:rStyle w:val="Emphasis"/>
          <w:i w:val="0"/>
          <w:color w:val="auto"/>
          <w:lang w:val="en-US"/>
        </w:rPr>
        <w:t>240</w:t>
      </w:r>
      <w:r w:rsidR="004B0118" w:rsidRPr="00E148D6">
        <w:rPr>
          <w:rStyle w:val="Emphasis"/>
          <w:i w:val="0"/>
          <w:color w:val="auto"/>
          <w:lang w:val="en-US"/>
        </w:rPr>
        <w:t xml:space="preserve">,000 in </w:t>
      </w:r>
      <w:r w:rsidR="000A449B" w:rsidRPr="00E148D6">
        <w:rPr>
          <w:rStyle w:val="Emphasis"/>
          <w:i w:val="0"/>
          <w:color w:val="auto"/>
          <w:lang w:val="en-US"/>
        </w:rPr>
        <w:t>20</w:t>
      </w:r>
      <w:r w:rsidR="00040E22" w:rsidRPr="00E148D6">
        <w:rPr>
          <w:rStyle w:val="Emphasis"/>
          <w:i w:val="0"/>
          <w:color w:val="auto"/>
          <w:lang w:val="en-US"/>
        </w:rPr>
        <w:t>19</w:t>
      </w:r>
      <w:r w:rsidR="004B0118" w:rsidRPr="00E148D6">
        <w:rPr>
          <w:rStyle w:val="Emphasis"/>
          <w:i w:val="0"/>
          <w:color w:val="auto"/>
          <w:lang w:val="en-US"/>
        </w:rPr>
        <w:t xml:space="preserve"> (O</w:t>
      </w:r>
      <w:r w:rsidR="007F0F97" w:rsidRPr="00E148D6">
        <w:rPr>
          <w:rStyle w:val="Emphasis"/>
          <w:i w:val="0"/>
          <w:color w:val="auto"/>
          <w:lang w:val="en-US"/>
        </w:rPr>
        <w:t xml:space="preserve">ffice for </w:t>
      </w:r>
      <w:r w:rsidR="004B0118" w:rsidRPr="00E148D6">
        <w:rPr>
          <w:rStyle w:val="Emphasis"/>
          <w:i w:val="0"/>
          <w:color w:val="auto"/>
          <w:lang w:val="en-US"/>
        </w:rPr>
        <w:t>N</w:t>
      </w:r>
      <w:r w:rsidR="007F0F97" w:rsidRPr="00E148D6">
        <w:rPr>
          <w:rStyle w:val="Emphasis"/>
          <w:i w:val="0"/>
          <w:color w:val="auto"/>
          <w:lang w:val="en-US"/>
        </w:rPr>
        <w:t xml:space="preserve">ational </w:t>
      </w:r>
      <w:r w:rsidR="004B0118" w:rsidRPr="00E148D6">
        <w:rPr>
          <w:rStyle w:val="Emphasis"/>
          <w:i w:val="0"/>
          <w:color w:val="auto"/>
          <w:lang w:val="en-US"/>
        </w:rPr>
        <w:t>S</w:t>
      </w:r>
      <w:r w:rsidR="007F0F97" w:rsidRPr="00E148D6">
        <w:rPr>
          <w:rStyle w:val="Emphasis"/>
          <w:i w:val="0"/>
          <w:color w:val="auto"/>
          <w:lang w:val="en-US"/>
        </w:rPr>
        <w:t>tatistics, ONS</w:t>
      </w:r>
      <w:r w:rsidR="004B0118" w:rsidRPr="00E148D6">
        <w:rPr>
          <w:rStyle w:val="Emphasis"/>
          <w:i w:val="0"/>
          <w:color w:val="auto"/>
          <w:lang w:val="en-US"/>
        </w:rPr>
        <w:t>, 20</w:t>
      </w:r>
      <w:r w:rsidR="00040E22" w:rsidRPr="00E148D6">
        <w:rPr>
          <w:rStyle w:val="Emphasis"/>
          <w:i w:val="0"/>
          <w:color w:val="auto"/>
          <w:lang w:val="en-US"/>
        </w:rPr>
        <w:t>20</w:t>
      </w:r>
      <w:r w:rsidR="004B0118" w:rsidRPr="00E148D6">
        <w:rPr>
          <w:rStyle w:val="Emphasis"/>
          <w:i w:val="0"/>
          <w:color w:val="auto"/>
          <w:lang w:val="en-US"/>
        </w:rPr>
        <w:t>).</w:t>
      </w:r>
      <w:r w:rsidR="000718E4" w:rsidRPr="00E148D6">
        <w:rPr>
          <w:rStyle w:val="Emphasis"/>
          <w:i w:val="0"/>
          <w:color w:val="auto"/>
          <w:lang w:val="en-US"/>
        </w:rPr>
        <w:t xml:space="preserve"> </w:t>
      </w:r>
      <w:r w:rsidR="002E091E" w:rsidRPr="00E148D6">
        <w:rPr>
          <w:color w:val="auto"/>
          <w:lang w:val="en-US"/>
        </w:rPr>
        <w:t>Foreign-born individuals account for approximately 1</w:t>
      </w:r>
      <w:r w:rsidR="00040E22" w:rsidRPr="00E148D6">
        <w:rPr>
          <w:color w:val="auto"/>
          <w:lang w:val="en-US"/>
        </w:rPr>
        <w:t>4</w:t>
      </w:r>
      <w:r w:rsidR="002E091E" w:rsidRPr="00E148D6">
        <w:rPr>
          <w:color w:val="auto"/>
          <w:lang w:val="en-US"/>
        </w:rPr>
        <w:t xml:space="preserve">% of the UK population, an increase of more than a third from </w:t>
      </w:r>
      <w:r w:rsidR="00040E22" w:rsidRPr="00E148D6">
        <w:rPr>
          <w:color w:val="auto"/>
          <w:lang w:val="en-US"/>
        </w:rPr>
        <w:t>9</w:t>
      </w:r>
      <w:r w:rsidR="002E091E" w:rsidRPr="00E148D6">
        <w:rPr>
          <w:color w:val="auto"/>
          <w:lang w:val="en-US"/>
        </w:rPr>
        <w:t>% in 2004 (</w:t>
      </w:r>
      <w:r w:rsidR="00C67D12" w:rsidRPr="00E148D6">
        <w:rPr>
          <w:color w:val="auto"/>
          <w:lang w:val="en-US"/>
        </w:rPr>
        <w:t xml:space="preserve">Vargas-Silva &amp; </w:t>
      </w:r>
      <w:proofErr w:type="spellStart"/>
      <w:r w:rsidR="00C67D12" w:rsidRPr="00E148D6">
        <w:rPr>
          <w:color w:val="auto"/>
          <w:lang w:val="en-US"/>
        </w:rPr>
        <w:t>Rienzo</w:t>
      </w:r>
      <w:proofErr w:type="spellEnd"/>
      <w:r w:rsidR="00C67D12" w:rsidRPr="00E148D6">
        <w:rPr>
          <w:color w:val="auto"/>
          <w:lang w:val="en-US"/>
        </w:rPr>
        <w:t xml:space="preserve">, 2019). </w:t>
      </w:r>
      <w:r w:rsidR="002E091E" w:rsidRPr="00E148D6">
        <w:rPr>
          <w:color w:val="auto"/>
          <w:lang w:val="en-US"/>
        </w:rPr>
        <w:t xml:space="preserve"> </w:t>
      </w:r>
    </w:p>
    <w:p w14:paraId="2F1951EA" w14:textId="1BB329D9" w:rsidR="002E091E" w:rsidRPr="00E148D6" w:rsidRDefault="00B524ED" w:rsidP="00CF722E">
      <w:pPr>
        <w:pStyle w:val="APABodyText"/>
        <w:spacing w:after="0"/>
        <w:rPr>
          <w:rStyle w:val="Emphasis"/>
          <w:i w:val="0"/>
          <w:color w:val="auto"/>
          <w:lang w:val="en-US"/>
        </w:rPr>
      </w:pPr>
      <w:r w:rsidRPr="00E148D6">
        <w:rPr>
          <w:rStyle w:val="Emphasis"/>
          <w:i w:val="0"/>
          <w:color w:val="auto"/>
          <w:lang w:val="en-US"/>
        </w:rPr>
        <w:t>In 201</w:t>
      </w:r>
      <w:r w:rsidR="00927FEB" w:rsidRPr="00E148D6">
        <w:rPr>
          <w:rStyle w:val="Emphasis"/>
          <w:i w:val="0"/>
          <w:color w:val="auto"/>
          <w:lang w:val="en-US"/>
        </w:rPr>
        <w:t>9</w:t>
      </w:r>
      <w:r w:rsidRPr="00E148D6">
        <w:rPr>
          <w:rStyle w:val="Emphasis"/>
          <w:i w:val="0"/>
          <w:color w:val="auto"/>
          <w:lang w:val="en-US"/>
        </w:rPr>
        <w:t xml:space="preserve">, </w:t>
      </w:r>
      <w:r w:rsidR="00927FEB" w:rsidRPr="00E148D6">
        <w:rPr>
          <w:rStyle w:val="Emphasis"/>
          <w:i w:val="0"/>
          <w:color w:val="auto"/>
          <w:lang w:val="en-US"/>
        </w:rPr>
        <w:t>827</w:t>
      </w:r>
      <w:r w:rsidR="004B0118" w:rsidRPr="00E148D6">
        <w:rPr>
          <w:rStyle w:val="Emphasis"/>
          <w:i w:val="0"/>
          <w:color w:val="auto"/>
          <w:lang w:val="en-US"/>
        </w:rPr>
        <w:t xml:space="preserve">,000 individuals born in Poland </w:t>
      </w:r>
      <w:r w:rsidRPr="00E148D6">
        <w:rPr>
          <w:rStyle w:val="Emphasis"/>
          <w:i w:val="0"/>
          <w:color w:val="auto"/>
          <w:lang w:val="en-US"/>
        </w:rPr>
        <w:t>were living in the UK</w:t>
      </w:r>
      <w:r w:rsidR="002E091E" w:rsidRPr="00E148D6">
        <w:rPr>
          <w:rStyle w:val="Emphasis"/>
          <w:i w:val="0"/>
          <w:color w:val="auto"/>
          <w:lang w:val="en-US"/>
        </w:rPr>
        <w:t>,</w:t>
      </w:r>
      <w:r w:rsidRPr="00E148D6">
        <w:rPr>
          <w:rStyle w:val="Emphasis"/>
          <w:i w:val="0"/>
          <w:color w:val="auto"/>
          <w:lang w:val="en-US"/>
        </w:rPr>
        <w:t xml:space="preserve"> making th</w:t>
      </w:r>
      <w:r w:rsidR="002E091E" w:rsidRPr="00E148D6">
        <w:rPr>
          <w:rStyle w:val="Emphasis"/>
          <w:i w:val="0"/>
          <w:color w:val="auto"/>
          <w:lang w:val="en-US"/>
        </w:rPr>
        <w:t>is group</w:t>
      </w:r>
      <w:r w:rsidRPr="00E148D6">
        <w:rPr>
          <w:rStyle w:val="Emphasis"/>
          <w:i w:val="0"/>
          <w:color w:val="auto"/>
          <w:lang w:val="en-US"/>
        </w:rPr>
        <w:t xml:space="preserve"> the </w:t>
      </w:r>
      <w:r w:rsidR="00123C8B" w:rsidRPr="00E148D6">
        <w:rPr>
          <w:rStyle w:val="Emphasis"/>
          <w:i w:val="0"/>
          <w:color w:val="auto"/>
          <w:lang w:val="en-US"/>
        </w:rPr>
        <w:t>2</w:t>
      </w:r>
      <w:r w:rsidR="00123C8B" w:rsidRPr="00E148D6">
        <w:rPr>
          <w:rStyle w:val="Emphasis"/>
          <w:i w:val="0"/>
          <w:color w:val="auto"/>
          <w:vertAlign w:val="superscript"/>
          <w:lang w:val="en-US"/>
        </w:rPr>
        <w:t>nd</w:t>
      </w:r>
      <w:r w:rsidR="00123C8B" w:rsidRPr="00E148D6">
        <w:rPr>
          <w:rStyle w:val="Emphasis"/>
          <w:i w:val="0"/>
          <w:color w:val="auto"/>
          <w:lang w:val="en-US"/>
        </w:rPr>
        <w:t xml:space="preserve"> largest</w:t>
      </w:r>
      <w:r w:rsidRPr="00E148D6">
        <w:rPr>
          <w:rStyle w:val="Emphasis"/>
          <w:i w:val="0"/>
          <w:color w:val="auto"/>
          <w:lang w:val="en-US"/>
        </w:rPr>
        <w:t xml:space="preserve"> foreign-born population in the UK</w:t>
      </w:r>
      <w:r w:rsidR="00C67D12" w:rsidRPr="00E148D6">
        <w:rPr>
          <w:rStyle w:val="Emphasis"/>
          <w:i w:val="0"/>
          <w:color w:val="auto"/>
          <w:lang w:val="en-US"/>
        </w:rPr>
        <w:t xml:space="preserve"> (ONS, 201</w:t>
      </w:r>
      <w:r w:rsidR="00527A26" w:rsidRPr="00E148D6">
        <w:rPr>
          <w:rStyle w:val="Emphasis"/>
          <w:i w:val="0"/>
          <w:color w:val="auto"/>
          <w:lang w:val="en-US"/>
        </w:rPr>
        <w:t>9</w:t>
      </w:r>
      <w:r w:rsidR="00C67D12" w:rsidRPr="00E148D6">
        <w:rPr>
          <w:rStyle w:val="Emphasis"/>
          <w:i w:val="0"/>
          <w:color w:val="auto"/>
          <w:lang w:val="en-US"/>
        </w:rPr>
        <w:t>)</w:t>
      </w:r>
      <w:r w:rsidRPr="00E148D6">
        <w:rPr>
          <w:rStyle w:val="Emphasis"/>
          <w:i w:val="0"/>
          <w:color w:val="auto"/>
          <w:lang w:val="en-US"/>
        </w:rPr>
        <w:t xml:space="preserve">. </w:t>
      </w:r>
      <w:r w:rsidR="004B0118" w:rsidRPr="00E148D6">
        <w:rPr>
          <w:rStyle w:val="Emphasis"/>
          <w:i w:val="0"/>
          <w:color w:val="auto"/>
          <w:lang w:val="en-US"/>
        </w:rPr>
        <w:t xml:space="preserve">The vast majority of these individuals have arrived in the years since </w:t>
      </w:r>
      <w:r w:rsidR="00A136F4" w:rsidRPr="00E148D6">
        <w:rPr>
          <w:rStyle w:val="Emphasis"/>
          <w:i w:val="0"/>
          <w:color w:val="auto"/>
          <w:lang w:val="en-US"/>
        </w:rPr>
        <w:t xml:space="preserve">Poland </w:t>
      </w:r>
      <w:r w:rsidR="004B0118" w:rsidRPr="00E148D6">
        <w:rPr>
          <w:rStyle w:val="Emphasis"/>
          <w:i w:val="0"/>
          <w:color w:val="auto"/>
          <w:lang w:val="en-US"/>
        </w:rPr>
        <w:t xml:space="preserve">entered the European Union in 2004, allowing the free movement of individuals across EU borders (Vargas-Silva &amp; </w:t>
      </w:r>
      <w:proofErr w:type="spellStart"/>
      <w:r w:rsidR="001342DC" w:rsidRPr="00E148D6">
        <w:rPr>
          <w:rStyle w:val="Emphasis"/>
          <w:i w:val="0"/>
          <w:color w:val="auto"/>
          <w:lang w:val="en-US"/>
        </w:rPr>
        <w:t>Markaki</w:t>
      </w:r>
      <w:proofErr w:type="spellEnd"/>
      <w:r w:rsidR="001342DC" w:rsidRPr="00E148D6">
        <w:rPr>
          <w:rStyle w:val="Emphasis"/>
          <w:i w:val="0"/>
          <w:color w:val="auto"/>
          <w:lang w:val="en-US"/>
        </w:rPr>
        <w:t>, 2016</w:t>
      </w:r>
      <w:r w:rsidR="00422B5E">
        <w:rPr>
          <w:rStyle w:val="Emphasis"/>
          <w:i w:val="0"/>
          <w:color w:val="auto"/>
          <w:lang w:val="en-US"/>
        </w:rPr>
        <w:t xml:space="preserve">; </w:t>
      </w:r>
      <w:r w:rsidR="00422B5E">
        <w:rPr>
          <w:color w:val="auto"/>
        </w:rPr>
        <w:t>Vargas-Silva</w:t>
      </w:r>
      <w:r w:rsidR="00422B5E" w:rsidRPr="00422B5E">
        <w:rPr>
          <w:color w:val="auto"/>
        </w:rPr>
        <w:t xml:space="preserve"> &amp; </w:t>
      </w:r>
      <w:proofErr w:type="spellStart"/>
      <w:r w:rsidR="00422B5E" w:rsidRPr="00422B5E">
        <w:rPr>
          <w:color w:val="auto"/>
        </w:rPr>
        <w:t>Rienzo</w:t>
      </w:r>
      <w:proofErr w:type="spellEnd"/>
      <w:r w:rsidR="00422B5E" w:rsidRPr="00422B5E">
        <w:rPr>
          <w:color w:val="auto"/>
        </w:rPr>
        <w:t>, 2019</w:t>
      </w:r>
      <w:r w:rsidR="004B0118" w:rsidRPr="00E148D6">
        <w:rPr>
          <w:rStyle w:val="Emphasis"/>
          <w:i w:val="0"/>
          <w:color w:val="auto"/>
          <w:lang w:val="en-US"/>
        </w:rPr>
        <w:t>)</w:t>
      </w:r>
      <w:r w:rsidR="002E091E" w:rsidRPr="00E148D6">
        <w:rPr>
          <w:rStyle w:val="Emphasis"/>
          <w:i w:val="0"/>
          <w:color w:val="auto"/>
          <w:lang w:val="en-US"/>
        </w:rPr>
        <w:t>.</w:t>
      </w:r>
      <w:r w:rsidR="004B0118" w:rsidRPr="00E148D6">
        <w:rPr>
          <w:rStyle w:val="Emphasis"/>
          <w:i w:val="0"/>
          <w:color w:val="auto"/>
          <w:lang w:val="en-US"/>
        </w:rPr>
        <w:t xml:space="preserve"> The rate of immigration from Poland </w:t>
      </w:r>
      <w:r w:rsidR="003E7E80" w:rsidRPr="00E148D6">
        <w:rPr>
          <w:rStyle w:val="Emphasis"/>
          <w:i w:val="0"/>
          <w:color w:val="auto"/>
          <w:lang w:val="en-US"/>
        </w:rPr>
        <w:t xml:space="preserve">has until recently </w:t>
      </w:r>
      <w:r w:rsidR="004B0118" w:rsidRPr="00E148D6">
        <w:rPr>
          <w:rStyle w:val="Emphasis"/>
          <w:i w:val="0"/>
          <w:color w:val="auto"/>
          <w:lang w:val="en-US"/>
        </w:rPr>
        <w:t>remain</w:t>
      </w:r>
      <w:r w:rsidR="003E7E80" w:rsidRPr="00E148D6">
        <w:rPr>
          <w:rStyle w:val="Emphasis"/>
          <w:i w:val="0"/>
          <w:color w:val="auto"/>
          <w:lang w:val="en-US"/>
        </w:rPr>
        <w:t>ed</w:t>
      </w:r>
      <w:r w:rsidR="004B0118" w:rsidRPr="00E148D6">
        <w:rPr>
          <w:rStyle w:val="Emphasis"/>
          <w:i w:val="0"/>
          <w:color w:val="auto"/>
          <w:lang w:val="en-US"/>
        </w:rPr>
        <w:t xml:space="preserve"> high, with </w:t>
      </w:r>
      <w:r w:rsidR="00422B5E">
        <w:rPr>
          <w:rStyle w:val="Emphasis"/>
          <w:i w:val="0"/>
          <w:color w:val="auto"/>
          <w:lang w:val="en-US"/>
        </w:rPr>
        <w:t>annual migration to the UK around 30,000 in 2019</w:t>
      </w:r>
      <w:r w:rsidR="003E7E80" w:rsidRPr="00E148D6">
        <w:rPr>
          <w:rStyle w:val="Emphasis"/>
          <w:i w:val="0"/>
          <w:color w:val="auto"/>
          <w:lang w:val="en-US"/>
        </w:rPr>
        <w:t xml:space="preserve">, but has been substantially reduced after the </w:t>
      </w:r>
      <w:proofErr w:type="spellStart"/>
      <w:r w:rsidR="003E7E80" w:rsidRPr="00E148D6">
        <w:rPr>
          <w:rStyle w:val="Emphasis"/>
          <w:i w:val="0"/>
          <w:color w:val="auto"/>
          <w:lang w:val="en-US"/>
        </w:rPr>
        <w:t>Brexit</w:t>
      </w:r>
      <w:proofErr w:type="spellEnd"/>
      <w:r w:rsidR="003E7E80" w:rsidRPr="00E148D6">
        <w:rPr>
          <w:rStyle w:val="Emphasis"/>
          <w:i w:val="0"/>
          <w:color w:val="auto"/>
          <w:lang w:val="en-US"/>
        </w:rPr>
        <w:t xml:space="preserve"> referendum and will be reduced to insignificance with full </w:t>
      </w:r>
      <w:proofErr w:type="spellStart"/>
      <w:r w:rsidR="003E7E80" w:rsidRPr="00E148D6">
        <w:rPr>
          <w:rStyle w:val="Emphasis"/>
          <w:i w:val="0"/>
          <w:color w:val="auto"/>
          <w:lang w:val="en-US"/>
        </w:rPr>
        <w:t>Brexit</w:t>
      </w:r>
      <w:proofErr w:type="spellEnd"/>
      <w:r w:rsidR="003E7E80" w:rsidRPr="00E148D6">
        <w:rPr>
          <w:rStyle w:val="Emphasis"/>
          <w:i w:val="0"/>
          <w:color w:val="auto"/>
          <w:lang w:val="en-US"/>
        </w:rPr>
        <w:t xml:space="preserve"> implementation, when free movement of people comes to an end</w:t>
      </w:r>
      <w:r w:rsidR="00422B5E">
        <w:rPr>
          <w:rStyle w:val="Emphasis"/>
          <w:i w:val="0"/>
          <w:color w:val="auto"/>
          <w:lang w:val="en-US"/>
        </w:rPr>
        <w:t xml:space="preserve"> (ONS, 2016, Department for Work &amp; Pensions, 2019)</w:t>
      </w:r>
      <w:r w:rsidR="004B0118" w:rsidRPr="00E148D6">
        <w:rPr>
          <w:rStyle w:val="Emphasis"/>
          <w:i w:val="0"/>
          <w:color w:val="auto"/>
          <w:lang w:val="en-US"/>
        </w:rPr>
        <w:t xml:space="preserve">. </w:t>
      </w:r>
      <w:r w:rsidR="003E7E80" w:rsidRPr="00E148D6">
        <w:rPr>
          <w:rStyle w:val="Emphasis"/>
          <w:i w:val="0"/>
          <w:color w:val="auto"/>
          <w:lang w:val="en-US"/>
        </w:rPr>
        <w:t>M</w:t>
      </w:r>
      <w:r w:rsidR="000A449B" w:rsidRPr="00E148D6">
        <w:rPr>
          <w:rStyle w:val="Emphasis"/>
          <w:i w:val="0"/>
          <w:color w:val="auto"/>
          <w:lang w:val="en-US"/>
        </w:rPr>
        <w:t xml:space="preserve">any analysts believe that anti-migrant sentiments were one of the driving forces behind the results of the </w:t>
      </w:r>
      <w:proofErr w:type="spellStart"/>
      <w:r w:rsidR="000A449B" w:rsidRPr="00E148D6">
        <w:rPr>
          <w:rStyle w:val="Emphasis"/>
          <w:i w:val="0"/>
          <w:color w:val="auto"/>
          <w:lang w:val="en-US"/>
        </w:rPr>
        <w:t>Brexit</w:t>
      </w:r>
      <w:proofErr w:type="spellEnd"/>
      <w:r w:rsidR="000A449B" w:rsidRPr="00E148D6">
        <w:rPr>
          <w:rStyle w:val="Emphasis"/>
          <w:i w:val="0"/>
          <w:color w:val="auto"/>
          <w:lang w:val="en-US"/>
        </w:rPr>
        <w:t xml:space="preserve"> referendum</w:t>
      </w:r>
      <w:r w:rsidR="00EE0A9A" w:rsidRPr="00E148D6">
        <w:rPr>
          <w:rStyle w:val="Emphasis"/>
          <w:i w:val="0"/>
          <w:color w:val="auto"/>
          <w:lang w:val="en-US"/>
        </w:rPr>
        <w:t xml:space="preserve"> (Goodwin &amp; </w:t>
      </w:r>
      <w:proofErr w:type="spellStart"/>
      <w:r w:rsidR="00EE0A9A" w:rsidRPr="00E148D6">
        <w:rPr>
          <w:rStyle w:val="Emphasis"/>
          <w:i w:val="0"/>
          <w:color w:val="auto"/>
          <w:lang w:val="en-US"/>
        </w:rPr>
        <w:t>Milazzo</w:t>
      </w:r>
      <w:proofErr w:type="spellEnd"/>
      <w:r w:rsidR="00EE0A9A" w:rsidRPr="00E148D6">
        <w:rPr>
          <w:rStyle w:val="Emphasis"/>
          <w:i w:val="0"/>
          <w:color w:val="auto"/>
          <w:lang w:val="en-US"/>
        </w:rPr>
        <w:t>, 2017</w:t>
      </w:r>
      <w:r w:rsidR="000A449B" w:rsidRPr="00E148D6">
        <w:rPr>
          <w:rStyle w:val="Emphasis"/>
          <w:i w:val="0"/>
          <w:color w:val="auto"/>
          <w:lang w:val="en-US"/>
        </w:rPr>
        <w:t xml:space="preserve">). The explosive nature of the political debate around migration to Britain from Eastern Europe renders Poles a prime migrant group for study in this research. </w:t>
      </w:r>
    </w:p>
    <w:p w14:paraId="2EFCBFAD" w14:textId="5E7C3B3B" w:rsidR="002E091E" w:rsidRPr="00E148D6" w:rsidRDefault="002E091E" w:rsidP="00CF722E">
      <w:pPr>
        <w:pStyle w:val="APABodyText"/>
        <w:spacing w:after="0"/>
        <w:rPr>
          <w:rStyle w:val="Emphasis"/>
          <w:i w:val="0"/>
          <w:color w:val="auto"/>
          <w:lang w:val="en-US"/>
        </w:rPr>
      </w:pPr>
      <w:r w:rsidRPr="00E148D6">
        <w:rPr>
          <w:rStyle w:val="Emphasis"/>
          <w:i w:val="0"/>
          <w:color w:val="auto"/>
          <w:lang w:val="en-US"/>
        </w:rPr>
        <w:t xml:space="preserve">Indians also </w:t>
      </w:r>
      <w:r w:rsidR="00420120" w:rsidRPr="00E148D6">
        <w:rPr>
          <w:rStyle w:val="Emphasis"/>
          <w:i w:val="0"/>
          <w:color w:val="auto"/>
          <w:lang w:val="en-US"/>
        </w:rPr>
        <w:t>present a sizeable group in the UK</w:t>
      </w:r>
      <w:r w:rsidR="00E541CE" w:rsidRPr="00E148D6">
        <w:rPr>
          <w:rStyle w:val="Emphasis"/>
          <w:i w:val="0"/>
          <w:color w:val="auto"/>
          <w:lang w:val="en-US"/>
        </w:rPr>
        <w:t xml:space="preserve">. </w:t>
      </w:r>
      <w:r w:rsidR="00E541CE" w:rsidRPr="00E148D6">
        <w:rPr>
          <w:color w:val="auto"/>
          <w:lang w:val="en-US"/>
        </w:rPr>
        <w:t xml:space="preserve">The population of individuals born in India living in the UK showed a dramatic rise during the 1960s, almost doubling between 1961 and 1971 following the British Nationality Act of 1948, granting residency for all Commonwealth citizens (ONS, 2013). Indeed, the most common country of birth for people </w:t>
      </w:r>
      <w:r w:rsidR="00E541CE" w:rsidRPr="00E148D6">
        <w:rPr>
          <w:color w:val="auto"/>
          <w:lang w:val="en-US"/>
        </w:rPr>
        <w:lastRenderedPageBreak/>
        <w:t xml:space="preserve">moving to the UK is India, with </w:t>
      </w:r>
      <w:r w:rsidR="009D18C2" w:rsidRPr="00E148D6">
        <w:rPr>
          <w:color w:val="auto"/>
          <w:lang w:val="en-US"/>
        </w:rPr>
        <w:t>837</w:t>
      </w:r>
      <w:r w:rsidR="00E541CE" w:rsidRPr="00E148D6">
        <w:rPr>
          <w:color w:val="auto"/>
          <w:lang w:val="en-US"/>
        </w:rPr>
        <w:t>,000 individuals who were born in India living in the UK in the year 201</w:t>
      </w:r>
      <w:r w:rsidR="007077B8" w:rsidRPr="00E148D6">
        <w:rPr>
          <w:color w:val="auto"/>
          <w:lang w:val="en-US"/>
        </w:rPr>
        <w:t>9</w:t>
      </w:r>
      <w:r w:rsidR="00E541CE" w:rsidRPr="00E148D6">
        <w:rPr>
          <w:color w:val="auto"/>
          <w:lang w:val="en-US"/>
        </w:rPr>
        <w:t xml:space="preserve"> (</w:t>
      </w:r>
      <w:r w:rsidR="009D18C2" w:rsidRPr="00E148D6">
        <w:rPr>
          <w:color w:val="auto"/>
          <w:lang w:val="en-US"/>
        </w:rPr>
        <w:t>ONS, 2019</w:t>
      </w:r>
      <w:r w:rsidR="00E541CE" w:rsidRPr="00E148D6">
        <w:rPr>
          <w:color w:val="auto"/>
          <w:lang w:val="en-US"/>
        </w:rPr>
        <w:t>), warranting the selection of this group for study.</w:t>
      </w:r>
    </w:p>
    <w:p w14:paraId="55821F28" w14:textId="7D6DAE6A" w:rsidR="004B0118" w:rsidRPr="00E148D6" w:rsidRDefault="004B0118" w:rsidP="00CF722E">
      <w:pPr>
        <w:pStyle w:val="APABodyText"/>
        <w:spacing w:after="0"/>
        <w:rPr>
          <w:rStyle w:val="Emphasis"/>
          <w:color w:val="auto"/>
          <w:lang w:val="en-US"/>
        </w:rPr>
      </w:pPr>
      <w:r w:rsidRPr="00E148D6">
        <w:rPr>
          <w:rStyle w:val="Emphasis"/>
          <w:i w:val="0"/>
          <w:color w:val="auto"/>
          <w:lang w:val="en-US"/>
        </w:rPr>
        <w:t>The third group of migrants to be considered are individuals from Syria</w:t>
      </w:r>
      <w:r w:rsidR="001A4508" w:rsidRPr="00E148D6">
        <w:rPr>
          <w:rStyle w:val="Emphasis"/>
          <w:i w:val="0"/>
          <w:color w:val="auto"/>
          <w:lang w:val="en-US"/>
        </w:rPr>
        <w:t>.</w:t>
      </w:r>
      <w:r w:rsidR="00BC5AC6" w:rsidRPr="00E148D6">
        <w:rPr>
          <w:rStyle w:val="Emphasis"/>
          <w:i w:val="0"/>
          <w:color w:val="auto"/>
          <w:lang w:val="en-US"/>
        </w:rPr>
        <w:t xml:space="preserve"> </w:t>
      </w:r>
      <w:r w:rsidRPr="00E148D6">
        <w:rPr>
          <w:rStyle w:val="Emphasis"/>
          <w:i w:val="0"/>
          <w:color w:val="auto"/>
          <w:lang w:val="en-US"/>
        </w:rPr>
        <w:t xml:space="preserve">In the year ending </w:t>
      </w:r>
      <w:r w:rsidR="004731D6" w:rsidRPr="00E148D6">
        <w:rPr>
          <w:rStyle w:val="Emphasis"/>
          <w:i w:val="0"/>
          <w:color w:val="auto"/>
          <w:lang w:val="en-US"/>
        </w:rPr>
        <w:t>December 2019</w:t>
      </w:r>
      <w:r w:rsidRPr="00E148D6">
        <w:rPr>
          <w:rStyle w:val="Emphasis"/>
          <w:i w:val="0"/>
          <w:color w:val="auto"/>
          <w:lang w:val="en-US"/>
        </w:rPr>
        <w:t xml:space="preserve">, </w:t>
      </w:r>
      <w:r w:rsidR="002E7AAC" w:rsidRPr="00E148D6">
        <w:rPr>
          <w:rStyle w:val="Emphasis"/>
          <w:i w:val="0"/>
          <w:color w:val="auto"/>
          <w:lang w:val="en-US"/>
        </w:rPr>
        <w:t>7</w:t>
      </w:r>
      <w:r w:rsidR="004731D6" w:rsidRPr="00E148D6">
        <w:rPr>
          <w:rStyle w:val="Emphasis"/>
          <w:i w:val="0"/>
          <w:color w:val="auto"/>
          <w:lang w:val="en-US"/>
        </w:rPr>
        <w:t>11</w:t>
      </w:r>
      <w:r w:rsidRPr="00E148D6">
        <w:rPr>
          <w:rStyle w:val="Emphasis"/>
          <w:i w:val="0"/>
          <w:color w:val="auto"/>
          <w:lang w:val="en-US"/>
        </w:rPr>
        <w:t xml:space="preserve"> Syrian individuals were given asylum in the UK, and </w:t>
      </w:r>
      <w:r w:rsidR="002E7AAC" w:rsidRPr="00E148D6">
        <w:rPr>
          <w:rStyle w:val="Emphasis"/>
          <w:i w:val="0"/>
          <w:color w:val="auto"/>
          <w:lang w:val="en-US"/>
        </w:rPr>
        <w:t>434</w:t>
      </w:r>
      <w:r w:rsidR="004731D6" w:rsidRPr="00E148D6">
        <w:rPr>
          <w:rStyle w:val="Emphasis"/>
          <w:i w:val="0"/>
          <w:color w:val="auto"/>
          <w:lang w:val="en-US"/>
        </w:rPr>
        <w:t>0</w:t>
      </w:r>
      <w:r w:rsidRPr="00E148D6">
        <w:rPr>
          <w:rStyle w:val="Emphasis"/>
          <w:i w:val="0"/>
          <w:color w:val="auto"/>
          <w:lang w:val="en-US"/>
        </w:rPr>
        <w:t xml:space="preserve"> were offered resettlement under the Syrian Vulnerable Person Resettlement Scheme (</w:t>
      </w:r>
      <w:r w:rsidR="004731D6" w:rsidRPr="00E148D6">
        <w:rPr>
          <w:rStyle w:val="Emphasis"/>
          <w:i w:val="0"/>
          <w:color w:val="auto"/>
          <w:lang w:val="en-US"/>
        </w:rPr>
        <w:t>Home Office, 2019</w:t>
      </w:r>
      <w:r w:rsidRPr="00E148D6">
        <w:rPr>
          <w:rStyle w:val="Emphasis"/>
          <w:i w:val="0"/>
          <w:color w:val="auto"/>
          <w:lang w:val="en-US"/>
        </w:rPr>
        <w:t>). This scheme was established in 2014, but considerably broadened in September 2015, at which point the UK government committed to resettle 20,000 Syrian refugees in the UK (Home Office, 2015). Although populations of Syrian individuals in the UK are currently low, the extensive media coverage of the ‘migrant crisis’ in Europe warrant</w:t>
      </w:r>
      <w:r w:rsidR="000A449B" w:rsidRPr="00E148D6">
        <w:rPr>
          <w:rStyle w:val="Emphasis"/>
          <w:i w:val="0"/>
          <w:color w:val="auto"/>
          <w:lang w:val="en-US"/>
        </w:rPr>
        <w:t>s</w:t>
      </w:r>
      <w:r w:rsidRPr="00E148D6">
        <w:rPr>
          <w:rStyle w:val="Emphasis"/>
          <w:i w:val="0"/>
          <w:color w:val="auto"/>
          <w:lang w:val="en-US"/>
        </w:rPr>
        <w:t xml:space="preserve"> the study of attitudes towards this group.</w:t>
      </w:r>
      <w:r w:rsidRPr="00E148D6">
        <w:rPr>
          <w:rStyle w:val="Emphasis"/>
          <w:color w:val="auto"/>
          <w:lang w:val="en-US"/>
        </w:rPr>
        <w:t xml:space="preserve"> </w:t>
      </w:r>
    </w:p>
    <w:p w14:paraId="1B50B352" w14:textId="74A4BD38" w:rsidR="0017034C" w:rsidRPr="004A2990" w:rsidRDefault="00E4661B" w:rsidP="00B04114">
      <w:pPr>
        <w:pStyle w:val="APABodyText"/>
        <w:spacing w:after="0"/>
        <w:rPr>
          <w:lang w:val="en-US"/>
        </w:rPr>
      </w:pPr>
      <w:r w:rsidRPr="004A2990">
        <w:rPr>
          <w:lang w:val="en-US"/>
        </w:rPr>
        <w:t xml:space="preserve">Predictions were tested in </w:t>
      </w:r>
      <w:r w:rsidR="005F6EAD">
        <w:rPr>
          <w:lang w:val="en-US"/>
        </w:rPr>
        <w:t>two</w:t>
      </w:r>
      <w:r w:rsidR="00B524ED" w:rsidRPr="004A2990">
        <w:rPr>
          <w:lang w:val="en-US"/>
        </w:rPr>
        <w:t xml:space="preserve"> studies. St</w:t>
      </w:r>
      <w:r w:rsidRPr="004A2990">
        <w:rPr>
          <w:lang w:val="en-US"/>
        </w:rPr>
        <w:t xml:space="preserve">udy 1 </w:t>
      </w:r>
      <w:r w:rsidR="00B524ED" w:rsidRPr="004A2990">
        <w:rPr>
          <w:lang w:val="en-US"/>
        </w:rPr>
        <w:t>was</w:t>
      </w:r>
      <w:r w:rsidRPr="004A2990">
        <w:rPr>
          <w:lang w:val="en-US"/>
        </w:rPr>
        <w:t xml:space="preserve"> </w:t>
      </w:r>
      <w:r w:rsidR="00EC6F95" w:rsidRPr="004A2990">
        <w:rPr>
          <w:lang w:val="en-US"/>
        </w:rPr>
        <w:t xml:space="preserve">a questionnaire </w:t>
      </w:r>
      <w:r w:rsidR="005F6EAD">
        <w:rPr>
          <w:lang w:val="en-US"/>
        </w:rPr>
        <w:t xml:space="preserve">study </w:t>
      </w:r>
      <w:r w:rsidR="00EC6F95" w:rsidRPr="004A2990">
        <w:rPr>
          <w:lang w:val="en-US"/>
        </w:rPr>
        <w:t>eliciting responses to Indians, Poles and Syrians</w:t>
      </w:r>
      <w:r w:rsidR="00805038" w:rsidRPr="004A2990">
        <w:rPr>
          <w:lang w:val="en-US"/>
        </w:rPr>
        <w:t>,</w:t>
      </w:r>
      <w:r w:rsidR="00EC6F95" w:rsidRPr="004A2990">
        <w:rPr>
          <w:lang w:val="en-US"/>
        </w:rPr>
        <w:t xml:space="preserve"> </w:t>
      </w:r>
      <w:r w:rsidR="005F6EAD">
        <w:rPr>
          <w:lang w:val="en-US"/>
        </w:rPr>
        <w:t xml:space="preserve">to test the model displayed in Figure 1. </w:t>
      </w:r>
      <w:r w:rsidR="00420120" w:rsidRPr="004A2990">
        <w:rPr>
          <w:lang w:val="en-US"/>
        </w:rPr>
        <w:t>S</w:t>
      </w:r>
      <w:r w:rsidR="00B524ED" w:rsidRPr="004A2990">
        <w:rPr>
          <w:lang w:val="en-US"/>
        </w:rPr>
        <w:t xml:space="preserve">tudy </w:t>
      </w:r>
      <w:r w:rsidR="005F6EAD">
        <w:rPr>
          <w:lang w:val="en-US"/>
        </w:rPr>
        <w:t>2</w:t>
      </w:r>
      <w:r w:rsidR="00B524ED" w:rsidRPr="004A2990">
        <w:rPr>
          <w:lang w:val="en-US"/>
        </w:rPr>
        <w:t xml:space="preserve"> was </w:t>
      </w:r>
      <w:r w:rsidRPr="004A2990">
        <w:rPr>
          <w:lang w:val="en-US"/>
        </w:rPr>
        <w:t>an experiment in which similarity and threat were manipulated in relation to a fictitious immigrant group</w:t>
      </w:r>
      <w:r w:rsidR="005F6EAD">
        <w:rPr>
          <w:lang w:val="en-US"/>
        </w:rPr>
        <w:t>, to get a better handle on the causal direction of observed processes in a more controlled setting</w:t>
      </w:r>
      <w:r w:rsidRPr="004A2990">
        <w:rPr>
          <w:lang w:val="en-US"/>
        </w:rPr>
        <w:t xml:space="preserve">. </w:t>
      </w:r>
    </w:p>
    <w:p w14:paraId="3B3FFB10" w14:textId="0503B083" w:rsidR="00E17767" w:rsidRPr="004A2990" w:rsidRDefault="00B04114" w:rsidP="0017034C">
      <w:pPr>
        <w:pStyle w:val="APABodyText"/>
        <w:spacing w:after="0"/>
        <w:ind w:firstLine="0"/>
        <w:jc w:val="center"/>
        <w:rPr>
          <w:lang w:val="en-US"/>
        </w:rPr>
      </w:pPr>
      <w:r>
        <w:rPr>
          <w:lang w:val="en-US"/>
        </w:rPr>
        <w:t>Study 1</w:t>
      </w:r>
    </w:p>
    <w:p w14:paraId="23B5180D" w14:textId="77777777" w:rsidR="00D12A42" w:rsidRPr="004A2990" w:rsidRDefault="00D12A42" w:rsidP="007C0D19">
      <w:pPr>
        <w:pStyle w:val="APABodyText"/>
        <w:spacing w:after="0"/>
        <w:ind w:firstLine="0"/>
        <w:jc w:val="center"/>
        <w:rPr>
          <w:lang w:val="en-US"/>
        </w:rPr>
      </w:pPr>
      <w:r w:rsidRPr="004A2990">
        <w:rPr>
          <w:lang w:val="en-US"/>
        </w:rPr>
        <w:t>Method</w:t>
      </w:r>
    </w:p>
    <w:p w14:paraId="605080EF" w14:textId="75687679" w:rsidR="00D23250" w:rsidRPr="004A2990" w:rsidRDefault="00D23250" w:rsidP="007C0D19">
      <w:pPr>
        <w:pStyle w:val="APABodyText"/>
        <w:spacing w:after="0"/>
        <w:ind w:firstLine="0"/>
        <w:rPr>
          <w:i/>
          <w:lang w:val="en-US"/>
        </w:rPr>
      </w:pPr>
      <w:r w:rsidRPr="004A2990">
        <w:rPr>
          <w:i/>
          <w:lang w:val="en-US"/>
        </w:rPr>
        <w:t>Participants</w:t>
      </w:r>
    </w:p>
    <w:p w14:paraId="6FC8BA95" w14:textId="6ED2F94E" w:rsidR="000605A9" w:rsidRPr="004A2990" w:rsidRDefault="000605A9" w:rsidP="000605A9">
      <w:pPr>
        <w:spacing w:line="480" w:lineRule="auto"/>
        <w:ind w:firstLine="720"/>
        <w:rPr>
          <w:rFonts w:ascii="Times New Roman" w:eastAsiaTheme="minorHAnsi" w:hAnsi="Times New Roman"/>
          <w:color w:val="auto"/>
        </w:rPr>
      </w:pPr>
      <w:r w:rsidRPr="004A2990">
        <w:rPr>
          <w:rFonts w:ascii="Times New Roman" w:hAnsi="Times New Roman"/>
          <w:lang w:val="en-US"/>
        </w:rPr>
        <w:t>136</w:t>
      </w:r>
      <w:r w:rsidR="00717E8F" w:rsidRPr="004A2990">
        <w:rPr>
          <w:rFonts w:ascii="Times New Roman" w:hAnsi="Times New Roman"/>
          <w:lang w:val="en-US"/>
        </w:rPr>
        <w:t xml:space="preserve"> Bri</w:t>
      </w:r>
      <w:r w:rsidR="004B0118" w:rsidRPr="004A2990">
        <w:rPr>
          <w:rFonts w:ascii="Times New Roman" w:hAnsi="Times New Roman"/>
          <w:lang w:val="en-US"/>
        </w:rPr>
        <w:t>tish citizens</w:t>
      </w:r>
      <w:r w:rsidR="00010E8C" w:rsidRPr="004A2990">
        <w:rPr>
          <w:rFonts w:ascii="Times New Roman" w:hAnsi="Times New Roman"/>
          <w:lang w:val="en-US"/>
        </w:rPr>
        <w:t xml:space="preserve"> </w:t>
      </w:r>
      <w:r w:rsidRPr="004A2990">
        <w:rPr>
          <w:rFonts w:ascii="Times New Roman" w:hAnsi="Times New Roman"/>
          <w:lang w:val="en-US"/>
        </w:rPr>
        <w:t>(99</w:t>
      </w:r>
      <w:r w:rsidR="00010E8C" w:rsidRPr="004A2990">
        <w:rPr>
          <w:rFonts w:ascii="Times New Roman" w:hAnsi="Times New Roman"/>
          <w:lang w:val="en-US"/>
        </w:rPr>
        <w:t xml:space="preserve"> female</w:t>
      </w:r>
      <w:r w:rsidR="00D042EC" w:rsidRPr="004A2990">
        <w:rPr>
          <w:rFonts w:ascii="Times New Roman" w:hAnsi="Times New Roman"/>
          <w:lang w:val="en-US"/>
        </w:rPr>
        <w:t>s</w:t>
      </w:r>
      <w:r w:rsidR="00010E8C" w:rsidRPr="004A2990">
        <w:rPr>
          <w:rFonts w:ascii="Times New Roman" w:hAnsi="Times New Roman"/>
          <w:lang w:val="en-US"/>
        </w:rPr>
        <w:t>)</w:t>
      </w:r>
      <w:r w:rsidR="00D042EC" w:rsidRPr="004A2990">
        <w:rPr>
          <w:rFonts w:ascii="Times New Roman" w:hAnsi="Times New Roman"/>
          <w:lang w:val="en-US"/>
        </w:rPr>
        <w:t xml:space="preserve"> participated in the study</w:t>
      </w:r>
      <w:r w:rsidR="004B0118" w:rsidRPr="004A2990">
        <w:rPr>
          <w:rFonts w:ascii="Times New Roman" w:hAnsi="Times New Roman"/>
          <w:lang w:val="en-US"/>
        </w:rPr>
        <w:t>.</w:t>
      </w:r>
      <w:r w:rsidR="009F2AD6" w:rsidRPr="004A2990">
        <w:rPr>
          <w:rFonts w:ascii="Times New Roman" w:hAnsi="Times New Roman"/>
          <w:lang w:val="en-US"/>
        </w:rPr>
        <w:t xml:space="preserve"> </w:t>
      </w:r>
      <w:r w:rsidR="004B0118" w:rsidRPr="004A2990">
        <w:rPr>
          <w:rFonts w:ascii="Times New Roman" w:hAnsi="Times New Roman"/>
          <w:lang w:val="en-US"/>
        </w:rPr>
        <w:t>A decision was made to recruit 150 participants prior to the start of the study</w:t>
      </w:r>
      <w:r w:rsidR="00D042EC" w:rsidRPr="004A2990">
        <w:rPr>
          <w:rFonts w:ascii="Times New Roman" w:hAnsi="Times New Roman"/>
          <w:lang w:val="en-US"/>
        </w:rPr>
        <w:t xml:space="preserve">, </w:t>
      </w:r>
      <w:r w:rsidR="00CA2339">
        <w:rPr>
          <w:rFonts w:ascii="Times New Roman" w:hAnsi="Times New Roman"/>
          <w:lang w:val="en-US"/>
        </w:rPr>
        <w:t xml:space="preserve">given that this sample size has been found sufficient to detect small to medium sized effects in prior research on similar topics </w:t>
      </w:r>
      <w:r w:rsidR="008C00CB">
        <w:rPr>
          <w:rFonts w:ascii="Times New Roman" w:hAnsi="Times New Roman"/>
          <w:lang w:val="en-US"/>
        </w:rPr>
        <w:t>(Tip et al., 2012). A</w:t>
      </w:r>
      <w:r w:rsidR="00D042EC" w:rsidRPr="004A2990">
        <w:rPr>
          <w:rFonts w:ascii="Times New Roman" w:hAnsi="Times New Roman"/>
          <w:lang w:val="en-US"/>
        </w:rPr>
        <w:t xml:space="preserve"> few of the participants had to be excluded on the grounds that they indicated that they were not British citizens</w:t>
      </w:r>
      <w:r w:rsidR="004B0118" w:rsidRPr="004A2990">
        <w:rPr>
          <w:rFonts w:ascii="Times New Roman" w:hAnsi="Times New Roman"/>
          <w:lang w:val="en-US"/>
        </w:rPr>
        <w:t xml:space="preserve">. </w:t>
      </w:r>
      <w:r w:rsidR="00D042EC" w:rsidRPr="004A2990">
        <w:rPr>
          <w:rFonts w:ascii="Times New Roman" w:hAnsi="Times New Roman"/>
        </w:rPr>
        <w:t>A small number of participants who might have been Polish, Indian, or Syrian (e.g. those who indicated their ethnicity as simply ‘Asian’</w:t>
      </w:r>
      <w:r w:rsidR="00A136F4">
        <w:rPr>
          <w:rFonts w:ascii="Times New Roman" w:hAnsi="Times New Roman"/>
        </w:rPr>
        <w:t xml:space="preserve"> or </w:t>
      </w:r>
      <w:r w:rsidR="00A136F4">
        <w:rPr>
          <w:rFonts w:ascii="Times New Roman" w:hAnsi="Times New Roman"/>
        </w:rPr>
        <w:lastRenderedPageBreak/>
        <w:t>‘Eastern European’</w:t>
      </w:r>
      <w:r w:rsidR="00D042EC" w:rsidRPr="004A2990">
        <w:rPr>
          <w:rFonts w:ascii="Times New Roman" w:hAnsi="Times New Roman"/>
        </w:rPr>
        <w:t xml:space="preserve">) were excluded from the analyses, to ascertain that measures would truly tap into intergroup attitudes. </w:t>
      </w:r>
      <w:r w:rsidRPr="004A2990">
        <w:rPr>
          <w:rFonts w:ascii="Times New Roman" w:hAnsi="Times New Roman"/>
        </w:rPr>
        <w:t>Participants ranged in age from 18-76 years (</w:t>
      </w:r>
      <w:r w:rsidRPr="004A2990">
        <w:rPr>
          <w:rFonts w:ascii="Times New Roman" w:hAnsi="Times New Roman"/>
          <w:i/>
        </w:rPr>
        <w:t>M</w:t>
      </w:r>
      <w:r w:rsidRPr="004A2990">
        <w:rPr>
          <w:rFonts w:ascii="Times New Roman" w:hAnsi="Times New Roman"/>
        </w:rPr>
        <w:t xml:space="preserve"> = 32.57, </w:t>
      </w:r>
      <w:r w:rsidR="00A136F4">
        <w:rPr>
          <w:rFonts w:ascii="Times New Roman" w:hAnsi="Times New Roman"/>
          <w:i/>
        </w:rPr>
        <w:t>SD</w:t>
      </w:r>
      <w:r w:rsidRPr="004A2990">
        <w:rPr>
          <w:rFonts w:ascii="Times New Roman" w:hAnsi="Times New Roman"/>
        </w:rPr>
        <w:t xml:space="preserve"> = 15.87) and were recruited via the sharing of a web link to the questionnaire on social media channels</w:t>
      </w:r>
      <w:r w:rsidR="00D042EC" w:rsidRPr="004A2990">
        <w:rPr>
          <w:rFonts w:ascii="Times New Roman" w:hAnsi="Times New Roman"/>
        </w:rPr>
        <w:t xml:space="preserve"> (i.e., the link was disseminated to contacts via Facebook and </w:t>
      </w:r>
      <w:r w:rsidR="00445BB6">
        <w:rPr>
          <w:rFonts w:ascii="Times New Roman" w:hAnsi="Times New Roman"/>
        </w:rPr>
        <w:t>T</w:t>
      </w:r>
      <w:r w:rsidR="00D042EC" w:rsidRPr="004A2990">
        <w:rPr>
          <w:rFonts w:ascii="Times New Roman" w:hAnsi="Times New Roman"/>
        </w:rPr>
        <w:t>witter, with a request to send it on to others)</w:t>
      </w:r>
      <w:r w:rsidRPr="004A2990">
        <w:rPr>
          <w:rFonts w:ascii="Times New Roman" w:hAnsi="Times New Roman"/>
        </w:rPr>
        <w:t xml:space="preserve">. </w:t>
      </w:r>
    </w:p>
    <w:p w14:paraId="7D1CEAF7" w14:textId="77777777" w:rsidR="00A353DE" w:rsidRPr="004A2990" w:rsidRDefault="00A353DE" w:rsidP="00A353DE">
      <w:pPr>
        <w:pStyle w:val="APABodyText"/>
        <w:spacing w:after="0"/>
        <w:ind w:firstLine="0"/>
        <w:rPr>
          <w:i/>
          <w:lang w:val="en-US"/>
        </w:rPr>
      </w:pPr>
      <w:r w:rsidRPr="004A2990">
        <w:rPr>
          <w:i/>
          <w:lang w:val="en-US"/>
        </w:rPr>
        <w:t>Design</w:t>
      </w:r>
    </w:p>
    <w:p w14:paraId="2DC122B2" w14:textId="03DD0FBA" w:rsidR="00A353DE" w:rsidRPr="004A2990" w:rsidRDefault="00A353DE" w:rsidP="00A353DE">
      <w:pPr>
        <w:pStyle w:val="APABodyText"/>
        <w:spacing w:after="0"/>
        <w:ind w:firstLine="567"/>
        <w:rPr>
          <w:i/>
          <w:lang w:val="en-US"/>
        </w:rPr>
      </w:pPr>
      <w:r w:rsidRPr="004A2990">
        <w:rPr>
          <w:lang w:val="en-US"/>
        </w:rPr>
        <w:t>All participants completed questions regarding each of the three target groups, with the order of group presentation randomized across participants. Thus, ‘country of origin’ was a within participants factor.</w:t>
      </w:r>
    </w:p>
    <w:p w14:paraId="604B0D32" w14:textId="4799059D" w:rsidR="00E005CC" w:rsidRDefault="00E005CC" w:rsidP="00E005CC">
      <w:pPr>
        <w:pStyle w:val="APABodyText"/>
        <w:spacing w:after="0"/>
        <w:ind w:firstLine="0"/>
        <w:rPr>
          <w:i/>
          <w:lang w:val="en-US"/>
        </w:rPr>
      </w:pPr>
      <w:r w:rsidRPr="00E005CC">
        <w:rPr>
          <w:i/>
          <w:lang w:val="en-US"/>
        </w:rPr>
        <w:t xml:space="preserve">Variables and Instruments </w:t>
      </w:r>
    </w:p>
    <w:p w14:paraId="7586AD42" w14:textId="3ABF8481" w:rsidR="00D23250" w:rsidRPr="004A2990" w:rsidRDefault="00717E8F" w:rsidP="000938D1">
      <w:pPr>
        <w:pStyle w:val="APABodyText"/>
        <w:spacing w:after="0"/>
        <w:ind w:firstLine="567"/>
        <w:rPr>
          <w:lang w:val="en-US"/>
        </w:rPr>
      </w:pPr>
      <w:r w:rsidRPr="004A2990">
        <w:rPr>
          <w:lang w:val="en-US"/>
        </w:rPr>
        <w:t>Data was collected via an online questionnaire</w:t>
      </w:r>
      <w:r w:rsidR="00E44440" w:rsidRPr="004A2990">
        <w:rPr>
          <w:lang w:val="en-US"/>
        </w:rPr>
        <w:t>.</w:t>
      </w:r>
      <w:r w:rsidRPr="004A2990">
        <w:rPr>
          <w:lang w:val="en-US"/>
        </w:rPr>
        <w:t xml:space="preserve"> The first section of the questionnaire </w:t>
      </w:r>
      <w:r w:rsidR="00D042EC" w:rsidRPr="004A2990">
        <w:rPr>
          <w:lang w:val="en-US"/>
        </w:rPr>
        <w:t>asked about</w:t>
      </w:r>
      <w:r w:rsidRPr="004A2990">
        <w:rPr>
          <w:lang w:val="en-US"/>
        </w:rPr>
        <w:t xml:space="preserve"> demographic </w:t>
      </w:r>
      <w:r w:rsidR="00D042EC" w:rsidRPr="004A2990">
        <w:rPr>
          <w:lang w:val="en-US"/>
        </w:rPr>
        <w:t>characteristics</w:t>
      </w:r>
      <w:r w:rsidRPr="004A2990">
        <w:rPr>
          <w:lang w:val="en-US"/>
        </w:rPr>
        <w:t xml:space="preserve"> (nationality, age, gender, </w:t>
      </w:r>
      <w:r w:rsidR="00FF5F79" w:rsidRPr="004A2990">
        <w:rPr>
          <w:lang w:val="en-US"/>
        </w:rPr>
        <w:t>and ethnicity</w:t>
      </w:r>
      <w:r w:rsidRPr="004A2990">
        <w:rPr>
          <w:lang w:val="en-US"/>
        </w:rPr>
        <w:t xml:space="preserve">). </w:t>
      </w:r>
    </w:p>
    <w:p w14:paraId="4AB1A534" w14:textId="2E0B13CC" w:rsidR="007A09B6" w:rsidRPr="004A2990" w:rsidRDefault="00F771A3" w:rsidP="00C26002">
      <w:pPr>
        <w:spacing w:line="480" w:lineRule="auto"/>
        <w:ind w:firstLine="567"/>
        <w:jc w:val="both"/>
        <w:rPr>
          <w:rFonts w:ascii="Times New Roman" w:hAnsi="Times New Roman"/>
          <w:lang w:val="en-US"/>
        </w:rPr>
      </w:pPr>
      <w:r>
        <w:rPr>
          <w:rFonts w:ascii="Times New Roman" w:hAnsi="Times New Roman"/>
          <w:i/>
          <w:lang w:val="en-US"/>
        </w:rPr>
        <w:t>S</w:t>
      </w:r>
      <w:r w:rsidR="007A09B6" w:rsidRPr="004A2990">
        <w:rPr>
          <w:rFonts w:ascii="Times New Roman" w:hAnsi="Times New Roman"/>
          <w:i/>
          <w:lang w:val="en-US"/>
        </w:rPr>
        <w:t>imilarity</w:t>
      </w:r>
      <w:r w:rsidR="00E44440" w:rsidRPr="004A2990">
        <w:rPr>
          <w:rFonts w:ascii="Times New Roman" w:hAnsi="Times New Roman"/>
          <w:i/>
          <w:lang w:val="en-US"/>
        </w:rPr>
        <w:t xml:space="preserve">. </w:t>
      </w:r>
      <w:r w:rsidR="007A09B6" w:rsidRPr="004A2990">
        <w:rPr>
          <w:rFonts w:ascii="Times New Roman" w:hAnsi="Times New Roman"/>
          <w:lang w:val="en-US"/>
        </w:rPr>
        <w:t>T</w:t>
      </w:r>
      <w:r w:rsidR="00E44440" w:rsidRPr="004A2990">
        <w:rPr>
          <w:rFonts w:ascii="Times New Roman" w:hAnsi="Times New Roman"/>
          <w:lang w:val="en-US"/>
        </w:rPr>
        <w:t>o measure</w:t>
      </w:r>
      <w:r w:rsidR="007A09B6" w:rsidRPr="004A2990">
        <w:rPr>
          <w:rFonts w:ascii="Times New Roman" w:hAnsi="Times New Roman"/>
          <w:lang w:val="en-US"/>
        </w:rPr>
        <w:t xml:space="preserve"> perceived cultural similarity</w:t>
      </w:r>
      <w:r w:rsidR="00E44440" w:rsidRPr="004A2990">
        <w:rPr>
          <w:rFonts w:ascii="Times New Roman" w:hAnsi="Times New Roman"/>
          <w:lang w:val="en-US"/>
        </w:rPr>
        <w:t>,</w:t>
      </w:r>
      <w:r w:rsidR="007A09B6" w:rsidRPr="004A2990">
        <w:rPr>
          <w:rFonts w:ascii="Times New Roman" w:hAnsi="Times New Roman"/>
          <w:lang w:val="en-US"/>
        </w:rPr>
        <w:t xml:space="preserve"> </w:t>
      </w:r>
      <w:r w:rsidR="00E44440" w:rsidRPr="004A2990">
        <w:rPr>
          <w:rFonts w:ascii="Times New Roman" w:hAnsi="Times New Roman"/>
          <w:lang w:val="en-US"/>
        </w:rPr>
        <w:t>p</w:t>
      </w:r>
      <w:r w:rsidR="007A09B6" w:rsidRPr="004A2990">
        <w:rPr>
          <w:rFonts w:ascii="Times New Roman" w:hAnsi="Times New Roman"/>
          <w:lang w:val="en-US"/>
        </w:rPr>
        <w:t>articipants were asked to indicate the degree to which they felt the culture of the target group was similar to British culture. Responses were given on a 7-point Likert scale ranging from ‘</w:t>
      </w:r>
      <w:r w:rsidR="000C7322">
        <w:rPr>
          <w:rFonts w:ascii="Times New Roman" w:hAnsi="Times New Roman"/>
          <w:i/>
          <w:lang w:val="en-US"/>
        </w:rPr>
        <w:t>n</w:t>
      </w:r>
      <w:r w:rsidR="007A09B6" w:rsidRPr="001E42B6">
        <w:rPr>
          <w:rFonts w:ascii="Times New Roman" w:hAnsi="Times New Roman"/>
          <w:i/>
          <w:lang w:val="en-US"/>
        </w:rPr>
        <w:t>ot at all similar</w:t>
      </w:r>
      <w:r w:rsidR="007A09B6" w:rsidRPr="004A2990">
        <w:rPr>
          <w:rFonts w:ascii="Times New Roman" w:hAnsi="Times New Roman"/>
          <w:lang w:val="en-US"/>
        </w:rPr>
        <w:t>’ to ‘</w:t>
      </w:r>
      <w:r w:rsidR="000C7322">
        <w:rPr>
          <w:rFonts w:ascii="Times New Roman" w:hAnsi="Times New Roman"/>
          <w:i/>
          <w:lang w:val="en-US"/>
        </w:rPr>
        <w:t>e</w:t>
      </w:r>
      <w:r w:rsidR="007A09B6" w:rsidRPr="001E42B6">
        <w:rPr>
          <w:rFonts w:ascii="Times New Roman" w:hAnsi="Times New Roman"/>
          <w:i/>
          <w:lang w:val="en-US"/>
        </w:rPr>
        <w:t>xtremely similar</w:t>
      </w:r>
      <w:r w:rsidR="007A09B6" w:rsidRPr="004A2990">
        <w:rPr>
          <w:rFonts w:ascii="Times New Roman" w:hAnsi="Times New Roman"/>
          <w:lang w:val="en-US"/>
        </w:rPr>
        <w:t xml:space="preserve">’. </w:t>
      </w:r>
    </w:p>
    <w:p w14:paraId="02CE1D03" w14:textId="3B1882C3" w:rsidR="000F5F6B" w:rsidRPr="004A2990" w:rsidRDefault="007A09B6" w:rsidP="00C26002">
      <w:pPr>
        <w:spacing w:line="480" w:lineRule="auto"/>
        <w:ind w:firstLine="567"/>
        <w:jc w:val="both"/>
        <w:rPr>
          <w:rFonts w:ascii="Times New Roman" w:eastAsia="Times New Roman" w:hAnsi="Times New Roman"/>
          <w:color w:val="252525"/>
          <w:shd w:val="clear" w:color="auto" w:fill="F9F9F9"/>
          <w:lang w:val="en-US"/>
        </w:rPr>
      </w:pPr>
      <w:r w:rsidRPr="004A2990">
        <w:rPr>
          <w:rFonts w:ascii="Times New Roman" w:hAnsi="Times New Roman"/>
          <w:i/>
          <w:lang w:val="en-US"/>
        </w:rPr>
        <w:t xml:space="preserve">Intergroup </w:t>
      </w:r>
      <w:r w:rsidR="00D042EC" w:rsidRPr="004A2990">
        <w:rPr>
          <w:rFonts w:ascii="Times New Roman" w:hAnsi="Times New Roman"/>
          <w:i/>
          <w:lang w:val="en-US"/>
        </w:rPr>
        <w:t>t</w:t>
      </w:r>
      <w:r w:rsidRPr="004A2990">
        <w:rPr>
          <w:rFonts w:ascii="Times New Roman" w:hAnsi="Times New Roman"/>
          <w:i/>
          <w:lang w:val="en-US"/>
        </w:rPr>
        <w:t>hreat</w:t>
      </w:r>
      <w:r w:rsidR="00E44440" w:rsidRPr="004A2990">
        <w:rPr>
          <w:rFonts w:ascii="Times New Roman" w:hAnsi="Times New Roman"/>
          <w:i/>
          <w:lang w:val="en-US"/>
        </w:rPr>
        <w:t xml:space="preserve">. </w:t>
      </w:r>
      <w:r w:rsidR="00573562" w:rsidRPr="004A2990">
        <w:rPr>
          <w:rFonts w:ascii="Times New Roman" w:hAnsi="Times New Roman"/>
        </w:rPr>
        <w:t>Intergroup threat was examined using an eight-item measure adapted from Stephan and Stephan (1999). Participants rated the degree to which they agreed with various statements on 7-point Likert scales ranging from ‘</w:t>
      </w:r>
      <w:r w:rsidR="00573562" w:rsidRPr="001E42B6">
        <w:rPr>
          <w:rFonts w:ascii="Times New Roman" w:hAnsi="Times New Roman"/>
          <w:i/>
        </w:rPr>
        <w:t>strongly disagree</w:t>
      </w:r>
      <w:r w:rsidR="00573562" w:rsidRPr="004A2990">
        <w:rPr>
          <w:rFonts w:ascii="Times New Roman" w:hAnsi="Times New Roman"/>
        </w:rPr>
        <w:t>’ to ‘</w:t>
      </w:r>
      <w:r w:rsidR="00573562" w:rsidRPr="001E42B6">
        <w:rPr>
          <w:rFonts w:ascii="Times New Roman" w:hAnsi="Times New Roman"/>
          <w:i/>
        </w:rPr>
        <w:t>strongly agree</w:t>
      </w:r>
      <w:r w:rsidR="00573562" w:rsidRPr="004A2990">
        <w:rPr>
          <w:rFonts w:ascii="Times New Roman" w:hAnsi="Times New Roman"/>
        </w:rPr>
        <w:t>’. Example items are: ‘The values and beliefs of Polish individuals living in the UK are not compatible with the beliefs and values of most British people’ and ‘Syrian individuals are not displacing British workers from their jobs’. Perceived symbolic and realistic threats were highly correlated (</w:t>
      </w:r>
      <w:r w:rsidR="00573562" w:rsidRPr="004A2990">
        <w:rPr>
          <w:rFonts w:ascii="Times New Roman" w:hAnsi="Times New Roman"/>
          <w:i/>
        </w:rPr>
        <w:t xml:space="preserve">r </w:t>
      </w:r>
      <w:r w:rsidR="00573562" w:rsidRPr="004A2990">
        <w:rPr>
          <w:rFonts w:ascii="Times New Roman" w:hAnsi="Times New Roman"/>
        </w:rPr>
        <w:t xml:space="preserve">= .701, </w:t>
      </w:r>
      <w:r w:rsidR="00573562" w:rsidRPr="00C34368">
        <w:rPr>
          <w:rFonts w:ascii="Times New Roman" w:hAnsi="Times New Roman"/>
          <w:i/>
          <w:iCs/>
        </w:rPr>
        <w:t>p</w:t>
      </w:r>
      <w:r w:rsidR="00573562" w:rsidRPr="004A2990">
        <w:rPr>
          <w:rFonts w:ascii="Times New Roman" w:hAnsi="Times New Roman"/>
        </w:rPr>
        <w:t xml:space="preserve"> &lt; .001), and factor analysis showed that the items did not load clearly onto two distinct factors. Thus, the variables were combined into an overall measure of </w:t>
      </w:r>
      <w:r w:rsidR="00573562" w:rsidRPr="004A2990">
        <w:rPr>
          <w:rFonts w:ascii="Times New Roman" w:hAnsi="Times New Roman"/>
        </w:rPr>
        <w:lastRenderedPageBreak/>
        <w:t>‘Intergroup Threat’. This measure had high internal consistency for the Polish (α = .844), Syrian (α = .853) and Indian (α = .786) target groups.</w:t>
      </w:r>
    </w:p>
    <w:p w14:paraId="70627CF0" w14:textId="2A268129" w:rsidR="007A09B6" w:rsidRPr="004A2990" w:rsidRDefault="00551432" w:rsidP="00C26002">
      <w:pPr>
        <w:spacing w:line="480" w:lineRule="auto"/>
        <w:ind w:firstLine="567"/>
        <w:jc w:val="both"/>
        <w:rPr>
          <w:rFonts w:ascii="Times New Roman" w:hAnsi="Times New Roman"/>
          <w:lang w:val="en-US"/>
        </w:rPr>
      </w:pPr>
      <w:r w:rsidRPr="004A2990">
        <w:rPr>
          <w:rFonts w:ascii="Times New Roman" w:hAnsi="Times New Roman"/>
          <w:i/>
          <w:lang w:val="en-US"/>
        </w:rPr>
        <w:t xml:space="preserve">Positive </w:t>
      </w:r>
      <w:r w:rsidR="007E1C89">
        <w:rPr>
          <w:rFonts w:ascii="Times New Roman" w:hAnsi="Times New Roman"/>
          <w:i/>
          <w:lang w:val="en-US"/>
        </w:rPr>
        <w:t>affect</w:t>
      </w:r>
      <w:r w:rsidRPr="004A2990">
        <w:rPr>
          <w:rFonts w:ascii="Times New Roman" w:hAnsi="Times New Roman"/>
          <w:i/>
          <w:lang w:val="en-US"/>
        </w:rPr>
        <w:t xml:space="preserve">. </w:t>
      </w:r>
      <w:r w:rsidR="007A09B6" w:rsidRPr="004A2990">
        <w:rPr>
          <w:rFonts w:ascii="Times New Roman" w:hAnsi="Times New Roman"/>
          <w:lang w:val="en-US"/>
        </w:rPr>
        <w:t xml:space="preserve">A one-item measure examined </w:t>
      </w:r>
      <w:r w:rsidR="007E1C89">
        <w:rPr>
          <w:rFonts w:ascii="Times New Roman" w:hAnsi="Times New Roman"/>
          <w:lang w:val="en-US"/>
        </w:rPr>
        <w:t>affect</w:t>
      </w:r>
      <w:r w:rsidR="007A09B6" w:rsidRPr="004A2990">
        <w:rPr>
          <w:rFonts w:ascii="Times New Roman" w:hAnsi="Times New Roman"/>
          <w:lang w:val="en-US"/>
        </w:rPr>
        <w:t xml:space="preserve"> towards </w:t>
      </w:r>
      <w:r w:rsidRPr="004A2990">
        <w:rPr>
          <w:rFonts w:ascii="Times New Roman" w:hAnsi="Times New Roman"/>
          <w:lang w:val="en-US"/>
        </w:rPr>
        <w:t xml:space="preserve">the </w:t>
      </w:r>
      <w:r w:rsidR="007A09B6" w:rsidRPr="004A2990">
        <w:rPr>
          <w:rFonts w:ascii="Times New Roman" w:hAnsi="Times New Roman"/>
          <w:lang w:val="en-US"/>
        </w:rPr>
        <w:t xml:space="preserve">groups. Participants were asked to indicate their </w:t>
      </w:r>
      <w:r w:rsidR="007A408D" w:rsidRPr="004A2990">
        <w:rPr>
          <w:rFonts w:ascii="Times New Roman" w:hAnsi="Times New Roman"/>
          <w:lang w:val="en-US"/>
        </w:rPr>
        <w:t>emotion</w:t>
      </w:r>
      <w:r w:rsidR="007A09B6" w:rsidRPr="004A2990">
        <w:rPr>
          <w:rFonts w:ascii="Times New Roman" w:hAnsi="Times New Roman"/>
          <w:lang w:val="en-US"/>
        </w:rPr>
        <w:t>s, ranging from ‘</w:t>
      </w:r>
      <w:r w:rsidR="007A09B6" w:rsidRPr="000C7322">
        <w:rPr>
          <w:rFonts w:ascii="Times New Roman" w:hAnsi="Times New Roman"/>
          <w:i/>
          <w:lang w:val="en-US"/>
        </w:rPr>
        <w:t xml:space="preserve">Extremely </w:t>
      </w:r>
      <w:r w:rsidR="000C7322">
        <w:rPr>
          <w:rFonts w:ascii="Times New Roman" w:hAnsi="Times New Roman"/>
          <w:i/>
          <w:lang w:val="en-US"/>
        </w:rPr>
        <w:t>n</w:t>
      </w:r>
      <w:r w:rsidR="007A09B6" w:rsidRPr="000C7322">
        <w:rPr>
          <w:rFonts w:ascii="Times New Roman" w:hAnsi="Times New Roman"/>
          <w:i/>
          <w:lang w:val="en-US"/>
        </w:rPr>
        <w:t>egative</w:t>
      </w:r>
      <w:r w:rsidR="007A09B6" w:rsidRPr="004A2990">
        <w:rPr>
          <w:rFonts w:ascii="Times New Roman" w:hAnsi="Times New Roman"/>
          <w:lang w:val="en-US"/>
        </w:rPr>
        <w:t xml:space="preserve">’ to </w:t>
      </w:r>
      <w:r w:rsidR="007A09B6" w:rsidRPr="000C7322">
        <w:rPr>
          <w:rFonts w:ascii="Times New Roman" w:hAnsi="Times New Roman"/>
          <w:i/>
          <w:lang w:val="en-US"/>
        </w:rPr>
        <w:t>‘</w:t>
      </w:r>
      <w:r w:rsidR="000C7322" w:rsidRPr="000C7322">
        <w:rPr>
          <w:rFonts w:ascii="Times New Roman" w:hAnsi="Times New Roman"/>
          <w:i/>
          <w:lang w:val="en-US"/>
        </w:rPr>
        <w:t>e</w:t>
      </w:r>
      <w:r w:rsidR="000C7322">
        <w:rPr>
          <w:rFonts w:ascii="Times New Roman" w:hAnsi="Times New Roman"/>
          <w:i/>
          <w:lang w:val="en-US"/>
        </w:rPr>
        <w:t>xtremely p</w:t>
      </w:r>
      <w:r w:rsidR="007A09B6" w:rsidRPr="000C7322">
        <w:rPr>
          <w:rFonts w:ascii="Times New Roman" w:hAnsi="Times New Roman"/>
          <w:i/>
          <w:lang w:val="en-US"/>
        </w:rPr>
        <w:t>ositive</w:t>
      </w:r>
      <w:r w:rsidR="007A09B6" w:rsidRPr="004A2990">
        <w:rPr>
          <w:rFonts w:ascii="Times New Roman" w:hAnsi="Times New Roman"/>
          <w:lang w:val="en-US"/>
        </w:rPr>
        <w:t>’ using a 7-point Likert scale</w:t>
      </w:r>
      <w:r w:rsidR="00C26002" w:rsidRPr="004A2990">
        <w:rPr>
          <w:rFonts w:ascii="Times New Roman" w:hAnsi="Times New Roman"/>
          <w:lang w:val="en-US"/>
        </w:rPr>
        <w:t>:</w:t>
      </w:r>
      <w:r w:rsidR="007A09B6" w:rsidRPr="004A2990">
        <w:rPr>
          <w:rFonts w:ascii="Times New Roman" w:hAnsi="Times New Roman"/>
          <w:lang w:val="en-US"/>
        </w:rPr>
        <w:t xml:space="preserve"> ‘Please, using the scale below, indicate your feelings towards Indian individuals living in the UK’.</w:t>
      </w:r>
    </w:p>
    <w:p w14:paraId="0D5FFBFA" w14:textId="43EA9109" w:rsidR="007A09B6" w:rsidRPr="004A2990" w:rsidRDefault="00D042EC" w:rsidP="00C26002">
      <w:pPr>
        <w:spacing w:line="480" w:lineRule="auto"/>
        <w:ind w:firstLine="567"/>
        <w:jc w:val="both"/>
        <w:rPr>
          <w:rFonts w:ascii="Times New Roman" w:hAnsi="Times New Roman"/>
          <w:lang w:val="en-US"/>
        </w:rPr>
      </w:pPr>
      <w:r w:rsidRPr="004A2990">
        <w:rPr>
          <w:rFonts w:ascii="Times New Roman" w:hAnsi="Times New Roman"/>
          <w:i/>
          <w:lang w:val="en-US"/>
        </w:rPr>
        <w:t>Perceived r</w:t>
      </w:r>
      <w:r w:rsidR="007A09B6" w:rsidRPr="004A2990">
        <w:rPr>
          <w:rFonts w:ascii="Times New Roman" w:hAnsi="Times New Roman"/>
          <w:i/>
          <w:lang w:val="en-US"/>
        </w:rPr>
        <w:t xml:space="preserve">ight to </w:t>
      </w:r>
      <w:r w:rsidRPr="004A2990">
        <w:rPr>
          <w:rFonts w:ascii="Times New Roman" w:hAnsi="Times New Roman"/>
          <w:i/>
          <w:lang w:val="en-US"/>
        </w:rPr>
        <w:t>reside in UK</w:t>
      </w:r>
      <w:r w:rsidR="00551432" w:rsidRPr="004A2990">
        <w:rPr>
          <w:rFonts w:ascii="Times New Roman" w:hAnsi="Times New Roman"/>
          <w:i/>
          <w:lang w:val="en-US"/>
        </w:rPr>
        <w:t xml:space="preserve">. </w:t>
      </w:r>
      <w:r w:rsidR="007A09B6" w:rsidRPr="004A2990">
        <w:rPr>
          <w:rFonts w:ascii="Times New Roman" w:hAnsi="Times New Roman"/>
          <w:lang w:val="en-US"/>
        </w:rPr>
        <w:t xml:space="preserve">Participants indicated the degree of right they felt individuals had to live in the UK, on a </w:t>
      </w:r>
      <w:r w:rsidR="00412CC9">
        <w:rPr>
          <w:rFonts w:ascii="Times New Roman" w:hAnsi="Times New Roman"/>
          <w:lang w:val="en-US"/>
        </w:rPr>
        <w:t xml:space="preserve">7-point </w:t>
      </w:r>
      <w:r w:rsidR="007A09B6" w:rsidRPr="004A2990">
        <w:rPr>
          <w:rFonts w:ascii="Times New Roman" w:hAnsi="Times New Roman"/>
          <w:lang w:val="en-US"/>
        </w:rPr>
        <w:t>Likert scale ranging from ‘</w:t>
      </w:r>
      <w:r w:rsidR="000C7322" w:rsidRPr="000C7322">
        <w:rPr>
          <w:rFonts w:ascii="Times New Roman" w:hAnsi="Times New Roman"/>
          <w:i/>
          <w:lang w:val="en-US"/>
        </w:rPr>
        <w:t>n</w:t>
      </w:r>
      <w:r w:rsidR="007A09B6" w:rsidRPr="000C7322">
        <w:rPr>
          <w:rFonts w:ascii="Times New Roman" w:hAnsi="Times New Roman"/>
          <w:i/>
          <w:lang w:val="en-US"/>
        </w:rPr>
        <w:t xml:space="preserve">o </w:t>
      </w:r>
      <w:r w:rsidR="000C7322" w:rsidRPr="000C7322">
        <w:rPr>
          <w:rFonts w:ascii="Times New Roman" w:hAnsi="Times New Roman"/>
          <w:i/>
          <w:lang w:val="en-US"/>
        </w:rPr>
        <w:t>r</w:t>
      </w:r>
      <w:r w:rsidR="007A09B6" w:rsidRPr="000C7322">
        <w:rPr>
          <w:rFonts w:ascii="Times New Roman" w:hAnsi="Times New Roman"/>
          <w:i/>
          <w:lang w:val="en-US"/>
        </w:rPr>
        <w:t>ight</w:t>
      </w:r>
      <w:r w:rsidR="000C7322">
        <w:rPr>
          <w:rFonts w:ascii="Times New Roman" w:hAnsi="Times New Roman"/>
          <w:lang w:val="en-US"/>
        </w:rPr>
        <w:t>’ to ‘</w:t>
      </w:r>
      <w:r w:rsidR="000C7322" w:rsidRPr="000C7322">
        <w:rPr>
          <w:rFonts w:ascii="Times New Roman" w:hAnsi="Times New Roman"/>
          <w:i/>
          <w:lang w:val="en-US"/>
        </w:rPr>
        <w:t>total r</w:t>
      </w:r>
      <w:r w:rsidR="007A09B6" w:rsidRPr="000C7322">
        <w:rPr>
          <w:rFonts w:ascii="Times New Roman" w:hAnsi="Times New Roman"/>
          <w:i/>
          <w:lang w:val="en-US"/>
        </w:rPr>
        <w:t>ights</w:t>
      </w:r>
      <w:r w:rsidR="007A09B6" w:rsidRPr="004A2990">
        <w:rPr>
          <w:rFonts w:ascii="Times New Roman" w:hAnsi="Times New Roman"/>
          <w:lang w:val="en-US"/>
        </w:rPr>
        <w:t xml:space="preserve">’. </w:t>
      </w:r>
    </w:p>
    <w:p w14:paraId="365251CE" w14:textId="4B22241E" w:rsidR="007A09B6" w:rsidRPr="004A2990" w:rsidRDefault="00D042EC" w:rsidP="00955FE6">
      <w:pPr>
        <w:spacing w:line="480" w:lineRule="auto"/>
        <w:ind w:firstLine="567"/>
        <w:jc w:val="both"/>
        <w:rPr>
          <w:rFonts w:ascii="Times New Roman" w:hAnsi="Times New Roman"/>
          <w:lang w:val="en-US"/>
        </w:rPr>
      </w:pPr>
      <w:r w:rsidRPr="004A2990">
        <w:rPr>
          <w:rFonts w:ascii="Times New Roman" w:hAnsi="Times New Roman"/>
          <w:i/>
          <w:lang w:val="en-US"/>
        </w:rPr>
        <w:t>Perceived population size</w:t>
      </w:r>
      <w:r w:rsidR="00551432" w:rsidRPr="004A2990">
        <w:rPr>
          <w:rFonts w:ascii="Times New Roman" w:hAnsi="Times New Roman"/>
          <w:i/>
          <w:lang w:val="en-US"/>
        </w:rPr>
        <w:t xml:space="preserve">. </w:t>
      </w:r>
      <w:r w:rsidR="007A09B6" w:rsidRPr="004A2990">
        <w:rPr>
          <w:rFonts w:ascii="Times New Roman" w:hAnsi="Times New Roman"/>
          <w:lang w:val="en-US"/>
        </w:rPr>
        <w:t xml:space="preserve">Participants were asked to estimate the percentage of the UK population that each group accounted for by selecting an option. Options increased in increments of 5% (i.e. 0-5%, 5-10%, 10-15% and so on) from 0-50%. </w:t>
      </w:r>
    </w:p>
    <w:p w14:paraId="2ADC1D39" w14:textId="77777777" w:rsidR="00C30381" w:rsidRPr="004A2990" w:rsidRDefault="00C30381" w:rsidP="007C0D19">
      <w:pPr>
        <w:pStyle w:val="APABodyText"/>
        <w:spacing w:after="0"/>
        <w:ind w:firstLine="0"/>
        <w:jc w:val="center"/>
        <w:rPr>
          <w:lang w:val="en-US"/>
        </w:rPr>
      </w:pPr>
      <w:r w:rsidRPr="004A2990">
        <w:rPr>
          <w:lang w:val="en-US"/>
        </w:rPr>
        <w:t xml:space="preserve">Results </w:t>
      </w:r>
    </w:p>
    <w:p w14:paraId="004FE0C8" w14:textId="603C83E4" w:rsidR="00D24C27" w:rsidRPr="004A2990" w:rsidRDefault="00C26002" w:rsidP="00976CAE">
      <w:pPr>
        <w:pStyle w:val="APABodyText"/>
        <w:spacing w:after="0"/>
      </w:pPr>
      <w:r w:rsidRPr="004A2990">
        <w:rPr>
          <w:lang w:val="en-US"/>
        </w:rPr>
        <w:t xml:space="preserve">Bivariate correlations are shown in Table </w:t>
      </w:r>
      <w:r w:rsidR="005F6EAD">
        <w:rPr>
          <w:lang w:val="en-US"/>
        </w:rPr>
        <w:t>1</w:t>
      </w:r>
      <w:r w:rsidRPr="004A2990">
        <w:rPr>
          <w:lang w:val="en-US"/>
        </w:rPr>
        <w:t xml:space="preserve">. </w:t>
      </w:r>
      <w:r w:rsidR="00C30381" w:rsidRPr="004A2990">
        <w:rPr>
          <w:lang w:val="en-US"/>
        </w:rPr>
        <w:t>In order to simultaneously assess the effects of</w:t>
      </w:r>
      <w:r w:rsidR="00AA3B15" w:rsidRPr="004A2990">
        <w:rPr>
          <w:lang w:val="en-US"/>
        </w:rPr>
        <w:t xml:space="preserve"> perceived cultural similarity and </w:t>
      </w:r>
      <w:r w:rsidR="00C30381" w:rsidRPr="004A2990">
        <w:rPr>
          <w:lang w:val="en-US"/>
        </w:rPr>
        <w:t xml:space="preserve">intergroup threat </w:t>
      </w:r>
      <w:r w:rsidR="004F3B3C" w:rsidRPr="004A2990">
        <w:rPr>
          <w:lang w:val="en-US"/>
        </w:rPr>
        <w:t xml:space="preserve">via </w:t>
      </w:r>
      <w:r w:rsidR="00C553DF" w:rsidRPr="004A2990">
        <w:rPr>
          <w:lang w:val="en-US"/>
        </w:rPr>
        <w:t xml:space="preserve">positive </w:t>
      </w:r>
      <w:r w:rsidR="007E1C89">
        <w:rPr>
          <w:lang w:val="en-US"/>
        </w:rPr>
        <w:t>affect</w:t>
      </w:r>
      <w:r w:rsidR="00C30381" w:rsidRPr="004A2990">
        <w:rPr>
          <w:lang w:val="en-US"/>
        </w:rPr>
        <w:t xml:space="preserve"> towards </w:t>
      </w:r>
      <w:r w:rsidR="00C553DF" w:rsidRPr="004A2990">
        <w:rPr>
          <w:lang w:val="en-US"/>
        </w:rPr>
        <w:t>immigrants</w:t>
      </w:r>
      <w:r w:rsidR="00C30381" w:rsidRPr="004A2990">
        <w:rPr>
          <w:lang w:val="en-US"/>
        </w:rPr>
        <w:t xml:space="preserve">, structural equation modelling </w:t>
      </w:r>
      <w:r w:rsidR="00C553DF" w:rsidRPr="004A2990">
        <w:rPr>
          <w:lang w:val="en-US"/>
        </w:rPr>
        <w:t xml:space="preserve">(SEM) </w:t>
      </w:r>
      <w:r w:rsidR="00C30381" w:rsidRPr="004A2990">
        <w:rPr>
          <w:lang w:val="en-US"/>
        </w:rPr>
        <w:t xml:space="preserve">was employed, </w:t>
      </w:r>
      <w:r w:rsidR="00976CAE" w:rsidRPr="004A2990">
        <w:rPr>
          <w:lang w:val="en-US"/>
        </w:rPr>
        <w:t>with each target migrant group considered separately</w:t>
      </w:r>
      <w:r w:rsidR="00C30381" w:rsidRPr="004A2990">
        <w:rPr>
          <w:lang w:val="en-US"/>
        </w:rPr>
        <w:t>.</w:t>
      </w:r>
      <w:r w:rsidR="00373582" w:rsidRPr="004A2990">
        <w:t xml:space="preserve"> </w:t>
      </w:r>
    </w:p>
    <w:p w14:paraId="0FDDF906" w14:textId="73A9A0AB" w:rsidR="00573562" w:rsidRPr="004A2990" w:rsidRDefault="00573562" w:rsidP="00AC7151">
      <w:pPr>
        <w:pStyle w:val="APABodyText"/>
        <w:spacing w:after="0"/>
        <w:rPr>
          <w:b/>
        </w:rPr>
      </w:pPr>
      <w:r w:rsidRPr="004A2990">
        <w:t>The model</w:t>
      </w:r>
      <w:r w:rsidR="00976CAE" w:rsidRPr="004A2990">
        <w:t xml:space="preserve"> regarding individuals from India</w:t>
      </w:r>
      <w:r w:rsidR="00AC7151">
        <w:t>, shown in Figure 2</w:t>
      </w:r>
      <w:r w:rsidR="005768F6" w:rsidRPr="004A2990">
        <w:t xml:space="preserve"> (</w:t>
      </w:r>
      <w:r w:rsidR="00722552">
        <w:t xml:space="preserve">standardised </w:t>
      </w:r>
      <w:r w:rsidR="005768F6" w:rsidRPr="004A2990">
        <w:t>path values without parentheses)</w:t>
      </w:r>
      <w:r w:rsidRPr="004A2990">
        <w:t>, had a go</w:t>
      </w:r>
      <w:r w:rsidR="00976CAE" w:rsidRPr="004A2990">
        <w:t>od fit with the data</w:t>
      </w:r>
      <w:r w:rsidR="000C7322">
        <w:t>,</w:t>
      </w:r>
      <w:r w:rsidR="00976CAE" w:rsidRPr="004A2990">
        <w:t xml:space="preserve"> χ</w:t>
      </w:r>
      <w:r w:rsidR="00976CAE" w:rsidRPr="000C7322">
        <w:rPr>
          <w:vertAlign w:val="superscript"/>
        </w:rPr>
        <w:t>2</w:t>
      </w:r>
      <w:r w:rsidR="00976CAE" w:rsidRPr="004A2990">
        <w:t xml:space="preserve"> (4) = 2</w:t>
      </w:r>
      <w:r w:rsidRPr="004A2990">
        <w:t xml:space="preserve">.43, </w:t>
      </w:r>
      <w:r w:rsidRPr="004A2990">
        <w:rPr>
          <w:i/>
        </w:rPr>
        <w:t>p</w:t>
      </w:r>
      <w:r w:rsidR="00976CAE" w:rsidRPr="004A2990">
        <w:t xml:space="preserve"> = .246; GFI</w:t>
      </w:r>
      <w:r w:rsidR="00976CAE" w:rsidRPr="004A2990">
        <w:rPr>
          <w:i/>
        </w:rPr>
        <w:t xml:space="preserve"> </w:t>
      </w:r>
      <w:r w:rsidR="00976CAE" w:rsidRPr="004A2990">
        <w:t>= .993; CFI = 1.000</w:t>
      </w:r>
      <w:r w:rsidRPr="004A2990">
        <w:t xml:space="preserve">; </w:t>
      </w:r>
      <w:r w:rsidR="00976CAE" w:rsidRPr="004A2990">
        <w:t>RMSEA</w:t>
      </w:r>
      <w:r w:rsidR="00976CAE" w:rsidRPr="004A2990">
        <w:rPr>
          <w:i/>
        </w:rPr>
        <w:t xml:space="preserve"> </w:t>
      </w:r>
      <w:r w:rsidR="00976CAE" w:rsidRPr="004A2990">
        <w:t>= .001</w:t>
      </w:r>
      <w:r w:rsidRPr="004A2990">
        <w:t xml:space="preserve">. All paths were significant in the specified direction at </w:t>
      </w:r>
      <w:r w:rsidRPr="004A2990">
        <w:rPr>
          <w:i/>
        </w:rPr>
        <w:t>p</w:t>
      </w:r>
      <w:r w:rsidRPr="004A2990">
        <w:t xml:space="preserve"> &lt; .001</w:t>
      </w:r>
      <w:r w:rsidR="00976CAE" w:rsidRPr="004A2990">
        <w:t>.</w:t>
      </w:r>
      <w:r w:rsidR="00AC7151">
        <w:t xml:space="preserve"> </w:t>
      </w:r>
      <w:r w:rsidR="00976CAE" w:rsidRPr="004A2990">
        <w:t>This</w:t>
      </w:r>
      <w:r w:rsidRPr="004A2990">
        <w:t xml:space="preserve"> model accounted for </w:t>
      </w:r>
      <w:r w:rsidR="00D24C27" w:rsidRPr="004A2990">
        <w:t>26.5</w:t>
      </w:r>
      <w:r w:rsidRPr="004A2990">
        <w:t xml:space="preserve">% of the variance in threat, </w:t>
      </w:r>
      <w:r w:rsidR="00D24C27" w:rsidRPr="004A2990">
        <w:t>51.3</w:t>
      </w:r>
      <w:r w:rsidRPr="004A2990">
        <w:t xml:space="preserve">% of the variance in positive </w:t>
      </w:r>
      <w:r w:rsidR="007E1C89">
        <w:t>affect</w:t>
      </w:r>
      <w:r w:rsidRPr="004A2990">
        <w:t xml:space="preserve">, </w:t>
      </w:r>
      <w:r w:rsidR="00D24C27" w:rsidRPr="004A2990">
        <w:t>72</w:t>
      </w:r>
      <w:r w:rsidRPr="004A2990">
        <w:t xml:space="preserve">% of the variance in perceived right to live in the UK, and </w:t>
      </w:r>
      <w:r w:rsidR="00D24C27" w:rsidRPr="004A2990">
        <w:t>11.9</w:t>
      </w:r>
      <w:r w:rsidRPr="004A2990">
        <w:t xml:space="preserve">% of the variance in </w:t>
      </w:r>
      <w:r w:rsidR="005768F6" w:rsidRPr="004A2990">
        <w:t xml:space="preserve">estimated </w:t>
      </w:r>
      <w:r w:rsidRPr="004A2990">
        <w:t xml:space="preserve">population </w:t>
      </w:r>
      <w:r w:rsidR="005768F6" w:rsidRPr="004A2990">
        <w:t>size</w:t>
      </w:r>
      <w:r w:rsidRPr="004A2990">
        <w:t>. Further support for the model comes from the test of an alternative model with the paths from</w:t>
      </w:r>
      <w:r w:rsidR="00EC4898">
        <w:t xml:space="preserve"> perceived</w:t>
      </w:r>
      <w:r w:rsidRPr="004A2990">
        <w:t xml:space="preserve"> right and population estimates reversed, which had a </w:t>
      </w:r>
      <w:r w:rsidRPr="004A2990">
        <w:lastRenderedPageBreak/>
        <w:t>considerably poorer fi</w:t>
      </w:r>
      <w:r w:rsidR="0065748C" w:rsidRPr="004A2990">
        <w:t>t with the data</w:t>
      </w:r>
      <w:r w:rsidR="000C7322">
        <w:t>,</w:t>
      </w:r>
      <w:r w:rsidR="0065748C" w:rsidRPr="004A2990">
        <w:t xml:space="preserve"> χ</w:t>
      </w:r>
      <w:r w:rsidR="0065748C" w:rsidRPr="000C7322">
        <w:rPr>
          <w:vertAlign w:val="superscript"/>
        </w:rPr>
        <w:t>2</w:t>
      </w:r>
      <w:r w:rsidR="0065748C" w:rsidRPr="004A2990">
        <w:t xml:space="preserve"> (4) = 53.03</w:t>
      </w:r>
      <w:r w:rsidRPr="004A2990">
        <w:t xml:space="preserve">, </w:t>
      </w:r>
      <w:r w:rsidRPr="004A2990">
        <w:rPr>
          <w:i/>
        </w:rPr>
        <w:t>p</w:t>
      </w:r>
      <w:r w:rsidRPr="004A2990">
        <w:t xml:space="preserve"> &lt; .001; GFI</w:t>
      </w:r>
      <w:r w:rsidRPr="004A2990">
        <w:rPr>
          <w:i/>
        </w:rPr>
        <w:t xml:space="preserve"> </w:t>
      </w:r>
      <w:r w:rsidR="0065748C" w:rsidRPr="004A2990">
        <w:t>= .870</w:t>
      </w:r>
      <w:r w:rsidRPr="004A2990">
        <w:t>, CFI</w:t>
      </w:r>
      <w:r w:rsidR="0065748C" w:rsidRPr="004A2990">
        <w:t xml:space="preserve"> = .847</w:t>
      </w:r>
      <w:r w:rsidRPr="004A2990">
        <w:t>, RMSEA</w:t>
      </w:r>
      <w:r w:rsidR="0065748C" w:rsidRPr="004A2990">
        <w:t xml:space="preserve"> = .301</w:t>
      </w:r>
      <w:r w:rsidRPr="004A2990">
        <w:t>.</w:t>
      </w:r>
      <w:r w:rsidR="00F96A01" w:rsidRPr="004A2990">
        <w:rPr>
          <w:b/>
        </w:rPr>
        <w:t xml:space="preserve"> </w:t>
      </w:r>
    </w:p>
    <w:p w14:paraId="36C78D7B" w14:textId="33FB0AAE" w:rsidR="00D24C27" w:rsidRPr="004A2990" w:rsidRDefault="00D24C27" w:rsidP="00D24C27">
      <w:pPr>
        <w:pStyle w:val="APABodyText"/>
        <w:spacing w:after="0"/>
      </w:pPr>
      <w:r w:rsidRPr="004A2990">
        <w:t xml:space="preserve">The model regarding individuals from Poland, shown in Figure </w:t>
      </w:r>
      <w:r w:rsidR="00AC7151">
        <w:t>2</w:t>
      </w:r>
      <w:r w:rsidR="005768F6" w:rsidRPr="004A2990">
        <w:t xml:space="preserve"> (path values in round parentheses)</w:t>
      </w:r>
      <w:r w:rsidRPr="004A2990">
        <w:t>, also had a good fit with the data</w:t>
      </w:r>
      <w:r w:rsidR="000C7322">
        <w:t>,</w:t>
      </w:r>
      <w:r w:rsidRPr="004A2990">
        <w:t xml:space="preserve"> χ</w:t>
      </w:r>
      <w:r w:rsidRPr="000C7322">
        <w:rPr>
          <w:vertAlign w:val="superscript"/>
        </w:rPr>
        <w:t>2</w:t>
      </w:r>
      <w:r w:rsidRPr="004A2990">
        <w:t xml:space="preserve"> (4) = 8.01, </w:t>
      </w:r>
      <w:r w:rsidRPr="00C34368">
        <w:rPr>
          <w:i/>
          <w:iCs/>
        </w:rPr>
        <w:t>p</w:t>
      </w:r>
      <w:r w:rsidRPr="004A2990">
        <w:t xml:space="preserve"> = .091; GFI = .977; CFI = .986; RMSEA = .086. All paths were significant in the specified direction at </w:t>
      </w:r>
      <w:r w:rsidRPr="00C34368">
        <w:rPr>
          <w:i/>
          <w:iCs/>
        </w:rPr>
        <w:t>p</w:t>
      </w:r>
      <w:r w:rsidRPr="004A2990">
        <w:t xml:space="preserve"> &lt; .001, excluding the path from similarity to positive </w:t>
      </w:r>
      <w:r w:rsidR="007E1C89">
        <w:t>affect</w:t>
      </w:r>
      <w:r w:rsidRPr="004A2990">
        <w:t xml:space="preserve">, which was significant at </w:t>
      </w:r>
      <w:r w:rsidRPr="000C7322">
        <w:rPr>
          <w:i/>
        </w:rPr>
        <w:t>p</w:t>
      </w:r>
      <w:r w:rsidRPr="004A2990">
        <w:t xml:space="preserve"> &lt; .05.</w:t>
      </w:r>
      <w:r w:rsidR="00AC7151">
        <w:t xml:space="preserve"> </w:t>
      </w:r>
      <w:r w:rsidRPr="004A2990">
        <w:t xml:space="preserve">This model accounted for 36.5% of the variance in perceived intergroup threat, 47.1% of the variance in positive </w:t>
      </w:r>
      <w:r w:rsidR="007E1C89">
        <w:t>affect</w:t>
      </w:r>
      <w:r w:rsidRPr="004A2990">
        <w:t>, 63.3% of the variance in perceived right to live in the UK and 9.8% of the variance in population size estimate.</w:t>
      </w:r>
      <w:r w:rsidR="0065748C" w:rsidRPr="004A2990">
        <w:t xml:space="preserve"> Further support for the model comes from the test of an alternative model with the paths from</w:t>
      </w:r>
      <w:r w:rsidR="00127F46">
        <w:t xml:space="preserve"> perceived</w:t>
      </w:r>
      <w:r w:rsidR="0065748C" w:rsidRPr="004A2990">
        <w:t xml:space="preserve"> right and population estimates reversed, which had a considerably poorer fit with the data</w:t>
      </w:r>
      <w:r w:rsidR="000C7322">
        <w:t xml:space="preserve">, </w:t>
      </w:r>
      <w:r w:rsidR="0065748C" w:rsidRPr="004A2990">
        <w:t>χ</w:t>
      </w:r>
      <w:r w:rsidR="0065748C" w:rsidRPr="000C7322">
        <w:rPr>
          <w:vertAlign w:val="superscript"/>
        </w:rPr>
        <w:t>2</w:t>
      </w:r>
      <w:r w:rsidR="0065748C" w:rsidRPr="004A2990">
        <w:t xml:space="preserve"> (4) = 65.22, </w:t>
      </w:r>
      <w:r w:rsidR="0065748C" w:rsidRPr="004A2990">
        <w:rPr>
          <w:i/>
        </w:rPr>
        <w:t>p</w:t>
      </w:r>
      <w:r w:rsidR="0065748C" w:rsidRPr="004A2990">
        <w:t xml:space="preserve"> &lt; .001; GFI</w:t>
      </w:r>
      <w:r w:rsidR="0065748C" w:rsidRPr="004A2990">
        <w:rPr>
          <w:i/>
        </w:rPr>
        <w:t xml:space="preserve"> </w:t>
      </w:r>
      <w:r w:rsidR="0065748C" w:rsidRPr="004A2990">
        <w:t>= .840, CFI = .792, RMSEA = .337.</w:t>
      </w:r>
    </w:p>
    <w:p w14:paraId="5D6AC8CA" w14:textId="36B65C24" w:rsidR="00D24C27" w:rsidRPr="004A2990" w:rsidRDefault="00D24C27" w:rsidP="00D24C27">
      <w:pPr>
        <w:pStyle w:val="APABodyText"/>
        <w:spacing w:after="0"/>
      </w:pPr>
      <w:r w:rsidRPr="004A2990">
        <w:t>Finally, the model regarding migran</w:t>
      </w:r>
      <w:r w:rsidR="00AC7151">
        <w:t>ts from Syria, shown in Figure 2</w:t>
      </w:r>
      <w:r w:rsidR="005768F6" w:rsidRPr="004A2990">
        <w:t xml:space="preserve"> (path values in square parentheses)</w:t>
      </w:r>
      <w:r w:rsidRPr="004A2990">
        <w:t>, also had a good fit with the data</w:t>
      </w:r>
      <w:r w:rsidR="000C7322">
        <w:t xml:space="preserve">, </w:t>
      </w:r>
      <w:r w:rsidRPr="004A2990">
        <w:t>χ</w:t>
      </w:r>
      <w:r w:rsidRPr="000C7322">
        <w:rPr>
          <w:vertAlign w:val="superscript"/>
        </w:rPr>
        <w:t>2</w:t>
      </w:r>
      <w:r w:rsidRPr="004A2990">
        <w:t xml:space="preserve"> (4) = 8.19, </w:t>
      </w:r>
      <w:r w:rsidRPr="000C7322">
        <w:rPr>
          <w:i/>
        </w:rPr>
        <w:t>p</w:t>
      </w:r>
      <w:r w:rsidRPr="004A2990">
        <w:t xml:space="preserve"> = .091; GFI = .976; CFI = .988; RMSEA = .088. All paths were significant in the specified direction at </w:t>
      </w:r>
      <w:r w:rsidRPr="000C7322">
        <w:rPr>
          <w:i/>
        </w:rPr>
        <w:t>p</w:t>
      </w:r>
      <w:r w:rsidRPr="004A2990">
        <w:t xml:space="preserve"> &lt; .001, excluding the path from similarity to positive </w:t>
      </w:r>
      <w:r w:rsidR="007E1C89">
        <w:t>affect</w:t>
      </w:r>
      <w:r w:rsidRPr="004A2990">
        <w:t xml:space="preserve">, which was significant at </w:t>
      </w:r>
      <w:r w:rsidRPr="004A2990">
        <w:rPr>
          <w:i/>
        </w:rPr>
        <w:t>p</w:t>
      </w:r>
      <w:r w:rsidRPr="004A2990">
        <w:t xml:space="preserve"> &lt; .05.</w:t>
      </w:r>
      <w:r w:rsidR="00AC7151">
        <w:t xml:space="preserve"> </w:t>
      </w:r>
      <w:r w:rsidRPr="004A2990">
        <w:t xml:space="preserve">This model accounted for 40.7% of the variance in perceived intergroup threat, 61.9% of the variance in positive </w:t>
      </w:r>
      <w:r w:rsidR="007E1C89">
        <w:t>affect</w:t>
      </w:r>
      <w:r w:rsidRPr="004A2990">
        <w:t>, 65.4% of the variance in perceived right to live in the UK and 9.4% of the variance in population size estimate.</w:t>
      </w:r>
      <w:r w:rsidR="0065748C" w:rsidRPr="004A2990">
        <w:t xml:space="preserve"> Further support for the model comes from the test of an alternative model with the paths from </w:t>
      </w:r>
      <w:r w:rsidR="005704F6">
        <w:t xml:space="preserve">perceived </w:t>
      </w:r>
      <w:r w:rsidR="0065748C" w:rsidRPr="004A2990">
        <w:t>right and population estimates reversed, which had a considerably poorer fit with the data</w:t>
      </w:r>
      <w:r w:rsidR="000C7322">
        <w:t xml:space="preserve">, </w:t>
      </w:r>
      <w:r w:rsidR="0065748C" w:rsidRPr="004A2990">
        <w:t>χ</w:t>
      </w:r>
      <w:r w:rsidR="0065748C" w:rsidRPr="000C7322">
        <w:rPr>
          <w:vertAlign w:val="superscript"/>
        </w:rPr>
        <w:t>2</w:t>
      </w:r>
      <w:r w:rsidR="0065748C" w:rsidRPr="004A2990">
        <w:t xml:space="preserve"> (4) = 77.62, </w:t>
      </w:r>
      <w:r w:rsidR="0065748C" w:rsidRPr="004A2990">
        <w:rPr>
          <w:i/>
        </w:rPr>
        <w:t>p</w:t>
      </w:r>
      <w:r w:rsidR="0065748C" w:rsidRPr="004A2990">
        <w:t xml:space="preserve"> &lt; .001; GFI</w:t>
      </w:r>
      <w:r w:rsidR="0065748C" w:rsidRPr="004A2990">
        <w:rPr>
          <w:i/>
        </w:rPr>
        <w:t xml:space="preserve"> </w:t>
      </w:r>
      <w:r w:rsidR="0065748C" w:rsidRPr="004A2990">
        <w:t>= .831, CFI = .793, RMSEA = .369.</w:t>
      </w:r>
      <w:r w:rsidR="005768F6" w:rsidRPr="004A2990">
        <w:t xml:space="preserve"> Overall, the model fitted as hypothesized, and this was replicated for three different migrant target groups. </w:t>
      </w:r>
    </w:p>
    <w:p w14:paraId="6DC01281" w14:textId="18006326" w:rsidR="005768F6" w:rsidRPr="004A2990" w:rsidRDefault="00680765" w:rsidP="005768F6">
      <w:pPr>
        <w:pStyle w:val="APABodyText"/>
        <w:spacing w:after="0"/>
      </w:pPr>
      <w:r w:rsidRPr="004A2990">
        <w:rPr>
          <w:i/>
        </w:rPr>
        <w:lastRenderedPageBreak/>
        <w:t>Exploration of mean-level between-group differences</w:t>
      </w:r>
      <w:r w:rsidR="005768F6" w:rsidRPr="004A2990">
        <w:t xml:space="preserve">. Mean-level differences in responses toward the three different migrant groups were explored. </w:t>
      </w:r>
      <w:r w:rsidR="005768F6" w:rsidRPr="004A2990">
        <w:rPr>
          <w:lang w:val="en-US"/>
        </w:rPr>
        <w:t>A repeated measures ANOVA w</w:t>
      </w:r>
      <w:r w:rsidR="00C34368">
        <w:rPr>
          <w:lang w:val="en-US"/>
        </w:rPr>
        <w:t>as</w:t>
      </w:r>
      <w:r w:rsidR="005768F6" w:rsidRPr="004A2990">
        <w:rPr>
          <w:lang w:val="en-US"/>
        </w:rPr>
        <w:t xml:space="preserve"> run for each of the measured variables, comparing the three groups. Means and </w:t>
      </w:r>
      <w:r w:rsidR="00C34368">
        <w:rPr>
          <w:lang w:val="en-US"/>
        </w:rPr>
        <w:t xml:space="preserve">the </w:t>
      </w:r>
      <w:r w:rsidR="005768F6" w:rsidRPr="004A2990">
        <w:rPr>
          <w:lang w:val="en-US"/>
        </w:rPr>
        <w:t>group comparison ANOVA</w:t>
      </w:r>
      <w:r w:rsidR="00C34368">
        <w:rPr>
          <w:lang w:val="en-US"/>
        </w:rPr>
        <w:t>s</w:t>
      </w:r>
      <w:r w:rsidR="005768F6" w:rsidRPr="004A2990">
        <w:rPr>
          <w:lang w:val="en-US"/>
        </w:rPr>
        <w:t xml:space="preserve"> are shown in Table </w:t>
      </w:r>
      <w:r w:rsidR="00AC7151">
        <w:rPr>
          <w:lang w:val="en-US"/>
        </w:rPr>
        <w:t>2</w:t>
      </w:r>
      <w:r w:rsidR="005768F6" w:rsidRPr="004A2990">
        <w:rPr>
          <w:lang w:val="en-US"/>
        </w:rPr>
        <w:t xml:space="preserve">. Perceived cultural similarity showed that Polish culture was rated as the most similar to British culture, followed by Indian culture, and finally Syrian culture. Those from Syria were regarded as significantly more threatening than individuals from India or Poland. Participants reported the most positive </w:t>
      </w:r>
      <w:r w:rsidR="007E1C89">
        <w:rPr>
          <w:lang w:val="en-US"/>
        </w:rPr>
        <w:t>affect</w:t>
      </w:r>
      <w:r w:rsidR="005768F6" w:rsidRPr="004A2990">
        <w:rPr>
          <w:lang w:val="en-US"/>
        </w:rPr>
        <w:t xml:space="preserve"> towards Indian individuals, followed by Polish individuals, and finally the least positive </w:t>
      </w:r>
      <w:r w:rsidR="007E1C89">
        <w:rPr>
          <w:lang w:val="en-US"/>
        </w:rPr>
        <w:t>affect</w:t>
      </w:r>
      <w:r w:rsidR="005768F6" w:rsidRPr="004A2990">
        <w:rPr>
          <w:lang w:val="en-US"/>
        </w:rPr>
        <w:t xml:space="preserve"> towards Syrian individuals. With regards to perceived rights of each of the three groups to reside in the UK, there were significant differences between Syrian individuals on the one hand and Indian and Polish individuals on the other hand. The largest perceived group size was for Indians, followed by Poles, and finally Syrians. </w:t>
      </w:r>
    </w:p>
    <w:p w14:paraId="5501E05C" w14:textId="77777777" w:rsidR="00D23250" w:rsidRPr="004A2990" w:rsidRDefault="00D23250" w:rsidP="0017034C">
      <w:pPr>
        <w:pStyle w:val="APAHeadingA"/>
        <w:spacing w:before="0" w:after="0"/>
        <w:rPr>
          <w:rFonts w:cs="Times New Roman"/>
          <w:b w:val="0"/>
          <w:szCs w:val="24"/>
          <w:lang w:val="en-US"/>
        </w:rPr>
      </w:pPr>
      <w:r w:rsidRPr="004A2990">
        <w:rPr>
          <w:rFonts w:cs="Times New Roman"/>
          <w:b w:val="0"/>
          <w:szCs w:val="24"/>
          <w:lang w:val="en-US"/>
        </w:rPr>
        <w:t>Discussion</w:t>
      </w:r>
    </w:p>
    <w:p w14:paraId="3BE39F17" w14:textId="29D5AB95" w:rsidR="00AC7151" w:rsidRDefault="00AC7151" w:rsidP="005768F6">
      <w:pPr>
        <w:pStyle w:val="APABodyText"/>
        <w:spacing w:after="0"/>
        <w:rPr>
          <w:lang w:val="en-US"/>
        </w:rPr>
      </w:pPr>
      <w:r>
        <w:rPr>
          <w:lang w:val="en-US"/>
        </w:rPr>
        <w:t xml:space="preserve">The data from </w:t>
      </w:r>
      <w:r w:rsidR="00C34368">
        <w:rPr>
          <w:lang w:val="en-US"/>
        </w:rPr>
        <w:t>S</w:t>
      </w:r>
      <w:r>
        <w:rPr>
          <w:lang w:val="en-US"/>
        </w:rPr>
        <w:t>tudy 1</w:t>
      </w:r>
      <w:r w:rsidR="006B3DA8" w:rsidRPr="004A2990">
        <w:rPr>
          <w:lang w:val="en-US"/>
        </w:rPr>
        <w:t xml:space="preserve"> supported the </w:t>
      </w:r>
      <w:r w:rsidR="005768F6" w:rsidRPr="004A2990">
        <w:rPr>
          <w:lang w:val="en-US"/>
        </w:rPr>
        <w:t xml:space="preserve">model, i.e. the </w:t>
      </w:r>
      <w:r w:rsidR="006B3DA8" w:rsidRPr="004A2990">
        <w:rPr>
          <w:lang w:val="en-US"/>
        </w:rPr>
        <w:t xml:space="preserve">idea </w:t>
      </w:r>
      <w:r w:rsidR="008A29DC" w:rsidRPr="004A2990">
        <w:rPr>
          <w:lang w:val="en-US"/>
        </w:rPr>
        <w:t>that l</w:t>
      </w:r>
      <w:r w:rsidR="006B3DA8" w:rsidRPr="004A2990">
        <w:rPr>
          <w:lang w:val="en-US"/>
        </w:rPr>
        <w:t xml:space="preserve">ower perceived cultural similarity to the UK resulted in greater threat perceptions and </w:t>
      </w:r>
      <w:r w:rsidR="006B5B51" w:rsidRPr="004A2990">
        <w:rPr>
          <w:lang w:val="en-US"/>
        </w:rPr>
        <w:t>less positive</w:t>
      </w:r>
      <w:r w:rsidR="006B3DA8" w:rsidRPr="004A2990">
        <w:rPr>
          <w:lang w:val="en-US"/>
        </w:rPr>
        <w:t xml:space="preserve"> </w:t>
      </w:r>
      <w:r w:rsidR="007E1C89">
        <w:rPr>
          <w:lang w:val="en-US"/>
        </w:rPr>
        <w:t>affect</w:t>
      </w:r>
      <w:r w:rsidR="006B3DA8" w:rsidRPr="004A2990">
        <w:rPr>
          <w:lang w:val="en-US"/>
        </w:rPr>
        <w:t xml:space="preserve">. Threat perceptions also positively predicted </w:t>
      </w:r>
      <w:r w:rsidR="006B5B51" w:rsidRPr="004A2990">
        <w:rPr>
          <w:lang w:val="en-US"/>
        </w:rPr>
        <w:t>lower positive</w:t>
      </w:r>
      <w:r w:rsidR="006B3DA8" w:rsidRPr="004A2990">
        <w:rPr>
          <w:lang w:val="en-US"/>
        </w:rPr>
        <w:t xml:space="preserve"> </w:t>
      </w:r>
      <w:r w:rsidR="007E1C89">
        <w:rPr>
          <w:lang w:val="en-US"/>
        </w:rPr>
        <w:t>affect</w:t>
      </w:r>
      <w:r w:rsidR="006B3DA8" w:rsidRPr="004A2990">
        <w:rPr>
          <w:lang w:val="en-US"/>
        </w:rPr>
        <w:t xml:space="preserve"> and </w:t>
      </w:r>
      <w:r w:rsidR="006B5B51" w:rsidRPr="004A2990">
        <w:rPr>
          <w:lang w:val="en-US"/>
        </w:rPr>
        <w:t xml:space="preserve">perceived UK residency rights. </w:t>
      </w:r>
      <w:r>
        <w:rPr>
          <w:lang w:val="en-US"/>
        </w:rPr>
        <w:t>L</w:t>
      </w:r>
      <w:r w:rsidR="006B5B51" w:rsidRPr="004A2990">
        <w:rPr>
          <w:lang w:val="en-US"/>
        </w:rPr>
        <w:t>ower positive</w:t>
      </w:r>
      <w:r w:rsidR="006B3DA8" w:rsidRPr="004A2990">
        <w:rPr>
          <w:lang w:val="en-US"/>
        </w:rPr>
        <w:t xml:space="preserve"> </w:t>
      </w:r>
      <w:r w:rsidR="007E1C89">
        <w:rPr>
          <w:lang w:val="en-US"/>
        </w:rPr>
        <w:t>affect</w:t>
      </w:r>
      <w:r w:rsidR="006B3DA8" w:rsidRPr="004A2990">
        <w:rPr>
          <w:lang w:val="en-US"/>
        </w:rPr>
        <w:t xml:space="preserve"> then predicted lower perceived right to UK residency and larger population estimates. </w:t>
      </w:r>
    </w:p>
    <w:p w14:paraId="75AEDCBC" w14:textId="2DFEE9BB" w:rsidR="005768F6" w:rsidRPr="004A2990" w:rsidRDefault="005768F6" w:rsidP="005768F6">
      <w:pPr>
        <w:pStyle w:val="APABodyText"/>
        <w:spacing w:after="0"/>
        <w:rPr>
          <w:lang w:val="en-US"/>
        </w:rPr>
      </w:pPr>
      <w:r w:rsidRPr="004A2990">
        <w:rPr>
          <w:lang w:val="en-US"/>
        </w:rPr>
        <w:t xml:space="preserve">Interestingly, </w:t>
      </w:r>
      <w:r w:rsidR="00AC7151">
        <w:rPr>
          <w:lang w:val="en-US"/>
        </w:rPr>
        <w:t xml:space="preserve">this </w:t>
      </w:r>
      <w:r w:rsidRPr="004A2990">
        <w:rPr>
          <w:lang w:val="en-US"/>
        </w:rPr>
        <w:t xml:space="preserve">study found significant differences regarding mean level responses to the three target groups. Participants reported significantly lower cultural similarity, greater perceived threats, lower positive </w:t>
      </w:r>
      <w:r w:rsidR="007E1C89">
        <w:rPr>
          <w:lang w:val="en-US"/>
        </w:rPr>
        <w:t>affect</w:t>
      </w:r>
      <w:r w:rsidRPr="004A2990">
        <w:rPr>
          <w:lang w:val="en-US"/>
        </w:rPr>
        <w:t>, and lower perceived residency rights of individuals migrating from Syria, as compared to those from India or Poland.</w:t>
      </w:r>
      <w:r w:rsidR="00AC7151">
        <w:rPr>
          <w:lang w:val="en-US"/>
        </w:rPr>
        <w:t xml:space="preserve"> However, in terms of psychological processes as tested in the model, results were consistent across the three migrant groups. </w:t>
      </w:r>
    </w:p>
    <w:p w14:paraId="07DD5D4C" w14:textId="7298AF5F" w:rsidR="0017034C" w:rsidRDefault="00A353DE" w:rsidP="0017034C">
      <w:pPr>
        <w:pStyle w:val="APABodyText"/>
        <w:spacing w:after="0"/>
        <w:rPr>
          <w:lang w:val="en-US"/>
        </w:rPr>
      </w:pPr>
      <w:r w:rsidRPr="004A2990">
        <w:rPr>
          <w:lang w:val="en-US"/>
        </w:rPr>
        <w:lastRenderedPageBreak/>
        <w:t>I</w:t>
      </w:r>
      <w:r w:rsidR="006B3DA8" w:rsidRPr="004A2990">
        <w:rPr>
          <w:lang w:val="en-US"/>
        </w:rPr>
        <w:t xml:space="preserve">t is important to </w:t>
      </w:r>
      <w:r w:rsidR="00AC7151">
        <w:rPr>
          <w:lang w:val="en-US"/>
        </w:rPr>
        <w:t xml:space="preserve">note that </w:t>
      </w:r>
      <w:r w:rsidR="00C34368">
        <w:rPr>
          <w:lang w:val="en-US"/>
        </w:rPr>
        <w:t>S</w:t>
      </w:r>
      <w:r w:rsidR="00AC7151">
        <w:rPr>
          <w:lang w:val="en-US"/>
        </w:rPr>
        <w:t>tudy</w:t>
      </w:r>
      <w:r w:rsidR="00C34368">
        <w:rPr>
          <w:lang w:val="en-US"/>
        </w:rPr>
        <w:t xml:space="preserve"> </w:t>
      </w:r>
      <w:r w:rsidR="00AC7151">
        <w:rPr>
          <w:lang w:val="en-US"/>
        </w:rPr>
        <w:t>1</w:t>
      </w:r>
      <w:r w:rsidRPr="004A2990">
        <w:rPr>
          <w:lang w:val="en-US"/>
        </w:rPr>
        <w:t xml:space="preserve"> had a </w:t>
      </w:r>
      <w:r w:rsidR="00831411" w:rsidRPr="004A2990">
        <w:rPr>
          <w:lang w:val="en-US"/>
        </w:rPr>
        <w:t>cross-sectional design</w:t>
      </w:r>
      <w:r w:rsidR="006B3DA8" w:rsidRPr="004A2990">
        <w:rPr>
          <w:lang w:val="en-US"/>
        </w:rPr>
        <w:t xml:space="preserve">, </w:t>
      </w:r>
      <w:r w:rsidR="00831411" w:rsidRPr="004A2990">
        <w:rPr>
          <w:lang w:val="en-US"/>
        </w:rPr>
        <w:t xml:space="preserve">which makes </w:t>
      </w:r>
      <w:r w:rsidR="006B3DA8" w:rsidRPr="004A2990">
        <w:rPr>
          <w:lang w:val="en-US"/>
        </w:rPr>
        <w:t xml:space="preserve">it impossible to </w:t>
      </w:r>
      <w:r w:rsidR="00831411" w:rsidRPr="004A2990">
        <w:rPr>
          <w:lang w:val="en-US"/>
        </w:rPr>
        <w:t>determine</w:t>
      </w:r>
      <w:r w:rsidR="006B3DA8" w:rsidRPr="004A2990">
        <w:rPr>
          <w:lang w:val="en-US"/>
        </w:rPr>
        <w:t xml:space="preserve"> causality</w:t>
      </w:r>
      <w:r w:rsidRPr="004A2990">
        <w:rPr>
          <w:lang w:val="en-US"/>
        </w:rPr>
        <w:t xml:space="preserve"> with certainty</w:t>
      </w:r>
      <w:r w:rsidR="006B3DA8" w:rsidRPr="004A2990">
        <w:rPr>
          <w:lang w:val="en-US"/>
        </w:rPr>
        <w:t>. The poor fit of the alternative structural equation model indicates that the direction in the accepted model is an appropriate interpretation of the data</w:t>
      </w:r>
      <w:r w:rsidRPr="004A2990">
        <w:rPr>
          <w:lang w:val="en-US"/>
        </w:rPr>
        <w:t>;</w:t>
      </w:r>
      <w:r w:rsidR="006B3DA8" w:rsidRPr="004A2990">
        <w:rPr>
          <w:lang w:val="en-US"/>
        </w:rPr>
        <w:t xml:space="preserve"> </w:t>
      </w:r>
      <w:r w:rsidRPr="004A2990">
        <w:rPr>
          <w:lang w:val="en-US"/>
        </w:rPr>
        <w:t>but</w:t>
      </w:r>
      <w:r w:rsidR="006B3DA8" w:rsidRPr="004A2990">
        <w:rPr>
          <w:lang w:val="en-US"/>
        </w:rPr>
        <w:t xml:space="preserve"> experimental and/or longitudinal follow-up work would be needed for firm conclusions over the direction and causation of the effects seen. </w:t>
      </w:r>
      <w:r w:rsidR="00AC7151">
        <w:rPr>
          <w:lang w:val="en-US"/>
        </w:rPr>
        <w:t>Study 2</w:t>
      </w:r>
      <w:r w:rsidR="00E17767" w:rsidRPr="004A2990">
        <w:rPr>
          <w:lang w:val="en-US"/>
        </w:rPr>
        <w:t xml:space="preserve"> </w:t>
      </w:r>
      <w:r w:rsidR="006B3DA8" w:rsidRPr="004A2990">
        <w:rPr>
          <w:lang w:val="en-US"/>
        </w:rPr>
        <w:t xml:space="preserve">was designed to address </w:t>
      </w:r>
      <w:r w:rsidR="00831411" w:rsidRPr="004A2990">
        <w:rPr>
          <w:lang w:val="en-US"/>
        </w:rPr>
        <w:t>this</w:t>
      </w:r>
      <w:r w:rsidR="0017034C" w:rsidRPr="004A2990">
        <w:rPr>
          <w:lang w:val="en-US"/>
        </w:rPr>
        <w:t xml:space="preserve">. </w:t>
      </w:r>
    </w:p>
    <w:p w14:paraId="12829DE0" w14:textId="41B3608B" w:rsidR="0072323B" w:rsidRPr="004A2990" w:rsidRDefault="0072323B" w:rsidP="0017034C">
      <w:pPr>
        <w:pStyle w:val="APABodyText"/>
        <w:spacing w:after="0"/>
        <w:rPr>
          <w:lang w:val="en-US"/>
        </w:rPr>
      </w:pPr>
      <w:r>
        <w:rPr>
          <w:lang w:val="en-US"/>
        </w:rPr>
        <w:t xml:space="preserve">Another limitation of </w:t>
      </w:r>
      <w:r w:rsidR="00C34368">
        <w:rPr>
          <w:lang w:val="en-US"/>
        </w:rPr>
        <w:t>S</w:t>
      </w:r>
      <w:r>
        <w:rPr>
          <w:lang w:val="en-US"/>
        </w:rPr>
        <w:t xml:space="preserve">tudy 1 was that some of the key measures of interest were assessed with single-item measures. </w:t>
      </w:r>
      <w:r w:rsidR="004503FB">
        <w:rPr>
          <w:lang w:val="en-US"/>
        </w:rPr>
        <w:t xml:space="preserve">This was because we wanted to keep this voluntary, online survey as short as possible, in order to maximize our chances of people agreeing to participate, given that no monetary compensation was offered for participation. However, clearly results need to be interpreted with more caution than would be the case if multi-item measures had been used. </w:t>
      </w:r>
      <w:r>
        <w:rPr>
          <w:lang w:val="en-US"/>
        </w:rPr>
        <w:t xml:space="preserve">A further objective of Study 2 was therefore to replicate the findings but this time using more reliable, multi-item indices for each of the constructs. </w:t>
      </w:r>
    </w:p>
    <w:p w14:paraId="6A30AA6F" w14:textId="78311E25" w:rsidR="00BE3218" w:rsidRPr="004A2990" w:rsidRDefault="00FC09CC" w:rsidP="0017034C">
      <w:pPr>
        <w:pStyle w:val="APABodyText"/>
        <w:spacing w:after="0"/>
        <w:ind w:firstLine="0"/>
        <w:jc w:val="center"/>
        <w:rPr>
          <w:lang w:val="en-US"/>
        </w:rPr>
      </w:pPr>
      <w:r w:rsidRPr="004A2990">
        <w:rPr>
          <w:lang w:val="en-US"/>
        </w:rPr>
        <w:t>S</w:t>
      </w:r>
      <w:r w:rsidR="00BE3218" w:rsidRPr="004A2990">
        <w:rPr>
          <w:lang w:val="en-US"/>
        </w:rPr>
        <w:t xml:space="preserve">tudy </w:t>
      </w:r>
      <w:r w:rsidR="00AC7151">
        <w:rPr>
          <w:lang w:val="en-US"/>
        </w:rPr>
        <w:t>2</w:t>
      </w:r>
    </w:p>
    <w:p w14:paraId="3848C6D9" w14:textId="167CC966" w:rsidR="0017034C" w:rsidRPr="004A2990" w:rsidRDefault="00A017E7" w:rsidP="0017034C">
      <w:pPr>
        <w:pStyle w:val="APABodyText"/>
        <w:spacing w:after="0"/>
        <w:rPr>
          <w:lang w:val="en-US"/>
        </w:rPr>
      </w:pPr>
      <w:r w:rsidRPr="004A2990">
        <w:rPr>
          <w:lang w:val="en-US"/>
        </w:rPr>
        <w:t>S</w:t>
      </w:r>
      <w:r w:rsidR="00BE3218" w:rsidRPr="004A2990">
        <w:rPr>
          <w:lang w:val="en-US"/>
        </w:rPr>
        <w:t xml:space="preserve">tudy </w:t>
      </w:r>
      <w:r w:rsidR="00AC7151">
        <w:rPr>
          <w:lang w:val="en-US"/>
        </w:rPr>
        <w:t>2</w:t>
      </w:r>
      <w:r w:rsidR="00BE3218" w:rsidRPr="004A2990">
        <w:rPr>
          <w:lang w:val="en-US"/>
        </w:rPr>
        <w:t xml:space="preserve"> was designed to test for the presence of a causal relationship between perceived intergroup similarity and threat, and </w:t>
      </w:r>
      <w:r w:rsidR="00647019" w:rsidRPr="004A2990">
        <w:rPr>
          <w:lang w:val="en-US"/>
        </w:rPr>
        <w:t xml:space="preserve">responses </w:t>
      </w:r>
      <w:r w:rsidR="00BE3218" w:rsidRPr="004A2990">
        <w:rPr>
          <w:lang w:val="en-US"/>
        </w:rPr>
        <w:t xml:space="preserve">towards migrant groups </w:t>
      </w:r>
      <w:r w:rsidR="00A353DE" w:rsidRPr="004A2990">
        <w:rPr>
          <w:lang w:val="en-US"/>
        </w:rPr>
        <w:t>coming to</w:t>
      </w:r>
      <w:r w:rsidR="00BE3218" w:rsidRPr="004A2990">
        <w:rPr>
          <w:lang w:val="en-US"/>
        </w:rPr>
        <w:t xml:space="preserve"> the UK. </w:t>
      </w:r>
      <w:r w:rsidR="00A353DE" w:rsidRPr="004A2990">
        <w:rPr>
          <w:lang w:val="en-US"/>
        </w:rPr>
        <w:t>To avoid confounds associated with any real-life group, for this study a</w:t>
      </w:r>
      <w:r w:rsidR="00BE3218" w:rsidRPr="004A2990">
        <w:rPr>
          <w:lang w:val="en-US"/>
        </w:rPr>
        <w:t xml:space="preserve"> fictitious migrant group w</w:t>
      </w:r>
      <w:r w:rsidR="0049016F" w:rsidRPr="004A2990">
        <w:rPr>
          <w:lang w:val="en-US"/>
        </w:rPr>
        <w:t>as</w:t>
      </w:r>
      <w:r w:rsidR="00BE3218" w:rsidRPr="004A2990">
        <w:rPr>
          <w:lang w:val="en-US"/>
        </w:rPr>
        <w:t xml:space="preserve"> described to participants, either being presented as being high or low in similarity to British culture, and either threatening or non-threatening. </w:t>
      </w:r>
      <w:r w:rsidR="006B5B51" w:rsidRPr="004A2990">
        <w:rPr>
          <w:lang w:val="en-US"/>
        </w:rPr>
        <w:t>A fictitious group was used i</w:t>
      </w:r>
      <w:r w:rsidR="00CB4FAC" w:rsidRPr="004A2990">
        <w:rPr>
          <w:lang w:val="en-US"/>
        </w:rPr>
        <w:t xml:space="preserve">n order to ensure that responses were not clouded by any prior knowledge </w:t>
      </w:r>
      <w:r w:rsidR="006B5B51" w:rsidRPr="004A2990">
        <w:rPr>
          <w:lang w:val="en-US"/>
        </w:rPr>
        <w:t xml:space="preserve">or attitudes </w:t>
      </w:r>
      <w:r w:rsidR="00CB4FAC" w:rsidRPr="004A2990">
        <w:rPr>
          <w:lang w:val="en-US"/>
        </w:rPr>
        <w:t>participants had a</w:t>
      </w:r>
      <w:r w:rsidR="006B5B51" w:rsidRPr="004A2990">
        <w:rPr>
          <w:lang w:val="en-US"/>
        </w:rPr>
        <w:t>bout any specific target group w</w:t>
      </w:r>
      <w:r w:rsidR="00CB4FAC" w:rsidRPr="004A2990">
        <w:rPr>
          <w:lang w:val="en-US"/>
        </w:rPr>
        <w:t>e might have chosen</w:t>
      </w:r>
      <w:r w:rsidR="006B5B51" w:rsidRPr="004A2990">
        <w:rPr>
          <w:lang w:val="en-US"/>
        </w:rPr>
        <w:t xml:space="preserve">. </w:t>
      </w:r>
      <w:r w:rsidR="00CB4FAC" w:rsidRPr="004A2990">
        <w:rPr>
          <w:lang w:val="en-US"/>
        </w:rPr>
        <w:t xml:space="preserve">This group was presented to participants as being a group they simply were not previously aware of. </w:t>
      </w:r>
      <w:r w:rsidR="00647019" w:rsidRPr="004A2990">
        <w:rPr>
          <w:lang w:val="en-US"/>
        </w:rPr>
        <w:t xml:space="preserve">As before, it was </w:t>
      </w:r>
      <w:r w:rsidR="00CE254F" w:rsidRPr="004A2990">
        <w:rPr>
          <w:lang w:val="en-US"/>
        </w:rPr>
        <w:t>hypothesized</w:t>
      </w:r>
      <w:r w:rsidR="00647019" w:rsidRPr="004A2990">
        <w:rPr>
          <w:lang w:val="en-US"/>
        </w:rPr>
        <w:t xml:space="preserve"> that similarity and threat would </w:t>
      </w:r>
      <w:r w:rsidR="007E1C89">
        <w:rPr>
          <w:lang w:val="en-US"/>
        </w:rPr>
        <w:t xml:space="preserve">influence </w:t>
      </w:r>
      <w:r w:rsidR="00647019" w:rsidRPr="004A2990">
        <w:rPr>
          <w:lang w:val="en-US"/>
        </w:rPr>
        <w:t>affect towards minority members, their perceived rights to reside in the UK</w:t>
      </w:r>
      <w:r w:rsidR="00A353DE" w:rsidRPr="004A2990">
        <w:rPr>
          <w:lang w:val="en-US"/>
        </w:rPr>
        <w:t>, and population size estimates</w:t>
      </w:r>
      <w:r w:rsidR="00647019" w:rsidRPr="004A2990">
        <w:rPr>
          <w:lang w:val="en-US"/>
        </w:rPr>
        <w:t>.</w:t>
      </w:r>
    </w:p>
    <w:p w14:paraId="533A6FE1" w14:textId="5B013E82" w:rsidR="00BE3218" w:rsidRPr="004A2990" w:rsidRDefault="00BE3218" w:rsidP="0017034C">
      <w:pPr>
        <w:pStyle w:val="APABodyText"/>
        <w:spacing w:after="0"/>
        <w:ind w:firstLine="0"/>
        <w:jc w:val="center"/>
        <w:rPr>
          <w:lang w:val="en-US"/>
        </w:rPr>
      </w:pPr>
      <w:r w:rsidRPr="004A2990">
        <w:rPr>
          <w:lang w:val="en-US"/>
        </w:rPr>
        <w:lastRenderedPageBreak/>
        <w:t>Method</w:t>
      </w:r>
    </w:p>
    <w:p w14:paraId="03E2F118" w14:textId="77777777" w:rsidR="00BE3218" w:rsidRPr="004A2990" w:rsidRDefault="00BE3218" w:rsidP="007C0D19">
      <w:pPr>
        <w:pStyle w:val="APABodyText"/>
        <w:spacing w:after="0"/>
        <w:ind w:firstLine="0"/>
        <w:rPr>
          <w:i/>
          <w:lang w:val="en-US"/>
        </w:rPr>
      </w:pPr>
      <w:r w:rsidRPr="004A2990">
        <w:rPr>
          <w:i/>
          <w:lang w:val="en-US"/>
        </w:rPr>
        <w:t>Participants</w:t>
      </w:r>
    </w:p>
    <w:p w14:paraId="3447DDD7" w14:textId="548AF452" w:rsidR="00BE3218" w:rsidRPr="004A2990" w:rsidRDefault="00BE3218" w:rsidP="007C0D19">
      <w:pPr>
        <w:pStyle w:val="APABodyText"/>
        <w:spacing w:after="0"/>
        <w:rPr>
          <w:lang w:val="en-US"/>
        </w:rPr>
      </w:pPr>
      <w:r w:rsidRPr="004A2990">
        <w:rPr>
          <w:lang w:val="en-US"/>
        </w:rPr>
        <w:t xml:space="preserve">126 </w:t>
      </w:r>
      <w:r w:rsidR="00A353DE" w:rsidRPr="004A2990">
        <w:rPr>
          <w:lang w:val="en-US"/>
        </w:rPr>
        <w:t xml:space="preserve">British </w:t>
      </w:r>
      <w:r w:rsidRPr="004A2990">
        <w:rPr>
          <w:lang w:val="en-US"/>
        </w:rPr>
        <w:t>psychology unde</w:t>
      </w:r>
      <w:r w:rsidR="00A353DE" w:rsidRPr="004A2990">
        <w:rPr>
          <w:lang w:val="en-US"/>
        </w:rPr>
        <w:t>rgraduate students (113 females</w:t>
      </w:r>
      <w:r w:rsidRPr="004A2990">
        <w:rPr>
          <w:lang w:val="en-US"/>
        </w:rPr>
        <w:t>) completed the questionnaire in full and were thus included in the analyses. Participants ranged in age from 18-41 (</w:t>
      </w:r>
      <w:r w:rsidRPr="004A2990">
        <w:rPr>
          <w:i/>
          <w:lang w:val="en-US"/>
        </w:rPr>
        <w:t>M</w:t>
      </w:r>
      <w:r w:rsidRPr="004A2990">
        <w:rPr>
          <w:lang w:val="en-US"/>
        </w:rPr>
        <w:t xml:space="preserve"> = 18.92 years, </w:t>
      </w:r>
      <w:r w:rsidR="00A136F4">
        <w:rPr>
          <w:i/>
          <w:lang w:val="en-US"/>
        </w:rPr>
        <w:t>SD</w:t>
      </w:r>
      <w:r w:rsidRPr="004A2990">
        <w:rPr>
          <w:lang w:val="en-US"/>
        </w:rPr>
        <w:t xml:space="preserve"> = 2.43) and were recruited via </w:t>
      </w:r>
      <w:r w:rsidR="00647019" w:rsidRPr="004A2990">
        <w:rPr>
          <w:lang w:val="en-US"/>
        </w:rPr>
        <w:t>a</w:t>
      </w:r>
      <w:r w:rsidRPr="004A2990">
        <w:rPr>
          <w:lang w:val="en-US"/>
        </w:rPr>
        <w:t xml:space="preserve"> London </w:t>
      </w:r>
      <w:r w:rsidR="00647019" w:rsidRPr="004A2990">
        <w:rPr>
          <w:lang w:val="en-US"/>
        </w:rPr>
        <w:t xml:space="preserve">university </w:t>
      </w:r>
      <w:r w:rsidR="00A353DE" w:rsidRPr="004A2990">
        <w:rPr>
          <w:lang w:val="en-US"/>
        </w:rPr>
        <w:t>r</w:t>
      </w:r>
      <w:r w:rsidRPr="004A2990">
        <w:rPr>
          <w:lang w:val="en-US"/>
        </w:rPr>
        <w:t xml:space="preserve">esearch </w:t>
      </w:r>
      <w:r w:rsidR="00A353DE" w:rsidRPr="004A2990">
        <w:rPr>
          <w:lang w:val="en-US"/>
        </w:rPr>
        <w:t>p</w:t>
      </w:r>
      <w:r w:rsidRPr="004A2990">
        <w:rPr>
          <w:lang w:val="en-US"/>
        </w:rPr>
        <w:t xml:space="preserve">articipation </w:t>
      </w:r>
      <w:r w:rsidR="00A353DE" w:rsidRPr="004A2990">
        <w:rPr>
          <w:lang w:val="en-US"/>
        </w:rPr>
        <w:t>s</w:t>
      </w:r>
      <w:r w:rsidRPr="004A2990">
        <w:rPr>
          <w:lang w:val="en-US"/>
        </w:rPr>
        <w:t xml:space="preserve">cheme. </w:t>
      </w:r>
      <w:r w:rsidR="00647019" w:rsidRPr="004A2990">
        <w:rPr>
          <w:lang w:val="en-US"/>
        </w:rPr>
        <w:t xml:space="preserve">A cell size of </w:t>
      </w:r>
      <w:r w:rsidR="00647019" w:rsidRPr="00C34368">
        <w:rPr>
          <w:i/>
          <w:iCs/>
          <w:lang w:val="en-US"/>
        </w:rPr>
        <w:t>N</w:t>
      </w:r>
      <w:r w:rsidR="00647019" w:rsidRPr="004A2990">
        <w:rPr>
          <w:lang w:val="en-US"/>
        </w:rPr>
        <w:t xml:space="preserve"> = 30 was determined prior to data collection, </w:t>
      </w:r>
      <w:r w:rsidR="00955D9F">
        <w:rPr>
          <w:lang w:val="en-US"/>
        </w:rPr>
        <w:t xml:space="preserve">again based on the fact that in experimental work on similar issues this has previously been found sufficient to detect existing effects (Zagefka et al., 2012), </w:t>
      </w:r>
      <w:r w:rsidR="00647019" w:rsidRPr="004A2990">
        <w:rPr>
          <w:lang w:val="en-US"/>
        </w:rPr>
        <w:t xml:space="preserve">and the experiment was closed to new participants as soon as inspection of the data revealed that this target had been reached. </w:t>
      </w:r>
    </w:p>
    <w:p w14:paraId="28F3A45B" w14:textId="77777777" w:rsidR="003245DC" w:rsidRPr="004A2990" w:rsidRDefault="003245DC" w:rsidP="007C0D19">
      <w:pPr>
        <w:pStyle w:val="APABodyText"/>
        <w:spacing w:after="0"/>
        <w:ind w:firstLine="0"/>
        <w:rPr>
          <w:i/>
          <w:lang w:val="en-US"/>
        </w:rPr>
      </w:pPr>
      <w:r w:rsidRPr="004A2990">
        <w:rPr>
          <w:i/>
          <w:lang w:val="en-US"/>
        </w:rPr>
        <w:t>Design</w:t>
      </w:r>
    </w:p>
    <w:p w14:paraId="25F4F626" w14:textId="77777777" w:rsidR="00B07122" w:rsidRPr="004A2990" w:rsidRDefault="003245DC" w:rsidP="007C0D19">
      <w:pPr>
        <w:pStyle w:val="APABodyText"/>
        <w:spacing w:after="0"/>
        <w:rPr>
          <w:lang w:val="en-US"/>
        </w:rPr>
      </w:pPr>
      <w:r w:rsidRPr="004A2990">
        <w:rPr>
          <w:lang w:val="en-US"/>
        </w:rPr>
        <w:t>This study had a 2 x 2 independent measures design</w:t>
      </w:r>
      <w:r w:rsidR="00B07122" w:rsidRPr="004A2990">
        <w:rPr>
          <w:lang w:val="en-US"/>
        </w:rPr>
        <w:t xml:space="preserve">. Descriptions of a fictional group were manipulated on level of similarity to British culture (high vs. low) and level of intergroup threat posed (high vs. low). </w:t>
      </w:r>
    </w:p>
    <w:p w14:paraId="5F658EEA" w14:textId="136A1033" w:rsidR="00E005CC" w:rsidRDefault="00E005CC" w:rsidP="00E005CC">
      <w:pPr>
        <w:pStyle w:val="APABodyText"/>
        <w:spacing w:after="0"/>
        <w:ind w:firstLine="0"/>
        <w:rPr>
          <w:i/>
          <w:lang w:val="en-US"/>
        </w:rPr>
      </w:pPr>
      <w:r w:rsidRPr="00E005CC">
        <w:rPr>
          <w:i/>
          <w:lang w:val="en-US"/>
        </w:rPr>
        <w:t xml:space="preserve">Variables and Instruments </w:t>
      </w:r>
    </w:p>
    <w:p w14:paraId="6220F47E" w14:textId="70113685" w:rsidR="00BE3218" w:rsidRPr="004A2990" w:rsidRDefault="00BE3218" w:rsidP="007C0D19">
      <w:pPr>
        <w:pStyle w:val="APABodyText"/>
        <w:spacing w:after="0"/>
        <w:rPr>
          <w:lang w:val="en-US"/>
        </w:rPr>
      </w:pPr>
      <w:r w:rsidRPr="004A2990">
        <w:rPr>
          <w:lang w:val="en-US"/>
        </w:rPr>
        <w:t xml:space="preserve">Data was collected using an online questionnaire regarding participants’ </w:t>
      </w:r>
      <w:r w:rsidR="00680765" w:rsidRPr="004A2990">
        <w:rPr>
          <w:lang w:val="en-US"/>
        </w:rPr>
        <w:t>responses</w:t>
      </w:r>
      <w:r w:rsidRPr="004A2990">
        <w:rPr>
          <w:lang w:val="en-US"/>
        </w:rPr>
        <w:t xml:space="preserve"> towards individuals of the fictitious ‘</w:t>
      </w:r>
      <w:proofErr w:type="spellStart"/>
      <w:r w:rsidRPr="004A2990">
        <w:rPr>
          <w:lang w:val="en-US"/>
        </w:rPr>
        <w:t>Abendi</w:t>
      </w:r>
      <w:proofErr w:type="spellEnd"/>
      <w:r w:rsidRPr="004A2990">
        <w:rPr>
          <w:lang w:val="en-US"/>
        </w:rPr>
        <w:t xml:space="preserve">’ group who had migrated to live in the UK. </w:t>
      </w:r>
    </w:p>
    <w:p w14:paraId="255067B5" w14:textId="623CDC92" w:rsidR="00BE3218" w:rsidRPr="004A2990" w:rsidRDefault="00BE3218" w:rsidP="007C0D19">
      <w:pPr>
        <w:pStyle w:val="APABodyText"/>
        <w:spacing w:after="0"/>
        <w:rPr>
          <w:lang w:val="en-US"/>
        </w:rPr>
      </w:pPr>
      <w:r w:rsidRPr="004A2990">
        <w:rPr>
          <w:lang w:val="en-US"/>
        </w:rPr>
        <w:t>Participants were presented with descriptions of the fictitious ‘</w:t>
      </w:r>
      <w:proofErr w:type="spellStart"/>
      <w:r w:rsidRPr="004A2990">
        <w:rPr>
          <w:lang w:val="en-US"/>
        </w:rPr>
        <w:t>Abendi</w:t>
      </w:r>
      <w:proofErr w:type="spellEnd"/>
      <w:r w:rsidRPr="004A2990">
        <w:rPr>
          <w:lang w:val="en-US"/>
        </w:rPr>
        <w:t>’ group varying in both levels of intergroup similarity and intergroup threat, depending on the condition</w:t>
      </w:r>
      <w:r w:rsidR="00C23DB6">
        <w:rPr>
          <w:lang w:val="en-US"/>
        </w:rPr>
        <w:t xml:space="preserve"> (see </w:t>
      </w:r>
      <w:proofErr w:type="spellStart"/>
      <w:r w:rsidR="007947A2" w:rsidRPr="004A2990">
        <w:rPr>
          <w:lang w:val="en-US"/>
        </w:rPr>
        <w:t>Duckitt</w:t>
      </w:r>
      <w:proofErr w:type="spellEnd"/>
      <w:r w:rsidR="007947A2" w:rsidRPr="004A2990">
        <w:rPr>
          <w:lang w:val="en-US"/>
        </w:rPr>
        <w:t xml:space="preserve"> &amp; Sibley, 2010, for a similar methodological approach)</w:t>
      </w:r>
      <w:r w:rsidRPr="004A2990">
        <w:rPr>
          <w:lang w:val="en-US"/>
        </w:rPr>
        <w:t>. Participants were randomly allocated to one of four conditions combining high and low simi</w:t>
      </w:r>
      <w:r w:rsidR="00831411" w:rsidRPr="004A2990">
        <w:rPr>
          <w:lang w:val="en-US"/>
        </w:rPr>
        <w:t>larity with high and low threat</w:t>
      </w:r>
      <w:r w:rsidRPr="004A2990">
        <w:rPr>
          <w:lang w:val="en-US"/>
        </w:rPr>
        <w:t xml:space="preserve">. </w:t>
      </w:r>
    </w:p>
    <w:p w14:paraId="777F1647" w14:textId="5D69F07C" w:rsidR="009807F6" w:rsidRPr="004A2990" w:rsidRDefault="00BE3218" w:rsidP="007C0D19">
      <w:pPr>
        <w:pStyle w:val="APABodyText"/>
        <w:spacing w:after="0"/>
        <w:rPr>
          <w:lang w:val="en-US"/>
        </w:rPr>
      </w:pPr>
      <w:r w:rsidRPr="004A2990">
        <w:rPr>
          <w:rStyle w:val="Emphasis"/>
          <w:lang w:val="en-US"/>
        </w:rPr>
        <w:t>Demographics</w:t>
      </w:r>
      <w:r w:rsidR="00647019" w:rsidRPr="004A2990">
        <w:rPr>
          <w:rStyle w:val="Emphasis"/>
          <w:lang w:val="en-US"/>
        </w:rPr>
        <w:t xml:space="preserve">. </w:t>
      </w:r>
      <w:r w:rsidRPr="004A2990">
        <w:rPr>
          <w:lang w:val="en-US"/>
        </w:rPr>
        <w:t>The first section of the questionnaire collected demographic information (</w:t>
      </w:r>
      <w:r w:rsidR="00831411" w:rsidRPr="004A2990">
        <w:rPr>
          <w:lang w:val="en-US"/>
        </w:rPr>
        <w:t xml:space="preserve">e.g., </w:t>
      </w:r>
      <w:r w:rsidRPr="004A2990">
        <w:rPr>
          <w:lang w:val="en-US"/>
        </w:rPr>
        <w:t xml:space="preserve">age and gender). </w:t>
      </w:r>
    </w:p>
    <w:p w14:paraId="065B7FAF" w14:textId="4724ECCA" w:rsidR="00BE3218" w:rsidRPr="004A2990" w:rsidRDefault="00680765" w:rsidP="007C0D19">
      <w:pPr>
        <w:pStyle w:val="APABodyText"/>
        <w:spacing w:after="0"/>
        <w:rPr>
          <w:lang w:val="en-US"/>
        </w:rPr>
      </w:pPr>
      <w:r w:rsidRPr="004A2990">
        <w:rPr>
          <w:rStyle w:val="Emphasis"/>
          <w:lang w:val="en-US"/>
        </w:rPr>
        <w:lastRenderedPageBreak/>
        <w:t>Manipulation of s</w:t>
      </w:r>
      <w:r w:rsidR="00BE3218" w:rsidRPr="004A2990">
        <w:rPr>
          <w:rStyle w:val="Emphasis"/>
          <w:lang w:val="en-US"/>
        </w:rPr>
        <w:t xml:space="preserve">imilarity and </w:t>
      </w:r>
      <w:r w:rsidRPr="004A2990">
        <w:rPr>
          <w:rStyle w:val="Emphasis"/>
          <w:lang w:val="en-US"/>
        </w:rPr>
        <w:t>t</w:t>
      </w:r>
      <w:r w:rsidR="00BE3218" w:rsidRPr="004A2990">
        <w:rPr>
          <w:rStyle w:val="Emphasis"/>
          <w:lang w:val="en-US"/>
        </w:rPr>
        <w:t>hreat</w:t>
      </w:r>
      <w:r w:rsidR="00331788" w:rsidRPr="004A2990">
        <w:rPr>
          <w:rStyle w:val="Emphasis"/>
          <w:lang w:val="en-US"/>
        </w:rPr>
        <w:t xml:space="preserve">. </w:t>
      </w:r>
      <w:r w:rsidR="00FC0C8C" w:rsidRPr="004A2990">
        <w:rPr>
          <w:lang w:val="en-US"/>
        </w:rPr>
        <w:t>Each</w:t>
      </w:r>
      <w:r w:rsidR="00BE3218" w:rsidRPr="004A2990">
        <w:rPr>
          <w:lang w:val="en-US"/>
        </w:rPr>
        <w:t xml:space="preserve"> participant read a descriptive paragraph about a fictitious group </w:t>
      </w:r>
      <w:r w:rsidR="00330AC4" w:rsidRPr="004A2990">
        <w:rPr>
          <w:lang w:val="en-US"/>
        </w:rPr>
        <w:t xml:space="preserve">(presented as a real group) </w:t>
      </w:r>
      <w:r w:rsidR="00BE3218" w:rsidRPr="004A2990">
        <w:rPr>
          <w:lang w:val="en-US"/>
        </w:rPr>
        <w:t>migrating to the UK. Within this paragraph, the levels of threat and similarity to B</w:t>
      </w:r>
      <w:r w:rsidRPr="004A2990">
        <w:rPr>
          <w:lang w:val="en-US"/>
        </w:rPr>
        <w:t>ritish culture were manipulated</w:t>
      </w:r>
      <w:r w:rsidR="00623AF4" w:rsidRPr="004A2990">
        <w:rPr>
          <w:lang w:val="en-US"/>
        </w:rPr>
        <w:t xml:space="preserve">. </w:t>
      </w:r>
      <w:r w:rsidR="00BE3218" w:rsidRPr="004A2990">
        <w:rPr>
          <w:lang w:val="en-US"/>
        </w:rPr>
        <w:t xml:space="preserve">The description used </w:t>
      </w:r>
      <w:r w:rsidR="002337CA" w:rsidRPr="004A2990">
        <w:rPr>
          <w:lang w:val="en-US"/>
        </w:rPr>
        <w:t>w</w:t>
      </w:r>
      <w:r w:rsidR="00743C48">
        <w:rPr>
          <w:lang w:val="en-US"/>
        </w:rPr>
        <w:t>as</w:t>
      </w:r>
      <w:r w:rsidR="002337CA" w:rsidRPr="004A2990">
        <w:rPr>
          <w:lang w:val="en-US"/>
        </w:rPr>
        <w:t xml:space="preserve"> as follows</w:t>
      </w:r>
      <w:r w:rsidR="00BE3218" w:rsidRPr="004A2990">
        <w:rPr>
          <w:lang w:val="en-US"/>
        </w:rPr>
        <w:t>:</w:t>
      </w:r>
    </w:p>
    <w:p w14:paraId="0BDACA50" w14:textId="143D597C" w:rsidR="00BE3218" w:rsidRPr="004A2990" w:rsidRDefault="00BE3218" w:rsidP="007C0D19">
      <w:pPr>
        <w:pStyle w:val="APAQuotation"/>
        <w:spacing w:after="0"/>
        <w:rPr>
          <w:lang w:val="en-US"/>
        </w:rPr>
      </w:pPr>
      <w:r w:rsidRPr="004A2990">
        <w:rPr>
          <w:lang w:val="en-US"/>
        </w:rPr>
        <w:t xml:space="preserve">The </w:t>
      </w:r>
      <w:proofErr w:type="spellStart"/>
      <w:r w:rsidRPr="004A2990">
        <w:rPr>
          <w:lang w:val="en-US"/>
        </w:rPr>
        <w:t>Abendi</w:t>
      </w:r>
      <w:proofErr w:type="spellEnd"/>
      <w:r w:rsidRPr="004A2990">
        <w:rPr>
          <w:lang w:val="en-US"/>
        </w:rPr>
        <w:t xml:space="preserve"> are a group of individuals who have, and continue to, migrate to reside in the UK. This group is </w:t>
      </w:r>
      <w:r w:rsidR="00680765" w:rsidRPr="004A2990">
        <w:rPr>
          <w:lang w:val="en-US"/>
        </w:rPr>
        <w:t>(</w:t>
      </w:r>
      <w:r w:rsidRPr="004A2990">
        <w:rPr>
          <w:lang w:val="en-US"/>
        </w:rPr>
        <w:t>English-speaking</w:t>
      </w:r>
      <w:r w:rsidR="002337CA" w:rsidRPr="004A2990">
        <w:rPr>
          <w:lang w:val="en-US"/>
        </w:rPr>
        <w:t>/not English speaking</w:t>
      </w:r>
      <w:r w:rsidR="00680765" w:rsidRPr="004A2990">
        <w:rPr>
          <w:lang w:val="en-US"/>
        </w:rPr>
        <w:t>)</w:t>
      </w:r>
      <w:r w:rsidRPr="004A2990">
        <w:rPr>
          <w:lang w:val="en-US"/>
        </w:rPr>
        <w:t xml:space="preserve"> and largely </w:t>
      </w:r>
      <w:r w:rsidR="00680765" w:rsidRPr="004A2990">
        <w:rPr>
          <w:lang w:val="en-US"/>
        </w:rPr>
        <w:t>(</w:t>
      </w:r>
      <w:r w:rsidRPr="004A2990">
        <w:rPr>
          <w:lang w:val="en-US"/>
        </w:rPr>
        <w:t>similar</w:t>
      </w:r>
      <w:r w:rsidR="002337CA" w:rsidRPr="004A2990">
        <w:rPr>
          <w:lang w:val="en-US"/>
        </w:rPr>
        <w:t>/dissimilar</w:t>
      </w:r>
      <w:r w:rsidR="00680765" w:rsidRPr="004A2990">
        <w:rPr>
          <w:lang w:val="en-US"/>
        </w:rPr>
        <w:t>)</w:t>
      </w:r>
      <w:r w:rsidRPr="004A2990">
        <w:rPr>
          <w:lang w:val="en-US"/>
        </w:rPr>
        <w:t xml:space="preserve"> in culture to Britain. </w:t>
      </w:r>
      <w:r w:rsidR="00680765" w:rsidRPr="004A2990">
        <w:rPr>
          <w:lang w:val="en-US"/>
        </w:rPr>
        <w:t>(</w:t>
      </w:r>
      <w:r w:rsidR="0065782F" w:rsidRPr="004A2990">
        <w:rPr>
          <w:lang w:val="en-US"/>
        </w:rPr>
        <w:t>Few/</w:t>
      </w:r>
      <w:r w:rsidRPr="004A2990">
        <w:rPr>
          <w:lang w:val="en-US"/>
        </w:rPr>
        <w:t>A large number of</w:t>
      </w:r>
      <w:r w:rsidR="00680765" w:rsidRPr="004A2990">
        <w:rPr>
          <w:lang w:val="en-US"/>
        </w:rPr>
        <w:t>)</w:t>
      </w:r>
      <w:r w:rsidRPr="004A2990">
        <w:rPr>
          <w:lang w:val="en-US"/>
        </w:rPr>
        <w:t xml:space="preserve"> jobs are required in order for these individuals to support themselves upon arrival in the UK, an</w:t>
      </w:r>
      <w:r w:rsidR="00FC0C8C" w:rsidRPr="004A2990">
        <w:rPr>
          <w:lang w:val="en-US"/>
        </w:rPr>
        <w:t>d their presence</w:t>
      </w:r>
      <w:r w:rsidR="0065782F" w:rsidRPr="004A2990">
        <w:rPr>
          <w:lang w:val="en-US"/>
        </w:rPr>
        <w:t xml:space="preserve"> is </w:t>
      </w:r>
      <w:r w:rsidR="00680765" w:rsidRPr="004A2990">
        <w:rPr>
          <w:lang w:val="en-US"/>
        </w:rPr>
        <w:t>(</w:t>
      </w:r>
      <w:r w:rsidR="0065782F" w:rsidRPr="004A2990">
        <w:rPr>
          <w:lang w:val="en-US"/>
        </w:rPr>
        <w:t>unlikely to/</w:t>
      </w:r>
      <w:r w:rsidR="00FC0C8C" w:rsidRPr="004A2990">
        <w:rPr>
          <w:lang w:val="en-US"/>
        </w:rPr>
        <w:t>may</w:t>
      </w:r>
      <w:r w:rsidR="00680765" w:rsidRPr="004A2990">
        <w:rPr>
          <w:lang w:val="en-US"/>
        </w:rPr>
        <w:t>)</w:t>
      </w:r>
      <w:r w:rsidRPr="004A2990">
        <w:rPr>
          <w:lang w:val="en-US"/>
        </w:rPr>
        <w:t xml:space="preserve"> result in the displacement of British workers. In addition, these individuals </w:t>
      </w:r>
      <w:r w:rsidR="00680765" w:rsidRPr="004A2990">
        <w:rPr>
          <w:lang w:val="en-US"/>
        </w:rPr>
        <w:t>(</w:t>
      </w:r>
      <w:r w:rsidR="0065782F" w:rsidRPr="004A2990">
        <w:rPr>
          <w:lang w:val="en-US"/>
        </w:rPr>
        <w:t>will not/</w:t>
      </w:r>
      <w:r w:rsidRPr="004A2990">
        <w:rPr>
          <w:lang w:val="en-US"/>
        </w:rPr>
        <w:t>will</w:t>
      </w:r>
      <w:r w:rsidR="00680765" w:rsidRPr="004A2990">
        <w:rPr>
          <w:lang w:val="en-US"/>
        </w:rPr>
        <w:t>)</w:t>
      </w:r>
      <w:r w:rsidRPr="004A2990">
        <w:rPr>
          <w:lang w:val="en-US"/>
        </w:rPr>
        <w:t xml:space="preserve"> require healthcare and welfare resources and thus </w:t>
      </w:r>
      <w:r w:rsidR="00680765" w:rsidRPr="004A2990">
        <w:rPr>
          <w:lang w:val="en-US"/>
        </w:rPr>
        <w:t>(</w:t>
      </w:r>
      <w:r w:rsidR="0065782F" w:rsidRPr="004A2990">
        <w:rPr>
          <w:lang w:val="en-US"/>
        </w:rPr>
        <w:t xml:space="preserve">do not </w:t>
      </w:r>
      <w:r w:rsidRPr="004A2990">
        <w:rPr>
          <w:lang w:val="en-US"/>
        </w:rPr>
        <w:t>take</w:t>
      </w:r>
      <w:r w:rsidR="00FC0C8C" w:rsidRPr="004A2990">
        <w:rPr>
          <w:lang w:val="en-US"/>
        </w:rPr>
        <w:t xml:space="preserve"> more/take more</w:t>
      </w:r>
      <w:r w:rsidR="00680765" w:rsidRPr="004A2990">
        <w:rPr>
          <w:lang w:val="en-US"/>
        </w:rPr>
        <w:t>)</w:t>
      </w:r>
      <w:r w:rsidRPr="004A2990">
        <w:rPr>
          <w:lang w:val="en-US"/>
        </w:rPr>
        <w:t xml:space="preserve"> from the UK than they contribute. It is </w:t>
      </w:r>
      <w:r w:rsidR="00680765" w:rsidRPr="004A2990">
        <w:rPr>
          <w:lang w:val="en-US"/>
        </w:rPr>
        <w:t>(</w:t>
      </w:r>
      <w:r w:rsidR="00FC0C8C" w:rsidRPr="004A2990">
        <w:rPr>
          <w:lang w:val="en-US"/>
        </w:rPr>
        <w:t>likely</w:t>
      </w:r>
      <w:r w:rsidR="0065782F" w:rsidRPr="004A2990">
        <w:rPr>
          <w:lang w:val="en-US"/>
        </w:rPr>
        <w:t>/unlikely</w:t>
      </w:r>
      <w:r w:rsidR="00680765" w:rsidRPr="004A2990">
        <w:rPr>
          <w:lang w:val="en-US"/>
        </w:rPr>
        <w:t>)</w:t>
      </w:r>
      <w:r w:rsidRPr="004A2990">
        <w:rPr>
          <w:lang w:val="en-US"/>
        </w:rPr>
        <w:t xml:space="preserve"> that the expenses incurred from such migration will be able to be met by the government. As a result</w:t>
      </w:r>
      <w:r w:rsidR="00680765" w:rsidRPr="004A2990">
        <w:rPr>
          <w:lang w:val="en-US"/>
        </w:rPr>
        <w:t>,</w:t>
      </w:r>
      <w:r w:rsidRPr="004A2990">
        <w:rPr>
          <w:lang w:val="en-US"/>
        </w:rPr>
        <w:t xml:space="preserve"> </w:t>
      </w:r>
      <w:r w:rsidR="00680765" w:rsidRPr="004A2990">
        <w:rPr>
          <w:lang w:val="en-US"/>
        </w:rPr>
        <w:t>(</w:t>
      </w:r>
      <w:r w:rsidR="0065782F" w:rsidRPr="004A2990">
        <w:rPr>
          <w:lang w:val="en-US"/>
        </w:rPr>
        <w:t>no significant tax burden/</w:t>
      </w:r>
      <w:r w:rsidRPr="004A2990">
        <w:rPr>
          <w:lang w:val="en-US"/>
        </w:rPr>
        <w:t>a significant tax burden</w:t>
      </w:r>
      <w:r w:rsidR="00680765" w:rsidRPr="004A2990">
        <w:rPr>
          <w:lang w:val="en-US"/>
        </w:rPr>
        <w:t>)</w:t>
      </w:r>
      <w:r w:rsidRPr="004A2990">
        <w:rPr>
          <w:lang w:val="en-US"/>
        </w:rPr>
        <w:t xml:space="preserve"> will likely fall upon the UK population.</w:t>
      </w:r>
    </w:p>
    <w:p w14:paraId="6B423179" w14:textId="1C8691C2" w:rsidR="00B07122" w:rsidRPr="004A2990" w:rsidRDefault="00CB4FAC" w:rsidP="007C0D19">
      <w:pPr>
        <w:pStyle w:val="APABodyText"/>
        <w:spacing w:after="0"/>
        <w:rPr>
          <w:lang w:val="en-US"/>
        </w:rPr>
      </w:pPr>
      <w:r w:rsidRPr="004A2990">
        <w:rPr>
          <w:rStyle w:val="Emphasis"/>
          <w:lang w:val="en-US"/>
        </w:rPr>
        <w:t xml:space="preserve">Positive </w:t>
      </w:r>
      <w:r w:rsidR="007E1C89">
        <w:rPr>
          <w:rStyle w:val="Emphasis"/>
          <w:lang w:val="en-US"/>
        </w:rPr>
        <w:t>affect</w:t>
      </w:r>
      <w:r w:rsidR="00331788" w:rsidRPr="004A2990">
        <w:rPr>
          <w:rStyle w:val="Emphasis"/>
          <w:lang w:val="en-US"/>
        </w:rPr>
        <w:t xml:space="preserve">. </w:t>
      </w:r>
      <w:r w:rsidRPr="004A2990">
        <w:rPr>
          <w:lang w:val="en-US"/>
        </w:rPr>
        <w:t xml:space="preserve">Positive </w:t>
      </w:r>
      <w:r w:rsidR="007E1C89">
        <w:rPr>
          <w:lang w:val="en-US"/>
        </w:rPr>
        <w:t>affect</w:t>
      </w:r>
      <w:r w:rsidR="00BE3218" w:rsidRPr="004A2990">
        <w:rPr>
          <w:lang w:val="en-US"/>
        </w:rPr>
        <w:t xml:space="preserve"> towards </w:t>
      </w:r>
      <w:r w:rsidR="002337CA" w:rsidRPr="004A2990">
        <w:rPr>
          <w:lang w:val="en-US"/>
        </w:rPr>
        <w:t xml:space="preserve">the </w:t>
      </w:r>
      <w:proofErr w:type="spellStart"/>
      <w:r w:rsidR="00BE3218" w:rsidRPr="004A2990">
        <w:rPr>
          <w:lang w:val="en-US"/>
        </w:rPr>
        <w:t>Abendi</w:t>
      </w:r>
      <w:proofErr w:type="spellEnd"/>
      <w:r w:rsidR="00BE3218" w:rsidRPr="004A2990">
        <w:rPr>
          <w:lang w:val="en-US"/>
        </w:rPr>
        <w:t xml:space="preserve"> w</w:t>
      </w:r>
      <w:r w:rsidR="0072323B">
        <w:rPr>
          <w:lang w:val="en-US"/>
        </w:rPr>
        <w:t>as</w:t>
      </w:r>
      <w:r w:rsidR="00BE3218" w:rsidRPr="004A2990">
        <w:rPr>
          <w:lang w:val="en-US"/>
        </w:rPr>
        <w:t xml:space="preserve"> measured using </w:t>
      </w:r>
      <w:r w:rsidR="00274D05" w:rsidRPr="004A2990">
        <w:rPr>
          <w:lang w:val="en-US"/>
        </w:rPr>
        <w:t>a</w:t>
      </w:r>
      <w:r w:rsidR="00BE3218" w:rsidRPr="004A2990">
        <w:rPr>
          <w:lang w:val="en-US"/>
        </w:rPr>
        <w:t xml:space="preserve"> </w:t>
      </w:r>
      <w:r w:rsidR="00274D05" w:rsidRPr="004A2990">
        <w:rPr>
          <w:lang w:val="en-US"/>
        </w:rPr>
        <w:t xml:space="preserve">scale consisting of </w:t>
      </w:r>
      <w:r w:rsidR="007C6474" w:rsidRPr="004A2990">
        <w:rPr>
          <w:lang w:val="en-US"/>
        </w:rPr>
        <w:t xml:space="preserve">seven </w:t>
      </w:r>
      <w:r w:rsidR="00274D05" w:rsidRPr="004A2990">
        <w:rPr>
          <w:lang w:val="en-US"/>
        </w:rPr>
        <w:t>questions (</w:t>
      </w:r>
      <w:r w:rsidR="00646393" w:rsidRPr="004A2990">
        <w:t>α</w:t>
      </w:r>
      <w:r w:rsidR="00274D05" w:rsidRPr="004A2990">
        <w:rPr>
          <w:lang w:val="en-US"/>
        </w:rPr>
        <w:t xml:space="preserve"> = .896). </w:t>
      </w:r>
      <w:r w:rsidR="00680765" w:rsidRPr="004A2990">
        <w:rPr>
          <w:lang w:val="en-US"/>
        </w:rPr>
        <w:t>As in study 1, t</w:t>
      </w:r>
      <w:r w:rsidR="00274D05" w:rsidRPr="004A2990">
        <w:rPr>
          <w:lang w:val="en-US"/>
        </w:rPr>
        <w:t xml:space="preserve">he first question required participants to indicate their general </w:t>
      </w:r>
      <w:r w:rsidR="007A408D" w:rsidRPr="004A2990">
        <w:rPr>
          <w:lang w:val="en-US"/>
        </w:rPr>
        <w:t>emotion</w:t>
      </w:r>
      <w:r w:rsidR="00274D05" w:rsidRPr="004A2990">
        <w:rPr>
          <w:lang w:val="en-US"/>
        </w:rPr>
        <w:t xml:space="preserve">s towards the </w:t>
      </w:r>
      <w:proofErr w:type="spellStart"/>
      <w:r w:rsidR="00274D05" w:rsidRPr="004A2990">
        <w:rPr>
          <w:lang w:val="en-US"/>
        </w:rPr>
        <w:t>Abendi</w:t>
      </w:r>
      <w:proofErr w:type="spellEnd"/>
      <w:r w:rsidR="00274D05" w:rsidRPr="004A2990">
        <w:rPr>
          <w:lang w:val="en-US"/>
        </w:rPr>
        <w:t xml:space="preserve"> people, on a 7-po</w:t>
      </w:r>
      <w:r w:rsidR="000C7322">
        <w:rPr>
          <w:lang w:val="en-US"/>
        </w:rPr>
        <w:t>int Likert scale ranging from ‘</w:t>
      </w:r>
      <w:r w:rsidR="000C7322" w:rsidRPr="000C7322">
        <w:rPr>
          <w:i/>
          <w:lang w:val="en-US"/>
        </w:rPr>
        <w:t>e</w:t>
      </w:r>
      <w:r w:rsidR="00274D05" w:rsidRPr="000C7322">
        <w:rPr>
          <w:i/>
          <w:lang w:val="en-US"/>
        </w:rPr>
        <w:t xml:space="preserve">xtremely </w:t>
      </w:r>
      <w:r w:rsidR="000C7322" w:rsidRPr="000C7322">
        <w:rPr>
          <w:i/>
          <w:lang w:val="en-US"/>
        </w:rPr>
        <w:t>n</w:t>
      </w:r>
      <w:r w:rsidR="00274D05" w:rsidRPr="000C7322">
        <w:rPr>
          <w:i/>
          <w:lang w:val="en-US"/>
        </w:rPr>
        <w:t>egative</w:t>
      </w:r>
      <w:r w:rsidR="000C7322">
        <w:rPr>
          <w:lang w:val="en-US"/>
        </w:rPr>
        <w:t>’ to ‘</w:t>
      </w:r>
      <w:r w:rsidR="000C7322" w:rsidRPr="000C7322">
        <w:rPr>
          <w:i/>
          <w:lang w:val="en-US"/>
        </w:rPr>
        <w:t>extremely p</w:t>
      </w:r>
      <w:r w:rsidR="00274D05" w:rsidRPr="000C7322">
        <w:rPr>
          <w:i/>
          <w:lang w:val="en-US"/>
        </w:rPr>
        <w:t>ositive</w:t>
      </w:r>
      <w:r w:rsidR="00274D05" w:rsidRPr="004A2990">
        <w:rPr>
          <w:lang w:val="en-US"/>
        </w:rPr>
        <w:t xml:space="preserve">’. The </w:t>
      </w:r>
      <w:r w:rsidR="007C6474" w:rsidRPr="004A2990">
        <w:rPr>
          <w:lang w:val="en-US"/>
        </w:rPr>
        <w:t xml:space="preserve">other </w:t>
      </w:r>
      <w:r w:rsidR="00274D05" w:rsidRPr="004A2990">
        <w:rPr>
          <w:lang w:val="en-US"/>
        </w:rPr>
        <w:t>question</w:t>
      </w:r>
      <w:r w:rsidR="007C6474" w:rsidRPr="004A2990">
        <w:rPr>
          <w:lang w:val="en-US"/>
        </w:rPr>
        <w:t>s</w:t>
      </w:r>
      <w:r w:rsidR="00274D05" w:rsidRPr="004A2990">
        <w:rPr>
          <w:lang w:val="en-US"/>
        </w:rPr>
        <w:t xml:space="preserve"> consisted of the </w:t>
      </w:r>
      <w:r w:rsidR="00680765" w:rsidRPr="004A2990">
        <w:rPr>
          <w:lang w:val="en-US"/>
        </w:rPr>
        <w:t xml:space="preserve">bipolar adjectives of the </w:t>
      </w:r>
      <w:r w:rsidR="00274D05" w:rsidRPr="004A2990">
        <w:rPr>
          <w:lang w:val="en-US"/>
        </w:rPr>
        <w:t xml:space="preserve">General Evaluation Scale (Wright, Aron, McLaughlin-Volpe &amp; </w:t>
      </w:r>
      <w:proofErr w:type="spellStart"/>
      <w:r w:rsidR="00274D05" w:rsidRPr="004A2990">
        <w:rPr>
          <w:lang w:val="en-US"/>
        </w:rPr>
        <w:t>Ropp</w:t>
      </w:r>
      <w:proofErr w:type="spellEnd"/>
      <w:r w:rsidR="00274D05" w:rsidRPr="004A2990">
        <w:rPr>
          <w:lang w:val="en-US"/>
        </w:rPr>
        <w:t xml:space="preserve">, 1997), </w:t>
      </w:r>
      <w:r w:rsidR="00680765" w:rsidRPr="004A2990">
        <w:rPr>
          <w:lang w:val="en-US"/>
        </w:rPr>
        <w:t xml:space="preserve">e.g. </w:t>
      </w:r>
      <w:r w:rsidR="00274D05" w:rsidRPr="004A2990">
        <w:rPr>
          <w:lang w:val="en-US"/>
        </w:rPr>
        <w:t>warm-cold, nega</w:t>
      </w:r>
      <w:r w:rsidR="00680765" w:rsidRPr="004A2990">
        <w:rPr>
          <w:lang w:val="en-US"/>
        </w:rPr>
        <w:t>tive-positive, friendly-hostile</w:t>
      </w:r>
      <w:r w:rsidR="00274D05" w:rsidRPr="004A2990">
        <w:rPr>
          <w:lang w:val="en-US"/>
        </w:rPr>
        <w:t xml:space="preserve">. </w:t>
      </w:r>
      <w:r w:rsidR="00680765" w:rsidRPr="004A2990">
        <w:rPr>
          <w:lang w:val="en-US"/>
        </w:rPr>
        <w:t>P</w:t>
      </w:r>
      <w:r w:rsidR="002337CA" w:rsidRPr="004A2990">
        <w:rPr>
          <w:lang w:val="en-US"/>
        </w:rPr>
        <w:t xml:space="preserve">ositive values on this scale indicate more positive </w:t>
      </w:r>
      <w:r w:rsidR="007E1C89">
        <w:rPr>
          <w:lang w:val="en-US"/>
        </w:rPr>
        <w:t>affect</w:t>
      </w:r>
      <w:r w:rsidR="002337CA" w:rsidRPr="004A2990">
        <w:rPr>
          <w:lang w:val="en-US"/>
        </w:rPr>
        <w:t xml:space="preserve">. </w:t>
      </w:r>
    </w:p>
    <w:p w14:paraId="38ADA867" w14:textId="6C1A0749" w:rsidR="00BE3218" w:rsidRPr="004A2990" w:rsidRDefault="00BE3218" w:rsidP="007C0D19">
      <w:pPr>
        <w:pStyle w:val="APABodyText"/>
        <w:spacing w:after="0"/>
        <w:rPr>
          <w:i/>
          <w:iCs/>
          <w:lang w:val="en-US"/>
        </w:rPr>
      </w:pPr>
      <w:r w:rsidRPr="004A2990">
        <w:rPr>
          <w:rStyle w:val="Emphasis"/>
          <w:lang w:val="en-US"/>
        </w:rPr>
        <w:t>Perc</w:t>
      </w:r>
      <w:r w:rsidR="00680765" w:rsidRPr="004A2990">
        <w:rPr>
          <w:rStyle w:val="Emphasis"/>
          <w:lang w:val="en-US"/>
        </w:rPr>
        <w:t>eived right to r</w:t>
      </w:r>
      <w:r w:rsidR="00331788" w:rsidRPr="004A2990">
        <w:rPr>
          <w:rStyle w:val="Emphasis"/>
          <w:lang w:val="en-US"/>
        </w:rPr>
        <w:t xml:space="preserve">eside in the UK. </w:t>
      </w:r>
      <w:r w:rsidRPr="004A2990">
        <w:rPr>
          <w:lang w:val="en-US"/>
        </w:rPr>
        <w:t xml:space="preserve">The perceived right </w:t>
      </w:r>
      <w:r w:rsidR="00680765" w:rsidRPr="004A2990">
        <w:rPr>
          <w:lang w:val="en-US"/>
        </w:rPr>
        <w:t>of</w:t>
      </w:r>
      <w:r w:rsidRPr="004A2990">
        <w:rPr>
          <w:lang w:val="en-US"/>
        </w:rPr>
        <w:t xml:space="preserve"> the </w:t>
      </w:r>
      <w:proofErr w:type="spellStart"/>
      <w:r w:rsidRPr="004A2990">
        <w:rPr>
          <w:lang w:val="en-US"/>
        </w:rPr>
        <w:t>Abendi</w:t>
      </w:r>
      <w:proofErr w:type="spellEnd"/>
      <w:r w:rsidRPr="004A2990">
        <w:rPr>
          <w:lang w:val="en-US"/>
        </w:rPr>
        <w:t xml:space="preserve"> individuals to reside in the UK was next assessed using a 3-item measure (</w:t>
      </w:r>
      <w:r w:rsidR="00646393" w:rsidRPr="004A2990">
        <w:t>α</w:t>
      </w:r>
      <w:r w:rsidRPr="004A2990">
        <w:rPr>
          <w:lang w:val="en-US"/>
        </w:rPr>
        <w:t xml:space="preserve"> = .934). Participants were asked to report the degree to which they believed that </w:t>
      </w:r>
      <w:proofErr w:type="spellStart"/>
      <w:r w:rsidRPr="004A2990">
        <w:rPr>
          <w:lang w:val="en-US"/>
        </w:rPr>
        <w:t>Abendi</w:t>
      </w:r>
      <w:proofErr w:type="spellEnd"/>
      <w:r w:rsidRPr="004A2990">
        <w:rPr>
          <w:lang w:val="en-US"/>
        </w:rPr>
        <w:t xml:space="preserve"> individuals had the right to live </w:t>
      </w:r>
      <w:r w:rsidRPr="004A2990">
        <w:rPr>
          <w:lang w:val="en-US"/>
        </w:rPr>
        <w:lastRenderedPageBreak/>
        <w:t>in the UK, the degree to which they should be permitted to live in the UK</w:t>
      </w:r>
      <w:r w:rsidR="002337CA" w:rsidRPr="004A2990">
        <w:rPr>
          <w:lang w:val="en-US"/>
        </w:rPr>
        <w:t>,</w:t>
      </w:r>
      <w:r w:rsidRPr="004A2990">
        <w:rPr>
          <w:lang w:val="en-US"/>
        </w:rPr>
        <w:t xml:space="preserve"> and the degree to which Britain ought to be accepting of </w:t>
      </w:r>
      <w:proofErr w:type="spellStart"/>
      <w:r w:rsidRPr="004A2990">
        <w:rPr>
          <w:lang w:val="en-US"/>
        </w:rPr>
        <w:t>Abendi</w:t>
      </w:r>
      <w:proofErr w:type="spellEnd"/>
      <w:r w:rsidRPr="004A2990">
        <w:rPr>
          <w:lang w:val="en-US"/>
        </w:rPr>
        <w:t xml:space="preserve"> individuals wishing to live in the UK. All responses were given using 7-point Likert scales. </w:t>
      </w:r>
      <w:r w:rsidR="002337CA" w:rsidRPr="004A2990">
        <w:rPr>
          <w:lang w:val="en-US"/>
        </w:rPr>
        <w:t xml:space="preserve">High values indicate more perceived immigrant rights. </w:t>
      </w:r>
    </w:p>
    <w:p w14:paraId="2EBBC08D" w14:textId="1320CD9C" w:rsidR="00FC0C8C" w:rsidRPr="004A2990" w:rsidRDefault="00680765" w:rsidP="00582B2B">
      <w:pPr>
        <w:pStyle w:val="APABodyText"/>
        <w:spacing w:after="0"/>
        <w:rPr>
          <w:lang w:val="en-US"/>
        </w:rPr>
      </w:pPr>
      <w:r w:rsidRPr="004A2990">
        <w:rPr>
          <w:rStyle w:val="Emphasis"/>
          <w:lang w:val="en-US"/>
        </w:rPr>
        <w:t>Perceived p</w:t>
      </w:r>
      <w:r w:rsidR="00331788" w:rsidRPr="004A2990">
        <w:rPr>
          <w:rStyle w:val="Emphasis"/>
          <w:lang w:val="en-US"/>
        </w:rPr>
        <w:t>opula</w:t>
      </w:r>
      <w:r w:rsidR="00BE3218" w:rsidRPr="004A2990">
        <w:rPr>
          <w:rStyle w:val="Emphasis"/>
          <w:lang w:val="en-US"/>
        </w:rPr>
        <w:t xml:space="preserve">tion </w:t>
      </w:r>
      <w:r w:rsidRPr="004A2990">
        <w:rPr>
          <w:rStyle w:val="Emphasis"/>
          <w:lang w:val="en-US"/>
        </w:rPr>
        <w:t>size</w:t>
      </w:r>
      <w:r w:rsidR="00331788" w:rsidRPr="004A2990">
        <w:rPr>
          <w:rStyle w:val="Emphasis"/>
          <w:lang w:val="en-US"/>
        </w:rPr>
        <w:t xml:space="preserve">. </w:t>
      </w:r>
      <w:r w:rsidR="00BE3218" w:rsidRPr="004A2990">
        <w:rPr>
          <w:lang w:val="en-US"/>
        </w:rPr>
        <w:t xml:space="preserve">Estimated population size was examined using </w:t>
      </w:r>
      <w:r w:rsidR="001316B8" w:rsidRPr="004A2990">
        <w:rPr>
          <w:lang w:val="en-US"/>
        </w:rPr>
        <w:t>two</w:t>
      </w:r>
      <w:r w:rsidR="00BE3218" w:rsidRPr="004A2990">
        <w:rPr>
          <w:lang w:val="en-US"/>
        </w:rPr>
        <w:t xml:space="preserve"> questions</w:t>
      </w:r>
      <w:r w:rsidR="001316B8" w:rsidRPr="004A2990">
        <w:rPr>
          <w:lang w:val="en-US"/>
        </w:rPr>
        <w:t xml:space="preserve"> (</w:t>
      </w:r>
      <w:r w:rsidR="00646393" w:rsidRPr="004A2990">
        <w:t>α</w:t>
      </w:r>
      <w:r w:rsidR="001316B8" w:rsidRPr="004A2990">
        <w:rPr>
          <w:lang w:val="en-US"/>
        </w:rPr>
        <w:t xml:space="preserve"> = 847)</w:t>
      </w:r>
      <w:r w:rsidR="00BE3218" w:rsidRPr="004A2990">
        <w:rPr>
          <w:lang w:val="en-US"/>
        </w:rPr>
        <w:t xml:space="preserve">: Participants were asked to estimate the size of the </w:t>
      </w:r>
      <w:proofErr w:type="spellStart"/>
      <w:r w:rsidR="00BE3218" w:rsidRPr="004A2990">
        <w:rPr>
          <w:lang w:val="en-US"/>
        </w:rPr>
        <w:t>Abendi</w:t>
      </w:r>
      <w:proofErr w:type="spellEnd"/>
      <w:r w:rsidR="00BE3218" w:rsidRPr="004A2990">
        <w:rPr>
          <w:lang w:val="en-US"/>
        </w:rPr>
        <w:t xml:space="preserve"> population living in the UK using</w:t>
      </w:r>
      <w:r w:rsidR="000C7322">
        <w:rPr>
          <w:lang w:val="en-US"/>
        </w:rPr>
        <w:t xml:space="preserve"> a Likert scale ranging from 1 ‘</w:t>
      </w:r>
      <w:r w:rsidR="00BE3218" w:rsidRPr="000C7322">
        <w:rPr>
          <w:i/>
          <w:lang w:val="en-US"/>
        </w:rPr>
        <w:t>extremely small</w:t>
      </w:r>
      <w:r w:rsidR="000C7322">
        <w:rPr>
          <w:lang w:val="en-US"/>
        </w:rPr>
        <w:t>’ to 7 ‘</w:t>
      </w:r>
      <w:r w:rsidR="00BE3218" w:rsidRPr="000C7322">
        <w:rPr>
          <w:i/>
          <w:lang w:val="en-US"/>
        </w:rPr>
        <w:t>extremely large</w:t>
      </w:r>
      <w:r w:rsidR="000C7322">
        <w:rPr>
          <w:lang w:val="en-US"/>
        </w:rPr>
        <w:t>’</w:t>
      </w:r>
      <w:r w:rsidR="00BE3218" w:rsidRPr="004A2990">
        <w:rPr>
          <w:lang w:val="en-US"/>
        </w:rPr>
        <w:t xml:space="preserve">, </w:t>
      </w:r>
      <w:r w:rsidR="001316B8" w:rsidRPr="004A2990">
        <w:rPr>
          <w:lang w:val="en-US"/>
        </w:rPr>
        <w:t xml:space="preserve">and </w:t>
      </w:r>
      <w:r w:rsidR="00BE3218" w:rsidRPr="004A2990">
        <w:rPr>
          <w:lang w:val="en-US"/>
        </w:rPr>
        <w:t xml:space="preserve">to numerically estimate the size of the </w:t>
      </w:r>
      <w:proofErr w:type="spellStart"/>
      <w:r w:rsidR="00BE3218" w:rsidRPr="004A2990">
        <w:rPr>
          <w:lang w:val="en-US"/>
        </w:rPr>
        <w:t>Abendi</w:t>
      </w:r>
      <w:proofErr w:type="spellEnd"/>
      <w:r w:rsidR="00BE3218" w:rsidRPr="004A2990">
        <w:rPr>
          <w:lang w:val="en-US"/>
        </w:rPr>
        <w:t xml:space="preserve"> population in the UK by selecting from the following choices: 0-5000 individuals, 5000-10,000 individuals, 10,000-15,000 individuals, 15,000-20,000 individuals, 20,000 - 25,000 individuals, 25,000 - 30,000 individuals, or 30,000 - 35,000 individuals.</w:t>
      </w:r>
      <w:r w:rsidR="002337CA" w:rsidRPr="004A2990">
        <w:rPr>
          <w:lang w:val="en-US"/>
        </w:rPr>
        <w:t xml:space="preserve"> </w:t>
      </w:r>
    </w:p>
    <w:p w14:paraId="3F774843" w14:textId="24A83E05" w:rsidR="00582B2B" w:rsidRPr="004A2990" w:rsidRDefault="00582B2B" w:rsidP="00831411">
      <w:pPr>
        <w:pStyle w:val="APABodyText"/>
        <w:spacing w:after="0"/>
        <w:rPr>
          <w:lang w:val="en-US"/>
        </w:rPr>
      </w:pPr>
      <w:r w:rsidRPr="004A2990">
        <w:rPr>
          <w:rStyle w:val="Emphasis"/>
          <w:lang w:val="en-US"/>
        </w:rPr>
        <w:t xml:space="preserve">Perceived </w:t>
      </w:r>
      <w:r w:rsidR="00680765" w:rsidRPr="004A2990">
        <w:rPr>
          <w:rStyle w:val="Emphasis"/>
          <w:lang w:val="en-US"/>
        </w:rPr>
        <w:t>i</w:t>
      </w:r>
      <w:r w:rsidRPr="004A2990">
        <w:rPr>
          <w:rStyle w:val="Emphasis"/>
          <w:lang w:val="en-US"/>
        </w:rPr>
        <w:t xml:space="preserve">ntergroup </w:t>
      </w:r>
      <w:r w:rsidR="00680765" w:rsidRPr="004A2990">
        <w:rPr>
          <w:rStyle w:val="Emphasis"/>
          <w:lang w:val="en-US"/>
        </w:rPr>
        <w:t>s</w:t>
      </w:r>
      <w:r w:rsidRPr="004A2990">
        <w:rPr>
          <w:rStyle w:val="Emphasis"/>
          <w:lang w:val="en-US"/>
        </w:rPr>
        <w:t xml:space="preserve">imilarity. </w:t>
      </w:r>
      <w:r w:rsidR="00680765" w:rsidRPr="004A2990">
        <w:rPr>
          <w:rStyle w:val="Emphasis"/>
          <w:i w:val="0"/>
          <w:lang w:val="en-US"/>
        </w:rPr>
        <w:t xml:space="preserve">Manipulation checks were also included. </w:t>
      </w:r>
      <w:r w:rsidRPr="004A2990">
        <w:rPr>
          <w:lang w:val="en-US"/>
        </w:rPr>
        <w:t>Perceived intergroup similarity was examined using a 3-item scale (</w:t>
      </w:r>
      <w:r w:rsidR="00646393" w:rsidRPr="004A2990">
        <w:t>α</w:t>
      </w:r>
      <w:r w:rsidRPr="004A2990">
        <w:rPr>
          <w:lang w:val="en-US"/>
        </w:rPr>
        <w:t xml:space="preserve"> = .879). Participants were asked to rate the extent to which they believed that the </w:t>
      </w:r>
      <w:proofErr w:type="spellStart"/>
      <w:r w:rsidRPr="004A2990">
        <w:rPr>
          <w:lang w:val="en-US"/>
        </w:rPr>
        <w:t>Abendi</w:t>
      </w:r>
      <w:proofErr w:type="spellEnd"/>
      <w:r w:rsidRPr="004A2990">
        <w:rPr>
          <w:lang w:val="en-US"/>
        </w:rPr>
        <w:t xml:space="preserve"> </w:t>
      </w:r>
      <w:r w:rsidR="00831411" w:rsidRPr="004A2990">
        <w:rPr>
          <w:lang w:val="en-US"/>
        </w:rPr>
        <w:t xml:space="preserve">are similar to British people in terms of culture, behavior, and attitudes. </w:t>
      </w:r>
      <w:r w:rsidRPr="004A2990">
        <w:rPr>
          <w:lang w:val="en-US"/>
        </w:rPr>
        <w:t>Responses were given using 7-poin</w:t>
      </w:r>
      <w:r w:rsidR="000C7322">
        <w:rPr>
          <w:lang w:val="en-US"/>
        </w:rPr>
        <w:t>t Likert scales ranging from 1 ‘</w:t>
      </w:r>
      <w:r w:rsidRPr="000C7322">
        <w:rPr>
          <w:i/>
          <w:lang w:val="en-US"/>
        </w:rPr>
        <w:t>not at all similar</w:t>
      </w:r>
      <w:r w:rsidR="000C7322">
        <w:rPr>
          <w:lang w:val="en-US"/>
        </w:rPr>
        <w:t>’</w:t>
      </w:r>
      <w:r w:rsidRPr="004A2990">
        <w:rPr>
          <w:lang w:val="en-US"/>
        </w:rPr>
        <w:t xml:space="preserve"> to 7 </w:t>
      </w:r>
      <w:r w:rsidR="000C7322">
        <w:rPr>
          <w:lang w:val="en-US"/>
        </w:rPr>
        <w:t>‘</w:t>
      </w:r>
      <w:r w:rsidRPr="000C7322">
        <w:rPr>
          <w:i/>
          <w:lang w:val="en-US"/>
        </w:rPr>
        <w:t>extremely similar</w:t>
      </w:r>
      <w:r w:rsidR="000C7322">
        <w:rPr>
          <w:lang w:val="en-US"/>
        </w:rPr>
        <w:t>’</w:t>
      </w:r>
      <w:r w:rsidRPr="004A2990">
        <w:rPr>
          <w:lang w:val="en-US"/>
        </w:rPr>
        <w:t xml:space="preserve">. </w:t>
      </w:r>
    </w:p>
    <w:p w14:paraId="5E1C18B1" w14:textId="07455AA0" w:rsidR="00582B2B" w:rsidRPr="004A2990" w:rsidRDefault="00680765" w:rsidP="00582B2B">
      <w:pPr>
        <w:pStyle w:val="APABodyText"/>
        <w:tabs>
          <w:tab w:val="left" w:pos="3354"/>
        </w:tabs>
        <w:spacing w:after="0"/>
        <w:rPr>
          <w:i/>
          <w:iCs/>
          <w:lang w:val="en-US"/>
        </w:rPr>
      </w:pPr>
      <w:r w:rsidRPr="004A2990">
        <w:rPr>
          <w:rStyle w:val="Emphasis"/>
          <w:lang w:val="en-US"/>
        </w:rPr>
        <w:t>Perceived i</w:t>
      </w:r>
      <w:r w:rsidR="00582B2B" w:rsidRPr="004A2990">
        <w:rPr>
          <w:rStyle w:val="Emphasis"/>
          <w:lang w:val="en-US"/>
        </w:rPr>
        <w:t xml:space="preserve">ntergroup </w:t>
      </w:r>
      <w:r w:rsidRPr="004A2990">
        <w:rPr>
          <w:rStyle w:val="Emphasis"/>
          <w:lang w:val="en-US"/>
        </w:rPr>
        <w:t>t</w:t>
      </w:r>
      <w:r w:rsidR="00582B2B" w:rsidRPr="004A2990">
        <w:rPr>
          <w:rStyle w:val="Emphasis"/>
          <w:lang w:val="en-US"/>
        </w:rPr>
        <w:t xml:space="preserve">hreat. </w:t>
      </w:r>
      <w:r w:rsidR="00582B2B" w:rsidRPr="004A2990">
        <w:rPr>
          <w:lang w:val="en-US"/>
        </w:rPr>
        <w:t>Perceived intergroup thre</w:t>
      </w:r>
      <w:r w:rsidR="00D50CEF">
        <w:rPr>
          <w:lang w:val="en-US"/>
        </w:rPr>
        <w:t>at was examined using the same 7</w:t>
      </w:r>
      <w:r w:rsidR="00582B2B" w:rsidRPr="004A2990">
        <w:rPr>
          <w:lang w:val="en-US"/>
        </w:rPr>
        <w:t xml:space="preserve">-item measure as in study </w:t>
      </w:r>
      <w:r w:rsidR="00AC7151">
        <w:rPr>
          <w:lang w:val="en-US"/>
        </w:rPr>
        <w:t>1</w:t>
      </w:r>
      <w:r w:rsidR="00582B2B" w:rsidRPr="004A2990">
        <w:rPr>
          <w:lang w:val="en-US"/>
        </w:rPr>
        <w:t xml:space="preserve">, adapted to focus on the </w:t>
      </w:r>
      <w:proofErr w:type="spellStart"/>
      <w:r w:rsidR="00582B2B" w:rsidRPr="004A2990">
        <w:rPr>
          <w:lang w:val="en-US"/>
        </w:rPr>
        <w:t>Abendi</w:t>
      </w:r>
      <w:proofErr w:type="spellEnd"/>
      <w:r w:rsidR="00582B2B" w:rsidRPr="004A2990">
        <w:rPr>
          <w:lang w:val="en-US"/>
        </w:rPr>
        <w:t xml:space="preserve"> group (</w:t>
      </w:r>
      <w:r w:rsidR="00646393" w:rsidRPr="004A2990">
        <w:t>α</w:t>
      </w:r>
      <w:r w:rsidR="00582B2B" w:rsidRPr="004A2990">
        <w:rPr>
          <w:lang w:val="en-US"/>
        </w:rPr>
        <w:t xml:space="preserve"> = </w:t>
      </w:r>
      <w:r w:rsidR="000C7322">
        <w:rPr>
          <w:lang w:val="en-US"/>
        </w:rPr>
        <w:t>.</w:t>
      </w:r>
      <w:r w:rsidR="00582B2B" w:rsidRPr="004A2990">
        <w:rPr>
          <w:lang w:val="en-US"/>
        </w:rPr>
        <w:t xml:space="preserve">778). </w:t>
      </w:r>
      <w:r w:rsidR="0072323B">
        <w:rPr>
          <w:lang w:val="en-US"/>
        </w:rPr>
        <w:t>At the end of the study participants were given the option of commenting on any aspect of the study in an open-response format, and n</w:t>
      </w:r>
      <w:r w:rsidR="007C6474" w:rsidRPr="004A2990">
        <w:rPr>
          <w:lang w:val="en-US"/>
        </w:rPr>
        <w:t xml:space="preserve">one of the participants reported any suspicion about the fictitious nature of the target immigrant group </w:t>
      </w:r>
      <w:proofErr w:type="spellStart"/>
      <w:r w:rsidR="007C6474" w:rsidRPr="004A2990">
        <w:rPr>
          <w:lang w:val="en-US"/>
        </w:rPr>
        <w:t>Abendi</w:t>
      </w:r>
      <w:proofErr w:type="spellEnd"/>
      <w:r w:rsidR="007C6474" w:rsidRPr="004A2990">
        <w:rPr>
          <w:lang w:val="en-US"/>
        </w:rPr>
        <w:t xml:space="preserve">. </w:t>
      </w:r>
    </w:p>
    <w:p w14:paraId="73BEFEA6" w14:textId="47F36E3F" w:rsidR="00623AF4" w:rsidRPr="004A2990" w:rsidRDefault="00623AF4" w:rsidP="007C0D19">
      <w:pPr>
        <w:pStyle w:val="APABodyText"/>
        <w:spacing w:after="0"/>
        <w:ind w:firstLine="0"/>
        <w:jc w:val="center"/>
        <w:rPr>
          <w:lang w:val="en-US"/>
        </w:rPr>
      </w:pPr>
      <w:r w:rsidRPr="004A2990">
        <w:rPr>
          <w:lang w:val="en-US"/>
        </w:rPr>
        <w:t>Results</w:t>
      </w:r>
    </w:p>
    <w:p w14:paraId="58379529" w14:textId="0164B6B3" w:rsidR="001359AA" w:rsidRPr="004A2990" w:rsidRDefault="00680765" w:rsidP="007C0D19">
      <w:pPr>
        <w:pStyle w:val="APABodyText"/>
        <w:spacing w:after="0"/>
        <w:rPr>
          <w:iCs/>
          <w:lang w:val="en-US"/>
        </w:rPr>
      </w:pPr>
      <w:r w:rsidRPr="004A2990">
        <w:rPr>
          <w:rStyle w:val="Emphasis"/>
          <w:lang w:val="en-US"/>
        </w:rPr>
        <w:t>Manipulation check</w:t>
      </w:r>
      <w:r w:rsidRPr="004A2990">
        <w:rPr>
          <w:rStyle w:val="Emphasis"/>
          <w:i w:val="0"/>
          <w:lang w:val="en-US"/>
        </w:rPr>
        <w:t xml:space="preserve">. </w:t>
      </w:r>
      <w:r w:rsidR="002337CA" w:rsidRPr="004A2990">
        <w:rPr>
          <w:rStyle w:val="Emphasis"/>
          <w:i w:val="0"/>
          <w:lang w:val="en-US"/>
        </w:rPr>
        <w:t>B</w:t>
      </w:r>
      <w:r w:rsidR="0063420E" w:rsidRPr="004A2990">
        <w:rPr>
          <w:rStyle w:val="Emphasis"/>
          <w:i w:val="0"/>
          <w:lang w:val="en-US"/>
        </w:rPr>
        <w:t xml:space="preserve">ivariate correlations are shown in </w:t>
      </w:r>
      <w:r w:rsidR="002337CA" w:rsidRPr="004A2990">
        <w:rPr>
          <w:rStyle w:val="Emphasis"/>
          <w:i w:val="0"/>
          <w:lang w:val="en-US"/>
        </w:rPr>
        <w:t>T</w:t>
      </w:r>
      <w:r w:rsidR="0063420E" w:rsidRPr="004A2990">
        <w:rPr>
          <w:rStyle w:val="Emphasis"/>
          <w:i w:val="0"/>
          <w:lang w:val="en-US"/>
        </w:rPr>
        <w:t xml:space="preserve">able </w:t>
      </w:r>
      <w:r w:rsidR="00AC7151">
        <w:rPr>
          <w:rStyle w:val="Emphasis"/>
          <w:i w:val="0"/>
          <w:lang w:val="en-US"/>
        </w:rPr>
        <w:t>3</w:t>
      </w:r>
      <w:r w:rsidR="0063420E" w:rsidRPr="004A2990">
        <w:rPr>
          <w:rStyle w:val="Emphasis"/>
          <w:i w:val="0"/>
          <w:lang w:val="en-US"/>
        </w:rPr>
        <w:t>.</w:t>
      </w:r>
      <w:r w:rsidR="002337CA" w:rsidRPr="004A2990">
        <w:rPr>
          <w:rStyle w:val="Emphasis"/>
          <w:i w:val="0"/>
          <w:lang w:val="en-US"/>
        </w:rPr>
        <w:t xml:space="preserve"> </w:t>
      </w:r>
      <w:r w:rsidR="00B4006C" w:rsidRPr="004A2990">
        <w:rPr>
          <w:rStyle w:val="Emphasis"/>
          <w:i w:val="0"/>
          <w:lang w:val="en-US"/>
        </w:rPr>
        <w:t xml:space="preserve">As a manipulation check, a </w:t>
      </w:r>
      <w:r w:rsidR="00CB4FAC" w:rsidRPr="004A2990">
        <w:rPr>
          <w:rStyle w:val="Emphasis"/>
          <w:i w:val="0"/>
          <w:lang w:val="en-US"/>
        </w:rPr>
        <w:t>multivariate</w:t>
      </w:r>
      <w:r w:rsidR="00B4006C" w:rsidRPr="004A2990">
        <w:rPr>
          <w:rStyle w:val="Emphasis"/>
          <w:i w:val="0"/>
          <w:lang w:val="en-US"/>
        </w:rPr>
        <w:t xml:space="preserve"> ANOVA was conducted with the Similarity and Threat manipulations </w:t>
      </w:r>
      <w:r w:rsidR="00B4006C" w:rsidRPr="004A2990">
        <w:rPr>
          <w:rStyle w:val="Emphasis"/>
          <w:i w:val="0"/>
          <w:lang w:val="en-US"/>
        </w:rPr>
        <w:lastRenderedPageBreak/>
        <w:t>as two independent variables, and the measured similarity and threat as two levels of a repeated measures factor. This yielded</w:t>
      </w:r>
      <w:r w:rsidR="00883FC1" w:rsidRPr="004A2990">
        <w:rPr>
          <w:rStyle w:val="Emphasis"/>
          <w:i w:val="0"/>
          <w:lang w:val="en-US"/>
        </w:rPr>
        <w:t xml:space="preserve"> a significant multivariate effect of similarity</w:t>
      </w:r>
      <w:r w:rsidR="000C7322">
        <w:rPr>
          <w:rStyle w:val="Emphasis"/>
          <w:i w:val="0"/>
          <w:lang w:val="en-US"/>
        </w:rPr>
        <w:t>,</w:t>
      </w:r>
      <w:r w:rsidR="00883FC1" w:rsidRPr="004A2990">
        <w:rPr>
          <w:rStyle w:val="Emphasis"/>
          <w:i w:val="0"/>
          <w:lang w:val="en-US"/>
        </w:rPr>
        <w:t xml:space="preserve"> </w:t>
      </w:r>
      <w:r w:rsidR="00883FC1" w:rsidRPr="004A2990">
        <w:rPr>
          <w:rStyle w:val="Emphasis"/>
          <w:lang w:val="en-US"/>
        </w:rPr>
        <w:t>F</w:t>
      </w:r>
      <w:r w:rsidR="000C7322">
        <w:rPr>
          <w:rStyle w:val="Emphasis"/>
          <w:lang w:val="en-US"/>
        </w:rPr>
        <w:t xml:space="preserve"> </w:t>
      </w:r>
      <w:r w:rsidR="00883FC1" w:rsidRPr="004A2990">
        <w:rPr>
          <w:rStyle w:val="Emphasis"/>
          <w:i w:val="0"/>
          <w:lang w:val="en-US"/>
        </w:rPr>
        <w:t xml:space="preserve">(2, 121) = 13.15, </w:t>
      </w:r>
      <w:r w:rsidR="00883FC1" w:rsidRPr="004A2990">
        <w:rPr>
          <w:rStyle w:val="Emphasis"/>
          <w:lang w:val="en-US"/>
        </w:rPr>
        <w:t>p</w:t>
      </w:r>
      <w:r w:rsidR="00D50CEF">
        <w:rPr>
          <w:rStyle w:val="Emphasis"/>
          <w:i w:val="0"/>
          <w:lang w:val="en-US"/>
        </w:rPr>
        <w:t xml:space="preserve"> &lt; .001</w:t>
      </w:r>
      <w:r w:rsidR="000C7322">
        <w:rPr>
          <w:rStyle w:val="Emphasis"/>
          <w:i w:val="0"/>
          <w:lang w:val="en-US"/>
        </w:rPr>
        <w:t>,</w:t>
      </w:r>
      <w:r w:rsidR="00D50CEF">
        <w:rPr>
          <w:rStyle w:val="Emphasis"/>
          <w:i w:val="0"/>
          <w:lang w:val="en-US"/>
        </w:rPr>
        <w:t xml:space="preserve"> </w:t>
      </w:r>
      <w:r w:rsidR="00883FC1" w:rsidRPr="004A2990">
        <w:rPr>
          <w:rStyle w:val="Emphasis"/>
          <w:i w:val="0"/>
          <w:lang w:val="en-US"/>
        </w:rPr>
        <w:t>on similarity and threat</w:t>
      </w:r>
      <w:r w:rsidR="00883FC1" w:rsidRPr="004A2990">
        <w:rPr>
          <w:rStyle w:val="Emphasis"/>
          <w:lang w:val="en-US"/>
        </w:rPr>
        <w:t>.</w:t>
      </w:r>
      <w:r w:rsidR="00883FC1" w:rsidRPr="004A2990">
        <w:rPr>
          <w:rStyle w:val="Emphasis"/>
          <w:i w:val="0"/>
          <w:lang w:val="en-US"/>
        </w:rPr>
        <w:t xml:space="preserve"> Univariate results indicated</w:t>
      </w:r>
      <w:r w:rsidRPr="004A2990">
        <w:rPr>
          <w:rStyle w:val="Emphasis"/>
          <w:i w:val="0"/>
          <w:lang w:val="en-US"/>
        </w:rPr>
        <w:t>, as expected,</w:t>
      </w:r>
      <w:r w:rsidR="00883FC1" w:rsidRPr="004A2990">
        <w:rPr>
          <w:rStyle w:val="Emphasis"/>
          <w:i w:val="0"/>
          <w:lang w:val="en-US"/>
        </w:rPr>
        <w:t xml:space="preserve"> </w:t>
      </w:r>
      <w:r w:rsidR="00CB4FAC" w:rsidRPr="004A2990">
        <w:rPr>
          <w:rStyle w:val="Emphasis"/>
          <w:i w:val="0"/>
          <w:lang w:val="en-US"/>
        </w:rPr>
        <w:t>a significant main effect of the similarity manipulation on the measure of similarity</w:t>
      </w:r>
      <w:r w:rsidR="000C7322">
        <w:rPr>
          <w:rStyle w:val="Emphasis"/>
          <w:i w:val="0"/>
          <w:lang w:val="en-US"/>
        </w:rPr>
        <w:t>,</w:t>
      </w:r>
      <w:r w:rsidR="00CB4FAC" w:rsidRPr="004A2990">
        <w:rPr>
          <w:rStyle w:val="Emphasis"/>
          <w:i w:val="0"/>
          <w:lang w:val="en-US"/>
        </w:rPr>
        <w:t xml:space="preserve"> </w:t>
      </w:r>
      <w:r w:rsidR="00CB4FAC" w:rsidRPr="004A2990">
        <w:rPr>
          <w:rStyle w:val="Emphasis"/>
          <w:lang w:val="en-US"/>
        </w:rPr>
        <w:t>F</w:t>
      </w:r>
      <w:r w:rsidR="000C7322">
        <w:rPr>
          <w:rStyle w:val="Emphasis"/>
          <w:lang w:val="en-US"/>
        </w:rPr>
        <w:t xml:space="preserve"> </w:t>
      </w:r>
      <w:r w:rsidR="00CB4FAC" w:rsidRPr="004A2990">
        <w:rPr>
          <w:rStyle w:val="Emphasis"/>
          <w:i w:val="0"/>
          <w:lang w:val="en-US"/>
        </w:rPr>
        <w:t xml:space="preserve">(1, 122) = 23.35, </w:t>
      </w:r>
      <w:r w:rsidR="00CB4FAC" w:rsidRPr="004A2990">
        <w:rPr>
          <w:rStyle w:val="Emphasis"/>
          <w:lang w:val="en-US"/>
        </w:rPr>
        <w:t>p</w:t>
      </w:r>
      <w:r w:rsidR="00CB4FAC" w:rsidRPr="004A2990">
        <w:rPr>
          <w:rStyle w:val="Emphasis"/>
          <w:i w:val="0"/>
          <w:lang w:val="en-US"/>
        </w:rPr>
        <w:t xml:space="preserve"> &lt; .001</w:t>
      </w:r>
      <w:r w:rsidR="00630462" w:rsidRPr="004A2990">
        <w:rPr>
          <w:rStyle w:val="Emphasis"/>
          <w:i w:val="0"/>
          <w:lang w:val="en-US"/>
        </w:rPr>
        <w:t xml:space="preserve">, </w:t>
      </w:r>
      <w:r w:rsidR="00630462" w:rsidRPr="004A2990">
        <w:rPr>
          <w:lang w:val="en-US"/>
        </w:rPr>
        <w:t>η</w:t>
      </w:r>
      <w:r w:rsidR="00630462" w:rsidRPr="004A2990">
        <w:rPr>
          <w:i/>
          <w:lang w:val="en-US"/>
        </w:rPr>
        <w:t>p</w:t>
      </w:r>
      <w:r w:rsidR="00630462" w:rsidRPr="004A2990">
        <w:rPr>
          <w:vertAlign w:val="superscript"/>
          <w:lang w:val="en-US"/>
        </w:rPr>
        <w:t xml:space="preserve">2 </w:t>
      </w:r>
      <w:r w:rsidR="00630462" w:rsidRPr="004A2990">
        <w:rPr>
          <w:lang w:val="en-US"/>
        </w:rPr>
        <w:t>= .161</w:t>
      </w:r>
      <w:r w:rsidR="00CB4FAC" w:rsidRPr="004A2990">
        <w:rPr>
          <w:rStyle w:val="Emphasis"/>
          <w:i w:val="0"/>
          <w:lang w:val="en-US"/>
        </w:rPr>
        <w:t>, but not on the measure of threat</w:t>
      </w:r>
      <w:r w:rsidR="000C7322">
        <w:rPr>
          <w:rStyle w:val="Emphasis"/>
          <w:i w:val="0"/>
          <w:lang w:val="en-US"/>
        </w:rPr>
        <w:t>,</w:t>
      </w:r>
      <w:r w:rsidR="00CB4FAC" w:rsidRPr="004A2990">
        <w:rPr>
          <w:rStyle w:val="Emphasis"/>
          <w:i w:val="0"/>
          <w:lang w:val="en-US"/>
        </w:rPr>
        <w:t xml:space="preserve"> </w:t>
      </w:r>
      <w:r w:rsidR="00CB4FAC" w:rsidRPr="004A2990">
        <w:rPr>
          <w:rStyle w:val="Emphasis"/>
          <w:lang w:val="en-US"/>
        </w:rPr>
        <w:t>F</w:t>
      </w:r>
      <w:r w:rsidR="002E6C07">
        <w:rPr>
          <w:rStyle w:val="Emphasis"/>
          <w:lang w:val="en-US"/>
        </w:rPr>
        <w:t xml:space="preserve"> </w:t>
      </w:r>
      <w:r w:rsidR="00CB4FAC" w:rsidRPr="004A2990">
        <w:rPr>
          <w:rStyle w:val="Emphasis"/>
          <w:i w:val="0"/>
          <w:lang w:val="en-US"/>
        </w:rPr>
        <w:t>(1, 122) = .</w:t>
      </w:r>
      <w:r w:rsidR="00883FC1" w:rsidRPr="004A2990">
        <w:rPr>
          <w:rStyle w:val="Emphasis"/>
          <w:i w:val="0"/>
          <w:lang w:val="en-US"/>
        </w:rPr>
        <w:t xml:space="preserve">034, </w:t>
      </w:r>
      <w:r w:rsidR="00883FC1" w:rsidRPr="004A2990">
        <w:rPr>
          <w:rStyle w:val="Emphasis"/>
          <w:lang w:val="en-US"/>
        </w:rPr>
        <w:t>p</w:t>
      </w:r>
      <w:r w:rsidR="00883FC1" w:rsidRPr="004A2990">
        <w:rPr>
          <w:rStyle w:val="Emphasis"/>
          <w:i w:val="0"/>
          <w:lang w:val="en-US"/>
        </w:rPr>
        <w:t xml:space="preserve"> = .855</w:t>
      </w:r>
      <w:r w:rsidR="00630462" w:rsidRPr="004A2990">
        <w:rPr>
          <w:rStyle w:val="Emphasis"/>
          <w:i w:val="0"/>
          <w:lang w:val="en-US"/>
        </w:rPr>
        <w:t xml:space="preserve">, </w:t>
      </w:r>
      <w:r w:rsidR="00630462" w:rsidRPr="004A2990">
        <w:rPr>
          <w:lang w:val="en-US"/>
        </w:rPr>
        <w:t>η</w:t>
      </w:r>
      <w:r w:rsidR="00630462" w:rsidRPr="004A2990">
        <w:rPr>
          <w:i/>
          <w:lang w:val="en-US"/>
        </w:rPr>
        <w:t>p</w:t>
      </w:r>
      <w:r w:rsidR="00630462" w:rsidRPr="004A2990">
        <w:rPr>
          <w:vertAlign w:val="superscript"/>
          <w:lang w:val="en-US"/>
        </w:rPr>
        <w:t xml:space="preserve">2 </w:t>
      </w:r>
      <w:r w:rsidR="00630462" w:rsidRPr="004A2990">
        <w:rPr>
          <w:lang w:val="en-US"/>
        </w:rPr>
        <w:t>&lt; .001</w:t>
      </w:r>
      <w:r w:rsidR="00883FC1" w:rsidRPr="004A2990">
        <w:rPr>
          <w:rStyle w:val="Emphasis"/>
          <w:i w:val="0"/>
          <w:lang w:val="en-US"/>
        </w:rPr>
        <w:t>. Also as expected, the manipulation of threat exerted a significant main effect upon the measure of threat</w:t>
      </w:r>
      <w:r w:rsidR="000C7322">
        <w:rPr>
          <w:rStyle w:val="Emphasis"/>
          <w:i w:val="0"/>
          <w:lang w:val="en-US"/>
        </w:rPr>
        <w:t>,</w:t>
      </w:r>
      <w:r w:rsidR="00883FC1" w:rsidRPr="004A2990">
        <w:rPr>
          <w:rStyle w:val="Emphasis"/>
          <w:i w:val="0"/>
          <w:lang w:val="en-US"/>
        </w:rPr>
        <w:t xml:space="preserve"> </w:t>
      </w:r>
      <w:r w:rsidR="00883FC1" w:rsidRPr="004A2990">
        <w:rPr>
          <w:rStyle w:val="Emphasis"/>
          <w:lang w:val="en-US"/>
        </w:rPr>
        <w:t>F</w:t>
      </w:r>
      <w:r w:rsidR="000C7322">
        <w:rPr>
          <w:rStyle w:val="Emphasis"/>
          <w:lang w:val="en-US"/>
        </w:rPr>
        <w:t xml:space="preserve"> </w:t>
      </w:r>
      <w:r w:rsidR="00883FC1" w:rsidRPr="004A2990">
        <w:rPr>
          <w:rStyle w:val="Emphasis"/>
          <w:i w:val="0"/>
          <w:lang w:val="en-US"/>
        </w:rPr>
        <w:t xml:space="preserve">(1, 122) = 4.07, </w:t>
      </w:r>
      <w:r w:rsidR="00883FC1" w:rsidRPr="004A2990">
        <w:rPr>
          <w:rStyle w:val="Emphasis"/>
          <w:lang w:val="en-US"/>
        </w:rPr>
        <w:t>p</w:t>
      </w:r>
      <w:r w:rsidR="00883FC1" w:rsidRPr="004A2990">
        <w:rPr>
          <w:rStyle w:val="Emphasis"/>
          <w:i w:val="0"/>
          <w:lang w:val="en-US"/>
        </w:rPr>
        <w:t xml:space="preserve"> &lt; .05</w:t>
      </w:r>
      <w:r w:rsidR="00630462" w:rsidRPr="004A2990">
        <w:rPr>
          <w:rStyle w:val="Emphasis"/>
          <w:i w:val="0"/>
          <w:lang w:val="en-US"/>
        </w:rPr>
        <w:t xml:space="preserve">, </w:t>
      </w:r>
      <w:r w:rsidR="00630462" w:rsidRPr="004A2990">
        <w:rPr>
          <w:lang w:val="en-US"/>
        </w:rPr>
        <w:t>η</w:t>
      </w:r>
      <w:r w:rsidR="00630462" w:rsidRPr="004A2990">
        <w:rPr>
          <w:i/>
          <w:lang w:val="en-US"/>
        </w:rPr>
        <w:t>p</w:t>
      </w:r>
      <w:r w:rsidR="00630462" w:rsidRPr="004A2990">
        <w:rPr>
          <w:vertAlign w:val="superscript"/>
          <w:lang w:val="en-US"/>
        </w:rPr>
        <w:t xml:space="preserve">2 </w:t>
      </w:r>
      <w:r w:rsidR="00630462" w:rsidRPr="004A2990">
        <w:rPr>
          <w:lang w:val="en-US"/>
        </w:rPr>
        <w:t>= .032</w:t>
      </w:r>
      <w:r w:rsidR="000C7322">
        <w:rPr>
          <w:lang w:val="en-US"/>
        </w:rPr>
        <w:t>,</w:t>
      </w:r>
      <w:r w:rsidR="00883FC1" w:rsidRPr="004A2990">
        <w:rPr>
          <w:rStyle w:val="Emphasis"/>
          <w:i w:val="0"/>
          <w:lang w:val="en-US"/>
        </w:rPr>
        <w:t xml:space="preserve"> but not on the measure of similarity</w:t>
      </w:r>
      <w:r w:rsidR="000C7322">
        <w:rPr>
          <w:rStyle w:val="Emphasis"/>
          <w:i w:val="0"/>
          <w:lang w:val="en-US"/>
        </w:rPr>
        <w:t>,</w:t>
      </w:r>
      <w:r w:rsidR="00883FC1" w:rsidRPr="004A2990">
        <w:rPr>
          <w:rStyle w:val="Emphasis"/>
          <w:i w:val="0"/>
          <w:lang w:val="en-US"/>
        </w:rPr>
        <w:t xml:space="preserve"> </w:t>
      </w:r>
      <w:r w:rsidR="00883FC1" w:rsidRPr="004A2990">
        <w:rPr>
          <w:rStyle w:val="Emphasis"/>
          <w:lang w:val="en-US"/>
        </w:rPr>
        <w:t>F</w:t>
      </w:r>
      <w:r w:rsidR="000C7322">
        <w:rPr>
          <w:rStyle w:val="Emphasis"/>
          <w:lang w:val="en-US"/>
        </w:rPr>
        <w:t xml:space="preserve"> </w:t>
      </w:r>
      <w:r w:rsidR="00883FC1" w:rsidRPr="004A2990">
        <w:rPr>
          <w:rStyle w:val="Emphasis"/>
          <w:i w:val="0"/>
          <w:lang w:val="en-US"/>
        </w:rPr>
        <w:t xml:space="preserve">(1, 122) = .035, </w:t>
      </w:r>
      <w:r w:rsidR="00883FC1" w:rsidRPr="004A2990">
        <w:rPr>
          <w:rStyle w:val="Emphasis"/>
          <w:lang w:val="en-US"/>
        </w:rPr>
        <w:t>p</w:t>
      </w:r>
      <w:r w:rsidR="00883FC1" w:rsidRPr="004A2990">
        <w:rPr>
          <w:rStyle w:val="Emphasis"/>
          <w:i w:val="0"/>
          <w:lang w:val="en-US"/>
        </w:rPr>
        <w:t xml:space="preserve"> = .853</w:t>
      </w:r>
      <w:r w:rsidR="00630462" w:rsidRPr="004A2990">
        <w:rPr>
          <w:rStyle w:val="Emphasis"/>
          <w:i w:val="0"/>
          <w:lang w:val="en-US"/>
        </w:rPr>
        <w:t xml:space="preserve">, </w:t>
      </w:r>
      <w:r w:rsidR="00630462" w:rsidRPr="004A2990">
        <w:rPr>
          <w:lang w:val="en-US"/>
        </w:rPr>
        <w:t>η</w:t>
      </w:r>
      <w:r w:rsidR="00630462" w:rsidRPr="004A2990">
        <w:rPr>
          <w:i/>
          <w:lang w:val="en-US"/>
        </w:rPr>
        <w:t>p</w:t>
      </w:r>
      <w:r w:rsidR="00630462" w:rsidRPr="004A2990">
        <w:rPr>
          <w:vertAlign w:val="superscript"/>
          <w:lang w:val="en-US"/>
        </w:rPr>
        <w:t xml:space="preserve">2 </w:t>
      </w:r>
      <w:r w:rsidR="00630462" w:rsidRPr="004A2990">
        <w:rPr>
          <w:lang w:val="en-US"/>
        </w:rPr>
        <w:t>&lt; .001</w:t>
      </w:r>
      <w:r w:rsidR="00883FC1" w:rsidRPr="004A2990">
        <w:rPr>
          <w:rStyle w:val="Emphasis"/>
          <w:i w:val="0"/>
          <w:lang w:val="en-US"/>
        </w:rPr>
        <w:t xml:space="preserve">. </w:t>
      </w:r>
      <w:r w:rsidR="00117F1B">
        <w:rPr>
          <w:rStyle w:val="Emphasis"/>
          <w:i w:val="0"/>
          <w:lang w:val="en-US"/>
        </w:rPr>
        <w:t xml:space="preserve">There were no significant interactions between the two factors. </w:t>
      </w:r>
      <w:r w:rsidR="007C6474" w:rsidRPr="004A2990">
        <w:rPr>
          <w:rStyle w:val="Emphasis"/>
          <w:i w:val="0"/>
          <w:lang w:val="en-US"/>
        </w:rPr>
        <w:t xml:space="preserve">This suggests that the manipulation was successful. </w:t>
      </w:r>
    </w:p>
    <w:p w14:paraId="3AAF62D4" w14:textId="0FBFA8E7" w:rsidR="00107EBC" w:rsidRPr="004A2990" w:rsidRDefault="00107EBC" w:rsidP="00107EBC">
      <w:pPr>
        <w:pStyle w:val="APABodyText"/>
        <w:spacing w:after="0"/>
        <w:ind w:firstLine="709"/>
        <w:rPr>
          <w:lang w:val="en-US"/>
        </w:rPr>
      </w:pPr>
      <w:r w:rsidRPr="004A2990">
        <w:rPr>
          <w:i/>
          <w:lang w:val="en-US"/>
        </w:rPr>
        <w:t xml:space="preserve">Experimental effects. </w:t>
      </w:r>
      <w:r w:rsidRPr="004A2990">
        <w:rPr>
          <w:lang w:val="en-US"/>
        </w:rPr>
        <w:t xml:space="preserve">A MANOVA was conducted with the Similarity and Threat manipulations as IVs, and </w:t>
      </w:r>
      <w:r w:rsidR="007E1C89">
        <w:rPr>
          <w:lang w:val="en-US"/>
        </w:rPr>
        <w:t>affect</w:t>
      </w:r>
      <w:r w:rsidRPr="004A2990">
        <w:rPr>
          <w:lang w:val="en-US"/>
        </w:rPr>
        <w:t>, perceived rights, and size estimate as DVs. This yielded a significant multivariate effect of similarity</w:t>
      </w:r>
      <w:r w:rsidR="000C7322">
        <w:rPr>
          <w:lang w:val="en-US"/>
        </w:rPr>
        <w:t xml:space="preserve">, </w:t>
      </w:r>
      <w:r w:rsidRPr="004A2990">
        <w:rPr>
          <w:i/>
          <w:lang w:val="en-US"/>
        </w:rPr>
        <w:t>F</w:t>
      </w:r>
      <w:r w:rsidR="000C7322">
        <w:rPr>
          <w:i/>
          <w:lang w:val="en-US"/>
        </w:rPr>
        <w:t xml:space="preserve"> </w:t>
      </w:r>
      <w:r w:rsidRPr="004A2990">
        <w:rPr>
          <w:lang w:val="en-US"/>
        </w:rPr>
        <w:t xml:space="preserve">(3, 120) = 3.68, </w:t>
      </w:r>
      <w:r w:rsidRPr="004A2990">
        <w:rPr>
          <w:i/>
          <w:lang w:val="en-US"/>
        </w:rPr>
        <w:t>p</w:t>
      </w:r>
      <w:r w:rsidRPr="004A2990">
        <w:rPr>
          <w:lang w:val="en-US"/>
        </w:rPr>
        <w:t xml:space="preserve"> &lt; .05, η</w:t>
      </w:r>
      <w:r w:rsidRPr="004A2990">
        <w:rPr>
          <w:i/>
          <w:lang w:val="en-US"/>
        </w:rPr>
        <w:t>p</w:t>
      </w:r>
      <w:r w:rsidRPr="004A2990">
        <w:rPr>
          <w:vertAlign w:val="superscript"/>
          <w:lang w:val="en-US"/>
        </w:rPr>
        <w:t xml:space="preserve">2 </w:t>
      </w:r>
      <w:r w:rsidRPr="004A2990">
        <w:rPr>
          <w:lang w:val="en-US"/>
        </w:rPr>
        <w:t>= .084</w:t>
      </w:r>
      <w:r w:rsidR="000C7322">
        <w:rPr>
          <w:lang w:val="en-US"/>
        </w:rPr>
        <w:t>,</w:t>
      </w:r>
      <w:r w:rsidRPr="004A2990">
        <w:rPr>
          <w:lang w:val="en-US"/>
        </w:rPr>
        <w:t xml:space="preserve"> and threat</w:t>
      </w:r>
      <w:r w:rsidR="000C7322">
        <w:rPr>
          <w:lang w:val="en-US"/>
        </w:rPr>
        <w:t xml:space="preserve">, </w:t>
      </w:r>
      <w:r w:rsidRPr="004A2990">
        <w:rPr>
          <w:i/>
          <w:lang w:val="en-US"/>
        </w:rPr>
        <w:t>F</w:t>
      </w:r>
      <w:r w:rsidR="000C7322">
        <w:rPr>
          <w:i/>
          <w:lang w:val="en-US"/>
        </w:rPr>
        <w:t xml:space="preserve"> </w:t>
      </w:r>
      <w:r w:rsidRPr="004A2990">
        <w:rPr>
          <w:lang w:val="en-US"/>
        </w:rPr>
        <w:t xml:space="preserve">(3, 120) = 5.96, </w:t>
      </w:r>
      <w:r w:rsidRPr="004A2990">
        <w:rPr>
          <w:i/>
          <w:lang w:val="en-US"/>
        </w:rPr>
        <w:t xml:space="preserve">p </w:t>
      </w:r>
      <w:r w:rsidRPr="004A2990">
        <w:rPr>
          <w:lang w:val="en-US"/>
        </w:rPr>
        <w:t>= .001, η</w:t>
      </w:r>
      <w:r w:rsidRPr="004A2990">
        <w:rPr>
          <w:i/>
          <w:lang w:val="en-US"/>
        </w:rPr>
        <w:t>p</w:t>
      </w:r>
      <w:r w:rsidRPr="004A2990">
        <w:rPr>
          <w:vertAlign w:val="superscript"/>
          <w:lang w:val="en-US"/>
        </w:rPr>
        <w:t xml:space="preserve">2 </w:t>
      </w:r>
      <w:r w:rsidRPr="004A2990">
        <w:rPr>
          <w:lang w:val="en-US"/>
        </w:rPr>
        <w:t>= .130</w:t>
      </w:r>
      <w:r w:rsidR="000C7322">
        <w:rPr>
          <w:lang w:val="en-US"/>
        </w:rPr>
        <w:t>,</w:t>
      </w:r>
      <w:r w:rsidRPr="004A2990">
        <w:rPr>
          <w:lang w:val="en-US"/>
        </w:rPr>
        <w:t xml:space="preserve"> on </w:t>
      </w:r>
      <w:r w:rsidR="007E1C89">
        <w:rPr>
          <w:lang w:val="en-US"/>
        </w:rPr>
        <w:t>affect</w:t>
      </w:r>
      <w:r w:rsidRPr="004A2990">
        <w:rPr>
          <w:lang w:val="en-US"/>
        </w:rPr>
        <w:t xml:space="preserve">, perceived right, and size estimate. </w:t>
      </w:r>
    </w:p>
    <w:p w14:paraId="45CF7D00" w14:textId="7606B274" w:rsidR="00107EBC" w:rsidRPr="004A2990" w:rsidRDefault="00107EBC" w:rsidP="00107EBC">
      <w:pPr>
        <w:pStyle w:val="APABodyText"/>
        <w:spacing w:after="0"/>
        <w:ind w:firstLine="709"/>
        <w:rPr>
          <w:lang w:val="en-US"/>
        </w:rPr>
      </w:pPr>
      <w:r w:rsidRPr="004A2990">
        <w:rPr>
          <w:lang w:val="en-US"/>
        </w:rPr>
        <w:t xml:space="preserve">Univariate analyses revealed a significant main effect of the threat manipulation upon </w:t>
      </w:r>
      <w:r w:rsidR="007E1C89">
        <w:rPr>
          <w:lang w:val="en-US"/>
        </w:rPr>
        <w:t>affect</w:t>
      </w:r>
      <w:r w:rsidR="000C7322">
        <w:rPr>
          <w:lang w:val="en-US"/>
        </w:rPr>
        <w:t xml:space="preserve">, </w:t>
      </w:r>
      <w:r w:rsidRPr="004A2990">
        <w:rPr>
          <w:i/>
          <w:lang w:val="en-US"/>
        </w:rPr>
        <w:t>F</w:t>
      </w:r>
      <w:r w:rsidR="000C7322">
        <w:rPr>
          <w:i/>
          <w:lang w:val="en-US"/>
        </w:rPr>
        <w:t xml:space="preserve"> </w:t>
      </w:r>
      <w:r w:rsidRPr="004A2990">
        <w:rPr>
          <w:lang w:val="en-US"/>
        </w:rPr>
        <w:t xml:space="preserve">(1, 122) = 11.80, </w:t>
      </w:r>
      <w:r w:rsidRPr="004A2990">
        <w:rPr>
          <w:i/>
          <w:lang w:val="en-US"/>
        </w:rPr>
        <w:t>p</w:t>
      </w:r>
      <w:r w:rsidRPr="004A2990">
        <w:rPr>
          <w:lang w:val="en-US"/>
        </w:rPr>
        <w:t xml:space="preserve"> &lt; .05, η</w:t>
      </w:r>
      <w:r w:rsidRPr="004A2990">
        <w:rPr>
          <w:i/>
          <w:lang w:val="en-US"/>
        </w:rPr>
        <w:t>p</w:t>
      </w:r>
      <w:r w:rsidRPr="004A2990">
        <w:rPr>
          <w:vertAlign w:val="superscript"/>
          <w:lang w:val="en-US"/>
        </w:rPr>
        <w:t xml:space="preserve">2 </w:t>
      </w:r>
      <w:r w:rsidRPr="004A2990">
        <w:rPr>
          <w:lang w:val="en-US"/>
        </w:rPr>
        <w:t xml:space="preserve">= .088, such that those in the high threat condition reported significantly less positive </w:t>
      </w:r>
      <w:r w:rsidR="007E1C89">
        <w:rPr>
          <w:lang w:val="en-US"/>
        </w:rPr>
        <w:t>affect</w:t>
      </w:r>
      <w:r w:rsidRPr="004A2990">
        <w:rPr>
          <w:lang w:val="en-US"/>
        </w:rPr>
        <w:t xml:space="preserve"> (</w:t>
      </w:r>
      <w:r w:rsidRPr="004A2990">
        <w:rPr>
          <w:i/>
          <w:lang w:val="en-US"/>
        </w:rPr>
        <w:t>M</w:t>
      </w:r>
      <w:r w:rsidRPr="004A2990">
        <w:rPr>
          <w:lang w:val="en-US"/>
        </w:rPr>
        <w:t xml:space="preserve"> = 4.17) than those in the low threat condition (</w:t>
      </w:r>
      <w:r w:rsidRPr="004A2990">
        <w:rPr>
          <w:i/>
          <w:lang w:val="en-US"/>
        </w:rPr>
        <w:t>M</w:t>
      </w:r>
      <w:r w:rsidRPr="004A2990">
        <w:rPr>
          <w:lang w:val="en-US"/>
        </w:rPr>
        <w:t xml:space="preserve"> = 4.64). The threat manipulation also exerted a significant main effect upon perceived right</w:t>
      </w:r>
      <w:r w:rsidR="000C7322">
        <w:rPr>
          <w:lang w:val="en-US"/>
        </w:rPr>
        <w:t xml:space="preserve">, </w:t>
      </w:r>
      <w:r w:rsidRPr="004A2990">
        <w:rPr>
          <w:i/>
          <w:lang w:val="en-US"/>
        </w:rPr>
        <w:t>F</w:t>
      </w:r>
      <w:r w:rsidR="000C7322">
        <w:rPr>
          <w:i/>
          <w:lang w:val="en-US"/>
        </w:rPr>
        <w:t xml:space="preserve"> </w:t>
      </w:r>
      <w:r w:rsidRPr="004A2990">
        <w:rPr>
          <w:lang w:val="en-US"/>
        </w:rPr>
        <w:t xml:space="preserve">(1, 122) = 3.99, </w:t>
      </w:r>
      <w:r w:rsidRPr="004A2990">
        <w:rPr>
          <w:i/>
          <w:lang w:val="en-US"/>
        </w:rPr>
        <w:t>p</w:t>
      </w:r>
      <w:r w:rsidRPr="004A2990">
        <w:rPr>
          <w:lang w:val="en-US"/>
        </w:rPr>
        <w:t xml:space="preserve"> &lt; .05, η</w:t>
      </w:r>
      <w:r w:rsidRPr="004A2990">
        <w:rPr>
          <w:i/>
          <w:lang w:val="en-US"/>
        </w:rPr>
        <w:t>p</w:t>
      </w:r>
      <w:r w:rsidRPr="004A2990">
        <w:rPr>
          <w:vertAlign w:val="superscript"/>
          <w:lang w:val="en-US"/>
        </w:rPr>
        <w:t xml:space="preserve">2 </w:t>
      </w:r>
      <w:r w:rsidRPr="004A2990">
        <w:rPr>
          <w:lang w:val="en-US"/>
        </w:rPr>
        <w:t>= .032, such that those in the high threat condition reported significantly lower perceived rights (</w:t>
      </w:r>
      <w:r w:rsidRPr="004A2990">
        <w:rPr>
          <w:i/>
          <w:lang w:val="en-US"/>
        </w:rPr>
        <w:t>M</w:t>
      </w:r>
      <w:r w:rsidRPr="004A2990">
        <w:rPr>
          <w:lang w:val="en-US"/>
        </w:rPr>
        <w:t xml:space="preserve"> = 4.99) than those in the low threat condition (</w:t>
      </w:r>
      <w:r w:rsidRPr="004A2990">
        <w:rPr>
          <w:i/>
          <w:lang w:val="en-US"/>
        </w:rPr>
        <w:t>M</w:t>
      </w:r>
      <w:r w:rsidRPr="004A2990">
        <w:rPr>
          <w:lang w:val="en-US"/>
        </w:rPr>
        <w:t xml:space="preserve"> = 5.43). There was no significant effect of the threat manipulation upon group size estimate.</w:t>
      </w:r>
    </w:p>
    <w:p w14:paraId="686F09F9" w14:textId="5B48D053" w:rsidR="00107EBC" w:rsidRPr="004A2990" w:rsidRDefault="00107EBC" w:rsidP="00107EBC">
      <w:pPr>
        <w:pStyle w:val="APABodyText"/>
        <w:spacing w:after="0"/>
        <w:ind w:firstLine="709"/>
        <w:rPr>
          <w:lang w:val="en-US"/>
        </w:rPr>
      </w:pPr>
      <w:r w:rsidRPr="004A2990">
        <w:rPr>
          <w:lang w:val="en-US"/>
        </w:rPr>
        <w:t>Univariate analyses revealed a significant main effect of the similarity manipulation on size estimate</w:t>
      </w:r>
      <w:r w:rsidR="000C7322">
        <w:rPr>
          <w:lang w:val="en-US"/>
        </w:rPr>
        <w:t>,</w:t>
      </w:r>
      <w:r w:rsidRPr="004A2990">
        <w:rPr>
          <w:lang w:val="en-US"/>
        </w:rPr>
        <w:t xml:space="preserve"> </w:t>
      </w:r>
      <w:r w:rsidRPr="004A2990">
        <w:rPr>
          <w:i/>
          <w:lang w:val="en-US"/>
        </w:rPr>
        <w:t>F</w:t>
      </w:r>
      <w:r w:rsidR="000C7322">
        <w:rPr>
          <w:i/>
          <w:lang w:val="en-US"/>
        </w:rPr>
        <w:t xml:space="preserve"> </w:t>
      </w:r>
      <w:r w:rsidRPr="004A2990">
        <w:rPr>
          <w:lang w:val="en-US"/>
        </w:rPr>
        <w:t>(1, 122) = 8.60</w:t>
      </w:r>
      <w:r w:rsidRPr="004A2990">
        <w:rPr>
          <w:i/>
          <w:lang w:val="en-US"/>
        </w:rPr>
        <w:t>, p</w:t>
      </w:r>
      <w:r w:rsidRPr="004A2990">
        <w:rPr>
          <w:lang w:val="en-US"/>
        </w:rPr>
        <w:t xml:space="preserve"> &lt; .05, η</w:t>
      </w:r>
      <w:r w:rsidRPr="004A2990">
        <w:rPr>
          <w:i/>
          <w:lang w:val="en-US"/>
        </w:rPr>
        <w:t>p</w:t>
      </w:r>
      <w:r w:rsidRPr="004A2990">
        <w:rPr>
          <w:vertAlign w:val="superscript"/>
          <w:lang w:val="en-US"/>
        </w:rPr>
        <w:t xml:space="preserve">2 </w:t>
      </w:r>
      <w:r w:rsidRPr="004A2990">
        <w:rPr>
          <w:lang w:val="en-US"/>
        </w:rPr>
        <w:t xml:space="preserve">= .066. </w:t>
      </w:r>
      <w:r w:rsidRPr="004A2990">
        <w:rPr>
          <w:rStyle w:val="Emphasis"/>
          <w:i w:val="0"/>
          <w:lang w:val="en-US"/>
        </w:rPr>
        <w:t>This effect was in the opposite direction to that predicted, however, such that those in the high similarity condition estimate the group as significantly larger (</w:t>
      </w:r>
      <w:r w:rsidRPr="004A2990">
        <w:rPr>
          <w:rStyle w:val="Emphasis"/>
          <w:lang w:val="en-US"/>
        </w:rPr>
        <w:t>M</w:t>
      </w:r>
      <w:r w:rsidRPr="004A2990">
        <w:rPr>
          <w:rStyle w:val="Emphasis"/>
          <w:i w:val="0"/>
          <w:lang w:val="en-US"/>
        </w:rPr>
        <w:t xml:space="preserve"> = 2.68) than those in the low similarity condition (</w:t>
      </w:r>
      <w:r w:rsidRPr="004A2990">
        <w:rPr>
          <w:rStyle w:val="Emphasis"/>
          <w:lang w:val="en-US"/>
        </w:rPr>
        <w:t>M</w:t>
      </w:r>
      <w:r w:rsidRPr="004A2990">
        <w:rPr>
          <w:rStyle w:val="Emphasis"/>
          <w:i w:val="0"/>
          <w:lang w:val="en-US"/>
        </w:rPr>
        <w:t xml:space="preserve"> = </w:t>
      </w:r>
      <w:r w:rsidRPr="004A2990">
        <w:rPr>
          <w:rStyle w:val="Emphasis"/>
          <w:i w:val="0"/>
          <w:lang w:val="en-US"/>
        </w:rPr>
        <w:lastRenderedPageBreak/>
        <w:t xml:space="preserve">2.17). </w:t>
      </w:r>
      <w:r w:rsidRPr="004A2990">
        <w:rPr>
          <w:lang w:val="en-US"/>
        </w:rPr>
        <w:t xml:space="preserve">There were no significant effects of the similarity manipulation on </w:t>
      </w:r>
      <w:r w:rsidR="007E1C89">
        <w:rPr>
          <w:lang w:val="en-US"/>
        </w:rPr>
        <w:t>affect</w:t>
      </w:r>
      <w:r w:rsidRPr="004A2990">
        <w:rPr>
          <w:lang w:val="en-US"/>
        </w:rPr>
        <w:t xml:space="preserve"> and perceived rights.</w:t>
      </w:r>
    </w:p>
    <w:p w14:paraId="66069FC5" w14:textId="5E348FA2" w:rsidR="00E22570" w:rsidRPr="004A2990" w:rsidRDefault="00107EBC" w:rsidP="00107EBC">
      <w:pPr>
        <w:pStyle w:val="APABodyText"/>
        <w:spacing w:after="0"/>
        <w:ind w:firstLine="709"/>
        <w:rPr>
          <w:lang w:val="en-US"/>
        </w:rPr>
      </w:pPr>
      <w:r w:rsidRPr="004A2990">
        <w:rPr>
          <w:i/>
        </w:rPr>
        <w:t>Testing the entire Figure 1 model, with manipulation check measures</w:t>
      </w:r>
      <w:r w:rsidRPr="004A2990">
        <w:t xml:space="preserve">. </w:t>
      </w:r>
      <w:r w:rsidRPr="004A2990">
        <w:rPr>
          <w:lang w:val="en-US"/>
        </w:rPr>
        <w:t xml:space="preserve">Given that similarity and threat were manipulated independently of each other, it was not possible to test the Figure 1 model using the manipulations, because the relationship between manipulated </w:t>
      </w:r>
      <w:r w:rsidR="00A0114E">
        <w:rPr>
          <w:lang w:val="en-US"/>
        </w:rPr>
        <w:t>s</w:t>
      </w:r>
      <w:r w:rsidRPr="004A2990">
        <w:rPr>
          <w:lang w:val="en-US"/>
        </w:rPr>
        <w:t xml:space="preserve">imilarity and </w:t>
      </w:r>
      <w:r w:rsidR="00A0114E">
        <w:rPr>
          <w:lang w:val="en-US"/>
        </w:rPr>
        <w:t>t</w:t>
      </w:r>
      <w:r w:rsidRPr="004A2990">
        <w:rPr>
          <w:lang w:val="en-US"/>
        </w:rPr>
        <w:t>hreat was by necessity zero. Hence, manipulation check measures for similarity and threat w</w:t>
      </w:r>
      <w:r w:rsidR="00E22570" w:rsidRPr="004A2990">
        <w:rPr>
          <w:lang w:val="en-US"/>
        </w:rPr>
        <w:t>ere used to test the full model</w:t>
      </w:r>
      <w:r w:rsidRPr="004A2990">
        <w:rPr>
          <w:lang w:val="en-US"/>
        </w:rPr>
        <w:t xml:space="preserve">. </w:t>
      </w:r>
      <w:r w:rsidR="00E22570" w:rsidRPr="004A2990">
        <w:rPr>
          <w:lang w:val="en-US"/>
        </w:rPr>
        <w:t>Of course, given that similarity and threat were actually manipulated, any analyses using the manipulation checks must be interpreted with caution, but it is nonetheless worth exploring whether the pattern is congr</w:t>
      </w:r>
      <w:r w:rsidR="00AC7151">
        <w:rPr>
          <w:lang w:val="en-US"/>
        </w:rPr>
        <w:t xml:space="preserve">uent with the results of </w:t>
      </w:r>
      <w:r w:rsidR="00E767B9">
        <w:rPr>
          <w:lang w:val="en-US"/>
        </w:rPr>
        <w:t>S</w:t>
      </w:r>
      <w:r w:rsidR="00AC7151">
        <w:rPr>
          <w:lang w:val="en-US"/>
        </w:rPr>
        <w:t>tudy 1</w:t>
      </w:r>
      <w:r w:rsidR="00E22570" w:rsidRPr="004A2990">
        <w:rPr>
          <w:lang w:val="en-US"/>
        </w:rPr>
        <w:t xml:space="preserve">. </w:t>
      </w:r>
    </w:p>
    <w:p w14:paraId="1E7B615C" w14:textId="02146396" w:rsidR="00AA3B15" w:rsidRPr="004A2990" w:rsidRDefault="00E22570" w:rsidP="00AC7151">
      <w:pPr>
        <w:pStyle w:val="APABodyText"/>
        <w:ind w:firstLine="709"/>
        <w:rPr>
          <w:lang w:val="en-US"/>
        </w:rPr>
      </w:pPr>
      <w:r w:rsidRPr="004A2990">
        <w:rPr>
          <w:lang w:val="en-US"/>
        </w:rPr>
        <w:t xml:space="preserve">Structural equation modelling was employed, using the manipulation check measures for similarity and threat, and the measures of </w:t>
      </w:r>
      <w:r w:rsidR="00AA3B15" w:rsidRPr="004A2990">
        <w:rPr>
          <w:lang w:val="en-US"/>
        </w:rPr>
        <w:t xml:space="preserve">positive </w:t>
      </w:r>
      <w:r w:rsidR="007E1C89">
        <w:rPr>
          <w:lang w:val="en-US"/>
        </w:rPr>
        <w:t>affect</w:t>
      </w:r>
      <w:r w:rsidR="00AA3B15" w:rsidRPr="004A2990">
        <w:rPr>
          <w:lang w:val="en-US"/>
        </w:rPr>
        <w:t>, perceived rights</w:t>
      </w:r>
      <w:r w:rsidRPr="004A2990">
        <w:rPr>
          <w:lang w:val="en-US"/>
        </w:rPr>
        <w:t xml:space="preserve">, and perceived </w:t>
      </w:r>
      <w:r w:rsidR="00AA3B15" w:rsidRPr="004A2990">
        <w:rPr>
          <w:lang w:val="en-US"/>
        </w:rPr>
        <w:t xml:space="preserve">population </w:t>
      </w:r>
      <w:r w:rsidRPr="004A2990">
        <w:rPr>
          <w:lang w:val="en-US"/>
        </w:rPr>
        <w:t>size.</w:t>
      </w:r>
      <w:r w:rsidR="00AA3B15" w:rsidRPr="004A2990">
        <w:rPr>
          <w:lang w:val="en-US"/>
        </w:rPr>
        <w:t xml:space="preserve"> The same </w:t>
      </w:r>
      <w:r w:rsidR="00CE254F" w:rsidRPr="004A2990">
        <w:rPr>
          <w:lang w:val="en-US"/>
        </w:rPr>
        <w:t>hypothesized</w:t>
      </w:r>
      <w:r w:rsidR="00AA3B15" w:rsidRPr="004A2990">
        <w:rPr>
          <w:lang w:val="en-US"/>
        </w:rPr>
        <w:t xml:space="preserve"> model for the relation between these variables</w:t>
      </w:r>
      <w:r w:rsidR="009B36D6" w:rsidRPr="004A2990">
        <w:rPr>
          <w:lang w:val="en-US"/>
        </w:rPr>
        <w:t xml:space="preserve"> as tested in study </w:t>
      </w:r>
      <w:r w:rsidR="00AC7151">
        <w:rPr>
          <w:lang w:val="en-US"/>
        </w:rPr>
        <w:t>1</w:t>
      </w:r>
      <w:r w:rsidR="00AA3B15" w:rsidRPr="004A2990">
        <w:rPr>
          <w:lang w:val="en-US"/>
        </w:rPr>
        <w:t xml:space="preserve"> was assessed. </w:t>
      </w:r>
      <w:r w:rsidR="003C2EB3">
        <w:rPr>
          <w:lang w:val="en-US"/>
        </w:rPr>
        <w:t>The model, shown in Figure 2</w:t>
      </w:r>
      <w:r w:rsidR="00E2199D" w:rsidRPr="004A2990">
        <w:rPr>
          <w:lang w:val="en-US"/>
        </w:rPr>
        <w:t xml:space="preserve"> (path values within the </w:t>
      </w:r>
      <w:r w:rsidR="00315810">
        <w:rPr>
          <w:lang w:val="en-US"/>
        </w:rPr>
        <w:t>parentheses</w:t>
      </w:r>
      <w:r w:rsidR="00E2199D" w:rsidRPr="004A2990">
        <w:rPr>
          <w:lang w:val="en-US"/>
        </w:rPr>
        <w:t xml:space="preserve"> </w:t>
      </w:r>
      <w:r w:rsidR="00E2199D" w:rsidRPr="004A2990">
        <w:t>{}</w:t>
      </w:r>
      <w:r w:rsidRPr="004A2990">
        <w:rPr>
          <w:lang w:val="en-US"/>
        </w:rPr>
        <w:t>)</w:t>
      </w:r>
      <w:r w:rsidR="00E2367F" w:rsidRPr="004A2990">
        <w:rPr>
          <w:lang w:val="en-US"/>
        </w:rPr>
        <w:t>, had a good fit with the data</w:t>
      </w:r>
      <w:r w:rsidR="004503FB">
        <w:rPr>
          <w:lang w:val="en-US"/>
        </w:rPr>
        <w:t>,</w:t>
      </w:r>
      <w:r w:rsidR="00E2367F" w:rsidRPr="004A2990">
        <w:rPr>
          <w:lang w:val="en-US"/>
        </w:rPr>
        <w:t xml:space="preserve"> χ</w:t>
      </w:r>
      <w:r w:rsidR="00E2367F" w:rsidRPr="004A2990">
        <w:rPr>
          <w:vertAlign w:val="superscript"/>
          <w:lang w:val="en-US"/>
        </w:rPr>
        <w:t>2</w:t>
      </w:r>
      <w:r w:rsidR="00E2367F" w:rsidRPr="004A2990">
        <w:rPr>
          <w:lang w:val="en-US"/>
        </w:rPr>
        <w:t xml:space="preserve"> (</w:t>
      </w:r>
      <w:r w:rsidR="005D336D" w:rsidRPr="004A2990">
        <w:rPr>
          <w:lang w:val="en-US"/>
        </w:rPr>
        <w:t>4) = 4.63</w:t>
      </w:r>
      <w:r w:rsidR="00E2367F" w:rsidRPr="004A2990">
        <w:rPr>
          <w:lang w:val="en-US"/>
        </w:rPr>
        <w:t xml:space="preserve">, </w:t>
      </w:r>
      <w:r w:rsidR="00E2367F" w:rsidRPr="004A2990">
        <w:rPr>
          <w:i/>
          <w:lang w:val="en-US"/>
        </w:rPr>
        <w:t>p</w:t>
      </w:r>
      <w:r w:rsidR="005D336D" w:rsidRPr="004A2990">
        <w:rPr>
          <w:lang w:val="en-US"/>
        </w:rPr>
        <w:t xml:space="preserve"> = .328</w:t>
      </w:r>
      <w:r w:rsidR="00E2367F" w:rsidRPr="004A2990">
        <w:rPr>
          <w:lang w:val="en-US"/>
        </w:rPr>
        <w:t xml:space="preserve">; </w:t>
      </w:r>
      <w:r w:rsidR="00E2367F" w:rsidRPr="004A2990">
        <w:rPr>
          <w:i/>
          <w:lang w:val="en-US"/>
        </w:rPr>
        <w:t>GFI</w:t>
      </w:r>
      <w:r w:rsidR="005D336D" w:rsidRPr="004A2990">
        <w:rPr>
          <w:lang w:val="en-US"/>
        </w:rPr>
        <w:t xml:space="preserve"> = .986</w:t>
      </w:r>
      <w:r w:rsidR="00E2367F" w:rsidRPr="004A2990">
        <w:rPr>
          <w:lang w:val="en-US"/>
        </w:rPr>
        <w:t xml:space="preserve">; </w:t>
      </w:r>
      <w:r w:rsidR="00E2367F" w:rsidRPr="004A2990">
        <w:rPr>
          <w:i/>
          <w:lang w:val="en-US"/>
        </w:rPr>
        <w:t>CFI</w:t>
      </w:r>
      <w:r w:rsidR="005D336D" w:rsidRPr="004A2990">
        <w:rPr>
          <w:lang w:val="en-US"/>
        </w:rPr>
        <w:t xml:space="preserve"> = .996</w:t>
      </w:r>
      <w:r w:rsidR="00E2367F" w:rsidRPr="004A2990">
        <w:rPr>
          <w:lang w:val="en-US"/>
        </w:rPr>
        <w:t xml:space="preserve">; </w:t>
      </w:r>
      <w:r w:rsidR="00E2367F" w:rsidRPr="004A2990">
        <w:rPr>
          <w:i/>
          <w:lang w:val="en-US"/>
        </w:rPr>
        <w:t>RMSEA</w:t>
      </w:r>
      <w:r w:rsidR="005D336D" w:rsidRPr="004A2990">
        <w:rPr>
          <w:lang w:val="en-US"/>
        </w:rPr>
        <w:t xml:space="preserve"> = .035</w:t>
      </w:r>
      <w:r w:rsidR="00E2367F" w:rsidRPr="004A2990">
        <w:rPr>
          <w:lang w:val="en-US"/>
        </w:rPr>
        <w:t xml:space="preserve">. </w:t>
      </w:r>
      <w:r w:rsidR="000904CC" w:rsidRPr="004A2990">
        <w:rPr>
          <w:lang w:val="en-US"/>
        </w:rPr>
        <w:t>T</w:t>
      </w:r>
      <w:r w:rsidR="00AA3B15" w:rsidRPr="004A2990">
        <w:rPr>
          <w:lang w:val="en-US"/>
        </w:rPr>
        <w:t>he</w:t>
      </w:r>
      <w:r w:rsidR="00647EA7" w:rsidRPr="004A2990">
        <w:rPr>
          <w:lang w:val="en-US"/>
        </w:rPr>
        <w:t xml:space="preserve"> model accounted for 7.2</w:t>
      </w:r>
      <w:r w:rsidR="00AA3B15" w:rsidRPr="004A2990">
        <w:rPr>
          <w:lang w:val="en-US"/>
        </w:rPr>
        <w:t>%</w:t>
      </w:r>
      <w:r w:rsidR="00647EA7" w:rsidRPr="004A2990">
        <w:rPr>
          <w:lang w:val="en-US"/>
        </w:rPr>
        <w:t xml:space="preserve"> of the variance in threat, </w:t>
      </w:r>
      <w:r w:rsidR="005D336D" w:rsidRPr="004A2990">
        <w:rPr>
          <w:lang w:val="en-US"/>
        </w:rPr>
        <w:t>33.1</w:t>
      </w:r>
      <w:r w:rsidR="00AA3B15" w:rsidRPr="004A2990">
        <w:rPr>
          <w:lang w:val="en-US"/>
        </w:rPr>
        <w:t xml:space="preserve">% of the variance in positive </w:t>
      </w:r>
      <w:r w:rsidR="007E1C89">
        <w:rPr>
          <w:lang w:val="en-US"/>
        </w:rPr>
        <w:t>affect</w:t>
      </w:r>
      <w:r w:rsidR="00647EA7" w:rsidRPr="004A2990">
        <w:rPr>
          <w:lang w:val="en-US"/>
        </w:rPr>
        <w:t xml:space="preserve">, </w:t>
      </w:r>
      <w:r w:rsidR="005D336D" w:rsidRPr="004A2990">
        <w:rPr>
          <w:lang w:val="en-US"/>
        </w:rPr>
        <w:t>53.5</w:t>
      </w:r>
      <w:r w:rsidR="00AA3B15" w:rsidRPr="004A2990">
        <w:rPr>
          <w:lang w:val="en-US"/>
        </w:rPr>
        <w:t>% of the variance in perceived right to live in the UK,</w:t>
      </w:r>
      <w:r w:rsidR="00647EA7" w:rsidRPr="004A2990">
        <w:rPr>
          <w:lang w:val="en-US"/>
        </w:rPr>
        <w:t xml:space="preserve"> and </w:t>
      </w:r>
      <w:r w:rsidR="005D336D" w:rsidRPr="004A2990">
        <w:rPr>
          <w:lang w:val="en-US"/>
        </w:rPr>
        <w:t>2</w:t>
      </w:r>
      <w:r w:rsidR="001E4062" w:rsidRPr="004A2990">
        <w:rPr>
          <w:lang w:val="en-US"/>
        </w:rPr>
        <w:t>.7</w:t>
      </w:r>
      <w:r w:rsidR="00AA3B15" w:rsidRPr="004A2990">
        <w:rPr>
          <w:lang w:val="en-US"/>
        </w:rPr>
        <w:t xml:space="preserve">% of the variance in population </w:t>
      </w:r>
      <w:r w:rsidRPr="004A2990">
        <w:rPr>
          <w:lang w:val="en-US"/>
        </w:rPr>
        <w:t>size</w:t>
      </w:r>
      <w:r w:rsidR="00AA3B15" w:rsidRPr="004A2990">
        <w:rPr>
          <w:lang w:val="en-US"/>
        </w:rPr>
        <w:t xml:space="preserve">. Further support for the model comes from the test of an alternative model with the paths from </w:t>
      </w:r>
      <w:r w:rsidR="00F264EA">
        <w:rPr>
          <w:lang w:val="en-US"/>
        </w:rPr>
        <w:t xml:space="preserve">perceived </w:t>
      </w:r>
      <w:r w:rsidR="00AA3B15" w:rsidRPr="004A2990">
        <w:rPr>
          <w:lang w:val="en-US"/>
        </w:rPr>
        <w:t>right and population estimates reversed, which had a poorer fit with the data</w:t>
      </w:r>
      <w:r w:rsidR="004503FB">
        <w:rPr>
          <w:lang w:val="en-US"/>
        </w:rPr>
        <w:t>,</w:t>
      </w:r>
      <w:r w:rsidR="00AA3B15" w:rsidRPr="004A2990">
        <w:rPr>
          <w:lang w:val="en-US"/>
        </w:rPr>
        <w:t xml:space="preserve"> χ</w:t>
      </w:r>
      <w:r w:rsidR="00AA3B15" w:rsidRPr="004A2990">
        <w:rPr>
          <w:vertAlign w:val="superscript"/>
          <w:lang w:val="en-US"/>
        </w:rPr>
        <w:t>2</w:t>
      </w:r>
      <w:r w:rsidR="00AA3B15" w:rsidRPr="004A2990">
        <w:rPr>
          <w:lang w:val="en-US"/>
        </w:rPr>
        <w:t xml:space="preserve"> (</w:t>
      </w:r>
      <w:r w:rsidR="001E4062" w:rsidRPr="004A2990">
        <w:rPr>
          <w:lang w:val="en-US"/>
        </w:rPr>
        <w:t>5</w:t>
      </w:r>
      <w:r w:rsidR="00AA3B15" w:rsidRPr="004A2990">
        <w:rPr>
          <w:lang w:val="en-US"/>
        </w:rPr>
        <w:t xml:space="preserve">) = </w:t>
      </w:r>
      <w:r w:rsidR="001E4062" w:rsidRPr="004A2990">
        <w:rPr>
          <w:lang w:val="en-US"/>
        </w:rPr>
        <w:t>14.41</w:t>
      </w:r>
      <w:r w:rsidR="00AA3B15" w:rsidRPr="004A2990">
        <w:rPr>
          <w:lang w:val="en-US"/>
        </w:rPr>
        <w:t xml:space="preserve">, </w:t>
      </w:r>
      <w:r w:rsidR="00AA3B15" w:rsidRPr="004A2990">
        <w:rPr>
          <w:i/>
          <w:lang w:val="en-US"/>
        </w:rPr>
        <w:t>p</w:t>
      </w:r>
      <w:r w:rsidR="00D72C66" w:rsidRPr="004A2990">
        <w:rPr>
          <w:lang w:val="en-US"/>
        </w:rPr>
        <w:t xml:space="preserve"> &lt; .05</w:t>
      </w:r>
      <w:r w:rsidR="00AA3B15" w:rsidRPr="004A2990">
        <w:rPr>
          <w:lang w:val="en-US"/>
        </w:rPr>
        <w:t xml:space="preserve">; </w:t>
      </w:r>
      <w:r w:rsidR="00AA3B15" w:rsidRPr="004A2990">
        <w:rPr>
          <w:i/>
          <w:lang w:val="en-US"/>
        </w:rPr>
        <w:t xml:space="preserve">GFI </w:t>
      </w:r>
      <w:r w:rsidR="00AA3B15" w:rsidRPr="004A2990">
        <w:rPr>
          <w:lang w:val="en-US"/>
        </w:rPr>
        <w:t>= .</w:t>
      </w:r>
      <w:r w:rsidR="00B14E43" w:rsidRPr="004A2990">
        <w:rPr>
          <w:lang w:val="en-US"/>
        </w:rPr>
        <w:t>962</w:t>
      </w:r>
      <w:r w:rsidR="00AA3B15" w:rsidRPr="004A2990">
        <w:rPr>
          <w:lang w:val="en-US"/>
        </w:rPr>
        <w:t xml:space="preserve">, </w:t>
      </w:r>
      <w:r w:rsidR="00AA3B15" w:rsidRPr="004A2990">
        <w:rPr>
          <w:i/>
          <w:lang w:val="en-US"/>
        </w:rPr>
        <w:t xml:space="preserve">CFI </w:t>
      </w:r>
      <w:r w:rsidR="00AA3B15" w:rsidRPr="004A2990">
        <w:rPr>
          <w:lang w:val="en-US"/>
        </w:rPr>
        <w:t>= .</w:t>
      </w:r>
      <w:r w:rsidR="00D72C66" w:rsidRPr="004A2990">
        <w:rPr>
          <w:lang w:val="en-US"/>
        </w:rPr>
        <w:t>9</w:t>
      </w:r>
      <w:r w:rsidR="00B14E43" w:rsidRPr="004A2990">
        <w:rPr>
          <w:lang w:val="en-US"/>
        </w:rPr>
        <w:t>01</w:t>
      </w:r>
      <w:r w:rsidR="00AA3B15" w:rsidRPr="004A2990">
        <w:rPr>
          <w:lang w:val="en-US"/>
        </w:rPr>
        <w:t xml:space="preserve">, </w:t>
      </w:r>
      <w:r w:rsidR="00AA3B15" w:rsidRPr="004A2990">
        <w:rPr>
          <w:i/>
          <w:lang w:val="en-US"/>
        </w:rPr>
        <w:t>RMSEA</w:t>
      </w:r>
      <w:r w:rsidR="00AA3B15" w:rsidRPr="004A2990">
        <w:rPr>
          <w:lang w:val="en-US"/>
        </w:rPr>
        <w:t xml:space="preserve"> = .</w:t>
      </w:r>
      <w:r w:rsidR="00D72C66" w:rsidRPr="004A2990">
        <w:rPr>
          <w:lang w:val="en-US"/>
        </w:rPr>
        <w:t>1</w:t>
      </w:r>
      <w:r w:rsidR="00B14E43" w:rsidRPr="004A2990">
        <w:rPr>
          <w:lang w:val="en-US"/>
        </w:rPr>
        <w:t>23</w:t>
      </w:r>
      <w:r w:rsidR="00AA3B15" w:rsidRPr="004A2990">
        <w:rPr>
          <w:lang w:val="en-US"/>
        </w:rPr>
        <w:t xml:space="preserve">. </w:t>
      </w:r>
    </w:p>
    <w:p w14:paraId="157F2FAD" w14:textId="77777777" w:rsidR="00623AF4" w:rsidRPr="004A2990" w:rsidRDefault="00623AF4" w:rsidP="007C0D19">
      <w:pPr>
        <w:pStyle w:val="APABodyText"/>
        <w:spacing w:after="0"/>
        <w:ind w:firstLine="0"/>
        <w:jc w:val="center"/>
        <w:rPr>
          <w:lang w:val="en-US"/>
        </w:rPr>
      </w:pPr>
      <w:r w:rsidRPr="004A2990">
        <w:rPr>
          <w:lang w:val="en-US"/>
        </w:rPr>
        <w:t>Discussion</w:t>
      </w:r>
    </w:p>
    <w:p w14:paraId="109FB21A" w14:textId="090FC25A" w:rsidR="00CB7122" w:rsidRPr="004A2990" w:rsidRDefault="00623AF4" w:rsidP="007C0D19">
      <w:pPr>
        <w:pStyle w:val="APABodyText"/>
        <w:spacing w:after="0"/>
        <w:rPr>
          <w:lang w:val="en-US"/>
        </w:rPr>
      </w:pPr>
      <w:r w:rsidRPr="004A2990">
        <w:rPr>
          <w:lang w:val="en-US"/>
        </w:rPr>
        <w:t xml:space="preserve">The findings of this study offer partial support to the hypotheses. Despite </w:t>
      </w:r>
      <w:r w:rsidR="00616BEE" w:rsidRPr="004A2990">
        <w:rPr>
          <w:lang w:val="en-US"/>
        </w:rPr>
        <w:t xml:space="preserve">an effective intergroup similarity manipulation, </w:t>
      </w:r>
      <w:r w:rsidR="00325DAD" w:rsidRPr="004A2990">
        <w:rPr>
          <w:lang w:val="en-US"/>
        </w:rPr>
        <w:t xml:space="preserve">this manipulation did not elicit the hypothesized effects </w:t>
      </w:r>
      <w:r w:rsidR="00325DAD" w:rsidRPr="004A2990">
        <w:rPr>
          <w:lang w:val="en-US"/>
        </w:rPr>
        <w:lastRenderedPageBreak/>
        <w:t xml:space="preserve">on </w:t>
      </w:r>
      <w:r w:rsidRPr="004A2990">
        <w:rPr>
          <w:lang w:val="en-US"/>
        </w:rPr>
        <w:t xml:space="preserve">intergroup </w:t>
      </w:r>
      <w:r w:rsidR="007E1C89">
        <w:rPr>
          <w:lang w:val="en-US"/>
        </w:rPr>
        <w:t>affect</w:t>
      </w:r>
      <w:r w:rsidR="00E22570" w:rsidRPr="004A2990">
        <w:rPr>
          <w:lang w:val="en-US"/>
        </w:rPr>
        <w:t>,</w:t>
      </w:r>
      <w:r w:rsidR="00325DAD" w:rsidRPr="004A2990">
        <w:rPr>
          <w:lang w:val="en-US"/>
        </w:rPr>
        <w:t xml:space="preserve"> </w:t>
      </w:r>
      <w:r w:rsidRPr="004A2990">
        <w:rPr>
          <w:lang w:val="en-US"/>
        </w:rPr>
        <w:t>perceived rights to live in the UK</w:t>
      </w:r>
      <w:r w:rsidR="00325DAD" w:rsidRPr="004A2990">
        <w:rPr>
          <w:lang w:val="en-US"/>
        </w:rPr>
        <w:t>, or population estimates</w:t>
      </w:r>
      <w:r w:rsidR="008D0ADD" w:rsidRPr="004A2990">
        <w:rPr>
          <w:lang w:val="en-US"/>
        </w:rPr>
        <w:t>. However, t</w:t>
      </w:r>
      <w:r w:rsidRPr="004A2990">
        <w:rPr>
          <w:lang w:val="en-US"/>
        </w:rPr>
        <w:t xml:space="preserve">here were significant differences between groups high and low in threat on </w:t>
      </w:r>
      <w:r w:rsidR="007E1C89">
        <w:rPr>
          <w:lang w:val="en-US"/>
        </w:rPr>
        <w:t>affect</w:t>
      </w:r>
      <w:r w:rsidR="00214DC6" w:rsidRPr="004A2990">
        <w:rPr>
          <w:lang w:val="en-US"/>
        </w:rPr>
        <w:t xml:space="preserve"> </w:t>
      </w:r>
      <w:r w:rsidRPr="004A2990">
        <w:rPr>
          <w:lang w:val="en-US"/>
        </w:rPr>
        <w:t xml:space="preserve">towards </w:t>
      </w:r>
      <w:proofErr w:type="spellStart"/>
      <w:r w:rsidRPr="004A2990">
        <w:rPr>
          <w:lang w:val="en-US"/>
        </w:rPr>
        <w:t>Abendi</w:t>
      </w:r>
      <w:proofErr w:type="spellEnd"/>
      <w:r w:rsidRPr="004A2990">
        <w:rPr>
          <w:lang w:val="en-US"/>
        </w:rPr>
        <w:t xml:space="preserve"> individuals living in the UK</w:t>
      </w:r>
      <w:r w:rsidR="00214DC6" w:rsidRPr="004A2990">
        <w:rPr>
          <w:lang w:val="en-US"/>
        </w:rPr>
        <w:t>,</w:t>
      </w:r>
      <w:r w:rsidRPr="004A2990">
        <w:rPr>
          <w:lang w:val="en-US"/>
        </w:rPr>
        <w:t xml:space="preserve"> and </w:t>
      </w:r>
      <w:r w:rsidR="00214DC6" w:rsidRPr="004A2990">
        <w:rPr>
          <w:lang w:val="en-US"/>
        </w:rPr>
        <w:t xml:space="preserve">on </w:t>
      </w:r>
      <w:r w:rsidRPr="004A2990">
        <w:rPr>
          <w:lang w:val="en-US"/>
        </w:rPr>
        <w:t>perceived rights of these individuals to live in the UK, suggesting a causal impact of threat</w:t>
      </w:r>
      <w:r w:rsidR="00214DC6" w:rsidRPr="004A2990">
        <w:rPr>
          <w:lang w:val="en-US"/>
        </w:rPr>
        <w:t xml:space="preserve"> in line with the hypotheses</w:t>
      </w:r>
      <w:r w:rsidRPr="004A2990">
        <w:rPr>
          <w:lang w:val="en-US"/>
        </w:rPr>
        <w:t xml:space="preserve">. </w:t>
      </w:r>
      <w:r w:rsidR="00D72C66" w:rsidRPr="004A2990">
        <w:rPr>
          <w:lang w:val="en-US"/>
        </w:rPr>
        <w:t xml:space="preserve">The good fit </w:t>
      </w:r>
      <w:r w:rsidR="00B14E43" w:rsidRPr="004A2990">
        <w:rPr>
          <w:lang w:val="en-US"/>
        </w:rPr>
        <w:t xml:space="preserve">of </w:t>
      </w:r>
      <w:r w:rsidR="00E22570" w:rsidRPr="004A2990">
        <w:rPr>
          <w:lang w:val="en-US"/>
        </w:rPr>
        <w:t>the</w:t>
      </w:r>
      <w:r w:rsidR="00D72C66" w:rsidRPr="004A2990">
        <w:rPr>
          <w:lang w:val="en-US"/>
        </w:rPr>
        <w:t xml:space="preserve"> structural model offers additional support for the </w:t>
      </w:r>
      <w:r w:rsidR="00CE254F" w:rsidRPr="004A2990">
        <w:rPr>
          <w:lang w:val="en-US"/>
        </w:rPr>
        <w:t>hypothesized</w:t>
      </w:r>
      <w:r w:rsidR="00783B98" w:rsidRPr="004A2990">
        <w:rPr>
          <w:lang w:val="en-US"/>
        </w:rPr>
        <w:t xml:space="preserve"> relations between the variables</w:t>
      </w:r>
      <w:r w:rsidR="00D72C66" w:rsidRPr="004A2990">
        <w:rPr>
          <w:lang w:val="en-US"/>
        </w:rPr>
        <w:t xml:space="preserve">. </w:t>
      </w:r>
      <w:r w:rsidR="006B3C95" w:rsidRPr="004A2990">
        <w:rPr>
          <w:lang w:val="en-US"/>
        </w:rPr>
        <w:t>Mirroring stud</w:t>
      </w:r>
      <w:r w:rsidR="006B3C95">
        <w:rPr>
          <w:lang w:val="en-US"/>
        </w:rPr>
        <w:t>y</w:t>
      </w:r>
      <w:r w:rsidR="006B3C95" w:rsidRPr="004A2990">
        <w:rPr>
          <w:lang w:val="en-US"/>
        </w:rPr>
        <w:t xml:space="preserve"> 1, </w:t>
      </w:r>
      <w:r w:rsidR="006B3C95">
        <w:rPr>
          <w:lang w:val="en-US"/>
        </w:rPr>
        <w:t>g</w:t>
      </w:r>
      <w:r w:rsidR="00D72C66" w:rsidRPr="004A2990">
        <w:rPr>
          <w:lang w:val="en-US"/>
        </w:rPr>
        <w:t xml:space="preserve">reater intergroup threat perceptions </w:t>
      </w:r>
      <w:r w:rsidR="00B14E43" w:rsidRPr="004A2990">
        <w:rPr>
          <w:lang w:val="en-US"/>
        </w:rPr>
        <w:t>negatively predicted positive</w:t>
      </w:r>
      <w:r w:rsidR="00D72C66" w:rsidRPr="004A2990">
        <w:rPr>
          <w:lang w:val="en-US"/>
        </w:rPr>
        <w:t xml:space="preserve"> </w:t>
      </w:r>
      <w:r w:rsidR="007E1C89">
        <w:rPr>
          <w:lang w:val="en-US"/>
        </w:rPr>
        <w:t>affect</w:t>
      </w:r>
      <w:r w:rsidR="00CB7122" w:rsidRPr="004A2990">
        <w:rPr>
          <w:lang w:val="en-US"/>
        </w:rPr>
        <w:t xml:space="preserve">. </w:t>
      </w:r>
      <w:r w:rsidR="006B3C95">
        <w:rPr>
          <w:lang w:val="en-US"/>
        </w:rPr>
        <w:t>Lo</w:t>
      </w:r>
      <w:r w:rsidR="00D72C66" w:rsidRPr="004A2990">
        <w:rPr>
          <w:lang w:val="en-US"/>
        </w:rPr>
        <w:t xml:space="preserve">wer positive </w:t>
      </w:r>
      <w:r w:rsidR="007E1C89">
        <w:rPr>
          <w:lang w:val="en-US"/>
        </w:rPr>
        <w:t>affect</w:t>
      </w:r>
      <w:r w:rsidR="00D72C66" w:rsidRPr="004A2990">
        <w:rPr>
          <w:lang w:val="en-US"/>
        </w:rPr>
        <w:t xml:space="preserve"> positively predicted lower perceived rights to UK residency and positively predicted larger population estimates</w:t>
      </w:r>
      <w:r w:rsidR="00214DC6" w:rsidRPr="004A2990">
        <w:rPr>
          <w:lang w:val="en-US"/>
        </w:rPr>
        <w:t xml:space="preserve"> (although this latter path did not reach significance in this present study)</w:t>
      </w:r>
      <w:r w:rsidR="00D72C66" w:rsidRPr="004A2990">
        <w:rPr>
          <w:lang w:val="en-US"/>
        </w:rPr>
        <w:t xml:space="preserve">. </w:t>
      </w:r>
    </w:p>
    <w:p w14:paraId="44C20F7A" w14:textId="77777777" w:rsidR="00623AF4" w:rsidRPr="004A2990" w:rsidRDefault="00623AF4" w:rsidP="007C0D19">
      <w:pPr>
        <w:pStyle w:val="APABodyText"/>
        <w:spacing w:after="0"/>
        <w:ind w:firstLine="0"/>
        <w:jc w:val="center"/>
        <w:rPr>
          <w:lang w:val="en-US"/>
        </w:rPr>
      </w:pPr>
      <w:r w:rsidRPr="004A2990">
        <w:rPr>
          <w:lang w:val="en-US"/>
        </w:rPr>
        <w:t>General Discussion</w:t>
      </w:r>
    </w:p>
    <w:p w14:paraId="24FBD941" w14:textId="6124FFF0" w:rsidR="008E4285" w:rsidRPr="004A2990" w:rsidRDefault="0019309A" w:rsidP="00C23DB6">
      <w:pPr>
        <w:pStyle w:val="APABodyText"/>
        <w:spacing w:after="0"/>
        <w:rPr>
          <w:lang w:val="en-US"/>
        </w:rPr>
      </w:pPr>
      <w:r>
        <w:rPr>
          <w:lang w:val="en-US"/>
        </w:rPr>
        <w:t>Two</w:t>
      </w:r>
      <w:r w:rsidR="00623AF4" w:rsidRPr="004A2990">
        <w:rPr>
          <w:lang w:val="en-US"/>
        </w:rPr>
        <w:t xml:space="preserve"> studies examin</w:t>
      </w:r>
      <w:r w:rsidR="000556F0" w:rsidRPr="004A2990">
        <w:rPr>
          <w:lang w:val="en-US"/>
        </w:rPr>
        <w:t xml:space="preserve">ed </w:t>
      </w:r>
      <w:r w:rsidR="00A37303" w:rsidRPr="004A2990">
        <w:rPr>
          <w:lang w:val="en-US"/>
        </w:rPr>
        <w:t>the attitudes</w:t>
      </w:r>
      <w:r w:rsidR="00623AF4" w:rsidRPr="004A2990">
        <w:rPr>
          <w:lang w:val="en-US"/>
        </w:rPr>
        <w:t xml:space="preserve"> of British individuals to</w:t>
      </w:r>
      <w:r w:rsidR="000556F0" w:rsidRPr="004A2990">
        <w:rPr>
          <w:lang w:val="en-US"/>
        </w:rPr>
        <w:t>wards</w:t>
      </w:r>
      <w:r w:rsidR="00623AF4" w:rsidRPr="004A2990">
        <w:rPr>
          <w:lang w:val="en-US"/>
        </w:rPr>
        <w:t xml:space="preserve"> </w:t>
      </w:r>
      <w:r w:rsidR="00164022" w:rsidRPr="004A2990">
        <w:rPr>
          <w:lang w:val="en-US"/>
        </w:rPr>
        <w:t>different</w:t>
      </w:r>
      <w:r w:rsidR="00623AF4" w:rsidRPr="004A2990">
        <w:rPr>
          <w:lang w:val="en-US"/>
        </w:rPr>
        <w:t xml:space="preserve"> migrant groups. </w:t>
      </w:r>
      <w:r w:rsidR="00E22570" w:rsidRPr="004A2990">
        <w:rPr>
          <w:lang w:val="en-US"/>
        </w:rPr>
        <w:t>T</w:t>
      </w:r>
      <w:r w:rsidR="00623AF4" w:rsidRPr="004A2990">
        <w:rPr>
          <w:lang w:val="en-US"/>
        </w:rPr>
        <w:t>his work reveal</w:t>
      </w:r>
      <w:r>
        <w:rPr>
          <w:lang w:val="en-US"/>
        </w:rPr>
        <w:t>ed</w:t>
      </w:r>
      <w:r w:rsidR="00623AF4" w:rsidRPr="004A2990">
        <w:rPr>
          <w:lang w:val="en-US"/>
        </w:rPr>
        <w:t xml:space="preserve"> a</w:t>
      </w:r>
      <w:r>
        <w:rPr>
          <w:lang w:val="en-US"/>
        </w:rPr>
        <w:t>n</w:t>
      </w:r>
      <w:r w:rsidR="00623AF4" w:rsidRPr="004A2990">
        <w:rPr>
          <w:lang w:val="en-US"/>
        </w:rPr>
        <w:t xml:space="preserve"> </w:t>
      </w:r>
      <w:r w:rsidR="00E22570" w:rsidRPr="004A2990">
        <w:rPr>
          <w:lang w:val="en-US"/>
        </w:rPr>
        <w:t>effect of perceived intergroup similarity and</w:t>
      </w:r>
      <w:r w:rsidR="00623AF4" w:rsidRPr="004A2990">
        <w:rPr>
          <w:lang w:val="en-US"/>
        </w:rPr>
        <w:t xml:space="preserve"> perceptions of intergroup threat </w:t>
      </w:r>
      <w:r w:rsidR="00E22570" w:rsidRPr="004A2990">
        <w:rPr>
          <w:lang w:val="en-US"/>
        </w:rPr>
        <w:t>from groups migrating to the UK on</w:t>
      </w:r>
      <w:r w:rsidR="00623AF4" w:rsidRPr="004A2990">
        <w:rPr>
          <w:lang w:val="en-US"/>
        </w:rPr>
        <w:t xml:space="preserve"> negative </w:t>
      </w:r>
      <w:r w:rsidR="00F94326" w:rsidRPr="004A2990">
        <w:rPr>
          <w:lang w:val="en-US"/>
        </w:rPr>
        <w:t xml:space="preserve">affect </w:t>
      </w:r>
      <w:r w:rsidR="00623AF4" w:rsidRPr="004A2990">
        <w:rPr>
          <w:lang w:val="en-US"/>
        </w:rPr>
        <w:t>towards migrants</w:t>
      </w:r>
      <w:r w:rsidR="00E22570" w:rsidRPr="004A2990">
        <w:rPr>
          <w:lang w:val="en-US"/>
        </w:rPr>
        <w:t>,</w:t>
      </w:r>
      <w:r w:rsidR="00623AF4" w:rsidRPr="004A2990">
        <w:rPr>
          <w:lang w:val="en-US"/>
        </w:rPr>
        <w:t xml:space="preserve"> </w:t>
      </w:r>
      <w:r w:rsidR="00164022" w:rsidRPr="004A2990">
        <w:rPr>
          <w:lang w:val="en-US"/>
        </w:rPr>
        <w:t>their perceived</w:t>
      </w:r>
      <w:r w:rsidR="00623AF4" w:rsidRPr="004A2990">
        <w:rPr>
          <w:lang w:val="en-US"/>
        </w:rPr>
        <w:t xml:space="preserve"> right to reside in the UK</w:t>
      </w:r>
      <w:r w:rsidR="00E22570" w:rsidRPr="004A2990">
        <w:rPr>
          <w:lang w:val="en-US"/>
        </w:rPr>
        <w:t>, and perceived population size</w:t>
      </w:r>
      <w:r>
        <w:rPr>
          <w:lang w:val="en-US"/>
        </w:rPr>
        <w:t>, although it should be acknowledged that the effects on ‘perceived size’ in Study 2 were not consistent with those in Study 1, and this will be discussed in more detail below</w:t>
      </w:r>
      <w:r w:rsidR="00623AF4" w:rsidRPr="004A2990">
        <w:rPr>
          <w:lang w:val="en-US"/>
        </w:rPr>
        <w:t xml:space="preserve">. </w:t>
      </w:r>
      <w:r>
        <w:rPr>
          <w:lang w:val="en-US"/>
        </w:rPr>
        <w:t>Overall though, f</w:t>
      </w:r>
      <w:r w:rsidR="00623AF4" w:rsidRPr="004A2990">
        <w:rPr>
          <w:lang w:val="en-US"/>
        </w:rPr>
        <w:t>inding</w:t>
      </w:r>
      <w:r w:rsidR="00E22570" w:rsidRPr="004A2990">
        <w:rPr>
          <w:lang w:val="en-US"/>
        </w:rPr>
        <w:t>s</w:t>
      </w:r>
      <w:r w:rsidR="00623AF4" w:rsidRPr="004A2990">
        <w:rPr>
          <w:lang w:val="en-US"/>
        </w:rPr>
        <w:t xml:space="preserve"> </w:t>
      </w:r>
      <w:r w:rsidR="00E22570" w:rsidRPr="004A2990">
        <w:rPr>
          <w:lang w:val="en-US"/>
        </w:rPr>
        <w:t>are</w:t>
      </w:r>
      <w:r w:rsidR="00623AF4" w:rsidRPr="004A2990">
        <w:rPr>
          <w:lang w:val="en-US"/>
        </w:rPr>
        <w:t xml:space="preserve"> in line with </w:t>
      </w:r>
      <w:r>
        <w:rPr>
          <w:lang w:val="en-US"/>
        </w:rPr>
        <w:t>I</w:t>
      </w:r>
      <w:r w:rsidR="00623AF4" w:rsidRPr="004A2990">
        <w:rPr>
          <w:lang w:val="en-US"/>
        </w:rPr>
        <w:t>ntergro</w:t>
      </w:r>
      <w:r>
        <w:rPr>
          <w:lang w:val="en-US"/>
        </w:rPr>
        <w:t>up T</w:t>
      </w:r>
      <w:r w:rsidR="00E460C9" w:rsidRPr="004A2990">
        <w:rPr>
          <w:lang w:val="en-US"/>
        </w:rPr>
        <w:t xml:space="preserve">hreat </w:t>
      </w:r>
      <w:r>
        <w:rPr>
          <w:lang w:val="en-US"/>
        </w:rPr>
        <w:t>T</w:t>
      </w:r>
      <w:r w:rsidR="00E460C9" w:rsidRPr="004A2990">
        <w:rPr>
          <w:lang w:val="en-US"/>
        </w:rPr>
        <w:t>heory (Stephan</w:t>
      </w:r>
      <w:r w:rsidR="00623AF4" w:rsidRPr="004A2990">
        <w:rPr>
          <w:lang w:val="en-US"/>
        </w:rPr>
        <w:t>,</w:t>
      </w:r>
      <w:r w:rsidR="00E460C9" w:rsidRPr="004A2990">
        <w:rPr>
          <w:lang w:val="en-US"/>
        </w:rPr>
        <w:t xml:space="preserve"> Ybarra &amp; Bachman,</w:t>
      </w:r>
      <w:r w:rsidR="00164022" w:rsidRPr="004A2990">
        <w:rPr>
          <w:lang w:val="en-US"/>
        </w:rPr>
        <w:t xml:space="preserve"> 1999; for similar findings, see </w:t>
      </w:r>
      <w:proofErr w:type="spellStart"/>
      <w:r w:rsidR="00C23DB6" w:rsidRPr="004A2990">
        <w:rPr>
          <w:lang w:val="en-US"/>
        </w:rPr>
        <w:t>Florack</w:t>
      </w:r>
      <w:proofErr w:type="spellEnd"/>
      <w:r w:rsidR="00C23DB6" w:rsidRPr="004A2990">
        <w:rPr>
          <w:lang w:val="en-US"/>
        </w:rPr>
        <w:t xml:space="preserve">, </w:t>
      </w:r>
      <w:proofErr w:type="spellStart"/>
      <w:r w:rsidR="00C23DB6" w:rsidRPr="004A2990">
        <w:rPr>
          <w:lang w:val="en-US"/>
        </w:rPr>
        <w:t>Piontkowksi</w:t>
      </w:r>
      <w:proofErr w:type="spellEnd"/>
      <w:r w:rsidR="00C23DB6" w:rsidRPr="004A2990">
        <w:rPr>
          <w:lang w:val="en-US"/>
        </w:rPr>
        <w:t xml:space="preserve">, </w:t>
      </w:r>
      <w:proofErr w:type="spellStart"/>
      <w:r w:rsidR="00C23DB6" w:rsidRPr="004A2990">
        <w:rPr>
          <w:lang w:val="en-US"/>
        </w:rPr>
        <w:t>Rohmann</w:t>
      </w:r>
      <w:proofErr w:type="spellEnd"/>
      <w:r w:rsidR="00C23DB6" w:rsidRPr="004A2990">
        <w:rPr>
          <w:lang w:val="en-US"/>
        </w:rPr>
        <w:t xml:space="preserve">, </w:t>
      </w:r>
      <w:proofErr w:type="spellStart"/>
      <w:r w:rsidR="00C23DB6" w:rsidRPr="004A2990">
        <w:rPr>
          <w:lang w:val="en-US"/>
        </w:rPr>
        <w:t>Balzer</w:t>
      </w:r>
      <w:proofErr w:type="spellEnd"/>
      <w:r w:rsidR="00C23DB6" w:rsidRPr="004A2990">
        <w:rPr>
          <w:lang w:val="en-US"/>
        </w:rPr>
        <w:t xml:space="preserve"> &amp; </w:t>
      </w:r>
      <w:proofErr w:type="spellStart"/>
      <w:r w:rsidR="00C23DB6" w:rsidRPr="004A2990">
        <w:rPr>
          <w:lang w:val="en-US"/>
        </w:rPr>
        <w:t>Perzig</w:t>
      </w:r>
      <w:proofErr w:type="spellEnd"/>
      <w:r w:rsidR="00C23DB6" w:rsidRPr="004A2990">
        <w:rPr>
          <w:lang w:val="en-US"/>
        </w:rPr>
        <w:t xml:space="preserve">, 2003; </w:t>
      </w:r>
      <w:r w:rsidR="00623AF4" w:rsidRPr="004A2990">
        <w:rPr>
          <w:lang w:val="en-US"/>
        </w:rPr>
        <w:t xml:space="preserve">Pereira, </w:t>
      </w:r>
      <w:proofErr w:type="spellStart"/>
      <w:r w:rsidR="00623AF4" w:rsidRPr="004A2990">
        <w:rPr>
          <w:lang w:val="en-US"/>
        </w:rPr>
        <w:t>Vala</w:t>
      </w:r>
      <w:proofErr w:type="spellEnd"/>
      <w:r w:rsidR="00623AF4" w:rsidRPr="004A2990">
        <w:rPr>
          <w:lang w:val="en-US"/>
        </w:rPr>
        <w:t xml:space="preserve"> &amp; Costa-Lopes, 2010; </w:t>
      </w:r>
      <w:proofErr w:type="spellStart"/>
      <w:r w:rsidR="00623AF4" w:rsidRPr="004A2990">
        <w:rPr>
          <w:lang w:val="en-US"/>
        </w:rPr>
        <w:t>Quillian</w:t>
      </w:r>
      <w:proofErr w:type="spellEnd"/>
      <w:r w:rsidR="00623AF4" w:rsidRPr="004A2990">
        <w:rPr>
          <w:lang w:val="en-US"/>
        </w:rPr>
        <w:t xml:space="preserve">, 1995; </w:t>
      </w:r>
      <w:proofErr w:type="spellStart"/>
      <w:r w:rsidR="00C23DB6" w:rsidRPr="004A2990">
        <w:rPr>
          <w:lang w:val="en-US"/>
        </w:rPr>
        <w:t>Raijmann</w:t>
      </w:r>
      <w:proofErr w:type="spellEnd"/>
      <w:r w:rsidR="00C23DB6" w:rsidRPr="004A2990">
        <w:rPr>
          <w:lang w:val="en-US"/>
        </w:rPr>
        <w:t xml:space="preserve">, Semyonov &amp; Schmidt, 2003; </w:t>
      </w:r>
      <w:proofErr w:type="spellStart"/>
      <w:r w:rsidR="00C23DB6" w:rsidRPr="004A2990">
        <w:rPr>
          <w:lang w:val="en-US"/>
        </w:rPr>
        <w:t>Riek</w:t>
      </w:r>
      <w:proofErr w:type="spellEnd"/>
      <w:r w:rsidR="00C23DB6" w:rsidRPr="004A2990">
        <w:rPr>
          <w:lang w:val="en-US"/>
        </w:rPr>
        <w:t xml:space="preserve">, </w:t>
      </w:r>
      <w:proofErr w:type="spellStart"/>
      <w:r w:rsidR="00C23DB6" w:rsidRPr="004A2990">
        <w:rPr>
          <w:lang w:val="en-US"/>
        </w:rPr>
        <w:t>Gaertner</w:t>
      </w:r>
      <w:proofErr w:type="spellEnd"/>
      <w:r w:rsidR="00C23DB6" w:rsidRPr="004A2990">
        <w:rPr>
          <w:lang w:val="en-US"/>
        </w:rPr>
        <w:t xml:space="preserve"> &amp; Mania, 2006</w:t>
      </w:r>
      <w:r w:rsidR="00C23DB6">
        <w:rPr>
          <w:lang w:val="en-US"/>
        </w:rPr>
        <w:t xml:space="preserve">; </w:t>
      </w:r>
      <w:proofErr w:type="spellStart"/>
      <w:r w:rsidR="00C23DB6" w:rsidRPr="004A2990">
        <w:rPr>
          <w:lang w:val="en-US"/>
        </w:rPr>
        <w:t>Scheepers</w:t>
      </w:r>
      <w:proofErr w:type="spellEnd"/>
      <w:r w:rsidR="00C23DB6" w:rsidRPr="004A2990">
        <w:rPr>
          <w:lang w:val="en-US"/>
        </w:rPr>
        <w:t xml:space="preserve"> et al., 2002; </w:t>
      </w:r>
      <w:proofErr w:type="spellStart"/>
      <w:r w:rsidR="00C23DB6">
        <w:rPr>
          <w:lang w:val="en-US"/>
        </w:rPr>
        <w:t>Schlueter</w:t>
      </w:r>
      <w:proofErr w:type="spellEnd"/>
      <w:r w:rsidR="00C23DB6">
        <w:rPr>
          <w:lang w:val="en-US"/>
        </w:rPr>
        <w:t xml:space="preserve"> &amp; </w:t>
      </w:r>
      <w:proofErr w:type="spellStart"/>
      <w:r w:rsidR="00C23DB6">
        <w:rPr>
          <w:lang w:val="en-US"/>
        </w:rPr>
        <w:t>Scheepers</w:t>
      </w:r>
      <w:proofErr w:type="spellEnd"/>
      <w:r w:rsidR="00C23DB6">
        <w:rPr>
          <w:lang w:val="en-US"/>
        </w:rPr>
        <w:t>, 2010</w:t>
      </w:r>
      <w:r w:rsidR="00623AF4" w:rsidRPr="004A2990">
        <w:rPr>
          <w:lang w:val="en-US"/>
        </w:rPr>
        <w:t>)</w:t>
      </w:r>
      <w:r>
        <w:rPr>
          <w:lang w:val="en-US"/>
        </w:rPr>
        <w:t>, and they present an important insight into psychological processes that might affect the rights immigrants are perceived to have, and the perceived size of immigrant groups</w:t>
      </w:r>
      <w:r w:rsidR="00623AF4" w:rsidRPr="004A2990">
        <w:rPr>
          <w:lang w:val="en-US"/>
        </w:rPr>
        <w:t>.</w:t>
      </w:r>
      <w:r w:rsidR="00616BEE" w:rsidRPr="004A2990">
        <w:rPr>
          <w:lang w:val="en-US"/>
        </w:rPr>
        <w:t xml:space="preserve"> </w:t>
      </w:r>
    </w:p>
    <w:p w14:paraId="29740489" w14:textId="43DB3A90" w:rsidR="005A25C4" w:rsidRDefault="005A25C4" w:rsidP="007C0D19">
      <w:pPr>
        <w:pStyle w:val="APABodyText"/>
        <w:spacing w:after="0"/>
        <w:rPr>
          <w:lang w:val="en-US"/>
        </w:rPr>
      </w:pPr>
      <w:r w:rsidRPr="004A2990">
        <w:rPr>
          <w:lang w:val="en-US"/>
        </w:rPr>
        <w:t xml:space="preserve">The results across the </w:t>
      </w:r>
      <w:r>
        <w:rPr>
          <w:lang w:val="en-US"/>
        </w:rPr>
        <w:t>two</w:t>
      </w:r>
      <w:r w:rsidRPr="004A2990">
        <w:rPr>
          <w:lang w:val="en-US"/>
        </w:rPr>
        <w:t xml:space="preserve"> studies also indicate that significantly different attitudes are held towards different migrant groups living in the UK, with some groups, such as those from </w:t>
      </w:r>
      <w:r w:rsidRPr="004A2990">
        <w:rPr>
          <w:lang w:val="en-US"/>
        </w:rPr>
        <w:lastRenderedPageBreak/>
        <w:t xml:space="preserve">Syria, viewed considerably more negatively than others. This highlights the importance of considering perceptions regarding specific groups, and not only immigrants in general. However, even though mean-level attitudes differed towards different groups, the psychological processes were remarkably similar across studies and target groups (see the </w:t>
      </w:r>
      <w:r>
        <w:rPr>
          <w:lang w:val="en-US"/>
        </w:rPr>
        <w:t>similar path values in Figure 2</w:t>
      </w:r>
      <w:r w:rsidRPr="004A2990">
        <w:rPr>
          <w:lang w:val="en-US"/>
        </w:rPr>
        <w:t xml:space="preserve"> across different groups). This suggests that these processes might be generic and could generalize to other groups and other countries too. However, this would need to be tested of course, before this assertion can be made with any certainty.</w:t>
      </w:r>
    </w:p>
    <w:p w14:paraId="35E047E3" w14:textId="56C8A004" w:rsidR="005A25C4" w:rsidRDefault="005A25C4" w:rsidP="007C0D19">
      <w:pPr>
        <w:pStyle w:val="APABodyText"/>
        <w:spacing w:after="0"/>
        <w:rPr>
          <w:lang w:val="en-US"/>
        </w:rPr>
      </w:pPr>
      <w:r w:rsidRPr="004A2990">
        <w:rPr>
          <w:lang w:val="en-US"/>
        </w:rPr>
        <w:t xml:space="preserve">To us, maybe the most exciting conclusion to emerge from the present data is that political arguments about ‘boats being full’ are </w:t>
      </w:r>
      <w:r w:rsidR="0019309A">
        <w:rPr>
          <w:lang w:val="en-US"/>
        </w:rPr>
        <w:t>potentially</w:t>
      </w:r>
      <w:r w:rsidRPr="004A2990">
        <w:rPr>
          <w:lang w:val="en-US"/>
        </w:rPr>
        <w:t xml:space="preserve"> driven by psychological concerns, rather than vice versa. In other words, it is not only the size of immigrant groups or their objective right to reside which affect intergroup attitudes, but it is rather that those attitudes themselves drive perceptions of immigrant group size and rights. While previous work has argued that size perceptions drive intergroup attitudes (Alba, </w:t>
      </w:r>
      <w:proofErr w:type="spellStart"/>
      <w:r w:rsidRPr="004A2990">
        <w:rPr>
          <w:lang w:val="en-US"/>
        </w:rPr>
        <w:t>Rumbaudt</w:t>
      </w:r>
      <w:proofErr w:type="spellEnd"/>
      <w:r w:rsidRPr="004A2990">
        <w:rPr>
          <w:lang w:val="en-US"/>
        </w:rPr>
        <w:t xml:space="preserve"> &amp; </w:t>
      </w:r>
      <w:proofErr w:type="spellStart"/>
      <w:r w:rsidRPr="004A2990">
        <w:rPr>
          <w:lang w:val="en-US"/>
        </w:rPr>
        <w:t>Marotz</w:t>
      </w:r>
      <w:proofErr w:type="spellEnd"/>
      <w:r w:rsidRPr="004A2990">
        <w:rPr>
          <w:lang w:val="en-US"/>
        </w:rPr>
        <w:t xml:space="preserve">, 2005), our data suggest that prior intergroup attitudes also drive size perceptions (see also Cole, </w:t>
      </w:r>
      <w:proofErr w:type="spellStart"/>
      <w:r w:rsidRPr="004A2990">
        <w:rPr>
          <w:lang w:val="en-US"/>
        </w:rPr>
        <w:t>Balcetis</w:t>
      </w:r>
      <w:proofErr w:type="spellEnd"/>
      <w:r w:rsidRPr="004A2990">
        <w:rPr>
          <w:lang w:val="en-US"/>
        </w:rPr>
        <w:t xml:space="preserve"> &amp; Dunning, 2013; </w:t>
      </w:r>
      <w:proofErr w:type="spellStart"/>
      <w:r w:rsidRPr="004A2990">
        <w:rPr>
          <w:lang w:val="en-US"/>
        </w:rPr>
        <w:t>Herda</w:t>
      </w:r>
      <w:proofErr w:type="spellEnd"/>
      <w:r w:rsidRPr="004A2990">
        <w:rPr>
          <w:lang w:val="en-US"/>
        </w:rPr>
        <w:t>, 2010). Our findings suggest that a situation with large migration influx does not necessarily lead to intergroup tensions. Instead, when psychological concerns are properly managed, our data suggest that even in very multicultural societies intergroup tensions are not a foregone conclusion.</w:t>
      </w:r>
    </w:p>
    <w:p w14:paraId="3B8C3840" w14:textId="7F820141" w:rsidR="00F9366D" w:rsidRDefault="00F9366D" w:rsidP="007C0D19">
      <w:pPr>
        <w:pStyle w:val="APABodyText"/>
        <w:spacing w:after="0"/>
        <w:rPr>
          <w:lang w:val="en-US"/>
        </w:rPr>
      </w:pPr>
      <w:r w:rsidRPr="004A2990">
        <w:rPr>
          <w:lang w:val="en-US"/>
        </w:rPr>
        <w:t xml:space="preserve">Of course, this research has some limitations. </w:t>
      </w:r>
      <w:r>
        <w:rPr>
          <w:lang w:val="en-US"/>
        </w:rPr>
        <w:t xml:space="preserve">Firstly, clearly our samples are not representative, and especially the student sample used in Study 2 means that generalizability of findings to the general population cannot be assumed for certain. Secondly, since the threat manipulation in Study 2 referred to </w:t>
      </w:r>
      <w:r w:rsidR="007E60E4">
        <w:rPr>
          <w:lang w:val="en-US"/>
        </w:rPr>
        <w:t xml:space="preserve">number of jobs, it is possible that this might have inadvertently tapped into perceived size also. Future experimental work could improve on this operationalization. Thirdly, </w:t>
      </w:r>
      <w:r>
        <w:rPr>
          <w:lang w:val="en-US"/>
        </w:rPr>
        <w:t>t</w:t>
      </w:r>
      <w:r w:rsidRPr="004A2990">
        <w:rPr>
          <w:lang w:val="en-US"/>
        </w:rPr>
        <w:t xml:space="preserve">he studies in this research measured only the attitudes of </w:t>
      </w:r>
      <w:r w:rsidRPr="004A2990">
        <w:rPr>
          <w:lang w:val="en-US"/>
        </w:rPr>
        <w:lastRenderedPageBreak/>
        <w:t xml:space="preserve">participants. Although interesting and insightful, previous research (e.g. Fazio &amp; </w:t>
      </w:r>
      <w:proofErr w:type="spellStart"/>
      <w:r w:rsidRPr="004A2990">
        <w:rPr>
          <w:lang w:val="en-US"/>
        </w:rPr>
        <w:t>Zanna</w:t>
      </w:r>
      <w:proofErr w:type="spellEnd"/>
      <w:r w:rsidRPr="004A2990">
        <w:rPr>
          <w:lang w:val="en-US"/>
        </w:rPr>
        <w:t>, 1981</w:t>
      </w:r>
      <w:r>
        <w:rPr>
          <w:lang w:val="en-US"/>
        </w:rPr>
        <w:t>; Linn, 1965</w:t>
      </w:r>
      <w:r w:rsidRPr="004A2990">
        <w:rPr>
          <w:lang w:val="en-US"/>
        </w:rPr>
        <w:t xml:space="preserve">) has shown that attitudes do not necessarily translate into behavior and thus the inclusion of a behavioral measure would have enriched this research. </w:t>
      </w:r>
      <w:r w:rsidR="007E60E4">
        <w:rPr>
          <w:lang w:val="en-US"/>
        </w:rPr>
        <w:t>Fourthly</w:t>
      </w:r>
      <w:r>
        <w:rPr>
          <w:lang w:val="en-US"/>
        </w:rPr>
        <w:t>, i</w:t>
      </w:r>
      <w:r w:rsidRPr="004A2990">
        <w:rPr>
          <w:lang w:val="en-US"/>
        </w:rPr>
        <w:t>t is also important to note that the factors explored in this research likely do not represent an exhaustive list of determinants of intergroup attitudes, and additional potential influencing factors should continue to be explored in future research.</w:t>
      </w:r>
    </w:p>
    <w:p w14:paraId="3CC33201" w14:textId="7121BEFF" w:rsidR="002E6C07" w:rsidRPr="002E6C07" w:rsidRDefault="002E6C07" w:rsidP="0097216F">
      <w:pPr>
        <w:pStyle w:val="APABodyText"/>
        <w:spacing w:after="0"/>
        <w:rPr>
          <w:b/>
          <w:lang w:val="en-US"/>
        </w:rPr>
      </w:pPr>
      <w:r>
        <w:rPr>
          <w:lang w:val="en-US"/>
        </w:rPr>
        <w:t>A few words should be said about results that were not consistent between studies. While findings were reasonably consistent in terms of predictors of ‘perceived rights’, evidence for processes affecting ‘perceived size’ was only found in study 1 but not study 2. One potential reason might be the use of a fictitious group in study 2. Participants had been told that the ‘</w:t>
      </w:r>
      <w:proofErr w:type="spellStart"/>
      <w:r>
        <w:rPr>
          <w:lang w:val="en-US"/>
        </w:rPr>
        <w:t>Abendi</w:t>
      </w:r>
      <w:proofErr w:type="spellEnd"/>
      <w:r>
        <w:rPr>
          <w:lang w:val="en-US"/>
        </w:rPr>
        <w:t xml:space="preserve">’ are a group they had not heard of before, which might have led to bottom effects because most participants would reasonably have assumed that this group must be quite small. In retrospect, this is one potential reason for why it was difficult to detect the hypothesized effects in study 2. Future research could improve on the design and maybe test the hypotheses focusing on real groups (although this of course brings its own methodological problems). </w:t>
      </w:r>
    </w:p>
    <w:p w14:paraId="0B6A57DE" w14:textId="0EDC8411" w:rsidR="00301F1E" w:rsidRPr="004A2990" w:rsidRDefault="00164022" w:rsidP="0097216F">
      <w:pPr>
        <w:pStyle w:val="APABodyText"/>
        <w:spacing w:after="0"/>
        <w:rPr>
          <w:lang w:val="en-US"/>
        </w:rPr>
      </w:pPr>
      <w:r w:rsidRPr="004A2990">
        <w:rPr>
          <w:lang w:val="en-US"/>
        </w:rPr>
        <w:t>The</w:t>
      </w:r>
      <w:r w:rsidR="0019309A">
        <w:rPr>
          <w:lang w:val="en-US"/>
        </w:rPr>
        <w:t xml:space="preserve"> present</w:t>
      </w:r>
      <w:r w:rsidRPr="004A2990">
        <w:rPr>
          <w:lang w:val="en-US"/>
        </w:rPr>
        <w:t xml:space="preserve"> findings have some applied implications. One i</w:t>
      </w:r>
      <w:r w:rsidR="00013E1E" w:rsidRPr="004A2990">
        <w:rPr>
          <w:lang w:val="en-US"/>
        </w:rPr>
        <w:t xml:space="preserve">mplication relates to </w:t>
      </w:r>
      <w:r w:rsidR="0019309A">
        <w:rPr>
          <w:lang w:val="en-US"/>
        </w:rPr>
        <w:t xml:space="preserve">perceived threat, and </w:t>
      </w:r>
      <w:r w:rsidR="00013E1E" w:rsidRPr="004A2990">
        <w:rPr>
          <w:lang w:val="en-US"/>
        </w:rPr>
        <w:t>the media representation of migrant groups living in Britain. Previous research has explored the representations of minority groups in the media (Allen &amp; Blinder, 2013), the resultant potential impacts upon threat and identity (e.g. Muslims</w:t>
      </w:r>
      <w:r w:rsidR="007947A2" w:rsidRPr="004A2990">
        <w:rPr>
          <w:lang w:val="en-US"/>
        </w:rPr>
        <w:t>;</w:t>
      </w:r>
      <w:r w:rsidR="00013E1E" w:rsidRPr="004A2990">
        <w:rPr>
          <w:lang w:val="en-US"/>
        </w:rPr>
        <w:t xml:space="preserve"> Jaspal &amp; </w:t>
      </w:r>
      <w:proofErr w:type="spellStart"/>
      <w:r w:rsidR="00013E1E" w:rsidRPr="004A2990">
        <w:rPr>
          <w:lang w:val="en-US"/>
        </w:rPr>
        <w:t>Cinnirella</w:t>
      </w:r>
      <w:proofErr w:type="spellEnd"/>
      <w:r w:rsidR="00013E1E" w:rsidRPr="004A2990">
        <w:rPr>
          <w:lang w:val="en-US"/>
        </w:rPr>
        <w:t>, 2010), and the influence of media representations of migrant groups upon attitudes (e.g. A</w:t>
      </w:r>
      <w:r w:rsidR="00FA4FA6" w:rsidRPr="004A2990">
        <w:rPr>
          <w:lang w:val="en-US"/>
        </w:rPr>
        <w:t xml:space="preserve">twell </w:t>
      </w:r>
      <w:proofErr w:type="spellStart"/>
      <w:r w:rsidR="00FA4FA6" w:rsidRPr="004A2990">
        <w:rPr>
          <w:lang w:val="en-US"/>
        </w:rPr>
        <w:t>Seate</w:t>
      </w:r>
      <w:proofErr w:type="spellEnd"/>
      <w:r w:rsidR="00FA4FA6" w:rsidRPr="004A2990">
        <w:rPr>
          <w:lang w:val="en-US"/>
        </w:rPr>
        <w:t xml:space="preserve"> &amp; </w:t>
      </w:r>
      <w:proofErr w:type="spellStart"/>
      <w:r w:rsidR="00FA4FA6" w:rsidRPr="004A2990">
        <w:rPr>
          <w:lang w:val="en-US"/>
        </w:rPr>
        <w:t>Mastro</w:t>
      </w:r>
      <w:proofErr w:type="spellEnd"/>
      <w:r w:rsidR="00FA4FA6" w:rsidRPr="004A2990">
        <w:rPr>
          <w:lang w:val="en-US"/>
        </w:rPr>
        <w:t>, 2016)</w:t>
      </w:r>
      <w:r w:rsidR="00013E1E" w:rsidRPr="004A2990">
        <w:rPr>
          <w:lang w:val="en-US"/>
        </w:rPr>
        <w:t>. In light of this, presenting migrants in a non-threatening manner may be a means by which to tackle anti-immigrant sentiment.</w:t>
      </w:r>
      <w:r w:rsidR="002E6C07">
        <w:rPr>
          <w:lang w:val="en-US"/>
        </w:rPr>
        <w:t xml:space="preserve"> </w:t>
      </w:r>
      <w:r w:rsidR="00013E1E" w:rsidRPr="004A2990">
        <w:rPr>
          <w:lang w:val="en-US"/>
        </w:rPr>
        <w:t xml:space="preserve">Beyond threat, </w:t>
      </w:r>
      <w:r w:rsidR="0019309A">
        <w:rPr>
          <w:lang w:val="en-US"/>
        </w:rPr>
        <w:t xml:space="preserve">an applied implication related to similarity is that </w:t>
      </w:r>
      <w:r w:rsidR="00013E1E" w:rsidRPr="004A2990">
        <w:rPr>
          <w:lang w:val="en-US"/>
        </w:rPr>
        <w:t>this</w:t>
      </w:r>
      <w:r w:rsidR="00623AF4" w:rsidRPr="004A2990">
        <w:rPr>
          <w:lang w:val="en-US"/>
        </w:rPr>
        <w:t xml:space="preserve"> work </w:t>
      </w:r>
      <w:r w:rsidR="00ED0B9D" w:rsidRPr="004A2990">
        <w:rPr>
          <w:lang w:val="en-US"/>
        </w:rPr>
        <w:t>indicates</w:t>
      </w:r>
      <w:r w:rsidR="00623AF4" w:rsidRPr="004A2990">
        <w:rPr>
          <w:lang w:val="en-US"/>
        </w:rPr>
        <w:t xml:space="preserve"> the presence of an </w:t>
      </w:r>
      <w:r w:rsidR="00623AF4" w:rsidRPr="004A2990">
        <w:rPr>
          <w:lang w:val="en-US"/>
        </w:rPr>
        <w:lastRenderedPageBreak/>
        <w:t xml:space="preserve">association between perceptions of intergroup similarity and intergroup </w:t>
      </w:r>
      <w:r w:rsidR="007E1C89">
        <w:rPr>
          <w:lang w:val="en-US"/>
        </w:rPr>
        <w:t>affect</w:t>
      </w:r>
      <w:r w:rsidR="00623AF4" w:rsidRPr="004A2990">
        <w:rPr>
          <w:lang w:val="en-US"/>
        </w:rPr>
        <w:t xml:space="preserve"> and </w:t>
      </w:r>
      <w:r w:rsidR="00FA4FA6" w:rsidRPr="004A2990">
        <w:rPr>
          <w:lang w:val="en-US"/>
        </w:rPr>
        <w:t xml:space="preserve">(in a second step) </w:t>
      </w:r>
      <w:r w:rsidR="00623AF4" w:rsidRPr="004A2990">
        <w:rPr>
          <w:lang w:val="en-US"/>
        </w:rPr>
        <w:t>perceived migrant UK residency rights</w:t>
      </w:r>
      <w:r w:rsidR="00FA4FA6" w:rsidRPr="004A2990">
        <w:rPr>
          <w:lang w:val="en-US"/>
        </w:rPr>
        <w:t xml:space="preserve">. </w:t>
      </w:r>
      <w:r w:rsidR="00AF14CD" w:rsidRPr="004A2990">
        <w:rPr>
          <w:lang w:val="en-US"/>
        </w:rPr>
        <w:t>Overall, our data</w:t>
      </w:r>
      <w:r w:rsidR="002E6C07">
        <w:rPr>
          <w:lang w:val="en-US"/>
        </w:rPr>
        <w:t>, at least in Study 1,</w:t>
      </w:r>
      <w:r w:rsidR="00AF14CD" w:rsidRPr="004A2990">
        <w:rPr>
          <w:lang w:val="en-US"/>
        </w:rPr>
        <w:t xml:space="preserve"> suggest that a lack of similarity make</w:t>
      </w:r>
      <w:r w:rsidR="0019309A">
        <w:rPr>
          <w:lang w:val="en-US"/>
        </w:rPr>
        <w:t>s</w:t>
      </w:r>
      <w:r w:rsidR="00AF14CD" w:rsidRPr="004A2990">
        <w:rPr>
          <w:lang w:val="en-US"/>
        </w:rPr>
        <w:t xml:space="preserve"> </w:t>
      </w:r>
      <w:r w:rsidR="007116E8" w:rsidRPr="004A2990">
        <w:rPr>
          <w:lang w:val="en-US"/>
        </w:rPr>
        <w:t>out</w:t>
      </w:r>
      <w:r w:rsidR="00AF14CD" w:rsidRPr="004A2990">
        <w:rPr>
          <w:lang w:val="en-US"/>
        </w:rPr>
        <w:t xml:space="preserve">groups appear more threatening, and </w:t>
      </w:r>
      <w:r w:rsidR="004E320F">
        <w:rPr>
          <w:lang w:val="en-US"/>
        </w:rPr>
        <w:t>larger in size</w:t>
      </w:r>
      <w:r w:rsidR="00AF14CD" w:rsidRPr="004A2990">
        <w:rPr>
          <w:lang w:val="en-US"/>
        </w:rPr>
        <w:t xml:space="preserve">. </w:t>
      </w:r>
    </w:p>
    <w:p w14:paraId="535935C7" w14:textId="18722F2C" w:rsidR="00737C1D" w:rsidRDefault="00ED0B9D" w:rsidP="00737C1D">
      <w:pPr>
        <w:pStyle w:val="APABodyText"/>
        <w:spacing w:after="0"/>
        <w:rPr>
          <w:lang w:val="en-US"/>
        </w:rPr>
      </w:pPr>
      <w:r w:rsidRPr="004A2990">
        <w:rPr>
          <w:lang w:val="en-US"/>
        </w:rPr>
        <w:t>O</w:t>
      </w:r>
      <w:r w:rsidR="00623AF4" w:rsidRPr="004A2990">
        <w:rPr>
          <w:lang w:val="en-US"/>
        </w:rPr>
        <w:t xml:space="preserve">verall, these studies demonstrate </w:t>
      </w:r>
      <w:r w:rsidR="00616BEE" w:rsidRPr="004A2990">
        <w:rPr>
          <w:lang w:val="en-US"/>
        </w:rPr>
        <w:t xml:space="preserve">both the complexity of British </w:t>
      </w:r>
      <w:r w:rsidRPr="004A2990">
        <w:rPr>
          <w:lang w:val="en-US"/>
        </w:rPr>
        <w:t>attitudes</w:t>
      </w:r>
      <w:r w:rsidR="00616BEE" w:rsidRPr="004A2990">
        <w:rPr>
          <w:lang w:val="en-US"/>
        </w:rPr>
        <w:t xml:space="preserve"> towards migrant groups and </w:t>
      </w:r>
      <w:r w:rsidR="00623AF4" w:rsidRPr="004A2990">
        <w:rPr>
          <w:lang w:val="en-US"/>
        </w:rPr>
        <w:t xml:space="preserve">the importance of intergroup </w:t>
      </w:r>
      <w:r w:rsidR="00146794" w:rsidRPr="004A2990">
        <w:rPr>
          <w:lang w:val="en-US"/>
        </w:rPr>
        <w:t xml:space="preserve">similarity and </w:t>
      </w:r>
      <w:r w:rsidR="00623AF4" w:rsidRPr="004A2990">
        <w:rPr>
          <w:lang w:val="en-US"/>
        </w:rPr>
        <w:t>threat as influencing factor</w:t>
      </w:r>
      <w:r w:rsidR="00146794" w:rsidRPr="004A2990">
        <w:rPr>
          <w:lang w:val="en-US"/>
        </w:rPr>
        <w:t>s</w:t>
      </w:r>
      <w:r w:rsidR="00623AF4" w:rsidRPr="004A2990">
        <w:rPr>
          <w:lang w:val="en-US"/>
        </w:rPr>
        <w:t xml:space="preserve"> </w:t>
      </w:r>
      <w:r w:rsidR="00146794" w:rsidRPr="004A2990">
        <w:rPr>
          <w:lang w:val="en-US"/>
        </w:rPr>
        <w:t>of intergroup outcomes</w:t>
      </w:r>
      <w:r w:rsidR="00623AF4" w:rsidRPr="004A2990">
        <w:rPr>
          <w:lang w:val="en-US"/>
        </w:rPr>
        <w:t xml:space="preserve">. </w:t>
      </w:r>
      <w:r w:rsidR="00146794" w:rsidRPr="004A2990">
        <w:rPr>
          <w:lang w:val="en-US"/>
        </w:rPr>
        <w:t>This study has diverged from the previous literature, which typically studies prejudiced intergroup attitudes, by focusing directly on perceptions which are often utilized in political debate: arguments about migrants’ rights to reside in the country, and arguments about the migrants’ group size be</w:t>
      </w:r>
      <w:r w:rsidR="008239A3" w:rsidRPr="004A2990">
        <w:rPr>
          <w:lang w:val="en-US"/>
        </w:rPr>
        <w:t xml:space="preserve">ing too large. This work shows that such perceptions are driven by ‘classic’ intergroup concerns about cultural similarity and intergroup threat, and it hence highlights a leverage point for interventions </w:t>
      </w:r>
      <w:r w:rsidR="00737C1D" w:rsidRPr="004A2990">
        <w:rPr>
          <w:lang w:val="en-US"/>
        </w:rPr>
        <w:t xml:space="preserve">aimed at reducing hostility against migrants. Given that the popular vote for </w:t>
      </w:r>
      <w:proofErr w:type="spellStart"/>
      <w:r w:rsidR="00737C1D" w:rsidRPr="004A2990">
        <w:rPr>
          <w:lang w:val="en-US"/>
        </w:rPr>
        <w:t>Brexit</w:t>
      </w:r>
      <w:proofErr w:type="spellEnd"/>
      <w:r w:rsidR="00737C1D" w:rsidRPr="004A2990">
        <w:rPr>
          <w:lang w:val="en-US"/>
        </w:rPr>
        <w:t xml:space="preserve"> was significantly driven by anti-immigrant sentiments, work highlighting the drivers of such attitudes seems </w:t>
      </w:r>
      <w:r w:rsidR="005D5F79" w:rsidRPr="004A2990">
        <w:rPr>
          <w:lang w:val="en-US"/>
        </w:rPr>
        <w:t>timelier</w:t>
      </w:r>
      <w:r w:rsidR="00737C1D" w:rsidRPr="004A2990">
        <w:rPr>
          <w:lang w:val="en-US"/>
        </w:rPr>
        <w:t xml:space="preserve"> than ever. </w:t>
      </w:r>
    </w:p>
    <w:p w14:paraId="6BFB95F4" w14:textId="29A8FF5C" w:rsidR="007609A6" w:rsidRPr="004A2990" w:rsidRDefault="007609A6" w:rsidP="00737C1D">
      <w:pPr>
        <w:pStyle w:val="APABodyText"/>
        <w:spacing w:after="0"/>
        <w:rPr>
          <w:lang w:val="en-US"/>
        </w:rPr>
      </w:pPr>
      <w:r w:rsidRPr="004A2990">
        <w:rPr>
          <w:lang w:val="en-US"/>
        </w:rPr>
        <w:br w:type="page"/>
      </w:r>
    </w:p>
    <w:p w14:paraId="1AA2BD2C" w14:textId="03470D5C" w:rsidR="00D23250" w:rsidRPr="004A2990" w:rsidRDefault="00D23250" w:rsidP="007C0D19">
      <w:pPr>
        <w:pStyle w:val="APAHeadingA"/>
        <w:pageBreakBefore/>
        <w:spacing w:before="0" w:after="0"/>
        <w:ind w:hanging="720"/>
        <w:rPr>
          <w:rFonts w:cs="Times New Roman"/>
          <w:b w:val="0"/>
          <w:szCs w:val="24"/>
          <w:lang w:val="en-US"/>
        </w:rPr>
      </w:pPr>
      <w:r w:rsidRPr="004A2990">
        <w:rPr>
          <w:rFonts w:cs="Times New Roman"/>
          <w:b w:val="0"/>
          <w:szCs w:val="24"/>
          <w:lang w:val="en-US"/>
        </w:rPr>
        <w:lastRenderedPageBreak/>
        <w:t>References</w:t>
      </w:r>
    </w:p>
    <w:p w14:paraId="2C5C4A8B" w14:textId="702CB549" w:rsidR="00BB1B36" w:rsidRPr="00422B5E" w:rsidRDefault="00BB1B36" w:rsidP="007C0D19">
      <w:pPr>
        <w:pStyle w:val="APAReferences"/>
        <w:spacing w:after="0"/>
        <w:ind w:left="0"/>
        <w:rPr>
          <w:color w:val="auto"/>
          <w:lang w:val="en-US"/>
        </w:rPr>
      </w:pPr>
      <w:r w:rsidRPr="00422B5E">
        <w:rPr>
          <w:color w:val="auto"/>
        </w:rPr>
        <w:t xml:space="preserve">Alba, R., </w:t>
      </w:r>
      <w:proofErr w:type="spellStart"/>
      <w:r w:rsidRPr="00422B5E">
        <w:rPr>
          <w:color w:val="auto"/>
        </w:rPr>
        <w:t>Rumbaut</w:t>
      </w:r>
      <w:proofErr w:type="spellEnd"/>
      <w:r w:rsidRPr="00422B5E">
        <w:rPr>
          <w:color w:val="auto"/>
        </w:rPr>
        <w:t xml:space="preserve">, R. G., &amp; </w:t>
      </w:r>
      <w:proofErr w:type="spellStart"/>
      <w:r w:rsidRPr="00422B5E">
        <w:rPr>
          <w:color w:val="auto"/>
        </w:rPr>
        <w:t>Marotz</w:t>
      </w:r>
      <w:proofErr w:type="spellEnd"/>
      <w:r w:rsidRPr="00422B5E">
        <w:rPr>
          <w:color w:val="auto"/>
        </w:rPr>
        <w:t xml:space="preserve">, K. (2005). </w:t>
      </w:r>
      <w:r w:rsidR="0071233D" w:rsidRPr="00422B5E">
        <w:rPr>
          <w:color w:val="auto"/>
        </w:rPr>
        <w:t>A d</w:t>
      </w:r>
      <w:proofErr w:type="spellStart"/>
      <w:r w:rsidRPr="00422B5E">
        <w:rPr>
          <w:color w:val="auto"/>
          <w:lang w:val="en-US"/>
        </w:rPr>
        <w:t>istorted</w:t>
      </w:r>
      <w:proofErr w:type="spellEnd"/>
      <w:r w:rsidRPr="00422B5E">
        <w:rPr>
          <w:color w:val="auto"/>
          <w:lang w:val="en-US"/>
        </w:rPr>
        <w:t xml:space="preserve"> nation: Perceptions of racial/ethnic group sizes and attitudes towards immigrants and other minorities. </w:t>
      </w:r>
      <w:r w:rsidRPr="00422B5E">
        <w:rPr>
          <w:i/>
          <w:color w:val="auto"/>
          <w:lang w:val="en-US"/>
        </w:rPr>
        <w:t>Social Forces, 84</w:t>
      </w:r>
      <w:r w:rsidRPr="00422B5E">
        <w:rPr>
          <w:color w:val="auto"/>
          <w:lang w:val="en-US"/>
        </w:rPr>
        <w:t>, 899-916.</w:t>
      </w:r>
      <w:r w:rsidR="003A0EE5" w:rsidRPr="00422B5E">
        <w:rPr>
          <w:color w:val="auto"/>
          <w:lang w:val="en-US"/>
        </w:rPr>
        <w:t xml:space="preserve"> </w:t>
      </w:r>
      <w:hyperlink r:id="rId8" w:history="1">
        <w:r w:rsidR="003A0EE5" w:rsidRPr="00422B5E">
          <w:rPr>
            <w:rStyle w:val="Hyperlink"/>
            <w:color w:val="auto"/>
            <w:u w:val="none"/>
            <w:lang w:val="en-US"/>
          </w:rPr>
          <w:t>https://doi.org/10.1353/sof.2006.0002</w:t>
        </w:r>
      </w:hyperlink>
      <w:r w:rsidR="003A0EE5" w:rsidRPr="00422B5E">
        <w:rPr>
          <w:color w:val="auto"/>
          <w:lang w:val="en-US"/>
        </w:rPr>
        <w:t xml:space="preserve"> </w:t>
      </w:r>
    </w:p>
    <w:p w14:paraId="6BA480E6" w14:textId="77777777" w:rsidR="00BB1B36" w:rsidRPr="00422B5E" w:rsidRDefault="00BB1B36" w:rsidP="007C0D19">
      <w:pPr>
        <w:pStyle w:val="APAReferences"/>
        <w:spacing w:after="0"/>
        <w:ind w:left="0"/>
        <w:rPr>
          <w:color w:val="auto"/>
          <w:lang w:val="en-US"/>
        </w:rPr>
      </w:pPr>
      <w:r w:rsidRPr="00422B5E">
        <w:rPr>
          <w:color w:val="auto"/>
          <w:lang w:val="en-US"/>
        </w:rPr>
        <w:t xml:space="preserve">Allen, W., &amp; Blinder, S. (2013). </w:t>
      </w:r>
      <w:r w:rsidRPr="00422B5E">
        <w:rPr>
          <w:i/>
          <w:color w:val="auto"/>
          <w:lang w:val="en-US"/>
        </w:rPr>
        <w:t>Migration in the News: Portrayals of Immigrants, Migrants, Asylum Seekers and Refugees in National British Newspapers, 2010 to 2012.</w:t>
      </w:r>
      <w:r w:rsidRPr="00422B5E">
        <w:rPr>
          <w:color w:val="auto"/>
          <w:lang w:val="en-US"/>
        </w:rPr>
        <w:t xml:space="preserve"> Migration Observatory report, COMPAS, University of Oxford. </w:t>
      </w:r>
    </w:p>
    <w:p w14:paraId="20F1DF8F" w14:textId="0E5F2F4B" w:rsidR="00BB1B36" w:rsidRPr="00422B5E" w:rsidRDefault="00BB1B36" w:rsidP="007C0D19">
      <w:pPr>
        <w:pStyle w:val="APAReferences"/>
        <w:spacing w:after="0"/>
        <w:ind w:left="0"/>
        <w:rPr>
          <w:color w:val="auto"/>
          <w:lang w:val="en-US"/>
        </w:rPr>
      </w:pPr>
      <w:r w:rsidRPr="00422B5E">
        <w:rPr>
          <w:color w:val="auto"/>
          <w:lang w:val="en-US"/>
        </w:rPr>
        <w:t xml:space="preserve">Atwell </w:t>
      </w:r>
      <w:proofErr w:type="spellStart"/>
      <w:r w:rsidRPr="00422B5E">
        <w:rPr>
          <w:color w:val="auto"/>
          <w:lang w:val="en-US"/>
        </w:rPr>
        <w:t>Seate</w:t>
      </w:r>
      <w:proofErr w:type="spellEnd"/>
      <w:r w:rsidRPr="00422B5E">
        <w:rPr>
          <w:color w:val="auto"/>
          <w:lang w:val="en-US"/>
        </w:rPr>
        <w:t xml:space="preserve">, A., &amp; </w:t>
      </w:r>
      <w:proofErr w:type="spellStart"/>
      <w:r w:rsidRPr="00422B5E">
        <w:rPr>
          <w:color w:val="auto"/>
          <w:lang w:val="en-US"/>
        </w:rPr>
        <w:t>Mastro</w:t>
      </w:r>
      <w:proofErr w:type="spellEnd"/>
      <w:r w:rsidRPr="00422B5E">
        <w:rPr>
          <w:color w:val="auto"/>
          <w:lang w:val="en-US"/>
        </w:rPr>
        <w:t xml:space="preserve">, D. (2016). Media’s influence on immigration attitudes: An intergroup threat theory approach. </w:t>
      </w:r>
      <w:r w:rsidRPr="00422B5E">
        <w:rPr>
          <w:i/>
          <w:color w:val="auto"/>
          <w:lang w:val="en-US"/>
        </w:rPr>
        <w:t>Communication Monographs, 83</w:t>
      </w:r>
      <w:r w:rsidRPr="00422B5E">
        <w:rPr>
          <w:color w:val="auto"/>
          <w:lang w:val="en-US"/>
        </w:rPr>
        <w:t>, 194-213.</w:t>
      </w:r>
      <w:r w:rsidR="003A0EE5" w:rsidRPr="00422B5E">
        <w:rPr>
          <w:color w:val="auto"/>
          <w:lang w:val="en-US"/>
        </w:rPr>
        <w:t xml:space="preserve"> </w:t>
      </w:r>
      <w:hyperlink r:id="rId9" w:history="1">
        <w:r w:rsidR="003A0EE5" w:rsidRPr="00422B5E">
          <w:rPr>
            <w:rStyle w:val="Hyperlink"/>
            <w:color w:val="auto"/>
            <w:u w:val="none"/>
            <w:lang w:val="en-US"/>
          </w:rPr>
          <w:t>https://doi.org/10.1080/03637751.2015.1068433</w:t>
        </w:r>
      </w:hyperlink>
      <w:r w:rsidR="003A0EE5" w:rsidRPr="00422B5E">
        <w:rPr>
          <w:color w:val="auto"/>
          <w:lang w:val="en-US"/>
        </w:rPr>
        <w:t xml:space="preserve"> </w:t>
      </w:r>
    </w:p>
    <w:p w14:paraId="559DC05B" w14:textId="5370A9D7" w:rsidR="00D46B82" w:rsidRPr="00422B5E" w:rsidRDefault="00D46B82" w:rsidP="007C0D19">
      <w:pPr>
        <w:pStyle w:val="APAReferences"/>
        <w:spacing w:after="0"/>
        <w:ind w:left="0"/>
        <w:rPr>
          <w:color w:val="auto"/>
          <w:lang w:val="en-US"/>
        </w:rPr>
      </w:pPr>
      <w:r w:rsidRPr="00422B5E">
        <w:rPr>
          <w:color w:val="auto"/>
          <w:lang w:val="en-US"/>
        </w:rPr>
        <w:t xml:space="preserve">Blanchard, D. C., </w:t>
      </w:r>
      <w:proofErr w:type="spellStart"/>
      <w:r w:rsidRPr="00422B5E">
        <w:rPr>
          <w:color w:val="auto"/>
          <w:lang w:val="en-US"/>
        </w:rPr>
        <w:t>Hynd</w:t>
      </w:r>
      <w:proofErr w:type="spellEnd"/>
      <w:r w:rsidRPr="00422B5E">
        <w:rPr>
          <w:color w:val="auto"/>
          <w:lang w:val="en-US"/>
        </w:rPr>
        <w:t xml:space="preserve">, A. L., </w:t>
      </w:r>
      <w:proofErr w:type="spellStart"/>
      <w:r w:rsidRPr="00422B5E">
        <w:rPr>
          <w:color w:val="auto"/>
          <w:lang w:val="en-US"/>
        </w:rPr>
        <w:t>Minke</w:t>
      </w:r>
      <w:proofErr w:type="spellEnd"/>
      <w:r w:rsidRPr="00422B5E">
        <w:rPr>
          <w:color w:val="auto"/>
          <w:lang w:val="en-US"/>
        </w:rPr>
        <w:t xml:space="preserve">, K. A., </w:t>
      </w:r>
      <w:proofErr w:type="spellStart"/>
      <w:r w:rsidRPr="00422B5E">
        <w:rPr>
          <w:color w:val="auto"/>
          <w:lang w:val="en-US"/>
        </w:rPr>
        <w:t>Minemoto</w:t>
      </w:r>
      <w:proofErr w:type="spellEnd"/>
      <w:r w:rsidRPr="00422B5E">
        <w:rPr>
          <w:color w:val="auto"/>
          <w:lang w:val="en-US"/>
        </w:rPr>
        <w:t xml:space="preserve">, T., &amp; Blanchard, R. J. (2001). Human defensive behaviors to threat scenarios show parallels to fear- and anxiety-related defense patterns of non-human mammals. </w:t>
      </w:r>
      <w:r w:rsidRPr="00422B5E">
        <w:rPr>
          <w:i/>
          <w:color w:val="auto"/>
          <w:lang w:val="en-US"/>
        </w:rPr>
        <w:t xml:space="preserve">Neuroscience and </w:t>
      </w:r>
      <w:proofErr w:type="spellStart"/>
      <w:r w:rsidR="001E6A6F" w:rsidRPr="00422B5E">
        <w:rPr>
          <w:i/>
          <w:color w:val="auto"/>
          <w:lang w:val="en-US"/>
        </w:rPr>
        <w:t>B</w:t>
      </w:r>
      <w:r w:rsidRPr="00422B5E">
        <w:rPr>
          <w:i/>
          <w:color w:val="auto"/>
          <w:lang w:val="en-US"/>
        </w:rPr>
        <w:t>iobehavioural</w:t>
      </w:r>
      <w:proofErr w:type="spellEnd"/>
      <w:r w:rsidRPr="00422B5E">
        <w:rPr>
          <w:i/>
          <w:color w:val="auto"/>
          <w:lang w:val="en-US"/>
        </w:rPr>
        <w:t xml:space="preserve"> </w:t>
      </w:r>
      <w:r w:rsidR="001E6A6F" w:rsidRPr="00422B5E">
        <w:rPr>
          <w:i/>
          <w:color w:val="auto"/>
          <w:lang w:val="en-US"/>
        </w:rPr>
        <w:t>R</w:t>
      </w:r>
      <w:r w:rsidRPr="00422B5E">
        <w:rPr>
          <w:i/>
          <w:color w:val="auto"/>
          <w:lang w:val="en-US"/>
        </w:rPr>
        <w:t>eviews, 25</w:t>
      </w:r>
      <w:r w:rsidRPr="00422B5E">
        <w:rPr>
          <w:color w:val="auto"/>
          <w:lang w:val="en-US"/>
        </w:rPr>
        <w:t>, 761-770.</w:t>
      </w:r>
      <w:r w:rsidR="003A0EE5" w:rsidRPr="00422B5E">
        <w:rPr>
          <w:color w:val="auto"/>
          <w:lang w:val="en-US"/>
        </w:rPr>
        <w:t xml:space="preserve"> </w:t>
      </w:r>
      <w:r w:rsidRPr="00422B5E">
        <w:rPr>
          <w:color w:val="auto"/>
          <w:lang w:val="en-US"/>
        </w:rPr>
        <w:t xml:space="preserve"> </w:t>
      </w:r>
      <w:hyperlink r:id="rId10" w:history="1">
        <w:r w:rsidR="003A0EE5" w:rsidRPr="00422B5E">
          <w:rPr>
            <w:rStyle w:val="Hyperlink"/>
            <w:color w:val="auto"/>
            <w:u w:val="none"/>
            <w:lang w:val="en-US"/>
          </w:rPr>
          <w:t>https://psycnet.apa.org/doi/10.1016/S0149-7634(01)00056-2</w:t>
        </w:r>
      </w:hyperlink>
      <w:r w:rsidR="003A0EE5" w:rsidRPr="00422B5E">
        <w:rPr>
          <w:color w:val="auto"/>
          <w:lang w:val="en-US"/>
        </w:rPr>
        <w:t xml:space="preserve"> </w:t>
      </w:r>
    </w:p>
    <w:p w14:paraId="32A0C068" w14:textId="62E4A2B6" w:rsidR="001E6A6F" w:rsidRPr="00422B5E" w:rsidRDefault="001E6A6F" w:rsidP="007C0D19">
      <w:pPr>
        <w:pStyle w:val="APAReferences"/>
        <w:spacing w:after="0"/>
        <w:ind w:left="0"/>
        <w:rPr>
          <w:color w:val="auto"/>
          <w:lang w:val="en-US"/>
        </w:rPr>
      </w:pPr>
      <w:proofErr w:type="spellStart"/>
      <w:r w:rsidRPr="00422B5E">
        <w:rPr>
          <w:color w:val="auto"/>
          <w:lang w:val="en-US"/>
        </w:rPr>
        <w:t>Bodenhausen</w:t>
      </w:r>
      <w:proofErr w:type="spellEnd"/>
      <w:r w:rsidRPr="00422B5E">
        <w:rPr>
          <w:color w:val="auto"/>
          <w:lang w:val="en-US"/>
        </w:rPr>
        <w:t xml:space="preserve">, G. V., &amp; Moreno, K. N. (2000). How do I feel about them? The role of affective reactions in intergroup perception. In H. Bless &amp; J. P. </w:t>
      </w:r>
      <w:proofErr w:type="spellStart"/>
      <w:r w:rsidRPr="00422B5E">
        <w:rPr>
          <w:color w:val="auto"/>
          <w:lang w:val="en-US"/>
        </w:rPr>
        <w:t>Forgas</w:t>
      </w:r>
      <w:proofErr w:type="spellEnd"/>
      <w:r w:rsidRPr="00422B5E">
        <w:rPr>
          <w:color w:val="auto"/>
          <w:lang w:val="en-US"/>
        </w:rPr>
        <w:t xml:space="preserve"> (Eds.), </w:t>
      </w:r>
      <w:proofErr w:type="gramStart"/>
      <w:r w:rsidRPr="00422B5E">
        <w:rPr>
          <w:i/>
          <w:color w:val="auto"/>
          <w:lang w:val="en-US"/>
        </w:rPr>
        <w:t>The</w:t>
      </w:r>
      <w:proofErr w:type="gramEnd"/>
      <w:r w:rsidRPr="00422B5E">
        <w:rPr>
          <w:i/>
          <w:color w:val="auto"/>
          <w:lang w:val="en-US"/>
        </w:rPr>
        <w:t xml:space="preserve"> message within: The role of subjective experience in social cognition and behavior</w:t>
      </w:r>
      <w:r w:rsidRPr="00422B5E">
        <w:rPr>
          <w:color w:val="auto"/>
          <w:lang w:val="en-US"/>
        </w:rPr>
        <w:t>. (pp. 283-303). New York, NY: Psychology Press.</w:t>
      </w:r>
    </w:p>
    <w:p w14:paraId="6CC7D810" w14:textId="64808CA7" w:rsidR="007116E8" w:rsidRPr="00422B5E" w:rsidRDefault="007116E8" w:rsidP="007C0D19">
      <w:pPr>
        <w:pStyle w:val="APAReferences"/>
        <w:spacing w:after="0"/>
        <w:ind w:left="0"/>
        <w:rPr>
          <w:color w:val="auto"/>
          <w:lang w:val="en-US"/>
        </w:rPr>
      </w:pPr>
      <w:r w:rsidRPr="00422B5E">
        <w:rPr>
          <w:color w:val="auto"/>
          <w:lang w:val="en-US"/>
        </w:rPr>
        <w:t xml:space="preserve">Brown, R. (2010). </w:t>
      </w:r>
      <w:r w:rsidRPr="00422B5E">
        <w:rPr>
          <w:i/>
          <w:color w:val="auto"/>
          <w:lang w:val="en-US"/>
        </w:rPr>
        <w:t>Prejudice. Its social psychology</w:t>
      </w:r>
      <w:r w:rsidRPr="00422B5E">
        <w:rPr>
          <w:color w:val="auto"/>
          <w:lang w:val="en-US"/>
        </w:rPr>
        <w:t>. Oxford, Wiley-Blackwell.</w:t>
      </w:r>
    </w:p>
    <w:p w14:paraId="58A0B382" w14:textId="506930E5" w:rsidR="00BB1B36" w:rsidRPr="00422B5E" w:rsidRDefault="00BB1B36" w:rsidP="007C0D19">
      <w:pPr>
        <w:pStyle w:val="APAReferences"/>
        <w:spacing w:after="0"/>
        <w:ind w:left="0"/>
        <w:rPr>
          <w:color w:val="auto"/>
          <w:lang w:val="en-US"/>
        </w:rPr>
      </w:pPr>
      <w:r w:rsidRPr="00422B5E">
        <w:rPr>
          <w:color w:val="auto"/>
          <w:lang w:val="en-US"/>
        </w:rPr>
        <w:t xml:space="preserve">Castles, S. (2000). International migration at the beginning of the twenty-first century: global trends and issues. </w:t>
      </w:r>
      <w:r w:rsidRPr="00422B5E">
        <w:rPr>
          <w:i/>
          <w:color w:val="auto"/>
          <w:lang w:val="en-US"/>
        </w:rPr>
        <w:t>International Social Science Journal, 52</w:t>
      </w:r>
      <w:r w:rsidRPr="00422B5E">
        <w:rPr>
          <w:color w:val="auto"/>
          <w:lang w:val="en-US"/>
        </w:rPr>
        <w:t>, 269-281.</w:t>
      </w:r>
      <w:r w:rsidR="003A0EE5" w:rsidRPr="00422B5E">
        <w:rPr>
          <w:color w:val="auto"/>
          <w:lang w:val="en-US"/>
        </w:rPr>
        <w:t xml:space="preserve"> </w:t>
      </w:r>
      <w:hyperlink r:id="rId11" w:history="1">
        <w:r w:rsidR="003A0EE5" w:rsidRPr="00422B5E">
          <w:rPr>
            <w:rStyle w:val="Hyperlink"/>
            <w:color w:val="auto"/>
            <w:u w:val="none"/>
            <w:lang w:val="en-US"/>
          </w:rPr>
          <w:t>https://doi.org/10.1111/issj.12185</w:t>
        </w:r>
      </w:hyperlink>
      <w:r w:rsidR="003A0EE5" w:rsidRPr="00422B5E">
        <w:rPr>
          <w:color w:val="auto"/>
          <w:lang w:val="en-US"/>
        </w:rPr>
        <w:t xml:space="preserve"> </w:t>
      </w:r>
    </w:p>
    <w:p w14:paraId="2F1D6CF0" w14:textId="39F7F4AB" w:rsidR="001E6A6F" w:rsidRPr="00422B5E" w:rsidRDefault="001E6A6F" w:rsidP="007C0D19">
      <w:pPr>
        <w:pStyle w:val="APAReferences"/>
        <w:spacing w:after="0"/>
        <w:ind w:left="0"/>
        <w:rPr>
          <w:color w:val="auto"/>
          <w:lang w:val="en-US"/>
        </w:rPr>
      </w:pPr>
      <w:r w:rsidRPr="00422B5E">
        <w:rPr>
          <w:color w:val="auto"/>
          <w:lang w:val="en-US"/>
        </w:rPr>
        <w:lastRenderedPageBreak/>
        <w:t xml:space="preserve">Chapman, M. S., May, K. E., Scofield, J., </w:t>
      </w:r>
      <w:proofErr w:type="spellStart"/>
      <w:r w:rsidRPr="00422B5E">
        <w:rPr>
          <w:color w:val="auto"/>
          <w:lang w:val="en-US"/>
        </w:rPr>
        <w:t>DeCoster</w:t>
      </w:r>
      <w:proofErr w:type="spellEnd"/>
      <w:r w:rsidRPr="00422B5E">
        <w:rPr>
          <w:color w:val="auto"/>
          <w:lang w:val="en-US"/>
        </w:rPr>
        <w:t>, J., &amp; Bui, C. (2020). Does group membership affect children</w:t>
      </w:r>
      <w:r w:rsidRPr="00422B5E">
        <w:rPr>
          <w:rFonts w:hint="cs"/>
          <w:color w:val="auto"/>
          <w:lang w:val="en-US"/>
        </w:rPr>
        <w:t>’</w:t>
      </w:r>
      <w:r w:rsidRPr="00422B5E">
        <w:rPr>
          <w:color w:val="auto"/>
          <w:lang w:val="en-US"/>
        </w:rPr>
        <w:t xml:space="preserve">s judgments of social transgressions? </w:t>
      </w:r>
      <w:r w:rsidRPr="00422B5E">
        <w:rPr>
          <w:i/>
          <w:color w:val="auto"/>
          <w:lang w:val="en-US"/>
        </w:rPr>
        <w:t>Journal of Experimental Child Psychology, 189</w:t>
      </w:r>
      <w:r w:rsidRPr="00422B5E">
        <w:rPr>
          <w:color w:val="auto"/>
          <w:lang w:val="en-US"/>
        </w:rPr>
        <w:t xml:space="preserve">. </w:t>
      </w:r>
      <w:hyperlink r:id="rId12" w:history="1">
        <w:r w:rsidR="003A0EE5" w:rsidRPr="00422B5E">
          <w:rPr>
            <w:rStyle w:val="Hyperlink"/>
            <w:color w:val="auto"/>
            <w:u w:val="none"/>
            <w:lang w:val="en-US"/>
          </w:rPr>
          <w:t>https://doi.org/10.1016/j.jecp.2019.104695</w:t>
        </w:r>
      </w:hyperlink>
      <w:r w:rsidR="003A0EE5" w:rsidRPr="00422B5E">
        <w:rPr>
          <w:color w:val="auto"/>
          <w:lang w:val="en-US"/>
        </w:rPr>
        <w:t xml:space="preserve"> </w:t>
      </w:r>
    </w:p>
    <w:p w14:paraId="2813710C" w14:textId="127BB6B8" w:rsidR="00BB1B36" w:rsidRPr="00422B5E" w:rsidRDefault="00BB1B36" w:rsidP="007C0D19">
      <w:pPr>
        <w:pStyle w:val="APAReferences"/>
        <w:spacing w:after="0"/>
        <w:ind w:left="0"/>
        <w:rPr>
          <w:color w:val="auto"/>
          <w:lang w:val="en-US"/>
        </w:rPr>
      </w:pPr>
      <w:proofErr w:type="spellStart"/>
      <w:r w:rsidRPr="00422B5E">
        <w:rPr>
          <w:color w:val="auto"/>
          <w:lang w:val="en-US"/>
        </w:rPr>
        <w:t>Coenders</w:t>
      </w:r>
      <w:proofErr w:type="spellEnd"/>
      <w:r w:rsidRPr="00422B5E">
        <w:rPr>
          <w:color w:val="auto"/>
          <w:lang w:val="en-US"/>
        </w:rPr>
        <w:t xml:space="preserve">, M., Lubbers, M., &amp; </w:t>
      </w:r>
      <w:proofErr w:type="spellStart"/>
      <w:r w:rsidRPr="00422B5E">
        <w:rPr>
          <w:color w:val="auto"/>
          <w:lang w:val="en-US"/>
        </w:rPr>
        <w:t>Scheepers</w:t>
      </w:r>
      <w:proofErr w:type="spellEnd"/>
      <w:r w:rsidRPr="00422B5E">
        <w:rPr>
          <w:color w:val="auto"/>
          <w:lang w:val="en-US"/>
        </w:rPr>
        <w:t xml:space="preserve">, P. (2013). Resistance to immigrants and asylum seekers in the European Union. Cross national comparisons of public opinion. In Freeman, G. P (Ed.), </w:t>
      </w:r>
      <w:r w:rsidRPr="00422B5E">
        <w:rPr>
          <w:i/>
          <w:color w:val="auto"/>
          <w:lang w:val="en-US"/>
        </w:rPr>
        <w:t xml:space="preserve">Immigration and Public Opinion in Liberal Democracies </w:t>
      </w:r>
      <w:r w:rsidRPr="00422B5E">
        <w:rPr>
          <w:color w:val="auto"/>
          <w:lang w:val="en-US"/>
        </w:rPr>
        <w:t>(pp. 21-51</w:t>
      </w:r>
      <w:r w:rsidR="000C54E9" w:rsidRPr="00422B5E">
        <w:rPr>
          <w:color w:val="auto"/>
          <w:lang w:val="en-US"/>
        </w:rPr>
        <w:t>)</w:t>
      </w:r>
      <w:r w:rsidRPr="00422B5E">
        <w:rPr>
          <w:color w:val="auto"/>
          <w:lang w:val="en-US"/>
        </w:rPr>
        <w:t xml:space="preserve">. New York. NY: Routledge. </w:t>
      </w:r>
    </w:p>
    <w:p w14:paraId="548795D6" w14:textId="31B4B458" w:rsidR="00013E1E" w:rsidRPr="00422B5E" w:rsidRDefault="00013E1E" w:rsidP="007C0D19">
      <w:pPr>
        <w:spacing w:line="480" w:lineRule="auto"/>
        <w:ind w:hanging="720"/>
        <w:rPr>
          <w:rFonts w:ascii="Times New Roman" w:hAnsi="Times New Roman"/>
          <w:color w:val="auto"/>
          <w:lang w:val="en-US"/>
        </w:rPr>
      </w:pPr>
      <w:r w:rsidRPr="00422B5E">
        <w:rPr>
          <w:rFonts w:ascii="Times New Roman" w:hAnsi="Times New Roman"/>
          <w:color w:val="auto"/>
          <w:lang w:val="en-US"/>
        </w:rPr>
        <w:t xml:space="preserve">Cole, S., </w:t>
      </w:r>
      <w:proofErr w:type="spellStart"/>
      <w:r w:rsidRPr="00422B5E">
        <w:rPr>
          <w:rFonts w:ascii="Times New Roman" w:hAnsi="Times New Roman"/>
          <w:color w:val="auto"/>
          <w:lang w:val="en-US"/>
        </w:rPr>
        <w:t>Balcetis</w:t>
      </w:r>
      <w:proofErr w:type="spellEnd"/>
      <w:r w:rsidRPr="00422B5E">
        <w:rPr>
          <w:rFonts w:ascii="Times New Roman" w:hAnsi="Times New Roman"/>
          <w:color w:val="auto"/>
          <w:lang w:val="en-US"/>
        </w:rPr>
        <w:t xml:space="preserve">, E., &amp; Dunning, D. (2013). Affective signals of threat increase perceived proximity. </w:t>
      </w:r>
      <w:r w:rsidRPr="00422B5E">
        <w:rPr>
          <w:rFonts w:ascii="Times New Roman" w:hAnsi="Times New Roman"/>
          <w:i/>
          <w:color w:val="auto"/>
          <w:lang w:val="en-US"/>
        </w:rPr>
        <w:t>Psychological Science, 24</w:t>
      </w:r>
      <w:r w:rsidRPr="00422B5E">
        <w:rPr>
          <w:rFonts w:ascii="Times New Roman" w:hAnsi="Times New Roman"/>
          <w:color w:val="auto"/>
          <w:lang w:val="en-US"/>
        </w:rPr>
        <w:t xml:space="preserve">, 34-40. </w:t>
      </w:r>
      <w:r w:rsidR="003A0EE5" w:rsidRPr="00422B5E">
        <w:rPr>
          <w:rFonts w:ascii="Times New Roman" w:hAnsi="Times New Roman"/>
          <w:color w:val="auto"/>
          <w:lang w:val="en-US"/>
        </w:rPr>
        <w:t xml:space="preserve"> </w:t>
      </w:r>
      <w:hyperlink r:id="rId13" w:history="1">
        <w:r w:rsidR="003A0EE5" w:rsidRPr="00422B5E">
          <w:rPr>
            <w:rStyle w:val="Hyperlink"/>
            <w:rFonts w:ascii="Times New Roman" w:hAnsi="Times New Roman"/>
            <w:color w:val="auto"/>
            <w:u w:val="none"/>
            <w:lang w:val="en-US"/>
          </w:rPr>
          <w:t>https://doi.org/10.1177%2F0956797612446953</w:t>
        </w:r>
      </w:hyperlink>
      <w:r w:rsidR="003A0EE5" w:rsidRPr="00422B5E">
        <w:rPr>
          <w:rFonts w:ascii="Times New Roman" w:hAnsi="Times New Roman"/>
          <w:color w:val="auto"/>
          <w:lang w:val="en-US"/>
        </w:rPr>
        <w:t xml:space="preserve"> </w:t>
      </w:r>
    </w:p>
    <w:p w14:paraId="5557DA7E" w14:textId="6447F4E5" w:rsidR="00422B5E" w:rsidRDefault="00422B5E" w:rsidP="002F206D">
      <w:pPr>
        <w:pStyle w:val="APAReferences"/>
        <w:spacing w:after="0"/>
        <w:ind w:left="0"/>
        <w:rPr>
          <w:noProof/>
          <w:color w:val="auto"/>
          <w:lang w:val="en-US"/>
        </w:rPr>
      </w:pPr>
      <w:r>
        <w:t xml:space="preserve">Department for Work &amp; Pensions (2019). </w:t>
      </w:r>
      <w:proofErr w:type="spellStart"/>
      <w:r>
        <w:t>NINo</w:t>
      </w:r>
      <w:proofErr w:type="spellEnd"/>
      <w:r>
        <w:t xml:space="preserve"> registrations to adult oversees nationals entering the UK. </w:t>
      </w:r>
    </w:p>
    <w:p w14:paraId="0490F799" w14:textId="09F9F5D0" w:rsidR="002F206D" w:rsidRPr="00422B5E" w:rsidRDefault="002F206D" w:rsidP="002F206D">
      <w:pPr>
        <w:pStyle w:val="APAReferences"/>
        <w:spacing w:after="0"/>
        <w:ind w:left="0"/>
        <w:rPr>
          <w:noProof/>
          <w:color w:val="auto"/>
          <w:lang w:val="en-US"/>
        </w:rPr>
      </w:pPr>
      <w:r w:rsidRPr="00422B5E">
        <w:rPr>
          <w:noProof/>
          <w:color w:val="auto"/>
          <w:lang w:val="en-US"/>
        </w:rPr>
        <w:t xml:space="preserve">Drury, I. (2017, October 10). </w:t>
      </w:r>
      <w:r w:rsidRPr="00422B5E">
        <w:rPr>
          <w:i/>
          <w:iCs/>
          <w:noProof/>
          <w:color w:val="auto"/>
          <w:lang w:val="en-US"/>
        </w:rPr>
        <w:t>Over one million illegal immigrants are in Britain: Former Home Office chief admits huge numbers live in the UK 'under the radar' and many will never be sent home</w:t>
      </w:r>
      <w:r w:rsidRPr="00422B5E">
        <w:rPr>
          <w:noProof/>
          <w:color w:val="auto"/>
          <w:lang w:val="en-US"/>
        </w:rPr>
        <w:t xml:space="preserve">. Retrieved from MailOnline: </w:t>
      </w:r>
      <w:hyperlink r:id="rId14" w:history="1">
        <w:r w:rsidRPr="00422B5E">
          <w:rPr>
            <w:rStyle w:val="Hyperlink"/>
            <w:noProof/>
            <w:color w:val="auto"/>
            <w:u w:val="none"/>
            <w:lang w:val="en-US"/>
          </w:rPr>
          <w:t>https://www.dailymail.co.uk/news/article-4967690/Million-illegal-immigrants-not-removed-UK.html</w:t>
        </w:r>
      </w:hyperlink>
    </w:p>
    <w:p w14:paraId="52EE70BD" w14:textId="23335594" w:rsidR="002F206D" w:rsidRPr="00422B5E" w:rsidRDefault="002F206D" w:rsidP="002F206D">
      <w:pPr>
        <w:pStyle w:val="APAReferences"/>
        <w:spacing w:after="0"/>
        <w:ind w:left="0"/>
        <w:rPr>
          <w:noProof/>
          <w:color w:val="auto"/>
          <w:lang w:val="en-US"/>
        </w:rPr>
      </w:pPr>
      <w:r w:rsidRPr="00422B5E">
        <w:rPr>
          <w:noProof/>
          <w:color w:val="auto"/>
          <w:lang w:val="en-US"/>
        </w:rPr>
        <w:t xml:space="preserve">Drury, I. (2018, June 21). </w:t>
      </w:r>
      <w:r w:rsidRPr="00422B5E">
        <w:rPr>
          <w:i/>
          <w:iCs/>
          <w:noProof/>
          <w:color w:val="auto"/>
          <w:lang w:val="en-US"/>
        </w:rPr>
        <w:t>3.8million EU migrants are allowed to stay here after Brexit: That’s 600,000 more than estimated – and they can bring their families</w:t>
      </w:r>
      <w:r w:rsidRPr="00422B5E">
        <w:rPr>
          <w:noProof/>
          <w:color w:val="auto"/>
          <w:lang w:val="en-US"/>
        </w:rPr>
        <w:t xml:space="preserve">. Retrieved from MailOnline: </w:t>
      </w:r>
      <w:hyperlink r:id="rId15" w:history="1">
        <w:r w:rsidRPr="00422B5E">
          <w:rPr>
            <w:rStyle w:val="Hyperlink"/>
            <w:noProof/>
            <w:color w:val="auto"/>
            <w:u w:val="none"/>
            <w:lang w:val="en-US"/>
          </w:rPr>
          <w:t>https://www.dailymail.co.uk/news/article-5871947/3-8million-EU-migrants-allowed-stay-Brexit-bring-families.html</w:t>
        </w:r>
      </w:hyperlink>
    </w:p>
    <w:p w14:paraId="1088489B" w14:textId="23FDB789" w:rsidR="007947A2" w:rsidRPr="00422B5E" w:rsidRDefault="007947A2" w:rsidP="007947A2">
      <w:pPr>
        <w:pStyle w:val="APAReferences"/>
        <w:spacing w:after="0"/>
        <w:ind w:left="0"/>
        <w:rPr>
          <w:color w:val="auto"/>
          <w:lang w:val="en-US"/>
        </w:rPr>
      </w:pPr>
      <w:proofErr w:type="spellStart"/>
      <w:r w:rsidRPr="00422B5E">
        <w:rPr>
          <w:color w:val="auto"/>
          <w:lang w:val="en-US"/>
        </w:rPr>
        <w:t>Duckitt</w:t>
      </w:r>
      <w:proofErr w:type="spellEnd"/>
      <w:r w:rsidRPr="00422B5E">
        <w:rPr>
          <w:color w:val="auto"/>
          <w:lang w:val="en-US"/>
        </w:rPr>
        <w:t xml:space="preserve">, J., &amp; Sibley, C. G. (2010). Right-wing authoritarianism and social dominance orientation differentially moderate intergroup effects on prejudice. </w:t>
      </w:r>
      <w:r w:rsidRPr="00422B5E">
        <w:rPr>
          <w:i/>
          <w:color w:val="auto"/>
          <w:lang w:val="en-US"/>
        </w:rPr>
        <w:t>European Journal of Personality, 24,</w:t>
      </w:r>
      <w:r w:rsidRPr="00422B5E">
        <w:rPr>
          <w:color w:val="auto"/>
          <w:lang w:val="en-US"/>
        </w:rPr>
        <w:t xml:space="preserve"> 583-601. </w:t>
      </w:r>
      <w:hyperlink r:id="rId16" w:history="1">
        <w:r w:rsidR="003A0EE5" w:rsidRPr="00422B5E">
          <w:rPr>
            <w:rStyle w:val="Hyperlink"/>
            <w:color w:val="auto"/>
            <w:u w:val="none"/>
            <w:lang w:val="en-US"/>
          </w:rPr>
          <w:t>https://doi.org/10.1002/per.772</w:t>
        </w:r>
      </w:hyperlink>
      <w:r w:rsidR="003A0EE5" w:rsidRPr="00422B5E">
        <w:rPr>
          <w:color w:val="auto"/>
          <w:lang w:val="en-US"/>
        </w:rPr>
        <w:t xml:space="preserve"> </w:t>
      </w:r>
    </w:p>
    <w:p w14:paraId="07F608B6" w14:textId="732F7A66" w:rsidR="00BB1B36" w:rsidRPr="00422B5E" w:rsidRDefault="00BB1B36" w:rsidP="007C0D19">
      <w:pPr>
        <w:pStyle w:val="APAReferences"/>
        <w:spacing w:after="0"/>
        <w:ind w:left="0"/>
        <w:rPr>
          <w:color w:val="auto"/>
          <w:lang w:val="en-US"/>
        </w:rPr>
      </w:pPr>
      <w:proofErr w:type="spellStart"/>
      <w:r w:rsidRPr="00422B5E">
        <w:rPr>
          <w:color w:val="auto"/>
          <w:lang w:val="en-US"/>
        </w:rPr>
        <w:lastRenderedPageBreak/>
        <w:t>Dustmann</w:t>
      </w:r>
      <w:proofErr w:type="spellEnd"/>
      <w:r w:rsidRPr="00422B5E">
        <w:rPr>
          <w:color w:val="auto"/>
          <w:lang w:val="en-US"/>
        </w:rPr>
        <w:t xml:space="preserve">, C., &amp; Preston, I. P. (2007). Racial and economic factors in attitudes to immigration. </w:t>
      </w:r>
      <w:r w:rsidRPr="00422B5E">
        <w:rPr>
          <w:i/>
          <w:color w:val="auto"/>
          <w:lang w:val="en-US"/>
        </w:rPr>
        <w:t>The B. E. Journal of Economic Analysis and Policy, 7</w:t>
      </w:r>
      <w:r w:rsidRPr="00422B5E">
        <w:rPr>
          <w:color w:val="auto"/>
          <w:lang w:val="en-US"/>
        </w:rPr>
        <w:t>, 1-39.</w:t>
      </w:r>
      <w:r w:rsidR="003A0EE5" w:rsidRPr="00422B5E">
        <w:rPr>
          <w:color w:val="auto"/>
          <w:lang w:val="en-US"/>
        </w:rPr>
        <w:t xml:space="preserve"> </w:t>
      </w:r>
      <w:hyperlink r:id="rId17" w:history="1">
        <w:r w:rsidR="003A0EE5" w:rsidRPr="00422B5E">
          <w:rPr>
            <w:rStyle w:val="Hyperlink"/>
            <w:color w:val="auto"/>
            <w:u w:val="none"/>
            <w:lang w:val="en-US"/>
          </w:rPr>
          <w:t>https://doi.org/10.2202/1935-1682.1655</w:t>
        </w:r>
      </w:hyperlink>
      <w:r w:rsidR="003A0EE5" w:rsidRPr="00422B5E">
        <w:rPr>
          <w:color w:val="auto"/>
          <w:lang w:val="en-US"/>
        </w:rPr>
        <w:t xml:space="preserve"> </w:t>
      </w:r>
    </w:p>
    <w:p w14:paraId="50E264E7" w14:textId="62ED7C7C" w:rsidR="009940BB" w:rsidRPr="00422B5E" w:rsidRDefault="009940BB" w:rsidP="007C0D19">
      <w:pPr>
        <w:pStyle w:val="APAReferences"/>
        <w:spacing w:after="0"/>
        <w:ind w:left="0"/>
        <w:rPr>
          <w:color w:val="auto"/>
          <w:lang w:val="en-US"/>
        </w:rPr>
      </w:pPr>
      <w:r w:rsidRPr="00422B5E">
        <w:rPr>
          <w:color w:val="auto"/>
          <w:lang w:val="en-US"/>
        </w:rPr>
        <w:t xml:space="preserve">Esses, V. M., Dovidio, J. F., Jackson, L. M., &amp; Armstrong, T. L. (2001). The immigration dilemma: The role of perceived group competition, ethnic prejudice and national identity. </w:t>
      </w:r>
      <w:r w:rsidRPr="00422B5E">
        <w:rPr>
          <w:i/>
          <w:color w:val="auto"/>
          <w:lang w:val="en-US"/>
        </w:rPr>
        <w:t>Journal of Social Issues, 57</w:t>
      </w:r>
      <w:r w:rsidRPr="00422B5E">
        <w:rPr>
          <w:color w:val="auto"/>
          <w:lang w:val="en-US"/>
        </w:rPr>
        <w:t xml:space="preserve">, 389-412. </w:t>
      </w:r>
      <w:hyperlink r:id="rId18" w:history="1">
        <w:r w:rsidR="007945AF" w:rsidRPr="00422B5E">
          <w:rPr>
            <w:rStyle w:val="Hyperlink"/>
            <w:color w:val="auto"/>
            <w:u w:val="none"/>
            <w:lang w:val="en-US"/>
          </w:rPr>
          <w:t>https://psycnet.apa.org/doi/10.1111/0022-4537.00220</w:t>
        </w:r>
      </w:hyperlink>
      <w:r w:rsidR="007945AF" w:rsidRPr="00422B5E">
        <w:rPr>
          <w:color w:val="auto"/>
          <w:lang w:val="en-US"/>
        </w:rPr>
        <w:t xml:space="preserve"> </w:t>
      </w:r>
    </w:p>
    <w:p w14:paraId="08968A3E" w14:textId="0412F804" w:rsidR="00385C62" w:rsidRPr="00422B5E" w:rsidRDefault="00F4524F" w:rsidP="00385C62">
      <w:pPr>
        <w:pStyle w:val="APAReferences"/>
        <w:spacing w:after="0"/>
        <w:ind w:left="0"/>
        <w:rPr>
          <w:color w:val="auto"/>
          <w:lang w:val="en-US"/>
        </w:rPr>
      </w:pPr>
      <w:r w:rsidRPr="00422B5E">
        <w:rPr>
          <w:color w:val="auto"/>
          <w:lang w:val="en-US"/>
        </w:rPr>
        <w:t xml:space="preserve">Fazio, R. H., &amp; </w:t>
      </w:r>
      <w:proofErr w:type="spellStart"/>
      <w:r w:rsidRPr="00422B5E">
        <w:rPr>
          <w:color w:val="auto"/>
          <w:lang w:val="en-US"/>
        </w:rPr>
        <w:t>Zanna</w:t>
      </w:r>
      <w:proofErr w:type="spellEnd"/>
      <w:r w:rsidRPr="00422B5E">
        <w:rPr>
          <w:color w:val="auto"/>
          <w:lang w:val="en-US"/>
        </w:rPr>
        <w:t xml:space="preserve">, M. P. (1981). Direct experience and attitude-behavior consistency. </w:t>
      </w:r>
      <w:r w:rsidRPr="00422B5E">
        <w:rPr>
          <w:i/>
          <w:color w:val="auto"/>
          <w:lang w:val="en-US"/>
        </w:rPr>
        <w:t xml:space="preserve">Advances in Experimental Social Psychology, 14, </w:t>
      </w:r>
      <w:r w:rsidRPr="00422B5E">
        <w:rPr>
          <w:color w:val="auto"/>
          <w:lang w:val="en-US"/>
        </w:rPr>
        <w:t xml:space="preserve">161-202. </w:t>
      </w:r>
      <w:hyperlink r:id="rId19" w:history="1">
        <w:r w:rsidR="007945AF" w:rsidRPr="00422B5E">
          <w:rPr>
            <w:rStyle w:val="Hyperlink"/>
            <w:color w:val="auto"/>
            <w:u w:val="none"/>
            <w:lang w:val="en-US"/>
          </w:rPr>
          <w:t>https://doi.org/10.1016/S0065-2601(08)60372-X</w:t>
        </w:r>
      </w:hyperlink>
      <w:r w:rsidR="007945AF" w:rsidRPr="00422B5E">
        <w:rPr>
          <w:color w:val="auto"/>
          <w:lang w:val="en-US"/>
        </w:rPr>
        <w:t xml:space="preserve"> </w:t>
      </w:r>
    </w:p>
    <w:p w14:paraId="50546C9B" w14:textId="38C05F90" w:rsidR="00385C62" w:rsidRPr="00422B5E" w:rsidRDefault="00385C62" w:rsidP="00385C62">
      <w:pPr>
        <w:pStyle w:val="APAReferences"/>
        <w:spacing w:after="0"/>
        <w:ind w:left="0"/>
        <w:rPr>
          <w:color w:val="auto"/>
          <w:lang w:val="en-US"/>
        </w:rPr>
      </w:pPr>
      <w:proofErr w:type="spellStart"/>
      <w:r w:rsidRPr="00422B5E">
        <w:rPr>
          <w:color w:val="auto"/>
          <w:lang w:val="en-US"/>
        </w:rPr>
        <w:t>Fessler</w:t>
      </w:r>
      <w:proofErr w:type="spellEnd"/>
      <w:r w:rsidRPr="00422B5E">
        <w:rPr>
          <w:color w:val="auto"/>
          <w:lang w:val="en-US"/>
        </w:rPr>
        <w:t xml:space="preserve">, D. M.T., Holbrook, C., Pollack, J. S., &amp; Hahn-Holbrook, J. (2014). Stranger danger: Parenthood increases the envisioned bodily formidability of menacing men. </w:t>
      </w:r>
      <w:r w:rsidRPr="00422B5E">
        <w:rPr>
          <w:i/>
          <w:color w:val="auto"/>
          <w:lang w:val="en-US"/>
        </w:rPr>
        <w:t>Evolution and Human Behavior, 35</w:t>
      </w:r>
      <w:r w:rsidRPr="00422B5E">
        <w:rPr>
          <w:color w:val="auto"/>
          <w:lang w:val="en-US"/>
        </w:rPr>
        <w:t xml:space="preserve">, 109-117. </w:t>
      </w:r>
      <w:hyperlink r:id="rId20" w:history="1">
        <w:r w:rsidR="007945AF" w:rsidRPr="00422B5E">
          <w:rPr>
            <w:rStyle w:val="Hyperlink"/>
            <w:color w:val="auto"/>
            <w:u w:val="none"/>
            <w:lang w:val="en-US"/>
          </w:rPr>
          <w:t>https://doi.org/10.1016/j.evolhumbehav.2013.11.004</w:t>
        </w:r>
      </w:hyperlink>
      <w:r w:rsidR="007945AF" w:rsidRPr="00422B5E">
        <w:rPr>
          <w:color w:val="auto"/>
          <w:lang w:val="en-US"/>
        </w:rPr>
        <w:t xml:space="preserve"> </w:t>
      </w:r>
    </w:p>
    <w:p w14:paraId="0D51F589" w14:textId="69A0BF8D" w:rsidR="00AF4285" w:rsidRPr="00422B5E" w:rsidRDefault="00AF4285" w:rsidP="007C0D19">
      <w:pPr>
        <w:pStyle w:val="APAReferences"/>
        <w:spacing w:after="0"/>
        <w:ind w:left="0"/>
        <w:rPr>
          <w:color w:val="auto"/>
          <w:lang w:val="en-US"/>
        </w:rPr>
      </w:pPr>
      <w:proofErr w:type="spellStart"/>
      <w:r w:rsidRPr="00422B5E">
        <w:rPr>
          <w:color w:val="auto"/>
          <w:lang w:val="en-US"/>
        </w:rPr>
        <w:t>Flannagan</w:t>
      </w:r>
      <w:proofErr w:type="spellEnd"/>
      <w:r w:rsidRPr="00422B5E">
        <w:rPr>
          <w:color w:val="auto"/>
          <w:lang w:val="en-US"/>
        </w:rPr>
        <w:t xml:space="preserve">, D., Marsh, D. L., &amp; Fuhrman, R. (2005). Judgements about the hypothetical behaviors of friends and romantic partners. </w:t>
      </w:r>
      <w:r w:rsidRPr="00422B5E">
        <w:rPr>
          <w:i/>
          <w:color w:val="auto"/>
          <w:lang w:val="en-US"/>
        </w:rPr>
        <w:t>Journal of Social and Personal Relationships, 22</w:t>
      </w:r>
      <w:r w:rsidRPr="00422B5E">
        <w:rPr>
          <w:color w:val="auto"/>
          <w:lang w:val="en-US"/>
        </w:rPr>
        <w:t xml:space="preserve">, 797-815. </w:t>
      </w:r>
      <w:hyperlink r:id="rId21" w:history="1">
        <w:r w:rsidR="007945AF" w:rsidRPr="00422B5E">
          <w:rPr>
            <w:rStyle w:val="Hyperlink"/>
            <w:color w:val="auto"/>
            <w:u w:val="none"/>
            <w:lang w:val="en-US"/>
          </w:rPr>
          <w:t>https://doi.org/10.1177%2F0265407505058681</w:t>
        </w:r>
      </w:hyperlink>
      <w:r w:rsidR="007945AF" w:rsidRPr="00422B5E">
        <w:rPr>
          <w:color w:val="auto"/>
          <w:lang w:val="en-US"/>
        </w:rPr>
        <w:t xml:space="preserve"> </w:t>
      </w:r>
    </w:p>
    <w:p w14:paraId="04B8DEE6" w14:textId="6F1204AA" w:rsidR="00BB1B36" w:rsidRPr="00422B5E" w:rsidRDefault="00BB1B36" w:rsidP="007C0D19">
      <w:pPr>
        <w:pStyle w:val="APAReferences"/>
        <w:spacing w:after="0"/>
        <w:ind w:left="0"/>
        <w:rPr>
          <w:color w:val="auto"/>
          <w:lang w:val="en-US"/>
        </w:rPr>
      </w:pPr>
      <w:proofErr w:type="spellStart"/>
      <w:r w:rsidRPr="00422B5E">
        <w:rPr>
          <w:color w:val="auto"/>
          <w:lang w:val="en-US"/>
        </w:rPr>
        <w:t>Florack</w:t>
      </w:r>
      <w:proofErr w:type="spellEnd"/>
      <w:r w:rsidRPr="00422B5E">
        <w:rPr>
          <w:color w:val="auto"/>
          <w:lang w:val="en-US"/>
        </w:rPr>
        <w:t xml:space="preserve">, A., </w:t>
      </w:r>
      <w:proofErr w:type="spellStart"/>
      <w:r w:rsidRPr="00422B5E">
        <w:rPr>
          <w:color w:val="auto"/>
          <w:lang w:val="en-US"/>
        </w:rPr>
        <w:t>Piontkowski</w:t>
      </w:r>
      <w:proofErr w:type="spellEnd"/>
      <w:r w:rsidRPr="00422B5E">
        <w:rPr>
          <w:color w:val="auto"/>
          <w:lang w:val="en-US"/>
        </w:rPr>
        <w:t xml:space="preserve">, U., </w:t>
      </w:r>
      <w:proofErr w:type="spellStart"/>
      <w:r w:rsidRPr="00422B5E">
        <w:rPr>
          <w:color w:val="auto"/>
          <w:lang w:val="en-US"/>
        </w:rPr>
        <w:t>Rohmann</w:t>
      </w:r>
      <w:proofErr w:type="spellEnd"/>
      <w:r w:rsidRPr="00422B5E">
        <w:rPr>
          <w:color w:val="auto"/>
          <w:lang w:val="en-US"/>
        </w:rPr>
        <w:t xml:space="preserve">, A., </w:t>
      </w:r>
      <w:proofErr w:type="spellStart"/>
      <w:r w:rsidRPr="00422B5E">
        <w:rPr>
          <w:color w:val="auto"/>
          <w:lang w:val="en-US"/>
        </w:rPr>
        <w:t>Balzer</w:t>
      </w:r>
      <w:proofErr w:type="spellEnd"/>
      <w:r w:rsidRPr="00422B5E">
        <w:rPr>
          <w:color w:val="auto"/>
          <w:lang w:val="en-US"/>
        </w:rPr>
        <w:t xml:space="preserve">, T., &amp; </w:t>
      </w:r>
      <w:proofErr w:type="spellStart"/>
      <w:r w:rsidRPr="00422B5E">
        <w:rPr>
          <w:color w:val="auto"/>
          <w:lang w:val="en-US"/>
        </w:rPr>
        <w:t>Perzig</w:t>
      </w:r>
      <w:proofErr w:type="spellEnd"/>
      <w:r w:rsidRPr="00422B5E">
        <w:rPr>
          <w:color w:val="auto"/>
          <w:lang w:val="en-US"/>
        </w:rPr>
        <w:t xml:space="preserve">, S. (2003). Perceived intergroup threat and attitudes of host community members toward immigrant acculturation. </w:t>
      </w:r>
      <w:r w:rsidRPr="00422B5E">
        <w:rPr>
          <w:i/>
          <w:color w:val="auto"/>
          <w:lang w:val="en-US"/>
        </w:rPr>
        <w:t>Journal of Social Psychology, 143</w:t>
      </w:r>
      <w:r w:rsidRPr="00422B5E">
        <w:rPr>
          <w:color w:val="auto"/>
          <w:lang w:val="en-US"/>
        </w:rPr>
        <w:t xml:space="preserve">, 633-648. </w:t>
      </w:r>
      <w:hyperlink r:id="rId22" w:history="1">
        <w:r w:rsidR="007945AF" w:rsidRPr="00422B5E">
          <w:rPr>
            <w:rStyle w:val="Hyperlink"/>
            <w:color w:val="auto"/>
            <w:u w:val="none"/>
            <w:lang w:val="en-US"/>
          </w:rPr>
          <w:t>https://doi.org/10.1080/00224540309598468</w:t>
        </w:r>
      </w:hyperlink>
      <w:r w:rsidR="007945AF" w:rsidRPr="00422B5E">
        <w:rPr>
          <w:color w:val="auto"/>
          <w:lang w:val="en-US"/>
        </w:rPr>
        <w:t xml:space="preserve"> </w:t>
      </w:r>
    </w:p>
    <w:p w14:paraId="7EB0B466" w14:textId="009EC25A" w:rsidR="00EE0A9A" w:rsidRPr="00422B5E" w:rsidRDefault="00BB1B36" w:rsidP="00EE0A9A">
      <w:pPr>
        <w:pStyle w:val="APAReferences"/>
        <w:spacing w:after="0"/>
        <w:ind w:left="0"/>
        <w:rPr>
          <w:color w:val="auto"/>
          <w:lang w:val="en-US"/>
        </w:rPr>
      </w:pPr>
      <w:r w:rsidRPr="00422B5E">
        <w:rPr>
          <w:color w:val="auto"/>
          <w:lang w:val="en-US"/>
        </w:rPr>
        <w:t xml:space="preserve">Ford, R. (2010). Acceptable and unacceptable immigrations: how opposition to immigration in </w:t>
      </w:r>
      <w:r w:rsidR="000C54E9" w:rsidRPr="00422B5E">
        <w:rPr>
          <w:color w:val="auto"/>
          <w:lang w:val="en-US"/>
        </w:rPr>
        <w:t>B</w:t>
      </w:r>
      <w:r w:rsidRPr="00422B5E">
        <w:rPr>
          <w:color w:val="auto"/>
          <w:lang w:val="en-US"/>
        </w:rPr>
        <w:t xml:space="preserve">ritain is affected by migrants’ region of origin. </w:t>
      </w:r>
      <w:r w:rsidRPr="00422B5E">
        <w:rPr>
          <w:i/>
          <w:color w:val="auto"/>
          <w:lang w:val="en-US"/>
        </w:rPr>
        <w:t>Journal of Ethnic and Migration Studies, 37</w:t>
      </w:r>
      <w:r w:rsidRPr="00422B5E">
        <w:rPr>
          <w:color w:val="auto"/>
          <w:lang w:val="en-US"/>
        </w:rPr>
        <w:t xml:space="preserve">, 1017-1037. </w:t>
      </w:r>
      <w:hyperlink r:id="rId23" w:history="1">
        <w:r w:rsidR="00EF7E0E" w:rsidRPr="00422B5E">
          <w:rPr>
            <w:rStyle w:val="Hyperlink"/>
            <w:color w:val="auto"/>
            <w:u w:val="none"/>
            <w:lang w:val="en-US"/>
          </w:rPr>
          <w:t>https://doi.org/10.1080/1369183X.2011.572423</w:t>
        </w:r>
      </w:hyperlink>
      <w:r w:rsidR="00EF7E0E" w:rsidRPr="00422B5E">
        <w:rPr>
          <w:color w:val="auto"/>
          <w:lang w:val="en-US"/>
        </w:rPr>
        <w:t xml:space="preserve"> </w:t>
      </w:r>
    </w:p>
    <w:p w14:paraId="4B8EAE0C" w14:textId="7EC419A7" w:rsidR="00EE0A9A" w:rsidRPr="00422B5E" w:rsidRDefault="00EE0A9A" w:rsidP="00EE0A9A">
      <w:pPr>
        <w:pStyle w:val="APAReferences"/>
        <w:spacing w:after="0"/>
        <w:ind w:left="0"/>
        <w:rPr>
          <w:color w:val="auto"/>
          <w:lang w:val="en-US"/>
        </w:rPr>
      </w:pPr>
      <w:r w:rsidRPr="00422B5E">
        <w:rPr>
          <w:color w:val="auto"/>
          <w:lang w:val="en-US"/>
        </w:rPr>
        <w:t xml:space="preserve">Goodwin, M., &amp; </w:t>
      </w:r>
      <w:proofErr w:type="spellStart"/>
      <w:r w:rsidRPr="00422B5E">
        <w:rPr>
          <w:color w:val="auto"/>
          <w:lang w:val="en-US"/>
        </w:rPr>
        <w:t>Milazzo</w:t>
      </w:r>
      <w:proofErr w:type="spellEnd"/>
      <w:r w:rsidRPr="00422B5E">
        <w:rPr>
          <w:color w:val="auto"/>
          <w:lang w:val="en-US"/>
        </w:rPr>
        <w:t xml:space="preserve">, C. (2017). Taking back control? Investigating the role of immigration in the 2016 vote for </w:t>
      </w:r>
      <w:proofErr w:type="spellStart"/>
      <w:r w:rsidRPr="00422B5E">
        <w:rPr>
          <w:color w:val="auto"/>
          <w:lang w:val="en-US"/>
        </w:rPr>
        <w:t>Brexit</w:t>
      </w:r>
      <w:proofErr w:type="spellEnd"/>
      <w:r w:rsidRPr="00422B5E">
        <w:rPr>
          <w:color w:val="auto"/>
          <w:lang w:val="en-US"/>
        </w:rPr>
        <w:t xml:space="preserve">. </w:t>
      </w:r>
      <w:r w:rsidRPr="00422B5E">
        <w:rPr>
          <w:i/>
          <w:color w:val="auto"/>
          <w:lang w:val="en-US"/>
        </w:rPr>
        <w:t>The British Journal of Politics and International Relations, 19</w:t>
      </w:r>
      <w:r w:rsidRPr="00422B5E">
        <w:rPr>
          <w:color w:val="auto"/>
          <w:lang w:val="en-US"/>
        </w:rPr>
        <w:t>, 450</w:t>
      </w:r>
      <w:r w:rsidRPr="00422B5E">
        <w:rPr>
          <w:rFonts w:hint="cs"/>
          <w:color w:val="auto"/>
          <w:lang w:val="en-US"/>
        </w:rPr>
        <w:t>–</w:t>
      </w:r>
      <w:r w:rsidRPr="00422B5E">
        <w:rPr>
          <w:color w:val="auto"/>
          <w:lang w:val="en-US"/>
        </w:rPr>
        <w:t>464.</w:t>
      </w:r>
      <w:r w:rsidR="00EF7E0E" w:rsidRPr="00422B5E">
        <w:rPr>
          <w:color w:val="auto"/>
          <w:lang w:val="en-US"/>
        </w:rPr>
        <w:t xml:space="preserve"> </w:t>
      </w:r>
      <w:hyperlink r:id="rId24" w:history="1">
        <w:r w:rsidR="00EF7E0E" w:rsidRPr="00422B5E">
          <w:rPr>
            <w:rStyle w:val="Hyperlink"/>
            <w:color w:val="auto"/>
            <w:u w:val="none"/>
            <w:lang w:val="en-US"/>
          </w:rPr>
          <w:t>https://doi.org/10.1177%2F1369148117710799</w:t>
        </w:r>
      </w:hyperlink>
      <w:r w:rsidR="00EF7E0E" w:rsidRPr="00422B5E">
        <w:rPr>
          <w:color w:val="auto"/>
          <w:lang w:val="en-US"/>
        </w:rPr>
        <w:t xml:space="preserve"> </w:t>
      </w:r>
    </w:p>
    <w:p w14:paraId="500C0127" w14:textId="3C97A1ED" w:rsidR="00BB1B36" w:rsidRPr="00422B5E" w:rsidRDefault="00BB1B36" w:rsidP="007C0D19">
      <w:pPr>
        <w:pStyle w:val="APAReferences"/>
        <w:spacing w:after="0"/>
        <w:ind w:left="0"/>
        <w:rPr>
          <w:color w:val="auto"/>
          <w:lang w:val="en-US"/>
        </w:rPr>
      </w:pPr>
      <w:r w:rsidRPr="00422B5E">
        <w:rPr>
          <w:color w:val="auto"/>
          <w:lang w:val="en-US"/>
        </w:rPr>
        <w:lastRenderedPageBreak/>
        <w:t xml:space="preserve">Grant, P. R. (1993). Reactions to intergroup similarity: examination of similarity-difference and the similarity-attraction hypotheses. </w:t>
      </w:r>
      <w:r w:rsidRPr="00422B5E">
        <w:rPr>
          <w:i/>
          <w:color w:val="auto"/>
          <w:lang w:val="en-US"/>
        </w:rPr>
        <w:t xml:space="preserve">Canadian Journal of </w:t>
      </w:r>
      <w:proofErr w:type="spellStart"/>
      <w:r w:rsidRPr="00422B5E">
        <w:rPr>
          <w:i/>
          <w:color w:val="auto"/>
          <w:lang w:val="en-US"/>
        </w:rPr>
        <w:t>Behavioural</w:t>
      </w:r>
      <w:proofErr w:type="spellEnd"/>
      <w:r w:rsidRPr="00422B5E">
        <w:rPr>
          <w:i/>
          <w:color w:val="auto"/>
          <w:lang w:val="en-US"/>
        </w:rPr>
        <w:t xml:space="preserve"> Science, 25</w:t>
      </w:r>
      <w:r w:rsidRPr="00422B5E">
        <w:rPr>
          <w:color w:val="auto"/>
          <w:lang w:val="en-US"/>
        </w:rPr>
        <w:t xml:space="preserve">, 28-44. </w:t>
      </w:r>
      <w:hyperlink r:id="rId25" w:history="1">
        <w:r w:rsidR="00EF7E0E" w:rsidRPr="00422B5E">
          <w:rPr>
            <w:rStyle w:val="Hyperlink"/>
            <w:color w:val="auto"/>
            <w:u w:val="none"/>
            <w:lang w:val="en-US"/>
          </w:rPr>
          <w:t>https://psycnet.apa.org/doi/10.1037/h0078789</w:t>
        </w:r>
      </w:hyperlink>
      <w:r w:rsidR="00EF7E0E" w:rsidRPr="00422B5E">
        <w:rPr>
          <w:color w:val="auto"/>
          <w:lang w:val="en-US"/>
        </w:rPr>
        <w:t xml:space="preserve"> </w:t>
      </w:r>
    </w:p>
    <w:p w14:paraId="77951C44" w14:textId="06C18981" w:rsidR="00BB1B36" w:rsidRPr="00422B5E" w:rsidRDefault="00BB1B36" w:rsidP="007C0D19">
      <w:pPr>
        <w:pStyle w:val="APAReferences"/>
        <w:spacing w:after="0"/>
        <w:ind w:left="0"/>
        <w:rPr>
          <w:color w:val="auto"/>
          <w:lang w:val="en-US"/>
        </w:rPr>
      </w:pPr>
      <w:proofErr w:type="spellStart"/>
      <w:r w:rsidRPr="00422B5E">
        <w:rPr>
          <w:color w:val="auto"/>
          <w:lang w:val="en-US"/>
        </w:rPr>
        <w:t>Herda</w:t>
      </w:r>
      <w:proofErr w:type="spellEnd"/>
      <w:r w:rsidRPr="00422B5E">
        <w:rPr>
          <w:color w:val="auto"/>
          <w:lang w:val="en-US"/>
        </w:rPr>
        <w:t xml:space="preserve">, D. (2010). How many immigrants? Foreign-born population innumeracy in Europe. </w:t>
      </w:r>
      <w:r w:rsidRPr="00422B5E">
        <w:rPr>
          <w:i/>
          <w:color w:val="auto"/>
          <w:lang w:val="en-US"/>
        </w:rPr>
        <w:t>Public Opinion Quarterly, 74</w:t>
      </w:r>
      <w:r w:rsidRPr="00422B5E">
        <w:rPr>
          <w:color w:val="auto"/>
          <w:lang w:val="en-US"/>
        </w:rPr>
        <w:t>, 674-695.</w:t>
      </w:r>
      <w:r w:rsidR="00EF7E0E" w:rsidRPr="00422B5E">
        <w:rPr>
          <w:color w:val="auto"/>
          <w:lang w:val="en-US"/>
        </w:rPr>
        <w:t xml:space="preserve"> </w:t>
      </w:r>
      <w:hyperlink r:id="rId26" w:history="1">
        <w:r w:rsidR="00EF7E0E" w:rsidRPr="00422B5E">
          <w:rPr>
            <w:rStyle w:val="Hyperlink"/>
            <w:color w:val="auto"/>
            <w:u w:val="none"/>
            <w:lang w:val="en-US"/>
          </w:rPr>
          <w:t>https://doi.org/10.1093/poq/nfq013</w:t>
        </w:r>
      </w:hyperlink>
      <w:r w:rsidR="00EF7E0E" w:rsidRPr="00422B5E">
        <w:rPr>
          <w:color w:val="auto"/>
          <w:lang w:val="en-US"/>
        </w:rPr>
        <w:t xml:space="preserve"> </w:t>
      </w:r>
    </w:p>
    <w:p w14:paraId="2E6A5A82" w14:textId="0ECE3415" w:rsidR="00BB1B36" w:rsidRPr="00422B5E" w:rsidRDefault="00BB1B36" w:rsidP="007C0D19">
      <w:pPr>
        <w:pStyle w:val="APAReferences"/>
        <w:spacing w:after="0"/>
        <w:ind w:left="0"/>
        <w:rPr>
          <w:color w:val="auto"/>
          <w:lang w:val="en-US"/>
        </w:rPr>
      </w:pPr>
      <w:proofErr w:type="spellStart"/>
      <w:r w:rsidRPr="00422B5E">
        <w:rPr>
          <w:color w:val="auto"/>
          <w:lang w:val="en-US"/>
        </w:rPr>
        <w:t>Hjerm</w:t>
      </w:r>
      <w:proofErr w:type="spellEnd"/>
      <w:r w:rsidRPr="00422B5E">
        <w:rPr>
          <w:color w:val="auto"/>
          <w:lang w:val="en-US"/>
        </w:rPr>
        <w:t>, M. (2007). Do numbers really count? Group threat theory revisited</w:t>
      </w:r>
      <w:r w:rsidRPr="00422B5E">
        <w:rPr>
          <w:i/>
          <w:color w:val="auto"/>
          <w:lang w:val="en-US"/>
        </w:rPr>
        <w:t>. Journal of Ethnic and Migration Studies, 33</w:t>
      </w:r>
      <w:r w:rsidRPr="00422B5E">
        <w:rPr>
          <w:color w:val="auto"/>
          <w:lang w:val="en-US"/>
        </w:rPr>
        <w:t xml:space="preserve">, 1253-1275. </w:t>
      </w:r>
      <w:hyperlink r:id="rId27" w:history="1">
        <w:r w:rsidR="00EF7E0E" w:rsidRPr="00422B5E">
          <w:rPr>
            <w:rStyle w:val="Hyperlink"/>
            <w:color w:val="auto"/>
            <w:u w:val="none"/>
            <w:lang w:val="en-US"/>
          </w:rPr>
          <w:t>https://doi.org/10.1080/13691830701614056</w:t>
        </w:r>
      </w:hyperlink>
      <w:r w:rsidR="00EF7E0E" w:rsidRPr="00422B5E">
        <w:rPr>
          <w:color w:val="auto"/>
          <w:lang w:val="en-US"/>
        </w:rPr>
        <w:t xml:space="preserve"> </w:t>
      </w:r>
    </w:p>
    <w:p w14:paraId="1DA5E96C" w14:textId="77777777" w:rsidR="00D97C5E" w:rsidRPr="00422B5E" w:rsidRDefault="00BB1B36" w:rsidP="00D97C5E">
      <w:pPr>
        <w:pStyle w:val="APAReferences"/>
        <w:spacing w:after="0"/>
        <w:ind w:left="0"/>
        <w:rPr>
          <w:color w:val="auto"/>
          <w:lang w:val="en-US"/>
        </w:rPr>
      </w:pPr>
      <w:r w:rsidRPr="00422B5E">
        <w:rPr>
          <w:color w:val="auto"/>
          <w:lang w:val="en-US"/>
        </w:rPr>
        <w:t xml:space="preserve">Home Office. (2015). Syrian Vulnerable Person Resettlement (VPR) </w:t>
      </w:r>
      <w:proofErr w:type="spellStart"/>
      <w:r w:rsidRPr="00422B5E">
        <w:rPr>
          <w:color w:val="auto"/>
          <w:lang w:val="en-US"/>
        </w:rPr>
        <w:t>Programme</w:t>
      </w:r>
      <w:proofErr w:type="spellEnd"/>
      <w:r w:rsidRPr="00422B5E">
        <w:rPr>
          <w:color w:val="auto"/>
          <w:lang w:val="en-US"/>
        </w:rPr>
        <w:t xml:space="preserve">: Guidance for local authorities and partners. </w:t>
      </w:r>
    </w:p>
    <w:p w14:paraId="207A8C85" w14:textId="59D9FE85" w:rsidR="00D97C5E" w:rsidRPr="00422B5E" w:rsidRDefault="00D97C5E" w:rsidP="00D97C5E">
      <w:pPr>
        <w:pStyle w:val="APAReferences"/>
        <w:spacing w:after="0"/>
        <w:ind w:left="0"/>
        <w:rPr>
          <w:color w:val="auto"/>
          <w:lang w:val="en-US"/>
        </w:rPr>
      </w:pPr>
      <w:r w:rsidRPr="00422B5E">
        <w:rPr>
          <w:color w:val="auto"/>
        </w:rPr>
        <w:t>Home Office (2019) Asylum applications, decisions and resettlement. [</w:t>
      </w:r>
      <w:proofErr w:type="gramStart"/>
      <w:r w:rsidRPr="00422B5E">
        <w:rPr>
          <w:color w:val="auto"/>
        </w:rPr>
        <w:t>dataset</w:t>
      </w:r>
      <w:proofErr w:type="gramEnd"/>
      <w:r w:rsidRPr="00422B5E">
        <w:rPr>
          <w:color w:val="auto"/>
        </w:rPr>
        <w:t>]</w:t>
      </w:r>
    </w:p>
    <w:p w14:paraId="4ECAAF88" w14:textId="77777777" w:rsidR="00BB1B36" w:rsidRPr="00422B5E" w:rsidRDefault="00BB1B36" w:rsidP="007C0D19">
      <w:pPr>
        <w:pStyle w:val="APAReferences"/>
        <w:spacing w:after="0"/>
        <w:ind w:left="0"/>
        <w:rPr>
          <w:color w:val="auto"/>
          <w:lang w:val="en-US"/>
        </w:rPr>
      </w:pPr>
      <w:proofErr w:type="spellStart"/>
      <w:r w:rsidRPr="00422B5E">
        <w:rPr>
          <w:color w:val="auto"/>
          <w:lang w:val="en-US"/>
        </w:rPr>
        <w:t>Ipsos</w:t>
      </w:r>
      <w:proofErr w:type="spellEnd"/>
      <w:r w:rsidRPr="00422B5E">
        <w:rPr>
          <w:color w:val="auto"/>
          <w:lang w:val="en-US"/>
        </w:rPr>
        <w:t xml:space="preserve"> MORI. (2016</w:t>
      </w:r>
      <w:r w:rsidRPr="00422B5E">
        <w:rPr>
          <w:i/>
          <w:color w:val="auto"/>
          <w:lang w:val="en-US"/>
        </w:rPr>
        <w:t>). Global Views on Immigration and the Refugee Crisis.</w:t>
      </w:r>
      <w:r w:rsidRPr="00422B5E">
        <w:rPr>
          <w:color w:val="auto"/>
          <w:lang w:val="en-US"/>
        </w:rPr>
        <w:t xml:space="preserve"> [</w:t>
      </w:r>
      <w:proofErr w:type="gramStart"/>
      <w:r w:rsidRPr="00422B5E">
        <w:rPr>
          <w:color w:val="auto"/>
          <w:lang w:val="en-US"/>
        </w:rPr>
        <w:t>online</w:t>
      </w:r>
      <w:proofErr w:type="gramEnd"/>
      <w:r w:rsidRPr="00422B5E">
        <w:rPr>
          <w:color w:val="auto"/>
          <w:lang w:val="en-US"/>
        </w:rPr>
        <w:t>] Available at: https://www.ipsos-mori.com/researchpublications/researcharchive/3771/Global-study-shows-many-around-the-world-uncomfortable-with-levels-of-immigration.aspx [Accessed on 17/01/2017].</w:t>
      </w:r>
    </w:p>
    <w:p w14:paraId="50BCE480" w14:textId="0A8EA1C1" w:rsidR="00BB1B36" w:rsidRPr="00422B5E" w:rsidRDefault="00BB1B36" w:rsidP="007C0D19">
      <w:pPr>
        <w:pStyle w:val="APAReferences"/>
        <w:spacing w:after="0"/>
        <w:ind w:left="0"/>
        <w:rPr>
          <w:color w:val="auto"/>
          <w:lang w:val="en-US"/>
        </w:rPr>
      </w:pPr>
      <w:r w:rsidRPr="00422B5E">
        <w:rPr>
          <w:color w:val="auto"/>
          <w:lang w:val="en-US"/>
        </w:rPr>
        <w:t xml:space="preserve">Jaspal, R. &amp; </w:t>
      </w:r>
      <w:proofErr w:type="spellStart"/>
      <w:r w:rsidRPr="00422B5E">
        <w:rPr>
          <w:color w:val="auto"/>
          <w:lang w:val="en-US"/>
        </w:rPr>
        <w:t>Cinnirella</w:t>
      </w:r>
      <w:proofErr w:type="spellEnd"/>
      <w:r w:rsidRPr="00422B5E">
        <w:rPr>
          <w:color w:val="auto"/>
          <w:lang w:val="en-US"/>
        </w:rPr>
        <w:t xml:space="preserve">, M. (2010). Media representations of British Muslims and </w:t>
      </w:r>
      <w:proofErr w:type="spellStart"/>
      <w:r w:rsidRPr="00422B5E">
        <w:rPr>
          <w:color w:val="auto"/>
          <w:lang w:val="en-US"/>
        </w:rPr>
        <w:t>hybridised</w:t>
      </w:r>
      <w:proofErr w:type="spellEnd"/>
      <w:r w:rsidRPr="00422B5E">
        <w:rPr>
          <w:color w:val="auto"/>
          <w:lang w:val="en-US"/>
        </w:rPr>
        <w:t xml:space="preserve"> threats to identity. </w:t>
      </w:r>
      <w:r w:rsidRPr="00422B5E">
        <w:rPr>
          <w:i/>
          <w:color w:val="auto"/>
          <w:lang w:val="en-US"/>
        </w:rPr>
        <w:t>Contemporary Islam, 4</w:t>
      </w:r>
      <w:r w:rsidRPr="00422B5E">
        <w:rPr>
          <w:color w:val="auto"/>
          <w:lang w:val="en-US"/>
        </w:rPr>
        <w:t>, 289-310.</w:t>
      </w:r>
      <w:r w:rsidR="00EF7E0E" w:rsidRPr="00422B5E">
        <w:rPr>
          <w:color w:val="auto"/>
          <w:lang w:val="en-US"/>
        </w:rPr>
        <w:t xml:space="preserve"> </w:t>
      </w:r>
      <w:hyperlink r:id="rId28" w:history="1">
        <w:r w:rsidR="00EF7E0E" w:rsidRPr="00422B5E">
          <w:rPr>
            <w:rStyle w:val="Hyperlink"/>
            <w:color w:val="auto"/>
            <w:u w:val="none"/>
            <w:lang w:val="en-US"/>
          </w:rPr>
          <w:t>https://doi.org/10.1007/s11562-010-0126-7</w:t>
        </w:r>
      </w:hyperlink>
      <w:r w:rsidR="00EF7E0E" w:rsidRPr="00422B5E">
        <w:rPr>
          <w:color w:val="auto"/>
          <w:lang w:val="en-US"/>
        </w:rPr>
        <w:t xml:space="preserve"> </w:t>
      </w:r>
    </w:p>
    <w:p w14:paraId="2A08D8DE" w14:textId="07F3EA26" w:rsidR="00BB1B36" w:rsidRPr="00422B5E" w:rsidRDefault="00BB1B36" w:rsidP="007C0D19">
      <w:pPr>
        <w:pStyle w:val="APAReferences"/>
        <w:spacing w:after="0"/>
        <w:ind w:left="0"/>
        <w:rPr>
          <w:color w:val="auto"/>
          <w:lang w:val="en-US"/>
        </w:rPr>
      </w:pPr>
      <w:r w:rsidRPr="00422B5E">
        <w:rPr>
          <w:color w:val="auto"/>
          <w:lang w:val="en-US"/>
        </w:rPr>
        <w:t xml:space="preserve">Leong, C. H., &amp; Ward, C. (2011). Intergroup perceptions and attitudes toward immigrants in a culturally plural society. </w:t>
      </w:r>
      <w:r w:rsidRPr="00422B5E">
        <w:rPr>
          <w:i/>
          <w:color w:val="auto"/>
          <w:lang w:val="en-US"/>
        </w:rPr>
        <w:t>Applied Psychology: An International Review, 60</w:t>
      </w:r>
      <w:r w:rsidRPr="00422B5E">
        <w:rPr>
          <w:color w:val="auto"/>
          <w:lang w:val="en-US"/>
        </w:rPr>
        <w:t>, 46-65.</w:t>
      </w:r>
      <w:r w:rsidR="00EF7E0E" w:rsidRPr="00422B5E">
        <w:rPr>
          <w:color w:val="auto"/>
          <w:lang w:val="en-US"/>
        </w:rPr>
        <w:t xml:space="preserve"> </w:t>
      </w:r>
      <w:hyperlink r:id="rId29" w:history="1">
        <w:r w:rsidR="00EF7E0E" w:rsidRPr="00422B5E">
          <w:rPr>
            <w:rStyle w:val="Hyperlink"/>
            <w:color w:val="auto"/>
            <w:u w:val="none"/>
            <w:lang w:val="en-US"/>
          </w:rPr>
          <w:t>https://doi.org/10.1111/j.1464-0597.2010.00426.x</w:t>
        </w:r>
      </w:hyperlink>
      <w:r w:rsidR="00EF7E0E" w:rsidRPr="00422B5E">
        <w:rPr>
          <w:color w:val="auto"/>
          <w:lang w:val="en-US"/>
        </w:rPr>
        <w:t xml:space="preserve"> </w:t>
      </w:r>
    </w:p>
    <w:p w14:paraId="3ABA02DA" w14:textId="61F14D4F" w:rsidR="0029719A" w:rsidRPr="00422B5E" w:rsidRDefault="0029719A" w:rsidP="007C0D19">
      <w:pPr>
        <w:pStyle w:val="APAReferences"/>
        <w:spacing w:after="0"/>
        <w:ind w:left="0"/>
        <w:rPr>
          <w:color w:val="auto"/>
          <w:lang w:val="en-US"/>
        </w:rPr>
      </w:pPr>
      <w:r w:rsidRPr="00422B5E">
        <w:rPr>
          <w:color w:val="auto"/>
          <w:lang w:val="en-US"/>
        </w:rPr>
        <w:t xml:space="preserve">Linn, L. S. (1965). Verbal attitudes and overt behavior: A study of racial discrimination. </w:t>
      </w:r>
      <w:r w:rsidRPr="00422B5E">
        <w:rPr>
          <w:i/>
          <w:color w:val="auto"/>
          <w:lang w:val="en-US"/>
        </w:rPr>
        <w:t>Social Forces, 43</w:t>
      </w:r>
      <w:r w:rsidRPr="00422B5E">
        <w:rPr>
          <w:color w:val="auto"/>
          <w:lang w:val="en-US"/>
        </w:rPr>
        <w:t>, 353-364.</w:t>
      </w:r>
      <w:r w:rsidR="00EF7E0E" w:rsidRPr="00422B5E">
        <w:rPr>
          <w:color w:val="auto"/>
          <w:lang w:val="en-US"/>
        </w:rPr>
        <w:t xml:space="preserve"> </w:t>
      </w:r>
      <w:hyperlink r:id="rId30" w:history="1">
        <w:r w:rsidR="00EF7E0E" w:rsidRPr="00422B5E">
          <w:rPr>
            <w:rStyle w:val="Hyperlink"/>
            <w:color w:val="auto"/>
            <w:u w:val="none"/>
            <w:lang w:val="en-US"/>
          </w:rPr>
          <w:t>https://doi.org/10.2307/2574765</w:t>
        </w:r>
      </w:hyperlink>
      <w:r w:rsidR="00EF7E0E" w:rsidRPr="00422B5E">
        <w:rPr>
          <w:color w:val="auto"/>
          <w:lang w:val="en-US"/>
        </w:rPr>
        <w:t xml:space="preserve"> </w:t>
      </w:r>
    </w:p>
    <w:p w14:paraId="608586B3" w14:textId="17F822F8" w:rsidR="00373761" w:rsidRPr="00422B5E" w:rsidRDefault="00373761" w:rsidP="007C0D19">
      <w:pPr>
        <w:pStyle w:val="APAReferences"/>
        <w:spacing w:after="0"/>
        <w:ind w:left="0"/>
        <w:rPr>
          <w:color w:val="auto"/>
          <w:lang w:val="en-US"/>
        </w:rPr>
      </w:pPr>
      <w:r w:rsidRPr="00422B5E">
        <w:rPr>
          <w:color w:val="auto"/>
          <w:lang w:val="en-US"/>
        </w:rPr>
        <w:lastRenderedPageBreak/>
        <w:t>L</w:t>
      </w:r>
      <w:r w:rsidRPr="00422B5E">
        <w:rPr>
          <w:rFonts w:hint="cs"/>
          <w:color w:val="auto"/>
          <w:lang w:val="en-US"/>
        </w:rPr>
        <w:t>ó</w:t>
      </w:r>
      <w:r w:rsidRPr="00422B5E">
        <w:rPr>
          <w:color w:val="auto"/>
          <w:lang w:val="en-US"/>
        </w:rPr>
        <w:t>pez-Rodr</w:t>
      </w:r>
      <w:r w:rsidRPr="00422B5E">
        <w:rPr>
          <w:rFonts w:hint="cs"/>
          <w:color w:val="auto"/>
          <w:lang w:val="en-US"/>
        </w:rPr>
        <w:t>í</w:t>
      </w:r>
      <w:r w:rsidRPr="00422B5E">
        <w:rPr>
          <w:color w:val="auto"/>
          <w:lang w:val="en-US"/>
        </w:rPr>
        <w:t xml:space="preserve">guez, L., </w:t>
      </w:r>
      <w:proofErr w:type="spellStart"/>
      <w:r w:rsidRPr="00422B5E">
        <w:rPr>
          <w:color w:val="auto"/>
          <w:lang w:val="en-US"/>
        </w:rPr>
        <w:t>Cuadrado</w:t>
      </w:r>
      <w:proofErr w:type="spellEnd"/>
      <w:r w:rsidRPr="00422B5E">
        <w:rPr>
          <w:color w:val="auto"/>
          <w:lang w:val="en-US"/>
        </w:rPr>
        <w:t xml:space="preserve">, I., &amp; Navas, M. (2017). I will help you because we are similar: Quality of contact mediates the effect of perceived similarity on facilitative </w:t>
      </w:r>
      <w:proofErr w:type="spellStart"/>
      <w:r w:rsidRPr="00422B5E">
        <w:rPr>
          <w:color w:val="auto"/>
          <w:lang w:val="en-US"/>
        </w:rPr>
        <w:t>behaviour</w:t>
      </w:r>
      <w:proofErr w:type="spellEnd"/>
      <w:r w:rsidRPr="00422B5E">
        <w:rPr>
          <w:color w:val="auto"/>
          <w:lang w:val="en-US"/>
        </w:rPr>
        <w:t xml:space="preserve"> towards immigrants. </w:t>
      </w:r>
      <w:r w:rsidRPr="00422B5E">
        <w:rPr>
          <w:i/>
          <w:color w:val="auto"/>
          <w:lang w:val="en-US"/>
        </w:rPr>
        <w:t>International Journal of Psychology, 52</w:t>
      </w:r>
      <w:r w:rsidRPr="00422B5E">
        <w:rPr>
          <w:color w:val="auto"/>
          <w:lang w:val="en-US"/>
        </w:rPr>
        <w:t xml:space="preserve">, 273-282. </w:t>
      </w:r>
      <w:hyperlink r:id="rId31" w:history="1">
        <w:r w:rsidR="00D97C5E" w:rsidRPr="00422B5E">
          <w:rPr>
            <w:rFonts w:eastAsia="Times New Roman"/>
            <w:color w:val="auto"/>
          </w:rPr>
          <w:t>https://doi.org/10.1002/ijop.12212</w:t>
        </w:r>
      </w:hyperlink>
      <w:r w:rsidR="00D97C5E" w:rsidRPr="00422B5E">
        <w:rPr>
          <w:rFonts w:eastAsia="Times New Roman"/>
          <w:color w:val="auto"/>
        </w:rPr>
        <w:t xml:space="preserve"> </w:t>
      </w:r>
    </w:p>
    <w:p w14:paraId="30748734" w14:textId="04AEBF78" w:rsidR="00BB1B36" w:rsidRPr="00422B5E" w:rsidRDefault="007F0F97" w:rsidP="007C0D19">
      <w:pPr>
        <w:pStyle w:val="APAReferences"/>
        <w:spacing w:after="0"/>
        <w:ind w:left="0"/>
        <w:rPr>
          <w:color w:val="auto"/>
          <w:lang w:val="en-US"/>
        </w:rPr>
      </w:pPr>
      <w:r w:rsidRPr="00422B5E">
        <w:rPr>
          <w:color w:val="auto"/>
          <w:lang w:val="en-US"/>
        </w:rPr>
        <w:t>López-Rodríguez</w:t>
      </w:r>
      <w:r w:rsidR="00BB1B36" w:rsidRPr="00422B5E">
        <w:rPr>
          <w:color w:val="auto"/>
          <w:lang w:val="en-US"/>
        </w:rPr>
        <w:t xml:space="preserve">, L., Navas, M., </w:t>
      </w:r>
      <w:proofErr w:type="spellStart"/>
      <w:r w:rsidR="00BB1B36" w:rsidRPr="00422B5E">
        <w:rPr>
          <w:color w:val="auto"/>
          <w:lang w:val="en-US"/>
        </w:rPr>
        <w:t>Cuadrado</w:t>
      </w:r>
      <w:proofErr w:type="spellEnd"/>
      <w:r w:rsidR="00BB1B36" w:rsidRPr="00422B5E">
        <w:rPr>
          <w:color w:val="auto"/>
          <w:lang w:val="en-US"/>
        </w:rPr>
        <w:t xml:space="preserve">, I., </w:t>
      </w:r>
      <w:proofErr w:type="spellStart"/>
      <w:r w:rsidR="00BB1B36" w:rsidRPr="00422B5E">
        <w:rPr>
          <w:color w:val="auto"/>
          <w:lang w:val="en-US"/>
        </w:rPr>
        <w:t>Coutant</w:t>
      </w:r>
      <w:proofErr w:type="spellEnd"/>
      <w:r w:rsidR="00BB1B36" w:rsidRPr="00422B5E">
        <w:rPr>
          <w:color w:val="auto"/>
          <w:lang w:val="en-US"/>
        </w:rPr>
        <w:t xml:space="preserve">, D., &amp; </w:t>
      </w:r>
      <w:proofErr w:type="spellStart"/>
      <w:r w:rsidR="00BB1B36" w:rsidRPr="00422B5E">
        <w:rPr>
          <w:color w:val="auto"/>
          <w:lang w:val="en-US"/>
        </w:rPr>
        <w:t>Worchel</w:t>
      </w:r>
      <w:proofErr w:type="spellEnd"/>
      <w:r w:rsidR="00BB1B36" w:rsidRPr="00422B5E">
        <w:rPr>
          <w:color w:val="auto"/>
          <w:lang w:val="en-US"/>
        </w:rPr>
        <w:t xml:space="preserve">, S. (2014). The majority’s perceptions about adaptation to the host society of different immigrant groups: The distinct role of warmth and threat. </w:t>
      </w:r>
      <w:r w:rsidR="00BB1B36" w:rsidRPr="00422B5E">
        <w:rPr>
          <w:i/>
          <w:color w:val="auto"/>
          <w:lang w:val="en-US"/>
        </w:rPr>
        <w:t>International Journal of Intercultural Relations, 40,</w:t>
      </w:r>
      <w:r w:rsidR="00BB1B36" w:rsidRPr="00422B5E">
        <w:rPr>
          <w:color w:val="auto"/>
          <w:lang w:val="en-US"/>
        </w:rPr>
        <w:t xml:space="preserve"> 34-48. </w:t>
      </w:r>
      <w:hyperlink r:id="rId32" w:history="1">
        <w:r w:rsidR="00D97C5E" w:rsidRPr="00422B5E">
          <w:rPr>
            <w:rFonts w:eastAsia="Times New Roman"/>
            <w:color w:val="auto"/>
          </w:rPr>
          <w:t>https://doi.org/10.1016/j.ijintrel.2014.02.001</w:t>
        </w:r>
      </w:hyperlink>
    </w:p>
    <w:p w14:paraId="0173A578" w14:textId="7F0EDCD9" w:rsidR="00BB1B36" w:rsidRPr="00422B5E" w:rsidRDefault="00BB1B36" w:rsidP="007C0D19">
      <w:pPr>
        <w:pStyle w:val="APAReferences"/>
        <w:spacing w:after="0"/>
        <w:ind w:left="0"/>
        <w:rPr>
          <w:color w:val="auto"/>
          <w:lang w:val="en-US"/>
        </w:rPr>
      </w:pPr>
      <w:r w:rsidRPr="00422B5E">
        <w:rPr>
          <w:color w:val="auto"/>
          <w:lang w:val="en-US"/>
        </w:rPr>
        <w:t xml:space="preserve">Montreuil, A., &amp; </w:t>
      </w:r>
      <w:proofErr w:type="spellStart"/>
      <w:r w:rsidRPr="00422B5E">
        <w:rPr>
          <w:color w:val="auto"/>
          <w:lang w:val="en-US"/>
        </w:rPr>
        <w:t>Bourhis</w:t>
      </w:r>
      <w:proofErr w:type="spellEnd"/>
      <w:r w:rsidRPr="00422B5E">
        <w:rPr>
          <w:color w:val="auto"/>
          <w:lang w:val="en-US"/>
        </w:rPr>
        <w:t xml:space="preserve">, R. Y. (2001). Majority acculturation orientations toward “valued” and “devalued” immigrants. </w:t>
      </w:r>
      <w:r w:rsidRPr="00422B5E">
        <w:rPr>
          <w:i/>
          <w:color w:val="auto"/>
          <w:lang w:val="en-US"/>
        </w:rPr>
        <w:t>Journal of Cross-Cultural Psychology, 32</w:t>
      </w:r>
      <w:r w:rsidRPr="00422B5E">
        <w:rPr>
          <w:color w:val="auto"/>
          <w:lang w:val="en-US"/>
        </w:rPr>
        <w:t xml:space="preserve">, 698-719. </w:t>
      </w:r>
      <w:hyperlink r:id="rId33" w:history="1">
        <w:r w:rsidR="00D97C5E" w:rsidRPr="00422B5E">
          <w:rPr>
            <w:rFonts w:eastAsia="Times New Roman"/>
            <w:color w:val="auto"/>
          </w:rPr>
          <w:t>https://doi.org/10.1177/0022022101032006004</w:t>
        </w:r>
      </w:hyperlink>
      <w:r w:rsidR="00D97C5E" w:rsidRPr="00422B5E">
        <w:rPr>
          <w:rFonts w:eastAsia="Times New Roman"/>
          <w:color w:val="auto"/>
        </w:rPr>
        <w:t xml:space="preserve"> </w:t>
      </w:r>
    </w:p>
    <w:p w14:paraId="5608ADD2" w14:textId="77777777" w:rsidR="00D97C5E" w:rsidRPr="00422B5E" w:rsidRDefault="00BB1B36" w:rsidP="00D97C5E">
      <w:pPr>
        <w:pStyle w:val="APAReferences"/>
        <w:spacing w:after="0"/>
        <w:ind w:left="0"/>
        <w:rPr>
          <w:color w:val="auto"/>
          <w:lang w:val="en-US"/>
        </w:rPr>
      </w:pPr>
      <w:r w:rsidRPr="00422B5E">
        <w:rPr>
          <w:color w:val="auto"/>
          <w:lang w:val="en-US"/>
        </w:rPr>
        <w:t xml:space="preserve">Office for National Statistics (2013). </w:t>
      </w:r>
      <w:r w:rsidRPr="00422B5E">
        <w:rPr>
          <w:i/>
          <w:color w:val="auto"/>
          <w:lang w:val="en-US"/>
        </w:rPr>
        <w:t>Immigration patterns on non-UK born populations in England and Wales in 201</w:t>
      </w:r>
      <w:r w:rsidRPr="00422B5E">
        <w:rPr>
          <w:color w:val="auto"/>
          <w:lang w:val="en-US"/>
        </w:rPr>
        <w:t>1.</w:t>
      </w:r>
    </w:p>
    <w:p w14:paraId="2B18065C" w14:textId="72A599C2" w:rsidR="00D97C5E" w:rsidRPr="00422B5E" w:rsidRDefault="00D97C5E" w:rsidP="00D97C5E">
      <w:pPr>
        <w:pStyle w:val="APAReferences"/>
        <w:spacing w:after="0"/>
        <w:ind w:left="0"/>
        <w:rPr>
          <w:color w:val="auto"/>
          <w:lang w:val="en-US"/>
        </w:rPr>
      </w:pPr>
      <w:r w:rsidRPr="00422B5E">
        <w:rPr>
          <w:color w:val="auto"/>
        </w:rPr>
        <w:t>Office for National Statistics (2019) Population of UK by country of birth and nationality. [</w:t>
      </w:r>
      <w:proofErr w:type="gramStart"/>
      <w:r w:rsidRPr="00422B5E">
        <w:rPr>
          <w:color w:val="auto"/>
        </w:rPr>
        <w:t>dataset</w:t>
      </w:r>
      <w:proofErr w:type="gramEnd"/>
      <w:r w:rsidRPr="00422B5E">
        <w:rPr>
          <w:color w:val="auto"/>
        </w:rPr>
        <w:t>]</w:t>
      </w:r>
    </w:p>
    <w:p w14:paraId="5ED37BCA" w14:textId="73CED3ED" w:rsidR="00D97C5E" w:rsidRPr="00422B5E" w:rsidRDefault="00D97C5E" w:rsidP="00D97C5E">
      <w:pPr>
        <w:pStyle w:val="APAReferences"/>
        <w:spacing w:after="0"/>
        <w:ind w:left="0"/>
        <w:rPr>
          <w:color w:val="auto"/>
          <w:lang w:val="en-US"/>
        </w:rPr>
      </w:pPr>
      <w:r w:rsidRPr="00422B5E">
        <w:rPr>
          <w:color w:val="auto"/>
        </w:rPr>
        <w:t xml:space="preserve">Office for National Statistics (2020) Migration Statistics Quarterly Report. February 2020. </w:t>
      </w:r>
    </w:p>
    <w:p w14:paraId="3FF87437" w14:textId="71645E42" w:rsidR="00BB1B36" w:rsidRPr="00422B5E" w:rsidRDefault="00BB1B36" w:rsidP="007C0D19">
      <w:pPr>
        <w:pStyle w:val="APAReferences"/>
        <w:spacing w:after="0"/>
        <w:ind w:left="0"/>
        <w:rPr>
          <w:color w:val="auto"/>
          <w:lang w:val="en-US"/>
        </w:rPr>
      </w:pPr>
      <w:proofErr w:type="spellStart"/>
      <w:r w:rsidRPr="00422B5E">
        <w:rPr>
          <w:color w:val="auto"/>
          <w:lang w:val="en-US"/>
        </w:rPr>
        <w:t>Osbeck</w:t>
      </w:r>
      <w:proofErr w:type="spellEnd"/>
      <w:r w:rsidRPr="00422B5E">
        <w:rPr>
          <w:color w:val="auto"/>
          <w:lang w:val="en-US"/>
        </w:rPr>
        <w:t xml:space="preserve">, L. M., </w:t>
      </w:r>
      <w:proofErr w:type="spellStart"/>
      <w:r w:rsidRPr="00422B5E">
        <w:rPr>
          <w:color w:val="auto"/>
          <w:lang w:val="en-US"/>
        </w:rPr>
        <w:t>Moghaddam</w:t>
      </w:r>
      <w:proofErr w:type="spellEnd"/>
      <w:r w:rsidRPr="00422B5E">
        <w:rPr>
          <w:color w:val="auto"/>
          <w:lang w:val="en-US"/>
        </w:rPr>
        <w:t xml:space="preserve">, F., &amp; Perrault, S. (1997). Similarity and attraction among majority and minority groups in a multicultural context. </w:t>
      </w:r>
      <w:r w:rsidRPr="00422B5E">
        <w:rPr>
          <w:i/>
          <w:color w:val="auto"/>
          <w:lang w:val="en-US"/>
        </w:rPr>
        <w:t>International Journal of Intercultural Relations, 21</w:t>
      </w:r>
      <w:r w:rsidR="00A30054" w:rsidRPr="00422B5E">
        <w:rPr>
          <w:color w:val="auto"/>
          <w:lang w:val="en-US"/>
        </w:rPr>
        <w:t>,</w:t>
      </w:r>
      <w:r w:rsidRPr="00422B5E">
        <w:rPr>
          <w:color w:val="auto"/>
          <w:lang w:val="en-US"/>
        </w:rPr>
        <w:t xml:space="preserve"> 113-123. </w:t>
      </w:r>
      <w:hyperlink r:id="rId34" w:history="1">
        <w:r w:rsidR="00D97C5E" w:rsidRPr="00422B5E">
          <w:rPr>
            <w:rStyle w:val="Hyperlink"/>
            <w:color w:val="auto"/>
            <w:u w:val="none"/>
            <w:lang w:val="en-US"/>
          </w:rPr>
          <w:t>https://doi.org/10.1016/S0147-1767(96)00016-8</w:t>
        </w:r>
      </w:hyperlink>
      <w:r w:rsidR="00D97C5E" w:rsidRPr="00422B5E">
        <w:rPr>
          <w:color w:val="auto"/>
          <w:lang w:val="en-US"/>
        </w:rPr>
        <w:t xml:space="preserve"> </w:t>
      </w:r>
    </w:p>
    <w:p w14:paraId="398F3B5F" w14:textId="77777777" w:rsidR="00BB1B36" w:rsidRPr="00422B5E" w:rsidRDefault="00BB1B36" w:rsidP="007C0D19">
      <w:pPr>
        <w:pStyle w:val="APAReferences"/>
        <w:spacing w:after="0"/>
        <w:ind w:left="0"/>
        <w:rPr>
          <w:color w:val="auto"/>
          <w:lang w:val="en-US"/>
        </w:rPr>
      </w:pPr>
      <w:r w:rsidRPr="00422B5E">
        <w:rPr>
          <w:color w:val="auto"/>
          <w:lang w:val="en-US"/>
        </w:rPr>
        <w:t xml:space="preserve">Park, A., Bryson, C. and </w:t>
      </w:r>
      <w:proofErr w:type="spellStart"/>
      <w:r w:rsidRPr="00422B5E">
        <w:rPr>
          <w:color w:val="auto"/>
          <w:lang w:val="en-US"/>
        </w:rPr>
        <w:t>Curtice</w:t>
      </w:r>
      <w:proofErr w:type="spellEnd"/>
      <w:r w:rsidRPr="00422B5E">
        <w:rPr>
          <w:color w:val="auto"/>
          <w:lang w:val="en-US"/>
        </w:rPr>
        <w:t xml:space="preserve">, J. (eds.) (2014), </w:t>
      </w:r>
      <w:r w:rsidRPr="00422B5E">
        <w:rPr>
          <w:i/>
          <w:color w:val="auto"/>
          <w:lang w:val="en-US"/>
        </w:rPr>
        <w:t>British Social Attitudes: the 31st Report</w:t>
      </w:r>
      <w:r w:rsidRPr="00422B5E">
        <w:rPr>
          <w:color w:val="auto"/>
          <w:lang w:val="en-US"/>
        </w:rPr>
        <w:t xml:space="preserve">, London: </w:t>
      </w:r>
      <w:proofErr w:type="spellStart"/>
      <w:r w:rsidRPr="00422B5E">
        <w:rPr>
          <w:color w:val="auto"/>
          <w:lang w:val="en-US"/>
        </w:rPr>
        <w:t>NatCen</w:t>
      </w:r>
      <w:proofErr w:type="spellEnd"/>
      <w:r w:rsidRPr="00422B5E">
        <w:rPr>
          <w:color w:val="auto"/>
          <w:lang w:val="en-US"/>
        </w:rPr>
        <w:t xml:space="preserve"> Social Research. [</w:t>
      </w:r>
      <w:proofErr w:type="gramStart"/>
      <w:r w:rsidRPr="00422B5E">
        <w:rPr>
          <w:color w:val="auto"/>
          <w:lang w:val="en-US"/>
        </w:rPr>
        <w:t>online</w:t>
      </w:r>
      <w:proofErr w:type="gramEnd"/>
      <w:r w:rsidRPr="00422B5E">
        <w:rPr>
          <w:color w:val="auto"/>
          <w:lang w:val="en-US"/>
        </w:rPr>
        <w:t xml:space="preserve">]. Available at: www.bsa-31.natcen.ac.uk [Accessed on 10/01/2017]. </w:t>
      </w:r>
    </w:p>
    <w:p w14:paraId="46E579BD" w14:textId="2576E87B" w:rsidR="00BB1B36" w:rsidRPr="00422B5E" w:rsidRDefault="00BB1B36" w:rsidP="007C0D19">
      <w:pPr>
        <w:pStyle w:val="APAReferences"/>
        <w:spacing w:after="0"/>
        <w:ind w:left="0"/>
        <w:rPr>
          <w:color w:val="auto"/>
          <w:lang w:val="en-US"/>
        </w:rPr>
      </w:pPr>
      <w:r w:rsidRPr="00422B5E">
        <w:rPr>
          <w:color w:val="auto"/>
          <w:lang w:val="en-US"/>
        </w:rPr>
        <w:t xml:space="preserve">Pereira, C., </w:t>
      </w:r>
      <w:proofErr w:type="spellStart"/>
      <w:r w:rsidRPr="00422B5E">
        <w:rPr>
          <w:color w:val="auto"/>
          <w:lang w:val="en-US"/>
        </w:rPr>
        <w:t>Vala</w:t>
      </w:r>
      <w:proofErr w:type="spellEnd"/>
      <w:r w:rsidRPr="00422B5E">
        <w:rPr>
          <w:color w:val="auto"/>
          <w:lang w:val="en-US"/>
        </w:rPr>
        <w:t xml:space="preserve">, J., &amp; Costa-Lopes, R. (2010). From prejudice to discrimination: The legitimizing role of perceived threat in discrimination against immigrants. </w:t>
      </w:r>
      <w:r w:rsidRPr="00422B5E">
        <w:rPr>
          <w:i/>
          <w:color w:val="auto"/>
          <w:lang w:val="en-US"/>
        </w:rPr>
        <w:t>European Journal of Social Psychology, 40,</w:t>
      </w:r>
      <w:r w:rsidRPr="00422B5E">
        <w:rPr>
          <w:color w:val="auto"/>
          <w:lang w:val="en-US"/>
        </w:rPr>
        <w:t xml:space="preserve"> 1231-1250. </w:t>
      </w:r>
      <w:hyperlink r:id="rId35" w:history="1">
        <w:r w:rsidR="00D97C5E" w:rsidRPr="00422B5E">
          <w:rPr>
            <w:rStyle w:val="Hyperlink"/>
            <w:color w:val="auto"/>
            <w:u w:val="none"/>
            <w:lang w:val="en-US"/>
          </w:rPr>
          <w:t>https://doi.org/10.1002/ejsp.718</w:t>
        </w:r>
      </w:hyperlink>
      <w:r w:rsidR="00D97C5E" w:rsidRPr="00422B5E">
        <w:rPr>
          <w:color w:val="auto"/>
          <w:lang w:val="en-US"/>
        </w:rPr>
        <w:t xml:space="preserve"> </w:t>
      </w:r>
    </w:p>
    <w:p w14:paraId="6F01957C" w14:textId="6ABA5423" w:rsidR="00BB1B36" w:rsidRPr="00422B5E" w:rsidRDefault="00BB1B36" w:rsidP="007C0D19">
      <w:pPr>
        <w:pStyle w:val="APAReferences"/>
        <w:spacing w:after="0"/>
        <w:ind w:left="0"/>
        <w:rPr>
          <w:color w:val="auto"/>
          <w:lang w:val="en-US"/>
        </w:rPr>
      </w:pPr>
      <w:proofErr w:type="spellStart"/>
      <w:r w:rsidRPr="00422B5E">
        <w:rPr>
          <w:color w:val="auto"/>
          <w:lang w:val="en-US"/>
        </w:rPr>
        <w:lastRenderedPageBreak/>
        <w:t>Quillian</w:t>
      </w:r>
      <w:proofErr w:type="spellEnd"/>
      <w:r w:rsidRPr="00422B5E">
        <w:rPr>
          <w:color w:val="auto"/>
          <w:lang w:val="en-US"/>
        </w:rPr>
        <w:t xml:space="preserve">, L. (1995) Prejudice as a response to perceived group threat: population composition and anti-immigrant and racial prejudice in Europe. </w:t>
      </w:r>
      <w:r w:rsidRPr="00422B5E">
        <w:rPr>
          <w:i/>
          <w:color w:val="auto"/>
          <w:lang w:val="en-US"/>
        </w:rPr>
        <w:t>American Sociological Review, 60</w:t>
      </w:r>
      <w:r w:rsidRPr="00422B5E">
        <w:rPr>
          <w:color w:val="auto"/>
          <w:lang w:val="en-US"/>
        </w:rPr>
        <w:t>, 586-611.</w:t>
      </w:r>
      <w:r w:rsidR="00D97C5E" w:rsidRPr="00422B5E">
        <w:rPr>
          <w:color w:val="auto"/>
          <w:lang w:val="en-US"/>
        </w:rPr>
        <w:t xml:space="preserve"> </w:t>
      </w:r>
      <w:hyperlink r:id="rId36" w:history="1">
        <w:r w:rsidR="00D97C5E" w:rsidRPr="00422B5E">
          <w:rPr>
            <w:rStyle w:val="Hyperlink"/>
            <w:color w:val="auto"/>
            <w:u w:val="none"/>
            <w:lang w:val="en-US"/>
          </w:rPr>
          <w:t>https://psycnet.apa.org/doi/10.2307/2096296</w:t>
        </w:r>
      </w:hyperlink>
      <w:r w:rsidR="00D97C5E" w:rsidRPr="00422B5E">
        <w:rPr>
          <w:color w:val="auto"/>
          <w:lang w:val="en-US"/>
        </w:rPr>
        <w:t xml:space="preserve"> </w:t>
      </w:r>
    </w:p>
    <w:p w14:paraId="2AD09715" w14:textId="321B286D" w:rsidR="00BB1B36" w:rsidRPr="00422B5E" w:rsidRDefault="00BB1B36" w:rsidP="007C0D19">
      <w:pPr>
        <w:pStyle w:val="APAReferences"/>
        <w:spacing w:after="0"/>
        <w:ind w:left="0"/>
        <w:rPr>
          <w:color w:val="auto"/>
          <w:lang w:val="en-US"/>
        </w:rPr>
      </w:pPr>
      <w:proofErr w:type="spellStart"/>
      <w:r w:rsidRPr="00422B5E">
        <w:rPr>
          <w:color w:val="auto"/>
          <w:lang w:val="en-US"/>
        </w:rPr>
        <w:t>Riek</w:t>
      </w:r>
      <w:proofErr w:type="spellEnd"/>
      <w:r w:rsidRPr="00422B5E">
        <w:rPr>
          <w:color w:val="auto"/>
          <w:lang w:val="en-US"/>
        </w:rPr>
        <w:t xml:space="preserve">, B. M., Mania, E. W., &amp; </w:t>
      </w:r>
      <w:proofErr w:type="spellStart"/>
      <w:r w:rsidRPr="00422B5E">
        <w:rPr>
          <w:color w:val="auto"/>
          <w:lang w:val="en-US"/>
        </w:rPr>
        <w:t>Gaertner</w:t>
      </w:r>
      <w:proofErr w:type="spellEnd"/>
      <w:r w:rsidRPr="00422B5E">
        <w:rPr>
          <w:color w:val="auto"/>
          <w:lang w:val="en-US"/>
        </w:rPr>
        <w:t xml:space="preserve">, S. L. (2006). Intergroup threat and out-group attitudes: a meta-analytic review. </w:t>
      </w:r>
      <w:r w:rsidRPr="00422B5E">
        <w:rPr>
          <w:i/>
          <w:color w:val="auto"/>
          <w:lang w:val="en-US"/>
        </w:rPr>
        <w:t>Personality and Social Psychology Review, 10</w:t>
      </w:r>
      <w:r w:rsidRPr="00422B5E">
        <w:rPr>
          <w:color w:val="auto"/>
          <w:lang w:val="en-US"/>
        </w:rPr>
        <w:t>, 336-353.</w:t>
      </w:r>
      <w:r w:rsidR="00D97C5E" w:rsidRPr="00422B5E">
        <w:rPr>
          <w:color w:val="auto"/>
          <w:lang w:val="en-US"/>
        </w:rPr>
        <w:t xml:space="preserve"> </w:t>
      </w:r>
      <w:hyperlink r:id="rId37" w:history="1">
        <w:r w:rsidR="00D97C5E" w:rsidRPr="00422B5E">
          <w:rPr>
            <w:rStyle w:val="Hyperlink"/>
            <w:color w:val="auto"/>
            <w:u w:val="none"/>
            <w:lang w:val="en-US"/>
          </w:rPr>
          <w:t>https://doi.org/10.1207%2Fs15327957pspr1004_4</w:t>
        </w:r>
      </w:hyperlink>
      <w:r w:rsidR="00D97C5E" w:rsidRPr="00422B5E">
        <w:rPr>
          <w:color w:val="auto"/>
          <w:lang w:val="en-US"/>
        </w:rPr>
        <w:t xml:space="preserve"> </w:t>
      </w:r>
    </w:p>
    <w:p w14:paraId="1019AC88" w14:textId="77777777" w:rsidR="00D97C5E" w:rsidRPr="00422B5E" w:rsidRDefault="00BB1B36" w:rsidP="00D97C5E">
      <w:pPr>
        <w:pStyle w:val="APAReferences"/>
        <w:spacing w:after="0"/>
        <w:ind w:left="0"/>
        <w:rPr>
          <w:color w:val="auto"/>
          <w:lang w:val="en-US"/>
        </w:rPr>
      </w:pPr>
      <w:r w:rsidRPr="00422B5E">
        <w:rPr>
          <w:color w:val="auto"/>
          <w:lang w:val="en-US"/>
        </w:rPr>
        <w:t xml:space="preserve">Roccas, S. &amp; Schwartz, S. H. (1993). Effects of intergroup similarity on intergroup relations. </w:t>
      </w:r>
      <w:r w:rsidRPr="00422B5E">
        <w:rPr>
          <w:i/>
          <w:color w:val="auto"/>
          <w:lang w:val="en-US"/>
        </w:rPr>
        <w:t>European Journal of Social Psychology, 23,</w:t>
      </w:r>
      <w:r w:rsidRPr="00422B5E">
        <w:rPr>
          <w:color w:val="auto"/>
          <w:lang w:val="en-US"/>
        </w:rPr>
        <w:t xml:space="preserve"> 581-595.</w:t>
      </w:r>
      <w:r w:rsidR="00D97C5E" w:rsidRPr="00422B5E">
        <w:rPr>
          <w:color w:val="auto"/>
          <w:lang w:val="en-US"/>
        </w:rPr>
        <w:t xml:space="preserve"> </w:t>
      </w:r>
      <w:hyperlink r:id="rId38" w:history="1">
        <w:r w:rsidR="00D97C5E" w:rsidRPr="00422B5E">
          <w:rPr>
            <w:rStyle w:val="Hyperlink"/>
            <w:color w:val="auto"/>
            <w:u w:val="none"/>
            <w:lang w:val="en-US"/>
          </w:rPr>
          <w:t>https://psycnet.apa.org/doi/10.1002/ejsp.2420230604</w:t>
        </w:r>
      </w:hyperlink>
      <w:r w:rsidR="00D97C5E" w:rsidRPr="00422B5E">
        <w:rPr>
          <w:color w:val="auto"/>
          <w:lang w:val="en-US"/>
        </w:rPr>
        <w:t xml:space="preserve"> </w:t>
      </w:r>
    </w:p>
    <w:p w14:paraId="4C09D75E" w14:textId="30980B37" w:rsidR="00D97C5E" w:rsidRPr="00422B5E" w:rsidRDefault="00BB1B36" w:rsidP="00D97C5E">
      <w:pPr>
        <w:pStyle w:val="APAReferences"/>
        <w:spacing w:after="0"/>
        <w:ind w:left="0"/>
        <w:rPr>
          <w:rFonts w:eastAsia="Times New Roman"/>
          <w:color w:val="auto"/>
        </w:rPr>
      </w:pPr>
      <w:proofErr w:type="spellStart"/>
      <w:r w:rsidRPr="00422B5E">
        <w:rPr>
          <w:color w:val="auto"/>
          <w:lang w:val="en-US"/>
        </w:rPr>
        <w:t>Rohmann</w:t>
      </w:r>
      <w:proofErr w:type="spellEnd"/>
      <w:r w:rsidRPr="00422B5E">
        <w:rPr>
          <w:color w:val="auto"/>
          <w:lang w:val="en-US"/>
        </w:rPr>
        <w:t xml:space="preserve">, A., </w:t>
      </w:r>
      <w:proofErr w:type="spellStart"/>
      <w:r w:rsidRPr="00422B5E">
        <w:rPr>
          <w:color w:val="auto"/>
          <w:lang w:val="en-US"/>
        </w:rPr>
        <w:t>Piontkowski</w:t>
      </w:r>
      <w:proofErr w:type="spellEnd"/>
      <w:r w:rsidRPr="00422B5E">
        <w:rPr>
          <w:color w:val="auto"/>
          <w:lang w:val="en-US"/>
        </w:rPr>
        <w:t xml:space="preserve">, U., &amp; van </w:t>
      </w:r>
      <w:proofErr w:type="spellStart"/>
      <w:r w:rsidRPr="00422B5E">
        <w:rPr>
          <w:color w:val="auto"/>
          <w:lang w:val="en-US"/>
        </w:rPr>
        <w:t>Randenborgh</w:t>
      </w:r>
      <w:proofErr w:type="spellEnd"/>
      <w:r w:rsidRPr="00422B5E">
        <w:rPr>
          <w:color w:val="auto"/>
          <w:lang w:val="en-US"/>
        </w:rPr>
        <w:t xml:space="preserve">, A. (2008). When attitudes do not fit: discordance of acculturation attitudes as an antecedent of intergroup threat. </w:t>
      </w:r>
      <w:r w:rsidRPr="00422B5E">
        <w:rPr>
          <w:i/>
          <w:color w:val="auto"/>
          <w:lang w:val="en-US"/>
        </w:rPr>
        <w:t>Personality and Social Psychology Bulletin, 34</w:t>
      </w:r>
      <w:r w:rsidRPr="00422B5E">
        <w:rPr>
          <w:color w:val="auto"/>
          <w:lang w:val="en-US"/>
        </w:rPr>
        <w:t>, 337-352.</w:t>
      </w:r>
      <w:r w:rsidR="00D97C5E" w:rsidRPr="00422B5E">
        <w:rPr>
          <w:color w:val="auto"/>
          <w:lang w:val="en-US"/>
        </w:rPr>
        <w:t xml:space="preserve"> </w:t>
      </w:r>
      <w:hyperlink r:id="rId39" w:history="1">
        <w:r w:rsidR="00D97C5E" w:rsidRPr="00422B5E">
          <w:rPr>
            <w:rFonts w:eastAsia="Times New Roman"/>
            <w:color w:val="auto"/>
          </w:rPr>
          <w:t>https://doi.org/10.1177/0146167207311197</w:t>
        </w:r>
      </w:hyperlink>
    </w:p>
    <w:p w14:paraId="03A6E065" w14:textId="3C29A940" w:rsidR="00BB1B36" w:rsidRPr="00422B5E" w:rsidRDefault="00BB1B36" w:rsidP="007C0D19">
      <w:pPr>
        <w:pStyle w:val="APAReferences"/>
        <w:spacing w:after="0"/>
        <w:ind w:left="0"/>
        <w:rPr>
          <w:color w:val="auto"/>
          <w:lang w:val="en-US"/>
        </w:rPr>
      </w:pPr>
      <w:r w:rsidRPr="00422B5E">
        <w:rPr>
          <w:color w:val="auto"/>
          <w:lang w:val="en-US"/>
        </w:rPr>
        <w:t xml:space="preserve">Semyonov, M., </w:t>
      </w:r>
      <w:proofErr w:type="spellStart"/>
      <w:r w:rsidRPr="00422B5E">
        <w:rPr>
          <w:color w:val="auto"/>
          <w:lang w:val="en-US"/>
        </w:rPr>
        <w:t>Raijman</w:t>
      </w:r>
      <w:proofErr w:type="spellEnd"/>
      <w:r w:rsidRPr="00422B5E">
        <w:rPr>
          <w:color w:val="auto"/>
          <w:lang w:val="en-US"/>
        </w:rPr>
        <w:t xml:space="preserve">, R., Yom Tov, A., &amp; Schmidt, P. (2004). Population size, perceived threat, and exclusion: A multiple-indicators analysis of attitudes toward foreigners in Germany. </w:t>
      </w:r>
      <w:r w:rsidRPr="00422B5E">
        <w:rPr>
          <w:i/>
          <w:color w:val="auto"/>
          <w:lang w:val="en-US"/>
        </w:rPr>
        <w:t>Social Science Research, 33,</w:t>
      </w:r>
      <w:r w:rsidRPr="00422B5E">
        <w:rPr>
          <w:color w:val="auto"/>
          <w:lang w:val="en-US"/>
        </w:rPr>
        <w:t xml:space="preserve"> 681–701.</w:t>
      </w:r>
      <w:r w:rsidR="00D97C5E" w:rsidRPr="00422B5E">
        <w:rPr>
          <w:color w:val="auto"/>
          <w:lang w:val="en-US"/>
        </w:rPr>
        <w:t xml:space="preserve"> </w:t>
      </w:r>
      <w:hyperlink r:id="rId40" w:history="1">
        <w:r w:rsidR="00D97C5E" w:rsidRPr="00422B5E">
          <w:rPr>
            <w:rStyle w:val="Hyperlink"/>
            <w:color w:val="auto"/>
            <w:u w:val="none"/>
            <w:lang w:val="en-US"/>
          </w:rPr>
          <w:t>https://doi.org/10.1016/j.ssresearch.2003.11.003</w:t>
        </w:r>
      </w:hyperlink>
      <w:r w:rsidR="00D97C5E" w:rsidRPr="00422B5E">
        <w:rPr>
          <w:color w:val="auto"/>
          <w:lang w:val="en-US"/>
        </w:rPr>
        <w:t xml:space="preserve"> </w:t>
      </w:r>
    </w:p>
    <w:p w14:paraId="33FB2FA6" w14:textId="55261C33" w:rsidR="00BB1B36" w:rsidRPr="00422B5E" w:rsidRDefault="00BB1B36" w:rsidP="007C0D19">
      <w:pPr>
        <w:pStyle w:val="APAReferences"/>
        <w:spacing w:after="0"/>
        <w:ind w:left="0"/>
        <w:rPr>
          <w:color w:val="auto"/>
          <w:lang w:val="en-US"/>
        </w:rPr>
      </w:pPr>
      <w:proofErr w:type="spellStart"/>
      <w:r w:rsidRPr="00422B5E">
        <w:rPr>
          <w:color w:val="auto"/>
          <w:lang w:val="en-US"/>
        </w:rPr>
        <w:t>Scheepers</w:t>
      </w:r>
      <w:proofErr w:type="spellEnd"/>
      <w:r w:rsidRPr="00422B5E">
        <w:rPr>
          <w:color w:val="auto"/>
          <w:lang w:val="en-US"/>
        </w:rPr>
        <w:t xml:space="preserve">, P., </w:t>
      </w:r>
      <w:proofErr w:type="spellStart"/>
      <w:r w:rsidRPr="00422B5E">
        <w:rPr>
          <w:color w:val="auto"/>
          <w:lang w:val="en-US"/>
        </w:rPr>
        <w:t>Gjitsberts</w:t>
      </w:r>
      <w:proofErr w:type="spellEnd"/>
      <w:r w:rsidRPr="00422B5E">
        <w:rPr>
          <w:color w:val="auto"/>
          <w:lang w:val="en-US"/>
        </w:rPr>
        <w:t xml:space="preserve">, M. &amp; </w:t>
      </w:r>
      <w:proofErr w:type="spellStart"/>
      <w:r w:rsidRPr="00422B5E">
        <w:rPr>
          <w:color w:val="auto"/>
          <w:lang w:val="en-US"/>
        </w:rPr>
        <w:t>Coenders</w:t>
      </w:r>
      <w:proofErr w:type="spellEnd"/>
      <w:r w:rsidRPr="00422B5E">
        <w:rPr>
          <w:color w:val="auto"/>
          <w:lang w:val="en-US"/>
        </w:rPr>
        <w:t xml:space="preserve">, M. (2002). Ethnic exclusionism in European countries. Public opposition to civil rights for legal migrants as a response to perceived ethnic threat. </w:t>
      </w:r>
      <w:r w:rsidRPr="00422B5E">
        <w:rPr>
          <w:i/>
          <w:color w:val="auto"/>
          <w:lang w:val="en-US"/>
        </w:rPr>
        <w:t>European Sociological Review, 18</w:t>
      </w:r>
      <w:r w:rsidRPr="00422B5E">
        <w:rPr>
          <w:color w:val="auto"/>
          <w:lang w:val="en-US"/>
        </w:rPr>
        <w:t xml:space="preserve">, 17-34. </w:t>
      </w:r>
      <w:hyperlink r:id="rId41" w:history="1">
        <w:r w:rsidR="00D97C5E" w:rsidRPr="00422B5E">
          <w:rPr>
            <w:rStyle w:val="Hyperlink"/>
            <w:color w:val="auto"/>
            <w:u w:val="none"/>
            <w:lang w:val="en-US"/>
          </w:rPr>
          <w:t>https://doi.org/10.1093/esr/18.1.17</w:t>
        </w:r>
      </w:hyperlink>
      <w:r w:rsidR="00D97C5E" w:rsidRPr="00422B5E">
        <w:rPr>
          <w:color w:val="auto"/>
          <w:lang w:val="en-US"/>
        </w:rPr>
        <w:t xml:space="preserve"> </w:t>
      </w:r>
    </w:p>
    <w:p w14:paraId="465FCC8B" w14:textId="684E17FA" w:rsidR="00BB1B36" w:rsidRPr="00422B5E" w:rsidRDefault="00BB1B36" w:rsidP="007C0D19">
      <w:pPr>
        <w:pStyle w:val="APAReferences"/>
        <w:spacing w:after="0"/>
        <w:ind w:left="0"/>
        <w:rPr>
          <w:color w:val="auto"/>
          <w:lang w:val="en-US"/>
        </w:rPr>
      </w:pPr>
      <w:proofErr w:type="spellStart"/>
      <w:r w:rsidRPr="00422B5E">
        <w:rPr>
          <w:color w:val="auto"/>
          <w:lang w:val="en-US"/>
        </w:rPr>
        <w:t>Scheibner</w:t>
      </w:r>
      <w:proofErr w:type="spellEnd"/>
      <w:r w:rsidRPr="00422B5E">
        <w:rPr>
          <w:color w:val="auto"/>
          <w:lang w:val="en-US"/>
        </w:rPr>
        <w:t xml:space="preserve">, G. B., &amp; Morrison, T. G. (2009). Attitudes towards Polish immigrants to the Republic of Ireland: an integrated threat analysis. </w:t>
      </w:r>
      <w:r w:rsidRPr="00422B5E">
        <w:rPr>
          <w:i/>
          <w:color w:val="auto"/>
          <w:lang w:val="en-US"/>
        </w:rPr>
        <w:t>Ethnic and Racial Studies, 32</w:t>
      </w:r>
      <w:r w:rsidRPr="00422B5E">
        <w:rPr>
          <w:color w:val="auto"/>
          <w:lang w:val="en-US"/>
        </w:rPr>
        <w:t xml:space="preserve">, 1431-1448. </w:t>
      </w:r>
      <w:hyperlink r:id="rId42" w:history="1">
        <w:r w:rsidR="00D97C5E" w:rsidRPr="00422B5E">
          <w:rPr>
            <w:rStyle w:val="Hyperlink"/>
            <w:color w:val="auto"/>
            <w:u w:val="none"/>
            <w:lang w:val="en-US"/>
          </w:rPr>
          <w:t>https://doi.org/10.1080/01419870902890317</w:t>
        </w:r>
      </w:hyperlink>
      <w:r w:rsidR="00D97C5E" w:rsidRPr="00422B5E">
        <w:rPr>
          <w:color w:val="auto"/>
          <w:lang w:val="en-US"/>
        </w:rPr>
        <w:t xml:space="preserve"> </w:t>
      </w:r>
    </w:p>
    <w:p w14:paraId="6436D725" w14:textId="78A28348" w:rsidR="00BB1B36" w:rsidRPr="00422B5E" w:rsidRDefault="00BB1B36" w:rsidP="007C0D19">
      <w:pPr>
        <w:pStyle w:val="APAReferences"/>
        <w:spacing w:after="0"/>
        <w:ind w:left="0"/>
        <w:rPr>
          <w:color w:val="auto"/>
          <w:lang w:val="en-US"/>
        </w:rPr>
      </w:pPr>
      <w:proofErr w:type="spellStart"/>
      <w:r w:rsidRPr="00422B5E">
        <w:rPr>
          <w:color w:val="auto"/>
          <w:lang w:val="en-US"/>
        </w:rPr>
        <w:t>Schlueter</w:t>
      </w:r>
      <w:proofErr w:type="spellEnd"/>
      <w:r w:rsidRPr="00422B5E">
        <w:rPr>
          <w:color w:val="auto"/>
          <w:lang w:val="en-US"/>
        </w:rPr>
        <w:t xml:space="preserve">, E. &amp; </w:t>
      </w:r>
      <w:proofErr w:type="spellStart"/>
      <w:r w:rsidRPr="00422B5E">
        <w:rPr>
          <w:color w:val="auto"/>
          <w:lang w:val="en-US"/>
        </w:rPr>
        <w:t>Scheepers</w:t>
      </w:r>
      <w:proofErr w:type="spellEnd"/>
      <w:r w:rsidRPr="00422B5E">
        <w:rPr>
          <w:color w:val="auto"/>
          <w:lang w:val="en-US"/>
        </w:rPr>
        <w:t xml:space="preserve">, P. (2010). The relationship between outgroup size and anti-outgroup attitudes: a theoretical synthesis &amp; empirical test of group threat an intergroup contact theory. </w:t>
      </w:r>
      <w:r w:rsidRPr="00422B5E">
        <w:rPr>
          <w:i/>
          <w:color w:val="auto"/>
          <w:lang w:val="en-US"/>
        </w:rPr>
        <w:t>Social Science Research, 39</w:t>
      </w:r>
      <w:r w:rsidRPr="00422B5E">
        <w:rPr>
          <w:color w:val="auto"/>
          <w:lang w:val="en-US"/>
        </w:rPr>
        <w:t>, 285-295.</w:t>
      </w:r>
      <w:r w:rsidR="00D97C5E" w:rsidRPr="00422B5E">
        <w:rPr>
          <w:color w:val="auto"/>
          <w:lang w:val="en-US"/>
        </w:rPr>
        <w:t xml:space="preserve"> </w:t>
      </w:r>
      <w:hyperlink r:id="rId43" w:history="1">
        <w:r w:rsidR="00D97C5E" w:rsidRPr="00422B5E">
          <w:rPr>
            <w:rStyle w:val="Hyperlink"/>
            <w:color w:val="auto"/>
            <w:u w:val="none"/>
            <w:lang w:val="en-US"/>
          </w:rPr>
          <w:t>https://doi.org/10.1016/j.ssresearch.2009.07.006</w:t>
        </w:r>
      </w:hyperlink>
      <w:r w:rsidR="00D97C5E" w:rsidRPr="00422B5E">
        <w:rPr>
          <w:color w:val="auto"/>
          <w:lang w:val="en-US"/>
        </w:rPr>
        <w:t xml:space="preserve"> </w:t>
      </w:r>
    </w:p>
    <w:p w14:paraId="456DA3B3" w14:textId="77777777" w:rsidR="00BB1B36" w:rsidRPr="00422B5E" w:rsidRDefault="00BB1B36" w:rsidP="007C0D19">
      <w:pPr>
        <w:pStyle w:val="APAReferences"/>
        <w:spacing w:after="0"/>
        <w:ind w:left="0"/>
        <w:rPr>
          <w:color w:val="auto"/>
          <w:lang w:val="en-US"/>
        </w:rPr>
      </w:pPr>
      <w:r w:rsidRPr="00422B5E">
        <w:rPr>
          <w:color w:val="auto"/>
          <w:lang w:val="en-US"/>
        </w:rPr>
        <w:lastRenderedPageBreak/>
        <w:t>Stephan, W. G., &amp; Mealy, M. (2009). Intergroup threat theory. In Christie, D. J. (Ed</w:t>
      </w:r>
      <w:r w:rsidRPr="00422B5E">
        <w:rPr>
          <w:i/>
          <w:color w:val="auto"/>
          <w:lang w:val="en-US"/>
        </w:rPr>
        <w:t xml:space="preserve">.) </w:t>
      </w:r>
      <w:proofErr w:type="gramStart"/>
      <w:r w:rsidRPr="00422B5E">
        <w:rPr>
          <w:i/>
          <w:color w:val="auto"/>
          <w:lang w:val="en-US"/>
        </w:rPr>
        <w:t>The</w:t>
      </w:r>
      <w:proofErr w:type="gramEnd"/>
      <w:r w:rsidRPr="00422B5E">
        <w:rPr>
          <w:i/>
          <w:color w:val="auto"/>
          <w:lang w:val="en-US"/>
        </w:rPr>
        <w:t xml:space="preserve"> Encyclopedia of Peace Psychology</w:t>
      </w:r>
      <w:r w:rsidRPr="00422B5E">
        <w:rPr>
          <w:color w:val="auto"/>
          <w:lang w:val="en-US"/>
        </w:rPr>
        <w:t xml:space="preserve">. Chichester, West Sussex: Wiley-Blackwell.  </w:t>
      </w:r>
    </w:p>
    <w:p w14:paraId="1A2DF1F5" w14:textId="5D068015" w:rsidR="00BB1B36" w:rsidRPr="00422B5E" w:rsidRDefault="00BB1B36" w:rsidP="007C0D19">
      <w:pPr>
        <w:pStyle w:val="APAReferences"/>
        <w:spacing w:after="0"/>
        <w:ind w:left="0"/>
        <w:rPr>
          <w:color w:val="auto"/>
          <w:lang w:val="en-US"/>
        </w:rPr>
      </w:pPr>
      <w:r w:rsidRPr="00422B5E">
        <w:rPr>
          <w:color w:val="auto"/>
          <w:lang w:val="en-US"/>
        </w:rPr>
        <w:t>Stephan, W. G., Ybarra, O., &amp; Bachman, G. (1999). Prejudice toward immigrants</w:t>
      </w:r>
      <w:r w:rsidRPr="00422B5E">
        <w:rPr>
          <w:i/>
          <w:color w:val="auto"/>
          <w:lang w:val="en-US"/>
        </w:rPr>
        <w:t>. Journal of Applied Social Psychology, 29</w:t>
      </w:r>
      <w:r w:rsidRPr="00422B5E">
        <w:rPr>
          <w:color w:val="auto"/>
          <w:lang w:val="en-US"/>
        </w:rPr>
        <w:t xml:space="preserve">, 2221-2237. </w:t>
      </w:r>
      <w:r w:rsidR="00173FF9" w:rsidRPr="00422B5E">
        <w:rPr>
          <w:color w:val="auto"/>
          <w:lang w:val="en-US"/>
        </w:rPr>
        <w:t xml:space="preserve"> </w:t>
      </w:r>
      <w:hyperlink r:id="rId44" w:history="1">
        <w:r w:rsidR="00173FF9" w:rsidRPr="00422B5E">
          <w:rPr>
            <w:rStyle w:val="Hyperlink"/>
            <w:color w:val="auto"/>
            <w:u w:val="none"/>
            <w:lang w:val="en-US"/>
          </w:rPr>
          <w:t>https://doi.org/10.1111/j.1559-1816.1999.tb00107.x</w:t>
        </w:r>
      </w:hyperlink>
      <w:r w:rsidR="00173FF9" w:rsidRPr="00422B5E">
        <w:rPr>
          <w:color w:val="auto"/>
          <w:lang w:val="en-US"/>
        </w:rPr>
        <w:t xml:space="preserve"> </w:t>
      </w:r>
    </w:p>
    <w:p w14:paraId="6FA7F501" w14:textId="77777777" w:rsidR="00BB1B36" w:rsidRPr="00422B5E" w:rsidRDefault="00BB1B36" w:rsidP="007C0D19">
      <w:pPr>
        <w:pStyle w:val="APAReferences"/>
        <w:spacing w:after="0"/>
        <w:ind w:left="0"/>
        <w:rPr>
          <w:color w:val="auto"/>
          <w:lang w:val="en-US"/>
        </w:rPr>
      </w:pPr>
      <w:r w:rsidRPr="00422B5E">
        <w:rPr>
          <w:color w:val="auto"/>
          <w:lang w:val="en-US"/>
        </w:rPr>
        <w:t xml:space="preserve">Stephan, W. G.; Ybarra, O. &amp; Morrison, K. R. (2009). Intergroup threat theory. In Nelson, T. D. (Ed), </w:t>
      </w:r>
      <w:r w:rsidRPr="00422B5E">
        <w:rPr>
          <w:i/>
          <w:color w:val="auto"/>
          <w:lang w:val="en-US"/>
        </w:rPr>
        <w:t>Handbook of prejudice, stereotyping, and discrimination</w:t>
      </w:r>
      <w:r w:rsidRPr="00422B5E">
        <w:rPr>
          <w:color w:val="auto"/>
          <w:lang w:val="en-US"/>
        </w:rPr>
        <w:t xml:space="preserve"> (pp. 43-59). New York, NY, US: Psychology Press</w:t>
      </w:r>
    </w:p>
    <w:p w14:paraId="196F1FA0" w14:textId="273B5726" w:rsidR="00BB1B36" w:rsidRPr="00422B5E" w:rsidRDefault="00BB1B36" w:rsidP="007C0D19">
      <w:pPr>
        <w:pStyle w:val="APAReferences"/>
        <w:spacing w:after="0"/>
        <w:ind w:left="0"/>
        <w:rPr>
          <w:color w:val="auto"/>
          <w:lang w:val="en-US"/>
        </w:rPr>
      </w:pPr>
      <w:proofErr w:type="spellStart"/>
      <w:r w:rsidRPr="00422B5E">
        <w:rPr>
          <w:color w:val="auto"/>
          <w:lang w:val="en-US"/>
        </w:rPr>
        <w:t>Strabac</w:t>
      </w:r>
      <w:proofErr w:type="spellEnd"/>
      <w:r w:rsidRPr="00422B5E">
        <w:rPr>
          <w:color w:val="auto"/>
          <w:lang w:val="en-US"/>
        </w:rPr>
        <w:t xml:space="preserve">, Z. (2011). It is the eyes and not the size that matter. </w:t>
      </w:r>
      <w:r w:rsidRPr="00422B5E">
        <w:rPr>
          <w:i/>
          <w:color w:val="auto"/>
          <w:lang w:val="en-US"/>
        </w:rPr>
        <w:t>European Societies, 13</w:t>
      </w:r>
      <w:r w:rsidRPr="00422B5E">
        <w:rPr>
          <w:color w:val="auto"/>
          <w:lang w:val="en-US"/>
        </w:rPr>
        <w:t>, 559-582.</w:t>
      </w:r>
      <w:r w:rsidR="00173FF9" w:rsidRPr="00422B5E">
        <w:rPr>
          <w:color w:val="auto"/>
          <w:lang w:val="en-US"/>
        </w:rPr>
        <w:t xml:space="preserve"> </w:t>
      </w:r>
      <w:hyperlink r:id="rId45" w:history="1">
        <w:r w:rsidR="00173FF9" w:rsidRPr="00422B5E">
          <w:rPr>
            <w:rStyle w:val="Hyperlink"/>
            <w:color w:val="auto"/>
            <w:u w:val="none"/>
            <w:lang w:val="en-US"/>
          </w:rPr>
          <w:t>https://doi.org/10.1080/14616696.2010.550631</w:t>
        </w:r>
      </w:hyperlink>
      <w:r w:rsidR="00173FF9" w:rsidRPr="00422B5E">
        <w:rPr>
          <w:color w:val="auto"/>
          <w:lang w:val="en-US"/>
        </w:rPr>
        <w:t xml:space="preserve"> </w:t>
      </w:r>
    </w:p>
    <w:p w14:paraId="571D0521" w14:textId="32E90121" w:rsidR="00BB1B36" w:rsidRPr="00422B5E" w:rsidRDefault="00BB1B36" w:rsidP="007C0D19">
      <w:pPr>
        <w:pStyle w:val="APAReferences"/>
        <w:spacing w:after="0"/>
        <w:ind w:left="0"/>
        <w:rPr>
          <w:color w:val="auto"/>
          <w:lang w:val="en-US"/>
        </w:rPr>
      </w:pPr>
      <w:proofErr w:type="spellStart"/>
      <w:r w:rsidRPr="00422B5E">
        <w:rPr>
          <w:color w:val="auto"/>
          <w:lang w:val="en-US"/>
        </w:rPr>
        <w:t>Tajfel</w:t>
      </w:r>
      <w:proofErr w:type="spellEnd"/>
      <w:r w:rsidRPr="00422B5E">
        <w:rPr>
          <w:color w:val="auto"/>
          <w:lang w:val="en-US"/>
        </w:rPr>
        <w:t xml:space="preserve">, H., &amp; Turner, J. C. (1986). The social identity theory of intergroup </w:t>
      </w:r>
      <w:r w:rsidR="0065782F" w:rsidRPr="00422B5E">
        <w:rPr>
          <w:color w:val="auto"/>
          <w:lang w:val="en-US"/>
        </w:rPr>
        <w:t>behavior</w:t>
      </w:r>
      <w:r w:rsidRPr="00422B5E">
        <w:rPr>
          <w:color w:val="auto"/>
          <w:lang w:val="en-US"/>
        </w:rPr>
        <w:t xml:space="preserve">. In S. </w:t>
      </w:r>
      <w:proofErr w:type="spellStart"/>
      <w:r w:rsidRPr="00422B5E">
        <w:rPr>
          <w:color w:val="auto"/>
          <w:lang w:val="en-US"/>
        </w:rPr>
        <w:t>Worchel</w:t>
      </w:r>
      <w:proofErr w:type="spellEnd"/>
      <w:r w:rsidRPr="00422B5E">
        <w:rPr>
          <w:color w:val="auto"/>
          <w:lang w:val="en-US"/>
        </w:rPr>
        <w:t xml:space="preserve"> &amp; W. G. Austin (Eds</w:t>
      </w:r>
      <w:r w:rsidRPr="00422B5E">
        <w:rPr>
          <w:i/>
          <w:color w:val="auto"/>
          <w:lang w:val="en-US"/>
        </w:rPr>
        <w:t>.</w:t>
      </w:r>
      <w:r w:rsidRPr="00422B5E">
        <w:rPr>
          <w:color w:val="auto"/>
          <w:lang w:val="en-US"/>
        </w:rPr>
        <w:t>)</w:t>
      </w:r>
      <w:r w:rsidRPr="00422B5E">
        <w:rPr>
          <w:i/>
          <w:color w:val="auto"/>
          <w:lang w:val="en-US"/>
        </w:rPr>
        <w:t xml:space="preserve">, Psychology of intergroup relations </w:t>
      </w:r>
      <w:r w:rsidRPr="00422B5E">
        <w:rPr>
          <w:color w:val="auto"/>
          <w:lang w:val="en-US"/>
        </w:rPr>
        <w:t>(2nd ed., pp. 7-24). Chicago: Nelson-Hall.</w:t>
      </w:r>
      <w:r w:rsidR="00173FF9" w:rsidRPr="00422B5E">
        <w:rPr>
          <w:color w:val="auto"/>
          <w:lang w:val="en-US"/>
        </w:rPr>
        <w:t xml:space="preserve"> </w:t>
      </w:r>
    </w:p>
    <w:p w14:paraId="77BF74F6" w14:textId="53FCC740" w:rsidR="008C00CB" w:rsidRPr="00422B5E" w:rsidRDefault="008C00CB" w:rsidP="007C0D19">
      <w:pPr>
        <w:pStyle w:val="APAReferences"/>
        <w:spacing w:after="0"/>
        <w:ind w:left="0"/>
        <w:rPr>
          <w:color w:val="auto"/>
          <w:lang w:val="en-US"/>
        </w:rPr>
      </w:pPr>
      <w:r w:rsidRPr="00422B5E">
        <w:rPr>
          <w:color w:val="auto"/>
          <w:lang w:val="en-US"/>
        </w:rPr>
        <w:t>Tip, L. K., Zagefka, H., Gonz</w:t>
      </w:r>
      <w:r w:rsidRPr="00422B5E">
        <w:rPr>
          <w:rFonts w:hint="cs"/>
          <w:color w:val="auto"/>
          <w:lang w:val="en-US"/>
        </w:rPr>
        <w:t>á</w:t>
      </w:r>
      <w:r w:rsidRPr="00422B5E">
        <w:rPr>
          <w:color w:val="auto"/>
          <w:lang w:val="en-US"/>
        </w:rPr>
        <w:t xml:space="preserve">lez, R., Brown, R., </w:t>
      </w:r>
      <w:proofErr w:type="spellStart"/>
      <w:r w:rsidRPr="00422B5E">
        <w:rPr>
          <w:color w:val="auto"/>
          <w:lang w:val="en-US"/>
        </w:rPr>
        <w:t>Cinnirella</w:t>
      </w:r>
      <w:proofErr w:type="spellEnd"/>
      <w:r w:rsidRPr="00422B5E">
        <w:rPr>
          <w:color w:val="auto"/>
          <w:lang w:val="en-US"/>
        </w:rPr>
        <w:t xml:space="preserve">, M., &amp; Na, X. (2012). Is support for multiculturalism threatened by </w:t>
      </w:r>
      <w:r w:rsidRPr="00422B5E">
        <w:rPr>
          <w:rFonts w:hint="cs"/>
          <w:color w:val="auto"/>
          <w:lang w:val="en-US"/>
        </w:rPr>
        <w:t>…</w:t>
      </w:r>
      <w:r w:rsidRPr="00422B5E">
        <w:rPr>
          <w:color w:val="auto"/>
          <w:lang w:val="en-US"/>
        </w:rPr>
        <w:t xml:space="preserve"> threat itself? </w:t>
      </w:r>
      <w:r w:rsidRPr="00422B5E">
        <w:rPr>
          <w:i/>
          <w:color w:val="auto"/>
          <w:lang w:val="en-US"/>
        </w:rPr>
        <w:t>International Journal of Intercultural Relations, 36</w:t>
      </w:r>
      <w:r w:rsidRPr="00422B5E">
        <w:rPr>
          <w:color w:val="auto"/>
          <w:lang w:val="en-US"/>
        </w:rPr>
        <w:t xml:space="preserve">, 22-30. </w:t>
      </w:r>
      <w:hyperlink r:id="rId46" w:history="1">
        <w:r w:rsidR="00173FF9" w:rsidRPr="00422B5E">
          <w:rPr>
            <w:rStyle w:val="Hyperlink"/>
            <w:color w:val="auto"/>
            <w:u w:val="none"/>
            <w:lang w:val="en-US"/>
          </w:rPr>
          <w:t>https://doi.org/10.1016/j.ijintrel.2010.09.011</w:t>
        </w:r>
      </w:hyperlink>
      <w:r w:rsidR="00173FF9" w:rsidRPr="00422B5E">
        <w:rPr>
          <w:color w:val="auto"/>
          <w:lang w:val="en-US"/>
        </w:rPr>
        <w:t xml:space="preserve"> </w:t>
      </w:r>
    </w:p>
    <w:p w14:paraId="0F5AB22F" w14:textId="75632641" w:rsidR="00BB1B36" w:rsidRPr="00422B5E" w:rsidRDefault="004F3B11" w:rsidP="007C0D19">
      <w:pPr>
        <w:pStyle w:val="APAReferences"/>
        <w:spacing w:after="0"/>
        <w:ind w:left="0"/>
        <w:rPr>
          <w:color w:val="auto"/>
          <w:lang w:val="en-US"/>
        </w:rPr>
      </w:pPr>
      <w:r w:rsidRPr="00422B5E">
        <w:rPr>
          <w:color w:val="auto"/>
          <w:lang w:val="en-US"/>
        </w:rPr>
        <w:t xml:space="preserve">United Nations. (2017). </w:t>
      </w:r>
      <w:r w:rsidRPr="00422B5E">
        <w:rPr>
          <w:i/>
          <w:color w:val="auto"/>
          <w:lang w:val="en-US"/>
        </w:rPr>
        <w:t>International Migration Report 2017: Highlights</w:t>
      </w:r>
      <w:r w:rsidRPr="00422B5E">
        <w:rPr>
          <w:color w:val="auto"/>
          <w:lang w:val="en-US"/>
        </w:rPr>
        <w:t xml:space="preserve">. Retrieved from http://www.un.org/en/development/desa/population/migration/publications/migrationreport/docs/MigrationReport2017_Highlights.pdf. </w:t>
      </w:r>
    </w:p>
    <w:p w14:paraId="2CF4BDD1" w14:textId="2F116654" w:rsidR="00C965A5" w:rsidRPr="00422B5E" w:rsidRDefault="00C965A5" w:rsidP="007C0D19">
      <w:pPr>
        <w:pStyle w:val="APAReferences"/>
        <w:spacing w:after="0"/>
        <w:ind w:left="0"/>
        <w:rPr>
          <w:color w:val="auto"/>
          <w:lang w:val="en-US"/>
        </w:rPr>
      </w:pPr>
      <w:proofErr w:type="gramStart"/>
      <w:r w:rsidRPr="00422B5E">
        <w:rPr>
          <w:color w:val="auto"/>
          <w:lang w:val="en-US"/>
        </w:rPr>
        <w:t>van</w:t>
      </w:r>
      <w:proofErr w:type="gramEnd"/>
      <w:r w:rsidRPr="00422B5E">
        <w:rPr>
          <w:color w:val="auto"/>
          <w:lang w:val="en-US"/>
        </w:rPr>
        <w:t xml:space="preserve"> </w:t>
      </w:r>
      <w:proofErr w:type="spellStart"/>
      <w:r w:rsidRPr="00422B5E">
        <w:rPr>
          <w:color w:val="auto"/>
          <w:lang w:val="en-US"/>
        </w:rPr>
        <w:t>Ulzen</w:t>
      </w:r>
      <w:proofErr w:type="spellEnd"/>
      <w:r w:rsidRPr="00422B5E">
        <w:rPr>
          <w:color w:val="auto"/>
          <w:lang w:val="en-US"/>
        </w:rPr>
        <w:t xml:space="preserve">, N., </w:t>
      </w:r>
      <w:proofErr w:type="spellStart"/>
      <w:r w:rsidRPr="00422B5E">
        <w:rPr>
          <w:color w:val="auto"/>
          <w:lang w:val="en-US"/>
        </w:rPr>
        <w:t>Semin</w:t>
      </w:r>
      <w:proofErr w:type="spellEnd"/>
      <w:r w:rsidRPr="00422B5E">
        <w:rPr>
          <w:color w:val="auto"/>
          <w:lang w:val="en-US"/>
        </w:rPr>
        <w:t xml:space="preserve">, G. R., </w:t>
      </w:r>
      <w:proofErr w:type="spellStart"/>
      <w:r w:rsidRPr="00422B5E">
        <w:rPr>
          <w:color w:val="auto"/>
          <w:lang w:val="en-US"/>
        </w:rPr>
        <w:t>Oudejans</w:t>
      </w:r>
      <w:proofErr w:type="spellEnd"/>
      <w:r w:rsidRPr="00422B5E">
        <w:rPr>
          <w:color w:val="auto"/>
          <w:lang w:val="en-US"/>
        </w:rPr>
        <w:t xml:space="preserve">, R. R. D., &amp; </w:t>
      </w:r>
      <w:proofErr w:type="spellStart"/>
      <w:r w:rsidRPr="00422B5E">
        <w:rPr>
          <w:color w:val="auto"/>
          <w:lang w:val="en-US"/>
        </w:rPr>
        <w:t>Beek</w:t>
      </w:r>
      <w:proofErr w:type="spellEnd"/>
      <w:r w:rsidRPr="00422B5E">
        <w:rPr>
          <w:color w:val="auto"/>
          <w:lang w:val="en-US"/>
        </w:rPr>
        <w:t xml:space="preserve">, P. J. (2008). Affective stimulus properties influence size perception and the </w:t>
      </w:r>
      <w:proofErr w:type="spellStart"/>
      <w:r w:rsidRPr="00422B5E">
        <w:rPr>
          <w:color w:val="auto"/>
          <w:lang w:val="en-US"/>
        </w:rPr>
        <w:t>Ebbinghaus</w:t>
      </w:r>
      <w:proofErr w:type="spellEnd"/>
      <w:r w:rsidRPr="00422B5E">
        <w:rPr>
          <w:color w:val="auto"/>
          <w:lang w:val="en-US"/>
        </w:rPr>
        <w:t xml:space="preserve"> illusion. </w:t>
      </w:r>
      <w:r w:rsidRPr="00422B5E">
        <w:rPr>
          <w:i/>
          <w:color w:val="auto"/>
          <w:lang w:val="en-US"/>
        </w:rPr>
        <w:t>Psychological Research, 72</w:t>
      </w:r>
      <w:r w:rsidRPr="00422B5E">
        <w:rPr>
          <w:color w:val="auto"/>
          <w:lang w:val="en-US"/>
        </w:rPr>
        <w:t xml:space="preserve">, 304-310. </w:t>
      </w:r>
      <w:hyperlink r:id="rId47" w:history="1">
        <w:r w:rsidR="00173FF9" w:rsidRPr="00422B5E">
          <w:rPr>
            <w:rStyle w:val="Hyperlink"/>
            <w:color w:val="auto"/>
            <w:u w:val="none"/>
            <w:lang w:val="en-US"/>
          </w:rPr>
          <w:t>http://dx.doi.org/10.1007%2Fs00426-007-0114-6</w:t>
        </w:r>
      </w:hyperlink>
      <w:r w:rsidR="00173FF9" w:rsidRPr="00422B5E">
        <w:rPr>
          <w:color w:val="auto"/>
          <w:lang w:val="en-US"/>
        </w:rPr>
        <w:t xml:space="preserve"> </w:t>
      </w:r>
    </w:p>
    <w:p w14:paraId="1700B43F" w14:textId="77777777" w:rsidR="00173FF9" w:rsidRPr="00422B5E" w:rsidRDefault="00C965A5" w:rsidP="00173FF9">
      <w:pPr>
        <w:pStyle w:val="APAReferences"/>
        <w:spacing w:after="0"/>
        <w:ind w:left="0"/>
        <w:rPr>
          <w:color w:val="auto"/>
          <w:lang w:val="en-US"/>
        </w:rPr>
      </w:pPr>
      <w:r w:rsidRPr="00422B5E">
        <w:rPr>
          <w:color w:val="auto"/>
          <w:lang w:val="en-US"/>
        </w:rPr>
        <w:t xml:space="preserve">Vargas-Silva, C., &amp; </w:t>
      </w:r>
      <w:proofErr w:type="spellStart"/>
      <w:r w:rsidRPr="00422B5E">
        <w:rPr>
          <w:color w:val="auto"/>
          <w:lang w:val="en-US"/>
        </w:rPr>
        <w:t>Markaki</w:t>
      </w:r>
      <w:proofErr w:type="spellEnd"/>
      <w:r w:rsidRPr="00422B5E">
        <w:rPr>
          <w:color w:val="auto"/>
          <w:lang w:val="en-US"/>
        </w:rPr>
        <w:t>, Y. (2016</w:t>
      </w:r>
      <w:r w:rsidRPr="00422B5E">
        <w:rPr>
          <w:i/>
          <w:color w:val="auto"/>
          <w:lang w:val="en-US"/>
        </w:rPr>
        <w:t>). Long-Term International Migration Flows to and from the UK.</w:t>
      </w:r>
      <w:r w:rsidRPr="00422B5E">
        <w:rPr>
          <w:color w:val="auto"/>
          <w:lang w:val="en-US"/>
        </w:rPr>
        <w:t xml:space="preserve"> Migration Observatory briefing, COMPAS, University of Oxford, UK. </w:t>
      </w:r>
    </w:p>
    <w:p w14:paraId="54A9C979" w14:textId="4F29F09E" w:rsidR="00173FF9" w:rsidRPr="00422B5E" w:rsidRDefault="00173FF9" w:rsidP="00173FF9">
      <w:pPr>
        <w:pStyle w:val="APAReferences"/>
        <w:spacing w:after="0"/>
        <w:ind w:left="0"/>
        <w:rPr>
          <w:color w:val="auto"/>
          <w:lang w:val="en-US"/>
        </w:rPr>
      </w:pPr>
      <w:r w:rsidRPr="00422B5E">
        <w:rPr>
          <w:color w:val="auto"/>
        </w:rPr>
        <w:lastRenderedPageBreak/>
        <w:t xml:space="preserve">Vargas-Silva, C., &amp; </w:t>
      </w:r>
      <w:proofErr w:type="spellStart"/>
      <w:r w:rsidRPr="00422B5E">
        <w:rPr>
          <w:color w:val="auto"/>
        </w:rPr>
        <w:t>Rienzo</w:t>
      </w:r>
      <w:proofErr w:type="spellEnd"/>
      <w:r w:rsidRPr="00422B5E">
        <w:rPr>
          <w:color w:val="auto"/>
        </w:rPr>
        <w:t xml:space="preserve">, C. (2019) Migrants in the UK: An Overview. Migration Observatory briefing, COMPAS, University of Oxford, UK. </w:t>
      </w:r>
    </w:p>
    <w:p w14:paraId="1CFE4820" w14:textId="77777777" w:rsidR="00173FF9" w:rsidRPr="00422B5E" w:rsidRDefault="00173FF9" w:rsidP="00955D9F">
      <w:pPr>
        <w:pStyle w:val="APAReferences"/>
        <w:spacing w:after="0"/>
        <w:ind w:left="0"/>
        <w:rPr>
          <w:color w:val="auto"/>
          <w:lang w:val="en-US"/>
        </w:rPr>
      </w:pPr>
    </w:p>
    <w:p w14:paraId="0C3E73C1" w14:textId="0FBA019D" w:rsidR="00117F1B" w:rsidRPr="00422B5E" w:rsidRDefault="00117F1B" w:rsidP="00955D9F">
      <w:pPr>
        <w:pStyle w:val="APAReferences"/>
        <w:spacing w:after="0"/>
        <w:ind w:left="0"/>
        <w:rPr>
          <w:color w:val="auto"/>
          <w:lang w:val="en-US"/>
        </w:rPr>
      </w:pPr>
      <w:r w:rsidRPr="00422B5E">
        <w:rPr>
          <w:color w:val="auto"/>
          <w:lang w:val="en-US"/>
        </w:rPr>
        <w:t xml:space="preserve">Wilson, J. P., </w:t>
      </w:r>
      <w:proofErr w:type="spellStart"/>
      <w:r w:rsidRPr="00422B5E">
        <w:rPr>
          <w:color w:val="auto"/>
          <w:lang w:val="en-US"/>
        </w:rPr>
        <w:t>Hugenberg</w:t>
      </w:r>
      <w:proofErr w:type="spellEnd"/>
      <w:r w:rsidRPr="00422B5E">
        <w:rPr>
          <w:color w:val="auto"/>
          <w:lang w:val="en-US"/>
        </w:rPr>
        <w:t xml:space="preserve">, K., &amp; Rule, N. O. (2017). Racial bias in judgments of physical size and formidability: From size to threat. </w:t>
      </w:r>
      <w:r w:rsidRPr="00422B5E">
        <w:rPr>
          <w:i/>
          <w:color w:val="auto"/>
          <w:lang w:val="en-US"/>
        </w:rPr>
        <w:t>Journal of Personality and Social Psychology, 113</w:t>
      </w:r>
      <w:r w:rsidRPr="00422B5E">
        <w:rPr>
          <w:color w:val="auto"/>
          <w:lang w:val="en-US"/>
        </w:rPr>
        <w:t xml:space="preserve">, 59-80. </w:t>
      </w:r>
      <w:hyperlink r:id="rId48" w:history="1">
        <w:r w:rsidR="00694FAB" w:rsidRPr="00422B5E">
          <w:rPr>
            <w:rStyle w:val="Hyperlink"/>
            <w:color w:val="auto"/>
            <w:u w:val="none"/>
            <w:lang w:val="en-US"/>
          </w:rPr>
          <w:t>https://psycnet.apa.org/doi/10.1037/pspi0000092</w:t>
        </w:r>
      </w:hyperlink>
      <w:r w:rsidR="00694FAB" w:rsidRPr="00422B5E">
        <w:rPr>
          <w:color w:val="auto"/>
          <w:lang w:val="en-US"/>
        </w:rPr>
        <w:t xml:space="preserve"> </w:t>
      </w:r>
    </w:p>
    <w:p w14:paraId="55A5E05D" w14:textId="05A163A3" w:rsidR="00955D9F" w:rsidRPr="004A2990" w:rsidRDefault="00955D9F" w:rsidP="00955D9F">
      <w:pPr>
        <w:pStyle w:val="APAReferences"/>
        <w:spacing w:after="0"/>
        <w:ind w:left="0"/>
        <w:rPr>
          <w:lang w:val="en-US"/>
        </w:rPr>
      </w:pPr>
      <w:r w:rsidRPr="00422B5E">
        <w:rPr>
          <w:color w:val="auto"/>
          <w:lang w:val="en-US"/>
        </w:rPr>
        <w:t>Zagefka, H., Tip, L. K., Gonz</w:t>
      </w:r>
      <w:r w:rsidRPr="00422B5E">
        <w:rPr>
          <w:rFonts w:hint="cs"/>
          <w:color w:val="auto"/>
          <w:lang w:val="en-US"/>
        </w:rPr>
        <w:t>á</w:t>
      </w:r>
      <w:r w:rsidRPr="00422B5E">
        <w:rPr>
          <w:color w:val="auto"/>
          <w:lang w:val="en-US"/>
        </w:rPr>
        <w:t xml:space="preserve">lez, R., Brown, R., &amp; </w:t>
      </w:r>
      <w:proofErr w:type="spellStart"/>
      <w:r w:rsidRPr="00422B5E">
        <w:rPr>
          <w:color w:val="auto"/>
          <w:lang w:val="en-US"/>
        </w:rPr>
        <w:t>Cinnirella</w:t>
      </w:r>
      <w:proofErr w:type="spellEnd"/>
      <w:r w:rsidRPr="00422B5E">
        <w:rPr>
          <w:color w:val="auto"/>
          <w:lang w:val="en-US"/>
        </w:rPr>
        <w:t xml:space="preserve">, M. (2012). Predictors of majority members' acculturation preferences: Experimental evidence. </w:t>
      </w:r>
      <w:r w:rsidRPr="00422B5E">
        <w:rPr>
          <w:i/>
          <w:color w:val="auto"/>
          <w:lang w:val="en-US"/>
        </w:rPr>
        <w:t>Journal of Experimental Social Psychology, 48</w:t>
      </w:r>
      <w:r w:rsidRPr="00422B5E">
        <w:rPr>
          <w:color w:val="auto"/>
          <w:lang w:val="en-US"/>
        </w:rPr>
        <w:t xml:space="preserve">, 654-659. </w:t>
      </w:r>
      <w:hyperlink r:id="rId49" w:history="1">
        <w:r w:rsidR="00173FF9" w:rsidRPr="00422B5E">
          <w:rPr>
            <w:rStyle w:val="Hyperlink"/>
            <w:color w:val="auto"/>
            <w:u w:val="none"/>
            <w:lang w:val="en-US"/>
          </w:rPr>
          <w:t>https://doi.org/10.1016/j.jesp.2011.12.006</w:t>
        </w:r>
      </w:hyperlink>
      <w:r w:rsidR="00173FF9" w:rsidRPr="00422B5E">
        <w:rPr>
          <w:color w:val="auto"/>
          <w:lang w:val="en-US"/>
        </w:rPr>
        <w:t xml:space="preserve"> </w:t>
      </w:r>
    </w:p>
    <w:p w14:paraId="394513F9" w14:textId="24CDDBAB" w:rsidR="008F5FDF" w:rsidRPr="004A2990" w:rsidRDefault="008F5FDF" w:rsidP="007C0D19">
      <w:pPr>
        <w:pStyle w:val="APAReferences"/>
        <w:spacing w:after="0"/>
        <w:ind w:left="0" w:firstLine="0"/>
        <w:rPr>
          <w:lang w:val="en-US"/>
        </w:rPr>
      </w:pPr>
    </w:p>
    <w:p w14:paraId="2A1C15CB" w14:textId="28E4C8D3" w:rsidR="00955D9F" w:rsidRDefault="00955D9F">
      <w:pPr>
        <w:widowControl/>
        <w:suppressAutoHyphens w:val="0"/>
        <w:rPr>
          <w:rFonts w:ascii="Times New Roman" w:hAnsi="Times New Roman"/>
          <w:lang w:val="en-US"/>
        </w:rPr>
      </w:pPr>
      <w:r>
        <w:rPr>
          <w:lang w:val="en-US"/>
        </w:rPr>
        <w:br w:type="page"/>
      </w:r>
    </w:p>
    <w:p w14:paraId="6BF90118" w14:textId="77777777" w:rsidR="008F5FDF" w:rsidRPr="004A2990" w:rsidRDefault="008F5FDF" w:rsidP="007C0D19">
      <w:pPr>
        <w:pStyle w:val="APAReferences"/>
        <w:spacing w:after="0"/>
        <w:ind w:left="0" w:firstLine="0"/>
        <w:rPr>
          <w:lang w:val="en-US"/>
        </w:rPr>
      </w:pPr>
    </w:p>
    <w:p w14:paraId="127CDA86" w14:textId="77777777" w:rsidR="008F5FDF" w:rsidRPr="004A2990" w:rsidRDefault="008F5FDF" w:rsidP="007C0D19">
      <w:pPr>
        <w:pStyle w:val="APAReferences"/>
        <w:spacing w:after="0"/>
        <w:ind w:left="0" w:firstLine="0"/>
        <w:rPr>
          <w:lang w:val="en-US"/>
        </w:rPr>
      </w:pPr>
    </w:p>
    <w:p w14:paraId="668F1945" w14:textId="6B2DB1D4" w:rsidR="00573562" w:rsidRPr="004A2990" w:rsidRDefault="007A411D" w:rsidP="00573562">
      <w:pPr>
        <w:pStyle w:val="APAReferences"/>
        <w:spacing w:after="0" w:line="240" w:lineRule="auto"/>
        <w:ind w:left="0" w:firstLine="0"/>
      </w:pPr>
      <w:r>
        <w:t>Table 1</w:t>
      </w:r>
    </w:p>
    <w:p w14:paraId="1AC94F80" w14:textId="45CE076F" w:rsidR="00573562" w:rsidRPr="004A2990" w:rsidRDefault="00A93D7C" w:rsidP="00573562">
      <w:pPr>
        <w:pStyle w:val="APAReferences"/>
        <w:spacing w:after="0" w:line="240" w:lineRule="auto"/>
        <w:ind w:left="0" w:firstLine="0"/>
        <w:rPr>
          <w:i/>
        </w:rPr>
      </w:pPr>
      <w:r w:rsidRPr="004A2990">
        <w:rPr>
          <w:i/>
          <w:color w:val="auto"/>
          <w:lang w:val="en-US"/>
        </w:rPr>
        <w:t>Bivariate correlations for measures in</w:t>
      </w:r>
      <w:r w:rsidR="007A411D">
        <w:rPr>
          <w:i/>
        </w:rPr>
        <w:t xml:space="preserve"> Study 1</w:t>
      </w:r>
    </w:p>
    <w:tbl>
      <w:tblPr>
        <w:tblpPr w:leftFromText="180" w:rightFromText="180" w:vertAnchor="text" w:horzAnchor="margin" w:tblpY="112"/>
        <w:tblW w:w="7901" w:type="dxa"/>
        <w:tblBorders>
          <w:top w:val="single" w:sz="4" w:space="0" w:color="auto"/>
          <w:bottom w:val="single" w:sz="4" w:space="0" w:color="auto"/>
          <w:insideH w:val="single" w:sz="4" w:space="0" w:color="auto"/>
        </w:tblBorders>
        <w:tblLook w:val="04A0" w:firstRow="1" w:lastRow="0" w:firstColumn="1" w:lastColumn="0" w:noHBand="0" w:noVBand="1"/>
      </w:tblPr>
      <w:tblGrid>
        <w:gridCol w:w="2694"/>
        <w:gridCol w:w="992"/>
        <w:gridCol w:w="1468"/>
        <w:gridCol w:w="1331"/>
        <w:gridCol w:w="1416"/>
      </w:tblGrid>
      <w:tr w:rsidR="00573562" w:rsidRPr="004A2990" w14:paraId="0E2F6FAD" w14:textId="77777777" w:rsidTr="0055758E">
        <w:trPr>
          <w:trHeight w:val="966"/>
        </w:trPr>
        <w:tc>
          <w:tcPr>
            <w:tcW w:w="2694" w:type="dxa"/>
            <w:tcBorders>
              <w:bottom w:val="single" w:sz="4" w:space="0" w:color="auto"/>
            </w:tcBorders>
            <w:shd w:val="clear" w:color="auto" w:fill="auto"/>
            <w:vAlign w:val="center"/>
            <w:hideMark/>
          </w:tcPr>
          <w:p w14:paraId="37FB9666" w14:textId="77777777" w:rsidR="00573562" w:rsidRPr="004A2990" w:rsidRDefault="00573562" w:rsidP="0055758E">
            <w:pPr>
              <w:spacing w:line="360" w:lineRule="auto"/>
              <w:jc w:val="both"/>
              <w:rPr>
                <w:rFonts w:ascii="Times New Roman" w:eastAsia="Times New Roman" w:hAnsi="Times New Roman"/>
                <w:bCs/>
              </w:rPr>
            </w:pPr>
            <w:r w:rsidRPr="004A2990">
              <w:rPr>
                <w:rFonts w:ascii="Times New Roman" w:eastAsia="Times New Roman" w:hAnsi="Times New Roman"/>
                <w:bCs/>
              </w:rPr>
              <w:t> Measure</w:t>
            </w:r>
          </w:p>
        </w:tc>
        <w:tc>
          <w:tcPr>
            <w:tcW w:w="992" w:type="dxa"/>
            <w:tcBorders>
              <w:bottom w:val="single" w:sz="4" w:space="0" w:color="auto"/>
            </w:tcBorders>
            <w:vAlign w:val="center"/>
          </w:tcPr>
          <w:p w14:paraId="49C5AA09" w14:textId="77777777" w:rsidR="00573562" w:rsidRPr="004A2990" w:rsidRDefault="00573562" w:rsidP="0055758E">
            <w:pPr>
              <w:spacing w:line="360" w:lineRule="auto"/>
              <w:jc w:val="center"/>
              <w:rPr>
                <w:rFonts w:ascii="Times New Roman" w:eastAsia="Times New Roman" w:hAnsi="Times New Roman"/>
                <w:bCs/>
              </w:rPr>
            </w:pPr>
            <w:r w:rsidRPr="004A2990">
              <w:rPr>
                <w:rFonts w:ascii="Times New Roman" w:eastAsia="Times New Roman" w:hAnsi="Times New Roman"/>
                <w:bCs/>
              </w:rPr>
              <w:t>1</w:t>
            </w:r>
          </w:p>
        </w:tc>
        <w:tc>
          <w:tcPr>
            <w:tcW w:w="1468" w:type="dxa"/>
            <w:tcBorders>
              <w:bottom w:val="single" w:sz="4" w:space="0" w:color="auto"/>
            </w:tcBorders>
            <w:shd w:val="clear" w:color="auto" w:fill="auto"/>
            <w:vAlign w:val="center"/>
            <w:hideMark/>
          </w:tcPr>
          <w:p w14:paraId="3F18F316" w14:textId="77777777" w:rsidR="00573562" w:rsidRPr="004A2990" w:rsidRDefault="00573562" w:rsidP="0055758E">
            <w:pPr>
              <w:spacing w:line="360" w:lineRule="auto"/>
              <w:jc w:val="center"/>
              <w:rPr>
                <w:rFonts w:ascii="Times New Roman" w:eastAsia="Times New Roman" w:hAnsi="Times New Roman"/>
                <w:bCs/>
              </w:rPr>
            </w:pPr>
            <w:r w:rsidRPr="004A2990">
              <w:rPr>
                <w:rFonts w:ascii="Times New Roman" w:eastAsia="Times New Roman" w:hAnsi="Times New Roman"/>
                <w:bCs/>
              </w:rPr>
              <w:t>2</w:t>
            </w:r>
          </w:p>
        </w:tc>
        <w:tc>
          <w:tcPr>
            <w:tcW w:w="1331" w:type="dxa"/>
            <w:tcBorders>
              <w:bottom w:val="single" w:sz="4" w:space="0" w:color="auto"/>
            </w:tcBorders>
            <w:shd w:val="clear" w:color="auto" w:fill="auto"/>
            <w:vAlign w:val="center"/>
            <w:hideMark/>
          </w:tcPr>
          <w:p w14:paraId="3B326856" w14:textId="77777777" w:rsidR="00573562" w:rsidRPr="004A2990" w:rsidRDefault="00573562" w:rsidP="0055758E">
            <w:pPr>
              <w:spacing w:line="360" w:lineRule="auto"/>
              <w:jc w:val="center"/>
              <w:rPr>
                <w:rFonts w:ascii="Times New Roman" w:eastAsia="Times New Roman" w:hAnsi="Times New Roman"/>
                <w:bCs/>
              </w:rPr>
            </w:pPr>
            <w:r w:rsidRPr="004A2990">
              <w:rPr>
                <w:rFonts w:ascii="Times New Roman" w:eastAsia="Times New Roman" w:hAnsi="Times New Roman"/>
                <w:bCs/>
              </w:rPr>
              <w:t>3</w:t>
            </w:r>
          </w:p>
        </w:tc>
        <w:tc>
          <w:tcPr>
            <w:tcW w:w="1416" w:type="dxa"/>
            <w:tcBorders>
              <w:bottom w:val="single" w:sz="4" w:space="0" w:color="auto"/>
            </w:tcBorders>
            <w:shd w:val="clear" w:color="auto" w:fill="auto"/>
            <w:vAlign w:val="center"/>
            <w:hideMark/>
          </w:tcPr>
          <w:p w14:paraId="17D980D0" w14:textId="77777777" w:rsidR="00573562" w:rsidRPr="004A2990" w:rsidRDefault="00573562" w:rsidP="0055758E">
            <w:pPr>
              <w:spacing w:line="360" w:lineRule="auto"/>
              <w:jc w:val="center"/>
              <w:rPr>
                <w:rFonts w:ascii="Times New Roman" w:eastAsia="Times New Roman" w:hAnsi="Times New Roman"/>
                <w:bCs/>
              </w:rPr>
            </w:pPr>
            <w:r w:rsidRPr="004A2990">
              <w:rPr>
                <w:rFonts w:ascii="Times New Roman" w:eastAsia="Times New Roman" w:hAnsi="Times New Roman"/>
                <w:bCs/>
              </w:rPr>
              <w:t>4</w:t>
            </w:r>
          </w:p>
        </w:tc>
      </w:tr>
      <w:tr w:rsidR="00573562" w:rsidRPr="004A2990" w14:paraId="1FDC1284" w14:textId="77777777" w:rsidTr="0055758E">
        <w:trPr>
          <w:trHeight w:val="966"/>
        </w:trPr>
        <w:tc>
          <w:tcPr>
            <w:tcW w:w="2694" w:type="dxa"/>
            <w:tcBorders>
              <w:bottom w:val="nil"/>
            </w:tcBorders>
            <w:shd w:val="clear" w:color="auto" w:fill="auto"/>
            <w:vAlign w:val="center"/>
          </w:tcPr>
          <w:p w14:paraId="4CDBF798" w14:textId="56F950FA" w:rsidR="00573562" w:rsidRPr="004A2990" w:rsidRDefault="00573562" w:rsidP="00573562">
            <w:pPr>
              <w:pStyle w:val="ListParagraph"/>
              <w:numPr>
                <w:ilvl w:val="0"/>
                <w:numId w:val="10"/>
              </w:numPr>
              <w:spacing w:line="360" w:lineRule="auto"/>
              <w:rPr>
                <w:rFonts w:ascii="Times New Roman" w:eastAsia="Times New Roman" w:hAnsi="Times New Roman"/>
                <w:bCs/>
              </w:rPr>
            </w:pPr>
            <w:r w:rsidRPr="004A2990">
              <w:rPr>
                <w:rFonts w:ascii="Times New Roman" w:eastAsia="Times New Roman" w:hAnsi="Times New Roman"/>
                <w:bCs/>
              </w:rPr>
              <w:t>Similarity</w:t>
            </w:r>
          </w:p>
        </w:tc>
        <w:tc>
          <w:tcPr>
            <w:tcW w:w="992" w:type="dxa"/>
            <w:tcBorders>
              <w:bottom w:val="nil"/>
            </w:tcBorders>
            <w:vAlign w:val="center"/>
          </w:tcPr>
          <w:p w14:paraId="2DB66174" w14:textId="77777777" w:rsidR="00573562" w:rsidRPr="004A2990" w:rsidRDefault="00573562" w:rsidP="0055758E">
            <w:pPr>
              <w:spacing w:line="360" w:lineRule="auto"/>
              <w:jc w:val="center"/>
              <w:rPr>
                <w:rFonts w:ascii="Times New Roman" w:eastAsia="Times New Roman" w:hAnsi="Times New Roman"/>
                <w:bCs/>
              </w:rPr>
            </w:pPr>
            <w:r w:rsidRPr="004A2990">
              <w:rPr>
                <w:rFonts w:ascii="Times New Roman" w:eastAsia="Times New Roman" w:hAnsi="Times New Roman"/>
              </w:rPr>
              <w:t>1</w:t>
            </w:r>
          </w:p>
        </w:tc>
        <w:tc>
          <w:tcPr>
            <w:tcW w:w="1468" w:type="dxa"/>
            <w:tcBorders>
              <w:bottom w:val="nil"/>
            </w:tcBorders>
            <w:shd w:val="clear" w:color="auto" w:fill="auto"/>
            <w:vAlign w:val="center"/>
          </w:tcPr>
          <w:p w14:paraId="48C573CF" w14:textId="77777777" w:rsidR="00573562" w:rsidRPr="004A2990" w:rsidRDefault="00573562" w:rsidP="0055758E">
            <w:pPr>
              <w:spacing w:line="360" w:lineRule="auto"/>
              <w:jc w:val="center"/>
              <w:rPr>
                <w:rFonts w:ascii="Times New Roman" w:eastAsia="Times New Roman" w:hAnsi="Times New Roman"/>
                <w:bCs/>
              </w:rPr>
            </w:pPr>
          </w:p>
        </w:tc>
        <w:tc>
          <w:tcPr>
            <w:tcW w:w="1331" w:type="dxa"/>
            <w:tcBorders>
              <w:bottom w:val="nil"/>
            </w:tcBorders>
            <w:shd w:val="clear" w:color="auto" w:fill="auto"/>
            <w:vAlign w:val="center"/>
          </w:tcPr>
          <w:p w14:paraId="59F8AFC7" w14:textId="77777777" w:rsidR="00573562" w:rsidRPr="004A2990" w:rsidRDefault="00573562" w:rsidP="0055758E">
            <w:pPr>
              <w:spacing w:line="360" w:lineRule="auto"/>
              <w:jc w:val="center"/>
              <w:rPr>
                <w:rFonts w:ascii="Times New Roman" w:eastAsia="Times New Roman" w:hAnsi="Times New Roman"/>
                <w:bCs/>
              </w:rPr>
            </w:pPr>
          </w:p>
        </w:tc>
        <w:tc>
          <w:tcPr>
            <w:tcW w:w="1416" w:type="dxa"/>
            <w:tcBorders>
              <w:bottom w:val="nil"/>
            </w:tcBorders>
            <w:shd w:val="clear" w:color="auto" w:fill="auto"/>
            <w:vAlign w:val="center"/>
          </w:tcPr>
          <w:p w14:paraId="347C4E7E" w14:textId="77777777" w:rsidR="00573562" w:rsidRPr="004A2990" w:rsidRDefault="00573562" w:rsidP="0055758E">
            <w:pPr>
              <w:spacing w:line="360" w:lineRule="auto"/>
              <w:jc w:val="center"/>
              <w:rPr>
                <w:rFonts w:ascii="Times New Roman" w:eastAsia="Times New Roman" w:hAnsi="Times New Roman"/>
                <w:bCs/>
              </w:rPr>
            </w:pPr>
          </w:p>
        </w:tc>
      </w:tr>
      <w:tr w:rsidR="00573562" w:rsidRPr="004A2990" w14:paraId="1E2D324E" w14:textId="77777777" w:rsidTr="0055758E">
        <w:trPr>
          <w:trHeight w:val="444"/>
        </w:trPr>
        <w:tc>
          <w:tcPr>
            <w:tcW w:w="2694" w:type="dxa"/>
            <w:tcBorders>
              <w:top w:val="nil"/>
              <w:bottom w:val="nil"/>
            </w:tcBorders>
            <w:shd w:val="clear" w:color="auto" w:fill="auto"/>
            <w:vAlign w:val="center"/>
          </w:tcPr>
          <w:p w14:paraId="58BF0427" w14:textId="77777777" w:rsidR="00573562" w:rsidRPr="004A2990" w:rsidRDefault="00573562" w:rsidP="00573562">
            <w:pPr>
              <w:pStyle w:val="ListParagraph"/>
              <w:numPr>
                <w:ilvl w:val="0"/>
                <w:numId w:val="10"/>
              </w:numPr>
              <w:spacing w:line="360" w:lineRule="auto"/>
              <w:rPr>
                <w:rFonts w:ascii="Times New Roman" w:eastAsia="Times New Roman" w:hAnsi="Times New Roman"/>
                <w:bCs/>
              </w:rPr>
            </w:pPr>
            <w:r w:rsidRPr="004A2990">
              <w:rPr>
                <w:rFonts w:ascii="Times New Roman" w:eastAsia="Times New Roman" w:hAnsi="Times New Roman"/>
                <w:bCs/>
              </w:rPr>
              <w:t>Intergroup Threat</w:t>
            </w:r>
          </w:p>
        </w:tc>
        <w:tc>
          <w:tcPr>
            <w:tcW w:w="992" w:type="dxa"/>
            <w:tcBorders>
              <w:top w:val="nil"/>
              <w:bottom w:val="nil"/>
            </w:tcBorders>
            <w:vAlign w:val="center"/>
          </w:tcPr>
          <w:p w14:paraId="330F40D5"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-.704**</w:t>
            </w:r>
          </w:p>
        </w:tc>
        <w:tc>
          <w:tcPr>
            <w:tcW w:w="1468" w:type="dxa"/>
            <w:tcBorders>
              <w:top w:val="nil"/>
              <w:bottom w:val="nil"/>
            </w:tcBorders>
            <w:shd w:val="clear" w:color="auto" w:fill="auto"/>
            <w:vAlign w:val="center"/>
          </w:tcPr>
          <w:p w14:paraId="6B36FE19"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1</w:t>
            </w:r>
          </w:p>
        </w:tc>
        <w:tc>
          <w:tcPr>
            <w:tcW w:w="1331" w:type="dxa"/>
            <w:tcBorders>
              <w:top w:val="nil"/>
              <w:bottom w:val="nil"/>
            </w:tcBorders>
            <w:shd w:val="clear" w:color="auto" w:fill="auto"/>
            <w:vAlign w:val="center"/>
          </w:tcPr>
          <w:p w14:paraId="37BEF34D" w14:textId="77777777" w:rsidR="00573562" w:rsidRPr="004A2990" w:rsidRDefault="00573562" w:rsidP="0055758E">
            <w:pPr>
              <w:spacing w:line="360" w:lineRule="auto"/>
              <w:jc w:val="center"/>
              <w:rPr>
                <w:rFonts w:ascii="Times New Roman" w:eastAsia="Times New Roman" w:hAnsi="Times New Roman"/>
              </w:rPr>
            </w:pPr>
          </w:p>
        </w:tc>
        <w:tc>
          <w:tcPr>
            <w:tcW w:w="1416" w:type="dxa"/>
            <w:tcBorders>
              <w:top w:val="nil"/>
              <w:bottom w:val="nil"/>
            </w:tcBorders>
            <w:shd w:val="clear" w:color="auto" w:fill="auto"/>
            <w:vAlign w:val="center"/>
          </w:tcPr>
          <w:p w14:paraId="3388B24E" w14:textId="77777777" w:rsidR="00573562" w:rsidRPr="004A2990" w:rsidRDefault="00573562" w:rsidP="0055758E">
            <w:pPr>
              <w:spacing w:line="360" w:lineRule="auto"/>
              <w:jc w:val="center"/>
              <w:rPr>
                <w:rFonts w:ascii="Times New Roman" w:eastAsia="Times New Roman" w:hAnsi="Times New Roman"/>
              </w:rPr>
            </w:pPr>
          </w:p>
        </w:tc>
      </w:tr>
      <w:tr w:rsidR="00573562" w:rsidRPr="004A2990" w14:paraId="394256AC" w14:textId="77777777" w:rsidTr="0055758E">
        <w:trPr>
          <w:trHeight w:val="444"/>
        </w:trPr>
        <w:tc>
          <w:tcPr>
            <w:tcW w:w="2694" w:type="dxa"/>
            <w:tcBorders>
              <w:top w:val="nil"/>
              <w:bottom w:val="nil"/>
            </w:tcBorders>
            <w:shd w:val="clear" w:color="auto" w:fill="auto"/>
            <w:vAlign w:val="center"/>
            <w:hideMark/>
          </w:tcPr>
          <w:p w14:paraId="46EF9741" w14:textId="5690BBED" w:rsidR="00573562" w:rsidRPr="004A2990" w:rsidRDefault="00573562" w:rsidP="007E1C89">
            <w:pPr>
              <w:pStyle w:val="ListParagraph"/>
              <w:numPr>
                <w:ilvl w:val="0"/>
                <w:numId w:val="10"/>
              </w:numPr>
              <w:spacing w:line="360" w:lineRule="auto"/>
              <w:rPr>
                <w:rFonts w:ascii="Times New Roman" w:eastAsia="Times New Roman" w:hAnsi="Times New Roman"/>
                <w:bCs/>
              </w:rPr>
            </w:pPr>
            <w:r w:rsidRPr="004A2990">
              <w:rPr>
                <w:rFonts w:ascii="Times New Roman" w:eastAsia="Times New Roman" w:hAnsi="Times New Roman"/>
                <w:bCs/>
              </w:rPr>
              <w:t xml:space="preserve">Positive </w:t>
            </w:r>
            <w:r w:rsidR="007E1C89">
              <w:rPr>
                <w:rFonts w:ascii="Times New Roman" w:eastAsia="Times New Roman" w:hAnsi="Times New Roman"/>
                <w:bCs/>
              </w:rPr>
              <w:t>Affect</w:t>
            </w:r>
          </w:p>
        </w:tc>
        <w:tc>
          <w:tcPr>
            <w:tcW w:w="992" w:type="dxa"/>
            <w:tcBorders>
              <w:top w:val="nil"/>
              <w:bottom w:val="nil"/>
            </w:tcBorders>
            <w:vAlign w:val="center"/>
          </w:tcPr>
          <w:p w14:paraId="708A65F0"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.656**</w:t>
            </w:r>
          </w:p>
        </w:tc>
        <w:tc>
          <w:tcPr>
            <w:tcW w:w="1468" w:type="dxa"/>
            <w:tcBorders>
              <w:top w:val="nil"/>
              <w:bottom w:val="nil"/>
            </w:tcBorders>
            <w:shd w:val="clear" w:color="auto" w:fill="auto"/>
            <w:vAlign w:val="center"/>
            <w:hideMark/>
          </w:tcPr>
          <w:p w14:paraId="0875936A"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-.794**</w:t>
            </w:r>
          </w:p>
        </w:tc>
        <w:tc>
          <w:tcPr>
            <w:tcW w:w="1331" w:type="dxa"/>
            <w:tcBorders>
              <w:top w:val="nil"/>
              <w:bottom w:val="nil"/>
            </w:tcBorders>
            <w:shd w:val="clear" w:color="auto" w:fill="auto"/>
            <w:vAlign w:val="center"/>
            <w:hideMark/>
          </w:tcPr>
          <w:p w14:paraId="21A4FA4A"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1</w:t>
            </w:r>
          </w:p>
        </w:tc>
        <w:tc>
          <w:tcPr>
            <w:tcW w:w="1416" w:type="dxa"/>
            <w:tcBorders>
              <w:top w:val="nil"/>
              <w:bottom w:val="nil"/>
            </w:tcBorders>
            <w:shd w:val="clear" w:color="auto" w:fill="auto"/>
            <w:vAlign w:val="center"/>
          </w:tcPr>
          <w:p w14:paraId="5122A5E0" w14:textId="77777777" w:rsidR="00573562" w:rsidRPr="004A2990" w:rsidRDefault="00573562" w:rsidP="0055758E">
            <w:pPr>
              <w:spacing w:line="360" w:lineRule="auto"/>
              <w:jc w:val="center"/>
              <w:rPr>
                <w:rFonts w:ascii="Times New Roman" w:eastAsia="Times New Roman" w:hAnsi="Times New Roman"/>
              </w:rPr>
            </w:pPr>
          </w:p>
        </w:tc>
      </w:tr>
      <w:tr w:rsidR="00573562" w:rsidRPr="004A2990" w14:paraId="56D10E22" w14:textId="77777777" w:rsidTr="0055758E">
        <w:trPr>
          <w:trHeight w:val="222"/>
        </w:trPr>
        <w:tc>
          <w:tcPr>
            <w:tcW w:w="2694" w:type="dxa"/>
            <w:tcBorders>
              <w:top w:val="nil"/>
              <w:bottom w:val="nil"/>
            </w:tcBorders>
            <w:shd w:val="clear" w:color="auto" w:fill="auto"/>
            <w:vAlign w:val="center"/>
            <w:hideMark/>
          </w:tcPr>
          <w:p w14:paraId="4103C539" w14:textId="63344F1F" w:rsidR="00573562" w:rsidRPr="004A2990" w:rsidRDefault="00A93D7C" w:rsidP="00A93D7C">
            <w:pPr>
              <w:pStyle w:val="ListParagraph"/>
              <w:numPr>
                <w:ilvl w:val="0"/>
                <w:numId w:val="10"/>
              </w:numPr>
              <w:spacing w:line="360" w:lineRule="auto"/>
              <w:rPr>
                <w:rFonts w:ascii="Times New Roman" w:eastAsia="Times New Roman" w:hAnsi="Times New Roman"/>
                <w:bCs/>
              </w:rPr>
            </w:pPr>
            <w:r w:rsidRPr="004A2990">
              <w:rPr>
                <w:rFonts w:ascii="Times New Roman" w:eastAsia="Times New Roman" w:hAnsi="Times New Roman"/>
                <w:bCs/>
              </w:rPr>
              <w:t xml:space="preserve">Perceived </w:t>
            </w:r>
            <w:r w:rsidR="00573562" w:rsidRPr="004A2990">
              <w:rPr>
                <w:rFonts w:ascii="Times New Roman" w:eastAsia="Times New Roman" w:hAnsi="Times New Roman"/>
                <w:bCs/>
              </w:rPr>
              <w:t>Right to reside</w:t>
            </w:r>
          </w:p>
        </w:tc>
        <w:tc>
          <w:tcPr>
            <w:tcW w:w="992" w:type="dxa"/>
            <w:tcBorders>
              <w:top w:val="nil"/>
              <w:bottom w:val="nil"/>
            </w:tcBorders>
            <w:vAlign w:val="center"/>
          </w:tcPr>
          <w:p w14:paraId="48B1F326"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.660**</w:t>
            </w:r>
          </w:p>
        </w:tc>
        <w:tc>
          <w:tcPr>
            <w:tcW w:w="1468" w:type="dxa"/>
            <w:tcBorders>
              <w:top w:val="nil"/>
              <w:bottom w:val="nil"/>
            </w:tcBorders>
            <w:shd w:val="clear" w:color="auto" w:fill="auto"/>
            <w:vAlign w:val="center"/>
            <w:hideMark/>
          </w:tcPr>
          <w:p w14:paraId="6DC9D1AB"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-.844**</w:t>
            </w:r>
          </w:p>
        </w:tc>
        <w:tc>
          <w:tcPr>
            <w:tcW w:w="1331" w:type="dxa"/>
            <w:tcBorders>
              <w:top w:val="nil"/>
              <w:bottom w:val="nil"/>
            </w:tcBorders>
            <w:shd w:val="clear" w:color="auto" w:fill="auto"/>
            <w:vAlign w:val="center"/>
            <w:hideMark/>
          </w:tcPr>
          <w:p w14:paraId="727D774B"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.811**</w:t>
            </w:r>
          </w:p>
        </w:tc>
        <w:tc>
          <w:tcPr>
            <w:tcW w:w="1416" w:type="dxa"/>
            <w:tcBorders>
              <w:top w:val="nil"/>
              <w:bottom w:val="nil"/>
            </w:tcBorders>
            <w:shd w:val="clear" w:color="auto" w:fill="auto"/>
            <w:vAlign w:val="center"/>
            <w:hideMark/>
          </w:tcPr>
          <w:p w14:paraId="525660EC"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1</w:t>
            </w:r>
          </w:p>
        </w:tc>
      </w:tr>
      <w:tr w:rsidR="00573562" w:rsidRPr="004A2990" w14:paraId="588E3223" w14:textId="77777777" w:rsidTr="0055758E">
        <w:trPr>
          <w:trHeight w:val="222"/>
        </w:trPr>
        <w:tc>
          <w:tcPr>
            <w:tcW w:w="2694" w:type="dxa"/>
            <w:tcBorders>
              <w:top w:val="nil"/>
            </w:tcBorders>
            <w:shd w:val="clear" w:color="auto" w:fill="auto"/>
            <w:vAlign w:val="center"/>
          </w:tcPr>
          <w:p w14:paraId="2D18045F" w14:textId="74501843" w:rsidR="00573562" w:rsidRPr="004A2990" w:rsidRDefault="00A93D7C" w:rsidP="00573562">
            <w:pPr>
              <w:pStyle w:val="ListParagraph"/>
              <w:numPr>
                <w:ilvl w:val="0"/>
                <w:numId w:val="10"/>
              </w:numPr>
              <w:spacing w:line="360" w:lineRule="auto"/>
              <w:rPr>
                <w:rFonts w:ascii="Times New Roman" w:eastAsia="Times New Roman" w:hAnsi="Times New Roman"/>
                <w:bCs/>
              </w:rPr>
            </w:pPr>
            <w:r w:rsidRPr="004A2990">
              <w:rPr>
                <w:rFonts w:ascii="Times New Roman" w:eastAsia="Times New Roman" w:hAnsi="Times New Roman"/>
                <w:bCs/>
              </w:rPr>
              <w:t>Perceived Size</w:t>
            </w:r>
          </w:p>
        </w:tc>
        <w:tc>
          <w:tcPr>
            <w:tcW w:w="992" w:type="dxa"/>
            <w:tcBorders>
              <w:top w:val="nil"/>
            </w:tcBorders>
            <w:vAlign w:val="center"/>
          </w:tcPr>
          <w:p w14:paraId="0D6C7812"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-.246**</w:t>
            </w:r>
          </w:p>
        </w:tc>
        <w:tc>
          <w:tcPr>
            <w:tcW w:w="1468" w:type="dxa"/>
            <w:tcBorders>
              <w:top w:val="nil"/>
            </w:tcBorders>
            <w:shd w:val="clear" w:color="auto" w:fill="auto"/>
            <w:vAlign w:val="center"/>
          </w:tcPr>
          <w:p w14:paraId="15470FED"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.393**</w:t>
            </w:r>
          </w:p>
        </w:tc>
        <w:tc>
          <w:tcPr>
            <w:tcW w:w="1331" w:type="dxa"/>
            <w:tcBorders>
              <w:top w:val="nil"/>
            </w:tcBorders>
            <w:shd w:val="clear" w:color="auto" w:fill="auto"/>
            <w:vAlign w:val="center"/>
          </w:tcPr>
          <w:p w14:paraId="623AB237"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-.370**</w:t>
            </w:r>
          </w:p>
        </w:tc>
        <w:tc>
          <w:tcPr>
            <w:tcW w:w="1416" w:type="dxa"/>
            <w:tcBorders>
              <w:top w:val="nil"/>
            </w:tcBorders>
            <w:shd w:val="clear" w:color="auto" w:fill="auto"/>
            <w:vAlign w:val="center"/>
          </w:tcPr>
          <w:p w14:paraId="00D3CDE3" w14:textId="77777777" w:rsidR="00573562" w:rsidRPr="004A2990" w:rsidRDefault="00573562" w:rsidP="0055758E">
            <w:pPr>
              <w:spacing w:line="360" w:lineRule="auto"/>
              <w:jc w:val="center"/>
              <w:rPr>
                <w:rFonts w:ascii="Times New Roman" w:eastAsia="Times New Roman" w:hAnsi="Times New Roman"/>
              </w:rPr>
            </w:pPr>
            <w:r w:rsidRPr="004A2990">
              <w:rPr>
                <w:rFonts w:ascii="Times New Roman" w:eastAsia="Times New Roman" w:hAnsi="Times New Roman"/>
              </w:rPr>
              <w:t>-.307**</w:t>
            </w:r>
          </w:p>
        </w:tc>
      </w:tr>
    </w:tbl>
    <w:p w14:paraId="62265D27" w14:textId="77777777" w:rsidR="00573562" w:rsidRPr="004A2990" w:rsidRDefault="00573562" w:rsidP="00573562">
      <w:pPr>
        <w:pStyle w:val="APAReferences"/>
        <w:spacing w:after="0" w:line="240" w:lineRule="auto"/>
        <w:ind w:left="0" w:firstLine="0"/>
        <w:rPr>
          <w:i/>
        </w:rPr>
      </w:pPr>
    </w:p>
    <w:p w14:paraId="74D090CF" w14:textId="77777777" w:rsidR="00573562" w:rsidRPr="004A2990" w:rsidRDefault="00573562" w:rsidP="00573562">
      <w:pPr>
        <w:pStyle w:val="APAReferences"/>
        <w:spacing w:after="0"/>
        <w:ind w:left="0" w:firstLine="0"/>
      </w:pPr>
    </w:p>
    <w:p w14:paraId="005047C5" w14:textId="77777777" w:rsidR="00573562" w:rsidRPr="004A2990" w:rsidRDefault="00573562" w:rsidP="00573562">
      <w:pPr>
        <w:pStyle w:val="APAReferences"/>
        <w:spacing w:after="0"/>
        <w:ind w:left="0" w:firstLine="0"/>
      </w:pPr>
    </w:p>
    <w:p w14:paraId="22DDF9B4" w14:textId="77777777" w:rsidR="00573562" w:rsidRPr="004A2990" w:rsidRDefault="00573562" w:rsidP="00573562">
      <w:pPr>
        <w:pStyle w:val="APAReferences"/>
        <w:spacing w:after="0"/>
        <w:ind w:left="0" w:firstLine="0"/>
      </w:pPr>
    </w:p>
    <w:p w14:paraId="38C13D84" w14:textId="77777777" w:rsidR="00573562" w:rsidRPr="004A2990" w:rsidRDefault="00573562" w:rsidP="00573562">
      <w:pPr>
        <w:pStyle w:val="APAReferences"/>
        <w:spacing w:after="0"/>
        <w:ind w:left="0" w:firstLine="0"/>
      </w:pPr>
    </w:p>
    <w:p w14:paraId="6861D1FC" w14:textId="77777777" w:rsidR="00573562" w:rsidRPr="004A2990" w:rsidRDefault="00573562" w:rsidP="00573562">
      <w:pPr>
        <w:pStyle w:val="APAReferences"/>
        <w:spacing w:after="0"/>
        <w:ind w:left="0" w:firstLine="0"/>
      </w:pPr>
    </w:p>
    <w:p w14:paraId="0BC19302" w14:textId="77777777" w:rsidR="00573562" w:rsidRPr="004A2990" w:rsidRDefault="00573562" w:rsidP="00573562">
      <w:pPr>
        <w:pStyle w:val="APAReferences"/>
        <w:spacing w:after="0"/>
        <w:ind w:left="0" w:firstLine="0"/>
      </w:pPr>
    </w:p>
    <w:p w14:paraId="1C315AC4" w14:textId="77777777" w:rsidR="00573562" w:rsidRPr="004A2990" w:rsidRDefault="00573562" w:rsidP="00573562">
      <w:pPr>
        <w:pStyle w:val="APAReferences"/>
        <w:spacing w:after="0"/>
        <w:ind w:left="0" w:firstLine="0"/>
      </w:pPr>
    </w:p>
    <w:p w14:paraId="2C73DD08" w14:textId="77777777" w:rsidR="00573562" w:rsidRPr="004A2990" w:rsidRDefault="00573562" w:rsidP="00573562">
      <w:pPr>
        <w:pStyle w:val="APAReferences"/>
        <w:spacing w:after="0" w:line="240" w:lineRule="auto"/>
        <w:ind w:left="0" w:firstLine="0"/>
        <w:rPr>
          <w:i/>
        </w:rPr>
      </w:pPr>
    </w:p>
    <w:p w14:paraId="1963D50D" w14:textId="77777777" w:rsidR="00573562" w:rsidRPr="004A2990" w:rsidRDefault="00573562" w:rsidP="00573562">
      <w:pPr>
        <w:pStyle w:val="APAReferences"/>
        <w:spacing w:after="0" w:line="240" w:lineRule="auto"/>
        <w:ind w:left="0" w:firstLine="0"/>
        <w:rPr>
          <w:i/>
        </w:rPr>
      </w:pPr>
      <w:r w:rsidRPr="004A2990">
        <w:rPr>
          <w:i/>
        </w:rPr>
        <w:t>Note: ** = significant at p &lt; .001</w:t>
      </w:r>
    </w:p>
    <w:p w14:paraId="555A0C5D" w14:textId="77777777" w:rsidR="00E514BB" w:rsidRPr="004A2990" w:rsidRDefault="00E514BB" w:rsidP="008F20EB">
      <w:pPr>
        <w:pStyle w:val="APAReferences"/>
        <w:spacing w:after="0" w:line="240" w:lineRule="auto"/>
        <w:ind w:left="0" w:firstLine="0"/>
        <w:rPr>
          <w:lang w:val="en-US"/>
        </w:rPr>
      </w:pPr>
    </w:p>
    <w:p w14:paraId="5E06B023" w14:textId="77777777" w:rsidR="00742E0A" w:rsidRPr="004A2990" w:rsidRDefault="00742E0A" w:rsidP="008F20EB">
      <w:pPr>
        <w:pStyle w:val="APAReferences"/>
        <w:spacing w:after="0" w:line="240" w:lineRule="auto"/>
        <w:ind w:left="0" w:firstLine="0"/>
        <w:rPr>
          <w:lang w:val="en-US"/>
        </w:rPr>
      </w:pPr>
    </w:p>
    <w:p w14:paraId="4DC83099" w14:textId="77777777" w:rsidR="008F20EB" w:rsidRPr="004A2990" w:rsidRDefault="008F20EB" w:rsidP="008F20EB">
      <w:pPr>
        <w:pStyle w:val="APAReferences"/>
        <w:spacing w:after="0" w:line="240" w:lineRule="auto"/>
        <w:ind w:left="0" w:firstLine="0"/>
        <w:rPr>
          <w:lang w:val="en-US"/>
        </w:rPr>
      </w:pPr>
    </w:p>
    <w:p w14:paraId="13FD3686" w14:textId="77777777" w:rsidR="008F20EB" w:rsidRPr="004A2990" w:rsidRDefault="008F20EB" w:rsidP="008F20EB">
      <w:pPr>
        <w:pStyle w:val="APAReferences"/>
        <w:spacing w:after="0" w:line="240" w:lineRule="auto"/>
        <w:ind w:left="0" w:firstLine="0"/>
        <w:rPr>
          <w:lang w:val="en-US"/>
        </w:rPr>
      </w:pPr>
    </w:p>
    <w:p w14:paraId="74217D75" w14:textId="77777777" w:rsidR="008F20EB" w:rsidRPr="004A2990" w:rsidRDefault="008F20EB" w:rsidP="008F20EB">
      <w:pPr>
        <w:pStyle w:val="APAReferences"/>
        <w:spacing w:after="0" w:line="240" w:lineRule="auto"/>
        <w:ind w:left="0" w:firstLine="0"/>
        <w:rPr>
          <w:lang w:val="en-US"/>
        </w:rPr>
      </w:pPr>
    </w:p>
    <w:p w14:paraId="43D6D5FC" w14:textId="77777777" w:rsidR="008F20EB" w:rsidRPr="004A2990" w:rsidRDefault="008F20EB" w:rsidP="008F20EB">
      <w:pPr>
        <w:pStyle w:val="APAReferences"/>
        <w:spacing w:after="0" w:line="240" w:lineRule="auto"/>
        <w:ind w:left="0" w:firstLine="0"/>
        <w:rPr>
          <w:lang w:val="en-US"/>
        </w:rPr>
      </w:pPr>
    </w:p>
    <w:p w14:paraId="23DBEE5A" w14:textId="77777777" w:rsidR="008F20EB" w:rsidRPr="004A2990" w:rsidRDefault="008F20EB" w:rsidP="008F20EB">
      <w:pPr>
        <w:pStyle w:val="APAReferences"/>
        <w:spacing w:after="0" w:line="240" w:lineRule="auto"/>
        <w:ind w:left="0" w:firstLine="0"/>
        <w:rPr>
          <w:lang w:val="en-US"/>
        </w:rPr>
      </w:pPr>
    </w:p>
    <w:p w14:paraId="2B664A25" w14:textId="77777777" w:rsidR="008F20EB" w:rsidRPr="004A2990" w:rsidRDefault="008F20EB" w:rsidP="008F20EB">
      <w:pPr>
        <w:pStyle w:val="APAReferences"/>
        <w:spacing w:after="0" w:line="240" w:lineRule="auto"/>
        <w:ind w:left="0" w:firstLine="0"/>
        <w:rPr>
          <w:lang w:val="en-US"/>
        </w:rPr>
      </w:pPr>
    </w:p>
    <w:p w14:paraId="4795D0A2" w14:textId="77777777" w:rsidR="00596AE4" w:rsidRPr="004A2990" w:rsidRDefault="00596AE4" w:rsidP="008F20EB">
      <w:pPr>
        <w:pStyle w:val="APAReferences"/>
        <w:spacing w:after="0" w:line="240" w:lineRule="auto"/>
        <w:ind w:left="0" w:firstLine="0"/>
        <w:rPr>
          <w:lang w:val="en-US"/>
        </w:rPr>
        <w:sectPr w:rsidR="00596AE4" w:rsidRPr="004A2990" w:rsidSect="00C26002">
          <w:headerReference w:type="even" r:id="rId50"/>
          <w:headerReference w:type="default" r:id="rId51"/>
          <w:footerReference w:type="even" r:id="rId52"/>
          <w:footerReference w:type="default" r:id="rId53"/>
          <w:headerReference w:type="first" r:id="rId54"/>
          <w:footerReference w:type="first" r:id="rId55"/>
          <w:pgSz w:w="11906" w:h="16838"/>
          <w:pgMar w:top="1440" w:right="1440" w:bottom="1440" w:left="1440" w:header="1440" w:footer="720" w:gutter="0"/>
          <w:cols w:space="720"/>
          <w:titlePg/>
          <w:docGrid w:linePitch="326"/>
        </w:sectPr>
      </w:pPr>
    </w:p>
    <w:p w14:paraId="2B9D48C8" w14:textId="7A9BD70C" w:rsidR="008F20EB" w:rsidRPr="004A2990" w:rsidRDefault="008F20EB" w:rsidP="008F20EB">
      <w:pPr>
        <w:pStyle w:val="APAReferences"/>
        <w:spacing w:after="0" w:line="240" w:lineRule="auto"/>
        <w:ind w:left="0" w:firstLine="0"/>
        <w:rPr>
          <w:lang w:val="en-US"/>
        </w:rPr>
      </w:pPr>
    </w:p>
    <w:p w14:paraId="78889467" w14:textId="77777777" w:rsidR="008F20EB" w:rsidRPr="004A2990" w:rsidRDefault="008F20EB" w:rsidP="008F20EB">
      <w:pPr>
        <w:pStyle w:val="APAReferences"/>
        <w:spacing w:after="0" w:line="240" w:lineRule="auto"/>
        <w:ind w:left="0" w:firstLine="0"/>
        <w:rPr>
          <w:lang w:val="en-US"/>
        </w:rPr>
      </w:pPr>
    </w:p>
    <w:p w14:paraId="08E125F8" w14:textId="67B512F7" w:rsidR="00742E0A" w:rsidRPr="004A2990" w:rsidRDefault="007A411D" w:rsidP="008F20EB">
      <w:pPr>
        <w:pStyle w:val="APAReferences"/>
        <w:spacing w:after="0" w:line="240" w:lineRule="auto"/>
        <w:ind w:left="0" w:firstLine="0"/>
        <w:rPr>
          <w:lang w:val="en-US"/>
        </w:rPr>
      </w:pPr>
      <w:r>
        <w:rPr>
          <w:lang w:val="en-US"/>
        </w:rPr>
        <w:t>Table 2</w:t>
      </w:r>
    </w:p>
    <w:p w14:paraId="3F958655" w14:textId="23A60A2E" w:rsidR="00742E0A" w:rsidRPr="004A2990" w:rsidRDefault="00742E0A" w:rsidP="008F20EB">
      <w:pPr>
        <w:pStyle w:val="APAReferences"/>
        <w:spacing w:after="0" w:line="240" w:lineRule="auto"/>
        <w:ind w:left="0" w:firstLine="0"/>
        <w:rPr>
          <w:i/>
          <w:lang w:val="en-US"/>
        </w:rPr>
      </w:pPr>
      <w:r w:rsidRPr="004A2990">
        <w:rPr>
          <w:i/>
          <w:lang w:val="en-US"/>
        </w:rPr>
        <w:t>Means and standard deviations of variables as a function of migrant country of origin</w:t>
      </w:r>
      <w:r w:rsidR="00420120" w:rsidRPr="004A2990">
        <w:rPr>
          <w:i/>
          <w:lang w:val="en-US"/>
        </w:rPr>
        <w:t xml:space="preserve">, </w:t>
      </w:r>
      <w:r w:rsidR="007A411D">
        <w:rPr>
          <w:i/>
          <w:lang w:val="en-US"/>
        </w:rPr>
        <w:t>and ANOVA results, Study 1</w:t>
      </w:r>
    </w:p>
    <w:p w14:paraId="7F645236" w14:textId="77777777" w:rsidR="006A43FB" w:rsidRPr="004A2990" w:rsidRDefault="006A43FB" w:rsidP="008F20EB">
      <w:pPr>
        <w:pStyle w:val="APAReferences"/>
        <w:spacing w:after="0" w:line="240" w:lineRule="auto"/>
        <w:ind w:left="0" w:firstLine="0"/>
        <w:rPr>
          <w:i/>
          <w:lang w:val="en-US"/>
        </w:rPr>
      </w:pPr>
    </w:p>
    <w:p w14:paraId="436AAD26" w14:textId="35499BD1" w:rsidR="00742E0A" w:rsidRPr="004A2990" w:rsidRDefault="006A43FB" w:rsidP="008F20EB">
      <w:pPr>
        <w:pStyle w:val="APAReferences"/>
        <w:spacing w:after="0" w:line="240" w:lineRule="auto"/>
        <w:rPr>
          <w:lang w:val="en-US"/>
        </w:rPr>
      </w:pPr>
      <w:r w:rsidRPr="004A2990">
        <w:rPr>
          <w:i/>
          <w:lang w:val="en-US"/>
        </w:rPr>
        <w:t>Note</w:t>
      </w:r>
      <w:r w:rsidRPr="004A2990">
        <w:rPr>
          <w:lang w:val="en-US"/>
        </w:rPr>
        <w:t xml:space="preserve">. Means not sharing the same subscripts are significantly different from each other (row-wise). </w:t>
      </w:r>
    </w:p>
    <w:tbl>
      <w:tblPr>
        <w:tblStyle w:val="TableGrid"/>
        <w:tblpPr w:leftFromText="180" w:rightFromText="180" w:vertAnchor="text" w:horzAnchor="margin" w:tblpY="-71"/>
        <w:tblW w:w="136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01"/>
        <w:gridCol w:w="993"/>
        <w:gridCol w:w="747"/>
        <w:gridCol w:w="799"/>
        <w:gridCol w:w="863"/>
        <w:gridCol w:w="736"/>
        <w:gridCol w:w="799"/>
        <w:gridCol w:w="875"/>
        <w:gridCol w:w="1134"/>
        <w:gridCol w:w="992"/>
        <w:gridCol w:w="1418"/>
        <w:gridCol w:w="1276"/>
        <w:gridCol w:w="1275"/>
      </w:tblGrid>
      <w:tr w:rsidR="006A43FB" w:rsidRPr="004A2990" w14:paraId="6D37C0B1" w14:textId="598F91BA" w:rsidTr="00A93D7C">
        <w:trPr>
          <w:trHeight w:val="562"/>
        </w:trPr>
        <w:tc>
          <w:tcPr>
            <w:tcW w:w="1701" w:type="dxa"/>
            <w:tcBorders>
              <w:bottom w:val="nil"/>
            </w:tcBorders>
          </w:tcPr>
          <w:p w14:paraId="2F4F811F" w14:textId="77777777" w:rsidR="006A43FB" w:rsidRPr="004A2990" w:rsidRDefault="006A43FB" w:rsidP="006A43FB">
            <w:pPr>
              <w:rPr>
                <w:rFonts w:ascii="Times New Roman" w:hAnsi="Times New Roman" w:cs="Times New Roman"/>
                <w:lang w:val="en-US"/>
              </w:rPr>
            </w:pPr>
            <w:r w:rsidRPr="004A2990">
              <w:rPr>
                <w:rFonts w:ascii="Times New Roman" w:hAnsi="Times New Roman" w:cs="Times New Roman"/>
                <w:lang w:val="en-US"/>
              </w:rPr>
              <w:t>Variable</w:t>
            </w:r>
          </w:p>
        </w:tc>
        <w:tc>
          <w:tcPr>
            <w:tcW w:w="993" w:type="dxa"/>
          </w:tcPr>
          <w:p w14:paraId="18195B5B" w14:textId="77777777" w:rsidR="006A43FB" w:rsidRPr="004A2990" w:rsidRDefault="006A43FB" w:rsidP="006A43FB">
            <w:pPr>
              <w:rPr>
                <w:rFonts w:ascii="Times New Roman" w:hAnsi="Times New Roman" w:cs="Times New Roman"/>
                <w:lang w:val="en-US"/>
              </w:rPr>
            </w:pPr>
            <w:r w:rsidRPr="004A2990">
              <w:rPr>
                <w:rFonts w:ascii="Times New Roman" w:hAnsi="Times New Roman" w:cs="Times New Roman"/>
                <w:lang w:val="en-US"/>
              </w:rPr>
              <w:t>Indian</w:t>
            </w:r>
          </w:p>
        </w:tc>
        <w:tc>
          <w:tcPr>
            <w:tcW w:w="747" w:type="dxa"/>
          </w:tcPr>
          <w:p w14:paraId="1FD2646A" w14:textId="77777777" w:rsidR="006A43FB" w:rsidRPr="004A2990" w:rsidRDefault="006A43FB" w:rsidP="006A43FB">
            <w:pPr>
              <w:rPr>
                <w:rFonts w:ascii="Times New Roman" w:hAnsi="Times New Roman" w:cs="Times New Roman"/>
                <w:lang w:val="en-US"/>
              </w:rPr>
            </w:pPr>
          </w:p>
        </w:tc>
        <w:tc>
          <w:tcPr>
            <w:tcW w:w="799" w:type="dxa"/>
            <w:tcBorders>
              <w:bottom w:val="nil"/>
            </w:tcBorders>
          </w:tcPr>
          <w:p w14:paraId="6562EC61" w14:textId="77777777" w:rsidR="006A43FB" w:rsidRPr="004A2990" w:rsidRDefault="006A43FB" w:rsidP="006A43FB">
            <w:pPr>
              <w:rPr>
                <w:rFonts w:ascii="Times New Roman" w:hAnsi="Times New Roman" w:cs="Times New Roman"/>
                <w:lang w:val="en-US"/>
              </w:rPr>
            </w:pPr>
          </w:p>
          <w:p w14:paraId="1F133615" w14:textId="77777777" w:rsidR="006A43FB" w:rsidRPr="004A2990" w:rsidRDefault="006A43FB" w:rsidP="006A43FB">
            <w:pPr>
              <w:rPr>
                <w:rFonts w:ascii="Times New Roman" w:hAnsi="Times New Roman" w:cs="Times New Roman"/>
                <w:lang w:val="en-US"/>
              </w:rPr>
            </w:pPr>
          </w:p>
        </w:tc>
        <w:tc>
          <w:tcPr>
            <w:tcW w:w="863" w:type="dxa"/>
          </w:tcPr>
          <w:p w14:paraId="3F0E8C3C" w14:textId="77777777" w:rsidR="006A43FB" w:rsidRPr="004A2990" w:rsidRDefault="006A43FB" w:rsidP="006A43FB">
            <w:pPr>
              <w:rPr>
                <w:rFonts w:ascii="Times New Roman" w:hAnsi="Times New Roman" w:cs="Times New Roman"/>
                <w:lang w:val="en-US"/>
              </w:rPr>
            </w:pPr>
            <w:r w:rsidRPr="004A2990">
              <w:rPr>
                <w:rFonts w:ascii="Times New Roman" w:hAnsi="Times New Roman" w:cs="Times New Roman"/>
                <w:lang w:val="en-US"/>
              </w:rPr>
              <w:t>Polish</w:t>
            </w:r>
          </w:p>
        </w:tc>
        <w:tc>
          <w:tcPr>
            <w:tcW w:w="736" w:type="dxa"/>
          </w:tcPr>
          <w:p w14:paraId="2C26B403" w14:textId="77777777" w:rsidR="006A43FB" w:rsidRPr="004A2990" w:rsidRDefault="006A43FB" w:rsidP="006A43FB">
            <w:pPr>
              <w:rPr>
                <w:rFonts w:ascii="Times New Roman" w:hAnsi="Times New Roman" w:cs="Times New Roman"/>
                <w:lang w:val="en-US"/>
              </w:rPr>
            </w:pPr>
          </w:p>
        </w:tc>
        <w:tc>
          <w:tcPr>
            <w:tcW w:w="799" w:type="dxa"/>
            <w:tcBorders>
              <w:bottom w:val="nil"/>
            </w:tcBorders>
          </w:tcPr>
          <w:p w14:paraId="63D4A53D" w14:textId="77777777" w:rsidR="006A43FB" w:rsidRPr="004A2990" w:rsidRDefault="006A43FB" w:rsidP="006A43FB">
            <w:pPr>
              <w:rPr>
                <w:rFonts w:ascii="Times New Roman" w:hAnsi="Times New Roman" w:cs="Times New Roman"/>
                <w:lang w:val="en-US"/>
              </w:rPr>
            </w:pPr>
          </w:p>
        </w:tc>
        <w:tc>
          <w:tcPr>
            <w:tcW w:w="875" w:type="dxa"/>
          </w:tcPr>
          <w:p w14:paraId="6FD4004E" w14:textId="77777777" w:rsidR="006A43FB" w:rsidRPr="004A2990" w:rsidRDefault="006A43FB" w:rsidP="006A43FB">
            <w:pPr>
              <w:rPr>
                <w:rFonts w:ascii="Times New Roman" w:hAnsi="Times New Roman" w:cs="Times New Roman"/>
                <w:lang w:val="en-US"/>
              </w:rPr>
            </w:pPr>
            <w:r w:rsidRPr="004A2990">
              <w:rPr>
                <w:rFonts w:ascii="Times New Roman" w:hAnsi="Times New Roman" w:cs="Times New Roman"/>
                <w:lang w:val="en-US"/>
              </w:rPr>
              <w:t>Syrian</w:t>
            </w:r>
          </w:p>
        </w:tc>
        <w:tc>
          <w:tcPr>
            <w:tcW w:w="1134" w:type="dxa"/>
          </w:tcPr>
          <w:p w14:paraId="331CA6CC" w14:textId="77777777" w:rsidR="006A43FB" w:rsidRPr="004A2990" w:rsidRDefault="006A43FB" w:rsidP="006A43FB">
            <w:pPr>
              <w:rPr>
                <w:rFonts w:ascii="Times New Roman" w:hAnsi="Times New Roman" w:cs="Times New Roman"/>
                <w:lang w:val="en-US"/>
              </w:rPr>
            </w:pPr>
          </w:p>
        </w:tc>
        <w:tc>
          <w:tcPr>
            <w:tcW w:w="992" w:type="dxa"/>
          </w:tcPr>
          <w:p w14:paraId="5963EAE1" w14:textId="5B186F6D" w:rsidR="006A43FB" w:rsidRPr="004A2990" w:rsidRDefault="006A43FB" w:rsidP="006A43FB">
            <w:pPr>
              <w:rPr>
                <w:rFonts w:ascii="Times New Roman" w:hAnsi="Times New Roman" w:cs="Times New Roman"/>
                <w:lang w:val="en-US"/>
              </w:rPr>
            </w:pPr>
            <w:proofErr w:type="spellStart"/>
            <w:r w:rsidRPr="004A2990">
              <w:rPr>
                <w:rFonts w:ascii="Times New Roman" w:hAnsi="Times New Roman" w:cs="Times New Roman"/>
                <w:i/>
                <w:lang w:val="en-US"/>
              </w:rPr>
              <w:t>Df</w:t>
            </w:r>
            <w:proofErr w:type="spellEnd"/>
          </w:p>
        </w:tc>
        <w:tc>
          <w:tcPr>
            <w:tcW w:w="1418" w:type="dxa"/>
          </w:tcPr>
          <w:p w14:paraId="35D82C79" w14:textId="3AEDD0B0" w:rsidR="006A43FB" w:rsidRPr="004A2990" w:rsidRDefault="006A43FB" w:rsidP="006A43FB">
            <w:pPr>
              <w:rPr>
                <w:rFonts w:ascii="Times New Roman" w:hAnsi="Times New Roman" w:cs="Times New Roman"/>
                <w:lang w:val="en-US"/>
              </w:rPr>
            </w:pPr>
            <w:r w:rsidRPr="004A2990">
              <w:rPr>
                <w:rFonts w:ascii="Times New Roman" w:hAnsi="Times New Roman" w:cs="Times New Roman"/>
                <w:i/>
                <w:lang w:val="en-US"/>
              </w:rPr>
              <w:t>F</w:t>
            </w:r>
          </w:p>
        </w:tc>
        <w:tc>
          <w:tcPr>
            <w:tcW w:w="1276" w:type="dxa"/>
          </w:tcPr>
          <w:p w14:paraId="57071E99" w14:textId="6F84061B" w:rsidR="006A43FB" w:rsidRPr="004A2990" w:rsidRDefault="006A43FB" w:rsidP="006A43FB">
            <w:pPr>
              <w:rPr>
                <w:rFonts w:ascii="Times New Roman" w:hAnsi="Times New Roman" w:cs="Times New Roman"/>
                <w:lang w:val="en-US"/>
              </w:rPr>
            </w:pPr>
            <w:r w:rsidRPr="004A2990">
              <w:rPr>
                <w:rFonts w:ascii="Times New Roman" w:hAnsi="Times New Roman" w:cs="Times New Roman"/>
                <w:lang w:val="en-US"/>
              </w:rPr>
              <w:t>ηp</w:t>
            </w:r>
            <w:r w:rsidRPr="004A2990">
              <w:rPr>
                <w:rFonts w:ascii="Times New Roman" w:hAnsi="Times New Roman" w:cs="Times New Roman"/>
                <w:vertAlign w:val="superscript"/>
                <w:lang w:val="en-US"/>
              </w:rPr>
              <w:t>2</w:t>
            </w:r>
          </w:p>
        </w:tc>
        <w:tc>
          <w:tcPr>
            <w:tcW w:w="1275" w:type="dxa"/>
          </w:tcPr>
          <w:p w14:paraId="73D679BD" w14:textId="44595302" w:rsidR="006A43FB" w:rsidRPr="004A2990" w:rsidRDefault="006A43FB" w:rsidP="006A43FB">
            <w:pPr>
              <w:rPr>
                <w:rFonts w:ascii="Times New Roman" w:hAnsi="Times New Roman" w:cs="Times New Roman"/>
                <w:lang w:val="en-US"/>
              </w:rPr>
            </w:pPr>
            <w:r w:rsidRPr="004A2990">
              <w:rPr>
                <w:rFonts w:ascii="Times New Roman" w:hAnsi="Times New Roman" w:cs="Times New Roman"/>
                <w:i/>
                <w:lang w:val="en-US"/>
              </w:rPr>
              <w:t>p</w:t>
            </w:r>
          </w:p>
        </w:tc>
      </w:tr>
      <w:tr w:rsidR="006A43FB" w:rsidRPr="004A2990" w14:paraId="529E2471" w14:textId="06093A74" w:rsidTr="00A93D7C">
        <w:trPr>
          <w:trHeight w:val="562"/>
        </w:trPr>
        <w:tc>
          <w:tcPr>
            <w:tcW w:w="1701" w:type="dxa"/>
            <w:tcBorders>
              <w:top w:val="nil"/>
              <w:bottom w:val="single" w:sz="4" w:space="0" w:color="auto"/>
            </w:tcBorders>
          </w:tcPr>
          <w:p w14:paraId="0EE82550" w14:textId="77777777" w:rsidR="006A43FB" w:rsidRPr="004A2990" w:rsidRDefault="006A43FB" w:rsidP="008F20EB">
            <w:pPr>
              <w:rPr>
                <w:rFonts w:ascii="Times New Roman" w:hAnsi="Times New Roman" w:cs="Times New Roman"/>
                <w:lang w:val="en-US"/>
              </w:rPr>
            </w:pPr>
          </w:p>
        </w:tc>
        <w:tc>
          <w:tcPr>
            <w:tcW w:w="993" w:type="dxa"/>
            <w:tcBorders>
              <w:bottom w:val="single" w:sz="4" w:space="0" w:color="auto"/>
            </w:tcBorders>
          </w:tcPr>
          <w:p w14:paraId="7AEC2DD3" w14:textId="77777777" w:rsidR="006A43FB" w:rsidRPr="004A2990" w:rsidRDefault="006A43FB" w:rsidP="008F20EB">
            <w:pPr>
              <w:jc w:val="center"/>
              <w:rPr>
                <w:rFonts w:ascii="Times New Roman" w:hAnsi="Times New Roman" w:cs="Times New Roman"/>
                <w:i/>
                <w:lang w:val="en-US"/>
              </w:rPr>
            </w:pPr>
            <w:r w:rsidRPr="004A2990">
              <w:rPr>
                <w:rFonts w:ascii="Times New Roman" w:hAnsi="Times New Roman" w:cs="Times New Roman"/>
                <w:i/>
                <w:lang w:val="en-US"/>
              </w:rPr>
              <w:t>M</w:t>
            </w:r>
          </w:p>
        </w:tc>
        <w:tc>
          <w:tcPr>
            <w:tcW w:w="747" w:type="dxa"/>
            <w:tcBorders>
              <w:bottom w:val="single" w:sz="4" w:space="0" w:color="auto"/>
            </w:tcBorders>
          </w:tcPr>
          <w:p w14:paraId="51A6E798" w14:textId="77777777" w:rsidR="006A43FB" w:rsidRPr="004A2990" w:rsidRDefault="006A43FB" w:rsidP="008F20EB">
            <w:pPr>
              <w:jc w:val="center"/>
              <w:rPr>
                <w:rFonts w:ascii="Times New Roman" w:hAnsi="Times New Roman" w:cs="Times New Roman"/>
                <w:i/>
                <w:lang w:val="en-US"/>
              </w:rPr>
            </w:pPr>
            <w:r w:rsidRPr="004A2990">
              <w:rPr>
                <w:rFonts w:ascii="Times New Roman" w:hAnsi="Times New Roman" w:cs="Times New Roman"/>
                <w:i/>
                <w:lang w:val="en-US"/>
              </w:rPr>
              <w:t>SD</w:t>
            </w:r>
          </w:p>
        </w:tc>
        <w:tc>
          <w:tcPr>
            <w:tcW w:w="799" w:type="dxa"/>
            <w:tcBorders>
              <w:top w:val="nil"/>
              <w:bottom w:val="single" w:sz="4" w:space="0" w:color="auto"/>
            </w:tcBorders>
          </w:tcPr>
          <w:p w14:paraId="0B0F9A73" w14:textId="77777777" w:rsidR="006A43FB" w:rsidRPr="004A2990" w:rsidRDefault="006A43FB" w:rsidP="008F20EB">
            <w:pPr>
              <w:jc w:val="center"/>
              <w:rPr>
                <w:rFonts w:ascii="Times New Roman" w:hAnsi="Times New Roman" w:cs="Times New Roman"/>
                <w:i/>
                <w:lang w:val="en-US"/>
              </w:rPr>
            </w:pPr>
          </w:p>
        </w:tc>
        <w:tc>
          <w:tcPr>
            <w:tcW w:w="863" w:type="dxa"/>
            <w:tcBorders>
              <w:bottom w:val="single" w:sz="4" w:space="0" w:color="auto"/>
            </w:tcBorders>
          </w:tcPr>
          <w:p w14:paraId="70A4D44A" w14:textId="77777777" w:rsidR="006A43FB" w:rsidRPr="004A2990" w:rsidRDefault="006A43FB" w:rsidP="008F20EB">
            <w:pPr>
              <w:rPr>
                <w:rFonts w:ascii="Times New Roman" w:hAnsi="Times New Roman" w:cs="Times New Roman"/>
                <w:i/>
                <w:lang w:val="en-US"/>
              </w:rPr>
            </w:pPr>
            <w:r w:rsidRPr="004A2990">
              <w:rPr>
                <w:rFonts w:ascii="Times New Roman" w:hAnsi="Times New Roman" w:cs="Times New Roman"/>
                <w:i/>
                <w:lang w:val="en-US"/>
              </w:rPr>
              <w:t>M</w:t>
            </w:r>
          </w:p>
        </w:tc>
        <w:tc>
          <w:tcPr>
            <w:tcW w:w="736" w:type="dxa"/>
            <w:tcBorders>
              <w:bottom w:val="single" w:sz="4" w:space="0" w:color="auto"/>
            </w:tcBorders>
          </w:tcPr>
          <w:p w14:paraId="7E7102A8" w14:textId="77777777" w:rsidR="006A43FB" w:rsidRPr="004A2990" w:rsidRDefault="006A43FB" w:rsidP="008F20EB">
            <w:pPr>
              <w:jc w:val="both"/>
              <w:rPr>
                <w:rFonts w:ascii="Times New Roman" w:hAnsi="Times New Roman" w:cs="Times New Roman"/>
                <w:lang w:val="en-US"/>
              </w:rPr>
            </w:pPr>
            <w:r w:rsidRPr="004A2990">
              <w:rPr>
                <w:rFonts w:ascii="Times New Roman" w:hAnsi="Times New Roman" w:cs="Times New Roman"/>
                <w:lang w:val="en-US"/>
              </w:rPr>
              <w:t>SD</w:t>
            </w:r>
          </w:p>
        </w:tc>
        <w:tc>
          <w:tcPr>
            <w:tcW w:w="799" w:type="dxa"/>
            <w:tcBorders>
              <w:top w:val="nil"/>
              <w:bottom w:val="single" w:sz="4" w:space="0" w:color="auto"/>
            </w:tcBorders>
          </w:tcPr>
          <w:p w14:paraId="507FD6E6" w14:textId="77777777" w:rsidR="006A43FB" w:rsidRPr="004A2990" w:rsidRDefault="006A43FB" w:rsidP="008F20EB">
            <w:pPr>
              <w:jc w:val="center"/>
              <w:rPr>
                <w:rFonts w:ascii="Times New Roman" w:hAnsi="Times New Roman" w:cs="Times New Roman"/>
                <w:lang w:val="en-US"/>
              </w:rPr>
            </w:pPr>
          </w:p>
          <w:p w14:paraId="536416BC" w14:textId="77777777" w:rsidR="006A43FB" w:rsidRPr="004A2990" w:rsidRDefault="006A43FB" w:rsidP="008F20EB">
            <w:pPr>
              <w:rPr>
                <w:rFonts w:ascii="Times New Roman" w:hAnsi="Times New Roman" w:cs="Times New Roman"/>
                <w:lang w:val="en-US"/>
              </w:rPr>
            </w:pPr>
          </w:p>
        </w:tc>
        <w:tc>
          <w:tcPr>
            <w:tcW w:w="875" w:type="dxa"/>
            <w:tcBorders>
              <w:bottom w:val="single" w:sz="4" w:space="0" w:color="auto"/>
            </w:tcBorders>
          </w:tcPr>
          <w:p w14:paraId="41C91AB1" w14:textId="77777777" w:rsidR="006A43FB" w:rsidRPr="004A2990" w:rsidRDefault="006A43FB" w:rsidP="008F20EB">
            <w:pPr>
              <w:rPr>
                <w:rFonts w:ascii="Times New Roman" w:hAnsi="Times New Roman" w:cs="Times New Roman"/>
                <w:lang w:val="en-US"/>
              </w:rPr>
            </w:pPr>
            <w:r w:rsidRPr="004A2990">
              <w:rPr>
                <w:rFonts w:ascii="Times New Roman" w:hAnsi="Times New Roman" w:cs="Times New Roman"/>
                <w:lang w:val="en-US"/>
              </w:rPr>
              <w:t>M</w:t>
            </w:r>
          </w:p>
        </w:tc>
        <w:tc>
          <w:tcPr>
            <w:tcW w:w="1134" w:type="dxa"/>
            <w:tcBorders>
              <w:bottom w:val="single" w:sz="4" w:space="0" w:color="auto"/>
            </w:tcBorders>
          </w:tcPr>
          <w:p w14:paraId="5B11BD75" w14:textId="77777777" w:rsidR="006A43FB" w:rsidRPr="004A2990" w:rsidRDefault="006A43FB" w:rsidP="008F20EB">
            <w:pPr>
              <w:rPr>
                <w:rFonts w:ascii="Times New Roman" w:hAnsi="Times New Roman" w:cs="Times New Roman"/>
                <w:i/>
                <w:lang w:val="en-US"/>
              </w:rPr>
            </w:pPr>
            <w:r w:rsidRPr="004A2990">
              <w:rPr>
                <w:rFonts w:ascii="Times New Roman" w:hAnsi="Times New Roman" w:cs="Times New Roman"/>
                <w:i/>
                <w:lang w:val="en-US"/>
              </w:rPr>
              <w:t>SD</w:t>
            </w:r>
          </w:p>
        </w:tc>
        <w:tc>
          <w:tcPr>
            <w:tcW w:w="992" w:type="dxa"/>
            <w:tcBorders>
              <w:bottom w:val="single" w:sz="4" w:space="0" w:color="auto"/>
            </w:tcBorders>
          </w:tcPr>
          <w:p w14:paraId="700A2C71" w14:textId="77777777" w:rsidR="006A43FB" w:rsidRPr="004A2990" w:rsidRDefault="006A43FB" w:rsidP="00596AE4">
            <w:pPr>
              <w:rPr>
                <w:rFonts w:ascii="Times New Roman" w:hAnsi="Times New Roman" w:cs="Times New Roman"/>
                <w:i/>
                <w:lang w:val="en-US"/>
              </w:rPr>
            </w:pPr>
          </w:p>
        </w:tc>
        <w:tc>
          <w:tcPr>
            <w:tcW w:w="1418" w:type="dxa"/>
            <w:tcBorders>
              <w:bottom w:val="single" w:sz="4" w:space="0" w:color="auto"/>
            </w:tcBorders>
          </w:tcPr>
          <w:p w14:paraId="3EAF0F3C" w14:textId="77777777" w:rsidR="006A43FB" w:rsidRPr="004A2990" w:rsidRDefault="006A43FB" w:rsidP="00596AE4">
            <w:pPr>
              <w:rPr>
                <w:rFonts w:ascii="Times New Roman" w:hAnsi="Times New Roman" w:cs="Times New Roman"/>
                <w:i/>
                <w:lang w:val="en-US"/>
              </w:rPr>
            </w:pPr>
          </w:p>
        </w:tc>
        <w:tc>
          <w:tcPr>
            <w:tcW w:w="1276" w:type="dxa"/>
            <w:tcBorders>
              <w:bottom w:val="single" w:sz="4" w:space="0" w:color="auto"/>
            </w:tcBorders>
          </w:tcPr>
          <w:p w14:paraId="408AC113" w14:textId="77777777" w:rsidR="006A43FB" w:rsidRPr="004A2990" w:rsidRDefault="006A43FB" w:rsidP="00596AE4">
            <w:pPr>
              <w:rPr>
                <w:rFonts w:ascii="Times New Roman" w:hAnsi="Times New Roman" w:cs="Times New Roman"/>
                <w:i/>
                <w:lang w:val="en-US"/>
              </w:rPr>
            </w:pPr>
          </w:p>
        </w:tc>
        <w:tc>
          <w:tcPr>
            <w:tcW w:w="1275" w:type="dxa"/>
            <w:tcBorders>
              <w:bottom w:val="single" w:sz="4" w:space="0" w:color="auto"/>
            </w:tcBorders>
          </w:tcPr>
          <w:p w14:paraId="2B14321C" w14:textId="472DBBCF" w:rsidR="006A43FB" w:rsidRPr="004A2990" w:rsidRDefault="006A43FB" w:rsidP="00596AE4">
            <w:pPr>
              <w:rPr>
                <w:rFonts w:ascii="Times New Roman" w:hAnsi="Times New Roman" w:cs="Times New Roman"/>
                <w:i/>
                <w:lang w:val="en-US"/>
              </w:rPr>
            </w:pPr>
          </w:p>
        </w:tc>
      </w:tr>
      <w:tr w:rsidR="00573562" w:rsidRPr="004A2990" w14:paraId="34ABF2FD" w14:textId="40D317F7" w:rsidTr="00A93D7C">
        <w:trPr>
          <w:trHeight w:val="693"/>
        </w:trPr>
        <w:tc>
          <w:tcPr>
            <w:tcW w:w="1701" w:type="dxa"/>
            <w:tcBorders>
              <w:top w:val="single" w:sz="4" w:space="0" w:color="auto"/>
              <w:bottom w:val="nil"/>
            </w:tcBorders>
          </w:tcPr>
          <w:p w14:paraId="17E8F552" w14:textId="49F50118" w:rsidR="00573562" w:rsidRPr="004A2990" w:rsidRDefault="00573562" w:rsidP="00573562">
            <w:pPr>
              <w:rPr>
                <w:rFonts w:ascii="Times New Roman" w:hAnsi="Times New Roman" w:cs="Times New Roman"/>
                <w:lang w:val="en-US"/>
              </w:rPr>
            </w:pPr>
            <w:r w:rsidRPr="004A2990">
              <w:rPr>
                <w:rFonts w:ascii="Times New Roman" w:hAnsi="Times New Roman" w:cs="Times New Roman"/>
                <w:lang w:val="en-US"/>
              </w:rPr>
              <w:t>Similarity</w:t>
            </w:r>
          </w:p>
        </w:tc>
        <w:tc>
          <w:tcPr>
            <w:tcW w:w="993" w:type="dxa"/>
            <w:tcBorders>
              <w:top w:val="single" w:sz="4" w:space="0" w:color="auto"/>
              <w:bottom w:val="nil"/>
            </w:tcBorders>
          </w:tcPr>
          <w:p w14:paraId="5F17FE57" w14:textId="12F9924B"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3.43 b</w:t>
            </w:r>
          </w:p>
        </w:tc>
        <w:tc>
          <w:tcPr>
            <w:tcW w:w="747" w:type="dxa"/>
            <w:tcBorders>
              <w:top w:val="single" w:sz="4" w:space="0" w:color="auto"/>
              <w:bottom w:val="nil"/>
            </w:tcBorders>
          </w:tcPr>
          <w:p w14:paraId="3685283F" w14:textId="14412801"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1.51</w:t>
            </w:r>
          </w:p>
        </w:tc>
        <w:tc>
          <w:tcPr>
            <w:tcW w:w="799" w:type="dxa"/>
            <w:tcBorders>
              <w:top w:val="single" w:sz="4" w:space="0" w:color="auto"/>
              <w:bottom w:val="nil"/>
            </w:tcBorders>
          </w:tcPr>
          <w:p w14:paraId="2D65CE28" w14:textId="77777777" w:rsidR="00573562" w:rsidRPr="004A2990" w:rsidRDefault="00573562" w:rsidP="00573562">
            <w:pPr>
              <w:jc w:val="center"/>
              <w:rPr>
                <w:rFonts w:ascii="Times New Roman" w:hAnsi="Times New Roman" w:cs="Times New Roman"/>
                <w:lang w:val="en-US"/>
              </w:rPr>
            </w:pPr>
          </w:p>
        </w:tc>
        <w:tc>
          <w:tcPr>
            <w:tcW w:w="863" w:type="dxa"/>
            <w:tcBorders>
              <w:top w:val="single" w:sz="4" w:space="0" w:color="auto"/>
              <w:bottom w:val="nil"/>
            </w:tcBorders>
          </w:tcPr>
          <w:p w14:paraId="35A2A322" w14:textId="164578E8" w:rsidR="00573562" w:rsidRPr="004A2990" w:rsidRDefault="00573562" w:rsidP="00573562">
            <w:pPr>
              <w:rPr>
                <w:rFonts w:ascii="Times New Roman" w:hAnsi="Times New Roman" w:cs="Times New Roman"/>
                <w:lang w:val="en-US"/>
              </w:rPr>
            </w:pPr>
            <w:r w:rsidRPr="004A2990">
              <w:rPr>
                <w:rFonts w:ascii="Times New Roman" w:hAnsi="Times New Roman" w:cs="Times New Roman"/>
                <w:lang w:val="en-US"/>
              </w:rPr>
              <w:t>4.57 a</w:t>
            </w:r>
          </w:p>
        </w:tc>
        <w:tc>
          <w:tcPr>
            <w:tcW w:w="736" w:type="dxa"/>
            <w:tcBorders>
              <w:top w:val="single" w:sz="4" w:space="0" w:color="auto"/>
              <w:bottom w:val="nil"/>
            </w:tcBorders>
          </w:tcPr>
          <w:p w14:paraId="3B591795" w14:textId="320BB7C7" w:rsidR="00573562" w:rsidRPr="004A2990" w:rsidRDefault="00573562" w:rsidP="00573562">
            <w:pPr>
              <w:rPr>
                <w:rFonts w:ascii="Times New Roman" w:hAnsi="Times New Roman" w:cs="Times New Roman"/>
                <w:lang w:val="en-US"/>
              </w:rPr>
            </w:pPr>
            <w:r w:rsidRPr="004A2990">
              <w:rPr>
                <w:rFonts w:ascii="Times New Roman" w:hAnsi="Times New Roman" w:cs="Times New Roman"/>
                <w:lang w:val="en-US"/>
              </w:rPr>
              <w:t>1.25</w:t>
            </w:r>
          </w:p>
        </w:tc>
        <w:tc>
          <w:tcPr>
            <w:tcW w:w="799" w:type="dxa"/>
            <w:tcBorders>
              <w:top w:val="single" w:sz="4" w:space="0" w:color="auto"/>
              <w:bottom w:val="nil"/>
            </w:tcBorders>
          </w:tcPr>
          <w:p w14:paraId="63EA8CDD" w14:textId="77777777" w:rsidR="00573562" w:rsidRPr="004A2990" w:rsidRDefault="00573562" w:rsidP="00573562">
            <w:pPr>
              <w:jc w:val="center"/>
              <w:rPr>
                <w:rFonts w:ascii="Times New Roman" w:hAnsi="Times New Roman" w:cs="Times New Roman"/>
                <w:lang w:val="en-US"/>
              </w:rPr>
            </w:pPr>
          </w:p>
        </w:tc>
        <w:tc>
          <w:tcPr>
            <w:tcW w:w="875" w:type="dxa"/>
            <w:tcBorders>
              <w:top w:val="single" w:sz="4" w:space="0" w:color="auto"/>
              <w:bottom w:val="nil"/>
            </w:tcBorders>
          </w:tcPr>
          <w:p w14:paraId="382ADD0B" w14:textId="46B07452" w:rsidR="00573562" w:rsidRPr="004A2990" w:rsidRDefault="00573562" w:rsidP="00573562">
            <w:pPr>
              <w:rPr>
                <w:rFonts w:ascii="Times New Roman" w:hAnsi="Times New Roman" w:cs="Times New Roman"/>
                <w:lang w:val="en-US"/>
              </w:rPr>
            </w:pPr>
            <w:r w:rsidRPr="004A2990">
              <w:rPr>
                <w:rFonts w:ascii="Times New Roman" w:hAnsi="Times New Roman" w:cs="Times New Roman"/>
                <w:lang w:val="en-US"/>
              </w:rPr>
              <w:t>2.79 c</w:t>
            </w:r>
          </w:p>
        </w:tc>
        <w:tc>
          <w:tcPr>
            <w:tcW w:w="1134" w:type="dxa"/>
            <w:tcBorders>
              <w:top w:val="single" w:sz="4" w:space="0" w:color="auto"/>
              <w:bottom w:val="nil"/>
            </w:tcBorders>
          </w:tcPr>
          <w:p w14:paraId="5F6EB1E8" w14:textId="0090BE33"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1.24</w:t>
            </w:r>
          </w:p>
        </w:tc>
        <w:tc>
          <w:tcPr>
            <w:tcW w:w="992" w:type="dxa"/>
            <w:tcBorders>
              <w:bottom w:val="nil"/>
            </w:tcBorders>
          </w:tcPr>
          <w:p w14:paraId="3170B666" w14:textId="3EE64486" w:rsidR="00573562" w:rsidRPr="004A2990" w:rsidRDefault="00573562" w:rsidP="00573562">
            <w:pPr>
              <w:rPr>
                <w:rFonts w:ascii="Times New Roman" w:hAnsi="Times New Roman" w:cs="Times New Roman"/>
                <w:lang w:val="en-US"/>
              </w:rPr>
            </w:pPr>
            <w:r w:rsidRPr="004A2990">
              <w:rPr>
                <w:rFonts w:ascii="Times New Roman" w:hAnsi="Times New Roman" w:cs="Times New Roman"/>
              </w:rPr>
              <w:t>2</w:t>
            </w:r>
          </w:p>
        </w:tc>
        <w:tc>
          <w:tcPr>
            <w:tcW w:w="1418" w:type="dxa"/>
            <w:tcBorders>
              <w:bottom w:val="nil"/>
            </w:tcBorders>
          </w:tcPr>
          <w:p w14:paraId="53A721DD" w14:textId="76904F53" w:rsidR="00573562" w:rsidRPr="004A2990" w:rsidRDefault="00573562" w:rsidP="00573562">
            <w:pPr>
              <w:rPr>
                <w:rFonts w:ascii="Times New Roman" w:hAnsi="Times New Roman" w:cs="Times New Roman"/>
                <w:lang w:val="en-US"/>
              </w:rPr>
            </w:pPr>
            <w:r w:rsidRPr="004A2990">
              <w:rPr>
                <w:rFonts w:ascii="Times New Roman" w:hAnsi="Times New Roman" w:cs="Times New Roman"/>
              </w:rPr>
              <w:t>110.89</w:t>
            </w:r>
          </w:p>
        </w:tc>
        <w:tc>
          <w:tcPr>
            <w:tcW w:w="1276" w:type="dxa"/>
            <w:tcBorders>
              <w:bottom w:val="nil"/>
            </w:tcBorders>
          </w:tcPr>
          <w:p w14:paraId="62CE25A4" w14:textId="4AF29EBE" w:rsidR="00573562" w:rsidRPr="004A2990" w:rsidRDefault="00573562" w:rsidP="00573562">
            <w:pPr>
              <w:rPr>
                <w:rFonts w:ascii="Times New Roman" w:hAnsi="Times New Roman" w:cs="Times New Roman"/>
                <w:lang w:val="en-US"/>
              </w:rPr>
            </w:pPr>
            <w:r w:rsidRPr="004A2990">
              <w:rPr>
                <w:rFonts w:ascii="Times New Roman" w:hAnsi="Times New Roman" w:cs="Times New Roman"/>
              </w:rPr>
              <w:t>.451</w:t>
            </w:r>
          </w:p>
        </w:tc>
        <w:tc>
          <w:tcPr>
            <w:tcW w:w="1275" w:type="dxa"/>
            <w:tcBorders>
              <w:bottom w:val="nil"/>
            </w:tcBorders>
          </w:tcPr>
          <w:p w14:paraId="7D4B369E" w14:textId="733BF691" w:rsidR="00573562" w:rsidRPr="004A2990" w:rsidRDefault="00573562" w:rsidP="00573562">
            <w:pPr>
              <w:rPr>
                <w:rFonts w:ascii="Times New Roman" w:hAnsi="Times New Roman" w:cs="Times New Roman"/>
                <w:lang w:val="en-US"/>
              </w:rPr>
            </w:pPr>
            <w:r w:rsidRPr="004A2990">
              <w:rPr>
                <w:rFonts w:ascii="Times New Roman" w:hAnsi="Times New Roman" w:cs="Times New Roman"/>
              </w:rPr>
              <w:t>&lt;.001</w:t>
            </w:r>
          </w:p>
        </w:tc>
      </w:tr>
      <w:tr w:rsidR="00573562" w:rsidRPr="004A2990" w14:paraId="7ECCA931" w14:textId="497B4E13" w:rsidTr="00A93D7C">
        <w:trPr>
          <w:trHeight w:val="713"/>
        </w:trPr>
        <w:tc>
          <w:tcPr>
            <w:tcW w:w="1701" w:type="dxa"/>
            <w:tcBorders>
              <w:top w:val="nil"/>
              <w:bottom w:val="nil"/>
            </w:tcBorders>
          </w:tcPr>
          <w:p w14:paraId="4395A85B" w14:textId="5598583A" w:rsidR="00573562" w:rsidRPr="004A2990" w:rsidRDefault="00A93D7C" w:rsidP="00573562">
            <w:pPr>
              <w:rPr>
                <w:rFonts w:ascii="Times New Roman" w:hAnsi="Times New Roman" w:cs="Times New Roman"/>
                <w:lang w:val="en-US"/>
              </w:rPr>
            </w:pPr>
            <w:r w:rsidRPr="004A2990">
              <w:rPr>
                <w:rFonts w:ascii="Times New Roman" w:hAnsi="Times New Roman" w:cs="Times New Roman"/>
                <w:lang w:val="en-US"/>
              </w:rPr>
              <w:t xml:space="preserve">Intergroup </w:t>
            </w:r>
            <w:r w:rsidR="00573562" w:rsidRPr="004A2990">
              <w:rPr>
                <w:rFonts w:ascii="Times New Roman" w:hAnsi="Times New Roman" w:cs="Times New Roman"/>
                <w:lang w:val="en-US"/>
              </w:rPr>
              <w:t>Threat</w:t>
            </w:r>
          </w:p>
        </w:tc>
        <w:tc>
          <w:tcPr>
            <w:tcW w:w="993" w:type="dxa"/>
            <w:tcBorders>
              <w:top w:val="nil"/>
              <w:bottom w:val="nil"/>
            </w:tcBorders>
          </w:tcPr>
          <w:p w14:paraId="5F6879BB" w14:textId="0591A7DE"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3.36 b</w:t>
            </w:r>
          </w:p>
        </w:tc>
        <w:tc>
          <w:tcPr>
            <w:tcW w:w="747" w:type="dxa"/>
            <w:tcBorders>
              <w:top w:val="nil"/>
              <w:bottom w:val="nil"/>
            </w:tcBorders>
          </w:tcPr>
          <w:p w14:paraId="4612F07F" w14:textId="77777777"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1.05</w:t>
            </w:r>
          </w:p>
        </w:tc>
        <w:tc>
          <w:tcPr>
            <w:tcW w:w="799" w:type="dxa"/>
            <w:tcBorders>
              <w:top w:val="nil"/>
              <w:bottom w:val="nil"/>
            </w:tcBorders>
          </w:tcPr>
          <w:p w14:paraId="5FA111C0" w14:textId="77777777" w:rsidR="00573562" w:rsidRPr="004A2990" w:rsidRDefault="00573562" w:rsidP="00573562">
            <w:pPr>
              <w:jc w:val="center"/>
              <w:rPr>
                <w:rFonts w:ascii="Times New Roman" w:hAnsi="Times New Roman" w:cs="Times New Roman"/>
                <w:lang w:val="en-US"/>
              </w:rPr>
            </w:pPr>
          </w:p>
        </w:tc>
        <w:tc>
          <w:tcPr>
            <w:tcW w:w="863" w:type="dxa"/>
            <w:tcBorders>
              <w:top w:val="nil"/>
              <w:bottom w:val="nil"/>
            </w:tcBorders>
          </w:tcPr>
          <w:p w14:paraId="4132D5E1" w14:textId="50D3D66C"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3.41 b</w:t>
            </w:r>
          </w:p>
        </w:tc>
        <w:tc>
          <w:tcPr>
            <w:tcW w:w="736" w:type="dxa"/>
            <w:tcBorders>
              <w:top w:val="nil"/>
              <w:bottom w:val="nil"/>
            </w:tcBorders>
          </w:tcPr>
          <w:p w14:paraId="5643FE7D" w14:textId="4A42CA10"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1.18</w:t>
            </w:r>
          </w:p>
        </w:tc>
        <w:tc>
          <w:tcPr>
            <w:tcW w:w="799" w:type="dxa"/>
            <w:tcBorders>
              <w:top w:val="nil"/>
              <w:bottom w:val="nil"/>
            </w:tcBorders>
          </w:tcPr>
          <w:p w14:paraId="0986F4E1" w14:textId="77777777" w:rsidR="00573562" w:rsidRPr="004A2990" w:rsidRDefault="00573562" w:rsidP="00573562">
            <w:pPr>
              <w:jc w:val="center"/>
              <w:rPr>
                <w:rFonts w:ascii="Times New Roman" w:hAnsi="Times New Roman" w:cs="Times New Roman"/>
                <w:lang w:val="en-US"/>
              </w:rPr>
            </w:pPr>
          </w:p>
        </w:tc>
        <w:tc>
          <w:tcPr>
            <w:tcW w:w="875" w:type="dxa"/>
            <w:tcBorders>
              <w:top w:val="nil"/>
              <w:bottom w:val="nil"/>
            </w:tcBorders>
          </w:tcPr>
          <w:p w14:paraId="196D0BB2" w14:textId="0911D905"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3.71 a</w:t>
            </w:r>
          </w:p>
        </w:tc>
        <w:tc>
          <w:tcPr>
            <w:tcW w:w="1134" w:type="dxa"/>
            <w:tcBorders>
              <w:top w:val="nil"/>
              <w:bottom w:val="nil"/>
            </w:tcBorders>
          </w:tcPr>
          <w:p w14:paraId="076668BC" w14:textId="23F15824"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1.22</w:t>
            </w:r>
          </w:p>
        </w:tc>
        <w:tc>
          <w:tcPr>
            <w:tcW w:w="992" w:type="dxa"/>
            <w:tcBorders>
              <w:top w:val="nil"/>
              <w:bottom w:val="nil"/>
            </w:tcBorders>
          </w:tcPr>
          <w:p w14:paraId="70B2A0FE" w14:textId="67D51900" w:rsidR="00573562" w:rsidRPr="004A2990" w:rsidRDefault="00573562" w:rsidP="00573562">
            <w:pPr>
              <w:rPr>
                <w:rFonts w:ascii="Times New Roman" w:hAnsi="Times New Roman" w:cs="Times New Roman"/>
                <w:lang w:val="en-US"/>
              </w:rPr>
            </w:pPr>
            <w:r w:rsidRPr="004A2990">
              <w:rPr>
                <w:rFonts w:ascii="Times New Roman" w:hAnsi="Times New Roman" w:cs="Times New Roman"/>
              </w:rPr>
              <w:t>2</w:t>
            </w:r>
          </w:p>
        </w:tc>
        <w:tc>
          <w:tcPr>
            <w:tcW w:w="1418" w:type="dxa"/>
            <w:tcBorders>
              <w:top w:val="nil"/>
              <w:bottom w:val="nil"/>
            </w:tcBorders>
          </w:tcPr>
          <w:p w14:paraId="005B2515" w14:textId="5D9BDD2C" w:rsidR="00573562" w:rsidRPr="004A2990" w:rsidRDefault="00573562" w:rsidP="00573562">
            <w:pPr>
              <w:rPr>
                <w:rFonts w:ascii="Times New Roman" w:hAnsi="Times New Roman" w:cs="Times New Roman"/>
                <w:lang w:val="en-US"/>
              </w:rPr>
            </w:pPr>
            <w:r w:rsidRPr="004A2990">
              <w:rPr>
                <w:rFonts w:ascii="Times New Roman" w:hAnsi="Times New Roman" w:cs="Times New Roman"/>
              </w:rPr>
              <w:t>20.39</w:t>
            </w:r>
          </w:p>
        </w:tc>
        <w:tc>
          <w:tcPr>
            <w:tcW w:w="1276" w:type="dxa"/>
            <w:tcBorders>
              <w:top w:val="nil"/>
              <w:bottom w:val="nil"/>
            </w:tcBorders>
          </w:tcPr>
          <w:p w14:paraId="661B0006" w14:textId="4C631618" w:rsidR="00573562" w:rsidRPr="004A2990" w:rsidRDefault="00573562" w:rsidP="00573562">
            <w:pPr>
              <w:rPr>
                <w:rFonts w:ascii="Times New Roman" w:hAnsi="Times New Roman" w:cs="Times New Roman"/>
                <w:lang w:val="en-US"/>
              </w:rPr>
            </w:pPr>
            <w:r w:rsidRPr="004A2990">
              <w:rPr>
                <w:rFonts w:ascii="Times New Roman" w:hAnsi="Times New Roman" w:cs="Times New Roman"/>
              </w:rPr>
              <w:t>.131</w:t>
            </w:r>
          </w:p>
        </w:tc>
        <w:tc>
          <w:tcPr>
            <w:tcW w:w="1275" w:type="dxa"/>
            <w:tcBorders>
              <w:top w:val="nil"/>
              <w:bottom w:val="nil"/>
            </w:tcBorders>
          </w:tcPr>
          <w:p w14:paraId="1A6F005A" w14:textId="6D81DF11" w:rsidR="00573562" w:rsidRPr="004A2990" w:rsidRDefault="00573562" w:rsidP="00573562">
            <w:pPr>
              <w:rPr>
                <w:rFonts w:ascii="Times New Roman" w:hAnsi="Times New Roman" w:cs="Times New Roman"/>
                <w:lang w:val="en-US"/>
              </w:rPr>
            </w:pPr>
            <w:r w:rsidRPr="004A2990">
              <w:rPr>
                <w:rFonts w:ascii="Times New Roman" w:hAnsi="Times New Roman" w:cs="Times New Roman"/>
              </w:rPr>
              <w:t>&lt;.001</w:t>
            </w:r>
          </w:p>
        </w:tc>
      </w:tr>
      <w:tr w:rsidR="00573562" w:rsidRPr="004A2990" w14:paraId="2BBA3E23" w14:textId="2F6D412E" w:rsidTr="00A93D7C">
        <w:trPr>
          <w:trHeight w:val="710"/>
        </w:trPr>
        <w:tc>
          <w:tcPr>
            <w:tcW w:w="1701" w:type="dxa"/>
            <w:tcBorders>
              <w:top w:val="nil"/>
              <w:bottom w:val="nil"/>
            </w:tcBorders>
          </w:tcPr>
          <w:p w14:paraId="0C83C626" w14:textId="590C2727" w:rsidR="00573562" w:rsidRPr="004A2990" w:rsidRDefault="00573562" w:rsidP="007E1C89">
            <w:pPr>
              <w:rPr>
                <w:rFonts w:ascii="Times New Roman" w:hAnsi="Times New Roman" w:cs="Times New Roman"/>
                <w:lang w:val="en-US"/>
              </w:rPr>
            </w:pPr>
            <w:r w:rsidRPr="004A2990">
              <w:rPr>
                <w:rFonts w:ascii="Times New Roman" w:hAnsi="Times New Roman" w:cs="Times New Roman"/>
                <w:lang w:val="en-US"/>
              </w:rPr>
              <w:t xml:space="preserve">Positive </w:t>
            </w:r>
            <w:r w:rsidR="007E1C89">
              <w:rPr>
                <w:rFonts w:ascii="Times New Roman" w:hAnsi="Times New Roman" w:cs="Times New Roman"/>
                <w:lang w:val="en-US"/>
              </w:rPr>
              <w:t>Affect</w:t>
            </w:r>
          </w:p>
        </w:tc>
        <w:tc>
          <w:tcPr>
            <w:tcW w:w="993" w:type="dxa"/>
            <w:tcBorders>
              <w:top w:val="nil"/>
              <w:bottom w:val="nil"/>
            </w:tcBorders>
          </w:tcPr>
          <w:p w14:paraId="36555155" w14:textId="3127CD53" w:rsidR="00573562" w:rsidRPr="004A2990" w:rsidRDefault="00573562" w:rsidP="00573562">
            <w:pPr>
              <w:tabs>
                <w:tab w:val="left" w:pos="988"/>
              </w:tabs>
              <w:jc w:val="center"/>
              <w:rPr>
                <w:rFonts w:ascii="Times New Roman" w:hAnsi="Times New Roman" w:cs="Times New Roman"/>
                <w:lang w:val="en-US"/>
              </w:rPr>
            </w:pPr>
            <w:r w:rsidRPr="004A2990">
              <w:rPr>
                <w:rFonts w:ascii="Times New Roman" w:hAnsi="Times New Roman" w:cs="Times New Roman"/>
                <w:lang w:val="en-US"/>
              </w:rPr>
              <w:t>5.47 a</w:t>
            </w:r>
          </w:p>
        </w:tc>
        <w:tc>
          <w:tcPr>
            <w:tcW w:w="747" w:type="dxa"/>
            <w:tcBorders>
              <w:top w:val="nil"/>
              <w:bottom w:val="nil"/>
            </w:tcBorders>
          </w:tcPr>
          <w:p w14:paraId="021E0632" w14:textId="209AE9EA" w:rsidR="00573562" w:rsidRPr="004A2990" w:rsidRDefault="00573562" w:rsidP="00573562">
            <w:pPr>
              <w:tabs>
                <w:tab w:val="left" w:pos="988"/>
              </w:tabs>
              <w:jc w:val="center"/>
              <w:rPr>
                <w:rFonts w:ascii="Times New Roman" w:hAnsi="Times New Roman" w:cs="Times New Roman"/>
                <w:lang w:val="en-US"/>
              </w:rPr>
            </w:pPr>
            <w:r w:rsidRPr="004A2990">
              <w:rPr>
                <w:rFonts w:ascii="Times New Roman" w:hAnsi="Times New Roman" w:cs="Times New Roman"/>
                <w:lang w:val="en-US"/>
              </w:rPr>
              <w:t>1.34</w:t>
            </w:r>
          </w:p>
        </w:tc>
        <w:tc>
          <w:tcPr>
            <w:tcW w:w="799" w:type="dxa"/>
            <w:tcBorders>
              <w:top w:val="nil"/>
              <w:bottom w:val="nil"/>
            </w:tcBorders>
          </w:tcPr>
          <w:p w14:paraId="54E0573F" w14:textId="77777777" w:rsidR="00573562" w:rsidRPr="004A2990" w:rsidRDefault="00573562" w:rsidP="00573562">
            <w:pPr>
              <w:tabs>
                <w:tab w:val="left" w:pos="988"/>
              </w:tabs>
              <w:jc w:val="center"/>
              <w:rPr>
                <w:rFonts w:ascii="Times New Roman" w:hAnsi="Times New Roman" w:cs="Times New Roman"/>
                <w:lang w:val="en-US"/>
              </w:rPr>
            </w:pPr>
          </w:p>
        </w:tc>
        <w:tc>
          <w:tcPr>
            <w:tcW w:w="863" w:type="dxa"/>
            <w:tcBorders>
              <w:top w:val="nil"/>
              <w:bottom w:val="nil"/>
            </w:tcBorders>
          </w:tcPr>
          <w:p w14:paraId="3D7FF6BD" w14:textId="649BA4A9" w:rsidR="00573562" w:rsidRPr="004A2990" w:rsidRDefault="00573562" w:rsidP="00573562">
            <w:pPr>
              <w:tabs>
                <w:tab w:val="left" w:pos="988"/>
              </w:tabs>
              <w:jc w:val="center"/>
              <w:rPr>
                <w:rFonts w:ascii="Times New Roman" w:hAnsi="Times New Roman" w:cs="Times New Roman"/>
                <w:lang w:val="en-US"/>
              </w:rPr>
            </w:pPr>
            <w:r w:rsidRPr="004A2990">
              <w:rPr>
                <w:rFonts w:ascii="Times New Roman" w:hAnsi="Times New Roman" w:cs="Times New Roman"/>
                <w:lang w:val="en-US"/>
              </w:rPr>
              <w:t>5.14 b</w:t>
            </w:r>
          </w:p>
        </w:tc>
        <w:tc>
          <w:tcPr>
            <w:tcW w:w="736" w:type="dxa"/>
            <w:tcBorders>
              <w:top w:val="nil"/>
              <w:bottom w:val="nil"/>
            </w:tcBorders>
          </w:tcPr>
          <w:p w14:paraId="71297BE3" w14:textId="680EC841" w:rsidR="00573562" w:rsidRPr="004A2990" w:rsidRDefault="00573562" w:rsidP="00573562">
            <w:pPr>
              <w:tabs>
                <w:tab w:val="left" w:pos="988"/>
              </w:tabs>
              <w:jc w:val="center"/>
              <w:rPr>
                <w:rFonts w:ascii="Times New Roman" w:hAnsi="Times New Roman" w:cs="Times New Roman"/>
                <w:lang w:val="en-US"/>
              </w:rPr>
            </w:pPr>
            <w:r w:rsidRPr="004A2990">
              <w:rPr>
                <w:rFonts w:ascii="Times New Roman" w:hAnsi="Times New Roman" w:cs="Times New Roman"/>
                <w:lang w:val="en-US"/>
              </w:rPr>
              <w:t>1.44</w:t>
            </w:r>
          </w:p>
        </w:tc>
        <w:tc>
          <w:tcPr>
            <w:tcW w:w="799" w:type="dxa"/>
            <w:tcBorders>
              <w:top w:val="nil"/>
              <w:bottom w:val="nil"/>
            </w:tcBorders>
          </w:tcPr>
          <w:p w14:paraId="5F829B64" w14:textId="77777777" w:rsidR="00573562" w:rsidRPr="004A2990" w:rsidRDefault="00573562" w:rsidP="00573562">
            <w:pPr>
              <w:tabs>
                <w:tab w:val="left" w:pos="988"/>
              </w:tabs>
              <w:jc w:val="center"/>
              <w:rPr>
                <w:rFonts w:ascii="Times New Roman" w:hAnsi="Times New Roman" w:cs="Times New Roman"/>
                <w:lang w:val="en-US"/>
              </w:rPr>
            </w:pPr>
          </w:p>
        </w:tc>
        <w:tc>
          <w:tcPr>
            <w:tcW w:w="875" w:type="dxa"/>
            <w:tcBorders>
              <w:top w:val="nil"/>
              <w:bottom w:val="nil"/>
            </w:tcBorders>
          </w:tcPr>
          <w:p w14:paraId="309022C5" w14:textId="19F09F0D" w:rsidR="00573562" w:rsidRPr="004A2990" w:rsidRDefault="00573562" w:rsidP="00573562">
            <w:pPr>
              <w:tabs>
                <w:tab w:val="left" w:pos="988"/>
              </w:tabs>
              <w:jc w:val="center"/>
              <w:rPr>
                <w:rFonts w:ascii="Times New Roman" w:hAnsi="Times New Roman" w:cs="Times New Roman"/>
                <w:lang w:val="en-US"/>
              </w:rPr>
            </w:pPr>
            <w:r w:rsidRPr="004A2990">
              <w:rPr>
                <w:rFonts w:ascii="Times New Roman" w:hAnsi="Times New Roman" w:cs="Times New Roman"/>
                <w:lang w:val="en-US"/>
              </w:rPr>
              <w:t>4.91 c</w:t>
            </w:r>
          </w:p>
        </w:tc>
        <w:tc>
          <w:tcPr>
            <w:tcW w:w="1134" w:type="dxa"/>
            <w:tcBorders>
              <w:top w:val="nil"/>
              <w:bottom w:val="nil"/>
            </w:tcBorders>
          </w:tcPr>
          <w:p w14:paraId="2492B86F" w14:textId="273B9A8C" w:rsidR="00573562" w:rsidRPr="004A2990" w:rsidRDefault="00573562" w:rsidP="00573562">
            <w:pPr>
              <w:tabs>
                <w:tab w:val="left" w:pos="988"/>
              </w:tabs>
              <w:jc w:val="center"/>
              <w:rPr>
                <w:rFonts w:ascii="Times New Roman" w:hAnsi="Times New Roman" w:cs="Times New Roman"/>
                <w:lang w:val="en-US"/>
              </w:rPr>
            </w:pPr>
            <w:r w:rsidRPr="004A2990">
              <w:rPr>
                <w:rFonts w:ascii="Times New Roman" w:hAnsi="Times New Roman" w:cs="Times New Roman"/>
                <w:lang w:val="en-US"/>
              </w:rPr>
              <w:t>1.64</w:t>
            </w:r>
          </w:p>
        </w:tc>
        <w:tc>
          <w:tcPr>
            <w:tcW w:w="992" w:type="dxa"/>
            <w:tcBorders>
              <w:top w:val="nil"/>
              <w:bottom w:val="nil"/>
            </w:tcBorders>
          </w:tcPr>
          <w:p w14:paraId="4D8568D4" w14:textId="77C3406B" w:rsidR="00573562" w:rsidRPr="004A2990" w:rsidRDefault="00573562" w:rsidP="00573562">
            <w:pPr>
              <w:tabs>
                <w:tab w:val="left" w:pos="988"/>
              </w:tabs>
              <w:rPr>
                <w:rFonts w:ascii="Times New Roman" w:hAnsi="Times New Roman" w:cs="Times New Roman"/>
                <w:lang w:val="en-US"/>
              </w:rPr>
            </w:pPr>
            <w:r w:rsidRPr="004A2990">
              <w:rPr>
                <w:rFonts w:ascii="Times New Roman" w:hAnsi="Times New Roman" w:cs="Times New Roman"/>
              </w:rPr>
              <w:t>2</w:t>
            </w:r>
          </w:p>
        </w:tc>
        <w:tc>
          <w:tcPr>
            <w:tcW w:w="1418" w:type="dxa"/>
            <w:tcBorders>
              <w:top w:val="nil"/>
              <w:bottom w:val="nil"/>
            </w:tcBorders>
          </w:tcPr>
          <w:p w14:paraId="77261CC3" w14:textId="32DE0B4F" w:rsidR="00573562" w:rsidRPr="004A2990" w:rsidRDefault="00573562" w:rsidP="00573562">
            <w:pPr>
              <w:tabs>
                <w:tab w:val="left" w:pos="988"/>
              </w:tabs>
              <w:rPr>
                <w:rFonts w:ascii="Times New Roman" w:hAnsi="Times New Roman" w:cs="Times New Roman"/>
                <w:lang w:val="en-US"/>
              </w:rPr>
            </w:pPr>
            <w:r w:rsidRPr="004A2990">
              <w:rPr>
                <w:rFonts w:ascii="Times New Roman" w:hAnsi="Times New Roman" w:cs="Times New Roman"/>
              </w:rPr>
              <w:t>12.69</w:t>
            </w:r>
          </w:p>
        </w:tc>
        <w:tc>
          <w:tcPr>
            <w:tcW w:w="1276" w:type="dxa"/>
            <w:tcBorders>
              <w:top w:val="nil"/>
              <w:bottom w:val="nil"/>
            </w:tcBorders>
          </w:tcPr>
          <w:p w14:paraId="16F56C81" w14:textId="2D7BD7AA" w:rsidR="00573562" w:rsidRPr="004A2990" w:rsidRDefault="00573562" w:rsidP="00573562">
            <w:pPr>
              <w:tabs>
                <w:tab w:val="left" w:pos="988"/>
              </w:tabs>
              <w:rPr>
                <w:rFonts w:ascii="Times New Roman" w:hAnsi="Times New Roman" w:cs="Times New Roman"/>
                <w:lang w:val="en-US"/>
              </w:rPr>
            </w:pPr>
            <w:r w:rsidRPr="004A2990">
              <w:rPr>
                <w:rFonts w:ascii="Times New Roman" w:hAnsi="Times New Roman" w:cs="Times New Roman"/>
              </w:rPr>
              <w:t>.086</w:t>
            </w:r>
          </w:p>
        </w:tc>
        <w:tc>
          <w:tcPr>
            <w:tcW w:w="1275" w:type="dxa"/>
            <w:tcBorders>
              <w:top w:val="nil"/>
              <w:bottom w:val="nil"/>
            </w:tcBorders>
          </w:tcPr>
          <w:p w14:paraId="0D6A5C4D" w14:textId="33112F82" w:rsidR="00573562" w:rsidRPr="004A2990" w:rsidRDefault="00573562" w:rsidP="00573562">
            <w:pPr>
              <w:tabs>
                <w:tab w:val="left" w:pos="988"/>
              </w:tabs>
              <w:rPr>
                <w:rFonts w:ascii="Times New Roman" w:hAnsi="Times New Roman" w:cs="Times New Roman"/>
                <w:lang w:val="en-US"/>
              </w:rPr>
            </w:pPr>
            <w:r w:rsidRPr="004A2990">
              <w:rPr>
                <w:rFonts w:ascii="Times New Roman" w:hAnsi="Times New Roman" w:cs="Times New Roman"/>
              </w:rPr>
              <w:t>&lt;.001</w:t>
            </w:r>
          </w:p>
        </w:tc>
      </w:tr>
      <w:tr w:rsidR="00573562" w:rsidRPr="004A2990" w14:paraId="23EB7643" w14:textId="4463C09A" w:rsidTr="00A93D7C">
        <w:trPr>
          <w:trHeight w:val="706"/>
        </w:trPr>
        <w:tc>
          <w:tcPr>
            <w:tcW w:w="1701" w:type="dxa"/>
            <w:tcBorders>
              <w:top w:val="nil"/>
              <w:bottom w:val="nil"/>
            </w:tcBorders>
          </w:tcPr>
          <w:p w14:paraId="22EE86F4" w14:textId="2B729824" w:rsidR="00573562" w:rsidRPr="004A2990" w:rsidRDefault="00A93D7C" w:rsidP="00A93D7C">
            <w:pPr>
              <w:rPr>
                <w:rFonts w:ascii="Times New Roman" w:hAnsi="Times New Roman" w:cs="Times New Roman"/>
                <w:lang w:val="en-US"/>
              </w:rPr>
            </w:pPr>
            <w:r w:rsidRPr="004A2990">
              <w:rPr>
                <w:rFonts w:ascii="Times New Roman" w:eastAsia="Times New Roman" w:hAnsi="Times New Roman" w:cs="Times New Roman"/>
                <w:bCs/>
              </w:rPr>
              <w:t>Perceived Right to reside</w:t>
            </w:r>
          </w:p>
        </w:tc>
        <w:tc>
          <w:tcPr>
            <w:tcW w:w="993" w:type="dxa"/>
            <w:tcBorders>
              <w:top w:val="nil"/>
              <w:bottom w:val="nil"/>
            </w:tcBorders>
          </w:tcPr>
          <w:p w14:paraId="33BC07FF" w14:textId="3000175B"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5.57 a</w:t>
            </w:r>
          </w:p>
        </w:tc>
        <w:tc>
          <w:tcPr>
            <w:tcW w:w="747" w:type="dxa"/>
            <w:tcBorders>
              <w:top w:val="nil"/>
              <w:bottom w:val="nil"/>
            </w:tcBorders>
          </w:tcPr>
          <w:p w14:paraId="4F8B94CE" w14:textId="4B6EADCC"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1.60</w:t>
            </w:r>
          </w:p>
        </w:tc>
        <w:tc>
          <w:tcPr>
            <w:tcW w:w="799" w:type="dxa"/>
            <w:tcBorders>
              <w:top w:val="nil"/>
              <w:bottom w:val="nil"/>
            </w:tcBorders>
          </w:tcPr>
          <w:p w14:paraId="38D89481" w14:textId="77777777" w:rsidR="00573562" w:rsidRPr="004A2990" w:rsidRDefault="00573562" w:rsidP="00573562">
            <w:pPr>
              <w:tabs>
                <w:tab w:val="left" w:pos="236"/>
                <w:tab w:val="center" w:pos="568"/>
              </w:tabs>
              <w:jc w:val="center"/>
              <w:rPr>
                <w:rFonts w:ascii="Times New Roman" w:hAnsi="Times New Roman" w:cs="Times New Roman"/>
                <w:lang w:val="en-US"/>
              </w:rPr>
            </w:pPr>
          </w:p>
        </w:tc>
        <w:tc>
          <w:tcPr>
            <w:tcW w:w="863" w:type="dxa"/>
            <w:tcBorders>
              <w:top w:val="nil"/>
              <w:bottom w:val="nil"/>
            </w:tcBorders>
          </w:tcPr>
          <w:p w14:paraId="67C5E164" w14:textId="6E1BF416" w:rsidR="00573562" w:rsidRPr="004A2990" w:rsidRDefault="00573562" w:rsidP="00573562">
            <w:pPr>
              <w:tabs>
                <w:tab w:val="left" w:pos="236"/>
                <w:tab w:val="center" w:pos="568"/>
              </w:tabs>
              <w:jc w:val="center"/>
              <w:rPr>
                <w:rFonts w:ascii="Times New Roman" w:hAnsi="Times New Roman" w:cs="Times New Roman"/>
                <w:lang w:val="en-US"/>
              </w:rPr>
            </w:pPr>
            <w:r w:rsidRPr="004A2990">
              <w:rPr>
                <w:rFonts w:ascii="Times New Roman" w:hAnsi="Times New Roman" w:cs="Times New Roman"/>
                <w:lang w:val="en-US"/>
              </w:rPr>
              <w:t>5.54 a</w:t>
            </w:r>
          </w:p>
        </w:tc>
        <w:tc>
          <w:tcPr>
            <w:tcW w:w="736" w:type="dxa"/>
            <w:tcBorders>
              <w:top w:val="nil"/>
              <w:bottom w:val="nil"/>
            </w:tcBorders>
          </w:tcPr>
          <w:p w14:paraId="2D64B2F0" w14:textId="7B1725AC"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1.54</w:t>
            </w:r>
          </w:p>
        </w:tc>
        <w:tc>
          <w:tcPr>
            <w:tcW w:w="799" w:type="dxa"/>
            <w:tcBorders>
              <w:top w:val="nil"/>
              <w:bottom w:val="nil"/>
            </w:tcBorders>
          </w:tcPr>
          <w:p w14:paraId="0B317376" w14:textId="77777777" w:rsidR="00573562" w:rsidRPr="004A2990" w:rsidRDefault="00573562" w:rsidP="00573562">
            <w:pPr>
              <w:jc w:val="center"/>
              <w:rPr>
                <w:rFonts w:ascii="Times New Roman" w:hAnsi="Times New Roman" w:cs="Times New Roman"/>
                <w:lang w:val="en-US"/>
              </w:rPr>
            </w:pPr>
          </w:p>
        </w:tc>
        <w:tc>
          <w:tcPr>
            <w:tcW w:w="875" w:type="dxa"/>
            <w:tcBorders>
              <w:top w:val="nil"/>
              <w:bottom w:val="nil"/>
            </w:tcBorders>
          </w:tcPr>
          <w:p w14:paraId="03273A48" w14:textId="0D74EB6A"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4.88 b</w:t>
            </w:r>
          </w:p>
        </w:tc>
        <w:tc>
          <w:tcPr>
            <w:tcW w:w="1134" w:type="dxa"/>
            <w:tcBorders>
              <w:top w:val="nil"/>
              <w:bottom w:val="nil"/>
            </w:tcBorders>
          </w:tcPr>
          <w:p w14:paraId="12F3896B" w14:textId="68E765C3" w:rsidR="00573562" w:rsidRPr="004A2990" w:rsidRDefault="00573562" w:rsidP="00573562">
            <w:pPr>
              <w:jc w:val="center"/>
              <w:rPr>
                <w:rFonts w:ascii="Times New Roman" w:hAnsi="Times New Roman" w:cs="Times New Roman"/>
                <w:lang w:val="en-US"/>
              </w:rPr>
            </w:pPr>
            <w:r w:rsidRPr="004A2990">
              <w:rPr>
                <w:rFonts w:ascii="Times New Roman" w:hAnsi="Times New Roman" w:cs="Times New Roman"/>
                <w:lang w:val="en-US"/>
              </w:rPr>
              <w:t>1.84</w:t>
            </w:r>
          </w:p>
        </w:tc>
        <w:tc>
          <w:tcPr>
            <w:tcW w:w="992" w:type="dxa"/>
            <w:tcBorders>
              <w:top w:val="nil"/>
              <w:bottom w:val="nil"/>
            </w:tcBorders>
          </w:tcPr>
          <w:p w14:paraId="0D7D4FD0" w14:textId="1A6F6A6F" w:rsidR="00573562" w:rsidRPr="004A2990" w:rsidRDefault="00573562" w:rsidP="00573562">
            <w:pPr>
              <w:rPr>
                <w:rFonts w:ascii="Times New Roman" w:hAnsi="Times New Roman" w:cs="Times New Roman"/>
                <w:lang w:val="en-US"/>
              </w:rPr>
            </w:pPr>
            <w:r w:rsidRPr="004A2990">
              <w:rPr>
                <w:rFonts w:ascii="Times New Roman" w:hAnsi="Times New Roman" w:cs="Times New Roman"/>
              </w:rPr>
              <w:t>2</w:t>
            </w:r>
          </w:p>
        </w:tc>
        <w:tc>
          <w:tcPr>
            <w:tcW w:w="1418" w:type="dxa"/>
            <w:tcBorders>
              <w:top w:val="nil"/>
              <w:bottom w:val="nil"/>
            </w:tcBorders>
          </w:tcPr>
          <w:p w14:paraId="521141B4" w14:textId="685BA313" w:rsidR="00573562" w:rsidRPr="004A2990" w:rsidRDefault="00573562" w:rsidP="00573562">
            <w:pPr>
              <w:rPr>
                <w:rFonts w:ascii="Times New Roman" w:hAnsi="Times New Roman" w:cs="Times New Roman"/>
                <w:lang w:val="en-US"/>
              </w:rPr>
            </w:pPr>
            <w:r w:rsidRPr="004A2990">
              <w:rPr>
                <w:rFonts w:ascii="Times New Roman" w:hAnsi="Times New Roman" w:cs="Times New Roman"/>
              </w:rPr>
              <w:t>24.06</w:t>
            </w:r>
          </w:p>
        </w:tc>
        <w:tc>
          <w:tcPr>
            <w:tcW w:w="1276" w:type="dxa"/>
            <w:tcBorders>
              <w:top w:val="nil"/>
              <w:bottom w:val="nil"/>
            </w:tcBorders>
          </w:tcPr>
          <w:p w14:paraId="03E17DB1" w14:textId="7A1F9DD8" w:rsidR="00573562" w:rsidRPr="004A2990" w:rsidRDefault="00573562" w:rsidP="00573562">
            <w:pPr>
              <w:rPr>
                <w:rFonts w:ascii="Times New Roman" w:hAnsi="Times New Roman" w:cs="Times New Roman"/>
                <w:lang w:val="en-US"/>
              </w:rPr>
            </w:pPr>
            <w:r w:rsidRPr="004A2990">
              <w:rPr>
                <w:rFonts w:ascii="Times New Roman" w:hAnsi="Times New Roman" w:cs="Times New Roman"/>
              </w:rPr>
              <w:t>.154</w:t>
            </w:r>
          </w:p>
        </w:tc>
        <w:tc>
          <w:tcPr>
            <w:tcW w:w="1275" w:type="dxa"/>
            <w:tcBorders>
              <w:top w:val="nil"/>
              <w:bottom w:val="nil"/>
            </w:tcBorders>
          </w:tcPr>
          <w:p w14:paraId="41E0AA7D" w14:textId="1442785F" w:rsidR="00573562" w:rsidRPr="004A2990" w:rsidRDefault="00573562" w:rsidP="00573562">
            <w:pPr>
              <w:rPr>
                <w:rFonts w:ascii="Times New Roman" w:hAnsi="Times New Roman" w:cs="Times New Roman"/>
                <w:lang w:val="en-US"/>
              </w:rPr>
            </w:pPr>
            <w:r w:rsidRPr="004A2990">
              <w:rPr>
                <w:rFonts w:ascii="Times New Roman" w:hAnsi="Times New Roman" w:cs="Times New Roman"/>
              </w:rPr>
              <w:t>&lt;.001</w:t>
            </w:r>
          </w:p>
        </w:tc>
      </w:tr>
      <w:tr w:rsidR="00573562" w:rsidRPr="004A2990" w14:paraId="66C19461" w14:textId="62F94F61" w:rsidTr="00A93D7C">
        <w:trPr>
          <w:trHeight w:val="526"/>
        </w:trPr>
        <w:tc>
          <w:tcPr>
            <w:tcW w:w="1701" w:type="dxa"/>
            <w:tcBorders>
              <w:top w:val="nil"/>
              <w:bottom w:val="nil"/>
            </w:tcBorders>
          </w:tcPr>
          <w:p w14:paraId="1B24AF26" w14:textId="520D74C3" w:rsidR="00573562" w:rsidRPr="004A2990" w:rsidRDefault="00A93D7C" w:rsidP="00A93D7C">
            <w:pPr>
              <w:rPr>
                <w:rFonts w:ascii="Times New Roman" w:hAnsi="Times New Roman" w:cs="Times New Roman"/>
                <w:lang w:val="en-US"/>
              </w:rPr>
            </w:pPr>
            <w:r w:rsidRPr="004A2990">
              <w:rPr>
                <w:rFonts w:ascii="Times New Roman" w:hAnsi="Times New Roman" w:cs="Times New Roman"/>
                <w:lang w:val="en-US"/>
              </w:rPr>
              <w:t xml:space="preserve">Perceived </w:t>
            </w:r>
            <w:r w:rsidR="00573562" w:rsidRPr="004A2990">
              <w:rPr>
                <w:rFonts w:ascii="Times New Roman" w:hAnsi="Times New Roman" w:cs="Times New Roman"/>
                <w:lang w:val="en-US"/>
              </w:rPr>
              <w:t xml:space="preserve">Size </w:t>
            </w:r>
          </w:p>
        </w:tc>
        <w:tc>
          <w:tcPr>
            <w:tcW w:w="993" w:type="dxa"/>
            <w:tcBorders>
              <w:top w:val="nil"/>
              <w:bottom w:val="nil"/>
            </w:tcBorders>
          </w:tcPr>
          <w:p w14:paraId="6960113B" w14:textId="296319A4" w:rsidR="00573562" w:rsidRPr="004A2990" w:rsidRDefault="00573562" w:rsidP="00573562">
            <w:pPr>
              <w:keepNext/>
              <w:jc w:val="center"/>
              <w:rPr>
                <w:rFonts w:ascii="Times New Roman" w:hAnsi="Times New Roman" w:cs="Times New Roman"/>
                <w:lang w:val="en-US"/>
              </w:rPr>
            </w:pPr>
            <w:r w:rsidRPr="004A2990">
              <w:rPr>
                <w:rFonts w:ascii="Times New Roman" w:hAnsi="Times New Roman" w:cs="Times New Roman"/>
                <w:lang w:val="en-US"/>
              </w:rPr>
              <w:t>2.62 a</w:t>
            </w:r>
          </w:p>
        </w:tc>
        <w:tc>
          <w:tcPr>
            <w:tcW w:w="747" w:type="dxa"/>
            <w:tcBorders>
              <w:top w:val="nil"/>
              <w:bottom w:val="nil"/>
            </w:tcBorders>
          </w:tcPr>
          <w:p w14:paraId="2581E8C4" w14:textId="53A5E5DF" w:rsidR="00573562" w:rsidRPr="004A2990" w:rsidRDefault="00573562" w:rsidP="00573562">
            <w:pPr>
              <w:keepNext/>
              <w:jc w:val="center"/>
              <w:rPr>
                <w:rFonts w:ascii="Times New Roman" w:hAnsi="Times New Roman" w:cs="Times New Roman"/>
                <w:lang w:val="en-US"/>
              </w:rPr>
            </w:pPr>
            <w:r w:rsidRPr="004A2990">
              <w:rPr>
                <w:rFonts w:ascii="Times New Roman" w:hAnsi="Times New Roman" w:cs="Times New Roman"/>
                <w:lang w:val="en-US"/>
              </w:rPr>
              <w:t>1.64</w:t>
            </w:r>
          </w:p>
        </w:tc>
        <w:tc>
          <w:tcPr>
            <w:tcW w:w="799" w:type="dxa"/>
            <w:tcBorders>
              <w:top w:val="nil"/>
              <w:bottom w:val="nil"/>
            </w:tcBorders>
          </w:tcPr>
          <w:p w14:paraId="03CB6300" w14:textId="77777777" w:rsidR="00573562" w:rsidRPr="004A2990" w:rsidRDefault="00573562" w:rsidP="00573562">
            <w:pPr>
              <w:keepNext/>
              <w:jc w:val="center"/>
              <w:rPr>
                <w:rFonts w:ascii="Times New Roman" w:hAnsi="Times New Roman" w:cs="Times New Roman"/>
                <w:lang w:val="en-US"/>
              </w:rPr>
            </w:pPr>
          </w:p>
        </w:tc>
        <w:tc>
          <w:tcPr>
            <w:tcW w:w="863" w:type="dxa"/>
            <w:tcBorders>
              <w:top w:val="nil"/>
              <w:bottom w:val="nil"/>
            </w:tcBorders>
          </w:tcPr>
          <w:p w14:paraId="2CA1A887" w14:textId="5D996485" w:rsidR="00573562" w:rsidRPr="004A2990" w:rsidRDefault="00573562" w:rsidP="00573562">
            <w:pPr>
              <w:keepNext/>
              <w:jc w:val="center"/>
              <w:rPr>
                <w:rFonts w:ascii="Times New Roman" w:hAnsi="Times New Roman" w:cs="Times New Roman"/>
                <w:lang w:val="en-US"/>
              </w:rPr>
            </w:pPr>
            <w:r w:rsidRPr="004A2990">
              <w:rPr>
                <w:rFonts w:ascii="Times New Roman" w:hAnsi="Times New Roman" w:cs="Times New Roman"/>
                <w:lang w:val="en-US"/>
              </w:rPr>
              <w:t>2.20 b</w:t>
            </w:r>
          </w:p>
        </w:tc>
        <w:tc>
          <w:tcPr>
            <w:tcW w:w="736" w:type="dxa"/>
            <w:tcBorders>
              <w:top w:val="nil"/>
              <w:bottom w:val="nil"/>
            </w:tcBorders>
          </w:tcPr>
          <w:p w14:paraId="50CB1F5B" w14:textId="64F41FFF" w:rsidR="00573562" w:rsidRPr="004A2990" w:rsidRDefault="00573562" w:rsidP="00573562">
            <w:pPr>
              <w:keepNext/>
              <w:jc w:val="center"/>
              <w:rPr>
                <w:rFonts w:ascii="Times New Roman" w:hAnsi="Times New Roman" w:cs="Times New Roman"/>
                <w:lang w:val="en-US"/>
              </w:rPr>
            </w:pPr>
            <w:r w:rsidRPr="004A2990">
              <w:rPr>
                <w:rFonts w:ascii="Times New Roman" w:hAnsi="Times New Roman" w:cs="Times New Roman"/>
                <w:lang w:val="en-US"/>
              </w:rPr>
              <w:t>1.55</w:t>
            </w:r>
          </w:p>
        </w:tc>
        <w:tc>
          <w:tcPr>
            <w:tcW w:w="799" w:type="dxa"/>
            <w:tcBorders>
              <w:top w:val="nil"/>
              <w:bottom w:val="nil"/>
            </w:tcBorders>
          </w:tcPr>
          <w:p w14:paraId="1B7EB782" w14:textId="77777777" w:rsidR="00573562" w:rsidRPr="004A2990" w:rsidRDefault="00573562" w:rsidP="00573562">
            <w:pPr>
              <w:keepNext/>
              <w:rPr>
                <w:rFonts w:ascii="Times New Roman" w:hAnsi="Times New Roman" w:cs="Times New Roman"/>
                <w:lang w:val="en-US"/>
              </w:rPr>
            </w:pPr>
          </w:p>
        </w:tc>
        <w:tc>
          <w:tcPr>
            <w:tcW w:w="875" w:type="dxa"/>
            <w:tcBorders>
              <w:top w:val="nil"/>
              <w:bottom w:val="nil"/>
            </w:tcBorders>
          </w:tcPr>
          <w:p w14:paraId="6752BAB5" w14:textId="5C888337" w:rsidR="00573562" w:rsidRPr="004A2990" w:rsidRDefault="00573562" w:rsidP="00573562">
            <w:pPr>
              <w:keepNext/>
              <w:jc w:val="center"/>
              <w:rPr>
                <w:rFonts w:ascii="Times New Roman" w:hAnsi="Times New Roman" w:cs="Times New Roman"/>
                <w:lang w:val="en-US"/>
              </w:rPr>
            </w:pPr>
            <w:r w:rsidRPr="004A2990">
              <w:rPr>
                <w:rFonts w:ascii="Times New Roman" w:hAnsi="Times New Roman" w:cs="Times New Roman"/>
                <w:lang w:val="en-US"/>
              </w:rPr>
              <w:t xml:space="preserve">1.46 c </w:t>
            </w:r>
          </w:p>
        </w:tc>
        <w:tc>
          <w:tcPr>
            <w:tcW w:w="1134" w:type="dxa"/>
            <w:tcBorders>
              <w:top w:val="nil"/>
              <w:bottom w:val="nil"/>
            </w:tcBorders>
          </w:tcPr>
          <w:p w14:paraId="6BD1B2B4" w14:textId="4327DD4D" w:rsidR="00573562" w:rsidRPr="004A2990" w:rsidRDefault="00573562" w:rsidP="00573562">
            <w:pPr>
              <w:keepNext/>
              <w:jc w:val="center"/>
              <w:rPr>
                <w:rFonts w:ascii="Times New Roman" w:hAnsi="Times New Roman" w:cs="Times New Roman"/>
                <w:lang w:val="en-US"/>
              </w:rPr>
            </w:pPr>
            <w:r w:rsidRPr="004A2990">
              <w:rPr>
                <w:rFonts w:ascii="Times New Roman" w:hAnsi="Times New Roman" w:cs="Times New Roman"/>
                <w:lang w:val="en-US"/>
              </w:rPr>
              <w:t>1.17</w:t>
            </w:r>
          </w:p>
        </w:tc>
        <w:tc>
          <w:tcPr>
            <w:tcW w:w="992" w:type="dxa"/>
            <w:tcBorders>
              <w:top w:val="nil"/>
              <w:bottom w:val="nil"/>
            </w:tcBorders>
          </w:tcPr>
          <w:p w14:paraId="07B1C81D" w14:textId="77155CE1" w:rsidR="00573562" w:rsidRPr="004A2990" w:rsidRDefault="00573562" w:rsidP="00573562">
            <w:pPr>
              <w:keepNext/>
              <w:rPr>
                <w:rFonts w:ascii="Times New Roman" w:hAnsi="Times New Roman" w:cs="Times New Roman"/>
                <w:lang w:val="en-US"/>
              </w:rPr>
            </w:pPr>
            <w:r w:rsidRPr="004A2990">
              <w:rPr>
                <w:rFonts w:ascii="Times New Roman" w:hAnsi="Times New Roman" w:cs="Times New Roman"/>
              </w:rPr>
              <w:t>2</w:t>
            </w:r>
          </w:p>
        </w:tc>
        <w:tc>
          <w:tcPr>
            <w:tcW w:w="1418" w:type="dxa"/>
            <w:tcBorders>
              <w:top w:val="nil"/>
              <w:bottom w:val="nil"/>
            </w:tcBorders>
          </w:tcPr>
          <w:p w14:paraId="0FF4DBC0" w14:textId="52A00AC0" w:rsidR="00573562" w:rsidRPr="004A2990" w:rsidRDefault="00573562" w:rsidP="00573562">
            <w:pPr>
              <w:keepNext/>
              <w:rPr>
                <w:rFonts w:ascii="Times New Roman" w:hAnsi="Times New Roman" w:cs="Times New Roman"/>
                <w:lang w:val="en-US"/>
              </w:rPr>
            </w:pPr>
            <w:r w:rsidRPr="004A2990">
              <w:rPr>
                <w:rFonts w:ascii="Times New Roman" w:hAnsi="Times New Roman" w:cs="Times New Roman"/>
              </w:rPr>
              <w:t>80.84</w:t>
            </w:r>
          </w:p>
        </w:tc>
        <w:tc>
          <w:tcPr>
            <w:tcW w:w="1276" w:type="dxa"/>
            <w:tcBorders>
              <w:top w:val="nil"/>
              <w:bottom w:val="nil"/>
            </w:tcBorders>
          </w:tcPr>
          <w:p w14:paraId="156224E1" w14:textId="22734036" w:rsidR="00573562" w:rsidRPr="004A2990" w:rsidRDefault="00573562" w:rsidP="00573562">
            <w:pPr>
              <w:keepNext/>
              <w:rPr>
                <w:rFonts w:ascii="Times New Roman" w:hAnsi="Times New Roman" w:cs="Times New Roman"/>
                <w:lang w:val="en-US"/>
              </w:rPr>
            </w:pPr>
            <w:r w:rsidRPr="004A2990">
              <w:rPr>
                <w:rFonts w:ascii="Times New Roman" w:hAnsi="Times New Roman" w:cs="Times New Roman"/>
              </w:rPr>
              <w:t>.375</w:t>
            </w:r>
          </w:p>
        </w:tc>
        <w:tc>
          <w:tcPr>
            <w:tcW w:w="1275" w:type="dxa"/>
            <w:tcBorders>
              <w:top w:val="nil"/>
              <w:bottom w:val="nil"/>
            </w:tcBorders>
          </w:tcPr>
          <w:p w14:paraId="11673181" w14:textId="6F5A1164" w:rsidR="00573562" w:rsidRPr="004A2990" w:rsidRDefault="00573562" w:rsidP="00573562">
            <w:pPr>
              <w:keepNext/>
              <w:rPr>
                <w:rFonts w:ascii="Times New Roman" w:hAnsi="Times New Roman" w:cs="Times New Roman"/>
                <w:lang w:val="en-US"/>
              </w:rPr>
            </w:pPr>
            <w:r w:rsidRPr="004A2990">
              <w:rPr>
                <w:rFonts w:ascii="Times New Roman" w:hAnsi="Times New Roman" w:cs="Times New Roman"/>
              </w:rPr>
              <w:t>&lt;.001</w:t>
            </w:r>
          </w:p>
        </w:tc>
      </w:tr>
      <w:tr w:rsidR="00573562" w:rsidRPr="004A2990" w14:paraId="53DD26AE" w14:textId="77777777" w:rsidTr="00A93D7C">
        <w:trPr>
          <w:trHeight w:val="526"/>
        </w:trPr>
        <w:tc>
          <w:tcPr>
            <w:tcW w:w="1701" w:type="dxa"/>
            <w:tcBorders>
              <w:top w:val="nil"/>
            </w:tcBorders>
          </w:tcPr>
          <w:p w14:paraId="544201E8" w14:textId="6621C756" w:rsidR="00573562" w:rsidRPr="004A2990" w:rsidRDefault="00573562" w:rsidP="00573562">
            <w:pPr>
              <w:rPr>
                <w:rFonts w:ascii="Times New Roman" w:hAnsi="Times New Roman" w:cs="Times New Roman"/>
                <w:lang w:val="en-US"/>
              </w:rPr>
            </w:pPr>
            <w:r w:rsidRPr="004A2990">
              <w:rPr>
                <w:rFonts w:ascii="Times New Roman" w:hAnsi="Times New Roman" w:cs="Times New Roman"/>
                <w:lang w:val="en-US"/>
              </w:rPr>
              <w:t>Error</w:t>
            </w:r>
          </w:p>
        </w:tc>
        <w:tc>
          <w:tcPr>
            <w:tcW w:w="993" w:type="dxa"/>
            <w:tcBorders>
              <w:top w:val="nil"/>
            </w:tcBorders>
          </w:tcPr>
          <w:p w14:paraId="035013B3" w14:textId="77777777" w:rsidR="00573562" w:rsidRPr="004A2990" w:rsidRDefault="00573562" w:rsidP="00573562">
            <w:pPr>
              <w:keepNext/>
              <w:jc w:val="center"/>
              <w:rPr>
                <w:rFonts w:ascii="Times New Roman" w:hAnsi="Times New Roman" w:cs="Times New Roman"/>
                <w:lang w:val="en-US"/>
              </w:rPr>
            </w:pPr>
          </w:p>
        </w:tc>
        <w:tc>
          <w:tcPr>
            <w:tcW w:w="747" w:type="dxa"/>
            <w:tcBorders>
              <w:top w:val="nil"/>
            </w:tcBorders>
          </w:tcPr>
          <w:p w14:paraId="32107B84" w14:textId="77777777" w:rsidR="00573562" w:rsidRPr="004A2990" w:rsidRDefault="00573562" w:rsidP="00573562">
            <w:pPr>
              <w:keepNext/>
              <w:jc w:val="center"/>
              <w:rPr>
                <w:rFonts w:ascii="Times New Roman" w:hAnsi="Times New Roman" w:cs="Times New Roman"/>
                <w:lang w:val="en-US"/>
              </w:rPr>
            </w:pPr>
          </w:p>
        </w:tc>
        <w:tc>
          <w:tcPr>
            <w:tcW w:w="799" w:type="dxa"/>
            <w:tcBorders>
              <w:top w:val="nil"/>
              <w:bottom w:val="single" w:sz="4" w:space="0" w:color="auto"/>
            </w:tcBorders>
          </w:tcPr>
          <w:p w14:paraId="3D5F475B" w14:textId="77777777" w:rsidR="00573562" w:rsidRPr="004A2990" w:rsidRDefault="00573562" w:rsidP="00573562">
            <w:pPr>
              <w:keepNext/>
              <w:jc w:val="center"/>
              <w:rPr>
                <w:rFonts w:ascii="Times New Roman" w:hAnsi="Times New Roman" w:cs="Times New Roman"/>
                <w:lang w:val="en-US"/>
              </w:rPr>
            </w:pPr>
          </w:p>
        </w:tc>
        <w:tc>
          <w:tcPr>
            <w:tcW w:w="863" w:type="dxa"/>
            <w:tcBorders>
              <w:top w:val="nil"/>
            </w:tcBorders>
          </w:tcPr>
          <w:p w14:paraId="0B4134B8" w14:textId="77777777" w:rsidR="00573562" w:rsidRPr="004A2990" w:rsidRDefault="00573562" w:rsidP="00573562">
            <w:pPr>
              <w:keepNext/>
              <w:jc w:val="center"/>
              <w:rPr>
                <w:rFonts w:ascii="Times New Roman" w:hAnsi="Times New Roman" w:cs="Times New Roman"/>
                <w:lang w:val="en-US"/>
              </w:rPr>
            </w:pPr>
          </w:p>
        </w:tc>
        <w:tc>
          <w:tcPr>
            <w:tcW w:w="736" w:type="dxa"/>
            <w:tcBorders>
              <w:top w:val="nil"/>
            </w:tcBorders>
          </w:tcPr>
          <w:p w14:paraId="5F903555" w14:textId="77777777" w:rsidR="00573562" w:rsidRPr="004A2990" w:rsidRDefault="00573562" w:rsidP="00573562">
            <w:pPr>
              <w:keepNext/>
              <w:jc w:val="center"/>
              <w:rPr>
                <w:rFonts w:ascii="Times New Roman" w:hAnsi="Times New Roman" w:cs="Times New Roman"/>
                <w:lang w:val="en-US"/>
              </w:rPr>
            </w:pPr>
          </w:p>
        </w:tc>
        <w:tc>
          <w:tcPr>
            <w:tcW w:w="799" w:type="dxa"/>
            <w:tcBorders>
              <w:top w:val="nil"/>
              <w:bottom w:val="single" w:sz="4" w:space="0" w:color="auto"/>
            </w:tcBorders>
          </w:tcPr>
          <w:p w14:paraId="3A5AEA73" w14:textId="77777777" w:rsidR="00573562" w:rsidRPr="004A2990" w:rsidRDefault="00573562" w:rsidP="00573562">
            <w:pPr>
              <w:keepNext/>
              <w:rPr>
                <w:rFonts w:ascii="Times New Roman" w:hAnsi="Times New Roman" w:cs="Times New Roman"/>
                <w:lang w:val="en-US"/>
              </w:rPr>
            </w:pPr>
          </w:p>
        </w:tc>
        <w:tc>
          <w:tcPr>
            <w:tcW w:w="875" w:type="dxa"/>
            <w:tcBorders>
              <w:top w:val="nil"/>
            </w:tcBorders>
          </w:tcPr>
          <w:p w14:paraId="4CE11F2F" w14:textId="77777777" w:rsidR="00573562" w:rsidRPr="004A2990" w:rsidRDefault="00573562" w:rsidP="00573562">
            <w:pPr>
              <w:keepNext/>
              <w:jc w:val="center"/>
              <w:rPr>
                <w:rFonts w:ascii="Times New Roman" w:hAnsi="Times New Roman" w:cs="Times New Roman"/>
                <w:lang w:val="en-US"/>
              </w:rPr>
            </w:pPr>
          </w:p>
        </w:tc>
        <w:tc>
          <w:tcPr>
            <w:tcW w:w="1134" w:type="dxa"/>
            <w:tcBorders>
              <w:top w:val="nil"/>
            </w:tcBorders>
          </w:tcPr>
          <w:p w14:paraId="73762D01" w14:textId="77777777" w:rsidR="00573562" w:rsidRPr="004A2990" w:rsidRDefault="00573562" w:rsidP="00573562">
            <w:pPr>
              <w:keepNext/>
              <w:jc w:val="center"/>
              <w:rPr>
                <w:rFonts w:ascii="Times New Roman" w:hAnsi="Times New Roman" w:cs="Times New Roman"/>
                <w:lang w:val="en-US"/>
              </w:rPr>
            </w:pPr>
          </w:p>
        </w:tc>
        <w:tc>
          <w:tcPr>
            <w:tcW w:w="992" w:type="dxa"/>
            <w:tcBorders>
              <w:top w:val="nil"/>
            </w:tcBorders>
          </w:tcPr>
          <w:p w14:paraId="17A984E3" w14:textId="33F2DB05" w:rsidR="00573562" w:rsidRPr="004A2990" w:rsidRDefault="00573562" w:rsidP="00573562">
            <w:pPr>
              <w:keepNext/>
              <w:rPr>
                <w:rFonts w:ascii="Times New Roman" w:hAnsi="Times New Roman" w:cs="Times New Roman"/>
                <w:lang w:val="en-US"/>
              </w:rPr>
            </w:pPr>
            <w:r w:rsidRPr="004A2990">
              <w:rPr>
                <w:rFonts w:ascii="Times New Roman" w:hAnsi="Times New Roman" w:cs="Times New Roman"/>
              </w:rPr>
              <w:t>270</w:t>
            </w:r>
          </w:p>
        </w:tc>
        <w:tc>
          <w:tcPr>
            <w:tcW w:w="1418" w:type="dxa"/>
            <w:tcBorders>
              <w:top w:val="nil"/>
            </w:tcBorders>
          </w:tcPr>
          <w:p w14:paraId="5D5BC650" w14:textId="77777777" w:rsidR="00573562" w:rsidRPr="004A2990" w:rsidRDefault="00573562" w:rsidP="00573562">
            <w:pPr>
              <w:keepNext/>
              <w:rPr>
                <w:rFonts w:ascii="Times New Roman" w:hAnsi="Times New Roman" w:cs="Times New Roman"/>
                <w:lang w:val="en-US"/>
              </w:rPr>
            </w:pPr>
          </w:p>
        </w:tc>
        <w:tc>
          <w:tcPr>
            <w:tcW w:w="1276" w:type="dxa"/>
            <w:tcBorders>
              <w:top w:val="nil"/>
            </w:tcBorders>
          </w:tcPr>
          <w:p w14:paraId="24D3E0B4" w14:textId="77777777" w:rsidR="00573562" w:rsidRPr="004A2990" w:rsidRDefault="00573562" w:rsidP="00573562">
            <w:pPr>
              <w:keepNext/>
              <w:rPr>
                <w:rFonts w:ascii="Times New Roman" w:hAnsi="Times New Roman" w:cs="Times New Roman"/>
                <w:lang w:val="en-US"/>
              </w:rPr>
            </w:pPr>
          </w:p>
        </w:tc>
        <w:tc>
          <w:tcPr>
            <w:tcW w:w="1275" w:type="dxa"/>
            <w:tcBorders>
              <w:top w:val="nil"/>
            </w:tcBorders>
          </w:tcPr>
          <w:p w14:paraId="6F60139B" w14:textId="77777777" w:rsidR="00573562" w:rsidRPr="004A2990" w:rsidRDefault="00573562" w:rsidP="00573562">
            <w:pPr>
              <w:keepNext/>
              <w:rPr>
                <w:rFonts w:ascii="Times New Roman" w:hAnsi="Times New Roman" w:cs="Times New Roman"/>
                <w:lang w:val="en-US"/>
              </w:rPr>
            </w:pPr>
          </w:p>
        </w:tc>
      </w:tr>
    </w:tbl>
    <w:p w14:paraId="23BF71D9" w14:textId="77777777" w:rsidR="005F281E" w:rsidRPr="004A2990" w:rsidRDefault="005F281E" w:rsidP="008F20EB">
      <w:pPr>
        <w:pStyle w:val="APAReferences"/>
        <w:spacing w:after="0" w:line="240" w:lineRule="auto"/>
        <w:ind w:left="0" w:firstLine="0"/>
        <w:rPr>
          <w:lang w:val="en-US"/>
        </w:rPr>
      </w:pPr>
    </w:p>
    <w:p w14:paraId="04A778E3" w14:textId="77777777" w:rsidR="00742E0A" w:rsidRPr="004A2990" w:rsidRDefault="00742E0A" w:rsidP="008F20EB">
      <w:pPr>
        <w:pStyle w:val="APAReferences"/>
        <w:spacing w:after="0" w:line="240" w:lineRule="auto"/>
        <w:ind w:left="0" w:firstLine="0"/>
        <w:rPr>
          <w:lang w:val="en-US"/>
        </w:rPr>
      </w:pPr>
    </w:p>
    <w:p w14:paraId="27D55F14" w14:textId="77777777" w:rsidR="00742E0A" w:rsidRPr="004A2990" w:rsidRDefault="00742E0A" w:rsidP="008F20EB">
      <w:pPr>
        <w:pStyle w:val="APAReferences"/>
        <w:spacing w:after="0" w:line="240" w:lineRule="auto"/>
        <w:ind w:left="0" w:firstLine="0"/>
        <w:rPr>
          <w:lang w:val="en-US"/>
        </w:rPr>
      </w:pPr>
    </w:p>
    <w:p w14:paraId="3FAD4819" w14:textId="77777777" w:rsidR="00742E0A" w:rsidRPr="004A2990" w:rsidRDefault="00742E0A" w:rsidP="008F20EB">
      <w:pPr>
        <w:pStyle w:val="APAReferences"/>
        <w:spacing w:after="0" w:line="240" w:lineRule="auto"/>
        <w:ind w:left="0" w:firstLine="0"/>
        <w:rPr>
          <w:lang w:val="en-US"/>
        </w:rPr>
      </w:pPr>
    </w:p>
    <w:p w14:paraId="75B3CC02" w14:textId="77777777" w:rsidR="00742E0A" w:rsidRPr="004A2990" w:rsidRDefault="00742E0A" w:rsidP="008F20EB">
      <w:pPr>
        <w:pStyle w:val="APAReferences"/>
        <w:spacing w:after="0" w:line="240" w:lineRule="auto"/>
        <w:ind w:left="0" w:firstLine="0"/>
        <w:rPr>
          <w:lang w:val="en-US"/>
        </w:rPr>
      </w:pPr>
    </w:p>
    <w:p w14:paraId="71C1CD41" w14:textId="77777777" w:rsidR="00596AE4" w:rsidRPr="004A2990" w:rsidRDefault="00596AE4" w:rsidP="008F20EB">
      <w:pPr>
        <w:pStyle w:val="APAReferences"/>
        <w:spacing w:after="0" w:line="240" w:lineRule="auto"/>
        <w:ind w:left="0" w:firstLine="0"/>
        <w:rPr>
          <w:lang w:val="en-US"/>
        </w:rPr>
        <w:sectPr w:rsidR="00596AE4" w:rsidRPr="004A2990" w:rsidSect="00596AE4">
          <w:pgSz w:w="16838" w:h="11906" w:orient="landscape"/>
          <w:pgMar w:top="1440" w:right="1440" w:bottom="1440" w:left="1440" w:header="1440" w:footer="720" w:gutter="0"/>
          <w:cols w:space="720"/>
          <w:titlePg/>
          <w:docGrid w:linePitch="326"/>
        </w:sectPr>
      </w:pPr>
    </w:p>
    <w:p w14:paraId="6B44117C" w14:textId="77777777" w:rsidR="008F20EB" w:rsidRPr="004A2990" w:rsidRDefault="008F20EB" w:rsidP="008F20EB">
      <w:pPr>
        <w:pStyle w:val="APAReferences"/>
        <w:spacing w:after="0" w:line="240" w:lineRule="auto"/>
        <w:ind w:left="0" w:firstLine="0"/>
        <w:rPr>
          <w:lang w:val="en-US"/>
        </w:rPr>
      </w:pPr>
      <w:bookmarkStart w:id="0" w:name="_GoBack"/>
      <w:bookmarkEnd w:id="0"/>
    </w:p>
    <w:p w14:paraId="0E505A2D" w14:textId="5F88650C" w:rsidR="00E514BB" w:rsidRPr="004A2990" w:rsidRDefault="00742E0A" w:rsidP="008F20EB">
      <w:pPr>
        <w:pStyle w:val="APAReferences"/>
        <w:spacing w:after="0" w:line="240" w:lineRule="auto"/>
        <w:ind w:left="0" w:firstLine="0"/>
        <w:rPr>
          <w:lang w:val="en-US"/>
        </w:rPr>
      </w:pPr>
      <w:r w:rsidRPr="004A2990">
        <w:rPr>
          <w:lang w:val="en-US"/>
        </w:rPr>
        <w:t xml:space="preserve">Table </w:t>
      </w:r>
      <w:r w:rsidR="007A411D">
        <w:rPr>
          <w:lang w:val="en-US"/>
        </w:rPr>
        <w:t>3</w:t>
      </w:r>
    </w:p>
    <w:p w14:paraId="3BA029BE" w14:textId="6B3B4CCE" w:rsidR="00E514BB" w:rsidRPr="004A2990" w:rsidRDefault="00A93D7C" w:rsidP="008F20EB">
      <w:pPr>
        <w:pStyle w:val="APAReferences"/>
        <w:spacing w:after="0" w:line="240" w:lineRule="auto"/>
        <w:ind w:left="0" w:firstLine="0"/>
        <w:rPr>
          <w:i/>
          <w:lang w:val="en-US"/>
        </w:rPr>
      </w:pPr>
      <w:r w:rsidRPr="004A2990">
        <w:rPr>
          <w:i/>
          <w:color w:val="auto"/>
          <w:lang w:val="en-US"/>
        </w:rPr>
        <w:t>Bivariate correlations for measures in</w:t>
      </w:r>
      <w:r w:rsidR="007A411D">
        <w:rPr>
          <w:i/>
        </w:rPr>
        <w:t xml:space="preserve"> Study 2</w:t>
      </w:r>
    </w:p>
    <w:tbl>
      <w:tblPr>
        <w:tblpPr w:leftFromText="180" w:rightFromText="180" w:vertAnchor="text" w:horzAnchor="margin" w:tblpY="38"/>
        <w:tblW w:w="7895" w:type="dxa"/>
        <w:tblBorders>
          <w:top w:val="single" w:sz="4" w:space="0" w:color="auto"/>
          <w:bottom w:val="single" w:sz="4" w:space="0" w:color="auto"/>
          <w:insideH w:val="single" w:sz="4" w:space="0" w:color="auto"/>
        </w:tblBorders>
        <w:tblLook w:val="04A0" w:firstRow="1" w:lastRow="0" w:firstColumn="1" w:lastColumn="0" w:noHBand="0" w:noVBand="1"/>
      </w:tblPr>
      <w:tblGrid>
        <w:gridCol w:w="2517"/>
        <w:gridCol w:w="1056"/>
        <w:gridCol w:w="1581"/>
        <w:gridCol w:w="1332"/>
        <w:gridCol w:w="1409"/>
      </w:tblGrid>
      <w:tr w:rsidR="00E514BB" w:rsidRPr="004A2990" w14:paraId="7FB7CB6C" w14:textId="77777777" w:rsidTr="0079257C">
        <w:trPr>
          <w:trHeight w:val="966"/>
        </w:trPr>
        <w:tc>
          <w:tcPr>
            <w:tcW w:w="2517" w:type="dxa"/>
            <w:tcBorders>
              <w:bottom w:val="single" w:sz="4" w:space="0" w:color="auto"/>
            </w:tcBorders>
            <w:shd w:val="clear" w:color="auto" w:fill="auto"/>
            <w:vAlign w:val="center"/>
            <w:hideMark/>
          </w:tcPr>
          <w:p w14:paraId="5DBEC2E3" w14:textId="4F99BAE2" w:rsidR="00E514BB" w:rsidRPr="004A2990" w:rsidRDefault="00E514BB" w:rsidP="008F20EB">
            <w:pPr>
              <w:rPr>
                <w:rFonts w:ascii="Times New Roman" w:eastAsia="Times New Roman" w:hAnsi="Times New Roman"/>
                <w:bCs/>
                <w:lang w:val="en-US"/>
              </w:rPr>
            </w:pPr>
            <w:r w:rsidRPr="004A2990">
              <w:rPr>
                <w:rFonts w:ascii="Times New Roman" w:eastAsia="Times New Roman" w:hAnsi="Times New Roman"/>
                <w:bCs/>
                <w:lang w:val="en-US"/>
              </w:rPr>
              <w:t>Measure</w:t>
            </w:r>
          </w:p>
        </w:tc>
        <w:tc>
          <w:tcPr>
            <w:tcW w:w="1056" w:type="dxa"/>
            <w:tcBorders>
              <w:bottom w:val="single" w:sz="4" w:space="0" w:color="auto"/>
            </w:tcBorders>
            <w:vAlign w:val="center"/>
          </w:tcPr>
          <w:p w14:paraId="7A476D48" w14:textId="57A35EEB" w:rsidR="00E514BB" w:rsidRPr="004A2990" w:rsidRDefault="00E514BB" w:rsidP="008F20EB">
            <w:pPr>
              <w:jc w:val="center"/>
              <w:rPr>
                <w:rFonts w:ascii="Times New Roman" w:eastAsia="Times New Roman" w:hAnsi="Times New Roman"/>
                <w:bCs/>
                <w:lang w:val="en-US"/>
              </w:rPr>
            </w:pPr>
            <w:r w:rsidRPr="004A2990">
              <w:rPr>
                <w:rFonts w:ascii="Times New Roman" w:eastAsia="Times New Roman" w:hAnsi="Times New Roman"/>
                <w:bCs/>
                <w:lang w:val="en-US"/>
              </w:rPr>
              <w:t>1</w:t>
            </w:r>
          </w:p>
        </w:tc>
        <w:tc>
          <w:tcPr>
            <w:tcW w:w="1581" w:type="dxa"/>
            <w:tcBorders>
              <w:bottom w:val="single" w:sz="4" w:space="0" w:color="auto"/>
            </w:tcBorders>
            <w:shd w:val="clear" w:color="auto" w:fill="auto"/>
            <w:vAlign w:val="center"/>
            <w:hideMark/>
          </w:tcPr>
          <w:p w14:paraId="213855CC" w14:textId="42FB9AC1" w:rsidR="00E514BB" w:rsidRPr="004A2990" w:rsidRDefault="00E514BB" w:rsidP="008F20EB">
            <w:pPr>
              <w:jc w:val="center"/>
              <w:rPr>
                <w:rFonts w:ascii="Times New Roman" w:eastAsia="Times New Roman" w:hAnsi="Times New Roman"/>
                <w:bCs/>
                <w:lang w:val="en-US"/>
              </w:rPr>
            </w:pPr>
            <w:r w:rsidRPr="004A2990">
              <w:rPr>
                <w:rFonts w:ascii="Times New Roman" w:eastAsia="Times New Roman" w:hAnsi="Times New Roman"/>
                <w:bCs/>
                <w:lang w:val="en-US"/>
              </w:rPr>
              <w:t>2</w:t>
            </w:r>
          </w:p>
        </w:tc>
        <w:tc>
          <w:tcPr>
            <w:tcW w:w="1332" w:type="dxa"/>
            <w:tcBorders>
              <w:bottom w:val="single" w:sz="4" w:space="0" w:color="auto"/>
            </w:tcBorders>
            <w:shd w:val="clear" w:color="auto" w:fill="auto"/>
            <w:vAlign w:val="center"/>
            <w:hideMark/>
          </w:tcPr>
          <w:p w14:paraId="094049A8" w14:textId="6827FC59" w:rsidR="00E514BB" w:rsidRPr="004A2990" w:rsidRDefault="00E514BB" w:rsidP="008F20EB">
            <w:pPr>
              <w:jc w:val="center"/>
              <w:rPr>
                <w:rFonts w:ascii="Times New Roman" w:eastAsia="Times New Roman" w:hAnsi="Times New Roman"/>
                <w:bCs/>
                <w:lang w:val="en-US"/>
              </w:rPr>
            </w:pPr>
            <w:r w:rsidRPr="004A2990">
              <w:rPr>
                <w:rFonts w:ascii="Times New Roman" w:eastAsia="Times New Roman" w:hAnsi="Times New Roman"/>
                <w:bCs/>
                <w:lang w:val="en-US"/>
              </w:rPr>
              <w:t>3</w:t>
            </w:r>
          </w:p>
        </w:tc>
        <w:tc>
          <w:tcPr>
            <w:tcW w:w="1409" w:type="dxa"/>
            <w:tcBorders>
              <w:bottom w:val="single" w:sz="4" w:space="0" w:color="auto"/>
            </w:tcBorders>
            <w:shd w:val="clear" w:color="auto" w:fill="auto"/>
            <w:vAlign w:val="center"/>
            <w:hideMark/>
          </w:tcPr>
          <w:p w14:paraId="02565DA5" w14:textId="2B9442B4" w:rsidR="00E514BB" w:rsidRPr="004A2990" w:rsidRDefault="00E514BB" w:rsidP="008F20EB">
            <w:pPr>
              <w:jc w:val="center"/>
              <w:rPr>
                <w:rFonts w:ascii="Times New Roman" w:eastAsia="Times New Roman" w:hAnsi="Times New Roman"/>
                <w:bCs/>
                <w:lang w:val="en-US"/>
              </w:rPr>
            </w:pPr>
            <w:r w:rsidRPr="004A2990">
              <w:rPr>
                <w:rFonts w:ascii="Times New Roman" w:eastAsia="Times New Roman" w:hAnsi="Times New Roman"/>
                <w:bCs/>
                <w:lang w:val="en-US"/>
              </w:rPr>
              <w:t>4</w:t>
            </w:r>
          </w:p>
        </w:tc>
      </w:tr>
      <w:tr w:rsidR="00E514BB" w:rsidRPr="004A2990" w14:paraId="04312C8B" w14:textId="77777777" w:rsidTr="0079257C">
        <w:trPr>
          <w:trHeight w:val="444"/>
        </w:trPr>
        <w:tc>
          <w:tcPr>
            <w:tcW w:w="2517" w:type="dxa"/>
            <w:tcBorders>
              <w:bottom w:val="nil"/>
            </w:tcBorders>
            <w:shd w:val="clear" w:color="auto" w:fill="auto"/>
            <w:vAlign w:val="center"/>
            <w:hideMark/>
          </w:tcPr>
          <w:p w14:paraId="4903F8DA" w14:textId="65E560EC" w:rsidR="00E514BB" w:rsidRPr="004A2990" w:rsidRDefault="00E514BB" w:rsidP="008F20EB">
            <w:pPr>
              <w:pStyle w:val="ListParagraph"/>
              <w:numPr>
                <w:ilvl w:val="0"/>
                <w:numId w:val="11"/>
              </w:numPr>
              <w:rPr>
                <w:rFonts w:ascii="Times New Roman" w:eastAsia="Times New Roman" w:hAnsi="Times New Roman"/>
                <w:bCs/>
                <w:lang w:val="en-US"/>
              </w:rPr>
            </w:pPr>
            <w:r w:rsidRPr="004A2990">
              <w:rPr>
                <w:rFonts w:ascii="Times New Roman" w:eastAsia="Times New Roman" w:hAnsi="Times New Roman"/>
                <w:bCs/>
                <w:lang w:val="en-US"/>
              </w:rPr>
              <w:t>Similarity</w:t>
            </w:r>
          </w:p>
        </w:tc>
        <w:tc>
          <w:tcPr>
            <w:tcW w:w="1056" w:type="dxa"/>
            <w:tcBorders>
              <w:bottom w:val="nil"/>
            </w:tcBorders>
            <w:vAlign w:val="center"/>
          </w:tcPr>
          <w:p w14:paraId="386E9E89" w14:textId="77777777"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1</w:t>
            </w:r>
          </w:p>
        </w:tc>
        <w:tc>
          <w:tcPr>
            <w:tcW w:w="1581" w:type="dxa"/>
            <w:tcBorders>
              <w:bottom w:val="nil"/>
            </w:tcBorders>
            <w:shd w:val="clear" w:color="auto" w:fill="auto"/>
            <w:vAlign w:val="center"/>
          </w:tcPr>
          <w:p w14:paraId="06C4B15C" w14:textId="6AE5BD56" w:rsidR="00E514BB" w:rsidRPr="004A2990" w:rsidRDefault="00E514BB" w:rsidP="008F20EB">
            <w:pPr>
              <w:jc w:val="center"/>
              <w:rPr>
                <w:rFonts w:ascii="Times New Roman" w:eastAsia="Times New Roman" w:hAnsi="Times New Roman"/>
                <w:lang w:val="en-US"/>
              </w:rPr>
            </w:pPr>
          </w:p>
        </w:tc>
        <w:tc>
          <w:tcPr>
            <w:tcW w:w="1332" w:type="dxa"/>
            <w:tcBorders>
              <w:bottom w:val="nil"/>
            </w:tcBorders>
            <w:shd w:val="clear" w:color="auto" w:fill="auto"/>
            <w:vAlign w:val="center"/>
          </w:tcPr>
          <w:p w14:paraId="42D4C3C1" w14:textId="7ADD0A75" w:rsidR="00E514BB" w:rsidRPr="004A2990" w:rsidRDefault="00E514BB" w:rsidP="008F20EB">
            <w:pPr>
              <w:jc w:val="center"/>
              <w:rPr>
                <w:rFonts w:ascii="Times New Roman" w:eastAsia="Times New Roman" w:hAnsi="Times New Roman"/>
                <w:lang w:val="en-US"/>
              </w:rPr>
            </w:pPr>
          </w:p>
        </w:tc>
        <w:tc>
          <w:tcPr>
            <w:tcW w:w="1409" w:type="dxa"/>
            <w:tcBorders>
              <w:bottom w:val="nil"/>
            </w:tcBorders>
            <w:shd w:val="clear" w:color="auto" w:fill="auto"/>
            <w:vAlign w:val="center"/>
          </w:tcPr>
          <w:p w14:paraId="776698D4" w14:textId="191C3EA3" w:rsidR="00E514BB" w:rsidRPr="004A2990" w:rsidRDefault="00E514BB" w:rsidP="008F20EB">
            <w:pPr>
              <w:jc w:val="center"/>
              <w:rPr>
                <w:rFonts w:ascii="Times New Roman" w:eastAsia="Times New Roman" w:hAnsi="Times New Roman"/>
                <w:lang w:val="en-US"/>
              </w:rPr>
            </w:pPr>
          </w:p>
        </w:tc>
      </w:tr>
      <w:tr w:rsidR="00E514BB" w:rsidRPr="004A2990" w14:paraId="4F5D6E1C" w14:textId="77777777" w:rsidTr="0079257C">
        <w:trPr>
          <w:trHeight w:val="444"/>
        </w:trPr>
        <w:tc>
          <w:tcPr>
            <w:tcW w:w="2517" w:type="dxa"/>
            <w:tcBorders>
              <w:top w:val="nil"/>
              <w:bottom w:val="nil"/>
            </w:tcBorders>
            <w:shd w:val="clear" w:color="auto" w:fill="auto"/>
            <w:vAlign w:val="center"/>
          </w:tcPr>
          <w:p w14:paraId="6D869115" w14:textId="01DE0F40" w:rsidR="00E514BB" w:rsidRPr="004A2990" w:rsidRDefault="00E514BB" w:rsidP="008F20EB">
            <w:pPr>
              <w:pStyle w:val="ListParagraph"/>
              <w:numPr>
                <w:ilvl w:val="0"/>
                <w:numId w:val="11"/>
              </w:numPr>
              <w:rPr>
                <w:rFonts w:ascii="Times New Roman" w:eastAsia="Times New Roman" w:hAnsi="Times New Roman"/>
                <w:bCs/>
                <w:lang w:val="en-US"/>
              </w:rPr>
            </w:pPr>
            <w:r w:rsidRPr="004A2990">
              <w:rPr>
                <w:rFonts w:ascii="Times New Roman" w:eastAsia="Times New Roman" w:hAnsi="Times New Roman"/>
                <w:bCs/>
                <w:lang w:val="en-US"/>
              </w:rPr>
              <w:t>Intergroup Threat</w:t>
            </w:r>
          </w:p>
        </w:tc>
        <w:tc>
          <w:tcPr>
            <w:tcW w:w="1056" w:type="dxa"/>
            <w:tcBorders>
              <w:top w:val="nil"/>
              <w:bottom w:val="nil"/>
            </w:tcBorders>
            <w:vAlign w:val="center"/>
          </w:tcPr>
          <w:p w14:paraId="5E78C27F" w14:textId="56263590"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-.269**</w:t>
            </w:r>
          </w:p>
        </w:tc>
        <w:tc>
          <w:tcPr>
            <w:tcW w:w="1581" w:type="dxa"/>
            <w:tcBorders>
              <w:top w:val="nil"/>
              <w:bottom w:val="nil"/>
            </w:tcBorders>
            <w:shd w:val="clear" w:color="auto" w:fill="auto"/>
            <w:vAlign w:val="center"/>
          </w:tcPr>
          <w:p w14:paraId="59CA6351" w14:textId="77777777"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1</w:t>
            </w:r>
          </w:p>
        </w:tc>
        <w:tc>
          <w:tcPr>
            <w:tcW w:w="1332" w:type="dxa"/>
            <w:tcBorders>
              <w:top w:val="nil"/>
              <w:bottom w:val="nil"/>
            </w:tcBorders>
            <w:shd w:val="clear" w:color="auto" w:fill="auto"/>
            <w:vAlign w:val="center"/>
          </w:tcPr>
          <w:p w14:paraId="44510AD1" w14:textId="0AD2B69A" w:rsidR="00E514BB" w:rsidRPr="004A2990" w:rsidRDefault="00E514BB" w:rsidP="008F20EB">
            <w:pPr>
              <w:jc w:val="center"/>
              <w:rPr>
                <w:rFonts w:ascii="Times New Roman" w:eastAsia="Times New Roman" w:hAnsi="Times New Roman"/>
                <w:lang w:val="en-US"/>
              </w:rPr>
            </w:pPr>
          </w:p>
        </w:tc>
        <w:tc>
          <w:tcPr>
            <w:tcW w:w="1409" w:type="dxa"/>
            <w:tcBorders>
              <w:top w:val="nil"/>
              <w:bottom w:val="nil"/>
            </w:tcBorders>
            <w:shd w:val="clear" w:color="auto" w:fill="auto"/>
            <w:vAlign w:val="center"/>
          </w:tcPr>
          <w:p w14:paraId="7418DF72" w14:textId="65DE10F6" w:rsidR="00E514BB" w:rsidRPr="004A2990" w:rsidRDefault="00E514BB" w:rsidP="008F20EB">
            <w:pPr>
              <w:jc w:val="center"/>
              <w:rPr>
                <w:rFonts w:ascii="Times New Roman" w:eastAsia="Times New Roman" w:hAnsi="Times New Roman"/>
                <w:lang w:val="en-US"/>
              </w:rPr>
            </w:pPr>
          </w:p>
        </w:tc>
      </w:tr>
      <w:tr w:rsidR="00E514BB" w:rsidRPr="004A2990" w14:paraId="06A7C795" w14:textId="77777777" w:rsidTr="0079257C">
        <w:trPr>
          <w:trHeight w:val="444"/>
        </w:trPr>
        <w:tc>
          <w:tcPr>
            <w:tcW w:w="2517" w:type="dxa"/>
            <w:tcBorders>
              <w:top w:val="nil"/>
              <w:bottom w:val="nil"/>
            </w:tcBorders>
            <w:shd w:val="clear" w:color="auto" w:fill="auto"/>
            <w:vAlign w:val="center"/>
            <w:hideMark/>
          </w:tcPr>
          <w:p w14:paraId="4E561019" w14:textId="5F6555CC" w:rsidR="00E514BB" w:rsidRPr="004A2990" w:rsidRDefault="00E514BB" w:rsidP="007E1C89">
            <w:pPr>
              <w:pStyle w:val="ListParagraph"/>
              <w:numPr>
                <w:ilvl w:val="0"/>
                <w:numId w:val="11"/>
              </w:numPr>
              <w:rPr>
                <w:rFonts w:ascii="Times New Roman" w:eastAsia="Times New Roman" w:hAnsi="Times New Roman"/>
                <w:bCs/>
                <w:lang w:val="en-US"/>
              </w:rPr>
            </w:pPr>
            <w:r w:rsidRPr="004A2990">
              <w:rPr>
                <w:rFonts w:ascii="Times New Roman" w:eastAsia="Times New Roman" w:hAnsi="Times New Roman"/>
                <w:bCs/>
                <w:lang w:val="en-US"/>
              </w:rPr>
              <w:t xml:space="preserve">Positive </w:t>
            </w:r>
            <w:r w:rsidR="007E1C89">
              <w:rPr>
                <w:rFonts w:ascii="Times New Roman" w:eastAsia="Times New Roman" w:hAnsi="Times New Roman"/>
                <w:bCs/>
                <w:lang w:val="en-US"/>
              </w:rPr>
              <w:t>Affect</w:t>
            </w:r>
          </w:p>
        </w:tc>
        <w:tc>
          <w:tcPr>
            <w:tcW w:w="1056" w:type="dxa"/>
            <w:tcBorders>
              <w:top w:val="nil"/>
              <w:bottom w:val="nil"/>
            </w:tcBorders>
            <w:vAlign w:val="center"/>
          </w:tcPr>
          <w:p w14:paraId="56B46673" w14:textId="2F73597C"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.362**</w:t>
            </w:r>
          </w:p>
        </w:tc>
        <w:tc>
          <w:tcPr>
            <w:tcW w:w="1581" w:type="dxa"/>
            <w:tcBorders>
              <w:top w:val="nil"/>
              <w:bottom w:val="nil"/>
            </w:tcBorders>
            <w:shd w:val="clear" w:color="auto" w:fill="auto"/>
            <w:vAlign w:val="center"/>
            <w:hideMark/>
          </w:tcPr>
          <w:p w14:paraId="61CB1BAC" w14:textId="773CAE14"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-.527**</w:t>
            </w:r>
          </w:p>
        </w:tc>
        <w:tc>
          <w:tcPr>
            <w:tcW w:w="1332" w:type="dxa"/>
            <w:tcBorders>
              <w:top w:val="nil"/>
              <w:bottom w:val="nil"/>
            </w:tcBorders>
            <w:shd w:val="clear" w:color="auto" w:fill="auto"/>
            <w:vAlign w:val="center"/>
            <w:hideMark/>
          </w:tcPr>
          <w:p w14:paraId="47F183C7" w14:textId="77777777"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1</w:t>
            </w:r>
          </w:p>
        </w:tc>
        <w:tc>
          <w:tcPr>
            <w:tcW w:w="1409" w:type="dxa"/>
            <w:tcBorders>
              <w:top w:val="nil"/>
              <w:bottom w:val="nil"/>
            </w:tcBorders>
            <w:shd w:val="clear" w:color="auto" w:fill="auto"/>
            <w:vAlign w:val="center"/>
          </w:tcPr>
          <w:p w14:paraId="17595185" w14:textId="62C08711" w:rsidR="00E514BB" w:rsidRPr="004A2990" w:rsidRDefault="00E514BB" w:rsidP="008F20EB">
            <w:pPr>
              <w:jc w:val="center"/>
              <w:rPr>
                <w:rFonts w:ascii="Times New Roman" w:eastAsia="Times New Roman" w:hAnsi="Times New Roman"/>
                <w:lang w:val="en-US"/>
              </w:rPr>
            </w:pPr>
          </w:p>
        </w:tc>
      </w:tr>
      <w:tr w:rsidR="00E514BB" w:rsidRPr="004A2990" w14:paraId="4E007EED" w14:textId="77777777" w:rsidTr="0079257C">
        <w:trPr>
          <w:trHeight w:val="222"/>
        </w:trPr>
        <w:tc>
          <w:tcPr>
            <w:tcW w:w="2517" w:type="dxa"/>
            <w:tcBorders>
              <w:top w:val="nil"/>
              <w:bottom w:val="nil"/>
            </w:tcBorders>
            <w:shd w:val="clear" w:color="auto" w:fill="auto"/>
            <w:vAlign w:val="center"/>
            <w:hideMark/>
          </w:tcPr>
          <w:p w14:paraId="6DA04231" w14:textId="1120191D" w:rsidR="00E514BB" w:rsidRPr="004A2990" w:rsidRDefault="00A93D7C" w:rsidP="00A93D7C">
            <w:pPr>
              <w:pStyle w:val="ListParagraph"/>
              <w:numPr>
                <w:ilvl w:val="0"/>
                <w:numId w:val="11"/>
              </w:numPr>
              <w:rPr>
                <w:rFonts w:ascii="Times New Roman" w:eastAsia="Times New Roman" w:hAnsi="Times New Roman"/>
                <w:bCs/>
                <w:lang w:val="en-US"/>
              </w:rPr>
            </w:pPr>
            <w:r w:rsidRPr="004A2990">
              <w:rPr>
                <w:rFonts w:ascii="Times New Roman" w:eastAsia="Times New Roman" w:hAnsi="Times New Roman"/>
                <w:bCs/>
                <w:lang w:val="en-US"/>
              </w:rPr>
              <w:t xml:space="preserve">Perceived </w:t>
            </w:r>
            <w:r w:rsidR="00E514BB" w:rsidRPr="004A2990">
              <w:rPr>
                <w:rFonts w:ascii="Times New Roman" w:eastAsia="Times New Roman" w:hAnsi="Times New Roman"/>
                <w:bCs/>
                <w:lang w:val="en-US"/>
              </w:rPr>
              <w:t>Right to reside</w:t>
            </w:r>
          </w:p>
        </w:tc>
        <w:tc>
          <w:tcPr>
            <w:tcW w:w="1056" w:type="dxa"/>
            <w:tcBorders>
              <w:top w:val="nil"/>
              <w:bottom w:val="nil"/>
            </w:tcBorders>
            <w:vAlign w:val="center"/>
          </w:tcPr>
          <w:p w14:paraId="3818524E" w14:textId="6DEF32C5"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.268**</w:t>
            </w:r>
          </w:p>
        </w:tc>
        <w:tc>
          <w:tcPr>
            <w:tcW w:w="1581" w:type="dxa"/>
            <w:tcBorders>
              <w:top w:val="nil"/>
              <w:bottom w:val="nil"/>
            </w:tcBorders>
            <w:shd w:val="clear" w:color="auto" w:fill="auto"/>
            <w:vAlign w:val="center"/>
            <w:hideMark/>
          </w:tcPr>
          <w:p w14:paraId="181A4198" w14:textId="0C7B9300"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-.610**</w:t>
            </w:r>
          </w:p>
        </w:tc>
        <w:tc>
          <w:tcPr>
            <w:tcW w:w="1332" w:type="dxa"/>
            <w:tcBorders>
              <w:top w:val="nil"/>
              <w:bottom w:val="nil"/>
            </w:tcBorders>
            <w:shd w:val="clear" w:color="auto" w:fill="auto"/>
            <w:vAlign w:val="center"/>
            <w:hideMark/>
          </w:tcPr>
          <w:p w14:paraId="42533418" w14:textId="7BC31BF9"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.665**</w:t>
            </w:r>
          </w:p>
        </w:tc>
        <w:tc>
          <w:tcPr>
            <w:tcW w:w="1409" w:type="dxa"/>
            <w:tcBorders>
              <w:top w:val="nil"/>
              <w:bottom w:val="nil"/>
            </w:tcBorders>
            <w:shd w:val="clear" w:color="auto" w:fill="auto"/>
            <w:vAlign w:val="center"/>
            <w:hideMark/>
          </w:tcPr>
          <w:p w14:paraId="0D024853" w14:textId="77777777"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1</w:t>
            </w:r>
          </w:p>
        </w:tc>
      </w:tr>
      <w:tr w:rsidR="00E514BB" w:rsidRPr="004A2990" w14:paraId="1D7609BF" w14:textId="77777777" w:rsidTr="0079257C">
        <w:trPr>
          <w:trHeight w:val="222"/>
        </w:trPr>
        <w:tc>
          <w:tcPr>
            <w:tcW w:w="2517" w:type="dxa"/>
            <w:tcBorders>
              <w:top w:val="nil"/>
            </w:tcBorders>
            <w:shd w:val="clear" w:color="auto" w:fill="auto"/>
            <w:vAlign w:val="center"/>
          </w:tcPr>
          <w:p w14:paraId="767B5575" w14:textId="1F8AAEF4" w:rsidR="00E514BB" w:rsidRPr="004A2990" w:rsidRDefault="00A93D7C" w:rsidP="008F20EB">
            <w:pPr>
              <w:pStyle w:val="ListParagraph"/>
              <w:numPr>
                <w:ilvl w:val="0"/>
                <w:numId w:val="11"/>
              </w:numPr>
              <w:rPr>
                <w:rFonts w:ascii="Times New Roman" w:eastAsia="Times New Roman" w:hAnsi="Times New Roman"/>
                <w:bCs/>
                <w:lang w:val="en-US"/>
              </w:rPr>
            </w:pPr>
            <w:r w:rsidRPr="004A2990">
              <w:rPr>
                <w:rFonts w:ascii="Times New Roman" w:eastAsia="Times New Roman" w:hAnsi="Times New Roman"/>
                <w:bCs/>
                <w:lang w:val="en-US"/>
              </w:rPr>
              <w:t xml:space="preserve">Perceived Size </w:t>
            </w:r>
          </w:p>
        </w:tc>
        <w:tc>
          <w:tcPr>
            <w:tcW w:w="1056" w:type="dxa"/>
            <w:tcBorders>
              <w:top w:val="nil"/>
            </w:tcBorders>
            <w:vAlign w:val="center"/>
          </w:tcPr>
          <w:p w14:paraId="748A5AB8" w14:textId="4C2711B9"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-.012</w:t>
            </w:r>
          </w:p>
        </w:tc>
        <w:tc>
          <w:tcPr>
            <w:tcW w:w="1581" w:type="dxa"/>
            <w:tcBorders>
              <w:top w:val="nil"/>
            </w:tcBorders>
            <w:shd w:val="clear" w:color="auto" w:fill="auto"/>
            <w:vAlign w:val="center"/>
          </w:tcPr>
          <w:p w14:paraId="7AC7305D" w14:textId="5FF8B84D"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.235**</w:t>
            </w:r>
          </w:p>
        </w:tc>
        <w:tc>
          <w:tcPr>
            <w:tcW w:w="1332" w:type="dxa"/>
            <w:tcBorders>
              <w:top w:val="nil"/>
            </w:tcBorders>
            <w:shd w:val="clear" w:color="auto" w:fill="auto"/>
            <w:vAlign w:val="center"/>
          </w:tcPr>
          <w:p w14:paraId="469752CD" w14:textId="7AC99F28"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-.165</w:t>
            </w:r>
          </w:p>
        </w:tc>
        <w:tc>
          <w:tcPr>
            <w:tcW w:w="1409" w:type="dxa"/>
            <w:tcBorders>
              <w:top w:val="nil"/>
            </w:tcBorders>
            <w:shd w:val="clear" w:color="auto" w:fill="auto"/>
            <w:vAlign w:val="center"/>
          </w:tcPr>
          <w:p w14:paraId="3650556B" w14:textId="44E63005" w:rsidR="00E514BB" w:rsidRPr="004A2990" w:rsidRDefault="00E514BB" w:rsidP="008F20EB">
            <w:pPr>
              <w:jc w:val="center"/>
              <w:rPr>
                <w:rFonts w:ascii="Times New Roman" w:eastAsia="Times New Roman" w:hAnsi="Times New Roman"/>
                <w:lang w:val="en-US"/>
              </w:rPr>
            </w:pPr>
            <w:r w:rsidRPr="004A2990">
              <w:rPr>
                <w:rFonts w:ascii="Times New Roman" w:eastAsia="Times New Roman" w:hAnsi="Times New Roman"/>
                <w:lang w:val="en-US"/>
              </w:rPr>
              <w:t>-.176*</w:t>
            </w:r>
          </w:p>
        </w:tc>
      </w:tr>
    </w:tbl>
    <w:p w14:paraId="4ABB80A2" w14:textId="56D6550F" w:rsidR="00C91DD6" w:rsidRPr="004A2990" w:rsidRDefault="00C91DD6" w:rsidP="008F20EB">
      <w:pPr>
        <w:pStyle w:val="APAReferences"/>
        <w:spacing w:after="0" w:line="240" w:lineRule="auto"/>
        <w:ind w:left="0" w:firstLine="0"/>
        <w:rPr>
          <w:lang w:val="en-US"/>
        </w:rPr>
      </w:pPr>
    </w:p>
    <w:p w14:paraId="17DF2022" w14:textId="77777777" w:rsidR="00E514BB" w:rsidRPr="004A2990" w:rsidRDefault="00E514BB" w:rsidP="008F20EB">
      <w:pPr>
        <w:pStyle w:val="APAReferences"/>
        <w:spacing w:after="0" w:line="240" w:lineRule="auto"/>
        <w:ind w:left="0" w:firstLine="0"/>
        <w:rPr>
          <w:lang w:val="en-US"/>
        </w:rPr>
      </w:pPr>
    </w:p>
    <w:p w14:paraId="65E0703F" w14:textId="77777777" w:rsidR="00E514BB" w:rsidRPr="004A2990" w:rsidRDefault="00E514BB" w:rsidP="008F20EB">
      <w:pPr>
        <w:pStyle w:val="APAReferences"/>
        <w:spacing w:after="0" w:line="240" w:lineRule="auto"/>
        <w:ind w:left="0" w:firstLine="0"/>
        <w:rPr>
          <w:lang w:val="en-US"/>
        </w:rPr>
      </w:pPr>
    </w:p>
    <w:p w14:paraId="6E3F0E0E" w14:textId="77777777" w:rsidR="00E514BB" w:rsidRPr="004A2990" w:rsidRDefault="00E514BB" w:rsidP="008F20EB">
      <w:pPr>
        <w:pStyle w:val="APAReferences"/>
        <w:spacing w:after="0" w:line="240" w:lineRule="auto"/>
        <w:ind w:left="0" w:firstLine="0"/>
        <w:rPr>
          <w:lang w:val="en-US"/>
        </w:rPr>
      </w:pPr>
    </w:p>
    <w:p w14:paraId="040B21E1" w14:textId="77777777" w:rsidR="00E514BB" w:rsidRPr="004A2990" w:rsidRDefault="00E514BB" w:rsidP="008F20EB">
      <w:pPr>
        <w:pStyle w:val="APAReferences"/>
        <w:spacing w:after="0" w:line="240" w:lineRule="auto"/>
        <w:ind w:left="0" w:firstLine="0"/>
        <w:rPr>
          <w:lang w:val="en-US"/>
        </w:rPr>
      </w:pPr>
    </w:p>
    <w:p w14:paraId="3A1F72B4" w14:textId="77777777" w:rsidR="00E514BB" w:rsidRPr="004A2990" w:rsidRDefault="00E514BB" w:rsidP="008F20EB">
      <w:pPr>
        <w:pStyle w:val="APAReferences"/>
        <w:spacing w:after="0" w:line="240" w:lineRule="auto"/>
        <w:ind w:left="0" w:firstLine="0"/>
        <w:rPr>
          <w:lang w:val="en-US"/>
        </w:rPr>
      </w:pPr>
    </w:p>
    <w:p w14:paraId="6380458B" w14:textId="77777777" w:rsidR="00E514BB" w:rsidRPr="004A2990" w:rsidRDefault="00E514BB" w:rsidP="008F20EB">
      <w:pPr>
        <w:pStyle w:val="APAReferences"/>
        <w:spacing w:after="0" w:line="240" w:lineRule="auto"/>
        <w:ind w:left="0" w:firstLine="0"/>
        <w:rPr>
          <w:lang w:val="en-US"/>
        </w:rPr>
      </w:pPr>
    </w:p>
    <w:p w14:paraId="4AF8E3C0" w14:textId="77777777" w:rsidR="00E514BB" w:rsidRPr="004A2990" w:rsidRDefault="00E514BB" w:rsidP="008F20EB">
      <w:pPr>
        <w:pStyle w:val="APAReferences"/>
        <w:spacing w:after="0" w:line="240" w:lineRule="auto"/>
        <w:ind w:left="0" w:firstLine="0"/>
        <w:rPr>
          <w:lang w:val="en-US"/>
        </w:rPr>
      </w:pPr>
    </w:p>
    <w:p w14:paraId="2D5FB79C" w14:textId="77777777" w:rsidR="008F20EB" w:rsidRPr="004A2990" w:rsidRDefault="008F20EB" w:rsidP="008F20EB">
      <w:pPr>
        <w:pStyle w:val="APAReferences"/>
        <w:spacing w:after="0" w:line="240" w:lineRule="auto"/>
        <w:ind w:left="0" w:firstLine="0"/>
        <w:rPr>
          <w:i/>
          <w:lang w:val="en-US"/>
        </w:rPr>
      </w:pPr>
    </w:p>
    <w:p w14:paraId="4C13B55C" w14:textId="77777777" w:rsidR="008F20EB" w:rsidRPr="004A2990" w:rsidRDefault="008F20EB" w:rsidP="008F20EB">
      <w:pPr>
        <w:pStyle w:val="APAReferences"/>
        <w:spacing w:after="0" w:line="240" w:lineRule="auto"/>
        <w:ind w:left="0" w:firstLine="0"/>
        <w:rPr>
          <w:i/>
          <w:lang w:val="en-US"/>
        </w:rPr>
      </w:pPr>
    </w:p>
    <w:p w14:paraId="2B217486" w14:textId="77777777" w:rsidR="008F20EB" w:rsidRPr="004A2990" w:rsidRDefault="008F20EB" w:rsidP="008F20EB">
      <w:pPr>
        <w:pStyle w:val="APAReferences"/>
        <w:spacing w:after="0" w:line="240" w:lineRule="auto"/>
        <w:ind w:left="0" w:firstLine="0"/>
        <w:rPr>
          <w:i/>
          <w:lang w:val="en-US"/>
        </w:rPr>
      </w:pPr>
    </w:p>
    <w:p w14:paraId="3D7FF3F3" w14:textId="77777777" w:rsidR="008F20EB" w:rsidRPr="004A2990" w:rsidRDefault="008F20EB" w:rsidP="008F20EB">
      <w:pPr>
        <w:pStyle w:val="APAReferences"/>
        <w:spacing w:after="0" w:line="240" w:lineRule="auto"/>
        <w:ind w:left="0" w:firstLine="0"/>
        <w:rPr>
          <w:i/>
          <w:lang w:val="en-US"/>
        </w:rPr>
      </w:pPr>
    </w:p>
    <w:p w14:paraId="70BE7EC0" w14:textId="77777777" w:rsidR="008F20EB" w:rsidRPr="004A2990" w:rsidRDefault="008F20EB" w:rsidP="008F20EB">
      <w:pPr>
        <w:pStyle w:val="APAReferences"/>
        <w:spacing w:after="0" w:line="240" w:lineRule="auto"/>
        <w:ind w:left="0" w:firstLine="0"/>
        <w:rPr>
          <w:i/>
          <w:lang w:val="en-US"/>
        </w:rPr>
      </w:pPr>
    </w:p>
    <w:p w14:paraId="65FE04DC" w14:textId="35A5DAD8" w:rsidR="008D223D" w:rsidRPr="004A2990" w:rsidRDefault="00E514BB" w:rsidP="008F20EB">
      <w:pPr>
        <w:pStyle w:val="APAReferences"/>
        <w:spacing w:after="0" w:line="240" w:lineRule="auto"/>
        <w:ind w:left="0" w:firstLine="0"/>
        <w:rPr>
          <w:i/>
          <w:lang w:val="en-US"/>
        </w:rPr>
      </w:pPr>
      <w:r w:rsidRPr="004A2990">
        <w:rPr>
          <w:i/>
          <w:lang w:val="en-US"/>
        </w:rPr>
        <w:t>Note: * = significant at p &lt; .05, ** = significant at p &lt; .001</w:t>
      </w:r>
    </w:p>
    <w:p w14:paraId="3CE85E49" w14:textId="0CD0E6BE" w:rsidR="00596AE4" w:rsidRPr="004A2990" w:rsidRDefault="00596AE4">
      <w:pPr>
        <w:widowControl/>
        <w:suppressAutoHyphens w:val="0"/>
        <w:rPr>
          <w:rFonts w:ascii="Times New Roman" w:hAnsi="Times New Roman"/>
          <w:i/>
          <w:lang w:val="en-US"/>
        </w:rPr>
      </w:pPr>
      <w:r w:rsidRPr="004A2990">
        <w:rPr>
          <w:rFonts w:ascii="Times New Roman" w:hAnsi="Times New Roman"/>
          <w:i/>
          <w:lang w:val="en-US"/>
        </w:rPr>
        <w:br w:type="page"/>
      </w:r>
    </w:p>
    <w:p w14:paraId="4530BCBF" w14:textId="77777777" w:rsidR="00441090" w:rsidRPr="004A2990" w:rsidRDefault="00441090" w:rsidP="007C0D19">
      <w:pPr>
        <w:pStyle w:val="APAReferences"/>
        <w:spacing w:after="0"/>
        <w:ind w:left="0" w:firstLine="0"/>
        <w:rPr>
          <w:i/>
          <w:lang w:val="en-US"/>
        </w:rPr>
      </w:pPr>
    </w:p>
    <w:p w14:paraId="3E67214A" w14:textId="77777777" w:rsidR="009A2730" w:rsidRPr="004A2990" w:rsidRDefault="009A2730" w:rsidP="007C0D19">
      <w:pPr>
        <w:spacing w:line="480" w:lineRule="auto"/>
        <w:ind w:left="720" w:hanging="720"/>
        <w:rPr>
          <w:rFonts w:ascii="Times New Roman" w:hAnsi="Times New Roman"/>
          <w:noProof/>
          <w:lang w:val="en-US"/>
        </w:rPr>
      </w:pPr>
      <w:r w:rsidRPr="004A2990">
        <w:rPr>
          <w:rFonts w:ascii="Times New Roman" w:hAnsi="Times New Roman"/>
          <w:noProof/>
          <w:lang w:val="en-US"/>
        </w:rPr>
        <w:t>Figure Captions</w:t>
      </w:r>
    </w:p>
    <w:p w14:paraId="1574F78A" w14:textId="77777777" w:rsidR="009A2730" w:rsidRPr="004A2990" w:rsidRDefault="009A2730" w:rsidP="007C0D19">
      <w:pPr>
        <w:spacing w:line="480" w:lineRule="auto"/>
        <w:ind w:left="720" w:hanging="720"/>
        <w:rPr>
          <w:rFonts w:ascii="Times New Roman" w:hAnsi="Times New Roman"/>
          <w:noProof/>
          <w:lang w:val="en-US"/>
        </w:rPr>
      </w:pPr>
    </w:p>
    <w:p w14:paraId="434932F0" w14:textId="4046B196" w:rsidR="009A2730" w:rsidRPr="004A2990" w:rsidRDefault="009A2730" w:rsidP="007C0D19">
      <w:pPr>
        <w:spacing w:line="480" w:lineRule="auto"/>
        <w:rPr>
          <w:rFonts w:ascii="Times New Roman" w:hAnsi="Times New Roman"/>
          <w:noProof/>
          <w:lang w:val="en-US"/>
        </w:rPr>
      </w:pPr>
      <w:r w:rsidRPr="004A2990">
        <w:rPr>
          <w:rFonts w:ascii="Times New Roman" w:hAnsi="Times New Roman"/>
          <w:noProof/>
          <w:lang w:val="en-US"/>
        </w:rPr>
        <w:t>Figure 1</w:t>
      </w:r>
    </w:p>
    <w:p w14:paraId="73179D82" w14:textId="6FA8F5FB" w:rsidR="00146794" w:rsidRPr="004A2990" w:rsidRDefault="00146794" w:rsidP="007C0D19">
      <w:pPr>
        <w:spacing w:line="480" w:lineRule="auto"/>
        <w:rPr>
          <w:rFonts w:ascii="Times New Roman" w:hAnsi="Times New Roman"/>
          <w:noProof/>
          <w:lang w:val="en-US"/>
        </w:rPr>
      </w:pPr>
      <w:r w:rsidRPr="004A2990">
        <w:rPr>
          <w:rFonts w:ascii="Times New Roman" w:hAnsi="Times New Roman"/>
          <w:noProof/>
          <w:lang w:val="en-US"/>
        </w:rPr>
        <w:t xml:space="preserve">A model predicting the effects of intergroup similarity, intergroup threat, and intergroup </w:t>
      </w:r>
      <w:r w:rsidR="007E1C89">
        <w:rPr>
          <w:rFonts w:ascii="Times New Roman" w:hAnsi="Times New Roman"/>
          <w:noProof/>
          <w:lang w:val="en-US"/>
        </w:rPr>
        <w:t>affect</w:t>
      </w:r>
      <w:r w:rsidRPr="004A2990">
        <w:rPr>
          <w:rFonts w:ascii="Times New Roman" w:hAnsi="Times New Roman"/>
          <w:noProof/>
          <w:lang w:val="en-US"/>
        </w:rPr>
        <w:t xml:space="preserve"> on the migrants’ perceived right to reside in the country, and on the perceived migrants’ group size. </w:t>
      </w:r>
    </w:p>
    <w:p w14:paraId="7108BA43" w14:textId="30635CAF" w:rsidR="00146794" w:rsidRPr="004A2990" w:rsidRDefault="00146794" w:rsidP="007C0D19">
      <w:pPr>
        <w:spacing w:line="480" w:lineRule="auto"/>
        <w:rPr>
          <w:rFonts w:ascii="Times New Roman" w:hAnsi="Times New Roman"/>
          <w:noProof/>
          <w:lang w:val="en-US"/>
        </w:rPr>
      </w:pPr>
    </w:p>
    <w:p w14:paraId="69C34A44" w14:textId="77777777" w:rsidR="00146794" w:rsidRPr="004A2990" w:rsidRDefault="00146794" w:rsidP="00146794">
      <w:pPr>
        <w:spacing w:line="480" w:lineRule="auto"/>
        <w:rPr>
          <w:rFonts w:ascii="Times New Roman" w:hAnsi="Times New Roman"/>
          <w:noProof/>
          <w:lang w:val="en-US"/>
        </w:rPr>
      </w:pPr>
      <w:r w:rsidRPr="004A2990">
        <w:rPr>
          <w:rFonts w:ascii="Times New Roman" w:hAnsi="Times New Roman"/>
          <w:noProof/>
          <w:lang w:val="en-US"/>
        </w:rPr>
        <w:t>Figure 2</w:t>
      </w:r>
    </w:p>
    <w:p w14:paraId="2E1FE38C" w14:textId="08D98815" w:rsidR="009A2730" w:rsidRPr="004A2990" w:rsidRDefault="00146794" w:rsidP="007C0D19">
      <w:pPr>
        <w:spacing w:line="480" w:lineRule="auto"/>
        <w:rPr>
          <w:rFonts w:ascii="Times New Roman" w:hAnsi="Times New Roman"/>
          <w:lang w:val="en-US"/>
        </w:rPr>
      </w:pPr>
      <w:r w:rsidRPr="004A2990">
        <w:rPr>
          <w:rFonts w:ascii="Times New Roman" w:hAnsi="Times New Roman"/>
          <w:lang w:val="en-US"/>
        </w:rPr>
        <w:t xml:space="preserve">Testing the theoretical model. </w:t>
      </w:r>
      <w:r w:rsidR="00FD5663" w:rsidRPr="004A2990">
        <w:rPr>
          <w:rFonts w:ascii="Times New Roman" w:hAnsi="Times New Roman"/>
          <w:lang w:val="en-US"/>
        </w:rPr>
        <w:t xml:space="preserve">Path values as follows: values outside parentheses are results for </w:t>
      </w:r>
      <w:r w:rsidR="00AE15AA" w:rsidRPr="004A2990">
        <w:rPr>
          <w:rFonts w:ascii="Times New Roman" w:hAnsi="Times New Roman"/>
          <w:lang w:val="en-US"/>
        </w:rPr>
        <w:t>Indi</w:t>
      </w:r>
      <w:r w:rsidR="00FD5663" w:rsidRPr="004A2990">
        <w:rPr>
          <w:rFonts w:ascii="Times New Roman" w:hAnsi="Times New Roman"/>
          <w:lang w:val="en-US"/>
        </w:rPr>
        <w:t>an group target</w:t>
      </w:r>
      <w:r w:rsidR="00582B2B" w:rsidRPr="004A2990">
        <w:rPr>
          <w:rFonts w:ascii="Times New Roman" w:hAnsi="Times New Roman"/>
          <w:lang w:val="en-US"/>
        </w:rPr>
        <w:t xml:space="preserve"> </w:t>
      </w:r>
      <w:r w:rsidR="00FD5663" w:rsidRPr="004A2990">
        <w:rPr>
          <w:rFonts w:ascii="Times New Roman" w:hAnsi="Times New Roman"/>
          <w:lang w:val="en-US"/>
        </w:rPr>
        <w:t>(</w:t>
      </w:r>
      <w:r w:rsidR="007A411D">
        <w:rPr>
          <w:rFonts w:ascii="Times New Roman" w:hAnsi="Times New Roman"/>
          <w:lang w:val="en-US"/>
        </w:rPr>
        <w:t>Study 1</w:t>
      </w:r>
      <w:r w:rsidR="00FD5663" w:rsidRPr="004A2990">
        <w:rPr>
          <w:rFonts w:ascii="Times New Roman" w:hAnsi="Times New Roman"/>
          <w:lang w:val="en-US"/>
        </w:rPr>
        <w:t xml:space="preserve">), values in round parentheses are results </w:t>
      </w:r>
      <w:r w:rsidR="007A411D">
        <w:rPr>
          <w:rFonts w:ascii="Times New Roman" w:hAnsi="Times New Roman"/>
          <w:lang w:val="en-US"/>
        </w:rPr>
        <w:t>for Polish group target (Study 1</w:t>
      </w:r>
      <w:r w:rsidR="00FD5663" w:rsidRPr="004A2990">
        <w:rPr>
          <w:rFonts w:ascii="Times New Roman" w:hAnsi="Times New Roman"/>
          <w:lang w:val="en-US"/>
        </w:rPr>
        <w:t>), values in square parentheses are re</w:t>
      </w:r>
      <w:r w:rsidR="00A136F4">
        <w:rPr>
          <w:rFonts w:ascii="Times New Roman" w:hAnsi="Times New Roman"/>
          <w:lang w:val="en-US"/>
        </w:rPr>
        <w:t>sults for Syrian group target (S</w:t>
      </w:r>
      <w:r w:rsidR="00FD5663" w:rsidRPr="004A2990">
        <w:rPr>
          <w:rFonts w:ascii="Times New Roman" w:hAnsi="Times New Roman"/>
          <w:lang w:val="en-US"/>
        </w:rPr>
        <w:t xml:space="preserve">tudy </w:t>
      </w:r>
      <w:r w:rsidR="007A411D">
        <w:rPr>
          <w:rFonts w:ascii="Times New Roman" w:hAnsi="Times New Roman"/>
          <w:lang w:val="en-US"/>
        </w:rPr>
        <w:t>1</w:t>
      </w:r>
      <w:r w:rsidR="00FD5663" w:rsidRPr="004A2990">
        <w:rPr>
          <w:rFonts w:ascii="Times New Roman" w:hAnsi="Times New Roman"/>
          <w:lang w:val="en-US"/>
        </w:rPr>
        <w:t xml:space="preserve">), and values in </w:t>
      </w:r>
      <w:r w:rsidR="001D2544">
        <w:rPr>
          <w:rFonts w:ascii="Times New Roman" w:hAnsi="Times New Roman"/>
          <w:lang w:val="en-US"/>
        </w:rPr>
        <w:t>{}</w:t>
      </w:r>
      <w:r w:rsidR="00FD5663" w:rsidRPr="004A2990">
        <w:rPr>
          <w:rFonts w:ascii="Times New Roman" w:hAnsi="Times New Roman"/>
          <w:lang w:val="en-US"/>
        </w:rPr>
        <w:t xml:space="preserve"> are result</w:t>
      </w:r>
      <w:r w:rsidR="00A136F4">
        <w:rPr>
          <w:rFonts w:ascii="Times New Roman" w:hAnsi="Times New Roman"/>
          <w:lang w:val="en-US"/>
        </w:rPr>
        <w:t xml:space="preserve">s for the </w:t>
      </w:r>
      <w:proofErr w:type="spellStart"/>
      <w:r w:rsidR="00A136F4">
        <w:rPr>
          <w:rFonts w:ascii="Times New Roman" w:hAnsi="Times New Roman"/>
          <w:lang w:val="en-US"/>
        </w:rPr>
        <w:t>Abendi</w:t>
      </w:r>
      <w:proofErr w:type="spellEnd"/>
      <w:r w:rsidR="00A136F4">
        <w:rPr>
          <w:rFonts w:ascii="Times New Roman" w:hAnsi="Times New Roman"/>
          <w:lang w:val="en-US"/>
        </w:rPr>
        <w:t xml:space="preserve"> group target (S</w:t>
      </w:r>
      <w:r w:rsidR="007A411D">
        <w:rPr>
          <w:rFonts w:ascii="Times New Roman" w:hAnsi="Times New Roman"/>
          <w:lang w:val="en-US"/>
        </w:rPr>
        <w:t>tudy 2</w:t>
      </w:r>
      <w:r w:rsidR="00FD5663" w:rsidRPr="004A2990">
        <w:rPr>
          <w:rFonts w:ascii="Times New Roman" w:hAnsi="Times New Roman"/>
          <w:lang w:val="en-US"/>
        </w:rPr>
        <w:t>)</w:t>
      </w:r>
      <w:r w:rsidR="009A2730" w:rsidRPr="004A2990">
        <w:rPr>
          <w:rFonts w:ascii="Times New Roman" w:hAnsi="Times New Roman"/>
          <w:lang w:val="en-US"/>
        </w:rPr>
        <w:t>.</w:t>
      </w:r>
    </w:p>
    <w:p w14:paraId="18BED383" w14:textId="77777777" w:rsidR="00FD5663" w:rsidRPr="004A2990" w:rsidRDefault="00FD5663" w:rsidP="00FD5663">
      <w:pPr>
        <w:spacing w:line="480" w:lineRule="auto"/>
        <w:rPr>
          <w:rFonts w:ascii="Times New Roman" w:hAnsi="Times New Roman"/>
          <w:i/>
          <w:lang w:val="en-US"/>
        </w:rPr>
      </w:pPr>
      <w:r w:rsidRPr="004A2990">
        <w:rPr>
          <w:rFonts w:ascii="Times New Roman" w:hAnsi="Times New Roman"/>
          <w:i/>
          <w:lang w:val="en-US"/>
        </w:rPr>
        <w:t xml:space="preserve">Note: </w:t>
      </w:r>
      <w:r w:rsidRPr="004A2990">
        <w:rPr>
          <w:rFonts w:ascii="Times New Roman" w:hAnsi="Times New Roman"/>
          <w:i/>
          <w:noProof/>
          <w:lang w:val="en-US"/>
        </w:rPr>
        <w:t xml:space="preserve">* = Significant at p &lt; .05, </w:t>
      </w:r>
      <w:r w:rsidRPr="004A2990">
        <w:rPr>
          <w:rFonts w:ascii="Times New Roman" w:hAnsi="Times New Roman"/>
          <w:i/>
          <w:lang w:val="en-US"/>
        </w:rPr>
        <w:t xml:space="preserve">** = Significant at p &lt; .001. </w:t>
      </w:r>
    </w:p>
    <w:p w14:paraId="0F8DBD47" w14:textId="77777777" w:rsidR="00AE15AA" w:rsidRPr="004A2990" w:rsidRDefault="00AE15AA" w:rsidP="007C0D19">
      <w:pPr>
        <w:spacing w:line="480" w:lineRule="auto"/>
        <w:rPr>
          <w:rFonts w:ascii="Times New Roman" w:hAnsi="Times New Roman"/>
          <w:i/>
          <w:lang w:val="en-US"/>
        </w:rPr>
      </w:pPr>
    </w:p>
    <w:p w14:paraId="09081A0A" w14:textId="77777777" w:rsidR="00395061" w:rsidRPr="004A2990" w:rsidRDefault="00395061" w:rsidP="007C0D19">
      <w:pPr>
        <w:spacing w:line="480" w:lineRule="auto"/>
        <w:rPr>
          <w:rFonts w:ascii="Times New Roman" w:hAnsi="Times New Roman"/>
          <w:noProof/>
          <w:lang w:val="en-US"/>
        </w:rPr>
        <w:sectPr w:rsidR="00395061" w:rsidRPr="004A2990" w:rsidSect="00395061">
          <w:pgSz w:w="11906" w:h="16838"/>
          <w:pgMar w:top="1440" w:right="1440" w:bottom="1440" w:left="1440" w:header="1440" w:footer="720" w:gutter="0"/>
          <w:cols w:space="720"/>
          <w:titlePg/>
          <w:docGrid w:linePitch="326"/>
        </w:sectPr>
      </w:pPr>
    </w:p>
    <w:p w14:paraId="02A3B91E" w14:textId="5EE16C64" w:rsidR="00AE15AA" w:rsidRPr="004A2990" w:rsidRDefault="00AE15AA" w:rsidP="007C0D19">
      <w:pPr>
        <w:spacing w:line="480" w:lineRule="auto"/>
        <w:rPr>
          <w:rFonts w:ascii="Times New Roman" w:hAnsi="Times New Roman"/>
          <w:noProof/>
          <w:lang w:val="en-US"/>
        </w:rPr>
      </w:pPr>
    </w:p>
    <w:p w14:paraId="712730FD" w14:textId="77777777" w:rsidR="00AE15AA" w:rsidRPr="004A2990" w:rsidRDefault="00AE15AA" w:rsidP="007C0D19">
      <w:pPr>
        <w:spacing w:line="480" w:lineRule="auto"/>
        <w:rPr>
          <w:rFonts w:ascii="Times New Roman" w:hAnsi="Times New Roman"/>
          <w:noProof/>
          <w:lang w:val="en-US"/>
        </w:rPr>
      </w:pPr>
    </w:p>
    <w:p w14:paraId="316C7AB6" w14:textId="77777777" w:rsidR="00E06D69" w:rsidRPr="004A2990" w:rsidRDefault="00E06D69" w:rsidP="007C0D19">
      <w:pPr>
        <w:pStyle w:val="APAReferences"/>
        <w:spacing w:after="0"/>
        <w:ind w:left="0" w:firstLine="0"/>
        <w:rPr>
          <w:lang w:val="en-US"/>
        </w:rPr>
      </w:pPr>
    </w:p>
    <w:p w14:paraId="14DB4845" w14:textId="77777777" w:rsidR="00E06D69" w:rsidRPr="004A2990" w:rsidRDefault="00E06D69" w:rsidP="007C0D19">
      <w:pPr>
        <w:pStyle w:val="APAReferences"/>
        <w:spacing w:after="0"/>
        <w:ind w:left="0" w:firstLine="0"/>
        <w:rPr>
          <w:lang w:val="en-US"/>
        </w:rPr>
      </w:pPr>
    </w:p>
    <w:p w14:paraId="2CD83B37" w14:textId="77777777" w:rsidR="00E06D69" w:rsidRPr="004A2990" w:rsidRDefault="00E06D69" w:rsidP="007C0D19">
      <w:pPr>
        <w:pStyle w:val="APAReferences"/>
        <w:spacing w:after="0"/>
        <w:ind w:left="0" w:firstLine="0"/>
        <w:rPr>
          <w:lang w:val="en-US"/>
        </w:rPr>
      </w:pPr>
    </w:p>
    <w:p w14:paraId="194FD534" w14:textId="77777777" w:rsidR="00E06D69" w:rsidRPr="004A2990" w:rsidRDefault="00E06D69" w:rsidP="007C0D19">
      <w:pPr>
        <w:pStyle w:val="APAReferences"/>
        <w:spacing w:after="0"/>
        <w:ind w:left="0" w:firstLine="0"/>
        <w:rPr>
          <w:lang w:val="en-US"/>
        </w:rPr>
      </w:pPr>
    </w:p>
    <w:p w14:paraId="0D46A4A4" w14:textId="09FDBF42" w:rsidR="00E06D69" w:rsidRPr="004A2990" w:rsidRDefault="00F771A3" w:rsidP="007C0D19">
      <w:pPr>
        <w:pStyle w:val="APAReferences"/>
        <w:spacing w:after="0"/>
        <w:ind w:left="0" w:firstLine="0"/>
        <w:rPr>
          <w:lang w:val="en-US"/>
        </w:rPr>
      </w:pPr>
      <w:r w:rsidRPr="00F771A3">
        <w:rPr>
          <w:noProof/>
        </w:rPr>
        <mc:AlternateContent>
          <mc:Choice Requires="wpg">
            <w:drawing>
              <wp:anchor distT="0" distB="0" distL="114300" distR="114300" simplePos="0" relativeHeight="251659264" behindDoc="0" locked="0" layoutInCell="1" allowOverlap="1" wp14:anchorId="669F07CA" wp14:editId="5FEB6BFC">
                <wp:simplePos x="0" y="0"/>
                <wp:positionH relativeFrom="column">
                  <wp:posOffset>0</wp:posOffset>
                </wp:positionH>
                <wp:positionV relativeFrom="paragraph">
                  <wp:posOffset>-635</wp:posOffset>
                </wp:positionV>
                <wp:extent cx="9779000" cy="2180185"/>
                <wp:effectExtent l="0" t="0" r="12700" b="0"/>
                <wp:wrapNone/>
                <wp:docPr id="204" name="Group 58"/>
                <wp:cNvGraphicFramePr/>
                <a:graphic xmlns:a="http://schemas.openxmlformats.org/drawingml/2006/main">
                  <a:graphicData uri="http://schemas.microsoft.com/office/word/2010/wordprocessingGroup">
                    <wpg:wgp>
                      <wpg:cNvGrpSpPr/>
                      <wpg:grpSpPr>
                        <a:xfrm>
                          <a:off x="0" y="0"/>
                          <a:ext cx="9779000" cy="2180185"/>
                          <a:chOff x="0" y="0"/>
                          <a:chExt cx="9779000" cy="2180185"/>
                        </a:xfrm>
                      </wpg:grpSpPr>
                      <wps:wsp>
                        <wps:cNvPr id="205" name="Straight Connector 205"/>
                        <wps:cNvCnPr/>
                        <wps:spPr>
                          <a:xfrm flipV="1">
                            <a:off x="3329258" y="220805"/>
                            <a:ext cx="0" cy="1138855"/>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06" name="Straight Arrow Connector 206"/>
                        <wps:cNvCnPr/>
                        <wps:spPr>
                          <a:xfrm>
                            <a:off x="1556429" y="1528019"/>
                            <a:ext cx="994615" cy="7599"/>
                          </a:xfrm>
                          <a:prstGeom prst="straightConnector1">
                            <a:avLst/>
                          </a:prstGeom>
                          <a:noFill/>
                          <a:ln w="6350" cap="flat" cmpd="sng" algn="ctr">
                            <a:solidFill>
                              <a:srgbClr val="000000"/>
                            </a:solidFill>
                            <a:prstDash val="solid"/>
                            <a:miter lim="800000"/>
                            <a:tailEnd type="triangle"/>
                          </a:ln>
                          <a:effectLst/>
                        </wps:spPr>
                        <wps:bodyPr/>
                      </wps:wsp>
                      <wps:wsp>
                        <wps:cNvPr id="207" name="Straight Arrow Connector 207"/>
                        <wps:cNvCnPr/>
                        <wps:spPr>
                          <a:xfrm>
                            <a:off x="4107472" y="1524294"/>
                            <a:ext cx="994615" cy="0"/>
                          </a:xfrm>
                          <a:prstGeom prst="straightConnector1">
                            <a:avLst/>
                          </a:prstGeom>
                          <a:noFill/>
                          <a:ln w="9525" cap="flat" cmpd="sng" algn="ctr">
                            <a:solidFill>
                              <a:srgbClr val="000000"/>
                            </a:solidFill>
                            <a:prstDash val="solid"/>
                            <a:miter lim="800000"/>
                            <a:tailEnd type="triangle"/>
                          </a:ln>
                          <a:effectLst/>
                        </wps:spPr>
                        <wps:bodyPr/>
                      </wps:wsp>
                      <wps:wsp>
                        <wps:cNvPr id="208" name="Straight Arrow Connector 208"/>
                        <wps:cNvCnPr/>
                        <wps:spPr>
                          <a:xfrm flipV="1">
                            <a:off x="6517535" y="910189"/>
                            <a:ext cx="1367509" cy="564258"/>
                          </a:xfrm>
                          <a:prstGeom prst="straightConnector1">
                            <a:avLst/>
                          </a:prstGeom>
                          <a:noFill/>
                          <a:ln w="6350" cap="flat" cmpd="sng" algn="ctr">
                            <a:solidFill>
                              <a:srgbClr val="000000"/>
                            </a:solidFill>
                            <a:prstDash val="solid"/>
                            <a:miter lim="800000"/>
                            <a:tailEnd type="triangle"/>
                          </a:ln>
                          <a:effectLst/>
                        </wps:spPr>
                        <wps:bodyPr/>
                      </wps:wsp>
                      <wps:wsp>
                        <wps:cNvPr id="209" name="Straight Arrow Connector 209"/>
                        <wps:cNvCnPr/>
                        <wps:spPr>
                          <a:xfrm>
                            <a:off x="6430832" y="1474447"/>
                            <a:ext cx="1454212" cy="235197"/>
                          </a:xfrm>
                          <a:prstGeom prst="straightConnector1">
                            <a:avLst/>
                          </a:prstGeom>
                          <a:noFill/>
                          <a:ln w="6350" cap="flat" cmpd="sng" algn="ctr">
                            <a:solidFill>
                              <a:srgbClr val="000000"/>
                            </a:solidFill>
                            <a:prstDash val="solid"/>
                            <a:miter lim="800000"/>
                            <a:tailEnd type="triangle"/>
                          </a:ln>
                          <a:effectLst/>
                        </wps:spPr>
                        <wps:bodyPr/>
                      </wps:wsp>
                      <wps:wsp>
                        <wps:cNvPr id="210" name="Straight Connector 210"/>
                        <wps:cNvCnPr/>
                        <wps:spPr>
                          <a:xfrm flipH="1">
                            <a:off x="796876" y="1014082"/>
                            <a:ext cx="11894" cy="345578"/>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11" name="Straight Connector 211"/>
                        <wps:cNvCnPr/>
                        <wps:spPr>
                          <a:xfrm>
                            <a:off x="802002" y="1014082"/>
                            <a:ext cx="5075129"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12" name="Straight Arrow Connector 212"/>
                        <wps:cNvCnPr/>
                        <wps:spPr>
                          <a:xfrm>
                            <a:off x="5877131" y="1006062"/>
                            <a:ext cx="0" cy="361048"/>
                          </a:xfrm>
                          <a:prstGeom prst="straightConnector1">
                            <a:avLst/>
                          </a:prstGeom>
                          <a:noFill/>
                          <a:ln w="6350" cap="flat" cmpd="sng" algn="ctr">
                            <a:solidFill>
                              <a:srgbClr val="000000"/>
                            </a:solidFill>
                            <a:prstDash val="solid"/>
                            <a:miter lim="800000"/>
                            <a:tailEnd type="triangle"/>
                          </a:ln>
                          <a:effectLst/>
                        </wps:spPr>
                        <wps:bodyPr/>
                      </wps:wsp>
                      <wps:wsp>
                        <wps:cNvPr id="213" name="Straight Connector 213"/>
                        <wps:cNvCnPr/>
                        <wps:spPr>
                          <a:xfrm>
                            <a:off x="3329258" y="220805"/>
                            <a:ext cx="5520758" cy="3227"/>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14" name="Straight Arrow Connector 214"/>
                        <wps:cNvCnPr/>
                        <wps:spPr>
                          <a:xfrm>
                            <a:off x="8832022" y="224032"/>
                            <a:ext cx="0" cy="499441"/>
                          </a:xfrm>
                          <a:prstGeom prst="straightConnector1">
                            <a:avLst/>
                          </a:prstGeom>
                          <a:noFill/>
                          <a:ln w="6350" cap="flat" cmpd="sng" algn="ctr">
                            <a:solidFill>
                              <a:srgbClr val="000000"/>
                            </a:solidFill>
                            <a:prstDash val="solid"/>
                            <a:miter lim="800000"/>
                            <a:tailEnd type="triangle"/>
                          </a:ln>
                          <a:effectLst/>
                        </wps:spPr>
                        <wps:bodyPr/>
                      </wps:wsp>
                      <wps:wsp>
                        <wps:cNvPr id="215" name="Text Box 19"/>
                        <wps:cNvSpPr txBox="1"/>
                        <wps:spPr>
                          <a:xfrm>
                            <a:off x="0" y="1367110"/>
                            <a:ext cx="1556429" cy="321818"/>
                          </a:xfrm>
                          <a:prstGeom prst="rect">
                            <a:avLst/>
                          </a:prstGeom>
                          <a:solidFill>
                            <a:sysClr val="window" lastClr="FFFFFF"/>
                          </a:solidFill>
                          <a:ln w="6350">
                            <a:solidFill>
                              <a:prstClr val="black"/>
                            </a:solidFill>
                          </a:ln>
                          <a:effectLst/>
                        </wps:spPr>
                        <wps:txbx>
                          <w:txbxContent>
                            <w:p w14:paraId="57826438"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Similarity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6" name="Text Box 20"/>
                        <wps:cNvSpPr txBox="1"/>
                        <wps:spPr>
                          <a:xfrm>
                            <a:off x="7885044" y="1535618"/>
                            <a:ext cx="1893956" cy="348051"/>
                          </a:xfrm>
                          <a:prstGeom prst="rect">
                            <a:avLst/>
                          </a:prstGeom>
                          <a:solidFill>
                            <a:sysClr val="window" lastClr="FFFFFF"/>
                          </a:solidFill>
                          <a:ln w="6350">
                            <a:solidFill>
                              <a:prstClr val="black"/>
                            </a:solidFill>
                          </a:ln>
                          <a:effectLst/>
                        </wps:spPr>
                        <wps:txbx>
                          <w:txbxContent>
                            <w:p w14:paraId="404BABBC"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Perceived Size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7" name="Text Box 21"/>
                        <wps:cNvSpPr txBox="1"/>
                        <wps:spPr>
                          <a:xfrm>
                            <a:off x="5102087" y="1359660"/>
                            <a:ext cx="1415448" cy="329268"/>
                          </a:xfrm>
                          <a:prstGeom prst="rect">
                            <a:avLst/>
                          </a:prstGeom>
                          <a:solidFill>
                            <a:sysClr val="window" lastClr="FFFFFF"/>
                          </a:solidFill>
                          <a:ln w="6350">
                            <a:solidFill>
                              <a:prstClr val="black"/>
                            </a:solidFill>
                          </a:ln>
                          <a:effectLst/>
                        </wps:spPr>
                        <wps:txbx>
                          <w:txbxContent>
                            <w:p w14:paraId="32081AA6" w14:textId="77760680" w:rsidR="00140504" w:rsidRDefault="00140504" w:rsidP="00F771A3">
                              <w:pPr>
                                <w:pStyle w:val="NormalWeb"/>
                                <w:spacing w:before="0" w:beforeAutospacing="0" w:after="0" w:afterAutospacing="0"/>
                                <w:jc w:val="center"/>
                              </w:pPr>
                              <w:r>
                                <w:rPr>
                                  <w:rFonts w:ascii="Arial" w:eastAsia="HG Mincho Light J" w:hAnsi="Arial"/>
                                  <w:color w:val="000000"/>
                                  <w:kern w:val="24"/>
                                </w:rPr>
                                <w:t>Positive Affect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8" name="Text Box 22"/>
                        <wps:cNvSpPr txBox="1"/>
                        <wps:spPr>
                          <a:xfrm>
                            <a:off x="2551044" y="1359660"/>
                            <a:ext cx="1556428" cy="329268"/>
                          </a:xfrm>
                          <a:prstGeom prst="rect">
                            <a:avLst/>
                          </a:prstGeom>
                          <a:solidFill>
                            <a:sysClr val="window" lastClr="FFFFFF"/>
                          </a:solidFill>
                          <a:ln w="6350">
                            <a:solidFill>
                              <a:prstClr val="black"/>
                            </a:solidFill>
                          </a:ln>
                          <a:effectLst/>
                        </wps:spPr>
                        <wps:txbx>
                          <w:txbxContent>
                            <w:p w14:paraId="7BF3137D"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Intergroup Threat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9" name="Text Box 23"/>
                        <wps:cNvSpPr txBox="1"/>
                        <wps:spPr>
                          <a:xfrm>
                            <a:off x="7885044" y="723473"/>
                            <a:ext cx="1893956" cy="373431"/>
                          </a:xfrm>
                          <a:prstGeom prst="rect">
                            <a:avLst/>
                          </a:prstGeom>
                          <a:solidFill>
                            <a:sysClr val="window" lastClr="FFFFFF"/>
                          </a:solidFill>
                          <a:ln w="6350">
                            <a:solidFill>
                              <a:prstClr val="black"/>
                            </a:solidFill>
                          </a:ln>
                          <a:effectLst/>
                        </wps:spPr>
                        <wps:txbx>
                          <w:txbxContent>
                            <w:p w14:paraId="373FA3AA"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 xml:space="preserve">Perceived Right </w:t>
                              </w:r>
                            </w:p>
                            <w:p w14:paraId="1F7670F9"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0" name="Text Box 24"/>
                        <wps:cNvSpPr txBox="1"/>
                        <wps:spPr>
                          <a:xfrm>
                            <a:off x="1271944" y="1293271"/>
                            <a:ext cx="1418618" cy="802109"/>
                          </a:xfrm>
                          <a:prstGeom prst="rect">
                            <a:avLst/>
                          </a:prstGeom>
                          <a:noFill/>
                          <a:ln w="6350">
                            <a:noFill/>
                          </a:ln>
                          <a:effectLst/>
                        </wps:spPr>
                        <wps:txbx>
                          <w:txbxContent>
                            <w:p w14:paraId="1DD8CD7C" w14:textId="48C12707" w:rsidR="00140504" w:rsidRDefault="00140504" w:rsidP="00F771A3">
                              <w:pPr>
                                <w:pStyle w:val="NormalWeb"/>
                                <w:spacing w:before="0" w:beforeAutospacing="0" w:after="0" w:afterAutospacing="0"/>
                                <w:jc w:val="center"/>
                              </w:pPr>
                              <w:r>
                                <w:rPr>
                                  <w:rFonts w:ascii="Arial" w:eastAsia="HG Mincho Light J" w:hAnsi="Arial"/>
                                  <w:color w:val="000000"/>
                                  <w:kern w:val="24"/>
                                </w:rPr>
                                <w:t xml:space="preserve"> A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1" name="Text Box 26"/>
                        <wps:cNvSpPr txBox="1"/>
                        <wps:spPr>
                          <a:xfrm>
                            <a:off x="2431916" y="791427"/>
                            <a:ext cx="810639" cy="802109"/>
                          </a:xfrm>
                          <a:prstGeom prst="rect">
                            <a:avLst/>
                          </a:prstGeom>
                          <a:noFill/>
                          <a:ln w="6350">
                            <a:noFill/>
                          </a:ln>
                          <a:effectLst/>
                        </wps:spPr>
                        <wps:txbx>
                          <w:txbxContent>
                            <w:p w14:paraId="214FDD66" w14:textId="601D9F9C" w:rsidR="00140504" w:rsidRDefault="00140504" w:rsidP="00F771A3">
                              <w:pPr>
                                <w:pStyle w:val="NormalWeb"/>
                                <w:spacing w:before="0" w:beforeAutospacing="0" w:after="0" w:afterAutospacing="0"/>
                                <w:jc w:val="center"/>
                              </w:pPr>
                              <w:r>
                                <w:rPr>
                                  <w:rFonts w:ascii="Arial" w:eastAsia="HG Mincho Light J" w:hAnsi="Arial"/>
                                  <w:color w:val="000000"/>
                                  <w:kern w:val="24"/>
                                </w:rPr>
                                <w:t>B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2" name="Text Box 27"/>
                        <wps:cNvSpPr txBox="1"/>
                        <wps:spPr>
                          <a:xfrm>
                            <a:off x="4037991" y="1287873"/>
                            <a:ext cx="1013298" cy="802109"/>
                          </a:xfrm>
                          <a:prstGeom prst="rect">
                            <a:avLst/>
                          </a:prstGeom>
                          <a:noFill/>
                          <a:ln w="6350">
                            <a:noFill/>
                          </a:ln>
                          <a:effectLst/>
                        </wps:spPr>
                        <wps:txbx>
                          <w:txbxContent>
                            <w:p w14:paraId="0FED533F" w14:textId="2C285B17" w:rsidR="00140504" w:rsidRDefault="00140504" w:rsidP="00F771A3">
                              <w:pPr>
                                <w:pStyle w:val="NormalWeb"/>
                                <w:spacing w:before="0" w:beforeAutospacing="0" w:after="0" w:afterAutospacing="0"/>
                                <w:jc w:val="center"/>
                              </w:pPr>
                              <w:r>
                                <w:rPr>
                                  <w:rFonts w:ascii="Arial" w:eastAsia="HG Mincho Light J" w:hAnsi="Arial"/>
                                  <w:color w:val="000000"/>
                                  <w:kern w:val="24"/>
                                </w:rPr>
                                <w:t xml:space="preserve"> C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3" name="Text Box 43"/>
                        <wps:cNvSpPr txBox="1"/>
                        <wps:spPr>
                          <a:xfrm>
                            <a:off x="5689165" y="0"/>
                            <a:ext cx="1013298" cy="802109"/>
                          </a:xfrm>
                          <a:prstGeom prst="rect">
                            <a:avLst/>
                          </a:prstGeom>
                          <a:noFill/>
                          <a:ln w="6350">
                            <a:noFill/>
                          </a:ln>
                          <a:effectLst/>
                        </wps:spPr>
                        <wps:txbx>
                          <w:txbxContent>
                            <w:p w14:paraId="1E9F4C6A" w14:textId="709A898E" w:rsidR="00140504" w:rsidRDefault="00140504" w:rsidP="00F771A3">
                              <w:pPr>
                                <w:pStyle w:val="NormalWeb"/>
                                <w:spacing w:before="0" w:beforeAutospacing="0" w:after="0" w:afterAutospacing="0"/>
                                <w:jc w:val="center"/>
                              </w:pPr>
                              <w:r>
                                <w:rPr>
                                  <w:rFonts w:ascii="Arial" w:eastAsia="HG Mincho Light J" w:hAnsi="Arial"/>
                                  <w:color w:val="000000"/>
                                  <w:kern w:val="24"/>
                                </w:rPr>
                                <w:t>D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4" name="Text Box 41"/>
                        <wps:cNvSpPr txBox="1"/>
                        <wps:spPr>
                          <a:xfrm>
                            <a:off x="6913460" y="852444"/>
                            <a:ext cx="1013298" cy="802109"/>
                          </a:xfrm>
                          <a:prstGeom prst="rect">
                            <a:avLst/>
                          </a:prstGeom>
                          <a:noFill/>
                          <a:ln w="6350">
                            <a:noFill/>
                          </a:ln>
                          <a:effectLst/>
                        </wps:spPr>
                        <wps:txbx>
                          <w:txbxContent>
                            <w:p w14:paraId="60433EA5" w14:textId="5DCB2EB1" w:rsidR="00140504" w:rsidRDefault="00140504" w:rsidP="00F771A3">
                              <w:pPr>
                                <w:pStyle w:val="NormalWeb"/>
                                <w:spacing w:before="0" w:beforeAutospacing="0" w:after="0" w:afterAutospacing="0"/>
                                <w:jc w:val="center"/>
                              </w:pPr>
                              <w:r>
                                <w:rPr>
                                  <w:rFonts w:ascii="Arial" w:eastAsia="HG Mincho Light J" w:hAnsi="Arial"/>
                                  <w:color w:val="000000"/>
                                  <w:kern w:val="24"/>
                                </w:rPr>
                                <w:t>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Text Box 41"/>
                        <wps:cNvSpPr txBox="1"/>
                        <wps:spPr>
                          <a:xfrm>
                            <a:off x="6925900" y="1378076"/>
                            <a:ext cx="1013298" cy="802109"/>
                          </a:xfrm>
                          <a:prstGeom prst="rect">
                            <a:avLst/>
                          </a:prstGeom>
                          <a:noFill/>
                          <a:ln w="6350">
                            <a:noFill/>
                          </a:ln>
                          <a:effectLst/>
                        </wps:spPr>
                        <wps:txbx>
                          <w:txbxContent>
                            <w:p w14:paraId="0EC72C5E" w14:textId="3F89DFEF" w:rsidR="00140504" w:rsidRDefault="00140504" w:rsidP="00F771A3">
                              <w:pPr>
                                <w:pStyle w:val="NormalWeb"/>
                                <w:spacing w:before="0" w:beforeAutospacing="0" w:after="0" w:afterAutospacing="0"/>
                                <w:jc w:val="center"/>
                              </w:pPr>
                              <w:r>
                                <w:rPr>
                                  <w:rFonts w:ascii="Arial" w:eastAsia="HG Mincho Light J" w:hAnsi="Arial" w:cs="Arial"/>
                                  <w:color w:val="000000"/>
                                  <w:kern w:val="24"/>
                                </w:rPr>
                                <w:t>F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69F07CA" id="Group 58" o:spid="_x0000_s1028" style="position:absolute;margin-left:0;margin-top:-.05pt;width:770pt;height:171.65pt;z-index:251659264" coordsize="97790,2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">
                <v:line id="Straight Connector 205" o:spid="_x0000_s1029" style="position:absolute;flip:y;visibility:visible;mso-wrap-style:square" from="33292,2208" to="33292,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" strokeweight=".5pt">
                  <v:shadow on="t" color="black" opacity="24903f" origin=",.5" offset="0,.55556mm"/>
                </v:line>
                <v:shapetype id="_x0000_t32" coordsize="21600,21600" o:spt="32" o:oned="t" path="m,l21600,21600e" filled="f">
                  <v:path arrowok="t" fillok="f" o:connecttype="none"/>
                  <o:lock v:ext="edit" shapetype="t"/>
                </v:shapetype>
                <v:shape id="Straight Arrow Connector 206" o:spid="_x0000_s1030" type="#_x0000_t32" style="position:absolute;left:15564;top:15280;width:9946;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" strokeweight=".5pt">
                  <v:stroke endarrow="block" joinstyle="miter"/>
                </v:shape>
                <v:shape id="Straight Arrow Connector 207" o:spid="_x0000_s1031" type="#_x0000_t32" style="position:absolute;left:41074;top:15242;width:99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">
                  <v:stroke endarrow="block" joinstyle="miter"/>
                </v:shape>
                <v:shape id="Straight Arrow Connector 208" o:spid="_x0000_s1032" type="#_x0000_t32" style="position:absolute;left:65175;top:9101;width:13675;height:56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" strokeweight=".5pt">
                  <v:stroke endarrow="block" joinstyle="miter"/>
                </v:shape>
                <v:shape id="Straight Arrow Connector 209" o:spid="_x0000_s1033" type="#_x0000_t32" style="position:absolute;left:64308;top:14744;width:14542;height:2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" strokeweight=".5pt">
                  <v:stroke endarrow="block" joinstyle="miter"/>
                </v:shape>
                <v:line id="Straight Connector 210" o:spid="_x0000_s1034" style="position:absolute;flip:x;visibility:visible;mso-wrap-style:square" from="7968,10140" to="8087,13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" strokeweight=".5pt">
                  <v:shadow on="t" color="black" opacity="24903f" origin=",.5" offset="0,.55556mm"/>
                </v:line>
                <v:line id="Straight Connector 211" o:spid="_x0000_s1035" style="position:absolute;visibility:visible;mso-wrap-style:square" from="8020,10140" to="58771,10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" strokeweight=".5pt">
                  <v:shadow on="t" color="black" opacity="24903f" origin=",.5" offset="0,.55556mm"/>
                </v:line>
                <v:shape id="Straight Arrow Connector 212" o:spid="_x0000_s1036" type="#_x0000_t32" style="position:absolute;left:58771;top:10060;width:0;height:36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" strokeweight=".5pt">
                  <v:stroke endarrow="block" joinstyle="miter"/>
                </v:shape>
                <v:line id="Straight Connector 213" o:spid="_x0000_s1037" style="position:absolute;visibility:visible;mso-wrap-style:square" from="33292,2208" to="88500,2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" strokeweight=".5pt">
                  <v:shadow on="t" color="black" opacity="24903f" origin=",.5" offset="0,.55556mm"/>
                </v:line>
                <v:shape id="Straight Arrow Connector 214" o:spid="_x0000_s1038" type="#_x0000_t32" style="position:absolute;left:88320;top:2240;width:0;height:49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" strokeweight=".5pt">
                  <v:stroke endarrow="block" joinstyle="miter"/>
                </v:shape>
                <v:shape id="Text Box 19" o:spid="_x0000_s1039" type="#_x0000_t202" style="position:absolute;top:13671;width:15564;height:3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" fillcolor="window" strokeweight=".5pt">
                  <v:textbox>
                    <w:txbxContent>
                      <w:p w14:paraId="57826438"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Similarity</w:t>
                        </w:r>
                      </w:p>
                    </w:txbxContent>
                  </v:textbox>
                </v:shape>
                <v:shape id="Text Box 20" o:spid="_x0000_s1040" type="#_x0000_t202" style="position:absolute;left:78850;top:15356;width:18940;height:3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" fillcolor="window" strokeweight=".5pt">
                  <v:textbox>
                    <w:txbxContent>
                      <w:p w14:paraId="404BABBC"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Perceived Size</w:t>
                        </w:r>
                      </w:p>
                    </w:txbxContent>
                  </v:textbox>
                </v:shape>
                <v:shape id="Text Box 21" o:spid="_x0000_s1041" type="#_x0000_t202" style="position:absolute;left:51020;top:13596;width:14155;height: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" fillcolor="window" strokeweight=".5pt">
                  <v:textbox>
                    <w:txbxContent>
                      <w:p w14:paraId="32081AA6" w14:textId="77760680" w:rsidR="00140504" w:rsidRDefault="00140504" w:rsidP="00F771A3">
                        <w:pPr>
                          <w:pStyle w:val="NormalWeb"/>
                          <w:spacing w:before="0" w:beforeAutospacing="0" w:after="0" w:afterAutospacing="0"/>
                          <w:jc w:val="center"/>
                        </w:pPr>
                        <w:r>
                          <w:rPr>
                            <w:rFonts w:ascii="Arial" w:eastAsia="HG Mincho Light J" w:hAnsi="Arial"/>
                            <w:color w:val="000000"/>
                            <w:kern w:val="24"/>
                          </w:rPr>
                          <w:t>Positive Affect</w:t>
                        </w:r>
                      </w:p>
                    </w:txbxContent>
                  </v:textbox>
                </v:shape>
                <v:shape id="Text Box 22" o:spid="_x0000_s1042" type="#_x0000_t202" style="position:absolute;left:25510;top:13596;width:15564;height: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" fillcolor="window" strokeweight=".5pt">
                  <v:textbox>
                    <w:txbxContent>
                      <w:p w14:paraId="7BF3137D"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Intergroup Threat</w:t>
                        </w:r>
                      </w:p>
                    </w:txbxContent>
                  </v:textbox>
                </v:shape>
                <v:shape id="Text Box 23" o:spid="_x0000_s1043" type="#_x0000_t202" style="position:absolute;left:78850;top:7234;width:18940;height:3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" fillcolor="window" strokeweight=".5pt">
                  <v:textbox>
                    <w:txbxContent>
                      <w:p w14:paraId="373FA3AA"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 xml:space="preserve">Perceived Right </w:t>
                        </w:r>
                      </w:p>
                      <w:p w14:paraId="1F7670F9"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 </w:t>
                        </w:r>
                      </w:p>
                    </w:txbxContent>
                  </v:textbox>
                </v:shape>
                <v:shape id="Text Box 24" o:spid="_x0000_s1044" type="#_x0000_t202" style="position:absolute;left:12719;top:12932;width:14186;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" filled="f" stroked="f" strokeweight=".5pt">
                  <v:textbox>
                    <w:txbxContent>
                      <w:p w14:paraId="1DD8CD7C" w14:textId="48C12707" w:rsidR="00140504" w:rsidRDefault="00140504" w:rsidP="00F771A3">
                        <w:pPr>
                          <w:pStyle w:val="NormalWeb"/>
                          <w:spacing w:before="0" w:beforeAutospacing="0" w:after="0" w:afterAutospacing="0"/>
                          <w:jc w:val="center"/>
                        </w:pPr>
                        <w:r>
                          <w:rPr>
                            <w:rFonts w:ascii="Arial" w:eastAsia="HG Mincho Light J" w:hAnsi="Arial"/>
                            <w:color w:val="000000"/>
                            <w:kern w:val="24"/>
                          </w:rPr>
                          <w:t xml:space="preserve"> A (-)</w:t>
                        </w:r>
                      </w:p>
                    </w:txbxContent>
                  </v:textbox>
                </v:shape>
                <v:shape id="Text Box 26" o:spid="_x0000_s1045" type="#_x0000_t202" style="position:absolute;left:24319;top:7914;width:8106;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KE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" filled="f" stroked="f" strokeweight=".5pt">
                  <v:textbox>
                    <w:txbxContent>
                      <w:p w14:paraId="214FDD66" w14:textId="601D9F9C" w:rsidR="00140504" w:rsidRDefault="00140504" w:rsidP="00F771A3">
                        <w:pPr>
                          <w:pStyle w:val="NormalWeb"/>
                          <w:spacing w:before="0" w:beforeAutospacing="0" w:after="0" w:afterAutospacing="0"/>
                          <w:jc w:val="center"/>
                        </w:pPr>
                        <w:r>
                          <w:rPr>
                            <w:rFonts w:ascii="Arial" w:eastAsia="HG Mincho Light J" w:hAnsi="Arial"/>
                            <w:color w:val="000000"/>
                            <w:kern w:val="24"/>
                          </w:rPr>
                          <w:t>B (+)</w:t>
                        </w:r>
                      </w:p>
                    </w:txbxContent>
                  </v:textbox>
                </v:shape>
                <v:shape id="Text Box 27" o:spid="_x0000_s1046" type="#_x0000_t202" style="position:absolute;left:40379;top:12878;width:10133;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" filled="f" stroked="f" strokeweight=".5pt">
                  <v:textbox>
                    <w:txbxContent>
                      <w:p w14:paraId="0FED533F" w14:textId="2C285B17" w:rsidR="00140504" w:rsidRDefault="00140504" w:rsidP="00F771A3">
                        <w:pPr>
                          <w:pStyle w:val="NormalWeb"/>
                          <w:spacing w:before="0" w:beforeAutospacing="0" w:after="0" w:afterAutospacing="0"/>
                          <w:jc w:val="center"/>
                        </w:pPr>
                        <w:r>
                          <w:rPr>
                            <w:rFonts w:ascii="Arial" w:eastAsia="HG Mincho Light J" w:hAnsi="Arial"/>
                            <w:color w:val="000000"/>
                            <w:kern w:val="24"/>
                          </w:rPr>
                          <w:t xml:space="preserve"> C (-)</w:t>
                        </w:r>
                      </w:p>
                    </w:txbxContent>
                  </v:textbox>
                </v:shape>
                <v:shape id="Text Box 43" o:spid="_x0000_s1047" type="#_x0000_t202" style="position:absolute;left:56891;width:10133;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qloxQAAANwAAAAPAAAAZHJzL2Rvd25yZXYueG1sRI9Pi8Iw&#10;FMTvC/sdwlvwtqZWFO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AJ1qloxQAAANwAAAAP&#10;AAAAAAAAAAAAAAAAAAcCAABkcnMvZG93bnJldi54bWxQSwUGAAAAAAMAAwC3AAAA+QIAAAAA&#10;" filled="f" stroked="f" strokeweight=".5pt">
                  <v:textbox>
                    <w:txbxContent>
                      <w:p w14:paraId="1E9F4C6A" w14:textId="709A898E" w:rsidR="00140504" w:rsidRDefault="00140504" w:rsidP="00F771A3">
                        <w:pPr>
                          <w:pStyle w:val="NormalWeb"/>
                          <w:spacing w:before="0" w:beforeAutospacing="0" w:after="0" w:afterAutospacing="0"/>
                          <w:jc w:val="center"/>
                        </w:pPr>
                        <w:r>
                          <w:rPr>
                            <w:rFonts w:ascii="Arial" w:eastAsia="HG Mincho Light J" w:hAnsi="Arial"/>
                            <w:color w:val="000000"/>
                            <w:kern w:val="24"/>
                          </w:rPr>
                          <w:t>D (-)</w:t>
                        </w:r>
                      </w:p>
                    </w:txbxContent>
                  </v:textbox>
                </v:shape>
                <v:shape id="Text Box 41" o:spid="_x0000_s1048" type="#_x0000_t202" style="position:absolute;left:69134;top:8524;width:10133;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" filled="f" stroked="f" strokeweight=".5pt">
                  <v:textbox>
                    <w:txbxContent>
                      <w:p w14:paraId="60433EA5" w14:textId="5DCB2EB1" w:rsidR="00140504" w:rsidRDefault="00140504" w:rsidP="00F771A3">
                        <w:pPr>
                          <w:pStyle w:val="NormalWeb"/>
                          <w:spacing w:before="0" w:beforeAutospacing="0" w:after="0" w:afterAutospacing="0"/>
                          <w:jc w:val="center"/>
                        </w:pPr>
                        <w:r>
                          <w:rPr>
                            <w:rFonts w:ascii="Arial" w:eastAsia="HG Mincho Light J" w:hAnsi="Arial"/>
                            <w:color w:val="000000"/>
                            <w:kern w:val="24"/>
                          </w:rPr>
                          <w:t>E (+)</w:t>
                        </w:r>
                      </w:p>
                    </w:txbxContent>
                  </v:textbox>
                </v:shape>
                <v:shape id="Text Box 41" o:spid="_x0000_s1049" type="#_x0000_t202" style="position:absolute;left:69259;top:13780;width:10132;height:8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14:paraId="0EC72C5E" w14:textId="3F89DFEF" w:rsidR="00140504" w:rsidRDefault="00140504" w:rsidP="00F771A3">
                        <w:pPr>
                          <w:pStyle w:val="NormalWeb"/>
                          <w:spacing w:before="0" w:beforeAutospacing="0" w:after="0" w:afterAutospacing="0"/>
                          <w:jc w:val="center"/>
                        </w:pPr>
                        <w:r>
                          <w:rPr>
                            <w:rFonts w:ascii="Arial" w:eastAsia="HG Mincho Light J" w:hAnsi="Arial" w:cs="Arial"/>
                            <w:color w:val="000000"/>
                            <w:kern w:val="24"/>
                          </w:rPr>
                          <w:t>F (-)</w:t>
                        </w:r>
                      </w:p>
                    </w:txbxContent>
                  </v:textbox>
                </v:shape>
              </v:group>
            </w:pict>
          </mc:Fallback>
        </mc:AlternateContent>
      </w:r>
    </w:p>
    <w:p w14:paraId="1E378920" w14:textId="77777777" w:rsidR="00E06D69" w:rsidRPr="004A2990" w:rsidRDefault="00E06D69" w:rsidP="00E06D69">
      <w:pPr>
        <w:rPr>
          <w:rFonts w:ascii="Times New Roman" w:hAnsi="Times New Roman"/>
          <w:lang w:val="en-US"/>
        </w:rPr>
      </w:pPr>
    </w:p>
    <w:p w14:paraId="7B24DE2E" w14:textId="77777777" w:rsidR="00E06D69" w:rsidRPr="004A2990" w:rsidRDefault="00E06D69" w:rsidP="00E06D69">
      <w:pPr>
        <w:rPr>
          <w:rFonts w:ascii="Times New Roman" w:hAnsi="Times New Roman"/>
          <w:lang w:val="en-US"/>
        </w:rPr>
      </w:pPr>
    </w:p>
    <w:p w14:paraId="70843475" w14:textId="77777777" w:rsidR="00E06D69" w:rsidRPr="004A2990" w:rsidRDefault="00E06D69" w:rsidP="00E06D69">
      <w:pPr>
        <w:rPr>
          <w:rFonts w:ascii="Times New Roman" w:hAnsi="Times New Roman"/>
          <w:lang w:val="en-US"/>
        </w:rPr>
      </w:pPr>
    </w:p>
    <w:p w14:paraId="3986A59C" w14:textId="77777777" w:rsidR="00E06D69" w:rsidRPr="004A2990" w:rsidRDefault="00E06D69" w:rsidP="00E06D69">
      <w:pPr>
        <w:rPr>
          <w:rFonts w:ascii="Times New Roman" w:hAnsi="Times New Roman"/>
          <w:lang w:val="en-US"/>
        </w:rPr>
      </w:pPr>
    </w:p>
    <w:p w14:paraId="05DE2D39" w14:textId="77777777" w:rsidR="00E06D69" w:rsidRPr="004A2990" w:rsidRDefault="00E06D69" w:rsidP="00E06D69">
      <w:pPr>
        <w:rPr>
          <w:rFonts w:ascii="Times New Roman" w:hAnsi="Times New Roman"/>
          <w:lang w:val="en-US"/>
        </w:rPr>
      </w:pPr>
    </w:p>
    <w:p w14:paraId="4D8484F0" w14:textId="77777777" w:rsidR="00E06D69" w:rsidRPr="004A2990" w:rsidRDefault="00E06D69" w:rsidP="00E06D69">
      <w:pPr>
        <w:rPr>
          <w:rFonts w:ascii="Times New Roman" w:hAnsi="Times New Roman"/>
          <w:lang w:val="en-US"/>
        </w:rPr>
      </w:pPr>
    </w:p>
    <w:p w14:paraId="68FEF2D5" w14:textId="77777777" w:rsidR="00E06D69" w:rsidRPr="004A2990" w:rsidRDefault="00E06D69" w:rsidP="00E06D69">
      <w:pPr>
        <w:rPr>
          <w:rFonts w:ascii="Times New Roman" w:hAnsi="Times New Roman"/>
          <w:lang w:val="en-US"/>
        </w:rPr>
      </w:pPr>
    </w:p>
    <w:p w14:paraId="5C2C86CD" w14:textId="77777777" w:rsidR="00E06D69" w:rsidRPr="004A2990" w:rsidRDefault="00E06D69" w:rsidP="00E06D69">
      <w:pPr>
        <w:rPr>
          <w:rFonts w:ascii="Times New Roman" w:hAnsi="Times New Roman"/>
          <w:lang w:val="en-US"/>
        </w:rPr>
      </w:pPr>
    </w:p>
    <w:p w14:paraId="296ACF83" w14:textId="77777777" w:rsidR="00E06D69" w:rsidRPr="004A2990" w:rsidRDefault="00E06D69" w:rsidP="00E06D69">
      <w:pPr>
        <w:rPr>
          <w:rFonts w:ascii="Times New Roman" w:hAnsi="Times New Roman"/>
          <w:lang w:val="en-US"/>
        </w:rPr>
      </w:pPr>
    </w:p>
    <w:p w14:paraId="16BF1BF3" w14:textId="77777777" w:rsidR="00E06D69" w:rsidRPr="004A2990" w:rsidRDefault="00E06D69" w:rsidP="00E06D69">
      <w:pPr>
        <w:rPr>
          <w:rFonts w:ascii="Times New Roman" w:hAnsi="Times New Roman"/>
          <w:lang w:val="en-US"/>
        </w:rPr>
      </w:pPr>
    </w:p>
    <w:p w14:paraId="5F58B921" w14:textId="77777777" w:rsidR="00E06D69" w:rsidRPr="004A2990" w:rsidRDefault="00E06D69" w:rsidP="00E06D69">
      <w:pPr>
        <w:rPr>
          <w:rFonts w:ascii="Times New Roman" w:hAnsi="Times New Roman"/>
          <w:lang w:val="en-US"/>
        </w:rPr>
      </w:pPr>
    </w:p>
    <w:p w14:paraId="7A9324B5" w14:textId="77777777" w:rsidR="00E06D69" w:rsidRPr="004A2990" w:rsidRDefault="00E06D69" w:rsidP="00E06D69">
      <w:pPr>
        <w:rPr>
          <w:rFonts w:ascii="Times New Roman" w:hAnsi="Times New Roman"/>
          <w:lang w:val="en-US"/>
        </w:rPr>
      </w:pPr>
    </w:p>
    <w:p w14:paraId="28CD6BED" w14:textId="43B0962B" w:rsidR="00E06D69" w:rsidRPr="004A2990" w:rsidRDefault="00E06D69">
      <w:pPr>
        <w:widowControl/>
        <w:suppressAutoHyphens w:val="0"/>
        <w:rPr>
          <w:rFonts w:ascii="Times New Roman" w:hAnsi="Times New Roman"/>
          <w:lang w:val="en-US"/>
        </w:rPr>
      </w:pPr>
      <w:r w:rsidRPr="004A2990">
        <w:rPr>
          <w:rFonts w:ascii="Times New Roman" w:hAnsi="Times New Roman"/>
          <w:lang w:val="en-US"/>
        </w:rPr>
        <w:br w:type="page"/>
      </w:r>
    </w:p>
    <w:p w14:paraId="687DD7C5" w14:textId="5077461C" w:rsidR="00E06D69" w:rsidRPr="004A2990" w:rsidRDefault="00E06D69" w:rsidP="00E06D69">
      <w:pPr>
        <w:rPr>
          <w:rFonts w:ascii="Times New Roman" w:hAnsi="Times New Roman"/>
          <w:lang w:val="en-US"/>
        </w:rPr>
      </w:pPr>
    </w:p>
    <w:p w14:paraId="0AC980E8" w14:textId="2B4C72B5" w:rsidR="00E06D69" w:rsidRPr="004A2990" w:rsidRDefault="00E06D69" w:rsidP="00E06D69">
      <w:pPr>
        <w:rPr>
          <w:rFonts w:ascii="Times New Roman" w:hAnsi="Times New Roman"/>
          <w:lang w:val="en-US"/>
        </w:rPr>
      </w:pPr>
    </w:p>
    <w:p w14:paraId="3950E344" w14:textId="0059F4B9" w:rsidR="00E06D69" w:rsidRPr="004A2990" w:rsidRDefault="00E06D69" w:rsidP="00E06D69">
      <w:pPr>
        <w:rPr>
          <w:rFonts w:ascii="Times New Roman" w:hAnsi="Times New Roman"/>
          <w:lang w:val="en-US"/>
        </w:rPr>
      </w:pPr>
    </w:p>
    <w:p w14:paraId="160E0658" w14:textId="3270A39B" w:rsidR="00E06D69" w:rsidRPr="004A2990" w:rsidRDefault="00E06D69" w:rsidP="00E06D69">
      <w:pPr>
        <w:rPr>
          <w:rFonts w:ascii="Times New Roman" w:hAnsi="Times New Roman"/>
          <w:lang w:val="en-US"/>
        </w:rPr>
      </w:pPr>
    </w:p>
    <w:p w14:paraId="2641472E" w14:textId="694B4AD2" w:rsidR="00E06D69" w:rsidRPr="004A2990" w:rsidRDefault="00F771A3" w:rsidP="00E06D69">
      <w:pPr>
        <w:rPr>
          <w:rFonts w:ascii="Times New Roman" w:hAnsi="Times New Roman"/>
          <w:lang w:val="en-US"/>
        </w:rPr>
      </w:pPr>
      <w:r w:rsidRPr="00F771A3">
        <w:rPr>
          <w:rFonts w:ascii="Times New Roman" w:hAnsi="Times New Roman"/>
          <w:noProof/>
        </w:rPr>
        <mc:AlternateContent>
          <mc:Choice Requires="wpg">
            <w:drawing>
              <wp:anchor distT="0" distB="0" distL="114300" distR="114300" simplePos="0" relativeHeight="251660288" behindDoc="0" locked="0" layoutInCell="1" allowOverlap="1" wp14:anchorId="088245D1" wp14:editId="08BD0925">
                <wp:simplePos x="0" y="0"/>
                <wp:positionH relativeFrom="column">
                  <wp:posOffset>0</wp:posOffset>
                </wp:positionH>
                <wp:positionV relativeFrom="paragraph">
                  <wp:posOffset>37465</wp:posOffset>
                </wp:positionV>
                <wp:extent cx="9779000" cy="2769014"/>
                <wp:effectExtent l="0" t="38100" r="12700" b="0"/>
                <wp:wrapNone/>
                <wp:docPr id="226" name="Group 36"/>
                <wp:cNvGraphicFramePr/>
                <a:graphic xmlns:a="http://schemas.openxmlformats.org/drawingml/2006/main">
                  <a:graphicData uri="http://schemas.microsoft.com/office/word/2010/wordprocessingGroup">
                    <wpg:wgp>
                      <wpg:cNvGrpSpPr/>
                      <wpg:grpSpPr>
                        <a:xfrm>
                          <a:off x="0" y="0"/>
                          <a:ext cx="9779000" cy="2769014"/>
                          <a:chOff x="0" y="0"/>
                          <a:chExt cx="9779000" cy="2769014"/>
                        </a:xfrm>
                      </wpg:grpSpPr>
                      <wps:wsp>
                        <wps:cNvPr id="227" name="Text Box 24"/>
                        <wps:cNvSpPr txBox="1"/>
                        <wps:spPr>
                          <a:xfrm>
                            <a:off x="1673093" y="1723860"/>
                            <a:ext cx="1418618" cy="1043025"/>
                          </a:xfrm>
                          <a:prstGeom prst="rect">
                            <a:avLst/>
                          </a:prstGeom>
                          <a:noFill/>
                          <a:ln w="6350">
                            <a:noFill/>
                          </a:ln>
                          <a:effectLst/>
                        </wps:spPr>
                        <wps:txbx>
                          <w:txbxContent>
                            <w:p w14:paraId="744767CC"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 xml:space="preserve"> -.51**</w:t>
                              </w:r>
                            </w:p>
                            <w:p w14:paraId="72660015"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(-.60**)</w:t>
                              </w:r>
                            </w:p>
                            <w:p w14:paraId="4E1E12F3"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[-.64**]</w:t>
                              </w:r>
                            </w:p>
                            <w:p w14:paraId="72C9CEB7"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{-.27*}</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8" name="Text Box 24"/>
                        <wps:cNvSpPr txBox="1"/>
                        <wps:spPr>
                          <a:xfrm>
                            <a:off x="4289632" y="1671885"/>
                            <a:ext cx="1418618" cy="1043025"/>
                          </a:xfrm>
                          <a:prstGeom prst="rect">
                            <a:avLst/>
                          </a:prstGeom>
                          <a:noFill/>
                          <a:ln w="6350">
                            <a:noFill/>
                          </a:ln>
                          <a:effectLst/>
                        </wps:spPr>
                        <wps:txbx>
                          <w:txbxContent>
                            <w:p w14:paraId="430C2589"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 xml:space="preserve"> -.56**</w:t>
                              </w:r>
                            </w:p>
                            <w:p w14:paraId="4408D7B4"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(-.55**)</w:t>
                              </w:r>
                            </w:p>
                            <w:p w14:paraId="2247F38D"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[-.63**]</w:t>
                              </w:r>
                            </w:p>
                            <w:p w14:paraId="3D5735EC"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{-.46**}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9" name="Text Box 24"/>
                        <wps:cNvSpPr txBox="1"/>
                        <wps:spPr>
                          <a:xfrm>
                            <a:off x="6702865" y="1725989"/>
                            <a:ext cx="1418618" cy="1043025"/>
                          </a:xfrm>
                          <a:prstGeom prst="rect">
                            <a:avLst/>
                          </a:prstGeom>
                          <a:noFill/>
                          <a:ln w="6350">
                            <a:noFill/>
                          </a:ln>
                          <a:effectLst/>
                        </wps:spPr>
                        <wps:txbx>
                          <w:txbxContent>
                            <w:p w14:paraId="55BC866F"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 xml:space="preserve"> -.35**</w:t>
                              </w:r>
                            </w:p>
                            <w:p w14:paraId="3C7E3926"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(-.31**)</w:t>
                              </w:r>
                            </w:p>
                            <w:p w14:paraId="51634510"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[-.31**]</w:t>
                              </w:r>
                            </w:p>
                            <w:p w14:paraId="685D63FB"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{-.17}</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230" name="Group 230"/>
                        <wpg:cNvGrpSpPr/>
                        <wpg:grpSpPr>
                          <a:xfrm>
                            <a:off x="0" y="0"/>
                            <a:ext cx="9779000" cy="2062445"/>
                            <a:chOff x="0" y="0"/>
                            <a:chExt cx="9779000" cy="2062445"/>
                          </a:xfrm>
                        </wpg:grpSpPr>
                        <wps:wsp>
                          <wps:cNvPr id="231" name="Text Box 24"/>
                          <wps:cNvSpPr txBox="1"/>
                          <wps:spPr>
                            <a:xfrm>
                              <a:off x="5533211" y="23488"/>
                              <a:ext cx="1418618" cy="1043025"/>
                            </a:xfrm>
                            <a:prstGeom prst="rect">
                              <a:avLst/>
                            </a:prstGeom>
                            <a:noFill/>
                            <a:ln w="6350">
                              <a:noFill/>
                            </a:ln>
                            <a:effectLst/>
                          </wps:spPr>
                          <wps:txbx>
                            <w:txbxContent>
                              <w:p w14:paraId="61D186F9"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 xml:space="preserve"> -.43**</w:t>
                                </w:r>
                              </w:p>
                              <w:p w14:paraId="3E33E2C9"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(-.60**)</w:t>
                                </w:r>
                              </w:p>
                              <w:p w14:paraId="67901B2C"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[-.37**]</w:t>
                                </w:r>
                              </w:p>
                              <w:p w14:paraId="1E6F653E"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{-.36**}</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2" name="Straight Connector 232"/>
                          <wps:cNvCnPr/>
                          <wps:spPr>
                            <a:xfrm flipH="1" flipV="1">
                              <a:off x="3320904" y="1"/>
                              <a:ext cx="8354" cy="1538435"/>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33" name="Straight Arrow Connector 233"/>
                          <wps:cNvCnPr/>
                          <wps:spPr>
                            <a:xfrm>
                              <a:off x="1556429" y="1706795"/>
                              <a:ext cx="994615" cy="7599"/>
                            </a:xfrm>
                            <a:prstGeom prst="straightConnector1">
                              <a:avLst/>
                            </a:prstGeom>
                            <a:noFill/>
                            <a:ln w="6350" cap="flat" cmpd="sng" algn="ctr">
                              <a:solidFill>
                                <a:srgbClr val="000000"/>
                              </a:solidFill>
                              <a:prstDash val="solid"/>
                              <a:miter lim="800000"/>
                              <a:tailEnd type="triangle"/>
                            </a:ln>
                            <a:effectLst/>
                          </wps:spPr>
                          <wps:bodyPr/>
                        </wps:wsp>
                        <wps:wsp>
                          <wps:cNvPr id="234" name="Straight Arrow Connector 234"/>
                          <wps:cNvCnPr/>
                          <wps:spPr>
                            <a:xfrm>
                              <a:off x="4107472" y="1703070"/>
                              <a:ext cx="994615" cy="0"/>
                            </a:xfrm>
                            <a:prstGeom prst="straightConnector1">
                              <a:avLst/>
                            </a:prstGeom>
                            <a:noFill/>
                            <a:ln w="9525" cap="flat" cmpd="sng" algn="ctr">
                              <a:solidFill>
                                <a:srgbClr val="000000"/>
                              </a:solidFill>
                              <a:prstDash val="solid"/>
                              <a:miter lim="800000"/>
                              <a:tailEnd type="triangle"/>
                            </a:ln>
                            <a:effectLst/>
                          </wps:spPr>
                          <wps:bodyPr/>
                        </wps:wsp>
                        <wps:wsp>
                          <wps:cNvPr id="235" name="Straight Arrow Connector 235"/>
                          <wps:cNvCnPr/>
                          <wps:spPr>
                            <a:xfrm flipV="1">
                              <a:off x="6517535" y="1088965"/>
                              <a:ext cx="1367509" cy="564258"/>
                            </a:xfrm>
                            <a:prstGeom prst="straightConnector1">
                              <a:avLst/>
                            </a:prstGeom>
                            <a:noFill/>
                            <a:ln w="6350" cap="flat" cmpd="sng" algn="ctr">
                              <a:solidFill>
                                <a:srgbClr val="000000"/>
                              </a:solidFill>
                              <a:prstDash val="solid"/>
                              <a:miter lim="800000"/>
                              <a:tailEnd type="triangle"/>
                            </a:ln>
                            <a:effectLst/>
                          </wps:spPr>
                          <wps:bodyPr/>
                        </wps:wsp>
                        <wps:wsp>
                          <wps:cNvPr id="236" name="Straight Arrow Connector 236"/>
                          <wps:cNvCnPr/>
                          <wps:spPr>
                            <a:xfrm>
                              <a:off x="6430832" y="1653223"/>
                              <a:ext cx="1454212" cy="235197"/>
                            </a:xfrm>
                            <a:prstGeom prst="straightConnector1">
                              <a:avLst/>
                            </a:prstGeom>
                            <a:noFill/>
                            <a:ln w="6350" cap="flat" cmpd="sng" algn="ctr">
                              <a:solidFill>
                                <a:srgbClr val="000000"/>
                              </a:solidFill>
                              <a:prstDash val="solid"/>
                              <a:miter lim="800000"/>
                              <a:tailEnd type="triangle"/>
                            </a:ln>
                            <a:effectLst/>
                          </wps:spPr>
                          <wps:bodyPr/>
                        </wps:wsp>
                        <wps:wsp>
                          <wps:cNvPr id="237" name="Straight Connector 237"/>
                          <wps:cNvCnPr/>
                          <wps:spPr>
                            <a:xfrm flipH="1">
                              <a:off x="796876" y="1192858"/>
                              <a:ext cx="11894" cy="345578"/>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38" name="Straight Connector 238"/>
                          <wps:cNvCnPr/>
                          <wps:spPr>
                            <a:xfrm>
                              <a:off x="802002" y="1192858"/>
                              <a:ext cx="5075129" cy="0"/>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39" name="Straight Arrow Connector 239"/>
                          <wps:cNvCnPr/>
                          <wps:spPr>
                            <a:xfrm>
                              <a:off x="5877131" y="1184838"/>
                              <a:ext cx="0" cy="361048"/>
                            </a:xfrm>
                            <a:prstGeom prst="straightConnector1">
                              <a:avLst/>
                            </a:prstGeom>
                            <a:noFill/>
                            <a:ln w="6350" cap="flat" cmpd="sng" algn="ctr">
                              <a:solidFill>
                                <a:srgbClr val="000000"/>
                              </a:solidFill>
                              <a:prstDash val="solid"/>
                              <a:miter lim="800000"/>
                              <a:tailEnd type="triangle"/>
                            </a:ln>
                            <a:effectLst/>
                          </wps:spPr>
                          <wps:bodyPr/>
                        </wps:wsp>
                        <wps:wsp>
                          <wps:cNvPr id="240" name="Straight Connector 240"/>
                          <wps:cNvCnPr/>
                          <wps:spPr>
                            <a:xfrm flipV="1">
                              <a:off x="3325652" y="0"/>
                              <a:ext cx="5511616" cy="1037"/>
                            </a:xfrm>
                            <a:prstGeom prst="line">
                              <a:avLst/>
                            </a:prstGeom>
                            <a:ln w="6350" cmpd="sng">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41" name="Straight Arrow Connector 241"/>
                          <wps:cNvCnPr/>
                          <wps:spPr>
                            <a:xfrm>
                              <a:off x="8832376" y="0"/>
                              <a:ext cx="13409" cy="902249"/>
                            </a:xfrm>
                            <a:prstGeom prst="straightConnector1">
                              <a:avLst/>
                            </a:prstGeom>
                            <a:noFill/>
                            <a:ln w="6350" cap="flat" cmpd="sng" algn="ctr">
                              <a:solidFill>
                                <a:srgbClr val="000000"/>
                              </a:solidFill>
                              <a:prstDash val="solid"/>
                              <a:miter lim="800000"/>
                              <a:tailEnd type="triangle"/>
                            </a:ln>
                            <a:effectLst/>
                          </wps:spPr>
                          <wps:bodyPr/>
                        </wps:wsp>
                        <wps:wsp>
                          <wps:cNvPr id="242" name="Text Box 19"/>
                          <wps:cNvSpPr txBox="1"/>
                          <wps:spPr>
                            <a:xfrm>
                              <a:off x="0" y="1545886"/>
                              <a:ext cx="1556429" cy="321818"/>
                            </a:xfrm>
                            <a:prstGeom prst="rect">
                              <a:avLst/>
                            </a:prstGeom>
                            <a:solidFill>
                              <a:sysClr val="window" lastClr="FFFFFF"/>
                            </a:solidFill>
                            <a:ln w="6350">
                              <a:solidFill>
                                <a:prstClr val="black"/>
                              </a:solidFill>
                            </a:ln>
                            <a:effectLst/>
                          </wps:spPr>
                          <wps:txbx>
                            <w:txbxContent>
                              <w:p w14:paraId="328BB179"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Similarity</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3" name="Text Box 20"/>
                          <wps:cNvSpPr txBox="1"/>
                          <wps:spPr>
                            <a:xfrm>
                              <a:off x="7885044" y="1714394"/>
                              <a:ext cx="1893956" cy="348051"/>
                            </a:xfrm>
                            <a:prstGeom prst="rect">
                              <a:avLst/>
                            </a:prstGeom>
                            <a:solidFill>
                              <a:sysClr val="window" lastClr="FFFFFF"/>
                            </a:solidFill>
                            <a:ln w="6350">
                              <a:solidFill>
                                <a:prstClr val="black"/>
                              </a:solidFill>
                            </a:ln>
                            <a:effectLst/>
                          </wps:spPr>
                          <wps:txbx>
                            <w:txbxContent>
                              <w:p w14:paraId="34244068"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Perceived Size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4" name="Text Box 21"/>
                          <wps:cNvSpPr txBox="1"/>
                          <wps:spPr>
                            <a:xfrm>
                              <a:off x="5102087" y="1538436"/>
                              <a:ext cx="1415448" cy="329268"/>
                            </a:xfrm>
                            <a:prstGeom prst="rect">
                              <a:avLst/>
                            </a:prstGeom>
                            <a:solidFill>
                              <a:sysClr val="window" lastClr="FFFFFF"/>
                            </a:solidFill>
                            <a:ln w="6350">
                              <a:solidFill>
                                <a:prstClr val="black"/>
                              </a:solidFill>
                            </a:ln>
                            <a:effectLst/>
                          </wps:spPr>
                          <wps:txbx>
                            <w:txbxContent>
                              <w:p w14:paraId="6DC79A43" w14:textId="24046425" w:rsidR="00140504" w:rsidRDefault="00140504" w:rsidP="00F771A3">
                                <w:pPr>
                                  <w:pStyle w:val="NormalWeb"/>
                                  <w:spacing w:before="0" w:beforeAutospacing="0" w:after="0" w:afterAutospacing="0"/>
                                  <w:jc w:val="center"/>
                                </w:pPr>
                                <w:r>
                                  <w:rPr>
                                    <w:rFonts w:ascii="Arial" w:eastAsia="HG Mincho Light J" w:hAnsi="Arial"/>
                                    <w:color w:val="000000"/>
                                    <w:kern w:val="24"/>
                                  </w:rPr>
                                  <w:t>Positive Affect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5" name="Text Box 22"/>
                          <wps:cNvSpPr txBox="1"/>
                          <wps:spPr>
                            <a:xfrm>
                              <a:off x="2551044" y="1538436"/>
                              <a:ext cx="1556428" cy="329268"/>
                            </a:xfrm>
                            <a:prstGeom prst="rect">
                              <a:avLst/>
                            </a:prstGeom>
                            <a:solidFill>
                              <a:sysClr val="window" lastClr="FFFFFF"/>
                            </a:solidFill>
                            <a:ln w="6350">
                              <a:solidFill>
                                <a:prstClr val="black"/>
                              </a:solidFill>
                            </a:ln>
                            <a:effectLst/>
                          </wps:spPr>
                          <wps:txbx>
                            <w:txbxContent>
                              <w:p w14:paraId="1D75FD4B"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Intergroup Threat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6" name="Text Box 23"/>
                          <wps:cNvSpPr txBox="1"/>
                          <wps:spPr>
                            <a:xfrm>
                              <a:off x="7885044" y="902249"/>
                              <a:ext cx="1893956" cy="373431"/>
                            </a:xfrm>
                            <a:prstGeom prst="rect">
                              <a:avLst/>
                            </a:prstGeom>
                            <a:solidFill>
                              <a:sysClr val="window" lastClr="FFFFFF"/>
                            </a:solidFill>
                            <a:ln w="6350">
                              <a:solidFill>
                                <a:prstClr val="black"/>
                              </a:solidFill>
                            </a:ln>
                            <a:effectLst/>
                          </wps:spPr>
                          <wps:txbx>
                            <w:txbxContent>
                              <w:p w14:paraId="5282F0F3"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 xml:space="preserve">Perceived Right </w:t>
                                </w:r>
                              </w:p>
                              <w:p w14:paraId="046277CB"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7" name="Text Box 24"/>
                          <wps:cNvSpPr txBox="1"/>
                          <wps:spPr>
                            <a:xfrm>
                              <a:off x="1635245" y="520409"/>
                              <a:ext cx="1418618" cy="1043025"/>
                            </a:xfrm>
                            <a:prstGeom prst="rect">
                              <a:avLst/>
                            </a:prstGeom>
                            <a:noFill/>
                            <a:ln w="6350">
                              <a:noFill/>
                            </a:ln>
                            <a:effectLst/>
                          </wps:spPr>
                          <wps:txbx>
                            <w:txbxContent>
                              <w:p w14:paraId="509A4E3C"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sz w:val="20"/>
                                    <w:szCs w:val="20"/>
                                  </w:rPr>
                                  <w:t xml:space="preserve"> .24**</w:t>
                                </w:r>
                              </w:p>
                              <w:p w14:paraId="4AB82312"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sz w:val="20"/>
                                    <w:szCs w:val="20"/>
                                  </w:rPr>
                                  <w:t>(.19*)</w:t>
                                </w:r>
                              </w:p>
                              <w:p w14:paraId="15264A20"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sz w:val="20"/>
                                    <w:szCs w:val="20"/>
                                  </w:rPr>
                                  <w:t>[.21*]</w:t>
                                </w:r>
                              </w:p>
                              <w:p w14:paraId="78F66645"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sz w:val="20"/>
                                    <w:szCs w:val="20"/>
                                  </w:rPr>
                                  <w:t>{.24*}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8" name="Text Box 24"/>
                          <wps:cNvSpPr txBox="1"/>
                          <wps:spPr>
                            <a:xfrm>
                              <a:off x="6768600" y="708014"/>
                              <a:ext cx="1418618" cy="1043025"/>
                            </a:xfrm>
                            <a:prstGeom prst="rect">
                              <a:avLst/>
                            </a:prstGeom>
                            <a:noFill/>
                            <a:ln w="6350">
                              <a:noFill/>
                            </a:ln>
                            <a:effectLst/>
                          </wps:spPr>
                          <wps:txbx>
                            <w:txbxContent>
                              <w:p w14:paraId="1FBE4B32"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 xml:space="preserve"> .49**</w:t>
                                </w:r>
                              </w:p>
                              <w:p w14:paraId="625786D1"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(.25**)</w:t>
                                </w:r>
                              </w:p>
                              <w:p w14:paraId="52DBEEF8"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[.49**]</w:t>
                                </w:r>
                              </w:p>
                              <w:p w14:paraId="5A6B8146" w14:textId="40E6B0A0" w:rsidR="00140504" w:rsidRDefault="00140504" w:rsidP="00F771A3">
                                <w:pPr>
                                  <w:pStyle w:val="NormalWeb"/>
                                  <w:spacing w:before="0" w:beforeAutospacing="0" w:after="0" w:afterAutospacing="0"/>
                                </w:pPr>
                                <w:r>
                                  <w:rPr>
                                    <w:rFonts w:ascii="Arial" w:eastAsia="HG Mincho Light J" w:hAnsi="Arial"/>
                                    <w:color w:val="000000"/>
                                    <w:kern w:val="24"/>
                                    <w:sz w:val="20"/>
                                    <w:szCs w:val="20"/>
                                  </w:rPr>
                                  <w:t>{.48**}</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88245D1" id="Group 36" o:spid="_x0000_s1050" style="position:absolute;margin-left:0;margin-top:2.95pt;width:770pt;height:218.05pt;z-index:251660288" coordsize="97790,27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">
                <v:shape id="Text Box 24" o:spid="_x0000_s1051" type="#_x0000_t202" style="position:absolute;left:16730;top:17238;width:14187;height:1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" filled="f" stroked="f" strokeweight=".5pt">
                  <v:textbox>
                    <w:txbxContent>
                      <w:p w14:paraId="744767CC"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 xml:space="preserve"> -.51**</w:t>
                        </w:r>
                      </w:p>
                      <w:p w14:paraId="72660015"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(-.60**)</w:t>
                        </w:r>
                      </w:p>
                      <w:p w14:paraId="4E1E12F3"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[-.64**]</w:t>
                        </w:r>
                      </w:p>
                      <w:p w14:paraId="72C9CEB7"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{-.27*}</w:t>
                        </w:r>
                      </w:p>
                    </w:txbxContent>
                  </v:textbox>
                </v:shape>
                <v:shape id="Text Box 24" o:spid="_x0000_s1052" type="#_x0000_t202" style="position:absolute;left:42896;top:16718;width:14186;height:10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14:paraId="430C2589"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 xml:space="preserve"> -.56**</w:t>
                        </w:r>
                      </w:p>
                      <w:p w14:paraId="4408D7B4"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(-.55**)</w:t>
                        </w:r>
                      </w:p>
                      <w:p w14:paraId="2247F38D"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[-.63**]</w:t>
                        </w:r>
                      </w:p>
                      <w:p w14:paraId="3D5735EC"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{-.46**}</w:t>
                        </w:r>
                      </w:p>
                    </w:txbxContent>
                  </v:textbox>
                </v:shape>
                <v:shape id="Text Box 24" o:spid="_x0000_s1053" type="#_x0000_t202" style="position:absolute;left:67028;top:17259;width:14186;height:10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" filled="f" stroked="f" strokeweight=".5pt">
                  <v:textbox>
                    <w:txbxContent>
                      <w:p w14:paraId="55BC866F"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 xml:space="preserve"> -.35**</w:t>
                        </w:r>
                      </w:p>
                      <w:p w14:paraId="3C7E3926"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(-.31**)</w:t>
                        </w:r>
                      </w:p>
                      <w:p w14:paraId="51634510"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[-.31**]</w:t>
                        </w:r>
                      </w:p>
                      <w:p w14:paraId="685D63FB"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{-.17}</w:t>
                        </w:r>
                      </w:p>
                    </w:txbxContent>
                  </v:textbox>
                </v:shape>
                <v:group id="Group 230" o:spid="_x0000_s1054" style="position:absolute;width:97790;height:20624" coordsize="97790,20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Text Box 24" o:spid="_x0000_s1055" type="#_x0000_t202" style="position:absolute;left:55332;top:234;width:14186;height:10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" filled="f" stroked="f" strokeweight=".5pt">
                    <v:textbox>
                      <w:txbxContent>
                        <w:p w14:paraId="61D186F9"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 xml:space="preserve"> -.43**</w:t>
                          </w:r>
                        </w:p>
                        <w:p w14:paraId="3E33E2C9"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(-.60**)</w:t>
                          </w:r>
                        </w:p>
                        <w:p w14:paraId="67901B2C"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[-.37**]</w:t>
                          </w:r>
                        </w:p>
                        <w:p w14:paraId="1E6F653E"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{-.36**}</w:t>
                          </w:r>
                        </w:p>
                      </w:txbxContent>
                    </v:textbox>
                  </v:shape>
                  <v:line id="Straight Connector 232" o:spid="_x0000_s1056" style="position:absolute;flip:x y;visibility:visible;mso-wrap-style:square" from="33209,0" to="33292,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" strokeweight=".5pt">
                    <v:shadow on="t" color="black" opacity="24903f" origin=",.5" offset="0,.55556mm"/>
                  </v:line>
                  <v:shape id="Straight Arrow Connector 233" o:spid="_x0000_s1057" type="#_x0000_t32" style="position:absolute;left:15564;top:17067;width:9946;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" strokeweight=".5pt">
                    <v:stroke endarrow="block" joinstyle="miter"/>
                  </v:shape>
                  <v:shape id="Straight Arrow Connector 234" o:spid="_x0000_s1058" type="#_x0000_t32" style="position:absolute;left:41074;top:17030;width:99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">
                    <v:stroke endarrow="block" joinstyle="miter"/>
                  </v:shape>
                  <v:shape id="Straight Arrow Connector 235" o:spid="_x0000_s1059" type="#_x0000_t32" style="position:absolute;left:65175;top:10889;width:13675;height:56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" strokeweight=".5pt">
                    <v:stroke endarrow="block" joinstyle="miter"/>
                  </v:shape>
                  <v:shape id="Straight Arrow Connector 236" o:spid="_x0000_s1060" type="#_x0000_t32" style="position:absolute;left:64308;top:16532;width:14542;height:2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" strokeweight=".5pt">
                    <v:stroke endarrow="block" joinstyle="miter"/>
                  </v:shape>
                  <v:line id="Straight Connector 237" o:spid="_x0000_s1061" style="position:absolute;flip:x;visibility:visible;mso-wrap-style:square" from="7968,11928" to="8087,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" strokeweight=".5pt">
                    <v:shadow on="t" color="black" opacity="24903f" origin=",.5" offset="0,.55556mm"/>
                  </v:line>
                  <v:line id="Straight Connector 238" o:spid="_x0000_s1062" style="position:absolute;visibility:visible;mso-wrap-style:square" from="8020,11928" to="58771,1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" strokeweight=".5pt">
                    <v:shadow on="t" color="black" opacity="24903f" origin=",.5" offset="0,.55556mm"/>
                  </v:line>
                  <v:shape id="Straight Arrow Connector 239" o:spid="_x0000_s1063" type="#_x0000_t32" style="position:absolute;left:58771;top:11848;width:0;height:3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" strokeweight=".5pt">
                    <v:stroke endarrow="block" joinstyle="miter"/>
                  </v:shape>
                  <v:line id="Straight Connector 240" o:spid="_x0000_s1064" style="position:absolute;flip:y;visibility:visible;mso-wrap-style:square" from="33256,0" to="883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" strokeweight=".5pt">
                    <v:shadow on="t" color="black" opacity="24903f" origin=",.5" offset="0,.55556mm"/>
                  </v:line>
                  <v:shape id="Straight Arrow Connector 241" o:spid="_x0000_s1065" type="#_x0000_t32" style="position:absolute;left:88323;width:134;height:9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" strokeweight=".5pt">
                    <v:stroke endarrow="block" joinstyle="miter"/>
                  </v:shape>
                  <v:shape id="Text Box 19" o:spid="_x0000_s1066" type="#_x0000_t202" style="position:absolute;top:15458;width:15564;height:3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" fillcolor="window" strokeweight=".5pt">
                    <v:textbox>
                      <w:txbxContent>
                        <w:p w14:paraId="328BB179"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Similarity</w:t>
                          </w:r>
                        </w:p>
                      </w:txbxContent>
                    </v:textbox>
                  </v:shape>
                  <v:shape id="Text Box 20" o:spid="_x0000_s1067" type="#_x0000_t202" style="position:absolute;left:78850;top:17143;width:18940;height: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" fillcolor="window" strokeweight=".5pt">
                    <v:textbox>
                      <w:txbxContent>
                        <w:p w14:paraId="34244068"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Perceived Size</w:t>
                          </w:r>
                        </w:p>
                      </w:txbxContent>
                    </v:textbox>
                  </v:shape>
                  <v:shape id="Text Box 21" o:spid="_x0000_s1068" type="#_x0000_t202" style="position:absolute;left:51020;top:15384;width:14155;height: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" fillcolor="window" strokeweight=".5pt">
                    <v:textbox>
                      <w:txbxContent>
                        <w:p w14:paraId="6DC79A43" w14:textId="24046425" w:rsidR="00140504" w:rsidRDefault="00140504" w:rsidP="00F771A3">
                          <w:pPr>
                            <w:pStyle w:val="NormalWeb"/>
                            <w:spacing w:before="0" w:beforeAutospacing="0" w:after="0" w:afterAutospacing="0"/>
                            <w:jc w:val="center"/>
                          </w:pPr>
                          <w:r>
                            <w:rPr>
                              <w:rFonts w:ascii="Arial" w:eastAsia="HG Mincho Light J" w:hAnsi="Arial"/>
                              <w:color w:val="000000"/>
                              <w:kern w:val="24"/>
                            </w:rPr>
                            <w:t>Positive Affect</w:t>
                          </w:r>
                        </w:p>
                      </w:txbxContent>
                    </v:textbox>
                  </v:shape>
                  <v:shape id="Text Box 22" o:spid="_x0000_s1069" type="#_x0000_t202" style="position:absolute;left:25510;top:15384;width:15564;height: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" fillcolor="window" strokeweight=".5pt">
                    <v:textbox>
                      <w:txbxContent>
                        <w:p w14:paraId="1D75FD4B"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Intergroup Threat</w:t>
                          </w:r>
                        </w:p>
                      </w:txbxContent>
                    </v:textbox>
                  </v:shape>
                  <v:shape id="Text Box 23" o:spid="_x0000_s1070" type="#_x0000_t202" style="position:absolute;left:78850;top:9022;width:18940;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" fillcolor="window" strokeweight=".5pt">
                    <v:textbox>
                      <w:txbxContent>
                        <w:p w14:paraId="5282F0F3"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 xml:space="preserve">Perceived Right </w:t>
                          </w:r>
                        </w:p>
                        <w:p w14:paraId="046277CB"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rPr>
                            <w:t> </w:t>
                          </w:r>
                        </w:p>
                      </w:txbxContent>
                    </v:textbox>
                  </v:shape>
                  <v:shape id="Text Box 24" o:spid="_x0000_s1071" type="#_x0000_t202" style="position:absolute;left:16352;top:5204;width:14186;height:1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" filled="f" stroked="f" strokeweight=".5pt">
                    <v:textbox>
                      <w:txbxContent>
                        <w:p w14:paraId="509A4E3C"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sz w:val="20"/>
                              <w:szCs w:val="20"/>
                            </w:rPr>
                            <w:t xml:space="preserve"> .24**</w:t>
                          </w:r>
                        </w:p>
                        <w:p w14:paraId="4AB82312"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sz w:val="20"/>
                              <w:szCs w:val="20"/>
                            </w:rPr>
                            <w:t>(.19*)</w:t>
                          </w:r>
                        </w:p>
                        <w:p w14:paraId="15264A20"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sz w:val="20"/>
                              <w:szCs w:val="20"/>
                            </w:rPr>
                            <w:t>[.21*]</w:t>
                          </w:r>
                        </w:p>
                        <w:p w14:paraId="78F66645" w14:textId="77777777" w:rsidR="00140504" w:rsidRDefault="00140504" w:rsidP="00F771A3">
                          <w:pPr>
                            <w:pStyle w:val="NormalWeb"/>
                            <w:spacing w:before="0" w:beforeAutospacing="0" w:after="0" w:afterAutospacing="0"/>
                            <w:jc w:val="center"/>
                          </w:pPr>
                          <w:r>
                            <w:rPr>
                              <w:rFonts w:ascii="Arial" w:eastAsia="HG Mincho Light J" w:hAnsi="Arial"/>
                              <w:color w:val="000000"/>
                              <w:kern w:val="24"/>
                              <w:sz w:val="20"/>
                              <w:szCs w:val="20"/>
                            </w:rPr>
                            <w:t>{.24*}</w:t>
                          </w:r>
                        </w:p>
                      </w:txbxContent>
                    </v:textbox>
                  </v:shape>
                  <v:shape id="Text Box 24" o:spid="_x0000_s1072" type="#_x0000_t202" style="position:absolute;left:67686;top:7080;width:14186;height:10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" filled="f" stroked="f" strokeweight=".5pt">
                    <v:textbox>
                      <w:txbxContent>
                        <w:p w14:paraId="1FBE4B32"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 xml:space="preserve"> .49**</w:t>
                          </w:r>
                        </w:p>
                        <w:p w14:paraId="625786D1"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(.25**)</w:t>
                          </w:r>
                        </w:p>
                        <w:p w14:paraId="52DBEEF8" w14:textId="77777777" w:rsidR="00140504" w:rsidRDefault="00140504" w:rsidP="00F771A3">
                          <w:pPr>
                            <w:pStyle w:val="NormalWeb"/>
                            <w:spacing w:before="0" w:beforeAutospacing="0" w:after="0" w:afterAutospacing="0"/>
                          </w:pPr>
                          <w:r>
                            <w:rPr>
                              <w:rFonts w:ascii="Arial" w:eastAsia="HG Mincho Light J" w:hAnsi="Arial"/>
                              <w:color w:val="000000"/>
                              <w:kern w:val="24"/>
                              <w:sz w:val="20"/>
                              <w:szCs w:val="20"/>
                            </w:rPr>
                            <w:t>[.49**]</w:t>
                          </w:r>
                        </w:p>
                        <w:p w14:paraId="5A6B8146" w14:textId="40E6B0A0" w:rsidR="00140504" w:rsidRDefault="00140504" w:rsidP="00F771A3">
                          <w:pPr>
                            <w:pStyle w:val="NormalWeb"/>
                            <w:spacing w:before="0" w:beforeAutospacing="0" w:after="0" w:afterAutospacing="0"/>
                          </w:pPr>
                          <w:r>
                            <w:rPr>
                              <w:rFonts w:ascii="Arial" w:eastAsia="HG Mincho Light J" w:hAnsi="Arial"/>
                              <w:color w:val="000000"/>
                              <w:kern w:val="24"/>
                              <w:sz w:val="20"/>
                              <w:szCs w:val="20"/>
                            </w:rPr>
                            <w:t>{.48**}</w:t>
                          </w:r>
                        </w:p>
                      </w:txbxContent>
                    </v:textbox>
                  </v:shape>
                </v:group>
              </v:group>
            </w:pict>
          </mc:Fallback>
        </mc:AlternateContent>
      </w:r>
    </w:p>
    <w:p w14:paraId="2B5D2509" w14:textId="0534E68E" w:rsidR="00E06D69" w:rsidRPr="004A2990" w:rsidRDefault="00E06D69" w:rsidP="00E06D69">
      <w:pPr>
        <w:rPr>
          <w:rFonts w:ascii="Times New Roman" w:hAnsi="Times New Roman"/>
          <w:lang w:val="en-US"/>
        </w:rPr>
      </w:pPr>
    </w:p>
    <w:p w14:paraId="597D8072" w14:textId="5CD28B2D" w:rsidR="00E06D69" w:rsidRPr="004A2990" w:rsidRDefault="00E06D69" w:rsidP="00E06D69">
      <w:pPr>
        <w:rPr>
          <w:rFonts w:ascii="Times New Roman" w:hAnsi="Times New Roman"/>
          <w:lang w:val="en-US"/>
        </w:rPr>
      </w:pPr>
    </w:p>
    <w:p w14:paraId="14322653" w14:textId="36E70593" w:rsidR="00E06D69" w:rsidRPr="004A2990" w:rsidRDefault="00E06D69" w:rsidP="00E06D69">
      <w:pPr>
        <w:rPr>
          <w:rFonts w:ascii="Times New Roman" w:hAnsi="Times New Roman"/>
          <w:lang w:val="en-US"/>
        </w:rPr>
      </w:pPr>
    </w:p>
    <w:p w14:paraId="57CDAF2B" w14:textId="77777777" w:rsidR="00E06D69" w:rsidRPr="004A2990" w:rsidRDefault="00E06D69" w:rsidP="00E06D69">
      <w:pPr>
        <w:rPr>
          <w:rFonts w:ascii="Times New Roman" w:hAnsi="Times New Roman"/>
          <w:lang w:val="en-US"/>
        </w:rPr>
      </w:pPr>
    </w:p>
    <w:p w14:paraId="7FA1BA49" w14:textId="79F43620" w:rsidR="00976CAE" w:rsidRPr="004A2990" w:rsidRDefault="00976CAE" w:rsidP="00E06D69">
      <w:pPr>
        <w:rPr>
          <w:rFonts w:ascii="Times New Roman" w:hAnsi="Times New Roman"/>
          <w:lang w:val="en-US"/>
        </w:rPr>
      </w:pPr>
    </w:p>
    <w:sectPr w:rsidR="00976CAE" w:rsidRPr="004A2990" w:rsidSect="00E2199D">
      <w:pgSz w:w="16838" w:h="11906" w:orient="landscape"/>
      <w:pgMar w:top="1440" w:right="1440" w:bottom="1440" w:left="1440" w:header="144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F5096" w16cid:durableId="2203A936"/>
  <w16cid:commentId w16cid:paraId="578703E9" w16cid:durableId="2205472C"/>
  <w16cid:commentId w16cid:paraId="5375B5E1" w16cid:durableId="2203B4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D570B" w14:textId="77777777" w:rsidR="009B4AC5" w:rsidRDefault="009B4AC5">
      <w:r>
        <w:separator/>
      </w:r>
    </w:p>
  </w:endnote>
  <w:endnote w:type="continuationSeparator" w:id="0">
    <w:p w14:paraId="079A5445" w14:textId="77777777" w:rsidR="009B4AC5" w:rsidRDefault="009B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MS Gothic"/>
    <w:charset w:val="8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MS Gothic"/>
    <w:charset w:val="80"/>
    <w:family w:val="auto"/>
    <w:pitch w:val="variable"/>
  </w:font>
  <w:font w:name="Albany">
    <w:altName w:val="Yu Gothic"/>
    <w:charset w:val="80"/>
    <w:family w:val="swiss"/>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A10F" w14:textId="77777777" w:rsidR="00140504" w:rsidRDefault="00140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6ED6" w14:textId="77777777" w:rsidR="00140504" w:rsidRDefault="00140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761726"/>
      <w:docPartObj>
        <w:docPartGallery w:val="Page Numbers (Bottom of Page)"/>
        <w:docPartUnique/>
      </w:docPartObj>
    </w:sdtPr>
    <w:sdtEndPr>
      <w:rPr>
        <w:noProof/>
      </w:rPr>
    </w:sdtEndPr>
    <w:sdtContent>
      <w:p w14:paraId="18C6F40A" w14:textId="3A5E2095" w:rsidR="00140504" w:rsidRDefault="00140504">
        <w:pPr>
          <w:pStyle w:val="Footer"/>
          <w:jc w:val="right"/>
        </w:pPr>
        <w:r>
          <w:fldChar w:fldCharType="begin"/>
        </w:r>
        <w:r>
          <w:instrText xml:space="preserve"> PAGE   \* MERGEFORMAT </w:instrText>
        </w:r>
        <w:r>
          <w:fldChar w:fldCharType="separate"/>
        </w:r>
        <w:r w:rsidR="00593775">
          <w:rPr>
            <w:noProof/>
          </w:rPr>
          <w:t>1</w:t>
        </w:r>
        <w:r>
          <w:rPr>
            <w:noProof/>
          </w:rPr>
          <w:fldChar w:fldCharType="end"/>
        </w:r>
      </w:p>
    </w:sdtContent>
  </w:sdt>
  <w:p w14:paraId="4C454723" w14:textId="77777777" w:rsidR="00140504" w:rsidRDefault="00140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DFD9D" w14:textId="77777777" w:rsidR="009B4AC5" w:rsidRDefault="009B4AC5">
      <w:r>
        <w:separator/>
      </w:r>
    </w:p>
  </w:footnote>
  <w:footnote w:type="continuationSeparator" w:id="0">
    <w:p w14:paraId="58ED4A72" w14:textId="77777777" w:rsidR="009B4AC5" w:rsidRDefault="009B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A8D8" w14:textId="77777777" w:rsidR="00140504" w:rsidRDefault="00140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134"/>
      <w:gridCol w:w="892"/>
    </w:tblGrid>
    <w:tr w:rsidR="00140504" w14:paraId="559515A2" w14:textId="77777777">
      <w:trPr>
        <w:cantSplit/>
      </w:trPr>
      <w:tc>
        <w:tcPr>
          <w:tcW w:w="8134" w:type="dxa"/>
          <w:shd w:val="clear" w:color="auto" w:fill="auto"/>
        </w:tcPr>
        <w:p w14:paraId="78011DBF" w14:textId="3A83CAD0" w:rsidR="00140504" w:rsidRDefault="00140504" w:rsidP="004324B2">
          <w:pPr>
            <w:pStyle w:val="Header"/>
          </w:pPr>
          <w:r>
            <w:t>“THE BOAT IS FULL!”</w:t>
          </w:r>
        </w:p>
      </w:tc>
      <w:tc>
        <w:tcPr>
          <w:tcW w:w="892" w:type="dxa"/>
          <w:shd w:val="clear" w:color="auto" w:fill="auto"/>
        </w:tcPr>
        <w:p w14:paraId="5DDF2B82" w14:textId="52B32203" w:rsidR="00140504" w:rsidRDefault="00140504">
          <w:pPr>
            <w:pStyle w:val="Header"/>
            <w:jc w:val="right"/>
          </w:pPr>
          <w:r>
            <w:fldChar w:fldCharType="begin"/>
          </w:r>
          <w:r>
            <w:instrText xml:space="preserve"> PAGE </w:instrText>
          </w:r>
          <w:r>
            <w:fldChar w:fldCharType="separate"/>
          </w:r>
          <w:r w:rsidR="00593775">
            <w:rPr>
              <w:noProof/>
            </w:rPr>
            <w:t>2</w:t>
          </w:r>
          <w:r>
            <w:rPr>
              <w:noProof/>
            </w:rPr>
            <w:fldChar w:fldCharType="end"/>
          </w:r>
        </w:p>
      </w:tc>
    </w:tr>
  </w:tbl>
  <w:p w14:paraId="536BC7E9" w14:textId="77777777" w:rsidR="00140504" w:rsidRPr="003245DC" w:rsidRDefault="0014050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2243779"/>
      <w:docPartObj>
        <w:docPartGallery w:val="Page Numbers (Top of Page)"/>
        <w:docPartUnique/>
      </w:docPartObj>
    </w:sdtPr>
    <w:sdtEndPr>
      <w:rPr>
        <w:noProof/>
      </w:rPr>
    </w:sdtEndPr>
    <w:sdtContent>
      <w:p w14:paraId="15C967B7" w14:textId="0D3E175A" w:rsidR="00140504" w:rsidRDefault="00140504">
        <w:pPr>
          <w:pStyle w:val="Header"/>
          <w:jc w:val="right"/>
        </w:pPr>
        <w:r>
          <w:fldChar w:fldCharType="begin"/>
        </w:r>
        <w:r>
          <w:instrText xml:space="preserve"> PAGE   \* MERGEFORMAT </w:instrText>
        </w:r>
        <w:r>
          <w:fldChar w:fldCharType="separate"/>
        </w:r>
        <w:r w:rsidR="00593775">
          <w:rPr>
            <w:noProof/>
          </w:rPr>
          <w:t>1</w:t>
        </w:r>
        <w:r>
          <w:rPr>
            <w:noProof/>
          </w:rPr>
          <w:fldChar w:fldCharType="end"/>
        </w:r>
      </w:p>
    </w:sdtContent>
  </w:sdt>
  <w:p w14:paraId="4E285EFD" w14:textId="6803A801" w:rsidR="00140504" w:rsidRDefault="00140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A0DE5"/>
    <w:multiLevelType w:val="hybridMultilevel"/>
    <w:tmpl w:val="FF286BF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4F2FB7"/>
    <w:multiLevelType w:val="hybridMultilevel"/>
    <w:tmpl w:val="D97A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1645D"/>
    <w:multiLevelType w:val="hybridMultilevel"/>
    <w:tmpl w:val="FF286BF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2EC4D7E"/>
    <w:multiLevelType w:val="hybridMultilevel"/>
    <w:tmpl w:val="7C06805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920AC"/>
    <w:multiLevelType w:val="hybridMultilevel"/>
    <w:tmpl w:val="4DC87B2A"/>
    <w:lvl w:ilvl="0" w:tplc="B12437A0">
      <w:start w:val="1"/>
      <w:numFmt w:val="decimal"/>
      <w:lvlText w:val="%1)"/>
      <w:lvlJc w:val="left"/>
      <w:pPr>
        <w:ind w:left="1965" w:hanging="525"/>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DFD29C4"/>
    <w:multiLevelType w:val="hybridMultilevel"/>
    <w:tmpl w:val="252A474E"/>
    <w:lvl w:ilvl="0" w:tplc="D2D01B00">
      <w:start w:val="1"/>
      <w:numFmt w:val="bullet"/>
      <w:lvlText w:val="-"/>
      <w:lvlJc w:val="left"/>
      <w:pPr>
        <w:ind w:left="720" w:hanging="360"/>
      </w:pPr>
      <w:rPr>
        <w:rFonts w:ascii="Thorndale" w:eastAsia="Thorndale" w:hAnsi="Thorndale"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53DB1"/>
    <w:multiLevelType w:val="hybridMultilevel"/>
    <w:tmpl w:val="664CF564"/>
    <w:lvl w:ilvl="0" w:tplc="B12437A0">
      <w:start w:val="1"/>
      <w:numFmt w:val="decimal"/>
      <w:lvlText w:val="%1)"/>
      <w:lvlJc w:val="left"/>
      <w:pPr>
        <w:ind w:left="1245" w:hanging="52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BE93071"/>
    <w:multiLevelType w:val="hybridMultilevel"/>
    <w:tmpl w:val="DA4A0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C97FD5"/>
    <w:multiLevelType w:val="multilevel"/>
    <w:tmpl w:val="BC76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C510E"/>
    <w:multiLevelType w:val="hybridMultilevel"/>
    <w:tmpl w:val="86165D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8D24D0"/>
    <w:multiLevelType w:val="hybridMultilevel"/>
    <w:tmpl w:val="C7ACC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78772B"/>
    <w:multiLevelType w:val="multilevel"/>
    <w:tmpl w:val="EBA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5"/>
  </w:num>
  <w:num w:numId="5">
    <w:abstractNumId w:val="1"/>
  </w:num>
  <w:num w:numId="6">
    <w:abstractNumId w:val="9"/>
  </w:num>
  <w:num w:numId="7">
    <w:abstractNumId w:val="4"/>
  </w:num>
  <w:num w:numId="8">
    <w:abstractNumId w:val="10"/>
  </w:num>
  <w:num w:numId="9">
    <w:abstractNumId w:val="11"/>
  </w:num>
  <w:num w:numId="10">
    <w:abstractNumId w:val="2"/>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embedSystemFont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EB"/>
    <w:rsid w:val="00003C2D"/>
    <w:rsid w:val="00010E8C"/>
    <w:rsid w:val="00013E1E"/>
    <w:rsid w:val="00024C04"/>
    <w:rsid w:val="0003787C"/>
    <w:rsid w:val="00040E22"/>
    <w:rsid w:val="00043F6F"/>
    <w:rsid w:val="000556F0"/>
    <w:rsid w:val="000605A9"/>
    <w:rsid w:val="000718E4"/>
    <w:rsid w:val="00081E4D"/>
    <w:rsid w:val="00086BED"/>
    <w:rsid w:val="000904CC"/>
    <w:rsid w:val="000938D1"/>
    <w:rsid w:val="00093D99"/>
    <w:rsid w:val="000A449B"/>
    <w:rsid w:val="000A6847"/>
    <w:rsid w:val="000A7B8A"/>
    <w:rsid w:val="000B01B6"/>
    <w:rsid w:val="000B02C5"/>
    <w:rsid w:val="000B2CDA"/>
    <w:rsid w:val="000B52D2"/>
    <w:rsid w:val="000C54E9"/>
    <w:rsid w:val="000C7322"/>
    <w:rsid w:val="000E38EB"/>
    <w:rsid w:val="000F5CCD"/>
    <w:rsid w:val="000F5F6B"/>
    <w:rsid w:val="00103339"/>
    <w:rsid w:val="00107EBC"/>
    <w:rsid w:val="00110B30"/>
    <w:rsid w:val="0011395D"/>
    <w:rsid w:val="001167CC"/>
    <w:rsid w:val="00117090"/>
    <w:rsid w:val="00117F1B"/>
    <w:rsid w:val="00123C8B"/>
    <w:rsid w:val="00127F46"/>
    <w:rsid w:val="001316B8"/>
    <w:rsid w:val="001334BB"/>
    <w:rsid w:val="001342DC"/>
    <w:rsid w:val="001359AA"/>
    <w:rsid w:val="001378E0"/>
    <w:rsid w:val="00140504"/>
    <w:rsid w:val="00142AA0"/>
    <w:rsid w:val="00145F00"/>
    <w:rsid w:val="00146794"/>
    <w:rsid w:val="00155E4D"/>
    <w:rsid w:val="00160FD8"/>
    <w:rsid w:val="00164022"/>
    <w:rsid w:val="0017034C"/>
    <w:rsid w:val="00173FF9"/>
    <w:rsid w:val="0019309A"/>
    <w:rsid w:val="001941F9"/>
    <w:rsid w:val="00195DA3"/>
    <w:rsid w:val="001A4508"/>
    <w:rsid w:val="001A6CE4"/>
    <w:rsid w:val="001A7DB3"/>
    <w:rsid w:val="001D2544"/>
    <w:rsid w:val="001E4062"/>
    <w:rsid w:val="001E42B6"/>
    <w:rsid w:val="001E5519"/>
    <w:rsid w:val="001E6A6F"/>
    <w:rsid w:val="001F341C"/>
    <w:rsid w:val="001F5885"/>
    <w:rsid w:val="002071B1"/>
    <w:rsid w:val="00211D1D"/>
    <w:rsid w:val="00214DC6"/>
    <w:rsid w:val="002168EF"/>
    <w:rsid w:val="00231E05"/>
    <w:rsid w:val="002337CA"/>
    <w:rsid w:val="0023773A"/>
    <w:rsid w:val="00241BD4"/>
    <w:rsid w:val="0024311E"/>
    <w:rsid w:val="002441B3"/>
    <w:rsid w:val="002605C1"/>
    <w:rsid w:val="00274D05"/>
    <w:rsid w:val="0029452C"/>
    <w:rsid w:val="00294560"/>
    <w:rsid w:val="00295146"/>
    <w:rsid w:val="0029574E"/>
    <w:rsid w:val="00297001"/>
    <w:rsid w:val="0029719A"/>
    <w:rsid w:val="002974E1"/>
    <w:rsid w:val="002A788E"/>
    <w:rsid w:val="002B140B"/>
    <w:rsid w:val="002B5C1F"/>
    <w:rsid w:val="002C4E26"/>
    <w:rsid w:val="002C59D5"/>
    <w:rsid w:val="002C6154"/>
    <w:rsid w:val="002D6325"/>
    <w:rsid w:val="002E091E"/>
    <w:rsid w:val="002E6C07"/>
    <w:rsid w:val="002E7AAC"/>
    <w:rsid w:val="002F206D"/>
    <w:rsid w:val="00301F1E"/>
    <w:rsid w:val="0030752E"/>
    <w:rsid w:val="00313FB0"/>
    <w:rsid w:val="00315810"/>
    <w:rsid w:val="00317FB7"/>
    <w:rsid w:val="003214F1"/>
    <w:rsid w:val="003245DC"/>
    <w:rsid w:val="00325DAD"/>
    <w:rsid w:val="00330AC4"/>
    <w:rsid w:val="003312AF"/>
    <w:rsid w:val="00331788"/>
    <w:rsid w:val="003435CB"/>
    <w:rsid w:val="00343FEF"/>
    <w:rsid w:val="00346469"/>
    <w:rsid w:val="0035240C"/>
    <w:rsid w:val="00361C2F"/>
    <w:rsid w:val="00373582"/>
    <w:rsid w:val="00373761"/>
    <w:rsid w:val="003760D0"/>
    <w:rsid w:val="00380E39"/>
    <w:rsid w:val="00381DA6"/>
    <w:rsid w:val="00385C62"/>
    <w:rsid w:val="00395061"/>
    <w:rsid w:val="003953AE"/>
    <w:rsid w:val="003A0EE5"/>
    <w:rsid w:val="003A17B5"/>
    <w:rsid w:val="003A515F"/>
    <w:rsid w:val="003B1997"/>
    <w:rsid w:val="003B32C2"/>
    <w:rsid w:val="003B7704"/>
    <w:rsid w:val="003C2EB3"/>
    <w:rsid w:val="003C3DB5"/>
    <w:rsid w:val="003C55B0"/>
    <w:rsid w:val="003D53CE"/>
    <w:rsid w:val="003D74FE"/>
    <w:rsid w:val="003E4A8E"/>
    <w:rsid w:val="003E665B"/>
    <w:rsid w:val="003E78D8"/>
    <w:rsid w:val="003E7E80"/>
    <w:rsid w:val="003F0989"/>
    <w:rsid w:val="003F43A3"/>
    <w:rsid w:val="00400266"/>
    <w:rsid w:val="00412CC9"/>
    <w:rsid w:val="00413060"/>
    <w:rsid w:val="00416C76"/>
    <w:rsid w:val="00420120"/>
    <w:rsid w:val="00422B5E"/>
    <w:rsid w:val="004308AA"/>
    <w:rsid w:val="004324B2"/>
    <w:rsid w:val="004345B0"/>
    <w:rsid w:val="00441090"/>
    <w:rsid w:val="004430D3"/>
    <w:rsid w:val="00445BB6"/>
    <w:rsid w:val="00447B46"/>
    <w:rsid w:val="004503FB"/>
    <w:rsid w:val="0045410C"/>
    <w:rsid w:val="0045516F"/>
    <w:rsid w:val="00466A30"/>
    <w:rsid w:val="00466D8D"/>
    <w:rsid w:val="00471BBC"/>
    <w:rsid w:val="004721C5"/>
    <w:rsid w:val="004731D6"/>
    <w:rsid w:val="00476C98"/>
    <w:rsid w:val="0049016F"/>
    <w:rsid w:val="004940D0"/>
    <w:rsid w:val="004A2990"/>
    <w:rsid w:val="004B0118"/>
    <w:rsid w:val="004C6FC0"/>
    <w:rsid w:val="004D0112"/>
    <w:rsid w:val="004D03D1"/>
    <w:rsid w:val="004D54FA"/>
    <w:rsid w:val="004E320F"/>
    <w:rsid w:val="004F3B11"/>
    <w:rsid w:val="004F3B3C"/>
    <w:rsid w:val="004F6E4E"/>
    <w:rsid w:val="0050175B"/>
    <w:rsid w:val="00514CFC"/>
    <w:rsid w:val="005269B1"/>
    <w:rsid w:val="00527A26"/>
    <w:rsid w:val="005302C6"/>
    <w:rsid w:val="00546D7C"/>
    <w:rsid w:val="005479AC"/>
    <w:rsid w:val="00551432"/>
    <w:rsid w:val="0055758E"/>
    <w:rsid w:val="00561A68"/>
    <w:rsid w:val="00565994"/>
    <w:rsid w:val="00570207"/>
    <w:rsid w:val="005704F6"/>
    <w:rsid w:val="00573562"/>
    <w:rsid w:val="005768F6"/>
    <w:rsid w:val="00577516"/>
    <w:rsid w:val="005829C9"/>
    <w:rsid w:val="00582B2B"/>
    <w:rsid w:val="00583CB2"/>
    <w:rsid w:val="005871CD"/>
    <w:rsid w:val="00593775"/>
    <w:rsid w:val="00596AE4"/>
    <w:rsid w:val="005A22DB"/>
    <w:rsid w:val="005A25C4"/>
    <w:rsid w:val="005B29CD"/>
    <w:rsid w:val="005B44B6"/>
    <w:rsid w:val="005B523A"/>
    <w:rsid w:val="005B5F9F"/>
    <w:rsid w:val="005B7CC0"/>
    <w:rsid w:val="005D336D"/>
    <w:rsid w:val="005D5F79"/>
    <w:rsid w:val="005D7648"/>
    <w:rsid w:val="005F281E"/>
    <w:rsid w:val="005F4B1A"/>
    <w:rsid w:val="005F65B8"/>
    <w:rsid w:val="005F66C1"/>
    <w:rsid w:val="005F6EAD"/>
    <w:rsid w:val="00605852"/>
    <w:rsid w:val="00610A66"/>
    <w:rsid w:val="00616A9F"/>
    <w:rsid w:val="00616BEE"/>
    <w:rsid w:val="00620A81"/>
    <w:rsid w:val="006229AD"/>
    <w:rsid w:val="00623AF4"/>
    <w:rsid w:val="00627DB8"/>
    <w:rsid w:val="00630462"/>
    <w:rsid w:val="00630B6B"/>
    <w:rsid w:val="0063420E"/>
    <w:rsid w:val="00646393"/>
    <w:rsid w:val="0064640B"/>
    <w:rsid w:val="00647019"/>
    <w:rsid w:val="00647EA7"/>
    <w:rsid w:val="00650807"/>
    <w:rsid w:val="006553B1"/>
    <w:rsid w:val="0065748C"/>
    <w:rsid w:val="0065782F"/>
    <w:rsid w:val="00660E59"/>
    <w:rsid w:val="00680765"/>
    <w:rsid w:val="006924B4"/>
    <w:rsid w:val="00694AE2"/>
    <w:rsid w:val="00694FAB"/>
    <w:rsid w:val="00695DDA"/>
    <w:rsid w:val="006A3612"/>
    <w:rsid w:val="006A43FB"/>
    <w:rsid w:val="006B3C95"/>
    <w:rsid w:val="006B3DA8"/>
    <w:rsid w:val="006B5B51"/>
    <w:rsid w:val="006B6086"/>
    <w:rsid w:val="006C49F4"/>
    <w:rsid w:val="006D099B"/>
    <w:rsid w:val="006D39B1"/>
    <w:rsid w:val="006E2062"/>
    <w:rsid w:val="006E26A6"/>
    <w:rsid w:val="007077B8"/>
    <w:rsid w:val="007116E8"/>
    <w:rsid w:val="0071233D"/>
    <w:rsid w:val="007141BB"/>
    <w:rsid w:val="00717E8F"/>
    <w:rsid w:val="00722552"/>
    <w:rsid w:val="0072323B"/>
    <w:rsid w:val="00725AD5"/>
    <w:rsid w:val="007334D8"/>
    <w:rsid w:val="00735186"/>
    <w:rsid w:val="00737679"/>
    <w:rsid w:val="00737C1D"/>
    <w:rsid w:val="00742E0A"/>
    <w:rsid w:val="00743C48"/>
    <w:rsid w:val="00746BA7"/>
    <w:rsid w:val="00746DBD"/>
    <w:rsid w:val="0075376D"/>
    <w:rsid w:val="007609A6"/>
    <w:rsid w:val="00762E5B"/>
    <w:rsid w:val="00765662"/>
    <w:rsid w:val="00765B27"/>
    <w:rsid w:val="00780296"/>
    <w:rsid w:val="00783B98"/>
    <w:rsid w:val="007873EF"/>
    <w:rsid w:val="0079257C"/>
    <w:rsid w:val="007945AF"/>
    <w:rsid w:val="007947A2"/>
    <w:rsid w:val="00794831"/>
    <w:rsid w:val="007A09B6"/>
    <w:rsid w:val="007A408D"/>
    <w:rsid w:val="007A411D"/>
    <w:rsid w:val="007A73D5"/>
    <w:rsid w:val="007C0D19"/>
    <w:rsid w:val="007C512D"/>
    <w:rsid w:val="007C6474"/>
    <w:rsid w:val="007D766E"/>
    <w:rsid w:val="007E1B60"/>
    <w:rsid w:val="007E1C89"/>
    <w:rsid w:val="007E23A5"/>
    <w:rsid w:val="007E3B20"/>
    <w:rsid w:val="007E449A"/>
    <w:rsid w:val="007E60E4"/>
    <w:rsid w:val="007F0F97"/>
    <w:rsid w:val="007F41CA"/>
    <w:rsid w:val="00803DD6"/>
    <w:rsid w:val="00804B40"/>
    <w:rsid w:val="00805038"/>
    <w:rsid w:val="00814AEA"/>
    <w:rsid w:val="008177D4"/>
    <w:rsid w:val="008239A3"/>
    <w:rsid w:val="00831411"/>
    <w:rsid w:val="008373EA"/>
    <w:rsid w:val="00851B8E"/>
    <w:rsid w:val="00854FE0"/>
    <w:rsid w:val="008622A0"/>
    <w:rsid w:val="00872F19"/>
    <w:rsid w:val="008749F6"/>
    <w:rsid w:val="00875171"/>
    <w:rsid w:val="00883DDD"/>
    <w:rsid w:val="00883FC1"/>
    <w:rsid w:val="00885F6F"/>
    <w:rsid w:val="008A0F33"/>
    <w:rsid w:val="008A1FD7"/>
    <w:rsid w:val="008A29DC"/>
    <w:rsid w:val="008B0B2D"/>
    <w:rsid w:val="008B2B57"/>
    <w:rsid w:val="008B2D77"/>
    <w:rsid w:val="008C00CB"/>
    <w:rsid w:val="008C2358"/>
    <w:rsid w:val="008C552B"/>
    <w:rsid w:val="008C73EB"/>
    <w:rsid w:val="008D0ADD"/>
    <w:rsid w:val="008D223D"/>
    <w:rsid w:val="008D7C71"/>
    <w:rsid w:val="008E406C"/>
    <w:rsid w:val="008E4285"/>
    <w:rsid w:val="008E54D3"/>
    <w:rsid w:val="008E555D"/>
    <w:rsid w:val="008F13D7"/>
    <w:rsid w:val="008F20EB"/>
    <w:rsid w:val="008F5FDF"/>
    <w:rsid w:val="008F6469"/>
    <w:rsid w:val="00900D86"/>
    <w:rsid w:val="009017EF"/>
    <w:rsid w:val="009164C4"/>
    <w:rsid w:val="00920FDF"/>
    <w:rsid w:val="00922008"/>
    <w:rsid w:val="009248F5"/>
    <w:rsid w:val="00924F1D"/>
    <w:rsid w:val="00927FEB"/>
    <w:rsid w:val="00931274"/>
    <w:rsid w:val="00955D9F"/>
    <w:rsid w:val="00955FE6"/>
    <w:rsid w:val="00960E7B"/>
    <w:rsid w:val="0096769F"/>
    <w:rsid w:val="0097216F"/>
    <w:rsid w:val="00976CAE"/>
    <w:rsid w:val="009807F6"/>
    <w:rsid w:val="00985D22"/>
    <w:rsid w:val="00987D30"/>
    <w:rsid w:val="009940BB"/>
    <w:rsid w:val="009A2730"/>
    <w:rsid w:val="009B36D6"/>
    <w:rsid w:val="009B4AC5"/>
    <w:rsid w:val="009D18C2"/>
    <w:rsid w:val="009D35C5"/>
    <w:rsid w:val="009D40C4"/>
    <w:rsid w:val="009E0BD2"/>
    <w:rsid w:val="009E7D2C"/>
    <w:rsid w:val="009F025D"/>
    <w:rsid w:val="009F2AD6"/>
    <w:rsid w:val="00A0114E"/>
    <w:rsid w:val="00A01182"/>
    <w:rsid w:val="00A017E7"/>
    <w:rsid w:val="00A03C26"/>
    <w:rsid w:val="00A044A6"/>
    <w:rsid w:val="00A05119"/>
    <w:rsid w:val="00A11EA2"/>
    <w:rsid w:val="00A136F4"/>
    <w:rsid w:val="00A141F7"/>
    <w:rsid w:val="00A15B5B"/>
    <w:rsid w:val="00A1738D"/>
    <w:rsid w:val="00A2012C"/>
    <w:rsid w:val="00A20C0D"/>
    <w:rsid w:val="00A25378"/>
    <w:rsid w:val="00A26D66"/>
    <w:rsid w:val="00A276DE"/>
    <w:rsid w:val="00A30054"/>
    <w:rsid w:val="00A353DE"/>
    <w:rsid w:val="00A35C5E"/>
    <w:rsid w:val="00A37303"/>
    <w:rsid w:val="00A40CF4"/>
    <w:rsid w:val="00A440A4"/>
    <w:rsid w:val="00A544FD"/>
    <w:rsid w:val="00A6296C"/>
    <w:rsid w:val="00A64F08"/>
    <w:rsid w:val="00A93D7C"/>
    <w:rsid w:val="00A959F3"/>
    <w:rsid w:val="00AA3AE9"/>
    <w:rsid w:val="00AA3B15"/>
    <w:rsid w:val="00AC7151"/>
    <w:rsid w:val="00AD2D81"/>
    <w:rsid w:val="00AE0A67"/>
    <w:rsid w:val="00AE15AA"/>
    <w:rsid w:val="00AE7250"/>
    <w:rsid w:val="00AF0B45"/>
    <w:rsid w:val="00AF14CD"/>
    <w:rsid w:val="00AF4285"/>
    <w:rsid w:val="00B04114"/>
    <w:rsid w:val="00B07122"/>
    <w:rsid w:val="00B14E43"/>
    <w:rsid w:val="00B17E2C"/>
    <w:rsid w:val="00B36571"/>
    <w:rsid w:val="00B4006C"/>
    <w:rsid w:val="00B41BD2"/>
    <w:rsid w:val="00B524ED"/>
    <w:rsid w:val="00B553A5"/>
    <w:rsid w:val="00B56D20"/>
    <w:rsid w:val="00B6067B"/>
    <w:rsid w:val="00B729F5"/>
    <w:rsid w:val="00B83EB2"/>
    <w:rsid w:val="00B86E79"/>
    <w:rsid w:val="00B97336"/>
    <w:rsid w:val="00BA0E55"/>
    <w:rsid w:val="00BA1D6D"/>
    <w:rsid w:val="00BA6ED0"/>
    <w:rsid w:val="00BB1B36"/>
    <w:rsid w:val="00BC02BB"/>
    <w:rsid w:val="00BC1FAE"/>
    <w:rsid w:val="00BC33EB"/>
    <w:rsid w:val="00BC5AC6"/>
    <w:rsid w:val="00BD424E"/>
    <w:rsid w:val="00BE319A"/>
    <w:rsid w:val="00BE3218"/>
    <w:rsid w:val="00BE5035"/>
    <w:rsid w:val="00C0706E"/>
    <w:rsid w:val="00C162A6"/>
    <w:rsid w:val="00C23DB6"/>
    <w:rsid w:val="00C26002"/>
    <w:rsid w:val="00C277D0"/>
    <w:rsid w:val="00C30381"/>
    <w:rsid w:val="00C34368"/>
    <w:rsid w:val="00C357E4"/>
    <w:rsid w:val="00C45F24"/>
    <w:rsid w:val="00C553DF"/>
    <w:rsid w:val="00C67D12"/>
    <w:rsid w:val="00C83DC6"/>
    <w:rsid w:val="00C905D9"/>
    <w:rsid w:val="00C91DD6"/>
    <w:rsid w:val="00C965A5"/>
    <w:rsid w:val="00CA03EA"/>
    <w:rsid w:val="00CA2339"/>
    <w:rsid w:val="00CB4FAC"/>
    <w:rsid w:val="00CB7122"/>
    <w:rsid w:val="00CC2EBD"/>
    <w:rsid w:val="00CD3D1E"/>
    <w:rsid w:val="00CE254F"/>
    <w:rsid w:val="00CE477A"/>
    <w:rsid w:val="00CE6AC3"/>
    <w:rsid w:val="00CF2A31"/>
    <w:rsid w:val="00CF6266"/>
    <w:rsid w:val="00CF722E"/>
    <w:rsid w:val="00D042EC"/>
    <w:rsid w:val="00D12A42"/>
    <w:rsid w:val="00D13734"/>
    <w:rsid w:val="00D15A52"/>
    <w:rsid w:val="00D23250"/>
    <w:rsid w:val="00D24C27"/>
    <w:rsid w:val="00D37AB9"/>
    <w:rsid w:val="00D4224A"/>
    <w:rsid w:val="00D46B82"/>
    <w:rsid w:val="00D50CEF"/>
    <w:rsid w:val="00D63FED"/>
    <w:rsid w:val="00D72C66"/>
    <w:rsid w:val="00D81AA7"/>
    <w:rsid w:val="00D81EAD"/>
    <w:rsid w:val="00D822D0"/>
    <w:rsid w:val="00D939C5"/>
    <w:rsid w:val="00D97C5E"/>
    <w:rsid w:val="00DA6E00"/>
    <w:rsid w:val="00DB49B8"/>
    <w:rsid w:val="00DB6392"/>
    <w:rsid w:val="00DC7FC0"/>
    <w:rsid w:val="00DD7AFA"/>
    <w:rsid w:val="00DE361A"/>
    <w:rsid w:val="00DE40CC"/>
    <w:rsid w:val="00DF0159"/>
    <w:rsid w:val="00DF23F0"/>
    <w:rsid w:val="00E005CC"/>
    <w:rsid w:val="00E044F7"/>
    <w:rsid w:val="00E06D69"/>
    <w:rsid w:val="00E114D1"/>
    <w:rsid w:val="00E1285B"/>
    <w:rsid w:val="00E148D6"/>
    <w:rsid w:val="00E17767"/>
    <w:rsid w:val="00E2199D"/>
    <w:rsid w:val="00E22570"/>
    <w:rsid w:val="00E2367F"/>
    <w:rsid w:val="00E25175"/>
    <w:rsid w:val="00E36736"/>
    <w:rsid w:val="00E376EA"/>
    <w:rsid w:val="00E44440"/>
    <w:rsid w:val="00E460C9"/>
    <w:rsid w:val="00E4661B"/>
    <w:rsid w:val="00E471D2"/>
    <w:rsid w:val="00E514BB"/>
    <w:rsid w:val="00E53250"/>
    <w:rsid w:val="00E541CE"/>
    <w:rsid w:val="00E67009"/>
    <w:rsid w:val="00E6729D"/>
    <w:rsid w:val="00E767B9"/>
    <w:rsid w:val="00EA7B8B"/>
    <w:rsid w:val="00EC4898"/>
    <w:rsid w:val="00EC6F95"/>
    <w:rsid w:val="00EC7D4C"/>
    <w:rsid w:val="00ED0B9D"/>
    <w:rsid w:val="00ED2E46"/>
    <w:rsid w:val="00ED6BB9"/>
    <w:rsid w:val="00EE0A9A"/>
    <w:rsid w:val="00EF5196"/>
    <w:rsid w:val="00EF6ED1"/>
    <w:rsid w:val="00EF7B8F"/>
    <w:rsid w:val="00EF7E0E"/>
    <w:rsid w:val="00F264EA"/>
    <w:rsid w:val="00F4524F"/>
    <w:rsid w:val="00F57C41"/>
    <w:rsid w:val="00F771A3"/>
    <w:rsid w:val="00F81189"/>
    <w:rsid w:val="00F8332B"/>
    <w:rsid w:val="00F91CCA"/>
    <w:rsid w:val="00F9366D"/>
    <w:rsid w:val="00F94326"/>
    <w:rsid w:val="00F96A01"/>
    <w:rsid w:val="00FA4FA6"/>
    <w:rsid w:val="00FA5C5B"/>
    <w:rsid w:val="00FA77D7"/>
    <w:rsid w:val="00FC09CC"/>
    <w:rsid w:val="00FC0C2C"/>
    <w:rsid w:val="00FC0C8C"/>
    <w:rsid w:val="00FC4137"/>
    <w:rsid w:val="00FC73EE"/>
    <w:rsid w:val="00FD5663"/>
    <w:rsid w:val="00FD7A65"/>
    <w:rsid w:val="00FE6C07"/>
    <w:rsid w:val="00FF4F70"/>
    <w:rsid w:val="00FF5F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E63538C"/>
  <w15:docId w15:val="{D215E298-0964-4746-B767-780889FA0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C1"/>
    <w:pPr>
      <w:widowControl w:val="0"/>
      <w:suppressAutoHyphens/>
    </w:pPr>
    <w:rPr>
      <w:rFonts w:ascii="Thorndale" w:eastAsia="HG Mincho Light J" w:hAnsi="Thorndale"/>
      <w:color w:val="000000"/>
      <w:sz w:val="24"/>
      <w:szCs w:val="24"/>
    </w:rPr>
  </w:style>
  <w:style w:type="paragraph" w:styleId="Heading1">
    <w:name w:val="heading 1"/>
    <w:basedOn w:val="Heading"/>
    <w:next w:val="BodyText"/>
    <w:qFormat/>
    <w:rsid w:val="005F66C1"/>
    <w:pPr>
      <w:tabs>
        <w:tab w:val="num" w:pos="0"/>
      </w:tabs>
      <w:outlineLvl w:val="0"/>
    </w:pPr>
    <w:rPr>
      <w:b/>
      <w:bCs/>
      <w:sz w:val="32"/>
      <w:szCs w:val="32"/>
    </w:rPr>
  </w:style>
  <w:style w:type="paragraph" w:styleId="Heading2">
    <w:name w:val="heading 2"/>
    <w:basedOn w:val="Heading"/>
    <w:next w:val="BodyText"/>
    <w:qFormat/>
    <w:rsid w:val="005F66C1"/>
    <w:pPr>
      <w:tabs>
        <w:tab w:val="num" w:pos="0"/>
      </w:tabs>
      <w:outlineLvl w:val="1"/>
    </w:pPr>
    <w:rPr>
      <w:b/>
      <w:bCs/>
      <w:i/>
      <w:iCs/>
    </w:rPr>
  </w:style>
  <w:style w:type="paragraph" w:styleId="Heading3">
    <w:name w:val="heading 3"/>
    <w:basedOn w:val="Heading"/>
    <w:next w:val="BodyText"/>
    <w:qFormat/>
    <w:rsid w:val="005F66C1"/>
    <w:pPr>
      <w:tabs>
        <w:tab w:val="num" w:pos="0"/>
      </w:tabs>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5F66C1"/>
  </w:style>
  <w:style w:type="character" w:customStyle="1" w:styleId="EndnoteCharacters">
    <w:name w:val="Endnote Characters"/>
    <w:rsid w:val="005F66C1"/>
  </w:style>
  <w:style w:type="paragraph" w:styleId="BodyText">
    <w:name w:val="Body Text"/>
    <w:basedOn w:val="Normal"/>
    <w:rsid w:val="005F66C1"/>
    <w:pPr>
      <w:spacing w:after="120"/>
    </w:pPr>
  </w:style>
  <w:style w:type="paragraph" w:customStyle="1" w:styleId="Heading">
    <w:name w:val="Heading"/>
    <w:basedOn w:val="Normal"/>
    <w:next w:val="BodyText"/>
    <w:rsid w:val="005F66C1"/>
    <w:pPr>
      <w:keepNext/>
      <w:spacing w:before="240" w:after="120"/>
    </w:pPr>
    <w:rPr>
      <w:rFonts w:ascii="Albany" w:hAnsi="Albany" w:cs="Arial Unicode MS"/>
      <w:sz w:val="28"/>
      <w:szCs w:val="28"/>
    </w:rPr>
  </w:style>
  <w:style w:type="paragraph" w:styleId="Header">
    <w:name w:val="header"/>
    <w:basedOn w:val="Normal"/>
    <w:link w:val="HeaderChar"/>
    <w:uiPriority w:val="99"/>
    <w:rsid w:val="005F66C1"/>
    <w:pPr>
      <w:suppressLineNumbers/>
      <w:tabs>
        <w:tab w:val="center" w:pos="4986"/>
        <w:tab w:val="right" w:pos="9972"/>
      </w:tabs>
    </w:pPr>
    <w:rPr>
      <w:rFonts w:ascii="Times New Roman" w:hAnsi="Times New Roman"/>
    </w:rPr>
  </w:style>
  <w:style w:type="paragraph" w:customStyle="1" w:styleId="Framecontents">
    <w:name w:val="Frame contents"/>
    <w:basedOn w:val="BodyText"/>
    <w:rsid w:val="005F66C1"/>
    <w:rPr>
      <w:rFonts w:ascii="Times New Roman" w:hAnsi="Times New Roman"/>
    </w:rPr>
  </w:style>
  <w:style w:type="paragraph" w:customStyle="1" w:styleId="APAHeadingA">
    <w:name w:val="APA Heading A"/>
    <w:basedOn w:val="Heading1"/>
    <w:next w:val="APABodyText"/>
    <w:rsid w:val="005F66C1"/>
    <w:pPr>
      <w:keepLines/>
      <w:tabs>
        <w:tab w:val="clear" w:pos="0"/>
      </w:tabs>
      <w:spacing w:before="720" w:after="119" w:line="480" w:lineRule="auto"/>
      <w:jc w:val="center"/>
    </w:pPr>
    <w:rPr>
      <w:rFonts w:ascii="Times New Roman" w:hAnsi="Times New Roman"/>
      <w:sz w:val="24"/>
    </w:rPr>
  </w:style>
  <w:style w:type="paragraph" w:customStyle="1" w:styleId="APAAbstract">
    <w:name w:val="APA Abstract"/>
    <w:basedOn w:val="BodyText"/>
    <w:rsid w:val="005F66C1"/>
    <w:pPr>
      <w:widowControl/>
      <w:spacing w:line="480" w:lineRule="auto"/>
    </w:pPr>
    <w:rPr>
      <w:rFonts w:ascii="Times New Roman" w:hAnsi="Times New Roman"/>
    </w:rPr>
  </w:style>
  <w:style w:type="paragraph" w:customStyle="1" w:styleId="APAHeadingB">
    <w:name w:val="APA Heading B"/>
    <w:basedOn w:val="Heading2"/>
    <w:next w:val="APABodyText"/>
    <w:rsid w:val="005F66C1"/>
    <w:pPr>
      <w:keepLines/>
      <w:tabs>
        <w:tab w:val="clear" w:pos="0"/>
      </w:tabs>
      <w:spacing w:before="720" w:after="119" w:line="480" w:lineRule="auto"/>
    </w:pPr>
    <w:rPr>
      <w:rFonts w:ascii="Times New Roman" w:hAnsi="Times New Roman"/>
      <w:i w:val="0"/>
      <w:sz w:val="24"/>
    </w:rPr>
  </w:style>
  <w:style w:type="paragraph" w:customStyle="1" w:styleId="APAHeadingC">
    <w:name w:val="APA Heading C"/>
    <w:basedOn w:val="Heading3"/>
    <w:next w:val="APABodyText"/>
    <w:rsid w:val="005F66C1"/>
    <w:pPr>
      <w:keepLines/>
      <w:tabs>
        <w:tab w:val="clear" w:pos="0"/>
      </w:tabs>
      <w:spacing w:before="0" w:after="119" w:line="480" w:lineRule="auto"/>
      <w:ind w:firstLine="709"/>
    </w:pPr>
    <w:rPr>
      <w:rFonts w:ascii="Times New Roman" w:hAnsi="Times New Roman"/>
      <w:sz w:val="24"/>
    </w:rPr>
  </w:style>
  <w:style w:type="paragraph" w:customStyle="1" w:styleId="APABodyText">
    <w:name w:val="APA Body Text"/>
    <w:basedOn w:val="BodyText"/>
    <w:rsid w:val="005F66C1"/>
    <w:pPr>
      <w:widowControl/>
      <w:spacing w:line="480" w:lineRule="auto"/>
      <w:ind w:firstLine="720"/>
    </w:pPr>
    <w:rPr>
      <w:rFonts w:ascii="Times New Roman" w:hAnsi="Times New Roman"/>
    </w:rPr>
  </w:style>
  <w:style w:type="paragraph" w:customStyle="1" w:styleId="APAQuotation">
    <w:name w:val="APA Quotation"/>
    <w:basedOn w:val="BodyText"/>
    <w:rsid w:val="005F66C1"/>
    <w:pPr>
      <w:keepLines/>
      <w:spacing w:after="119" w:line="480" w:lineRule="auto"/>
      <w:ind w:left="720"/>
    </w:pPr>
    <w:rPr>
      <w:rFonts w:ascii="Times New Roman" w:hAnsi="Times New Roman"/>
    </w:rPr>
  </w:style>
  <w:style w:type="paragraph" w:customStyle="1" w:styleId="APAReferences">
    <w:name w:val="APA References"/>
    <w:basedOn w:val="BodyText"/>
    <w:rsid w:val="005F66C1"/>
    <w:pPr>
      <w:keepLines/>
      <w:spacing w:line="480" w:lineRule="auto"/>
      <w:ind w:left="720" w:hanging="720"/>
    </w:pPr>
    <w:rPr>
      <w:rFonts w:ascii="Times New Roman" w:hAnsi="Times New Roman"/>
    </w:rPr>
  </w:style>
  <w:style w:type="paragraph" w:customStyle="1" w:styleId="TableContents">
    <w:name w:val="Table Contents"/>
    <w:basedOn w:val="Normal"/>
    <w:rsid w:val="005F66C1"/>
    <w:pPr>
      <w:suppressLineNumbers/>
    </w:pPr>
  </w:style>
  <w:style w:type="paragraph" w:customStyle="1" w:styleId="TableHeading">
    <w:name w:val="Table Heading"/>
    <w:basedOn w:val="TableContents"/>
    <w:rsid w:val="005F66C1"/>
    <w:pPr>
      <w:jc w:val="center"/>
    </w:pPr>
    <w:rPr>
      <w:b/>
      <w:bCs/>
    </w:rPr>
  </w:style>
  <w:style w:type="paragraph" w:styleId="Footer">
    <w:name w:val="footer"/>
    <w:basedOn w:val="Normal"/>
    <w:link w:val="FooterChar"/>
    <w:uiPriority w:val="99"/>
    <w:unhideWhenUsed/>
    <w:rsid w:val="00D23250"/>
    <w:pPr>
      <w:tabs>
        <w:tab w:val="center" w:pos="4513"/>
        <w:tab w:val="right" w:pos="9026"/>
      </w:tabs>
    </w:pPr>
  </w:style>
  <w:style w:type="character" w:customStyle="1" w:styleId="FooterChar">
    <w:name w:val="Footer Char"/>
    <w:basedOn w:val="DefaultParagraphFont"/>
    <w:link w:val="Footer"/>
    <w:uiPriority w:val="99"/>
    <w:rsid w:val="00D23250"/>
    <w:rPr>
      <w:rFonts w:ascii="Thorndale" w:eastAsia="HG Mincho Light J" w:hAnsi="Thorndale"/>
      <w:color w:val="000000"/>
      <w:sz w:val="24"/>
      <w:szCs w:val="24"/>
    </w:rPr>
  </w:style>
  <w:style w:type="paragraph" w:styleId="Revision">
    <w:name w:val="Revision"/>
    <w:hidden/>
    <w:uiPriority w:val="99"/>
    <w:semiHidden/>
    <w:rsid w:val="00D23250"/>
    <w:rPr>
      <w:rFonts w:ascii="Thorndale" w:eastAsia="HG Mincho Light J" w:hAnsi="Thorndale"/>
      <w:color w:val="000000"/>
      <w:sz w:val="24"/>
      <w:szCs w:val="24"/>
    </w:rPr>
  </w:style>
  <w:style w:type="paragraph" w:styleId="BalloonText">
    <w:name w:val="Balloon Text"/>
    <w:basedOn w:val="Normal"/>
    <w:link w:val="BalloonTextChar"/>
    <w:uiPriority w:val="99"/>
    <w:semiHidden/>
    <w:unhideWhenUsed/>
    <w:rsid w:val="00D23250"/>
    <w:rPr>
      <w:rFonts w:ascii="Tahoma" w:hAnsi="Tahoma" w:cs="Tahoma"/>
      <w:sz w:val="16"/>
      <w:szCs w:val="16"/>
    </w:rPr>
  </w:style>
  <w:style w:type="character" w:customStyle="1" w:styleId="BalloonTextChar">
    <w:name w:val="Balloon Text Char"/>
    <w:basedOn w:val="DefaultParagraphFont"/>
    <w:link w:val="BalloonText"/>
    <w:uiPriority w:val="99"/>
    <w:semiHidden/>
    <w:rsid w:val="00D23250"/>
    <w:rPr>
      <w:rFonts w:ascii="Tahoma" w:eastAsia="HG Mincho Light J" w:hAnsi="Tahoma" w:cs="Tahoma"/>
      <w:color w:val="000000"/>
      <w:sz w:val="16"/>
      <w:szCs w:val="16"/>
    </w:rPr>
  </w:style>
  <w:style w:type="character" w:styleId="CommentReference">
    <w:name w:val="annotation reference"/>
    <w:basedOn w:val="DefaultParagraphFont"/>
    <w:uiPriority w:val="99"/>
    <w:semiHidden/>
    <w:unhideWhenUsed/>
    <w:rsid w:val="00D23250"/>
    <w:rPr>
      <w:sz w:val="16"/>
      <w:szCs w:val="16"/>
    </w:rPr>
  </w:style>
  <w:style w:type="paragraph" w:styleId="CommentText">
    <w:name w:val="annotation text"/>
    <w:basedOn w:val="Normal"/>
    <w:link w:val="CommentTextChar"/>
    <w:uiPriority w:val="99"/>
    <w:semiHidden/>
    <w:unhideWhenUsed/>
    <w:rsid w:val="00D23250"/>
    <w:rPr>
      <w:sz w:val="20"/>
      <w:szCs w:val="20"/>
    </w:rPr>
  </w:style>
  <w:style w:type="character" w:customStyle="1" w:styleId="CommentTextChar">
    <w:name w:val="Comment Text Char"/>
    <w:basedOn w:val="DefaultParagraphFont"/>
    <w:link w:val="CommentText"/>
    <w:uiPriority w:val="99"/>
    <w:semiHidden/>
    <w:rsid w:val="00D23250"/>
    <w:rPr>
      <w:rFonts w:ascii="Thorndale" w:eastAsia="HG Mincho Light J" w:hAnsi="Thorndale"/>
      <w:color w:val="000000"/>
    </w:rPr>
  </w:style>
  <w:style w:type="paragraph" w:styleId="CommentSubject">
    <w:name w:val="annotation subject"/>
    <w:basedOn w:val="CommentText"/>
    <w:next w:val="CommentText"/>
    <w:link w:val="CommentSubjectChar"/>
    <w:uiPriority w:val="99"/>
    <w:semiHidden/>
    <w:unhideWhenUsed/>
    <w:rsid w:val="00D23250"/>
    <w:rPr>
      <w:b/>
      <w:bCs/>
    </w:rPr>
  </w:style>
  <w:style w:type="character" w:customStyle="1" w:styleId="CommentSubjectChar">
    <w:name w:val="Comment Subject Char"/>
    <w:basedOn w:val="CommentTextChar"/>
    <w:link w:val="CommentSubject"/>
    <w:uiPriority w:val="99"/>
    <w:semiHidden/>
    <w:rsid w:val="00D23250"/>
    <w:rPr>
      <w:rFonts w:ascii="Thorndale" w:eastAsia="HG Mincho Light J" w:hAnsi="Thorndale"/>
      <w:b/>
      <w:bCs/>
      <w:color w:val="000000"/>
    </w:rPr>
  </w:style>
  <w:style w:type="character" w:styleId="SubtleEmphasis">
    <w:name w:val="Subtle Emphasis"/>
    <w:basedOn w:val="DefaultParagraphFont"/>
    <w:uiPriority w:val="19"/>
    <w:qFormat/>
    <w:rsid w:val="00717E8F"/>
    <w:rPr>
      <w:i/>
      <w:iCs/>
      <w:color w:val="404040" w:themeColor="text1" w:themeTint="BF"/>
    </w:rPr>
  </w:style>
  <w:style w:type="character" w:styleId="Emphasis">
    <w:name w:val="Emphasis"/>
    <w:basedOn w:val="DefaultParagraphFont"/>
    <w:uiPriority w:val="20"/>
    <w:qFormat/>
    <w:rsid w:val="00717E8F"/>
    <w:rPr>
      <w:i/>
      <w:iCs/>
    </w:rPr>
  </w:style>
  <w:style w:type="character" w:styleId="Hyperlink">
    <w:name w:val="Hyperlink"/>
    <w:basedOn w:val="DefaultParagraphFont"/>
    <w:uiPriority w:val="99"/>
    <w:unhideWhenUsed/>
    <w:rsid w:val="003760D0"/>
    <w:rPr>
      <w:color w:val="0000FF" w:themeColor="hyperlink"/>
      <w:u w:val="single"/>
    </w:rPr>
  </w:style>
  <w:style w:type="paragraph" w:styleId="FootnoteText">
    <w:name w:val="footnote text"/>
    <w:basedOn w:val="Normal"/>
    <w:link w:val="FootnoteTextChar"/>
    <w:uiPriority w:val="99"/>
    <w:semiHidden/>
    <w:unhideWhenUsed/>
    <w:rsid w:val="003245DC"/>
    <w:rPr>
      <w:sz w:val="20"/>
      <w:szCs w:val="20"/>
    </w:rPr>
  </w:style>
  <w:style w:type="character" w:customStyle="1" w:styleId="FootnoteTextChar">
    <w:name w:val="Footnote Text Char"/>
    <w:basedOn w:val="DefaultParagraphFont"/>
    <w:link w:val="FootnoteText"/>
    <w:uiPriority w:val="99"/>
    <w:semiHidden/>
    <w:rsid w:val="003245DC"/>
    <w:rPr>
      <w:rFonts w:ascii="Thorndale" w:eastAsia="HG Mincho Light J" w:hAnsi="Thorndale"/>
      <w:color w:val="000000"/>
    </w:rPr>
  </w:style>
  <w:style w:type="character" w:styleId="FootnoteReference">
    <w:name w:val="footnote reference"/>
    <w:basedOn w:val="DefaultParagraphFont"/>
    <w:uiPriority w:val="99"/>
    <w:semiHidden/>
    <w:unhideWhenUsed/>
    <w:rsid w:val="003245DC"/>
    <w:rPr>
      <w:vertAlign w:val="superscript"/>
    </w:rPr>
  </w:style>
  <w:style w:type="table" w:styleId="TableGrid">
    <w:name w:val="Table Grid"/>
    <w:basedOn w:val="TableNormal"/>
    <w:uiPriority w:val="39"/>
    <w:rsid w:val="00630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name">
    <w:name w:val="authors__name"/>
    <w:basedOn w:val="DefaultParagraphFont"/>
    <w:rsid w:val="002A788E"/>
  </w:style>
  <w:style w:type="character" w:customStyle="1" w:styleId="authorscontact">
    <w:name w:val="authors__contact"/>
    <w:basedOn w:val="DefaultParagraphFont"/>
    <w:rsid w:val="002A788E"/>
  </w:style>
  <w:style w:type="paragraph" w:styleId="ListParagraph">
    <w:name w:val="List Paragraph"/>
    <w:basedOn w:val="Normal"/>
    <w:uiPriority w:val="34"/>
    <w:qFormat/>
    <w:rsid w:val="00013E1E"/>
    <w:pPr>
      <w:ind w:left="720"/>
      <w:contextualSpacing/>
    </w:pPr>
  </w:style>
  <w:style w:type="paragraph" w:styleId="NormalWeb">
    <w:name w:val="Normal (Web)"/>
    <w:basedOn w:val="Normal"/>
    <w:uiPriority w:val="99"/>
    <w:semiHidden/>
    <w:unhideWhenUsed/>
    <w:rsid w:val="006D099B"/>
    <w:pPr>
      <w:widowControl/>
      <w:suppressAutoHyphens w:val="0"/>
      <w:spacing w:before="100" w:beforeAutospacing="1" w:after="100" w:afterAutospacing="1"/>
    </w:pPr>
    <w:rPr>
      <w:rFonts w:ascii="Times New Roman" w:eastAsiaTheme="minorEastAsia" w:hAnsi="Times New Roman"/>
      <w:color w:val="auto"/>
    </w:rPr>
  </w:style>
  <w:style w:type="paragraph" w:styleId="Caption">
    <w:name w:val="caption"/>
    <w:basedOn w:val="Normal"/>
    <w:next w:val="Normal"/>
    <w:uiPriority w:val="35"/>
    <w:unhideWhenUsed/>
    <w:qFormat/>
    <w:rsid w:val="006D099B"/>
    <w:pPr>
      <w:spacing w:after="200"/>
    </w:pPr>
    <w:rPr>
      <w:i/>
      <w:iCs/>
      <w:color w:val="1F497D" w:themeColor="text2"/>
      <w:sz w:val="18"/>
      <w:szCs w:val="18"/>
    </w:rPr>
  </w:style>
  <w:style w:type="character" w:customStyle="1" w:styleId="HeaderChar">
    <w:name w:val="Header Char"/>
    <w:basedOn w:val="DefaultParagraphFont"/>
    <w:link w:val="Header"/>
    <w:uiPriority w:val="99"/>
    <w:rsid w:val="00E6729D"/>
    <w:rPr>
      <w:rFonts w:eastAsia="HG Mincho Light J"/>
      <w:color w:val="000000"/>
      <w:sz w:val="24"/>
      <w:szCs w:val="24"/>
    </w:rPr>
  </w:style>
  <w:style w:type="paragraph" w:styleId="Bibliography">
    <w:name w:val="Bibliography"/>
    <w:basedOn w:val="Normal"/>
    <w:next w:val="Normal"/>
    <w:uiPriority w:val="37"/>
    <w:unhideWhenUsed/>
    <w:rsid w:val="002F206D"/>
    <w:pPr>
      <w:widowControl/>
      <w:suppressAutoHyphens w:val="0"/>
      <w:spacing w:after="160" w:line="259" w:lineRule="auto"/>
    </w:pPr>
    <w:rPr>
      <w:rFonts w:asciiTheme="minorHAnsi" w:eastAsiaTheme="minorHAnsi" w:hAnsiTheme="minorHAnsi" w:cstheme="minorBidi"/>
      <w:color w:val="auto"/>
      <w:sz w:val="22"/>
      <w:szCs w:val="22"/>
      <w:lang w:eastAsia="en-US"/>
    </w:rPr>
  </w:style>
  <w:style w:type="character" w:styleId="Strong">
    <w:name w:val="Strong"/>
    <w:basedOn w:val="DefaultParagraphFont"/>
    <w:uiPriority w:val="22"/>
    <w:qFormat/>
    <w:rsid w:val="001F5885"/>
    <w:rPr>
      <w:b/>
      <w:bCs/>
    </w:rPr>
  </w:style>
  <w:style w:type="character" w:customStyle="1" w:styleId="UnresolvedMention">
    <w:name w:val="Unresolved Mention"/>
    <w:basedOn w:val="DefaultParagraphFont"/>
    <w:uiPriority w:val="99"/>
    <w:semiHidden/>
    <w:unhideWhenUsed/>
    <w:rsid w:val="003A0EE5"/>
    <w:rPr>
      <w:color w:val="605E5C"/>
      <w:shd w:val="clear" w:color="auto" w:fill="E1DFDD"/>
    </w:rPr>
  </w:style>
  <w:style w:type="character" w:styleId="FollowedHyperlink">
    <w:name w:val="FollowedHyperlink"/>
    <w:basedOn w:val="DefaultParagraphFont"/>
    <w:uiPriority w:val="99"/>
    <w:semiHidden/>
    <w:unhideWhenUsed/>
    <w:rsid w:val="00173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6222">
      <w:bodyDiv w:val="1"/>
      <w:marLeft w:val="0"/>
      <w:marRight w:val="0"/>
      <w:marTop w:val="0"/>
      <w:marBottom w:val="0"/>
      <w:divBdr>
        <w:top w:val="none" w:sz="0" w:space="0" w:color="auto"/>
        <w:left w:val="none" w:sz="0" w:space="0" w:color="auto"/>
        <w:bottom w:val="none" w:sz="0" w:space="0" w:color="auto"/>
        <w:right w:val="none" w:sz="0" w:space="0" w:color="auto"/>
      </w:divBdr>
    </w:div>
    <w:div w:id="141775214">
      <w:bodyDiv w:val="1"/>
      <w:marLeft w:val="0"/>
      <w:marRight w:val="0"/>
      <w:marTop w:val="0"/>
      <w:marBottom w:val="0"/>
      <w:divBdr>
        <w:top w:val="none" w:sz="0" w:space="0" w:color="auto"/>
        <w:left w:val="none" w:sz="0" w:space="0" w:color="auto"/>
        <w:bottom w:val="none" w:sz="0" w:space="0" w:color="auto"/>
        <w:right w:val="none" w:sz="0" w:space="0" w:color="auto"/>
      </w:divBdr>
    </w:div>
    <w:div w:id="640430567">
      <w:bodyDiv w:val="1"/>
      <w:marLeft w:val="0"/>
      <w:marRight w:val="0"/>
      <w:marTop w:val="0"/>
      <w:marBottom w:val="0"/>
      <w:divBdr>
        <w:top w:val="none" w:sz="0" w:space="0" w:color="auto"/>
        <w:left w:val="none" w:sz="0" w:space="0" w:color="auto"/>
        <w:bottom w:val="none" w:sz="0" w:space="0" w:color="auto"/>
        <w:right w:val="none" w:sz="0" w:space="0" w:color="auto"/>
      </w:divBdr>
    </w:div>
    <w:div w:id="790364911">
      <w:bodyDiv w:val="1"/>
      <w:marLeft w:val="0"/>
      <w:marRight w:val="0"/>
      <w:marTop w:val="0"/>
      <w:marBottom w:val="0"/>
      <w:divBdr>
        <w:top w:val="none" w:sz="0" w:space="0" w:color="auto"/>
        <w:left w:val="none" w:sz="0" w:space="0" w:color="auto"/>
        <w:bottom w:val="none" w:sz="0" w:space="0" w:color="auto"/>
        <w:right w:val="none" w:sz="0" w:space="0" w:color="auto"/>
      </w:divBdr>
    </w:div>
    <w:div w:id="991107783">
      <w:bodyDiv w:val="1"/>
      <w:marLeft w:val="0"/>
      <w:marRight w:val="0"/>
      <w:marTop w:val="0"/>
      <w:marBottom w:val="0"/>
      <w:divBdr>
        <w:top w:val="none" w:sz="0" w:space="0" w:color="auto"/>
        <w:left w:val="none" w:sz="0" w:space="0" w:color="auto"/>
        <w:bottom w:val="none" w:sz="0" w:space="0" w:color="auto"/>
        <w:right w:val="none" w:sz="0" w:space="0" w:color="auto"/>
      </w:divBdr>
      <w:divsChild>
        <w:div w:id="1296719119">
          <w:marLeft w:val="0"/>
          <w:marRight w:val="0"/>
          <w:marTop w:val="0"/>
          <w:marBottom w:val="0"/>
          <w:divBdr>
            <w:top w:val="none" w:sz="0" w:space="0" w:color="auto"/>
            <w:left w:val="none" w:sz="0" w:space="0" w:color="auto"/>
            <w:bottom w:val="none" w:sz="0" w:space="0" w:color="auto"/>
            <w:right w:val="none" w:sz="0" w:space="0" w:color="auto"/>
          </w:divBdr>
          <w:divsChild>
            <w:div w:id="1597133224">
              <w:marLeft w:val="0"/>
              <w:marRight w:val="0"/>
              <w:marTop w:val="0"/>
              <w:marBottom w:val="0"/>
              <w:divBdr>
                <w:top w:val="none" w:sz="0" w:space="0" w:color="auto"/>
                <w:left w:val="none" w:sz="0" w:space="0" w:color="auto"/>
                <w:bottom w:val="none" w:sz="0" w:space="0" w:color="auto"/>
                <w:right w:val="none" w:sz="0" w:space="0" w:color="auto"/>
              </w:divBdr>
              <w:divsChild>
                <w:div w:id="177235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1606">
      <w:bodyDiv w:val="1"/>
      <w:marLeft w:val="0"/>
      <w:marRight w:val="0"/>
      <w:marTop w:val="0"/>
      <w:marBottom w:val="0"/>
      <w:divBdr>
        <w:top w:val="none" w:sz="0" w:space="0" w:color="auto"/>
        <w:left w:val="none" w:sz="0" w:space="0" w:color="auto"/>
        <w:bottom w:val="none" w:sz="0" w:space="0" w:color="auto"/>
        <w:right w:val="none" w:sz="0" w:space="0" w:color="auto"/>
      </w:divBdr>
    </w:div>
    <w:div w:id="1401638052">
      <w:bodyDiv w:val="1"/>
      <w:marLeft w:val="0"/>
      <w:marRight w:val="0"/>
      <w:marTop w:val="0"/>
      <w:marBottom w:val="0"/>
      <w:divBdr>
        <w:top w:val="none" w:sz="0" w:space="0" w:color="auto"/>
        <w:left w:val="none" w:sz="0" w:space="0" w:color="auto"/>
        <w:bottom w:val="none" w:sz="0" w:space="0" w:color="auto"/>
        <w:right w:val="none" w:sz="0" w:space="0" w:color="auto"/>
      </w:divBdr>
    </w:div>
    <w:div w:id="1678775730">
      <w:bodyDiv w:val="1"/>
      <w:marLeft w:val="0"/>
      <w:marRight w:val="0"/>
      <w:marTop w:val="0"/>
      <w:marBottom w:val="0"/>
      <w:divBdr>
        <w:top w:val="none" w:sz="0" w:space="0" w:color="auto"/>
        <w:left w:val="none" w:sz="0" w:space="0" w:color="auto"/>
        <w:bottom w:val="none" w:sz="0" w:space="0" w:color="auto"/>
        <w:right w:val="none" w:sz="0" w:space="0" w:color="auto"/>
      </w:divBdr>
    </w:div>
    <w:div w:id="1680694090">
      <w:bodyDiv w:val="1"/>
      <w:marLeft w:val="0"/>
      <w:marRight w:val="0"/>
      <w:marTop w:val="0"/>
      <w:marBottom w:val="0"/>
      <w:divBdr>
        <w:top w:val="none" w:sz="0" w:space="0" w:color="auto"/>
        <w:left w:val="none" w:sz="0" w:space="0" w:color="auto"/>
        <w:bottom w:val="none" w:sz="0" w:space="0" w:color="auto"/>
        <w:right w:val="none" w:sz="0" w:space="0" w:color="auto"/>
      </w:divBdr>
    </w:div>
    <w:div w:id="2100179697">
      <w:bodyDiv w:val="1"/>
      <w:marLeft w:val="0"/>
      <w:marRight w:val="0"/>
      <w:marTop w:val="0"/>
      <w:marBottom w:val="0"/>
      <w:divBdr>
        <w:top w:val="none" w:sz="0" w:space="0" w:color="auto"/>
        <w:left w:val="none" w:sz="0" w:space="0" w:color="auto"/>
        <w:bottom w:val="none" w:sz="0" w:space="0" w:color="auto"/>
        <w:right w:val="none" w:sz="0" w:space="0" w:color="auto"/>
      </w:divBdr>
      <w:divsChild>
        <w:div w:id="1886402345">
          <w:marLeft w:val="75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2F0956797612446953" TargetMode="External"/><Relationship Id="rId18" Type="http://schemas.openxmlformats.org/officeDocument/2006/relationships/hyperlink" Target="https://psycnet.apa.org/doi/10.1111/0022-4537.00220" TargetMode="External"/><Relationship Id="rId26" Type="http://schemas.openxmlformats.org/officeDocument/2006/relationships/hyperlink" Target="https://doi.org/10.1093/poq/nfq013" TargetMode="External"/><Relationship Id="rId39" Type="http://schemas.openxmlformats.org/officeDocument/2006/relationships/hyperlink" Target="https://doi.org/10.1177/0146167207311197" TargetMode="External"/><Relationship Id="rId21" Type="http://schemas.openxmlformats.org/officeDocument/2006/relationships/hyperlink" Target="https://doi.org/10.1177%2F0265407505058681" TargetMode="External"/><Relationship Id="rId34" Type="http://schemas.openxmlformats.org/officeDocument/2006/relationships/hyperlink" Target="https://doi.org/10.1016/S0147-1767(96)00016-8" TargetMode="External"/><Relationship Id="rId42" Type="http://schemas.openxmlformats.org/officeDocument/2006/relationships/hyperlink" Target="https://doi.org/10.1080/01419870902890317" TargetMode="External"/><Relationship Id="rId47" Type="http://schemas.openxmlformats.org/officeDocument/2006/relationships/hyperlink" Target="http://dx.doi.org/10.1007%2Fs00426-007-0114-6"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10.1016/j.jecp.2019.104695" TargetMode="External"/><Relationship Id="rId17" Type="http://schemas.openxmlformats.org/officeDocument/2006/relationships/hyperlink" Target="https://doi.org/10.2202/1935-1682.1655" TargetMode="External"/><Relationship Id="rId25" Type="http://schemas.openxmlformats.org/officeDocument/2006/relationships/hyperlink" Target="https://psycnet.apa.org/doi/10.1037/h0078789" TargetMode="External"/><Relationship Id="rId33" Type="http://schemas.openxmlformats.org/officeDocument/2006/relationships/hyperlink" Target="https://doi.org/10.1177/0022022101032006004" TargetMode="External"/><Relationship Id="rId38" Type="http://schemas.openxmlformats.org/officeDocument/2006/relationships/hyperlink" Target="https://psycnet.apa.org/doi/10.1002/ejsp.2420230604" TargetMode="External"/><Relationship Id="rId46" Type="http://schemas.openxmlformats.org/officeDocument/2006/relationships/hyperlink" Target="https://doi.org/10.1016/j.ijintrel.2010.09.011" TargetMode="External"/><Relationship Id="rId2" Type="http://schemas.openxmlformats.org/officeDocument/2006/relationships/numbering" Target="numbering.xml"/><Relationship Id="rId16" Type="http://schemas.openxmlformats.org/officeDocument/2006/relationships/hyperlink" Target="https://doi.org/10.1002/per.772" TargetMode="External"/><Relationship Id="rId20" Type="http://schemas.openxmlformats.org/officeDocument/2006/relationships/hyperlink" Target="https://doi.org/10.1016/j.evolhumbehav.2013.11.004" TargetMode="External"/><Relationship Id="rId29" Type="http://schemas.openxmlformats.org/officeDocument/2006/relationships/hyperlink" Target="https://doi.org/10.1111/j.1464-0597.2010.00426.x" TargetMode="External"/><Relationship Id="rId41" Type="http://schemas.openxmlformats.org/officeDocument/2006/relationships/hyperlink" Target="https://doi.org/10.1093/esr/18.1.17"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issj.12185" TargetMode="External"/><Relationship Id="rId24" Type="http://schemas.openxmlformats.org/officeDocument/2006/relationships/hyperlink" Target="https://doi.org/10.1177%2F1369148117710799" TargetMode="External"/><Relationship Id="rId32" Type="http://schemas.openxmlformats.org/officeDocument/2006/relationships/hyperlink" Target="https://doi.org/10.1016/j.ijintrel.2014.02.001" TargetMode="External"/><Relationship Id="rId37" Type="http://schemas.openxmlformats.org/officeDocument/2006/relationships/hyperlink" Target="https://doi.org/10.1207%2Fs15327957pspr1004_4" TargetMode="External"/><Relationship Id="rId40" Type="http://schemas.openxmlformats.org/officeDocument/2006/relationships/hyperlink" Target="https://doi.org/10.1016/j.ssresearch.2003.11.003" TargetMode="External"/><Relationship Id="rId45" Type="http://schemas.openxmlformats.org/officeDocument/2006/relationships/hyperlink" Target="https://doi.org/10.1080/14616696.2010.550631" TargetMode="External"/><Relationship Id="rId53" Type="http://schemas.openxmlformats.org/officeDocument/2006/relationships/footer" Target="footer2.xml"/><Relationship Id="rId58"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dailymail.co.uk/news/article-5871947/3-8million-EU-migrants-allowed-stay-Brexit-bring-families.html" TargetMode="External"/><Relationship Id="rId23" Type="http://schemas.openxmlformats.org/officeDocument/2006/relationships/hyperlink" Target="https://doi.org/10.1080/1369183X.2011.572423" TargetMode="External"/><Relationship Id="rId28" Type="http://schemas.openxmlformats.org/officeDocument/2006/relationships/hyperlink" Target="https://doi.org/10.1007/s11562-010-0126-7" TargetMode="External"/><Relationship Id="rId36" Type="http://schemas.openxmlformats.org/officeDocument/2006/relationships/hyperlink" Target="https://psycnet.apa.org/doi/10.2307/2096296" TargetMode="External"/><Relationship Id="rId49" Type="http://schemas.openxmlformats.org/officeDocument/2006/relationships/hyperlink" Target="https://doi.org/10.1016/j.jesp.2011.12.006" TargetMode="External"/><Relationship Id="rId57" Type="http://schemas.openxmlformats.org/officeDocument/2006/relationships/theme" Target="theme/theme1.xml"/><Relationship Id="rId10" Type="http://schemas.openxmlformats.org/officeDocument/2006/relationships/hyperlink" Target="https://psycnet.apa.org/doi/10.1016/S0149-7634(01)00056-2" TargetMode="External"/><Relationship Id="rId19" Type="http://schemas.openxmlformats.org/officeDocument/2006/relationships/hyperlink" Target="https://doi.org/10.1016/S0065-2601(08)60372-X" TargetMode="External"/><Relationship Id="rId31" Type="http://schemas.openxmlformats.org/officeDocument/2006/relationships/hyperlink" Target="https://doi.org/10.1002/ijop.12212" TargetMode="External"/><Relationship Id="rId44" Type="http://schemas.openxmlformats.org/officeDocument/2006/relationships/hyperlink" Target="https://doi.org/10.1111/j.1559-1816.1999.tb00107.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03637751.2015.1068433" TargetMode="External"/><Relationship Id="rId14" Type="http://schemas.openxmlformats.org/officeDocument/2006/relationships/hyperlink" Target="https://www.dailymail.co.uk/news/article-4967690/Million-illegal-immigrants-not-removed-UK.html" TargetMode="External"/><Relationship Id="rId22" Type="http://schemas.openxmlformats.org/officeDocument/2006/relationships/hyperlink" Target="https://doi.org/10.1080/00224540309598468" TargetMode="External"/><Relationship Id="rId27" Type="http://schemas.openxmlformats.org/officeDocument/2006/relationships/hyperlink" Target="https://doi.org/10.1080/13691830701614056" TargetMode="External"/><Relationship Id="rId30" Type="http://schemas.openxmlformats.org/officeDocument/2006/relationships/hyperlink" Target="https://doi.org/10.2307/2574765" TargetMode="External"/><Relationship Id="rId35" Type="http://schemas.openxmlformats.org/officeDocument/2006/relationships/hyperlink" Target="https://doi.org/10.1002/ejsp.718" TargetMode="External"/><Relationship Id="rId43" Type="http://schemas.openxmlformats.org/officeDocument/2006/relationships/hyperlink" Target="https://doi.org/10.1016/j.ssresearch.2009.07.006" TargetMode="External"/><Relationship Id="rId48" Type="http://schemas.openxmlformats.org/officeDocument/2006/relationships/hyperlink" Target="https://psycnet.apa.org/doi/10.1037/pspi0000092" TargetMode="External"/><Relationship Id="rId56" Type="http://schemas.openxmlformats.org/officeDocument/2006/relationships/fontTable" Target="fontTable.xml"/><Relationship Id="rId8" Type="http://schemas.openxmlformats.org/officeDocument/2006/relationships/hyperlink" Target="https://doi.org/10.1353/sof.2006.0002" TargetMode="External"/><Relationship Id="rId51" Type="http://schemas.openxmlformats.org/officeDocument/2006/relationships/header" Target="header2.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qjt005\AppData\Local\Microsoft\Windows\Temporary%20Internet%20Files\Content.Outlook\U5VLL0GJ\APA_V6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A12E9-9860-429D-83CD-6E5A7276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APA_V6_Word</Template>
  <TotalTime>60</TotalTime>
  <Pages>37</Pages>
  <Words>8894</Words>
  <Characters>50697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APA_V6_Word</vt:lpstr>
    </vt:vector>
  </TitlesOfParts>
  <Company>Canterbury Christ Church University</Company>
  <LinksUpToDate>false</LinksUpToDate>
  <CharactersWithSpaces>59473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APA_V6_Word</dc:title>
  <dc:subject>APA 6th ed. format template</dc:subject>
  <dc:creator>w7pc002</dc:creator>
  <cp:keywords>{research methods; APA style; report}</cp:keywords>
  <dc:description>Based on the APA publication manual, 6th edition. Please insert information in {wavy brackets}.</dc:description>
  <cp:lastModifiedBy>Zagefka, Hanna</cp:lastModifiedBy>
  <cp:revision>3</cp:revision>
  <cp:lastPrinted>2020-02-26T11:03:00Z</cp:lastPrinted>
  <dcterms:created xsi:type="dcterms:W3CDTF">2020-03-03T12:22:00Z</dcterms:created>
  <dcterms:modified xsi:type="dcterms:W3CDTF">2020-03-31T06:13:00Z</dcterms:modified>
</cp:coreProperties>
</file>