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ECDAD" w14:textId="7C34EB0B" w:rsidR="001A02C6" w:rsidRPr="000051A5" w:rsidRDefault="001A02C6" w:rsidP="001A02C6">
      <w:pPr>
        <w:jc w:val="center"/>
        <w:rPr>
          <w:rFonts w:cs="Times New Roman"/>
          <w:b/>
          <w:sz w:val="28"/>
          <w:szCs w:val="28"/>
        </w:rPr>
      </w:pPr>
      <w:r w:rsidRPr="005D098C">
        <w:rPr>
          <w:rFonts w:cs="Times New Roman"/>
          <w:b/>
          <w:sz w:val="28"/>
          <w:szCs w:val="28"/>
          <w:lang w:val="en-GB"/>
        </w:rPr>
        <w:t xml:space="preserve">Hiring New Key Inventors to Improve </w:t>
      </w:r>
      <w:r>
        <w:rPr>
          <w:rFonts w:cs="Times New Roman"/>
          <w:b/>
          <w:sz w:val="28"/>
          <w:szCs w:val="28"/>
          <w:lang w:val="en-GB"/>
        </w:rPr>
        <w:t xml:space="preserve">Firms’ </w:t>
      </w:r>
      <w:r w:rsidRPr="005D098C">
        <w:rPr>
          <w:rFonts w:cs="Times New Roman"/>
          <w:b/>
          <w:sz w:val="28"/>
          <w:szCs w:val="28"/>
          <w:lang w:val="en-GB"/>
        </w:rPr>
        <w:t xml:space="preserve">Post-M&amp;A </w:t>
      </w:r>
      <w:r>
        <w:rPr>
          <w:rFonts w:cs="Times New Roman"/>
          <w:b/>
          <w:sz w:val="28"/>
          <w:szCs w:val="28"/>
          <w:lang w:val="en-GB"/>
        </w:rPr>
        <w:t>Inventive</w:t>
      </w:r>
      <w:r w:rsidRPr="005D098C">
        <w:rPr>
          <w:rFonts w:cs="Times New Roman"/>
          <w:b/>
          <w:sz w:val="28"/>
          <w:szCs w:val="28"/>
          <w:lang w:val="en-GB"/>
        </w:rPr>
        <w:t xml:space="preserve"> </w:t>
      </w:r>
      <w:r>
        <w:rPr>
          <w:rFonts w:cs="Times New Roman"/>
          <w:b/>
          <w:sz w:val="28"/>
          <w:szCs w:val="28"/>
          <w:lang w:val="en-GB"/>
        </w:rPr>
        <w:t>Output</w:t>
      </w:r>
      <w:r>
        <w:rPr>
          <w:rStyle w:val="FootnoteReference"/>
          <w:sz w:val="28"/>
          <w:szCs w:val="28"/>
        </w:rPr>
        <w:footnoteReference w:id="1"/>
      </w:r>
    </w:p>
    <w:p w14:paraId="41255D5C" w14:textId="77777777" w:rsidR="001A02C6" w:rsidRPr="00813455" w:rsidRDefault="001A02C6" w:rsidP="001A02C6">
      <w:pPr>
        <w:widowControl w:val="0"/>
        <w:autoSpaceDE w:val="0"/>
        <w:autoSpaceDN w:val="0"/>
        <w:adjustRightInd w:val="0"/>
        <w:spacing w:after="0" w:line="240" w:lineRule="auto"/>
        <w:jc w:val="center"/>
        <w:rPr>
          <w:rFonts w:cs="Times New Roman"/>
          <w:b/>
          <w:color w:val="191919"/>
          <w:sz w:val="22"/>
        </w:rPr>
      </w:pPr>
      <w:r w:rsidRPr="00813455">
        <w:rPr>
          <w:rFonts w:cs="Times New Roman"/>
          <w:b/>
          <w:color w:val="191919"/>
          <w:sz w:val="22"/>
        </w:rPr>
        <w:t>Marta F. Arroyabe</w:t>
      </w:r>
      <w:r w:rsidRPr="003D218E">
        <w:rPr>
          <w:rStyle w:val="FootnoteReference"/>
          <w:color w:val="191919"/>
          <w:sz w:val="32"/>
        </w:rPr>
        <w:footnoteReference w:id="2"/>
      </w:r>
    </w:p>
    <w:p w14:paraId="517B6165" w14:textId="77777777" w:rsidR="001A02C6" w:rsidRDefault="001A02C6" w:rsidP="001A02C6">
      <w:pPr>
        <w:widowControl w:val="0"/>
        <w:autoSpaceDE w:val="0"/>
        <w:autoSpaceDN w:val="0"/>
        <w:adjustRightInd w:val="0"/>
        <w:spacing w:after="0" w:line="240" w:lineRule="auto"/>
        <w:jc w:val="center"/>
        <w:rPr>
          <w:rFonts w:cs="Times New Roman"/>
          <w:iCs/>
          <w:color w:val="191919"/>
          <w:sz w:val="22"/>
        </w:rPr>
      </w:pPr>
      <w:r w:rsidRPr="00813455">
        <w:rPr>
          <w:rFonts w:cs="Times New Roman"/>
          <w:iCs/>
          <w:color w:val="191919"/>
          <w:sz w:val="22"/>
        </w:rPr>
        <w:t xml:space="preserve">University of </w:t>
      </w:r>
      <w:r>
        <w:rPr>
          <w:rFonts w:cs="Times New Roman"/>
          <w:iCs/>
          <w:color w:val="191919"/>
          <w:sz w:val="22"/>
        </w:rPr>
        <w:t>Essex</w:t>
      </w:r>
    </w:p>
    <w:p w14:paraId="05544AC5" w14:textId="77777777" w:rsidR="001A02C6" w:rsidRPr="009B7ECF" w:rsidRDefault="001A02C6" w:rsidP="001A02C6">
      <w:pPr>
        <w:widowControl w:val="0"/>
        <w:autoSpaceDE w:val="0"/>
        <w:autoSpaceDN w:val="0"/>
        <w:adjustRightInd w:val="0"/>
        <w:spacing w:after="0" w:line="240" w:lineRule="auto"/>
        <w:jc w:val="center"/>
        <w:rPr>
          <w:rFonts w:cs="Times New Roman"/>
          <w:color w:val="191919"/>
          <w:sz w:val="22"/>
        </w:rPr>
      </w:pPr>
      <w:r>
        <w:rPr>
          <w:rFonts w:cs="Times New Roman"/>
          <w:iCs/>
          <w:color w:val="191919"/>
          <w:sz w:val="22"/>
        </w:rPr>
        <w:t>Essex Business School</w:t>
      </w:r>
    </w:p>
    <w:p w14:paraId="0DC50A56" w14:textId="77777777" w:rsidR="001A02C6" w:rsidRPr="00B918A2" w:rsidRDefault="001A02C6" w:rsidP="001A02C6">
      <w:pPr>
        <w:widowControl w:val="0"/>
        <w:autoSpaceDE w:val="0"/>
        <w:autoSpaceDN w:val="0"/>
        <w:adjustRightInd w:val="0"/>
        <w:spacing w:after="0" w:line="240" w:lineRule="auto"/>
        <w:jc w:val="center"/>
        <w:rPr>
          <w:rStyle w:val="get-in-touchsubtitle"/>
        </w:rPr>
      </w:pPr>
      <w:r w:rsidRPr="00B918A2">
        <w:rPr>
          <w:rStyle w:val="get-in-touchsubtitle"/>
        </w:rPr>
        <w:t>Elmer Approach</w:t>
      </w:r>
    </w:p>
    <w:p w14:paraId="5B2A4382" w14:textId="77777777" w:rsidR="001A02C6" w:rsidRDefault="001A02C6" w:rsidP="001A02C6">
      <w:pPr>
        <w:widowControl w:val="0"/>
        <w:autoSpaceDE w:val="0"/>
        <w:autoSpaceDN w:val="0"/>
        <w:adjustRightInd w:val="0"/>
        <w:spacing w:after="0" w:line="240" w:lineRule="auto"/>
        <w:jc w:val="center"/>
        <w:rPr>
          <w:rFonts w:cs="Times New Roman"/>
          <w:iCs/>
          <w:color w:val="191919"/>
          <w:sz w:val="22"/>
        </w:rPr>
      </w:pPr>
      <w:r w:rsidRPr="00C549CC">
        <w:rPr>
          <w:rStyle w:val="get-in-touchsubtitle"/>
        </w:rPr>
        <w:t>SS1 1LW</w:t>
      </w:r>
      <w:r>
        <w:rPr>
          <w:rStyle w:val="get-in-touchsubtitle"/>
        </w:rPr>
        <w:t xml:space="preserve"> Southend-on-Sea </w:t>
      </w:r>
      <w:r w:rsidRPr="00C549CC">
        <w:rPr>
          <w:rFonts w:cs="Times New Roman"/>
          <w:iCs/>
          <w:color w:val="191919"/>
          <w:sz w:val="22"/>
        </w:rPr>
        <w:t>(U</w:t>
      </w:r>
      <w:r>
        <w:rPr>
          <w:rFonts w:cs="Times New Roman"/>
          <w:iCs/>
          <w:color w:val="191919"/>
          <w:sz w:val="22"/>
        </w:rPr>
        <w:t>K</w:t>
      </w:r>
      <w:r w:rsidRPr="00C549CC">
        <w:rPr>
          <w:rFonts w:cs="Times New Roman"/>
          <w:iCs/>
          <w:color w:val="191919"/>
          <w:sz w:val="22"/>
        </w:rPr>
        <w:t>)</w:t>
      </w:r>
    </w:p>
    <w:p w14:paraId="7F6CA9E4" w14:textId="77777777" w:rsidR="001A02C6" w:rsidRDefault="001A02C6" w:rsidP="001A02C6">
      <w:pPr>
        <w:widowControl w:val="0"/>
        <w:autoSpaceDE w:val="0"/>
        <w:autoSpaceDN w:val="0"/>
        <w:adjustRightInd w:val="0"/>
        <w:spacing w:after="0" w:line="240" w:lineRule="auto"/>
        <w:jc w:val="center"/>
        <w:rPr>
          <w:rFonts w:cs="Times New Roman"/>
          <w:sz w:val="22"/>
        </w:rPr>
      </w:pPr>
    </w:p>
    <w:p w14:paraId="06BE7D9A" w14:textId="77777777" w:rsidR="001A02C6" w:rsidRPr="007F6641" w:rsidRDefault="001A02C6" w:rsidP="001A02C6">
      <w:pPr>
        <w:widowControl w:val="0"/>
        <w:autoSpaceDE w:val="0"/>
        <w:autoSpaceDN w:val="0"/>
        <w:adjustRightInd w:val="0"/>
        <w:spacing w:after="0" w:line="240" w:lineRule="auto"/>
        <w:jc w:val="center"/>
        <w:rPr>
          <w:rFonts w:cs="Times New Roman"/>
          <w:iCs/>
          <w:color w:val="191919"/>
          <w:sz w:val="22"/>
          <w:lang w:val="es-ES"/>
        </w:rPr>
      </w:pPr>
      <w:r w:rsidRPr="007F6641">
        <w:rPr>
          <w:rFonts w:cs="Times New Roman"/>
          <w:iCs/>
          <w:color w:val="191919"/>
          <w:sz w:val="22"/>
          <w:lang w:val="es-ES"/>
        </w:rPr>
        <w:t>University of Luxembourg</w:t>
      </w:r>
    </w:p>
    <w:p w14:paraId="54E53477" w14:textId="77777777" w:rsidR="001A02C6" w:rsidRPr="001A02C6" w:rsidRDefault="001A02C6" w:rsidP="001A02C6">
      <w:pPr>
        <w:widowControl w:val="0"/>
        <w:autoSpaceDE w:val="0"/>
        <w:autoSpaceDN w:val="0"/>
        <w:adjustRightInd w:val="0"/>
        <w:spacing w:after="0" w:line="240" w:lineRule="auto"/>
        <w:jc w:val="center"/>
        <w:rPr>
          <w:rFonts w:cs="Times New Roman"/>
          <w:color w:val="191919"/>
          <w:sz w:val="22"/>
          <w:lang w:val="es-ES"/>
        </w:rPr>
      </w:pPr>
      <w:r w:rsidRPr="001A02C6">
        <w:rPr>
          <w:rFonts w:cs="Times New Roman"/>
          <w:color w:val="191919"/>
          <w:sz w:val="22"/>
          <w:lang w:val="es-ES"/>
        </w:rPr>
        <w:t>Faculté de Droit, d'Economie et de Finance</w:t>
      </w:r>
    </w:p>
    <w:p w14:paraId="781AA9EB" w14:textId="77777777" w:rsidR="001A02C6" w:rsidRPr="001A02C6" w:rsidRDefault="001A02C6" w:rsidP="001A02C6">
      <w:pPr>
        <w:widowControl w:val="0"/>
        <w:autoSpaceDE w:val="0"/>
        <w:autoSpaceDN w:val="0"/>
        <w:adjustRightInd w:val="0"/>
        <w:spacing w:after="0" w:line="240" w:lineRule="auto"/>
        <w:jc w:val="center"/>
        <w:rPr>
          <w:rFonts w:cs="Times New Roman"/>
          <w:color w:val="191919"/>
          <w:sz w:val="22"/>
          <w:lang w:val="es-ES"/>
        </w:rPr>
      </w:pPr>
      <w:r w:rsidRPr="001A02C6">
        <w:rPr>
          <w:rFonts w:cs="Times New Roman"/>
          <w:color w:val="191919"/>
          <w:sz w:val="22"/>
          <w:lang w:val="es-ES"/>
        </w:rPr>
        <w:t xml:space="preserve">162 A, avenue de la Faïencerie </w:t>
      </w:r>
    </w:p>
    <w:p w14:paraId="31F5A3C5" w14:textId="77777777" w:rsidR="001A02C6" w:rsidRPr="001A02C6" w:rsidRDefault="001A02C6" w:rsidP="001A02C6">
      <w:pPr>
        <w:widowControl w:val="0"/>
        <w:autoSpaceDE w:val="0"/>
        <w:autoSpaceDN w:val="0"/>
        <w:adjustRightInd w:val="0"/>
        <w:spacing w:after="0" w:line="240" w:lineRule="auto"/>
        <w:jc w:val="center"/>
        <w:rPr>
          <w:rFonts w:cs="Times New Roman"/>
          <w:sz w:val="22"/>
          <w:lang w:val="de-DE"/>
        </w:rPr>
      </w:pPr>
      <w:r w:rsidRPr="001A02C6">
        <w:rPr>
          <w:rFonts w:cs="Times New Roman"/>
          <w:color w:val="191919"/>
          <w:sz w:val="22"/>
          <w:lang w:val="es-ES"/>
        </w:rPr>
        <w:t xml:space="preserve"> </w:t>
      </w:r>
      <w:r w:rsidRPr="001A02C6">
        <w:rPr>
          <w:rFonts w:cs="Times New Roman"/>
          <w:color w:val="191919"/>
          <w:sz w:val="22"/>
          <w:lang w:val="de-DE"/>
        </w:rPr>
        <w:t xml:space="preserve">L-1511 Luxembourg </w:t>
      </w:r>
      <w:r w:rsidRPr="001A02C6">
        <w:rPr>
          <w:rFonts w:cs="Times New Roman"/>
          <w:iCs/>
          <w:color w:val="191919"/>
          <w:sz w:val="22"/>
          <w:lang w:val="de-DE"/>
        </w:rPr>
        <w:t>(Luxembourg)</w:t>
      </w:r>
    </w:p>
    <w:p w14:paraId="379878BC" w14:textId="77777777" w:rsidR="001A02C6" w:rsidRPr="007F6641" w:rsidRDefault="001A02C6" w:rsidP="001A02C6">
      <w:pPr>
        <w:widowControl w:val="0"/>
        <w:autoSpaceDE w:val="0"/>
        <w:autoSpaceDN w:val="0"/>
        <w:adjustRightInd w:val="0"/>
        <w:spacing w:after="0" w:line="240" w:lineRule="auto"/>
        <w:jc w:val="center"/>
        <w:rPr>
          <w:rFonts w:cs="Times New Roman"/>
          <w:color w:val="191919"/>
          <w:sz w:val="22"/>
          <w:lang w:val="de-DE"/>
        </w:rPr>
      </w:pPr>
    </w:p>
    <w:p w14:paraId="6F5C98AA" w14:textId="77777777" w:rsidR="001A02C6" w:rsidRPr="007F6641" w:rsidRDefault="001A02C6" w:rsidP="001A02C6">
      <w:pPr>
        <w:widowControl w:val="0"/>
        <w:autoSpaceDE w:val="0"/>
        <w:autoSpaceDN w:val="0"/>
        <w:adjustRightInd w:val="0"/>
        <w:spacing w:after="0" w:line="240" w:lineRule="auto"/>
        <w:jc w:val="center"/>
        <w:rPr>
          <w:rFonts w:cs="Times New Roman"/>
          <w:i/>
          <w:color w:val="191919"/>
          <w:sz w:val="22"/>
          <w:lang w:val="de-DE"/>
        </w:rPr>
      </w:pPr>
      <w:r w:rsidRPr="007F6641">
        <w:rPr>
          <w:rFonts w:cs="Times New Roman"/>
          <w:i/>
          <w:color w:val="191919"/>
          <w:sz w:val="22"/>
          <w:lang w:val="de-DE"/>
        </w:rPr>
        <w:t>email: mf17255@essex.ac.uk</w:t>
      </w:r>
    </w:p>
    <w:p w14:paraId="4E599FD4" w14:textId="77777777" w:rsidR="001A02C6" w:rsidRPr="007F6641" w:rsidRDefault="001A02C6" w:rsidP="001A02C6">
      <w:pPr>
        <w:widowControl w:val="0"/>
        <w:autoSpaceDE w:val="0"/>
        <w:autoSpaceDN w:val="0"/>
        <w:adjustRightInd w:val="0"/>
        <w:spacing w:after="0" w:line="240" w:lineRule="auto"/>
        <w:jc w:val="center"/>
        <w:rPr>
          <w:rFonts w:cs="Times New Roman"/>
          <w:color w:val="191919"/>
          <w:sz w:val="22"/>
          <w:lang w:val="de-DE"/>
        </w:rPr>
      </w:pPr>
    </w:p>
    <w:p w14:paraId="5F555B69" w14:textId="77777777" w:rsidR="001A02C6" w:rsidRPr="00C14742" w:rsidRDefault="001A02C6" w:rsidP="001A02C6">
      <w:pPr>
        <w:widowControl w:val="0"/>
        <w:autoSpaceDE w:val="0"/>
        <w:autoSpaceDN w:val="0"/>
        <w:adjustRightInd w:val="0"/>
        <w:spacing w:after="0" w:line="240" w:lineRule="auto"/>
        <w:jc w:val="center"/>
        <w:rPr>
          <w:rFonts w:cs="Times New Roman"/>
          <w:b/>
          <w:color w:val="191919"/>
          <w:sz w:val="22"/>
        </w:rPr>
      </w:pPr>
      <w:r w:rsidRPr="00C14742">
        <w:rPr>
          <w:rFonts w:cs="Times New Roman"/>
          <w:b/>
          <w:color w:val="191919"/>
          <w:sz w:val="22"/>
        </w:rPr>
        <w:t>Katrin Hussinger</w:t>
      </w:r>
    </w:p>
    <w:p w14:paraId="68A0AB5A" w14:textId="77777777" w:rsidR="001A02C6" w:rsidRDefault="001A02C6" w:rsidP="001A02C6">
      <w:pPr>
        <w:widowControl w:val="0"/>
        <w:autoSpaceDE w:val="0"/>
        <w:autoSpaceDN w:val="0"/>
        <w:adjustRightInd w:val="0"/>
        <w:spacing w:after="0" w:line="240" w:lineRule="auto"/>
        <w:jc w:val="center"/>
        <w:rPr>
          <w:rFonts w:cs="Times New Roman"/>
          <w:iCs/>
          <w:color w:val="191919"/>
          <w:sz w:val="22"/>
        </w:rPr>
      </w:pPr>
      <w:r w:rsidRPr="00813455">
        <w:rPr>
          <w:rFonts w:cs="Times New Roman"/>
          <w:iCs/>
          <w:color w:val="191919"/>
          <w:sz w:val="22"/>
        </w:rPr>
        <w:t>University of Luxembourg</w:t>
      </w:r>
    </w:p>
    <w:p w14:paraId="76DA7E39" w14:textId="77777777" w:rsidR="001A02C6" w:rsidRDefault="001A02C6" w:rsidP="001A02C6">
      <w:pPr>
        <w:widowControl w:val="0"/>
        <w:autoSpaceDE w:val="0"/>
        <w:autoSpaceDN w:val="0"/>
        <w:adjustRightInd w:val="0"/>
        <w:spacing w:after="0" w:line="240" w:lineRule="auto"/>
        <w:jc w:val="center"/>
        <w:rPr>
          <w:rFonts w:cs="Times New Roman"/>
          <w:color w:val="191919"/>
          <w:sz w:val="22"/>
        </w:rPr>
      </w:pPr>
      <w:r w:rsidRPr="009B7ECF">
        <w:rPr>
          <w:rFonts w:cs="Times New Roman"/>
          <w:color w:val="191919"/>
          <w:sz w:val="22"/>
        </w:rPr>
        <w:t>Faculté de Droit, d'Economie et de Finance</w:t>
      </w:r>
    </w:p>
    <w:p w14:paraId="37294B71" w14:textId="77777777" w:rsidR="001A02C6" w:rsidRPr="001A02C6" w:rsidRDefault="001A02C6" w:rsidP="001A02C6">
      <w:pPr>
        <w:widowControl w:val="0"/>
        <w:autoSpaceDE w:val="0"/>
        <w:autoSpaceDN w:val="0"/>
        <w:adjustRightInd w:val="0"/>
        <w:spacing w:after="0" w:line="240" w:lineRule="auto"/>
        <w:jc w:val="center"/>
        <w:rPr>
          <w:rFonts w:cs="Times New Roman"/>
          <w:color w:val="191919"/>
          <w:sz w:val="22"/>
          <w:lang w:val="es-ES"/>
        </w:rPr>
      </w:pPr>
      <w:r w:rsidRPr="001A02C6">
        <w:rPr>
          <w:rFonts w:cs="Times New Roman"/>
          <w:color w:val="191919"/>
          <w:sz w:val="22"/>
          <w:lang w:val="es-ES"/>
        </w:rPr>
        <w:t xml:space="preserve">162 A, avenue de la Faïencerie </w:t>
      </w:r>
    </w:p>
    <w:p w14:paraId="463FF5E8" w14:textId="77777777" w:rsidR="001A02C6" w:rsidRPr="001A02C6" w:rsidRDefault="001A02C6" w:rsidP="001A02C6">
      <w:pPr>
        <w:widowControl w:val="0"/>
        <w:autoSpaceDE w:val="0"/>
        <w:autoSpaceDN w:val="0"/>
        <w:adjustRightInd w:val="0"/>
        <w:spacing w:after="0" w:line="240" w:lineRule="auto"/>
        <w:jc w:val="center"/>
        <w:rPr>
          <w:rFonts w:cs="Times New Roman"/>
          <w:sz w:val="22"/>
          <w:lang w:val="es-ES"/>
        </w:rPr>
      </w:pPr>
      <w:r w:rsidRPr="001A02C6">
        <w:rPr>
          <w:rFonts w:cs="Times New Roman"/>
          <w:color w:val="191919"/>
          <w:sz w:val="22"/>
          <w:lang w:val="es-ES"/>
        </w:rPr>
        <w:t xml:space="preserve"> L-1511 Luxembourg </w:t>
      </w:r>
      <w:r w:rsidRPr="001A02C6">
        <w:rPr>
          <w:rFonts w:cs="Times New Roman"/>
          <w:iCs/>
          <w:color w:val="191919"/>
          <w:sz w:val="22"/>
          <w:lang w:val="es-ES"/>
        </w:rPr>
        <w:t>(Luxembourg)</w:t>
      </w:r>
    </w:p>
    <w:p w14:paraId="1EC9A68A" w14:textId="77777777" w:rsidR="001A02C6" w:rsidRPr="001A02C6" w:rsidRDefault="001A02C6" w:rsidP="001A02C6">
      <w:pPr>
        <w:widowControl w:val="0"/>
        <w:autoSpaceDE w:val="0"/>
        <w:autoSpaceDN w:val="0"/>
        <w:adjustRightInd w:val="0"/>
        <w:spacing w:after="0" w:line="240" w:lineRule="auto"/>
        <w:jc w:val="center"/>
        <w:rPr>
          <w:rFonts w:cs="Times New Roman"/>
          <w:color w:val="191919"/>
          <w:sz w:val="22"/>
          <w:lang w:val="es-ES"/>
        </w:rPr>
      </w:pPr>
    </w:p>
    <w:p w14:paraId="3906CD22" w14:textId="77777777" w:rsidR="001A02C6" w:rsidRDefault="001A02C6" w:rsidP="001A02C6">
      <w:pPr>
        <w:widowControl w:val="0"/>
        <w:autoSpaceDE w:val="0"/>
        <w:autoSpaceDN w:val="0"/>
        <w:adjustRightInd w:val="0"/>
        <w:spacing w:after="0" w:line="240" w:lineRule="auto"/>
        <w:jc w:val="center"/>
        <w:rPr>
          <w:rFonts w:cs="Times New Roman"/>
          <w:color w:val="191919"/>
          <w:sz w:val="22"/>
        </w:rPr>
      </w:pPr>
      <w:r w:rsidRPr="00D150C8">
        <w:rPr>
          <w:rFonts w:cs="Times New Roman"/>
          <w:color w:val="191919"/>
          <w:sz w:val="22"/>
        </w:rPr>
        <w:t>Centre for Eu</w:t>
      </w:r>
      <w:r>
        <w:rPr>
          <w:rFonts w:cs="Times New Roman"/>
          <w:color w:val="191919"/>
          <w:sz w:val="22"/>
        </w:rPr>
        <w:t>ropean Economic Research (ZEW)</w:t>
      </w:r>
    </w:p>
    <w:p w14:paraId="54F85263" w14:textId="77777777" w:rsidR="001A02C6" w:rsidRPr="00B918A2" w:rsidRDefault="001A02C6" w:rsidP="001A02C6">
      <w:pPr>
        <w:widowControl w:val="0"/>
        <w:autoSpaceDE w:val="0"/>
        <w:autoSpaceDN w:val="0"/>
        <w:adjustRightInd w:val="0"/>
        <w:spacing w:after="0" w:line="240" w:lineRule="auto"/>
        <w:jc w:val="center"/>
        <w:rPr>
          <w:rFonts w:cs="Times New Roman"/>
          <w:color w:val="191919"/>
          <w:sz w:val="22"/>
        </w:rPr>
      </w:pPr>
      <w:r w:rsidRPr="00B918A2">
        <w:rPr>
          <w:rFonts w:cs="Times New Roman"/>
          <w:color w:val="191919"/>
          <w:sz w:val="22"/>
        </w:rPr>
        <w:t>L7 1</w:t>
      </w:r>
    </w:p>
    <w:p w14:paraId="557D9347" w14:textId="77777777" w:rsidR="001A02C6" w:rsidRPr="00B918A2" w:rsidRDefault="001A02C6" w:rsidP="001A02C6">
      <w:pPr>
        <w:widowControl w:val="0"/>
        <w:autoSpaceDE w:val="0"/>
        <w:autoSpaceDN w:val="0"/>
        <w:adjustRightInd w:val="0"/>
        <w:spacing w:after="0" w:line="240" w:lineRule="auto"/>
        <w:jc w:val="center"/>
        <w:rPr>
          <w:rFonts w:cs="Times New Roman"/>
          <w:color w:val="191919"/>
          <w:sz w:val="22"/>
        </w:rPr>
      </w:pPr>
      <w:r w:rsidRPr="00B918A2">
        <w:rPr>
          <w:rFonts w:cs="Times New Roman"/>
          <w:color w:val="191919"/>
          <w:sz w:val="22"/>
        </w:rPr>
        <w:t>68161 Mannheim (Germany)</w:t>
      </w:r>
    </w:p>
    <w:p w14:paraId="4D87F989" w14:textId="77777777" w:rsidR="001A02C6" w:rsidRPr="00B918A2" w:rsidRDefault="001A02C6" w:rsidP="001A02C6">
      <w:pPr>
        <w:widowControl w:val="0"/>
        <w:autoSpaceDE w:val="0"/>
        <w:autoSpaceDN w:val="0"/>
        <w:adjustRightInd w:val="0"/>
        <w:spacing w:after="0" w:line="240" w:lineRule="auto"/>
        <w:jc w:val="center"/>
        <w:rPr>
          <w:rFonts w:cs="Times New Roman"/>
          <w:color w:val="191919"/>
          <w:sz w:val="22"/>
        </w:rPr>
      </w:pPr>
    </w:p>
    <w:p w14:paraId="747CE870" w14:textId="77777777" w:rsidR="001A02C6" w:rsidRPr="001068D3" w:rsidRDefault="001A02C6" w:rsidP="001A02C6">
      <w:pPr>
        <w:widowControl w:val="0"/>
        <w:autoSpaceDE w:val="0"/>
        <w:autoSpaceDN w:val="0"/>
        <w:adjustRightInd w:val="0"/>
        <w:spacing w:after="0" w:line="240" w:lineRule="auto"/>
        <w:jc w:val="center"/>
        <w:rPr>
          <w:rFonts w:cs="Times New Roman"/>
          <w:i/>
          <w:color w:val="191919"/>
          <w:sz w:val="22"/>
        </w:rPr>
      </w:pPr>
      <w:r w:rsidRPr="001068D3">
        <w:rPr>
          <w:rFonts w:cs="Times New Roman"/>
          <w:i/>
          <w:color w:val="191919"/>
          <w:sz w:val="22"/>
        </w:rPr>
        <w:t>email: katrin.hussinger@uni.lu</w:t>
      </w:r>
    </w:p>
    <w:p w14:paraId="76EE1190" w14:textId="77777777" w:rsidR="001A02C6" w:rsidRPr="009B7ECF" w:rsidRDefault="001A02C6" w:rsidP="001A02C6">
      <w:pPr>
        <w:widowControl w:val="0"/>
        <w:autoSpaceDE w:val="0"/>
        <w:autoSpaceDN w:val="0"/>
        <w:adjustRightInd w:val="0"/>
        <w:spacing w:after="0" w:line="240" w:lineRule="auto"/>
        <w:jc w:val="center"/>
        <w:rPr>
          <w:rFonts w:cs="Times New Roman"/>
          <w:color w:val="191919"/>
          <w:sz w:val="22"/>
        </w:rPr>
      </w:pPr>
    </w:p>
    <w:p w14:paraId="2624AB57" w14:textId="77777777" w:rsidR="001A02C6" w:rsidRDefault="001A02C6" w:rsidP="001A02C6">
      <w:pPr>
        <w:widowControl w:val="0"/>
        <w:autoSpaceDE w:val="0"/>
        <w:autoSpaceDN w:val="0"/>
        <w:adjustRightInd w:val="0"/>
        <w:spacing w:after="0" w:line="240" w:lineRule="auto"/>
        <w:jc w:val="center"/>
        <w:rPr>
          <w:rFonts w:cs="Times New Roman"/>
          <w:color w:val="191919"/>
          <w:sz w:val="22"/>
        </w:rPr>
      </w:pPr>
      <w:r w:rsidRPr="009B7ECF">
        <w:rPr>
          <w:rFonts w:cs="Times New Roman"/>
          <w:b/>
          <w:color w:val="191919"/>
          <w:sz w:val="22"/>
        </w:rPr>
        <w:t>John Hagedoorn</w:t>
      </w:r>
    </w:p>
    <w:p w14:paraId="67CDDCFA" w14:textId="77777777" w:rsidR="001A02C6" w:rsidRDefault="001A02C6" w:rsidP="001A02C6">
      <w:pPr>
        <w:widowControl w:val="0"/>
        <w:autoSpaceDE w:val="0"/>
        <w:autoSpaceDN w:val="0"/>
        <w:adjustRightInd w:val="0"/>
        <w:spacing w:after="0" w:line="240" w:lineRule="auto"/>
        <w:jc w:val="center"/>
        <w:rPr>
          <w:rFonts w:cs="Times New Roman"/>
          <w:sz w:val="22"/>
        </w:rPr>
      </w:pPr>
      <w:r w:rsidRPr="00904276">
        <w:rPr>
          <w:rFonts w:cs="Times New Roman"/>
          <w:sz w:val="22"/>
        </w:rPr>
        <w:t>Royal Holloway, University of London</w:t>
      </w:r>
    </w:p>
    <w:p w14:paraId="5FA361BF" w14:textId="77777777" w:rsidR="001A02C6" w:rsidRPr="00904276" w:rsidRDefault="001A02C6" w:rsidP="001A02C6">
      <w:pPr>
        <w:widowControl w:val="0"/>
        <w:autoSpaceDE w:val="0"/>
        <w:autoSpaceDN w:val="0"/>
        <w:adjustRightInd w:val="0"/>
        <w:spacing w:after="0" w:line="240" w:lineRule="auto"/>
        <w:jc w:val="center"/>
        <w:rPr>
          <w:rFonts w:cs="Times New Roman"/>
          <w:sz w:val="22"/>
        </w:rPr>
      </w:pPr>
      <w:r>
        <w:rPr>
          <w:rFonts w:cs="Times New Roman"/>
          <w:sz w:val="22"/>
        </w:rPr>
        <w:t>School of Management</w:t>
      </w:r>
    </w:p>
    <w:p w14:paraId="19E9D10D" w14:textId="77777777" w:rsidR="001A02C6" w:rsidRPr="00904276" w:rsidRDefault="001A02C6" w:rsidP="001A02C6">
      <w:pPr>
        <w:widowControl w:val="0"/>
        <w:autoSpaceDE w:val="0"/>
        <w:autoSpaceDN w:val="0"/>
        <w:adjustRightInd w:val="0"/>
        <w:spacing w:after="0" w:line="240" w:lineRule="auto"/>
        <w:jc w:val="center"/>
        <w:rPr>
          <w:rFonts w:cs="Times New Roman"/>
          <w:sz w:val="22"/>
        </w:rPr>
      </w:pPr>
      <w:r w:rsidRPr="00904276">
        <w:rPr>
          <w:rFonts w:cs="Times New Roman"/>
          <w:sz w:val="22"/>
        </w:rPr>
        <w:t xml:space="preserve"> Egham Hill</w:t>
      </w:r>
      <w:r>
        <w:rPr>
          <w:rFonts w:cs="Times New Roman"/>
          <w:sz w:val="22"/>
        </w:rPr>
        <w:t xml:space="preserve">, </w:t>
      </w:r>
      <w:r w:rsidRPr="00904276">
        <w:rPr>
          <w:rFonts w:cs="Times New Roman"/>
          <w:sz w:val="22"/>
        </w:rPr>
        <w:t>Egham</w:t>
      </w:r>
    </w:p>
    <w:p w14:paraId="3A05B272" w14:textId="77777777" w:rsidR="001A02C6" w:rsidRPr="00B918A2" w:rsidRDefault="001A02C6" w:rsidP="001A02C6">
      <w:pPr>
        <w:widowControl w:val="0"/>
        <w:autoSpaceDE w:val="0"/>
        <w:autoSpaceDN w:val="0"/>
        <w:adjustRightInd w:val="0"/>
        <w:spacing w:after="0" w:line="240" w:lineRule="auto"/>
        <w:jc w:val="center"/>
        <w:rPr>
          <w:rFonts w:cs="Times New Roman"/>
          <w:sz w:val="22"/>
        </w:rPr>
      </w:pPr>
      <w:r w:rsidRPr="00B918A2">
        <w:rPr>
          <w:rFonts w:cs="Times New Roman"/>
          <w:sz w:val="22"/>
        </w:rPr>
        <w:t>TW20 0EX Surrey (UK)</w:t>
      </w:r>
    </w:p>
    <w:p w14:paraId="079B8746" w14:textId="77777777" w:rsidR="001A02C6" w:rsidRDefault="001A02C6" w:rsidP="001A02C6">
      <w:pPr>
        <w:widowControl w:val="0"/>
        <w:autoSpaceDE w:val="0"/>
        <w:autoSpaceDN w:val="0"/>
        <w:adjustRightInd w:val="0"/>
        <w:spacing w:after="0" w:line="240" w:lineRule="auto"/>
        <w:jc w:val="center"/>
        <w:rPr>
          <w:rFonts w:cs="Times New Roman"/>
          <w:sz w:val="22"/>
        </w:rPr>
      </w:pPr>
    </w:p>
    <w:p w14:paraId="74A14352" w14:textId="77777777" w:rsidR="001A02C6" w:rsidRPr="009B7ECF" w:rsidRDefault="001A02C6" w:rsidP="001A02C6">
      <w:pPr>
        <w:widowControl w:val="0"/>
        <w:autoSpaceDE w:val="0"/>
        <w:autoSpaceDN w:val="0"/>
        <w:adjustRightInd w:val="0"/>
        <w:spacing w:after="0" w:line="240" w:lineRule="auto"/>
        <w:jc w:val="center"/>
        <w:rPr>
          <w:rFonts w:cs="Times New Roman"/>
          <w:sz w:val="22"/>
        </w:rPr>
      </w:pPr>
      <w:r w:rsidRPr="009B7ECF">
        <w:rPr>
          <w:rFonts w:cs="Times New Roman"/>
          <w:sz w:val="22"/>
        </w:rPr>
        <w:t>UNU-MERIT</w:t>
      </w:r>
    </w:p>
    <w:p w14:paraId="69A09826" w14:textId="77777777" w:rsidR="001A02C6" w:rsidRPr="009B7ECF" w:rsidRDefault="001A02C6" w:rsidP="001A02C6">
      <w:pPr>
        <w:widowControl w:val="0"/>
        <w:autoSpaceDE w:val="0"/>
        <w:autoSpaceDN w:val="0"/>
        <w:adjustRightInd w:val="0"/>
        <w:spacing w:after="0" w:line="240" w:lineRule="auto"/>
        <w:jc w:val="center"/>
        <w:rPr>
          <w:rFonts w:cs="Times New Roman"/>
          <w:sz w:val="22"/>
        </w:rPr>
      </w:pPr>
      <w:r w:rsidRPr="009B7ECF">
        <w:rPr>
          <w:rFonts w:cs="Times New Roman"/>
          <w:sz w:val="22"/>
        </w:rPr>
        <w:t xml:space="preserve"> Boschstraat 24</w:t>
      </w:r>
    </w:p>
    <w:p w14:paraId="50F9D148" w14:textId="77777777" w:rsidR="001A02C6" w:rsidRDefault="001A02C6" w:rsidP="001A02C6">
      <w:pPr>
        <w:widowControl w:val="0"/>
        <w:autoSpaceDE w:val="0"/>
        <w:autoSpaceDN w:val="0"/>
        <w:adjustRightInd w:val="0"/>
        <w:spacing w:after="0" w:line="240" w:lineRule="auto"/>
        <w:jc w:val="center"/>
        <w:rPr>
          <w:rFonts w:cs="Times New Roman"/>
          <w:sz w:val="22"/>
        </w:rPr>
      </w:pPr>
      <w:r>
        <w:rPr>
          <w:rFonts w:cs="Times New Roman"/>
          <w:sz w:val="22"/>
        </w:rPr>
        <w:t xml:space="preserve"> 6211 AX Maastricht (</w:t>
      </w:r>
      <w:r w:rsidRPr="009B7ECF">
        <w:rPr>
          <w:rFonts w:cs="Times New Roman"/>
          <w:sz w:val="22"/>
        </w:rPr>
        <w:t>The Netherlands</w:t>
      </w:r>
      <w:r>
        <w:rPr>
          <w:rFonts w:cs="Times New Roman"/>
          <w:sz w:val="22"/>
        </w:rPr>
        <w:t>)</w:t>
      </w:r>
    </w:p>
    <w:p w14:paraId="1ADE8B14" w14:textId="77777777" w:rsidR="001A02C6" w:rsidRPr="00D150C8" w:rsidRDefault="001A02C6" w:rsidP="001A02C6">
      <w:pPr>
        <w:widowControl w:val="0"/>
        <w:autoSpaceDE w:val="0"/>
        <w:autoSpaceDN w:val="0"/>
        <w:adjustRightInd w:val="0"/>
        <w:spacing w:after="0" w:line="240" w:lineRule="auto"/>
        <w:jc w:val="center"/>
        <w:rPr>
          <w:rFonts w:cs="Times New Roman"/>
          <w:sz w:val="22"/>
        </w:rPr>
      </w:pPr>
    </w:p>
    <w:p w14:paraId="668A4286" w14:textId="77777777" w:rsidR="001A02C6" w:rsidRDefault="001A02C6" w:rsidP="001A02C6">
      <w:pPr>
        <w:widowControl w:val="0"/>
        <w:autoSpaceDE w:val="0"/>
        <w:autoSpaceDN w:val="0"/>
        <w:adjustRightInd w:val="0"/>
        <w:spacing w:after="0" w:line="240" w:lineRule="auto"/>
        <w:jc w:val="center"/>
        <w:rPr>
          <w:rFonts w:cs="Times New Roman"/>
          <w:i/>
          <w:sz w:val="22"/>
        </w:rPr>
      </w:pPr>
      <w:r w:rsidRPr="00B97159">
        <w:rPr>
          <w:rFonts w:cs="Times New Roman"/>
          <w:i/>
          <w:sz w:val="22"/>
        </w:rPr>
        <w:t xml:space="preserve">email: </w:t>
      </w:r>
      <w:hyperlink r:id="rId8" w:history="1">
        <w:r w:rsidRPr="00115310">
          <w:rPr>
            <w:rStyle w:val="Hyperlink"/>
            <w:rFonts w:cs="Times New Roman"/>
            <w:i/>
            <w:sz w:val="22"/>
          </w:rPr>
          <w:t>john.hagedoorn@rhul.ac.uk</w:t>
        </w:r>
      </w:hyperlink>
    </w:p>
    <w:p w14:paraId="6126FAB9" w14:textId="77777777" w:rsidR="001A02C6" w:rsidRDefault="001A02C6" w:rsidP="001A02C6">
      <w:pPr>
        <w:spacing w:line="259" w:lineRule="auto"/>
        <w:rPr>
          <w:rFonts w:cs="Times New Roman"/>
          <w:i/>
          <w:sz w:val="22"/>
        </w:rPr>
      </w:pPr>
      <w:r>
        <w:rPr>
          <w:rFonts w:cs="Times New Roman"/>
          <w:i/>
          <w:sz w:val="22"/>
        </w:rPr>
        <w:br w:type="page"/>
      </w:r>
    </w:p>
    <w:p w14:paraId="606454F4" w14:textId="77777777" w:rsidR="00572811" w:rsidRPr="00A60CE9" w:rsidRDefault="00572811" w:rsidP="00535B96">
      <w:pPr>
        <w:spacing w:line="360" w:lineRule="auto"/>
        <w:jc w:val="center"/>
        <w:rPr>
          <w:rFonts w:cs="Times New Roman"/>
          <w:b/>
          <w:sz w:val="28"/>
          <w:szCs w:val="28"/>
        </w:rPr>
      </w:pPr>
      <w:bookmarkStart w:id="0" w:name="_GoBack"/>
      <w:bookmarkEnd w:id="0"/>
    </w:p>
    <w:p w14:paraId="02155935" w14:textId="77777777" w:rsidR="00572811" w:rsidRPr="00A60CE9" w:rsidRDefault="00572811" w:rsidP="00535B96">
      <w:pPr>
        <w:spacing w:line="360" w:lineRule="auto"/>
        <w:jc w:val="center"/>
        <w:rPr>
          <w:rFonts w:cs="Times New Roman"/>
          <w:b/>
          <w:sz w:val="28"/>
          <w:szCs w:val="28"/>
        </w:rPr>
      </w:pPr>
    </w:p>
    <w:p w14:paraId="080BE5FD" w14:textId="77777777" w:rsidR="000B590B" w:rsidRPr="00A60CE9" w:rsidRDefault="000B590B" w:rsidP="00535B96">
      <w:pPr>
        <w:spacing w:line="360" w:lineRule="auto"/>
        <w:jc w:val="center"/>
        <w:rPr>
          <w:rFonts w:cs="Times New Roman"/>
          <w:b/>
          <w:sz w:val="28"/>
          <w:szCs w:val="28"/>
        </w:rPr>
      </w:pPr>
      <w:r w:rsidRPr="00A60CE9">
        <w:rPr>
          <w:rFonts w:cs="Times New Roman"/>
          <w:b/>
          <w:sz w:val="28"/>
          <w:szCs w:val="28"/>
        </w:rPr>
        <w:t xml:space="preserve">Hiring New Key Inventors to Improve </w:t>
      </w:r>
      <w:r w:rsidR="004431D4" w:rsidRPr="00A60CE9">
        <w:rPr>
          <w:rFonts w:cs="Times New Roman"/>
          <w:b/>
          <w:sz w:val="28"/>
          <w:szCs w:val="28"/>
        </w:rPr>
        <w:t xml:space="preserve">Firms’ </w:t>
      </w:r>
      <w:r w:rsidRPr="00A60CE9">
        <w:rPr>
          <w:rFonts w:cs="Times New Roman"/>
          <w:b/>
          <w:sz w:val="28"/>
          <w:szCs w:val="28"/>
        </w:rPr>
        <w:t xml:space="preserve">Post-M&amp;A </w:t>
      </w:r>
      <w:r w:rsidR="00936468" w:rsidRPr="00A60CE9">
        <w:rPr>
          <w:rFonts w:cs="Times New Roman"/>
          <w:b/>
          <w:sz w:val="28"/>
          <w:szCs w:val="28"/>
        </w:rPr>
        <w:t>Inventi</w:t>
      </w:r>
      <w:r w:rsidR="00B3226A" w:rsidRPr="00A60CE9">
        <w:rPr>
          <w:rFonts w:cs="Times New Roman"/>
          <w:b/>
          <w:sz w:val="28"/>
          <w:szCs w:val="28"/>
        </w:rPr>
        <w:t>ve</w:t>
      </w:r>
      <w:r w:rsidRPr="00A60CE9">
        <w:rPr>
          <w:rFonts w:cs="Times New Roman"/>
          <w:b/>
          <w:sz w:val="28"/>
          <w:szCs w:val="28"/>
        </w:rPr>
        <w:t xml:space="preserve"> </w:t>
      </w:r>
      <w:r w:rsidR="003155A4" w:rsidRPr="00A60CE9">
        <w:rPr>
          <w:rFonts w:cs="Times New Roman"/>
          <w:b/>
          <w:sz w:val="28"/>
          <w:szCs w:val="28"/>
        </w:rPr>
        <w:t>Output</w:t>
      </w:r>
    </w:p>
    <w:p w14:paraId="4B82DEAF" w14:textId="77777777" w:rsidR="000B590B" w:rsidRPr="00A60CE9" w:rsidRDefault="000B590B" w:rsidP="00535B96">
      <w:pPr>
        <w:spacing w:line="360" w:lineRule="auto"/>
        <w:jc w:val="center"/>
        <w:outlineLvl w:val="0"/>
        <w:rPr>
          <w:rFonts w:cs="Times New Roman"/>
          <w:b/>
          <w:szCs w:val="24"/>
        </w:rPr>
      </w:pPr>
    </w:p>
    <w:p w14:paraId="76A5C880" w14:textId="77777777" w:rsidR="00572811" w:rsidRPr="00A60CE9" w:rsidRDefault="00572811" w:rsidP="00535B96">
      <w:pPr>
        <w:spacing w:line="360" w:lineRule="auto"/>
        <w:jc w:val="center"/>
        <w:outlineLvl w:val="0"/>
        <w:rPr>
          <w:rFonts w:cs="Times New Roman"/>
          <w:b/>
          <w:szCs w:val="24"/>
        </w:rPr>
      </w:pPr>
    </w:p>
    <w:p w14:paraId="5109C325" w14:textId="77777777" w:rsidR="000B590B" w:rsidRPr="00A60CE9" w:rsidRDefault="000B590B" w:rsidP="00535B96">
      <w:pPr>
        <w:spacing w:line="360" w:lineRule="auto"/>
        <w:jc w:val="center"/>
        <w:outlineLvl w:val="0"/>
        <w:rPr>
          <w:rFonts w:cs="Times New Roman"/>
          <w:b/>
          <w:szCs w:val="24"/>
        </w:rPr>
      </w:pPr>
      <w:r w:rsidRPr="00A60CE9">
        <w:rPr>
          <w:rFonts w:cs="Times New Roman"/>
          <w:b/>
          <w:szCs w:val="24"/>
        </w:rPr>
        <w:t>Abstract</w:t>
      </w:r>
    </w:p>
    <w:p w14:paraId="7E904AF6" w14:textId="709C9D55" w:rsidR="00A61132" w:rsidRPr="00A60CE9" w:rsidRDefault="000B590B" w:rsidP="00C93866">
      <w:pPr>
        <w:spacing w:line="360" w:lineRule="auto"/>
        <w:outlineLvl w:val="0"/>
        <w:rPr>
          <w:rFonts w:cs="Times New Roman"/>
          <w:szCs w:val="24"/>
        </w:rPr>
      </w:pPr>
      <w:r w:rsidRPr="00A60CE9">
        <w:rPr>
          <w:rFonts w:cs="Times New Roman"/>
          <w:szCs w:val="24"/>
        </w:rPr>
        <w:t xml:space="preserve">Although </w:t>
      </w:r>
      <w:r w:rsidR="00850E45" w:rsidRPr="00A60CE9">
        <w:rPr>
          <w:rFonts w:cs="Times New Roman"/>
          <w:szCs w:val="24"/>
        </w:rPr>
        <w:t>merger and acquisitions (</w:t>
      </w:r>
      <w:r w:rsidRPr="00A60CE9">
        <w:rPr>
          <w:rFonts w:cs="Times New Roman"/>
          <w:szCs w:val="24"/>
        </w:rPr>
        <w:t>M&amp;As</w:t>
      </w:r>
      <w:r w:rsidR="00850E45" w:rsidRPr="00A60CE9">
        <w:rPr>
          <w:rFonts w:cs="Times New Roman"/>
          <w:szCs w:val="24"/>
        </w:rPr>
        <w:t>)</w:t>
      </w:r>
      <w:r w:rsidRPr="00A60CE9">
        <w:rPr>
          <w:rFonts w:cs="Times New Roman"/>
          <w:szCs w:val="24"/>
        </w:rPr>
        <w:t xml:space="preserve"> are acknowledged as an important means to access innovative assets and know-how, </w:t>
      </w:r>
      <w:r w:rsidR="00631325" w:rsidRPr="00A60CE9">
        <w:rPr>
          <w:rFonts w:cs="Times New Roman"/>
          <w:szCs w:val="24"/>
        </w:rPr>
        <w:t xml:space="preserve">firms’ </w:t>
      </w:r>
      <w:r w:rsidR="00936468" w:rsidRPr="00A60CE9">
        <w:rPr>
          <w:rFonts w:cs="Times New Roman"/>
          <w:szCs w:val="24"/>
        </w:rPr>
        <w:t>inventi</w:t>
      </w:r>
      <w:r w:rsidR="00ED2975" w:rsidRPr="00A60CE9">
        <w:rPr>
          <w:rFonts w:cs="Times New Roman"/>
          <w:szCs w:val="24"/>
        </w:rPr>
        <w:t>ve</w:t>
      </w:r>
      <w:r w:rsidRPr="00A60CE9">
        <w:rPr>
          <w:rFonts w:cs="Times New Roman"/>
          <w:szCs w:val="24"/>
        </w:rPr>
        <w:t xml:space="preserve"> </w:t>
      </w:r>
      <w:r w:rsidR="003155A4" w:rsidRPr="00A60CE9">
        <w:rPr>
          <w:rFonts w:cs="Times New Roman"/>
          <w:szCs w:val="24"/>
        </w:rPr>
        <w:t>output</w:t>
      </w:r>
      <w:r w:rsidRPr="00A60CE9">
        <w:rPr>
          <w:rFonts w:cs="Times New Roman"/>
          <w:szCs w:val="24"/>
        </w:rPr>
        <w:t xml:space="preserve"> often declines in the post-M&amp;A period. </w:t>
      </w:r>
      <w:r w:rsidR="00974716" w:rsidRPr="00A60CE9">
        <w:rPr>
          <w:rFonts w:cs="Times New Roman"/>
          <w:szCs w:val="24"/>
        </w:rPr>
        <w:t xml:space="preserve">Financial, managerial and organizational constraints related to the M&amp;A event contribute to </w:t>
      </w:r>
      <w:r w:rsidR="00ED2975" w:rsidRPr="00A60CE9">
        <w:rPr>
          <w:rFonts w:cs="Times New Roman"/>
          <w:szCs w:val="24"/>
        </w:rPr>
        <w:t xml:space="preserve">inventive output </w:t>
      </w:r>
      <w:r w:rsidRPr="00A60CE9">
        <w:rPr>
          <w:rFonts w:cs="Times New Roman"/>
          <w:szCs w:val="24"/>
        </w:rPr>
        <w:t>declines and inventors</w:t>
      </w:r>
      <w:r w:rsidR="00C93866" w:rsidRPr="00A60CE9">
        <w:rPr>
          <w:rFonts w:cs="Times New Roman"/>
          <w:szCs w:val="24"/>
        </w:rPr>
        <w:t>’ departure</w:t>
      </w:r>
      <w:r w:rsidRPr="00A60CE9">
        <w:rPr>
          <w:rFonts w:cs="Times New Roman"/>
          <w:szCs w:val="24"/>
        </w:rPr>
        <w:t xml:space="preserve">. Prior literature treats the acquiring firm as a passive observer of </w:t>
      </w:r>
      <w:r w:rsidR="00936468" w:rsidRPr="00A60CE9">
        <w:rPr>
          <w:rFonts w:cs="Times New Roman"/>
          <w:szCs w:val="24"/>
        </w:rPr>
        <w:t>invention</w:t>
      </w:r>
      <w:r w:rsidRPr="00A60CE9">
        <w:rPr>
          <w:rFonts w:cs="Times New Roman"/>
          <w:szCs w:val="24"/>
        </w:rPr>
        <w:t xml:space="preserve"> declines. This study argues that acquiring firms can take measures by hiring new key inventors. </w:t>
      </w:r>
      <w:r w:rsidR="00BF3802" w:rsidRPr="00A60CE9">
        <w:rPr>
          <w:rFonts w:cs="Times New Roman"/>
          <w:szCs w:val="24"/>
        </w:rPr>
        <w:t>We</w:t>
      </w:r>
      <w:r w:rsidRPr="00A60CE9">
        <w:rPr>
          <w:rFonts w:cs="Times New Roman"/>
          <w:szCs w:val="24"/>
        </w:rPr>
        <w:t xml:space="preserve"> show that the hiring of new key inventors in the post-M&amp;A period can counteract </w:t>
      </w:r>
      <w:r w:rsidR="003E5AF7" w:rsidRPr="00A60CE9">
        <w:rPr>
          <w:rFonts w:cs="Times New Roman"/>
          <w:szCs w:val="24"/>
        </w:rPr>
        <w:t>invention declines</w:t>
      </w:r>
      <w:r w:rsidRPr="00A60CE9">
        <w:rPr>
          <w:rFonts w:cs="Times New Roman"/>
          <w:szCs w:val="24"/>
        </w:rPr>
        <w:t xml:space="preserve"> in two ways. First, these newly hired inventors</w:t>
      </w:r>
      <w:r w:rsidR="00545D5E" w:rsidRPr="00A60CE9">
        <w:rPr>
          <w:rFonts w:cs="Times New Roman"/>
          <w:szCs w:val="24"/>
        </w:rPr>
        <w:t xml:space="preserve"> are associated with an</w:t>
      </w:r>
      <w:r w:rsidRPr="00A60CE9">
        <w:rPr>
          <w:rFonts w:cs="Times New Roman"/>
          <w:szCs w:val="24"/>
        </w:rPr>
        <w:t xml:space="preserve"> increase</w:t>
      </w:r>
      <w:r w:rsidR="00545D5E" w:rsidRPr="00A60CE9">
        <w:rPr>
          <w:rFonts w:cs="Times New Roman"/>
          <w:szCs w:val="24"/>
        </w:rPr>
        <w:t xml:space="preserve"> of</w:t>
      </w:r>
      <w:r w:rsidRPr="00A60CE9">
        <w:rPr>
          <w:rFonts w:cs="Times New Roman"/>
          <w:szCs w:val="24"/>
        </w:rPr>
        <w:t xml:space="preserve"> corporate </w:t>
      </w:r>
      <w:r w:rsidR="00ED2975" w:rsidRPr="00A60CE9">
        <w:rPr>
          <w:rFonts w:cs="Times New Roman"/>
          <w:szCs w:val="24"/>
        </w:rPr>
        <w:t xml:space="preserve">inventive output </w:t>
      </w:r>
      <w:r w:rsidRPr="00A60CE9">
        <w:rPr>
          <w:rFonts w:cs="Times New Roman"/>
          <w:szCs w:val="24"/>
        </w:rPr>
        <w:t xml:space="preserve">after the M&amp;A. Second, they </w:t>
      </w:r>
      <w:r w:rsidR="00545D5E" w:rsidRPr="00A60CE9">
        <w:rPr>
          <w:rFonts w:cs="Times New Roman"/>
          <w:szCs w:val="24"/>
        </w:rPr>
        <w:t xml:space="preserve">are also associated with an </w:t>
      </w:r>
      <w:r w:rsidRPr="00A60CE9">
        <w:rPr>
          <w:rFonts w:cs="Times New Roman"/>
          <w:szCs w:val="24"/>
        </w:rPr>
        <w:t>improve</w:t>
      </w:r>
      <w:r w:rsidR="00545D5E" w:rsidRPr="00A60CE9">
        <w:rPr>
          <w:rFonts w:cs="Times New Roman"/>
          <w:szCs w:val="24"/>
        </w:rPr>
        <w:t>d</w:t>
      </w:r>
      <w:r w:rsidRPr="00A60CE9">
        <w:rPr>
          <w:rFonts w:cs="Times New Roman"/>
          <w:szCs w:val="24"/>
        </w:rPr>
        <w:t xml:space="preserve"> </w:t>
      </w:r>
      <w:r w:rsidR="00ED2975" w:rsidRPr="00A60CE9">
        <w:rPr>
          <w:rFonts w:cs="Times New Roman"/>
          <w:szCs w:val="24"/>
        </w:rPr>
        <w:t xml:space="preserve">inventive output </w:t>
      </w:r>
      <w:r w:rsidRPr="00A60CE9">
        <w:rPr>
          <w:rFonts w:cs="Times New Roman"/>
          <w:szCs w:val="24"/>
        </w:rPr>
        <w:t xml:space="preserve">of inventors already working for the acquiring firm. These results suggest that an appropriate hiring policy can counteract declining </w:t>
      </w:r>
      <w:r w:rsidR="00ED2975" w:rsidRPr="00A60CE9">
        <w:rPr>
          <w:rFonts w:cs="Times New Roman"/>
          <w:szCs w:val="24"/>
        </w:rPr>
        <w:t xml:space="preserve">inventive output </w:t>
      </w:r>
      <w:r w:rsidRPr="00A60CE9">
        <w:rPr>
          <w:rFonts w:cs="Times New Roman"/>
          <w:szCs w:val="24"/>
        </w:rPr>
        <w:t>of firms in the aftermath of M&amp;As.</w:t>
      </w:r>
      <w:r w:rsidRPr="00A60CE9">
        <w:rPr>
          <w:rFonts w:cs="Times New Roman"/>
        </w:rPr>
        <w:t xml:space="preserve"> </w:t>
      </w:r>
    </w:p>
    <w:p w14:paraId="0098CE7C" w14:textId="77777777" w:rsidR="00A61132" w:rsidRPr="00A60CE9" w:rsidRDefault="00A61132" w:rsidP="00647DC6">
      <w:pPr>
        <w:spacing w:line="240" w:lineRule="auto"/>
        <w:rPr>
          <w:rFonts w:cs="Times New Roman"/>
          <w:b/>
          <w:szCs w:val="24"/>
        </w:rPr>
      </w:pPr>
    </w:p>
    <w:p w14:paraId="01361C21" w14:textId="77777777" w:rsidR="00A61132" w:rsidRPr="00A60CE9" w:rsidRDefault="00A61132" w:rsidP="00647DC6">
      <w:pPr>
        <w:spacing w:line="240" w:lineRule="auto"/>
        <w:rPr>
          <w:rFonts w:cs="Times New Roman"/>
          <w:b/>
          <w:szCs w:val="24"/>
        </w:rPr>
      </w:pPr>
    </w:p>
    <w:p w14:paraId="13E1D07F" w14:textId="77777777" w:rsidR="00A61132" w:rsidRPr="00A60CE9" w:rsidRDefault="00A61132" w:rsidP="00647DC6">
      <w:pPr>
        <w:spacing w:line="240" w:lineRule="auto"/>
        <w:rPr>
          <w:rFonts w:cs="Times New Roman"/>
          <w:b/>
          <w:szCs w:val="24"/>
        </w:rPr>
      </w:pPr>
    </w:p>
    <w:p w14:paraId="59084115" w14:textId="77777777" w:rsidR="00A61132" w:rsidRPr="00A60CE9" w:rsidRDefault="00A61132" w:rsidP="00647DC6">
      <w:pPr>
        <w:spacing w:line="240" w:lineRule="auto"/>
        <w:rPr>
          <w:rFonts w:cs="Times New Roman"/>
          <w:b/>
          <w:szCs w:val="24"/>
        </w:rPr>
      </w:pPr>
    </w:p>
    <w:p w14:paraId="2CB5A2E0" w14:textId="77777777" w:rsidR="00A61132" w:rsidRPr="00A60CE9" w:rsidRDefault="00A61132" w:rsidP="00647DC6">
      <w:pPr>
        <w:spacing w:line="240" w:lineRule="auto"/>
        <w:rPr>
          <w:rFonts w:cs="Times New Roman"/>
          <w:b/>
          <w:szCs w:val="24"/>
        </w:rPr>
      </w:pPr>
    </w:p>
    <w:p w14:paraId="4F363E3F" w14:textId="77777777" w:rsidR="004F71A4" w:rsidRPr="00A60CE9" w:rsidRDefault="004F71A4" w:rsidP="00647DC6">
      <w:pPr>
        <w:spacing w:line="240" w:lineRule="auto"/>
        <w:rPr>
          <w:rFonts w:cs="Times New Roman"/>
          <w:b/>
          <w:szCs w:val="24"/>
        </w:rPr>
      </w:pPr>
    </w:p>
    <w:p w14:paraId="6EFECCAD" w14:textId="77777777" w:rsidR="004F71A4" w:rsidRPr="00A60CE9" w:rsidRDefault="004F71A4" w:rsidP="00647DC6">
      <w:pPr>
        <w:spacing w:line="240" w:lineRule="auto"/>
        <w:rPr>
          <w:rFonts w:cs="Times New Roman"/>
          <w:b/>
          <w:szCs w:val="24"/>
        </w:rPr>
      </w:pPr>
    </w:p>
    <w:p w14:paraId="3FFF083A" w14:textId="77777777" w:rsidR="00647DC6" w:rsidRPr="00A60CE9" w:rsidRDefault="00647DC6" w:rsidP="002B1056">
      <w:pPr>
        <w:spacing w:line="240" w:lineRule="auto"/>
        <w:rPr>
          <w:rStyle w:val="ThesisT1Char"/>
          <w:bCs/>
          <w:caps w:val="0"/>
        </w:rPr>
      </w:pPr>
      <w:r w:rsidRPr="00A60CE9">
        <w:rPr>
          <w:rFonts w:cs="Times New Roman"/>
          <w:b/>
          <w:szCs w:val="24"/>
        </w:rPr>
        <w:t>Keywords:</w:t>
      </w:r>
      <w:r w:rsidRPr="00A60CE9">
        <w:rPr>
          <w:rFonts w:cs="Times New Roman"/>
          <w:szCs w:val="24"/>
        </w:rPr>
        <w:t xml:space="preserve"> M&amp;A, post-M&amp;A </w:t>
      </w:r>
      <w:r w:rsidR="00C9732A" w:rsidRPr="00A60CE9">
        <w:rPr>
          <w:rFonts w:cs="Times New Roman"/>
          <w:szCs w:val="24"/>
        </w:rPr>
        <w:t>inventi</w:t>
      </w:r>
      <w:r w:rsidR="002B1056" w:rsidRPr="00A60CE9">
        <w:rPr>
          <w:rFonts w:cs="Times New Roman"/>
          <w:szCs w:val="24"/>
        </w:rPr>
        <w:t>ve</w:t>
      </w:r>
      <w:r w:rsidR="00C9732A" w:rsidRPr="00A60CE9">
        <w:rPr>
          <w:rFonts w:cs="Times New Roman"/>
          <w:szCs w:val="24"/>
        </w:rPr>
        <w:t xml:space="preserve"> output</w:t>
      </w:r>
      <w:r w:rsidRPr="00A60CE9">
        <w:rPr>
          <w:rFonts w:cs="Times New Roman"/>
          <w:szCs w:val="24"/>
        </w:rPr>
        <w:t>, key inventors, KBV</w:t>
      </w:r>
      <w:r w:rsidR="000C4AFF" w:rsidRPr="00A60CE9">
        <w:rPr>
          <w:rStyle w:val="ThesisT1Char"/>
          <w:bCs/>
          <w:caps w:val="0"/>
        </w:rPr>
        <w:t xml:space="preserve"> </w:t>
      </w:r>
      <w:r w:rsidRPr="00A60CE9">
        <w:rPr>
          <w:rStyle w:val="ThesisT1Char"/>
          <w:bCs/>
          <w:caps w:val="0"/>
        </w:rPr>
        <w:br w:type="page"/>
      </w:r>
    </w:p>
    <w:p w14:paraId="35EB6AD1" w14:textId="77777777" w:rsidR="00712C0F" w:rsidRPr="00A60CE9" w:rsidRDefault="00115A40" w:rsidP="000D4FCA">
      <w:pPr>
        <w:pStyle w:val="ThesisT1"/>
        <w:spacing w:line="360" w:lineRule="auto"/>
        <w:rPr>
          <w:b w:val="0"/>
          <w:bCs/>
        </w:rPr>
      </w:pPr>
      <w:r w:rsidRPr="00A60CE9">
        <w:rPr>
          <w:rStyle w:val="ThesisT1Char"/>
          <w:b/>
          <w:bCs/>
        </w:rPr>
        <w:lastRenderedPageBreak/>
        <w:t>INTRODUCTION</w:t>
      </w:r>
    </w:p>
    <w:p w14:paraId="236DB449" w14:textId="77777777" w:rsidR="00712C0F" w:rsidRPr="00A60CE9" w:rsidRDefault="00712C0F" w:rsidP="000D4FCA">
      <w:pPr>
        <w:spacing w:line="360" w:lineRule="auto"/>
      </w:pPr>
      <w:r w:rsidRPr="00A60CE9">
        <w:t>Mergers and acquisitions (M&amp;As) are an important means by which firms can access technological assets and know-how held by the acquisition targ</w:t>
      </w:r>
      <w:r w:rsidR="00AC5DB8" w:rsidRPr="00A60CE9">
        <w:t>et (Arora et al., 2001; Capron et al.</w:t>
      </w:r>
      <w:r w:rsidRPr="00A60CE9">
        <w:t xml:space="preserve">, 1998; Cassiman et al., 2005; Granstrand and Sjolander, 1990; Graebner, 2004). M&amp;As grant access to technological competencies and capabilities (Chaudhuri and Tabrizi, 1999; Granstrand and Sjolander, 1990) and to essential intellectual property rights (Grimpe and Hussinger, 2008; 2014), therewith complementing or extending the technology portfolio of the acquiring firm (Ahuja and Katila, 2001; Cassiman et al., 2005; Cloodt et al., 2006). </w:t>
      </w:r>
    </w:p>
    <w:p w14:paraId="42AA1EA0" w14:textId="7D637988" w:rsidR="00712C0F" w:rsidRPr="00A60CE9" w:rsidRDefault="00712C0F" w:rsidP="000D4FCA">
      <w:pPr>
        <w:spacing w:line="360" w:lineRule="auto"/>
      </w:pPr>
      <w:r w:rsidRPr="00A60CE9">
        <w:t xml:space="preserve">The expected benefits of M&amp;As for innovation notwithstanding, most empirical studies report innovation </w:t>
      </w:r>
      <w:r w:rsidR="003155A4" w:rsidRPr="00A60CE9">
        <w:t>output</w:t>
      </w:r>
      <w:r w:rsidRPr="00A60CE9">
        <w:t xml:space="preserve"> declines in the post-M&amp;A years (</w:t>
      </w:r>
      <w:r w:rsidR="00703E99" w:rsidRPr="00A60CE9">
        <w:t xml:space="preserve">Hitt et al., 1998; </w:t>
      </w:r>
      <w:r w:rsidRPr="00A60CE9">
        <w:t>see Veugelers, 2006, for a survey) due to a shift of managerial attention from daily business activities and innovation to the M&amp;A event (Hitt et al., 1990), M&amp;A-induced financial constraints (Hitt et al., 1996) or organizational and cultural differences between target</w:t>
      </w:r>
      <w:r w:rsidR="009F6635" w:rsidRPr="00A60CE9">
        <w:t xml:space="preserve"> </w:t>
      </w:r>
      <w:r w:rsidRPr="00A60CE9">
        <w:t>and acquiring firm (</w:t>
      </w:r>
      <w:r w:rsidR="00477206" w:rsidRPr="00A60CE9">
        <w:t xml:space="preserve">Cartwright and Schoenberg, 2006; </w:t>
      </w:r>
      <w:r w:rsidRPr="00A60CE9">
        <w:t xml:space="preserve">Chatterjee, 1986; Hitt et al., 1991). M&amp;As and their organizational implications constitute a disruption of </w:t>
      </w:r>
      <w:r w:rsidR="001120C0" w:rsidRPr="00A60CE9">
        <w:t>firms’</w:t>
      </w:r>
      <w:r w:rsidRPr="00A60CE9">
        <w:t xml:space="preserve"> routines which creates uncertainties regarding job security and task definitions and therewith induce demotivation and cognitive barriers to knowledge exploitation (Jensen and Szulanski, 2004; Minbaeva et al., 2003). Inventors react </w:t>
      </w:r>
      <w:r w:rsidR="00220214" w:rsidRPr="00A60CE9">
        <w:t xml:space="preserve">with </w:t>
      </w:r>
      <w:r w:rsidRPr="00A60CE9">
        <w:t>depart</w:t>
      </w:r>
      <w:r w:rsidR="00220214" w:rsidRPr="00A60CE9">
        <w:t>ure</w:t>
      </w:r>
      <w:r w:rsidRPr="00A60CE9">
        <w:t xml:space="preserve"> or decreas</w:t>
      </w:r>
      <w:r w:rsidR="00220214" w:rsidRPr="00A60CE9">
        <w:t>ed</w:t>
      </w:r>
      <w:r w:rsidRPr="00A60CE9">
        <w:t xml:space="preserve"> innovati</w:t>
      </w:r>
      <w:r w:rsidR="0058618C" w:rsidRPr="00A60CE9">
        <w:t>ve</w:t>
      </w:r>
      <w:r w:rsidRPr="00A60CE9">
        <w:t xml:space="preserve"> </w:t>
      </w:r>
      <w:r w:rsidR="003155A4" w:rsidRPr="00A60CE9">
        <w:t>output</w:t>
      </w:r>
      <w:r w:rsidRPr="00A60CE9">
        <w:t xml:space="preserve"> (Ernst and Vitt, 2000; Kapoor and Lim, 2007; Paruchuri et al., 2006). </w:t>
      </w:r>
    </w:p>
    <w:p w14:paraId="1365AC41" w14:textId="698CE898" w:rsidR="00712C0F" w:rsidRPr="00A60CE9" w:rsidRDefault="00712C0F" w:rsidP="00474124">
      <w:pPr>
        <w:spacing w:line="360" w:lineRule="auto"/>
      </w:pPr>
      <w:r w:rsidRPr="00A60CE9">
        <w:t xml:space="preserve">Prior studies on the effects of M&amp;As on </w:t>
      </w:r>
      <w:r w:rsidR="003C5989" w:rsidRPr="00A60CE9">
        <w:t>innovation</w:t>
      </w:r>
      <w:r w:rsidRPr="00A60CE9">
        <w:t xml:space="preserve"> </w:t>
      </w:r>
      <w:r w:rsidR="003155A4" w:rsidRPr="00A60CE9">
        <w:t>output</w:t>
      </w:r>
      <w:r w:rsidRPr="00A60CE9">
        <w:t xml:space="preserve"> treat acquiring firms as passive observers that need to accept inventors’ departure and </w:t>
      </w:r>
      <w:r w:rsidR="00ED2975" w:rsidRPr="00A60CE9">
        <w:t xml:space="preserve">inventive output </w:t>
      </w:r>
      <w:r w:rsidRPr="00A60CE9">
        <w:t xml:space="preserve">declines of incumbent inventors. We argue that acquiring firms can take measures to counteract </w:t>
      </w:r>
      <w:r w:rsidR="00ED2975" w:rsidRPr="00A60CE9">
        <w:t xml:space="preserve">inventive output </w:t>
      </w:r>
      <w:r w:rsidRPr="00A60CE9">
        <w:t>declines</w:t>
      </w:r>
      <w:r w:rsidR="00541E8F" w:rsidRPr="00A60CE9">
        <w:t>, namely</w:t>
      </w:r>
      <w:r w:rsidRPr="00A60CE9">
        <w:t xml:space="preserve"> hiring new key inventors (Aggarwal and Hsu, 2012). Drawing from </w:t>
      </w:r>
      <w:r w:rsidR="00541E8F" w:rsidRPr="00A60CE9">
        <w:t>the knowledge-based view (</w:t>
      </w:r>
      <w:r w:rsidR="00D55CBD" w:rsidRPr="00A60CE9">
        <w:t>KBV</w:t>
      </w:r>
      <w:r w:rsidR="00541E8F" w:rsidRPr="00A60CE9">
        <w:t>)</w:t>
      </w:r>
      <w:r w:rsidRPr="00A60CE9">
        <w:t xml:space="preserve">, we argue that the hiring of new key inventors has two effects on post-M&amp;A </w:t>
      </w:r>
      <w:r w:rsidR="00936468" w:rsidRPr="00A60CE9">
        <w:t>inventi</w:t>
      </w:r>
      <w:r w:rsidR="0058618C" w:rsidRPr="00A60CE9">
        <w:t>ve</w:t>
      </w:r>
      <w:r w:rsidRPr="00A60CE9">
        <w:t xml:space="preserve"> </w:t>
      </w:r>
      <w:r w:rsidR="003155A4" w:rsidRPr="00A60CE9">
        <w:t>output</w:t>
      </w:r>
      <w:r w:rsidRPr="00A60CE9">
        <w:t>. First, newly hired key inventors can constitute novel and superior sources of knowledge, strengthening the knowledge base of the acquiring firm.</w:t>
      </w:r>
      <w:r w:rsidR="00474124" w:rsidRPr="00A60CE9">
        <w:t xml:space="preserve"> </w:t>
      </w:r>
      <w:r w:rsidR="005865B6" w:rsidRPr="00A60CE9">
        <w:t xml:space="preserve">Acquiring firms can leverage </w:t>
      </w:r>
      <w:r w:rsidR="00127800" w:rsidRPr="00A60CE9">
        <w:t xml:space="preserve">the </w:t>
      </w:r>
      <w:r w:rsidR="005865B6" w:rsidRPr="00A60CE9">
        <w:t>knowledge of newly hired key inventors and use it as an input on their own innovation process (Puranam and and Srikanth, 2007).</w:t>
      </w:r>
      <w:r w:rsidRPr="00A60CE9">
        <w:t xml:space="preserve"> Hence, the</w:t>
      </w:r>
      <w:r w:rsidR="007057CE" w:rsidRPr="00A60CE9">
        <w:t xml:space="preserve"> acquired knowledge of the newly hired key inventors</w:t>
      </w:r>
      <w:r w:rsidRPr="00A60CE9">
        <w:t xml:space="preserve"> </w:t>
      </w:r>
      <w:r w:rsidR="007057CE" w:rsidRPr="00A60CE9">
        <w:t>is</w:t>
      </w:r>
      <w:r w:rsidRPr="00A60CE9">
        <w:t xml:space="preserve"> expected to have a direct positive effect on the </w:t>
      </w:r>
      <w:r w:rsidR="00ED2975" w:rsidRPr="00A60CE9">
        <w:t xml:space="preserve">inventive output </w:t>
      </w:r>
      <w:r w:rsidRPr="00A60CE9">
        <w:t xml:space="preserve">of the acquiring firm after the M&amp;A. Second, we derive from KBV and the theory of organizational </w:t>
      </w:r>
      <w:r w:rsidRPr="00A60CE9">
        <w:lastRenderedPageBreak/>
        <w:t xml:space="preserve">learning that there is an important indirect effect in the sense that the newly hired talents improve the </w:t>
      </w:r>
      <w:r w:rsidR="00ED2975" w:rsidRPr="00A60CE9">
        <w:t xml:space="preserve">output </w:t>
      </w:r>
      <w:r w:rsidRPr="00A60CE9">
        <w:t xml:space="preserve">of incumbent inventors. </w:t>
      </w:r>
      <w:r w:rsidR="007057CE" w:rsidRPr="00A60CE9">
        <w:t xml:space="preserve">The underlying mechanism </w:t>
      </w:r>
      <w:r w:rsidR="00760DEE" w:rsidRPr="00A60CE9">
        <w:t xml:space="preserve">is </w:t>
      </w:r>
      <w:r w:rsidR="007057CE" w:rsidRPr="00A60CE9">
        <w:t>social interactions between new key and incumbent inventors which offer the opportunity of knowledge recombination (Nerkar and Paruchuri, 2005) and knowledge spillovers (Zucker and Darby, 1997).</w:t>
      </w:r>
    </w:p>
    <w:p w14:paraId="3E8E0212" w14:textId="4DB73814" w:rsidR="00712C0F" w:rsidRPr="00A60CE9" w:rsidRDefault="00F30B70" w:rsidP="000D4FCA">
      <w:pPr>
        <w:spacing w:line="360" w:lineRule="auto"/>
      </w:pPr>
      <w:r w:rsidRPr="00A60CE9">
        <w:t xml:space="preserve">Our empirical results show </w:t>
      </w:r>
      <w:r w:rsidR="00712C0F" w:rsidRPr="00A60CE9">
        <w:t>that</w:t>
      </w:r>
      <w:r w:rsidR="00610A68" w:rsidRPr="00A60CE9">
        <w:t xml:space="preserve"> indeed</w:t>
      </w:r>
      <w:r w:rsidR="00712C0F" w:rsidRPr="00A60CE9">
        <w:t xml:space="preserve"> the hiring of key inventors </w:t>
      </w:r>
      <w:r w:rsidR="00A138B0" w:rsidRPr="00A60CE9">
        <w:t>is associated with</w:t>
      </w:r>
      <w:r w:rsidR="00712C0F" w:rsidRPr="00A60CE9">
        <w:t xml:space="preserve"> important direct and indirect effects on post-M&amp;A </w:t>
      </w:r>
      <w:r w:rsidR="00ED2975" w:rsidRPr="00A60CE9">
        <w:t>inventive output</w:t>
      </w:r>
      <w:r w:rsidR="00712C0F" w:rsidRPr="00A60CE9">
        <w:t xml:space="preserve">. These results </w:t>
      </w:r>
      <w:r w:rsidR="00764A65" w:rsidRPr="00A60CE9">
        <w:t>suggest</w:t>
      </w:r>
      <w:r w:rsidR="00712C0F" w:rsidRPr="00A60CE9">
        <w:t xml:space="preserve"> that an appropriate human capital strategy around the M&amp;A event can help avoiding a temporary decrease in </w:t>
      </w:r>
      <w:r w:rsidR="00ED2975" w:rsidRPr="00A60CE9">
        <w:t xml:space="preserve">inventive output </w:t>
      </w:r>
      <w:r w:rsidR="00712C0F" w:rsidRPr="00A60CE9">
        <w:t>in the post-M&amp;A period. Our findings have important practical implications for executives being involved in an M&amp;A, suggesting a proactive human resource strategy</w:t>
      </w:r>
      <w:r w:rsidR="00677768" w:rsidRPr="00A60CE9">
        <w:t xml:space="preserve"> </w:t>
      </w:r>
      <w:r w:rsidR="00321E6E" w:rsidRPr="00A60CE9">
        <w:t xml:space="preserve">including </w:t>
      </w:r>
      <w:r w:rsidR="00712C0F" w:rsidRPr="00A60CE9">
        <w:t>the hiring of external key inventors.</w:t>
      </w:r>
    </w:p>
    <w:p w14:paraId="68F238D0" w14:textId="77777777" w:rsidR="00712C0F" w:rsidRPr="00A60CE9" w:rsidRDefault="00712C0F" w:rsidP="000D4FCA">
      <w:pPr>
        <w:pStyle w:val="ThesisT1"/>
        <w:spacing w:line="360" w:lineRule="auto"/>
      </w:pPr>
      <w:r w:rsidRPr="00A60CE9">
        <w:t>THEORY DEVELOPMENT &amp; HYPOTHESES</w:t>
      </w:r>
    </w:p>
    <w:p w14:paraId="2F7A8052" w14:textId="77777777" w:rsidR="00712C0F" w:rsidRPr="00A60CE9" w:rsidRDefault="00712C0F" w:rsidP="000D4FCA">
      <w:pPr>
        <w:pStyle w:val="Heading2"/>
        <w:spacing w:line="360" w:lineRule="auto"/>
      </w:pPr>
      <w:r w:rsidRPr="00A60CE9">
        <w:t>Knowledge creation within the corporate context</w:t>
      </w:r>
    </w:p>
    <w:p w14:paraId="09998DD4" w14:textId="5A703281" w:rsidR="001F0219" w:rsidRPr="00A60CE9" w:rsidRDefault="00712C0F" w:rsidP="000D4FCA">
      <w:pPr>
        <w:spacing w:line="360" w:lineRule="auto"/>
      </w:pPr>
      <w:r w:rsidRPr="00A60CE9">
        <w:t xml:space="preserve">The knowledge-based view of the firm </w:t>
      </w:r>
      <w:r w:rsidR="005B454B" w:rsidRPr="00A60CE9">
        <w:t xml:space="preserve">(KBV) </w:t>
      </w:r>
      <w:r w:rsidRPr="00A60CE9">
        <w:t>recognizes knowledge as the most important strategic resource for the firm (Grant, 1996), pointing out the essential role of knowledge for value creation and for achieving a competitive advantage (Barney, 1991; Felin and Hesterly, 2007). Individuals are viewed as the sources of knowledge and talent, while the role of organizations is to facilitate knowledge exploitation (Cyert and March, 1983; Grant, 1996).</w:t>
      </w:r>
      <w:r w:rsidR="001F0219" w:rsidRPr="00A60CE9">
        <w:t xml:space="preserve">  Firms present a platform that enables individuals to interact and to exchange knowledge (Grant, 1996; Tsoukas and Mylonopoulos, 2004). The process of knowledge exploitation is facilitated by the context the firm provides and its organizational routines within which knowledge workers carry out their tasks and develop their own routines (Cyert and March, 1963; Nelson and Winter, 1982). Routines provide guidance for individuals within an organization and facilitate coordination (Kapoor and Lim, 2007; Winter, 1986) through formal and informal procedures and communication (Szulanski, 2000). Even though routines can be simple sequences, they are able to support complex patterns of interaction between individuals (Grant, 1996) and to store knowledge and information (Darr et al., 1995), making them key in the knowledge production process (Levitt and March, 1988). </w:t>
      </w:r>
    </w:p>
    <w:p w14:paraId="62E2AECB" w14:textId="77777777" w:rsidR="001F0219" w:rsidRPr="00A60CE9" w:rsidRDefault="001F0219" w:rsidP="000D4FCA">
      <w:pPr>
        <w:pStyle w:val="Heading2"/>
        <w:spacing w:line="360" w:lineRule="auto"/>
      </w:pPr>
      <w:r w:rsidRPr="00A60CE9">
        <w:t>The impact of M&amp;As on invention output</w:t>
      </w:r>
    </w:p>
    <w:p w14:paraId="2D58851A" w14:textId="5DC40F92" w:rsidR="001F0219" w:rsidRPr="00A60CE9" w:rsidRDefault="001F0219" w:rsidP="000D4FCA">
      <w:pPr>
        <w:spacing w:line="360" w:lineRule="auto"/>
      </w:pPr>
      <w:r w:rsidRPr="00A60CE9">
        <w:t xml:space="preserve">Prior studies have largely documented the negative impact of M&amp;As on corporate innovation (e.g. Cassiman et al., 2005; Hitt et al., 1998; Prichett, 1985; Ravenscraft and Scherer, 1987; see </w:t>
      </w:r>
      <w:r w:rsidRPr="00A60CE9">
        <w:lastRenderedPageBreak/>
        <w:t>Veugelers, 2006, for a survey of the literature). Th</w:t>
      </w:r>
      <w:r w:rsidR="00466621">
        <w:t>e</w:t>
      </w:r>
      <w:r w:rsidRPr="00A60CE9">
        <w:t>s</w:t>
      </w:r>
      <w:r w:rsidR="00466621">
        <w:t>e</w:t>
      </w:r>
      <w:r w:rsidRPr="00A60CE9">
        <w:t xml:space="preserve"> innovation declines can be traced back to several firm-level factors. First, managerial attention shifts away from daily activities and R&amp;D to managing the M&amp;A event (Hitt et al., 1990). Second, from a financial point of view, the pressure imposed by the acquisition investment (Hitt et al., 1991; Miller, 1990) and the introduction of cost-saving programs aimed at eliminating duplicative research efforts (Lengnick-Hall, 1991; Veugelers, 2006) may induce cutbacks of R&amp;D budgets. Finally, insufficiently planned and poorly executed post-M&amp;A integration has shown to hamper inventors’ output significantly (e.g. Haspeslagh and Jemison, 1991; Jemison and Sitkin, 1986; Pritchett, 1985). The negative effects are stronger in the presence of cultural and organizational differences between acquirer and target as well as low technological proximity (Ahuja and Katila, 2001; Cartwright and Schoenberg, 2006; Cassiman et al., 2005; Cloodt et al., 2006; Ernst and Vitt, 2000; Junni et al., 2015)</w:t>
      </w:r>
      <w:r w:rsidR="00A44162" w:rsidRPr="00A60CE9">
        <w:t xml:space="preserve"> and less strong if the acquiring firm has a certain level of absorptive capacity (Hussinger, 201</w:t>
      </w:r>
      <w:r w:rsidR="00414542" w:rsidRPr="00A60CE9">
        <w:t>2</w:t>
      </w:r>
      <w:r w:rsidR="00A44162" w:rsidRPr="00A60CE9">
        <w:t>)</w:t>
      </w:r>
      <w:r w:rsidRPr="00A60CE9">
        <w:t>.</w:t>
      </w:r>
    </w:p>
    <w:p w14:paraId="37F70ABE" w14:textId="77777777" w:rsidR="001F0219" w:rsidRPr="00A60CE9" w:rsidRDefault="001F0219" w:rsidP="000D4FCA">
      <w:pPr>
        <w:spacing w:line="360" w:lineRule="auto"/>
        <w:rPr>
          <w:i/>
          <w:iCs/>
        </w:rPr>
      </w:pPr>
      <w:r w:rsidRPr="00A60CE9">
        <w:t xml:space="preserve">These firm-level factors affect the output of individual inventors by impeding inventors’ and organizational routines. The post-M&amp;A integration process typically implies strategic reconfigurations and restructuring activities (Karim and Mitchell, 2000), higher fluctuation rates of personnel and changes in job definitions and positions (Ernst and Vitt, 2000; Walsh, 1988) that may create a sense of dislocation and even trauma for the individual inventor (Cartwright and Cooper, 1993; Paruchuri et al., 2006). Inventors within the acquiring firm become concerned about the future strategic direction of the firm and the implications for their tasks, their employment safety, and the future definition of their position within the firm (Souder and Chakrabarti, 1984). Psychological reactions generated by the disruptive nature of the M&amp;A event limit the cognitive ability of inventors and their capability to process new information (Fugate et al., 2008). Inventors’ attention is focused on coping with the disruptive situation rather than processing work-related information (Fugate et al., 2008; Staw et al., 1981). On the one hand, this creates a cognitive barrier to the exploitation of the inventors’ knowledge (Jensen and Szulanski, 2004; Minbaeva et al., 2003), which impedes the individuals’ ability to process new information and to exploit existing knowledge which is crucial for their invention output. On the other hand, the accompanying task uncertainty and a probable job uncertainty can result in the departure of R&amp;D employees (Ernst and Vitt, 2000; Kapoor and Lim, 2007; Paruchuri et al., 2006). Thus, since firms’ output is composed of the contributions of the individual inventors, the combined </w:t>
      </w:r>
      <w:r w:rsidRPr="00A60CE9">
        <w:lastRenderedPageBreak/>
        <w:t xml:space="preserve">effect of productivity declines of the individual inventors that remain within the firm and the departure of inventors negatively impact the firms’ overall inventive output in the post-M&amp;A period. </w:t>
      </w:r>
    </w:p>
    <w:p w14:paraId="1B63DBC4" w14:textId="77777777" w:rsidR="001F0219" w:rsidRPr="00A60CE9" w:rsidRDefault="001F0219" w:rsidP="000D4FCA">
      <w:pPr>
        <w:pStyle w:val="Heading2"/>
        <w:spacing w:line="360" w:lineRule="auto"/>
      </w:pPr>
      <w:r w:rsidRPr="00A60CE9">
        <w:t>Hiring new key inventors as a remedy for post-M&amp;A productivity declines</w:t>
      </w:r>
    </w:p>
    <w:p w14:paraId="60F29F48" w14:textId="77777777" w:rsidR="001F0219" w:rsidRPr="00A60CE9" w:rsidRDefault="001F0219" w:rsidP="000D4FCA">
      <w:pPr>
        <w:spacing w:line="360" w:lineRule="auto"/>
      </w:pPr>
      <w:r w:rsidRPr="00A60CE9">
        <w:t>While providing ample evidence on post-M&amp;A innovation output declines and their causes (e.g. Ernst and Vitt, 2000; Hitt et al., 1991; 1996; Kapoor and Lim, 2007; Paruchuri et al., 2006; Ravenscraft and Scherer, 1987), previous literature is silent about possible remedies that can be employed by the acquiring firm. We suggest the hiring of key inventors as one specific mean acquiring firms can take in order to counteract post-M&amp;A inventive output declines.</w:t>
      </w:r>
    </w:p>
    <w:p w14:paraId="68274F76" w14:textId="17B32B81" w:rsidR="003A4508" w:rsidRDefault="003A4508" w:rsidP="000D4FCA">
      <w:pPr>
        <w:spacing w:line="360" w:lineRule="auto"/>
      </w:pPr>
      <w:r w:rsidRPr="00A60CE9">
        <w:t>The mobility of inventors represents an effective transfer of knowledge across organizations as well as a channel for knowledge diffusion (Almeida and Kogut, 1999; Hoisl, 2007; Song et al., 2003).</w:t>
      </w:r>
      <w:r w:rsidRPr="003A4508">
        <w:t xml:space="preserve"> </w:t>
      </w:r>
      <w:r>
        <w:t>I</w:t>
      </w:r>
      <w:r w:rsidRPr="00A60CE9">
        <w:t xml:space="preserve">nventors </w:t>
      </w:r>
      <w:r>
        <w:t>accumulate</w:t>
      </w:r>
      <w:r w:rsidRPr="00A60CE9">
        <w:t xml:space="preserve"> both tacit and explicit knowledge through their personal experience, by observing and working with their colleagues or through informal </w:t>
      </w:r>
      <w:r>
        <w:t>that they carry to their new employer</w:t>
      </w:r>
      <w:r w:rsidR="004F2729">
        <w:t xml:space="preserve"> </w:t>
      </w:r>
      <w:r w:rsidR="004F2729" w:rsidRPr="00A60CE9">
        <w:t>interactions (Nonaka, 1994; Palomeras and Melero, 2010; Rosen, 1972)</w:t>
      </w:r>
      <w:r>
        <w:t xml:space="preserve">. </w:t>
      </w:r>
      <w:r w:rsidR="004F2729">
        <w:t>They also bring along</w:t>
      </w:r>
      <w:r w:rsidR="004F2729" w:rsidRPr="004F2729">
        <w:t xml:space="preserve"> </w:t>
      </w:r>
      <w:r w:rsidR="004F2729" w:rsidRPr="00A60CE9">
        <w:t>key routines and relational capital that help recipient firms to change existing technological trajectories and to benefit from knowledge spillovers (Mawdsley and Somaya, 2016; Song et al., 2003; Rosenkopf and Almeida, 2003; Tzabbar, 2009)</w:t>
      </w:r>
      <w:r w:rsidR="004F2729">
        <w:t xml:space="preserve">. </w:t>
      </w:r>
    </w:p>
    <w:p w14:paraId="472062AB" w14:textId="2536F010" w:rsidR="003A4508" w:rsidRDefault="004F2729" w:rsidP="000D4FCA">
      <w:pPr>
        <w:spacing w:line="360" w:lineRule="auto"/>
      </w:pPr>
      <w:r w:rsidRPr="00A60CE9">
        <w:t xml:space="preserve">Individual </w:t>
      </w:r>
      <w:r>
        <w:t xml:space="preserve">inventors, however, </w:t>
      </w:r>
      <w:r w:rsidRPr="00A60CE9">
        <w:t>have been shown to be heterogeneous in terms of the knowledge they possess (Zucker and Darby, 1995; Zucker et al.,</w:t>
      </w:r>
      <w:r>
        <w:t xml:space="preserve"> 1998), with their</w:t>
      </w:r>
      <w:r w:rsidRPr="00A60CE9">
        <w:t xml:space="preserve"> output distribution </w:t>
      </w:r>
      <w:r>
        <w:t>being</w:t>
      </w:r>
      <w:r w:rsidRPr="00A60CE9">
        <w:t xml:space="preserve"> highly skewed (Lotka, 1926; Narin and Breitzman, 1995; Price, 1965). Within each technological domain and each organizational context, there are some key inventors that are crucial for the process of invention creation due to their superior technical knowledge and expertise (French and Raven, 1959), but also because of the tacit knowledge they carry (Hess and Rothaermel, 2011; Zucker et al., 2002). </w:t>
      </w:r>
    </w:p>
    <w:p w14:paraId="53B7B7FD" w14:textId="62B4063D" w:rsidR="001F0219" w:rsidRPr="00A60CE9" w:rsidRDefault="00BE1CA4" w:rsidP="000D4FCA">
      <w:pPr>
        <w:spacing w:line="360" w:lineRule="auto"/>
      </w:pPr>
      <w:r>
        <w:t>We argue that a</w:t>
      </w:r>
      <w:r w:rsidR="001F0219" w:rsidRPr="00A60CE9">
        <w:t xml:space="preserve">cquiring firms can hire new key inventors from outside the merged firm with superior past inventive output as compared to most incumbent inventors to proactively counteract inventive output declines after M&amp;As. Newly hired key inventors are expected to positively contribute to the process of organizational learning and knowledge creation within their new environment due to the knowledge they carry, their experience, skills endowment, and talent. The hiring of key inventors will provide the acquiring firms with access to these skills, competencies, </w:t>
      </w:r>
      <w:r w:rsidR="001F0219" w:rsidRPr="00A60CE9">
        <w:lastRenderedPageBreak/>
        <w:t xml:space="preserve">and experiences (Rao and Drazin, 2002) and also to the knowledge gathered at their former employer (Barney, 1991). As an additional and new input to the firm’s knowledge production process, we anticipate the hiring of new key inventors to have a positive effect on the firm’s invention output. </w:t>
      </w:r>
    </w:p>
    <w:p w14:paraId="4A1A4D82" w14:textId="77777777" w:rsidR="001F0219" w:rsidRPr="00A60CE9" w:rsidRDefault="001F0219" w:rsidP="000D4FCA">
      <w:pPr>
        <w:spacing w:line="360" w:lineRule="auto"/>
        <w:rPr>
          <w:i/>
          <w:iCs/>
        </w:rPr>
      </w:pPr>
      <w:r w:rsidRPr="00A60CE9">
        <w:rPr>
          <w:i/>
          <w:iCs/>
        </w:rPr>
        <w:t xml:space="preserve">Hypothesis </w:t>
      </w:r>
      <w:r w:rsidR="00CC3455" w:rsidRPr="00A60CE9">
        <w:rPr>
          <w:i/>
          <w:iCs/>
        </w:rPr>
        <w:t>1</w:t>
      </w:r>
      <w:r w:rsidRPr="00A60CE9">
        <w:rPr>
          <w:i/>
          <w:iCs/>
        </w:rPr>
        <w:t>. Newly hired key inventors are positively associated with the acquiring firm’s post-M&amp;A inventive output (direct effect).</w:t>
      </w:r>
    </w:p>
    <w:p w14:paraId="6E1C63F1" w14:textId="77777777" w:rsidR="001F0219" w:rsidRPr="00A60CE9" w:rsidRDefault="001F0219" w:rsidP="000D4FCA">
      <w:pPr>
        <w:spacing w:line="360" w:lineRule="auto"/>
      </w:pPr>
      <w:r w:rsidRPr="00A60CE9">
        <w:t xml:space="preserve">Newly hired key inventors are also expected to have a positive impact on the inventive output of incumbent inventors at the acquiring firm, who are often found to experience an invention productivity decline after an M&amp;A. KBV research of organizational learning has explored the mechanism of internal learning and transmission of information through members of an organization. Levitt and March (1988) explore different processes of knowledge diffusion and point out that transmission of information takes place through inter-personal contacts, somewhat similar to the spread of a disease. Thus, the movement of personnel, which facilitates the contact between incumbent inventors and newly hired inventors, is the main mechanism that facilitates the transmission of knowledge and organizational learning (Biggart, 1977). </w:t>
      </w:r>
    </w:p>
    <w:p w14:paraId="52330E15" w14:textId="77777777" w:rsidR="001F0219" w:rsidRPr="00A60CE9" w:rsidRDefault="001F0219" w:rsidP="000D4FCA">
      <w:pPr>
        <w:spacing w:line="360" w:lineRule="auto"/>
      </w:pPr>
      <w:r w:rsidRPr="00A60CE9">
        <w:t>This transmission mechanism is documented in the prior empirical literature (e.g., Mas and Moretti, 2009; Paruchuri, 2010; Sacerdote, 2001).</w:t>
      </w:r>
      <w:r w:rsidRPr="00A60CE9">
        <w:rPr>
          <w:rStyle w:val="FootnoteReference"/>
        </w:rPr>
        <w:footnoteReference w:id="3"/>
      </w:r>
      <w:r w:rsidRPr="00A60CE9">
        <w:t xml:space="preserve">  These studies argue that social interactions between inventors are an important channel to knowledge recombination (Nerkar and Paruchuri, 2005) and knowledge spillovers (Zucker and Darby, 1997). Since a newly hired key inventor is likely to receive a key position within the acquiring firm she will be in contact with many other inventors within the firm (Kehoe and Tzabbar, 2015; Paruchuri, 2010). Accordingly, the newly hired key inventor has more channels for knowledge dissemination as compared to inventors in less central positions. Given their central network position within the firm (Bonacich, 1987; Krackhardt, 1990), we expect that newly hired key inventors can disseminate their knowledge within the organization both fast and effectively.</w:t>
      </w:r>
    </w:p>
    <w:p w14:paraId="57AF2BF4" w14:textId="77777777" w:rsidR="00A44162" w:rsidRPr="00A60CE9" w:rsidRDefault="00A44162" w:rsidP="000D4FCA">
      <w:pPr>
        <w:spacing w:line="360" w:lineRule="auto"/>
      </w:pPr>
      <w:r w:rsidRPr="00A60CE9">
        <w:t xml:space="preserve">The arrival of new key inventors can counteract the discouraging effect of the M&amp;A event on the remaining inventors at the acquiring firm. First of all, the hiring of key inventors signals the </w:t>
      </w:r>
      <w:r w:rsidRPr="00A60CE9">
        <w:lastRenderedPageBreak/>
        <w:t xml:space="preserve">importance of invention for the firm during the M&amp;A period so that incumbent inventors’ uncertainty about their future is reduced. By hiring key inventors, acquiring firms show their commitment to invention which can reduce employees’ concerns about their future employment, allowing them to focus more on processing new, innovative information. Second, newly hired key inventors can spur the motivation of inventors at the acquiring firm because inventors have a strong preference to work with higher qualified colleagues (Barabâsi et al., 2002; Wagner and Leydesdorff, 2005). Third, new key inventors can leverage their position and resource access to reduce task and job insecurity among incumbent inventors as they provide new leadership and strategic direction to their peers (Kehoe and Tzabbar, 2015; Paruchuri, 2010). Key inventors are regarded as innovative leaders with the ability to initiate and lead innovation efforts (Kehoe and Tzabbar, 2015), so that by working with them, incumbent inventors engage in new projects that, given the expertise and productivity of key inventors, are more likely to be successful. Not at least, newly hired key inventors can strengthen the transactive system by closing the gaps that result from inventor departure with positive implications for the incumbent inventors’ invention output. </w:t>
      </w:r>
    </w:p>
    <w:p w14:paraId="0BB02D73" w14:textId="425BA8F0" w:rsidR="001F0219" w:rsidRPr="00A60CE9" w:rsidRDefault="00711527" w:rsidP="000D4FCA">
      <w:pPr>
        <w:spacing w:line="360" w:lineRule="auto"/>
      </w:pPr>
      <w:r w:rsidRPr="00A60CE9">
        <w:t xml:space="preserve">As compared to periods of normal activity, </w:t>
      </w:r>
      <w:r w:rsidR="0093277B" w:rsidRPr="00A60CE9">
        <w:t xml:space="preserve">when the hiring of key inventors </w:t>
      </w:r>
      <w:r w:rsidR="00F95255" w:rsidRPr="00A60CE9">
        <w:t>might</w:t>
      </w:r>
      <w:r w:rsidR="0093277B" w:rsidRPr="00A60CE9">
        <w:t xml:space="preserve"> </w:t>
      </w:r>
      <w:r w:rsidR="00920D81" w:rsidRPr="00A60CE9">
        <w:t>create resistance among incumbent colleagues or hamper their productivity (</w:t>
      </w:r>
      <w:r w:rsidR="00F95255" w:rsidRPr="00A60CE9">
        <w:rPr>
          <w:rFonts w:cs="Times New Roman"/>
        </w:rPr>
        <w:t xml:space="preserve">Huckman and Pisano, 2006; </w:t>
      </w:r>
      <w:r w:rsidR="00F95255" w:rsidRPr="00A60CE9">
        <w:t>Kehoe and Tzabbar, 2015</w:t>
      </w:r>
      <w:r w:rsidR="00920D81" w:rsidRPr="00A60CE9">
        <w:t>)</w:t>
      </w:r>
      <w:r w:rsidR="00C83554" w:rsidRPr="00A60CE9">
        <w:t xml:space="preserve">, M&amp;As represent periods </w:t>
      </w:r>
      <w:r w:rsidR="00FF2715" w:rsidRPr="00A60CE9">
        <w:t>of</w:t>
      </w:r>
      <w:r w:rsidR="00C83554" w:rsidRPr="00A60CE9">
        <w:t xml:space="preserve"> </w:t>
      </w:r>
      <w:r w:rsidR="00764D50" w:rsidRPr="00A60CE9">
        <w:t>turbulence</w:t>
      </w:r>
      <w:r w:rsidR="00C83554" w:rsidRPr="00A60CE9">
        <w:t xml:space="preserve"> that involve structural adjustments, and changes in leadership, strategies and long-term orientation of the firm, as well as </w:t>
      </w:r>
      <w:r w:rsidR="00C83554" w:rsidRPr="005572CB">
        <w:t>departure of key personnel (Ernst and Vitt, 2000; Jensen and Szulanski, 2004; Minbaeva et al., 2003).</w:t>
      </w:r>
      <w:r w:rsidR="00FF2715" w:rsidRPr="005572CB">
        <w:t xml:space="preserve"> </w:t>
      </w:r>
      <w:r w:rsidR="00A44162" w:rsidRPr="005572CB">
        <w:t>Since new key inventors arrive at a time of turmoil, we believe that their positive effect</w:t>
      </w:r>
      <w:r w:rsidR="007A10B1" w:rsidRPr="005572CB">
        <w:t>,</w:t>
      </w:r>
      <w:r w:rsidR="00A44162" w:rsidRPr="005572CB">
        <w:t xml:space="preserve"> as a signal of R&amp;D being taken serious within the merged firm along with the above presented arguments on knowledge transfer</w:t>
      </w:r>
      <w:r w:rsidR="007A10B1" w:rsidRPr="005572CB">
        <w:t>,</w:t>
      </w:r>
      <w:r w:rsidR="00A44162" w:rsidRPr="005572CB">
        <w:t xml:space="preserve"> outweigh</w:t>
      </w:r>
      <w:r w:rsidR="007A10B1" w:rsidRPr="005572CB">
        <w:t>s</w:t>
      </w:r>
      <w:r w:rsidR="00A44162" w:rsidRPr="005572CB">
        <w:t xml:space="preserve"> potential resistance.</w:t>
      </w:r>
      <w:r w:rsidR="00A44162" w:rsidRPr="00A60CE9">
        <w:t xml:space="preserve"> </w:t>
      </w:r>
    </w:p>
    <w:p w14:paraId="00CC44E3" w14:textId="77777777" w:rsidR="001F0219" w:rsidRPr="00A60CE9" w:rsidRDefault="007B6414" w:rsidP="000D4FCA">
      <w:pPr>
        <w:spacing w:line="360" w:lineRule="auto"/>
        <w:rPr>
          <w:i/>
          <w:iCs/>
        </w:rPr>
      </w:pPr>
      <w:r w:rsidRPr="00A60CE9">
        <w:rPr>
          <w:i/>
          <w:iCs/>
        </w:rPr>
        <w:t>Hypothesis 2</w:t>
      </w:r>
      <w:r w:rsidR="001F0219" w:rsidRPr="00A60CE9">
        <w:rPr>
          <w:i/>
          <w:iCs/>
        </w:rPr>
        <w:t>. Newly hired key inventors are positively associated with the contribution of incumbent inventors to the acquiring firm’s post-M&amp;A inventive output (indirect effect).</w:t>
      </w:r>
    </w:p>
    <w:p w14:paraId="377B5D1B" w14:textId="77777777" w:rsidR="001F0219" w:rsidRPr="00A60CE9" w:rsidRDefault="001F0219" w:rsidP="000D4FCA">
      <w:pPr>
        <w:pStyle w:val="Heading1"/>
        <w:spacing w:line="360" w:lineRule="auto"/>
      </w:pPr>
      <w:r w:rsidRPr="00A60CE9">
        <w:t>METHODS</w:t>
      </w:r>
    </w:p>
    <w:p w14:paraId="12AFA7D5" w14:textId="77777777" w:rsidR="001F0219" w:rsidRPr="00A60CE9" w:rsidRDefault="001F0219" w:rsidP="000D4FCA">
      <w:pPr>
        <w:pStyle w:val="Heading2"/>
        <w:spacing w:line="360" w:lineRule="auto"/>
      </w:pPr>
      <w:r w:rsidRPr="00A60CE9">
        <w:t>Dataset</w:t>
      </w:r>
    </w:p>
    <w:p w14:paraId="77C65F35" w14:textId="77777777" w:rsidR="001F0219" w:rsidRPr="00A60CE9" w:rsidRDefault="001F0219" w:rsidP="000D4FCA">
      <w:pPr>
        <w:spacing w:line="360" w:lineRule="auto"/>
      </w:pPr>
      <w:r w:rsidRPr="00A60CE9">
        <w:t xml:space="preserve">Our analysis is based on a large, tailor-made dataset set that draws from several different databases. It includes information on all publicly listed U.S. firms involved in M&amp;As over the period 1980-2010 where at least one of the M&amp;A parties is actively involved in invention </w:t>
      </w:r>
      <w:r w:rsidRPr="00A60CE9">
        <w:lastRenderedPageBreak/>
        <w:t xml:space="preserve">activities in the sense that it has applied for at least one patent at the United States Patent and Trademark Office (USPTO) since its foundation. Information about the M&amp;A deals was extracted from the database Thomson One Banker provided by Thomson Reuters. We consider only those deals that were completed and which involved majority ownership. The M&amp;A data was linked to firms’ financial records which were retrieved from Compustat. The match between the two databases is based on firms’ name, state, and the firms’ identifiers CUSIP and PERMNO (taken from the Center for Research in Security Prices (CRSP) database).  </w:t>
      </w:r>
    </w:p>
    <w:p w14:paraId="103F6360" w14:textId="77777777" w:rsidR="001F0219" w:rsidRPr="00A60CE9" w:rsidRDefault="001F0219" w:rsidP="000D4FCA">
      <w:pPr>
        <w:spacing w:line="360" w:lineRule="auto"/>
      </w:pPr>
      <w:r w:rsidRPr="00A60CE9">
        <w:t xml:space="preserve">Information on the patent activity of firms and inventors is taken from the NBER patent database and the Coleman Fung Institute for Engineering Leadership database (Li et al., 2014). Patent information is matched to the firm data using each firm’s identifiers and name. Data on the mobility of inventors is taken from the Coleman Fung Institute for Engineering Leadership database (Li et al., 2014). </w:t>
      </w:r>
    </w:p>
    <w:p w14:paraId="6AD41BBC" w14:textId="77777777" w:rsidR="001F0219" w:rsidRPr="00A60CE9" w:rsidRDefault="001F0219" w:rsidP="000D4FCA">
      <w:pPr>
        <w:spacing w:line="360" w:lineRule="auto"/>
      </w:pPr>
      <w:r w:rsidRPr="00A60CE9">
        <w:t xml:space="preserve">The resulting sample consists of a panel data set including 1,402 deals, corresponding to firms in 62 different industries over a 31-year period. We keep a 9-year window around the M&amp;A for our analysis of the M&amp;A period (see Ahuja and Katila (2001), and Kapoor and Lim (2007) for similar choices). A 9-year window allows mapping the short time effects of the M&amp;A. A too wide time window bears the risk to attribute output developments which are more distant in terms of time wrongly to the M&amp;A event. </w:t>
      </w:r>
    </w:p>
    <w:p w14:paraId="6638EE89" w14:textId="77777777" w:rsidR="001F0219" w:rsidRPr="00A60CE9" w:rsidRDefault="001F0219" w:rsidP="000D4FCA">
      <w:pPr>
        <w:pStyle w:val="Heading2"/>
        <w:spacing w:line="360" w:lineRule="auto"/>
      </w:pPr>
      <w:r w:rsidRPr="00A60CE9">
        <w:t>Variables</w:t>
      </w:r>
    </w:p>
    <w:p w14:paraId="3123E5B2" w14:textId="77777777" w:rsidR="001F0219" w:rsidRPr="00A60CE9" w:rsidRDefault="001F0219" w:rsidP="000D4FCA">
      <w:pPr>
        <w:pStyle w:val="Heading3"/>
        <w:spacing w:line="360" w:lineRule="auto"/>
      </w:pPr>
      <w:r w:rsidRPr="00A60CE9">
        <w:t>Dependent Variable</w:t>
      </w:r>
    </w:p>
    <w:p w14:paraId="492FB508" w14:textId="6E9BF52B" w:rsidR="001F0219" w:rsidRPr="00A60CE9" w:rsidRDefault="001F0219" w:rsidP="000D4FCA">
      <w:pPr>
        <w:spacing w:line="360" w:lineRule="auto"/>
      </w:pPr>
      <w:r w:rsidRPr="00A60CE9">
        <w:t>The dependent variable in our model is the firms’ inventive output as proxied by the number of granted patents per year of the acquiring firm</w:t>
      </w:r>
      <w:r w:rsidR="000870D9" w:rsidRPr="00A60CE9">
        <w:t xml:space="preserve"> (e.g. Griliches, 1990; Archibugi, 1992; Cohen and Levin, 1989; Griliches, 1990).</w:t>
      </w:r>
      <w:r w:rsidRPr="00A60CE9">
        <w:t xml:space="preserve"> We use granted patents and not patent applications because the former is an indicator of successful invention (Ahuja and Katila, 2001).</w:t>
      </w:r>
      <w:r w:rsidR="006A225B" w:rsidRPr="00A60CE9">
        <w:rPr>
          <w:rStyle w:val="FootnoteReference"/>
        </w:rPr>
        <w:footnoteReference w:id="4"/>
      </w:r>
      <w:r w:rsidRPr="00A60CE9">
        <w:t xml:space="preserve"> We count the granted patent in the application year. The advantage of the application year is that it is close to the actual invention and abstracts from delays that may occur in the </w:t>
      </w:r>
      <w:r w:rsidR="003B3F7D" w:rsidRPr="00A60CE9">
        <w:t xml:space="preserve">patent </w:t>
      </w:r>
      <w:r w:rsidRPr="00A60CE9">
        <w:t xml:space="preserve">granting process (Ahuja and Katila, 2001; Ernst, 2001; Trajtenberg, 1990). </w:t>
      </w:r>
    </w:p>
    <w:p w14:paraId="4640C5CE" w14:textId="77777777" w:rsidR="001F0219" w:rsidRPr="00A60CE9" w:rsidRDefault="001F0219" w:rsidP="000D4FCA">
      <w:pPr>
        <w:pStyle w:val="Heading3"/>
        <w:spacing w:line="360" w:lineRule="auto"/>
      </w:pPr>
      <w:r w:rsidRPr="00A60CE9">
        <w:lastRenderedPageBreak/>
        <w:t>After M&amp;A indicator</w:t>
      </w:r>
    </w:p>
    <w:p w14:paraId="3DF137C4" w14:textId="77777777" w:rsidR="001F0219" w:rsidRPr="00A60CE9" w:rsidRDefault="001F0219" w:rsidP="000D4FCA">
      <w:pPr>
        <w:spacing w:line="360" w:lineRule="auto"/>
      </w:pPr>
      <w:r w:rsidRPr="00A60CE9">
        <w:t xml:space="preserve">We use a dummy variable to distinguish the periods before and after the M&amp;A. The variable is equal to zero for the years before the M&amp;A and equal to one on the year in which the M&amp;A occurs and thereafter. </w:t>
      </w:r>
    </w:p>
    <w:p w14:paraId="69F5426D" w14:textId="77777777" w:rsidR="001F0219" w:rsidRPr="00A60CE9" w:rsidRDefault="001F0219" w:rsidP="000D4FCA">
      <w:pPr>
        <w:pStyle w:val="Heading3"/>
        <w:spacing w:line="360" w:lineRule="auto"/>
      </w:pPr>
      <w:r w:rsidRPr="00A60CE9">
        <w:t>Incumbent Inventors</w:t>
      </w:r>
    </w:p>
    <w:p w14:paraId="010242D7" w14:textId="1F05DD6C" w:rsidR="001F0219" w:rsidRPr="00A60CE9" w:rsidRDefault="001F0219" w:rsidP="000D4FCA">
      <w:pPr>
        <w:spacing w:line="360" w:lineRule="auto"/>
      </w:pPr>
      <w:r w:rsidRPr="00A60CE9">
        <w:t xml:space="preserve">We use the number of incumbent inventors as a proxy for the stock of knowledge which is the major ingredient to the patent production function (Pakes and Griliches, 1980). Our definition includes those inventors that are working at the M&amp;A firm on year </w:t>
      </w:r>
      <w:r w:rsidRPr="00A60CE9">
        <w:rPr>
          <w:i/>
          <w:iCs/>
        </w:rPr>
        <w:t>t</w:t>
      </w:r>
      <w:r w:rsidRPr="00A60CE9">
        <w:t>.</w:t>
      </w:r>
      <w:r w:rsidR="00310FD3" w:rsidRPr="00A60CE9">
        <w:t xml:space="preserve"> </w:t>
      </w:r>
      <w:r w:rsidR="00C92828" w:rsidRPr="00A60CE9">
        <w:t xml:space="preserve">We assume </w:t>
      </w:r>
      <w:r w:rsidR="00C92828" w:rsidRPr="00A60CE9">
        <w:rPr>
          <w:rFonts w:cs="Times New Roman"/>
          <w:szCs w:val="24"/>
        </w:rPr>
        <w:t xml:space="preserve">that an inventor who patented in year </w:t>
      </w:r>
      <w:r w:rsidR="00C92828" w:rsidRPr="00A60CE9">
        <w:rPr>
          <w:rFonts w:cs="Times New Roman"/>
          <w:i/>
          <w:iCs/>
          <w:szCs w:val="24"/>
        </w:rPr>
        <w:t>t-X</w:t>
      </w:r>
      <w:r w:rsidR="00C92828" w:rsidRPr="00A60CE9">
        <w:rPr>
          <w:rFonts w:cs="Times New Roman"/>
          <w:szCs w:val="24"/>
        </w:rPr>
        <w:t xml:space="preserve"> and again in year </w:t>
      </w:r>
      <w:r w:rsidR="00C92828" w:rsidRPr="00A60CE9">
        <w:rPr>
          <w:rFonts w:cs="Times New Roman"/>
          <w:i/>
          <w:iCs/>
          <w:szCs w:val="24"/>
        </w:rPr>
        <w:t>t+X</w:t>
      </w:r>
      <w:r w:rsidR="00C92828" w:rsidRPr="00A60CE9">
        <w:rPr>
          <w:rFonts w:cs="Times New Roman"/>
          <w:szCs w:val="24"/>
        </w:rPr>
        <w:t xml:space="preserve"> for the focal firm is also employed at the firm in year</w:t>
      </w:r>
      <w:r w:rsidR="00C92828" w:rsidRPr="00A60CE9">
        <w:rPr>
          <w:rFonts w:cs="Times New Roman"/>
          <w:i/>
          <w:iCs/>
          <w:szCs w:val="24"/>
        </w:rPr>
        <w:t xml:space="preserve"> t.</w:t>
      </w:r>
      <w:r w:rsidR="00C92828" w:rsidRPr="00A60CE9" w:rsidDel="00C92828">
        <w:t xml:space="preserve"> </w:t>
      </w:r>
      <w:r w:rsidRPr="00A60CE9">
        <w:t xml:space="preserve">Due to multicollinearity concerns, we normalize the number of inventors by firms’ size. </w:t>
      </w:r>
    </w:p>
    <w:p w14:paraId="4ECAF384" w14:textId="77777777" w:rsidR="001F0219" w:rsidRPr="00A60CE9" w:rsidRDefault="001F0219" w:rsidP="000D4FCA">
      <w:pPr>
        <w:pStyle w:val="Heading3"/>
        <w:spacing w:line="360" w:lineRule="auto"/>
      </w:pPr>
      <w:r w:rsidRPr="00A60CE9">
        <w:t>Departing Inventors</w:t>
      </w:r>
    </w:p>
    <w:p w14:paraId="5AECFEBF" w14:textId="77777777" w:rsidR="001F0219" w:rsidRPr="00A60CE9" w:rsidRDefault="001F0219" w:rsidP="000D4FCA">
      <w:pPr>
        <w:spacing w:line="360" w:lineRule="auto"/>
      </w:pPr>
      <w:r w:rsidRPr="00A60CE9">
        <w:t xml:space="preserve">Mobility is defined based on the appearance of inventors on patent documents of different patent applicants. An inventor is defined to move from firm </w:t>
      </w:r>
      <w:r w:rsidRPr="00A60CE9">
        <w:rPr>
          <w:i/>
          <w:iCs/>
        </w:rPr>
        <w:t>i</w:t>
      </w:r>
      <w:r w:rsidRPr="00A60CE9">
        <w:t xml:space="preserve"> to firm </w:t>
      </w:r>
      <w:r w:rsidRPr="00A60CE9">
        <w:rPr>
          <w:i/>
          <w:iCs/>
        </w:rPr>
        <w:t>j</w:t>
      </w:r>
      <w:r w:rsidRPr="00A60CE9">
        <w:t xml:space="preserve"> when after filing the last patent application with firm </w:t>
      </w:r>
      <w:r w:rsidRPr="00A60CE9">
        <w:rPr>
          <w:i/>
          <w:iCs/>
        </w:rPr>
        <w:t>i</w:t>
      </w:r>
      <w:r w:rsidRPr="00A60CE9">
        <w:t xml:space="preserve">, she starts filing an application with firm </w:t>
      </w:r>
      <w:r w:rsidRPr="00A60CE9">
        <w:rPr>
          <w:i/>
          <w:iCs/>
        </w:rPr>
        <w:t>j</w:t>
      </w:r>
      <w:r w:rsidRPr="00A60CE9">
        <w:t xml:space="preserve">, and no longer with firm </w:t>
      </w:r>
      <w:r w:rsidRPr="00A60CE9">
        <w:rPr>
          <w:i/>
          <w:iCs/>
        </w:rPr>
        <w:t>i</w:t>
      </w:r>
      <w:r w:rsidRPr="00A60CE9">
        <w:t xml:space="preserve">. We measure departing inventors as the ratio of inventors departing the firm at time </w:t>
      </w:r>
      <w:r w:rsidRPr="00A60CE9">
        <w:rPr>
          <w:i/>
          <w:iCs/>
        </w:rPr>
        <w:t>t</w:t>
      </w:r>
      <w:r w:rsidRPr="00A60CE9">
        <w:t xml:space="preserve"> over the total number of inventors at time </w:t>
      </w:r>
      <w:r w:rsidRPr="00A60CE9">
        <w:rPr>
          <w:i/>
          <w:iCs/>
        </w:rPr>
        <w:t>t</w:t>
      </w:r>
      <w:r w:rsidRPr="00A60CE9">
        <w:t xml:space="preserve">. </w:t>
      </w:r>
    </w:p>
    <w:p w14:paraId="50F5CAFD" w14:textId="77777777" w:rsidR="001F0219" w:rsidRPr="00A60CE9" w:rsidRDefault="001F0219" w:rsidP="000D4FCA">
      <w:pPr>
        <w:pStyle w:val="Heading3"/>
        <w:spacing w:line="360" w:lineRule="auto"/>
      </w:pPr>
      <w:r w:rsidRPr="00A60CE9">
        <w:t>New key inventors</w:t>
      </w:r>
    </w:p>
    <w:p w14:paraId="68C7071B" w14:textId="0AE19654" w:rsidR="000D1954" w:rsidRPr="00A60CE9" w:rsidRDefault="000D1954" w:rsidP="000D4FCA">
      <w:pPr>
        <w:spacing w:line="360" w:lineRule="auto"/>
      </w:pPr>
      <w:r w:rsidRPr="00A60CE9">
        <w:t xml:space="preserve">For testing our hypotheses, we generate a variable, </w:t>
      </w:r>
      <w:r w:rsidRPr="00A60CE9">
        <w:rPr>
          <w:i/>
        </w:rPr>
        <w:t>new key inventors</w:t>
      </w:r>
      <w:r w:rsidRPr="00A60CE9">
        <w:t xml:space="preserve">, that </w:t>
      </w:r>
      <w:r w:rsidR="00D402B8" w:rsidRPr="00A60CE9">
        <w:t xml:space="preserve">is </w:t>
      </w:r>
      <w:r w:rsidRPr="00A60CE9">
        <w:t xml:space="preserve">interacted with the </w:t>
      </w:r>
      <w:r w:rsidRPr="00A60CE9">
        <w:rPr>
          <w:i/>
        </w:rPr>
        <w:t>after M&amp;A</w:t>
      </w:r>
      <w:r w:rsidRPr="00A60CE9">
        <w:t xml:space="preserve"> dummy variable for testing hypothesis 1 (direct effect), and</w:t>
      </w:r>
      <w:r w:rsidR="00D402B8" w:rsidRPr="00A60CE9">
        <w:t xml:space="preserve"> </w:t>
      </w:r>
      <w:r w:rsidR="00B126A2" w:rsidRPr="00A60CE9">
        <w:t xml:space="preserve">with the </w:t>
      </w:r>
      <w:r w:rsidR="00B126A2" w:rsidRPr="00A60CE9">
        <w:rPr>
          <w:i/>
        </w:rPr>
        <w:t>after M&amp;A</w:t>
      </w:r>
      <w:r w:rsidR="00B126A2" w:rsidRPr="00A60CE9">
        <w:t xml:space="preserve"> variable and the </w:t>
      </w:r>
      <w:r w:rsidR="00B126A2" w:rsidRPr="00A60CE9">
        <w:rPr>
          <w:i/>
        </w:rPr>
        <w:t>incumbent inventor</w:t>
      </w:r>
      <w:r w:rsidR="00B126A2" w:rsidRPr="00A60CE9">
        <w:t xml:space="preserve"> variable for testing hypothesis 2 (indirect effect). </w:t>
      </w:r>
    </w:p>
    <w:p w14:paraId="00793171" w14:textId="76B0FEA1" w:rsidR="001F0219" w:rsidRPr="00A60CE9" w:rsidRDefault="001F0219" w:rsidP="000D4FCA">
      <w:pPr>
        <w:spacing w:line="360" w:lineRule="auto"/>
      </w:pPr>
      <w:r w:rsidRPr="00A60CE9">
        <w:t>We define key inventors relative to the quality</w:t>
      </w:r>
      <w:r w:rsidR="00E872CD" w:rsidRPr="00A60CE9">
        <w:t xml:space="preserve"> </w:t>
      </w:r>
      <w:r w:rsidRPr="00A60CE9">
        <w:t>of the inventors already working at the acquiring firm</w:t>
      </w:r>
      <w:r w:rsidR="00E872CD" w:rsidRPr="00A60CE9">
        <w:t>, as measured by the total number of citations their patents received in the past</w:t>
      </w:r>
      <w:r w:rsidRPr="00A60CE9">
        <w:t xml:space="preserve">. </w:t>
      </w:r>
      <w:r w:rsidR="00F965B6" w:rsidRPr="00A60CE9">
        <w:t>Following</w:t>
      </w:r>
      <w:r w:rsidRPr="00A60CE9">
        <w:t xml:space="preserve"> previous studies on post-M&amp;A inventor output (see e.g. Kapoor and Lim, 2007, and Paruchuri et al., 2006), we apply a relative definition because we are interested in depicting a newly acquired superior knowledge source from the point of view of the acquiring firm.</w:t>
      </w:r>
      <w:r w:rsidRPr="00A60CE9">
        <w:rPr>
          <w:rStyle w:val="FootnoteReference"/>
        </w:rPr>
        <w:footnoteReference w:id="5"/>
      </w:r>
      <w:r w:rsidRPr="00A60CE9">
        <w:t xml:space="preserve"> In order to account for </w:t>
      </w:r>
      <w:r w:rsidRPr="00A60CE9">
        <w:lastRenderedPageBreak/>
        <w:t xml:space="preserve">the fact that knowledge gets outdated over time, we apply a depreciation rate of 15% per year to the inventors’ patents (Hall, 1990). </w:t>
      </w:r>
    </w:p>
    <w:p w14:paraId="446A743F" w14:textId="77777777" w:rsidR="001F0219" w:rsidRPr="00A60CE9" w:rsidRDefault="001F0219" w:rsidP="000D4FCA">
      <w:pPr>
        <w:spacing w:line="360" w:lineRule="auto"/>
      </w:pPr>
      <w:r w:rsidRPr="00A60CE9">
        <w:t xml:space="preserve">Regarding our specific measure, we identify key inventors as those receiving more patent citations than the top 75% of inventors of the acquiring firm. We define key inventors who are new to the firm as the ratio of key inventors hired by the firm at time </w:t>
      </w:r>
      <w:r w:rsidRPr="00A60CE9">
        <w:rPr>
          <w:i/>
          <w:iCs/>
        </w:rPr>
        <w:t>t</w:t>
      </w:r>
      <w:r w:rsidRPr="00A60CE9">
        <w:t xml:space="preserve"> over the total number of inventors at time </w:t>
      </w:r>
      <w:r w:rsidRPr="00A60CE9">
        <w:rPr>
          <w:i/>
          <w:iCs/>
        </w:rPr>
        <w:t>t</w:t>
      </w:r>
      <w:r w:rsidRPr="00A60CE9">
        <w:t xml:space="preserve"> in order to avoid multicollinearity issues. </w:t>
      </w:r>
    </w:p>
    <w:p w14:paraId="42FA7792" w14:textId="77777777" w:rsidR="001F0219" w:rsidRPr="00A60CE9" w:rsidRDefault="001F0219" w:rsidP="000D4FCA">
      <w:pPr>
        <w:pStyle w:val="Heading3"/>
        <w:spacing w:line="360" w:lineRule="auto"/>
      </w:pPr>
      <w:r w:rsidRPr="00A60CE9">
        <w:t>Control variables</w:t>
      </w:r>
    </w:p>
    <w:p w14:paraId="1DC9E373" w14:textId="77777777" w:rsidR="001F0219" w:rsidRPr="00A60CE9" w:rsidRDefault="001F0219" w:rsidP="000D4FCA">
      <w:pPr>
        <w:spacing w:line="360" w:lineRule="auto"/>
      </w:pPr>
      <w:r w:rsidRPr="00A60CE9">
        <w:t>We include total assets as a proxy for firm size</w:t>
      </w:r>
      <w:r w:rsidR="00A93F89" w:rsidRPr="00A60CE9">
        <w:t xml:space="preserve"> (Cohen and Levinthal, 1989; Mansfield, 1986; Scherer, 1983)</w:t>
      </w:r>
      <w:r w:rsidRPr="00A60CE9">
        <w:t>. We take the logarithm to account for the skewness of its distribution. Further, we use a set of year dummies in order to control for time trends in corporate patenting. Industry dummies do not explicitly enter our specification because they are time-invariant and hence absorbed by the firm-specific fixed effects that we use.</w:t>
      </w:r>
    </w:p>
    <w:p w14:paraId="65276A39" w14:textId="77777777" w:rsidR="001F0219" w:rsidRPr="00A60CE9" w:rsidRDefault="001F0219" w:rsidP="000D4FCA">
      <w:pPr>
        <w:spacing w:line="360" w:lineRule="auto"/>
      </w:pPr>
      <w:r w:rsidRPr="00A60CE9">
        <w:t xml:space="preserve">All independent and control variables are lagged by one year in order to limit endogeneity concerns. </w:t>
      </w:r>
    </w:p>
    <w:p w14:paraId="3422F66F" w14:textId="77777777" w:rsidR="001F0219" w:rsidRPr="00A60CE9" w:rsidRDefault="001F0219" w:rsidP="000D4FCA">
      <w:pPr>
        <w:pStyle w:val="Heading1"/>
        <w:spacing w:line="360" w:lineRule="auto"/>
      </w:pPr>
      <w:r w:rsidRPr="00A60CE9">
        <w:t>EMPIRICAL FINDINGS</w:t>
      </w:r>
    </w:p>
    <w:p w14:paraId="3C54BF1D" w14:textId="77777777" w:rsidR="001F0219" w:rsidRPr="00A60CE9" w:rsidRDefault="001F0219" w:rsidP="000D4FCA">
      <w:pPr>
        <w:pStyle w:val="Heading2"/>
        <w:spacing w:line="360" w:lineRule="auto"/>
      </w:pPr>
      <w:r w:rsidRPr="00A60CE9">
        <w:t>Regression results</w:t>
      </w:r>
    </w:p>
    <w:p w14:paraId="1A349D9E" w14:textId="77777777" w:rsidR="001F0219" w:rsidRPr="00A60CE9" w:rsidRDefault="001F0219" w:rsidP="000D4FCA">
      <w:pPr>
        <w:spacing w:line="360" w:lineRule="auto"/>
      </w:pPr>
      <w:r w:rsidRPr="00A60CE9">
        <w:t>We employ fixed-effects Poisson regressions with robust standard errors in order to account for the count data nature of the dependent variable and for unobserved firm-specific effects (Wooldridge, 2010).</w:t>
      </w:r>
      <w:r w:rsidRPr="00A60CE9">
        <w:rPr>
          <w:rStyle w:val="FootnoteReference"/>
        </w:rPr>
        <w:footnoteReference w:id="6"/>
      </w:r>
      <w:r w:rsidR="00C801A0" w:rsidRPr="00A60CE9">
        <w:t xml:space="preserve"> Table 1</w:t>
      </w:r>
      <w:r w:rsidRPr="00A60CE9">
        <w:t xml:space="preserve"> presents the estimation results</w:t>
      </w:r>
      <w:r w:rsidR="00C801A0" w:rsidRPr="00A60CE9">
        <w:t xml:space="preserve"> (see Tables A1 and A2 in </w:t>
      </w:r>
      <w:r w:rsidR="008376BC" w:rsidRPr="00A60CE9">
        <w:t>A</w:t>
      </w:r>
      <w:r w:rsidR="00C801A0" w:rsidRPr="00A60CE9">
        <w:t>ppendix</w:t>
      </w:r>
      <w:r w:rsidR="00880A8C" w:rsidRPr="00A60CE9">
        <w:t xml:space="preserve"> I</w:t>
      </w:r>
      <w:r w:rsidR="007F5097" w:rsidRPr="00A60CE9">
        <w:t xml:space="preserve"> </w:t>
      </w:r>
      <w:r w:rsidR="00C801A0" w:rsidRPr="00A60CE9">
        <w:t xml:space="preserve">for descriptive statistics and </w:t>
      </w:r>
      <w:r w:rsidR="00D92D90" w:rsidRPr="00A60CE9">
        <w:t xml:space="preserve">bivariate </w:t>
      </w:r>
      <w:r w:rsidR="00C801A0" w:rsidRPr="00A60CE9">
        <w:t>correlations)</w:t>
      </w:r>
      <w:r w:rsidRPr="00A60CE9">
        <w:t xml:space="preserve">. </w:t>
      </w:r>
    </w:p>
    <w:p w14:paraId="6F8F8752" w14:textId="77777777" w:rsidR="001F0219" w:rsidRPr="00A60CE9" w:rsidRDefault="001F0219" w:rsidP="000D4FCA">
      <w:pPr>
        <w:spacing w:line="360" w:lineRule="auto"/>
      </w:pPr>
      <w:r w:rsidRPr="00A60CE9">
        <w:t>----------------</w:t>
      </w:r>
      <w:r w:rsidR="00C801A0" w:rsidRPr="00A60CE9">
        <w:t>------------------Insert Table 1</w:t>
      </w:r>
      <w:r w:rsidRPr="00A60CE9">
        <w:t xml:space="preserve"> about here----------------------------------</w:t>
      </w:r>
    </w:p>
    <w:p w14:paraId="70473538" w14:textId="4BE4B00C" w:rsidR="001F0219" w:rsidRPr="00A60CE9" w:rsidRDefault="001F0219" w:rsidP="000D4FCA">
      <w:pPr>
        <w:spacing w:line="360" w:lineRule="auto"/>
      </w:pPr>
      <w:r w:rsidRPr="00A60CE9">
        <w:t xml:space="preserve">The first column shows the basic specification including firms’ size and the share of inventors and departing inventors as well as time dummies. In addition, a post-M&amp;A dummy is included to test whether the patent outcome declines after the M&amp;A. The estimated coefficients show the </w:t>
      </w:r>
      <w:r w:rsidRPr="00A60CE9">
        <w:lastRenderedPageBreak/>
        <w:t xml:space="preserve">expected signs. We find that patent outcome is positively associated with firm size and the share of incumbent inventors. The marginal effects suggest that an increase of one in the firm size and inventor share variable leads to an increase of 13 percent (=exp(0.12)-1) and 46 percent (=exp(0.23)-1) of the number of patents, respectively. The marginal effect of inventors leaving the firm corresponds to a 19 percent decline of firm’s patent output. If 18 percent of the inventors leave in the M&amp;A period as is the case for our sample (see Table </w:t>
      </w:r>
      <w:r w:rsidR="00ED57BE" w:rsidRPr="00A60CE9">
        <w:t>A</w:t>
      </w:r>
      <w:r w:rsidRPr="00A60CE9">
        <w:t>1) the patent productivity decreases by 3.4 percent</w:t>
      </w:r>
      <w:r w:rsidR="00AC12B1" w:rsidRPr="00A60CE9">
        <w:t xml:space="preserve"> (=19% *18%)</w:t>
      </w:r>
      <w:r w:rsidRPr="00A60CE9">
        <w:t xml:space="preserve">. Furthermore, we find that firms’ inventive output decreases in the post-M&amp;A years; after the M&amp;A event, the productivity is 14 percent lower, which </w:t>
      </w:r>
      <w:r w:rsidR="00F207C2" w:rsidRPr="00A60CE9">
        <w:t>corresponds to</w:t>
      </w:r>
      <w:r w:rsidR="00757387" w:rsidRPr="00A60CE9">
        <w:t xml:space="preserve"> </w:t>
      </w:r>
      <w:r w:rsidRPr="00A60CE9">
        <w:t xml:space="preserve">2.5 patents at the sample mean. </w:t>
      </w:r>
    </w:p>
    <w:p w14:paraId="76D19CDA" w14:textId="59D2DB2F" w:rsidR="001F0219" w:rsidRPr="00A60CE9" w:rsidRDefault="001F0219" w:rsidP="000D4FCA">
      <w:pPr>
        <w:spacing w:line="360" w:lineRule="auto"/>
      </w:pPr>
      <w:r w:rsidRPr="00A60CE9">
        <w:t>The second specifi</w:t>
      </w:r>
      <w:r w:rsidR="00C15F49" w:rsidRPr="00A60CE9">
        <w:t>cation</w:t>
      </w:r>
      <w:r w:rsidRPr="00A60CE9">
        <w:t xml:space="preserve"> include</w:t>
      </w:r>
      <w:r w:rsidR="00C15F49" w:rsidRPr="00A60CE9">
        <w:t>s</w:t>
      </w:r>
      <w:r w:rsidRPr="00A60CE9">
        <w:t xml:space="preserve"> the variables capturing sources of invention declines at the firm level after the M&amp;A event</w:t>
      </w:r>
      <w:r w:rsidR="00B53BAE" w:rsidRPr="00A60CE9">
        <w:t>, namely inventor departure and productivity</w:t>
      </w:r>
      <w:r w:rsidR="00E814A8" w:rsidRPr="00A60CE9">
        <w:t xml:space="preserve"> declines</w:t>
      </w:r>
      <w:r w:rsidR="00B53BAE" w:rsidRPr="00A60CE9">
        <w:t xml:space="preserve"> of the inventors that stay</w:t>
      </w:r>
      <w:r w:rsidRPr="00A60CE9">
        <w:t xml:space="preserve">. First, we find a significant and negative effect of the interaction term between the inventor share and the post-M&amp;A dummy, indicating that patent productivity of inventors declines after the M&amp;A.  Second, we find a negative and significant association for inventors leaving the firm after the M&amp;A. </w:t>
      </w:r>
      <w:r w:rsidR="00C70FFA" w:rsidRPr="00A60CE9">
        <w:t>We also find that the productivity decline of the inventors that remain in the acquiring firm is larger than the patents lost due to inventor departure. A t-test for the equality of both coefficients shows that the difference is significant</w:t>
      </w:r>
      <w:r w:rsidR="00C07B85" w:rsidRPr="00A60CE9">
        <w:t>ly different from zero</w:t>
      </w:r>
      <w:r w:rsidR="00C70FFA" w:rsidRPr="00A60CE9">
        <w:t xml:space="preserve"> (Chi2=139.07; p-value=0.000).</w:t>
      </w:r>
    </w:p>
    <w:p w14:paraId="627B4C9B" w14:textId="77777777" w:rsidR="00E419D0" w:rsidRPr="00A60CE9" w:rsidRDefault="001F0219" w:rsidP="000D4FCA">
      <w:pPr>
        <w:spacing w:line="360" w:lineRule="auto"/>
      </w:pPr>
      <w:r w:rsidRPr="00A60CE9">
        <w:t xml:space="preserve">The </w:t>
      </w:r>
      <w:r w:rsidR="00B17B42" w:rsidRPr="00A60CE9">
        <w:t xml:space="preserve">third and </w:t>
      </w:r>
      <w:r w:rsidRPr="00A60CE9">
        <w:t>fourth specifications include the share of new key inventors before and after the M&amp;A. The results show that while hiring a key inventor in the immediate pre-M&amp;A years is counterproductive we find that newly hired key inventors are significantly and positively associated with the post-M&amp;A patent outcome. The direct positive impact of newly hired key inventors on firms’ post-M&amp;A patenting output corresponds to an increase of 0.</w:t>
      </w:r>
      <w:r w:rsidR="00BE507D" w:rsidRPr="00A60CE9">
        <w:t>96</w:t>
      </w:r>
      <w:r w:rsidRPr="00A60CE9">
        <w:t xml:space="preserve"> percentage points</w:t>
      </w:r>
      <w:r w:rsidR="000D4809" w:rsidRPr="00A60CE9">
        <w:t xml:space="preserve"> (=exp(-0.05+0.7)-exp(-0.05))</w:t>
      </w:r>
      <w:r w:rsidR="000D4809" w:rsidRPr="00A60CE9">
        <w:rPr>
          <w:rStyle w:val="FootnoteReference"/>
        </w:rPr>
        <w:footnoteReference w:id="7"/>
      </w:r>
      <w:r w:rsidRPr="00A60CE9">
        <w:t>. This find</w:t>
      </w:r>
      <w:r w:rsidR="00ED0C09" w:rsidRPr="00A60CE9">
        <w:t>ing is in line with hypothesis 1</w:t>
      </w:r>
      <w:r w:rsidRPr="00A60CE9">
        <w:t xml:space="preserve">. </w:t>
      </w:r>
    </w:p>
    <w:p w14:paraId="2F36C86D" w14:textId="092F799D" w:rsidR="001F0219" w:rsidRPr="00A60CE9" w:rsidRDefault="001F0219" w:rsidP="000D4FCA">
      <w:pPr>
        <w:spacing w:line="360" w:lineRule="auto"/>
      </w:pPr>
      <w:r w:rsidRPr="00A60CE9">
        <w:t xml:space="preserve">The last two specifications present the test of hypothesis </w:t>
      </w:r>
      <w:r w:rsidR="002B55B7" w:rsidRPr="00A60CE9">
        <w:t>2</w:t>
      </w:r>
      <w:r w:rsidRPr="00A60CE9">
        <w:t>. In support of th</w:t>
      </w:r>
      <w:r w:rsidR="00143296" w:rsidRPr="00A60CE9">
        <w:t>e</w:t>
      </w:r>
      <w:r w:rsidRPr="00A60CE9">
        <w:t xml:space="preserve"> hypothesis, we find that there is a positive and significant indirect association between newly hired key inventors on the patenting output of incumbent inventors. The impact of newly hired key inventors on firms’ patenting output through the positive effects on incumbent inventors accounts for 1.34 percentage points</w:t>
      </w:r>
      <w:r w:rsidR="00E419D0" w:rsidRPr="00A60CE9">
        <w:t xml:space="preserve"> (=exp(-2.04+2.43)-exp(-2.04))</w:t>
      </w:r>
      <w:r w:rsidRPr="00A60CE9">
        <w:t xml:space="preserve">. Moreover, the positive effect of the newly hired key </w:t>
      </w:r>
      <w:r w:rsidRPr="00A60CE9">
        <w:lastRenderedPageBreak/>
        <w:t>inventors, represented by the triple interaction term (</w:t>
      </w:r>
      <w:r w:rsidRPr="00A60CE9">
        <w:rPr>
          <w:i/>
          <w:iCs/>
        </w:rPr>
        <w:t>INVENTORS</w:t>
      </w:r>
      <w:r w:rsidRPr="00A60CE9">
        <w:t>*</w:t>
      </w:r>
      <w:r w:rsidRPr="00A60CE9">
        <w:rPr>
          <w:i/>
          <w:iCs/>
        </w:rPr>
        <w:t>NEW KEY</w:t>
      </w:r>
      <w:r w:rsidRPr="00A60CE9">
        <w:t xml:space="preserve"> *after M&amp;A), outweighs the negative effect of the M&amp;A on the inventors’ productivity (</w:t>
      </w:r>
      <w:r w:rsidRPr="00A60CE9">
        <w:rPr>
          <w:i/>
          <w:iCs/>
        </w:rPr>
        <w:t>INVENTORS</w:t>
      </w:r>
      <w:r w:rsidRPr="00A60CE9">
        <w:t xml:space="preserve">*after M&amp;A) as the test on the equality of the coefficients suggests (Chi2=13.32; p-value=0.000). </w:t>
      </w:r>
      <w:r w:rsidR="00247358" w:rsidRPr="00A60CE9">
        <w:t>The comparison of before/after and direct/indirect effects are displayed in Figure 1.</w:t>
      </w:r>
    </w:p>
    <w:p w14:paraId="63B3C993" w14:textId="77777777" w:rsidR="001F0219" w:rsidRPr="00A60CE9" w:rsidRDefault="001F0219" w:rsidP="000D4FCA">
      <w:pPr>
        <w:spacing w:line="360" w:lineRule="auto"/>
      </w:pPr>
      <w:r w:rsidRPr="00A60CE9">
        <w:t xml:space="preserve">Appendix II presents further analysis based on the technological intensity of firms’ industries and some robustness checks. </w:t>
      </w:r>
    </w:p>
    <w:p w14:paraId="0348ED4A" w14:textId="77777777" w:rsidR="001F0219" w:rsidRPr="00A60CE9" w:rsidRDefault="001F0219" w:rsidP="000D4FCA">
      <w:pPr>
        <w:pStyle w:val="Heading1"/>
        <w:spacing w:line="360" w:lineRule="auto"/>
      </w:pPr>
      <w:r w:rsidRPr="00A60CE9">
        <w:t>DISCUSSION</w:t>
      </w:r>
    </w:p>
    <w:p w14:paraId="3D99B4E0" w14:textId="780E482F" w:rsidR="001F0219" w:rsidRPr="00A60CE9" w:rsidRDefault="001F0219" w:rsidP="0007798B">
      <w:pPr>
        <w:spacing w:line="360" w:lineRule="auto"/>
      </w:pPr>
      <w:r w:rsidRPr="00A60CE9">
        <w:t xml:space="preserve">Although M&amp;As are acknowledged as an important means to access innovative assets and know-how, inventive output often declines in the post-M&amp;A period (Comanor and Scherer, 2013; Hitt et al., 1990, 1996; Ornaghi, 2009; Valentini, 2012; Veugelers, 2006). We </w:t>
      </w:r>
      <w:r w:rsidR="000E128A" w:rsidRPr="00A60CE9">
        <w:t xml:space="preserve">argue and show that </w:t>
      </w:r>
      <w:r w:rsidR="009D4F1E" w:rsidRPr="00A60CE9">
        <w:t>a</w:t>
      </w:r>
      <w:r w:rsidRPr="00A60CE9">
        <w:t xml:space="preserve"> measure that firms can take to enhance</w:t>
      </w:r>
      <w:r w:rsidR="005279FB" w:rsidRPr="00A60CE9">
        <w:t xml:space="preserve"> incumbent</w:t>
      </w:r>
      <w:r w:rsidR="00726C5F" w:rsidRPr="00A60CE9">
        <w:t xml:space="preserve"> </w:t>
      </w:r>
      <w:r w:rsidR="000E128A" w:rsidRPr="00A60CE9">
        <w:t>inventors</w:t>
      </w:r>
      <w:r w:rsidR="007E119D">
        <w:t>’</w:t>
      </w:r>
      <w:r w:rsidRPr="00A60CE9">
        <w:t xml:space="preserve"> output after an M&amp;A is the hiring of key inventors (Almeida and Kogut, 1999; Ganco, 2013; Groysberg and Lee, 2009; Rosenkopf and Almeida, 2003; Singh and Agrawal, 2011). The hiring of new key inventors in the post-M&amp;A period is associated with lower levels of post-M&amp;A inventive output declines. The hiring of key inventors affects inventive output in two ways. On the one hand, there is a direct effect in the sense that these newly hired key inventors increase inventive output after an M&amp;A by increasing the knowledge base of the acquiring firm and, hence, accelerating the firm’s invention output. The newly hired key inventors provide the acquiring firm with new skills, competencies, and experiences (Rao and Drazin, 2002), gathered at their former employer (Barney, 1991; Groysberg et al., 2008). On the other hand, newly hired key inventors improve the productivity of the inventors already working for the acquiring firm. This implies that newly hired key inventors do not only add to a firms’ existing knowledge base (Rao and Drazin, 2002) but that they also improve the exploitation of the existing knowledge base (Hackman, 2002). Hiring new key inventors sends a positive signal to incumbent inventors, reassuring that invention is of importance to the firm, even in times of corporate restructuring. As inventors have a strong preference to work with higher qualified colleagues (Barabasi et al., 2002; Wagner and Leydesdorff, 2005), newly hired key inventors can also increase the motivation and productivity of incumbent inventors (Allison and Long, 1990). In addition, newly hired key inventors can leverage their central position in the firm and their resource access to facilitate the invention </w:t>
      </w:r>
      <w:r w:rsidRPr="00A60CE9">
        <w:lastRenderedPageBreak/>
        <w:t xml:space="preserve">process within the firm. Overall, this suggests that an appropriate hiring policy for external key inventors can counteract invention declines in the aftermath of an M&amp;A. </w:t>
      </w:r>
    </w:p>
    <w:p w14:paraId="607BC9CF" w14:textId="6E319551" w:rsidR="00B069AA" w:rsidRPr="00A60CE9" w:rsidRDefault="00B069AA" w:rsidP="00B069AA">
      <w:pPr>
        <w:pStyle w:val="Heading2"/>
        <w:spacing w:line="360" w:lineRule="auto"/>
      </w:pPr>
      <w:r w:rsidRPr="00A60CE9">
        <w:t>Managerial Implications</w:t>
      </w:r>
    </w:p>
    <w:p w14:paraId="7F3A2BC0" w14:textId="31D458E2" w:rsidR="00B069AA" w:rsidRPr="00A60CE9" w:rsidRDefault="00B069AA" w:rsidP="00897B9C">
      <w:pPr>
        <w:spacing w:line="360" w:lineRule="auto"/>
      </w:pPr>
      <w:r w:rsidRPr="00A60CE9">
        <w:t xml:space="preserve">While descriptive, our results suggest </w:t>
      </w:r>
      <w:r w:rsidR="00DA72D8" w:rsidRPr="00A60CE9">
        <w:t xml:space="preserve">firms </w:t>
      </w:r>
      <w:r w:rsidR="0007798B" w:rsidRPr="00A60CE9">
        <w:t>do not need to be</w:t>
      </w:r>
      <w:r w:rsidR="00DA72D8" w:rsidRPr="00A60CE9">
        <w:t xml:space="preserve"> passive observers of the consequences of M&amp;As, but rather can take specific steps to minimize the negative effects of M&amp;As on innovation performance. </w:t>
      </w:r>
      <w:r w:rsidR="00AE64D9" w:rsidRPr="00A60CE9">
        <w:t xml:space="preserve">Our findings indicate managers should be proactive in setting a post-M&amp;A human resource strategy and should </w:t>
      </w:r>
      <w:r w:rsidR="0005081C" w:rsidRPr="00A60CE9">
        <w:t xml:space="preserve">focus their attention </w:t>
      </w:r>
      <w:r w:rsidRPr="00A60CE9">
        <w:t>rather on the inventors that stay with the firm than on the inventors that are departing</w:t>
      </w:r>
      <w:r w:rsidR="003F7C08" w:rsidRPr="00A60CE9">
        <w:t xml:space="preserve"> (Hussinger, 201</w:t>
      </w:r>
      <w:r w:rsidR="00414542" w:rsidRPr="00A60CE9">
        <w:t>2</w:t>
      </w:r>
      <w:r w:rsidR="003F7C08" w:rsidRPr="00A60CE9">
        <w:t>)</w:t>
      </w:r>
      <w:r w:rsidRPr="00A60CE9">
        <w:t>. This can be seen as good news for managers because it is relatively easier to foster and support the innovation activities of inventors that stay than to design attractive contracts for those inventors that are planning to leave the firm.</w:t>
      </w:r>
      <w:r w:rsidR="00BD21B3" w:rsidRPr="00A60CE9">
        <w:t xml:space="preserve"> In particular, o</w:t>
      </w:r>
      <w:r w:rsidRPr="00A60CE9">
        <w:t xml:space="preserve">ur results further suggest </w:t>
      </w:r>
      <w:r w:rsidR="00897B9C" w:rsidRPr="00A60CE9">
        <w:t>that during the turbu</w:t>
      </w:r>
      <w:r w:rsidR="0005081C" w:rsidRPr="00A60CE9">
        <w:t>lent times that M&amp;As represent</w:t>
      </w:r>
      <w:r w:rsidRPr="00A60CE9">
        <w:t xml:space="preserve"> </w:t>
      </w:r>
      <w:r w:rsidR="00897B9C" w:rsidRPr="00A60CE9">
        <w:t>managers should aim at recruiting top-performing inventors that have the potential to bring superior knowledge and research capabilities, and to provide new leadership</w:t>
      </w:r>
      <w:r w:rsidR="00B916D0" w:rsidRPr="00A60CE9">
        <w:t xml:space="preserve"> in the new M&amp;A organization</w:t>
      </w:r>
      <w:r w:rsidR="00897B9C" w:rsidRPr="00A60CE9">
        <w:t xml:space="preserve">. </w:t>
      </w:r>
    </w:p>
    <w:p w14:paraId="655CA111" w14:textId="190B7B9F" w:rsidR="001F0219" w:rsidRPr="00A60CE9" w:rsidRDefault="007136BA" w:rsidP="000D4FCA">
      <w:pPr>
        <w:spacing w:line="360" w:lineRule="auto"/>
      </w:pPr>
      <w:r w:rsidRPr="00A60CE9">
        <w:t>O</w:t>
      </w:r>
      <w:r w:rsidR="001F0219" w:rsidRPr="00A60CE9">
        <w:t>ur results seem to be supported by previous studies and anecdotal evidence. Dixon and Nelson (2005) report that human resource professionals are often not involved in the M&amp;A planning and execution team which is typically almost entirely comprised of people from finance, IT, and other disciplines seen as essential to making the deal work. As shown by the acquisition of Gillette by P&amp;G, an integration team that monitors and manages the M&amp;A process can prevent declining benefits from an M&amp;A. To avoid brain drain and to ensure continued pre-M&amp;A levels of invention, P&amp;G conducted a successful key-inventors’ hiring policy. Following this strategy, P&amp;G-Gillette is regarded as one of the most successful M&amp;As in the recent past (Kanter, 2009).</w:t>
      </w:r>
    </w:p>
    <w:p w14:paraId="2D9BF78C" w14:textId="07997F85" w:rsidR="001F0219" w:rsidRPr="00A60CE9" w:rsidRDefault="001F0219" w:rsidP="000D4FCA">
      <w:pPr>
        <w:pStyle w:val="Heading2"/>
        <w:spacing w:line="360" w:lineRule="auto"/>
      </w:pPr>
      <w:r w:rsidRPr="00A60CE9">
        <w:t>Limitations</w:t>
      </w:r>
      <w:r w:rsidR="00D772B8" w:rsidRPr="00A60CE9">
        <w:t xml:space="preserve"> and further research</w:t>
      </w:r>
    </w:p>
    <w:p w14:paraId="48C8540A" w14:textId="0186BE7E" w:rsidR="00F96F9C" w:rsidRDefault="001F0219" w:rsidP="000D4FCA">
      <w:pPr>
        <w:spacing w:line="360" w:lineRule="auto"/>
      </w:pPr>
      <w:r w:rsidRPr="00A60CE9">
        <w:t xml:space="preserve">As any, our study is not free of limitations. First, the analysis presented in this paper has to be considered as descriptive. The results have to be interpreted as associations rather than as causal effects. The reason is that the effects that we </w:t>
      </w:r>
      <w:r w:rsidR="00A87675" w:rsidRPr="00A60CE9">
        <w:t>analyze</w:t>
      </w:r>
      <w:r w:rsidRPr="00A60CE9">
        <w:t xml:space="preserve"> occur in an endogenous system of strategic choices. Firms selectively decide to engage in M&amp;As and they do so for various reasons. Around the M&amp;A event, major organizational and strategic decisions are taken, sometimes while managerial attention being absorbed by the M&amp;A event itself. We addressed the endogeneity concerns of leaving and newly hired inventors to some extent by using lagged variables as </w:t>
      </w:r>
      <w:r w:rsidRPr="00A60CE9">
        <w:lastRenderedPageBreak/>
        <w:t xml:space="preserve">regressors. A further limitation that our study shares with the majority of inventor mobility studies (Ge et al., 2016; Hoisl, 2007; Li et al., 2014; Trajtenberg et al., 2006) is that we can only define mobility based on patent documents. So, we miss the mobility of inventors that change their job without patent documentation. Furthermore, we cannot distinguish inventors who change their job from those that retire. </w:t>
      </w:r>
    </w:p>
    <w:p w14:paraId="53748A27" w14:textId="1E4B73A2" w:rsidR="001F0219" w:rsidRPr="00A60CE9" w:rsidRDefault="00F96F9C" w:rsidP="000D4FCA">
      <w:pPr>
        <w:spacing w:line="360" w:lineRule="auto"/>
      </w:pPr>
      <w:r w:rsidRPr="00640FD6">
        <w:t xml:space="preserve">Following recent studies (Kaiser et al., 2018; Cassiman et al., 2018), future research could expand the research presented in this paper by including the impact of incoming inventors from universities, and compare it with that of inventors coming from other firms. Another topic of relevance for inventor mobility </w:t>
      </w:r>
      <w:r w:rsidR="005C3043" w:rsidRPr="00640FD6">
        <w:t>is</w:t>
      </w:r>
      <w:r w:rsidRPr="00640FD6">
        <w:t xml:space="preserve"> non-compete agreements</w:t>
      </w:r>
      <w:r w:rsidR="00174B8B">
        <w:rPr>
          <w:rStyle w:val="FootnoteReference"/>
        </w:rPr>
        <w:footnoteReference w:id="8"/>
      </w:r>
      <w:r w:rsidRPr="00640FD6">
        <w:t xml:space="preserve"> (e.g. Marx et al. 2009; Arts and Fleming, 2018). An interesting venue for research would be to further investigate these two areas.</w:t>
      </w:r>
    </w:p>
    <w:p w14:paraId="38E4E145" w14:textId="7B6EC3F9" w:rsidR="001F0219" w:rsidRPr="00A60CE9" w:rsidRDefault="001F0219" w:rsidP="000D4FCA">
      <w:pPr>
        <w:pStyle w:val="Heading1"/>
        <w:spacing w:line="360" w:lineRule="auto"/>
      </w:pPr>
      <w:r w:rsidRPr="00A60CE9">
        <w:t>CONCLUSIONS</w:t>
      </w:r>
    </w:p>
    <w:p w14:paraId="3FA2EB82" w14:textId="4B0EAE6D" w:rsidR="001F0219" w:rsidRPr="00A60CE9" w:rsidRDefault="001F0219" w:rsidP="000D4FCA">
      <w:pPr>
        <w:spacing w:line="360" w:lineRule="auto"/>
      </w:pPr>
      <w:r w:rsidRPr="00A60CE9">
        <w:t>Our study contributes to the literature that illustrates the importance of the transferability of knowledge across and within firms through individual talents (Kim, 1997; Song et al., 2003; Zander and Kogut, 1995) and to the literature on the role of key inventors for knowledge exploitation. We add to the prior literature by showing that key inventors play an essential role in knowledge transfer also for firms in periods of reorganization and that, as such, they can mitigate negative inventive output effects in post-M&amp;A periods.</w:t>
      </w:r>
    </w:p>
    <w:p w14:paraId="6831B317" w14:textId="77777777" w:rsidR="001F0219" w:rsidRPr="00A60CE9" w:rsidRDefault="001F0219" w:rsidP="000D4FCA">
      <w:pPr>
        <w:spacing w:line="360" w:lineRule="auto"/>
      </w:pPr>
      <w:r w:rsidRPr="00A60CE9">
        <w:t>Interestingly, our understanding of the crucial role of newly hired key inventors, who are both directly and indirectly associated with the post-M&amp;A inventive output of firms, echoes the classical statement by Joseph Schumpeter who mentioned that “… inventions are always associated with the rise to leadership of New Men …” (and women, we would like to add) (Schumpeter, 1982(1939), p. 96). These newly hired key inventors act as Schumpeterian agents of change who not only alter existing routines and introduce and generate new knowledge that impacts the inventive output of the firms, through their key position within the firm, but they can also use their leadership position to disseminate knowledge to others, to motivate colleagues, and to create an innovative environment within the firm.</w:t>
      </w:r>
    </w:p>
    <w:p w14:paraId="55B06387" w14:textId="77777777" w:rsidR="001F0219" w:rsidRPr="00A60CE9" w:rsidRDefault="001F0219" w:rsidP="000D4FCA">
      <w:pPr>
        <w:spacing w:line="360" w:lineRule="auto"/>
        <w:rPr>
          <w:rFonts w:eastAsia="Yu Gothic Light"/>
          <w:b/>
          <w:spacing w:val="-10"/>
          <w:kern w:val="28"/>
          <w:szCs w:val="56"/>
        </w:rPr>
      </w:pPr>
      <w:r w:rsidRPr="00A60CE9">
        <w:br w:type="page"/>
      </w:r>
    </w:p>
    <w:p w14:paraId="6AE71AA4" w14:textId="77777777" w:rsidR="001F0219" w:rsidRPr="00A60CE9" w:rsidRDefault="001F0219" w:rsidP="000D4FCA">
      <w:pPr>
        <w:pStyle w:val="Heading1"/>
        <w:spacing w:line="360" w:lineRule="auto"/>
      </w:pPr>
      <w:r w:rsidRPr="00A60CE9">
        <w:lastRenderedPageBreak/>
        <w:t>REFERENCES</w:t>
      </w:r>
    </w:p>
    <w:p w14:paraId="3EF5F54C" w14:textId="77777777" w:rsidR="00236A58" w:rsidRPr="00A60CE9" w:rsidRDefault="00236A58" w:rsidP="000D4FCA">
      <w:pPr>
        <w:spacing w:line="360" w:lineRule="auto"/>
      </w:pPr>
      <w:r w:rsidRPr="001A02C6">
        <w:rPr>
          <w:lang w:val="de-DE"/>
        </w:rPr>
        <w:t xml:space="preserve">Aggarwal, V. A., &amp; Hsu, D. H. 2012. </w:t>
      </w:r>
      <w:r w:rsidRPr="00A60CE9">
        <w:rPr>
          <w:b/>
          <w:i/>
        </w:rPr>
        <w:t>Entrepreneurial exits and innovation</w:t>
      </w:r>
      <w:r w:rsidRPr="00A60CE9">
        <w:t>. Stanford Institute for Economic Policy Research.</w:t>
      </w:r>
      <w:r w:rsidRPr="00A60CE9">
        <w:rPr>
          <w:i/>
        </w:rPr>
        <w:t xml:space="preserve"> </w:t>
      </w:r>
    </w:p>
    <w:p w14:paraId="7CD037DA" w14:textId="77777777" w:rsidR="00236A58" w:rsidRPr="00A60CE9" w:rsidRDefault="00236A58" w:rsidP="000D4FCA">
      <w:pPr>
        <w:spacing w:line="360" w:lineRule="auto"/>
        <w:rPr>
          <w:rFonts w:cs="Times New Roman"/>
        </w:rPr>
      </w:pPr>
      <w:r w:rsidRPr="00A60CE9">
        <w:rPr>
          <w:rFonts w:cs="Times New Roman"/>
        </w:rPr>
        <w:t xml:space="preserve">Ahuja, G., &amp; Katila, R. 2001. Technological Acquisitions and the Innovation Performance of Acquiring Firms: A Longitudinal Study. </w:t>
      </w:r>
      <w:r w:rsidRPr="00A60CE9">
        <w:rPr>
          <w:rFonts w:cs="Times New Roman"/>
          <w:b/>
          <w:i/>
        </w:rPr>
        <w:t xml:space="preserve">Strategic Management Journal, </w:t>
      </w:r>
      <w:r w:rsidRPr="00A60CE9">
        <w:rPr>
          <w:rFonts w:cs="Times New Roman"/>
        </w:rPr>
        <w:t>22(3): 197-220.</w:t>
      </w:r>
    </w:p>
    <w:p w14:paraId="5AFB9ED4" w14:textId="77777777" w:rsidR="00236A58" w:rsidRPr="00A60CE9" w:rsidRDefault="00236A58" w:rsidP="000D4FCA">
      <w:pPr>
        <w:spacing w:line="360" w:lineRule="auto"/>
        <w:rPr>
          <w:rFonts w:cs="Times New Roman"/>
        </w:rPr>
      </w:pPr>
      <w:r w:rsidRPr="00A60CE9">
        <w:rPr>
          <w:rFonts w:cs="Times New Roman"/>
        </w:rPr>
        <w:t xml:space="preserve">Allison, P. D., &amp; Long, J.S. 1990. Departmental effects on scientific productivity. </w:t>
      </w:r>
      <w:r w:rsidRPr="00A60CE9">
        <w:rPr>
          <w:rFonts w:cs="Times New Roman"/>
          <w:b/>
          <w:i/>
        </w:rPr>
        <w:t>American Sociological Review,</w:t>
      </w:r>
      <w:r w:rsidRPr="00A60CE9">
        <w:rPr>
          <w:rFonts w:cs="Times New Roman"/>
        </w:rPr>
        <w:t xml:space="preserve"> 55(4): 469-478.</w:t>
      </w:r>
    </w:p>
    <w:p w14:paraId="020915F1" w14:textId="77777777" w:rsidR="00236A58" w:rsidRPr="00A60CE9" w:rsidRDefault="00236A58" w:rsidP="000D4FCA">
      <w:pPr>
        <w:spacing w:line="360" w:lineRule="auto"/>
        <w:rPr>
          <w:rFonts w:cs="Times New Roman"/>
        </w:rPr>
      </w:pPr>
      <w:r w:rsidRPr="00A60CE9">
        <w:rPr>
          <w:rFonts w:cs="Times New Roman"/>
        </w:rPr>
        <w:t xml:space="preserve">Allison, P. D., &amp; Waterman, R. P. 2002. 7. Fixed-effects negative binomial regression models. </w:t>
      </w:r>
      <w:r w:rsidRPr="00A60CE9">
        <w:rPr>
          <w:rFonts w:cs="Times New Roman"/>
          <w:b/>
          <w:bCs/>
          <w:i/>
          <w:iCs/>
        </w:rPr>
        <w:t>Sociological Methodology</w:t>
      </w:r>
      <w:r w:rsidRPr="00A60CE9">
        <w:rPr>
          <w:rFonts w:cs="Times New Roman"/>
        </w:rPr>
        <w:t>, 32(1): 247-265.</w:t>
      </w:r>
    </w:p>
    <w:p w14:paraId="319B79BF" w14:textId="77777777" w:rsidR="00236A58" w:rsidRPr="00A60CE9" w:rsidRDefault="00236A58" w:rsidP="000D4FCA">
      <w:pPr>
        <w:spacing w:line="360" w:lineRule="auto"/>
        <w:rPr>
          <w:rFonts w:cs="Times New Roman"/>
        </w:rPr>
      </w:pPr>
      <w:r w:rsidRPr="00A60CE9">
        <w:rPr>
          <w:rFonts w:cs="Times New Roman"/>
        </w:rPr>
        <w:t xml:space="preserve">Almeida, P., &amp; Kogut, B. 1999. Localization of knowledge and the mobility of engineers in regional networks. </w:t>
      </w:r>
      <w:r w:rsidRPr="00A60CE9">
        <w:rPr>
          <w:rFonts w:cs="Times New Roman"/>
          <w:b/>
          <w:i/>
        </w:rPr>
        <w:t>Management Science,</w:t>
      </w:r>
      <w:r w:rsidRPr="00A60CE9">
        <w:rPr>
          <w:rFonts w:cs="Times New Roman"/>
        </w:rPr>
        <w:t xml:space="preserve"> 45: 905–917.</w:t>
      </w:r>
    </w:p>
    <w:p w14:paraId="349A5AE6" w14:textId="77777777" w:rsidR="00236A58" w:rsidRPr="00A60CE9" w:rsidRDefault="00236A58" w:rsidP="000D4FCA">
      <w:pPr>
        <w:spacing w:line="360" w:lineRule="auto"/>
      </w:pPr>
      <w:r w:rsidRPr="00A60CE9">
        <w:t xml:space="preserve">Archibugi, D. 1992. Patenting as an indicator of technological innovation: a review. </w:t>
      </w:r>
      <w:r w:rsidRPr="00A60CE9">
        <w:rPr>
          <w:b/>
          <w:i/>
        </w:rPr>
        <w:t>Science And Public Policy,</w:t>
      </w:r>
      <w:r w:rsidRPr="00A60CE9">
        <w:t xml:space="preserve"> 19(6): 357-368.</w:t>
      </w:r>
    </w:p>
    <w:p w14:paraId="209DF11D" w14:textId="77777777" w:rsidR="00236A58" w:rsidRPr="00A60CE9" w:rsidRDefault="00236A58" w:rsidP="000D4FCA">
      <w:pPr>
        <w:spacing w:line="360" w:lineRule="auto"/>
        <w:rPr>
          <w:rFonts w:cs="Times New Roman"/>
        </w:rPr>
      </w:pPr>
      <w:r w:rsidRPr="00A60CE9">
        <w:rPr>
          <w:rFonts w:cs="Times New Roman"/>
        </w:rPr>
        <w:t xml:space="preserve">Arora, A., Fosfuri, A., &amp; Gambardella, A. 2001. </w:t>
      </w:r>
      <w:r w:rsidRPr="00A60CE9">
        <w:rPr>
          <w:rFonts w:cs="Times New Roman"/>
          <w:b/>
          <w:i/>
        </w:rPr>
        <w:t>Markets for Technology: The Economics of Innovation and Corporate Strategy</w:t>
      </w:r>
      <w:r w:rsidRPr="00A60CE9">
        <w:rPr>
          <w:rFonts w:cs="Times New Roman"/>
        </w:rPr>
        <w:t>. Cambridge, MA: MIT Press.</w:t>
      </w:r>
    </w:p>
    <w:p w14:paraId="56487EA7" w14:textId="102E414A" w:rsidR="008F69E2" w:rsidRDefault="008F69E2" w:rsidP="000D4FCA">
      <w:pPr>
        <w:spacing w:line="360" w:lineRule="auto"/>
        <w:rPr>
          <w:rFonts w:cs="Times New Roman"/>
        </w:rPr>
      </w:pPr>
      <w:r>
        <w:rPr>
          <w:rFonts w:cs="Times New Roman"/>
        </w:rPr>
        <w:t xml:space="preserve">Arts, S., &amp; Fleming, L. </w:t>
      </w:r>
      <w:r w:rsidRPr="008F69E2">
        <w:rPr>
          <w:rFonts w:cs="Times New Roman"/>
        </w:rPr>
        <w:t xml:space="preserve">2018. Paradise of novelty—or loss of human capital? Exploring new fields and inventive output. </w:t>
      </w:r>
      <w:r w:rsidRPr="008F69E2">
        <w:rPr>
          <w:rFonts w:cs="Times New Roman"/>
          <w:b/>
          <w:i/>
        </w:rPr>
        <w:t>Organization Science,</w:t>
      </w:r>
      <w:r>
        <w:rPr>
          <w:rFonts w:cs="Times New Roman"/>
        </w:rPr>
        <w:t xml:space="preserve"> 29(6):</w:t>
      </w:r>
      <w:r w:rsidRPr="008F69E2">
        <w:rPr>
          <w:rFonts w:cs="Times New Roman"/>
        </w:rPr>
        <w:t xml:space="preserve"> 1074-1092.</w:t>
      </w:r>
    </w:p>
    <w:p w14:paraId="6637AAEB" w14:textId="77777777" w:rsidR="00236A58" w:rsidRPr="00A60CE9" w:rsidRDefault="00236A58" w:rsidP="000D4FCA">
      <w:pPr>
        <w:spacing w:line="360" w:lineRule="auto"/>
        <w:rPr>
          <w:rFonts w:cs="Times New Roman"/>
        </w:rPr>
      </w:pPr>
      <w:r w:rsidRPr="001A02C6">
        <w:rPr>
          <w:rFonts w:cs="Times New Roman"/>
          <w:lang w:val="de-DE"/>
        </w:rPr>
        <w:t xml:space="preserve">Azoulay, P., Zivin, J. S. G., &amp; Wang, J. 2010. </w:t>
      </w:r>
      <w:r w:rsidRPr="00A60CE9">
        <w:rPr>
          <w:rFonts w:cs="Times New Roman"/>
        </w:rPr>
        <w:t xml:space="preserve">Superstar Extinction. </w:t>
      </w:r>
      <w:r w:rsidRPr="00A60CE9">
        <w:rPr>
          <w:rFonts w:cs="Times New Roman"/>
          <w:b/>
          <w:i/>
        </w:rPr>
        <w:t xml:space="preserve">The Quarterly Journal of Economics, </w:t>
      </w:r>
      <w:r w:rsidRPr="00A60CE9">
        <w:rPr>
          <w:rFonts w:cs="Times New Roman"/>
        </w:rPr>
        <w:t>125(2): 549-589.</w:t>
      </w:r>
    </w:p>
    <w:p w14:paraId="00A4DADB" w14:textId="77777777" w:rsidR="00236A58" w:rsidRPr="00A60CE9" w:rsidRDefault="00236A58" w:rsidP="000D4FCA">
      <w:pPr>
        <w:spacing w:line="360" w:lineRule="auto"/>
        <w:rPr>
          <w:rFonts w:cs="Times New Roman"/>
        </w:rPr>
      </w:pPr>
      <w:r w:rsidRPr="00A60CE9">
        <w:rPr>
          <w:rFonts w:cs="Times New Roman"/>
        </w:rPr>
        <w:t xml:space="preserve">Barabâsi, A. L., Jeong, H., Néda, Z., Ravasz, E., Schubert, A., &amp; Vicsek, T. 2002. Evolution of the social network of scientific collaborations. </w:t>
      </w:r>
      <w:r w:rsidRPr="00A60CE9">
        <w:rPr>
          <w:rFonts w:cs="Times New Roman"/>
          <w:b/>
          <w:i/>
        </w:rPr>
        <w:t>Physica A: Statistical mechanics and its applications,</w:t>
      </w:r>
      <w:r w:rsidRPr="00A60CE9">
        <w:rPr>
          <w:rFonts w:cs="Times New Roman"/>
        </w:rPr>
        <w:t xml:space="preserve"> 311(3): 590-614.</w:t>
      </w:r>
    </w:p>
    <w:p w14:paraId="4F6CC319" w14:textId="77777777" w:rsidR="00236A58" w:rsidRPr="00A60CE9" w:rsidRDefault="00236A58" w:rsidP="000D4FCA">
      <w:pPr>
        <w:spacing w:line="360" w:lineRule="auto"/>
      </w:pPr>
      <w:r w:rsidRPr="00A60CE9">
        <w:t xml:space="preserve">Barney, J. 1991. Firm resources and sustained competitive advantage. </w:t>
      </w:r>
      <w:r w:rsidRPr="00A60CE9">
        <w:rPr>
          <w:b/>
          <w:i/>
        </w:rPr>
        <w:t>Journal of Management,</w:t>
      </w:r>
      <w:r w:rsidRPr="00A60CE9">
        <w:t xml:space="preserve"> 17(1): 99-120.</w:t>
      </w:r>
    </w:p>
    <w:p w14:paraId="1A857120" w14:textId="77777777" w:rsidR="00236A58" w:rsidRPr="00A60CE9" w:rsidRDefault="00236A58" w:rsidP="000D4FCA">
      <w:pPr>
        <w:spacing w:line="360" w:lineRule="auto"/>
      </w:pPr>
      <w:r w:rsidRPr="00A60CE9">
        <w:t xml:space="preserve">Biggart, N. W. 1977. The creative-destructive process of organizational change: The case of the post office. </w:t>
      </w:r>
      <w:r w:rsidRPr="00A60CE9">
        <w:rPr>
          <w:b/>
          <w:i/>
        </w:rPr>
        <w:t>Administrative Science Quarterly,</w:t>
      </w:r>
      <w:r w:rsidRPr="00A60CE9">
        <w:t xml:space="preserve"> 22(3): 410-426.</w:t>
      </w:r>
    </w:p>
    <w:p w14:paraId="0C518BCE" w14:textId="77777777" w:rsidR="00236A58" w:rsidRPr="00A60CE9" w:rsidRDefault="00236A58" w:rsidP="000D4FCA">
      <w:pPr>
        <w:spacing w:line="360" w:lineRule="auto"/>
      </w:pPr>
      <w:r w:rsidRPr="00A60CE9">
        <w:lastRenderedPageBreak/>
        <w:t xml:space="preserve">Bonacich, P. 1987. Power and centrality: A family of measures. </w:t>
      </w:r>
      <w:r w:rsidRPr="00A60CE9">
        <w:rPr>
          <w:b/>
          <w:i/>
        </w:rPr>
        <w:t>American Journal of Sociology,</w:t>
      </w:r>
      <w:r w:rsidRPr="00A60CE9">
        <w:t xml:space="preserve"> 92(5): 1170-1182.</w:t>
      </w:r>
    </w:p>
    <w:p w14:paraId="2F6D13A3" w14:textId="06C7610F" w:rsidR="00236A58" w:rsidRPr="00A60CE9" w:rsidRDefault="00236A58" w:rsidP="000D4FCA">
      <w:pPr>
        <w:spacing w:line="360" w:lineRule="auto"/>
        <w:rPr>
          <w:iCs/>
        </w:rPr>
      </w:pPr>
      <w:r w:rsidRPr="00A60CE9">
        <w:t xml:space="preserve">Cameron, A. C., &amp; Trivedi, P. K. 2013. </w:t>
      </w:r>
      <w:r w:rsidRPr="00A60CE9">
        <w:rPr>
          <w:b/>
          <w:bCs/>
          <w:i/>
          <w:iCs/>
        </w:rPr>
        <w:t>Regression analysis of count data</w:t>
      </w:r>
      <w:r w:rsidRPr="00A60CE9">
        <w:t xml:space="preserve">. </w:t>
      </w:r>
      <w:r w:rsidR="008F69E2" w:rsidRPr="008F69E2">
        <w:t>Cambridge, UK: Cambridge University Press.</w:t>
      </w:r>
    </w:p>
    <w:p w14:paraId="069717BB" w14:textId="77777777" w:rsidR="00236A58" w:rsidRPr="00A60CE9" w:rsidRDefault="00236A58" w:rsidP="000D4FCA">
      <w:pPr>
        <w:spacing w:line="360" w:lineRule="auto"/>
      </w:pPr>
      <w:r w:rsidRPr="00A60CE9">
        <w:t xml:space="preserve">Capron, L., Dussauge, P., &amp; Mitchell, W. 1998. Resource redeployment following horizontal acquisitions in Europe and North America, 1988–1992. </w:t>
      </w:r>
      <w:r w:rsidRPr="00A60CE9">
        <w:rPr>
          <w:b/>
          <w:i/>
        </w:rPr>
        <w:t>Strategic Management Journal,</w:t>
      </w:r>
      <w:r w:rsidRPr="00A60CE9">
        <w:t xml:space="preserve"> 19(7): 631-661.</w:t>
      </w:r>
    </w:p>
    <w:p w14:paraId="6D76074B" w14:textId="77777777" w:rsidR="00236A58" w:rsidRPr="00A60CE9" w:rsidRDefault="00236A58" w:rsidP="000D4FCA">
      <w:pPr>
        <w:spacing w:line="360" w:lineRule="auto"/>
      </w:pPr>
      <w:r w:rsidRPr="00A60CE9">
        <w:t xml:space="preserve">Cartwright, S., &amp; Cooper, C.L. 1993. The role of culture compatibility in successful organizational marriage. </w:t>
      </w:r>
      <w:r w:rsidRPr="00A60CE9">
        <w:rPr>
          <w:b/>
          <w:i/>
        </w:rPr>
        <w:t>The Academy of Management Executive,</w:t>
      </w:r>
      <w:r w:rsidRPr="00A60CE9">
        <w:t xml:space="preserve"> 7(2): 57-70.</w:t>
      </w:r>
    </w:p>
    <w:p w14:paraId="6402C872" w14:textId="77777777" w:rsidR="00236A58" w:rsidRPr="00A60CE9" w:rsidRDefault="00236A58" w:rsidP="000D4FCA">
      <w:pPr>
        <w:spacing w:line="360" w:lineRule="auto"/>
      </w:pPr>
      <w:r w:rsidRPr="00A60CE9">
        <w:t xml:space="preserve">Cartwright, S., &amp; Schoenberg, R. 2006. Thirty years of mergers and acquisitions research: Recent advances and future opportunities. </w:t>
      </w:r>
      <w:r w:rsidRPr="00A60CE9">
        <w:rPr>
          <w:b/>
          <w:i/>
        </w:rPr>
        <w:t>British Journal of Management</w:t>
      </w:r>
      <w:r w:rsidRPr="00A60CE9">
        <w:t>, 17(S1): S1-S5.</w:t>
      </w:r>
    </w:p>
    <w:p w14:paraId="59D0B586" w14:textId="77777777" w:rsidR="00236A58" w:rsidRDefault="00236A58" w:rsidP="000D4FCA">
      <w:pPr>
        <w:spacing w:line="360" w:lineRule="auto"/>
        <w:rPr>
          <w:rFonts w:cs="Times New Roman"/>
        </w:rPr>
      </w:pPr>
      <w:r w:rsidRPr="001A02C6">
        <w:rPr>
          <w:rFonts w:cs="Times New Roman"/>
          <w:lang w:val="es-ES"/>
        </w:rPr>
        <w:t xml:space="preserve">Cassiman, B., Colombo, M., Garrone, P., &amp; Veugelers, R. 2005. </w:t>
      </w:r>
      <w:r w:rsidRPr="00A60CE9">
        <w:rPr>
          <w:rFonts w:cs="Times New Roman"/>
        </w:rPr>
        <w:t xml:space="preserve">The Impact of M&amp;A on the R&amp;D Process. An Empirical Analysis of the Role of Technological and Market relatedness. </w:t>
      </w:r>
      <w:r w:rsidRPr="00A60CE9">
        <w:rPr>
          <w:rFonts w:cs="Times New Roman"/>
          <w:b/>
          <w:i/>
        </w:rPr>
        <w:t>Research Policy,</w:t>
      </w:r>
      <w:r w:rsidRPr="00A60CE9">
        <w:rPr>
          <w:rFonts w:cs="Times New Roman"/>
        </w:rPr>
        <w:t xml:space="preserve"> 34(2): 195-220.</w:t>
      </w:r>
    </w:p>
    <w:p w14:paraId="37C92261" w14:textId="7E0BEDD2" w:rsidR="00A31765" w:rsidRPr="00A60CE9" w:rsidRDefault="00A31765" w:rsidP="000D4FCA">
      <w:pPr>
        <w:spacing w:line="360" w:lineRule="auto"/>
        <w:rPr>
          <w:rFonts w:cs="Times New Roman"/>
        </w:rPr>
      </w:pPr>
      <w:r w:rsidRPr="00A31765">
        <w:rPr>
          <w:rFonts w:cs="Times New Roman"/>
        </w:rPr>
        <w:t>Cassiman,</w:t>
      </w:r>
      <w:r>
        <w:rPr>
          <w:rFonts w:cs="Times New Roman"/>
        </w:rPr>
        <w:t xml:space="preserve"> B., Veugelers, R., &amp; Arts, S. 2018</w:t>
      </w:r>
      <w:r w:rsidRPr="00A31765">
        <w:rPr>
          <w:rFonts w:cs="Times New Roman"/>
        </w:rPr>
        <w:t xml:space="preserve">. Mind the gap: Capturing value from basic research through combining mobile inventors and partnerships. </w:t>
      </w:r>
      <w:r w:rsidRPr="00A31765">
        <w:rPr>
          <w:rFonts w:cs="Times New Roman"/>
          <w:b/>
          <w:i/>
        </w:rPr>
        <w:t>Research Policy,</w:t>
      </w:r>
      <w:r>
        <w:rPr>
          <w:rFonts w:cs="Times New Roman"/>
        </w:rPr>
        <w:t xml:space="preserve"> 47(9):</w:t>
      </w:r>
      <w:r w:rsidRPr="00A31765">
        <w:rPr>
          <w:rFonts w:cs="Times New Roman"/>
        </w:rPr>
        <w:t xml:space="preserve"> 1811-1824.</w:t>
      </w:r>
    </w:p>
    <w:p w14:paraId="36D0B60A" w14:textId="77777777" w:rsidR="00236A58" w:rsidRPr="00A60CE9" w:rsidRDefault="00236A58" w:rsidP="000D4FCA">
      <w:pPr>
        <w:spacing w:line="360" w:lineRule="auto"/>
        <w:rPr>
          <w:rFonts w:cs="Times New Roman"/>
        </w:rPr>
      </w:pPr>
      <w:r w:rsidRPr="00A60CE9">
        <w:rPr>
          <w:rFonts w:cs="Times New Roman"/>
        </w:rPr>
        <w:t xml:space="preserve">Chatterjee, S. 1986. Types of synergy and economic value: the impact of acquisitions on merging and rival firms. </w:t>
      </w:r>
      <w:r w:rsidRPr="00A60CE9">
        <w:rPr>
          <w:rFonts w:cs="Times New Roman"/>
          <w:b/>
          <w:i/>
        </w:rPr>
        <w:t>Strategic Management Journal,</w:t>
      </w:r>
      <w:r w:rsidRPr="00A60CE9">
        <w:rPr>
          <w:rFonts w:cs="Times New Roman"/>
        </w:rPr>
        <w:t xml:space="preserve"> 7: 119–39.</w:t>
      </w:r>
    </w:p>
    <w:p w14:paraId="7FE467BC" w14:textId="77777777" w:rsidR="00236A58" w:rsidRPr="00A60CE9" w:rsidRDefault="00236A58" w:rsidP="000D4FCA">
      <w:pPr>
        <w:spacing w:line="360" w:lineRule="auto"/>
      </w:pPr>
      <w:r w:rsidRPr="00A60CE9">
        <w:t xml:space="preserve">Chaudhuri, S., &amp; Tabrizi, B. 1999. Capturing the real value in high-tech acquisitions. </w:t>
      </w:r>
      <w:r w:rsidRPr="00A60CE9">
        <w:rPr>
          <w:b/>
          <w:i/>
        </w:rPr>
        <w:t>Harvard Business Review,</w:t>
      </w:r>
      <w:r w:rsidRPr="00A60CE9">
        <w:t xml:space="preserve"> 77(5): 123-130.</w:t>
      </w:r>
    </w:p>
    <w:p w14:paraId="786C89C9" w14:textId="77777777" w:rsidR="00236A58" w:rsidRPr="00A60CE9" w:rsidRDefault="00236A58" w:rsidP="000D4FCA">
      <w:pPr>
        <w:spacing w:line="360" w:lineRule="auto"/>
        <w:rPr>
          <w:rFonts w:cs="Times New Roman"/>
        </w:rPr>
      </w:pPr>
      <w:r w:rsidRPr="00A60CE9">
        <w:rPr>
          <w:rFonts w:cs="Times New Roman"/>
        </w:rPr>
        <w:t xml:space="preserve">Cloodt, M., Hagedoorn, J., &amp; van Kranenburg, H. 2006.Mergers and Acquisitions: Their Effect on the Innovative Performance of Companies in High-tech Industries. </w:t>
      </w:r>
      <w:r w:rsidRPr="00A60CE9">
        <w:rPr>
          <w:rFonts w:cs="Times New Roman"/>
          <w:b/>
          <w:i/>
        </w:rPr>
        <w:t>Research Policy,</w:t>
      </w:r>
      <w:r w:rsidRPr="00A60CE9">
        <w:rPr>
          <w:rFonts w:cs="Times New Roman"/>
        </w:rPr>
        <w:t xml:space="preserve"> 35: 641-654.</w:t>
      </w:r>
    </w:p>
    <w:p w14:paraId="76EED2D6" w14:textId="77777777" w:rsidR="00236A58" w:rsidRPr="00A60CE9" w:rsidRDefault="00236A58" w:rsidP="000D4FCA">
      <w:pPr>
        <w:spacing w:line="360" w:lineRule="auto"/>
      </w:pPr>
      <w:r w:rsidRPr="00A60CE9">
        <w:t xml:space="preserve">Cohen, W. M., &amp; Levin, R.C. 1989. Empirical studies of innovation and market structure. In: Schmalensee, R. and R.D. Willig (eds.). </w:t>
      </w:r>
      <w:r w:rsidRPr="00A60CE9">
        <w:rPr>
          <w:b/>
          <w:i/>
        </w:rPr>
        <w:t>Handbook of Industrial Organization, Volume II</w:t>
      </w:r>
      <w:r w:rsidRPr="00A60CE9">
        <w:t xml:space="preserve">. Amsterdam, Netherlands: Elsevier Science Publishers B.V. </w:t>
      </w:r>
    </w:p>
    <w:p w14:paraId="431B4E75" w14:textId="77777777" w:rsidR="00236A58" w:rsidRPr="00A60CE9" w:rsidRDefault="00236A58" w:rsidP="000D4FCA">
      <w:pPr>
        <w:spacing w:line="360" w:lineRule="auto"/>
      </w:pPr>
      <w:r w:rsidRPr="00A60CE9">
        <w:lastRenderedPageBreak/>
        <w:t xml:space="preserve">Cohen, W. M., &amp; Levinthal, D.A. 1989. Innovation and learning: the two faces of R &amp; D. </w:t>
      </w:r>
      <w:r w:rsidRPr="00A60CE9">
        <w:rPr>
          <w:b/>
          <w:i/>
        </w:rPr>
        <w:t>The Economic Journal,</w:t>
      </w:r>
      <w:r w:rsidRPr="00A60CE9">
        <w:t xml:space="preserve"> 99(397): 569-596.</w:t>
      </w:r>
    </w:p>
    <w:p w14:paraId="099DBBF1" w14:textId="77777777" w:rsidR="00236A58" w:rsidRPr="00A60CE9" w:rsidRDefault="00236A58" w:rsidP="000D4FCA">
      <w:pPr>
        <w:spacing w:line="360" w:lineRule="auto"/>
      </w:pPr>
      <w:r w:rsidRPr="001A02C6">
        <w:rPr>
          <w:lang w:val="de-DE"/>
        </w:rPr>
        <w:t xml:space="preserve">Comanor, W. S., &amp; Scherer, F. M. 2013. </w:t>
      </w:r>
      <w:r w:rsidRPr="00A60CE9">
        <w:t xml:space="preserve">Mergers and innovation in the pharmaceutical industry. </w:t>
      </w:r>
      <w:r w:rsidRPr="00A60CE9">
        <w:rPr>
          <w:b/>
          <w:i/>
        </w:rPr>
        <w:t>Journal of Health Economics,</w:t>
      </w:r>
      <w:r w:rsidRPr="00A60CE9">
        <w:t xml:space="preserve"> 32(1): 106-113.</w:t>
      </w:r>
    </w:p>
    <w:p w14:paraId="033FD370" w14:textId="77777777" w:rsidR="00236A58" w:rsidRPr="00A60CE9" w:rsidRDefault="00236A58" w:rsidP="000D4FCA">
      <w:pPr>
        <w:spacing w:line="360" w:lineRule="auto"/>
      </w:pPr>
      <w:r w:rsidRPr="00A60CE9">
        <w:t xml:space="preserve">Cyert, R. M., &amp; March, J. G. 1963. </w:t>
      </w:r>
      <w:r w:rsidRPr="00A60CE9">
        <w:rPr>
          <w:b/>
          <w:i/>
        </w:rPr>
        <w:t>A Behavioral Theory of the Firm</w:t>
      </w:r>
      <w:r w:rsidRPr="00A60CE9">
        <w:rPr>
          <w:b/>
        </w:rPr>
        <w:t>.</w:t>
      </w:r>
      <w:r w:rsidRPr="00A60CE9">
        <w:t xml:space="preserve"> Englewood Cliffs, NJ: Prentice-Hall.</w:t>
      </w:r>
    </w:p>
    <w:p w14:paraId="429F1CB8" w14:textId="77777777" w:rsidR="00236A58" w:rsidRPr="00A60CE9" w:rsidRDefault="00236A58" w:rsidP="000D4FCA">
      <w:pPr>
        <w:spacing w:line="360" w:lineRule="auto"/>
      </w:pPr>
      <w:r w:rsidRPr="00A60CE9">
        <w:t xml:space="preserve">Darr, E. D., Argote, L., &amp; Epple, D. 1995. The acquisition, transfer, and depreciation of knowledge in service organizations: Productivity in franchises. </w:t>
      </w:r>
      <w:r w:rsidRPr="00A60CE9">
        <w:rPr>
          <w:b/>
          <w:i/>
        </w:rPr>
        <w:t>Management Science,</w:t>
      </w:r>
      <w:r w:rsidRPr="00A60CE9">
        <w:t xml:space="preserve"> 41(11): 1750-1762.</w:t>
      </w:r>
    </w:p>
    <w:p w14:paraId="6D1D9F0D" w14:textId="77777777" w:rsidR="00236A58" w:rsidRPr="00A60CE9" w:rsidRDefault="00236A58" w:rsidP="000D4FCA">
      <w:pPr>
        <w:spacing w:line="360" w:lineRule="auto"/>
      </w:pPr>
      <w:r w:rsidRPr="00A60CE9">
        <w:t xml:space="preserve">Dixon, I., &amp; Nelson, N. 2005. </w:t>
      </w:r>
      <w:r w:rsidRPr="00A60CE9">
        <w:rPr>
          <w:b/>
          <w:i/>
        </w:rPr>
        <w:t>SHRM case study: Culture management and merger acquisitions.</w:t>
      </w:r>
      <w:r w:rsidRPr="00A60CE9">
        <w:t xml:space="preserve"> Society for Human Research Management. </w:t>
      </w:r>
    </w:p>
    <w:p w14:paraId="246BAF42" w14:textId="77777777" w:rsidR="00236A58" w:rsidRPr="00A60CE9" w:rsidRDefault="00236A58" w:rsidP="000D4FCA">
      <w:pPr>
        <w:spacing w:line="360" w:lineRule="auto"/>
      </w:pPr>
      <w:r w:rsidRPr="00A60CE9">
        <w:t xml:space="preserve">Ernst, H. 1995. Patenting Strategies in the German Mechanical Engineering Industry and their Relationship to Company Performance. </w:t>
      </w:r>
      <w:r w:rsidRPr="00A60CE9">
        <w:rPr>
          <w:b/>
          <w:i/>
        </w:rPr>
        <w:t>Technovation,</w:t>
      </w:r>
      <w:r w:rsidRPr="00A60CE9">
        <w:t xml:space="preserve"> 15(4): 225-236.</w:t>
      </w:r>
    </w:p>
    <w:p w14:paraId="522F426E" w14:textId="77777777" w:rsidR="00236A58" w:rsidRPr="00A60CE9" w:rsidRDefault="00236A58" w:rsidP="000D4FCA">
      <w:pPr>
        <w:spacing w:line="360" w:lineRule="auto"/>
        <w:rPr>
          <w:rFonts w:cs="Times New Roman"/>
        </w:rPr>
      </w:pPr>
      <w:r w:rsidRPr="00A60CE9">
        <w:rPr>
          <w:rFonts w:cs="Times New Roman"/>
        </w:rPr>
        <w:t xml:space="preserve">Ernst, H., &amp; Vitt, J. 2000. The Influence of Corporate Acquisitions on the Behavior of Key Inventors. </w:t>
      </w:r>
      <w:r w:rsidRPr="00A60CE9">
        <w:rPr>
          <w:rFonts w:cs="Times New Roman"/>
          <w:b/>
          <w:i/>
        </w:rPr>
        <w:t>R&amp;D Management,</w:t>
      </w:r>
      <w:r w:rsidRPr="00A60CE9">
        <w:rPr>
          <w:rFonts w:cs="Times New Roman"/>
        </w:rPr>
        <w:t xml:space="preserve"> 30(2): 105-119.</w:t>
      </w:r>
    </w:p>
    <w:p w14:paraId="7A144C6D" w14:textId="77777777" w:rsidR="00236A58" w:rsidRPr="00A60CE9" w:rsidRDefault="00236A58" w:rsidP="000D4FCA">
      <w:pPr>
        <w:spacing w:line="360" w:lineRule="auto"/>
      </w:pPr>
      <w:r w:rsidRPr="00A60CE9">
        <w:t xml:space="preserve">Felin, T., &amp; Hesterly, W.S. 2007. The knowledge-based view, nested heterogeneity, and new value creation: Philosophical considerations on the locus of knowledge. </w:t>
      </w:r>
      <w:r w:rsidRPr="00A60CE9">
        <w:rPr>
          <w:b/>
          <w:i/>
        </w:rPr>
        <w:t>Academy of Management Review,</w:t>
      </w:r>
      <w:r w:rsidRPr="00A60CE9">
        <w:t xml:space="preserve"> 32(1): 195-218.</w:t>
      </w:r>
    </w:p>
    <w:p w14:paraId="77C4E2F6" w14:textId="77777777" w:rsidR="00236A58" w:rsidRPr="00A60CE9" w:rsidRDefault="00236A58" w:rsidP="000D4FCA">
      <w:pPr>
        <w:spacing w:line="360" w:lineRule="auto"/>
      </w:pPr>
      <w:r w:rsidRPr="00A60CE9">
        <w:t xml:space="preserve">French J.R.P., &amp; Raven, B. 1959. The bases of social power. In: Cartwright, D. (ed.). </w:t>
      </w:r>
      <w:r w:rsidRPr="00A60CE9">
        <w:rPr>
          <w:b/>
          <w:i/>
        </w:rPr>
        <w:t>Studies in Social Power</w:t>
      </w:r>
      <w:r w:rsidRPr="00A60CE9">
        <w:t>. Ann Arbor, MI: University of Michigan Press.</w:t>
      </w:r>
    </w:p>
    <w:p w14:paraId="5743F0D3" w14:textId="77777777" w:rsidR="00236A58" w:rsidRPr="00A60CE9" w:rsidRDefault="00236A58" w:rsidP="000D4FCA">
      <w:pPr>
        <w:spacing w:line="360" w:lineRule="auto"/>
      </w:pPr>
      <w:r w:rsidRPr="00A60CE9">
        <w:t xml:space="preserve">Fugate, M., Kinicki, A. J., &amp; Prussia, G.E. 2008. Employee coping with organizational change: An examination of alternative theoretical perspectives and models. </w:t>
      </w:r>
      <w:r w:rsidRPr="00A60CE9">
        <w:rPr>
          <w:b/>
          <w:i/>
        </w:rPr>
        <w:t>Personnel Psychology,</w:t>
      </w:r>
      <w:r w:rsidRPr="00A60CE9">
        <w:t xml:space="preserve"> 61(1): 1-36.</w:t>
      </w:r>
    </w:p>
    <w:p w14:paraId="647AB96C" w14:textId="77777777" w:rsidR="00236A58" w:rsidRPr="00A60CE9" w:rsidRDefault="00236A58" w:rsidP="000D4FCA">
      <w:pPr>
        <w:spacing w:line="360" w:lineRule="auto"/>
      </w:pPr>
      <w:r w:rsidRPr="00A60CE9">
        <w:t xml:space="preserve">Ganco, M. 2013. Cutting the Gordian knot: The effect of knowledge complexity on employee mobility and entrepreneurship. </w:t>
      </w:r>
      <w:r w:rsidRPr="00A60CE9">
        <w:rPr>
          <w:b/>
          <w:i/>
        </w:rPr>
        <w:t>Strategic Management Journal,</w:t>
      </w:r>
      <w:r w:rsidRPr="00A60CE9">
        <w:t xml:space="preserve"> 34(6): 666-686.</w:t>
      </w:r>
    </w:p>
    <w:p w14:paraId="53285E37" w14:textId="77777777" w:rsidR="00236A58" w:rsidRPr="00A60CE9" w:rsidRDefault="00236A58" w:rsidP="000D4FCA">
      <w:pPr>
        <w:spacing w:line="360" w:lineRule="auto"/>
      </w:pPr>
      <w:r w:rsidRPr="00A60CE9">
        <w:t xml:space="preserve">Ge, C., Huang, K.W., &amp; Png, I. P. 2016. Engineer/Scientist Careers: Patents, Online Profiles, and Misclassification. </w:t>
      </w:r>
      <w:r w:rsidRPr="00A60CE9">
        <w:rPr>
          <w:b/>
          <w:i/>
        </w:rPr>
        <w:t>Strategic Management Journal,</w:t>
      </w:r>
      <w:r w:rsidRPr="00A60CE9">
        <w:t xml:space="preserve"> 37(1): 232-253.</w:t>
      </w:r>
    </w:p>
    <w:p w14:paraId="4EB35918" w14:textId="77777777" w:rsidR="00236A58" w:rsidRPr="00A60CE9" w:rsidRDefault="00236A58" w:rsidP="000D4FCA">
      <w:pPr>
        <w:spacing w:line="360" w:lineRule="auto"/>
        <w:rPr>
          <w:rFonts w:cs="Times New Roman"/>
        </w:rPr>
      </w:pPr>
      <w:r w:rsidRPr="00A60CE9">
        <w:rPr>
          <w:rFonts w:cs="Times New Roman"/>
        </w:rPr>
        <w:lastRenderedPageBreak/>
        <w:t xml:space="preserve">Graebner, M. E. 2004. Momentum and serendipity: How acquired leaders create value in the integration of technology firms. </w:t>
      </w:r>
      <w:r w:rsidRPr="00A60CE9">
        <w:rPr>
          <w:rFonts w:cs="Times New Roman"/>
          <w:b/>
          <w:i/>
        </w:rPr>
        <w:t>Strategic Management Journal,</w:t>
      </w:r>
      <w:r w:rsidRPr="00A60CE9">
        <w:rPr>
          <w:rFonts w:cs="Times New Roman"/>
        </w:rPr>
        <w:t xml:space="preserve"> 25: 751–777.</w:t>
      </w:r>
    </w:p>
    <w:p w14:paraId="516DC3E3" w14:textId="77777777" w:rsidR="00236A58" w:rsidRPr="00A60CE9" w:rsidRDefault="00236A58" w:rsidP="000D4FCA">
      <w:pPr>
        <w:spacing w:line="360" w:lineRule="auto"/>
      </w:pPr>
      <w:r w:rsidRPr="00A60CE9">
        <w:t xml:space="preserve">Granstrand, O., &amp; Sjölander, S. 1990. The acquisition of technology and small firms by large firms. </w:t>
      </w:r>
      <w:r w:rsidRPr="00A60CE9">
        <w:rPr>
          <w:b/>
          <w:i/>
        </w:rPr>
        <w:t>Journal of Economic Behavior &amp; Organization,</w:t>
      </w:r>
      <w:r w:rsidRPr="00A60CE9">
        <w:rPr>
          <w:b/>
        </w:rPr>
        <w:t xml:space="preserve"> </w:t>
      </w:r>
      <w:r w:rsidRPr="00A60CE9">
        <w:t>13(3): 367-386.</w:t>
      </w:r>
    </w:p>
    <w:p w14:paraId="7B00B0F4" w14:textId="77777777" w:rsidR="00236A58" w:rsidRPr="00A60CE9" w:rsidRDefault="00236A58" w:rsidP="000D4FCA">
      <w:pPr>
        <w:spacing w:line="360" w:lineRule="auto"/>
      </w:pPr>
      <w:r w:rsidRPr="00A60CE9">
        <w:t>Grant, R. M. 1996. Toward a knowledge</w:t>
      </w:r>
      <w:r w:rsidRPr="00A60CE9">
        <w:rPr>
          <w:rFonts w:ascii="Cambria Math" w:hAnsi="Cambria Math" w:cs="Cambria Math"/>
        </w:rPr>
        <w:t>‐</w:t>
      </w:r>
      <w:r w:rsidRPr="00A60CE9">
        <w:t xml:space="preserve">based theory of the firm. </w:t>
      </w:r>
      <w:r w:rsidRPr="00A60CE9">
        <w:rPr>
          <w:b/>
          <w:i/>
        </w:rPr>
        <w:t>Strategic Management Journal,</w:t>
      </w:r>
      <w:r w:rsidRPr="00A60CE9">
        <w:t xml:space="preserve"> 17(S2): 109-122.</w:t>
      </w:r>
    </w:p>
    <w:p w14:paraId="64918A82" w14:textId="77777777" w:rsidR="00236A58" w:rsidRPr="00A60CE9" w:rsidRDefault="00236A58" w:rsidP="000D4FCA">
      <w:pPr>
        <w:spacing w:line="360" w:lineRule="auto"/>
      </w:pPr>
      <w:r w:rsidRPr="00A60CE9">
        <w:t xml:space="preserve">Griliches, Z. 1990. Patent Statistics as Economic Indicators: A Survey. </w:t>
      </w:r>
      <w:r w:rsidRPr="00A60CE9">
        <w:rPr>
          <w:b/>
          <w:i/>
        </w:rPr>
        <w:t>Journal of Economic Literature,</w:t>
      </w:r>
      <w:r w:rsidRPr="00A60CE9">
        <w:t xml:space="preserve"> 28: 1661-1707.</w:t>
      </w:r>
    </w:p>
    <w:p w14:paraId="3E7B7F75" w14:textId="77777777" w:rsidR="00236A58" w:rsidRPr="00A60CE9" w:rsidRDefault="00236A58" w:rsidP="000D4FCA">
      <w:pPr>
        <w:spacing w:line="360" w:lineRule="auto"/>
      </w:pPr>
      <w:r w:rsidRPr="00A60CE9">
        <w:t xml:space="preserve">Grimpe, C., &amp; Hussinger, K. 2008. Pre-empting technology competition through firm acquisitions. </w:t>
      </w:r>
      <w:r w:rsidRPr="00A60CE9">
        <w:rPr>
          <w:b/>
          <w:i/>
        </w:rPr>
        <w:t>Economics Letters,</w:t>
      </w:r>
      <w:r w:rsidRPr="00A60CE9">
        <w:t xml:space="preserve"> 100(2): 189-191.</w:t>
      </w:r>
    </w:p>
    <w:p w14:paraId="22D58A5D" w14:textId="77777777" w:rsidR="00236A58" w:rsidRPr="00A60CE9" w:rsidRDefault="00236A58" w:rsidP="000D4FCA">
      <w:pPr>
        <w:spacing w:line="360" w:lineRule="auto"/>
        <w:rPr>
          <w:rFonts w:cs="Times New Roman"/>
        </w:rPr>
      </w:pPr>
      <w:r w:rsidRPr="00A60CE9">
        <w:rPr>
          <w:rFonts w:cs="Times New Roman"/>
        </w:rPr>
        <w:t xml:space="preserve">Grimpe, C., &amp; Hussinger, K.  2014. Resource Complementarity and Value Capture in Firm Acquisitions: The Role of Intellectual Property Rights. </w:t>
      </w:r>
      <w:r w:rsidRPr="00A60CE9">
        <w:rPr>
          <w:rFonts w:cs="Times New Roman"/>
          <w:b/>
          <w:i/>
        </w:rPr>
        <w:t>Strategic Management Journal,</w:t>
      </w:r>
      <w:r w:rsidRPr="00A60CE9">
        <w:rPr>
          <w:rFonts w:cs="Times New Roman"/>
        </w:rPr>
        <w:t xml:space="preserve"> 35(12): 1762-1780.</w:t>
      </w:r>
    </w:p>
    <w:p w14:paraId="7529E9F9" w14:textId="77777777" w:rsidR="00236A58" w:rsidRPr="00A60CE9" w:rsidRDefault="00236A58" w:rsidP="000D4FCA">
      <w:pPr>
        <w:spacing w:line="360" w:lineRule="auto"/>
      </w:pPr>
      <w:r w:rsidRPr="001A02C6">
        <w:rPr>
          <w:lang w:val="de-DE"/>
        </w:rPr>
        <w:t xml:space="preserve">Groysberg, B., &amp; Lee, L. E. 2009. </w:t>
      </w:r>
      <w:r w:rsidRPr="00A60CE9">
        <w:t xml:space="preserve">Hiring stars and their colleagues: Exploration and exploitation in professional service firms. </w:t>
      </w:r>
      <w:r w:rsidRPr="00A60CE9">
        <w:rPr>
          <w:b/>
          <w:i/>
        </w:rPr>
        <w:t>Organization Science,</w:t>
      </w:r>
      <w:r w:rsidRPr="00A60CE9">
        <w:t xml:space="preserve"> 20(4): 740-758.</w:t>
      </w:r>
    </w:p>
    <w:p w14:paraId="6401EDA4" w14:textId="77777777" w:rsidR="00236A58" w:rsidRPr="00A60CE9" w:rsidRDefault="00236A58" w:rsidP="000D4FCA">
      <w:pPr>
        <w:spacing w:line="360" w:lineRule="auto"/>
      </w:pPr>
      <w:r w:rsidRPr="00174B8B">
        <w:t xml:space="preserve">Groysberg, B., &amp; Lee, L. E.  </w:t>
      </w:r>
      <w:r w:rsidRPr="00A60CE9">
        <w:t xml:space="preserve">2010. Star power: colleague quality and turnover. </w:t>
      </w:r>
      <w:r w:rsidRPr="00A60CE9">
        <w:rPr>
          <w:b/>
          <w:i/>
        </w:rPr>
        <w:t>Industrial and Corporate Change,</w:t>
      </w:r>
      <w:r w:rsidRPr="00A60CE9">
        <w:t xml:space="preserve"> 19(3): 741-765.</w:t>
      </w:r>
    </w:p>
    <w:p w14:paraId="390693E8" w14:textId="77777777" w:rsidR="00236A58" w:rsidRPr="00A60CE9" w:rsidRDefault="00236A58" w:rsidP="000D4FCA">
      <w:pPr>
        <w:spacing w:line="360" w:lineRule="auto"/>
      </w:pPr>
      <w:r w:rsidRPr="001A02C6">
        <w:rPr>
          <w:lang w:val="de-DE"/>
        </w:rPr>
        <w:t xml:space="preserve">Groysberg, B., Lee, L. E., &amp; Nanda, A. 2008. </w:t>
      </w:r>
      <w:r w:rsidRPr="00A60CE9">
        <w:t xml:space="preserve">Can they take it with them? The portability of star knowledge workers' performance. </w:t>
      </w:r>
      <w:r w:rsidRPr="00A60CE9">
        <w:rPr>
          <w:b/>
          <w:i/>
        </w:rPr>
        <w:t>Management Science,</w:t>
      </w:r>
      <w:r w:rsidRPr="00A60CE9">
        <w:t xml:space="preserve"> 54(7): 1213-1230.</w:t>
      </w:r>
    </w:p>
    <w:p w14:paraId="4C64F144" w14:textId="77777777" w:rsidR="00236A58" w:rsidRPr="00A60CE9" w:rsidRDefault="00236A58" w:rsidP="000D4FCA">
      <w:pPr>
        <w:spacing w:line="360" w:lineRule="auto"/>
      </w:pPr>
      <w:r w:rsidRPr="00A60CE9">
        <w:t xml:space="preserve">Hackman, J. R. 2002. </w:t>
      </w:r>
      <w:r w:rsidRPr="00A60CE9">
        <w:rPr>
          <w:b/>
          <w:i/>
        </w:rPr>
        <w:t>Leading Teams: Setting the Stage for Great Performances</w:t>
      </w:r>
      <w:r w:rsidRPr="00A60CE9">
        <w:t>. Boston, MA: Harvard Business School Press.</w:t>
      </w:r>
    </w:p>
    <w:p w14:paraId="57888A34" w14:textId="77777777" w:rsidR="00236A58" w:rsidRPr="00A60CE9" w:rsidRDefault="00236A58" w:rsidP="000D4FCA">
      <w:pPr>
        <w:spacing w:line="360" w:lineRule="auto"/>
        <w:rPr>
          <w:rFonts w:cs="Times New Roman"/>
        </w:rPr>
      </w:pPr>
      <w:r w:rsidRPr="00A60CE9">
        <w:rPr>
          <w:rFonts w:cs="Times New Roman"/>
        </w:rPr>
        <w:t xml:space="preserve">Hall, B.H.H. 1990. The Impact of Corporate Restructuring on Industrial Research and Development. </w:t>
      </w:r>
      <w:r w:rsidRPr="00A60CE9">
        <w:rPr>
          <w:rFonts w:cs="Times New Roman"/>
          <w:b/>
          <w:i/>
        </w:rPr>
        <w:t>Brookings Papers on Economic Activity,</w:t>
      </w:r>
      <w:r w:rsidRPr="00A60CE9">
        <w:rPr>
          <w:rFonts w:cs="Times New Roman"/>
        </w:rPr>
        <w:t xml:space="preserve"> 190(1): 85-124.</w:t>
      </w:r>
    </w:p>
    <w:p w14:paraId="2C2AD831" w14:textId="77777777" w:rsidR="00236A58" w:rsidRPr="00A60CE9" w:rsidRDefault="00236A58" w:rsidP="000D4FCA">
      <w:pPr>
        <w:spacing w:line="360" w:lineRule="auto"/>
      </w:pPr>
      <w:r w:rsidRPr="00A60CE9">
        <w:t xml:space="preserve">Haspeslagh, P. C., &amp; Jemison, D.B. 1991. </w:t>
      </w:r>
      <w:r w:rsidRPr="00A60CE9">
        <w:rPr>
          <w:b/>
          <w:i/>
        </w:rPr>
        <w:t>Managing acquisitions: Creating value through corporate renewal</w:t>
      </w:r>
      <w:r w:rsidRPr="00A60CE9">
        <w:rPr>
          <w:b/>
        </w:rPr>
        <w:t>.</w:t>
      </w:r>
      <w:r w:rsidRPr="00A60CE9">
        <w:t xml:space="preserve"> New York, NY: Free Press.</w:t>
      </w:r>
    </w:p>
    <w:p w14:paraId="02B4877A" w14:textId="77777777" w:rsidR="00236A58" w:rsidRPr="00A60CE9" w:rsidRDefault="00236A58" w:rsidP="000D4FCA">
      <w:pPr>
        <w:spacing w:line="360" w:lineRule="auto"/>
      </w:pPr>
      <w:r w:rsidRPr="001A02C6">
        <w:rPr>
          <w:lang w:val="de-DE"/>
        </w:rPr>
        <w:t xml:space="preserve">Hausman, J., Hall, B. H., &amp; Griliches, Z. 1984. </w:t>
      </w:r>
      <w:r w:rsidRPr="00A60CE9">
        <w:t xml:space="preserve">Econometric Models for Count Data with an Application to the Patents-R&amp;D Relationship. </w:t>
      </w:r>
      <w:r w:rsidRPr="00A60CE9">
        <w:rPr>
          <w:b/>
          <w:bCs/>
          <w:i/>
          <w:iCs/>
        </w:rPr>
        <w:t>Econometrica</w:t>
      </w:r>
      <w:r w:rsidRPr="00A60CE9">
        <w:t>, 52(4): 909-938.</w:t>
      </w:r>
    </w:p>
    <w:p w14:paraId="62BE0539" w14:textId="77777777" w:rsidR="00236A58" w:rsidRPr="00A60CE9" w:rsidRDefault="00236A58" w:rsidP="000D4FCA">
      <w:pPr>
        <w:spacing w:line="360" w:lineRule="auto"/>
      </w:pPr>
      <w:r w:rsidRPr="00A60CE9">
        <w:lastRenderedPageBreak/>
        <w:t xml:space="preserve">Hess, A. M, &amp; Rothaermel, F.T. 2011. When are assets complementary? Star scientists, strategic alliances, and innovation in the pharmaceutical industry. </w:t>
      </w:r>
      <w:r w:rsidRPr="00A60CE9">
        <w:rPr>
          <w:b/>
          <w:i/>
        </w:rPr>
        <w:t>Strategic Management Journal,</w:t>
      </w:r>
      <w:r w:rsidRPr="00A60CE9">
        <w:t xml:space="preserve"> 32(8): 895-909.</w:t>
      </w:r>
    </w:p>
    <w:p w14:paraId="2EDB3480" w14:textId="77777777" w:rsidR="00236A58" w:rsidRPr="00A60CE9" w:rsidRDefault="00236A58" w:rsidP="000D4FCA">
      <w:pPr>
        <w:spacing w:line="360" w:lineRule="auto"/>
        <w:rPr>
          <w:rFonts w:cs="Times New Roman"/>
        </w:rPr>
      </w:pPr>
      <w:r w:rsidRPr="00A60CE9">
        <w:rPr>
          <w:rFonts w:cs="Times New Roman"/>
        </w:rPr>
        <w:t xml:space="preserve">Hitt, M., Harrison, J., Ireland, R. D., &amp; Best, A. (1998). Attributes of successful and unsuccessful acquisitions of US firms. </w:t>
      </w:r>
      <w:r w:rsidRPr="00A60CE9">
        <w:rPr>
          <w:rFonts w:cs="Times New Roman"/>
          <w:b/>
          <w:i/>
        </w:rPr>
        <w:t>British Journal of Management</w:t>
      </w:r>
      <w:r w:rsidRPr="00A60CE9">
        <w:rPr>
          <w:rFonts w:cs="Times New Roman"/>
        </w:rPr>
        <w:t>, 9(2): 91-114.</w:t>
      </w:r>
    </w:p>
    <w:p w14:paraId="2A79E659" w14:textId="77777777" w:rsidR="00236A58" w:rsidRPr="00A60CE9" w:rsidRDefault="00236A58" w:rsidP="000D4FCA">
      <w:pPr>
        <w:spacing w:line="360" w:lineRule="auto"/>
      </w:pPr>
      <w:r w:rsidRPr="00A60CE9">
        <w:t xml:space="preserve">Hitt, M. A., Hoskisson, R. E., Johnson, R. A., &amp; Moesel, D.D. 1996. The market for corporate control and firm innovation. </w:t>
      </w:r>
      <w:r w:rsidRPr="00A60CE9">
        <w:rPr>
          <w:b/>
          <w:i/>
        </w:rPr>
        <w:t>Academy of Management Journal,</w:t>
      </w:r>
      <w:r w:rsidRPr="00A60CE9">
        <w:t xml:space="preserve"> 39(5): 1084-1119.</w:t>
      </w:r>
    </w:p>
    <w:p w14:paraId="2186A1A0" w14:textId="77777777" w:rsidR="00236A58" w:rsidRPr="00A60CE9" w:rsidRDefault="00236A58" w:rsidP="000D4FCA">
      <w:pPr>
        <w:spacing w:line="360" w:lineRule="auto"/>
        <w:rPr>
          <w:rFonts w:cs="Times New Roman"/>
        </w:rPr>
      </w:pPr>
      <w:r w:rsidRPr="00A60CE9">
        <w:rPr>
          <w:rFonts w:cs="Times New Roman"/>
        </w:rPr>
        <w:t xml:space="preserve">Hitt, M.A., Hoskisson, R.E., &amp; Ireland, R.D. 1990. Mergers and Acquisitions and Managerial Commitment to Innovation in M-Form. </w:t>
      </w:r>
      <w:r w:rsidRPr="00A60CE9">
        <w:rPr>
          <w:rFonts w:cs="Times New Roman"/>
          <w:b/>
          <w:i/>
        </w:rPr>
        <w:t>Strategic Management Journal,</w:t>
      </w:r>
      <w:r w:rsidRPr="00A60CE9">
        <w:rPr>
          <w:rFonts w:cs="Times New Roman"/>
        </w:rPr>
        <w:t xml:space="preserve"> 11: 29-47.</w:t>
      </w:r>
    </w:p>
    <w:p w14:paraId="44F340EE" w14:textId="77777777" w:rsidR="00236A58" w:rsidRPr="00A60CE9" w:rsidRDefault="00236A58" w:rsidP="000D4FCA">
      <w:pPr>
        <w:spacing w:line="360" w:lineRule="auto"/>
        <w:rPr>
          <w:rFonts w:cs="Times New Roman"/>
        </w:rPr>
      </w:pPr>
      <w:r w:rsidRPr="00A60CE9">
        <w:rPr>
          <w:rFonts w:cs="Times New Roman"/>
        </w:rPr>
        <w:t xml:space="preserve">Hitt, M.A., Hoskisson, R.E., Ireland, R.D., &amp; Harrison, J.S. 1991. Effects of Acquisitions on R&amp;D Inputs and Outputs. </w:t>
      </w:r>
      <w:r w:rsidRPr="00A60CE9">
        <w:rPr>
          <w:rFonts w:cs="Times New Roman"/>
          <w:b/>
          <w:i/>
        </w:rPr>
        <w:t>Academy of Management Journal,</w:t>
      </w:r>
      <w:r w:rsidRPr="00A60CE9">
        <w:rPr>
          <w:rFonts w:cs="Times New Roman"/>
        </w:rPr>
        <w:t xml:space="preserve"> 34(3): 693-706.</w:t>
      </w:r>
    </w:p>
    <w:p w14:paraId="0A5EDB7C" w14:textId="77777777" w:rsidR="00430E7D" w:rsidRPr="00A60CE9" w:rsidRDefault="00236A58" w:rsidP="00430E7D">
      <w:pPr>
        <w:spacing w:line="360" w:lineRule="auto"/>
      </w:pPr>
      <w:r w:rsidRPr="00A60CE9">
        <w:t>Hoisl, K. 2007. Tracing mobile inventors—the causality between inventor mobility and inventor productivity.</w:t>
      </w:r>
      <w:r w:rsidRPr="00A60CE9">
        <w:rPr>
          <w:b/>
        </w:rPr>
        <w:t xml:space="preserve"> </w:t>
      </w:r>
      <w:r w:rsidRPr="00A60CE9">
        <w:rPr>
          <w:b/>
          <w:i/>
        </w:rPr>
        <w:t>Research Policy,</w:t>
      </w:r>
      <w:r w:rsidRPr="00A60CE9">
        <w:t xml:space="preserve"> 36(5): 619-636.</w:t>
      </w:r>
    </w:p>
    <w:p w14:paraId="401FA50F" w14:textId="027EF071" w:rsidR="00476BE3" w:rsidRDefault="00476BE3" w:rsidP="00430E7D">
      <w:pPr>
        <w:spacing w:line="360" w:lineRule="auto"/>
        <w:rPr>
          <w:szCs w:val="24"/>
        </w:rPr>
      </w:pPr>
      <w:r w:rsidRPr="00174B8B">
        <w:rPr>
          <w:szCs w:val="24"/>
        </w:rPr>
        <w:t xml:space="preserve">Huckman, R. S., &amp; Pisano, G. P. 2006. </w:t>
      </w:r>
      <w:r w:rsidRPr="00476BE3">
        <w:rPr>
          <w:szCs w:val="24"/>
        </w:rPr>
        <w:t xml:space="preserve">The firm specificity of individual performance: Evidence from cardiac surgery. </w:t>
      </w:r>
      <w:r w:rsidRPr="00476BE3">
        <w:rPr>
          <w:b/>
          <w:i/>
          <w:szCs w:val="24"/>
        </w:rPr>
        <w:t>Management Science,</w:t>
      </w:r>
      <w:r w:rsidRPr="00476BE3">
        <w:rPr>
          <w:szCs w:val="24"/>
        </w:rPr>
        <w:t xml:space="preserve"> 52(4)</w:t>
      </w:r>
      <w:r>
        <w:rPr>
          <w:szCs w:val="24"/>
        </w:rPr>
        <w:t>:</w:t>
      </w:r>
      <w:r w:rsidRPr="00476BE3">
        <w:rPr>
          <w:szCs w:val="24"/>
        </w:rPr>
        <w:t xml:space="preserve"> 473-488.</w:t>
      </w:r>
    </w:p>
    <w:p w14:paraId="3FDAFEF5" w14:textId="450DD799" w:rsidR="00430E7D" w:rsidRPr="00A60CE9" w:rsidRDefault="00430E7D" w:rsidP="000D4FCA">
      <w:pPr>
        <w:spacing w:line="360" w:lineRule="auto"/>
        <w:rPr>
          <w:szCs w:val="24"/>
        </w:rPr>
      </w:pPr>
      <w:r w:rsidRPr="00A60CE9">
        <w:rPr>
          <w:szCs w:val="24"/>
        </w:rPr>
        <w:t xml:space="preserve">Hussinger, K. (2012), Absorptive Capacity and Post-Merger Inventor Productivity, </w:t>
      </w:r>
      <w:r w:rsidRPr="00A60CE9">
        <w:rPr>
          <w:b/>
          <w:bCs/>
          <w:i/>
          <w:szCs w:val="24"/>
        </w:rPr>
        <w:t>Journal of Technology Transfer</w:t>
      </w:r>
      <w:r w:rsidRPr="00A60CE9">
        <w:rPr>
          <w:i/>
          <w:szCs w:val="24"/>
        </w:rPr>
        <w:t>,</w:t>
      </w:r>
      <w:r w:rsidRPr="00A60CE9">
        <w:rPr>
          <w:szCs w:val="24"/>
        </w:rPr>
        <w:t xml:space="preserve"> 37(4): 490-507.</w:t>
      </w:r>
    </w:p>
    <w:p w14:paraId="2811F535" w14:textId="77777777" w:rsidR="00236A58" w:rsidRPr="00A60CE9" w:rsidRDefault="00236A58" w:rsidP="000D4FCA">
      <w:pPr>
        <w:spacing w:line="360" w:lineRule="auto"/>
      </w:pPr>
      <w:r w:rsidRPr="001A02C6">
        <w:rPr>
          <w:lang w:val="de-DE"/>
        </w:rPr>
        <w:t xml:space="preserve">Ichniowski, C., Shaw, K., &amp; Prennushi, G. 1997. </w:t>
      </w:r>
      <w:r w:rsidRPr="00A60CE9">
        <w:t xml:space="preserve">The effects of human resource management practices on productivity: A study of steel finishing lines. </w:t>
      </w:r>
      <w:r w:rsidRPr="00A60CE9">
        <w:rPr>
          <w:b/>
          <w:i/>
        </w:rPr>
        <w:t>The American Economic Review,</w:t>
      </w:r>
      <w:r w:rsidRPr="00A60CE9">
        <w:t xml:space="preserve"> (87)3: 291-313.</w:t>
      </w:r>
    </w:p>
    <w:p w14:paraId="53F8BD08" w14:textId="77777777" w:rsidR="00236A58" w:rsidRPr="00A60CE9" w:rsidRDefault="00236A58" w:rsidP="000D4FCA">
      <w:pPr>
        <w:spacing w:line="360" w:lineRule="auto"/>
      </w:pPr>
      <w:r w:rsidRPr="00A60CE9">
        <w:t xml:space="preserve">Jemison, D. B., &amp; Sitkin, S. B. 1986. Corporate acquisitions: A process perspective. </w:t>
      </w:r>
      <w:r w:rsidRPr="00A60CE9">
        <w:rPr>
          <w:b/>
          <w:i/>
        </w:rPr>
        <w:t>Academy of Management Review,</w:t>
      </w:r>
      <w:r w:rsidRPr="00A60CE9">
        <w:t xml:space="preserve"> 11(1): 145-163.</w:t>
      </w:r>
    </w:p>
    <w:p w14:paraId="0878C064" w14:textId="77777777" w:rsidR="00236A58" w:rsidRPr="00A60CE9" w:rsidRDefault="00236A58" w:rsidP="000D4FCA">
      <w:pPr>
        <w:spacing w:line="360" w:lineRule="auto"/>
      </w:pPr>
      <w:r w:rsidRPr="00A60CE9">
        <w:t xml:space="preserve">Jensen, R. &amp; Szulanski, G. 2004. Stickiness and the adaptation of organizational practices in cross-border knowledge transfers. </w:t>
      </w:r>
      <w:r w:rsidRPr="00A60CE9">
        <w:rPr>
          <w:b/>
          <w:i/>
        </w:rPr>
        <w:t>Journal of International Business Studies,</w:t>
      </w:r>
      <w:r w:rsidRPr="00A60CE9">
        <w:t xml:space="preserve"> 35(6): 508-523.</w:t>
      </w:r>
    </w:p>
    <w:p w14:paraId="1B795FB2" w14:textId="77777777" w:rsidR="00236A58" w:rsidRPr="00A60CE9" w:rsidRDefault="00236A58" w:rsidP="000D4FCA">
      <w:pPr>
        <w:spacing w:line="360" w:lineRule="auto"/>
      </w:pPr>
      <w:r w:rsidRPr="001A02C6">
        <w:rPr>
          <w:lang w:val="es-ES"/>
        </w:rPr>
        <w:t xml:space="preserve">Junni, P., Sarala, R. M., Tarba, S. Y., &amp; Weber, Y. 2015. </w:t>
      </w:r>
      <w:r w:rsidRPr="00A60CE9">
        <w:t xml:space="preserve">The role of strategic agility in acquisitions. </w:t>
      </w:r>
      <w:r w:rsidRPr="00A60CE9">
        <w:rPr>
          <w:b/>
          <w:i/>
        </w:rPr>
        <w:t>British Journal of Management</w:t>
      </w:r>
      <w:r w:rsidRPr="00A60CE9">
        <w:t>, 26(4): 596-616.</w:t>
      </w:r>
    </w:p>
    <w:p w14:paraId="4AF940FE" w14:textId="6FC48C08" w:rsidR="00653A37" w:rsidRDefault="00653A37" w:rsidP="000D4FCA">
      <w:pPr>
        <w:spacing w:line="360" w:lineRule="auto"/>
      </w:pPr>
      <w:r w:rsidRPr="00174B8B">
        <w:lastRenderedPageBreak/>
        <w:t xml:space="preserve">Kaiser, U., Kongsted, H. C., Laursen, K., &amp; Ejsing, A. K. 2018. </w:t>
      </w:r>
      <w:r w:rsidRPr="00653A37">
        <w:t xml:space="preserve">Experience matters: The role of academic scientist mobility for industrial innovation. </w:t>
      </w:r>
      <w:r w:rsidRPr="00653A37">
        <w:rPr>
          <w:b/>
          <w:i/>
        </w:rPr>
        <w:t>Strategic Management Journal,</w:t>
      </w:r>
      <w:r w:rsidRPr="00653A37">
        <w:t xml:space="preserve"> 39(7): 1935-1958.</w:t>
      </w:r>
    </w:p>
    <w:p w14:paraId="1A58FF51" w14:textId="77777777" w:rsidR="00236A58" w:rsidRPr="00A60CE9" w:rsidRDefault="00236A58" w:rsidP="000D4FCA">
      <w:pPr>
        <w:spacing w:line="360" w:lineRule="auto"/>
      </w:pPr>
      <w:r w:rsidRPr="00A60CE9">
        <w:t xml:space="preserve">Kanter, R. M. 2009. Mergers that stick. </w:t>
      </w:r>
      <w:r w:rsidRPr="00A60CE9">
        <w:rPr>
          <w:b/>
          <w:i/>
        </w:rPr>
        <w:t>Harvard Business Review,</w:t>
      </w:r>
      <w:r w:rsidRPr="00A60CE9">
        <w:t xml:space="preserve"> 87(10): 121-125.</w:t>
      </w:r>
    </w:p>
    <w:p w14:paraId="63477D1F" w14:textId="77777777" w:rsidR="00236A58" w:rsidRPr="00A60CE9" w:rsidRDefault="00236A58" w:rsidP="000D4FCA">
      <w:pPr>
        <w:spacing w:line="360" w:lineRule="auto"/>
        <w:rPr>
          <w:rFonts w:cs="Times New Roman"/>
        </w:rPr>
      </w:pPr>
      <w:r w:rsidRPr="00A60CE9">
        <w:rPr>
          <w:rFonts w:cs="Times New Roman"/>
        </w:rPr>
        <w:t xml:space="preserve">Kapoor, R. &amp; Lim, K. 2007. The Impact of Acquisitions on the Productivity of Inventors at Semiconductor Firms: A Synthesis of the Knowledge-Based and Incentive-Based Perspectives. </w:t>
      </w:r>
      <w:r w:rsidRPr="00A60CE9">
        <w:rPr>
          <w:rFonts w:cs="Times New Roman"/>
          <w:b/>
          <w:i/>
        </w:rPr>
        <w:t>Academy of Management Journal,</w:t>
      </w:r>
      <w:r w:rsidRPr="00A60CE9">
        <w:rPr>
          <w:rFonts w:cs="Times New Roman"/>
        </w:rPr>
        <w:t xml:space="preserve"> 50(5): 1133-1155.</w:t>
      </w:r>
    </w:p>
    <w:p w14:paraId="4897FF07" w14:textId="77777777" w:rsidR="00236A58" w:rsidRPr="00A60CE9" w:rsidRDefault="00236A58" w:rsidP="000D4FCA">
      <w:pPr>
        <w:spacing w:line="360" w:lineRule="auto"/>
      </w:pPr>
      <w:r w:rsidRPr="00A60CE9">
        <w:t>Karim, S., &amp; Mitchell, W. 2000. Path</w:t>
      </w:r>
      <w:r w:rsidRPr="00A60CE9">
        <w:rPr>
          <w:rFonts w:ascii="Cambria Math" w:hAnsi="Cambria Math" w:cs="Cambria Math"/>
        </w:rPr>
        <w:t>‐</w:t>
      </w:r>
      <w:r w:rsidRPr="00A60CE9">
        <w:t>dependent and path</w:t>
      </w:r>
      <w:r w:rsidRPr="00A60CE9">
        <w:rPr>
          <w:rFonts w:ascii="Cambria Math" w:hAnsi="Cambria Math" w:cs="Cambria Math"/>
        </w:rPr>
        <w:t>‐</w:t>
      </w:r>
      <w:r w:rsidRPr="00A60CE9">
        <w:t>breaking change: reconfiguring business resources following acquisitions in the US medical sector, 1978</w:t>
      </w:r>
      <w:r w:rsidRPr="00A60CE9">
        <w:rPr>
          <w:rFonts w:cs="Times New Roman"/>
        </w:rPr>
        <w:t>–</w:t>
      </w:r>
      <w:r w:rsidRPr="00A60CE9">
        <w:t xml:space="preserve">1995. </w:t>
      </w:r>
      <w:r w:rsidRPr="00A60CE9">
        <w:rPr>
          <w:b/>
          <w:i/>
        </w:rPr>
        <w:t>Strategic Management Journal,</w:t>
      </w:r>
      <w:r w:rsidRPr="00A60CE9">
        <w:t xml:space="preserve"> 21(10</w:t>
      </w:r>
      <w:r w:rsidRPr="00A60CE9">
        <w:rPr>
          <w:rFonts w:ascii="Cambria Math" w:hAnsi="Cambria Math" w:cs="Cambria Math"/>
        </w:rPr>
        <w:t>‐</w:t>
      </w:r>
      <w:r w:rsidRPr="00A60CE9">
        <w:t>11): 1061-1081.</w:t>
      </w:r>
    </w:p>
    <w:p w14:paraId="0A1F978C" w14:textId="77777777" w:rsidR="00236A58" w:rsidRPr="00A60CE9" w:rsidRDefault="00236A58" w:rsidP="000D4FCA">
      <w:pPr>
        <w:spacing w:line="360" w:lineRule="auto"/>
      </w:pPr>
      <w:r w:rsidRPr="001A02C6">
        <w:rPr>
          <w:lang w:val="de-DE"/>
        </w:rPr>
        <w:t xml:space="preserve">Kehoe, R. R., &amp; Tzabbar, D. 2015. </w:t>
      </w:r>
      <w:r w:rsidRPr="00A60CE9">
        <w:t xml:space="preserve">Lighting the way or stealing the shine? An examination of the duality in star scientists' effects on firm innovative performance. </w:t>
      </w:r>
      <w:r w:rsidRPr="00A60CE9">
        <w:rPr>
          <w:b/>
          <w:i/>
        </w:rPr>
        <w:t>Strategic Management Journal,</w:t>
      </w:r>
      <w:r w:rsidRPr="00A60CE9">
        <w:t xml:space="preserve"> 36(5): 709-727.</w:t>
      </w:r>
    </w:p>
    <w:p w14:paraId="79058DD4" w14:textId="77777777" w:rsidR="00236A58" w:rsidRPr="00A60CE9" w:rsidRDefault="00236A58" w:rsidP="000D4FCA">
      <w:pPr>
        <w:spacing w:line="360" w:lineRule="auto"/>
        <w:rPr>
          <w:rFonts w:cs="Times New Roman"/>
        </w:rPr>
      </w:pPr>
      <w:r w:rsidRPr="00A60CE9">
        <w:rPr>
          <w:rFonts w:cs="Times New Roman"/>
        </w:rPr>
        <w:t xml:space="preserve">Kim, L. 1997. The dynamics of Samsung's technological learning in semiconductors. </w:t>
      </w:r>
      <w:r w:rsidRPr="00A60CE9">
        <w:rPr>
          <w:rFonts w:cs="Times New Roman"/>
          <w:b/>
          <w:i/>
        </w:rPr>
        <w:t>California Management Review,</w:t>
      </w:r>
      <w:r w:rsidRPr="00A60CE9">
        <w:rPr>
          <w:rFonts w:cs="Times New Roman"/>
        </w:rPr>
        <w:t xml:space="preserve"> 39(3): 86-100.</w:t>
      </w:r>
    </w:p>
    <w:p w14:paraId="651EF227" w14:textId="77777777" w:rsidR="00236A58" w:rsidRPr="00A60CE9" w:rsidRDefault="00236A58" w:rsidP="000D4FCA">
      <w:pPr>
        <w:spacing w:line="360" w:lineRule="auto"/>
      </w:pPr>
      <w:r w:rsidRPr="00A60CE9">
        <w:t xml:space="preserve">Kogut, B., &amp; Zander, U. 1992. Knowledge of the firm, combinative capabilities, and the replication of technology. </w:t>
      </w:r>
      <w:r w:rsidRPr="00A60CE9">
        <w:rPr>
          <w:b/>
          <w:i/>
        </w:rPr>
        <w:t>Organization Science,</w:t>
      </w:r>
      <w:r w:rsidRPr="00A60CE9">
        <w:t xml:space="preserve"> 3(3): 383-397.</w:t>
      </w:r>
    </w:p>
    <w:p w14:paraId="6F3CB0FC" w14:textId="77777777" w:rsidR="00236A58" w:rsidRPr="00A60CE9" w:rsidRDefault="00236A58" w:rsidP="000D4FCA">
      <w:pPr>
        <w:spacing w:line="360" w:lineRule="auto"/>
      </w:pPr>
      <w:r w:rsidRPr="00A60CE9">
        <w:t xml:space="preserve">Krackhardt, D. 1990. Assessing the political landscape: Structure, cognition, and power in organizations. </w:t>
      </w:r>
      <w:r w:rsidRPr="00A60CE9">
        <w:rPr>
          <w:b/>
          <w:i/>
        </w:rPr>
        <w:t>Administrative science quarterly,</w:t>
      </w:r>
      <w:r w:rsidRPr="00A60CE9">
        <w:t xml:space="preserve"> 35(2): 342-369.</w:t>
      </w:r>
    </w:p>
    <w:p w14:paraId="065EA631" w14:textId="77777777" w:rsidR="00236A58" w:rsidRPr="00A60CE9" w:rsidRDefault="00236A58" w:rsidP="000D4FCA">
      <w:pPr>
        <w:spacing w:line="360" w:lineRule="auto"/>
      </w:pPr>
      <w:r w:rsidRPr="00A60CE9">
        <w:t xml:space="preserve">Lambert, D. 1992. Zero-inflated Poisson regression, with an application to defects in manufacturing. </w:t>
      </w:r>
      <w:r w:rsidRPr="00A60CE9">
        <w:rPr>
          <w:b/>
          <w:bCs/>
          <w:i/>
          <w:iCs/>
        </w:rPr>
        <w:t>Technometrics</w:t>
      </w:r>
      <w:r w:rsidRPr="00A60CE9">
        <w:t>, 34(1): 1-14.</w:t>
      </w:r>
    </w:p>
    <w:p w14:paraId="781A55FA" w14:textId="77777777" w:rsidR="00236A58" w:rsidRPr="00A60CE9" w:rsidRDefault="00236A58" w:rsidP="000D4FCA">
      <w:pPr>
        <w:spacing w:line="360" w:lineRule="auto"/>
      </w:pPr>
      <w:r w:rsidRPr="00A60CE9">
        <w:t xml:space="preserve">Lengnick-Hall, C. A. 1991. A conceptual framework for evaluating designs for corporate innovation. </w:t>
      </w:r>
      <w:r w:rsidRPr="00A60CE9">
        <w:rPr>
          <w:b/>
          <w:i/>
        </w:rPr>
        <w:t>Journal of Engineering and Technology Management,</w:t>
      </w:r>
      <w:r w:rsidRPr="00A60CE9">
        <w:t xml:space="preserve"> 7(3): 197-227.</w:t>
      </w:r>
    </w:p>
    <w:p w14:paraId="25615028" w14:textId="77777777" w:rsidR="00236A58" w:rsidRPr="00A60CE9" w:rsidRDefault="00236A58" w:rsidP="000D4FCA">
      <w:pPr>
        <w:spacing w:line="360" w:lineRule="auto"/>
      </w:pPr>
      <w:r w:rsidRPr="00A60CE9">
        <w:t xml:space="preserve">Levitt, B., &amp; March, J. 1988. Organizational learning. </w:t>
      </w:r>
      <w:r w:rsidRPr="00A60CE9">
        <w:rPr>
          <w:b/>
          <w:i/>
        </w:rPr>
        <w:t>Annual Review of Sociology</w:t>
      </w:r>
      <w:r w:rsidRPr="00A60CE9">
        <w:rPr>
          <w:b/>
        </w:rPr>
        <w:t>,</w:t>
      </w:r>
      <w:r w:rsidRPr="00A60CE9">
        <w:t xml:space="preserve"> 14: 319–340.</w:t>
      </w:r>
    </w:p>
    <w:p w14:paraId="214CDD95" w14:textId="77777777" w:rsidR="00236A58" w:rsidRPr="00A60CE9" w:rsidRDefault="00236A58" w:rsidP="000D4FCA">
      <w:pPr>
        <w:spacing w:line="360" w:lineRule="auto"/>
      </w:pPr>
      <w:r w:rsidRPr="00A60CE9">
        <w:lastRenderedPageBreak/>
        <w:t xml:space="preserve">Li, G. C., Lai, R., D’Amour, A., Doolin, D.M., Sun, Y., Torvik, V.I., &amp; Fleming, L. 2014. Disambiguation and co-authorship networks of the US patent inventor database (1975–2010). </w:t>
      </w:r>
      <w:r w:rsidRPr="00A60CE9">
        <w:rPr>
          <w:b/>
          <w:i/>
        </w:rPr>
        <w:t>Research Policy,</w:t>
      </w:r>
      <w:r w:rsidRPr="00A60CE9">
        <w:t xml:space="preserve"> 43(6): 941-955.</w:t>
      </w:r>
    </w:p>
    <w:p w14:paraId="1CDD68CF" w14:textId="77777777" w:rsidR="00236A58" w:rsidRPr="00A60CE9" w:rsidRDefault="00236A58" w:rsidP="000D4FCA">
      <w:pPr>
        <w:spacing w:line="360" w:lineRule="auto"/>
      </w:pPr>
      <w:r w:rsidRPr="00A60CE9">
        <w:t xml:space="preserve">Long, J. S. 1997. </w:t>
      </w:r>
      <w:r w:rsidRPr="00A60CE9">
        <w:rPr>
          <w:b/>
          <w:bCs/>
          <w:i/>
          <w:iCs/>
        </w:rPr>
        <w:t>Regression Models for Categorical and Limited Dependent Variables.</w:t>
      </w:r>
      <w:r w:rsidRPr="00A60CE9">
        <w:t xml:space="preserve">  Thousand Oaks, CA: Sage.</w:t>
      </w:r>
    </w:p>
    <w:p w14:paraId="750A9235" w14:textId="77777777" w:rsidR="00236A58" w:rsidRPr="00A60CE9" w:rsidRDefault="00236A58" w:rsidP="000D4FCA">
      <w:pPr>
        <w:spacing w:line="360" w:lineRule="auto"/>
      </w:pPr>
      <w:r w:rsidRPr="00A60CE9">
        <w:t>Lotka, A. 1926. The frequency distribution of scientific productivity.</w:t>
      </w:r>
      <w:r w:rsidRPr="00A60CE9">
        <w:rPr>
          <w:i/>
        </w:rPr>
        <w:t xml:space="preserve"> </w:t>
      </w:r>
      <w:r w:rsidRPr="00A60CE9">
        <w:rPr>
          <w:b/>
          <w:i/>
        </w:rPr>
        <w:t>Journal of Washington Academy of Science,</w:t>
      </w:r>
      <w:r w:rsidRPr="00A60CE9">
        <w:t xml:space="preserve"> 16: 317–323.</w:t>
      </w:r>
    </w:p>
    <w:p w14:paraId="3197E042" w14:textId="77777777" w:rsidR="00236A58" w:rsidRPr="00A60CE9" w:rsidRDefault="00236A58" w:rsidP="000D4FCA">
      <w:pPr>
        <w:spacing w:line="360" w:lineRule="auto"/>
      </w:pPr>
      <w:r w:rsidRPr="00A60CE9">
        <w:t xml:space="preserve">Mansfield, E. 1986. Patents and innovation: an empirical study. </w:t>
      </w:r>
      <w:r w:rsidRPr="00A60CE9">
        <w:rPr>
          <w:b/>
          <w:i/>
        </w:rPr>
        <w:t>Management Science,</w:t>
      </w:r>
      <w:r w:rsidRPr="00A60CE9">
        <w:t xml:space="preserve"> 32(2): 173-181.</w:t>
      </w:r>
    </w:p>
    <w:p w14:paraId="2A83181F" w14:textId="77777777" w:rsidR="00236A58" w:rsidRDefault="00236A58" w:rsidP="000D4FCA">
      <w:pPr>
        <w:spacing w:line="360" w:lineRule="auto"/>
      </w:pPr>
      <w:r w:rsidRPr="00A60CE9">
        <w:t xml:space="preserve">Mas, A., &amp; Moretti, E. 2009. Peers at Work. </w:t>
      </w:r>
      <w:r w:rsidRPr="00A60CE9">
        <w:rPr>
          <w:b/>
          <w:i/>
        </w:rPr>
        <w:t>The American Economic Review,</w:t>
      </w:r>
      <w:r w:rsidRPr="00A60CE9">
        <w:t xml:space="preserve"> 99(1): 112-145.</w:t>
      </w:r>
    </w:p>
    <w:p w14:paraId="2D46D4D6" w14:textId="2E6CA3EF" w:rsidR="008F6FAB" w:rsidRDefault="008F6FAB" w:rsidP="000D4FCA">
      <w:pPr>
        <w:spacing w:line="360" w:lineRule="auto"/>
      </w:pPr>
      <w:r w:rsidRPr="008F6FAB">
        <w:t xml:space="preserve">Marx, M., Strumsky, D., &amp; Fleming, L. 2009. Mobility, skills, and the Michigan non-compete experiment. </w:t>
      </w:r>
      <w:r w:rsidRPr="008F6FAB">
        <w:rPr>
          <w:b/>
          <w:i/>
        </w:rPr>
        <w:t>Management Science,</w:t>
      </w:r>
      <w:r w:rsidRPr="008F6FAB">
        <w:t xml:space="preserve"> 55(6): 875-889.</w:t>
      </w:r>
    </w:p>
    <w:p w14:paraId="7ED8C140" w14:textId="7E9E97A8" w:rsidR="00D37591" w:rsidRPr="00A60CE9" w:rsidRDefault="00D37591" w:rsidP="000D4FCA">
      <w:pPr>
        <w:spacing w:line="360" w:lineRule="auto"/>
      </w:pPr>
      <w:r w:rsidRPr="00D37591">
        <w:t xml:space="preserve">Mawdsley, J. K., &amp; Somaya, D. 2016. Employee mobility and organizational outcomes: An integrative conceptual framework and research agenda. </w:t>
      </w:r>
      <w:r w:rsidRPr="00D37591">
        <w:rPr>
          <w:b/>
          <w:i/>
        </w:rPr>
        <w:t>Journal of Management,</w:t>
      </w:r>
      <w:r w:rsidRPr="00D37591">
        <w:t xml:space="preserve"> 42(1): 85-113.</w:t>
      </w:r>
    </w:p>
    <w:p w14:paraId="0241366E" w14:textId="25AC77AC" w:rsidR="00236A58" w:rsidRPr="00A60CE9" w:rsidRDefault="00236A58" w:rsidP="000D4FCA">
      <w:pPr>
        <w:spacing w:line="360" w:lineRule="auto"/>
      </w:pPr>
      <w:r w:rsidRPr="00A60CE9">
        <w:t xml:space="preserve">Miller, R. R. 1990. Do Mergers and Acquisitions Hurt R&amp;D?. </w:t>
      </w:r>
      <w:r w:rsidRPr="00A60CE9">
        <w:rPr>
          <w:b/>
          <w:i/>
        </w:rPr>
        <w:t>Research Technology Management,</w:t>
      </w:r>
      <w:r w:rsidRPr="00A60CE9">
        <w:t xml:space="preserve"> 33(2): 11-15</w:t>
      </w:r>
      <w:r w:rsidR="00021713" w:rsidRPr="00A60CE9">
        <w:t>.</w:t>
      </w:r>
    </w:p>
    <w:p w14:paraId="1AD1D349" w14:textId="77777777" w:rsidR="00236A58" w:rsidRPr="00A60CE9" w:rsidRDefault="00236A58" w:rsidP="000D4FCA">
      <w:pPr>
        <w:spacing w:line="360" w:lineRule="auto"/>
      </w:pPr>
      <w:r w:rsidRPr="00A60CE9">
        <w:t xml:space="preserve">Minbaeva, D., Pedersen, T., Björkman, I., Fey, C. F., &amp; Park, H.J. 2003. MNC knowledge transfer, subsidiary absorptive capacity, and HRM. </w:t>
      </w:r>
      <w:r w:rsidRPr="00A60CE9">
        <w:rPr>
          <w:b/>
          <w:i/>
        </w:rPr>
        <w:t>Journal of International Business Studies,</w:t>
      </w:r>
      <w:r w:rsidRPr="00A60CE9">
        <w:t xml:space="preserve"> 34(6): 586-599.</w:t>
      </w:r>
    </w:p>
    <w:p w14:paraId="7EA34945" w14:textId="77777777" w:rsidR="00236A58" w:rsidRPr="00A60CE9" w:rsidRDefault="00236A58" w:rsidP="000D4FCA">
      <w:pPr>
        <w:spacing w:line="360" w:lineRule="auto"/>
      </w:pPr>
      <w:r w:rsidRPr="00A60CE9">
        <w:t xml:space="preserve">Narin, F., &amp; Breitzman, A. 1995. Inventive productivity. </w:t>
      </w:r>
      <w:r w:rsidRPr="00A60CE9">
        <w:rPr>
          <w:b/>
          <w:i/>
        </w:rPr>
        <w:t>Research Policy,</w:t>
      </w:r>
      <w:r w:rsidRPr="00A60CE9">
        <w:t xml:space="preserve"> 24(4): 507-519.</w:t>
      </w:r>
    </w:p>
    <w:p w14:paraId="593EE449" w14:textId="77777777" w:rsidR="00236A58" w:rsidRPr="00A60CE9" w:rsidRDefault="00236A58" w:rsidP="000D4FCA">
      <w:pPr>
        <w:spacing w:line="360" w:lineRule="auto"/>
      </w:pPr>
      <w:r w:rsidRPr="00A60CE9">
        <w:t xml:space="preserve">Nelson, R. R., &amp; Winter, S. G. 1982. </w:t>
      </w:r>
      <w:r w:rsidRPr="00A60CE9">
        <w:rPr>
          <w:b/>
          <w:i/>
        </w:rPr>
        <w:t>An Evolutionary Theory of Economic Change</w:t>
      </w:r>
      <w:r w:rsidRPr="00A60CE9">
        <w:rPr>
          <w:b/>
        </w:rPr>
        <w:t>.</w:t>
      </w:r>
      <w:r w:rsidRPr="00A60CE9">
        <w:t xml:space="preserve"> </w:t>
      </w:r>
      <w:r w:rsidRPr="00A60CE9">
        <w:rPr>
          <w:rFonts w:cs="Times New Roman"/>
        </w:rPr>
        <w:t xml:space="preserve">Cambridge, MA: </w:t>
      </w:r>
      <w:r w:rsidRPr="00A60CE9">
        <w:t>Harvard University Press.</w:t>
      </w:r>
    </w:p>
    <w:p w14:paraId="5CC8A70C" w14:textId="77777777" w:rsidR="00236A58" w:rsidRDefault="00236A58" w:rsidP="000D4FCA">
      <w:pPr>
        <w:spacing w:line="360" w:lineRule="auto"/>
      </w:pPr>
      <w:r w:rsidRPr="00A60CE9">
        <w:t xml:space="preserve">Nerkar, A., &amp; Paruchuri, S. 2005. Evolution of R&amp;D capabilities: The role of knowledge networks within a firm. </w:t>
      </w:r>
      <w:r w:rsidRPr="00A60CE9">
        <w:rPr>
          <w:b/>
          <w:i/>
        </w:rPr>
        <w:t>Management Science,</w:t>
      </w:r>
      <w:r w:rsidRPr="00A60CE9">
        <w:t xml:space="preserve"> 51(5): 771-785.</w:t>
      </w:r>
    </w:p>
    <w:p w14:paraId="4C1A721D" w14:textId="33C12B56" w:rsidR="00D37591" w:rsidRDefault="00D37591" w:rsidP="000D4FCA">
      <w:pPr>
        <w:spacing w:line="360" w:lineRule="auto"/>
      </w:pPr>
      <w:r w:rsidRPr="00D37591">
        <w:t xml:space="preserve">Nonaka, I. 1994. A dynamic theory of organizational knowledge creation. </w:t>
      </w:r>
      <w:r w:rsidRPr="00D37591">
        <w:rPr>
          <w:b/>
          <w:i/>
        </w:rPr>
        <w:t xml:space="preserve">Organization </w:t>
      </w:r>
      <w:r>
        <w:rPr>
          <w:b/>
          <w:i/>
        </w:rPr>
        <w:t>S</w:t>
      </w:r>
      <w:r w:rsidRPr="00D37591">
        <w:rPr>
          <w:b/>
          <w:i/>
        </w:rPr>
        <w:t>cience,</w:t>
      </w:r>
      <w:r w:rsidRPr="00D37591">
        <w:t xml:space="preserve"> 5(1): 14-37.</w:t>
      </w:r>
    </w:p>
    <w:p w14:paraId="18BD7218" w14:textId="77777777" w:rsidR="00236A58" w:rsidRPr="00A60CE9" w:rsidRDefault="00236A58" w:rsidP="000D4FCA">
      <w:pPr>
        <w:spacing w:line="360" w:lineRule="auto"/>
      </w:pPr>
      <w:r w:rsidRPr="00A60CE9">
        <w:lastRenderedPageBreak/>
        <w:t xml:space="preserve">OECD. 2011. </w:t>
      </w:r>
      <w:r w:rsidRPr="00A60CE9">
        <w:rPr>
          <w:b/>
          <w:i/>
        </w:rPr>
        <w:t>ISIC REV. 3 Technology Intensity Definition</w:t>
      </w:r>
      <w:r w:rsidRPr="00A60CE9">
        <w:t>. Paris: OECD.</w:t>
      </w:r>
    </w:p>
    <w:p w14:paraId="36CECA6D" w14:textId="77777777" w:rsidR="00236A58" w:rsidRPr="00A60CE9" w:rsidRDefault="00236A58" w:rsidP="000D4FCA">
      <w:pPr>
        <w:spacing w:line="360" w:lineRule="auto"/>
      </w:pPr>
      <w:r w:rsidRPr="00A60CE9">
        <w:t xml:space="preserve">Oettl, A. 2012. Reconceptualizing stars: Scientist helpfulness and peer performance. </w:t>
      </w:r>
      <w:r w:rsidRPr="00A60CE9">
        <w:rPr>
          <w:b/>
          <w:i/>
        </w:rPr>
        <w:t>Management Science,</w:t>
      </w:r>
      <w:r w:rsidRPr="00A60CE9">
        <w:t xml:space="preserve"> 58(6): 1122-1140.</w:t>
      </w:r>
    </w:p>
    <w:p w14:paraId="36388AEB" w14:textId="77777777" w:rsidR="00236A58" w:rsidRPr="00A60CE9" w:rsidRDefault="00236A58" w:rsidP="000D4FCA">
      <w:pPr>
        <w:spacing w:line="360" w:lineRule="auto"/>
      </w:pPr>
      <w:r w:rsidRPr="00A60CE9">
        <w:t xml:space="preserve">Ornaghi, C. 2009. Mergers and innovation in big pharma. </w:t>
      </w:r>
      <w:r w:rsidRPr="00A60CE9">
        <w:rPr>
          <w:b/>
          <w:i/>
        </w:rPr>
        <w:t>International Journal of Industrial Organization,</w:t>
      </w:r>
      <w:r w:rsidRPr="00A60CE9">
        <w:t xml:space="preserve"> 27(1): 70-79.</w:t>
      </w:r>
    </w:p>
    <w:p w14:paraId="3236329D" w14:textId="77777777" w:rsidR="00236A58" w:rsidRPr="00A60CE9" w:rsidRDefault="00236A58" w:rsidP="000D4FCA">
      <w:pPr>
        <w:spacing w:line="360" w:lineRule="auto"/>
        <w:rPr>
          <w:rFonts w:cs="Times New Roman"/>
        </w:rPr>
      </w:pPr>
      <w:r w:rsidRPr="00A60CE9">
        <w:rPr>
          <w:rFonts w:cs="Times New Roman"/>
        </w:rPr>
        <w:t xml:space="preserve">Pakes, A., &amp; Griliches, Z. 1980. Patents and R&amp;D at the Firm Level: A First Report. </w:t>
      </w:r>
      <w:r w:rsidRPr="00A60CE9">
        <w:rPr>
          <w:rFonts w:cs="Times New Roman"/>
          <w:b/>
          <w:i/>
        </w:rPr>
        <w:t>Economics Letters,</w:t>
      </w:r>
      <w:r w:rsidRPr="00A60CE9">
        <w:rPr>
          <w:rFonts w:cs="Times New Roman"/>
        </w:rPr>
        <w:t xml:space="preserve"> 5: 377-381.</w:t>
      </w:r>
    </w:p>
    <w:p w14:paraId="1CFA8D45" w14:textId="4D208318" w:rsidR="00F77C30" w:rsidRDefault="00F77C30" w:rsidP="000D4FCA">
      <w:pPr>
        <w:spacing w:line="360" w:lineRule="auto"/>
      </w:pPr>
      <w:r>
        <w:t>Palomeras, N., &amp; Melero, E. 2010</w:t>
      </w:r>
      <w:r w:rsidRPr="00F77C30">
        <w:t xml:space="preserve">. Markets for inventors: learning-by-hiring as a driver of mobility. </w:t>
      </w:r>
      <w:r w:rsidRPr="00F77C30">
        <w:rPr>
          <w:b/>
          <w:i/>
        </w:rPr>
        <w:t>Management Science,</w:t>
      </w:r>
      <w:r w:rsidRPr="00F77C30">
        <w:t xml:space="preserve"> 56(5)</w:t>
      </w:r>
      <w:r>
        <w:t>:</w:t>
      </w:r>
      <w:r w:rsidRPr="00F77C30">
        <w:t xml:space="preserve"> 881-895.</w:t>
      </w:r>
    </w:p>
    <w:p w14:paraId="64407152" w14:textId="77777777" w:rsidR="00236A58" w:rsidRPr="00A60CE9" w:rsidRDefault="00236A58" w:rsidP="000D4FCA">
      <w:pPr>
        <w:spacing w:line="360" w:lineRule="auto"/>
      </w:pPr>
      <w:r w:rsidRPr="00A60CE9">
        <w:t>Paruchuri, S. 2010. Intraorganizational networks, interorganizational networks, and the impact of central inventors: A longitudinal study of pharmaceutical firms.</w:t>
      </w:r>
      <w:r w:rsidRPr="00A60CE9">
        <w:rPr>
          <w:i/>
        </w:rPr>
        <w:t xml:space="preserve"> </w:t>
      </w:r>
      <w:r w:rsidRPr="00A60CE9">
        <w:rPr>
          <w:b/>
          <w:i/>
        </w:rPr>
        <w:t>Organization Science,</w:t>
      </w:r>
      <w:r w:rsidRPr="00A60CE9">
        <w:t xml:space="preserve"> 21(1): 63-80.</w:t>
      </w:r>
    </w:p>
    <w:p w14:paraId="17485126" w14:textId="77777777" w:rsidR="00236A58" w:rsidRPr="00A60CE9" w:rsidRDefault="00236A58" w:rsidP="000D4FCA">
      <w:pPr>
        <w:spacing w:line="360" w:lineRule="auto"/>
        <w:rPr>
          <w:rFonts w:cs="Times New Roman"/>
        </w:rPr>
      </w:pPr>
      <w:r w:rsidRPr="00174B8B">
        <w:rPr>
          <w:rFonts w:cs="Times New Roman"/>
        </w:rPr>
        <w:t xml:space="preserve">Paruchuri, S., Nerkar, A., &amp; Hambrick, D. C. 2006. </w:t>
      </w:r>
      <w:r w:rsidRPr="00A60CE9">
        <w:rPr>
          <w:rFonts w:cs="Times New Roman"/>
        </w:rPr>
        <w:t xml:space="preserve">Acquisition Integration and Productivity Losses in the Technical Core: Disruption of Inventors in Acquired Companies. </w:t>
      </w:r>
      <w:r w:rsidRPr="00A60CE9">
        <w:rPr>
          <w:rFonts w:cs="Times New Roman"/>
          <w:b/>
          <w:i/>
        </w:rPr>
        <w:t>Organization Science,</w:t>
      </w:r>
      <w:r w:rsidRPr="00A60CE9">
        <w:rPr>
          <w:rFonts w:cs="Times New Roman"/>
        </w:rPr>
        <w:t xml:space="preserve"> 17(5): 545 - 562.</w:t>
      </w:r>
    </w:p>
    <w:p w14:paraId="4C5DEA08" w14:textId="77777777" w:rsidR="00236A58" w:rsidRPr="00A60CE9" w:rsidRDefault="00236A58" w:rsidP="000D4FCA">
      <w:pPr>
        <w:spacing w:line="360" w:lineRule="auto"/>
      </w:pPr>
      <w:r w:rsidRPr="00A60CE9">
        <w:t>Peteraf, M. A. 1993. The cornerstones of competitive advantage: A resource</w:t>
      </w:r>
      <w:r w:rsidRPr="00A60CE9">
        <w:rPr>
          <w:rFonts w:ascii="Cambria Math" w:hAnsi="Cambria Math" w:cs="Cambria Math"/>
        </w:rPr>
        <w:t>‐</w:t>
      </w:r>
      <w:r w:rsidRPr="00A60CE9">
        <w:t xml:space="preserve">based view. </w:t>
      </w:r>
      <w:r w:rsidRPr="00A60CE9">
        <w:rPr>
          <w:b/>
          <w:i/>
        </w:rPr>
        <w:t>Strategic Management Journal,</w:t>
      </w:r>
      <w:r w:rsidRPr="00A60CE9">
        <w:t xml:space="preserve"> 14(3): 179-191.</w:t>
      </w:r>
    </w:p>
    <w:p w14:paraId="49E81CD5" w14:textId="77777777" w:rsidR="00236A58" w:rsidRPr="00A60CE9" w:rsidRDefault="00236A58" w:rsidP="000D4FCA">
      <w:pPr>
        <w:spacing w:line="360" w:lineRule="auto"/>
      </w:pPr>
      <w:r w:rsidRPr="00A60CE9">
        <w:t xml:space="preserve">Price, D.J.D.S. 1965. Networks of Scientific Papers. </w:t>
      </w:r>
      <w:r w:rsidRPr="00A60CE9">
        <w:rPr>
          <w:b/>
          <w:i/>
        </w:rPr>
        <w:t>American Association for the Advancement of Science,</w:t>
      </w:r>
      <w:r w:rsidRPr="00A60CE9">
        <w:t xml:space="preserve"> 149(3683): 510-515. </w:t>
      </w:r>
    </w:p>
    <w:p w14:paraId="68A6EEBE" w14:textId="77777777" w:rsidR="00236A58" w:rsidRPr="00A60CE9" w:rsidRDefault="00236A58" w:rsidP="000D4FCA">
      <w:pPr>
        <w:spacing w:line="360" w:lineRule="auto"/>
      </w:pPr>
      <w:r w:rsidRPr="00A60CE9">
        <w:t xml:space="preserve">Pritchett, P. 1985. </w:t>
      </w:r>
      <w:r w:rsidRPr="00A60CE9">
        <w:rPr>
          <w:b/>
          <w:i/>
        </w:rPr>
        <w:t>After the merger: Managing the shockwaves</w:t>
      </w:r>
      <w:r w:rsidRPr="00A60CE9">
        <w:t xml:space="preserve">. Irwin, N.Y.: Dow Jones. </w:t>
      </w:r>
    </w:p>
    <w:p w14:paraId="6721E748" w14:textId="77777777" w:rsidR="00236A58" w:rsidRPr="00A60CE9" w:rsidRDefault="00236A58" w:rsidP="000D4FCA">
      <w:pPr>
        <w:spacing w:line="360" w:lineRule="auto"/>
      </w:pPr>
      <w:r w:rsidRPr="00A60CE9">
        <w:t xml:space="preserve">Rao, H., &amp; Drazin, R. 2002. Overcoming resource constraints on product innovation by recruiting talent from rivals: A study of the mutual fund industry, 1986–1994. </w:t>
      </w:r>
      <w:r w:rsidRPr="00A60CE9">
        <w:rPr>
          <w:b/>
          <w:i/>
        </w:rPr>
        <w:t>Academy of Management Journal,</w:t>
      </w:r>
      <w:r w:rsidRPr="00A60CE9">
        <w:t xml:space="preserve"> 45(3): 491-507.</w:t>
      </w:r>
    </w:p>
    <w:p w14:paraId="1AB2A374" w14:textId="77777777" w:rsidR="00236A58" w:rsidRPr="00A60CE9" w:rsidRDefault="00236A58" w:rsidP="000D4FCA">
      <w:pPr>
        <w:spacing w:line="360" w:lineRule="auto"/>
      </w:pPr>
      <w:r w:rsidRPr="001A02C6">
        <w:rPr>
          <w:lang w:val="de-DE"/>
        </w:rPr>
        <w:t xml:space="preserve">Ravenscraft, D. J., &amp; Scherer, F. M. 1987. </w:t>
      </w:r>
      <w:r w:rsidRPr="00A60CE9">
        <w:t xml:space="preserve">Life after takeover. </w:t>
      </w:r>
      <w:r w:rsidRPr="00A60CE9">
        <w:rPr>
          <w:b/>
          <w:i/>
        </w:rPr>
        <w:t>The Journal of Industrial Economics,</w:t>
      </w:r>
      <w:r w:rsidRPr="00A60CE9">
        <w:t xml:space="preserve"> 36(2): 147-156.</w:t>
      </w:r>
    </w:p>
    <w:p w14:paraId="3D295930" w14:textId="77777777" w:rsidR="001944BC" w:rsidRDefault="001944BC" w:rsidP="000D4FCA">
      <w:pPr>
        <w:spacing w:line="360" w:lineRule="auto"/>
        <w:rPr>
          <w:rFonts w:cs="Times New Roman"/>
        </w:rPr>
      </w:pPr>
      <w:r w:rsidRPr="001944BC">
        <w:rPr>
          <w:rFonts w:cs="Times New Roman"/>
        </w:rPr>
        <w:t xml:space="preserve">Rosen, S. 1972. Learning and experience in the labor market. </w:t>
      </w:r>
      <w:r w:rsidRPr="001944BC">
        <w:rPr>
          <w:rFonts w:cs="Times New Roman"/>
          <w:b/>
          <w:i/>
        </w:rPr>
        <w:t>Journal of Human Resources,</w:t>
      </w:r>
      <w:r w:rsidRPr="001944BC">
        <w:rPr>
          <w:rFonts w:cs="Times New Roman"/>
        </w:rPr>
        <w:t xml:space="preserve"> 7(3): 326-342.</w:t>
      </w:r>
    </w:p>
    <w:p w14:paraId="52355B00" w14:textId="764F496C" w:rsidR="00236A58" w:rsidRPr="00A60CE9" w:rsidRDefault="00236A58" w:rsidP="000D4FCA">
      <w:pPr>
        <w:spacing w:line="360" w:lineRule="auto"/>
        <w:rPr>
          <w:rFonts w:cs="Times New Roman"/>
        </w:rPr>
      </w:pPr>
      <w:r w:rsidRPr="00A60CE9">
        <w:rPr>
          <w:rFonts w:cs="Times New Roman"/>
        </w:rPr>
        <w:lastRenderedPageBreak/>
        <w:t xml:space="preserve">Rosenkopf, L., &amp; Almeida, P. 2003. Overcoming local search through alliances and mobility. </w:t>
      </w:r>
      <w:r w:rsidRPr="00A60CE9">
        <w:rPr>
          <w:rFonts w:cs="Times New Roman"/>
          <w:b/>
          <w:i/>
        </w:rPr>
        <w:t>Management Science,</w:t>
      </w:r>
      <w:r w:rsidRPr="00A60CE9">
        <w:rPr>
          <w:rFonts w:cs="Times New Roman"/>
        </w:rPr>
        <w:t xml:space="preserve"> 49: 751–766.</w:t>
      </w:r>
    </w:p>
    <w:p w14:paraId="63F1023D" w14:textId="77777777" w:rsidR="00236A58" w:rsidRPr="00A60CE9" w:rsidRDefault="00236A58" w:rsidP="000D4FCA">
      <w:pPr>
        <w:spacing w:line="360" w:lineRule="auto"/>
      </w:pPr>
      <w:r w:rsidRPr="00A60CE9">
        <w:t xml:space="preserve">Sacerdote, B. 2001. Peer effects with random assignment: results for Dartmouth roommates. </w:t>
      </w:r>
      <w:r w:rsidRPr="00A60CE9">
        <w:rPr>
          <w:b/>
          <w:i/>
        </w:rPr>
        <w:t>Quarterly Journal of Economics,</w:t>
      </w:r>
      <w:r w:rsidRPr="00A60CE9">
        <w:t xml:space="preserve"> 116(2): 681-704.</w:t>
      </w:r>
    </w:p>
    <w:p w14:paraId="2FEFC5F0" w14:textId="77777777" w:rsidR="00236A58" w:rsidRPr="00A60CE9" w:rsidRDefault="00236A58" w:rsidP="000D4FCA">
      <w:pPr>
        <w:spacing w:line="360" w:lineRule="auto"/>
      </w:pPr>
      <w:r w:rsidRPr="00A60CE9">
        <w:t xml:space="preserve">Scherer, F.M. 1983. The propensity to patent. </w:t>
      </w:r>
      <w:r w:rsidRPr="00A60CE9">
        <w:rPr>
          <w:b/>
          <w:i/>
        </w:rPr>
        <w:t>International Journal of Industrial Organization,</w:t>
      </w:r>
      <w:r w:rsidRPr="00A60CE9">
        <w:t xml:space="preserve"> 1: 107-128.</w:t>
      </w:r>
    </w:p>
    <w:p w14:paraId="1C89519F" w14:textId="77777777" w:rsidR="00236A58" w:rsidRPr="00A60CE9" w:rsidRDefault="00236A58" w:rsidP="000D4FCA">
      <w:pPr>
        <w:spacing w:line="360" w:lineRule="auto"/>
      </w:pPr>
      <w:r w:rsidRPr="00A60CE9">
        <w:t xml:space="preserve">Schumpeter, J. A. 1982(1939). </w:t>
      </w:r>
      <w:r w:rsidRPr="00A60CE9">
        <w:rPr>
          <w:b/>
          <w:i/>
        </w:rPr>
        <w:t>Business cycles – A theoretical and statistical analysis of the capitalist process</w:t>
      </w:r>
      <w:r w:rsidRPr="00A60CE9">
        <w:rPr>
          <w:b/>
        </w:rPr>
        <w:t xml:space="preserve">. </w:t>
      </w:r>
      <w:r w:rsidRPr="00A60CE9">
        <w:rPr>
          <w:b/>
          <w:i/>
        </w:rPr>
        <w:t>Volume 1</w:t>
      </w:r>
      <w:r w:rsidRPr="00A60CE9">
        <w:rPr>
          <w:b/>
        </w:rPr>
        <w:t>.</w:t>
      </w:r>
      <w:r w:rsidRPr="00A60CE9">
        <w:t xml:space="preserve">  Philadelphia, PA: Porcupine Press.</w:t>
      </w:r>
    </w:p>
    <w:p w14:paraId="5B0CF489" w14:textId="77777777" w:rsidR="00236A58" w:rsidRPr="00A60CE9" w:rsidRDefault="00236A58" w:rsidP="000D4FCA">
      <w:pPr>
        <w:spacing w:line="360" w:lineRule="auto"/>
      </w:pPr>
      <w:r w:rsidRPr="00A60CE9">
        <w:t>Shang, S., Nesson, E., &amp; Fan, M. 2015.</w:t>
      </w:r>
      <w:r w:rsidRPr="00A60CE9">
        <w:rPr>
          <w:i/>
        </w:rPr>
        <w:t xml:space="preserve"> </w:t>
      </w:r>
      <w:r w:rsidRPr="00A60CE9">
        <w:rPr>
          <w:b/>
          <w:i/>
        </w:rPr>
        <w:t>Interaction Terms in Poisson and Log Linear Regression Models</w:t>
      </w:r>
      <w:r w:rsidRPr="00A60CE9">
        <w:rPr>
          <w:b/>
        </w:rPr>
        <w:t>.</w:t>
      </w:r>
      <w:r w:rsidRPr="00A60CE9">
        <w:t xml:space="preserve"> SSRN Working Paper.</w:t>
      </w:r>
    </w:p>
    <w:p w14:paraId="1B0E1951" w14:textId="77777777" w:rsidR="00236A58" w:rsidRPr="00A60CE9" w:rsidRDefault="00236A58" w:rsidP="000D4FCA">
      <w:pPr>
        <w:spacing w:line="360" w:lineRule="auto"/>
      </w:pPr>
      <w:r w:rsidRPr="00A60CE9">
        <w:t xml:space="preserve">Singh, J., &amp; Agrawal, A. 2011. Recruiting for ideas: How firms exploit the prior inventions of new hires. </w:t>
      </w:r>
      <w:r w:rsidRPr="00A60CE9">
        <w:rPr>
          <w:b/>
          <w:i/>
        </w:rPr>
        <w:t>Management Science,</w:t>
      </w:r>
      <w:r w:rsidRPr="00A60CE9">
        <w:t xml:space="preserve"> 57(1): 129-150.</w:t>
      </w:r>
    </w:p>
    <w:p w14:paraId="06EE0156" w14:textId="77777777" w:rsidR="00236A58" w:rsidRPr="00A60CE9" w:rsidRDefault="00236A58" w:rsidP="000D4FCA">
      <w:pPr>
        <w:spacing w:line="360" w:lineRule="auto"/>
      </w:pPr>
      <w:r w:rsidRPr="001A02C6">
        <w:rPr>
          <w:lang w:val="de-DE"/>
        </w:rPr>
        <w:t xml:space="preserve">Song, J., Almeida, P., &amp; Wu, G. 2003. </w:t>
      </w:r>
      <w:r w:rsidRPr="00A60CE9">
        <w:t xml:space="preserve">Learning–by–Hiring: When is mobility more likely to facilitate interfirm knowledge transfer?. </w:t>
      </w:r>
      <w:r w:rsidRPr="00A60CE9">
        <w:rPr>
          <w:b/>
          <w:i/>
        </w:rPr>
        <w:t>Management Science,</w:t>
      </w:r>
      <w:r w:rsidRPr="00A60CE9">
        <w:t xml:space="preserve"> 49(4): 351-365.</w:t>
      </w:r>
    </w:p>
    <w:p w14:paraId="73B5E99A" w14:textId="77777777" w:rsidR="00236A58" w:rsidRPr="00A60CE9" w:rsidRDefault="00236A58" w:rsidP="000D4FCA">
      <w:pPr>
        <w:spacing w:line="360" w:lineRule="auto"/>
      </w:pPr>
      <w:r w:rsidRPr="001A02C6">
        <w:rPr>
          <w:lang w:val="de-DE"/>
        </w:rPr>
        <w:t xml:space="preserve">Souder, W. E., &amp; Chakrabarti, A.K. 1984. </w:t>
      </w:r>
      <w:r w:rsidRPr="00A60CE9">
        <w:t xml:space="preserve">Acquisitions: do they really work out?. </w:t>
      </w:r>
      <w:r w:rsidRPr="00A60CE9">
        <w:rPr>
          <w:b/>
          <w:i/>
        </w:rPr>
        <w:t>Interfaces,</w:t>
      </w:r>
      <w:r w:rsidRPr="00A60CE9">
        <w:t xml:space="preserve"> 14(4): 41-47.</w:t>
      </w:r>
    </w:p>
    <w:p w14:paraId="24CF9CFA" w14:textId="77777777" w:rsidR="00236A58" w:rsidRPr="00A60CE9" w:rsidRDefault="00236A58" w:rsidP="000D4FCA">
      <w:pPr>
        <w:spacing w:line="360" w:lineRule="auto"/>
      </w:pPr>
      <w:r w:rsidRPr="00A60CE9">
        <w:t xml:space="preserve">Staw, B. M., Sandelands, L.E., &amp; Dutton, J.E. 1981. Threat rigidity effects in organizational behavior: A multilevel analysis. </w:t>
      </w:r>
      <w:r w:rsidRPr="00A60CE9">
        <w:rPr>
          <w:b/>
          <w:i/>
        </w:rPr>
        <w:t>Administrative Science Quarterly,</w:t>
      </w:r>
      <w:r w:rsidRPr="00A60CE9">
        <w:t xml:space="preserve"> 26: 501-524.</w:t>
      </w:r>
    </w:p>
    <w:p w14:paraId="4BC5E92D" w14:textId="77777777" w:rsidR="00236A58" w:rsidRPr="00A60CE9" w:rsidRDefault="00236A58" w:rsidP="000D4FCA">
      <w:pPr>
        <w:spacing w:line="360" w:lineRule="auto"/>
      </w:pPr>
      <w:r w:rsidRPr="00A60CE9">
        <w:t xml:space="preserve">Szulanski, G. 1996. Exploring internal stickiness: Impediments to the transfer of best practice within the firm. </w:t>
      </w:r>
      <w:r w:rsidRPr="00A60CE9">
        <w:rPr>
          <w:b/>
          <w:i/>
        </w:rPr>
        <w:t>Strategic Management Journal,</w:t>
      </w:r>
      <w:r w:rsidRPr="00A60CE9">
        <w:t xml:space="preserve"> 17(S2): 27-43.</w:t>
      </w:r>
    </w:p>
    <w:p w14:paraId="028F52B2" w14:textId="77777777" w:rsidR="00236A58" w:rsidRPr="00A60CE9" w:rsidRDefault="00236A58" w:rsidP="000D4FCA">
      <w:pPr>
        <w:spacing w:line="360" w:lineRule="auto"/>
      </w:pPr>
      <w:r w:rsidRPr="00A60CE9">
        <w:t xml:space="preserve">Tsoukas, H., &amp; Mylonopoulos, N. 2004. Introduction: Knowledge construction and creation in organizations. </w:t>
      </w:r>
      <w:r w:rsidRPr="00A60CE9">
        <w:rPr>
          <w:b/>
          <w:i/>
        </w:rPr>
        <w:t>British Journal of Management</w:t>
      </w:r>
      <w:r w:rsidRPr="00A60CE9">
        <w:t>, 15(S1): S1-S8.</w:t>
      </w:r>
    </w:p>
    <w:p w14:paraId="4F6426FE" w14:textId="77777777" w:rsidR="00236A58" w:rsidRPr="00A60CE9" w:rsidRDefault="00236A58" w:rsidP="000D4FCA">
      <w:pPr>
        <w:spacing w:line="360" w:lineRule="auto"/>
        <w:rPr>
          <w:rFonts w:cs="Times New Roman"/>
        </w:rPr>
      </w:pPr>
      <w:r w:rsidRPr="00A60CE9">
        <w:rPr>
          <w:rFonts w:cs="Times New Roman"/>
        </w:rPr>
        <w:t xml:space="preserve">Trajtenberg, M. 1990. A penny for your quotes: patent citations and the value of innovations. </w:t>
      </w:r>
      <w:r w:rsidRPr="00A60CE9">
        <w:rPr>
          <w:rFonts w:cs="Times New Roman"/>
          <w:b/>
          <w:bCs/>
          <w:i/>
          <w:iCs/>
        </w:rPr>
        <w:t>Rand Journal of Economics</w:t>
      </w:r>
      <w:r w:rsidRPr="00A60CE9">
        <w:rPr>
          <w:rFonts w:cs="Times New Roman"/>
        </w:rPr>
        <w:t>, 21(1): 172-187.</w:t>
      </w:r>
    </w:p>
    <w:p w14:paraId="5038BE2F" w14:textId="77777777" w:rsidR="00236A58" w:rsidRPr="00A60CE9" w:rsidRDefault="00236A58" w:rsidP="000D4FCA">
      <w:pPr>
        <w:spacing w:line="360" w:lineRule="auto"/>
        <w:rPr>
          <w:rFonts w:cs="Times New Roman"/>
        </w:rPr>
      </w:pPr>
      <w:r w:rsidRPr="001A02C6">
        <w:rPr>
          <w:rFonts w:cs="Times New Roman"/>
          <w:lang w:val="de-DE"/>
        </w:rPr>
        <w:t xml:space="preserve">Trajtenberg, M., Shiff, G., &amp; Melamed, R. 2006. </w:t>
      </w:r>
      <w:r w:rsidRPr="00A60CE9">
        <w:rPr>
          <w:rFonts w:cs="Times New Roman"/>
          <w:b/>
          <w:i/>
        </w:rPr>
        <w:t>The" names game": Harnessing inventors' patent data for economic research</w:t>
      </w:r>
      <w:r w:rsidRPr="00A60CE9">
        <w:rPr>
          <w:rFonts w:cs="Times New Roman"/>
          <w:b/>
        </w:rPr>
        <w:t>.</w:t>
      </w:r>
      <w:r w:rsidRPr="00A60CE9">
        <w:rPr>
          <w:rFonts w:cs="Times New Roman"/>
        </w:rPr>
        <w:t xml:space="preserve"> NBER Working Paper Number w12479.</w:t>
      </w:r>
    </w:p>
    <w:p w14:paraId="24BF4EF9" w14:textId="5CCDF063" w:rsidR="00FC1902" w:rsidRDefault="009A7EA2" w:rsidP="000D4FCA">
      <w:pPr>
        <w:spacing w:line="360" w:lineRule="auto"/>
        <w:rPr>
          <w:rFonts w:cs="Times New Roman"/>
        </w:rPr>
      </w:pPr>
      <w:r>
        <w:rPr>
          <w:rFonts w:cs="Times New Roman"/>
        </w:rPr>
        <w:lastRenderedPageBreak/>
        <w:t xml:space="preserve">Tzabbar, D. </w:t>
      </w:r>
      <w:r w:rsidR="00FC1902" w:rsidRPr="00FC1902">
        <w:rPr>
          <w:rFonts w:cs="Times New Roman"/>
        </w:rPr>
        <w:t xml:space="preserve">2009. When does scientist recruitment affect technological repositioning?. </w:t>
      </w:r>
      <w:r w:rsidR="00FC1902" w:rsidRPr="00FC1902">
        <w:rPr>
          <w:rFonts w:cs="Times New Roman"/>
          <w:b/>
          <w:i/>
        </w:rPr>
        <w:t xml:space="preserve">Academy of Management Journal, </w:t>
      </w:r>
      <w:r w:rsidR="00FC1902">
        <w:rPr>
          <w:rFonts w:cs="Times New Roman"/>
        </w:rPr>
        <w:t>52(5):</w:t>
      </w:r>
      <w:r w:rsidR="00FC1902" w:rsidRPr="00FC1902">
        <w:rPr>
          <w:rFonts w:cs="Times New Roman"/>
        </w:rPr>
        <w:t xml:space="preserve"> 873-896.</w:t>
      </w:r>
    </w:p>
    <w:p w14:paraId="2BE4EEBC" w14:textId="77777777" w:rsidR="00236A58" w:rsidRPr="00A60CE9" w:rsidRDefault="00236A58" w:rsidP="000D4FCA">
      <w:pPr>
        <w:spacing w:line="360" w:lineRule="auto"/>
        <w:rPr>
          <w:rFonts w:cs="Times New Roman"/>
        </w:rPr>
      </w:pPr>
      <w:r w:rsidRPr="00A60CE9">
        <w:rPr>
          <w:rFonts w:cs="Times New Roman"/>
        </w:rPr>
        <w:t xml:space="preserve">Valentini, G. 2012. Measuring the effect of M&amp;A on patenting quantity and quality. </w:t>
      </w:r>
      <w:r w:rsidRPr="00A60CE9">
        <w:rPr>
          <w:rFonts w:cs="Times New Roman"/>
          <w:b/>
          <w:i/>
        </w:rPr>
        <w:t>Strategic Management Journal,</w:t>
      </w:r>
      <w:r w:rsidRPr="00A60CE9">
        <w:rPr>
          <w:rFonts w:cs="Times New Roman"/>
        </w:rPr>
        <w:t xml:space="preserve"> 33(3): 336-346.</w:t>
      </w:r>
    </w:p>
    <w:p w14:paraId="08A77E16" w14:textId="77777777" w:rsidR="00236A58" w:rsidRPr="00A60CE9" w:rsidRDefault="00236A58" w:rsidP="000D4FCA">
      <w:pPr>
        <w:spacing w:line="360" w:lineRule="auto"/>
        <w:rPr>
          <w:rFonts w:cs="Times New Roman"/>
          <w:b/>
        </w:rPr>
      </w:pPr>
      <w:r w:rsidRPr="00A60CE9">
        <w:rPr>
          <w:rFonts w:cs="Times New Roman"/>
        </w:rPr>
        <w:t xml:space="preserve">Veugelers, R. 2006. Literature Review on M&amp;A and R&amp;D. In: Cassiman, B. and M.G. Colombo (eds.). </w:t>
      </w:r>
      <w:r w:rsidRPr="00A60CE9">
        <w:rPr>
          <w:rFonts w:cs="Times New Roman"/>
          <w:b/>
          <w:i/>
        </w:rPr>
        <w:t>Merger and Acquisitions - The Innovation Impact.</w:t>
      </w:r>
    </w:p>
    <w:p w14:paraId="1C9CD907" w14:textId="77777777" w:rsidR="00236A58" w:rsidRPr="00A60CE9" w:rsidRDefault="00236A58" w:rsidP="000D4FCA">
      <w:pPr>
        <w:spacing w:line="360" w:lineRule="auto"/>
        <w:rPr>
          <w:rFonts w:cs="Times New Roman"/>
        </w:rPr>
      </w:pPr>
      <w:r w:rsidRPr="00A60CE9">
        <w:rPr>
          <w:rFonts w:cs="Times New Roman"/>
        </w:rPr>
        <w:t xml:space="preserve">Wagner, C. S., &amp; Leydesdorff, L. 2005. Network structure, self-organization, and the growth of international collaboration in science. </w:t>
      </w:r>
      <w:r w:rsidRPr="00A60CE9">
        <w:rPr>
          <w:rFonts w:cs="Times New Roman"/>
          <w:b/>
          <w:i/>
        </w:rPr>
        <w:t>Research Policy,</w:t>
      </w:r>
      <w:r w:rsidRPr="00A60CE9">
        <w:rPr>
          <w:rFonts w:cs="Times New Roman"/>
        </w:rPr>
        <w:t xml:space="preserve"> 34(10): 1608-1618.</w:t>
      </w:r>
    </w:p>
    <w:p w14:paraId="483E9C83" w14:textId="77777777" w:rsidR="00236A58" w:rsidRPr="00A60CE9" w:rsidRDefault="00236A58" w:rsidP="000D4FCA">
      <w:pPr>
        <w:spacing w:line="360" w:lineRule="auto"/>
      </w:pPr>
      <w:r w:rsidRPr="00A60CE9">
        <w:t xml:space="preserve">Waldinger, F. 2012. Peer effects in science: Evidence from the dismissal of scientists in Nazi Germany. </w:t>
      </w:r>
      <w:r w:rsidRPr="00A60CE9">
        <w:rPr>
          <w:b/>
          <w:i/>
        </w:rPr>
        <w:t>The Review of Economic Studies,</w:t>
      </w:r>
      <w:r w:rsidRPr="00A60CE9">
        <w:t xml:space="preserve"> 79(2): 838-861.</w:t>
      </w:r>
    </w:p>
    <w:p w14:paraId="2507258F" w14:textId="77777777" w:rsidR="00236A58" w:rsidRPr="00A60CE9" w:rsidRDefault="00236A58" w:rsidP="000D4FCA">
      <w:pPr>
        <w:spacing w:line="360" w:lineRule="auto"/>
      </w:pPr>
      <w:r w:rsidRPr="00A60CE9">
        <w:t xml:space="preserve">Walsh, J. P 1988. Top management turnover following mergers and acquisitions. </w:t>
      </w:r>
      <w:r w:rsidRPr="00A60CE9">
        <w:rPr>
          <w:b/>
          <w:i/>
        </w:rPr>
        <w:t>Strategic Management Journal,</w:t>
      </w:r>
      <w:r w:rsidRPr="00A60CE9">
        <w:t xml:space="preserve"> 9(2): 173-183.</w:t>
      </w:r>
    </w:p>
    <w:p w14:paraId="1E389BDE" w14:textId="77777777" w:rsidR="00236A58" w:rsidRPr="00A60CE9" w:rsidRDefault="00236A58" w:rsidP="000D4FCA">
      <w:pPr>
        <w:spacing w:line="360" w:lineRule="auto"/>
      </w:pPr>
      <w:r w:rsidRPr="00A60CE9">
        <w:t xml:space="preserve">Winter, S. G. 1986. The research program of the behavioral theory of the firm: Orthodox critique and evolutionary perspective. </w:t>
      </w:r>
      <w:r w:rsidRPr="00A60CE9">
        <w:rPr>
          <w:b/>
          <w:i/>
        </w:rPr>
        <w:t>Handbook of behavioral economics,</w:t>
      </w:r>
      <w:r w:rsidRPr="00A60CE9">
        <w:t xml:space="preserve"> 1: 151-188.</w:t>
      </w:r>
    </w:p>
    <w:p w14:paraId="7CC060F9" w14:textId="77777777" w:rsidR="00236A58" w:rsidRPr="00A60CE9" w:rsidRDefault="00236A58" w:rsidP="000D4FCA">
      <w:pPr>
        <w:spacing w:line="360" w:lineRule="auto"/>
        <w:rPr>
          <w:rFonts w:cs="Times New Roman"/>
        </w:rPr>
      </w:pPr>
      <w:r w:rsidRPr="00A60CE9">
        <w:rPr>
          <w:rFonts w:cs="Times New Roman"/>
        </w:rPr>
        <w:t xml:space="preserve">Wooldridge, J. M. 2010. </w:t>
      </w:r>
      <w:r w:rsidRPr="00A60CE9">
        <w:rPr>
          <w:rFonts w:cs="Times New Roman"/>
          <w:b/>
          <w:i/>
        </w:rPr>
        <w:t>Econometric analysis of cross section and panel data</w:t>
      </w:r>
      <w:r w:rsidRPr="00A60CE9">
        <w:rPr>
          <w:rFonts w:cs="Times New Roman"/>
          <w:b/>
        </w:rPr>
        <w:t>.</w:t>
      </w:r>
      <w:r w:rsidRPr="00A60CE9">
        <w:rPr>
          <w:rFonts w:cs="Times New Roman"/>
        </w:rPr>
        <w:t xml:space="preserve"> Cambridge, MA: MIT Press.</w:t>
      </w:r>
    </w:p>
    <w:p w14:paraId="7B551BAD" w14:textId="77777777" w:rsidR="00236A58" w:rsidRPr="00A60CE9" w:rsidRDefault="00236A58" w:rsidP="000D4FCA">
      <w:pPr>
        <w:spacing w:line="360" w:lineRule="auto"/>
      </w:pPr>
      <w:r w:rsidRPr="00A60CE9">
        <w:t xml:space="preserve">Zander, U., &amp; Kogut, B. 1995. Knowledge and the speed of the transfer and imitation of organizational capabilities: An empirical test. </w:t>
      </w:r>
      <w:r w:rsidRPr="00A60CE9">
        <w:rPr>
          <w:b/>
          <w:i/>
        </w:rPr>
        <w:t>Organization Science,</w:t>
      </w:r>
      <w:r w:rsidRPr="00A60CE9">
        <w:t xml:space="preserve"> 6(1): 76-92.</w:t>
      </w:r>
    </w:p>
    <w:p w14:paraId="0B13B95B" w14:textId="77777777" w:rsidR="00236A58" w:rsidRPr="00A60CE9" w:rsidRDefault="00236A58" w:rsidP="000D4FCA">
      <w:pPr>
        <w:spacing w:line="360" w:lineRule="auto"/>
      </w:pPr>
      <w:r w:rsidRPr="00A60CE9">
        <w:t xml:space="preserve">Zucker, L. G., &amp; Darby, M.R. 1997. Present at the biotechnological revolution: transformation of technological identity for a large incumbent pharmaceutical firm. </w:t>
      </w:r>
      <w:r w:rsidRPr="00A60CE9">
        <w:rPr>
          <w:b/>
          <w:i/>
        </w:rPr>
        <w:t>Research Policy</w:t>
      </w:r>
      <w:r w:rsidRPr="00A60CE9">
        <w:rPr>
          <w:b/>
        </w:rPr>
        <w:t>,</w:t>
      </w:r>
      <w:r w:rsidRPr="00A60CE9">
        <w:t xml:space="preserve"> 26(4): 429-446.</w:t>
      </w:r>
    </w:p>
    <w:p w14:paraId="0EBA9521" w14:textId="77777777" w:rsidR="00236A58" w:rsidRPr="00A60CE9" w:rsidRDefault="00236A58" w:rsidP="000D4FCA">
      <w:pPr>
        <w:spacing w:line="360" w:lineRule="auto"/>
      </w:pPr>
      <w:r w:rsidRPr="00A60CE9">
        <w:t xml:space="preserve">Zucker, L. G., &amp; Darby, M.R. 1999. Star-scientist linkages to firms in APEC and European countries: indicators of regional institutional differences affecting competitive advantage. </w:t>
      </w:r>
      <w:r w:rsidRPr="00A60CE9">
        <w:rPr>
          <w:b/>
          <w:i/>
        </w:rPr>
        <w:t>International Journal of Biotechnology,</w:t>
      </w:r>
      <w:r w:rsidRPr="00A60CE9">
        <w:t xml:space="preserve"> 1(1): 119-131.</w:t>
      </w:r>
    </w:p>
    <w:p w14:paraId="26F7C7E4" w14:textId="77777777" w:rsidR="00236A58" w:rsidRPr="00A60CE9" w:rsidRDefault="00236A58" w:rsidP="000D4FCA">
      <w:pPr>
        <w:spacing w:line="360" w:lineRule="auto"/>
      </w:pPr>
      <w:r w:rsidRPr="001A02C6">
        <w:rPr>
          <w:lang w:val="de-DE"/>
        </w:rPr>
        <w:t xml:space="preserve">Zucker, L. G., &amp; Darby, M.R. 2001. </w:t>
      </w:r>
      <w:r w:rsidRPr="00A60CE9">
        <w:t xml:space="preserve">Capturing technological opportunity via Japan's star scientists: Evidence from Japanese firms' biotech patents and products. </w:t>
      </w:r>
      <w:r w:rsidRPr="00A60CE9">
        <w:rPr>
          <w:b/>
          <w:i/>
        </w:rPr>
        <w:t>The Journal of Technology Transfer,</w:t>
      </w:r>
      <w:r w:rsidRPr="00A60CE9">
        <w:rPr>
          <w:b/>
        </w:rPr>
        <w:t xml:space="preserve"> </w:t>
      </w:r>
      <w:r w:rsidRPr="00A60CE9">
        <w:t>26(1-2): 37-58.</w:t>
      </w:r>
    </w:p>
    <w:p w14:paraId="70E8173A" w14:textId="77777777" w:rsidR="00236A58" w:rsidRPr="00A60CE9" w:rsidRDefault="00236A58" w:rsidP="000D4FCA">
      <w:pPr>
        <w:spacing w:line="360" w:lineRule="auto"/>
      </w:pPr>
      <w:r w:rsidRPr="001A02C6">
        <w:rPr>
          <w:lang w:val="de-DE"/>
        </w:rPr>
        <w:lastRenderedPageBreak/>
        <w:t xml:space="preserve">Zucker, L. G., Darby, M.R., &amp; Brewer, M.B. 1998. </w:t>
      </w:r>
      <w:r w:rsidRPr="00A60CE9">
        <w:t xml:space="preserve">Intellectual human capital and the birth of US biotechnology enterprises. </w:t>
      </w:r>
      <w:r w:rsidRPr="00A60CE9">
        <w:rPr>
          <w:b/>
          <w:i/>
        </w:rPr>
        <w:t>The American Economic Review,</w:t>
      </w:r>
      <w:r w:rsidRPr="00A60CE9">
        <w:t xml:space="preserve"> 88(1): 290-306.</w:t>
      </w:r>
    </w:p>
    <w:p w14:paraId="51C732EF" w14:textId="77777777" w:rsidR="001F0219" w:rsidRPr="00A60CE9" w:rsidRDefault="001F0219" w:rsidP="000D4FCA">
      <w:pPr>
        <w:spacing w:line="360" w:lineRule="auto"/>
      </w:pPr>
      <w:r w:rsidRPr="00A60CE9">
        <w:br w:type="page"/>
      </w:r>
    </w:p>
    <w:p w14:paraId="61F9EC44" w14:textId="77777777" w:rsidR="001F0219" w:rsidRPr="00A60CE9" w:rsidRDefault="001F0219" w:rsidP="000D4FCA">
      <w:pPr>
        <w:pStyle w:val="Heading1"/>
        <w:spacing w:line="360" w:lineRule="auto"/>
        <w:contextualSpacing/>
      </w:pPr>
      <w:r w:rsidRPr="00A60CE9">
        <w:lastRenderedPageBreak/>
        <w:t>APPENDIX I</w:t>
      </w:r>
    </w:p>
    <w:p w14:paraId="4BE9C6B1" w14:textId="77777777" w:rsidR="001F0219" w:rsidRPr="00A60CE9" w:rsidRDefault="001F0219" w:rsidP="000D4FCA">
      <w:pPr>
        <w:spacing w:line="360" w:lineRule="auto"/>
        <w:jc w:val="center"/>
      </w:pPr>
      <w:r w:rsidRPr="00A60CE9">
        <w:t xml:space="preserve">----------------------------------Insert Table </w:t>
      </w:r>
      <w:r w:rsidR="0094031E" w:rsidRPr="00A60CE9">
        <w:t>A1</w:t>
      </w:r>
      <w:r w:rsidRPr="00A60CE9">
        <w:t xml:space="preserve"> about here----------------------------------</w:t>
      </w:r>
    </w:p>
    <w:p w14:paraId="627853E8" w14:textId="77777777" w:rsidR="0094031E" w:rsidRPr="00A60CE9" w:rsidRDefault="0094031E" w:rsidP="000D4FCA">
      <w:pPr>
        <w:spacing w:line="360" w:lineRule="auto"/>
        <w:jc w:val="center"/>
      </w:pPr>
      <w:r w:rsidRPr="00A60CE9">
        <w:t>----------------------------------Insert Table A2 about here----------------------------------</w:t>
      </w:r>
    </w:p>
    <w:p w14:paraId="3D37E2CB" w14:textId="77777777" w:rsidR="001F0219" w:rsidRPr="00A60CE9" w:rsidRDefault="001F0219" w:rsidP="000D4FCA">
      <w:pPr>
        <w:pStyle w:val="Heading1"/>
        <w:spacing w:line="360" w:lineRule="auto"/>
        <w:contextualSpacing/>
      </w:pPr>
      <w:r w:rsidRPr="00A60CE9">
        <w:t>APPENDIX II</w:t>
      </w:r>
    </w:p>
    <w:p w14:paraId="240454B9" w14:textId="77777777" w:rsidR="001F0219" w:rsidRPr="00A60CE9" w:rsidRDefault="001F0219" w:rsidP="000D4FCA">
      <w:pPr>
        <w:pStyle w:val="Heading2"/>
        <w:spacing w:line="360" w:lineRule="auto"/>
      </w:pPr>
      <w:r w:rsidRPr="00A60CE9">
        <w:t>Further analysis and robustness checks</w:t>
      </w:r>
    </w:p>
    <w:p w14:paraId="553301EA" w14:textId="77777777" w:rsidR="007E13FD" w:rsidRPr="00A60CE9" w:rsidRDefault="00A3086E" w:rsidP="000D4FCA">
      <w:pPr>
        <w:spacing w:line="360" w:lineRule="auto"/>
      </w:pPr>
      <w:r w:rsidRPr="00A60CE9">
        <w:t xml:space="preserve">As a further analysis, we re-estimated the different specifications distinguishing industries according to the level of technology intensity. We followed the OECD (2011) classification and distinguish between low-tech and high-tech industries. </w:t>
      </w:r>
      <w:r w:rsidR="007E13FD" w:rsidRPr="00A60CE9">
        <w:t>In contrast to the main results and the results for the high tech sector, we do not find evidence for a direct effect of new key inventors for post-M&amp;A inventive output in low tech sectors. This finding which is in line with Groysberg et al. (2008), who analyse security analysts, might be explained by the lack of infrastructure, complementary work practices (Ichniowskiet al., 1997; Peteraf, 1993) and qualified co-workers (Groysberg et al., 2008; Hackman, 2002) for incoming key inventors that would allow them to exploit their knowledge immediately after arrival.</w:t>
      </w:r>
    </w:p>
    <w:p w14:paraId="20DD5D81" w14:textId="77777777" w:rsidR="00A3086E" w:rsidRPr="00A60CE9" w:rsidRDefault="00A3086E" w:rsidP="000D4FCA">
      <w:pPr>
        <w:spacing w:line="360" w:lineRule="auto"/>
        <w:jc w:val="center"/>
      </w:pPr>
      <w:r w:rsidRPr="00A60CE9">
        <w:t xml:space="preserve">----------------------------------Insert Table </w:t>
      </w:r>
      <w:r w:rsidR="0094031E" w:rsidRPr="00A60CE9">
        <w:t>A3</w:t>
      </w:r>
      <w:r w:rsidRPr="00A60CE9">
        <w:t xml:space="preserve"> about here----------------------------------</w:t>
      </w:r>
    </w:p>
    <w:p w14:paraId="6758DC20" w14:textId="77777777" w:rsidR="00A3086E" w:rsidRPr="00A60CE9" w:rsidRDefault="00A3086E" w:rsidP="000D4FCA">
      <w:pPr>
        <w:spacing w:line="360" w:lineRule="auto"/>
        <w:jc w:val="center"/>
      </w:pPr>
      <w:r w:rsidRPr="00A60CE9">
        <w:t>-----------------</w:t>
      </w:r>
      <w:r w:rsidR="0094031E" w:rsidRPr="00A60CE9">
        <w:t>-----------------Insert Table A4</w:t>
      </w:r>
      <w:r w:rsidRPr="00A60CE9">
        <w:t xml:space="preserve"> about here----------------------------------</w:t>
      </w:r>
    </w:p>
    <w:p w14:paraId="5701B5A7" w14:textId="77777777" w:rsidR="001F0219" w:rsidRPr="00A60CE9" w:rsidRDefault="001F0219" w:rsidP="000D4FCA">
      <w:pPr>
        <w:spacing w:line="360" w:lineRule="auto"/>
      </w:pPr>
      <w:r w:rsidRPr="00A60CE9">
        <w:t>Further, to show that the output premium is coming from newly hired key inventors vs. regular inventors, we present the different models including non-key inventors</w:t>
      </w:r>
      <w:r w:rsidRPr="00A60CE9">
        <w:rPr>
          <w:rStyle w:val="FootnoteReference"/>
        </w:rPr>
        <w:footnoteReference w:id="9"/>
      </w:r>
      <w:r w:rsidRPr="00A60CE9">
        <w:t xml:space="preserve"> (Table </w:t>
      </w:r>
      <w:r w:rsidR="0094031E" w:rsidRPr="00A60CE9">
        <w:t>A5</w:t>
      </w:r>
      <w:r w:rsidRPr="00A60CE9">
        <w:t xml:space="preserve">). The results show that the hiring of new non-key inventors brings a positive and significant direct effect into the acquiring firm, however, non-key inventors fail to increase acquiring firms’ invention through a positive effect in their peers (the indirect effect is not significant). </w:t>
      </w:r>
    </w:p>
    <w:p w14:paraId="77A2B56F" w14:textId="77777777" w:rsidR="001F0219" w:rsidRPr="00A60CE9" w:rsidRDefault="001F0219" w:rsidP="000D4FCA">
      <w:pPr>
        <w:spacing w:line="360" w:lineRule="auto"/>
        <w:jc w:val="center"/>
      </w:pPr>
      <w:r w:rsidRPr="00A60CE9">
        <w:t xml:space="preserve">----------------------------------Insert Table </w:t>
      </w:r>
      <w:r w:rsidR="0094031E" w:rsidRPr="00A60CE9">
        <w:t>A5</w:t>
      </w:r>
      <w:r w:rsidRPr="00A60CE9">
        <w:t xml:space="preserve"> about here----------------------------------</w:t>
      </w:r>
    </w:p>
    <w:p w14:paraId="38176780" w14:textId="77777777" w:rsidR="001F0219" w:rsidRPr="00A60CE9" w:rsidRDefault="001F0219" w:rsidP="000D4FCA">
      <w:pPr>
        <w:spacing w:line="360" w:lineRule="auto"/>
      </w:pPr>
      <w:r w:rsidRPr="00A60CE9">
        <w:t>Moreover, the hiring of these new non-key inventors, contrary to the hiring of new key inventors, do not outweigh the post-inventive output decline of incumbent inventors (Chi2=147.03; p-value=0.00), which confirms the existence of output premium derived from hiring key inventors.</w:t>
      </w:r>
    </w:p>
    <w:p w14:paraId="74EA5CDC" w14:textId="77777777" w:rsidR="00461614" w:rsidRPr="00A60CE9" w:rsidRDefault="001F0219" w:rsidP="000D4FCA">
      <w:pPr>
        <w:spacing w:line="360" w:lineRule="auto"/>
      </w:pPr>
      <w:r w:rsidRPr="00A60CE9">
        <w:lastRenderedPageBreak/>
        <w:t>Finally, to address the possible concerns regarding the underestimation of standard errors by the fixed-effects Poisson estimator, we re-estimate the different specifications using zero-inflated Poisson (ZIP) models, which account for the overdispersion coming from the excess of zeros in the data</w:t>
      </w:r>
      <w:r w:rsidRPr="00A60CE9">
        <w:rPr>
          <w:rStyle w:val="FootnoteReference"/>
        </w:rPr>
        <w:footnoteReference w:id="10"/>
      </w:r>
      <w:r w:rsidRPr="00A60CE9">
        <w:t xml:space="preserve"> </w:t>
      </w:r>
      <w:r w:rsidR="00461614" w:rsidRPr="00A60CE9">
        <w:t xml:space="preserve">(see Cameron and Trivedi, 2013; Lambert, 1992; Long, 1997). The ZIP model allows overdispersion through the splitting process that models the outcomes as zero or nonzero, and similar to the hurdle models, supplement the count density with a binary process (Cameron and Trivedi, 2013). As shown in Table </w:t>
      </w:r>
      <w:r w:rsidR="0090665A" w:rsidRPr="00A60CE9">
        <w:t>A</w:t>
      </w:r>
      <w:r w:rsidR="0094031E" w:rsidRPr="00A60CE9">
        <w:t>6</w:t>
      </w:r>
      <w:r w:rsidR="00461614" w:rsidRPr="00A60CE9">
        <w:t>, the results, and most importantly the significance of the coefficients of interest do not significantly change with respect to the main FE Poisson regression.</w:t>
      </w:r>
    </w:p>
    <w:p w14:paraId="5DF94913" w14:textId="77777777" w:rsidR="00461614" w:rsidRPr="00A60CE9" w:rsidRDefault="00461614" w:rsidP="000D4FCA">
      <w:pPr>
        <w:spacing w:line="360" w:lineRule="auto"/>
        <w:jc w:val="center"/>
      </w:pPr>
      <w:r w:rsidRPr="00A60CE9">
        <w:t>----------------</w:t>
      </w:r>
      <w:r w:rsidR="00BD0A41" w:rsidRPr="00A60CE9">
        <w:t>-</w:t>
      </w:r>
      <w:r w:rsidR="0094031E" w:rsidRPr="00A60CE9">
        <w:t>-----------------Insert Table A6</w:t>
      </w:r>
      <w:r w:rsidRPr="00A60CE9">
        <w:t xml:space="preserve"> about here----------------------------------</w:t>
      </w:r>
    </w:p>
    <w:p w14:paraId="3F754022" w14:textId="77777777" w:rsidR="00FF5657" w:rsidRPr="00A60CE9" w:rsidRDefault="00FF5657" w:rsidP="00C97E11">
      <w:pPr>
        <w:spacing w:line="240" w:lineRule="auto"/>
        <w:contextualSpacing/>
      </w:pPr>
      <w:r w:rsidRPr="00A60CE9">
        <w:br w:type="page"/>
      </w:r>
    </w:p>
    <w:p w14:paraId="102A3737" w14:textId="77777777" w:rsidR="00FF5657" w:rsidRPr="00A60CE9" w:rsidRDefault="00FF5657" w:rsidP="00FF5657">
      <w:pPr>
        <w:pStyle w:val="Heading1"/>
        <w:spacing w:line="240" w:lineRule="auto"/>
        <w:contextualSpacing/>
      </w:pPr>
      <w:r w:rsidRPr="00A60CE9">
        <w:lastRenderedPageBreak/>
        <w:t>TABLES</w:t>
      </w:r>
    </w:p>
    <w:p w14:paraId="3E94EACF" w14:textId="77777777" w:rsidR="00FF5657" w:rsidRPr="00A60CE9" w:rsidRDefault="00FF5657" w:rsidP="00712F00">
      <w:pPr>
        <w:pStyle w:val="Heading2"/>
        <w:spacing w:line="240" w:lineRule="auto"/>
        <w:contextualSpacing/>
      </w:pPr>
      <w:r w:rsidRPr="00A60CE9">
        <w:t xml:space="preserve">Table </w:t>
      </w:r>
      <w:r w:rsidR="00EB11A0" w:rsidRPr="00A60CE9">
        <w:t>1</w:t>
      </w:r>
      <w:r w:rsidRPr="00A60CE9">
        <w:t>. FE Poisson regression for firms’ patenting output.</w:t>
      </w:r>
    </w:p>
    <w:tbl>
      <w:tblPr>
        <w:tblpPr w:leftFromText="180" w:rightFromText="180" w:vertAnchor="text" w:tblpX="39" w:tblpY="1"/>
        <w:tblOverlap w:val="never"/>
        <w:tblW w:w="8416" w:type="dxa"/>
        <w:tblLayout w:type="fixed"/>
        <w:tblCellMar>
          <w:left w:w="70" w:type="dxa"/>
          <w:right w:w="70" w:type="dxa"/>
        </w:tblCellMar>
        <w:tblLook w:val="04A0" w:firstRow="1" w:lastRow="0" w:firstColumn="1" w:lastColumn="0" w:noHBand="0" w:noVBand="1"/>
      </w:tblPr>
      <w:tblGrid>
        <w:gridCol w:w="2296"/>
        <w:gridCol w:w="1020"/>
        <w:gridCol w:w="1020"/>
        <w:gridCol w:w="1020"/>
        <w:gridCol w:w="1020"/>
        <w:gridCol w:w="1020"/>
        <w:gridCol w:w="1020"/>
      </w:tblGrid>
      <w:tr w:rsidR="000E687F" w:rsidRPr="00A60CE9" w14:paraId="07E655C5" w14:textId="77777777" w:rsidTr="00712F00">
        <w:trPr>
          <w:trHeight w:val="20"/>
        </w:trPr>
        <w:tc>
          <w:tcPr>
            <w:tcW w:w="2296" w:type="dxa"/>
            <w:tcBorders>
              <w:top w:val="single" w:sz="4" w:space="0" w:color="auto"/>
              <w:bottom w:val="single" w:sz="4" w:space="0" w:color="auto"/>
            </w:tcBorders>
            <w:noWrap/>
            <w:vAlign w:val="center"/>
          </w:tcPr>
          <w:p w14:paraId="7200D905" w14:textId="77777777" w:rsidR="000E687F" w:rsidRPr="00A60CE9" w:rsidRDefault="000E687F" w:rsidP="00712F00">
            <w:pPr>
              <w:spacing w:line="240" w:lineRule="auto"/>
              <w:contextualSpacing/>
              <w:rPr>
                <w:sz w:val="22"/>
              </w:rPr>
            </w:pPr>
          </w:p>
        </w:tc>
        <w:tc>
          <w:tcPr>
            <w:tcW w:w="1020" w:type="dxa"/>
            <w:tcBorders>
              <w:top w:val="single" w:sz="4" w:space="0" w:color="auto"/>
              <w:bottom w:val="single" w:sz="4" w:space="0" w:color="auto"/>
            </w:tcBorders>
            <w:noWrap/>
            <w:vAlign w:val="center"/>
            <w:hideMark/>
          </w:tcPr>
          <w:p w14:paraId="25927C25" w14:textId="77777777" w:rsidR="000E687F" w:rsidRPr="00A60CE9" w:rsidRDefault="000E687F" w:rsidP="00712F00">
            <w:pPr>
              <w:spacing w:line="240" w:lineRule="auto"/>
              <w:ind w:right="449"/>
              <w:contextualSpacing/>
              <w:rPr>
                <w:rFonts w:eastAsia="Times New Roman"/>
                <w:sz w:val="22"/>
                <w:lang w:eastAsia="fr-LU"/>
              </w:rPr>
            </w:pPr>
            <w:r w:rsidRPr="00A60CE9">
              <w:rPr>
                <w:rFonts w:eastAsia="Times New Roman"/>
                <w:sz w:val="22"/>
                <w:lang w:eastAsia="fr-LU"/>
              </w:rPr>
              <w:t>(1)</w:t>
            </w:r>
          </w:p>
        </w:tc>
        <w:tc>
          <w:tcPr>
            <w:tcW w:w="1020" w:type="dxa"/>
            <w:tcBorders>
              <w:top w:val="single" w:sz="4" w:space="0" w:color="auto"/>
              <w:bottom w:val="single" w:sz="4" w:space="0" w:color="auto"/>
            </w:tcBorders>
            <w:noWrap/>
            <w:vAlign w:val="center"/>
            <w:hideMark/>
          </w:tcPr>
          <w:p w14:paraId="7FB15D7F"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w:t>
            </w:r>
          </w:p>
        </w:tc>
        <w:tc>
          <w:tcPr>
            <w:tcW w:w="1020" w:type="dxa"/>
            <w:tcBorders>
              <w:top w:val="single" w:sz="4" w:space="0" w:color="auto"/>
              <w:bottom w:val="single" w:sz="4" w:space="0" w:color="auto"/>
            </w:tcBorders>
            <w:noWrap/>
            <w:vAlign w:val="center"/>
            <w:hideMark/>
          </w:tcPr>
          <w:p w14:paraId="525CCAF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(3)</w:t>
            </w:r>
          </w:p>
        </w:tc>
        <w:tc>
          <w:tcPr>
            <w:tcW w:w="1020" w:type="dxa"/>
            <w:tcBorders>
              <w:top w:val="single" w:sz="4" w:space="0" w:color="auto"/>
              <w:bottom w:val="single" w:sz="4" w:space="0" w:color="auto"/>
            </w:tcBorders>
            <w:noWrap/>
            <w:vAlign w:val="center"/>
            <w:hideMark/>
          </w:tcPr>
          <w:p w14:paraId="4CE3736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(4)</w:t>
            </w:r>
          </w:p>
        </w:tc>
        <w:tc>
          <w:tcPr>
            <w:tcW w:w="1020" w:type="dxa"/>
            <w:tcBorders>
              <w:top w:val="single" w:sz="4" w:space="0" w:color="auto"/>
              <w:bottom w:val="single" w:sz="4" w:space="0" w:color="auto"/>
            </w:tcBorders>
            <w:noWrap/>
            <w:vAlign w:val="center"/>
            <w:hideMark/>
          </w:tcPr>
          <w:p w14:paraId="4CCFBC3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(5)</w:t>
            </w:r>
          </w:p>
        </w:tc>
        <w:tc>
          <w:tcPr>
            <w:tcW w:w="1020" w:type="dxa"/>
            <w:tcBorders>
              <w:top w:val="single" w:sz="4" w:space="0" w:color="auto"/>
              <w:bottom w:val="single" w:sz="4" w:space="0" w:color="auto"/>
            </w:tcBorders>
            <w:noWrap/>
            <w:vAlign w:val="center"/>
            <w:hideMark/>
          </w:tcPr>
          <w:p w14:paraId="58747CD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w:t>
            </w:r>
          </w:p>
        </w:tc>
      </w:tr>
      <w:tr w:rsidR="000E687F" w:rsidRPr="00A60CE9" w14:paraId="75C48E3F" w14:textId="77777777" w:rsidTr="00712F00">
        <w:trPr>
          <w:trHeight w:val="20"/>
        </w:trPr>
        <w:tc>
          <w:tcPr>
            <w:tcW w:w="2296" w:type="dxa"/>
            <w:tcBorders>
              <w:top w:val="single" w:sz="4" w:space="0" w:color="auto"/>
            </w:tcBorders>
            <w:noWrap/>
            <w:vAlign w:val="center"/>
            <w:hideMark/>
          </w:tcPr>
          <w:p w14:paraId="2A751E3D" w14:textId="77777777" w:rsidR="000E687F" w:rsidRPr="00A60CE9" w:rsidRDefault="000E687F" w:rsidP="00712F00">
            <w:pPr>
              <w:spacing w:line="240" w:lineRule="auto"/>
              <w:contextualSpacing/>
              <w:rPr>
                <w:rFonts w:eastAsia="Times New Roman"/>
                <w:iCs/>
                <w:sz w:val="22"/>
                <w:lang w:eastAsia="fr-LU"/>
              </w:rPr>
            </w:pPr>
            <w:r w:rsidRPr="00A60CE9">
              <w:rPr>
                <w:rFonts w:eastAsia="Times New Roman"/>
                <w:iCs/>
                <w:sz w:val="22"/>
                <w:lang w:eastAsia="fr-LU"/>
              </w:rPr>
              <w:t>Size</w:t>
            </w:r>
          </w:p>
        </w:tc>
        <w:tc>
          <w:tcPr>
            <w:tcW w:w="1020" w:type="dxa"/>
            <w:tcBorders>
              <w:top w:val="single" w:sz="4" w:space="0" w:color="auto"/>
            </w:tcBorders>
            <w:noWrap/>
            <w:vAlign w:val="center"/>
            <w:hideMark/>
          </w:tcPr>
          <w:p w14:paraId="6A15E26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0.12***</w:t>
            </w:r>
          </w:p>
          <w:p w14:paraId="649C486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1020" w:type="dxa"/>
            <w:tcBorders>
              <w:top w:val="single" w:sz="4" w:space="0" w:color="auto"/>
            </w:tcBorders>
            <w:noWrap/>
            <w:vAlign w:val="center"/>
            <w:hideMark/>
          </w:tcPr>
          <w:p w14:paraId="5A91E12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p w14:paraId="29781B5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1020" w:type="dxa"/>
            <w:tcBorders>
              <w:top w:val="single" w:sz="4" w:space="0" w:color="auto"/>
            </w:tcBorders>
            <w:noWrap/>
            <w:vAlign w:val="center"/>
            <w:hideMark/>
          </w:tcPr>
          <w:p w14:paraId="7FBDC7F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p w14:paraId="2EAC8BF9"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1020" w:type="dxa"/>
            <w:tcBorders>
              <w:top w:val="single" w:sz="4" w:space="0" w:color="auto"/>
            </w:tcBorders>
            <w:noWrap/>
            <w:vAlign w:val="center"/>
            <w:hideMark/>
          </w:tcPr>
          <w:p w14:paraId="2C82891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0.09***</w:t>
            </w:r>
          </w:p>
          <w:p w14:paraId="26D191E5"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1020" w:type="dxa"/>
            <w:tcBorders>
              <w:top w:val="single" w:sz="4" w:space="0" w:color="auto"/>
            </w:tcBorders>
            <w:noWrap/>
            <w:vAlign w:val="center"/>
            <w:hideMark/>
          </w:tcPr>
          <w:p w14:paraId="50D6B88F"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p w14:paraId="587332E5"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1020" w:type="dxa"/>
            <w:tcBorders>
              <w:top w:val="single" w:sz="4" w:space="0" w:color="auto"/>
            </w:tcBorders>
            <w:noWrap/>
            <w:vAlign w:val="center"/>
            <w:hideMark/>
          </w:tcPr>
          <w:p w14:paraId="5674591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0.09***</w:t>
            </w:r>
          </w:p>
          <w:p w14:paraId="488A1E9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r>
      <w:tr w:rsidR="000E687F" w:rsidRPr="00A60CE9" w14:paraId="6994FA54" w14:textId="77777777" w:rsidTr="00712F00">
        <w:trPr>
          <w:trHeight w:val="20"/>
        </w:trPr>
        <w:tc>
          <w:tcPr>
            <w:tcW w:w="2296" w:type="dxa"/>
            <w:noWrap/>
            <w:vAlign w:val="center"/>
            <w:hideMark/>
          </w:tcPr>
          <w:p w14:paraId="10920FB6" w14:textId="77777777" w:rsidR="000E687F" w:rsidRPr="00A60CE9" w:rsidRDefault="000E687F" w:rsidP="00712F00">
            <w:pPr>
              <w:spacing w:line="240" w:lineRule="auto"/>
              <w:contextualSpacing/>
              <w:rPr>
                <w:rFonts w:eastAsia="Times New Roman"/>
                <w:iCs/>
                <w:sz w:val="22"/>
                <w:lang w:eastAsia="fr-LU"/>
              </w:rPr>
            </w:pPr>
            <w:r w:rsidRPr="00A60CE9">
              <w:rPr>
                <w:rFonts w:eastAsia="Times New Roman"/>
                <w:iCs/>
                <w:sz w:val="22"/>
                <w:lang w:eastAsia="fr-LU"/>
              </w:rPr>
              <w:t>Incumbent inventors</w:t>
            </w:r>
          </w:p>
        </w:tc>
        <w:tc>
          <w:tcPr>
            <w:tcW w:w="1020" w:type="dxa"/>
            <w:noWrap/>
            <w:vAlign w:val="center"/>
            <w:hideMark/>
          </w:tcPr>
          <w:p w14:paraId="4E71604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0.23**</w:t>
            </w:r>
          </w:p>
          <w:p w14:paraId="6E886A19"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1020" w:type="dxa"/>
            <w:noWrap/>
            <w:vAlign w:val="center"/>
            <w:hideMark/>
          </w:tcPr>
          <w:p w14:paraId="025B322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0.33***</w:t>
            </w:r>
          </w:p>
          <w:p w14:paraId="7F9FB96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1020" w:type="dxa"/>
            <w:noWrap/>
            <w:vAlign w:val="center"/>
            <w:hideMark/>
          </w:tcPr>
          <w:p w14:paraId="2D98062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0.46***</w:t>
            </w:r>
          </w:p>
          <w:p w14:paraId="3C30C209"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1020" w:type="dxa"/>
            <w:noWrap/>
            <w:vAlign w:val="center"/>
            <w:hideMark/>
          </w:tcPr>
          <w:p w14:paraId="3590B22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0.40***</w:t>
            </w:r>
          </w:p>
          <w:p w14:paraId="0B0E742F"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1020" w:type="dxa"/>
            <w:noWrap/>
            <w:vAlign w:val="center"/>
            <w:hideMark/>
          </w:tcPr>
          <w:p w14:paraId="448BDA8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0.69***</w:t>
            </w:r>
          </w:p>
          <w:p w14:paraId="444B7AB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1020" w:type="dxa"/>
            <w:noWrap/>
            <w:vAlign w:val="center"/>
            <w:hideMark/>
          </w:tcPr>
          <w:p w14:paraId="1EB0444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0.57***</w:t>
            </w:r>
          </w:p>
          <w:p w14:paraId="6B384AA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(0.11)</w:t>
            </w:r>
          </w:p>
        </w:tc>
      </w:tr>
      <w:tr w:rsidR="000E687F" w:rsidRPr="00A60CE9" w14:paraId="13FBAA3D" w14:textId="77777777" w:rsidTr="00712F00">
        <w:trPr>
          <w:trHeight w:val="20"/>
        </w:trPr>
        <w:tc>
          <w:tcPr>
            <w:tcW w:w="2296" w:type="dxa"/>
            <w:noWrap/>
            <w:vAlign w:val="center"/>
            <w:hideMark/>
          </w:tcPr>
          <w:p w14:paraId="1354468E" w14:textId="77777777" w:rsidR="000E687F" w:rsidRPr="00A60CE9" w:rsidRDefault="000E687F" w:rsidP="00712F00">
            <w:pPr>
              <w:spacing w:line="240" w:lineRule="auto"/>
              <w:contextualSpacing/>
              <w:rPr>
                <w:rFonts w:eastAsia="Times New Roman"/>
                <w:iCs/>
                <w:sz w:val="22"/>
                <w:lang w:eastAsia="fr-LU"/>
              </w:rPr>
            </w:pPr>
            <w:r w:rsidRPr="00A60CE9">
              <w:rPr>
                <w:rFonts w:eastAsia="Times New Roman"/>
                <w:iCs/>
                <w:sz w:val="22"/>
                <w:lang w:eastAsia="fr-LU"/>
              </w:rPr>
              <w:t>Departing inventors</w:t>
            </w:r>
          </w:p>
        </w:tc>
        <w:tc>
          <w:tcPr>
            <w:tcW w:w="1020" w:type="dxa"/>
            <w:noWrap/>
            <w:vAlign w:val="center"/>
            <w:hideMark/>
          </w:tcPr>
          <w:p w14:paraId="2323677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-0.17***</w:t>
            </w:r>
          </w:p>
          <w:p w14:paraId="2045FF3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1020" w:type="dxa"/>
            <w:noWrap/>
            <w:vAlign w:val="center"/>
            <w:hideMark/>
          </w:tcPr>
          <w:p w14:paraId="385C2AB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0.07</w:t>
            </w:r>
          </w:p>
          <w:p w14:paraId="42E034A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1020" w:type="dxa"/>
            <w:noWrap/>
            <w:vAlign w:val="center"/>
            <w:hideMark/>
          </w:tcPr>
          <w:p w14:paraId="2E50DA0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-0.18***</w:t>
            </w:r>
          </w:p>
          <w:p w14:paraId="6EC87BC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1020" w:type="dxa"/>
            <w:noWrap/>
            <w:vAlign w:val="center"/>
            <w:hideMark/>
          </w:tcPr>
          <w:p w14:paraId="1C41879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-0.20***</w:t>
            </w:r>
          </w:p>
          <w:p w14:paraId="18FA8C56"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1020" w:type="dxa"/>
            <w:noWrap/>
            <w:vAlign w:val="center"/>
            <w:hideMark/>
          </w:tcPr>
          <w:p w14:paraId="5EE67DB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-0.18***</w:t>
            </w:r>
          </w:p>
          <w:p w14:paraId="4B725B8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1020" w:type="dxa"/>
            <w:noWrap/>
            <w:vAlign w:val="center"/>
            <w:hideMark/>
          </w:tcPr>
          <w:p w14:paraId="7D2D454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-0.20***</w:t>
            </w:r>
          </w:p>
          <w:p w14:paraId="4CC7470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(0.03)</w:t>
            </w:r>
          </w:p>
        </w:tc>
      </w:tr>
      <w:tr w:rsidR="000E687F" w:rsidRPr="00A60CE9" w14:paraId="1A34A55D" w14:textId="77777777" w:rsidTr="00712F00">
        <w:trPr>
          <w:trHeight w:val="20"/>
        </w:trPr>
        <w:tc>
          <w:tcPr>
            <w:tcW w:w="2296" w:type="dxa"/>
            <w:noWrap/>
            <w:vAlign w:val="center"/>
            <w:hideMark/>
          </w:tcPr>
          <w:p w14:paraId="38BE947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After M&amp;A</w:t>
            </w:r>
          </w:p>
        </w:tc>
        <w:tc>
          <w:tcPr>
            <w:tcW w:w="1020" w:type="dxa"/>
            <w:noWrap/>
            <w:vAlign w:val="center"/>
            <w:hideMark/>
          </w:tcPr>
          <w:p w14:paraId="02527CD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-0.13***</w:t>
            </w:r>
          </w:p>
          <w:p w14:paraId="318AFA66"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1020" w:type="dxa"/>
            <w:noWrap/>
            <w:vAlign w:val="center"/>
            <w:hideMark/>
          </w:tcPr>
          <w:p w14:paraId="3BB4F5C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0.09***</w:t>
            </w:r>
          </w:p>
          <w:p w14:paraId="28465C5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1020" w:type="dxa"/>
            <w:noWrap/>
            <w:vAlign w:val="center"/>
            <w:hideMark/>
          </w:tcPr>
          <w:p w14:paraId="2E5054A9"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-0.01</w:t>
            </w:r>
          </w:p>
          <w:p w14:paraId="5ACCAAF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1020" w:type="dxa"/>
            <w:noWrap/>
            <w:vAlign w:val="center"/>
            <w:hideMark/>
          </w:tcPr>
          <w:p w14:paraId="78C6A75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-0.05***</w:t>
            </w:r>
          </w:p>
          <w:p w14:paraId="780E422A"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1020" w:type="dxa"/>
            <w:noWrap/>
            <w:vAlign w:val="center"/>
            <w:hideMark/>
          </w:tcPr>
          <w:p w14:paraId="560D40D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0.00</w:t>
            </w:r>
          </w:p>
          <w:p w14:paraId="557C59A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1020" w:type="dxa"/>
            <w:noWrap/>
            <w:vAlign w:val="center"/>
            <w:hideMark/>
          </w:tcPr>
          <w:p w14:paraId="1E876F2D"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-0.03**</w:t>
            </w:r>
          </w:p>
          <w:p w14:paraId="4CC0C439"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(0.02)</w:t>
            </w:r>
          </w:p>
        </w:tc>
      </w:tr>
      <w:tr w:rsidR="000E687F" w:rsidRPr="00A60CE9" w14:paraId="1A3F807B" w14:textId="77777777" w:rsidTr="00712F00">
        <w:trPr>
          <w:trHeight w:val="20"/>
        </w:trPr>
        <w:tc>
          <w:tcPr>
            <w:tcW w:w="2296" w:type="dxa"/>
            <w:noWrap/>
            <w:vAlign w:val="center"/>
            <w:hideMark/>
          </w:tcPr>
          <w:p w14:paraId="70B88E6A" w14:textId="77777777" w:rsidR="000E687F" w:rsidRPr="00A60CE9" w:rsidRDefault="000E687F" w:rsidP="00712F00">
            <w:pPr>
              <w:spacing w:line="240" w:lineRule="auto"/>
              <w:contextualSpacing/>
              <w:rPr>
                <w:rFonts w:eastAsia="Times New Roman"/>
                <w:iCs/>
                <w:sz w:val="22"/>
                <w:lang w:eastAsia="fr-LU"/>
              </w:rPr>
            </w:pPr>
            <w:r w:rsidRPr="00A60CE9">
              <w:rPr>
                <w:rFonts w:eastAsia="Times New Roman"/>
                <w:iCs/>
                <w:sz w:val="22"/>
                <w:lang w:eastAsia="fr-LU"/>
              </w:rPr>
              <w:t>Departing*After M&amp;A</w:t>
            </w:r>
          </w:p>
        </w:tc>
        <w:tc>
          <w:tcPr>
            <w:tcW w:w="1020" w:type="dxa"/>
            <w:vAlign w:val="center"/>
          </w:tcPr>
          <w:p w14:paraId="733C6A19"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6FBF290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-0.33***</w:t>
            </w:r>
          </w:p>
          <w:p w14:paraId="1395092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1020" w:type="dxa"/>
            <w:noWrap/>
            <w:vAlign w:val="center"/>
            <w:hideMark/>
          </w:tcPr>
          <w:p w14:paraId="578D8F8F"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6CC95217"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025F20D7"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167B7B8D" w14:textId="77777777" w:rsidR="000E687F" w:rsidRPr="00A60CE9" w:rsidRDefault="000E687F" w:rsidP="00712F00">
            <w:pPr>
              <w:spacing w:line="240" w:lineRule="auto"/>
              <w:contextualSpacing/>
              <w:rPr>
                <w:rFonts w:asciiTheme="minorHAnsi" w:hAnsiTheme="minorHAnsi"/>
                <w:sz w:val="22"/>
                <w:lang w:eastAsia="fr-LU"/>
              </w:rPr>
            </w:pPr>
          </w:p>
        </w:tc>
      </w:tr>
      <w:tr w:rsidR="000E687F" w:rsidRPr="00A60CE9" w14:paraId="71D56A47" w14:textId="77777777" w:rsidTr="00712F00">
        <w:trPr>
          <w:trHeight w:val="20"/>
        </w:trPr>
        <w:tc>
          <w:tcPr>
            <w:tcW w:w="2296" w:type="dxa"/>
            <w:noWrap/>
            <w:vAlign w:val="center"/>
            <w:hideMark/>
          </w:tcPr>
          <w:p w14:paraId="1130B84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iCs/>
                <w:sz w:val="22"/>
                <w:lang w:eastAsia="fr-LU"/>
              </w:rPr>
              <w:t>Incumbent</w:t>
            </w:r>
            <w:r w:rsidRPr="00A60CE9">
              <w:rPr>
                <w:rFonts w:eastAsia="Times New Roman"/>
                <w:sz w:val="22"/>
                <w:lang w:eastAsia="fr-LU"/>
              </w:rPr>
              <w:t>*After M&amp;A</w:t>
            </w:r>
          </w:p>
        </w:tc>
        <w:tc>
          <w:tcPr>
            <w:tcW w:w="1020" w:type="dxa"/>
            <w:vAlign w:val="center"/>
          </w:tcPr>
          <w:p w14:paraId="1519CA6B"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197729D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-1.92***</w:t>
            </w:r>
          </w:p>
          <w:p w14:paraId="0B8BDA3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1020" w:type="dxa"/>
            <w:noWrap/>
            <w:vAlign w:val="center"/>
            <w:hideMark/>
          </w:tcPr>
          <w:p w14:paraId="0F3F5F0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-1.89***</w:t>
            </w:r>
          </w:p>
          <w:p w14:paraId="0D2D4A5D"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1020" w:type="dxa"/>
            <w:noWrap/>
            <w:vAlign w:val="center"/>
            <w:hideMark/>
          </w:tcPr>
          <w:p w14:paraId="1D8A9BD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-1.92***</w:t>
            </w:r>
          </w:p>
          <w:p w14:paraId="69886615"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1020" w:type="dxa"/>
            <w:noWrap/>
            <w:vAlign w:val="center"/>
            <w:hideMark/>
          </w:tcPr>
          <w:p w14:paraId="30C1269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-1.90***</w:t>
            </w:r>
          </w:p>
          <w:p w14:paraId="7CF17AF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1020" w:type="dxa"/>
            <w:noWrap/>
            <w:vAlign w:val="center"/>
            <w:hideMark/>
          </w:tcPr>
          <w:p w14:paraId="5706497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-2.04***</w:t>
            </w:r>
          </w:p>
          <w:p w14:paraId="273D32DF"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(0.14)</w:t>
            </w:r>
          </w:p>
        </w:tc>
      </w:tr>
      <w:tr w:rsidR="000E687F" w:rsidRPr="00A60CE9" w14:paraId="45B2041F" w14:textId="77777777" w:rsidTr="00712F00">
        <w:trPr>
          <w:trHeight w:val="20"/>
        </w:trPr>
        <w:tc>
          <w:tcPr>
            <w:tcW w:w="2296" w:type="dxa"/>
            <w:noWrap/>
            <w:vAlign w:val="center"/>
            <w:hideMark/>
          </w:tcPr>
          <w:p w14:paraId="235B1AC2" w14:textId="77777777" w:rsidR="000E687F" w:rsidRPr="00A60CE9" w:rsidRDefault="000E687F" w:rsidP="00712F00">
            <w:pPr>
              <w:spacing w:line="240" w:lineRule="auto"/>
              <w:contextualSpacing/>
              <w:rPr>
                <w:rFonts w:eastAsia="Times New Roman"/>
                <w:iCs/>
                <w:sz w:val="22"/>
                <w:lang w:eastAsia="fr-LU"/>
              </w:rPr>
            </w:pPr>
            <w:r w:rsidRPr="00A60CE9">
              <w:rPr>
                <w:rFonts w:eastAsia="Times New Roman"/>
                <w:iCs/>
                <w:sz w:val="22"/>
                <w:lang w:eastAsia="fr-LU"/>
              </w:rPr>
              <w:t>New key inventors</w:t>
            </w:r>
          </w:p>
        </w:tc>
        <w:tc>
          <w:tcPr>
            <w:tcW w:w="1020" w:type="dxa"/>
            <w:noWrap/>
            <w:vAlign w:val="center"/>
            <w:hideMark/>
          </w:tcPr>
          <w:p w14:paraId="791E4CC7"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1A74795D"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01609D0F"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-0.24***</w:t>
            </w:r>
          </w:p>
          <w:p w14:paraId="72760BB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1020" w:type="dxa"/>
            <w:noWrap/>
            <w:vAlign w:val="center"/>
            <w:hideMark/>
          </w:tcPr>
          <w:p w14:paraId="35AD097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-0.60***</w:t>
            </w:r>
          </w:p>
          <w:p w14:paraId="4A51A58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1020" w:type="dxa"/>
            <w:noWrap/>
            <w:vAlign w:val="center"/>
            <w:hideMark/>
          </w:tcPr>
          <w:p w14:paraId="3946F5F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-0.04</w:t>
            </w:r>
          </w:p>
          <w:p w14:paraId="7256F618"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(0.05)</w:t>
            </w:r>
          </w:p>
        </w:tc>
        <w:tc>
          <w:tcPr>
            <w:tcW w:w="1020" w:type="dxa"/>
            <w:noWrap/>
            <w:vAlign w:val="center"/>
            <w:hideMark/>
          </w:tcPr>
          <w:p w14:paraId="0D2BF01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-0.38***</w:t>
            </w:r>
          </w:p>
          <w:p w14:paraId="69A6F92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(0.08)</w:t>
            </w:r>
          </w:p>
        </w:tc>
      </w:tr>
      <w:tr w:rsidR="000E687F" w:rsidRPr="00A60CE9" w14:paraId="126A31C9" w14:textId="77777777" w:rsidTr="00712F00">
        <w:trPr>
          <w:trHeight w:val="20"/>
        </w:trPr>
        <w:tc>
          <w:tcPr>
            <w:tcW w:w="2296" w:type="dxa"/>
            <w:noWrap/>
            <w:vAlign w:val="center"/>
            <w:hideMark/>
          </w:tcPr>
          <w:p w14:paraId="5954EBC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iCs/>
                <w:sz w:val="22"/>
                <w:lang w:eastAsia="fr-LU"/>
              </w:rPr>
              <w:t>New key</w:t>
            </w:r>
            <w:r w:rsidRPr="00A60CE9">
              <w:rPr>
                <w:rFonts w:eastAsia="Times New Roman"/>
                <w:sz w:val="22"/>
                <w:lang w:eastAsia="fr-LU"/>
              </w:rPr>
              <w:t>*After M&amp;A</w:t>
            </w:r>
          </w:p>
        </w:tc>
        <w:tc>
          <w:tcPr>
            <w:tcW w:w="1020" w:type="dxa"/>
            <w:vAlign w:val="center"/>
          </w:tcPr>
          <w:p w14:paraId="29E54ACB"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5C731500"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45F9973D"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132BCAC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0.70***</w:t>
            </w:r>
          </w:p>
          <w:p w14:paraId="120E7F3F"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(0.07)</w:t>
            </w:r>
          </w:p>
        </w:tc>
        <w:tc>
          <w:tcPr>
            <w:tcW w:w="1020" w:type="dxa"/>
            <w:noWrap/>
            <w:vAlign w:val="center"/>
            <w:hideMark/>
          </w:tcPr>
          <w:p w14:paraId="513456A6"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5FECF21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0.49***</w:t>
            </w:r>
          </w:p>
          <w:p w14:paraId="200F9F9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(0.09)</w:t>
            </w:r>
          </w:p>
        </w:tc>
      </w:tr>
      <w:tr w:rsidR="000E687F" w:rsidRPr="00A60CE9" w14:paraId="499246DE" w14:textId="77777777" w:rsidTr="00712F00">
        <w:trPr>
          <w:trHeight w:val="20"/>
        </w:trPr>
        <w:tc>
          <w:tcPr>
            <w:tcW w:w="2296" w:type="dxa"/>
            <w:noWrap/>
            <w:vAlign w:val="center"/>
            <w:hideMark/>
          </w:tcPr>
          <w:p w14:paraId="0F049BE7" w14:textId="77777777" w:rsidR="000E687F" w:rsidRPr="00A60CE9" w:rsidRDefault="000E687F" w:rsidP="00712F00">
            <w:pPr>
              <w:spacing w:line="240" w:lineRule="auto"/>
              <w:contextualSpacing/>
              <w:rPr>
                <w:rFonts w:eastAsia="Times New Roman"/>
                <w:iCs/>
                <w:sz w:val="22"/>
                <w:lang w:eastAsia="fr-LU"/>
              </w:rPr>
            </w:pPr>
            <w:r w:rsidRPr="00A60CE9">
              <w:rPr>
                <w:rFonts w:eastAsia="Times New Roman"/>
                <w:iCs/>
                <w:sz w:val="22"/>
                <w:lang w:eastAsia="fr-LU"/>
              </w:rPr>
              <w:t>Incumbent *New key</w:t>
            </w:r>
          </w:p>
        </w:tc>
        <w:tc>
          <w:tcPr>
            <w:tcW w:w="1020" w:type="dxa"/>
            <w:noWrap/>
            <w:vAlign w:val="center"/>
            <w:hideMark/>
          </w:tcPr>
          <w:p w14:paraId="3EDDA304" w14:textId="77777777" w:rsidR="000E687F" w:rsidRPr="00A60CE9" w:rsidRDefault="000E687F" w:rsidP="00712F00">
            <w:pPr>
              <w:spacing w:line="240" w:lineRule="auto"/>
              <w:contextualSpacing/>
              <w:rPr>
                <w:rFonts w:eastAsia="Times New Roman"/>
                <w:sz w:val="22"/>
                <w:lang w:eastAsia="fr-LU"/>
              </w:rPr>
            </w:pPr>
          </w:p>
        </w:tc>
        <w:tc>
          <w:tcPr>
            <w:tcW w:w="1020" w:type="dxa"/>
            <w:noWrap/>
            <w:vAlign w:val="center"/>
            <w:hideMark/>
          </w:tcPr>
          <w:p w14:paraId="57C3AFD6"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093D875A"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187E3CAC"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noWrap/>
            <w:vAlign w:val="center"/>
            <w:hideMark/>
          </w:tcPr>
          <w:p w14:paraId="3DEA561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-3.68***</w:t>
            </w:r>
          </w:p>
          <w:p w14:paraId="61F4C43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(0.58)</w:t>
            </w:r>
          </w:p>
        </w:tc>
        <w:tc>
          <w:tcPr>
            <w:tcW w:w="1020" w:type="dxa"/>
            <w:noWrap/>
            <w:vAlign w:val="center"/>
            <w:hideMark/>
          </w:tcPr>
          <w:p w14:paraId="06190785"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-2.81***</w:t>
            </w:r>
          </w:p>
          <w:p w14:paraId="0942250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(0.76)</w:t>
            </w:r>
          </w:p>
        </w:tc>
      </w:tr>
      <w:tr w:rsidR="000E687F" w:rsidRPr="00A60CE9" w14:paraId="41FB1255" w14:textId="77777777" w:rsidTr="00712F00">
        <w:trPr>
          <w:trHeight w:val="20"/>
        </w:trPr>
        <w:tc>
          <w:tcPr>
            <w:tcW w:w="2296" w:type="dxa"/>
            <w:tcBorders>
              <w:bottom w:val="single" w:sz="4" w:space="0" w:color="auto"/>
            </w:tcBorders>
            <w:noWrap/>
            <w:vAlign w:val="center"/>
            <w:hideMark/>
          </w:tcPr>
          <w:p w14:paraId="0BB592A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iCs/>
                <w:sz w:val="22"/>
                <w:lang w:eastAsia="fr-LU"/>
              </w:rPr>
              <w:t>Incumbent *New key*</w:t>
            </w:r>
            <w:r w:rsidRPr="00A60CE9">
              <w:rPr>
                <w:rFonts w:eastAsia="Times New Roman"/>
                <w:sz w:val="22"/>
                <w:lang w:eastAsia="fr-LU"/>
              </w:rPr>
              <w:t xml:space="preserve"> After M&amp;A</w:t>
            </w:r>
          </w:p>
        </w:tc>
        <w:tc>
          <w:tcPr>
            <w:tcW w:w="1020" w:type="dxa"/>
            <w:tcBorders>
              <w:bottom w:val="single" w:sz="4" w:space="0" w:color="auto"/>
            </w:tcBorders>
            <w:vAlign w:val="center"/>
          </w:tcPr>
          <w:p w14:paraId="4FC71E7A" w14:textId="77777777" w:rsidR="000E687F" w:rsidRPr="00A60CE9" w:rsidRDefault="000E687F" w:rsidP="00712F00">
            <w:pPr>
              <w:spacing w:line="240" w:lineRule="auto"/>
              <w:contextualSpacing/>
              <w:rPr>
                <w:rFonts w:eastAsia="Times New Roman"/>
                <w:sz w:val="22"/>
                <w:lang w:eastAsia="fr-LU"/>
              </w:rPr>
            </w:pPr>
          </w:p>
        </w:tc>
        <w:tc>
          <w:tcPr>
            <w:tcW w:w="1020" w:type="dxa"/>
            <w:tcBorders>
              <w:bottom w:val="single" w:sz="4" w:space="0" w:color="auto"/>
            </w:tcBorders>
            <w:noWrap/>
            <w:vAlign w:val="center"/>
            <w:hideMark/>
          </w:tcPr>
          <w:p w14:paraId="24E90F0E"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tcBorders>
              <w:bottom w:val="single" w:sz="4" w:space="0" w:color="auto"/>
            </w:tcBorders>
            <w:noWrap/>
            <w:vAlign w:val="center"/>
            <w:hideMark/>
          </w:tcPr>
          <w:p w14:paraId="1BF352AC"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tcBorders>
              <w:bottom w:val="single" w:sz="4" w:space="0" w:color="auto"/>
            </w:tcBorders>
            <w:noWrap/>
            <w:vAlign w:val="center"/>
            <w:hideMark/>
          </w:tcPr>
          <w:p w14:paraId="60B74801"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tcBorders>
              <w:bottom w:val="single" w:sz="4" w:space="0" w:color="auto"/>
            </w:tcBorders>
            <w:noWrap/>
            <w:vAlign w:val="center"/>
            <w:hideMark/>
          </w:tcPr>
          <w:p w14:paraId="72523F0D" w14:textId="77777777" w:rsidR="000E687F" w:rsidRPr="00A60CE9" w:rsidRDefault="000E687F" w:rsidP="00712F00">
            <w:pPr>
              <w:spacing w:line="240" w:lineRule="auto"/>
              <w:contextualSpacing/>
              <w:rPr>
                <w:rFonts w:asciiTheme="minorHAnsi" w:hAnsiTheme="minorHAnsi"/>
                <w:sz w:val="22"/>
                <w:lang w:eastAsia="fr-LU"/>
              </w:rPr>
            </w:pPr>
          </w:p>
        </w:tc>
        <w:tc>
          <w:tcPr>
            <w:tcW w:w="1020" w:type="dxa"/>
            <w:tcBorders>
              <w:bottom w:val="single" w:sz="4" w:space="0" w:color="auto"/>
            </w:tcBorders>
            <w:noWrap/>
            <w:vAlign w:val="center"/>
            <w:hideMark/>
          </w:tcPr>
          <w:p w14:paraId="5849DD1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2.43**</w:t>
            </w:r>
          </w:p>
          <w:p w14:paraId="24B4AA6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(1.15)</w:t>
            </w:r>
          </w:p>
        </w:tc>
      </w:tr>
      <w:tr w:rsidR="000E687F" w:rsidRPr="00A60CE9" w14:paraId="6FD12D1B" w14:textId="77777777" w:rsidTr="00712F00">
        <w:trPr>
          <w:trHeight w:val="20"/>
        </w:trPr>
        <w:tc>
          <w:tcPr>
            <w:tcW w:w="2296" w:type="dxa"/>
            <w:tcBorders>
              <w:top w:val="single" w:sz="4" w:space="0" w:color="auto"/>
            </w:tcBorders>
            <w:noWrap/>
            <w:vAlign w:val="center"/>
            <w:hideMark/>
          </w:tcPr>
          <w:p w14:paraId="57FB0E96"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Observations</w:t>
            </w:r>
          </w:p>
        </w:tc>
        <w:tc>
          <w:tcPr>
            <w:tcW w:w="1020" w:type="dxa"/>
            <w:tcBorders>
              <w:top w:val="single" w:sz="4" w:space="0" w:color="auto"/>
            </w:tcBorders>
            <w:noWrap/>
            <w:vAlign w:val="center"/>
            <w:hideMark/>
          </w:tcPr>
          <w:p w14:paraId="556B63D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6105</w:t>
            </w:r>
          </w:p>
        </w:tc>
        <w:tc>
          <w:tcPr>
            <w:tcW w:w="1020" w:type="dxa"/>
            <w:tcBorders>
              <w:top w:val="single" w:sz="4" w:space="0" w:color="auto"/>
            </w:tcBorders>
            <w:noWrap/>
            <w:vAlign w:val="center"/>
            <w:hideMark/>
          </w:tcPr>
          <w:p w14:paraId="13E0FBC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6105</w:t>
            </w:r>
          </w:p>
        </w:tc>
        <w:tc>
          <w:tcPr>
            <w:tcW w:w="1020" w:type="dxa"/>
            <w:tcBorders>
              <w:top w:val="single" w:sz="4" w:space="0" w:color="auto"/>
            </w:tcBorders>
            <w:noWrap/>
            <w:vAlign w:val="center"/>
            <w:hideMark/>
          </w:tcPr>
          <w:p w14:paraId="3928CE20"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6105</w:t>
            </w:r>
          </w:p>
        </w:tc>
        <w:tc>
          <w:tcPr>
            <w:tcW w:w="1020" w:type="dxa"/>
            <w:tcBorders>
              <w:top w:val="single" w:sz="4" w:space="0" w:color="auto"/>
            </w:tcBorders>
            <w:noWrap/>
            <w:vAlign w:val="center"/>
            <w:hideMark/>
          </w:tcPr>
          <w:p w14:paraId="6D78759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6105</w:t>
            </w:r>
          </w:p>
        </w:tc>
        <w:tc>
          <w:tcPr>
            <w:tcW w:w="1020" w:type="dxa"/>
            <w:tcBorders>
              <w:top w:val="single" w:sz="4" w:space="0" w:color="auto"/>
            </w:tcBorders>
            <w:noWrap/>
            <w:vAlign w:val="center"/>
            <w:hideMark/>
          </w:tcPr>
          <w:p w14:paraId="41451FFD"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6105</w:t>
            </w:r>
          </w:p>
        </w:tc>
        <w:tc>
          <w:tcPr>
            <w:tcW w:w="1020" w:type="dxa"/>
            <w:tcBorders>
              <w:top w:val="single" w:sz="4" w:space="0" w:color="auto"/>
            </w:tcBorders>
            <w:noWrap/>
            <w:vAlign w:val="center"/>
            <w:hideMark/>
          </w:tcPr>
          <w:p w14:paraId="13E914D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6105</w:t>
            </w:r>
          </w:p>
        </w:tc>
      </w:tr>
      <w:tr w:rsidR="000E687F" w:rsidRPr="00A60CE9" w14:paraId="2DA789F5" w14:textId="77777777" w:rsidTr="00712F00">
        <w:trPr>
          <w:trHeight w:val="20"/>
        </w:trPr>
        <w:tc>
          <w:tcPr>
            <w:tcW w:w="2296" w:type="dxa"/>
            <w:noWrap/>
            <w:vAlign w:val="center"/>
            <w:hideMark/>
          </w:tcPr>
          <w:p w14:paraId="46BC5D1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Year Dummies</w:t>
            </w:r>
          </w:p>
        </w:tc>
        <w:tc>
          <w:tcPr>
            <w:tcW w:w="1020" w:type="dxa"/>
            <w:noWrap/>
            <w:vAlign w:val="center"/>
            <w:hideMark/>
          </w:tcPr>
          <w:p w14:paraId="434B438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1020" w:type="dxa"/>
            <w:noWrap/>
            <w:vAlign w:val="center"/>
            <w:hideMark/>
          </w:tcPr>
          <w:p w14:paraId="396B1AB1"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1020" w:type="dxa"/>
            <w:noWrap/>
            <w:vAlign w:val="center"/>
            <w:hideMark/>
          </w:tcPr>
          <w:p w14:paraId="5CEBC10E"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1020" w:type="dxa"/>
            <w:noWrap/>
            <w:vAlign w:val="center"/>
            <w:hideMark/>
          </w:tcPr>
          <w:p w14:paraId="5B5A1E3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1020" w:type="dxa"/>
            <w:noWrap/>
            <w:vAlign w:val="center"/>
            <w:hideMark/>
          </w:tcPr>
          <w:p w14:paraId="2B46D01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1020" w:type="dxa"/>
            <w:noWrap/>
            <w:vAlign w:val="center"/>
            <w:hideMark/>
          </w:tcPr>
          <w:p w14:paraId="56A90812"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YES</w:t>
            </w:r>
          </w:p>
        </w:tc>
      </w:tr>
      <w:tr w:rsidR="000E687F" w:rsidRPr="00A60CE9" w14:paraId="0BC85335" w14:textId="77777777" w:rsidTr="00712F00">
        <w:trPr>
          <w:trHeight w:val="20"/>
        </w:trPr>
        <w:tc>
          <w:tcPr>
            <w:tcW w:w="2296" w:type="dxa"/>
            <w:tcBorders>
              <w:bottom w:val="single" w:sz="4" w:space="0" w:color="auto"/>
            </w:tcBorders>
            <w:noWrap/>
            <w:vAlign w:val="center"/>
          </w:tcPr>
          <w:p w14:paraId="0F6459AB"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Likelihood Ratio Test</w:t>
            </w:r>
          </w:p>
        </w:tc>
        <w:tc>
          <w:tcPr>
            <w:tcW w:w="1020" w:type="dxa"/>
            <w:tcBorders>
              <w:bottom w:val="single" w:sz="4" w:space="0" w:color="auto"/>
            </w:tcBorders>
            <w:noWrap/>
            <w:vAlign w:val="center"/>
          </w:tcPr>
          <w:p w14:paraId="17D0AA8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2148.89</w:t>
            </w:r>
          </w:p>
        </w:tc>
        <w:tc>
          <w:tcPr>
            <w:tcW w:w="1020" w:type="dxa"/>
            <w:tcBorders>
              <w:bottom w:val="single" w:sz="4" w:space="0" w:color="auto"/>
            </w:tcBorders>
            <w:noWrap/>
            <w:vAlign w:val="center"/>
          </w:tcPr>
          <w:p w14:paraId="3B2B83E4"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2042.39</w:t>
            </w:r>
          </w:p>
        </w:tc>
        <w:tc>
          <w:tcPr>
            <w:tcW w:w="1020" w:type="dxa"/>
            <w:tcBorders>
              <w:bottom w:val="single" w:sz="4" w:space="0" w:color="auto"/>
            </w:tcBorders>
            <w:noWrap/>
            <w:vAlign w:val="center"/>
          </w:tcPr>
          <w:p w14:paraId="0F6FA32A"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2180.33</w:t>
            </w:r>
          </w:p>
        </w:tc>
        <w:tc>
          <w:tcPr>
            <w:tcW w:w="1020" w:type="dxa"/>
            <w:tcBorders>
              <w:bottom w:val="single" w:sz="4" w:space="0" w:color="auto"/>
            </w:tcBorders>
            <w:noWrap/>
            <w:vAlign w:val="center"/>
          </w:tcPr>
          <w:p w14:paraId="48D333DC"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2158.14</w:t>
            </w:r>
          </w:p>
        </w:tc>
        <w:tc>
          <w:tcPr>
            <w:tcW w:w="1020" w:type="dxa"/>
            <w:tcBorders>
              <w:bottom w:val="single" w:sz="4" w:space="0" w:color="auto"/>
            </w:tcBorders>
            <w:noWrap/>
            <w:vAlign w:val="center"/>
          </w:tcPr>
          <w:p w14:paraId="69796233"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2173.95</w:t>
            </w:r>
          </w:p>
        </w:tc>
        <w:tc>
          <w:tcPr>
            <w:tcW w:w="1020" w:type="dxa"/>
            <w:tcBorders>
              <w:bottom w:val="single" w:sz="4" w:space="0" w:color="auto"/>
            </w:tcBorders>
            <w:noWrap/>
            <w:vAlign w:val="center"/>
          </w:tcPr>
          <w:p w14:paraId="70B93237" w14:textId="77777777" w:rsidR="000E687F" w:rsidRPr="00A60CE9" w:rsidRDefault="000E687F" w:rsidP="00712F00">
            <w:pPr>
              <w:spacing w:line="240" w:lineRule="auto"/>
              <w:contextualSpacing/>
              <w:rPr>
                <w:rFonts w:eastAsia="Times New Roman"/>
                <w:sz w:val="22"/>
                <w:lang w:eastAsia="fr-LU"/>
              </w:rPr>
            </w:pPr>
            <w:r w:rsidRPr="00A60CE9">
              <w:rPr>
                <w:rFonts w:eastAsia="Times New Roman"/>
                <w:sz w:val="22"/>
                <w:lang w:eastAsia="fr-LU"/>
              </w:rPr>
              <w:t>2160.53</w:t>
            </w:r>
          </w:p>
        </w:tc>
      </w:tr>
    </w:tbl>
    <w:p w14:paraId="1F2CC909" w14:textId="77777777" w:rsidR="000E687F" w:rsidRPr="00A60CE9" w:rsidRDefault="000E687F" w:rsidP="00712F00">
      <w:pPr>
        <w:spacing w:line="240" w:lineRule="auto"/>
        <w:contextualSpacing/>
        <w:rPr>
          <w:i/>
          <w:sz w:val="20"/>
          <w:szCs w:val="18"/>
        </w:rPr>
      </w:pPr>
    </w:p>
    <w:p w14:paraId="14291B44" w14:textId="77777777" w:rsidR="000E687F" w:rsidRPr="00A60CE9" w:rsidRDefault="000E687F" w:rsidP="00712F00">
      <w:pPr>
        <w:spacing w:line="240" w:lineRule="auto"/>
        <w:contextualSpacing/>
        <w:rPr>
          <w:i/>
          <w:sz w:val="20"/>
          <w:szCs w:val="18"/>
        </w:rPr>
      </w:pPr>
    </w:p>
    <w:p w14:paraId="0807ADA3" w14:textId="77777777" w:rsidR="000E687F" w:rsidRPr="00A60CE9" w:rsidRDefault="000E687F" w:rsidP="00712F00">
      <w:pPr>
        <w:spacing w:line="240" w:lineRule="auto"/>
        <w:contextualSpacing/>
        <w:rPr>
          <w:i/>
          <w:sz w:val="20"/>
          <w:szCs w:val="18"/>
        </w:rPr>
      </w:pPr>
    </w:p>
    <w:p w14:paraId="299D06F4" w14:textId="77777777" w:rsidR="000E687F" w:rsidRPr="00A60CE9" w:rsidRDefault="000E687F" w:rsidP="00712F00">
      <w:pPr>
        <w:spacing w:line="240" w:lineRule="auto"/>
        <w:contextualSpacing/>
        <w:rPr>
          <w:i/>
          <w:sz w:val="20"/>
          <w:szCs w:val="18"/>
        </w:rPr>
      </w:pPr>
    </w:p>
    <w:p w14:paraId="08209616" w14:textId="77777777" w:rsidR="000E687F" w:rsidRPr="00A60CE9" w:rsidRDefault="000E687F" w:rsidP="00712F00">
      <w:pPr>
        <w:spacing w:line="240" w:lineRule="auto"/>
        <w:contextualSpacing/>
        <w:rPr>
          <w:i/>
          <w:sz w:val="20"/>
          <w:szCs w:val="18"/>
        </w:rPr>
      </w:pPr>
    </w:p>
    <w:p w14:paraId="652A7C7E" w14:textId="77777777" w:rsidR="000E687F" w:rsidRPr="00A60CE9" w:rsidRDefault="000E687F" w:rsidP="00712F00">
      <w:pPr>
        <w:spacing w:line="240" w:lineRule="auto"/>
        <w:contextualSpacing/>
        <w:rPr>
          <w:i/>
          <w:sz w:val="20"/>
          <w:szCs w:val="18"/>
        </w:rPr>
      </w:pPr>
    </w:p>
    <w:p w14:paraId="29F6D7F3" w14:textId="77777777" w:rsidR="000E687F" w:rsidRPr="00A60CE9" w:rsidRDefault="000E687F" w:rsidP="00712F00">
      <w:pPr>
        <w:spacing w:line="240" w:lineRule="auto"/>
        <w:contextualSpacing/>
        <w:rPr>
          <w:i/>
          <w:sz w:val="20"/>
          <w:szCs w:val="18"/>
        </w:rPr>
      </w:pPr>
    </w:p>
    <w:p w14:paraId="7DC74783" w14:textId="77777777" w:rsidR="000E687F" w:rsidRPr="00A60CE9" w:rsidRDefault="000E687F" w:rsidP="00712F00">
      <w:pPr>
        <w:spacing w:line="240" w:lineRule="auto"/>
        <w:contextualSpacing/>
        <w:rPr>
          <w:i/>
          <w:sz w:val="20"/>
          <w:szCs w:val="18"/>
        </w:rPr>
      </w:pPr>
    </w:p>
    <w:p w14:paraId="610F5C4E" w14:textId="77777777" w:rsidR="000E687F" w:rsidRPr="00A60CE9" w:rsidRDefault="000E687F" w:rsidP="00712F00">
      <w:pPr>
        <w:spacing w:line="240" w:lineRule="auto"/>
        <w:contextualSpacing/>
        <w:rPr>
          <w:i/>
          <w:sz w:val="20"/>
          <w:szCs w:val="18"/>
        </w:rPr>
      </w:pPr>
    </w:p>
    <w:p w14:paraId="255515F2" w14:textId="77777777" w:rsidR="000E687F" w:rsidRPr="00A60CE9" w:rsidRDefault="000E687F" w:rsidP="00712F00">
      <w:pPr>
        <w:spacing w:line="240" w:lineRule="auto"/>
        <w:contextualSpacing/>
        <w:rPr>
          <w:i/>
          <w:sz w:val="20"/>
          <w:szCs w:val="18"/>
        </w:rPr>
      </w:pPr>
    </w:p>
    <w:p w14:paraId="4C37B72F" w14:textId="77777777" w:rsidR="000E687F" w:rsidRPr="00A60CE9" w:rsidRDefault="000E687F" w:rsidP="00712F00">
      <w:pPr>
        <w:spacing w:line="240" w:lineRule="auto"/>
        <w:contextualSpacing/>
        <w:rPr>
          <w:i/>
          <w:sz w:val="20"/>
          <w:szCs w:val="18"/>
        </w:rPr>
      </w:pPr>
    </w:p>
    <w:p w14:paraId="107B70DA" w14:textId="77777777" w:rsidR="000E687F" w:rsidRPr="00A60CE9" w:rsidRDefault="000E687F" w:rsidP="00712F00">
      <w:pPr>
        <w:spacing w:line="240" w:lineRule="auto"/>
        <w:contextualSpacing/>
        <w:rPr>
          <w:i/>
          <w:sz w:val="20"/>
          <w:szCs w:val="18"/>
        </w:rPr>
      </w:pPr>
    </w:p>
    <w:p w14:paraId="6AA50873" w14:textId="77777777" w:rsidR="000E687F" w:rsidRPr="00A60CE9" w:rsidRDefault="000E687F" w:rsidP="00712F00">
      <w:pPr>
        <w:spacing w:line="240" w:lineRule="auto"/>
        <w:contextualSpacing/>
        <w:rPr>
          <w:i/>
          <w:sz w:val="20"/>
          <w:szCs w:val="18"/>
        </w:rPr>
      </w:pPr>
    </w:p>
    <w:p w14:paraId="584218E4" w14:textId="77777777" w:rsidR="000E687F" w:rsidRPr="00A60CE9" w:rsidRDefault="000E687F" w:rsidP="00712F00">
      <w:pPr>
        <w:spacing w:line="240" w:lineRule="auto"/>
        <w:contextualSpacing/>
        <w:rPr>
          <w:i/>
          <w:sz w:val="20"/>
          <w:szCs w:val="18"/>
        </w:rPr>
      </w:pPr>
    </w:p>
    <w:p w14:paraId="7AC1B8FE" w14:textId="77777777" w:rsidR="000E687F" w:rsidRPr="00A60CE9" w:rsidRDefault="000E687F" w:rsidP="00712F00">
      <w:pPr>
        <w:spacing w:line="240" w:lineRule="auto"/>
        <w:contextualSpacing/>
        <w:rPr>
          <w:i/>
          <w:sz w:val="20"/>
          <w:szCs w:val="18"/>
        </w:rPr>
      </w:pPr>
    </w:p>
    <w:p w14:paraId="74E2E421" w14:textId="77777777" w:rsidR="000E687F" w:rsidRPr="00A60CE9" w:rsidRDefault="000E687F" w:rsidP="00712F00">
      <w:pPr>
        <w:spacing w:line="240" w:lineRule="auto"/>
        <w:contextualSpacing/>
        <w:rPr>
          <w:i/>
          <w:sz w:val="20"/>
          <w:szCs w:val="18"/>
        </w:rPr>
      </w:pPr>
    </w:p>
    <w:p w14:paraId="3F56A991" w14:textId="77777777" w:rsidR="000E687F" w:rsidRPr="00A60CE9" w:rsidRDefault="000E687F" w:rsidP="00712F00">
      <w:pPr>
        <w:spacing w:line="240" w:lineRule="auto"/>
        <w:contextualSpacing/>
        <w:rPr>
          <w:i/>
          <w:sz w:val="20"/>
          <w:szCs w:val="18"/>
        </w:rPr>
      </w:pPr>
    </w:p>
    <w:p w14:paraId="7AB408F2" w14:textId="77777777" w:rsidR="000E687F" w:rsidRPr="00A60CE9" w:rsidRDefault="000E687F" w:rsidP="00712F00">
      <w:pPr>
        <w:spacing w:line="240" w:lineRule="auto"/>
        <w:contextualSpacing/>
        <w:rPr>
          <w:i/>
          <w:sz w:val="20"/>
          <w:szCs w:val="18"/>
        </w:rPr>
      </w:pPr>
    </w:p>
    <w:p w14:paraId="67C833FB" w14:textId="77777777" w:rsidR="000E687F" w:rsidRPr="00A60CE9" w:rsidRDefault="000E687F" w:rsidP="00712F00">
      <w:pPr>
        <w:spacing w:line="240" w:lineRule="auto"/>
        <w:contextualSpacing/>
        <w:rPr>
          <w:i/>
          <w:sz w:val="20"/>
          <w:szCs w:val="18"/>
        </w:rPr>
      </w:pPr>
    </w:p>
    <w:p w14:paraId="067F1EFF" w14:textId="77777777" w:rsidR="000E687F" w:rsidRPr="00A60CE9" w:rsidRDefault="000E687F" w:rsidP="00712F00">
      <w:pPr>
        <w:spacing w:line="240" w:lineRule="auto"/>
        <w:contextualSpacing/>
        <w:rPr>
          <w:i/>
          <w:sz w:val="20"/>
          <w:szCs w:val="18"/>
        </w:rPr>
      </w:pPr>
    </w:p>
    <w:p w14:paraId="55D4C4F2" w14:textId="77777777" w:rsidR="000E687F" w:rsidRPr="00A60CE9" w:rsidRDefault="000E687F" w:rsidP="00712F00">
      <w:pPr>
        <w:spacing w:line="240" w:lineRule="auto"/>
        <w:contextualSpacing/>
        <w:rPr>
          <w:i/>
          <w:sz w:val="20"/>
          <w:szCs w:val="18"/>
        </w:rPr>
      </w:pPr>
    </w:p>
    <w:p w14:paraId="5E946D7A" w14:textId="77777777" w:rsidR="000E687F" w:rsidRPr="00A60CE9" w:rsidRDefault="000E687F" w:rsidP="00712F00">
      <w:pPr>
        <w:spacing w:line="240" w:lineRule="auto"/>
        <w:contextualSpacing/>
        <w:rPr>
          <w:i/>
          <w:sz w:val="20"/>
          <w:szCs w:val="18"/>
        </w:rPr>
      </w:pPr>
    </w:p>
    <w:p w14:paraId="7F38BAEE" w14:textId="77777777" w:rsidR="000E687F" w:rsidRPr="00A60CE9" w:rsidRDefault="000E687F" w:rsidP="00712F00">
      <w:pPr>
        <w:spacing w:line="240" w:lineRule="auto"/>
        <w:contextualSpacing/>
        <w:rPr>
          <w:i/>
          <w:sz w:val="20"/>
          <w:szCs w:val="18"/>
        </w:rPr>
      </w:pPr>
    </w:p>
    <w:p w14:paraId="3E6845F4" w14:textId="77777777" w:rsidR="000E687F" w:rsidRPr="00A60CE9" w:rsidRDefault="000E687F" w:rsidP="00712F00">
      <w:pPr>
        <w:spacing w:line="240" w:lineRule="auto"/>
        <w:contextualSpacing/>
        <w:rPr>
          <w:i/>
          <w:sz w:val="20"/>
          <w:szCs w:val="18"/>
        </w:rPr>
      </w:pPr>
    </w:p>
    <w:p w14:paraId="41508778" w14:textId="77777777" w:rsidR="000E687F" w:rsidRPr="00A60CE9" w:rsidRDefault="000E687F" w:rsidP="00712F00">
      <w:pPr>
        <w:spacing w:line="240" w:lineRule="auto"/>
        <w:contextualSpacing/>
        <w:rPr>
          <w:i/>
          <w:sz w:val="20"/>
          <w:szCs w:val="18"/>
        </w:rPr>
      </w:pPr>
    </w:p>
    <w:p w14:paraId="4969DAAA" w14:textId="77777777" w:rsidR="000E687F" w:rsidRPr="00A60CE9" w:rsidRDefault="000E687F" w:rsidP="00712F00">
      <w:pPr>
        <w:spacing w:line="240" w:lineRule="auto"/>
        <w:contextualSpacing/>
        <w:rPr>
          <w:i/>
          <w:sz w:val="20"/>
          <w:szCs w:val="18"/>
        </w:rPr>
      </w:pPr>
    </w:p>
    <w:p w14:paraId="7CF67DF3" w14:textId="77777777" w:rsidR="000E687F" w:rsidRPr="00A60CE9" w:rsidRDefault="000E687F" w:rsidP="00712F00">
      <w:pPr>
        <w:spacing w:line="240" w:lineRule="auto"/>
        <w:contextualSpacing/>
        <w:rPr>
          <w:i/>
          <w:sz w:val="20"/>
          <w:szCs w:val="18"/>
        </w:rPr>
      </w:pPr>
    </w:p>
    <w:p w14:paraId="174ADD73" w14:textId="77777777" w:rsidR="00FF5657" w:rsidRPr="00A60CE9" w:rsidRDefault="00FF5657" w:rsidP="00712F00">
      <w:pPr>
        <w:spacing w:line="240" w:lineRule="auto"/>
        <w:contextualSpacing/>
        <w:rPr>
          <w:i/>
          <w:sz w:val="20"/>
          <w:szCs w:val="18"/>
        </w:rPr>
      </w:pPr>
      <w:r w:rsidRPr="00A60CE9">
        <w:rPr>
          <w:i/>
          <w:sz w:val="20"/>
          <w:szCs w:val="18"/>
        </w:rPr>
        <w:t>Note: Table displays coefficients with standard errors in parentheses. *p&lt;0.10, **p&lt;0.05, *** p&lt;0.01.</w:t>
      </w:r>
    </w:p>
    <w:p w14:paraId="2E1E3628" w14:textId="77777777" w:rsidR="00FF5657" w:rsidRPr="00A60CE9" w:rsidRDefault="00FF5657" w:rsidP="00712F00">
      <w:pPr>
        <w:spacing w:line="240" w:lineRule="auto"/>
        <w:contextualSpacing/>
        <w:rPr>
          <w:i/>
          <w:sz w:val="20"/>
          <w:szCs w:val="18"/>
        </w:rPr>
      </w:pPr>
    </w:p>
    <w:p w14:paraId="58106AE8" w14:textId="77777777" w:rsidR="00FD1B5A" w:rsidRPr="00A60CE9" w:rsidRDefault="00FD1B5A" w:rsidP="00712F00">
      <w:pPr>
        <w:pStyle w:val="Heading2"/>
        <w:spacing w:line="240" w:lineRule="auto"/>
        <w:contextualSpacing/>
      </w:pPr>
      <w:r w:rsidRPr="00A60CE9">
        <w:t xml:space="preserve">Table </w:t>
      </w:r>
      <w:r w:rsidR="00EB11A0" w:rsidRPr="00A60CE9">
        <w:t>A</w:t>
      </w:r>
      <w:fldSimple w:instr=" SEQ Table \* ARABIC \s 1 ">
        <w:r w:rsidRPr="00A60CE9">
          <w:t>1</w:t>
        </w:r>
      </w:fldSimple>
      <w:r w:rsidRPr="00A60CE9">
        <w:t>. Descriptive Statistics.</w:t>
      </w:r>
    </w:p>
    <w:tbl>
      <w:tblPr>
        <w:tblW w:w="4745" w:type="pct"/>
        <w:tblInd w:w="137"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7"/>
        <w:gridCol w:w="1491"/>
        <w:gridCol w:w="1491"/>
        <w:gridCol w:w="1491"/>
        <w:gridCol w:w="1303"/>
        <w:gridCol w:w="1016"/>
      </w:tblGrid>
      <w:tr w:rsidR="00FD1B5A" w:rsidRPr="00A60CE9" w14:paraId="0E7FAEC0" w14:textId="77777777" w:rsidTr="00712F00">
        <w:trPr>
          <w:trHeight w:val="340"/>
        </w:trPr>
        <w:tc>
          <w:tcPr>
            <w:tcW w:w="1251" w:type="pct"/>
            <w:tcBorders>
              <w:right w:val="nil"/>
            </w:tcBorders>
            <w:noWrap/>
            <w:vAlign w:val="bottom"/>
            <w:hideMark/>
          </w:tcPr>
          <w:p w14:paraId="08E21FF9"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Variable</w:t>
            </w:r>
          </w:p>
        </w:tc>
        <w:tc>
          <w:tcPr>
            <w:tcW w:w="823" w:type="pct"/>
            <w:tcBorders>
              <w:left w:val="nil"/>
              <w:right w:val="nil"/>
            </w:tcBorders>
            <w:noWrap/>
            <w:vAlign w:val="center"/>
            <w:hideMark/>
          </w:tcPr>
          <w:p w14:paraId="65F15731"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Mean</w:t>
            </w:r>
          </w:p>
        </w:tc>
        <w:tc>
          <w:tcPr>
            <w:tcW w:w="823" w:type="pct"/>
            <w:tcBorders>
              <w:left w:val="nil"/>
              <w:right w:val="nil"/>
            </w:tcBorders>
            <w:noWrap/>
            <w:vAlign w:val="center"/>
            <w:hideMark/>
          </w:tcPr>
          <w:p w14:paraId="76AAD46E"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Std. dev.</w:t>
            </w:r>
          </w:p>
        </w:tc>
        <w:tc>
          <w:tcPr>
            <w:tcW w:w="823" w:type="pct"/>
            <w:tcBorders>
              <w:left w:val="nil"/>
              <w:right w:val="nil"/>
            </w:tcBorders>
            <w:noWrap/>
            <w:vAlign w:val="center"/>
            <w:hideMark/>
          </w:tcPr>
          <w:p w14:paraId="12A473CE"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Min</w:t>
            </w:r>
          </w:p>
        </w:tc>
        <w:tc>
          <w:tcPr>
            <w:tcW w:w="719" w:type="pct"/>
            <w:tcBorders>
              <w:left w:val="nil"/>
              <w:right w:val="nil"/>
            </w:tcBorders>
            <w:noWrap/>
            <w:vAlign w:val="center"/>
            <w:hideMark/>
          </w:tcPr>
          <w:p w14:paraId="49FB526B"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Max</w:t>
            </w:r>
          </w:p>
        </w:tc>
        <w:tc>
          <w:tcPr>
            <w:tcW w:w="561" w:type="pct"/>
            <w:tcBorders>
              <w:left w:val="nil"/>
              <w:right w:val="nil"/>
            </w:tcBorders>
            <w:vAlign w:val="center"/>
          </w:tcPr>
          <w:p w14:paraId="4995AFA2"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 xml:space="preserve">Obs. </w:t>
            </w:r>
          </w:p>
        </w:tc>
      </w:tr>
      <w:tr w:rsidR="00FD1B5A" w:rsidRPr="00A60CE9" w14:paraId="38995EE4" w14:textId="77777777" w:rsidTr="00712F00">
        <w:trPr>
          <w:trHeight w:val="340"/>
        </w:trPr>
        <w:tc>
          <w:tcPr>
            <w:tcW w:w="1251" w:type="pct"/>
            <w:tcBorders>
              <w:bottom w:val="nil"/>
              <w:right w:val="nil"/>
            </w:tcBorders>
            <w:noWrap/>
            <w:vAlign w:val="bottom"/>
            <w:hideMark/>
          </w:tcPr>
          <w:p w14:paraId="535FA782"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Patents per year</w:t>
            </w:r>
          </w:p>
        </w:tc>
        <w:tc>
          <w:tcPr>
            <w:tcW w:w="823" w:type="pct"/>
            <w:tcBorders>
              <w:left w:val="nil"/>
              <w:bottom w:val="nil"/>
              <w:right w:val="nil"/>
            </w:tcBorders>
            <w:noWrap/>
            <w:vAlign w:val="center"/>
            <w:hideMark/>
          </w:tcPr>
          <w:p w14:paraId="17AA0311"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17.58</w:t>
            </w:r>
          </w:p>
        </w:tc>
        <w:tc>
          <w:tcPr>
            <w:tcW w:w="823" w:type="pct"/>
            <w:tcBorders>
              <w:left w:val="nil"/>
              <w:bottom w:val="nil"/>
              <w:right w:val="nil"/>
            </w:tcBorders>
            <w:noWrap/>
            <w:vAlign w:val="center"/>
            <w:hideMark/>
          </w:tcPr>
          <w:p w14:paraId="704458AC"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87.13</w:t>
            </w:r>
          </w:p>
        </w:tc>
        <w:tc>
          <w:tcPr>
            <w:tcW w:w="823" w:type="pct"/>
            <w:tcBorders>
              <w:left w:val="nil"/>
              <w:bottom w:val="nil"/>
              <w:right w:val="nil"/>
            </w:tcBorders>
            <w:noWrap/>
            <w:vAlign w:val="center"/>
            <w:hideMark/>
          </w:tcPr>
          <w:p w14:paraId="090AB2DA"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w:t>
            </w:r>
          </w:p>
        </w:tc>
        <w:tc>
          <w:tcPr>
            <w:tcW w:w="719" w:type="pct"/>
            <w:tcBorders>
              <w:left w:val="nil"/>
              <w:bottom w:val="nil"/>
              <w:right w:val="nil"/>
            </w:tcBorders>
            <w:noWrap/>
            <w:vAlign w:val="center"/>
            <w:hideMark/>
          </w:tcPr>
          <w:p w14:paraId="7A7C0C1D"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1612</w:t>
            </w:r>
          </w:p>
        </w:tc>
        <w:tc>
          <w:tcPr>
            <w:tcW w:w="561" w:type="pct"/>
            <w:tcBorders>
              <w:left w:val="nil"/>
              <w:bottom w:val="nil"/>
              <w:right w:val="nil"/>
            </w:tcBorders>
            <w:vAlign w:val="center"/>
          </w:tcPr>
          <w:p w14:paraId="03E9BA36"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6105</w:t>
            </w:r>
          </w:p>
        </w:tc>
      </w:tr>
      <w:tr w:rsidR="00FD1B5A" w:rsidRPr="00A60CE9" w14:paraId="4658460C" w14:textId="77777777" w:rsidTr="00712F00">
        <w:trPr>
          <w:trHeight w:val="340"/>
        </w:trPr>
        <w:tc>
          <w:tcPr>
            <w:tcW w:w="1251" w:type="pct"/>
            <w:tcBorders>
              <w:top w:val="nil"/>
              <w:bottom w:val="nil"/>
              <w:right w:val="nil"/>
            </w:tcBorders>
            <w:noWrap/>
            <w:vAlign w:val="bottom"/>
            <w:hideMark/>
          </w:tcPr>
          <w:p w14:paraId="6EDA3049" w14:textId="77777777" w:rsidR="00FD1B5A" w:rsidRPr="00A60CE9" w:rsidRDefault="00FD1B5A" w:rsidP="00712F00">
            <w:pPr>
              <w:spacing w:line="240" w:lineRule="auto"/>
              <w:contextualSpacing/>
              <w:rPr>
                <w:rFonts w:eastAsia="Times New Roman"/>
                <w:iCs/>
                <w:sz w:val="22"/>
                <w:lang w:eastAsia="fr-LU"/>
              </w:rPr>
            </w:pPr>
            <w:r w:rsidRPr="00A60CE9">
              <w:rPr>
                <w:rFonts w:eastAsia="Times New Roman"/>
                <w:iCs/>
                <w:sz w:val="22"/>
                <w:lang w:eastAsia="fr-LU"/>
              </w:rPr>
              <w:t>Size</w:t>
            </w:r>
          </w:p>
        </w:tc>
        <w:tc>
          <w:tcPr>
            <w:tcW w:w="823" w:type="pct"/>
            <w:tcBorders>
              <w:top w:val="nil"/>
              <w:left w:val="nil"/>
              <w:bottom w:val="nil"/>
              <w:right w:val="nil"/>
            </w:tcBorders>
            <w:noWrap/>
            <w:vAlign w:val="center"/>
            <w:hideMark/>
          </w:tcPr>
          <w:p w14:paraId="437B4A18"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6.78</w:t>
            </w:r>
          </w:p>
        </w:tc>
        <w:tc>
          <w:tcPr>
            <w:tcW w:w="823" w:type="pct"/>
            <w:tcBorders>
              <w:top w:val="nil"/>
              <w:left w:val="nil"/>
              <w:bottom w:val="nil"/>
              <w:right w:val="nil"/>
            </w:tcBorders>
            <w:noWrap/>
            <w:vAlign w:val="center"/>
            <w:hideMark/>
          </w:tcPr>
          <w:p w14:paraId="6BD65202"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2.13</w:t>
            </w:r>
          </w:p>
        </w:tc>
        <w:tc>
          <w:tcPr>
            <w:tcW w:w="823" w:type="pct"/>
            <w:tcBorders>
              <w:top w:val="nil"/>
              <w:left w:val="nil"/>
              <w:bottom w:val="nil"/>
              <w:right w:val="nil"/>
            </w:tcBorders>
            <w:noWrap/>
            <w:vAlign w:val="center"/>
            <w:hideMark/>
          </w:tcPr>
          <w:p w14:paraId="18150805"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w:t>
            </w:r>
          </w:p>
        </w:tc>
        <w:tc>
          <w:tcPr>
            <w:tcW w:w="719" w:type="pct"/>
            <w:tcBorders>
              <w:top w:val="nil"/>
              <w:left w:val="nil"/>
              <w:bottom w:val="nil"/>
              <w:right w:val="nil"/>
            </w:tcBorders>
            <w:noWrap/>
            <w:vAlign w:val="center"/>
            <w:hideMark/>
          </w:tcPr>
          <w:p w14:paraId="79E173DE"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14.45</w:t>
            </w:r>
          </w:p>
        </w:tc>
        <w:tc>
          <w:tcPr>
            <w:tcW w:w="561" w:type="pct"/>
            <w:tcBorders>
              <w:top w:val="nil"/>
              <w:left w:val="nil"/>
              <w:bottom w:val="nil"/>
              <w:right w:val="nil"/>
            </w:tcBorders>
            <w:vAlign w:val="center"/>
          </w:tcPr>
          <w:p w14:paraId="5926F37F"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6105</w:t>
            </w:r>
          </w:p>
        </w:tc>
      </w:tr>
      <w:tr w:rsidR="00FD1B5A" w:rsidRPr="00A60CE9" w14:paraId="1E92C615" w14:textId="77777777" w:rsidTr="00712F00">
        <w:trPr>
          <w:trHeight w:val="340"/>
        </w:trPr>
        <w:tc>
          <w:tcPr>
            <w:tcW w:w="1251" w:type="pct"/>
            <w:tcBorders>
              <w:top w:val="nil"/>
              <w:bottom w:val="nil"/>
              <w:right w:val="nil"/>
            </w:tcBorders>
            <w:noWrap/>
            <w:vAlign w:val="bottom"/>
            <w:hideMark/>
          </w:tcPr>
          <w:p w14:paraId="43841E50" w14:textId="77777777" w:rsidR="00FD1B5A" w:rsidRPr="00A60CE9" w:rsidRDefault="00FD1B5A" w:rsidP="00712F00">
            <w:pPr>
              <w:spacing w:line="240" w:lineRule="auto"/>
              <w:contextualSpacing/>
              <w:rPr>
                <w:rFonts w:eastAsia="Times New Roman"/>
                <w:iCs/>
                <w:sz w:val="22"/>
                <w:lang w:eastAsia="fr-LU"/>
              </w:rPr>
            </w:pPr>
            <w:r w:rsidRPr="00A60CE9">
              <w:rPr>
                <w:rFonts w:eastAsia="Times New Roman"/>
                <w:iCs/>
                <w:sz w:val="22"/>
                <w:lang w:eastAsia="fr-LU"/>
              </w:rPr>
              <w:t>Incumbent inventors</w:t>
            </w:r>
          </w:p>
        </w:tc>
        <w:tc>
          <w:tcPr>
            <w:tcW w:w="823" w:type="pct"/>
            <w:tcBorders>
              <w:top w:val="nil"/>
              <w:left w:val="nil"/>
              <w:bottom w:val="nil"/>
              <w:right w:val="nil"/>
            </w:tcBorders>
            <w:noWrap/>
            <w:vAlign w:val="center"/>
            <w:hideMark/>
          </w:tcPr>
          <w:p w14:paraId="3E8BC8BE"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823" w:type="pct"/>
            <w:tcBorders>
              <w:top w:val="nil"/>
              <w:left w:val="nil"/>
              <w:bottom w:val="nil"/>
              <w:right w:val="nil"/>
            </w:tcBorders>
            <w:noWrap/>
            <w:vAlign w:val="center"/>
            <w:hideMark/>
          </w:tcPr>
          <w:p w14:paraId="13A0E729"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0.09</w:t>
            </w:r>
          </w:p>
        </w:tc>
        <w:tc>
          <w:tcPr>
            <w:tcW w:w="823" w:type="pct"/>
            <w:tcBorders>
              <w:top w:val="nil"/>
              <w:left w:val="nil"/>
              <w:bottom w:val="nil"/>
              <w:right w:val="nil"/>
            </w:tcBorders>
            <w:noWrap/>
            <w:vAlign w:val="center"/>
            <w:hideMark/>
          </w:tcPr>
          <w:p w14:paraId="1ED0C3F9"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w:t>
            </w:r>
          </w:p>
        </w:tc>
        <w:tc>
          <w:tcPr>
            <w:tcW w:w="719" w:type="pct"/>
            <w:tcBorders>
              <w:top w:val="nil"/>
              <w:left w:val="nil"/>
              <w:bottom w:val="nil"/>
              <w:right w:val="nil"/>
            </w:tcBorders>
            <w:noWrap/>
            <w:vAlign w:val="center"/>
            <w:hideMark/>
          </w:tcPr>
          <w:p w14:paraId="49FAE426"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0.69</w:t>
            </w:r>
          </w:p>
        </w:tc>
        <w:tc>
          <w:tcPr>
            <w:tcW w:w="561" w:type="pct"/>
            <w:tcBorders>
              <w:top w:val="nil"/>
              <w:left w:val="nil"/>
              <w:bottom w:val="nil"/>
              <w:right w:val="nil"/>
            </w:tcBorders>
            <w:vAlign w:val="center"/>
          </w:tcPr>
          <w:p w14:paraId="390F6497"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6105</w:t>
            </w:r>
          </w:p>
        </w:tc>
      </w:tr>
      <w:tr w:rsidR="00FD1B5A" w:rsidRPr="00A60CE9" w14:paraId="59FB1097" w14:textId="77777777" w:rsidTr="00712F00">
        <w:trPr>
          <w:trHeight w:val="340"/>
        </w:trPr>
        <w:tc>
          <w:tcPr>
            <w:tcW w:w="1251" w:type="pct"/>
            <w:tcBorders>
              <w:top w:val="nil"/>
              <w:bottom w:val="nil"/>
              <w:right w:val="nil"/>
            </w:tcBorders>
            <w:noWrap/>
            <w:vAlign w:val="bottom"/>
            <w:hideMark/>
          </w:tcPr>
          <w:p w14:paraId="7FC5C334" w14:textId="77777777" w:rsidR="00FD1B5A" w:rsidRPr="00A60CE9" w:rsidRDefault="00FD1B5A" w:rsidP="00712F00">
            <w:pPr>
              <w:spacing w:line="240" w:lineRule="auto"/>
              <w:contextualSpacing/>
              <w:rPr>
                <w:rFonts w:eastAsia="Times New Roman"/>
                <w:iCs/>
                <w:sz w:val="22"/>
                <w:lang w:eastAsia="fr-LU"/>
              </w:rPr>
            </w:pPr>
            <w:r w:rsidRPr="00A60CE9">
              <w:rPr>
                <w:rFonts w:eastAsia="Times New Roman"/>
                <w:iCs/>
                <w:sz w:val="22"/>
                <w:lang w:eastAsia="fr-LU"/>
              </w:rPr>
              <w:t>Departing inventors</w:t>
            </w:r>
          </w:p>
        </w:tc>
        <w:tc>
          <w:tcPr>
            <w:tcW w:w="823" w:type="pct"/>
            <w:tcBorders>
              <w:top w:val="nil"/>
              <w:left w:val="nil"/>
              <w:bottom w:val="nil"/>
              <w:right w:val="nil"/>
            </w:tcBorders>
            <w:noWrap/>
            <w:vAlign w:val="center"/>
            <w:hideMark/>
          </w:tcPr>
          <w:p w14:paraId="60DEAF34"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0.18</w:t>
            </w:r>
          </w:p>
        </w:tc>
        <w:tc>
          <w:tcPr>
            <w:tcW w:w="823" w:type="pct"/>
            <w:tcBorders>
              <w:top w:val="nil"/>
              <w:left w:val="nil"/>
              <w:bottom w:val="nil"/>
              <w:right w:val="nil"/>
            </w:tcBorders>
            <w:noWrap/>
            <w:vAlign w:val="center"/>
            <w:hideMark/>
          </w:tcPr>
          <w:p w14:paraId="59F44DE8"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0.23</w:t>
            </w:r>
          </w:p>
        </w:tc>
        <w:tc>
          <w:tcPr>
            <w:tcW w:w="823" w:type="pct"/>
            <w:tcBorders>
              <w:top w:val="nil"/>
              <w:left w:val="nil"/>
              <w:bottom w:val="nil"/>
              <w:right w:val="nil"/>
            </w:tcBorders>
            <w:noWrap/>
            <w:vAlign w:val="center"/>
            <w:hideMark/>
          </w:tcPr>
          <w:p w14:paraId="0C5DAC54"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w:t>
            </w:r>
          </w:p>
        </w:tc>
        <w:tc>
          <w:tcPr>
            <w:tcW w:w="719" w:type="pct"/>
            <w:tcBorders>
              <w:top w:val="nil"/>
              <w:left w:val="nil"/>
              <w:bottom w:val="nil"/>
              <w:right w:val="nil"/>
            </w:tcBorders>
            <w:noWrap/>
            <w:vAlign w:val="center"/>
            <w:hideMark/>
          </w:tcPr>
          <w:p w14:paraId="00A8CD57"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1</w:t>
            </w:r>
          </w:p>
        </w:tc>
        <w:tc>
          <w:tcPr>
            <w:tcW w:w="561" w:type="pct"/>
            <w:tcBorders>
              <w:top w:val="nil"/>
              <w:left w:val="nil"/>
              <w:bottom w:val="nil"/>
              <w:right w:val="nil"/>
            </w:tcBorders>
            <w:vAlign w:val="center"/>
          </w:tcPr>
          <w:p w14:paraId="66DA2645"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6105</w:t>
            </w:r>
          </w:p>
        </w:tc>
      </w:tr>
      <w:tr w:rsidR="00FD1B5A" w:rsidRPr="00A60CE9" w14:paraId="0E0AEFED" w14:textId="77777777" w:rsidTr="00712F00">
        <w:trPr>
          <w:trHeight w:val="340"/>
        </w:trPr>
        <w:tc>
          <w:tcPr>
            <w:tcW w:w="1251" w:type="pct"/>
            <w:tcBorders>
              <w:top w:val="nil"/>
              <w:right w:val="nil"/>
            </w:tcBorders>
            <w:noWrap/>
            <w:vAlign w:val="bottom"/>
            <w:hideMark/>
          </w:tcPr>
          <w:p w14:paraId="0FB848E6" w14:textId="77777777" w:rsidR="00FD1B5A" w:rsidRPr="00A60CE9" w:rsidRDefault="00FD1B5A" w:rsidP="00712F00">
            <w:pPr>
              <w:spacing w:line="240" w:lineRule="auto"/>
              <w:contextualSpacing/>
              <w:rPr>
                <w:rFonts w:eastAsia="Times New Roman"/>
                <w:iCs/>
                <w:sz w:val="22"/>
                <w:lang w:eastAsia="fr-LU"/>
              </w:rPr>
            </w:pPr>
            <w:r w:rsidRPr="00A60CE9">
              <w:rPr>
                <w:rFonts w:eastAsia="Times New Roman"/>
                <w:iCs/>
                <w:sz w:val="22"/>
                <w:lang w:eastAsia="fr-LU"/>
              </w:rPr>
              <w:t>New key inventors</w:t>
            </w:r>
          </w:p>
        </w:tc>
        <w:tc>
          <w:tcPr>
            <w:tcW w:w="823" w:type="pct"/>
            <w:tcBorders>
              <w:top w:val="nil"/>
              <w:left w:val="nil"/>
              <w:right w:val="nil"/>
            </w:tcBorders>
            <w:noWrap/>
            <w:vAlign w:val="center"/>
            <w:hideMark/>
          </w:tcPr>
          <w:p w14:paraId="2BD16371"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823" w:type="pct"/>
            <w:tcBorders>
              <w:top w:val="nil"/>
              <w:left w:val="nil"/>
              <w:right w:val="nil"/>
            </w:tcBorders>
            <w:noWrap/>
            <w:vAlign w:val="center"/>
            <w:hideMark/>
          </w:tcPr>
          <w:p w14:paraId="1AE0AF42"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0.18</w:t>
            </w:r>
          </w:p>
        </w:tc>
        <w:tc>
          <w:tcPr>
            <w:tcW w:w="823" w:type="pct"/>
            <w:tcBorders>
              <w:top w:val="nil"/>
              <w:left w:val="nil"/>
              <w:right w:val="nil"/>
            </w:tcBorders>
            <w:noWrap/>
            <w:vAlign w:val="center"/>
            <w:hideMark/>
          </w:tcPr>
          <w:p w14:paraId="38B03C36"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0</w:t>
            </w:r>
          </w:p>
        </w:tc>
        <w:tc>
          <w:tcPr>
            <w:tcW w:w="719" w:type="pct"/>
            <w:tcBorders>
              <w:top w:val="nil"/>
              <w:left w:val="nil"/>
              <w:right w:val="nil"/>
            </w:tcBorders>
            <w:noWrap/>
            <w:vAlign w:val="center"/>
            <w:hideMark/>
          </w:tcPr>
          <w:p w14:paraId="5C02B729"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1</w:t>
            </w:r>
          </w:p>
        </w:tc>
        <w:tc>
          <w:tcPr>
            <w:tcW w:w="561" w:type="pct"/>
            <w:tcBorders>
              <w:top w:val="nil"/>
              <w:left w:val="nil"/>
              <w:right w:val="nil"/>
            </w:tcBorders>
            <w:vAlign w:val="center"/>
          </w:tcPr>
          <w:p w14:paraId="6F398E09" w14:textId="77777777" w:rsidR="00FD1B5A" w:rsidRPr="00A60CE9" w:rsidRDefault="00FD1B5A" w:rsidP="00712F00">
            <w:pPr>
              <w:spacing w:line="240" w:lineRule="auto"/>
              <w:contextualSpacing/>
              <w:rPr>
                <w:rFonts w:eastAsia="Times New Roman"/>
                <w:sz w:val="22"/>
                <w:lang w:eastAsia="fr-LU"/>
              </w:rPr>
            </w:pPr>
            <w:r w:rsidRPr="00A60CE9">
              <w:rPr>
                <w:rFonts w:eastAsia="Times New Roman"/>
                <w:sz w:val="22"/>
                <w:lang w:eastAsia="fr-LU"/>
              </w:rPr>
              <w:t>6105</w:t>
            </w:r>
          </w:p>
        </w:tc>
      </w:tr>
    </w:tbl>
    <w:p w14:paraId="54A305ED" w14:textId="77777777" w:rsidR="00FD1B5A" w:rsidRPr="00A60CE9" w:rsidRDefault="00FD1B5A" w:rsidP="00712F00">
      <w:pPr>
        <w:pStyle w:val="Heading2"/>
        <w:spacing w:line="240" w:lineRule="auto"/>
        <w:contextualSpacing/>
      </w:pPr>
    </w:p>
    <w:p w14:paraId="0D274319" w14:textId="77777777" w:rsidR="00FF5657" w:rsidRPr="00A60CE9" w:rsidRDefault="00FF5657" w:rsidP="00712F00">
      <w:pPr>
        <w:pStyle w:val="Heading2"/>
        <w:spacing w:line="240" w:lineRule="auto"/>
        <w:contextualSpacing/>
      </w:pPr>
      <w:r w:rsidRPr="00A60CE9">
        <w:t>Table A</w:t>
      </w:r>
      <w:r w:rsidR="00EB11A0" w:rsidRPr="00A60CE9">
        <w:t>2</w:t>
      </w:r>
      <w:r w:rsidRPr="00A60CE9">
        <w:t>. Bivariate correlations.</w:t>
      </w:r>
    </w:p>
    <w:tbl>
      <w:tblPr>
        <w:tblW w:w="4705" w:type="pct"/>
        <w:tblInd w:w="70" w:type="dxa"/>
        <w:tblCellMar>
          <w:left w:w="70" w:type="dxa"/>
          <w:right w:w="70" w:type="dxa"/>
        </w:tblCellMar>
        <w:tblLook w:val="04A0" w:firstRow="1" w:lastRow="0" w:firstColumn="1" w:lastColumn="0" w:noHBand="0" w:noVBand="1"/>
      </w:tblPr>
      <w:tblGrid>
        <w:gridCol w:w="1955"/>
        <w:gridCol w:w="1405"/>
        <w:gridCol w:w="1405"/>
        <w:gridCol w:w="1406"/>
        <w:gridCol w:w="1406"/>
        <w:gridCol w:w="1406"/>
      </w:tblGrid>
      <w:tr w:rsidR="00FF5657" w:rsidRPr="00A60CE9" w14:paraId="4D1EAB47" w14:textId="77777777" w:rsidTr="00712F00">
        <w:trPr>
          <w:trHeight w:val="283"/>
        </w:trPr>
        <w:tc>
          <w:tcPr>
            <w:tcW w:w="930" w:type="pct"/>
            <w:tcBorders>
              <w:top w:val="single" w:sz="4" w:space="0" w:color="auto"/>
              <w:bottom w:val="single" w:sz="4" w:space="0" w:color="auto"/>
            </w:tcBorders>
            <w:noWrap/>
            <w:vAlign w:val="center"/>
            <w:hideMark/>
          </w:tcPr>
          <w:p w14:paraId="3645BC12" w14:textId="77777777" w:rsidR="00FF5657" w:rsidRPr="00A60CE9" w:rsidRDefault="00FF5657" w:rsidP="00712F00">
            <w:pPr>
              <w:spacing w:line="240" w:lineRule="auto"/>
              <w:contextualSpacing/>
              <w:jc w:val="center"/>
              <w:rPr>
                <w:rFonts w:eastAsia="Times New Roman"/>
                <w:sz w:val="22"/>
                <w:lang w:eastAsia="fr-LU"/>
              </w:rPr>
            </w:pPr>
            <w:r w:rsidRPr="00A60CE9">
              <w:rPr>
                <w:rFonts w:eastAsia="Times New Roman"/>
                <w:sz w:val="22"/>
                <w:lang w:eastAsia="fr-LU"/>
              </w:rPr>
              <w:t>Variable</w:t>
            </w:r>
          </w:p>
        </w:tc>
        <w:tc>
          <w:tcPr>
            <w:tcW w:w="814" w:type="pct"/>
            <w:tcBorders>
              <w:top w:val="single" w:sz="4" w:space="0" w:color="auto"/>
              <w:bottom w:val="single" w:sz="4" w:space="0" w:color="auto"/>
            </w:tcBorders>
            <w:noWrap/>
            <w:vAlign w:val="center"/>
          </w:tcPr>
          <w:p w14:paraId="2C4CDBE7" w14:textId="77777777" w:rsidR="00FF5657" w:rsidRPr="00A60CE9" w:rsidRDefault="00FF5657" w:rsidP="00712F00">
            <w:pPr>
              <w:spacing w:line="240" w:lineRule="auto"/>
              <w:contextualSpacing/>
              <w:jc w:val="center"/>
              <w:rPr>
                <w:rFonts w:eastAsia="Times New Roman"/>
                <w:sz w:val="22"/>
                <w:lang w:eastAsia="fr-LU"/>
              </w:rPr>
            </w:pPr>
            <w:r w:rsidRPr="00A60CE9">
              <w:rPr>
                <w:rFonts w:eastAsia="Times New Roman"/>
                <w:sz w:val="22"/>
                <w:lang w:eastAsia="fr-LU"/>
              </w:rPr>
              <w:t>(1)</w:t>
            </w:r>
          </w:p>
        </w:tc>
        <w:tc>
          <w:tcPr>
            <w:tcW w:w="814" w:type="pct"/>
            <w:tcBorders>
              <w:top w:val="single" w:sz="4" w:space="0" w:color="auto"/>
              <w:bottom w:val="single" w:sz="4" w:space="0" w:color="auto"/>
            </w:tcBorders>
            <w:noWrap/>
            <w:vAlign w:val="center"/>
          </w:tcPr>
          <w:p w14:paraId="1B9CECD6" w14:textId="77777777" w:rsidR="00FF5657" w:rsidRPr="00A60CE9" w:rsidRDefault="00FF5657" w:rsidP="00712F00">
            <w:pPr>
              <w:spacing w:line="240" w:lineRule="auto"/>
              <w:contextualSpacing/>
              <w:jc w:val="center"/>
              <w:rPr>
                <w:rFonts w:eastAsia="Times New Roman"/>
                <w:sz w:val="22"/>
                <w:lang w:eastAsia="fr-LU"/>
              </w:rPr>
            </w:pPr>
            <w:r w:rsidRPr="00A60CE9">
              <w:rPr>
                <w:rFonts w:eastAsia="Times New Roman"/>
                <w:sz w:val="22"/>
                <w:lang w:eastAsia="fr-LU"/>
              </w:rPr>
              <w:t>(2)</w:t>
            </w:r>
          </w:p>
        </w:tc>
        <w:tc>
          <w:tcPr>
            <w:tcW w:w="814" w:type="pct"/>
            <w:tcBorders>
              <w:top w:val="single" w:sz="4" w:space="0" w:color="auto"/>
              <w:bottom w:val="single" w:sz="4" w:space="0" w:color="auto"/>
            </w:tcBorders>
            <w:noWrap/>
            <w:vAlign w:val="center"/>
          </w:tcPr>
          <w:p w14:paraId="6E367EE5" w14:textId="77777777" w:rsidR="00FF5657" w:rsidRPr="00A60CE9" w:rsidRDefault="00FF5657" w:rsidP="00712F00">
            <w:pPr>
              <w:spacing w:line="240" w:lineRule="auto"/>
              <w:contextualSpacing/>
              <w:jc w:val="center"/>
              <w:rPr>
                <w:rFonts w:eastAsia="Times New Roman"/>
                <w:sz w:val="22"/>
                <w:lang w:eastAsia="fr-LU"/>
              </w:rPr>
            </w:pPr>
            <w:r w:rsidRPr="00A60CE9">
              <w:rPr>
                <w:rFonts w:eastAsia="Times New Roman"/>
                <w:sz w:val="22"/>
                <w:lang w:eastAsia="fr-LU"/>
              </w:rPr>
              <w:t>(3)</w:t>
            </w:r>
          </w:p>
        </w:tc>
        <w:tc>
          <w:tcPr>
            <w:tcW w:w="814" w:type="pct"/>
            <w:tcBorders>
              <w:top w:val="single" w:sz="4" w:space="0" w:color="auto"/>
              <w:bottom w:val="single" w:sz="4" w:space="0" w:color="auto"/>
            </w:tcBorders>
            <w:vAlign w:val="center"/>
          </w:tcPr>
          <w:p w14:paraId="3BAEF706" w14:textId="77777777" w:rsidR="00FF5657" w:rsidRPr="00A60CE9" w:rsidRDefault="00FF5657" w:rsidP="00712F00">
            <w:pPr>
              <w:spacing w:line="240" w:lineRule="auto"/>
              <w:contextualSpacing/>
              <w:jc w:val="center"/>
              <w:rPr>
                <w:rFonts w:eastAsia="Times New Roman"/>
                <w:sz w:val="22"/>
                <w:lang w:eastAsia="fr-LU"/>
              </w:rPr>
            </w:pPr>
            <w:r w:rsidRPr="00A60CE9">
              <w:rPr>
                <w:rFonts w:eastAsia="Times New Roman"/>
                <w:sz w:val="22"/>
                <w:lang w:eastAsia="fr-LU"/>
              </w:rPr>
              <w:t>(4)</w:t>
            </w:r>
          </w:p>
        </w:tc>
        <w:tc>
          <w:tcPr>
            <w:tcW w:w="814" w:type="pct"/>
            <w:tcBorders>
              <w:top w:val="single" w:sz="4" w:space="0" w:color="auto"/>
              <w:bottom w:val="single" w:sz="4" w:space="0" w:color="auto"/>
            </w:tcBorders>
            <w:noWrap/>
            <w:vAlign w:val="center"/>
          </w:tcPr>
          <w:p w14:paraId="4247874F" w14:textId="77777777" w:rsidR="00FF5657" w:rsidRPr="00A60CE9" w:rsidRDefault="00FF5657" w:rsidP="00712F00">
            <w:pPr>
              <w:spacing w:line="240" w:lineRule="auto"/>
              <w:contextualSpacing/>
              <w:jc w:val="center"/>
              <w:rPr>
                <w:rFonts w:eastAsia="Times New Roman"/>
                <w:sz w:val="22"/>
                <w:lang w:eastAsia="fr-LU"/>
              </w:rPr>
            </w:pPr>
            <w:r w:rsidRPr="00A60CE9">
              <w:rPr>
                <w:rFonts w:eastAsia="Times New Roman"/>
                <w:sz w:val="22"/>
                <w:lang w:eastAsia="fr-LU"/>
              </w:rPr>
              <w:t>(5)</w:t>
            </w:r>
          </w:p>
        </w:tc>
      </w:tr>
      <w:tr w:rsidR="00FF5657" w:rsidRPr="00A60CE9" w14:paraId="680E715B" w14:textId="77777777" w:rsidTr="00712F00">
        <w:trPr>
          <w:trHeight w:val="283"/>
        </w:trPr>
        <w:tc>
          <w:tcPr>
            <w:tcW w:w="930" w:type="pct"/>
            <w:tcBorders>
              <w:top w:val="single" w:sz="4" w:space="0" w:color="auto"/>
            </w:tcBorders>
            <w:noWrap/>
            <w:vAlign w:val="bottom"/>
            <w:hideMark/>
          </w:tcPr>
          <w:p w14:paraId="2C9DAADF" w14:textId="77777777" w:rsidR="00FF5657" w:rsidRPr="00A60CE9" w:rsidRDefault="00FF5657" w:rsidP="00712F00">
            <w:pPr>
              <w:spacing w:line="240" w:lineRule="auto"/>
              <w:contextualSpacing/>
              <w:rPr>
                <w:rFonts w:eastAsia="Times New Roman"/>
                <w:sz w:val="22"/>
                <w:lang w:eastAsia="fr-LU"/>
              </w:rPr>
            </w:pPr>
            <w:r w:rsidRPr="00A60CE9">
              <w:rPr>
                <w:rFonts w:eastAsia="Times New Roman"/>
                <w:sz w:val="22"/>
                <w:lang w:eastAsia="fr-LU"/>
              </w:rPr>
              <w:t>Patents per year</w:t>
            </w:r>
          </w:p>
        </w:tc>
        <w:tc>
          <w:tcPr>
            <w:tcW w:w="814" w:type="pct"/>
            <w:tcBorders>
              <w:top w:val="single" w:sz="4" w:space="0" w:color="auto"/>
            </w:tcBorders>
            <w:noWrap/>
            <w:vAlign w:val="bottom"/>
          </w:tcPr>
          <w:p w14:paraId="37B0EBF4"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1</w:t>
            </w:r>
          </w:p>
        </w:tc>
        <w:tc>
          <w:tcPr>
            <w:tcW w:w="814" w:type="pct"/>
            <w:tcBorders>
              <w:top w:val="single" w:sz="4" w:space="0" w:color="auto"/>
            </w:tcBorders>
            <w:noWrap/>
            <w:vAlign w:val="bottom"/>
          </w:tcPr>
          <w:p w14:paraId="1958B94C" w14:textId="77777777" w:rsidR="00FF5657" w:rsidRPr="00A60CE9" w:rsidRDefault="00FF5657" w:rsidP="00712F00">
            <w:pPr>
              <w:spacing w:line="240" w:lineRule="auto"/>
              <w:contextualSpacing/>
              <w:jc w:val="right"/>
              <w:rPr>
                <w:rFonts w:eastAsia="Times New Roman"/>
                <w:sz w:val="22"/>
                <w:lang w:eastAsia="fr-LU"/>
              </w:rPr>
            </w:pPr>
          </w:p>
        </w:tc>
        <w:tc>
          <w:tcPr>
            <w:tcW w:w="814" w:type="pct"/>
            <w:tcBorders>
              <w:top w:val="single" w:sz="4" w:space="0" w:color="auto"/>
            </w:tcBorders>
            <w:noWrap/>
            <w:vAlign w:val="bottom"/>
          </w:tcPr>
          <w:p w14:paraId="7BC96149" w14:textId="77777777" w:rsidR="00FF5657" w:rsidRPr="00A60CE9" w:rsidRDefault="00FF5657" w:rsidP="00712F00">
            <w:pPr>
              <w:spacing w:line="240" w:lineRule="auto"/>
              <w:contextualSpacing/>
              <w:jc w:val="right"/>
              <w:rPr>
                <w:rFonts w:eastAsia="Times New Roman"/>
                <w:sz w:val="22"/>
                <w:lang w:eastAsia="fr-LU"/>
              </w:rPr>
            </w:pPr>
          </w:p>
        </w:tc>
        <w:tc>
          <w:tcPr>
            <w:tcW w:w="814" w:type="pct"/>
            <w:tcBorders>
              <w:top w:val="single" w:sz="4" w:space="0" w:color="auto"/>
            </w:tcBorders>
          </w:tcPr>
          <w:p w14:paraId="77A63510" w14:textId="77777777" w:rsidR="00FF5657" w:rsidRPr="00A60CE9" w:rsidRDefault="00FF5657" w:rsidP="00712F00">
            <w:pPr>
              <w:spacing w:line="240" w:lineRule="auto"/>
              <w:contextualSpacing/>
              <w:jc w:val="right"/>
              <w:rPr>
                <w:rFonts w:eastAsia="Times New Roman"/>
                <w:sz w:val="22"/>
                <w:lang w:eastAsia="fr-LU"/>
              </w:rPr>
            </w:pPr>
          </w:p>
        </w:tc>
        <w:tc>
          <w:tcPr>
            <w:tcW w:w="814" w:type="pct"/>
            <w:tcBorders>
              <w:top w:val="single" w:sz="4" w:space="0" w:color="auto"/>
            </w:tcBorders>
            <w:noWrap/>
            <w:vAlign w:val="bottom"/>
          </w:tcPr>
          <w:p w14:paraId="3E4E9748" w14:textId="77777777" w:rsidR="00FF5657" w:rsidRPr="00A60CE9" w:rsidRDefault="00FF5657" w:rsidP="00712F00">
            <w:pPr>
              <w:spacing w:line="240" w:lineRule="auto"/>
              <w:contextualSpacing/>
              <w:jc w:val="right"/>
              <w:rPr>
                <w:rFonts w:eastAsia="Times New Roman"/>
                <w:sz w:val="22"/>
                <w:lang w:eastAsia="fr-LU"/>
              </w:rPr>
            </w:pPr>
          </w:p>
        </w:tc>
      </w:tr>
      <w:tr w:rsidR="00FF5657" w:rsidRPr="00A60CE9" w14:paraId="43F5A328" w14:textId="77777777" w:rsidTr="00712F00">
        <w:trPr>
          <w:trHeight w:val="283"/>
        </w:trPr>
        <w:tc>
          <w:tcPr>
            <w:tcW w:w="930" w:type="pct"/>
            <w:noWrap/>
            <w:vAlign w:val="bottom"/>
            <w:hideMark/>
          </w:tcPr>
          <w:p w14:paraId="0D1FA5D9" w14:textId="77777777" w:rsidR="00FF5657" w:rsidRPr="00A60CE9" w:rsidRDefault="00FF5657" w:rsidP="00712F00">
            <w:pPr>
              <w:spacing w:line="240" w:lineRule="auto"/>
              <w:contextualSpacing/>
              <w:rPr>
                <w:rFonts w:eastAsia="Times New Roman"/>
                <w:iCs/>
                <w:sz w:val="22"/>
                <w:lang w:eastAsia="fr-LU"/>
              </w:rPr>
            </w:pPr>
            <w:r w:rsidRPr="00A60CE9">
              <w:rPr>
                <w:rFonts w:eastAsia="Times New Roman"/>
                <w:iCs/>
                <w:sz w:val="22"/>
                <w:lang w:eastAsia="fr-LU"/>
              </w:rPr>
              <w:t>Size</w:t>
            </w:r>
          </w:p>
        </w:tc>
        <w:tc>
          <w:tcPr>
            <w:tcW w:w="814" w:type="pct"/>
            <w:noWrap/>
            <w:vAlign w:val="bottom"/>
          </w:tcPr>
          <w:p w14:paraId="122A3DFE"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0.25*</w:t>
            </w:r>
          </w:p>
        </w:tc>
        <w:tc>
          <w:tcPr>
            <w:tcW w:w="814" w:type="pct"/>
            <w:noWrap/>
            <w:vAlign w:val="bottom"/>
          </w:tcPr>
          <w:p w14:paraId="7998E9AD"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1</w:t>
            </w:r>
          </w:p>
        </w:tc>
        <w:tc>
          <w:tcPr>
            <w:tcW w:w="814" w:type="pct"/>
            <w:noWrap/>
            <w:vAlign w:val="bottom"/>
          </w:tcPr>
          <w:p w14:paraId="7A4978B9" w14:textId="77777777" w:rsidR="00FF5657" w:rsidRPr="00A60CE9" w:rsidRDefault="00FF5657" w:rsidP="00712F00">
            <w:pPr>
              <w:spacing w:line="240" w:lineRule="auto"/>
              <w:contextualSpacing/>
              <w:jc w:val="right"/>
              <w:rPr>
                <w:rFonts w:eastAsia="Times New Roman"/>
                <w:sz w:val="22"/>
                <w:lang w:eastAsia="fr-LU"/>
              </w:rPr>
            </w:pPr>
          </w:p>
        </w:tc>
        <w:tc>
          <w:tcPr>
            <w:tcW w:w="814" w:type="pct"/>
          </w:tcPr>
          <w:p w14:paraId="6FA93A2E" w14:textId="77777777" w:rsidR="00FF5657" w:rsidRPr="00A60CE9" w:rsidRDefault="00FF5657" w:rsidP="00712F00">
            <w:pPr>
              <w:spacing w:line="240" w:lineRule="auto"/>
              <w:contextualSpacing/>
              <w:jc w:val="right"/>
              <w:rPr>
                <w:rFonts w:eastAsia="Times New Roman"/>
                <w:sz w:val="22"/>
                <w:lang w:eastAsia="fr-LU"/>
              </w:rPr>
            </w:pPr>
          </w:p>
        </w:tc>
        <w:tc>
          <w:tcPr>
            <w:tcW w:w="814" w:type="pct"/>
            <w:noWrap/>
            <w:vAlign w:val="bottom"/>
          </w:tcPr>
          <w:p w14:paraId="4A29E2FB" w14:textId="77777777" w:rsidR="00FF5657" w:rsidRPr="00A60CE9" w:rsidRDefault="00FF5657" w:rsidP="00712F00">
            <w:pPr>
              <w:spacing w:line="240" w:lineRule="auto"/>
              <w:contextualSpacing/>
              <w:jc w:val="right"/>
              <w:rPr>
                <w:rFonts w:eastAsia="Times New Roman"/>
                <w:sz w:val="22"/>
                <w:lang w:eastAsia="fr-LU"/>
              </w:rPr>
            </w:pPr>
          </w:p>
        </w:tc>
      </w:tr>
      <w:tr w:rsidR="00FF5657" w:rsidRPr="00A60CE9" w14:paraId="10EDCE2F" w14:textId="77777777" w:rsidTr="00712F00">
        <w:trPr>
          <w:trHeight w:val="283"/>
        </w:trPr>
        <w:tc>
          <w:tcPr>
            <w:tcW w:w="930" w:type="pct"/>
            <w:noWrap/>
            <w:vAlign w:val="bottom"/>
            <w:hideMark/>
          </w:tcPr>
          <w:p w14:paraId="4181058E" w14:textId="77777777" w:rsidR="00FF5657" w:rsidRPr="00A60CE9" w:rsidRDefault="00FF5657" w:rsidP="00712F00">
            <w:pPr>
              <w:spacing w:line="240" w:lineRule="auto"/>
              <w:contextualSpacing/>
              <w:rPr>
                <w:rFonts w:eastAsia="Times New Roman"/>
                <w:iCs/>
                <w:sz w:val="22"/>
                <w:lang w:eastAsia="fr-LU"/>
              </w:rPr>
            </w:pPr>
            <w:r w:rsidRPr="00A60CE9">
              <w:rPr>
                <w:rFonts w:eastAsia="Times New Roman"/>
                <w:iCs/>
                <w:sz w:val="22"/>
                <w:lang w:eastAsia="fr-LU"/>
              </w:rPr>
              <w:t>Incumbent inventors</w:t>
            </w:r>
          </w:p>
        </w:tc>
        <w:tc>
          <w:tcPr>
            <w:tcW w:w="814" w:type="pct"/>
            <w:noWrap/>
            <w:vAlign w:val="bottom"/>
          </w:tcPr>
          <w:p w14:paraId="0DBEF221"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0.06*</w:t>
            </w:r>
          </w:p>
        </w:tc>
        <w:tc>
          <w:tcPr>
            <w:tcW w:w="814" w:type="pct"/>
            <w:noWrap/>
            <w:vAlign w:val="bottom"/>
          </w:tcPr>
          <w:p w14:paraId="715B91C9"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-0.29*</w:t>
            </w:r>
          </w:p>
        </w:tc>
        <w:tc>
          <w:tcPr>
            <w:tcW w:w="814" w:type="pct"/>
            <w:noWrap/>
            <w:vAlign w:val="bottom"/>
          </w:tcPr>
          <w:p w14:paraId="60F4B5E4"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1</w:t>
            </w:r>
          </w:p>
        </w:tc>
        <w:tc>
          <w:tcPr>
            <w:tcW w:w="814" w:type="pct"/>
          </w:tcPr>
          <w:p w14:paraId="26F2DEFF" w14:textId="77777777" w:rsidR="00FF5657" w:rsidRPr="00A60CE9" w:rsidRDefault="00FF5657" w:rsidP="00712F00">
            <w:pPr>
              <w:spacing w:line="240" w:lineRule="auto"/>
              <w:contextualSpacing/>
              <w:jc w:val="right"/>
              <w:rPr>
                <w:rFonts w:eastAsia="Times New Roman"/>
                <w:sz w:val="22"/>
                <w:lang w:eastAsia="fr-LU"/>
              </w:rPr>
            </w:pPr>
          </w:p>
        </w:tc>
        <w:tc>
          <w:tcPr>
            <w:tcW w:w="814" w:type="pct"/>
            <w:noWrap/>
            <w:vAlign w:val="bottom"/>
          </w:tcPr>
          <w:p w14:paraId="4E619715" w14:textId="77777777" w:rsidR="00FF5657" w:rsidRPr="00A60CE9" w:rsidRDefault="00FF5657" w:rsidP="00712F00">
            <w:pPr>
              <w:spacing w:line="240" w:lineRule="auto"/>
              <w:contextualSpacing/>
              <w:jc w:val="right"/>
              <w:rPr>
                <w:rFonts w:eastAsia="Times New Roman"/>
                <w:sz w:val="22"/>
                <w:lang w:eastAsia="fr-LU"/>
              </w:rPr>
            </w:pPr>
          </w:p>
        </w:tc>
      </w:tr>
      <w:tr w:rsidR="00FF5657" w:rsidRPr="00A60CE9" w14:paraId="01D359DD" w14:textId="77777777" w:rsidTr="00712F00">
        <w:trPr>
          <w:trHeight w:val="283"/>
        </w:trPr>
        <w:tc>
          <w:tcPr>
            <w:tcW w:w="930" w:type="pct"/>
            <w:noWrap/>
            <w:vAlign w:val="bottom"/>
            <w:hideMark/>
          </w:tcPr>
          <w:p w14:paraId="0E0B947A" w14:textId="77777777" w:rsidR="00FF5657" w:rsidRPr="00A60CE9" w:rsidRDefault="00FF5657" w:rsidP="00712F00">
            <w:pPr>
              <w:spacing w:line="240" w:lineRule="auto"/>
              <w:contextualSpacing/>
              <w:rPr>
                <w:rFonts w:eastAsia="Times New Roman"/>
                <w:iCs/>
                <w:sz w:val="22"/>
                <w:lang w:eastAsia="fr-LU"/>
              </w:rPr>
            </w:pPr>
            <w:r w:rsidRPr="00A60CE9">
              <w:rPr>
                <w:rFonts w:eastAsia="Times New Roman"/>
                <w:iCs/>
                <w:sz w:val="22"/>
                <w:lang w:eastAsia="fr-LU"/>
              </w:rPr>
              <w:t>Departing inventors</w:t>
            </w:r>
          </w:p>
        </w:tc>
        <w:tc>
          <w:tcPr>
            <w:tcW w:w="814" w:type="pct"/>
            <w:noWrap/>
            <w:vAlign w:val="bottom"/>
          </w:tcPr>
          <w:p w14:paraId="6D4BD705"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0.09*</w:t>
            </w:r>
          </w:p>
        </w:tc>
        <w:tc>
          <w:tcPr>
            <w:tcW w:w="814" w:type="pct"/>
            <w:noWrap/>
            <w:vAlign w:val="bottom"/>
          </w:tcPr>
          <w:p w14:paraId="1184DEB1"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0.09*</w:t>
            </w:r>
          </w:p>
        </w:tc>
        <w:tc>
          <w:tcPr>
            <w:tcW w:w="814" w:type="pct"/>
            <w:noWrap/>
            <w:vAlign w:val="bottom"/>
          </w:tcPr>
          <w:p w14:paraId="315FFA27"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0.20*</w:t>
            </w:r>
          </w:p>
        </w:tc>
        <w:tc>
          <w:tcPr>
            <w:tcW w:w="814" w:type="pct"/>
          </w:tcPr>
          <w:p w14:paraId="4A0C7971"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1</w:t>
            </w:r>
          </w:p>
        </w:tc>
        <w:tc>
          <w:tcPr>
            <w:tcW w:w="814" w:type="pct"/>
            <w:noWrap/>
            <w:vAlign w:val="bottom"/>
          </w:tcPr>
          <w:p w14:paraId="5B9BC4A2" w14:textId="77777777" w:rsidR="00FF5657" w:rsidRPr="00A60CE9" w:rsidRDefault="00FF5657" w:rsidP="00712F00">
            <w:pPr>
              <w:spacing w:line="240" w:lineRule="auto"/>
              <w:contextualSpacing/>
              <w:jc w:val="right"/>
              <w:rPr>
                <w:rFonts w:eastAsia="Times New Roman"/>
                <w:sz w:val="22"/>
                <w:lang w:eastAsia="fr-LU"/>
              </w:rPr>
            </w:pPr>
          </w:p>
        </w:tc>
      </w:tr>
      <w:tr w:rsidR="00FF5657" w:rsidRPr="00A60CE9" w14:paraId="054DEAAB" w14:textId="77777777" w:rsidTr="00712F00">
        <w:trPr>
          <w:trHeight w:val="283"/>
        </w:trPr>
        <w:tc>
          <w:tcPr>
            <w:tcW w:w="930" w:type="pct"/>
            <w:noWrap/>
            <w:vAlign w:val="bottom"/>
          </w:tcPr>
          <w:p w14:paraId="242B330D" w14:textId="77777777" w:rsidR="00FF5657" w:rsidRPr="00A60CE9" w:rsidRDefault="00FF5657" w:rsidP="00712F00">
            <w:pPr>
              <w:spacing w:line="240" w:lineRule="auto"/>
              <w:contextualSpacing/>
              <w:rPr>
                <w:rFonts w:eastAsia="Times New Roman"/>
                <w:sz w:val="22"/>
                <w:lang w:eastAsia="fr-LU"/>
              </w:rPr>
            </w:pPr>
            <w:r w:rsidRPr="00A60CE9">
              <w:rPr>
                <w:rFonts w:eastAsia="Times New Roman"/>
                <w:sz w:val="22"/>
                <w:lang w:eastAsia="fr-LU"/>
              </w:rPr>
              <w:t>After M&amp;A</w:t>
            </w:r>
          </w:p>
        </w:tc>
        <w:tc>
          <w:tcPr>
            <w:tcW w:w="814" w:type="pct"/>
            <w:noWrap/>
            <w:vAlign w:val="bottom"/>
          </w:tcPr>
          <w:p w14:paraId="2852434E"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0.00</w:t>
            </w:r>
          </w:p>
        </w:tc>
        <w:tc>
          <w:tcPr>
            <w:tcW w:w="814" w:type="pct"/>
            <w:noWrap/>
            <w:vAlign w:val="bottom"/>
          </w:tcPr>
          <w:p w14:paraId="76ECE00C"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0.22*</w:t>
            </w:r>
          </w:p>
        </w:tc>
        <w:tc>
          <w:tcPr>
            <w:tcW w:w="814" w:type="pct"/>
            <w:noWrap/>
            <w:vAlign w:val="bottom"/>
          </w:tcPr>
          <w:p w14:paraId="785C2EF5"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-0.15*</w:t>
            </w:r>
          </w:p>
        </w:tc>
        <w:tc>
          <w:tcPr>
            <w:tcW w:w="814" w:type="pct"/>
          </w:tcPr>
          <w:p w14:paraId="03825DED"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0.08*</w:t>
            </w:r>
          </w:p>
        </w:tc>
        <w:tc>
          <w:tcPr>
            <w:tcW w:w="814" w:type="pct"/>
            <w:noWrap/>
            <w:vAlign w:val="bottom"/>
          </w:tcPr>
          <w:p w14:paraId="3B59F662"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1</w:t>
            </w:r>
          </w:p>
        </w:tc>
      </w:tr>
      <w:tr w:rsidR="00FF5657" w:rsidRPr="00A60CE9" w14:paraId="442E6492" w14:textId="77777777" w:rsidTr="00712F00">
        <w:trPr>
          <w:trHeight w:val="283"/>
        </w:trPr>
        <w:tc>
          <w:tcPr>
            <w:tcW w:w="930" w:type="pct"/>
            <w:tcBorders>
              <w:bottom w:val="single" w:sz="4" w:space="0" w:color="auto"/>
            </w:tcBorders>
            <w:noWrap/>
            <w:vAlign w:val="bottom"/>
            <w:hideMark/>
          </w:tcPr>
          <w:p w14:paraId="1930462A" w14:textId="77777777" w:rsidR="00FF5657" w:rsidRPr="00A60CE9" w:rsidRDefault="00FF5657" w:rsidP="00712F00">
            <w:pPr>
              <w:spacing w:line="240" w:lineRule="auto"/>
              <w:contextualSpacing/>
              <w:rPr>
                <w:rFonts w:eastAsia="Times New Roman"/>
                <w:sz w:val="22"/>
                <w:lang w:eastAsia="fr-LU"/>
              </w:rPr>
            </w:pPr>
            <w:r w:rsidRPr="00A60CE9">
              <w:rPr>
                <w:rFonts w:eastAsia="Times New Roman"/>
                <w:iCs/>
                <w:sz w:val="22"/>
                <w:lang w:eastAsia="fr-LU"/>
              </w:rPr>
              <w:t>New key inventors</w:t>
            </w:r>
          </w:p>
        </w:tc>
        <w:tc>
          <w:tcPr>
            <w:tcW w:w="814" w:type="pct"/>
            <w:tcBorders>
              <w:bottom w:val="single" w:sz="4" w:space="0" w:color="auto"/>
            </w:tcBorders>
            <w:noWrap/>
            <w:vAlign w:val="bottom"/>
          </w:tcPr>
          <w:p w14:paraId="6C007AE5"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-0.01</w:t>
            </w:r>
          </w:p>
        </w:tc>
        <w:tc>
          <w:tcPr>
            <w:tcW w:w="814" w:type="pct"/>
            <w:tcBorders>
              <w:bottom w:val="single" w:sz="4" w:space="0" w:color="auto"/>
            </w:tcBorders>
            <w:noWrap/>
            <w:vAlign w:val="bottom"/>
          </w:tcPr>
          <w:p w14:paraId="69778186"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-0.04*</w:t>
            </w:r>
          </w:p>
        </w:tc>
        <w:tc>
          <w:tcPr>
            <w:tcW w:w="814" w:type="pct"/>
            <w:tcBorders>
              <w:bottom w:val="single" w:sz="4" w:space="0" w:color="auto"/>
            </w:tcBorders>
            <w:noWrap/>
            <w:vAlign w:val="bottom"/>
          </w:tcPr>
          <w:p w14:paraId="28B0E5E5"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0.16*</w:t>
            </w:r>
          </w:p>
        </w:tc>
        <w:tc>
          <w:tcPr>
            <w:tcW w:w="814" w:type="pct"/>
            <w:tcBorders>
              <w:bottom w:val="single" w:sz="4" w:space="0" w:color="auto"/>
            </w:tcBorders>
          </w:tcPr>
          <w:p w14:paraId="25705178"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0.18*</w:t>
            </w:r>
          </w:p>
        </w:tc>
        <w:tc>
          <w:tcPr>
            <w:tcW w:w="814" w:type="pct"/>
            <w:tcBorders>
              <w:bottom w:val="single" w:sz="4" w:space="0" w:color="auto"/>
            </w:tcBorders>
            <w:noWrap/>
            <w:vAlign w:val="bottom"/>
          </w:tcPr>
          <w:p w14:paraId="60F222D0" w14:textId="77777777" w:rsidR="00FF5657" w:rsidRPr="00A60CE9" w:rsidRDefault="00FF5657" w:rsidP="00712F00">
            <w:pPr>
              <w:spacing w:line="240" w:lineRule="auto"/>
              <w:contextualSpacing/>
              <w:jc w:val="right"/>
              <w:rPr>
                <w:rFonts w:eastAsia="Times New Roman"/>
                <w:sz w:val="22"/>
                <w:lang w:eastAsia="fr-LU"/>
              </w:rPr>
            </w:pPr>
            <w:r w:rsidRPr="00A60CE9">
              <w:rPr>
                <w:rFonts w:eastAsia="Times New Roman"/>
                <w:sz w:val="22"/>
                <w:lang w:eastAsia="fr-LU"/>
              </w:rPr>
              <w:t>-0.07*</w:t>
            </w:r>
          </w:p>
        </w:tc>
      </w:tr>
    </w:tbl>
    <w:p w14:paraId="42D51B2B" w14:textId="77777777" w:rsidR="00FF5657" w:rsidRPr="00A60CE9" w:rsidRDefault="00FF5657" w:rsidP="00712F00">
      <w:pPr>
        <w:spacing w:line="240" w:lineRule="auto"/>
        <w:contextualSpacing/>
        <w:rPr>
          <w:b/>
          <w:i/>
          <w:sz w:val="22"/>
        </w:rPr>
      </w:pPr>
      <w:r w:rsidRPr="00A60CE9">
        <w:rPr>
          <w:i/>
          <w:sz w:val="18"/>
          <w:szCs w:val="16"/>
        </w:rPr>
        <w:t>Note: *p&lt;0.05, **p&lt;0.01, *** p&lt;0.001</w:t>
      </w:r>
    </w:p>
    <w:p w14:paraId="04800A34" w14:textId="77777777" w:rsidR="00FD1B5A" w:rsidRPr="00A60CE9" w:rsidRDefault="00FD1B5A" w:rsidP="00712F00">
      <w:pPr>
        <w:spacing w:line="240" w:lineRule="auto"/>
        <w:contextualSpacing/>
      </w:pPr>
    </w:p>
    <w:p w14:paraId="3F142E9A" w14:textId="77777777" w:rsidR="00FF5657" w:rsidRPr="00A60CE9" w:rsidRDefault="00FF5657" w:rsidP="00712F00">
      <w:pPr>
        <w:pStyle w:val="Heading2"/>
        <w:spacing w:line="240" w:lineRule="auto"/>
        <w:ind w:firstLine="720"/>
        <w:contextualSpacing/>
      </w:pPr>
      <w:r w:rsidRPr="00A60CE9">
        <w:lastRenderedPageBreak/>
        <w:t>Table A</w:t>
      </w:r>
      <w:r w:rsidR="003663C9" w:rsidRPr="00A60CE9">
        <w:t>3</w:t>
      </w:r>
      <w:r w:rsidRPr="00A60CE9">
        <w:t>. High-Tech Sectors: FE Poisson regression for firms’ patenting output.</w:t>
      </w:r>
    </w:p>
    <w:tbl>
      <w:tblPr>
        <w:tblW w:w="4487"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359"/>
        <w:gridCol w:w="1037"/>
        <w:gridCol w:w="1037"/>
        <w:gridCol w:w="1037"/>
        <w:gridCol w:w="1037"/>
        <w:gridCol w:w="1037"/>
        <w:gridCol w:w="1023"/>
      </w:tblGrid>
      <w:tr w:rsidR="00F955FC" w:rsidRPr="00A60CE9" w14:paraId="4CA2FD21" w14:textId="77777777" w:rsidTr="00712F00">
        <w:trPr>
          <w:trHeight w:val="20"/>
          <w:jc w:val="center"/>
        </w:trPr>
        <w:tc>
          <w:tcPr>
            <w:tcW w:w="1377" w:type="pct"/>
            <w:tcBorders>
              <w:top w:val="single" w:sz="4" w:space="0" w:color="auto"/>
              <w:bottom w:val="single" w:sz="4" w:space="0" w:color="auto"/>
            </w:tcBorders>
            <w:shd w:val="clear" w:color="auto" w:fill="auto"/>
            <w:noWrap/>
            <w:vAlign w:val="center"/>
          </w:tcPr>
          <w:p w14:paraId="044CAF41"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single" w:sz="4" w:space="0" w:color="auto"/>
              <w:bottom w:val="single" w:sz="4" w:space="0" w:color="auto"/>
            </w:tcBorders>
            <w:shd w:val="clear" w:color="auto" w:fill="auto"/>
            <w:noWrap/>
            <w:vAlign w:val="center"/>
          </w:tcPr>
          <w:p w14:paraId="0CEBF3E8" w14:textId="77777777" w:rsidR="00F955FC" w:rsidRPr="00A60CE9" w:rsidRDefault="00F955FC" w:rsidP="00712F00">
            <w:pPr>
              <w:spacing w:line="240" w:lineRule="auto"/>
              <w:ind w:right="435"/>
              <w:contextualSpacing/>
              <w:rPr>
                <w:rFonts w:eastAsia="Times New Roman"/>
                <w:sz w:val="22"/>
                <w:lang w:eastAsia="fr-LU"/>
              </w:rPr>
            </w:pPr>
            <w:r w:rsidRPr="00A60CE9">
              <w:rPr>
                <w:rFonts w:eastAsia="Times New Roman"/>
                <w:sz w:val="22"/>
                <w:lang w:eastAsia="fr-LU"/>
              </w:rPr>
              <w:t>(1)</w:t>
            </w:r>
          </w:p>
        </w:tc>
        <w:tc>
          <w:tcPr>
            <w:tcW w:w="605" w:type="pct"/>
            <w:tcBorders>
              <w:top w:val="single" w:sz="4" w:space="0" w:color="auto"/>
              <w:bottom w:val="single" w:sz="4" w:space="0" w:color="auto"/>
            </w:tcBorders>
            <w:shd w:val="clear" w:color="auto" w:fill="auto"/>
            <w:noWrap/>
            <w:vAlign w:val="center"/>
            <w:hideMark/>
          </w:tcPr>
          <w:p w14:paraId="52F8D3F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w:t>
            </w:r>
          </w:p>
        </w:tc>
        <w:tc>
          <w:tcPr>
            <w:tcW w:w="605" w:type="pct"/>
            <w:tcBorders>
              <w:top w:val="single" w:sz="4" w:space="0" w:color="auto"/>
              <w:bottom w:val="single" w:sz="4" w:space="0" w:color="auto"/>
            </w:tcBorders>
            <w:shd w:val="clear" w:color="auto" w:fill="auto"/>
            <w:noWrap/>
            <w:vAlign w:val="center"/>
            <w:hideMark/>
          </w:tcPr>
          <w:p w14:paraId="2EE8658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w:t>
            </w:r>
          </w:p>
        </w:tc>
        <w:tc>
          <w:tcPr>
            <w:tcW w:w="605" w:type="pct"/>
            <w:tcBorders>
              <w:top w:val="single" w:sz="4" w:space="0" w:color="auto"/>
              <w:bottom w:val="single" w:sz="4" w:space="0" w:color="auto"/>
            </w:tcBorders>
            <w:shd w:val="clear" w:color="auto" w:fill="auto"/>
            <w:noWrap/>
            <w:vAlign w:val="center"/>
            <w:hideMark/>
          </w:tcPr>
          <w:p w14:paraId="248C9C4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(4)</w:t>
            </w:r>
          </w:p>
        </w:tc>
        <w:tc>
          <w:tcPr>
            <w:tcW w:w="605" w:type="pct"/>
            <w:tcBorders>
              <w:top w:val="single" w:sz="4" w:space="0" w:color="auto"/>
              <w:bottom w:val="single" w:sz="4" w:space="0" w:color="auto"/>
            </w:tcBorders>
            <w:shd w:val="clear" w:color="auto" w:fill="auto"/>
            <w:noWrap/>
            <w:vAlign w:val="center"/>
            <w:hideMark/>
          </w:tcPr>
          <w:p w14:paraId="41532EC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(5)</w:t>
            </w:r>
          </w:p>
        </w:tc>
        <w:tc>
          <w:tcPr>
            <w:tcW w:w="597" w:type="pct"/>
            <w:tcBorders>
              <w:top w:val="single" w:sz="4" w:space="0" w:color="auto"/>
              <w:bottom w:val="single" w:sz="4" w:space="0" w:color="auto"/>
            </w:tcBorders>
            <w:shd w:val="clear" w:color="auto" w:fill="auto"/>
            <w:noWrap/>
            <w:vAlign w:val="center"/>
            <w:hideMark/>
          </w:tcPr>
          <w:p w14:paraId="2F362E8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(6)</w:t>
            </w:r>
          </w:p>
        </w:tc>
      </w:tr>
      <w:tr w:rsidR="00F955FC" w:rsidRPr="00A60CE9" w14:paraId="52E5B6F7" w14:textId="77777777" w:rsidTr="00712F00">
        <w:trPr>
          <w:trHeight w:val="20"/>
          <w:jc w:val="center"/>
        </w:trPr>
        <w:tc>
          <w:tcPr>
            <w:tcW w:w="1377" w:type="pct"/>
            <w:tcBorders>
              <w:top w:val="single" w:sz="4" w:space="0" w:color="auto"/>
              <w:bottom w:val="nil"/>
            </w:tcBorders>
            <w:shd w:val="clear" w:color="auto" w:fill="auto"/>
            <w:noWrap/>
            <w:vAlign w:val="center"/>
            <w:hideMark/>
          </w:tcPr>
          <w:p w14:paraId="23D5B4E7"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Size</w:t>
            </w:r>
          </w:p>
        </w:tc>
        <w:tc>
          <w:tcPr>
            <w:tcW w:w="605" w:type="pct"/>
            <w:tcBorders>
              <w:top w:val="single" w:sz="4" w:space="0" w:color="auto"/>
              <w:bottom w:val="nil"/>
            </w:tcBorders>
            <w:shd w:val="clear" w:color="auto" w:fill="auto"/>
            <w:noWrap/>
            <w:vAlign w:val="center"/>
            <w:hideMark/>
          </w:tcPr>
          <w:p w14:paraId="5889DA8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0.19***</w:t>
            </w:r>
          </w:p>
          <w:p w14:paraId="3B92753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5" w:type="pct"/>
            <w:tcBorders>
              <w:top w:val="single" w:sz="4" w:space="0" w:color="auto"/>
              <w:bottom w:val="nil"/>
            </w:tcBorders>
            <w:shd w:val="clear" w:color="auto" w:fill="auto"/>
            <w:noWrap/>
            <w:vAlign w:val="center"/>
            <w:hideMark/>
          </w:tcPr>
          <w:p w14:paraId="7CA7B3F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0.21***</w:t>
            </w:r>
          </w:p>
          <w:p w14:paraId="48AF132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5" w:type="pct"/>
            <w:tcBorders>
              <w:top w:val="single" w:sz="4" w:space="0" w:color="auto"/>
              <w:bottom w:val="nil"/>
            </w:tcBorders>
            <w:shd w:val="clear" w:color="auto" w:fill="auto"/>
            <w:noWrap/>
            <w:vAlign w:val="center"/>
            <w:hideMark/>
          </w:tcPr>
          <w:p w14:paraId="7F7E502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0.18***</w:t>
            </w:r>
          </w:p>
          <w:p w14:paraId="2BD6B11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5" w:type="pct"/>
            <w:tcBorders>
              <w:top w:val="single" w:sz="4" w:space="0" w:color="auto"/>
              <w:bottom w:val="nil"/>
            </w:tcBorders>
            <w:shd w:val="clear" w:color="auto" w:fill="auto"/>
            <w:noWrap/>
            <w:vAlign w:val="center"/>
            <w:hideMark/>
          </w:tcPr>
          <w:p w14:paraId="66551BD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p w14:paraId="6A1B034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5" w:type="pct"/>
            <w:tcBorders>
              <w:top w:val="single" w:sz="4" w:space="0" w:color="auto"/>
              <w:bottom w:val="nil"/>
            </w:tcBorders>
            <w:shd w:val="clear" w:color="auto" w:fill="auto"/>
            <w:noWrap/>
            <w:vAlign w:val="center"/>
            <w:hideMark/>
          </w:tcPr>
          <w:p w14:paraId="295A207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p w14:paraId="019BAB3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597" w:type="pct"/>
            <w:tcBorders>
              <w:top w:val="single" w:sz="4" w:space="0" w:color="auto"/>
              <w:bottom w:val="nil"/>
            </w:tcBorders>
            <w:shd w:val="clear" w:color="auto" w:fill="auto"/>
            <w:noWrap/>
            <w:vAlign w:val="center"/>
            <w:hideMark/>
          </w:tcPr>
          <w:p w14:paraId="4C03B20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0.16***</w:t>
            </w:r>
          </w:p>
          <w:p w14:paraId="44D24D2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r>
      <w:tr w:rsidR="00F955FC" w:rsidRPr="00A60CE9" w14:paraId="03D691EA" w14:textId="77777777" w:rsidTr="00712F00">
        <w:trPr>
          <w:trHeight w:val="20"/>
          <w:jc w:val="center"/>
        </w:trPr>
        <w:tc>
          <w:tcPr>
            <w:tcW w:w="1377" w:type="pct"/>
            <w:tcBorders>
              <w:top w:val="nil"/>
              <w:bottom w:val="nil"/>
            </w:tcBorders>
            <w:shd w:val="clear" w:color="auto" w:fill="auto"/>
            <w:noWrap/>
            <w:vAlign w:val="center"/>
            <w:hideMark/>
          </w:tcPr>
          <w:p w14:paraId="51A9029D"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Incumbent inventors</w:t>
            </w:r>
          </w:p>
        </w:tc>
        <w:tc>
          <w:tcPr>
            <w:tcW w:w="605" w:type="pct"/>
            <w:tcBorders>
              <w:top w:val="nil"/>
              <w:bottom w:val="nil"/>
            </w:tcBorders>
            <w:shd w:val="clear" w:color="auto" w:fill="auto"/>
            <w:noWrap/>
            <w:vAlign w:val="center"/>
            <w:hideMark/>
          </w:tcPr>
          <w:p w14:paraId="5BD6158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0.32**</w:t>
            </w:r>
          </w:p>
          <w:p w14:paraId="3F05BE3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605" w:type="pct"/>
            <w:tcBorders>
              <w:top w:val="nil"/>
              <w:bottom w:val="nil"/>
            </w:tcBorders>
            <w:shd w:val="clear" w:color="auto" w:fill="auto"/>
            <w:noWrap/>
            <w:vAlign w:val="center"/>
            <w:hideMark/>
          </w:tcPr>
          <w:p w14:paraId="5A5FA88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0.63***</w:t>
            </w:r>
          </w:p>
          <w:p w14:paraId="22D0839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(0.14)</w:t>
            </w:r>
          </w:p>
        </w:tc>
        <w:tc>
          <w:tcPr>
            <w:tcW w:w="605" w:type="pct"/>
            <w:tcBorders>
              <w:top w:val="nil"/>
              <w:bottom w:val="nil"/>
            </w:tcBorders>
            <w:shd w:val="clear" w:color="auto" w:fill="auto"/>
            <w:noWrap/>
            <w:vAlign w:val="center"/>
            <w:hideMark/>
          </w:tcPr>
          <w:p w14:paraId="3454A46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0.38***</w:t>
            </w:r>
          </w:p>
          <w:p w14:paraId="2E32C80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605" w:type="pct"/>
            <w:tcBorders>
              <w:top w:val="nil"/>
              <w:bottom w:val="nil"/>
            </w:tcBorders>
            <w:shd w:val="clear" w:color="auto" w:fill="auto"/>
            <w:noWrap/>
            <w:vAlign w:val="center"/>
            <w:hideMark/>
          </w:tcPr>
          <w:p w14:paraId="6D305D2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0.33**</w:t>
            </w:r>
          </w:p>
          <w:p w14:paraId="73728C3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605" w:type="pct"/>
            <w:tcBorders>
              <w:top w:val="nil"/>
              <w:bottom w:val="nil"/>
            </w:tcBorders>
            <w:shd w:val="clear" w:color="auto" w:fill="auto"/>
            <w:noWrap/>
            <w:vAlign w:val="center"/>
            <w:hideMark/>
          </w:tcPr>
          <w:p w14:paraId="0C7AEFB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1.11***</w:t>
            </w:r>
          </w:p>
          <w:p w14:paraId="634B9E3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(0.14)</w:t>
            </w:r>
          </w:p>
        </w:tc>
        <w:tc>
          <w:tcPr>
            <w:tcW w:w="597" w:type="pct"/>
            <w:tcBorders>
              <w:top w:val="nil"/>
              <w:bottom w:val="nil"/>
            </w:tcBorders>
            <w:shd w:val="clear" w:color="auto" w:fill="auto"/>
            <w:noWrap/>
            <w:vAlign w:val="center"/>
            <w:hideMark/>
          </w:tcPr>
          <w:p w14:paraId="67028B0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0.95***</w:t>
            </w:r>
          </w:p>
          <w:p w14:paraId="679CC24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r>
      <w:tr w:rsidR="00F955FC" w:rsidRPr="00A60CE9" w14:paraId="5C0B5084" w14:textId="77777777" w:rsidTr="00712F00">
        <w:trPr>
          <w:trHeight w:val="20"/>
          <w:jc w:val="center"/>
        </w:trPr>
        <w:tc>
          <w:tcPr>
            <w:tcW w:w="1377" w:type="pct"/>
            <w:tcBorders>
              <w:top w:val="nil"/>
              <w:bottom w:val="nil"/>
            </w:tcBorders>
            <w:shd w:val="clear" w:color="auto" w:fill="auto"/>
            <w:noWrap/>
            <w:vAlign w:val="center"/>
            <w:hideMark/>
          </w:tcPr>
          <w:p w14:paraId="59A8693D"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Departing inventors</w:t>
            </w:r>
          </w:p>
        </w:tc>
        <w:tc>
          <w:tcPr>
            <w:tcW w:w="605" w:type="pct"/>
            <w:tcBorders>
              <w:top w:val="nil"/>
              <w:bottom w:val="nil"/>
            </w:tcBorders>
            <w:shd w:val="clear" w:color="auto" w:fill="auto"/>
            <w:noWrap/>
            <w:vAlign w:val="center"/>
            <w:hideMark/>
          </w:tcPr>
          <w:p w14:paraId="2CDA41F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-0.11**</w:t>
            </w:r>
          </w:p>
          <w:p w14:paraId="4C20B34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605" w:type="pct"/>
            <w:tcBorders>
              <w:top w:val="nil"/>
              <w:left w:val="nil"/>
              <w:bottom w:val="nil"/>
            </w:tcBorders>
            <w:shd w:val="clear" w:color="auto" w:fill="auto"/>
            <w:noWrap/>
            <w:vAlign w:val="center"/>
            <w:hideMark/>
          </w:tcPr>
          <w:p w14:paraId="1D89DCB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-0.68***</w:t>
            </w:r>
          </w:p>
          <w:p w14:paraId="4CE54E5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605" w:type="pct"/>
            <w:tcBorders>
              <w:top w:val="nil"/>
              <w:bottom w:val="nil"/>
            </w:tcBorders>
            <w:shd w:val="clear" w:color="auto" w:fill="auto"/>
            <w:noWrap/>
            <w:vAlign w:val="center"/>
            <w:hideMark/>
          </w:tcPr>
          <w:p w14:paraId="13FB551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-0.12***</w:t>
            </w:r>
          </w:p>
          <w:p w14:paraId="2BFC4C5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tc>
        <w:tc>
          <w:tcPr>
            <w:tcW w:w="605" w:type="pct"/>
            <w:tcBorders>
              <w:top w:val="nil"/>
              <w:bottom w:val="nil"/>
            </w:tcBorders>
            <w:shd w:val="clear" w:color="auto" w:fill="auto"/>
            <w:noWrap/>
            <w:vAlign w:val="center"/>
            <w:hideMark/>
          </w:tcPr>
          <w:p w14:paraId="090A730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-0.16***</w:t>
            </w:r>
          </w:p>
          <w:p w14:paraId="70EC05A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tc>
        <w:tc>
          <w:tcPr>
            <w:tcW w:w="605" w:type="pct"/>
            <w:tcBorders>
              <w:top w:val="nil"/>
              <w:bottom w:val="nil"/>
            </w:tcBorders>
            <w:shd w:val="clear" w:color="auto" w:fill="auto"/>
            <w:noWrap/>
            <w:vAlign w:val="center"/>
            <w:hideMark/>
          </w:tcPr>
          <w:p w14:paraId="29A181E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-0.12***</w:t>
            </w:r>
          </w:p>
          <w:p w14:paraId="34024C0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tc>
        <w:tc>
          <w:tcPr>
            <w:tcW w:w="597" w:type="pct"/>
            <w:tcBorders>
              <w:top w:val="nil"/>
              <w:bottom w:val="nil"/>
            </w:tcBorders>
            <w:shd w:val="clear" w:color="auto" w:fill="auto"/>
            <w:noWrap/>
            <w:vAlign w:val="center"/>
            <w:hideMark/>
          </w:tcPr>
          <w:p w14:paraId="572B3D5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p w14:paraId="30DE526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tc>
      </w:tr>
      <w:tr w:rsidR="00F955FC" w:rsidRPr="00A60CE9" w14:paraId="3F23CA36" w14:textId="77777777" w:rsidTr="00712F00">
        <w:trPr>
          <w:trHeight w:val="20"/>
          <w:jc w:val="center"/>
        </w:trPr>
        <w:tc>
          <w:tcPr>
            <w:tcW w:w="1377" w:type="pct"/>
            <w:tcBorders>
              <w:top w:val="nil"/>
              <w:bottom w:val="nil"/>
              <w:right w:val="nil"/>
            </w:tcBorders>
            <w:shd w:val="clear" w:color="auto" w:fill="auto"/>
            <w:noWrap/>
            <w:vAlign w:val="center"/>
            <w:hideMark/>
          </w:tcPr>
          <w:p w14:paraId="391CCCC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After M&amp;A</w:t>
            </w:r>
          </w:p>
        </w:tc>
        <w:tc>
          <w:tcPr>
            <w:tcW w:w="605" w:type="pct"/>
            <w:tcBorders>
              <w:top w:val="nil"/>
              <w:left w:val="nil"/>
              <w:bottom w:val="nil"/>
              <w:right w:val="nil"/>
            </w:tcBorders>
            <w:shd w:val="clear" w:color="auto" w:fill="auto"/>
            <w:noWrap/>
            <w:vAlign w:val="center"/>
            <w:hideMark/>
          </w:tcPr>
          <w:p w14:paraId="20E85BD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p w14:paraId="0D18ECE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605" w:type="pct"/>
            <w:tcBorders>
              <w:top w:val="nil"/>
              <w:left w:val="nil"/>
              <w:bottom w:val="nil"/>
            </w:tcBorders>
            <w:shd w:val="clear" w:color="auto" w:fill="auto"/>
            <w:noWrap/>
            <w:vAlign w:val="center"/>
            <w:hideMark/>
          </w:tcPr>
          <w:p w14:paraId="1045159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p w14:paraId="4558FF4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605" w:type="pct"/>
            <w:tcBorders>
              <w:top w:val="nil"/>
              <w:bottom w:val="nil"/>
            </w:tcBorders>
            <w:shd w:val="clear" w:color="auto" w:fill="auto"/>
            <w:noWrap/>
            <w:vAlign w:val="center"/>
            <w:hideMark/>
          </w:tcPr>
          <w:p w14:paraId="0245B84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p w14:paraId="47BA8CA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605" w:type="pct"/>
            <w:tcBorders>
              <w:top w:val="nil"/>
              <w:bottom w:val="nil"/>
            </w:tcBorders>
            <w:shd w:val="clear" w:color="auto" w:fill="auto"/>
            <w:noWrap/>
            <w:vAlign w:val="center"/>
            <w:hideMark/>
          </w:tcPr>
          <w:p w14:paraId="5AB3946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-0.06***</w:t>
            </w:r>
          </w:p>
          <w:p w14:paraId="36501B5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605" w:type="pct"/>
            <w:tcBorders>
              <w:top w:val="nil"/>
              <w:bottom w:val="nil"/>
            </w:tcBorders>
            <w:shd w:val="clear" w:color="auto" w:fill="auto"/>
            <w:noWrap/>
            <w:vAlign w:val="center"/>
            <w:hideMark/>
          </w:tcPr>
          <w:p w14:paraId="3A34B03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p w14:paraId="125A0EB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597" w:type="pct"/>
            <w:tcBorders>
              <w:top w:val="nil"/>
              <w:bottom w:val="nil"/>
            </w:tcBorders>
            <w:shd w:val="clear" w:color="auto" w:fill="auto"/>
            <w:noWrap/>
            <w:vAlign w:val="center"/>
            <w:hideMark/>
          </w:tcPr>
          <w:p w14:paraId="23F46F2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p w14:paraId="73592D1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tc>
      </w:tr>
      <w:tr w:rsidR="00F955FC" w:rsidRPr="00A60CE9" w14:paraId="17C326E5" w14:textId="77777777" w:rsidTr="00712F00">
        <w:trPr>
          <w:trHeight w:val="20"/>
          <w:jc w:val="center"/>
        </w:trPr>
        <w:tc>
          <w:tcPr>
            <w:tcW w:w="1377" w:type="pct"/>
            <w:tcBorders>
              <w:top w:val="nil"/>
              <w:bottom w:val="nil"/>
              <w:right w:val="nil"/>
            </w:tcBorders>
            <w:shd w:val="clear" w:color="auto" w:fill="auto"/>
            <w:noWrap/>
            <w:vAlign w:val="center"/>
            <w:hideMark/>
          </w:tcPr>
          <w:p w14:paraId="5B114106"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Departing*After M&amp;A</w:t>
            </w:r>
          </w:p>
        </w:tc>
        <w:tc>
          <w:tcPr>
            <w:tcW w:w="605" w:type="pct"/>
            <w:tcBorders>
              <w:top w:val="nil"/>
              <w:left w:val="nil"/>
              <w:bottom w:val="nil"/>
              <w:right w:val="nil"/>
            </w:tcBorders>
            <w:shd w:val="clear" w:color="auto" w:fill="auto"/>
            <w:vAlign w:val="center"/>
          </w:tcPr>
          <w:p w14:paraId="3FF860FE"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left w:val="nil"/>
              <w:bottom w:val="nil"/>
            </w:tcBorders>
            <w:shd w:val="clear" w:color="auto" w:fill="auto"/>
            <w:noWrap/>
            <w:vAlign w:val="center"/>
            <w:hideMark/>
          </w:tcPr>
          <w:p w14:paraId="36ADB3A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0.69***</w:t>
            </w:r>
          </w:p>
          <w:p w14:paraId="40D1330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(0.10)</w:t>
            </w:r>
          </w:p>
        </w:tc>
        <w:tc>
          <w:tcPr>
            <w:tcW w:w="605" w:type="pct"/>
            <w:tcBorders>
              <w:top w:val="nil"/>
              <w:bottom w:val="nil"/>
            </w:tcBorders>
            <w:shd w:val="clear" w:color="auto" w:fill="auto"/>
            <w:noWrap/>
            <w:vAlign w:val="center"/>
            <w:hideMark/>
          </w:tcPr>
          <w:p w14:paraId="349E8F72"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41F1D956"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762B98AC" w14:textId="77777777" w:rsidR="00F955FC" w:rsidRPr="00A60CE9" w:rsidRDefault="00F955FC" w:rsidP="00712F00">
            <w:pPr>
              <w:spacing w:line="240" w:lineRule="auto"/>
              <w:contextualSpacing/>
              <w:rPr>
                <w:rFonts w:eastAsia="Times New Roman"/>
                <w:sz w:val="22"/>
                <w:lang w:eastAsia="fr-LU"/>
              </w:rPr>
            </w:pPr>
          </w:p>
        </w:tc>
        <w:tc>
          <w:tcPr>
            <w:tcW w:w="597" w:type="pct"/>
            <w:tcBorders>
              <w:top w:val="nil"/>
              <w:bottom w:val="nil"/>
            </w:tcBorders>
            <w:shd w:val="clear" w:color="auto" w:fill="auto"/>
            <w:noWrap/>
            <w:vAlign w:val="center"/>
            <w:hideMark/>
          </w:tcPr>
          <w:p w14:paraId="018CF5ED" w14:textId="77777777" w:rsidR="00F955FC" w:rsidRPr="00A60CE9" w:rsidRDefault="00F955FC" w:rsidP="00712F00">
            <w:pPr>
              <w:spacing w:line="240" w:lineRule="auto"/>
              <w:contextualSpacing/>
              <w:rPr>
                <w:rFonts w:eastAsia="Times New Roman"/>
                <w:sz w:val="22"/>
                <w:lang w:eastAsia="fr-LU"/>
              </w:rPr>
            </w:pPr>
          </w:p>
        </w:tc>
      </w:tr>
      <w:tr w:rsidR="00F955FC" w:rsidRPr="00A60CE9" w14:paraId="525614C2" w14:textId="77777777" w:rsidTr="00712F00">
        <w:trPr>
          <w:trHeight w:val="20"/>
          <w:jc w:val="center"/>
        </w:trPr>
        <w:tc>
          <w:tcPr>
            <w:tcW w:w="1377" w:type="pct"/>
            <w:tcBorders>
              <w:top w:val="nil"/>
              <w:bottom w:val="nil"/>
              <w:right w:val="nil"/>
            </w:tcBorders>
            <w:shd w:val="clear" w:color="auto" w:fill="auto"/>
            <w:noWrap/>
            <w:vAlign w:val="center"/>
            <w:hideMark/>
          </w:tcPr>
          <w:p w14:paraId="34B7CF9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iCs/>
                <w:sz w:val="22"/>
                <w:lang w:eastAsia="fr-LU"/>
              </w:rPr>
              <w:t>Incumbent</w:t>
            </w:r>
            <w:r w:rsidRPr="00A60CE9">
              <w:rPr>
                <w:rFonts w:eastAsia="Times New Roman"/>
                <w:sz w:val="22"/>
                <w:lang w:eastAsia="fr-LU"/>
              </w:rPr>
              <w:t>*After M&amp;A</w:t>
            </w:r>
          </w:p>
        </w:tc>
        <w:tc>
          <w:tcPr>
            <w:tcW w:w="605" w:type="pct"/>
            <w:tcBorders>
              <w:top w:val="nil"/>
              <w:left w:val="nil"/>
              <w:bottom w:val="nil"/>
              <w:right w:val="nil"/>
            </w:tcBorders>
            <w:shd w:val="clear" w:color="auto" w:fill="auto"/>
            <w:vAlign w:val="center"/>
          </w:tcPr>
          <w:p w14:paraId="0AA3EC9A"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left w:val="nil"/>
              <w:bottom w:val="nil"/>
            </w:tcBorders>
            <w:shd w:val="clear" w:color="auto" w:fill="auto"/>
            <w:noWrap/>
            <w:vAlign w:val="center"/>
            <w:hideMark/>
          </w:tcPr>
          <w:p w14:paraId="4DB87AC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-0.55***</w:t>
            </w:r>
          </w:p>
          <w:p w14:paraId="394A96D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c>
          <w:tcPr>
            <w:tcW w:w="605" w:type="pct"/>
            <w:tcBorders>
              <w:top w:val="nil"/>
              <w:bottom w:val="nil"/>
            </w:tcBorders>
            <w:shd w:val="clear" w:color="auto" w:fill="auto"/>
            <w:noWrap/>
            <w:vAlign w:val="center"/>
            <w:hideMark/>
          </w:tcPr>
          <w:p w14:paraId="7D89B25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-0.62***</w:t>
            </w:r>
          </w:p>
          <w:p w14:paraId="268B6D3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c>
          <w:tcPr>
            <w:tcW w:w="605" w:type="pct"/>
            <w:tcBorders>
              <w:top w:val="nil"/>
              <w:bottom w:val="nil"/>
            </w:tcBorders>
            <w:shd w:val="clear" w:color="auto" w:fill="auto"/>
            <w:noWrap/>
            <w:vAlign w:val="center"/>
            <w:hideMark/>
          </w:tcPr>
          <w:p w14:paraId="4DEA17C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-0.54***</w:t>
            </w:r>
          </w:p>
          <w:p w14:paraId="289EC84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c>
          <w:tcPr>
            <w:tcW w:w="605" w:type="pct"/>
            <w:tcBorders>
              <w:top w:val="nil"/>
              <w:bottom w:val="nil"/>
            </w:tcBorders>
            <w:shd w:val="clear" w:color="auto" w:fill="auto"/>
            <w:noWrap/>
            <w:vAlign w:val="center"/>
            <w:hideMark/>
          </w:tcPr>
          <w:p w14:paraId="6E75C18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-0.64***</w:t>
            </w:r>
          </w:p>
          <w:p w14:paraId="368E364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c>
          <w:tcPr>
            <w:tcW w:w="597" w:type="pct"/>
            <w:tcBorders>
              <w:top w:val="nil"/>
              <w:bottom w:val="nil"/>
            </w:tcBorders>
            <w:shd w:val="clear" w:color="auto" w:fill="auto"/>
            <w:noWrap/>
            <w:vAlign w:val="center"/>
            <w:hideMark/>
          </w:tcPr>
          <w:p w14:paraId="08C6154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-0.76***</w:t>
            </w:r>
          </w:p>
          <w:p w14:paraId="322BB89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tc>
      </w:tr>
      <w:tr w:rsidR="00F955FC" w:rsidRPr="00A60CE9" w14:paraId="2ACA5A8F" w14:textId="77777777" w:rsidTr="00712F00">
        <w:trPr>
          <w:trHeight w:val="20"/>
          <w:jc w:val="center"/>
        </w:trPr>
        <w:tc>
          <w:tcPr>
            <w:tcW w:w="1377" w:type="pct"/>
            <w:tcBorders>
              <w:top w:val="nil"/>
              <w:bottom w:val="nil"/>
              <w:right w:val="nil"/>
            </w:tcBorders>
            <w:shd w:val="clear" w:color="auto" w:fill="auto"/>
            <w:noWrap/>
            <w:vAlign w:val="center"/>
            <w:hideMark/>
          </w:tcPr>
          <w:p w14:paraId="4B673962"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New key inventors</w:t>
            </w:r>
          </w:p>
        </w:tc>
        <w:tc>
          <w:tcPr>
            <w:tcW w:w="605" w:type="pct"/>
            <w:tcBorders>
              <w:top w:val="nil"/>
              <w:left w:val="nil"/>
              <w:bottom w:val="nil"/>
              <w:right w:val="nil"/>
            </w:tcBorders>
            <w:shd w:val="clear" w:color="auto" w:fill="auto"/>
            <w:noWrap/>
            <w:vAlign w:val="center"/>
            <w:hideMark/>
          </w:tcPr>
          <w:p w14:paraId="52113573"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left w:val="nil"/>
              <w:bottom w:val="nil"/>
            </w:tcBorders>
            <w:shd w:val="clear" w:color="auto" w:fill="auto"/>
            <w:noWrap/>
            <w:vAlign w:val="center"/>
            <w:hideMark/>
          </w:tcPr>
          <w:p w14:paraId="793C563D"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1AC55DB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p w14:paraId="20A9238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tc>
        <w:tc>
          <w:tcPr>
            <w:tcW w:w="605" w:type="pct"/>
            <w:tcBorders>
              <w:top w:val="nil"/>
              <w:bottom w:val="nil"/>
            </w:tcBorders>
            <w:shd w:val="clear" w:color="auto" w:fill="auto"/>
            <w:noWrap/>
            <w:vAlign w:val="center"/>
            <w:hideMark/>
          </w:tcPr>
          <w:p w14:paraId="13C5AB8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-0.88***</w:t>
            </w:r>
          </w:p>
          <w:p w14:paraId="2152CCB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605" w:type="pct"/>
            <w:tcBorders>
              <w:top w:val="nil"/>
              <w:bottom w:val="nil"/>
            </w:tcBorders>
            <w:shd w:val="clear" w:color="auto" w:fill="auto"/>
            <w:noWrap/>
            <w:vAlign w:val="center"/>
            <w:hideMark/>
          </w:tcPr>
          <w:p w14:paraId="00852EF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0.38***</w:t>
            </w:r>
          </w:p>
          <w:p w14:paraId="1066F44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597" w:type="pct"/>
            <w:tcBorders>
              <w:top w:val="nil"/>
              <w:bottom w:val="nil"/>
            </w:tcBorders>
            <w:shd w:val="clear" w:color="auto" w:fill="auto"/>
            <w:noWrap/>
            <w:vAlign w:val="center"/>
            <w:hideMark/>
          </w:tcPr>
          <w:p w14:paraId="58B5ECA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-0.27**</w:t>
            </w:r>
          </w:p>
          <w:p w14:paraId="5644DC7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(0.12)</w:t>
            </w:r>
          </w:p>
        </w:tc>
      </w:tr>
      <w:tr w:rsidR="00F955FC" w:rsidRPr="00A60CE9" w14:paraId="42330AF9" w14:textId="77777777" w:rsidTr="00712F00">
        <w:trPr>
          <w:trHeight w:val="20"/>
          <w:jc w:val="center"/>
        </w:trPr>
        <w:tc>
          <w:tcPr>
            <w:tcW w:w="1377" w:type="pct"/>
            <w:tcBorders>
              <w:top w:val="nil"/>
              <w:bottom w:val="nil"/>
              <w:right w:val="nil"/>
            </w:tcBorders>
            <w:shd w:val="clear" w:color="auto" w:fill="auto"/>
            <w:noWrap/>
            <w:vAlign w:val="center"/>
            <w:hideMark/>
          </w:tcPr>
          <w:p w14:paraId="3000E29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iCs/>
                <w:sz w:val="22"/>
                <w:lang w:eastAsia="fr-LU"/>
              </w:rPr>
              <w:t>New key</w:t>
            </w:r>
            <w:r w:rsidRPr="00A60CE9">
              <w:rPr>
                <w:rFonts w:eastAsia="Times New Roman"/>
                <w:sz w:val="22"/>
                <w:lang w:eastAsia="fr-LU"/>
              </w:rPr>
              <w:t>*After M&amp;A</w:t>
            </w:r>
          </w:p>
        </w:tc>
        <w:tc>
          <w:tcPr>
            <w:tcW w:w="605" w:type="pct"/>
            <w:tcBorders>
              <w:top w:val="nil"/>
              <w:left w:val="nil"/>
              <w:bottom w:val="nil"/>
              <w:right w:val="nil"/>
            </w:tcBorders>
            <w:shd w:val="clear" w:color="auto" w:fill="auto"/>
            <w:vAlign w:val="center"/>
          </w:tcPr>
          <w:p w14:paraId="2D007426"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left w:val="nil"/>
              <w:bottom w:val="nil"/>
            </w:tcBorders>
            <w:shd w:val="clear" w:color="auto" w:fill="auto"/>
            <w:noWrap/>
            <w:vAlign w:val="center"/>
            <w:hideMark/>
          </w:tcPr>
          <w:p w14:paraId="05749460"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646CCDB0"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3D1BB63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1.28***</w:t>
            </w:r>
          </w:p>
          <w:p w14:paraId="6B2A880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(0.11)</w:t>
            </w:r>
          </w:p>
        </w:tc>
        <w:tc>
          <w:tcPr>
            <w:tcW w:w="605" w:type="pct"/>
            <w:tcBorders>
              <w:top w:val="nil"/>
              <w:bottom w:val="nil"/>
            </w:tcBorders>
            <w:shd w:val="clear" w:color="auto" w:fill="auto"/>
            <w:noWrap/>
            <w:vAlign w:val="center"/>
            <w:hideMark/>
          </w:tcPr>
          <w:p w14:paraId="59B0DD17" w14:textId="77777777" w:rsidR="00F955FC" w:rsidRPr="00A60CE9" w:rsidRDefault="00F955FC" w:rsidP="00712F00">
            <w:pPr>
              <w:spacing w:line="240" w:lineRule="auto"/>
              <w:contextualSpacing/>
              <w:rPr>
                <w:rFonts w:eastAsia="Times New Roman"/>
                <w:sz w:val="22"/>
                <w:lang w:eastAsia="fr-LU"/>
              </w:rPr>
            </w:pPr>
          </w:p>
        </w:tc>
        <w:tc>
          <w:tcPr>
            <w:tcW w:w="597" w:type="pct"/>
            <w:tcBorders>
              <w:top w:val="nil"/>
              <w:bottom w:val="nil"/>
            </w:tcBorders>
            <w:shd w:val="clear" w:color="auto" w:fill="auto"/>
            <w:noWrap/>
            <w:vAlign w:val="center"/>
            <w:hideMark/>
          </w:tcPr>
          <w:p w14:paraId="711E9AE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0.79***</w:t>
            </w:r>
          </w:p>
          <w:p w14:paraId="3E28E70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(0.13)</w:t>
            </w:r>
          </w:p>
        </w:tc>
      </w:tr>
      <w:tr w:rsidR="00F955FC" w:rsidRPr="00A60CE9" w14:paraId="18B389EC" w14:textId="77777777" w:rsidTr="00712F00">
        <w:trPr>
          <w:trHeight w:val="20"/>
          <w:jc w:val="center"/>
        </w:trPr>
        <w:tc>
          <w:tcPr>
            <w:tcW w:w="1377" w:type="pct"/>
            <w:tcBorders>
              <w:top w:val="nil"/>
              <w:bottom w:val="nil"/>
              <w:right w:val="nil"/>
            </w:tcBorders>
            <w:shd w:val="clear" w:color="auto" w:fill="auto"/>
            <w:noWrap/>
            <w:vAlign w:val="center"/>
            <w:hideMark/>
          </w:tcPr>
          <w:p w14:paraId="3B38C4BB"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Incumbent *New key</w:t>
            </w:r>
          </w:p>
        </w:tc>
        <w:tc>
          <w:tcPr>
            <w:tcW w:w="605" w:type="pct"/>
            <w:tcBorders>
              <w:top w:val="nil"/>
              <w:left w:val="nil"/>
              <w:bottom w:val="nil"/>
              <w:right w:val="nil"/>
            </w:tcBorders>
            <w:shd w:val="clear" w:color="auto" w:fill="auto"/>
            <w:noWrap/>
            <w:vAlign w:val="center"/>
            <w:hideMark/>
          </w:tcPr>
          <w:p w14:paraId="0BDFFE59"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left w:val="nil"/>
              <w:bottom w:val="nil"/>
            </w:tcBorders>
            <w:shd w:val="clear" w:color="auto" w:fill="auto"/>
            <w:noWrap/>
            <w:vAlign w:val="center"/>
            <w:hideMark/>
          </w:tcPr>
          <w:p w14:paraId="2B2D4997"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036CF49C"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05F0B47B"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nil"/>
            </w:tcBorders>
            <w:shd w:val="clear" w:color="auto" w:fill="auto"/>
            <w:noWrap/>
            <w:vAlign w:val="center"/>
            <w:hideMark/>
          </w:tcPr>
          <w:p w14:paraId="7E4881C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-12.8***</w:t>
            </w:r>
          </w:p>
          <w:p w14:paraId="3EA8EC1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(1.19)</w:t>
            </w:r>
          </w:p>
        </w:tc>
        <w:tc>
          <w:tcPr>
            <w:tcW w:w="597" w:type="pct"/>
            <w:tcBorders>
              <w:top w:val="nil"/>
              <w:bottom w:val="nil"/>
            </w:tcBorders>
            <w:shd w:val="clear" w:color="auto" w:fill="auto"/>
            <w:noWrap/>
            <w:vAlign w:val="center"/>
            <w:hideMark/>
          </w:tcPr>
          <w:p w14:paraId="71752A6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-11.8***</w:t>
            </w:r>
          </w:p>
          <w:p w14:paraId="36E8B6A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(1.60)</w:t>
            </w:r>
          </w:p>
        </w:tc>
      </w:tr>
      <w:tr w:rsidR="00F955FC" w:rsidRPr="00A60CE9" w14:paraId="6C3DF669" w14:textId="77777777" w:rsidTr="00712F00">
        <w:trPr>
          <w:trHeight w:val="20"/>
          <w:jc w:val="center"/>
        </w:trPr>
        <w:tc>
          <w:tcPr>
            <w:tcW w:w="1377" w:type="pct"/>
            <w:tcBorders>
              <w:top w:val="nil"/>
              <w:bottom w:val="single" w:sz="4" w:space="0" w:color="auto"/>
              <w:right w:val="nil"/>
            </w:tcBorders>
            <w:shd w:val="clear" w:color="auto" w:fill="auto"/>
            <w:noWrap/>
            <w:vAlign w:val="center"/>
            <w:hideMark/>
          </w:tcPr>
          <w:p w14:paraId="3ABEDC2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iCs/>
                <w:sz w:val="22"/>
                <w:lang w:eastAsia="fr-LU"/>
              </w:rPr>
              <w:t>Incumbent *New key*</w:t>
            </w:r>
            <w:r w:rsidRPr="00A60CE9">
              <w:rPr>
                <w:rFonts w:eastAsia="Times New Roman"/>
                <w:sz w:val="22"/>
                <w:lang w:eastAsia="fr-LU"/>
              </w:rPr>
              <w:t xml:space="preserve"> After M&amp;A</w:t>
            </w:r>
          </w:p>
        </w:tc>
        <w:tc>
          <w:tcPr>
            <w:tcW w:w="605" w:type="pct"/>
            <w:tcBorders>
              <w:top w:val="nil"/>
              <w:left w:val="nil"/>
              <w:bottom w:val="single" w:sz="4" w:space="0" w:color="auto"/>
              <w:right w:val="nil"/>
            </w:tcBorders>
            <w:shd w:val="clear" w:color="auto" w:fill="auto"/>
            <w:vAlign w:val="center"/>
          </w:tcPr>
          <w:p w14:paraId="470FBD12"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left w:val="nil"/>
              <w:bottom w:val="single" w:sz="4" w:space="0" w:color="auto"/>
            </w:tcBorders>
            <w:shd w:val="clear" w:color="auto" w:fill="auto"/>
            <w:noWrap/>
            <w:vAlign w:val="center"/>
            <w:hideMark/>
          </w:tcPr>
          <w:p w14:paraId="41D548A3"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single" w:sz="4" w:space="0" w:color="auto"/>
            </w:tcBorders>
            <w:shd w:val="clear" w:color="auto" w:fill="auto"/>
            <w:noWrap/>
            <w:vAlign w:val="center"/>
            <w:hideMark/>
          </w:tcPr>
          <w:p w14:paraId="2E505AAD"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single" w:sz="2" w:space="0" w:color="auto"/>
            </w:tcBorders>
            <w:shd w:val="clear" w:color="auto" w:fill="auto"/>
            <w:noWrap/>
            <w:vAlign w:val="center"/>
            <w:hideMark/>
          </w:tcPr>
          <w:p w14:paraId="5BB360EF" w14:textId="77777777" w:rsidR="00F955FC" w:rsidRPr="00A60CE9" w:rsidRDefault="00F955FC" w:rsidP="00712F00">
            <w:pPr>
              <w:spacing w:line="240" w:lineRule="auto"/>
              <w:contextualSpacing/>
              <w:rPr>
                <w:rFonts w:eastAsia="Times New Roman"/>
                <w:sz w:val="22"/>
                <w:lang w:eastAsia="fr-LU"/>
              </w:rPr>
            </w:pPr>
          </w:p>
        </w:tc>
        <w:tc>
          <w:tcPr>
            <w:tcW w:w="605" w:type="pct"/>
            <w:tcBorders>
              <w:top w:val="nil"/>
              <w:bottom w:val="single" w:sz="4" w:space="0" w:color="auto"/>
            </w:tcBorders>
            <w:shd w:val="clear" w:color="auto" w:fill="auto"/>
            <w:noWrap/>
            <w:vAlign w:val="center"/>
            <w:hideMark/>
          </w:tcPr>
          <w:p w14:paraId="0B9A929C" w14:textId="77777777" w:rsidR="00F955FC" w:rsidRPr="00A60CE9" w:rsidRDefault="00F955FC" w:rsidP="00712F00">
            <w:pPr>
              <w:spacing w:line="240" w:lineRule="auto"/>
              <w:contextualSpacing/>
              <w:rPr>
                <w:rFonts w:eastAsia="Times New Roman"/>
                <w:sz w:val="22"/>
                <w:lang w:eastAsia="fr-LU"/>
              </w:rPr>
            </w:pPr>
          </w:p>
        </w:tc>
        <w:tc>
          <w:tcPr>
            <w:tcW w:w="597" w:type="pct"/>
            <w:tcBorders>
              <w:top w:val="nil"/>
              <w:bottom w:val="single" w:sz="4" w:space="0" w:color="auto"/>
            </w:tcBorders>
            <w:shd w:val="clear" w:color="auto" w:fill="auto"/>
            <w:noWrap/>
            <w:vAlign w:val="center"/>
            <w:hideMark/>
          </w:tcPr>
          <w:p w14:paraId="43F71FB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5.76***</w:t>
            </w:r>
          </w:p>
          <w:p w14:paraId="7A88C6C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(2.11)</w:t>
            </w:r>
          </w:p>
        </w:tc>
      </w:tr>
      <w:tr w:rsidR="00F955FC" w:rsidRPr="00A60CE9" w14:paraId="34D8D04B" w14:textId="77777777" w:rsidTr="00712F00">
        <w:trPr>
          <w:trHeight w:val="20"/>
          <w:jc w:val="center"/>
        </w:trPr>
        <w:tc>
          <w:tcPr>
            <w:tcW w:w="1377" w:type="pct"/>
            <w:tcBorders>
              <w:top w:val="single" w:sz="4" w:space="0" w:color="auto"/>
              <w:bottom w:val="nil"/>
            </w:tcBorders>
            <w:shd w:val="clear" w:color="auto" w:fill="auto"/>
            <w:noWrap/>
            <w:vAlign w:val="center"/>
            <w:hideMark/>
          </w:tcPr>
          <w:p w14:paraId="202316C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Observations</w:t>
            </w:r>
          </w:p>
        </w:tc>
        <w:tc>
          <w:tcPr>
            <w:tcW w:w="605" w:type="pct"/>
            <w:tcBorders>
              <w:top w:val="single" w:sz="4" w:space="0" w:color="auto"/>
              <w:bottom w:val="nil"/>
            </w:tcBorders>
            <w:shd w:val="clear" w:color="auto" w:fill="auto"/>
            <w:noWrap/>
            <w:vAlign w:val="center"/>
            <w:hideMark/>
          </w:tcPr>
          <w:p w14:paraId="7D2CA04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2670</w:t>
            </w:r>
          </w:p>
        </w:tc>
        <w:tc>
          <w:tcPr>
            <w:tcW w:w="605" w:type="pct"/>
            <w:tcBorders>
              <w:top w:val="single" w:sz="4" w:space="0" w:color="auto"/>
              <w:bottom w:val="nil"/>
            </w:tcBorders>
            <w:shd w:val="clear" w:color="auto" w:fill="auto"/>
            <w:noWrap/>
            <w:vAlign w:val="center"/>
            <w:hideMark/>
          </w:tcPr>
          <w:p w14:paraId="340DF6D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2670</w:t>
            </w:r>
          </w:p>
        </w:tc>
        <w:tc>
          <w:tcPr>
            <w:tcW w:w="605" w:type="pct"/>
            <w:tcBorders>
              <w:top w:val="single" w:sz="4" w:space="0" w:color="auto"/>
              <w:bottom w:val="nil"/>
            </w:tcBorders>
            <w:shd w:val="clear" w:color="auto" w:fill="auto"/>
            <w:noWrap/>
            <w:vAlign w:val="center"/>
            <w:hideMark/>
          </w:tcPr>
          <w:p w14:paraId="16C4A7A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2670</w:t>
            </w:r>
          </w:p>
        </w:tc>
        <w:tc>
          <w:tcPr>
            <w:tcW w:w="605" w:type="pct"/>
            <w:tcBorders>
              <w:top w:val="single" w:sz="4" w:space="0" w:color="auto"/>
              <w:bottom w:val="nil"/>
            </w:tcBorders>
            <w:shd w:val="clear" w:color="auto" w:fill="auto"/>
            <w:noWrap/>
            <w:vAlign w:val="center"/>
            <w:hideMark/>
          </w:tcPr>
          <w:p w14:paraId="11604E9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2670</w:t>
            </w:r>
          </w:p>
        </w:tc>
        <w:tc>
          <w:tcPr>
            <w:tcW w:w="605" w:type="pct"/>
            <w:tcBorders>
              <w:top w:val="single" w:sz="4" w:space="0" w:color="auto"/>
              <w:bottom w:val="nil"/>
            </w:tcBorders>
            <w:shd w:val="clear" w:color="auto" w:fill="auto"/>
            <w:noWrap/>
            <w:vAlign w:val="center"/>
            <w:hideMark/>
          </w:tcPr>
          <w:p w14:paraId="36B3D50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2670</w:t>
            </w:r>
          </w:p>
        </w:tc>
        <w:tc>
          <w:tcPr>
            <w:tcW w:w="597" w:type="pct"/>
            <w:tcBorders>
              <w:top w:val="single" w:sz="4" w:space="0" w:color="auto"/>
              <w:bottom w:val="nil"/>
            </w:tcBorders>
            <w:shd w:val="clear" w:color="auto" w:fill="auto"/>
            <w:noWrap/>
            <w:vAlign w:val="center"/>
            <w:hideMark/>
          </w:tcPr>
          <w:p w14:paraId="2C00C6D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2670</w:t>
            </w:r>
          </w:p>
        </w:tc>
      </w:tr>
      <w:tr w:rsidR="00F955FC" w:rsidRPr="00A60CE9" w14:paraId="354A9061" w14:textId="77777777" w:rsidTr="00712F00">
        <w:trPr>
          <w:trHeight w:val="20"/>
          <w:jc w:val="center"/>
        </w:trPr>
        <w:tc>
          <w:tcPr>
            <w:tcW w:w="1377" w:type="pct"/>
            <w:tcBorders>
              <w:top w:val="nil"/>
              <w:bottom w:val="nil"/>
            </w:tcBorders>
            <w:shd w:val="clear" w:color="auto" w:fill="auto"/>
            <w:noWrap/>
            <w:vAlign w:val="center"/>
          </w:tcPr>
          <w:p w14:paraId="7CBB8AD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Year Dummies</w:t>
            </w:r>
          </w:p>
        </w:tc>
        <w:tc>
          <w:tcPr>
            <w:tcW w:w="605" w:type="pct"/>
            <w:tcBorders>
              <w:top w:val="nil"/>
              <w:bottom w:val="nil"/>
            </w:tcBorders>
            <w:shd w:val="clear" w:color="auto" w:fill="auto"/>
            <w:noWrap/>
            <w:vAlign w:val="center"/>
          </w:tcPr>
          <w:p w14:paraId="41CA196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5" w:type="pct"/>
            <w:tcBorders>
              <w:top w:val="nil"/>
              <w:bottom w:val="nil"/>
            </w:tcBorders>
            <w:shd w:val="clear" w:color="auto" w:fill="auto"/>
            <w:noWrap/>
            <w:vAlign w:val="center"/>
          </w:tcPr>
          <w:p w14:paraId="013E0A7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5" w:type="pct"/>
            <w:tcBorders>
              <w:top w:val="nil"/>
              <w:bottom w:val="nil"/>
            </w:tcBorders>
            <w:shd w:val="clear" w:color="auto" w:fill="auto"/>
            <w:noWrap/>
            <w:vAlign w:val="center"/>
          </w:tcPr>
          <w:p w14:paraId="4423727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5" w:type="pct"/>
            <w:tcBorders>
              <w:top w:val="nil"/>
              <w:bottom w:val="nil"/>
            </w:tcBorders>
            <w:shd w:val="clear" w:color="auto" w:fill="auto"/>
            <w:noWrap/>
            <w:vAlign w:val="center"/>
          </w:tcPr>
          <w:p w14:paraId="1EEAD17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5" w:type="pct"/>
            <w:tcBorders>
              <w:top w:val="nil"/>
              <w:bottom w:val="nil"/>
            </w:tcBorders>
            <w:shd w:val="clear" w:color="auto" w:fill="auto"/>
            <w:noWrap/>
            <w:vAlign w:val="center"/>
          </w:tcPr>
          <w:p w14:paraId="3171A05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597" w:type="pct"/>
            <w:tcBorders>
              <w:top w:val="nil"/>
              <w:bottom w:val="nil"/>
            </w:tcBorders>
            <w:shd w:val="clear" w:color="auto" w:fill="auto"/>
            <w:noWrap/>
            <w:vAlign w:val="center"/>
          </w:tcPr>
          <w:p w14:paraId="6F1FE2B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r>
      <w:tr w:rsidR="00F955FC" w:rsidRPr="00A60CE9" w14:paraId="4099DC82" w14:textId="77777777" w:rsidTr="00712F00">
        <w:trPr>
          <w:trHeight w:val="20"/>
          <w:jc w:val="center"/>
        </w:trPr>
        <w:tc>
          <w:tcPr>
            <w:tcW w:w="1377" w:type="pct"/>
            <w:tcBorders>
              <w:top w:val="nil"/>
              <w:bottom w:val="single" w:sz="4" w:space="0" w:color="auto"/>
            </w:tcBorders>
            <w:shd w:val="clear" w:color="auto" w:fill="auto"/>
            <w:noWrap/>
            <w:vAlign w:val="center"/>
          </w:tcPr>
          <w:p w14:paraId="0891AEB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 xml:space="preserve"> Likelihood Ratio Test</w:t>
            </w:r>
          </w:p>
        </w:tc>
        <w:tc>
          <w:tcPr>
            <w:tcW w:w="605" w:type="pct"/>
            <w:tcBorders>
              <w:top w:val="nil"/>
              <w:bottom w:val="single" w:sz="4" w:space="0" w:color="auto"/>
            </w:tcBorders>
            <w:shd w:val="clear" w:color="auto" w:fill="auto"/>
            <w:noWrap/>
            <w:vAlign w:val="center"/>
          </w:tcPr>
          <w:p w14:paraId="57E91F7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1735.02</w:t>
            </w:r>
          </w:p>
        </w:tc>
        <w:tc>
          <w:tcPr>
            <w:tcW w:w="605" w:type="pct"/>
            <w:tcBorders>
              <w:top w:val="nil"/>
              <w:bottom w:val="single" w:sz="4" w:space="0" w:color="auto"/>
            </w:tcBorders>
            <w:shd w:val="clear" w:color="auto" w:fill="auto"/>
            <w:noWrap/>
            <w:vAlign w:val="center"/>
          </w:tcPr>
          <w:p w14:paraId="2567EDE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1722.28</w:t>
            </w:r>
          </w:p>
        </w:tc>
        <w:tc>
          <w:tcPr>
            <w:tcW w:w="605" w:type="pct"/>
            <w:tcBorders>
              <w:top w:val="nil"/>
              <w:bottom w:val="single" w:sz="4" w:space="0" w:color="auto"/>
            </w:tcBorders>
            <w:shd w:val="clear" w:color="auto" w:fill="auto"/>
            <w:noWrap/>
            <w:vAlign w:val="center"/>
          </w:tcPr>
          <w:p w14:paraId="1F1F2F3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1728.30</w:t>
            </w:r>
          </w:p>
        </w:tc>
        <w:tc>
          <w:tcPr>
            <w:tcW w:w="605" w:type="pct"/>
            <w:tcBorders>
              <w:top w:val="nil"/>
              <w:bottom w:val="single" w:sz="4" w:space="0" w:color="auto"/>
            </w:tcBorders>
            <w:shd w:val="clear" w:color="auto" w:fill="auto"/>
            <w:noWrap/>
            <w:vAlign w:val="center"/>
          </w:tcPr>
          <w:p w14:paraId="0A63C2A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1712.87</w:t>
            </w:r>
          </w:p>
        </w:tc>
        <w:tc>
          <w:tcPr>
            <w:tcW w:w="605" w:type="pct"/>
            <w:tcBorders>
              <w:top w:val="nil"/>
              <w:bottom w:val="single" w:sz="4" w:space="0" w:color="auto"/>
            </w:tcBorders>
            <w:shd w:val="clear" w:color="auto" w:fill="auto"/>
            <w:noWrap/>
            <w:vAlign w:val="center"/>
          </w:tcPr>
          <w:p w14:paraId="302E45F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1733.08</w:t>
            </w:r>
          </w:p>
        </w:tc>
        <w:tc>
          <w:tcPr>
            <w:tcW w:w="597" w:type="pct"/>
            <w:tcBorders>
              <w:top w:val="nil"/>
              <w:bottom w:val="single" w:sz="4" w:space="0" w:color="auto"/>
            </w:tcBorders>
            <w:shd w:val="clear" w:color="auto" w:fill="auto"/>
            <w:noWrap/>
            <w:vAlign w:val="center"/>
          </w:tcPr>
          <w:p w14:paraId="7A3E3C3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1719.78</w:t>
            </w:r>
          </w:p>
        </w:tc>
      </w:tr>
    </w:tbl>
    <w:p w14:paraId="69AD33E0" w14:textId="77777777" w:rsidR="00FF5657" w:rsidRPr="00A60CE9" w:rsidRDefault="00FF5657" w:rsidP="00712F00">
      <w:pPr>
        <w:spacing w:line="240" w:lineRule="auto"/>
        <w:ind w:firstLine="720"/>
        <w:contextualSpacing/>
        <w:rPr>
          <w:b/>
          <w:i/>
          <w:szCs w:val="24"/>
        </w:rPr>
      </w:pPr>
      <w:r w:rsidRPr="00A60CE9">
        <w:rPr>
          <w:i/>
          <w:sz w:val="20"/>
          <w:szCs w:val="18"/>
        </w:rPr>
        <w:t>Note: Table displays coefficients with standard errors in parentheses. *p&lt;0.10, **p&lt;0.05, *** p&lt;0.01</w:t>
      </w:r>
    </w:p>
    <w:p w14:paraId="34AC119C" w14:textId="77777777" w:rsidR="00FF5657" w:rsidRPr="00A60CE9" w:rsidRDefault="00FF5657" w:rsidP="00712F00">
      <w:pPr>
        <w:spacing w:line="240" w:lineRule="auto"/>
        <w:contextualSpacing/>
        <w:rPr>
          <w:i/>
        </w:rPr>
      </w:pPr>
      <w:r w:rsidRPr="00A60CE9">
        <w:rPr>
          <w:i/>
        </w:rPr>
        <w:br w:type="page"/>
      </w:r>
    </w:p>
    <w:p w14:paraId="482C6377" w14:textId="77777777" w:rsidR="00FF5657" w:rsidRPr="00A60CE9" w:rsidRDefault="00FF5657" w:rsidP="00712F00">
      <w:pPr>
        <w:pStyle w:val="Heading2"/>
        <w:spacing w:line="240" w:lineRule="auto"/>
        <w:ind w:firstLine="720"/>
        <w:contextualSpacing/>
      </w:pPr>
      <w:r w:rsidRPr="00A60CE9">
        <w:lastRenderedPageBreak/>
        <w:t>Table A</w:t>
      </w:r>
      <w:r w:rsidR="00CB51C5" w:rsidRPr="00A60CE9">
        <w:t>4</w:t>
      </w:r>
      <w:r w:rsidRPr="00A60CE9">
        <w:t>. Low-Tech Sectors: FE Poisson regression for firms’ patenting output.</w:t>
      </w:r>
    </w:p>
    <w:tbl>
      <w:tblPr>
        <w:tblW w:w="4517"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2417"/>
        <w:gridCol w:w="1039"/>
        <w:gridCol w:w="1038"/>
        <w:gridCol w:w="1038"/>
        <w:gridCol w:w="1038"/>
        <w:gridCol w:w="1038"/>
        <w:gridCol w:w="1016"/>
      </w:tblGrid>
      <w:tr w:rsidR="00F955FC" w:rsidRPr="00A60CE9" w14:paraId="7F40ECBA" w14:textId="77777777" w:rsidTr="00712F00">
        <w:trPr>
          <w:trHeight w:val="170"/>
          <w:jc w:val="center"/>
        </w:trPr>
        <w:tc>
          <w:tcPr>
            <w:tcW w:w="1401" w:type="pct"/>
            <w:tcBorders>
              <w:top w:val="single" w:sz="4" w:space="0" w:color="auto"/>
              <w:bottom w:val="single" w:sz="4" w:space="0" w:color="auto"/>
            </w:tcBorders>
            <w:shd w:val="clear" w:color="auto" w:fill="auto"/>
            <w:noWrap/>
            <w:vAlign w:val="center"/>
            <w:hideMark/>
          </w:tcPr>
          <w:p w14:paraId="69F0A53E"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single" w:sz="4" w:space="0" w:color="auto"/>
              <w:bottom w:val="single" w:sz="4" w:space="0" w:color="auto"/>
            </w:tcBorders>
            <w:shd w:val="clear" w:color="auto" w:fill="auto"/>
            <w:noWrap/>
            <w:vAlign w:val="center"/>
            <w:hideMark/>
          </w:tcPr>
          <w:p w14:paraId="500033A2" w14:textId="77777777" w:rsidR="00F955FC" w:rsidRPr="00A60CE9" w:rsidRDefault="00F955FC" w:rsidP="00712F00">
            <w:pPr>
              <w:spacing w:line="240" w:lineRule="auto"/>
              <w:ind w:right="315"/>
              <w:contextualSpacing/>
              <w:rPr>
                <w:rFonts w:eastAsia="Times New Roman"/>
                <w:sz w:val="22"/>
                <w:lang w:eastAsia="fr-LU"/>
              </w:rPr>
            </w:pPr>
            <w:r w:rsidRPr="00A60CE9">
              <w:rPr>
                <w:rFonts w:eastAsia="Times New Roman"/>
                <w:sz w:val="22"/>
                <w:lang w:eastAsia="fr-LU"/>
              </w:rPr>
              <w:t>(1)</w:t>
            </w:r>
          </w:p>
        </w:tc>
        <w:tc>
          <w:tcPr>
            <w:tcW w:w="602" w:type="pct"/>
            <w:tcBorders>
              <w:top w:val="single" w:sz="4" w:space="0" w:color="auto"/>
              <w:bottom w:val="single" w:sz="4" w:space="0" w:color="auto"/>
            </w:tcBorders>
            <w:shd w:val="clear" w:color="auto" w:fill="auto"/>
            <w:noWrap/>
            <w:vAlign w:val="center"/>
            <w:hideMark/>
          </w:tcPr>
          <w:p w14:paraId="32C9AE3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w:t>
            </w:r>
          </w:p>
        </w:tc>
        <w:tc>
          <w:tcPr>
            <w:tcW w:w="602" w:type="pct"/>
            <w:tcBorders>
              <w:top w:val="single" w:sz="4" w:space="0" w:color="auto"/>
              <w:bottom w:val="single" w:sz="4" w:space="0" w:color="auto"/>
            </w:tcBorders>
            <w:shd w:val="clear" w:color="auto" w:fill="auto"/>
            <w:noWrap/>
            <w:vAlign w:val="center"/>
            <w:hideMark/>
          </w:tcPr>
          <w:p w14:paraId="7E2D17B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w:t>
            </w:r>
          </w:p>
        </w:tc>
        <w:tc>
          <w:tcPr>
            <w:tcW w:w="602" w:type="pct"/>
            <w:tcBorders>
              <w:top w:val="single" w:sz="4" w:space="0" w:color="auto"/>
              <w:bottom w:val="single" w:sz="4" w:space="0" w:color="auto"/>
            </w:tcBorders>
            <w:shd w:val="clear" w:color="auto" w:fill="auto"/>
            <w:noWrap/>
            <w:vAlign w:val="center"/>
            <w:hideMark/>
          </w:tcPr>
          <w:p w14:paraId="22F3E05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(4)</w:t>
            </w:r>
          </w:p>
        </w:tc>
        <w:tc>
          <w:tcPr>
            <w:tcW w:w="602" w:type="pct"/>
            <w:tcBorders>
              <w:top w:val="single" w:sz="4" w:space="0" w:color="auto"/>
              <w:bottom w:val="single" w:sz="4" w:space="0" w:color="auto"/>
            </w:tcBorders>
            <w:shd w:val="clear" w:color="auto" w:fill="auto"/>
            <w:noWrap/>
            <w:vAlign w:val="center"/>
            <w:hideMark/>
          </w:tcPr>
          <w:p w14:paraId="00F20BB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(5)</w:t>
            </w:r>
          </w:p>
        </w:tc>
        <w:tc>
          <w:tcPr>
            <w:tcW w:w="590" w:type="pct"/>
            <w:tcBorders>
              <w:top w:val="single" w:sz="4" w:space="0" w:color="auto"/>
              <w:bottom w:val="single" w:sz="4" w:space="0" w:color="auto"/>
            </w:tcBorders>
            <w:shd w:val="clear" w:color="auto" w:fill="auto"/>
            <w:noWrap/>
            <w:vAlign w:val="center"/>
            <w:hideMark/>
          </w:tcPr>
          <w:p w14:paraId="60B79E4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(6)</w:t>
            </w:r>
          </w:p>
        </w:tc>
      </w:tr>
      <w:tr w:rsidR="00F955FC" w:rsidRPr="00A60CE9" w14:paraId="3725F1E6" w14:textId="77777777" w:rsidTr="00712F00">
        <w:trPr>
          <w:trHeight w:val="170"/>
          <w:jc w:val="center"/>
        </w:trPr>
        <w:tc>
          <w:tcPr>
            <w:tcW w:w="1401" w:type="pct"/>
            <w:tcBorders>
              <w:top w:val="single" w:sz="4" w:space="0" w:color="auto"/>
              <w:bottom w:val="nil"/>
            </w:tcBorders>
            <w:shd w:val="clear" w:color="auto" w:fill="auto"/>
            <w:noWrap/>
            <w:vAlign w:val="center"/>
            <w:hideMark/>
          </w:tcPr>
          <w:p w14:paraId="78C6916E"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Size</w:t>
            </w:r>
          </w:p>
        </w:tc>
        <w:tc>
          <w:tcPr>
            <w:tcW w:w="602" w:type="pct"/>
            <w:tcBorders>
              <w:top w:val="single" w:sz="4" w:space="0" w:color="auto"/>
              <w:bottom w:val="nil"/>
            </w:tcBorders>
            <w:shd w:val="clear" w:color="auto" w:fill="auto"/>
            <w:noWrap/>
            <w:vAlign w:val="center"/>
            <w:hideMark/>
          </w:tcPr>
          <w:p w14:paraId="74C61E8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p w14:paraId="6F8DD45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2" w:type="pct"/>
            <w:tcBorders>
              <w:top w:val="single" w:sz="4" w:space="0" w:color="auto"/>
              <w:bottom w:val="nil"/>
            </w:tcBorders>
            <w:shd w:val="clear" w:color="auto" w:fill="auto"/>
            <w:noWrap/>
            <w:vAlign w:val="center"/>
            <w:hideMark/>
          </w:tcPr>
          <w:p w14:paraId="2F19045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p w14:paraId="6DC7A67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2" w:type="pct"/>
            <w:tcBorders>
              <w:top w:val="single" w:sz="4" w:space="0" w:color="auto"/>
              <w:bottom w:val="nil"/>
            </w:tcBorders>
            <w:shd w:val="clear" w:color="auto" w:fill="auto"/>
            <w:noWrap/>
            <w:vAlign w:val="center"/>
            <w:hideMark/>
          </w:tcPr>
          <w:p w14:paraId="1F49F38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p w14:paraId="73115DA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2" w:type="pct"/>
            <w:tcBorders>
              <w:top w:val="single" w:sz="4" w:space="0" w:color="auto"/>
              <w:bottom w:val="nil"/>
            </w:tcBorders>
            <w:shd w:val="clear" w:color="auto" w:fill="auto"/>
            <w:noWrap/>
            <w:vAlign w:val="center"/>
            <w:hideMark/>
          </w:tcPr>
          <w:p w14:paraId="7C4201E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0.05***</w:t>
            </w:r>
          </w:p>
          <w:p w14:paraId="0B4F735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602" w:type="pct"/>
            <w:tcBorders>
              <w:top w:val="single" w:sz="4" w:space="0" w:color="auto"/>
              <w:bottom w:val="nil"/>
            </w:tcBorders>
            <w:shd w:val="clear" w:color="auto" w:fill="auto"/>
            <w:noWrap/>
            <w:vAlign w:val="center"/>
            <w:hideMark/>
          </w:tcPr>
          <w:p w14:paraId="0209105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p w14:paraId="30C4F93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c>
          <w:tcPr>
            <w:tcW w:w="590" w:type="pct"/>
            <w:tcBorders>
              <w:top w:val="single" w:sz="4" w:space="0" w:color="auto"/>
              <w:bottom w:val="nil"/>
            </w:tcBorders>
            <w:shd w:val="clear" w:color="auto" w:fill="auto"/>
            <w:noWrap/>
            <w:vAlign w:val="center"/>
            <w:hideMark/>
          </w:tcPr>
          <w:p w14:paraId="0F9915B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p w14:paraId="7EE1CA9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tc>
      </w:tr>
      <w:tr w:rsidR="00F955FC" w:rsidRPr="00A60CE9" w14:paraId="3F8C5360" w14:textId="77777777" w:rsidTr="00712F00">
        <w:trPr>
          <w:trHeight w:val="170"/>
          <w:jc w:val="center"/>
        </w:trPr>
        <w:tc>
          <w:tcPr>
            <w:tcW w:w="1401" w:type="pct"/>
            <w:tcBorders>
              <w:top w:val="nil"/>
              <w:bottom w:val="nil"/>
            </w:tcBorders>
            <w:shd w:val="clear" w:color="auto" w:fill="auto"/>
            <w:noWrap/>
            <w:vAlign w:val="center"/>
            <w:hideMark/>
          </w:tcPr>
          <w:p w14:paraId="45BDE5E3"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Incumbent inventors</w:t>
            </w:r>
          </w:p>
        </w:tc>
        <w:tc>
          <w:tcPr>
            <w:tcW w:w="602" w:type="pct"/>
            <w:tcBorders>
              <w:top w:val="nil"/>
              <w:bottom w:val="nil"/>
            </w:tcBorders>
            <w:shd w:val="clear" w:color="auto" w:fill="auto"/>
            <w:noWrap/>
            <w:vAlign w:val="center"/>
            <w:hideMark/>
          </w:tcPr>
          <w:p w14:paraId="21290D6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0.46***</w:t>
            </w:r>
          </w:p>
          <w:p w14:paraId="3EF5183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(0.16)</w:t>
            </w:r>
          </w:p>
        </w:tc>
        <w:tc>
          <w:tcPr>
            <w:tcW w:w="602" w:type="pct"/>
            <w:tcBorders>
              <w:top w:val="nil"/>
              <w:bottom w:val="nil"/>
            </w:tcBorders>
            <w:shd w:val="clear" w:color="auto" w:fill="auto"/>
            <w:noWrap/>
            <w:vAlign w:val="center"/>
            <w:hideMark/>
          </w:tcPr>
          <w:p w14:paraId="5BAFCFD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0.68***</w:t>
            </w:r>
          </w:p>
          <w:p w14:paraId="02C5A30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(0.16)</w:t>
            </w:r>
          </w:p>
        </w:tc>
        <w:tc>
          <w:tcPr>
            <w:tcW w:w="602" w:type="pct"/>
            <w:tcBorders>
              <w:top w:val="nil"/>
              <w:bottom w:val="nil"/>
            </w:tcBorders>
            <w:shd w:val="clear" w:color="auto" w:fill="auto"/>
            <w:noWrap/>
            <w:vAlign w:val="center"/>
            <w:hideMark/>
          </w:tcPr>
          <w:p w14:paraId="730D272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1.08***</w:t>
            </w:r>
          </w:p>
          <w:p w14:paraId="5AA3DF8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c>
          <w:tcPr>
            <w:tcW w:w="602" w:type="pct"/>
            <w:tcBorders>
              <w:top w:val="nil"/>
              <w:bottom w:val="nil"/>
            </w:tcBorders>
            <w:shd w:val="clear" w:color="auto" w:fill="auto"/>
            <w:noWrap/>
            <w:vAlign w:val="center"/>
            <w:hideMark/>
          </w:tcPr>
          <w:p w14:paraId="5BC43A0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1.11***</w:t>
            </w:r>
          </w:p>
          <w:p w14:paraId="11F2160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(0.15)</w:t>
            </w:r>
          </w:p>
        </w:tc>
        <w:tc>
          <w:tcPr>
            <w:tcW w:w="602" w:type="pct"/>
            <w:tcBorders>
              <w:top w:val="nil"/>
              <w:bottom w:val="nil"/>
            </w:tcBorders>
            <w:shd w:val="clear" w:color="auto" w:fill="auto"/>
            <w:noWrap/>
            <w:vAlign w:val="center"/>
            <w:hideMark/>
          </w:tcPr>
          <w:p w14:paraId="0F43BFF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0.75***</w:t>
            </w:r>
          </w:p>
          <w:p w14:paraId="3528542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tc>
        <w:tc>
          <w:tcPr>
            <w:tcW w:w="590" w:type="pct"/>
            <w:tcBorders>
              <w:top w:val="nil"/>
              <w:bottom w:val="nil"/>
            </w:tcBorders>
            <w:shd w:val="clear" w:color="auto" w:fill="auto"/>
            <w:noWrap/>
            <w:vAlign w:val="center"/>
            <w:hideMark/>
          </w:tcPr>
          <w:p w14:paraId="673030F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0.98***</w:t>
            </w:r>
          </w:p>
          <w:p w14:paraId="3ED2FEF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tc>
      </w:tr>
      <w:tr w:rsidR="00F955FC" w:rsidRPr="00A60CE9" w14:paraId="581D9BBA" w14:textId="77777777" w:rsidTr="00712F00">
        <w:trPr>
          <w:trHeight w:val="170"/>
          <w:jc w:val="center"/>
        </w:trPr>
        <w:tc>
          <w:tcPr>
            <w:tcW w:w="1401" w:type="pct"/>
            <w:tcBorders>
              <w:top w:val="nil"/>
              <w:bottom w:val="nil"/>
            </w:tcBorders>
            <w:shd w:val="clear" w:color="auto" w:fill="auto"/>
            <w:noWrap/>
            <w:vAlign w:val="center"/>
            <w:hideMark/>
          </w:tcPr>
          <w:p w14:paraId="05675734"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Departing inventors</w:t>
            </w:r>
          </w:p>
        </w:tc>
        <w:tc>
          <w:tcPr>
            <w:tcW w:w="602" w:type="pct"/>
            <w:tcBorders>
              <w:top w:val="nil"/>
              <w:bottom w:val="nil"/>
            </w:tcBorders>
            <w:shd w:val="clear" w:color="auto" w:fill="auto"/>
            <w:noWrap/>
            <w:vAlign w:val="center"/>
            <w:hideMark/>
          </w:tcPr>
          <w:p w14:paraId="68892AB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-0.19***</w:t>
            </w:r>
          </w:p>
          <w:p w14:paraId="7139DED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602" w:type="pct"/>
            <w:tcBorders>
              <w:top w:val="nil"/>
              <w:bottom w:val="nil"/>
            </w:tcBorders>
            <w:shd w:val="clear" w:color="auto" w:fill="auto"/>
            <w:noWrap/>
            <w:vAlign w:val="center"/>
            <w:hideMark/>
          </w:tcPr>
          <w:p w14:paraId="5425D45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1.00***</w:t>
            </w:r>
          </w:p>
          <w:p w14:paraId="4A4ED98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(0.08)</w:t>
            </w:r>
          </w:p>
        </w:tc>
        <w:tc>
          <w:tcPr>
            <w:tcW w:w="602" w:type="pct"/>
            <w:tcBorders>
              <w:top w:val="nil"/>
              <w:bottom w:val="nil"/>
            </w:tcBorders>
            <w:shd w:val="clear" w:color="auto" w:fill="auto"/>
            <w:noWrap/>
            <w:vAlign w:val="center"/>
            <w:hideMark/>
          </w:tcPr>
          <w:p w14:paraId="4DFCE3E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-0.23***</w:t>
            </w:r>
          </w:p>
          <w:p w14:paraId="79C0853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602" w:type="pct"/>
            <w:tcBorders>
              <w:top w:val="nil"/>
              <w:bottom w:val="nil"/>
            </w:tcBorders>
            <w:shd w:val="clear" w:color="auto" w:fill="auto"/>
            <w:noWrap/>
            <w:vAlign w:val="center"/>
            <w:hideMark/>
          </w:tcPr>
          <w:p w14:paraId="69C3567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-0.23***</w:t>
            </w:r>
          </w:p>
          <w:p w14:paraId="05D8D1C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602" w:type="pct"/>
            <w:tcBorders>
              <w:top w:val="nil"/>
              <w:bottom w:val="nil"/>
            </w:tcBorders>
            <w:shd w:val="clear" w:color="auto" w:fill="auto"/>
            <w:noWrap/>
            <w:vAlign w:val="center"/>
            <w:hideMark/>
          </w:tcPr>
          <w:p w14:paraId="69F54C4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-0.25***</w:t>
            </w:r>
          </w:p>
          <w:p w14:paraId="027C69C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590" w:type="pct"/>
            <w:tcBorders>
              <w:top w:val="nil"/>
              <w:bottom w:val="nil"/>
            </w:tcBorders>
            <w:shd w:val="clear" w:color="auto" w:fill="auto"/>
            <w:noWrap/>
            <w:vAlign w:val="center"/>
            <w:hideMark/>
          </w:tcPr>
          <w:p w14:paraId="79F3E32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-0.26***</w:t>
            </w:r>
          </w:p>
          <w:p w14:paraId="1C5DDE1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r>
      <w:tr w:rsidR="00F955FC" w:rsidRPr="00A60CE9" w14:paraId="127EE198" w14:textId="77777777" w:rsidTr="00712F00">
        <w:trPr>
          <w:trHeight w:val="170"/>
          <w:jc w:val="center"/>
        </w:trPr>
        <w:tc>
          <w:tcPr>
            <w:tcW w:w="1401" w:type="pct"/>
            <w:tcBorders>
              <w:top w:val="nil"/>
              <w:bottom w:val="nil"/>
              <w:right w:val="nil"/>
            </w:tcBorders>
            <w:shd w:val="clear" w:color="auto" w:fill="auto"/>
            <w:noWrap/>
            <w:vAlign w:val="center"/>
            <w:hideMark/>
          </w:tcPr>
          <w:p w14:paraId="02EC0F1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After M&amp;A</w:t>
            </w:r>
          </w:p>
        </w:tc>
        <w:tc>
          <w:tcPr>
            <w:tcW w:w="602" w:type="pct"/>
            <w:tcBorders>
              <w:top w:val="nil"/>
              <w:left w:val="nil"/>
              <w:bottom w:val="nil"/>
              <w:right w:val="nil"/>
            </w:tcBorders>
            <w:shd w:val="clear" w:color="auto" w:fill="auto"/>
            <w:noWrap/>
            <w:vAlign w:val="center"/>
            <w:hideMark/>
          </w:tcPr>
          <w:p w14:paraId="350B4A4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0.01</w:t>
            </w:r>
          </w:p>
          <w:p w14:paraId="0D2E7C9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(0.02)</w:t>
            </w:r>
          </w:p>
        </w:tc>
        <w:tc>
          <w:tcPr>
            <w:tcW w:w="602" w:type="pct"/>
            <w:tcBorders>
              <w:top w:val="nil"/>
              <w:left w:val="nil"/>
              <w:bottom w:val="nil"/>
            </w:tcBorders>
            <w:shd w:val="clear" w:color="auto" w:fill="auto"/>
            <w:noWrap/>
            <w:vAlign w:val="center"/>
            <w:hideMark/>
          </w:tcPr>
          <w:p w14:paraId="4B6E66B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0.84***</w:t>
            </w:r>
          </w:p>
          <w:p w14:paraId="6566C38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(0.04)</w:t>
            </w:r>
          </w:p>
        </w:tc>
        <w:tc>
          <w:tcPr>
            <w:tcW w:w="602" w:type="pct"/>
            <w:tcBorders>
              <w:top w:val="nil"/>
              <w:bottom w:val="nil"/>
            </w:tcBorders>
            <w:shd w:val="clear" w:color="auto" w:fill="auto"/>
            <w:noWrap/>
            <w:vAlign w:val="center"/>
            <w:hideMark/>
          </w:tcPr>
          <w:p w14:paraId="3269195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0.33***</w:t>
            </w:r>
          </w:p>
          <w:p w14:paraId="04FD268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602" w:type="pct"/>
            <w:tcBorders>
              <w:top w:val="nil"/>
              <w:bottom w:val="nil"/>
            </w:tcBorders>
            <w:shd w:val="clear" w:color="auto" w:fill="auto"/>
            <w:noWrap/>
            <w:vAlign w:val="center"/>
            <w:hideMark/>
          </w:tcPr>
          <w:p w14:paraId="7EBAA97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0.38***</w:t>
            </w:r>
          </w:p>
          <w:p w14:paraId="5A03C6B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602" w:type="pct"/>
            <w:tcBorders>
              <w:top w:val="nil"/>
              <w:bottom w:val="nil"/>
            </w:tcBorders>
            <w:shd w:val="clear" w:color="auto" w:fill="auto"/>
            <w:noWrap/>
            <w:vAlign w:val="center"/>
            <w:hideMark/>
          </w:tcPr>
          <w:p w14:paraId="5DEC4DC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0.34***</w:t>
            </w:r>
          </w:p>
          <w:p w14:paraId="4D6F99B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tc>
        <w:tc>
          <w:tcPr>
            <w:tcW w:w="590" w:type="pct"/>
            <w:tcBorders>
              <w:top w:val="nil"/>
              <w:bottom w:val="nil"/>
            </w:tcBorders>
            <w:shd w:val="clear" w:color="auto" w:fill="auto"/>
            <w:noWrap/>
            <w:vAlign w:val="center"/>
            <w:hideMark/>
          </w:tcPr>
          <w:p w14:paraId="4D68C89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0.44***</w:t>
            </w:r>
          </w:p>
          <w:p w14:paraId="47E40AC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(0.03)</w:t>
            </w:r>
          </w:p>
        </w:tc>
      </w:tr>
      <w:tr w:rsidR="00F955FC" w:rsidRPr="00A60CE9" w14:paraId="64D892E2" w14:textId="77777777" w:rsidTr="00712F00">
        <w:trPr>
          <w:trHeight w:val="170"/>
          <w:jc w:val="center"/>
        </w:trPr>
        <w:tc>
          <w:tcPr>
            <w:tcW w:w="1401" w:type="pct"/>
            <w:tcBorders>
              <w:top w:val="nil"/>
              <w:bottom w:val="nil"/>
              <w:right w:val="nil"/>
            </w:tcBorders>
            <w:shd w:val="clear" w:color="auto" w:fill="auto"/>
            <w:noWrap/>
            <w:vAlign w:val="center"/>
            <w:hideMark/>
          </w:tcPr>
          <w:p w14:paraId="28A14183"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Departing*After M&amp;A</w:t>
            </w:r>
          </w:p>
        </w:tc>
        <w:tc>
          <w:tcPr>
            <w:tcW w:w="602" w:type="pct"/>
            <w:tcBorders>
              <w:top w:val="nil"/>
              <w:left w:val="nil"/>
              <w:bottom w:val="nil"/>
              <w:right w:val="nil"/>
            </w:tcBorders>
            <w:shd w:val="clear" w:color="auto" w:fill="auto"/>
            <w:vAlign w:val="center"/>
          </w:tcPr>
          <w:p w14:paraId="4D5B0865"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left w:val="nil"/>
              <w:bottom w:val="nil"/>
            </w:tcBorders>
            <w:shd w:val="clear" w:color="auto" w:fill="auto"/>
            <w:noWrap/>
            <w:vAlign w:val="center"/>
            <w:hideMark/>
          </w:tcPr>
          <w:p w14:paraId="385DE14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-1.47***</w:t>
            </w:r>
          </w:p>
          <w:p w14:paraId="04996CA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(0.08)</w:t>
            </w:r>
          </w:p>
        </w:tc>
        <w:tc>
          <w:tcPr>
            <w:tcW w:w="602" w:type="pct"/>
            <w:tcBorders>
              <w:top w:val="nil"/>
              <w:bottom w:val="nil"/>
            </w:tcBorders>
            <w:shd w:val="clear" w:color="auto" w:fill="auto"/>
            <w:noWrap/>
            <w:vAlign w:val="center"/>
            <w:hideMark/>
          </w:tcPr>
          <w:p w14:paraId="0CE99A5C"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78D37989"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63EA6CDC" w14:textId="77777777" w:rsidR="00F955FC" w:rsidRPr="00A60CE9" w:rsidRDefault="00F955FC" w:rsidP="00712F00">
            <w:pPr>
              <w:spacing w:line="240" w:lineRule="auto"/>
              <w:contextualSpacing/>
              <w:rPr>
                <w:rFonts w:eastAsia="Times New Roman"/>
                <w:sz w:val="22"/>
                <w:lang w:eastAsia="fr-LU"/>
              </w:rPr>
            </w:pPr>
          </w:p>
        </w:tc>
        <w:tc>
          <w:tcPr>
            <w:tcW w:w="590" w:type="pct"/>
            <w:tcBorders>
              <w:top w:val="nil"/>
              <w:bottom w:val="nil"/>
            </w:tcBorders>
            <w:shd w:val="clear" w:color="auto" w:fill="auto"/>
            <w:noWrap/>
            <w:vAlign w:val="center"/>
            <w:hideMark/>
          </w:tcPr>
          <w:p w14:paraId="335F29EF" w14:textId="77777777" w:rsidR="00F955FC" w:rsidRPr="00A60CE9" w:rsidRDefault="00F955FC" w:rsidP="00712F00">
            <w:pPr>
              <w:spacing w:line="240" w:lineRule="auto"/>
              <w:contextualSpacing/>
              <w:rPr>
                <w:rFonts w:eastAsia="Times New Roman"/>
                <w:sz w:val="22"/>
                <w:lang w:eastAsia="fr-LU"/>
              </w:rPr>
            </w:pPr>
          </w:p>
        </w:tc>
      </w:tr>
      <w:tr w:rsidR="00F955FC" w:rsidRPr="00A60CE9" w14:paraId="24F37252" w14:textId="77777777" w:rsidTr="00712F00">
        <w:trPr>
          <w:trHeight w:val="170"/>
          <w:jc w:val="center"/>
        </w:trPr>
        <w:tc>
          <w:tcPr>
            <w:tcW w:w="1401" w:type="pct"/>
            <w:tcBorders>
              <w:top w:val="nil"/>
              <w:bottom w:val="nil"/>
              <w:right w:val="nil"/>
            </w:tcBorders>
            <w:shd w:val="clear" w:color="auto" w:fill="auto"/>
            <w:noWrap/>
            <w:vAlign w:val="center"/>
            <w:hideMark/>
          </w:tcPr>
          <w:p w14:paraId="6387D8D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iCs/>
                <w:sz w:val="22"/>
                <w:lang w:eastAsia="fr-LU"/>
              </w:rPr>
              <w:t>Incumbent</w:t>
            </w:r>
            <w:r w:rsidRPr="00A60CE9">
              <w:rPr>
                <w:rFonts w:eastAsia="Times New Roman"/>
                <w:sz w:val="22"/>
                <w:lang w:eastAsia="fr-LU"/>
              </w:rPr>
              <w:t>*After M&amp;A</w:t>
            </w:r>
          </w:p>
        </w:tc>
        <w:tc>
          <w:tcPr>
            <w:tcW w:w="602" w:type="pct"/>
            <w:tcBorders>
              <w:top w:val="nil"/>
              <w:left w:val="nil"/>
              <w:bottom w:val="nil"/>
              <w:right w:val="nil"/>
            </w:tcBorders>
            <w:shd w:val="clear" w:color="auto" w:fill="auto"/>
            <w:vAlign w:val="center"/>
          </w:tcPr>
          <w:p w14:paraId="6D97A4A5"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left w:val="nil"/>
              <w:bottom w:val="nil"/>
            </w:tcBorders>
            <w:shd w:val="clear" w:color="auto" w:fill="auto"/>
            <w:noWrap/>
            <w:vAlign w:val="center"/>
            <w:hideMark/>
          </w:tcPr>
          <w:p w14:paraId="6D9452A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-5.66***</w:t>
            </w:r>
          </w:p>
          <w:p w14:paraId="6E332B6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(0.24)</w:t>
            </w:r>
          </w:p>
        </w:tc>
        <w:tc>
          <w:tcPr>
            <w:tcW w:w="602" w:type="pct"/>
            <w:tcBorders>
              <w:top w:val="nil"/>
              <w:bottom w:val="nil"/>
            </w:tcBorders>
            <w:shd w:val="clear" w:color="auto" w:fill="auto"/>
            <w:noWrap/>
            <w:vAlign w:val="center"/>
            <w:hideMark/>
          </w:tcPr>
          <w:p w14:paraId="3C15EA5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-5.01***</w:t>
            </w:r>
          </w:p>
          <w:p w14:paraId="2FCAC05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(0.24)</w:t>
            </w:r>
          </w:p>
        </w:tc>
        <w:tc>
          <w:tcPr>
            <w:tcW w:w="602" w:type="pct"/>
            <w:tcBorders>
              <w:top w:val="nil"/>
              <w:bottom w:val="nil"/>
            </w:tcBorders>
            <w:shd w:val="clear" w:color="auto" w:fill="auto"/>
            <w:noWrap/>
            <w:vAlign w:val="center"/>
            <w:hideMark/>
          </w:tcPr>
          <w:p w14:paraId="1041120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-4.88***</w:t>
            </w:r>
          </w:p>
          <w:p w14:paraId="2B5CB91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(0.24)</w:t>
            </w:r>
          </w:p>
        </w:tc>
        <w:tc>
          <w:tcPr>
            <w:tcW w:w="602" w:type="pct"/>
            <w:tcBorders>
              <w:top w:val="nil"/>
              <w:bottom w:val="nil"/>
            </w:tcBorders>
            <w:shd w:val="clear" w:color="auto" w:fill="auto"/>
            <w:noWrap/>
            <w:vAlign w:val="center"/>
            <w:hideMark/>
          </w:tcPr>
          <w:p w14:paraId="1F362D9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-5.00***</w:t>
            </w:r>
          </w:p>
          <w:p w14:paraId="7C80634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(0.24)</w:t>
            </w:r>
          </w:p>
        </w:tc>
        <w:tc>
          <w:tcPr>
            <w:tcW w:w="590" w:type="pct"/>
            <w:tcBorders>
              <w:top w:val="nil"/>
              <w:bottom w:val="nil"/>
            </w:tcBorders>
            <w:shd w:val="clear" w:color="auto" w:fill="auto"/>
            <w:noWrap/>
            <w:vAlign w:val="center"/>
            <w:hideMark/>
          </w:tcPr>
          <w:p w14:paraId="646CAD8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-6.13***</w:t>
            </w:r>
          </w:p>
          <w:p w14:paraId="384AB44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(0.27)</w:t>
            </w:r>
          </w:p>
        </w:tc>
      </w:tr>
      <w:tr w:rsidR="00F955FC" w:rsidRPr="00A60CE9" w14:paraId="41FFCEB1" w14:textId="77777777" w:rsidTr="00712F00">
        <w:trPr>
          <w:trHeight w:val="170"/>
          <w:jc w:val="center"/>
        </w:trPr>
        <w:tc>
          <w:tcPr>
            <w:tcW w:w="1401" w:type="pct"/>
            <w:tcBorders>
              <w:top w:val="nil"/>
              <w:bottom w:val="nil"/>
              <w:right w:val="nil"/>
            </w:tcBorders>
            <w:shd w:val="clear" w:color="auto" w:fill="auto"/>
            <w:noWrap/>
            <w:vAlign w:val="center"/>
            <w:hideMark/>
          </w:tcPr>
          <w:p w14:paraId="2A757BCC"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New key inventors</w:t>
            </w:r>
          </w:p>
        </w:tc>
        <w:tc>
          <w:tcPr>
            <w:tcW w:w="602" w:type="pct"/>
            <w:tcBorders>
              <w:top w:val="nil"/>
              <w:left w:val="nil"/>
              <w:bottom w:val="nil"/>
              <w:right w:val="nil"/>
            </w:tcBorders>
            <w:shd w:val="clear" w:color="auto" w:fill="auto"/>
            <w:noWrap/>
            <w:vAlign w:val="center"/>
            <w:hideMark/>
          </w:tcPr>
          <w:p w14:paraId="781B09F0"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left w:val="nil"/>
              <w:bottom w:val="nil"/>
            </w:tcBorders>
            <w:shd w:val="clear" w:color="auto" w:fill="auto"/>
            <w:noWrap/>
            <w:vAlign w:val="center"/>
            <w:hideMark/>
          </w:tcPr>
          <w:p w14:paraId="40592B4E"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37DF379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-0.36***</w:t>
            </w:r>
          </w:p>
          <w:p w14:paraId="09635C31"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(0.06)</w:t>
            </w:r>
          </w:p>
        </w:tc>
        <w:tc>
          <w:tcPr>
            <w:tcW w:w="602" w:type="pct"/>
            <w:tcBorders>
              <w:top w:val="nil"/>
              <w:bottom w:val="nil"/>
            </w:tcBorders>
            <w:shd w:val="clear" w:color="auto" w:fill="auto"/>
            <w:noWrap/>
            <w:vAlign w:val="center"/>
            <w:hideMark/>
          </w:tcPr>
          <w:p w14:paraId="43D4853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-0.14*</w:t>
            </w:r>
          </w:p>
          <w:p w14:paraId="4B07586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(0.07)</w:t>
            </w:r>
          </w:p>
        </w:tc>
        <w:tc>
          <w:tcPr>
            <w:tcW w:w="602" w:type="pct"/>
            <w:tcBorders>
              <w:top w:val="nil"/>
              <w:bottom w:val="nil"/>
            </w:tcBorders>
            <w:shd w:val="clear" w:color="auto" w:fill="auto"/>
            <w:noWrap/>
            <w:vAlign w:val="center"/>
            <w:hideMark/>
          </w:tcPr>
          <w:p w14:paraId="73D78E4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-0.66***</w:t>
            </w:r>
          </w:p>
          <w:p w14:paraId="2F7A4DB4"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(0.08)</w:t>
            </w:r>
          </w:p>
        </w:tc>
        <w:tc>
          <w:tcPr>
            <w:tcW w:w="590" w:type="pct"/>
            <w:tcBorders>
              <w:top w:val="nil"/>
              <w:bottom w:val="nil"/>
            </w:tcBorders>
            <w:shd w:val="clear" w:color="auto" w:fill="auto"/>
            <w:noWrap/>
            <w:vAlign w:val="center"/>
            <w:hideMark/>
          </w:tcPr>
          <w:p w14:paraId="0203BB7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-0.20*</w:t>
            </w:r>
          </w:p>
          <w:p w14:paraId="643AE21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(0.11)</w:t>
            </w:r>
          </w:p>
        </w:tc>
      </w:tr>
      <w:tr w:rsidR="00F955FC" w:rsidRPr="00A60CE9" w14:paraId="1C83DEF4" w14:textId="77777777" w:rsidTr="00712F00">
        <w:trPr>
          <w:trHeight w:val="170"/>
          <w:jc w:val="center"/>
        </w:trPr>
        <w:tc>
          <w:tcPr>
            <w:tcW w:w="1401" w:type="pct"/>
            <w:tcBorders>
              <w:top w:val="nil"/>
              <w:bottom w:val="nil"/>
              <w:right w:val="nil"/>
            </w:tcBorders>
            <w:shd w:val="clear" w:color="auto" w:fill="auto"/>
            <w:noWrap/>
            <w:vAlign w:val="center"/>
            <w:hideMark/>
          </w:tcPr>
          <w:p w14:paraId="0DA93A5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iCs/>
                <w:sz w:val="22"/>
                <w:lang w:eastAsia="fr-LU"/>
              </w:rPr>
              <w:t>New key</w:t>
            </w:r>
            <w:r w:rsidRPr="00A60CE9">
              <w:rPr>
                <w:rFonts w:eastAsia="Times New Roman"/>
                <w:sz w:val="22"/>
                <w:lang w:eastAsia="fr-LU"/>
              </w:rPr>
              <w:t>*After M&amp;A</w:t>
            </w:r>
          </w:p>
        </w:tc>
        <w:tc>
          <w:tcPr>
            <w:tcW w:w="602" w:type="pct"/>
            <w:tcBorders>
              <w:top w:val="nil"/>
              <w:left w:val="nil"/>
              <w:bottom w:val="nil"/>
              <w:right w:val="nil"/>
            </w:tcBorders>
            <w:shd w:val="clear" w:color="auto" w:fill="auto"/>
            <w:vAlign w:val="center"/>
          </w:tcPr>
          <w:p w14:paraId="302FCD82"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left w:val="nil"/>
              <w:bottom w:val="nil"/>
            </w:tcBorders>
            <w:shd w:val="clear" w:color="auto" w:fill="auto"/>
            <w:noWrap/>
            <w:vAlign w:val="center"/>
            <w:hideMark/>
          </w:tcPr>
          <w:p w14:paraId="34EBCD05"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5524F5A8"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05F11AC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-0.69***</w:t>
            </w:r>
          </w:p>
          <w:p w14:paraId="0D9C2719"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(0.13)</w:t>
            </w:r>
          </w:p>
        </w:tc>
        <w:tc>
          <w:tcPr>
            <w:tcW w:w="602" w:type="pct"/>
            <w:tcBorders>
              <w:top w:val="nil"/>
              <w:bottom w:val="nil"/>
            </w:tcBorders>
            <w:shd w:val="clear" w:color="auto" w:fill="auto"/>
            <w:noWrap/>
            <w:vAlign w:val="center"/>
            <w:hideMark/>
          </w:tcPr>
          <w:p w14:paraId="3A949A69" w14:textId="77777777" w:rsidR="00F955FC" w:rsidRPr="00A60CE9" w:rsidRDefault="00F955FC" w:rsidP="00712F00">
            <w:pPr>
              <w:spacing w:line="240" w:lineRule="auto"/>
              <w:contextualSpacing/>
              <w:rPr>
                <w:rFonts w:eastAsia="Times New Roman"/>
                <w:sz w:val="22"/>
                <w:lang w:eastAsia="fr-LU"/>
              </w:rPr>
            </w:pPr>
          </w:p>
        </w:tc>
        <w:tc>
          <w:tcPr>
            <w:tcW w:w="590" w:type="pct"/>
            <w:tcBorders>
              <w:top w:val="nil"/>
              <w:bottom w:val="nil"/>
            </w:tcBorders>
            <w:shd w:val="clear" w:color="auto" w:fill="auto"/>
            <w:noWrap/>
            <w:vAlign w:val="center"/>
            <w:hideMark/>
          </w:tcPr>
          <w:p w14:paraId="71F48E0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-1.53***</w:t>
            </w:r>
          </w:p>
          <w:p w14:paraId="4DFA75B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(0.17)</w:t>
            </w:r>
          </w:p>
        </w:tc>
      </w:tr>
      <w:tr w:rsidR="00F955FC" w:rsidRPr="00A60CE9" w14:paraId="20B76C64" w14:textId="77777777" w:rsidTr="00712F00">
        <w:trPr>
          <w:trHeight w:val="170"/>
          <w:jc w:val="center"/>
        </w:trPr>
        <w:tc>
          <w:tcPr>
            <w:tcW w:w="1401" w:type="pct"/>
            <w:tcBorders>
              <w:top w:val="nil"/>
              <w:bottom w:val="nil"/>
              <w:right w:val="nil"/>
            </w:tcBorders>
            <w:shd w:val="clear" w:color="auto" w:fill="auto"/>
            <w:noWrap/>
            <w:vAlign w:val="center"/>
            <w:hideMark/>
          </w:tcPr>
          <w:p w14:paraId="0A0D03D2" w14:textId="77777777" w:rsidR="00F955FC" w:rsidRPr="00A60CE9" w:rsidRDefault="00F955FC" w:rsidP="00712F00">
            <w:pPr>
              <w:spacing w:line="240" w:lineRule="auto"/>
              <w:contextualSpacing/>
              <w:rPr>
                <w:rFonts w:eastAsia="Times New Roman"/>
                <w:iCs/>
                <w:sz w:val="22"/>
                <w:lang w:eastAsia="fr-LU"/>
              </w:rPr>
            </w:pPr>
            <w:r w:rsidRPr="00A60CE9">
              <w:rPr>
                <w:rFonts w:eastAsia="Times New Roman"/>
                <w:iCs/>
                <w:sz w:val="22"/>
                <w:lang w:eastAsia="fr-LU"/>
              </w:rPr>
              <w:t>Incumbent *New key</w:t>
            </w:r>
          </w:p>
        </w:tc>
        <w:tc>
          <w:tcPr>
            <w:tcW w:w="602" w:type="pct"/>
            <w:tcBorders>
              <w:top w:val="nil"/>
              <w:left w:val="nil"/>
              <w:bottom w:val="nil"/>
              <w:right w:val="nil"/>
            </w:tcBorders>
            <w:shd w:val="clear" w:color="auto" w:fill="auto"/>
            <w:noWrap/>
            <w:vAlign w:val="center"/>
            <w:hideMark/>
          </w:tcPr>
          <w:p w14:paraId="30584636"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left w:val="nil"/>
              <w:bottom w:val="nil"/>
            </w:tcBorders>
            <w:shd w:val="clear" w:color="auto" w:fill="auto"/>
            <w:noWrap/>
            <w:vAlign w:val="center"/>
            <w:hideMark/>
          </w:tcPr>
          <w:p w14:paraId="458A64ED"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694EB3BC"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0B5212C2"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nil"/>
            </w:tcBorders>
            <w:shd w:val="clear" w:color="auto" w:fill="auto"/>
            <w:noWrap/>
            <w:vAlign w:val="center"/>
            <w:hideMark/>
          </w:tcPr>
          <w:p w14:paraId="66A65FA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3.49***</w:t>
            </w:r>
          </w:p>
          <w:p w14:paraId="17B1BA28"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(0.59)</w:t>
            </w:r>
          </w:p>
        </w:tc>
        <w:tc>
          <w:tcPr>
            <w:tcW w:w="590" w:type="pct"/>
            <w:tcBorders>
              <w:top w:val="nil"/>
              <w:bottom w:val="nil"/>
            </w:tcBorders>
            <w:shd w:val="clear" w:color="auto" w:fill="auto"/>
            <w:noWrap/>
            <w:vAlign w:val="center"/>
            <w:hideMark/>
          </w:tcPr>
          <w:p w14:paraId="183F547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0.27</w:t>
            </w:r>
          </w:p>
          <w:p w14:paraId="509935F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(0.78)</w:t>
            </w:r>
          </w:p>
        </w:tc>
      </w:tr>
      <w:tr w:rsidR="00F955FC" w:rsidRPr="00A60CE9" w14:paraId="22388F71" w14:textId="77777777" w:rsidTr="00712F00">
        <w:trPr>
          <w:trHeight w:val="170"/>
          <w:jc w:val="center"/>
        </w:trPr>
        <w:tc>
          <w:tcPr>
            <w:tcW w:w="1401" w:type="pct"/>
            <w:tcBorders>
              <w:top w:val="nil"/>
              <w:bottom w:val="single" w:sz="2" w:space="0" w:color="auto"/>
              <w:right w:val="nil"/>
            </w:tcBorders>
            <w:shd w:val="clear" w:color="auto" w:fill="auto"/>
            <w:noWrap/>
            <w:vAlign w:val="center"/>
            <w:hideMark/>
          </w:tcPr>
          <w:p w14:paraId="37C60C4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iCs/>
                <w:sz w:val="22"/>
                <w:lang w:eastAsia="fr-LU"/>
              </w:rPr>
              <w:t>Incumbent *New key*</w:t>
            </w:r>
            <w:r w:rsidRPr="00A60CE9">
              <w:rPr>
                <w:rFonts w:eastAsia="Times New Roman"/>
                <w:sz w:val="22"/>
                <w:lang w:eastAsia="fr-LU"/>
              </w:rPr>
              <w:t xml:space="preserve"> After M&amp;A</w:t>
            </w:r>
          </w:p>
        </w:tc>
        <w:tc>
          <w:tcPr>
            <w:tcW w:w="602" w:type="pct"/>
            <w:tcBorders>
              <w:top w:val="nil"/>
              <w:left w:val="nil"/>
              <w:bottom w:val="single" w:sz="4" w:space="0" w:color="auto"/>
              <w:right w:val="nil"/>
            </w:tcBorders>
            <w:shd w:val="clear" w:color="auto" w:fill="auto"/>
            <w:vAlign w:val="center"/>
          </w:tcPr>
          <w:p w14:paraId="43D0B783"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left w:val="nil"/>
              <w:bottom w:val="single" w:sz="4" w:space="0" w:color="auto"/>
            </w:tcBorders>
            <w:shd w:val="clear" w:color="auto" w:fill="auto"/>
            <w:noWrap/>
            <w:vAlign w:val="center"/>
            <w:hideMark/>
          </w:tcPr>
          <w:p w14:paraId="391CE246"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single" w:sz="4" w:space="0" w:color="auto"/>
            </w:tcBorders>
            <w:shd w:val="clear" w:color="auto" w:fill="auto"/>
            <w:noWrap/>
            <w:vAlign w:val="center"/>
            <w:hideMark/>
          </w:tcPr>
          <w:p w14:paraId="24216E6C"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single" w:sz="4" w:space="0" w:color="auto"/>
            </w:tcBorders>
            <w:shd w:val="clear" w:color="auto" w:fill="auto"/>
            <w:noWrap/>
            <w:vAlign w:val="center"/>
            <w:hideMark/>
          </w:tcPr>
          <w:p w14:paraId="3195FAA7" w14:textId="77777777" w:rsidR="00F955FC" w:rsidRPr="00A60CE9" w:rsidRDefault="00F955FC" w:rsidP="00712F00">
            <w:pPr>
              <w:spacing w:line="240" w:lineRule="auto"/>
              <w:contextualSpacing/>
              <w:rPr>
                <w:rFonts w:eastAsia="Times New Roman"/>
                <w:sz w:val="22"/>
                <w:lang w:eastAsia="fr-LU"/>
              </w:rPr>
            </w:pPr>
          </w:p>
        </w:tc>
        <w:tc>
          <w:tcPr>
            <w:tcW w:w="602" w:type="pct"/>
            <w:tcBorders>
              <w:top w:val="nil"/>
              <w:bottom w:val="single" w:sz="4" w:space="0" w:color="auto"/>
            </w:tcBorders>
            <w:shd w:val="clear" w:color="auto" w:fill="auto"/>
            <w:noWrap/>
            <w:vAlign w:val="center"/>
            <w:hideMark/>
          </w:tcPr>
          <w:p w14:paraId="61BDB534" w14:textId="77777777" w:rsidR="00F955FC" w:rsidRPr="00A60CE9" w:rsidRDefault="00F955FC" w:rsidP="00712F00">
            <w:pPr>
              <w:spacing w:line="240" w:lineRule="auto"/>
              <w:contextualSpacing/>
              <w:rPr>
                <w:rFonts w:eastAsia="Times New Roman"/>
                <w:sz w:val="22"/>
                <w:lang w:eastAsia="fr-LU"/>
              </w:rPr>
            </w:pPr>
          </w:p>
        </w:tc>
        <w:tc>
          <w:tcPr>
            <w:tcW w:w="590" w:type="pct"/>
            <w:tcBorders>
              <w:top w:val="nil"/>
              <w:bottom w:val="single" w:sz="4" w:space="0" w:color="auto"/>
            </w:tcBorders>
            <w:shd w:val="clear" w:color="auto" w:fill="auto"/>
            <w:noWrap/>
            <w:vAlign w:val="center"/>
            <w:hideMark/>
          </w:tcPr>
          <w:p w14:paraId="45DD723E"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16.00***</w:t>
            </w:r>
          </w:p>
          <w:p w14:paraId="5B749302"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(1.64)</w:t>
            </w:r>
          </w:p>
        </w:tc>
      </w:tr>
      <w:tr w:rsidR="00F955FC" w:rsidRPr="00A60CE9" w14:paraId="69EEBBC7" w14:textId="77777777" w:rsidTr="00712F00">
        <w:trPr>
          <w:trHeight w:val="170"/>
          <w:jc w:val="center"/>
        </w:trPr>
        <w:tc>
          <w:tcPr>
            <w:tcW w:w="1401" w:type="pct"/>
            <w:tcBorders>
              <w:top w:val="single" w:sz="2" w:space="0" w:color="auto"/>
              <w:bottom w:val="nil"/>
            </w:tcBorders>
            <w:shd w:val="clear" w:color="auto" w:fill="auto"/>
            <w:noWrap/>
            <w:vAlign w:val="center"/>
            <w:hideMark/>
          </w:tcPr>
          <w:p w14:paraId="6EE3A21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Observations</w:t>
            </w:r>
          </w:p>
        </w:tc>
        <w:tc>
          <w:tcPr>
            <w:tcW w:w="602" w:type="pct"/>
            <w:tcBorders>
              <w:top w:val="single" w:sz="4" w:space="0" w:color="auto"/>
              <w:bottom w:val="nil"/>
            </w:tcBorders>
            <w:shd w:val="clear" w:color="auto" w:fill="auto"/>
            <w:noWrap/>
            <w:vAlign w:val="center"/>
            <w:hideMark/>
          </w:tcPr>
          <w:p w14:paraId="2DCF17F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3435</w:t>
            </w:r>
          </w:p>
        </w:tc>
        <w:tc>
          <w:tcPr>
            <w:tcW w:w="602" w:type="pct"/>
            <w:tcBorders>
              <w:top w:val="single" w:sz="4" w:space="0" w:color="auto"/>
              <w:bottom w:val="nil"/>
            </w:tcBorders>
            <w:shd w:val="clear" w:color="auto" w:fill="auto"/>
            <w:noWrap/>
            <w:vAlign w:val="center"/>
            <w:hideMark/>
          </w:tcPr>
          <w:p w14:paraId="7CD81CA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3435</w:t>
            </w:r>
          </w:p>
        </w:tc>
        <w:tc>
          <w:tcPr>
            <w:tcW w:w="602" w:type="pct"/>
            <w:tcBorders>
              <w:top w:val="single" w:sz="4" w:space="0" w:color="auto"/>
              <w:bottom w:val="nil"/>
            </w:tcBorders>
            <w:shd w:val="clear" w:color="auto" w:fill="auto"/>
            <w:noWrap/>
            <w:vAlign w:val="center"/>
            <w:hideMark/>
          </w:tcPr>
          <w:p w14:paraId="09D0010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3435</w:t>
            </w:r>
          </w:p>
        </w:tc>
        <w:tc>
          <w:tcPr>
            <w:tcW w:w="602" w:type="pct"/>
            <w:tcBorders>
              <w:top w:val="single" w:sz="4" w:space="0" w:color="auto"/>
              <w:bottom w:val="nil"/>
            </w:tcBorders>
            <w:shd w:val="clear" w:color="auto" w:fill="auto"/>
            <w:noWrap/>
            <w:vAlign w:val="center"/>
            <w:hideMark/>
          </w:tcPr>
          <w:p w14:paraId="0BC4DCD7"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3435</w:t>
            </w:r>
          </w:p>
        </w:tc>
        <w:tc>
          <w:tcPr>
            <w:tcW w:w="602" w:type="pct"/>
            <w:tcBorders>
              <w:top w:val="single" w:sz="4" w:space="0" w:color="auto"/>
              <w:bottom w:val="nil"/>
            </w:tcBorders>
            <w:shd w:val="clear" w:color="auto" w:fill="auto"/>
            <w:noWrap/>
            <w:vAlign w:val="center"/>
            <w:hideMark/>
          </w:tcPr>
          <w:p w14:paraId="1A58CF6B"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3435</w:t>
            </w:r>
          </w:p>
        </w:tc>
        <w:tc>
          <w:tcPr>
            <w:tcW w:w="590" w:type="pct"/>
            <w:tcBorders>
              <w:top w:val="single" w:sz="4" w:space="0" w:color="auto"/>
              <w:bottom w:val="nil"/>
            </w:tcBorders>
            <w:shd w:val="clear" w:color="auto" w:fill="auto"/>
            <w:noWrap/>
            <w:vAlign w:val="center"/>
            <w:hideMark/>
          </w:tcPr>
          <w:p w14:paraId="5C19EEE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3435</w:t>
            </w:r>
          </w:p>
        </w:tc>
      </w:tr>
      <w:tr w:rsidR="00F955FC" w:rsidRPr="00A60CE9" w14:paraId="52514048" w14:textId="77777777" w:rsidTr="00712F00">
        <w:trPr>
          <w:trHeight w:val="170"/>
          <w:jc w:val="center"/>
        </w:trPr>
        <w:tc>
          <w:tcPr>
            <w:tcW w:w="1401" w:type="pct"/>
            <w:tcBorders>
              <w:top w:val="nil"/>
              <w:bottom w:val="nil"/>
            </w:tcBorders>
            <w:shd w:val="clear" w:color="auto" w:fill="auto"/>
            <w:noWrap/>
            <w:vAlign w:val="center"/>
          </w:tcPr>
          <w:p w14:paraId="06A6B36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Year Dummies</w:t>
            </w:r>
          </w:p>
        </w:tc>
        <w:tc>
          <w:tcPr>
            <w:tcW w:w="602" w:type="pct"/>
            <w:tcBorders>
              <w:top w:val="nil"/>
              <w:bottom w:val="nil"/>
            </w:tcBorders>
            <w:shd w:val="clear" w:color="auto" w:fill="auto"/>
            <w:noWrap/>
            <w:vAlign w:val="center"/>
          </w:tcPr>
          <w:p w14:paraId="443D8F1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2" w:type="pct"/>
            <w:tcBorders>
              <w:top w:val="nil"/>
              <w:bottom w:val="nil"/>
            </w:tcBorders>
            <w:shd w:val="clear" w:color="auto" w:fill="auto"/>
            <w:noWrap/>
            <w:vAlign w:val="center"/>
          </w:tcPr>
          <w:p w14:paraId="08A8792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2" w:type="pct"/>
            <w:tcBorders>
              <w:top w:val="nil"/>
              <w:bottom w:val="nil"/>
            </w:tcBorders>
            <w:shd w:val="clear" w:color="auto" w:fill="auto"/>
            <w:noWrap/>
            <w:vAlign w:val="center"/>
          </w:tcPr>
          <w:p w14:paraId="423C54F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2" w:type="pct"/>
            <w:tcBorders>
              <w:top w:val="nil"/>
              <w:bottom w:val="nil"/>
            </w:tcBorders>
            <w:shd w:val="clear" w:color="auto" w:fill="auto"/>
            <w:noWrap/>
            <w:vAlign w:val="center"/>
          </w:tcPr>
          <w:p w14:paraId="1F943703"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602" w:type="pct"/>
            <w:tcBorders>
              <w:top w:val="nil"/>
              <w:bottom w:val="nil"/>
            </w:tcBorders>
            <w:shd w:val="clear" w:color="auto" w:fill="auto"/>
            <w:noWrap/>
            <w:vAlign w:val="center"/>
          </w:tcPr>
          <w:p w14:paraId="140F392C"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c>
          <w:tcPr>
            <w:tcW w:w="590" w:type="pct"/>
            <w:tcBorders>
              <w:top w:val="nil"/>
              <w:bottom w:val="nil"/>
            </w:tcBorders>
            <w:shd w:val="clear" w:color="auto" w:fill="auto"/>
            <w:noWrap/>
            <w:vAlign w:val="center"/>
          </w:tcPr>
          <w:p w14:paraId="2711009D"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YES</w:t>
            </w:r>
          </w:p>
        </w:tc>
      </w:tr>
      <w:tr w:rsidR="00F955FC" w:rsidRPr="00A60CE9" w14:paraId="44FB373E" w14:textId="77777777" w:rsidTr="00712F00">
        <w:trPr>
          <w:trHeight w:val="170"/>
          <w:jc w:val="center"/>
        </w:trPr>
        <w:tc>
          <w:tcPr>
            <w:tcW w:w="1401" w:type="pct"/>
            <w:tcBorders>
              <w:top w:val="nil"/>
              <w:bottom w:val="single" w:sz="4" w:space="0" w:color="auto"/>
            </w:tcBorders>
            <w:shd w:val="clear" w:color="auto" w:fill="auto"/>
            <w:noWrap/>
            <w:vAlign w:val="center"/>
          </w:tcPr>
          <w:p w14:paraId="121BDB4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 xml:space="preserve"> Likelihood Ratio Test</w:t>
            </w:r>
          </w:p>
        </w:tc>
        <w:tc>
          <w:tcPr>
            <w:tcW w:w="602" w:type="pct"/>
            <w:tcBorders>
              <w:top w:val="nil"/>
              <w:bottom w:val="single" w:sz="4" w:space="0" w:color="auto"/>
            </w:tcBorders>
            <w:shd w:val="clear" w:color="auto" w:fill="auto"/>
            <w:noWrap/>
            <w:vAlign w:val="center"/>
          </w:tcPr>
          <w:p w14:paraId="51B90E4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2611.77</w:t>
            </w:r>
          </w:p>
        </w:tc>
        <w:tc>
          <w:tcPr>
            <w:tcW w:w="602" w:type="pct"/>
            <w:tcBorders>
              <w:top w:val="nil"/>
              <w:bottom w:val="single" w:sz="4" w:space="0" w:color="auto"/>
            </w:tcBorders>
            <w:shd w:val="clear" w:color="auto" w:fill="auto"/>
            <w:noWrap/>
            <w:vAlign w:val="center"/>
          </w:tcPr>
          <w:p w14:paraId="4366D7C6"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2605.98</w:t>
            </w:r>
          </w:p>
        </w:tc>
        <w:tc>
          <w:tcPr>
            <w:tcW w:w="602" w:type="pct"/>
            <w:tcBorders>
              <w:top w:val="nil"/>
              <w:bottom w:val="single" w:sz="4" w:space="0" w:color="auto"/>
            </w:tcBorders>
            <w:shd w:val="clear" w:color="auto" w:fill="auto"/>
            <w:noWrap/>
            <w:vAlign w:val="center"/>
          </w:tcPr>
          <w:p w14:paraId="5B70900F"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2741.17</w:t>
            </w:r>
          </w:p>
        </w:tc>
        <w:tc>
          <w:tcPr>
            <w:tcW w:w="602" w:type="pct"/>
            <w:tcBorders>
              <w:top w:val="nil"/>
              <w:bottom w:val="single" w:sz="4" w:space="0" w:color="auto"/>
            </w:tcBorders>
            <w:shd w:val="clear" w:color="auto" w:fill="auto"/>
            <w:noWrap/>
            <w:vAlign w:val="center"/>
          </w:tcPr>
          <w:p w14:paraId="08537415"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2755.99</w:t>
            </w:r>
          </w:p>
        </w:tc>
        <w:tc>
          <w:tcPr>
            <w:tcW w:w="602" w:type="pct"/>
            <w:tcBorders>
              <w:top w:val="nil"/>
              <w:bottom w:val="single" w:sz="4" w:space="0" w:color="auto"/>
            </w:tcBorders>
            <w:shd w:val="clear" w:color="auto" w:fill="auto"/>
            <w:noWrap/>
            <w:vAlign w:val="center"/>
          </w:tcPr>
          <w:p w14:paraId="0498FAF0"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2753.91</w:t>
            </w:r>
          </w:p>
        </w:tc>
        <w:tc>
          <w:tcPr>
            <w:tcW w:w="590" w:type="pct"/>
            <w:tcBorders>
              <w:top w:val="nil"/>
              <w:bottom w:val="single" w:sz="4" w:space="0" w:color="auto"/>
            </w:tcBorders>
            <w:shd w:val="clear" w:color="auto" w:fill="auto"/>
            <w:noWrap/>
            <w:vAlign w:val="center"/>
          </w:tcPr>
          <w:p w14:paraId="7BDF6A3A" w14:textId="77777777" w:rsidR="00F955FC" w:rsidRPr="00A60CE9" w:rsidRDefault="00F955FC" w:rsidP="00712F00">
            <w:pPr>
              <w:spacing w:line="240" w:lineRule="auto"/>
              <w:contextualSpacing/>
              <w:rPr>
                <w:rFonts w:eastAsia="Times New Roman"/>
                <w:sz w:val="22"/>
                <w:lang w:eastAsia="fr-LU"/>
              </w:rPr>
            </w:pPr>
            <w:r w:rsidRPr="00A60CE9">
              <w:rPr>
                <w:rFonts w:eastAsia="Times New Roman"/>
                <w:sz w:val="22"/>
                <w:lang w:eastAsia="fr-LU"/>
              </w:rPr>
              <w:t>2793.95</w:t>
            </w:r>
          </w:p>
        </w:tc>
      </w:tr>
    </w:tbl>
    <w:p w14:paraId="74832F3F" w14:textId="77777777" w:rsidR="00FF5657" w:rsidRPr="00A60CE9" w:rsidRDefault="00FF5657" w:rsidP="00712F00">
      <w:pPr>
        <w:spacing w:line="240" w:lineRule="auto"/>
        <w:ind w:firstLine="720"/>
        <w:contextualSpacing/>
        <w:rPr>
          <w:i/>
          <w:sz w:val="20"/>
          <w:szCs w:val="18"/>
        </w:rPr>
      </w:pPr>
      <w:r w:rsidRPr="00A60CE9">
        <w:rPr>
          <w:i/>
          <w:sz w:val="20"/>
          <w:szCs w:val="18"/>
        </w:rPr>
        <w:t>Note: Table displays coefficients with standard errors in parentheses. *p&lt;0.10, **p&lt;0.05, *** p&lt;0.01</w:t>
      </w:r>
    </w:p>
    <w:p w14:paraId="67B8690A" w14:textId="77777777" w:rsidR="00FF5657" w:rsidRPr="00A60CE9" w:rsidRDefault="00FF5657" w:rsidP="00712F00">
      <w:pPr>
        <w:pStyle w:val="Heading2"/>
        <w:spacing w:line="240" w:lineRule="auto"/>
        <w:ind w:firstLine="720"/>
        <w:contextualSpacing/>
      </w:pPr>
      <w:r w:rsidRPr="00A60CE9">
        <w:t>Table A</w:t>
      </w:r>
      <w:r w:rsidR="00CB51C5" w:rsidRPr="00A60CE9">
        <w:t>5</w:t>
      </w:r>
      <w:r w:rsidRPr="00A60CE9">
        <w:t>. FE Poisson regression for firms’ patenting output.</w:t>
      </w:r>
    </w:p>
    <w:tbl>
      <w:tblPr>
        <w:tblW w:w="7951" w:type="dxa"/>
        <w:tblInd w:w="495" w:type="dxa"/>
        <w:tblLayout w:type="fixed"/>
        <w:tblCellMar>
          <w:left w:w="75" w:type="dxa"/>
          <w:right w:w="75" w:type="dxa"/>
        </w:tblCellMar>
        <w:tblLook w:val="0000" w:firstRow="0" w:lastRow="0" w:firstColumn="0" w:lastColumn="0" w:noHBand="0" w:noVBand="0"/>
      </w:tblPr>
      <w:tblGrid>
        <w:gridCol w:w="3059"/>
        <w:gridCol w:w="1223"/>
        <w:gridCol w:w="1223"/>
        <w:gridCol w:w="1223"/>
        <w:gridCol w:w="1223"/>
      </w:tblGrid>
      <w:tr w:rsidR="00FF5657" w:rsidRPr="00A60CE9" w14:paraId="1AED9670" w14:textId="77777777" w:rsidTr="00FC6DAC">
        <w:trPr>
          <w:trHeight w:val="227"/>
        </w:trPr>
        <w:tc>
          <w:tcPr>
            <w:tcW w:w="3059" w:type="dxa"/>
            <w:tcBorders>
              <w:top w:val="single" w:sz="6" w:space="0" w:color="auto"/>
              <w:left w:val="nil"/>
              <w:bottom w:val="single" w:sz="4" w:space="0" w:color="auto"/>
              <w:right w:val="nil"/>
            </w:tcBorders>
            <w:vAlign w:val="center"/>
          </w:tcPr>
          <w:p w14:paraId="28A286D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single" w:sz="6" w:space="0" w:color="auto"/>
              <w:left w:val="nil"/>
              <w:bottom w:val="single" w:sz="4" w:space="0" w:color="auto"/>
              <w:right w:val="nil"/>
            </w:tcBorders>
            <w:vAlign w:val="center"/>
          </w:tcPr>
          <w:p w14:paraId="7E1CAB24"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(1)</w:t>
            </w:r>
          </w:p>
        </w:tc>
        <w:tc>
          <w:tcPr>
            <w:tcW w:w="1223" w:type="dxa"/>
            <w:tcBorders>
              <w:top w:val="single" w:sz="6" w:space="0" w:color="auto"/>
              <w:left w:val="nil"/>
              <w:bottom w:val="single" w:sz="4" w:space="0" w:color="auto"/>
              <w:right w:val="nil"/>
            </w:tcBorders>
            <w:vAlign w:val="center"/>
          </w:tcPr>
          <w:p w14:paraId="2CDE82A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(2)</w:t>
            </w:r>
          </w:p>
        </w:tc>
        <w:tc>
          <w:tcPr>
            <w:tcW w:w="1223" w:type="dxa"/>
            <w:tcBorders>
              <w:top w:val="single" w:sz="6" w:space="0" w:color="auto"/>
              <w:left w:val="nil"/>
              <w:bottom w:val="single" w:sz="4" w:space="0" w:color="auto"/>
              <w:right w:val="nil"/>
            </w:tcBorders>
            <w:vAlign w:val="center"/>
          </w:tcPr>
          <w:p w14:paraId="6F4652BF"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(3)</w:t>
            </w:r>
          </w:p>
        </w:tc>
        <w:tc>
          <w:tcPr>
            <w:tcW w:w="1223" w:type="dxa"/>
            <w:tcBorders>
              <w:top w:val="single" w:sz="6" w:space="0" w:color="auto"/>
              <w:left w:val="nil"/>
              <w:bottom w:val="single" w:sz="4" w:space="0" w:color="auto"/>
              <w:right w:val="nil"/>
            </w:tcBorders>
            <w:vAlign w:val="center"/>
          </w:tcPr>
          <w:p w14:paraId="77E157A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(4)</w:t>
            </w:r>
          </w:p>
        </w:tc>
      </w:tr>
      <w:tr w:rsidR="00FF5657" w:rsidRPr="00A60CE9" w14:paraId="6E474213" w14:textId="77777777" w:rsidTr="00FC6DAC">
        <w:trPr>
          <w:trHeight w:val="227"/>
        </w:trPr>
        <w:tc>
          <w:tcPr>
            <w:tcW w:w="3059" w:type="dxa"/>
            <w:tcBorders>
              <w:top w:val="nil"/>
              <w:left w:val="nil"/>
              <w:bottom w:val="nil"/>
              <w:right w:val="nil"/>
            </w:tcBorders>
            <w:vAlign w:val="center"/>
          </w:tcPr>
          <w:p w14:paraId="27B113A4"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Size</w:t>
            </w:r>
          </w:p>
        </w:tc>
        <w:tc>
          <w:tcPr>
            <w:tcW w:w="1223" w:type="dxa"/>
            <w:tcBorders>
              <w:top w:val="nil"/>
              <w:left w:val="nil"/>
              <w:bottom w:val="nil"/>
              <w:right w:val="nil"/>
            </w:tcBorders>
            <w:vAlign w:val="center"/>
          </w:tcPr>
          <w:p w14:paraId="4F4B42F5"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0.11***</w:t>
            </w:r>
          </w:p>
        </w:tc>
        <w:tc>
          <w:tcPr>
            <w:tcW w:w="1223" w:type="dxa"/>
            <w:tcBorders>
              <w:top w:val="nil"/>
              <w:left w:val="nil"/>
              <w:bottom w:val="nil"/>
              <w:right w:val="nil"/>
            </w:tcBorders>
            <w:vAlign w:val="center"/>
          </w:tcPr>
          <w:p w14:paraId="15549CA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0.11***</w:t>
            </w:r>
          </w:p>
        </w:tc>
        <w:tc>
          <w:tcPr>
            <w:tcW w:w="1223" w:type="dxa"/>
            <w:tcBorders>
              <w:top w:val="nil"/>
              <w:left w:val="nil"/>
              <w:bottom w:val="nil"/>
              <w:right w:val="nil"/>
            </w:tcBorders>
            <w:vAlign w:val="center"/>
          </w:tcPr>
          <w:p w14:paraId="6A0B735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0.11***</w:t>
            </w:r>
          </w:p>
        </w:tc>
        <w:tc>
          <w:tcPr>
            <w:tcW w:w="1223" w:type="dxa"/>
            <w:tcBorders>
              <w:top w:val="nil"/>
              <w:left w:val="nil"/>
              <w:bottom w:val="nil"/>
              <w:right w:val="nil"/>
            </w:tcBorders>
            <w:vAlign w:val="center"/>
          </w:tcPr>
          <w:p w14:paraId="54557A7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0.11***</w:t>
            </w:r>
          </w:p>
        </w:tc>
      </w:tr>
      <w:tr w:rsidR="00FF5657" w:rsidRPr="00A60CE9" w14:paraId="591750CF" w14:textId="77777777" w:rsidTr="00FC6DAC">
        <w:trPr>
          <w:trHeight w:val="227"/>
        </w:trPr>
        <w:tc>
          <w:tcPr>
            <w:tcW w:w="3059" w:type="dxa"/>
            <w:tcBorders>
              <w:top w:val="nil"/>
              <w:left w:val="nil"/>
              <w:bottom w:val="nil"/>
              <w:right w:val="nil"/>
            </w:tcBorders>
            <w:vAlign w:val="center"/>
          </w:tcPr>
          <w:p w14:paraId="3EBECADD"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387952C8" w14:textId="77777777" w:rsidR="00FF5657" w:rsidRPr="00A60CE9" w:rsidRDefault="00FF5657" w:rsidP="00712F00">
            <w:pPr>
              <w:widowControl w:val="0"/>
              <w:tabs>
                <w:tab w:val="left" w:pos="355"/>
                <w:tab w:val="center" w:pos="807"/>
              </w:tabs>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21699BF9"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6B9166B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441E4A5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r>
      <w:tr w:rsidR="00FF5657" w:rsidRPr="00A60CE9" w14:paraId="11C35FE0" w14:textId="77777777" w:rsidTr="00FC6DAC">
        <w:trPr>
          <w:trHeight w:val="227"/>
        </w:trPr>
        <w:tc>
          <w:tcPr>
            <w:tcW w:w="3059" w:type="dxa"/>
            <w:tcBorders>
              <w:top w:val="nil"/>
              <w:left w:val="nil"/>
              <w:bottom w:val="nil"/>
              <w:right w:val="nil"/>
            </w:tcBorders>
            <w:vAlign w:val="center"/>
          </w:tcPr>
          <w:p w14:paraId="6E84078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Incumbent inventors</w:t>
            </w:r>
          </w:p>
        </w:tc>
        <w:tc>
          <w:tcPr>
            <w:tcW w:w="1223" w:type="dxa"/>
            <w:tcBorders>
              <w:top w:val="nil"/>
              <w:left w:val="nil"/>
              <w:bottom w:val="nil"/>
              <w:right w:val="nil"/>
            </w:tcBorders>
            <w:vAlign w:val="center"/>
          </w:tcPr>
          <w:p w14:paraId="5A221A04"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0.45***</w:t>
            </w:r>
          </w:p>
        </w:tc>
        <w:tc>
          <w:tcPr>
            <w:tcW w:w="1223" w:type="dxa"/>
            <w:tcBorders>
              <w:top w:val="nil"/>
              <w:left w:val="nil"/>
              <w:bottom w:val="nil"/>
              <w:right w:val="nil"/>
            </w:tcBorders>
            <w:vAlign w:val="center"/>
          </w:tcPr>
          <w:p w14:paraId="694CE00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0.49***</w:t>
            </w:r>
          </w:p>
        </w:tc>
        <w:tc>
          <w:tcPr>
            <w:tcW w:w="1223" w:type="dxa"/>
            <w:tcBorders>
              <w:top w:val="nil"/>
              <w:left w:val="nil"/>
              <w:bottom w:val="nil"/>
              <w:right w:val="nil"/>
            </w:tcBorders>
            <w:vAlign w:val="center"/>
          </w:tcPr>
          <w:p w14:paraId="453C08F9"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0.28**</w:t>
            </w:r>
          </w:p>
        </w:tc>
        <w:tc>
          <w:tcPr>
            <w:tcW w:w="1223" w:type="dxa"/>
            <w:tcBorders>
              <w:top w:val="nil"/>
              <w:left w:val="nil"/>
              <w:bottom w:val="nil"/>
              <w:right w:val="nil"/>
            </w:tcBorders>
            <w:vAlign w:val="center"/>
          </w:tcPr>
          <w:p w14:paraId="2B30FF6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0.29**</w:t>
            </w:r>
          </w:p>
        </w:tc>
      </w:tr>
      <w:tr w:rsidR="00FF5657" w:rsidRPr="00A60CE9" w14:paraId="782DE904" w14:textId="77777777" w:rsidTr="00FC6DAC">
        <w:trPr>
          <w:trHeight w:val="227"/>
        </w:trPr>
        <w:tc>
          <w:tcPr>
            <w:tcW w:w="3059" w:type="dxa"/>
            <w:tcBorders>
              <w:top w:val="nil"/>
              <w:left w:val="nil"/>
              <w:bottom w:val="nil"/>
              <w:right w:val="nil"/>
            </w:tcBorders>
            <w:vAlign w:val="center"/>
          </w:tcPr>
          <w:p w14:paraId="0F41CA1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69F303F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(0.10)</w:t>
            </w:r>
          </w:p>
        </w:tc>
        <w:tc>
          <w:tcPr>
            <w:tcW w:w="1223" w:type="dxa"/>
            <w:tcBorders>
              <w:top w:val="nil"/>
              <w:left w:val="nil"/>
              <w:bottom w:val="nil"/>
              <w:right w:val="nil"/>
            </w:tcBorders>
            <w:vAlign w:val="center"/>
          </w:tcPr>
          <w:p w14:paraId="2AECD1C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(0.10)</w:t>
            </w:r>
          </w:p>
        </w:tc>
        <w:tc>
          <w:tcPr>
            <w:tcW w:w="1223" w:type="dxa"/>
            <w:tcBorders>
              <w:top w:val="nil"/>
              <w:left w:val="nil"/>
              <w:bottom w:val="nil"/>
              <w:right w:val="nil"/>
            </w:tcBorders>
            <w:vAlign w:val="center"/>
          </w:tcPr>
          <w:p w14:paraId="5A37D8F1"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(0.11)</w:t>
            </w:r>
          </w:p>
        </w:tc>
        <w:tc>
          <w:tcPr>
            <w:tcW w:w="1223" w:type="dxa"/>
            <w:tcBorders>
              <w:top w:val="nil"/>
              <w:left w:val="nil"/>
              <w:bottom w:val="nil"/>
              <w:right w:val="nil"/>
            </w:tcBorders>
            <w:vAlign w:val="center"/>
          </w:tcPr>
          <w:p w14:paraId="2B8A6ABF"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(0.12)</w:t>
            </w:r>
          </w:p>
        </w:tc>
      </w:tr>
      <w:tr w:rsidR="00FF5657" w:rsidRPr="00A60CE9" w14:paraId="338022BF" w14:textId="77777777" w:rsidTr="00FC6DAC">
        <w:trPr>
          <w:trHeight w:val="227"/>
        </w:trPr>
        <w:tc>
          <w:tcPr>
            <w:tcW w:w="3059" w:type="dxa"/>
            <w:tcBorders>
              <w:top w:val="nil"/>
              <w:left w:val="nil"/>
              <w:bottom w:val="nil"/>
              <w:right w:val="nil"/>
            </w:tcBorders>
            <w:vAlign w:val="center"/>
          </w:tcPr>
          <w:p w14:paraId="1451312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Departing inventors</w:t>
            </w:r>
          </w:p>
        </w:tc>
        <w:tc>
          <w:tcPr>
            <w:tcW w:w="1223" w:type="dxa"/>
            <w:tcBorders>
              <w:top w:val="nil"/>
              <w:left w:val="nil"/>
              <w:bottom w:val="nil"/>
              <w:right w:val="nil"/>
            </w:tcBorders>
            <w:vAlign w:val="center"/>
          </w:tcPr>
          <w:p w14:paraId="09D81C0F"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-0.18***</w:t>
            </w:r>
          </w:p>
        </w:tc>
        <w:tc>
          <w:tcPr>
            <w:tcW w:w="1223" w:type="dxa"/>
            <w:tcBorders>
              <w:top w:val="nil"/>
              <w:left w:val="nil"/>
              <w:bottom w:val="nil"/>
              <w:right w:val="nil"/>
            </w:tcBorders>
            <w:vAlign w:val="center"/>
          </w:tcPr>
          <w:p w14:paraId="42B93255"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-0.19***</w:t>
            </w:r>
          </w:p>
        </w:tc>
        <w:tc>
          <w:tcPr>
            <w:tcW w:w="1223" w:type="dxa"/>
            <w:tcBorders>
              <w:top w:val="nil"/>
              <w:left w:val="nil"/>
              <w:bottom w:val="nil"/>
              <w:right w:val="nil"/>
            </w:tcBorders>
            <w:vAlign w:val="center"/>
          </w:tcPr>
          <w:p w14:paraId="55CCBA4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-0.18***</w:t>
            </w:r>
          </w:p>
        </w:tc>
        <w:tc>
          <w:tcPr>
            <w:tcW w:w="1223" w:type="dxa"/>
            <w:tcBorders>
              <w:top w:val="nil"/>
              <w:left w:val="nil"/>
              <w:bottom w:val="nil"/>
              <w:right w:val="nil"/>
            </w:tcBorders>
            <w:vAlign w:val="center"/>
          </w:tcPr>
          <w:p w14:paraId="2A12EFA4"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-0.19***</w:t>
            </w:r>
          </w:p>
        </w:tc>
      </w:tr>
      <w:tr w:rsidR="00FF5657" w:rsidRPr="00A60CE9" w14:paraId="3F2E0588" w14:textId="77777777" w:rsidTr="00FC6DAC">
        <w:trPr>
          <w:trHeight w:val="227"/>
        </w:trPr>
        <w:tc>
          <w:tcPr>
            <w:tcW w:w="3059" w:type="dxa"/>
            <w:tcBorders>
              <w:top w:val="nil"/>
              <w:left w:val="nil"/>
              <w:bottom w:val="nil"/>
              <w:right w:val="nil"/>
            </w:tcBorders>
            <w:vAlign w:val="center"/>
          </w:tcPr>
          <w:p w14:paraId="55C1CDC1"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06FF5330"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(0.03)</w:t>
            </w:r>
          </w:p>
        </w:tc>
        <w:tc>
          <w:tcPr>
            <w:tcW w:w="1223" w:type="dxa"/>
            <w:tcBorders>
              <w:top w:val="nil"/>
              <w:left w:val="nil"/>
              <w:bottom w:val="nil"/>
              <w:right w:val="nil"/>
            </w:tcBorders>
            <w:vAlign w:val="center"/>
          </w:tcPr>
          <w:p w14:paraId="0C27056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(0.03)</w:t>
            </w:r>
          </w:p>
        </w:tc>
        <w:tc>
          <w:tcPr>
            <w:tcW w:w="1223" w:type="dxa"/>
            <w:tcBorders>
              <w:top w:val="nil"/>
              <w:left w:val="nil"/>
              <w:bottom w:val="nil"/>
              <w:right w:val="nil"/>
            </w:tcBorders>
            <w:vAlign w:val="center"/>
          </w:tcPr>
          <w:p w14:paraId="5006CCE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(0.03)</w:t>
            </w:r>
          </w:p>
        </w:tc>
        <w:tc>
          <w:tcPr>
            <w:tcW w:w="1223" w:type="dxa"/>
            <w:tcBorders>
              <w:top w:val="nil"/>
              <w:left w:val="nil"/>
              <w:bottom w:val="nil"/>
              <w:right w:val="nil"/>
            </w:tcBorders>
            <w:vAlign w:val="center"/>
          </w:tcPr>
          <w:p w14:paraId="2FF0AD1D"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(0.03)</w:t>
            </w:r>
          </w:p>
        </w:tc>
      </w:tr>
      <w:tr w:rsidR="00FF5657" w:rsidRPr="00A60CE9" w14:paraId="291D9893" w14:textId="77777777" w:rsidTr="00FC6DAC">
        <w:trPr>
          <w:trHeight w:val="227"/>
        </w:trPr>
        <w:tc>
          <w:tcPr>
            <w:tcW w:w="3059" w:type="dxa"/>
            <w:tcBorders>
              <w:top w:val="nil"/>
              <w:left w:val="nil"/>
              <w:bottom w:val="nil"/>
              <w:right w:val="nil"/>
            </w:tcBorders>
            <w:vAlign w:val="center"/>
          </w:tcPr>
          <w:p w14:paraId="6396FDA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After M&amp;A</w:t>
            </w:r>
          </w:p>
        </w:tc>
        <w:tc>
          <w:tcPr>
            <w:tcW w:w="1223" w:type="dxa"/>
            <w:tcBorders>
              <w:top w:val="nil"/>
              <w:left w:val="nil"/>
              <w:bottom w:val="nil"/>
              <w:right w:val="nil"/>
            </w:tcBorders>
            <w:vAlign w:val="center"/>
          </w:tcPr>
          <w:p w14:paraId="328D17C7"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69D604A8"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-0.04**</w:t>
            </w:r>
          </w:p>
        </w:tc>
        <w:tc>
          <w:tcPr>
            <w:tcW w:w="1223" w:type="dxa"/>
            <w:tcBorders>
              <w:top w:val="nil"/>
              <w:left w:val="nil"/>
              <w:bottom w:val="nil"/>
              <w:right w:val="nil"/>
            </w:tcBorders>
            <w:vAlign w:val="center"/>
          </w:tcPr>
          <w:p w14:paraId="527D994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376E9A2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-0.04**</w:t>
            </w:r>
          </w:p>
        </w:tc>
      </w:tr>
      <w:tr w:rsidR="00FF5657" w:rsidRPr="00A60CE9" w14:paraId="0DC8F4CC" w14:textId="77777777" w:rsidTr="00FC6DAC">
        <w:trPr>
          <w:trHeight w:val="227"/>
        </w:trPr>
        <w:tc>
          <w:tcPr>
            <w:tcW w:w="3059" w:type="dxa"/>
            <w:tcBorders>
              <w:top w:val="nil"/>
              <w:left w:val="nil"/>
              <w:bottom w:val="nil"/>
              <w:right w:val="nil"/>
            </w:tcBorders>
            <w:vAlign w:val="center"/>
          </w:tcPr>
          <w:p w14:paraId="6F730C47"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2BAAE79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(0.02)</w:t>
            </w:r>
          </w:p>
        </w:tc>
        <w:tc>
          <w:tcPr>
            <w:tcW w:w="1223" w:type="dxa"/>
            <w:tcBorders>
              <w:top w:val="nil"/>
              <w:left w:val="nil"/>
              <w:bottom w:val="nil"/>
              <w:right w:val="nil"/>
            </w:tcBorders>
            <w:vAlign w:val="center"/>
          </w:tcPr>
          <w:p w14:paraId="5682958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(0.02)</w:t>
            </w:r>
          </w:p>
        </w:tc>
        <w:tc>
          <w:tcPr>
            <w:tcW w:w="1223" w:type="dxa"/>
            <w:tcBorders>
              <w:top w:val="nil"/>
              <w:left w:val="nil"/>
              <w:bottom w:val="nil"/>
              <w:right w:val="nil"/>
            </w:tcBorders>
            <w:vAlign w:val="center"/>
          </w:tcPr>
          <w:p w14:paraId="6AAFD69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(0.02)</w:t>
            </w:r>
          </w:p>
        </w:tc>
        <w:tc>
          <w:tcPr>
            <w:tcW w:w="1223" w:type="dxa"/>
            <w:tcBorders>
              <w:top w:val="nil"/>
              <w:left w:val="nil"/>
              <w:bottom w:val="nil"/>
              <w:right w:val="nil"/>
            </w:tcBorders>
            <w:vAlign w:val="center"/>
          </w:tcPr>
          <w:p w14:paraId="76C8BB5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(0.02)</w:t>
            </w:r>
          </w:p>
        </w:tc>
      </w:tr>
      <w:tr w:rsidR="00FF5657" w:rsidRPr="00A60CE9" w14:paraId="2F0AF21F" w14:textId="77777777" w:rsidTr="00FC6DAC">
        <w:trPr>
          <w:trHeight w:val="227"/>
        </w:trPr>
        <w:tc>
          <w:tcPr>
            <w:tcW w:w="3059" w:type="dxa"/>
            <w:tcBorders>
              <w:top w:val="nil"/>
              <w:left w:val="nil"/>
              <w:bottom w:val="nil"/>
              <w:right w:val="nil"/>
            </w:tcBorders>
            <w:vAlign w:val="center"/>
          </w:tcPr>
          <w:p w14:paraId="7163DC18"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Incumbent*After M&amp;A</w:t>
            </w:r>
          </w:p>
        </w:tc>
        <w:tc>
          <w:tcPr>
            <w:tcW w:w="1223" w:type="dxa"/>
            <w:tcBorders>
              <w:top w:val="nil"/>
              <w:left w:val="nil"/>
              <w:bottom w:val="nil"/>
              <w:right w:val="nil"/>
            </w:tcBorders>
            <w:vAlign w:val="center"/>
          </w:tcPr>
          <w:p w14:paraId="1EFF887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-1.87***</w:t>
            </w:r>
          </w:p>
        </w:tc>
        <w:tc>
          <w:tcPr>
            <w:tcW w:w="1223" w:type="dxa"/>
            <w:tcBorders>
              <w:top w:val="nil"/>
              <w:left w:val="nil"/>
              <w:bottom w:val="nil"/>
              <w:right w:val="nil"/>
            </w:tcBorders>
            <w:vAlign w:val="center"/>
          </w:tcPr>
          <w:p w14:paraId="4C223D7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-1.91***</w:t>
            </w:r>
          </w:p>
        </w:tc>
        <w:tc>
          <w:tcPr>
            <w:tcW w:w="1223" w:type="dxa"/>
            <w:tcBorders>
              <w:top w:val="nil"/>
              <w:left w:val="nil"/>
              <w:bottom w:val="nil"/>
              <w:right w:val="nil"/>
            </w:tcBorders>
            <w:vAlign w:val="center"/>
          </w:tcPr>
          <w:p w14:paraId="589D56C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-1.91***</w:t>
            </w:r>
          </w:p>
        </w:tc>
        <w:tc>
          <w:tcPr>
            <w:tcW w:w="1223" w:type="dxa"/>
            <w:tcBorders>
              <w:top w:val="nil"/>
              <w:left w:val="nil"/>
              <w:bottom w:val="nil"/>
              <w:right w:val="nil"/>
            </w:tcBorders>
            <w:vAlign w:val="center"/>
          </w:tcPr>
          <w:p w14:paraId="2716C18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-2.05***</w:t>
            </w:r>
          </w:p>
        </w:tc>
      </w:tr>
      <w:tr w:rsidR="00FF5657" w:rsidRPr="00A60CE9" w14:paraId="38E1C3E0" w14:textId="77777777" w:rsidTr="00FC6DAC">
        <w:trPr>
          <w:trHeight w:val="227"/>
        </w:trPr>
        <w:tc>
          <w:tcPr>
            <w:tcW w:w="3059" w:type="dxa"/>
            <w:tcBorders>
              <w:top w:val="nil"/>
              <w:left w:val="nil"/>
              <w:bottom w:val="nil"/>
              <w:right w:val="nil"/>
            </w:tcBorders>
            <w:vAlign w:val="center"/>
          </w:tcPr>
          <w:p w14:paraId="51F74AD4"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16FE905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(0.13)</w:t>
            </w:r>
          </w:p>
        </w:tc>
        <w:tc>
          <w:tcPr>
            <w:tcW w:w="1223" w:type="dxa"/>
            <w:tcBorders>
              <w:top w:val="nil"/>
              <w:left w:val="nil"/>
              <w:bottom w:val="nil"/>
              <w:right w:val="nil"/>
            </w:tcBorders>
            <w:vAlign w:val="center"/>
          </w:tcPr>
          <w:p w14:paraId="3EF5287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(0.13)</w:t>
            </w:r>
          </w:p>
        </w:tc>
        <w:tc>
          <w:tcPr>
            <w:tcW w:w="1223" w:type="dxa"/>
            <w:tcBorders>
              <w:top w:val="nil"/>
              <w:left w:val="nil"/>
              <w:bottom w:val="nil"/>
              <w:right w:val="nil"/>
            </w:tcBorders>
            <w:vAlign w:val="center"/>
          </w:tcPr>
          <w:p w14:paraId="5E1E0730"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(0.13)</w:t>
            </w:r>
          </w:p>
        </w:tc>
        <w:tc>
          <w:tcPr>
            <w:tcW w:w="1223" w:type="dxa"/>
            <w:tcBorders>
              <w:top w:val="nil"/>
              <w:left w:val="nil"/>
              <w:bottom w:val="nil"/>
              <w:right w:val="nil"/>
            </w:tcBorders>
            <w:vAlign w:val="center"/>
          </w:tcPr>
          <w:p w14:paraId="4106B1D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(0.16)</w:t>
            </w:r>
          </w:p>
        </w:tc>
      </w:tr>
      <w:tr w:rsidR="00FF5657" w:rsidRPr="00A60CE9" w14:paraId="20E8BDAD" w14:textId="77777777" w:rsidTr="00FC6DAC">
        <w:trPr>
          <w:trHeight w:val="227"/>
        </w:trPr>
        <w:tc>
          <w:tcPr>
            <w:tcW w:w="3059" w:type="dxa"/>
            <w:tcBorders>
              <w:top w:val="nil"/>
              <w:left w:val="nil"/>
              <w:bottom w:val="nil"/>
              <w:right w:val="nil"/>
            </w:tcBorders>
            <w:vAlign w:val="center"/>
          </w:tcPr>
          <w:p w14:paraId="48242D6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New non-key inventors</w:t>
            </w:r>
          </w:p>
        </w:tc>
        <w:tc>
          <w:tcPr>
            <w:tcW w:w="1223" w:type="dxa"/>
            <w:tcBorders>
              <w:top w:val="nil"/>
              <w:left w:val="nil"/>
              <w:bottom w:val="nil"/>
              <w:right w:val="nil"/>
            </w:tcBorders>
            <w:vAlign w:val="center"/>
          </w:tcPr>
          <w:p w14:paraId="2EEDED9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-0.02***</w:t>
            </w:r>
          </w:p>
        </w:tc>
        <w:tc>
          <w:tcPr>
            <w:tcW w:w="1223" w:type="dxa"/>
            <w:tcBorders>
              <w:top w:val="nil"/>
              <w:left w:val="nil"/>
              <w:bottom w:val="nil"/>
              <w:right w:val="nil"/>
            </w:tcBorders>
            <w:vAlign w:val="center"/>
          </w:tcPr>
          <w:p w14:paraId="78C12773"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-0.07***</w:t>
            </w:r>
          </w:p>
        </w:tc>
        <w:tc>
          <w:tcPr>
            <w:tcW w:w="1223" w:type="dxa"/>
            <w:tcBorders>
              <w:top w:val="nil"/>
              <w:left w:val="nil"/>
              <w:bottom w:val="nil"/>
              <w:right w:val="nil"/>
            </w:tcBorders>
            <w:vAlign w:val="center"/>
          </w:tcPr>
          <w:p w14:paraId="2513664F"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-0.02***</w:t>
            </w:r>
          </w:p>
        </w:tc>
        <w:tc>
          <w:tcPr>
            <w:tcW w:w="1223" w:type="dxa"/>
            <w:tcBorders>
              <w:top w:val="nil"/>
              <w:left w:val="nil"/>
              <w:bottom w:val="nil"/>
              <w:right w:val="nil"/>
            </w:tcBorders>
            <w:vAlign w:val="center"/>
          </w:tcPr>
          <w:p w14:paraId="74489E2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-0.09***</w:t>
            </w:r>
          </w:p>
        </w:tc>
      </w:tr>
      <w:tr w:rsidR="00FF5657" w:rsidRPr="00A60CE9" w14:paraId="1C0D1BC3" w14:textId="77777777" w:rsidTr="00FC6DAC">
        <w:trPr>
          <w:trHeight w:val="227"/>
        </w:trPr>
        <w:tc>
          <w:tcPr>
            <w:tcW w:w="3059" w:type="dxa"/>
            <w:tcBorders>
              <w:top w:val="nil"/>
              <w:left w:val="nil"/>
              <w:bottom w:val="nil"/>
              <w:right w:val="nil"/>
            </w:tcBorders>
            <w:vAlign w:val="center"/>
          </w:tcPr>
          <w:p w14:paraId="1BC1589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63712C71"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07C2C7B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56756B9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71AD2FB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r>
      <w:tr w:rsidR="00FF5657" w:rsidRPr="00A60CE9" w14:paraId="6558B7E1" w14:textId="77777777" w:rsidTr="00FC6DAC">
        <w:trPr>
          <w:trHeight w:val="227"/>
        </w:trPr>
        <w:tc>
          <w:tcPr>
            <w:tcW w:w="3059" w:type="dxa"/>
            <w:vMerge w:val="restart"/>
            <w:tcBorders>
              <w:top w:val="nil"/>
              <w:left w:val="nil"/>
              <w:right w:val="nil"/>
            </w:tcBorders>
            <w:vAlign w:val="center"/>
          </w:tcPr>
          <w:p w14:paraId="3DEEC103"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New non-key *After M&amp;A</w:t>
            </w:r>
          </w:p>
        </w:tc>
        <w:tc>
          <w:tcPr>
            <w:tcW w:w="1223" w:type="dxa"/>
            <w:tcBorders>
              <w:top w:val="nil"/>
              <w:left w:val="nil"/>
              <w:bottom w:val="nil"/>
              <w:right w:val="nil"/>
            </w:tcBorders>
            <w:vAlign w:val="center"/>
          </w:tcPr>
          <w:p w14:paraId="0B6F5A4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49E6DC29"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0.07***</w:t>
            </w:r>
          </w:p>
        </w:tc>
        <w:tc>
          <w:tcPr>
            <w:tcW w:w="1223" w:type="dxa"/>
            <w:tcBorders>
              <w:top w:val="nil"/>
              <w:left w:val="nil"/>
              <w:bottom w:val="nil"/>
              <w:right w:val="nil"/>
            </w:tcBorders>
            <w:vAlign w:val="center"/>
          </w:tcPr>
          <w:p w14:paraId="3898FB98"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5FF8C2D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0.07***</w:t>
            </w:r>
          </w:p>
        </w:tc>
      </w:tr>
      <w:tr w:rsidR="00FF5657" w:rsidRPr="00A60CE9" w14:paraId="554CBCE9" w14:textId="77777777" w:rsidTr="00FC6DAC">
        <w:trPr>
          <w:trHeight w:val="227"/>
        </w:trPr>
        <w:tc>
          <w:tcPr>
            <w:tcW w:w="3059" w:type="dxa"/>
            <w:vMerge/>
            <w:tcBorders>
              <w:left w:val="nil"/>
              <w:bottom w:val="nil"/>
              <w:right w:val="nil"/>
            </w:tcBorders>
            <w:vAlign w:val="center"/>
          </w:tcPr>
          <w:p w14:paraId="17932EE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047AE03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78F822FF"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c>
          <w:tcPr>
            <w:tcW w:w="1223" w:type="dxa"/>
            <w:tcBorders>
              <w:top w:val="nil"/>
              <w:left w:val="nil"/>
              <w:bottom w:val="nil"/>
              <w:right w:val="nil"/>
            </w:tcBorders>
            <w:vAlign w:val="center"/>
          </w:tcPr>
          <w:p w14:paraId="6263975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21B26EA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(0.01)</w:t>
            </w:r>
          </w:p>
        </w:tc>
      </w:tr>
      <w:tr w:rsidR="00FF5657" w:rsidRPr="00A60CE9" w14:paraId="00951FCB" w14:textId="77777777" w:rsidTr="00FC6DAC">
        <w:trPr>
          <w:trHeight w:val="227"/>
        </w:trPr>
        <w:tc>
          <w:tcPr>
            <w:tcW w:w="3059" w:type="dxa"/>
            <w:vMerge w:val="restart"/>
            <w:tcBorders>
              <w:top w:val="nil"/>
              <w:left w:val="nil"/>
              <w:right w:val="nil"/>
            </w:tcBorders>
            <w:vAlign w:val="center"/>
          </w:tcPr>
          <w:p w14:paraId="7BF81D38"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Incumbent * New non-key</w:t>
            </w:r>
          </w:p>
        </w:tc>
        <w:tc>
          <w:tcPr>
            <w:tcW w:w="1223" w:type="dxa"/>
            <w:tcBorders>
              <w:top w:val="nil"/>
              <w:left w:val="nil"/>
              <w:bottom w:val="nil"/>
              <w:right w:val="nil"/>
            </w:tcBorders>
            <w:vAlign w:val="center"/>
          </w:tcPr>
          <w:p w14:paraId="7885E0B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430B5BA5"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25C7B09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0.25***</w:t>
            </w:r>
          </w:p>
        </w:tc>
        <w:tc>
          <w:tcPr>
            <w:tcW w:w="1223" w:type="dxa"/>
            <w:tcBorders>
              <w:top w:val="nil"/>
              <w:left w:val="nil"/>
              <w:bottom w:val="nil"/>
              <w:right w:val="nil"/>
            </w:tcBorders>
            <w:vAlign w:val="center"/>
          </w:tcPr>
          <w:p w14:paraId="78CD8C87"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0.30**</w:t>
            </w:r>
          </w:p>
        </w:tc>
      </w:tr>
      <w:tr w:rsidR="00FF5657" w:rsidRPr="00A60CE9" w14:paraId="388C9137" w14:textId="77777777" w:rsidTr="00FC6DAC">
        <w:trPr>
          <w:trHeight w:val="227"/>
        </w:trPr>
        <w:tc>
          <w:tcPr>
            <w:tcW w:w="3059" w:type="dxa"/>
            <w:vMerge/>
            <w:tcBorders>
              <w:left w:val="nil"/>
              <w:bottom w:val="nil"/>
              <w:right w:val="nil"/>
            </w:tcBorders>
            <w:vAlign w:val="center"/>
          </w:tcPr>
          <w:p w14:paraId="73F14EE3"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0B6C57C0"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566F1460"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7E6D867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(0.08)</w:t>
            </w:r>
          </w:p>
        </w:tc>
        <w:tc>
          <w:tcPr>
            <w:tcW w:w="1223" w:type="dxa"/>
            <w:tcBorders>
              <w:top w:val="nil"/>
              <w:left w:val="nil"/>
              <w:bottom w:val="nil"/>
              <w:right w:val="nil"/>
            </w:tcBorders>
            <w:vAlign w:val="center"/>
          </w:tcPr>
          <w:p w14:paraId="4ACD143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(0.12)</w:t>
            </w:r>
          </w:p>
        </w:tc>
      </w:tr>
      <w:tr w:rsidR="00FF5657" w:rsidRPr="00A60CE9" w14:paraId="0D27FE1B" w14:textId="77777777" w:rsidTr="00FC6DAC">
        <w:trPr>
          <w:trHeight w:val="227"/>
        </w:trPr>
        <w:tc>
          <w:tcPr>
            <w:tcW w:w="3059" w:type="dxa"/>
            <w:vMerge w:val="restart"/>
            <w:tcBorders>
              <w:top w:val="nil"/>
              <w:left w:val="nil"/>
              <w:right w:val="nil"/>
            </w:tcBorders>
            <w:vAlign w:val="center"/>
          </w:tcPr>
          <w:p w14:paraId="03ABB6A9"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Incumbent * New non-key*After M&amp;A</w:t>
            </w:r>
          </w:p>
        </w:tc>
        <w:tc>
          <w:tcPr>
            <w:tcW w:w="1223" w:type="dxa"/>
            <w:tcBorders>
              <w:top w:val="nil"/>
              <w:left w:val="nil"/>
              <w:bottom w:val="nil"/>
              <w:right w:val="nil"/>
            </w:tcBorders>
            <w:vAlign w:val="center"/>
          </w:tcPr>
          <w:p w14:paraId="6D8B3667"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10B2F26D"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3C0AED61"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0A417B68"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0.10</w:t>
            </w:r>
          </w:p>
        </w:tc>
      </w:tr>
      <w:tr w:rsidR="00FF5657" w:rsidRPr="00A60CE9" w14:paraId="010C72BE" w14:textId="77777777" w:rsidTr="00FC6DAC">
        <w:trPr>
          <w:trHeight w:val="227"/>
        </w:trPr>
        <w:tc>
          <w:tcPr>
            <w:tcW w:w="3059" w:type="dxa"/>
            <w:vMerge/>
            <w:tcBorders>
              <w:left w:val="nil"/>
              <w:bottom w:val="nil"/>
              <w:right w:val="nil"/>
            </w:tcBorders>
            <w:vAlign w:val="center"/>
          </w:tcPr>
          <w:p w14:paraId="524C038F"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4931762A"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098F14B5"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511A295D"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p>
        </w:tc>
        <w:tc>
          <w:tcPr>
            <w:tcW w:w="1223" w:type="dxa"/>
            <w:tcBorders>
              <w:top w:val="nil"/>
              <w:left w:val="nil"/>
              <w:bottom w:val="nil"/>
              <w:right w:val="nil"/>
            </w:tcBorders>
            <w:vAlign w:val="center"/>
          </w:tcPr>
          <w:p w14:paraId="73B1A4CE"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(0.15)</w:t>
            </w:r>
          </w:p>
        </w:tc>
      </w:tr>
      <w:tr w:rsidR="00FF5657" w:rsidRPr="00A60CE9" w14:paraId="74639588" w14:textId="77777777" w:rsidTr="00FC6DAC">
        <w:trPr>
          <w:trHeight w:val="227"/>
        </w:trPr>
        <w:tc>
          <w:tcPr>
            <w:tcW w:w="3059" w:type="dxa"/>
            <w:tcBorders>
              <w:top w:val="single" w:sz="4" w:space="0" w:color="auto"/>
              <w:left w:val="nil"/>
              <w:right w:val="nil"/>
            </w:tcBorders>
            <w:vAlign w:val="center"/>
          </w:tcPr>
          <w:p w14:paraId="559A98E5"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Observations</w:t>
            </w:r>
          </w:p>
        </w:tc>
        <w:tc>
          <w:tcPr>
            <w:tcW w:w="1223" w:type="dxa"/>
            <w:tcBorders>
              <w:top w:val="single" w:sz="4" w:space="0" w:color="auto"/>
              <w:left w:val="nil"/>
              <w:right w:val="nil"/>
            </w:tcBorders>
            <w:vAlign w:val="center"/>
          </w:tcPr>
          <w:p w14:paraId="26E87A09"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6,105</w:t>
            </w:r>
          </w:p>
        </w:tc>
        <w:tc>
          <w:tcPr>
            <w:tcW w:w="1223" w:type="dxa"/>
            <w:tcBorders>
              <w:top w:val="single" w:sz="4" w:space="0" w:color="auto"/>
              <w:left w:val="nil"/>
              <w:right w:val="nil"/>
            </w:tcBorders>
            <w:vAlign w:val="center"/>
          </w:tcPr>
          <w:p w14:paraId="3F9E7F57"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6,105</w:t>
            </w:r>
          </w:p>
        </w:tc>
        <w:tc>
          <w:tcPr>
            <w:tcW w:w="1223" w:type="dxa"/>
            <w:tcBorders>
              <w:top w:val="single" w:sz="4" w:space="0" w:color="auto"/>
              <w:left w:val="nil"/>
              <w:right w:val="nil"/>
            </w:tcBorders>
            <w:vAlign w:val="center"/>
          </w:tcPr>
          <w:p w14:paraId="3E87FECD"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6,105</w:t>
            </w:r>
          </w:p>
        </w:tc>
        <w:tc>
          <w:tcPr>
            <w:tcW w:w="1223" w:type="dxa"/>
            <w:tcBorders>
              <w:top w:val="single" w:sz="4" w:space="0" w:color="auto"/>
              <w:left w:val="nil"/>
              <w:right w:val="nil"/>
            </w:tcBorders>
            <w:vAlign w:val="center"/>
          </w:tcPr>
          <w:p w14:paraId="0246E248"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6,105</w:t>
            </w:r>
          </w:p>
        </w:tc>
      </w:tr>
      <w:tr w:rsidR="00FF5657" w:rsidRPr="00A60CE9" w14:paraId="57289064" w14:textId="77777777" w:rsidTr="00FC6DAC">
        <w:tblPrEx>
          <w:tblBorders>
            <w:bottom w:val="single" w:sz="6" w:space="0" w:color="auto"/>
          </w:tblBorders>
        </w:tblPrEx>
        <w:trPr>
          <w:trHeight w:val="227"/>
        </w:trPr>
        <w:tc>
          <w:tcPr>
            <w:tcW w:w="3059" w:type="dxa"/>
            <w:tcBorders>
              <w:top w:val="nil"/>
              <w:left w:val="nil"/>
              <w:bottom w:val="nil"/>
              <w:right w:val="nil"/>
            </w:tcBorders>
            <w:vAlign w:val="center"/>
          </w:tcPr>
          <w:p w14:paraId="2B6C7726"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Year Dummies</w:t>
            </w:r>
          </w:p>
        </w:tc>
        <w:tc>
          <w:tcPr>
            <w:tcW w:w="1223" w:type="dxa"/>
            <w:tcBorders>
              <w:top w:val="nil"/>
              <w:left w:val="nil"/>
              <w:bottom w:val="nil"/>
              <w:right w:val="nil"/>
            </w:tcBorders>
            <w:vAlign w:val="center"/>
          </w:tcPr>
          <w:p w14:paraId="7B23B735"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YES</w:t>
            </w:r>
          </w:p>
        </w:tc>
        <w:tc>
          <w:tcPr>
            <w:tcW w:w="1223" w:type="dxa"/>
            <w:tcBorders>
              <w:top w:val="nil"/>
              <w:left w:val="nil"/>
              <w:bottom w:val="nil"/>
              <w:right w:val="nil"/>
            </w:tcBorders>
            <w:vAlign w:val="center"/>
          </w:tcPr>
          <w:p w14:paraId="24385442"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YES</w:t>
            </w:r>
          </w:p>
        </w:tc>
        <w:tc>
          <w:tcPr>
            <w:tcW w:w="1223" w:type="dxa"/>
            <w:tcBorders>
              <w:top w:val="nil"/>
              <w:left w:val="nil"/>
              <w:bottom w:val="nil"/>
              <w:right w:val="nil"/>
            </w:tcBorders>
            <w:vAlign w:val="center"/>
          </w:tcPr>
          <w:p w14:paraId="20051FF3"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YES</w:t>
            </w:r>
          </w:p>
        </w:tc>
        <w:tc>
          <w:tcPr>
            <w:tcW w:w="1223" w:type="dxa"/>
            <w:tcBorders>
              <w:top w:val="nil"/>
              <w:left w:val="nil"/>
              <w:bottom w:val="nil"/>
              <w:right w:val="nil"/>
            </w:tcBorders>
            <w:vAlign w:val="center"/>
          </w:tcPr>
          <w:p w14:paraId="7FA77B0D"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YES</w:t>
            </w:r>
          </w:p>
        </w:tc>
      </w:tr>
      <w:tr w:rsidR="00FF5657" w:rsidRPr="00A60CE9" w14:paraId="75EB0727" w14:textId="77777777" w:rsidTr="00FC6DAC">
        <w:tblPrEx>
          <w:tblBorders>
            <w:bottom w:val="single" w:sz="6" w:space="0" w:color="auto"/>
          </w:tblBorders>
        </w:tblPrEx>
        <w:trPr>
          <w:trHeight w:val="227"/>
        </w:trPr>
        <w:tc>
          <w:tcPr>
            <w:tcW w:w="3059" w:type="dxa"/>
            <w:tcBorders>
              <w:top w:val="nil"/>
              <w:left w:val="nil"/>
              <w:bottom w:val="single" w:sz="4" w:space="0" w:color="auto"/>
              <w:right w:val="nil"/>
            </w:tcBorders>
            <w:vAlign w:val="center"/>
          </w:tcPr>
          <w:p w14:paraId="4A38311B"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 xml:space="preserve">Likelihood Ratio Test </w:t>
            </w:r>
          </w:p>
        </w:tc>
        <w:tc>
          <w:tcPr>
            <w:tcW w:w="1223" w:type="dxa"/>
            <w:tcBorders>
              <w:top w:val="nil"/>
              <w:left w:val="nil"/>
              <w:bottom w:val="single" w:sz="4" w:space="0" w:color="auto"/>
              <w:right w:val="nil"/>
            </w:tcBorders>
            <w:vAlign w:val="center"/>
          </w:tcPr>
          <w:p w14:paraId="68C0BE69"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2780</w:t>
            </w:r>
          </w:p>
        </w:tc>
        <w:tc>
          <w:tcPr>
            <w:tcW w:w="1223" w:type="dxa"/>
            <w:tcBorders>
              <w:top w:val="nil"/>
              <w:left w:val="nil"/>
              <w:bottom w:val="single" w:sz="4" w:space="0" w:color="auto"/>
              <w:right w:val="nil"/>
            </w:tcBorders>
            <w:vAlign w:val="center"/>
          </w:tcPr>
          <w:p w14:paraId="4555A7A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2818</w:t>
            </w:r>
          </w:p>
        </w:tc>
        <w:tc>
          <w:tcPr>
            <w:tcW w:w="1223" w:type="dxa"/>
            <w:tcBorders>
              <w:top w:val="nil"/>
              <w:left w:val="nil"/>
              <w:bottom w:val="single" w:sz="4" w:space="0" w:color="auto"/>
              <w:right w:val="nil"/>
            </w:tcBorders>
            <w:vAlign w:val="center"/>
          </w:tcPr>
          <w:p w14:paraId="020E500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2791</w:t>
            </w:r>
          </w:p>
        </w:tc>
        <w:tc>
          <w:tcPr>
            <w:tcW w:w="1223" w:type="dxa"/>
            <w:tcBorders>
              <w:top w:val="nil"/>
              <w:left w:val="nil"/>
              <w:bottom w:val="single" w:sz="4" w:space="0" w:color="auto"/>
              <w:right w:val="nil"/>
            </w:tcBorders>
            <w:vAlign w:val="center"/>
          </w:tcPr>
          <w:p w14:paraId="7A2198AC" w14:textId="77777777" w:rsidR="00FF5657" w:rsidRPr="00A60CE9" w:rsidRDefault="00FF565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2840</w:t>
            </w:r>
          </w:p>
        </w:tc>
      </w:tr>
    </w:tbl>
    <w:p w14:paraId="547E6013" w14:textId="77777777" w:rsidR="00FF5657" w:rsidRPr="00A60CE9" w:rsidRDefault="00FC6DAC" w:rsidP="00FC6DAC">
      <w:pPr>
        <w:spacing w:line="240" w:lineRule="auto"/>
        <w:contextualSpacing/>
        <w:rPr>
          <w:i/>
        </w:rPr>
      </w:pPr>
      <w:r w:rsidRPr="00A60CE9">
        <w:rPr>
          <w:i/>
          <w:sz w:val="20"/>
          <w:szCs w:val="18"/>
        </w:rPr>
        <w:t xml:space="preserve">      </w:t>
      </w:r>
      <w:r w:rsidR="00FF5657" w:rsidRPr="00A60CE9">
        <w:rPr>
          <w:i/>
          <w:sz w:val="20"/>
          <w:szCs w:val="18"/>
        </w:rPr>
        <w:t>Note: Table displays coefficients with standard errors in parentheses. *p&lt;0.10, **p&lt;0.05, *** p&lt;0.01</w:t>
      </w:r>
      <w:r w:rsidR="00FF5657" w:rsidRPr="00A60CE9">
        <w:rPr>
          <w:i/>
        </w:rPr>
        <w:br w:type="page"/>
      </w:r>
    </w:p>
    <w:p w14:paraId="0F388AF4" w14:textId="77777777" w:rsidR="00FF5657" w:rsidRPr="00A60CE9" w:rsidRDefault="0090665A" w:rsidP="00712F00">
      <w:pPr>
        <w:pStyle w:val="Heading2"/>
        <w:spacing w:line="240" w:lineRule="auto"/>
        <w:ind w:firstLine="720"/>
        <w:contextualSpacing/>
      </w:pPr>
      <w:r w:rsidRPr="00A60CE9">
        <w:lastRenderedPageBreak/>
        <w:t xml:space="preserve">Table </w:t>
      </w:r>
      <w:r w:rsidR="00CB51C5" w:rsidRPr="00A60CE9">
        <w:t>A6</w:t>
      </w:r>
      <w:r w:rsidR="00FF5657" w:rsidRPr="00A60CE9">
        <w:t>. Zero-Inflated Poisson regression for firms’ patenting output.</w:t>
      </w:r>
    </w:p>
    <w:tbl>
      <w:tblPr>
        <w:tblW w:w="8274" w:type="dxa"/>
        <w:jc w:val="center"/>
        <w:tblLayout w:type="fixed"/>
        <w:tblCellMar>
          <w:left w:w="75" w:type="dxa"/>
          <w:right w:w="75" w:type="dxa"/>
        </w:tblCellMar>
        <w:tblLook w:val="0000" w:firstRow="0" w:lastRow="0" w:firstColumn="0" w:lastColumn="0" w:noHBand="0" w:noVBand="0"/>
      </w:tblPr>
      <w:tblGrid>
        <w:gridCol w:w="2154"/>
        <w:gridCol w:w="1020"/>
        <w:gridCol w:w="1020"/>
        <w:gridCol w:w="1020"/>
        <w:gridCol w:w="1020"/>
        <w:gridCol w:w="1020"/>
        <w:gridCol w:w="1020"/>
      </w:tblGrid>
      <w:tr w:rsidR="001E3EA7" w:rsidRPr="00A60CE9" w14:paraId="5CC002F1" w14:textId="77777777" w:rsidTr="00712F00">
        <w:trPr>
          <w:trHeight w:val="227"/>
          <w:jc w:val="center"/>
        </w:trPr>
        <w:tc>
          <w:tcPr>
            <w:tcW w:w="2154" w:type="dxa"/>
            <w:tcBorders>
              <w:top w:val="single" w:sz="6" w:space="0" w:color="auto"/>
              <w:left w:val="nil"/>
              <w:bottom w:val="single" w:sz="4" w:space="0" w:color="auto"/>
              <w:right w:val="nil"/>
            </w:tcBorders>
          </w:tcPr>
          <w:p w14:paraId="07376226"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single" w:sz="6" w:space="0" w:color="auto"/>
              <w:left w:val="nil"/>
              <w:bottom w:val="single" w:sz="4" w:space="0" w:color="auto"/>
              <w:right w:val="nil"/>
            </w:tcBorders>
          </w:tcPr>
          <w:p w14:paraId="72BD056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w:t>
            </w:r>
          </w:p>
        </w:tc>
        <w:tc>
          <w:tcPr>
            <w:tcW w:w="1020" w:type="dxa"/>
            <w:tcBorders>
              <w:top w:val="single" w:sz="6" w:space="0" w:color="auto"/>
              <w:left w:val="nil"/>
              <w:bottom w:val="single" w:sz="4" w:space="0" w:color="auto"/>
              <w:right w:val="nil"/>
            </w:tcBorders>
            <w:vAlign w:val="center"/>
          </w:tcPr>
          <w:p w14:paraId="5885F439" w14:textId="77777777" w:rsidR="001E3EA7" w:rsidRPr="00A60CE9" w:rsidRDefault="001E3EA7" w:rsidP="00712F00">
            <w:pPr>
              <w:spacing w:line="240" w:lineRule="auto"/>
              <w:contextualSpacing/>
              <w:rPr>
                <w:rFonts w:eastAsia="Times New Roman"/>
                <w:sz w:val="22"/>
                <w:lang w:eastAsia="fr-LU"/>
              </w:rPr>
            </w:pPr>
            <w:r w:rsidRPr="00A60CE9">
              <w:rPr>
                <w:rFonts w:eastAsia="Times New Roman"/>
                <w:sz w:val="22"/>
                <w:lang w:eastAsia="fr-LU"/>
              </w:rPr>
              <w:t>(2)</w:t>
            </w:r>
          </w:p>
        </w:tc>
        <w:tc>
          <w:tcPr>
            <w:tcW w:w="1020" w:type="dxa"/>
            <w:tcBorders>
              <w:top w:val="single" w:sz="6" w:space="0" w:color="auto"/>
              <w:left w:val="nil"/>
              <w:bottom w:val="single" w:sz="4" w:space="0" w:color="auto"/>
              <w:right w:val="nil"/>
            </w:tcBorders>
            <w:vAlign w:val="center"/>
          </w:tcPr>
          <w:p w14:paraId="25F70F71" w14:textId="77777777" w:rsidR="001E3EA7" w:rsidRPr="00A60CE9" w:rsidRDefault="001E3EA7" w:rsidP="00712F00">
            <w:pPr>
              <w:spacing w:line="240" w:lineRule="auto"/>
              <w:contextualSpacing/>
              <w:rPr>
                <w:rFonts w:eastAsia="Times New Roman"/>
                <w:sz w:val="22"/>
                <w:lang w:eastAsia="fr-LU"/>
              </w:rPr>
            </w:pPr>
            <w:r w:rsidRPr="00A60CE9">
              <w:rPr>
                <w:rFonts w:eastAsia="Times New Roman"/>
                <w:sz w:val="22"/>
                <w:lang w:eastAsia="fr-LU"/>
              </w:rPr>
              <w:t>(3)</w:t>
            </w:r>
          </w:p>
        </w:tc>
        <w:tc>
          <w:tcPr>
            <w:tcW w:w="1020" w:type="dxa"/>
            <w:tcBorders>
              <w:top w:val="single" w:sz="6" w:space="0" w:color="auto"/>
              <w:left w:val="nil"/>
              <w:bottom w:val="single" w:sz="4" w:space="0" w:color="auto"/>
              <w:right w:val="nil"/>
            </w:tcBorders>
            <w:vAlign w:val="center"/>
          </w:tcPr>
          <w:p w14:paraId="121828A3" w14:textId="77777777" w:rsidR="001E3EA7" w:rsidRPr="00A60CE9" w:rsidRDefault="001E3EA7" w:rsidP="00712F00">
            <w:pPr>
              <w:spacing w:line="240" w:lineRule="auto"/>
              <w:contextualSpacing/>
              <w:rPr>
                <w:rFonts w:eastAsia="Times New Roman"/>
                <w:sz w:val="22"/>
                <w:lang w:eastAsia="fr-LU"/>
              </w:rPr>
            </w:pPr>
            <w:r w:rsidRPr="00A60CE9">
              <w:rPr>
                <w:rFonts w:eastAsia="Times New Roman"/>
                <w:sz w:val="22"/>
                <w:lang w:eastAsia="fr-LU"/>
              </w:rPr>
              <w:t>(4)</w:t>
            </w:r>
          </w:p>
        </w:tc>
        <w:tc>
          <w:tcPr>
            <w:tcW w:w="1020" w:type="dxa"/>
            <w:tcBorders>
              <w:top w:val="single" w:sz="6" w:space="0" w:color="auto"/>
              <w:left w:val="nil"/>
              <w:bottom w:val="single" w:sz="4" w:space="0" w:color="auto"/>
              <w:right w:val="nil"/>
            </w:tcBorders>
            <w:vAlign w:val="center"/>
          </w:tcPr>
          <w:p w14:paraId="43DBACBD" w14:textId="77777777" w:rsidR="001E3EA7" w:rsidRPr="00A60CE9" w:rsidRDefault="001E3EA7" w:rsidP="00712F00">
            <w:pPr>
              <w:spacing w:line="240" w:lineRule="auto"/>
              <w:contextualSpacing/>
              <w:rPr>
                <w:rFonts w:eastAsia="Times New Roman"/>
                <w:sz w:val="22"/>
                <w:lang w:eastAsia="fr-LU"/>
              </w:rPr>
            </w:pPr>
            <w:r w:rsidRPr="00A60CE9">
              <w:rPr>
                <w:rFonts w:eastAsia="Times New Roman"/>
                <w:sz w:val="22"/>
                <w:lang w:eastAsia="fr-LU"/>
              </w:rPr>
              <w:t>(5)</w:t>
            </w:r>
          </w:p>
        </w:tc>
        <w:tc>
          <w:tcPr>
            <w:tcW w:w="1020" w:type="dxa"/>
            <w:tcBorders>
              <w:top w:val="single" w:sz="6" w:space="0" w:color="auto"/>
              <w:left w:val="nil"/>
              <w:bottom w:val="single" w:sz="4" w:space="0" w:color="auto"/>
              <w:right w:val="nil"/>
            </w:tcBorders>
            <w:vAlign w:val="center"/>
          </w:tcPr>
          <w:p w14:paraId="5D7E98FD" w14:textId="77777777" w:rsidR="001E3EA7" w:rsidRPr="00A60CE9" w:rsidRDefault="001E3EA7" w:rsidP="00712F00">
            <w:pPr>
              <w:spacing w:line="240" w:lineRule="auto"/>
              <w:contextualSpacing/>
              <w:rPr>
                <w:rFonts w:eastAsia="Times New Roman"/>
                <w:sz w:val="22"/>
                <w:lang w:eastAsia="fr-LU"/>
              </w:rPr>
            </w:pPr>
            <w:r w:rsidRPr="00A60CE9">
              <w:rPr>
                <w:rFonts w:eastAsia="Times New Roman"/>
                <w:sz w:val="22"/>
                <w:lang w:eastAsia="fr-LU"/>
              </w:rPr>
              <w:t>(6)</w:t>
            </w:r>
          </w:p>
        </w:tc>
      </w:tr>
      <w:tr w:rsidR="001E3EA7" w:rsidRPr="00A60CE9" w14:paraId="0455188D" w14:textId="77777777" w:rsidTr="00712F00">
        <w:trPr>
          <w:trHeight w:val="227"/>
          <w:jc w:val="center"/>
        </w:trPr>
        <w:tc>
          <w:tcPr>
            <w:tcW w:w="2154" w:type="dxa"/>
            <w:vMerge w:val="restart"/>
            <w:tcBorders>
              <w:top w:val="nil"/>
              <w:left w:val="nil"/>
              <w:right w:val="nil"/>
            </w:tcBorders>
          </w:tcPr>
          <w:p w14:paraId="4D3DBA02"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Size</w:t>
            </w:r>
          </w:p>
        </w:tc>
        <w:tc>
          <w:tcPr>
            <w:tcW w:w="1020" w:type="dxa"/>
            <w:tcBorders>
              <w:top w:val="nil"/>
              <w:left w:val="nil"/>
              <w:bottom w:val="nil"/>
              <w:right w:val="nil"/>
            </w:tcBorders>
          </w:tcPr>
          <w:p w14:paraId="5415AC2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0.19***</w:t>
            </w:r>
          </w:p>
        </w:tc>
        <w:tc>
          <w:tcPr>
            <w:tcW w:w="1020" w:type="dxa"/>
            <w:tcBorders>
              <w:top w:val="nil"/>
              <w:left w:val="nil"/>
              <w:bottom w:val="nil"/>
              <w:right w:val="nil"/>
            </w:tcBorders>
          </w:tcPr>
          <w:p w14:paraId="5E7939D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0.18***</w:t>
            </w:r>
          </w:p>
        </w:tc>
        <w:tc>
          <w:tcPr>
            <w:tcW w:w="1020" w:type="dxa"/>
            <w:tcBorders>
              <w:top w:val="nil"/>
              <w:left w:val="nil"/>
              <w:bottom w:val="nil"/>
              <w:right w:val="nil"/>
            </w:tcBorders>
          </w:tcPr>
          <w:p w14:paraId="6BABD9D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0.17***</w:t>
            </w:r>
          </w:p>
        </w:tc>
        <w:tc>
          <w:tcPr>
            <w:tcW w:w="1020" w:type="dxa"/>
            <w:tcBorders>
              <w:top w:val="nil"/>
              <w:left w:val="nil"/>
              <w:bottom w:val="nil"/>
              <w:right w:val="nil"/>
            </w:tcBorders>
          </w:tcPr>
          <w:p w14:paraId="3AD21CC6"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0.15***</w:t>
            </w:r>
          </w:p>
        </w:tc>
        <w:tc>
          <w:tcPr>
            <w:tcW w:w="1020" w:type="dxa"/>
            <w:tcBorders>
              <w:top w:val="nil"/>
              <w:left w:val="nil"/>
              <w:bottom w:val="nil"/>
              <w:right w:val="nil"/>
            </w:tcBorders>
          </w:tcPr>
          <w:p w14:paraId="29A6ACFA"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0.17***</w:t>
            </w:r>
          </w:p>
        </w:tc>
        <w:tc>
          <w:tcPr>
            <w:tcW w:w="1020" w:type="dxa"/>
            <w:tcBorders>
              <w:top w:val="nil"/>
              <w:left w:val="nil"/>
              <w:bottom w:val="nil"/>
              <w:right w:val="nil"/>
            </w:tcBorders>
          </w:tcPr>
          <w:p w14:paraId="7A46AC83"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0.15***</w:t>
            </w:r>
          </w:p>
        </w:tc>
      </w:tr>
      <w:tr w:rsidR="001E3EA7" w:rsidRPr="00A60CE9" w14:paraId="0AF1A02C" w14:textId="77777777" w:rsidTr="00712F00">
        <w:trPr>
          <w:trHeight w:val="227"/>
          <w:jc w:val="center"/>
        </w:trPr>
        <w:tc>
          <w:tcPr>
            <w:tcW w:w="2154" w:type="dxa"/>
            <w:vMerge/>
            <w:tcBorders>
              <w:left w:val="nil"/>
              <w:bottom w:val="nil"/>
              <w:right w:val="nil"/>
            </w:tcBorders>
          </w:tcPr>
          <w:p w14:paraId="4F9B8F8C"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1DDEBBCA"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c>
          <w:tcPr>
            <w:tcW w:w="1020" w:type="dxa"/>
            <w:tcBorders>
              <w:top w:val="nil"/>
              <w:left w:val="nil"/>
              <w:bottom w:val="nil"/>
              <w:right w:val="nil"/>
            </w:tcBorders>
          </w:tcPr>
          <w:p w14:paraId="04D6E44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c>
          <w:tcPr>
            <w:tcW w:w="1020" w:type="dxa"/>
            <w:tcBorders>
              <w:top w:val="nil"/>
              <w:left w:val="nil"/>
              <w:bottom w:val="nil"/>
              <w:right w:val="nil"/>
            </w:tcBorders>
          </w:tcPr>
          <w:p w14:paraId="42FFBAC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c>
          <w:tcPr>
            <w:tcW w:w="1020" w:type="dxa"/>
            <w:tcBorders>
              <w:top w:val="nil"/>
              <w:left w:val="nil"/>
              <w:bottom w:val="nil"/>
              <w:right w:val="nil"/>
            </w:tcBorders>
          </w:tcPr>
          <w:p w14:paraId="67AE29D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c>
          <w:tcPr>
            <w:tcW w:w="1020" w:type="dxa"/>
            <w:tcBorders>
              <w:top w:val="nil"/>
              <w:left w:val="nil"/>
              <w:bottom w:val="nil"/>
              <w:right w:val="nil"/>
            </w:tcBorders>
          </w:tcPr>
          <w:p w14:paraId="1F88992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c>
          <w:tcPr>
            <w:tcW w:w="1020" w:type="dxa"/>
            <w:tcBorders>
              <w:top w:val="nil"/>
              <w:left w:val="nil"/>
              <w:bottom w:val="nil"/>
              <w:right w:val="nil"/>
            </w:tcBorders>
          </w:tcPr>
          <w:p w14:paraId="5668BB9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r>
      <w:tr w:rsidR="001E3EA7" w:rsidRPr="00A60CE9" w14:paraId="045D648B" w14:textId="77777777" w:rsidTr="00712F00">
        <w:trPr>
          <w:trHeight w:val="227"/>
          <w:jc w:val="center"/>
        </w:trPr>
        <w:tc>
          <w:tcPr>
            <w:tcW w:w="2154" w:type="dxa"/>
            <w:vMerge w:val="restart"/>
            <w:tcBorders>
              <w:top w:val="nil"/>
              <w:left w:val="nil"/>
              <w:right w:val="nil"/>
            </w:tcBorders>
          </w:tcPr>
          <w:p w14:paraId="729A6550"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Incumbent inventors</w:t>
            </w:r>
          </w:p>
        </w:tc>
        <w:tc>
          <w:tcPr>
            <w:tcW w:w="1020" w:type="dxa"/>
            <w:tcBorders>
              <w:top w:val="nil"/>
              <w:left w:val="nil"/>
              <w:bottom w:val="nil"/>
              <w:right w:val="nil"/>
            </w:tcBorders>
          </w:tcPr>
          <w:p w14:paraId="282DAA2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0.94***</w:t>
            </w:r>
          </w:p>
        </w:tc>
        <w:tc>
          <w:tcPr>
            <w:tcW w:w="1020" w:type="dxa"/>
            <w:tcBorders>
              <w:top w:val="nil"/>
              <w:left w:val="nil"/>
              <w:bottom w:val="nil"/>
              <w:right w:val="nil"/>
            </w:tcBorders>
          </w:tcPr>
          <w:p w14:paraId="7AE51F7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1.02***</w:t>
            </w:r>
          </w:p>
        </w:tc>
        <w:tc>
          <w:tcPr>
            <w:tcW w:w="1020" w:type="dxa"/>
            <w:tcBorders>
              <w:top w:val="nil"/>
              <w:left w:val="nil"/>
              <w:bottom w:val="nil"/>
              <w:right w:val="nil"/>
            </w:tcBorders>
          </w:tcPr>
          <w:p w14:paraId="42F5D44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1.10***</w:t>
            </w:r>
          </w:p>
        </w:tc>
        <w:tc>
          <w:tcPr>
            <w:tcW w:w="1020" w:type="dxa"/>
            <w:tcBorders>
              <w:top w:val="nil"/>
              <w:left w:val="nil"/>
              <w:bottom w:val="nil"/>
              <w:right w:val="nil"/>
            </w:tcBorders>
          </w:tcPr>
          <w:p w14:paraId="6BDD87E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1.03***</w:t>
            </w:r>
          </w:p>
        </w:tc>
        <w:tc>
          <w:tcPr>
            <w:tcW w:w="1020" w:type="dxa"/>
            <w:tcBorders>
              <w:top w:val="nil"/>
              <w:left w:val="nil"/>
              <w:bottom w:val="nil"/>
              <w:right w:val="nil"/>
            </w:tcBorders>
          </w:tcPr>
          <w:p w14:paraId="2CB46AA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1.34***</w:t>
            </w:r>
          </w:p>
        </w:tc>
        <w:tc>
          <w:tcPr>
            <w:tcW w:w="1020" w:type="dxa"/>
            <w:tcBorders>
              <w:top w:val="nil"/>
              <w:left w:val="nil"/>
              <w:bottom w:val="nil"/>
              <w:right w:val="nil"/>
            </w:tcBorders>
          </w:tcPr>
          <w:p w14:paraId="206CAE0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1.12***</w:t>
            </w:r>
          </w:p>
        </w:tc>
      </w:tr>
      <w:tr w:rsidR="001E3EA7" w:rsidRPr="00A60CE9" w14:paraId="28260D09" w14:textId="77777777" w:rsidTr="00712F00">
        <w:trPr>
          <w:trHeight w:val="227"/>
          <w:jc w:val="center"/>
        </w:trPr>
        <w:tc>
          <w:tcPr>
            <w:tcW w:w="2154" w:type="dxa"/>
            <w:vMerge/>
            <w:tcBorders>
              <w:left w:val="nil"/>
              <w:bottom w:val="nil"/>
              <w:right w:val="nil"/>
            </w:tcBorders>
          </w:tcPr>
          <w:p w14:paraId="0DE6D0BC"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6AE2848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(0.11)</w:t>
            </w:r>
          </w:p>
        </w:tc>
        <w:tc>
          <w:tcPr>
            <w:tcW w:w="1020" w:type="dxa"/>
            <w:tcBorders>
              <w:top w:val="nil"/>
              <w:left w:val="nil"/>
              <w:bottom w:val="nil"/>
              <w:right w:val="nil"/>
            </w:tcBorders>
          </w:tcPr>
          <w:p w14:paraId="0F030CC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(0.11)</w:t>
            </w:r>
          </w:p>
        </w:tc>
        <w:tc>
          <w:tcPr>
            <w:tcW w:w="1020" w:type="dxa"/>
            <w:tcBorders>
              <w:top w:val="nil"/>
              <w:left w:val="nil"/>
              <w:bottom w:val="nil"/>
              <w:right w:val="nil"/>
            </w:tcBorders>
          </w:tcPr>
          <w:p w14:paraId="030E112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(0.11)</w:t>
            </w:r>
          </w:p>
        </w:tc>
        <w:tc>
          <w:tcPr>
            <w:tcW w:w="1020" w:type="dxa"/>
            <w:tcBorders>
              <w:top w:val="nil"/>
              <w:left w:val="nil"/>
              <w:bottom w:val="nil"/>
              <w:right w:val="nil"/>
            </w:tcBorders>
          </w:tcPr>
          <w:p w14:paraId="4DB3C28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(0.11)</w:t>
            </w:r>
          </w:p>
        </w:tc>
        <w:tc>
          <w:tcPr>
            <w:tcW w:w="1020" w:type="dxa"/>
            <w:tcBorders>
              <w:top w:val="nil"/>
              <w:left w:val="nil"/>
              <w:bottom w:val="nil"/>
              <w:right w:val="nil"/>
            </w:tcBorders>
          </w:tcPr>
          <w:p w14:paraId="0439AC7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(0.11)</w:t>
            </w:r>
          </w:p>
        </w:tc>
        <w:tc>
          <w:tcPr>
            <w:tcW w:w="1020" w:type="dxa"/>
            <w:tcBorders>
              <w:top w:val="nil"/>
              <w:left w:val="nil"/>
              <w:bottom w:val="nil"/>
              <w:right w:val="nil"/>
            </w:tcBorders>
          </w:tcPr>
          <w:p w14:paraId="3399A39A"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(0.12)</w:t>
            </w:r>
          </w:p>
        </w:tc>
      </w:tr>
      <w:tr w:rsidR="001E3EA7" w:rsidRPr="00A60CE9" w14:paraId="52E9F0FF" w14:textId="77777777" w:rsidTr="00712F00">
        <w:trPr>
          <w:trHeight w:val="227"/>
          <w:jc w:val="center"/>
        </w:trPr>
        <w:tc>
          <w:tcPr>
            <w:tcW w:w="2154" w:type="dxa"/>
            <w:vMerge w:val="restart"/>
            <w:tcBorders>
              <w:top w:val="nil"/>
              <w:left w:val="nil"/>
              <w:right w:val="nil"/>
            </w:tcBorders>
          </w:tcPr>
          <w:p w14:paraId="56CECDB0"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Departing inventors</w:t>
            </w:r>
          </w:p>
        </w:tc>
        <w:tc>
          <w:tcPr>
            <w:tcW w:w="1020" w:type="dxa"/>
            <w:tcBorders>
              <w:top w:val="nil"/>
              <w:left w:val="nil"/>
              <w:bottom w:val="nil"/>
              <w:right w:val="nil"/>
            </w:tcBorders>
          </w:tcPr>
          <w:p w14:paraId="56B5B45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-0.08***</w:t>
            </w:r>
          </w:p>
        </w:tc>
        <w:tc>
          <w:tcPr>
            <w:tcW w:w="1020" w:type="dxa"/>
            <w:tcBorders>
              <w:top w:val="nil"/>
              <w:left w:val="nil"/>
              <w:bottom w:val="nil"/>
              <w:right w:val="nil"/>
            </w:tcBorders>
          </w:tcPr>
          <w:p w14:paraId="13D4AB4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-0.03</w:t>
            </w:r>
          </w:p>
        </w:tc>
        <w:tc>
          <w:tcPr>
            <w:tcW w:w="1020" w:type="dxa"/>
            <w:tcBorders>
              <w:top w:val="nil"/>
              <w:left w:val="nil"/>
              <w:bottom w:val="nil"/>
              <w:right w:val="nil"/>
            </w:tcBorders>
          </w:tcPr>
          <w:p w14:paraId="60BA85D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-0.07**</w:t>
            </w:r>
          </w:p>
        </w:tc>
        <w:tc>
          <w:tcPr>
            <w:tcW w:w="1020" w:type="dxa"/>
            <w:tcBorders>
              <w:top w:val="nil"/>
              <w:left w:val="nil"/>
              <w:bottom w:val="nil"/>
              <w:right w:val="nil"/>
            </w:tcBorders>
          </w:tcPr>
          <w:p w14:paraId="6EACC5B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-0.10***</w:t>
            </w:r>
          </w:p>
        </w:tc>
        <w:tc>
          <w:tcPr>
            <w:tcW w:w="1020" w:type="dxa"/>
            <w:tcBorders>
              <w:top w:val="nil"/>
              <w:left w:val="nil"/>
              <w:bottom w:val="nil"/>
              <w:right w:val="nil"/>
            </w:tcBorders>
          </w:tcPr>
          <w:p w14:paraId="752AFEE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-0.07**</w:t>
            </w:r>
          </w:p>
        </w:tc>
        <w:tc>
          <w:tcPr>
            <w:tcW w:w="1020" w:type="dxa"/>
            <w:tcBorders>
              <w:top w:val="nil"/>
              <w:left w:val="nil"/>
              <w:bottom w:val="nil"/>
              <w:right w:val="nil"/>
            </w:tcBorders>
          </w:tcPr>
          <w:p w14:paraId="0D821846"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-0.10***</w:t>
            </w:r>
          </w:p>
        </w:tc>
      </w:tr>
      <w:tr w:rsidR="001E3EA7" w:rsidRPr="00A60CE9" w14:paraId="19D65AFA" w14:textId="77777777" w:rsidTr="00712F00">
        <w:trPr>
          <w:trHeight w:val="227"/>
          <w:jc w:val="center"/>
        </w:trPr>
        <w:tc>
          <w:tcPr>
            <w:tcW w:w="2154" w:type="dxa"/>
            <w:vMerge/>
            <w:tcBorders>
              <w:left w:val="nil"/>
              <w:bottom w:val="nil"/>
              <w:right w:val="nil"/>
            </w:tcBorders>
          </w:tcPr>
          <w:p w14:paraId="73CF4FFC"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733C5F3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(0.03)</w:t>
            </w:r>
          </w:p>
        </w:tc>
        <w:tc>
          <w:tcPr>
            <w:tcW w:w="1020" w:type="dxa"/>
            <w:tcBorders>
              <w:top w:val="nil"/>
              <w:left w:val="nil"/>
              <w:bottom w:val="nil"/>
              <w:right w:val="nil"/>
            </w:tcBorders>
          </w:tcPr>
          <w:p w14:paraId="6E1DDE1A"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(0.06)</w:t>
            </w:r>
          </w:p>
        </w:tc>
        <w:tc>
          <w:tcPr>
            <w:tcW w:w="1020" w:type="dxa"/>
            <w:tcBorders>
              <w:top w:val="nil"/>
              <w:left w:val="nil"/>
              <w:bottom w:val="nil"/>
              <w:right w:val="nil"/>
            </w:tcBorders>
          </w:tcPr>
          <w:p w14:paraId="0ADE87E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(0.03)</w:t>
            </w:r>
          </w:p>
        </w:tc>
        <w:tc>
          <w:tcPr>
            <w:tcW w:w="1020" w:type="dxa"/>
            <w:tcBorders>
              <w:top w:val="nil"/>
              <w:left w:val="nil"/>
              <w:bottom w:val="nil"/>
              <w:right w:val="nil"/>
            </w:tcBorders>
          </w:tcPr>
          <w:p w14:paraId="1610778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(0.03)</w:t>
            </w:r>
          </w:p>
        </w:tc>
        <w:tc>
          <w:tcPr>
            <w:tcW w:w="1020" w:type="dxa"/>
            <w:tcBorders>
              <w:top w:val="nil"/>
              <w:left w:val="nil"/>
              <w:bottom w:val="nil"/>
              <w:right w:val="nil"/>
            </w:tcBorders>
          </w:tcPr>
          <w:p w14:paraId="10C5F18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(0.03)</w:t>
            </w:r>
          </w:p>
        </w:tc>
        <w:tc>
          <w:tcPr>
            <w:tcW w:w="1020" w:type="dxa"/>
            <w:tcBorders>
              <w:top w:val="nil"/>
              <w:left w:val="nil"/>
              <w:bottom w:val="nil"/>
              <w:right w:val="nil"/>
            </w:tcBorders>
          </w:tcPr>
          <w:p w14:paraId="14D0659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(0.03)</w:t>
            </w:r>
          </w:p>
        </w:tc>
      </w:tr>
      <w:tr w:rsidR="001E3EA7" w:rsidRPr="00A60CE9" w14:paraId="2E76D9CD" w14:textId="77777777" w:rsidTr="00712F00">
        <w:trPr>
          <w:trHeight w:val="227"/>
          <w:jc w:val="center"/>
        </w:trPr>
        <w:tc>
          <w:tcPr>
            <w:tcW w:w="2154" w:type="dxa"/>
            <w:vMerge w:val="restart"/>
            <w:tcBorders>
              <w:top w:val="nil"/>
              <w:left w:val="nil"/>
              <w:right w:val="nil"/>
            </w:tcBorders>
          </w:tcPr>
          <w:p w14:paraId="4F6CEBBB"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After M&amp;A</w:t>
            </w:r>
          </w:p>
        </w:tc>
        <w:tc>
          <w:tcPr>
            <w:tcW w:w="1020" w:type="dxa"/>
            <w:tcBorders>
              <w:top w:val="nil"/>
              <w:left w:val="nil"/>
              <w:bottom w:val="nil"/>
              <w:right w:val="nil"/>
            </w:tcBorders>
          </w:tcPr>
          <w:p w14:paraId="209C46A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-0.26***</w:t>
            </w:r>
          </w:p>
        </w:tc>
        <w:tc>
          <w:tcPr>
            <w:tcW w:w="1020" w:type="dxa"/>
            <w:tcBorders>
              <w:top w:val="nil"/>
              <w:left w:val="nil"/>
              <w:bottom w:val="nil"/>
              <w:right w:val="nil"/>
            </w:tcBorders>
          </w:tcPr>
          <w:p w14:paraId="264ED606"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-0.15***</w:t>
            </w:r>
          </w:p>
        </w:tc>
        <w:tc>
          <w:tcPr>
            <w:tcW w:w="1020" w:type="dxa"/>
            <w:tcBorders>
              <w:top w:val="nil"/>
              <w:left w:val="nil"/>
              <w:bottom w:val="nil"/>
              <w:right w:val="nil"/>
            </w:tcBorders>
          </w:tcPr>
          <w:p w14:paraId="397572D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-0.17***</w:t>
            </w:r>
          </w:p>
        </w:tc>
        <w:tc>
          <w:tcPr>
            <w:tcW w:w="1020" w:type="dxa"/>
            <w:tcBorders>
              <w:top w:val="nil"/>
              <w:left w:val="nil"/>
              <w:bottom w:val="nil"/>
              <w:right w:val="nil"/>
            </w:tcBorders>
          </w:tcPr>
          <w:p w14:paraId="69C40AC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-0.22***</w:t>
            </w:r>
          </w:p>
        </w:tc>
        <w:tc>
          <w:tcPr>
            <w:tcW w:w="1020" w:type="dxa"/>
            <w:tcBorders>
              <w:top w:val="nil"/>
              <w:left w:val="nil"/>
              <w:bottom w:val="nil"/>
              <w:right w:val="nil"/>
            </w:tcBorders>
          </w:tcPr>
          <w:p w14:paraId="20DD8E1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-0.17***</w:t>
            </w:r>
          </w:p>
        </w:tc>
        <w:tc>
          <w:tcPr>
            <w:tcW w:w="1020" w:type="dxa"/>
            <w:tcBorders>
              <w:top w:val="nil"/>
              <w:left w:val="nil"/>
              <w:bottom w:val="nil"/>
              <w:right w:val="nil"/>
            </w:tcBorders>
          </w:tcPr>
          <w:p w14:paraId="6EA0EB7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-0.21***</w:t>
            </w:r>
          </w:p>
        </w:tc>
      </w:tr>
      <w:tr w:rsidR="001E3EA7" w:rsidRPr="00A60CE9" w14:paraId="1B7D45C8" w14:textId="77777777" w:rsidTr="00712F00">
        <w:trPr>
          <w:trHeight w:val="227"/>
          <w:jc w:val="center"/>
        </w:trPr>
        <w:tc>
          <w:tcPr>
            <w:tcW w:w="2154" w:type="dxa"/>
            <w:vMerge/>
            <w:tcBorders>
              <w:left w:val="nil"/>
              <w:bottom w:val="nil"/>
              <w:right w:val="nil"/>
            </w:tcBorders>
          </w:tcPr>
          <w:p w14:paraId="208E5ABA"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103B4F7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(0.01)</w:t>
            </w:r>
          </w:p>
        </w:tc>
        <w:tc>
          <w:tcPr>
            <w:tcW w:w="1020" w:type="dxa"/>
            <w:tcBorders>
              <w:top w:val="nil"/>
              <w:left w:val="nil"/>
              <w:bottom w:val="nil"/>
              <w:right w:val="nil"/>
            </w:tcBorders>
          </w:tcPr>
          <w:p w14:paraId="4E643D0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(0.02)</w:t>
            </w:r>
          </w:p>
        </w:tc>
        <w:tc>
          <w:tcPr>
            <w:tcW w:w="1020" w:type="dxa"/>
            <w:tcBorders>
              <w:top w:val="nil"/>
              <w:left w:val="nil"/>
              <w:bottom w:val="nil"/>
              <w:right w:val="nil"/>
            </w:tcBorders>
          </w:tcPr>
          <w:p w14:paraId="76871E1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(0.02)</w:t>
            </w:r>
          </w:p>
        </w:tc>
        <w:tc>
          <w:tcPr>
            <w:tcW w:w="1020" w:type="dxa"/>
            <w:tcBorders>
              <w:top w:val="nil"/>
              <w:left w:val="nil"/>
              <w:bottom w:val="nil"/>
              <w:right w:val="nil"/>
            </w:tcBorders>
          </w:tcPr>
          <w:p w14:paraId="389A810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(0.02)</w:t>
            </w:r>
          </w:p>
        </w:tc>
        <w:tc>
          <w:tcPr>
            <w:tcW w:w="1020" w:type="dxa"/>
            <w:tcBorders>
              <w:top w:val="nil"/>
              <w:left w:val="nil"/>
              <w:bottom w:val="nil"/>
              <w:right w:val="nil"/>
            </w:tcBorders>
          </w:tcPr>
          <w:p w14:paraId="1A5471D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(0.02)</w:t>
            </w:r>
          </w:p>
        </w:tc>
        <w:tc>
          <w:tcPr>
            <w:tcW w:w="1020" w:type="dxa"/>
            <w:tcBorders>
              <w:top w:val="nil"/>
              <w:left w:val="nil"/>
              <w:bottom w:val="nil"/>
              <w:right w:val="nil"/>
            </w:tcBorders>
          </w:tcPr>
          <w:p w14:paraId="34A0E4F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(0.02)</w:t>
            </w:r>
          </w:p>
        </w:tc>
      </w:tr>
      <w:tr w:rsidR="001E3EA7" w:rsidRPr="00A60CE9" w14:paraId="181F7D8E" w14:textId="77777777" w:rsidTr="00712F00">
        <w:trPr>
          <w:trHeight w:val="227"/>
          <w:jc w:val="center"/>
        </w:trPr>
        <w:tc>
          <w:tcPr>
            <w:tcW w:w="2154" w:type="dxa"/>
            <w:vMerge w:val="restart"/>
            <w:tcBorders>
              <w:top w:val="nil"/>
              <w:left w:val="nil"/>
              <w:right w:val="nil"/>
            </w:tcBorders>
          </w:tcPr>
          <w:p w14:paraId="2FEABFE8"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Departing *After M&amp;A</w:t>
            </w:r>
          </w:p>
        </w:tc>
        <w:tc>
          <w:tcPr>
            <w:tcW w:w="1020" w:type="dxa"/>
            <w:tcBorders>
              <w:top w:val="nil"/>
              <w:left w:val="nil"/>
              <w:bottom w:val="nil"/>
              <w:right w:val="nil"/>
            </w:tcBorders>
          </w:tcPr>
          <w:p w14:paraId="5BD0EE3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7950748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-0.08</w:t>
            </w:r>
          </w:p>
        </w:tc>
        <w:tc>
          <w:tcPr>
            <w:tcW w:w="1020" w:type="dxa"/>
            <w:tcBorders>
              <w:top w:val="nil"/>
              <w:left w:val="nil"/>
              <w:bottom w:val="nil"/>
              <w:right w:val="nil"/>
            </w:tcBorders>
          </w:tcPr>
          <w:p w14:paraId="1E9314C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B90863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427890E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265B502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r>
      <w:tr w:rsidR="001E3EA7" w:rsidRPr="00A60CE9" w14:paraId="553EF2CC" w14:textId="77777777" w:rsidTr="00712F00">
        <w:trPr>
          <w:trHeight w:val="227"/>
          <w:jc w:val="center"/>
        </w:trPr>
        <w:tc>
          <w:tcPr>
            <w:tcW w:w="2154" w:type="dxa"/>
            <w:vMerge/>
            <w:tcBorders>
              <w:left w:val="nil"/>
              <w:bottom w:val="nil"/>
              <w:right w:val="nil"/>
            </w:tcBorders>
          </w:tcPr>
          <w:p w14:paraId="0B2074B3"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7729AEC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1522C12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(0.06)</w:t>
            </w:r>
          </w:p>
        </w:tc>
        <w:tc>
          <w:tcPr>
            <w:tcW w:w="1020" w:type="dxa"/>
            <w:tcBorders>
              <w:top w:val="nil"/>
              <w:left w:val="nil"/>
              <w:bottom w:val="nil"/>
              <w:right w:val="nil"/>
            </w:tcBorders>
          </w:tcPr>
          <w:p w14:paraId="71593D0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786138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3DA8C71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EEA800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r>
      <w:tr w:rsidR="001E3EA7" w:rsidRPr="00A60CE9" w14:paraId="472E4C2B" w14:textId="77777777" w:rsidTr="00712F00">
        <w:trPr>
          <w:trHeight w:val="227"/>
          <w:jc w:val="center"/>
        </w:trPr>
        <w:tc>
          <w:tcPr>
            <w:tcW w:w="2154" w:type="dxa"/>
            <w:vMerge w:val="restart"/>
            <w:tcBorders>
              <w:top w:val="nil"/>
              <w:left w:val="nil"/>
              <w:right w:val="nil"/>
            </w:tcBorders>
          </w:tcPr>
          <w:p w14:paraId="6AF55CEA"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Incumbent *After M&amp;A</w:t>
            </w:r>
          </w:p>
        </w:tc>
        <w:tc>
          <w:tcPr>
            <w:tcW w:w="1020" w:type="dxa"/>
            <w:tcBorders>
              <w:top w:val="nil"/>
              <w:left w:val="nil"/>
              <w:bottom w:val="nil"/>
              <w:right w:val="nil"/>
            </w:tcBorders>
          </w:tcPr>
          <w:p w14:paraId="61FA70E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5FCAE79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-1.16***</w:t>
            </w:r>
          </w:p>
        </w:tc>
        <w:tc>
          <w:tcPr>
            <w:tcW w:w="1020" w:type="dxa"/>
            <w:tcBorders>
              <w:top w:val="nil"/>
              <w:left w:val="nil"/>
              <w:bottom w:val="nil"/>
              <w:right w:val="nil"/>
            </w:tcBorders>
          </w:tcPr>
          <w:p w14:paraId="0622C41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-1.21***</w:t>
            </w:r>
          </w:p>
        </w:tc>
        <w:tc>
          <w:tcPr>
            <w:tcW w:w="1020" w:type="dxa"/>
            <w:tcBorders>
              <w:top w:val="nil"/>
              <w:left w:val="nil"/>
              <w:bottom w:val="nil"/>
              <w:right w:val="nil"/>
            </w:tcBorders>
          </w:tcPr>
          <w:p w14:paraId="7EC8E64A"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-1.24***</w:t>
            </w:r>
          </w:p>
        </w:tc>
        <w:tc>
          <w:tcPr>
            <w:tcW w:w="1020" w:type="dxa"/>
            <w:tcBorders>
              <w:top w:val="nil"/>
              <w:left w:val="nil"/>
              <w:bottom w:val="nil"/>
              <w:right w:val="nil"/>
            </w:tcBorders>
          </w:tcPr>
          <w:p w14:paraId="7C37997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-1.23***</w:t>
            </w:r>
          </w:p>
        </w:tc>
        <w:tc>
          <w:tcPr>
            <w:tcW w:w="1020" w:type="dxa"/>
            <w:tcBorders>
              <w:top w:val="nil"/>
              <w:left w:val="nil"/>
              <w:bottom w:val="nil"/>
              <w:right w:val="nil"/>
            </w:tcBorders>
          </w:tcPr>
          <w:p w14:paraId="7C0782B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-1.41***</w:t>
            </w:r>
          </w:p>
        </w:tc>
      </w:tr>
      <w:tr w:rsidR="001E3EA7" w:rsidRPr="00A60CE9" w14:paraId="078F91A2" w14:textId="77777777" w:rsidTr="00712F00">
        <w:trPr>
          <w:trHeight w:val="227"/>
          <w:jc w:val="center"/>
        </w:trPr>
        <w:tc>
          <w:tcPr>
            <w:tcW w:w="2154" w:type="dxa"/>
            <w:vMerge/>
            <w:tcBorders>
              <w:left w:val="nil"/>
              <w:bottom w:val="nil"/>
              <w:right w:val="nil"/>
            </w:tcBorders>
          </w:tcPr>
          <w:p w14:paraId="562CF58C"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15D4D33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20B829F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(0.13)</w:t>
            </w:r>
          </w:p>
        </w:tc>
        <w:tc>
          <w:tcPr>
            <w:tcW w:w="1020" w:type="dxa"/>
            <w:tcBorders>
              <w:top w:val="nil"/>
              <w:left w:val="nil"/>
              <w:bottom w:val="nil"/>
              <w:right w:val="nil"/>
            </w:tcBorders>
          </w:tcPr>
          <w:p w14:paraId="542ED706"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(0.13)</w:t>
            </w:r>
          </w:p>
        </w:tc>
        <w:tc>
          <w:tcPr>
            <w:tcW w:w="1020" w:type="dxa"/>
            <w:tcBorders>
              <w:top w:val="nil"/>
              <w:left w:val="nil"/>
              <w:bottom w:val="nil"/>
              <w:right w:val="nil"/>
            </w:tcBorders>
          </w:tcPr>
          <w:p w14:paraId="23FBE96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(0.13)</w:t>
            </w:r>
          </w:p>
        </w:tc>
        <w:tc>
          <w:tcPr>
            <w:tcW w:w="1020" w:type="dxa"/>
            <w:tcBorders>
              <w:top w:val="nil"/>
              <w:left w:val="nil"/>
              <w:bottom w:val="nil"/>
              <w:right w:val="nil"/>
            </w:tcBorders>
          </w:tcPr>
          <w:p w14:paraId="123607A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(0.13)</w:t>
            </w:r>
          </w:p>
        </w:tc>
        <w:tc>
          <w:tcPr>
            <w:tcW w:w="1020" w:type="dxa"/>
            <w:tcBorders>
              <w:top w:val="nil"/>
              <w:left w:val="nil"/>
              <w:bottom w:val="nil"/>
              <w:right w:val="nil"/>
            </w:tcBorders>
          </w:tcPr>
          <w:p w14:paraId="3DD09FCF"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(0.15)</w:t>
            </w:r>
          </w:p>
        </w:tc>
      </w:tr>
      <w:tr w:rsidR="001E3EA7" w:rsidRPr="00A60CE9" w14:paraId="14198711" w14:textId="77777777" w:rsidTr="00712F00">
        <w:trPr>
          <w:trHeight w:val="227"/>
          <w:jc w:val="center"/>
        </w:trPr>
        <w:tc>
          <w:tcPr>
            <w:tcW w:w="2154" w:type="dxa"/>
            <w:vMerge w:val="restart"/>
            <w:tcBorders>
              <w:top w:val="nil"/>
              <w:left w:val="nil"/>
              <w:right w:val="nil"/>
            </w:tcBorders>
          </w:tcPr>
          <w:p w14:paraId="29D2A7A1"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iCs/>
                <w:sz w:val="22"/>
                <w:lang w:eastAsia="fr-LU"/>
              </w:rPr>
              <w:t>New key inventors</w:t>
            </w:r>
          </w:p>
        </w:tc>
        <w:tc>
          <w:tcPr>
            <w:tcW w:w="1020" w:type="dxa"/>
            <w:tcBorders>
              <w:top w:val="nil"/>
              <w:left w:val="nil"/>
              <w:bottom w:val="nil"/>
              <w:right w:val="nil"/>
            </w:tcBorders>
          </w:tcPr>
          <w:p w14:paraId="117592A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66889963"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2171610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-0.46***</w:t>
            </w:r>
          </w:p>
        </w:tc>
        <w:tc>
          <w:tcPr>
            <w:tcW w:w="1020" w:type="dxa"/>
            <w:tcBorders>
              <w:top w:val="nil"/>
              <w:left w:val="nil"/>
              <w:bottom w:val="nil"/>
              <w:right w:val="nil"/>
            </w:tcBorders>
          </w:tcPr>
          <w:p w14:paraId="15A513C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-0.97***</w:t>
            </w:r>
          </w:p>
        </w:tc>
        <w:tc>
          <w:tcPr>
            <w:tcW w:w="1020" w:type="dxa"/>
            <w:tcBorders>
              <w:top w:val="nil"/>
              <w:left w:val="nil"/>
              <w:bottom w:val="nil"/>
              <w:right w:val="nil"/>
            </w:tcBorders>
          </w:tcPr>
          <w:p w14:paraId="78F3996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-0.28***</w:t>
            </w:r>
          </w:p>
        </w:tc>
        <w:tc>
          <w:tcPr>
            <w:tcW w:w="1020" w:type="dxa"/>
            <w:tcBorders>
              <w:top w:val="nil"/>
              <w:left w:val="nil"/>
              <w:bottom w:val="nil"/>
              <w:right w:val="nil"/>
            </w:tcBorders>
          </w:tcPr>
          <w:p w14:paraId="3450A01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-0.81***</w:t>
            </w:r>
          </w:p>
        </w:tc>
      </w:tr>
      <w:tr w:rsidR="001E3EA7" w:rsidRPr="00A60CE9" w14:paraId="06F04E51" w14:textId="77777777" w:rsidTr="00712F00">
        <w:trPr>
          <w:trHeight w:val="227"/>
          <w:jc w:val="center"/>
        </w:trPr>
        <w:tc>
          <w:tcPr>
            <w:tcW w:w="2154" w:type="dxa"/>
            <w:vMerge/>
            <w:tcBorders>
              <w:left w:val="nil"/>
              <w:bottom w:val="nil"/>
              <w:right w:val="nil"/>
            </w:tcBorders>
          </w:tcPr>
          <w:p w14:paraId="325F5751"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0EA5847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7ED85C83"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4D621B2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(0.04)</w:t>
            </w:r>
          </w:p>
        </w:tc>
        <w:tc>
          <w:tcPr>
            <w:tcW w:w="1020" w:type="dxa"/>
            <w:tcBorders>
              <w:top w:val="nil"/>
              <w:left w:val="nil"/>
              <w:bottom w:val="nil"/>
              <w:right w:val="nil"/>
            </w:tcBorders>
          </w:tcPr>
          <w:p w14:paraId="47B79F7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(0.06)</w:t>
            </w:r>
          </w:p>
        </w:tc>
        <w:tc>
          <w:tcPr>
            <w:tcW w:w="1020" w:type="dxa"/>
            <w:tcBorders>
              <w:top w:val="nil"/>
              <w:left w:val="nil"/>
              <w:bottom w:val="nil"/>
              <w:right w:val="nil"/>
            </w:tcBorders>
          </w:tcPr>
          <w:p w14:paraId="6A6DC0A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(0.05)</w:t>
            </w:r>
          </w:p>
        </w:tc>
        <w:tc>
          <w:tcPr>
            <w:tcW w:w="1020" w:type="dxa"/>
            <w:tcBorders>
              <w:top w:val="nil"/>
              <w:left w:val="nil"/>
              <w:bottom w:val="nil"/>
              <w:right w:val="nil"/>
            </w:tcBorders>
          </w:tcPr>
          <w:p w14:paraId="0F85468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(0.09)</w:t>
            </w:r>
          </w:p>
        </w:tc>
      </w:tr>
      <w:tr w:rsidR="001E3EA7" w:rsidRPr="00A60CE9" w14:paraId="0F2C4B8E" w14:textId="77777777" w:rsidTr="00712F00">
        <w:trPr>
          <w:trHeight w:val="227"/>
          <w:jc w:val="center"/>
        </w:trPr>
        <w:tc>
          <w:tcPr>
            <w:tcW w:w="2154" w:type="dxa"/>
            <w:vMerge w:val="restart"/>
            <w:tcBorders>
              <w:top w:val="nil"/>
              <w:left w:val="nil"/>
              <w:right w:val="nil"/>
            </w:tcBorders>
          </w:tcPr>
          <w:p w14:paraId="4BF92AA7"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iCs/>
                <w:sz w:val="22"/>
                <w:lang w:eastAsia="fr-LU"/>
              </w:rPr>
              <w:t>New key</w:t>
            </w:r>
            <w:r w:rsidRPr="00A60CE9">
              <w:rPr>
                <w:rFonts w:eastAsia="Times New Roman"/>
                <w:sz w:val="22"/>
              </w:rPr>
              <w:t xml:space="preserve"> *After M&amp;A</w:t>
            </w:r>
          </w:p>
        </w:tc>
        <w:tc>
          <w:tcPr>
            <w:tcW w:w="1020" w:type="dxa"/>
            <w:tcBorders>
              <w:top w:val="nil"/>
              <w:left w:val="nil"/>
              <w:bottom w:val="nil"/>
              <w:right w:val="nil"/>
            </w:tcBorders>
          </w:tcPr>
          <w:p w14:paraId="30E62F7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9B7F08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70932E0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5959AB3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0.89***</w:t>
            </w:r>
          </w:p>
        </w:tc>
        <w:tc>
          <w:tcPr>
            <w:tcW w:w="1020" w:type="dxa"/>
            <w:tcBorders>
              <w:top w:val="nil"/>
              <w:left w:val="nil"/>
              <w:bottom w:val="nil"/>
              <w:right w:val="nil"/>
            </w:tcBorders>
          </w:tcPr>
          <w:p w14:paraId="600A53B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73B760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0.70***</w:t>
            </w:r>
          </w:p>
        </w:tc>
      </w:tr>
      <w:tr w:rsidR="001E3EA7" w:rsidRPr="00A60CE9" w14:paraId="38F95157" w14:textId="77777777" w:rsidTr="00712F00">
        <w:trPr>
          <w:trHeight w:val="227"/>
          <w:jc w:val="center"/>
        </w:trPr>
        <w:tc>
          <w:tcPr>
            <w:tcW w:w="2154" w:type="dxa"/>
            <w:vMerge/>
            <w:tcBorders>
              <w:left w:val="nil"/>
              <w:bottom w:val="nil"/>
              <w:right w:val="nil"/>
            </w:tcBorders>
          </w:tcPr>
          <w:p w14:paraId="315B4BF9"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167E4A9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5FFCF4F"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41C0BE6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1A5436F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(0.07)</w:t>
            </w:r>
          </w:p>
        </w:tc>
        <w:tc>
          <w:tcPr>
            <w:tcW w:w="1020" w:type="dxa"/>
            <w:tcBorders>
              <w:top w:val="nil"/>
              <w:left w:val="nil"/>
              <w:bottom w:val="nil"/>
              <w:right w:val="nil"/>
            </w:tcBorders>
          </w:tcPr>
          <w:p w14:paraId="2BCCEC7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6F9818B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(0.10)</w:t>
            </w:r>
          </w:p>
        </w:tc>
      </w:tr>
      <w:tr w:rsidR="001E3EA7" w:rsidRPr="00A60CE9" w14:paraId="6EDC2AE9" w14:textId="77777777" w:rsidTr="00712F00">
        <w:trPr>
          <w:trHeight w:val="227"/>
          <w:jc w:val="center"/>
        </w:trPr>
        <w:tc>
          <w:tcPr>
            <w:tcW w:w="2154" w:type="dxa"/>
            <w:vMerge w:val="restart"/>
            <w:tcBorders>
              <w:top w:val="nil"/>
              <w:left w:val="nil"/>
              <w:right w:val="nil"/>
            </w:tcBorders>
          </w:tcPr>
          <w:p w14:paraId="4FB2523E"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iCs/>
                <w:sz w:val="22"/>
                <w:lang w:eastAsia="fr-LU"/>
              </w:rPr>
              <w:t>Incumbent *New key</w:t>
            </w:r>
          </w:p>
        </w:tc>
        <w:tc>
          <w:tcPr>
            <w:tcW w:w="1020" w:type="dxa"/>
            <w:tcBorders>
              <w:top w:val="nil"/>
              <w:left w:val="nil"/>
              <w:bottom w:val="nil"/>
              <w:right w:val="nil"/>
            </w:tcBorders>
          </w:tcPr>
          <w:p w14:paraId="0709F3F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23E1CDC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289F62B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59A0AA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1966C4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-3.61***</w:t>
            </w:r>
          </w:p>
        </w:tc>
        <w:tc>
          <w:tcPr>
            <w:tcW w:w="1020" w:type="dxa"/>
            <w:tcBorders>
              <w:top w:val="nil"/>
              <w:left w:val="nil"/>
              <w:bottom w:val="nil"/>
              <w:right w:val="nil"/>
            </w:tcBorders>
          </w:tcPr>
          <w:p w14:paraId="02C5871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-1.81**</w:t>
            </w:r>
          </w:p>
        </w:tc>
      </w:tr>
      <w:tr w:rsidR="001E3EA7" w:rsidRPr="00A60CE9" w14:paraId="0A2D96F6" w14:textId="77777777" w:rsidTr="00712F00">
        <w:trPr>
          <w:trHeight w:val="227"/>
          <w:jc w:val="center"/>
        </w:trPr>
        <w:tc>
          <w:tcPr>
            <w:tcW w:w="2154" w:type="dxa"/>
            <w:vMerge/>
            <w:tcBorders>
              <w:left w:val="nil"/>
              <w:bottom w:val="nil"/>
              <w:right w:val="nil"/>
            </w:tcBorders>
          </w:tcPr>
          <w:p w14:paraId="0F6722C5"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02AD9CF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596A4D9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5E2FB91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67DC249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03744CB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(0.59)</w:t>
            </w:r>
          </w:p>
        </w:tc>
        <w:tc>
          <w:tcPr>
            <w:tcW w:w="1020" w:type="dxa"/>
            <w:tcBorders>
              <w:top w:val="nil"/>
              <w:left w:val="nil"/>
              <w:bottom w:val="nil"/>
              <w:right w:val="nil"/>
            </w:tcBorders>
          </w:tcPr>
          <w:p w14:paraId="1FAEA646"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(0.74)</w:t>
            </w:r>
          </w:p>
        </w:tc>
      </w:tr>
      <w:tr w:rsidR="001E3EA7" w:rsidRPr="00A60CE9" w14:paraId="7ADF796E" w14:textId="77777777" w:rsidTr="00712F00">
        <w:trPr>
          <w:trHeight w:val="227"/>
          <w:jc w:val="center"/>
        </w:trPr>
        <w:tc>
          <w:tcPr>
            <w:tcW w:w="2154" w:type="dxa"/>
            <w:vMerge w:val="restart"/>
            <w:tcBorders>
              <w:top w:val="nil"/>
              <w:left w:val="nil"/>
              <w:right w:val="nil"/>
            </w:tcBorders>
          </w:tcPr>
          <w:p w14:paraId="12051271"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iCs/>
                <w:sz w:val="22"/>
                <w:lang w:eastAsia="fr-LU"/>
              </w:rPr>
              <w:t>Incumbent *New key</w:t>
            </w:r>
            <w:r w:rsidRPr="00A60CE9">
              <w:rPr>
                <w:rFonts w:eastAsia="Times New Roman"/>
                <w:sz w:val="22"/>
              </w:rPr>
              <w:t xml:space="preserve"> *After M&amp;A</w:t>
            </w:r>
          </w:p>
        </w:tc>
        <w:tc>
          <w:tcPr>
            <w:tcW w:w="1020" w:type="dxa"/>
            <w:tcBorders>
              <w:top w:val="nil"/>
              <w:left w:val="nil"/>
              <w:bottom w:val="nil"/>
              <w:right w:val="nil"/>
            </w:tcBorders>
          </w:tcPr>
          <w:p w14:paraId="67A13FE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301E873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1E364F8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2496B6C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44EDDE7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747D02C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3.32***</w:t>
            </w:r>
          </w:p>
        </w:tc>
      </w:tr>
      <w:tr w:rsidR="001E3EA7" w:rsidRPr="00A60CE9" w14:paraId="03E6C4A0" w14:textId="77777777" w:rsidTr="00712F00">
        <w:trPr>
          <w:trHeight w:val="227"/>
          <w:jc w:val="center"/>
        </w:trPr>
        <w:tc>
          <w:tcPr>
            <w:tcW w:w="2154" w:type="dxa"/>
            <w:vMerge/>
            <w:tcBorders>
              <w:left w:val="nil"/>
              <w:right w:val="nil"/>
            </w:tcBorders>
          </w:tcPr>
          <w:p w14:paraId="6A427090"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nil"/>
              <w:right w:val="nil"/>
            </w:tcBorders>
          </w:tcPr>
          <w:p w14:paraId="11E52B0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1FB0F99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636429B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14A02D3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5FF45101"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nil"/>
              <w:right w:val="nil"/>
            </w:tcBorders>
          </w:tcPr>
          <w:p w14:paraId="3AD47705"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(1.27)</w:t>
            </w:r>
          </w:p>
        </w:tc>
      </w:tr>
      <w:tr w:rsidR="001E3EA7" w:rsidRPr="00A60CE9" w14:paraId="0E642959" w14:textId="77777777" w:rsidTr="00712F00">
        <w:trPr>
          <w:trHeight w:val="227"/>
          <w:jc w:val="center"/>
        </w:trPr>
        <w:tc>
          <w:tcPr>
            <w:tcW w:w="2154" w:type="dxa"/>
            <w:vMerge/>
            <w:tcBorders>
              <w:left w:val="nil"/>
              <w:bottom w:val="single" w:sz="4" w:space="0" w:color="auto"/>
              <w:right w:val="nil"/>
            </w:tcBorders>
          </w:tcPr>
          <w:p w14:paraId="4711DE61"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p>
        </w:tc>
        <w:tc>
          <w:tcPr>
            <w:tcW w:w="1020" w:type="dxa"/>
            <w:tcBorders>
              <w:top w:val="nil"/>
              <w:left w:val="nil"/>
              <w:bottom w:val="single" w:sz="4" w:space="0" w:color="auto"/>
              <w:right w:val="nil"/>
            </w:tcBorders>
          </w:tcPr>
          <w:p w14:paraId="138D082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single" w:sz="4" w:space="0" w:color="auto"/>
              <w:right w:val="nil"/>
            </w:tcBorders>
          </w:tcPr>
          <w:p w14:paraId="247F977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single" w:sz="4" w:space="0" w:color="auto"/>
              <w:right w:val="nil"/>
            </w:tcBorders>
          </w:tcPr>
          <w:p w14:paraId="4DE37AE3"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single" w:sz="4" w:space="0" w:color="auto"/>
              <w:right w:val="nil"/>
            </w:tcBorders>
          </w:tcPr>
          <w:p w14:paraId="2AEE468F"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single" w:sz="4" w:space="0" w:color="auto"/>
              <w:right w:val="nil"/>
            </w:tcBorders>
          </w:tcPr>
          <w:p w14:paraId="1215AB9A"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c>
          <w:tcPr>
            <w:tcW w:w="1020" w:type="dxa"/>
            <w:tcBorders>
              <w:top w:val="nil"/>
              <w:left w:val="nil"/>
              <w:bottom w:val="single" w:sz="4" w:space="0" w:color="auto"/>
              <w:right w:val="nil"/>
            </w:tcBorders>
          </w:tcPr>
          <w:p w14:paraId="6464E9A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p>
        </w:tc>
      </w:tr>
      <w:tr w:rsidR="001E3EA7" w:rsidRPr="00A60CE9" w14:paraId="690EA00E" w14:textId="77777777" w:rsidTr="00712F00">
        <w:trPr>
          <w:trHeight w:val="227"/>
          <w:jc w:val="center"/>
        </w:trPr>
        <w:tc>
          <w:tcPr>
            <w:tcW w:w="2154" w:type="dxa"/>
            <w:tcBorders>
              <w:top w:val="single" w:sz="4" w:space="0" w:color="auto"/>
              <w:left w:val="nil"/>
              <w:bottom w:val="nil"/>
              <w:right w:val="nil"/>
            </w:tcBorders>
          </w:tcPr>
          <w:p w14:paraId="3392FCF8"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Observations</w:t>
            </w:r>
          </w:p>
        </w:tc>
        <w:tc>
          <w:tcPr>
            <w:tcW w:w="1020" w:type="dxa"/>
            <w:tcBorders>
              <w:top w:val="single" w:sz="4" w:space="0" w:color="auto"/>
              <w:left w:val="nil"/>
              <w:bottom w:val="nil"/>
              <w:right w:val="nil"/>
            </w:tcBorders>
          </w:tcPr>
          <w:p w14:paraId="28FF946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6,105</w:t>
            </w:r>
          </w:p>
        </w:tc>
        <w:tc>
          <w:tcPr>
            <w:tcW w:w="1020" w:type="dxa"/>
            <w:tcBorders>
              <w:top w:val="single" w:sz="4" w:space="0" w:color="auto"/>
              <w:left w:val="nil"/>
              <w:bottom w:val="nil"/>
              <w:right w:val="nil"/>
            </w:tcBorders>
          </w:tcPr>
          <w:p w14:paraId="6FEE0DBC"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6,105</w:t>
            </w:r>
          </w:p>
        </w:tc>
        <w:tc>
          <w:tcPr>
            <w:tcW w:w="1020" w:type="dxa"/>
            <w:tcBorders>
              <w:top w:val="single" w:sz="4" w:space="0" w:color="auto"/>
              <w:left w:val="nil"/>
              <w:bottom w:val="nil"/>
              <w:right w:val="nil"/>
            </w:tcBorders>
          </w:tcPr>
          <w:p w14:paraId="1A91D3F8"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6,105</w:t>
            </w:r>
          </w:p>
        </w:tc>
        <w:tc>
          <w:tcPr>
            <w:tcW w:w="1020" w:type="dxa"/>
            <w:tcBorders>
              <w:top w:val="single" w:sz="4" w:space="0" w:color="auto"/>
              <w:left w:val="nil"/>
              <w:bottom w:val="nil"/>
              <w:right w:val="nil"/>
            </w:tcBorders>
          </w:tcPr>
          <w:p w14:paraId="677D8F8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6,105</w:t>
            </w:r>
          </w:p>
        </w:tc>
        <w:tc>
          <w:tcPr>
            <w:tcW w:w="1020" w:type="dxa"/>
            <w:tcBorders>
              <w:top w:val="single" w:sz="4" w:space="0" w:color="auto"/>
              <w:left w:val="nil"/>
              <w:bottom w:val="nil"/>
              <w:right w:val="nil"/>
            </w:tcBorders>
          </w:tcPr>
          <w:p w14:paraId="56F753D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6,105</w:t>
            </w:r>
          </w:p>
        </w:tc>
        <w:tc>
          <w:tcPr>
            <w:tcW w:w="1020" w:type="dxa"/>
            <w:tcBorders>
              <w:top w:val="single" w:sz="4" w:space="0" w:color="auto"/>
              <w:left w:val="nil"/>
              <w:bottom w:val="nil"/>
              <w:right w:val="nil"/>
            </w:tcBorders>
          </w:tcPr>
          <w:p w14:paraId="6957D18B" w14:textId="474E5593"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6,105</w:t>
            </w:r>
            <w:r w:rsidR="00DE5E7E" w:rsidRPr="00A60CE9">
              <w:rPr>
                <w:rFonts w:eastAsia="Times New Roman"/>
                <w:sz w:val="22"/>
              </w:rPr>
              <w:t>/</w:t>
            </w:r>
          </w:p>
        </w:tc>
      </w:tr>
      <w:tr w:rsidR="001E3EA7" w:rsidRPr="00A60CE9" w14:paraId="3D0D92C6" w14:textId="77777777" w:rsidTr="00712F00">
        <w:trPr>
          <w:trHeight w:val="227"/>
          <w:jc w:val="center"/>
        </w:trPr>
        <w:tc>
          <w:tcPr>
            <w:tcW w:w="2154" w:type="dxa"/>
            <w:tcBorders>
              <w:top w:val="nil"/>
              <w:left w:val="nil"/>
              <w:bottom w:val="nil"/>
              <w:right w:val="nil"/>
            </w:tcBorders>
          </w:tcPr>
          <w:p w14:paraId="711F1BC4"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Deal Dummies</w:t>
            </w:r>
          </w:p>
        </w:tc>
        <w:tc>
          <w:tcPr>
            <w:tcW w:w="1020" w:type="dxa"/>
            <w:tcBorders>
              <w:top w:val="nil"/>
              <w:left w:val="nil"/>
              <w:bottom w:val="nil"/>
              <w:right w:val="nil"/>
            </w:tcBorders>
          </w:tcPr>
          <w:p w14:paraId="5179108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2C7B310E"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0D15BA29"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159362B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523F5D6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63EE039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r>
      <w:tr w:rsidR="001E3EA7" w:rsidRPr="00A60CE9" w14:paraId="2E670A34" w14:textId="77777777" w:rsidTr="00712F00">
        <w:trPr>
          <w:trHeight w:val="227"/>
          <w:jc w:val="center"/>
        </w:trPr>
        <w:tc>
          <w:tcPr>
            <w:tcW w:w="2154" w:type="dxa"/>
            <w:tcBorders>
              <w:top w:val="nil"/>
              <w:left w:val="nil"/>
              <w:bottom w:val="nil"/>
              <w:right w:val="nil"/>
            </w:tcBorders>
          </w:tcPr>
          <w:p w14:paraId="4CC48F9E"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Time Effects</w:t>
            </w:r>
          </w:p>
        </w:tc>
        <w:tc>
          <w:tcPr>
            <w:tcW w:w="1020" w:type="dxa"/>
            <w:tcBorders>
              <w:top w:val="nil"/>
              <w:left w:val="nil"/>
              <w:bottom w:val="nil"/>
              <w:right w:val="nil"/>
            </w:tcBorders>
          </w:tcPr>
          <w:p w14:paraId="2BC68A80"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7ABC0BC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1B1C520B"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288442F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7508F44F"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c>
          <w:tcPr>
            <w:tcW w:w="1020" w:type="dxa"/>
            <w:tcBorders>
              <w:top w:val="nil"/>
              <w:left w:val="nil"/>
              <w:bottom w:val="nil"/>
              <w:right w:val="nil"/>
            </w:tcBorders>
          </w:tcPr>
          <w:p w14:paraId="739175F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YES</w:t>
            </w:r>
          </w:p>
        </w:tc>
      </w:tr>
      <w:tr w:rsidR="001E3EA7" w:rsidRPr="00A60CE9" w14:paraId="0CB0322F" w14:textId="77777777" w:rsidTr="00712F00">
        <w:tblPrEx>
          <w:tblBorders>
            <w:bottom w:val="single" w:sz="6" w:space="0" w:color="auto"/>
          </w:tblBorders>
        </w:tblPrEx>
        <w:trPr>
          <w:trHeight w:val="227"/>
          <w:jc w:val="center"/>
        </w:trPr>
        <w:tc>
          <w:tcPr>
            <w:tcW w:w="2154" w:type="dxa"/>
            <w:tcBorders>
              <w:top w:val="nil"/>
              <w:left w:val="nil"/>
              <w:bottom w:val="single" w:sz="6" w:space="0" w:color="auto"/>
              <w:right w:val="nil"/>
            </w:tcBorders>
          </w:tcPr>
          <w:p w14:paraId="41FF2A68" w14:textId="77777777" w:rsidR="001E3EA7" w:rsidRPr="00A60CE9" w:rsidRDefault="001E3EA7" w:rsidP="00712F00">
            <w:pPr>
              <w:widowControl w:val="0"/>
              <w:autoSpaceDE w:val="0"/>
              <w:autoSpaceDN w:val="0"/>
              <w:adjustRightInd w:val="0"/>
              <w:spacing w:line="240" w:lineRule="auto"/>
              <w:contextualSpacing/>
              <w:rPr>
                <w:rFonts w:eastAsia="Times New Roman"/>
                <w:sz w:val="22"/>
              </w:rPr>
            </w:pPr>
            <w:r w:rsidRPr="00A60CE9">
              <w:rPr>
                <w:rFonts w:eastAsia="Times New Roman"/>
                <w:sz w:val="22"/>
              </w:rPr>
              <w:t>Model chi-square</w:t>
            </w:r>
          </w:p>
        </w:tc>
        <w:tc>
          <w:tcPr>
            <w:tcW w:w="1020" w:type="dxa"/>
            <w:tcBorders>
              <w:top w:val="nil"/>
              <w:left w:val="nil"/>
              <w:bottom w:val="single" w:sz="6" w:space="0" w:color="auto"/>
              <w:right w:val="nil"/>
            </w:tcBorders>
          </w:tcPr>
          <w:p w14:paraId="750AB67D"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304192</w:t>
            </w:r>
          </w:p>
        </w:tc>
        <w:tc>
          <w:tcPr>
            <w:tcW w:w="1020" w:type="dxa"/>
            <w:tcBorders>
              <w:top w:val="nil"/>
              <w:left w:val="nil"/>
              <w:bottom w:val="single" w:sz="6" w:space="0" w:color="auto"/>
              <w:right w:val="nil"/>
            </w:tcBorders>
          </w:tcPr>
          <w:p w14:paraId="3707CA07"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304273</w:t>
            </w:r>
          </w:p>
        </w:tc>
        <w:tc>
          <w:tcPr>
            <w:tcW w:w="1020" w:type="dxa"/>
            <w:tcBorders>
              <w:top w:val="nil"/>
              <w:left w:val="nil"/>
              <w:bottom w:val="single" w:sz="6" w:space="0" w:color="auto"/>
              <w:right w:val="nil"/>
            </w:tcBorders>
          </w:tcPr>
          <w:p w14:paraId="40DE48AF"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304413</w:t>
            </w:r>
          </w:p>
        </w:tc>
        <w:tc>
          <w:tcPr>
            <w:tcW w:w="1020" w:type="dxa"/>
            <w:tcBorders>
              <w:top w:val="nil"/>
              <w:left w:val="nil"/>
              <w:bottom w:val="single" w:sz="6" w:space="0" w:color="auto"/>
              <w:right w:val="nil"/>
            </w:tcBorders>
          </w:tcPr>
          <w:p w14:paraId="2A9728C2"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304557</w:t>
            </w:r>
          </w:p>
        </w:tc>
        <w:tc>
          <w:tcPr>
            <w:tcW w:w="1020" w:type="dxa"/>
            <w:tcBorders>
              <w:top w:val="nil"/>
              <w:left w:val="nil"/>
              <w:bottom w:val="single" w:sz="6" w:space="0" w:color="auto"/>
              <w:right w:val="nil"/>
            </w:tcBorders>
          </w:tcPr>
          <w:p w14:paraId="04036363"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304456</w:t>
            </w:r>
          </w:p>
        </w:tc>
        <w:tc>
          <w:tcPr>
            <w:tcW w:w="1020" w:type="dxa"/>
            <w:tcBorders>
              <w:top w:val="nil"/>
              <w:left w:val="nil"/>
              <w:bottom w:val="single" w:sz="6" w:space="0" w:color="auto"/>
              <w:right w:val="nil"/>
            </w:tcBorders>
          </w:tcPr>
          <w:p w14:paraId="11087654" w14:textId="77777777" w:rsidR="001E3EA7" w:rsidRPr="00A60CE9" w:rsidRDefault="001E3EA7" w:rsidP="00712F00">
            <w:pPr>
              <w:widowControl w:val="0"/>
              <w:autoSpaceDE w:val="0"/>
              <w:autoSpaceDN w:val="0"/>
              <w:adjustRightInd w:val="0"/>
              <w:spacing w:line="240" w:lineRule="auto"/>
              <w:contextualSpacing/>
              <w:jc w:val="center"/>
              <w:rPr>
                <w:rFonts w:eastAsia="Times New Roman"/>
                <w:sz w:val="22"/>
              </w:rPr>
            </w:pPr>
            <w:r w:rsidRPr="00A60CE9">
              <w:rPr>
                <w:rFonts w:eastAsia="Times New Roman"/>
                <w:sz w:val="22"/>
              </w:rPr>
              <w:t>304566</w:t>
            </w:r>
          </w:p>
        </w:tc>
      </w:tr>
    </w:tbl>
    <w:p w14:paraId="5E81FB5B" w14:textId="77777777" w:rsidR="00FF5657" w:rsidRPr="00A60CE9" w:rsidRDefault="00FF5657" w:rsidP="00CB51C5">
      <w:pPr>
        <w:spacing w:line="240" w:lineRule="auto"/>
        <w:ind w:firstLine="720"/>
        <w:contextualSpacing/>
        <w:rPr>
          <w:i/>
          <w:sz w:val="20"/>
          <w:szCs w:val="18"/>
        </w:rPr>
      </w:pPr>
      <w:r w:rsidRPr="00A60CE9">
        <w:rPr>
          <w:i/>
          <w:sz w:val="20"/>
          <w:szCs w:val="18"/>
        </w:rPr>
        <w:t>Note: Table displays coefficients with standard errors in parentheses. *p&lt;0.10, **p&lt;0.05, *** p&lt;0.01</w:t>
      </w:r>
    </w:p>
    <w:p w14:paraId="1CB6F94B" w14:textId="3286663F" w:rsidR="001606B9" w:rsidRPr="00A60CE9" w:rsidRDefault="001606B9">
      <w:pPr>
        <w:spacing w:line="259" w:lineRule="auto"/>
        <w:rPr>
          <w:i/>
          <w:sz w:val="20"/>
          <w:szCs w:val="18"/>
        </w:rPr>
      </w:pPr>
      <w:r w:rsidRPr="00A60CE9">
        <w:rPr>
          <w:i/>
          <w:sz w:val="20"/>
          <w:szCs w:val="18"/>
        </w:rPr>
        <w:br w:type="page"/>
      </w:r>
    </w:p>
    <w:p w14:paraId="4067E55D" w14:textId="4DD78EA4" w:rsidR="001606B9" w:rsidRPr="00A60CE9" w:rsidRDefault="001606B9" w:rsidP="001606B9">
      <w:pPr>
        <w:pStyle w:val="Heading1"/>
        <w:spacing w:line="240" w:lineRule="auto"/>
        <w:contextualSpacing/>
      </w:pPr>
      <w:r w:rsidRPr="00A60CE9">
        <w:lastRenderedPageBreak/>
        <w:t>FIGURES</w:t>
      </w:r>
    </w:p>
    <w:p w14:paraId="4396B809" w14:textId="23613299" w:rsidR="001606B9" w:rsidRPr="00A60CE9" w:rsidRDefault="001606B9" w:rsidP="001606B9">
      <w:pPr>
        <w:spacing w:line="240" w:lineRule="auto"/>
        <w:contextualSpacing/>
        <w:rPr>
          <w:b/>
        </w:rPr>
      </w:pPr>
      <w:r w:rsidRPr="00A60CE9">
        <w:rPr>
          <w:b/>
        </w:rPr>
        <w:t xml:space="preserve">Figure 1. Effect of newly hired </w:t>
      </w:r>
      <w:r w:rsidR="00C965AD" w:rsidRPr="00A60CE9">
        <w:rPr>
          <w:b/>
        </w:rPr>
        <w:t xml:space="preserve">key </w:t>
      </w:r>
      <w:r w:rsidRPr="00A60CE9">
        <w:rPr>
          <w:b/>
        </w:rPr>
        <w:t>inventors</w:t>
      </w:r>
      <w:r w:rsidR="00F51917">
        <w:rPr>
          <w:b/>
        </w:rPr>
        <w:t xml:space="preserve"> on patent output</w:t>
      </w:r>
      <w:r w:rsidRPr="00A60CE9">
        <w:rPr>
          <w:b/>
        </w:rPr>
        <w:t>.</w:t>
      </w:r>
    </w:p>
    <w:p w14:paraId="6EE77F1C" w14:textId="6B4FB494" w:rsidR="001606B9" w:rsidRPr="00A60CE9" w:rsidRDefault="00F51917" w:rsidP="00F51917">
      <w:pPr>
        <w:spacing w:line="240" w:lineRule="auto"/>
        <w:contextualSpacing/>
        <w:rPr>
          <w:b/>
          <w:i/>
          <w:szCs w:val="24"/>
        </w:rPr>
      </w:pPr>
      <w:r>
        <w:rPr>
          <w:b/>
          <w:i/>
          <w:noProof/>
          <w:szCs w:val="24"/>
          <w:lang w:val="en-GB" w:eastAsia="en-GB"/>
        </w:rPr>
        <w:drawing>
          <wp:inline distT="0" distB="0" distL="0" distR="0" wp14:anchorId="244BDEFC" wp14:editId="7E2274F0">
            <wp:extent cx="5856784" cy="428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6784" cy="4286250"/>
                    </a:xfrm>
                    <a:prstGeom prst="rect">
                      <a:avLst/>
                    </a:prstGeom>
                    <a:noFill/>
                    <a:ln>
                      <a:noFill/>
                    </a:ln>
                  </pic:spPr>
                </pic:pic>
              </a:graphicData>
            </a:graphic>
          </wp:inline>
        </w:drawing>
      </w:r>
    </w:p>
    <w:sectPr w:rsidR="001606B9" w:rsidRPr="00A60CE9" w:rsidSect="00DF7280">
      <w:footerReference w:type="default" r:id="rId10"/>
      <w:pgSz w:w="12240" w:h="15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ADF71" w14:textId="77777777" w:rsidR="00DD59FD" w:rsidRDefault="00DD59FD" w:rsidP="009B1F04">
      <w:pPr>
        <w:spacing w:after="0" w:line="240" w:lineRule="auto"/>
      </w:pPr>
      <w:r>
        <w:separator/>
      </w:r>
    </w:p>
  </w:endnote>
  <w:endnote w:type="continuationSeparator" w:id="0">
    <w:p w14:paraId="5168D251" w14:textId="77777777" w:rsidR="00DD59FD" w:rsidRDefault="00DD59FD" w:rsidP="009B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umr10">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703461"/>
      <w:docPartObj>
        <w:docPartGallery w:val="Page Numbers (Bottom of Page)"/>
        <w:docPartUnique/>
      </w:docPartObj>
    </w:sdtPr>
    <w:sdtEndPr>
      <w:rPr>
        <w:noProof/>
      </w:rPr>
    </w:sdtEndPr>
    <w:sdtContent>
      <w:p w14:paraId="2A00BE8C" w14:textId="218535F3" w:rsidR="00812C9E" w:rsidRDefault="00812C9E">
        <w:pPr>
          <w:pStyle w:val="Footer"/>
          <w:jc w:val="right"/>
        </w:pPr>
        <w:r>
          <w:fldChar w:fldCharType="begin"/>
        </w:r>
        <w:r>
          <w:instrText xml:space="preserve"> PAGE   \* MERGEFORMAT </w:instrText>
        </w:r>
        <w:r>
          <w:fldChar w:fldCharType="separate"/>
        </w:r>
        <w:r w:rsidR="001A02C6">
          <w:rPr>
            <w:noProof/>
          </w:rPr>
          <w:t>1</w:t>
        </w:r>
        <w:r>
          <w:rPr>
            <w:noProof/>
          </w:rPr>
          <w:fldChar w:fldCharType="end"/>
        </w:r>
      </w:p>
    </w:sdtContent>
  </w:sdt>
  <w:p w14:paraId="799ACCFC" w14:textId="77777777" w:rsidR="00812C9E" w:rsidRDefault="0081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97AF5" w14:textId="77777777" w:rsidR="00DD59FD" w:rsidRDefault="00DD59FD" w:rsidP="009B1F04">
      <w:pPr>
        <w:spacing w:after="0" w:line="240" w:lineRule="auto"/>
      </w:pPr>
      <w:r>
        <w:separator/>
      </w:r>
    </w:p>
  </w:footnote>
  <w:footnote w:type="continuationSeparator" w:id="0">
    <w:p w14:paraId="5D2794EA" w14:textId="77777777" w:rsidR="00DD59FD" w:rsidRDefault="00DD59FD" w:rsidP="009B1F04">
      <w:pPr>
        <w:spacing w:after="0" w:line="240" w:lineRule="auto"/>
      </w:pPr>
      <w:r>
        <w:continuationSeparator/>
      </w:r>
    </w:p>
  </w:footnote>
  <w:footnote w:id="1">
    <w:p w14:paraId="635732C4" w14:textId="77777777" w:rsidR="001A02C6" w:rsidRPr="00930EA6" w:rsidRDefault="001A02C6" w:rsidP="001A02C6">
      <w:pPr>
        <w:pStyle w:val="FootnoteText"/>
      </w:pPr>
      <w:r>
        <w:rPr>
          <w:rStyle w:val="FootnoteReference"/>
        </w:rPr>
        <w:footnoteRef/>
      </w:r>
      <w:r w:rsidRPr="00930EA6">
        <w:t xml:space="preserve"> We thank </w:t>
      </w:r>
      <w:r>
        <w:t xml:space="preserve">Benjamin Balsmeier, </w:t>
      </w:r>
      <w:r w:rsidRPr="00930EA6">
        <w:t>Waifong Boh,</w:t>
      </w:r>
      <w:r>
        <w:t xml:space="preserve"> Martin Carree,</w:t>
      </w:r>
      <w:r w:rsidRPr="00930EA6">
        <w:t xml:space="preserve"> Kenneth Huang, Christoph Grimpe, Amit Jain, Reddi Kotha, Fabio Landini, </w:t>
      </w:r>
      <w:r>
        <w:t xml:space="preserve">Bart Leten, Wilko Letterie, </w:t>
      </w:r>
      <w:r w:rsidRPr="00930EA6">
        <w:t>Christopher Liu, Sampsa Samila, Mary Thursby, Reinhilde Veugelers, the participants of the CISS summer school 2015, the participants at the CREA seminar at the University of Luxembourg, the participants at the ETM Seminar Series of the Natio</w:t>
      </w:r>
      <w:r>
        <w:t xml:space="preserve">nal University of Singapore, at </w:t>
      </w:r>
      <w:r w:rsidRPr="00930EA6">
        <w:t>the DRUID conference 2016</w:t>
      </w:r>
      <w:r>
        <w:t xml:space="preserve"> and at AoM 2017 conference </w:t>
      </w:r>
      <w:r w:rsidRPr="00930EA6">
        <w:t>for helpful comments.</w:t>
      </w:r>
    </w:p>
  </w:footnote>
  <w:footnote w:id="2">
    <w:p w14:paraId="23436FA2" w14:textId="77777777" w:rsidR="001A02C6" w:rsidRPr="007F6641" w:rsidRDefault="001A02C6" w:rsidP="001A02C6">
      <w:pPr>
        <w:pStyle w:val="FootnoteText"/>
        <w:rPr>
          <w:lang w:val="en-GB"/>
        </w:rPr>
      </w:pPr>
      <w:r>
        <w:rPr>
          <w:rStyle w:val="FootnoteReference"/>
        </w:rPr>
        <w:footnoteRef/>
      </w:r>
      <w:r>
        <w:t xml:space="preserve"> </w:t>
      </w:r>
      <w:r w:rsidRPr="003D218E">
        <w:rPr>
          <w:i/>
          <w:lang w:val="en-GB"/>
        </w:rPr>
        <w:t>Corresponding author.</w:t>
      </w:r>
    </w:p>
  </w:footnote>
  <w:footnote w:id="3">
    <w:p w14:paraId="7B0DE3DB" w14:textId="77777777" w:rsidR="00812C9E" w:rsidRPr="00174B8B" w:rsidRDefault="00812C9E" w:rsidP="0007153F">
      <w:pPr>
        <w:pStyle w:val="FootnoteText"/>
        <w:rPr>
          <w:sz w:val="16"/>
          <w:szCs w:val="16"/>
          <w:lang w:val="en-GB"/>
        </w:rPr>
      </w:pPr>
      <w:r w:rsidRPr="00174B8B">
        <w:rPr>
          <w:rStyle w:val="FootnoteReference"/>
          <w:sz w:val="16"/>
          <w:szCs w:val="16"/>
          <w:lang w:val="en-GB"/>
        </w:rPr>
        <w:footnoteRef/>
      </w:r>
      <w:r w:rsidRPr="00174B8B">
        <w:rPr>
          <w:sz w:val="16"/>
          <w:szCs w:val="16"/>
          <w:lang w:val="en-GB"/>
        </w:rPr>
        <w:t xml:space="preserve"> Other studies that relate to the influence of key inventors on their colleagues are: (1) </w:t>
      </w:r>
      <w:r w:rsidRPr="00174B8B">
        <w:rPr>
          <w:rFonts w:cs="Times New Roman"/>
          <w:sz w:val="16"/>
          <w:szCs w:val="16"/>
          <w:lang w:val="en-GB"/>
        </w:rPr>
        <w:t>Azoulay et al.  (2010) who show that the productivity of peers decreases by 5%-8% if a key collaborator dies unexpectedly; (2) Oettl (2012) who finds that the negative effect refers in the first place to the quality of the scientists’ output; and (3) Waldinger (2012) who explores the long-lasting effects on the quality of recruits of key dismissals in Nazi Germany.</w:t>
      </w:r>
    </w:p>
  </w:footnote>
  <w:footnote w:id="4">
    <w:p w14:paraId="21E07924" w14:textId="7044E0B5" w:rsidR="00812C9E" w:rsidRPr="00174B8B" w:rsidRDefault="00812C9E">
      <w:pPr>
        <w:pStyle w:val="FootnoteText"/>
        <w:rPr>
          <w:sz w:val="16"/>
          <w:szCs w:val="16"/>
          <w:lang w:val="en-GB"/>
        </w:rPr>
      </w:pPr>
      <w:r w:rsidRPr="00174B8B">
        <w:rPr>
          <w:rStyle w:val="FootnoteReference"/>
          <w:sz w:val="16"/>
          <w:szCs w:val="16"/>
        </w:rPr>
        <w:footnoteRef/>
      </w:r>
      <w:r w:rsidRPr="00174B8B">
        <w:rPr>
          <w:sz w:val="16"/>
          <w:szCs w:val="16"/>
        </w:rPr>
        <w:t xml:space="preserve"> Often patent citations are used as a means to account for the “quality” of patents. We restrain from using patent citations as an alternative dependent variable or as a quality adjustment for the patent count variable because the M&amp;A could impact the citation likelihood and rate of the merged firms’ patents. For instance, a highly reputed target firm might impact </w:t>
      </w:r>
      <w:r w:rsidR="00647668" w:rsidRPr="00174B8B">
        <w:rPr>
          <w:sz w:val="16"/>
          <w:szCs w:val="16"/>
        </w:rPr>
        <w:t>acquirer’s</w:t>
      </w:r>
      <w:r w:rsidRPr="00174B8B">
        <w:rPr>
          <w:sz w:val="16"/>
          <w:szCs w:val="16"/>
        </w:rPr>
        <w:t xml:space="preserve"> citation rate after the M&amp;A</w:t>
      </w:r>
      <w:r w:rsidR="00B63EA5" w:rsidRPr="00174B8B">
        <w:rPr>
          <w:sz w:val="16"/>
          <w:szCs w:val="16"/>
        </w:rPr>
        <w:t>.</w:t>
      </w:r>
    </w:p>
  </w:footnote>
  <w:footnote w:id="5">
    <w:p w14:paraId="5EEB5559" w14:textId="40F93A17" w:rsidR="00812C9E" w:rsidRPr="00174B8B" w:rsidRDefault="00812C9E">
      <w:pPr>
        <w:pStyle w:val="FootnoteText"/>
        <w:rPr>
          <w:sz w:val="16"/>
          <w:szCs w:val="16"/>
          <w:lang w:val="en-GB"/>
        </w:rPr>
      </w:pPr>
      <w:r w:rsidRPr="00174B8B">
        <w:rPr>
          <w:rStyle w:val="FootnoteReference"/>
          <w:sz w:val="16"/>
          <w:szCs w:val="16"/>
          <w:lang w:val="en-GB"/>
        </w:rPr>
        <w:footnoteRef/>
      </w:r>
      <w:r w:rsidRPr="00174B8B">
        <w:rPr>
          <w:sz w:val="16"/>
          <w:szCs w:val="16"/>
          <w:lang w:val="en-GB"/>
        </w:rPr>
        <w:t xml:space="preserve"> In line with Aggarwal and Hsu (2012), we define newly hired key inventors relative to the majority of inventors that are already working for the firm. Key inventors in their field of technology, as defined by Zucker and Darby (1999; 2001), are rare so that they might not show up frequently in firms involved in M&amp;As. </w:t>
      </w:r>
    </w:p>
  </w:footnote>
  <w:footnote w:id="6">
    <w:p w14:paraId="05361CDD" w14:textId="77777777" w:rsidR="00812C9E" w:rsidRPr="00174B8B" w:rsidRDefault="00812C9E">
      <w:pPr>
        <w:pStyle w:val="FootnoteText"/>
        <w:rPr>
          <w:sz w:val="16"/>
          <w:szCs w:val="16"/>
          <w:lang w:val="en-GB"/>
        </w:rPr>
      </w:pPr>
      <w:r w:rsidRPr="00174B8B">
        <w:rPr>
          <w:rStyle w:val="FootnoteReference"/>
          <w:sz w:val="16"/>
          <w:szCs w:val="16"/>
          <w:lang w:val="en-GB"/>
        </w:rPr>
        <w:footnoteRef/>
      </w:r>
      <w:r w:rsidRPr="00174B8B">
        <w:rPr>
          <w:sz w:val="16"/>
          <w:szCs w:val="16"/>
          <w:lang w:val="en-GB"/>
        </w:rPr>
        <w:t xml:space="preserve"> We choose fixed-effects Poisson regression over fixed-effects negative binomial (Hausman et al., 1984) because the latter is not a true FE method (see Allison and Waterman, 2002 for a discussion). Since in our paper endogeneity is a concern due to unobserved variables such as managerial skills, we consider it crucial to control for unobserved fixed effect in order to mitigate these endogeneity concerns, thus our choice of FE Poisson. Moreover, FE Poisson models provide the correct point estimates if only the conditional mean is correctly specified, while, negative binomial models require the correct specification of the likelihood, which is a much stronger assumption. For the FE Poisson model, this implies that even if the second moment (i.e. the variance), is not correctly specified, the point estimates and, thus the magnitude of the effect, would still be correct.</w:t>
      </w:r>
    </w:p>
  </w:footnote>
  <w:footnote w:id="7">
    <w:p w14:paraId="07FE027C" w14:textId="2A8BCC3B" w:rsidR="00812C9E" w:rsidRPr="00174B8B" w:rsidRDefault="00812C9E" w:rsidP="000D4809">
      <w:pPr>
        <w:pStyle w:val="FootnoteText"/>
        <w:rPr>
          <w:sz w:val="16"/>
          <w:szCs w:val="16"/>
          <w:lang w:val="en-GB"/>
        </w:rPr>
      </w:pPr>
      <w:r w:rsidRPr="00174B8B">
        <w:rPr>
          <w:rStyle w:val="FootnoteReference"/>
          <w:sz w:val="16"/>
          <w:szCs w:val="16"/>
          <w:lang w:val="en-GB"/>
        </w:rPr>
        <w:footnoteRef/>
      </w:r>
      <w:r w:rsidRPr="00174B8B">
        <w:rPr>
          <w:sz w:val="16"/>
          <w:szCs w:val="16"/>
          <w:lang w:val="en-GB"/>
        </w:rPr>
        <w:t xml:space="preserve"> See Shang et al. (2015) for a discussion of the interpretation of interaction effects in </w:t>
      </w:r>
      <w:r w:rsidR="005567B4" w:rsidRPr="00174B8B">
        <w:rPr>
          <w:sz w:val="16"/>
          <w:szCs w:val="16"/>
          <w:lang w:val="en-GB"/>
        </w:rPr>
        <w:t>Poisson</w:t>
      </w:r>
      <w:r w:rsidRPr="00174B8B">
        <w:rPr>
          <w:sz w:val="16"/>
          <w:szCs w:val="16"/>
          <w:lang w:val="en-GB"/>
        </w:rPr>
        <w:t xml:space="preserve"> models.</w:t>
      </w:r>
    </w:p>
  </w:footnote>
  <w:footnote w:id="8">
    <w:p w14:paraId="4F9FD6E8" w14:textId="19507410" w:rsidR="00174B8B" w:rsidRPr="00174B8B" w:rsidRDefault="00174B8B">
      <w:pPr>
        <w:pStyle w:val="FootnoteText"/>
        <w:rPr>
          <w:sz w:val="16"/>
          <w:szCs w:val="16"/>
          <w:lang w:val="en-GB"/>
        </w:rPr>
      </w:pPr>
      <w:r w:rsidRPr="00174B8B">
        <w:rPr>
          <w:rStyle w:val="FootnoteReference"/>
          <w:sz w:val="16"/>
          <w:szCs w:val="16"/>
        </w:rPr>
        <w:footnoteRef/>
      </w:r>
      <w:r w:rsidRPr="00174B8B">
        <w:rPr>
          <w:sz w:val="16"/>
          <w:szCs w:val="16"/>
        </w:rPr>
        <w:t xml:space="preserve"> Our results hold if the subsample of countries with non-compete agreements serves as the base for the analysis. These estimations are available upon request.</w:t>
      </w:r>
    </w:p>
  </w:footnote>
  <w:footnote w:id="9">
    <w:p w14:paraId="36B20B5D" w14:textId="77777777" w:rsidR="00812C9E" w:rsidRPr="00174B8B" w:rsidRDefault="00812C9E" w:rsidP="00A8214F">
      <w:pPr>
        <w:pStyle w:val="FootnoteText"/>
        <w:rPr>
          <w:sz w:val="16"/>
          <w:szCs w:val="16"/>
          <w:lang w:val="en-GB"/>
        </w:rPr>
      </w:pPr>
      <w:r w:rsidRPr="00174B8B">
        <w:rPr>
          <w:rStyle w:val="FootnoteReference"/>
          <w:sz w:val="16"/>
          <w:szCs w:val="16"/>
          <w:lang w:val="en-GB"/>
        </w:rPr>
        <w:footnoteRef/>
      </w:r>
      <w:r w:rsidRPr="00174B8B">
        <w:rPr>
          <w:sz w:val="16"/>
          <w:szCs w:val="16"/>
          <w:lang w:val="en-GB"/>
        </w:rPr>
        <w:t xml:space="preserve"> Non-key inventors are defined as those inventors that are new to the firm and that do not qualify as key inventors since their number of citations is not above the 75% if the incumbent inventors at the acquiring firm. Similar to key inventors, non-key inventors is conceptualized as the ratio of non-key inventors hired at time </w:t>
      </w:r>
      <w:r w:rsidRPr="00174B8B">
        <w:rPr>
          <w:i/>
          <w:iCs/>
          <w:sz w:val="16"/>
          <w:szCs w:val="16"/>
          <w:lang w:val="en-GB"/>
        </w:rPr>
        <w:t xml:space="preserve">t </w:t>
      </w:r>
      <w:r w:rsidRPr="00174B8B">
        <w:rPr>
          <w:sz w:val="16"/>
          <w:szCs w:val="16"/>
          <w:lang w:val="en-GB"/>
        </w:rPr>
        <w:t xml:space="preserve">over the total number of inventors at time </w:t>
      </w:r>
      <w:r w:rsidRPr="00174B8B">
        <w:rPr>
          <w:i/>
          <w:iCs/>
          <w:sz w:val="16"/>
          <w:szCs w:val="16"/>
          <w:lang w:val="en-GB"/>
        </w:rPr>
        <w:t>t</w:t>
      </w:r>
      <w:r w:rsidRPr="00174B8B">
        <w:rPr>
          <w:sz w:val="16"/>
          <w:szCs w:val="16"/>
          <w:lang w:val="en-GB"/>
        </w:rPr>
        <w:t xml:space="preserve">. </w:t>
      </w:r>
    </w:p>
  </w:footnote>
  <w:footnote w:id="10">
    <w:p w14:paraId="676AD117" w14:textId="77777777" w:rsidR="00812C9E" w:rsidRPr="00174B8B" w:rsidRDefault="00812C9E" w:rsidP="00461614">
      <w:pPr>
        <w:pStyle w:val="FootnoteText"/>
        <w:rPr>
          <w:sz w:val="16"/>
          <w:szCs w:val="16"/>
          <w:lang w:val="en-GB"/>
        </w:rPr>
      </w:pPr>
      <w:r w:rsidRPr="00174B8B">
        <w:rPr>
          <w:rStyle w:val="FootnoteReference"/>
          <w:sz w:val="16"/>
          <w:szCs w:val="16"/>
          <w:lang w:val="en-GB"/>
        </w:rPr>
        <w:footnoteRef/>
      </w:r>
      <w:r w:rsidRPr="00174B8B">
        <w:rPr>
          <w:sz w:val="16"/>
          <w:szCs w:val="16"/>
          <w:lang w:val="en-GB"/>
        </w:rPr>
        <w:t xml:space="preserve"> In our sample, 3,476 (out of 6,105) firm-year observations have zero patent applications (approximately 57%).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5CD"/>
    <w:multiLevelType w:val="hybridMultilevel"/>
    <w:tmpl w:val="31700D60"/>
    <w:lvl w:ilvl="0" w:tplc="ADE6F5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74F30"/>
    <w:multiLevelType w:val="multilevel"/>
    <w:tmpl w:val="3626D3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82F5980"/>
    <w:multiLevelType w:val="multilevel"/>
    <w:tmpl w:val="A7BE8D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2NLAwNrM0NTMBAiUdpeDU4uLM/DyQAiOzWgBP0lPnLQAAAA=="/>
  </w:docVars>
  <w:rsids>
    <w:rsidRoot w:val="000B590B"/>
    <w:rsid w:val="00005F74"/>
    <w:rsid w:val="00021713"/>
    <w:rsid w:val="000241B8"/>
    <w:rsid w:val="0004247E"/>
    <w:rsid w:val="000445B5"/>
    <w:rsid w:val="00045823"/>
    <w:rsid w:val="0005081C"/>
    <w:rsid w:val="0005170A"/>
    <w:rsid w:val="0005232B"/>
    <w:rsid w:val="00063522"/>
    <w:rsid w:val="0007153F"/>
    <w:rsid w:val="00074DDD"/>
    <w:rsid w:val="0007798B"/>
    <w:rsid w:val="000870D9"/>
    <w:rsid w:val="000870E7"/>
    <w:rsid w:val="0009079C"/>
    <w:rsid w:val="000907B1"/>
    <w:rsid w:val="000966C6"/>
    <w:rsid w:val="00097AB5"/>
    <w:rsid w:val="000A07E4"/>
    <w:rsid w:val="000B0575"/>
    <w:rsid w:val="000B4E41"/>
    <w:rsid w:val="000B53A6"/>
    <w:rsid w:val="000B590B"/>
    <w:rsid w:val="000B70AC"/>
    <w:rsid w:val="000C37B3"/>
    <w:rsid w:val="000C4AFF"/>
    <w:rsid w:val="000C58FA"/>
    <w:rsid w:val="000D15CA"/>
    <w:rsid w:val="000D1954"/>
    <w:rsid w:val="000D1C40"/>
    <w:rsid w:val="000D21CE"/>
    <w:rsid w:val="000D4809"/>
    <w:rsid w:val="000D4FCA"/>
    <w:rsid w:val="000D6189"/>
    <w:rsid w:val="000E128A"/>
    <w:rsid w:val="000E5F0F"/>
    <w:rsid w:val="000E637E"/>
    <w:rsid w:val="000E687F"/>
    <w:rsid w:val="000F1A43"/>
    <w:rsid w:val="000F67B6"/>
    <w:rsid w:val="000F7D6E"/>
    <w:rsid w:val="00111CA7"/>
    <w:rsid w:val="001120C0"/>
    <w:rsid w:val="00113261"/>
    <w:rsid w:val="0011579A"/>
    <w:rsid w:val="00115A40"/>
    <w:rsid w:val="00116034"/>
    <w:rsid w:val="00121340"/>
    <w:rsid w:val="00121956"/>
    <w:rsid w:val="00127800"/>
    <w:rsid w:val="0014324F"/>
    <w:rsid w:val="00143296"/>
    <w:rsid w:val="001606B9"/>
    <w:rsid w:val="001633E0"/>
    <w:rsid w:val="0016508F"/>
    <w:rsid w:val="00166C79"/>
    <w:rsid w:val="00173D80"/>
    <w:rsid w:val="00174B8B"/>
    <w:rsid w:val="00182F63"/>
    <w:rsid w:val="00186B52"/>
    <w:rsid w:val="00186CC2"/>
    <w:rsid w:val="00190EDB"/>
    <w:rsid w:val="001923FC"/>
    <w:rsid w:val="001944BC"/>
    <w:rsid w:val="00194C43"/>
    <w:rsid w:val="001A02C6"/>
    <w:rsid w:val="001A06F9"/>
    <w:rsid w:val="001A25F4"/>
    <w:rsid w:val="001A2BD0"/>
    <w:rsid w:val="001B0334"/>
    <w:rsid w:val="001B500B"/>
    <w:rsid w:val="001B58A4"/>
    <w:rsid w:val="001C2EF1"/>
    <w:rsid w:val="001C65F2"/>
    <w:rsid w:val="001D6C83"/>
    <w:rsid w:val="001E1A3C"/>
    <w:rsid w:val="001E3EA7"/>
    <w:rsid w:val="001E404F"/>
    <w:rsid w:val="001E7227"/>
    <w:rsid w:val="001F0219"/>
    <w:rsid w:val="001F5510"/>
    <w:rsid w:val="001F610B"/>
    <w:rsid w:val="00207C61"/>
    <w:rsid w:val="00211C48"/>
    <w:rsid w:val="00220214"/>
    <w:rsid w:val="00222906"/>
    <w:rsid w:val="00225C07"/>
    <w:rsid w:val="00236A58"/>
    <w:rsid w:val="00247358"/>
    <w:rsid w:val="00253967"/>
    <w:rsid w:val="002605E3"/>
    <w:rsid w:val="002619C1"/>
    <w:rsid w:val="002620A4"/>
    <w:rsid w:val="00264C66"/>
    <w:rsid w:val="00270C5D"/>
    <w:rsid w:val="00271032"/>
    <w:rsid w:val="0027201F"/>
    <w:rsid w:val="002723C9"/>
    <w:rsid w:val="00282598"/>
    <w:rsid w:val="002830F9"/>
    <w:rsid w:val="00286F64"/>
    <w:rsid w:val="002876DE"/>
    <w:rsid w:val="00291C31"/>
    <w:rsid w:val="00293363"/>
    <w:rsid w:val="002A48A1"/>
    <w:rsid w:val="002B0054"/>
    <w:rsid w:val="002B01A1"/>
    <w:rsid w:val="002B1056"/>
    <w:rsid w:val="002B55B7"/>
    <w:rsid w:val="002E20F4"/>
    <w:rsid w:val="002E3C01"/>
    <w:rsid w:val="002E504F"/>
    <w:rsid w:val="002F1A00"/>
    <w:rsid w:val="002F2F0B"/>
    <w:rsid w:val="002F38EA"/>
    <w:rsid w:val="002F423C"/>
    <w:rsid w:val="003056E4"/>
    <w:rsid w:val="00310FD3"/>
    <w:rsid w:val="003123B0"/>
    <w:rsid w:val="003155A4"/>
    <w:rsid w:val="00317D41"/>
    <w:rsid w:val="00321E6E"/>
    <w:rsid w:val="00322150"/>
    <w:rsid w:val="003238DD"/>
    <w:rsid w:val="00327E9F"/>
    <w:rsid w:val="00330D88"/>
    <w:rsid w:val="00331586"/>
    <w:rsid w:val="00336B78"/>
    <w:rsid w:val="00340BF7"/>
    <w:rsid w:val="00344903"/>
    <w:rsid w:val="00344E57"/>
    <w:rsid w:val="00345BBD"/>
    <w:rsid w:val="00353600"/>
    <w:rsid w:val="00361797"/>
    <w:rsid w:val="00363A1D"/>
    <w:rsid w:val="003663C9"/>
    <w:rsid w:val="00375FE9"/>
    <w:rsid w:val="003760A4"/>
    <w:rsid w:val="003847A4"/>
    <w:rsid w:val="00397789"/>
    <w:rsid w:val="003A4508"/>
    <w:rsid w:val="003A5F10"/>
    <w:rsid w:val="003A7C14"/>
    <w:rsid w:val="003B3EBA"/>
    <w:rsid w:val="003B3F7D"/>
    <w:rsid w:val="003C5989"/>
    <w:rsid w:val="003C7838"/>
    <w:rsid w:val="003D1FEF"/>
    <w:rsid w:val="003E0B1D"/>
    <w:rsid w:val="003E4989"/>
    <w:rsid w:val="003E4E6E"/>
    <w:rsid w:val="003E5AF7"/>
    <w:rsid w:val="003F74F9"/>
    <w:rsid w:val="003F7A2F"/>
    <w:rsid w:val="003F7C08"/>
    <w:rsid w:val="00400D7B"/>
    <w:rsid w:val="004028AA"/>
    <w:rsid w:val="0040313E"/>
    <w:rsid w:val="00403569"/>
    <w:rsid w:val="00404CC3"/>
    <w:rsid w:val="004136A1"/>
    <w:rsid w:val="00414107"/>
    <w:rsid w:val="00414542"/>
    <w:rsid w:val="004174AA"/>
    <w:rsid w:val="00424B34"/>
    <w:rsid w:val="00425EA5"/>
    <w:rsid w:val="00427E99"/>
    <w:rsid w:val="00430E7D"/>
    <w:rsid w:val="00432681"/>
    <w:rsid w:val="004367CF"/>
    <w:rsid w:val="00441E55"/>
    <w:rsid w:val="00442B2B"/>
    <w:rsid w:val="00442D78"/>
    <w:rsid w:val="004431D4"/>
    <w:rsid w:val="004439E0"/>
    <w:rsid w:val="00447E97"/>
    <w:rsid w:val="00450C18"/>
    <w:rsid w:val="00451ADE"/>
    <w:rsid w:val="00461614"/>
    <w:rsid w:val="0046507D"/>
    <w:rsid w:val="00466621"/>
    <w:rsid w:val="00474124"/>
    <w:rsid w:val="00475F78"/>
    <w:rsid w:val="00476BE3"/>
    <w:rsid w:val="00477206"/>
    <w:rsid w:val="0048233E"/>
    <w:rsid w:val="00482BB3"/>
    <w:rsid w:val="004854AE"/>
    <w:rsid w:val="00486726"/>
    <w:rsid w:val="004936E1"/>
    <w:rsid w:val="00494B37"/>
    <w:rsid w:val="004A261B"/>
    <w:rsid w:val="004A3B24"/>
    <w:rsid w:val="004B50CB"/>
    <w:rsid w:val="004B70AC"/>
    <w:rsid w:val="004C4C25"/>
    <w:rsid w:val="004C76DF"/>
    <w:rsid w:val="004E06DD"/>
    <w:rsid w:val="004E2971"/>
    <w:rsid w:val="004E4C26"/>
    <w:rsid w:val="004E5C25"/>
    <w:rsid w:val="004E604D"/>
    <w:rsid w:val="004F1773"/>
    <w:rsid w:val="004F2729"/>
    <w:rsid w:val="004F71A4"/>
    <w:rsid w:val="00501D02"/>
    <w:rsid w:val="0050764A"/>
    <w:rsid w:val="005145F5"/>
    <w:rsid w:val="0051662B"/>
    <w:rsid w:val="005166CC"/>
    <w:rsid w:val="00526066"/>
    <w:rsid w:val="005279FB"/>
    <w:rsid w:val="00535B96"/>
    <w:rsid w:val="00537FB9"/>
    <w:rsid w:val="00540C54"/>
    <w:rsid w:val="00541AC2"/>
    <w:rsid w:val="00541E8F"/>
    <w:rsid w:val="00545D5E"/>
    <w:rsid w:val="005511D5"/>
    <w:rsid w:val="005567B4"/>
    <w:rsid w:val="005572CB"/>
    <w:rsid w:val="0056081F"/>
    <w:rsid w:val="00561804"/>
    <w:rsid w:val="00562756"/>
    <w:rsid w:val="0057132F"/>
    <w:rsid w:val="00572811"/>
    <w:rsid w:val="005737F8"/>
    <w:rsid w:val="00585172"/>
    <w:rsid w:val="005854A5"/>
    <w:rsid w:val="0058618C"/>
    <w:rsid w:val="005865B6"/>
    <w:rsid w:val="00594230"/>
    <w:rsid w:val="00594FFE"/>
    <w:rsid w:val="0059631B"/>
    <w:rsid w:val="005A0673"/>
    <w:rsid w:val="005B454B"/>
    <w:rsid w:val="005C2B14"/>
    <w:rsid w:val="005C3043"/>
    <w:rsid w:val="005C64B5"/>
    <w:rsid w:val="005D098C"/>
    <w:rsid w:val="005D39E4"/>
    <w:rsid w:val="005E117B"/>
    <w:rsid w:val="005E7B78"/>
    <w:rsid w:val="005F0256"/>
    <w:rsid w:val="005F2993"/>
    <w:rsid w:val="0060129D"/>
    <w:rsid w:val="00603679"/>
    <w:rsid w:val="006070C5"/>
    <w:rsid w:val="00607656"/>
    <w:rsid w:val="00610A68"/>
    <w:rsid w:val="00611036"/>
    <w:rsid w:val="00611295"/>
    <w:rsid w:val="00624E98"/>
    <w:rsid w:val="00624FA5"/>
    <w:rsid w:val="00631325"/>
    <w:rsid w:val="006328A4"/>
    <w:rsid w:val="00632ECF"/>
    <w:rsid w:val="00633FAB"/>
    <w:rsid w:val="0063522F"/>
    <w:rsid w:val="00636464"/>
    <w:rsid w:val="00640FD6"/>
    <w:rsid w:val="00642AD4"/>
    <w:rsid w:val="00644327"/>
    <w:rsid w:val="00646E67"/>
    <w:rsid w:val="00647668"/>
    <w:rsid w:val="00647DC6"/>
    <w:rsid w:val="00651133"/>
    <w:rsid w:val="00653A37"/>
    <w:rsid w:val="00653D28"/>
    <w:rsid w:val="00654177"/>
    <w:rsid w:val="00671116"/>
    <w:rsid w:val="00676DD3"/>
    <w:rsid w:val="00677768"/>
    <w:rsid w:val="0068224E"/>
    <w:rsid w:val="0068433A"/>
    <w:rsid w:val="006864DC"/>
    <w:rsid w:val="00687400"/>
    <w:rsid w:val="00687685"/>
    <w:rsid w:val="00692678"/>
    <w:rsid w:val="00694273"/>
    <w:rsid w:val="006968C8"/>
    <w:rsid w:val="006A1897"/>
    <w:rsid w:val="006A225B"/>
    <w:rsid w:val="006A37E0"/>
    <w:rsid w:val="006A5E38"/>
    <w:rsid w:val="006B1409"/>
    <w:rsid w:val="006B4378"/>
    <w:rsid w:val="006C0C78"/>
    <w:rsid w:val="006C119D"/>
    <w:rsid w:val="006C46B2"/>
    <w:rsid w:val="006C6E4B"/>
    <w:rsid w:val="006E711A"/>
    <w:rsid w:val="006F4424"/>
    <w:rsid w:val="00703E99"/>
    <w:rsid w:val="00704FBE"/>
    <w:rsid w:val="007057CE"/>
    <w:rsid w:val="0070688E"/>
    <w:rsid w:val="00711527"/>
    <w:rsid w:val="00712C0F"/>
    <w:rsid w:val="00712F00"/>
    <w:rsid w:val="007136BA"/>
    <w:rsid w:val="00714AD5"/>
    <w:rsid w:val="00716472"/>
    <w:rsid w:val="0071781B"/>
    <w:rsid w:val="00726C5F"/>
    <w:rsid w:val="0074760E"/>
    <w:rsid w:val="00750446"/>
    <w:rsid w:val="00753767"/>
    <w:rsid w:val="00757387"/>
    <w:rsid w:val="00757DCE"/>
    <w:rsid w:val="00760DEE"/>
    <w:rsid w:val="007649BE"/>
    <w:rsid w:val="00764A65"/>
    <w:rsid w:val="00764D50"/>
    <w:rsid w:val="007674F7"/>
    <w:rsid w:val="007754AD"/>
    <w:rsid w:val="00775B39"/>
    <w:rsid w:val="00781EDF"/>
    <w:rsid w:val="0078388E"/>
    <w:rsid w:val="00791C0F"/>
    <w:rsid w:val="00792E25"/>
    <w:rsid w:val="007A091F"/>
    <w:rsid w:val="007A10B1"/>
    <w:rsid w:val="007A1274"/>
    <w:rsid w:val="007A133E"/>
    <w:rsid w:val="007A1F4C"/>
    <w:rsid w:val="007A2BC0"/>
    <w:rsid w:val="007B5ED7"/>
    <w:rsid w:val="007B6414"/>
    <w:rsid w:val="007C19E8"/>
    <w:rsid w:val="007D0BDA"/>
    <w:rsid w:val="007D4367"/>
    <w:rsid w:val="007E119D"/>
    <w:rsid w:val="007E13FD"/>
    <w:rsid w:val="007E459C"/>
    <w:rsid w:val="007F3AC3"/>
    <w:rsid w:val="007F5097"/>
    <w:rsid w:val="00801C99"/>
    <w:rsid w:val="00803F36"/>
    <w:rsid w:val="00807768"/>
    <w:rsid w:val="0080799E"/>
    <w:rsid w:val="00807BF0"/>
    <w:rsid w:val="00811D8F"/>
    <w:rsid w:val="00812C9E"/>
    <w:rsid w:val="008156D6"/>
    <w:rsid w:val="00815A7B"/>
    <w:rsid w:val="00817852"/>
    <w:rsid w:val="008207E9"/>
    <w:rsid w:val="0082164E"/>
    <w:rsid w:val="00823028"/>
    <w:rsid w:val="00825F28"/>
    <w:rsid w:val="008337AB"/>
    <w:rsid w:val="00833C73"/>
    <w:rsid w:val="008376BC"/>
    <w:rsid w:val="00840881"/>
    <w:rsid w:val="00843370"/>
    <w:rsid w:val="008441EB"/>
    <w:rsid w:val="00845EB2"/>
    <w:rsid w:val="00850E45"/>
    <w:rsid w:val="00851EA2"/>
    <w:rsid w:val="00862BDA"/>
    <w:rsid w:val="00870B83"/>
    <w:rsid w:val="00870FAF"/>
    <w:rsid w:val="008748AC"/>
    <w:rsid w:val="00875A87"/>
    <w:rsid w:val="00880A8C"/>
    <w:rsid w:val="00884C0C"/>
    <w:rsid w:val="00886361"/>
    <w:rsid w:val="00897B9C"/>
    <w:rsid w:val="008A08B8"/>
    <w:rsid w:val="008A1B45"/>
    <w:rsid w:val="008A2C0E"/>
    <w:rsid w:val="008A6E0A"/>
    <w:rsid w:val="008A707E"/>
    <w:rsid w:val="008B0A70"/>
    <w:rsid w:val="008B7C8D"/>
    <w:rsid w:val="008C171A"/>
    <w:rsid w:val="008C7339"/>
    <w:rsid w:val="008C7C01"/>
    <w:rsid w:val="008D5965"/>
    <w:rsid w:val="008E3868"/>
    <w:rsid w:val="008E4542"/>
    <w:rsid w:val="008F43D1"/>
    <w:rsid w:val="008F4FB0"/>
    <w:rsid w:val="008F69E2"/>
    <w:rsid w:val="008F6FAB"/>
    <w:rsid w:val="00901EC8"/>
    <w:rsid w:val="00902159"/>
    <w:rsid w:val="00906189"/>
    <w:rsid w:val="0090665A"/>
    <w:rsid w:val="009143C8"/>
    <w:rsid w:val="00920D81"/>
    <w:rsid w:val="00922FA8"/>
    <w:rsid w:val="00922FF9"/>
    <w:rsid w:val="009255E0"/>
    <w:rsid w:val="00926C8E"/>
    <w:rsid w:val="0093277B"/>
    <w:rsid w:val="00936468"/>
    <w:rsid w:val="00936A58"/>
    <w:rsid w:val="0094031E"/>
    <w:rsid w:val="009403B4"/>
    <w:rsid w:val="009433B9"/>
    <w:rsid w:val="00950015"/>
    <w:rsid w:val="009517F2"/>
    <w:rsid w:val="00951F2B"/>
    <w:rsid w:val="00955D9E"/>
    <w:rsid w:val="009606CA"/>
    <w:rsid w:val="0096592F"/>
    <w:rsid w:val="00970DE7"/>
    <w:rsid w:val="00972353"/>
    <w:rsid w:val="00972ED1"/>
    <w:rsid w:val="00974716"/>
    <w:rsid w:val="009839D8"/>
    <w:rsid w:val="00984168"/>
    <w:rsid w:val="00984DAA"/>
    <w:rsid w:val="00986C07"/>
    <w:rsid w:val="009945D0"/>
    <w:rsid w:val="00994D99"/>
    <w:rsid w:val="00997704"/>
    <w:rsid w:val="009A1033"/>
    <w:rsid w:val="009A2B4E"/>
    <w:rsid w:val="009A30D7"/>
    <w:rsid w:val="009A7EA2"/>
    <w:rsid w:val="009B1284"/>
    <w:rsid w:val="009B1D09"/>
    <w:rsid w:val="009B1F04"/>
    <w:rsid w:val="009C5150"/>
    <w:rsid w:val="009C5FCF"/>
    <w:rsid w:val="009D14ED"/>
    <w:rsid w:val="009D3E83"/>
    <w:rsid w:val="009D4F1E"/>
    <w:rsid w:val="009E2BD4"/>
    <w:rsid w:val="009E3442"/>
    <w:rsid w:val="009F3022"/>
    <w:rsid w:val="009F5AE7"/>
    <w:rsid w:val="009F6635"/>
    <w:rsid w:val="00A00F53"/>
    <w:rsid w:val="00A01EFD"/>
    <w:rsid w:val="00A02441"/>
    <w:rsid w:val="00A035E8"/>
    <w:rsid w:val="00A03FE5"/>
    <w:rsid w:val="00A1038B"/>
    <w:rsid w:val="00A1130A"/>
    <w:rsid w:val="00A12129"/>
    <w:rsid w:val="00A13141"/>
    <w:rsid w:val="00A138B0"/>
    <w:rsid w:val="00A161B1"/>
    <w:rsid w:val="00A2669D"/>
    <w:rsid w:val="00A3086E"/>
    <w:rsid w:val="00A31765"/>
    <w:rsid w:val="00A35D01"/>
    <w:rsid w:val="00A43033"/>
    <w:rsid w:val="00A4366E"/>
    <w:rsid w:val="00A44162"/>
    <w:rsid w:val="00A51656"/>
    <w:rsid w:val="00A5201B"/>
    <w:rsid w:val="00A60CE9"/>
    <w:rsid w:val="00A61132"/>
    <w:rsid w:val="00A70E4C"/>
    <w:rsid w:val="00A713BE"/>
    <w:rsid w:val="00A71C48"/>
    <w:rsid w:val="00A730AB"/>
    <w:rsid w:val="00A76DAB"/>
    <w:rsid w:val="00A8214F"/>
    <w:rsid w:val="00A86F98"/>
    <w:rsid w:val="00A87675"/>
    <w:rsid w:val="00A876AB"/>
    <w:rsid w:val="00A90A07"/>
    <w:rsid w:val="00A938DD"/>
    <w:rsid w:val="00A93F89"/>
    <w:rsid w:val="00A97CEA"/>
    <w:rsid w:val="00AB16FB"/>
    <w:rsid w:val="00AB2B59"/>
    <w:rsid w:val="00AB42D6"/>
    <w:rsid w:val="00AC12B1"/>
    <w:rsid w:val="00AC5BE0"/>
    <w:rsid w:val="00AC5DB8"/>
    <w:rsid w:val="00AC5E17"/>
    <w:rsid w:val="00AE1A83"/>
    <w:rsid w:val="00AE5CD4"/>
    <w:rsid w:val="00AE64D9"/>
    <w:rsid w:val="00AE657E"/>
    <w:rsid w:val="00AE6669"/>
    <w:rsid w:val="00AE67E7"/>
    <w:rsid w:val="00AE7D90"/>
    <w:rsid w:val="00AF2B32"/>
    <w:rsid w:val="00AF48BD"/>
    <w:rsid w:val="00B01C95"/>
    <w:rsid w:val="00B03B0B"/>
    <w:rsid w:val="00B069AA"/>
    <w:rsid w:val="00B0737F"/>
    <w:rsid w:val="00B1097A"/>
    <w:rsid w:val="00B126A2"/>
    <w:rsid w:val="00B1501F"/>
    <w:rsid w:val="00B16315"/>
    <w:rsid w:val="00B17B42"/>
    <w:rsid w:val="00B205D4"/>
    <w:rsid w:val="00B21BA1"/>
    <w:rsid w:val="00B256A0"/>
    <w:rsid w:val="00B26632"/>
    <w:rsid w:val="00B308F1"/>
    <w:rsid w:val="00B308F4"/>
    <w:rsid w:val="00B3226A"/>
    <w:rsid w:val="00B33A23"/>
    <w:rsid w:val="00B41923"/>
    <w:rsid w:val="00B41AE9"/>
    <w:rsid w:val="00B42A16"/>
    <w:rsid w:val="00B437A2"/>
    <w:rsid w:val="00B5063D"/>
    <w:rsid w:val="00B53BAE"/>
    <w:rsid w:val="00B63EA5"/>
    <w:rsid w:val="00B66593"/>
    <w:rsid w:val="00B70312"/>
    <w:rsid w:val="00B7677C"/>
    <w:rsid w:val="00B80E20"/>
    <w:rsid w:val="00B80FCF"/>
    <w:rsid w:val="00B830E4"/>
    <w:rsid w:val="00B916D0"/>
    <w:rsid w:val="00B92234"/>
    <w:rsid w:val="00BA11D4"/>
    <w:rsid w:val="00BA3E5B"/>
    <w:rsid w:val="00BB2AE4"/>
    <w:rsid w:val="00BC58AA"/>
    <w:rsid w:val="00BD0A41"/>
    <w:rsid w:val="00BD21B3"/>
    <w:rsid w:val="00BE14D0"/>
    <w:rsid w:val="00BE1CA4"/>
    <w:rsid w:val="00BE34E3"/>
    <w:rsid w:val="00BE507D"/>
    <w:rsid w:val="00BF3802"/>
    <w:rsid w:val="00BF3B14"/>
    <w:rsid w:val="00BF600B"/>
    <w:rsid w:val="00C060A6"/>
    <w:rsid w:val="00C063D0"/>
    <w:rsid w:val="00C06B86"/>
    <w:rsid w:val="00C07B04"/>
    <w:rsid w:val="00C07B85"/>
    <w:rsid w:val="00C07D48"/>
    <w:rsid w:val="00C11942"/>
    <w:rsid w:val="00C14433"/>
    <w:rsid w:val="00C15461"/>
    <w:rsid w:val="00C15F49"/>
    <w:rsid w:val="00C21EBE"/>
    <w:rsid w:val="00C255D1"/>
    <w:rsid w:val="00C2690B"/>
    <w:rsid w:val="00C32881"/>
    <w:rsid w:val="00C350F2"/>
    <w:rsid w:val="00C3749E"/>
    <w:rsid w:val="00C45D1A"/>
    <w:rsid w:val="00C534D0"/>
    <w:rsid w:val="00C53CAC"/>
    <w:rsid w:val="00C555BE"/>
    <w:rsid w:val="00C57F93"/>
    <w:rsid w:val="00C63F96"/>
    <w:rsid w:val="00C63FE1"/>
    <w:rsid w:val="00C70FFA"/>
    <w:rsid w:val="00C72706"/>
    <w:rsid w:val="00C801A0"/>
    <w:rsid w:val="00C82A53"/>
    <w:rsid w:val="00C83554"/>
    <w:rsid w:val="00C850DA"/>
    <w:rsid w:val="00C86390"/>
    <w:rsid w:val="00C8796B"/>
    <w:rsid w:val="00C90F79"/>
    <w:rsid w:val="00C92828"/>
    <w:rsid w:val="00C93866"/>
    <w:rsid w:val="00C944D4"/>
    <w:rsid w:val="00C945D8"/>
    <w:rsid w:val="00C95A4B"/>
    <w:rsid w:val="00C965AD"/>
    <w:rsid w:val="00C9732A"/>
    <w:rsid w:val="00C97E11"/>
    <w:rsid w:val="00CA4767"/>
    <w:rsid w:val="00CA5AA0"/>
    <w:rsid w:val="00CB51C5"/>
    <w:rsid w:val="00CB6777"/>
    <w:rsid w:val="00CB6A11"/>
    <w:rsid w:val="00CB7DC5"/>
    <w:rsid w:val="00CC0C5E"/>
    <w:rsid w:val="00CC3455"/>
    <w:rsid w:val="00CC5FCA"/>
    <w:rsid w:val="00CD2042"/>
    <w:rsid w:val="00CD7920"/>
    <w:rsid w:val="00CE6D62"/>
    <w:rsid w:val="00D07FEE"/>
    <w:rsid w:val="00D12DBF"/>
    <w:rsid w:val="00D13CFE"/>
    <w:rsid w:val="00D14B87"/>
    <w:rsid w:val="00D225AD"/>
    <w:rsid w:val="00D24958"/>
    <w:rsid w:val="00D26F39"/>
    <w:rsid w:val="00D37591"/>
    <w:rsid w:val="00D402B8"/>
    <w:rsid w:val="00D4104D"/>
    <w:rsid w:val="00D417F5"/>
    <w:rsid w:val="00D47667"/>
    <w:rsid w:val="00D527DB"/>
    <w:rsid w:val="00D55CBD"/>
    <w:rsid w:val="00D6197F"/>
    <w:rsid w:val="00D61996"/>
    <w:rsid w:val="00D62C60"/>
    <w:rsid w:val="00D6617C"/>
    <w:rsid w:val="00D669E7"/>
    <w:rsid w:val="00D71046"/>
    <w:rsid w:val="00D73B0F"/>
    <w:rsid w:val="00D772B8"/>
    <w:rsid w:val="00D826EC"/>
    <w:rsid w:val="00D9251D"/>
    <w:rsid w:val="00D928F9"/>
    <w:rsid w:val="00D92D90"/>
    <w:rsid w:val="00D95048"/>
    <w:rsid w:val="00DA23B8"/>
    <w:rsid w:val="00DA3699"/>
    <w:rsid w:val="00DA72D8"/>
    <w:rsid w:val="00DB34D7"/>
    <w:rsid w:val="00DB4C6A"/>
    <w:rsid w:val="00DB65D6"/>
    <w:rsid w:val="00DC5F85"/>
    <w:rsid w:val="00DD2D22"/>
    <w:rsid w:val="00DD59FD"/>
    <w:rsid w:val="00DE5D9B"/>
    <w:rsid w:val="00DE5E7E"/>
    <w:rsid w:val="00DF7280"/>
    <w:rsid w:val="00DF7B85"/>
    <w:rsid w:val="00E05014"/>
    <w:rsid w:val="00E064BE"/>
    <w:rsid w:val="00E10116"/>
    <w:rsid w:val="00E132BE"/>
    <w:rsid w:val="00E14690"/>
    <w:rsid w:val="00E169FD"/>
    <w:rsid w:val="00E17846"/>
    <w:rsid w:val="00E24566"/>
    <w:rsid w:val="00E32CA9"/>
    <w:rsid w:val="00E3468C"/>
    <w:rsid w:val="00E35EDF"/>
    <w:rsid w:val="00E419D0"/>
    <w:rsid w:val="00E42CC0"/>
    <w:rsid w:val="00E44FC8"/>
    <w:rsid w:val="00E51F5A"/>
    <w:rsid w:val="00E5681C"/>
    <w:rsid w:val="00E60154"/>
    <w:rsid w:val="00E605DB"/>
    <w:rsid w:val="00E61EC8"/>
    <w:rsid w:val="00E67047"/>
    <w:rsid w:val="00E754D6"/>
    <w:rsid w:val="00E80C92"/>
    <w:rsid w:val="00E814A8"/>
    <w:rsid w:val="00E818BA"/>
    <w:rsid w:val="00E872CD"/>
    <w:rsid w:val="00E92028"/>
    <w:rsid w:val="00E95C17"/>
    <w:rsid w:val="00EA0C74"/>
    <w:rsid w:val="00EA1B14"/>
    <w:rsid w:val="00EA227D"/>
    <w:rsid w:val="00EA2CBC"/>
    <w:rsid w:val="00EA6B71"/>
    <w:rsid w:val="00EB1004"/>
    <w:rsid w:val="00EB11A0"/>
    <w:rsid w:val="00ED0C09"/>
    <w:rsid w:val="00ED2975"/>
    <w:rsid w:val="00ED57BE"/>
    <w:rsid w:val="00EE24F8"/>
    <w:rsid w:val="00EE4B1F"/>
    <w:rsid w:val="00EE799F"/>
    <w:rsid w:val="00EF03A3"/>
    <w:rsid w:val="00F0041D"/>
    <w:rsid w:val="00F01B36"/>
    <w:rsid w:val="00F057C5"/>
    <w:rsid w:val="00F12A68"/>
    <w:rsid w:val="00F207C2"/>
    <w:rsid w:val="00F22C5F"/>
    <w:rsid w:val="00F30B70"/>
    <w:rsid w:val="00F46870"/>
    <w:rsid w:val="00F47BB5"/>
    <w:rsid w:val="00F47C7A"/>
    <w:rsid w:val="00F5174B"/>
    <w:rsid w:val="00F51917"/>
    <w:rsid w:val="00F61868"/>
    <w:rsid w:val="00F642B7"/>
    <w:rsid w:val="00F67610"/>
    <w:rsid w:val="00F72276"/>
    <w:rsid w:val="00F77C30"/>
    <w:rsid w:val="00F801FF"/>
    <w:rsid w:val="00F93EE5"/>
    <w:rsid w:val="00F94622"/>
    <w:rsid w:val="00F95255"/>
    <w:rsid w:val="00F955FC"/>
    <w:rsid w:val="00F965B6"/>
    <w:rsid w:val="00F96F9C"/>
    <w:rsid w:val="00FA31F0"/>
    <w:rsid w:val="00FA50A1"/>
    <w:rsid w:val="00FA5FF6"/>
    <w:rsid w:val="00FB6FB9"/>
    <w:rsid w:val="00FC0641"/>
    <w:rsid w:val="00FC158D"/>
    <w:rsid w:val="00FC1902"/>
    <w:rsid w:val="00FC4E97"/>
    <w:rsid w:val="00FC6DAC"/>
    <w:rsid w:val="00FD0FC7"/>
    <w:rsid w:val="00FD1B5A"/>
    <w:rsid w:val="00FE39B5"/>
    <w:rsid w:val="00FF1626"/>
    <w:rsid w:val="00FF2715"/>
    <w:rsid w:val="00FF5657"/>
    <w:rsid w:val="00FF6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F8DA4"/>
  <w15:docId w15:val="{105B5A2D-2103-4C6A-AD92-5678D4B9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90B"/>
    <w:pPr>
      <w:spacing w:line="480" w:lineRule="auto"/>
    </w:pPr>
    <w:rPr>
      <w:i w:val="0"/>
    </w:rPr>
  </w:style>
  <w:style w:type="paragraph" w:styleId="Heading1">
    <w:name w:val="heading 1"/>
    <w:basedOn w:val="Normal"/>
    <w:next w:val="Normal"/>
    <w:link w:val="Heading1Char"/>
    <w:autoRedefine/>
    <w:uiPriority w:val="9"/>
    <w:qFormat/>
    <w:rsid w:val="00DC5F85"/>
    <w:pPr>
      <w:keepNext/>
      <w:keepLines/>
      <w:spacing w:before="120" w:after="120"/>
      <w:outlineLvl w:val="0"/>
    </w:pPr>
    <w:rPr>
      <w:rFonts w:eastAsia="Yu Gothic Light"/>
      <w:b/>
      <w:spacing w:val="-10"/>
      <w:kern w:val="28"/>
      <w:szCs w:val="56"/>
    </w:rPr>
  </w:style>
  <w:style w:type="paragraph" w:styleId="Heading2">
    <w:name w:val="heading 2"/>
    <w:basedOn w:val="Normal"/>
    <w:next w:val="Normal"/>
    <w:link w:val="Heading2Char"/>
    <w:autoRedefine/>
    <w:uiPriority w:val="9"/>
    <w:unhideWhenUsed/>
    <w:qFormat/>
    <w:rsid w:val="00E35ED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C5F85"/>
    <w:pPr>
      <w:keepNext/>
      <w:keepLines/>
      <w:spacing w:before="4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T1">
    <w:name w:val="Thesis T1"/>
    <w:basedOn w:val="Normal"/>
    <w:link w:val="ThesisT1Char"/>
    <w:qFormat/>
    <w:rsid w:val="00115A40"/>
    <w:pPr>
      <w:keepNext/>
      <w:keepLines/>
      <w:spacing w:before="240"/>
      <w:outlineLvl w:val="0"/>
    </w:pPr>
    <w:rPr>
      <w:rFonts w:eastAsiaTheme="majorEastAsia" w:cstheme="majorBidi"/>
      <w:b/>
      <w:caps/>
      <w:szCs w:val="32"/>
    </w:rPr>
  </w:style>
  <w:style w:type="character" w:customStyle="1" w:styleId="ThesisT1Char">
    <w:name w:val="Thesis T1 Char"/>
    <w:basedOn w:val="DefaultParagraphFont"/>
    <w:link w:val="ThesisT1"/>
    <w:rsid w:val="006328A4"/>
    <w:rPr>
      <w:rFonts w:ascii="Times New Roman" w:eastAsiaTheme="majorEastAsia" w:hAnsi="Times New Roman" w:cstheme="majorBidi"/>
      <w:b/>
      <w:caps/>
      <w:sz w:val="24"/>
      <w:szCs w:val="32"/>
    </w:rPr>
  </w:style>
  <w:style w:type="paragraph" w:customStyle="1" w:styleId="Chapter">
    <w:name w:val="Chapter"/>
    <w:basedOn w:val="Heading1"/>
    <w:next w:val="Normal"/>
    <w:link w:val="ChapterChar"/>
    <w:autoRedefine/>
    <w:qFormat/>
    <w:rsid w:val="009945D0"/>
    <w:pPr>
      <w:spacing w:before="960"/>
    </w:pPr>
    <w:rPr>
      <w:b w:val="0"/>
      <w:caps/>
      <w:sz w:val="72"/>
    </w:rPr>
  </w:style>
  <w:style w:type="character" w:customStyle="1" w:styleId="ChapterChar">
    <w:name w:val="Chapter Char"/>
    <w:basedOn w:val="DefaultParagraphFont"/>
    <w:link w:val="Chapter"/>
    <w:rsid w:val="009945D0"/>
    <w:rPr>
      <w:rFonts w:ascii="Times New Roman" w:eastAsia="Yu Gothic Light" w:hAnsi="Times New Roman" w:cs="Times New Roman"/>
      <w:b/>
      <w:caps/>
      <w:color w:val="000000"/>
      <w:spacing w:val="-10"/>
      <w:kern w:val="28"/>
      <w:sz w:val="72"/>
      <w:szCs w:val="56"/>
    </w:rPr>
  </w:style>
  <w:style w:type="character" w:customStyle="1" w:styleId="Heading1Char">
    <w:name w:val="Heading 1 Char"/>
    <w:basedOn w:val="DefaultParagraphFont"/>
    <w:link w:val="Heading1"/>
    <w:uiPriority w:val="9"/>
    <w:rsid w:val="009945D0"/>
    <w:rPr>
      <w:rFonts w:ascii="Times New Roman" w:eastAsia="Yu Gothic Light" w:hAnsi="Times New Roman" w:cs="Times New Roman"/>
      <w:b/>
      <w:color w:val="000000"/>
      <w:spacing w:val="-10"/>
      <w:kern w:val="28"/>
      <w:sz w:val="24"/>
      <w:szCs w:val="56"/>
    </w:rPr>
  </w:style>
  <w:style w:type="paragraph" w:customStyle="1" w:styleId="TitleChapter">
    <w:name w:val="Title Chapter"/>
    <w:basedOn w:val="Chapter"/>
    <w:next w:val="Heading1"/>
    <w:link w:val="TitleChapterChar"/>
    <w:autoRedefine/>
    <w:qFormat/>
    <w:rsid w:val="009945D0"/>
    <w:pPr>
      <w:spacing w:before="480"/>
    </w:pPr>
    <w:rPr>
      <w:caps w:val="0"/>
      <w:sz w:val="48"/>
    </w:rPr>
  </w:style>
  <w:style w:type="character" w:customStyle="1" w:styleId="TitleChapterChar">
    <w:name w:val="Title Chapter Char"/>
    <w:basedOn w:val="DefaultParagraphFont"/>
    <w:link w:val="TitleChapter"/>
    <w:rsid w:val="009945D0"/>
    <w:rPr>
      <w:rFonts w:ascii="Times New Roman" w:eastAsia="Yu Gothic Light" w:hAnsi="Times New Roman" w:cs="Times New Roman"/>
      <w:color w:val="000000"/>
      <w:spacing w:val="-10"/>
      <w:kern w:val="28"/>
      <w:sz w:val="48"/>
      <w:szCs w:val="56"/>
    </w:rPr>
  </w:style>
  <w:style w:type="character" w:customStyle="1" w:styleId="Heading3Char">
    <w:name w:val="Heading 3 Char"/>
    <w:basedOn w:val="DefaultParagraphFont"/>
    <w:link w:val="Heading3"/>
    <w:uiPriority w:val="9"/>
    <w:rsid w:val="009945D0"/>
    <w:rPr>
      <w:rFonts w:ascii="Times New Roman" w:eastAsiaTheme="majorEastAsia" w:hAnsi="Times New Roman" w:cstheme="majorBidi"/>
      <w:i w:val="0"/>
      <w:sz w:val="24"/>
      <w:szCs w:val="24"/>
    </w:rPr>
  </w:style>
  <w:style w:type="character" w:customStyle="1" w:styleId="Heading2Char">
    <w:name w:val="Heading 2 Char"/>
    <w:basedOn w:val="DefaultParagraphFont"/>
    <w:link w:val="Heading2"/>
    <w:uiPriority w:val="9"/>
    <w:rsid w:val="00E35EDF"/>
    <w:rPr>
      <w:rFonts w:eastAsiaTheme="majorEastAsia" w:cstheme="majorBidi"/>
      <w:b/>
      <w:i w:val="0"/>
      <w:szCs w:val="26"/>
      <w:lang w:val="fr-LU"/>
    </w:rPr>
  </w:style>
  <w:style w:type="character" w:styleId="Strong">
    <w:name w:val="Strong"/>
    <w:basedOn w:val="DefaultParagraphFont"/>
    <w:uiPriority w:val="22"/>
    <w:qFormat/>
    <w:rsid w:val="00E35EDF"/>
    <w:rPr>
      <w:b/>
      <w:bCs/>
    </w:rPr>
  </w:style>
  <w:style w:type="paragraph" w:styleId="Header">
    <w:name w:val="header"/>
    <w:basedOn w:val="Normal"/>
    <w:link w:val="HeaderChar"/>
    <w:uiPriority w:val="99"/>
    <w:unhideWhenUsed/>
    <w:rsid w:val="009B1F0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B1F04"/>
    <w:rPr>
      <w:i w:val="0"/>
      <w:lang w:val="fr-LU"/>
    </w:rPr>
  </w:style>
  <w:style w:type="paragraph" w:styleId="Footer">
    <w:name w:val="footer"/>
    <w:basedOn w:val="Normal"/>
    <w:link w:val="FooterChar"/>
    <w:uiPriority w:val="99"/>
    <w:unhideWhenUsed/>
    <w:rsid w:val="009B1F04"/>
    <w:pPr>
      <w:tabs>
        <w:tab w:val="center" w:pos="4703"/>
        <w:tab w:val="right" w:pos="9406"/>
      </w:tabs>
      <w:spacing w:after="0" w:line="240" w:lineRule="auto"/>
    </w:pPr>
  </w:style>
  <w:style w:type="character" w:customStyle="1" w:styleId="FooterChar">
    <w:name w:val="Footer Char"/>
    <w:basedOn w:val="DefaultParagraphFont"/>
    <w:link w:val="Footer"/>
    <w:uiPriority w:val="99"/>
    <w:rsid w:val="009B1F04"/>
    <w:rPr>
      <w:i w:val="0"/>
      <w:lang w:val="fr-LU"/>
    </w:rPr>
  </w:style>
  <w:style w:type="paragraph" w:styleId="FootnoteText">
    <w:name w:val="footnote text"/>
    <w:basedOn w:val="Normal"/>
    <w:link w:val="FootnoteTextChar"/>
    <w:uiPriority w:val="99"/>
    <w:unhideWhenUsed/>
    <w:rsid w:val="001B0334"/>
    <w:pPr>
      <w:spacing w:after="0" w:line="240" w:lineRule="auto"/>
    </w:pPr>
    <w:rPr>
      <w:sz w:val="20"/>
      <w:szCs w:val="20"/>
    </w:rPr>
  </w:style>
  <w:style w:type="character" w:customStyle="1" w:styleId="FootnoteTextChar">
    <w:name w:val="Footnote Text Char"/>
    <w:basedOn w:val="DefaultParagraphFont"/>
    <w:link w:val="FootnoteText"/>
    <w:uiPriority w:val="99"/>
    <w:rsid w:val="001B0334"/>
    <w:rPr>
      <w:i w:val="0"/>
      <w:sz w:val="20"/>
      <w:szCs w:val="20"/>
      <w:lang w:val="fr-LU"/>
    </w:rPr>
  </w:style>
  <w:style w:type="character" w:styleId="FootnoteReference">
    <w:name w:val="footnote reference"/>
    <w:basedOn w:val="DefaultParagraphFont"/>
    <w:uiPriority w:val="99"/>
    <w:semiHidden/>
    <w:unhideWhenUsed/>
    <w:rsid w:val="001B0334"/>
    <w:rPr>
      <w:vertAlign w:val="superscript"/>
    </w:rPr>
  </w:style>
  <w:style w:type="paragraph" w:styleId="EndnoteText">
    <w:name w:val="endnote text"/>
    <w:basedOn w:val="Normal"/>
    <w:link w:val="EndnoteTextChar"/>
    <w:uiPriority w:val="99"/>
    <w:unhideWhenUsed/>
    <w:rsid w:val="00D4104D"/>
    <w:pPr>
      <w:spacing w:after="0" w:line="240" w:lineRule="auto"/>
    </w:pPr>
    <w:rPr>
      <w:sz w:val="20"/>
      <w:szCs w:val="20"/>
    </w:rPr>
  </w:style>
  <w:style w:type="character" w:customStyle="1" w:styleId="EndnoteTextChar">
    <w:name w:val="Endnote Text Char"/>
    <w:basedOn w:val="DefaultParagraphFont"/>
    <w:link w:val="EndnoteText"/>
    <w:uiPriority w:val="99"/>
    <w:rsid w:val="00D4104D"/>
    <w:rPr>
      <w:i w:val="0"/>
      <w:sz w:val="20"/>
      <w:szCs w:val="20"/>
      <w:lang w:val="fr-LU"/>
    </w:rPr>
  </w:style>
  <w:style w:type="character" w:styleId="EndnoteReference">
    <w:name w:val="endnote reference"/>
    <w:basedOn w:val="DefaultParagraphFont"/>
    <w:uiPriority w:val="99"/>
    <w:semiHidden/>
    <w:unhideWhenUsed/>
    <w:rsid w:val="00D4104D"/>
    <w:rPr>
      <w:vertAlign w:val="superscript"/>
    </w:rPr>
  </w:style>
  <w:style w:type="paragraph" w:styleId="Caption">
    <w:name w:val="caption"/>
    <w:basedOn w:val="Normal"/>
    <w:next w:val="Normal"/>
    <w:uiPriority w:val="35"/>
    <w:unhideWhenUsed/>
    <w:qFormat/>
    <w:rsid w:val="00EA1B14"/>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451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DE"/>
    <w:rPr>
      <w:rFonts w:ascii="Segoe UI" w:hAnsi="Segoe UI" w:cs="Segoe UI"/>
      <w:i w:val="0"/>
      <w:sz w:val="18"/>
      <w:szCs w:val="18"/>
      <w:lang w:val="fr-LU"/>
    </w:rPr>
  </w:style>
  <w:style w:type="paragraph" w:styleId="Revision">
    <w:name w:val="Revision"/>
    <w:hidden/>
    <w:uiPriority w:val="99"/>
    <w:semiHidden/>
    <w:rsid w:val="00FE39B5"/>
    <w:pPr>
      <w:spacing w:after="0" w:line="240" w:lineRule="auto"/>
    </w:pPr>
    <w:rPr>
      <w:i w:val="0"/>
      <w:lang w:val="fr-LU"/>
    </w:rPr>
  </w:style>
  <w:style w:type="character" w:styleId="CommentReference">
    <w:name w:val="annotation reference"/>
    <w:basedOn w:val="DefaultParagraphFont"/>
    <w:uiPriority w:val="99"/>
    <w:semiHidden/>
    <w:unhideWhenUsed/>
    <w:rsid w:val="005A0673"/>
    <w:rPr>
      <w:sz w:val="16"/>
      <w:szCs w:val="16"/>
    </w:rPr>
  </w:style>
  <w:style w:type="paragraph" w:styleId="CommentText">
    <w:name w:val="annotation text"/>
    <w:basedOn w:val="Normal"/>
    <w:link w:val="CommentTextChar"/>
    <w:uiPriority w:val="99"/>
    <w:semiHidden/>
    <w:unhideWhenUsed/>
    <w:rsid w:val="005A0673"/>
    <w:pPr>
      <w:spacing w:line="240" w:lineRule="auto"/>
    </w:pPr>
    <w:rPr>
      <w:sz w:val="20"/>
      <w:szCs w:val="20"/>
    </w:rPr>
  </w:style>
  <w:style w:type="character" w:customStyle="1" w:styleId="CommentTextChar">
    <w:name w:val="Comment Text Char"/>
    <w:basedOn w:val="DefaultParagraphFont"/>
    <w:link w:val="CommentText"/>
    <w:uiPriority w:val="99"/>
    <w:semiHidden/>
    <w:rsid w:val="005A0673"/>
    <w:rPr>
      <w:i w:val="0"/>
      <w:sz w:val="20"/>
      <w:szCs w:val="20"/>
      <w:lang w:val="fr-LU"/>
    </w:rPr>
  </w:style>
  <w:style w:type="paragraph" w:styleId="CommentSubject">
    <w:name w:val="annotation subject"/>
    <w:basedOn w:val="CommentText"/>
    <w:next w:val="CommentText"/>
    <w:link w:val="CommentSubjectChar"/>
    <w:uiPriority w:val="99"/>
    <w:semiHidden/>
    <w:unhideWhenUsed/>
    <w:rsid w:val="005A0673"/>
    <w:rPr>
      <w:b/>
      <w:bCs/>
    </w:rPr>
  </w:style>
  <w:style w:type="character" w:customStyle="1" w:styleId="CommentSubjectChar">
    <w:name w:val="Comment Subject Char"/>
    <w:basedOn w:val="CommentTextChar"/>
    <w:link w:val="CommentSubject"/>
    <w:uiPriority w:val="99"/>
    <w:semiHidden/>
    <w:rsid w:val="005A0673"/>
    <w:rPr>
      <w:b/>
      <w:bCs/>
      <w:i w:val="0"/>
      <w:sz w:val="20"/>
      <w:szCs w:val="20"/>
      <w:lang w:val="fr-LU"/>
    </w:rPr>
  </w:style>
  <w:style w:type="paragraph" w:customStyle="1" w:styleId="referencetext1">
    <w:name w:val="reference text 1"/>
    <w:basedOn w:val="Normal"/>
    <w:rsid w:val="00430E7D"/>
    <w:pPr>
      <w:spacing w:after="120" w:line="240" w:lineRule="auto"/>
      <w:ind w:left="1259" w:right="357" w:hanging="720"/>
      <w:jc w:val="both"/>
    </w:pPr>
    <w:rPr>
      <w:rFonts w:ascii="umr10" w:eastAsia="Times New Roman" w:hAnsi="umr10" w:cs="Times New Roman"/>
      <w:szCs w:val="24"/>
      <w:lang w:val="en-GB" w:eastAsia="it-IT"/>
    </w:rPr>
  </w:style>
  <w:style w:type="character" w:styleId="Hyperlink">
    <w:name w:val="Hyperlink"/>
    <w:basedOn w:val="DefaultParagraphFont"/>
    <w:uiPriority w:val="99"/>
    <w:unhideWhenUsed/>
    <w:rsid w:val="001A02C6"/>
    <w:rPr>
      <w:color w:val="0563C1" w:themeColor="hyperlink"/>
      <w:u w:val="single"/>
    </w:rPr>
  </w:style>
  <w:style w:type="character" w:customStyle="1" w:styleId="get-in-touchsubtitle">
    <w:name w:val="get-in-touch__subtitle"/>
    <w:basedOn w:val="DefaultParagraphFont"/>
    <w:rsid w:val="001A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54877">
      <w:bodyDiv w:val="1"/>
      <w:marLeft w:val="0"/>
      <w:marRight w:val="0"/>
      <w:marTop w:val="0"/>
      <w:marBottom w:val="0"/>
      <w:divBdr>
        <w:top w:val="none" w:sz="0" w:space="0" w:color="auto"/>
        <w:left w:val="none" w:sz="0" w:space="0" w:color="auto"/>
        <w:bottom w:val="none" w:sz="0" w:space="0" w:color="auto"/>
        <w:right w:val="none" w:sz="0" w:space="0" w:color="auto"/>
      </w:divBdr>
    </w:div>
    <w:div w:id="1000738544">
      <w:bodyDiv w:val="1"/>
      <w:marLeft w:val="0"/>
      <w:marRight w:val="0"/>
      <w:marTop w:val="0"/>
      <w:marBottom w:val="0"/>
      <w:divBdr>
        <w:top w:val="none" w:sz="0" w:space="0" w:color="auto"/>
        <w:left w:val="none" w:sz="0" w:space="0" w:color="auto"/>
        <w:bottom w:val="none" w:sz="0" w:space="0" w:color="auto"/>
        <w:right w:val="none" w:sz="0" w:space="0" w:color="auto"/>
      </w:divBdr>
    </w:div>
    <w:div w:id="1006059848">
      <w:bodyDiv w:val="1"/>
      <w:marLeft w:val="0"/>
      <w:marRight w:val="0"/>
      <w:marTop w:val="0"/>
      <w:marBottom w:val="0"/>
      <w:divBdr>
        <w:top w:val="none" w:sz="0" w:space="0" w:color="auto"/>
        <w:left w:val="none" w:sz="0" w:space="0" w:color="auto"/>
        <w:bottom w:val="none" w:sz="0" w:space="0" w:color="auto"/>
        <w:right w:val="none" w:sz="0" w:space="0" w:color="auto"/>
      </w:divBdr>
      <w:divsChild>
        <w:div w:id="291330790">
          <w:marLeft w:val="0"/>
          <w:marRight w:val="0"/>
          <w:marTop w:val="0"/>
          <w:marBottom w:val="0"/>
          <w:divBdr>
            <w:top w:val="none" w:sz="0" w:space="0" w:color="auto"/>
            <w:left w:val="none" w:sz="0" w:space="0" w:color="auto"/>
            <w:bottom w:val="none" w:sz="0" w:space="0" w:color="auto"/>
            <w:right w:val="none" w:sz="0" w:space="0" w:color="auto"/>
          </w:divBdr>
        </w:div>
      </w:divsChild>
    </w:div>
    <w:div w:id="1272543815">
      <w:bodyDiv w:val="1"/>
      <w:marLeft w:val="0"/>
      <w:marRight w:val="0"/>
      <w:marTop w:val="0"/>
      <w:marBottom w:val="0"/>
      <w:divBdr>
        <w:top w:val="none" w:sz="0" w:space="0" w:color="auto"/>
        <w:left w:val="none" w:sz="0" w:space="0" w:color="auto"/>
        <w:bottom w:val="none" w:sz="0" w:space="0" w:color="auto"/>
        <w:right w:val="none" w:sz="0" w:space="0" w:color="auto"/>
      </w:divBdr>
      <w:divsChild>
        <w:div w:id="88841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hagedoorn@rh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3447-FDFC-473D-89DA-D6223572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33</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61197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FERNANDEZ DE ARROYABE ARRANZ</dc:creator>
  <cp:keywords/>
  <dc:description/>
  <cp:lastModifiedBy>Fernandez De Arroyabe Arranz, Marta</cp:lastModifiedBy>
  <cp:revision>8</cp:revision>
  <dcterms:created xsi:type="dcterms:W3CDTF">2019-10-14T07:07:00Z</dcterms:created>
  <dcterms:modified xsi:type="dcterms:W3CDTF">2020-03-02T15:57:00Z</dcterms:modified>
</cp:coreProperties>
</file>