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0A02B" w14:textId="77777777" w:rsidR="00B067AB" w:rsidRPr="00C93FC0" w:rsidRDefault="00B067AB" w:rsidP="00B067AB">
      <w:pPr>
        <w:jc w:val="center"/>
        <w:rPr>
          <w:rFonts w:ascii="Calibri" w:hAnsi="Calibri"/>
          <w:b/>
          <w:color w:val="000000"/>
          <w:sz w:val="22"/>
        </w:rPr>
      </w:pPr>
      <w:r w:rsidRPr="00C93FC0">
        <w:rPr>
          <w:rFonts w:ascii="Calibri" w:hAnsi="Calibri"/>
          <w:b/>
          <w:color w:val="000000"/>
          <w:sz w:val="22"/>
        </w:rPr>
        <w:t>Looking Forward, Conceptualizing Feminist Security Studies</w:t>
      </w:r>
    </w:p>
    <w:p w14:paraId="634D708E" w14:textId="77777777" w:rsidR="00B067AB" w:rsidRPr="00C93FC0" w:rsidRDefault="00B067AB" w:rsidP="00B067AB">
      <w:pPr>
        <w:jc w:val="center"/>
        <w:rPr>
          <w:rFonts w:ascii="Calibri" w:hAnsi="Calibri"/>
          <w:b/>
          <w:color w:val="000000"/>
          <w:sz w:val="22"/>
        </w:rPr>
      </w:pPr>
      <w:r w:rsidRPr="00C93FC0">
        <w:rPr>
          <w:rFonts w:ascii="Calibri" w:hAnsi="Calibri"/>
          <w:b/>
          <w:color w:val="000000"/>
          <w:sz w:val="22"/>
        </w:rPr>
        <w:t>Laura Sjoberg</w:t>
      </w:r>
    </w:p>
    <w:p w14:paraId="2CE3D6D2" w14:textId="77777777" w:rsidR="00B067AB" w:rsidRPr="00C93FC0" w:rsidRDefault="00B067AB" w:rsidP="00B067AB">
      <w:pPr>
        <w:rPr>
          <w:rFonts w:ascii="Calibri" w:hAnsi="Calibri"/>
          <w:b/>
          <w:color w:val="000000"/>
          <w:sz w:val="22"/>
        </w:rPr>
      </w:pPr>
    </w:p>
    <w:p w14:paraId="3BB50AF5" w14:textId="77777777" w:rsidR="00B067AB" w:rsidRPr="00C93FC0" w:rsidRDefault="00B067AB" w:rsidP="00B067AB">
      <w:pPr>
        <w:spacing w:line="480" w:lineRule="auto"/>
        <w:contextualSpacing/>
        <w:rPr>
          <w:rFonts w:ascii="Calibri" w:hAnsi="Calibri"/>
          <w:color w:val="000000"/>
          <w:sz w:val="22"/>
        </w:rPr>
      </w:pPr>
      <w:r w:rsidRPr="00C93FC0">
        <w:rPr>
          <w:rFonts w:ascii="Calibri" w:hAnsi="Calibri"/>
          <w:color w:val="000000"/>
          <w:sz w:val="22"/>
        </w:rPr>
        <w:t xml:space="preserve">In previous theoretical work about what “Feminist Security Studies” is (Sjoberg 2009a; Sjoberg 2009b; Sjoberg and Martin 2010; Sjoberg 2006), I characterized it as pluralistic but transformative, arguing that: </w:t>
      </w:r>
    </w:p>
    <w:p w14:paraId="2B723C96" w14:textId="77777777" w:rsidR="00B067AB" w:rsidRPr="00C93FC0" w:rsidRDefault="00B067AB" w:rsidP="00B067AB">
      <w:pPr>
        <w:spacing w:line="290" w:lineRule="exact"/>
        <w:ind w:left="720" w:right="720"/>
        <w:contextualSpacing/>
        <w:rPr>
          <w:rFonts w:ascii="Calibri" w:hAnsi="Calibri"/>
          <w:color w:val="000000"/>
          <w:sz w:val="22"/>
        </w:rPr>
      </w:pPr>
      <w:r w:rsidRPr="00C93FC0">
        <w:rPr>
          <w:rFonts w:ascii="Calibri" w:hAnsi="Calibri"/>
          <w:color w:val="000000"/>
          <w:sz w:val="22"/>
        </w:rPr>
        <w:t xml:space="preserve">Research in Feminist Security Studies reformulates mainstream approaches to traditional security issues, foregrounds the roles of women and gender in conflict and conflict resolution, and </w:t>
      </w:r>
      <w:proofErr w:type="spellStart"/>
      <w:r w:rsidRPr="00C93FC0">
        <w:rPr>
          <w:rFonts w:ascii="Calibri" w:hAnsi="Calibri"/>
          <w:color w:val="000000"/>
          <w:sz w:val="22"/>
        </w:rPr>
        <w:t>reveas</w:t>
      </w:r>
      <w:proofErr w:type="spellEnd"/>
      <w:r w:rsidRPr="00C93FC0">
        <w:rPr>
          <w:rFonts w:ascii="Calibri" w:hAnsi="Calibri"/>
          <w:color w:val="000000"/>
          <w:sz w:val="22"/>
        </w:rPr>
        <w:t xml:space="preserve"> the blindness of security studies to issues that taking gender seriously shows as relevant to thinking about security. Together, these works, as a research program, show that gender analysis is necessary, conceptually, for understanding international security, important for analyzing causes and predicting outcomes, and essential to thinking about solutions and promoting positive change in the security realm (Sjoberg 2009a, 184).</w:t>
      </w:r>
    </w:p>
    <w:p w14:paraId="588B0954" w14:textId="77777777" w:rsidR="00B067AB" w:rsidRPr="00C93FC0" w:rsidRDefault="00B067AB" w:rsidP="00B067AB">
      <w:pPr>
        <w:spacing w:line="290" w:lineRule="exact"/>
        <w:contextualSpacing/>
        <w:rPr>
          <w:rFonts w:ascii="Calibri" w:hAnsi="Calibri"/>
          <w:color w:val="000000"/>
          <w:sz w:val="22"/>
        </w:rPr>
      </w:pPr>
    </w:p>
    <w:p w14:paraId="68F1B640" w14:textId="77777777" w:rsidR="00B067AB" w:rsidRPr="00C93FC0" w:rsidRDefault="00B067AB" w:rsidP="00B067AB">
      <w:pPr>
        <w:spacing w:line="480" w:lineRule="auto"/>
        <w:contextualSpacing/>
        <w:rPr>
          <w:rFonts w:ascii="Calibri" w:hAnsi="Calibri"/>
          <w:color w:val="000000"/>
          <w:sz w:val="22"/>
        </w:rPr>
      </w:pPr>
      <w:r w:rsidRPr="00C93FC0">
        <w:rPr>
          <w:rFonts w:ascii="Calibri" w:hAnsi="Calibri"/>
          <w:color w:val="000000"/>
          <w:sz w:val="22"/>
        </w:rPr>
        <w:t xml:space="preserve">That statement, I think, strikes a valuable balance between engagement and skepticism of the “mainstream,” and (relatedly) between (in Carol Cohn’s terms) “feminist security” studies and feminist “security studies.” The mission it describes is far from fulfilled, and the work far from finished, either on its own terms or as relates to “Security Studies” in mainstream IR.  Still, recently, I have been rethinking whether that is the (only) statement I would like to make about Feminist Security Studies as an emerging subfield. Returning to that text almost five years after I initially wrote it, I see it as both important and importantly banal. My understanding of what Feminist Security Studies is changing. </w:t>
      </w:r>
    </w:p>
    <w:p w14:paraId="1BE9B42E"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 xml:space="preserve">Why? In part, my research has been moving in directions that do not fit neatly into that narrative. Substantively, I have been exploring the production of gender roles </w:t>
      </w:r>
      <w:r w:rsidRPr="00C93FC0">
        <w:rPr>
          <w:rFonts w:ascii="Calibri" w:hAnsi="Calibri"/>
          <w:b/>
          <w:color w:val="000000"/>
          <w:sz w:val="22"/>
        </w:rPr>
        <w:t>by</w:t>
      </w:r>
      <w:r w:rsidRPr="00C93FC0">
        <w:rPr>
          <w:rFonts w:ascii="Calibri" w:hAnsi="Calibri"/>
          <w:color w:val="000000"/>
          <w:sz w:val="22"/>
        </w:rPr>
        <w:t xml:space="preserve"> and </w:t>
      </w:r>
      <w:r w:rsidRPr="00C93FC0">
        <w:rPr>
          <w:rFonts w:ascii="Calibri" w:hAnsi="Calibri"/>
          <w:b/>
          <w:color w:val="000000"/>
          <w:sz w:val="22"/>
        </w:rPr>
        <w:t>for</w:t>
      </w:r>
      <w:r w:rsidRPr="00C93FC0">
        <w:rPr>
          <w:rFonts w:ascii="Calibri" w:hAnsi="Calibri"/>
          <w:color w:val="000000"/>
          <w:sz w:val="22"/>
        </w:rPr>
        <w:t xml:space="preserve"> conflict </w:t>
      </w:r>
      <w:r w:rsidRPr="00C93FC0">
        <w:rPr>
          <w:rFonts w:ascii="Calibri" w:hAnsi="Calibri"/>
          <w:b/>
          <w:color w:val="000000"/>
          <w:sz w:val="22"/>
        </w:rPr>
        <w:t>and</w:t>
      </w:r>
      <w:r w:rsidRPr="00C93FC0">
        <w:rPr>
          <w:rFonts w:ascii="Calibri" w:hAnsi="Calibri"/>
          <w:color w:val="000000"/>
          <w:sz w:val="22"/>
        </w:rPr>
        <w:t xml:space="preserve"> conflict resolution (Sjoberg and Gentry 2007; 2008a; 2008b; 2011; Sjoberg 2010a; </w:t>
      </w:r>
      <w:proofErr w:type="spellStart"/>
      <w:r w:rsidRPr="00C93FC0">
        <w:rPr>
          <w:rFonts w:ascii="Calibri" w:hAnsi="Calibri"/>
          <w:color w:val="000000"/>
          <w:sz w:val="22"/>
        </w:rPr>
        <w:t>Confortini</w:t>
      </w:r>
      <w:proofErr w:type="spellEnd"/>
      <w:r w:rsidRPr="00C93FC0">
        <w:rPr>
          <w:rFonts w:ascii="Calibri" w:hAnsi="Calibri"/>
          <w:color w:val="000000"/>
          <w:sz w:val="22"/>
        </w:rPr>
        <w:t xml:space="preserve"> and Sjoberg 2010), paying attention to when </w:t>
      </w:r>
      <w:r w:rsidRPr="00C93FC0">
        <w:rPr>
          <w:rFonts w:ascii="Calibri" w:hAnsi="Calibri"/>
          <w:i/>
          <w:color w:val="000000"/>
          <w:sz w:val="22"/>
        </w:rPr>
        <w:t>women</w:t>
      </w:r>
      <w:r w:rsidRPr="00C93FC0">
        <w:rPr>
          <w:rFonts w:ascii="Calibri" w:hAnsi="Calibri"/>
          <w:color w:val="000000"/>
          <w:sz w:val="22"/>
        </w:rPr>
        <w:t xml:space="preserve"> threaten</w:t>
      </w:r>
      <w:r w:rsidRPr="00C93FC0">
        <w:rPr>
          <w:rFonts w:ascii="Calibri" w:hAnsi="Calibri"/>
          <w:i/>
          <w:color w:val="000000"/>
          <w:sz w:val="22"/>
        </w:rPr>
        <w:t xml:space="preserve"> women’s </w:t>
      </w:r>
      <w:r w:rsidRPr="00C93FC0">
        <w:rPr>
          <w:rFonts w:ascii="Calibri" w:hAnsi="Calibri"/>
          <w:color w:val="000000"/>
          <w:sz w:val="22"/>
        </w:rPr>
        <w:t xml:space="preserve">security on the basis of gender (Sjoberg 2010b), thinking about the gendered nature of international “structure” in Waltz’s (1979) terms (Sjoberg 2011a; see </w:t>
      </w:r>
      <w:proofErr w:type="spellStart"/>
      <w:r w:rsidRPr="00C93FC0">
        <w:rPr>
          <w:rFonts w:ascii="Calibri" w:hAnsi="Calibri"/>
          <w:color w:val="000000"/>
          <w:sz w:val="22"/>
        </w:rPr>
        <w:t>Elshtain</w:t>
      </w:r>
      <w:proofErr w:type="spellEnd"/>
      <w:r w:rsidRPr="00C93FC0">
        <w:rPr>
          <w:rFonts w:ascii="Calibri" w:hAnsi="Calibri"/>
          <w:color w:val="000000"/>
          <w:sz w:val="22"/>
        </w:rPr>
        <w:t xml:space="preserve"> 2009), and trying to learn the ways that gendered conceptions of leadership interplay with gendered securities (Sjoberg 2009c).  Theoretically, I find myself questioning my/others’ privileging of traditional concerns of security over traditional concerns of political economy though the two are intrinsically interlinked (Tickner and Sjoberg 2011), taking seriously the ways queer theory looks </w:t>
      </w:r>
      <w:r w:rsidRPr="00C93FC0">
        <w:rPr>
          <w:rFonts w:ascii="Calibri" w:hAnsi="Calibri"/>
          <w:color w:val="000000"/>
          <w:sz w:val="22"/>
        </w:rPr>
        <w:lastRenderedPageBreak/>
        <w:t xml:space="preserve">critically at the politics of visibility of women/gender/transgender and applying it to in Security Studies (Sjoberg and Shepherd 2010), and thinking across disciplines about tools Feminist Security Studies could use, from women’s/gender studies, geography, sociology, English, and anthropology, to broaden our conceptualizations of security and its component concepts (Sjoberg and Via 2010). Stylistically, I have been confronting the question of accessibility (and its potential tradeoffs with depth) in Feminist Security Studies (e.g., Tickner and Sjoberg 2010), as well as our potential responsibility to include policy analysis in our work (Sjoberg 2010c; 2011c). Epistemologically, (in reaction to critiques of the discursive violence in my work), I am less sure of the felicity of my “weak ontology” understanding of Feminist Security Studies (Sjoberg 2006, citing White 2001). All of these research directions, along with the conversations in this Critical Perspectives section, have challenged and expanded my thinking about what Feminist Security Studies is and might become. </w:t>
      </w:r>
    </w:p>
    <w:p w14:paraId="6FB21702"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 xml:space="preserve">The biggest challenge to my thinking about Feminist Security Studies came in my (several) attempts to write a coherent monograph laying out the research program (Sjoberg 2011b). One draft was 300,000 words; another was a kind of choose-your-own-ending (epistemological) adventure; several more privileged one approach I found important at the expense of others. The final draft, however, was rewritten inspired by my contribution to an edited volume honoring Hayward Alker (Sjoberg 2011d; Marlin-Bennett 2011). Particularly, I am interested in how Alker’s argument that scholarly contestation is not a means to get to an end of a knowledge, a truth, or a field definition; instead, knowledge, truth, and field definition is </w:t>
      </w:r>
      <w:r w:rsidRPr="00C93FC0">
        <w:rPr>
          <w:rFonts w:ascii="Calibri" w:hAnsi="Calibri"/>
          <w:i/>
          <w:color w:val="000000"/>
          <w:sz w:val="22"/>
        </w:rPr>
        <w:t>in the contestation</w:t>
      </w:r>
      <w:r w:rsidRPr="00C93FC0">
        <w:rPr>
          <w:rFonts w:ascii="Calibri" w:hAnsi="Calibri"/>
          <w:color w:val="000000"/>
          <w:sz w:val="22"/>
        </w:rPr>
        <w:t xml:space="preserve"> (Alker 1995; Alker and </w:t>
      </w:r>
      <w:proofErr w:type="spellStart"/>
      <w:r w:rsidRPr="00C93FC0">
        <w:rPr>
          <w:rFonts w:ascii="Calibri" w:hAnsi="Calibri"/>
          <w:color w:val="000000"/>
          <w:sz w:val="22"/>
        </w:rPr>
        <w:t>Biersteker</w:t>
      </w:r>
      <w:proofErr w:type="spellEnd"/>
      <w:r w:rsidRPr="00C93FC0">
        <w:rPr>
          <w:rFonts w:ascii="Calibri" w:hAnsi="Calibri"/>
          <w:color w:val="000000"/>
          <w:sz w:val="22"/>
        </w:rPr>
        <w:t xml:space="preserve"> 1984) could help us rethink Feminist Security Studies. </w:t>
      </w:r>
    </w:p>
    <w:p w14:paraId="1E29A0D0"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 xml:space="preserve">Along these lines, I have come to see the substance of Feminist Security Studies as in dialectical-hermeneutic argument, an approach that has implications for its process and its product. In this understanding, the purpose of doing research in Feminist Security Studies is to raise problems, not to solve them; to draw attention to a field of inquiry, rather than survey it fully; and to provoke discussion </w:t>
      </w:r>
      <w:r w:rsidRPr="00C93FC0">
        <w:rPr>
          <w:rFonts w:ascii="Calibri" w:hAnsi="Calibri"/>
          <w:color w:val="000000"/>
          <w:sz w:val="22"/>
        </w:rPr>
        <w:lastRenderedPageBreak/>
        <w:t>rather than serve as a systematic treatise.  The conflicts and contestations both among feminists in Feminist Security Studies and between feminists and Security that have come up in this conversation are not an outline of problems that need to be solved or divides that need to be crossed, healed, or closed. Instead, those debates, along with how they are handled and addressed, constitute Feminist Security Studies.</w:t>
      </w:r>
    </w:p>
    <w:p w14:paraId="3E0B136B"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 xml:space="preserve">Feminist Security Studies, then, neither needs to solve nor ignore either the fundamental differences among feminists or the dissonance between Feminist Security Studies and Security Studies-as-discipline. Instead, Feminist Security Studies could be seen as defined not only by its fundamental </w:t>
      </w:r>
      <w:proofErr w:type="spellStart"/>
      <w:r w:rsidRPr="00C93FC0">
        <w:rPr>
          <w:rFonts w:ascii="Calibri" w:hAnsi="Calibri"/>
          <w:color w:val="000000"/>
          <w:sz w:val="22"/>
        </w:rPr>
        <w:t>contestabilities</w:t>
      </w:r>
      <w:proofErr w:type="spellEnd"/>
      <w:r w:rsidRPr="00C93FC0">
        <w:rPr>
          <w:rFonts w:ascii="Calibri" w:hAnsi="Calibri"/>
          <w:color w:val="000000"/>
          <w:sz w:val="22"/>
        </w:rPr>
        <w:t xml:space="preserve"> but also by its actual contestations. Feminist Security Studies is not the sum of the different approaches or the winner of the debate between them, but the narrative generated from their arguments, disagreements, and compromises. </w:t>
      </w:r>
    </w:p>
    <w:p w14:paraId="49F4D121"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 xml:space="preserve">Given this way of thinking, I read and react to the other contributions to this Critical Perspectives perhaps differently than I would have in the past. With Ann Tickner, I think that it is important that Feminist Security Studies speak with (and to) the policy world. With Carol Cohn, I see reflexivity as a crucial part of the praxis of research in Feminist Security Studies, and believe it is crucial to evaluate who and what we as scholars in Feminist Security Studies really want to study and who the audience for our work is. With Valerie Hudson, I want to see an inclusive community of Feminist Security Studies, but with Annick </w:t>
      </w:r>
      <w:proofErr w:type="spellStart"/>
      <w:r w:rsidRPr="00C93FC0">
        <w:rPr>
          <w:rFonts w:ascii="Calibri" w:hAnsi="Calibri"/>
          <w:color w:val="000000"/>
          <w:sz w:val="22"/>
        </w:rPr>
        <w:t>Wibben</w:t>
      </w:r>
      <w:proofErr w:type="spellEnd"/>
      <w:r w:rsidRPr="00C93FC0">
        <w:rPr>
          <w:rFonts w:ascii="Calibri" w:hAnsi="Calibri"/>
          <w:color w:val="000000"/>
          <w:sz w:val="22"/>
        </w:rPr>
        <w:t xml:space="preserve">, am not convinced by declaring Feminist Security Studies as without borders. </w:t>
      </w:r>
      <w:proofErr w:type="gramStart"/>
      <w:r w:rsidRPr="00C93FC0">
        <w:rPr>
          <w:rFonts w:ascii="Calibri" w:hAnsi="Calibri"/>
          <w:color w:val="000000"/>
          <w:sz w:val="22"/>
        </w:rPr>
        <w:t>Also</w:t>
      </w:r>
      <w:proofErr w:type="gramEnd"/>
      <w:r w:rsidRPr="00C93FC0">
        <w:rPr>
          <w:rFonts w:ascii="Calibri" w:hAnsi="Calibri"/>
          <w:color w:val="000000"/>
          <w:sz w:val="22"/>
        </w:rPr>
        <w:t xml:space="preserve"> with </w:t>
      </w:r>
      <w:proofErr w:type="spellStart"/>
      <w:r w:rsidRPr="00C93FC0">
        <w:rPr>
          <w:rFonts w:ascii="Calibri" w:hAnsi="Calibri"/>
          <w:color w:val="000000"/>
          <w:sz w:val="22"/>
        </w:rPr>
        <w:t>Wibben</w:t>
      </w:r>
      <w:proofErr w:type="spellEnd"/>
      <w:r w:rsidRPr="00C93FC0">
        <w:rPr>
          <w:rFonts w:ascii="Calibri" w:hAnsi="Calibri"/>
          <w:color w:val="000000"/>
          <w:sz w:val="22"/>
        </w:rPr>
        <w:t xml:space="preserve">, I want the community of Feminist Security Studies to approach its research from a distinctly feminist perspective and practice a feminist politics of knowledge-building and research. With Lauren Wilcox, I want to push feminist theorizing to relate the ideational and the material, symbols and bodies, in evaluations of security. In my vision of the subfield’s future, I want to argue that feminist scholarship should simultaneously meet the terms of mainstream Security Studies’ demands for rigor </w:t>
      </w:r>
      <w:r w:rsidRPr="00C93FC0">
        <w:rPr>
          <w:rFonts w:ascii="Calibri" w:hAnsi="Calibri"/>
          <w:i/>
          <w:color w:val="000000"/>
          <w:sz w:val="22"/>
        </w:rPr>
        <w:t xml:space="preserve">in feminist ways </w:t>
      </w:r>
      <w:r w:rsidRPr="00C93FC0">
        <w:rPr>
          <w:rFonts w:ascii="Calibri" w:hAnsi="Calibri"/>
          <w:color w:val="000000"/>
          <w:sz w:val="22"/>
        </w:rPr>
        <w:t xml:space="preserve">and work to change the terms of the debate. But a number of the </w:t>
      </w:r>
      <w:r w:rsidRPr="00C93FC0">
        <w:rPr>
          <w:rFonts w:ascii="Calibri" w:hAnsi="Calibri"/>
          <w:color w:val="000000"/>
          <w:sz w:val="22"/>
        </w:rPr>
        <w:lastRenderedPageBreak/>
        <w:t xml:space="preserve">participants in this conversation would disagree with a primarily transformative mission for Feminist Security </w:t>
      </w:r>
      <w:proofErr w:type="gramStart"/>
      <w:r w:rsidRPr="00C93FC0">
        <w:rPr>
          <w:rFonts w:ascii="Calibri" w:hAnsi="Calibri"/>
          <w:color w:val="000000"/>
          <w:sz w:val="22"/>
        </w:rPr>
        <w:t>Studies, and</w:t>
      </w:r>
      <w:proofErr w:type="gramEnd"/>
      <w:r w:rsidRPr="00C93FC0">
        <w:rPr>
          <w:rFonts w:ascii="Calibri" w:hAnsi="Calibri"/>
          <w:color w:val="000000"/>
          <w:sz w:val="22"/>
        </w:rPr>
        <w:t xml:space="preserve"> hold different understandings than I do about what it means to research “in feminist ways.” </w:t>
      </w:r>
    </w:p>
    <w:p w14:paraId="5007AFFC"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 xml:space="preserve">In fact, while the conversations in this Critical Perspectives section have a lot in common (including but not limited to a commitment to the subfield of Feminist Security Studies), they bring up challenging questions in their disagreements. Carol Cohn’s question of whether we do “feminist security” studies or feminist “security studies” reverberates through the </w:t>
      </w:r>
      <w:proofErr w:type="gramStart"/>
      <w:r w:rsidRPr="00C93FC0">
        <w:rPr>
          <w:rFonts w:ascii="Calibri" w:hAnsi="Calibri"/>
          <w:color w:val="000000"/>
          <w:sz w:val="22"/>
        </w:rPr>
        <w:t>essays, and</w:t>
      </w:r>
      <w:proofErr w:type="gramEnd"/>
      <w:r w:rsidRPr="00C93FC0">
        <w:rPr>
          <w:rFonts w:ascii="Calibri" w:hAnsi="Calibri"/>
          <w:color w:val="000000"/>
          <w:sz w:val="22"/>
        </w:rPr>
        <w:t xml:space="preserve"> comes with no easy answers. Debates about epistemology and method for Feminist Security Studies remain complex, and their results contested, as we see across the contributions here, and especially in Valerie Hudson and Annick </w:t>
      </w:r>
      <w:proofErr w:type="spellStart"/>
      <w:r w:rsidRPr="00C93FC0">
        <w:rPr>
          <w:rFonts w:ascii="Calibri" w:hAnsi="Calibri"/>
          <w:color w:val="000000"/>
          <w:sz w:val="22"/>
        </w:rPr>
        <w:t>Wibben’s</w:t>
      </w:r>
      <w:proofErr w:type="spellEnd"/>
      <w:r w:rsidRPr="00C93FC0">
        <w:rPr>
          <w:rFonts w:ascii="Calibri" w:hAnsi="Calibri"/>
          <w:color w:val="000000"/>
          <w:sz w:val="22"/>
        </w:rPr>
        <w:t xml:space="preserve"> essays. How to incorporate embodiment into Feminist Security Studies work, and what it means for the research program, is a question likely to challenge the enterprise in coming years. These challenges and tensions are, I believe, real, and fundamental.</w:t>
      </w:r>
    </w:p>
    <w:p w14:paraId="51F73DF2"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Still, to see these debates as needing to be “won” or “solved” is, I think, unnecessarily limiting, and somewhat unrealistic in terms of the discourses of the field.  But seeing them as debates that do not need to be had would leave one wondering what is distinctive about feminism, what it adds to theorizing security, and whether a field without borders becomes infinitely regressive.  I think a dialectical-hermeneutic approach is the “middle ground” between undesirable extremes of polarization and hyper-pluralism. It suggests that we might see these questions as axes of conversation, and the conversations around them as the core of Feminist Security Studies.</w:t>
      </w:r>
    </w:p>
    <w:p w14:paraId="1510603B" w14:textId="77777777" w:rsidR="00B067AB" w:rsidRPr="00C93FC0" w:rsidRDefault="00B067AB" w:rsidP="00B067AB">
      <w:pPr>
        <w:spacing w:line="480" w:lineRule="auto"/>
        <w:ind w:firstLine="720"/>
        <w:contextualSpacing/>
        <w:rPr>
          <w:rFonts w:ascii="Calibri" w:hAnsi="Calibri"/>
          <w:color w:val="000000"/>
          <w:sz w:val="22"/>
        </w:rPr>
      </w:pPr>
      <w:r w:rsidRPr="00C93FC0">
        <w:rPr>
          <w:rFonts w:ascii="Calibri" w:hAnsi="Calibri"/>
          <w:color w:val="000000"/>
          <w:sz w:val="22"/>
        </w:rPr>
        <w:t xml:space="preserve">I believe that an approach that sees these debates themselves as the substance of Feminist Security Studies, their contours its borders, and their narratives its development and growth, is creative, dynamic, and rigorous. It embraces debate and </w:t>
      </w:r>
      <w:proofErr w:type="gramStart"/>
      <w:r w:rsidRPr="00C93FC0">
        <w:rPr>
          <w:rFonts w:ascii="Calibri" w:hAnsi="Calibri"/>
          <w:color w:val="000000"/>
          <w:sz w:val="22"/>
        </w:rPr>
        <w:t>disagreement, but</w:t>
      </w:r>
      <w:proofErr w:type="gramEnd"/>
      <w:r w:rsidRPr="00C93FC0">
        <w:rPr>
          <w:rFonts w:ascii="Calibri" w:hAnsi="Calibri"/>
          <w:color w:val="000000"/>
          <w:sz w:val="22"/>
        </w:rPr>
        <w:t xml:space="preserve"> provides a framework for navigating it. This Critical Perspectives section, even as it discusses what the field is and how to navigate it, also </w:t>
      </w:r>
      <w:r w:rsidRPr="00C93FC0">
        <w:rPr>
          <w:rFonts w:ascii="Calibri" w:hAnsi="Calibri"/>
          <w:color w:val="000000"/>
          <w:sz w:val="22"/>
        </w:rPr>
        <w:lastRenderedPageBreak/>
        <w:t>creates, performs, and constitutes Feminist Security Studies. In that spirit (and not only in that spirit), I hope it has raised as many questions as it has answered.</w:t>
      </w:r>
    </w:p>
    <w:p w14:paraId="30487FD1" w14:textId="77777777" w:rsidR="00B067AB" w:rsidRPr="00C93FC0" w:rsidRDefault="00B067AB" w:rsidP="00B067AB">
      <w:pPr>
        <w:spacing w:line="480" w:lineRule="auto"/>
        <w:contextualSpacing/>
        <w:rPr>
          <w:rFonts w:ascii="Calibri" w:hAnsi="Calibri"/>
          <w:b/>
          <w:color w:val="000000"/>
          <w:sz w:val="22"/>
        </w:rPr>
      </w:pPr>
      <w:r w:rsidRPr="00C93FC0">
        <w:rPr>
          <w:rFonts w:ascii="Calibri" w:hAnsi="Calibri"/>
          <w:b/>
          <w:color w:val="000000"/>
          <w:sz w:val="22"/>
        </w:rPr>
        <w:t xml:space="preserve">Sources Referenced </w:t>
      </w:r>
    </w:p>
    <w:p w14:paraId="685C3A3B" w14:textId="77777777" w:rsidR="00B067AB"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 xml:space="preserve">Alker, Hayward. 1996. </w:t>
      </w:r>
      <w:r w:rsidRPr="00515267">
        <w:rPr>
          <w:rFonts w:ascii="Calibri" w:hAnsi="Calibri" w:cs="Arial"/>
          <w:i/>
          <w:iCs/>
          <w:sz w:val="22"/>
        </w:rPr>
        <w:t>Rediscoveries and Reformulations: Humanistic Methodologies for International Studies</w:t>
      </w:r>
      <w:r w:rsidRPr="00515267">
        <w:rPr>
          <w:rFonts w:ascii="Calibri" w:hAnsi="Calibri" w:cs="Arial"/>
          <w:sz w:val="22"/>
        </w:rPr>
        <w:t>. Cambridge: Cambridge University Press.</w:t>
      </w:r>
    </w:p>
    <w:p w14:paraId="3532EA50"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p>
    <w:p w14:paraId="7D53C2B8" w14:textId="77777777" w:rsidR="00B067AB"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 xml:space="preserve">Alker, Hayward, and Thomas </w:t>
      </w:r>
      <w:proofErr w:type="spellStart"/>
      <w:r w:rsidRPr="00515267">
        <w:rPr>
          <w:rFonts w:ascii="Calibri" w:hAnsi="Calibri" w:cs="Arial"/>
          <w:sz w:val="22"/>
        </w:rPr>
        <w:t>Biersteker</w:t>
      </w:r>
      <w:proofErr w:type="spellEnd"/>
      <w:r w:rsidRPr="00515267">
        <w:rPr>
          <w:rFonts w:ascii="Calibri" w:hAnsi="Calibri" w:cs="Arial"/>
          <w:sz w:val="22"/>
        </w:rPr>
        <w:t xml:space="preserve">. 1984. "The Dialectics of World Order: Notes for a Future Archeologist of International Savoir Faire." </w:t>
      </w:r>
      <w:r w:rsidRPr="00515267">
        <w:rPr>
          <w:rFonts w:ascii="Calibri" w:hAnsi="Calibri" w:cs="Arial"/>
          <w:i/>
          <w:iCs/>
          <w:sz w:val="22"/>
        </w:rPr>
        <w:t>International Studies Quarterly</w:t>
      </w:r>
      <w:r w:rsidRPr="00515267">
        <w:rPr>
          <w:rFonts w:ascii="Calibri" w:hAnsi="Calibri" w:cs="Arial"/>
          <w:sz w:val="22"/>
        </w:rPr>
        <w:t xml:space="preserve"> 28:121-42.</w:t>
      </w:r>
    </w:p>
    <w:p w14:paraId="11620DE0" w14:textId="77777777" w:rsidR="00B067AB" w:rsidRDefault="00B067AB" w:rsidP="00B067AB">
      <w:pPr>
        <w:widowControl w:val="0"/>
        <w:autoSpaceDE w:val="0"/>
        <w:autoSpaceDN w:val="0"/>
        <w:adjustRightInd w:val="0"/>
        <w:ind w:left="720" w:right="-720" w:hanging="720"/>
        <w:rPr>
          <w:rFonts w:ascii="Calibri" w:hAnsi="Calibri" w:cs="Arial"/>
          <w:sz w:val="22"/>
        </w:rPr>
      </w:pPr>
    </w:p>
    <w:p w14:paraId="79BAF5C1"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proofErr w:type="spellStart"/>
      <w:r>
        <w:rPr>
          <w:rFonts w:ascii="Calibri" w:hAnsi="Calibri" w:cs="Arial"/>
          <w:sz w:val="22"/>
        </w:rPr>
        <w:t>Confortini</w:t>
      </w:r>
      <w:proofErr w:type="spellEnd"/>
      <w:r>
        <w:rPr>
          <w:rFonts w:ascii="Calibri" w:hAnsi="Calibri" w:cs="Arial"/>
          <w:sz w:val="22"/>
        </w:rPr>
        <w:t>, Catia and Laura Sjoberg, “The Power of Peace.” [ADD DETAILS]</w:t>
      </w:r>
    </w:p>
    <w:p w14:paraId="1472F3D6" w14:textId="77777777" w:rsidR="00B067AB" w:rsidRDefault="00B067AB" w:rsidP="00B067AB">
      <w:pPr>
        <w:widowControl w:val="0"/>
        <w:autoSpaceDE w:val="0"/>
        <w:autoSpaceDN w:val="0"/>
        <w:adjustRightInd w:val="0"/>
        <w:ind w:left="720" w:right="-720" w:hanging="720"/>
        <w:rPr>
          <w:rFonts w:ascii="Calibri" w:hAnsi="Calibri" w:cs="Arial"/>
          <w:sz w:val="22"/>
        </w:rPr>
      </w:pPr>
    </w:p>
    <w:p w14:paraId="19012300" w14:textId="77777777" w:rsidR="00B067AB" w:rsidRDefault="00B067AB" w:rsidP="00B067AB">
      <w:pPr>
        <w:widowControl w:val="0"/>
        <w:autoSpaceDE w:val="0"/>
        <w:autoSpaceDN w:val="0"/>
        <w:adjustRightInd w:val="0"/>
        <w:ind w:left="720" w:right="-720" w:hanging="720"/>
        <w:rPr>
          <w:rFonts w:ascii="Calibri" w:hAnsi="Calibri" w:cs="Arial"/>
          <w:sz w:val="22"/>
        </w:rPr>
      </w:pPr>
      <w:proofErr w:type="spellStart"/>
      <w:r w:rsidRPr="00515267">
        <w:rPr>
          <w:rFonts w:ascii="Calibri" w:hAnsi="Calibri" w:cs="Arial"/>
          <w:sz w:val="22"/>
        </w:rPr>
        <w:t>Elshtain</w:t>
      </w:r>
      <w:proofErr w:type="spellEnd"/>
      <w:r w:rsidRPr="00515267">
        <w:rPr>
          <w:rFonts w:ascii="Calibri" w:hAnsi="Calibri" w:cs="Arial"/>
          <w:sz w:val="22"/>
        </w:rPr>
        <w:t xml:space="preserve">, Jean </w:t>
      </w:r>
      <w:proofErr w:type="spellStart"/>
      <w:r w:rsidRPr="00515267">
        <w:rPr>
          <w:rFonts w:ascii="Calibri" w:hAnsi="Calibri" w:cs="Arial"/>
          <w:sz w:val="22"/>
        </w:rPr>
        <w:t>Bethke</w:t>
      </w:r>
      <w:proofErr w:type="spellEnd"/>
      <w:r w:rsidRPr="00515267">
        <w:rPr>
          <w:rFonts w:ascii="Calibri" w:hAnsi="Calibri" w:cs="Arial"/>
          <w:sz w:val="22"/>
        </w:rPr>
        <w:t xml:space="preserve">. 2009. "Women, the State, and War." </w:t>
      </w:r>
      <w:r w:rsidRPr="00515267">
        <w:rPr>
          <w:rFonts w:ascii="Calibri" w:hAnsi="Calibri" w:cs="Arial"/>
          <w:i/>
          <w:iCs/>
          <w:sz w:val="22"/>
        </w:rPr>
        <w:t>International Relations</w:t>
      </w:r>
      <w:r w:rsidRPr="00515267">
        <w:rPr>
          <w:rFonts w:ascii="Calibri" w:hAnsi="Calibri" w:cs="Arial"/>
          <w:sz w:val="22"/>
        </w:rPr>
        <w:t xml:space="preserve"> 23 (2):289-303.</w:t>
      </w:r>
    </w:p>
    <w:p w14:paraId="5BA86AB3" w14:textId="77777777" w:rsidR="00B067AB" w:rsidRDefault="00B067AB" w:rsidP="00B067AB">
      <w:pPr>
        <w:widowControl w:val="0"/>
        <w:autoSpaceDE w:val="0"/>
        <w:autoSpaceDN w:val="0"/>
        <w:adjustRightInd w:val="0"/>
        <w:ind w:left="720" w:right="-720" w:hanging="720"/>
        <w:rPr>
          <w:rFonts w:ascii="Calibri" w:hAnsi="Calibri" w:cs="Arial"/>
          <w:sz w:val="22"/>
        </w:rPr>
      </w:pPr>
    </w:p>
    <w:p w14:paraId="67123B9A"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Gentry, Caron, and Laura Sjoberg. 2008</w:t>
      </w:r>
      <w:r>
        <w:rPr>
          <w:rFonts w:ascii="Calibri" w:hAnsi="Calibri" w:cs="Arial"/>
          <w:sz w:val="22"/>
        </w:rPr>
        <w:t>b</w:t>
      </w:r>
      <w:r w:rsidRPr="00515267">
        <w:rPr>
          <w:rFonts w:ascii="Calibri" w:hAnsi="Calibri" w:cs="Arial"/>
          <w:sz w:val="22"/>
        </w:rPr>
        <w:t xml:space="preserve">. "Profiling Terror: Gendering the Strategic Logic of Suicide Terror and other Narratives." </w:t>
      </w:r>
      <w:r w:rsidRPr="00515267">
        <w:rPr>
          <w:rFonts w:ascii="Calibri" w:hAnsi="Calibri" w:cs="Arial"/>
          <w:i/>
          <w:iCs/>
          <w:sz w:val="22"/>
        </w:rPr>
        <w:t>Austrian Journal of Political Science</w:t>
      </w:r>
      <w:r w:rsidRPr="00515267">
        <w:rPr>
          <w:rFonts w:ascii="Calibri" w:hAnsi="Calibri" w:cs="Arial"/>
          <w:sz w:val="22"/>
        </w:rPr>
        <w:t xml:space="preserve"> 2:181-96.</w:t>
      </w:r>
    </w:p>
    <w:p w14:paraId="41857656" w14:textId="77777777" w:rsidR="00B067AB" w:rsidRDefault="00B067AB" w:rsidP="00B067AB">
      <w:pPr>
        <w:widowControl w:val="0"/>
        <w:autoSpaceDE w:val="0"/>
        <w:autoSpaceDN w:val="0"/>
        <w:adjustRightInd w:val="0"/>
        <w:ind w:left="720" w:right="-720" w:hanging="720"/>
        <w:rPr>
          <w:rFonts w:ascii="Calibri" w:hAnsi="Calibri" w:cs="Arial"/>
          <w:sz w:val="22"/>
        </w:rPr>
      </w:pPr>
    </w:p>
    <w:p w14:paraId="38199098" w14:textId="77777777" w:rsidR="00B067AB"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Marlin-Bennett, Renee. 2011. </w:t>
      </w:r>
      <w:r>
        <w:rPr>
          <w:rFonts w:ascii="Calibri" w:hAnsi="Calibri" w:cs="Arial"/>
          <w:i/>
          <w:sz w:val="22"/>
        </w:rPr>
        <w:t xml:space="preserve">Unbounded IR: An </w:t>
      </w:r>
      <w:proofErr w:type="spellStart"/>
      <w:r>
        <w:rPr>
          <w:rFonts w:ascii="Calibri" w:hAnsi="Calibri" w:cs="Arial"/>
          <w:i/>
          <w:sz w:val="22"/>
        </w:rPr>
        <w:t>Alkerian</w:t>
      </w:r>
      <w:proofErr w:type="spellEnd"/>
      <w:r>
        <w:rPr>
          <w:rFonts w:ascii="Calibri" w:hAnsi="Calibri" w:cs="Arial"/>
          <w:i/>
          <w:sz w:val="22"/>
        </w:rPr>
        <w:t xml:space="preserve"> Approach to Global Studies in an Interconnected World</w:t>
      </w:r>
      <w:r>
        <w:rPr>
          <w:rFonts w:ascii="Calibri" w:hAnsi="Calibri" w:cs="Arial"/>
          <w:sz w:val="22"/>
        </w:rPr>
        <w:t>. London: Routledge.</w:t>
      </w:r>
    </w:p>
    <w:p w14:paraId="47CCD868" w14:textId="77777777" w:rsidR="00B067AB" w:rsidRDefault="00B067AB" w:rsidP="00B067AB">
      <w:pPr>
        <w:widowControl w:val="0"/>
        <w:autoSpaceDE w:val="0"/>
        <w:autoSpaceDN w:val="0"/>
        <w:adjustRightInd w:val="0"/>
        <w:ind w:left="720" w:right="-720" w:hanging="720"/>
        <w:rPr>
          <w:rFonts w:ascii="Calibri" w:hAnsi="Calibri" w:cs="Arial"/>
          <w:sz w:val="22"/>
        </w:rPr>
      </w:pPr>
    </w:p>
    <w:p w14:paraId="1896E8AC"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 xml:space="preserve">Sjoberg, Laura. 2006. </w:t>
      </w:r>
      <w:r w:rsidRPr="00515267">
        <w:rPr>
          <w:rFonts w:ascii="Calibri" w:hAnsi="Calibri" w:cs="Arial"/>
          <w:i/>
          <w:iCs/>
          <w:sz w:val="22"/>
        </w:rPr>
        <w:t xml:space="preserve">Gender, Justice, and the Wars in Iraq </w:t>
      </w:r>
      <w:r w:rsidRPr="00515267">
        <w:rPr>
          <w:rFonts w:ascii="Calibri" w:hAnsi="Calibri" w:cs="Arial"/>
          <w:sz w:val="22"/>
        </w:rPr>
        <w:t>New York: Lexington Books.</w:t>
      </w:r>
    </w:p>
    <w:p w14:paraId="7068CE9F" w14:textId="77777777" w:rsidR="00B067AB" w:rsidRDefault="00B067AB" w:rsidP="00B067AB">
      <w:pPr>
        <w:widowControl w:val="0"/>
        <w:autoSpaceDE w:val="0"/>
        <w:autoSpaceDN w:val="0"/>
        <w:adjustRightInd w:val="0"/>
        <w:ind w:left="720" w:right="-720" w:hanging="720"/>
        <w:rPr>
          <w:rFonts w:ascii="Calibri" w:hAnsi="Calibri" w:cs="Arial"/>
          <w:sz w:val="22"/>
        </w:rPr>
      </w:pPr>
    </w:p>
    <w:p w14:paraId="7FCB962E" w14:textId="77777777" w:rsidR="00B067AB"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w:t>
      </w:r>
      <w:r w:rsidRPr="00515267">
        <w:rPr>
          <w:rFonts w:ascii="Calibri" w:hAnsi="Calibri" w:cs="Arial"/>
          <w:sz w:val="22"/>
        </w:rPr>
        <w:t>. 2009</w:t>
      </w:r>
      <w:r>
        <w:rPr>
          <w:rFonts w:ascii="Calibri" w:hAnsi="Calibri" w:cs="Arial"/>
          <w:sz w:val="22"/>
        </w:rPr>
        <w:t>a</w:t>
      </w:r>
      <w:r w:rsidRPr="00515267">
        <w:rPr>
          <w:rFonts w:ascii="Calibri" w:hAnsi="Calibri" w:cs="Arial"/>
          <w:sz w:val="22"/>
        </w:rPr>
        <w:t xml:space="preserve">. "Introduction to Security Studies: Feminist Contributions." </w:t>
      </w:r>
      <w:r w:rsidRPr="00515267">
        <w:rPr>
          <w:rFonts w:ascii="Calibri" w:hAnsi="Calibri" w:cs="Arial"/>
          <w:i/>
          <w:iCs/>
          <w:sz w:val="22"/>
        </w:rPr>
        <w:t>Security Studies</w:t>
      </w:r>
      <w:r w:rsidRPr="00515267">
        <w:rPr>
          <w:rFonts w:ascii="Calibri" w:hAnsi="Calibri" w:cs="Arial"/>
          <w:sz w:val="22"/>
        </w:rPr>
        <w:t xml:space="preserve"> 18 (2):183-213.</w:t>
      </w:r>
    </w:p>
    <w:p w14:paraId="404D5C9F" w14:textId="77777777" w:rsidR="00B067AB" w:rsidRDefault="00B067AB" w:rsidP="00B067AB">
      <w:pPr>
        <w:widowControl w:val="0"/>
        <w:autoSpaceDE w:val="0"/>
        <w:autoSpaceDN w:val="0"/>
        <w:adjustRightInd w:val="0"/>
        <w:ind w:left="720" w:right="-720" w:hanging="720"/>
        <w:rPr>
          <w:rFonts w:ascii="Calibri" w:hAnsi="Calibri" w:cs="Arial"/>
          <w:sz w:val="22"/>
        </w:rPr>
      </w:pPr>
    </w:p>
    <w:p w14:paraId="72E7079D"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w:t>
      </w:r>
      <w:r w:rsidRPr="00515267">
        <w:rPr>
          <w:rFonts w:ascii="Calibri" w:hAnsi="Calibri" w:cs="Arial"/>
          <w:sz w:val="22"/>
        </w:rPr>
        <w:t>—, ed. 2009</w:t>
      </w:r>
      <w:r>
        <w:rPr>
          <w:rFonts w:ascii="Calibri" w:hAnsi="Calibri" w:cs="Arial"/>
          <w:sz w:val="22"/>
        </w:rPr>
        <w:t>b</w:t>
      </w:r>
      <w:r w:rsidRPr="00515267">
        <w:rPr>
          <w:rFonts w:ascii="Calibri" w:hAnsi="Calibri" w:cs="Arial"/>
          <w:sz w:val="22"/>
        </w:rPr>
        <w:t xml:space="preserve">. </w:t>
      </w:r>
      <w:r w:rsidRPr="00515267">
        <w:rPr>
          <w:rFonts w:ascii="Calibri" w:hAnsi="Calibri" w:cs="Arial"/>
          <w:i/>
          <w:iCs/>
          <w:sz w:val="22"/>
        </w:rPr>
        <w:t>Gender and International Security: Feminist Perspectives</w:t>
      </w:r>
      <w:r w:rsidRPr="00515267">
        <w:rPr>
          <w:rFonts w:ascii="Calibri" w:hAnsi="Calibri" w:cs="Arial"/>
          <w:sz w:val="22"/>
        </w:rPr>
        <w:t>. New York: Routledge.</w:t>
      </w:r>
    </w:p>
    <w:p w14:paraId="241C19A8" w14:textId="77777777" w:rsidR="00B067AB" w:rsidRDefault="00B067AB" w:rsidP="00B067AB">
      <w:pPr>
        <w:widowControl w:val="0"/>
        <w:autoSpaceDE w:val="0"/>
        <w:autoSpaceDN w:val="0"/>
        <w:adjustRightInd w:val="0"/>
        <w:ind w:right="-720"/>
        <w:rPr>
          <w:rFonts w:ascii="Calibri" w:hAnsi="Calibri" w:cs="Arial"/>
          <w:sz w:val="22"/>
        </w:rPr>
      </w:pPr>
    </w:p>
    <w:p w14:paraId="6511132D" w14:textId="77777777" w:rsidR="00B067AB" w:rsidRDefault="00B067AB" w:rsidP="00B067AB">
      <w:pPr>
        <w:widowControl w:val="0"/>
        <w:autoSpaceDE w:val="0"/>
        <w:autoSpaceDN w:val="0"/>
        <w:adjustRightInd w:val="0"/>
        <w:ind w:right="-720"/>
        <w:rPr>
          <w:rFonts w:ascii="Calibri" w:hAnsi="Calibri" w:cs="Arial"/>
          <w:iCs/>
          <w:sz w:val="22"/>
        </w:rPr>
      </w:pPr>
      <w:r>
        <w:rPr>
          <w:rFonts w:ascii="Calibri" w:hAnsi="Calibri" w:cs="Arial"/>
          <w:sz w:val="22"/>
        </w:rPr>
        <w:t>——</w:t>
      </w:r>
      <w:r w:rsidRPr="00515267">
        <w:rPr>
          <w:rFonts w:ascii="Calibri" w:hAnsi="Calibri" w:cs="Arial"/>
          <w:sz w:val="22"/>
        </w:rPr>
        <w:t>. 2009</w:t>
      </w:r>
      <w:r>
        <w:rPr>
          <w:rFonts w:ascii="Calibri" w:hAnsi="Calibri" w:cs="Arial"/>
          <w:sz w:val="22"/>
        </w:rPr>
        <w:t>c</w:t>
      </w:r>
      <w:r w:rsidRPr="00515267">
        <w:rPr>
          <w:rFonts w:ascii="Calibri" w:hAnsi="Calibri" w:cs="Arial"/>
          <w:sz w:val="22"/>
        </w:rPr>
        <w:t xml:space="preserve">. "Feminism and Styles of Political Leadership." In </w:t>
      </w:r>
      <w:r w:rsidRPr="00202C66">
        <w:rPr>
          <w:rFonts w:ascii="Calibri" w:hAnsi="Calibri" w:cs="Arial"/>
          <w:iCs/>
          <w:sz w:val="22"/>
        </w:rPr>
        <w:t xml:space="preserve">Mikhail </w:t>
      </w:r>
      <w:proofErr w:type="spellStart"/>
      <w:r w:rsidRPr="00202C66">
        <w:rPr>
          <w:rFonts w:ascii="Calibri" w:hAnsi="Calibri" w:cs="Arial"/>
          <w:iCs/>
          <w:sz w:val="22"/>
        </w:rPr>
        <w:t>Molchanov</w:t>
      </w:r>
      <w:proofErr w:type="spellEnd"/>
      <w:r>
        <w:rPr>
          <w:rFonts w:ascii="Calibri" w:hAnsi="Calibri" w:cs="Arial"/>
          <w:iCs/>
          <w:sz w:val="22"/>
        </w:rPr>
        <w:t xml:space="preserve"> </w:t>
      </w:r>
      <w:r w:rsidRPr="00202C66">
        <w:rPr>
          <w:rFonts w:ascii="Calibri" w:hAnsi="Calibri" w:cs="Arial"/>
          <w:iCs/>
          <w:sz w:val="22"/>
        </w:rPr>
        <w:t xml:space="preserve">Joe </w:t>
      </w:r>
      <w:proofErr w:type="spellStart"/>
      <w:r w:rsidRPr="00202C66">
        <w:rPr>
          <w:rFonts w:ascii="Calibri" w:hAnsi="Calibri" w:cs="Arial"/>
          <w:iCs/>
          <w:sz w:val="22"/>
        </w:rPr>
        <w:t>Masciulli</w:t>
      </w:r>
      <w:proofErr w:type="spellEnd"/>
      <w:r w:rsidRPr="00202C66">
        <w:rPr>
          <w:rFonts w:ascii="Calibri" w:hAnsi="Calibri" w:cs="Arial"/>
          <w:iCs/>
          <w:sz w:val="22"/>
        </w:rPr>
        <w:t xml:space="preserve"> W. Andy </w:t>
      </w:r>
    </w:p>
    <w:p w14:paraId="5B199AAF" w14:textId="77777777" w:rsidR="00B067AB" w:rsidRPr="00202C66" w:rsidRDefault="00B067AB" w:rsidP="00B067AB">
      <w:pPr>
        <w:widowControl w:val="0"/>
        <w:autoSpaceDE w:val="0"/>
        <w:autoSpaceDN w:val="0"/>
        <w:adjustRightInd w:val="0"/>
        <w:ind w:right="-720" w:firstLine="720"/>
        <w:rPr>
          <w:rFonts w:ascii="Calibri" w:hAnsi="Calibri" w:cs="Arial"/>
          <w:iCs/>
          <w:sz w:val="22"/>
        </w:rPr>
      </w:pPr>
      <w:r w:rsidRPr="00202C66">
        <w:rPr>
          <w:rFonts w:ascii="Calibri" w:hAnsi="Calibri" w:cs="Arial"/>
          <w:iCs/>
          <w:sz w:val="22"/>
        </w:rPr>
        <w:t>Knight</w:t>
      </w:r>
      <w:r>
        <w:rPr>
          <w:rFonts w:ascii="Calibri" w:hAnsi="Calibri" w:cs="Arial"/>
          <w:sz w:val="22"/>
        </w:rPr>
        <w:t xml:space="preserve">, </w:t>
      </w:r>
      <w:r>
        <w:rPr>
          <w:rFonts w:ascii="Calibri" w:hAnsi="Calibri" w:cs="Arial"/>
          <w:i/>
          <w:sz w:val="22"/>
        </w:rPr>
        <w:t>Ashgate Companion to Political Leadership.</w:t>
      </w:r>
      <w:r w:rsidRPr="00202C66">
        <w:rPr>
          <w:rFonts w:ascii="Calibri" w:hAnsi="Calibri" w:cs="Arial"/>
          <w:sz w:val="22"/>
        </w:rPr>
        <w:t xml:space="preserve"> London: Ashgate.</w:t>
      </w:r>
    </w:p>
    <w:p w14:paraId="005016A7" w14:textId="77777777" w:rsidR="00B067AB" w:rsidRDefault="00B067AB" w:rsidP="00B067AB">
      <w:pPr>
        <w:widowControl w:val="0"/>
        <w:autoSpaceDE w:val="0"/>
        <w:autoSpaceDN w:val="0"/>
        <w:adjustRightInd w:val="0"/>
        <w:ind w:left="720" w:right="-720" w:hanging="720"/>
        <w:rPr>
          <w:rFonts w:ascii="Calibri" w:hAnsi="Calibri" w:cs="Arial"/>
          <w:sz w:val="22"/>
        </w:rPr>
      </w:pPr>
    </w:p>
    <w:p w14:paraId="1B81A770" w14:textId="77777777" w:rsidR="00B067AB" w:rsidRPr="00556C0C"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 2010a. “Gendering the Empire’s Soldiers.” In Sjoberg and Via, eds. </w:t>
      </w:r>
      <w:r>
        <w:rPr>
          <w:rFonts w:ascii="Calibri" w:hAnsi="Calibri" w:cs="Arial"/>
          <w:i/>
          <w:sz w:val="22"/>
        </w:rPr>
        <w:t>Gender, War, and Militarism: Feminist Perspectives</w:t>
      </w:r>
      <w:r>
        <w:rPr>
          <w:rFonts w:ascii="Calibri" w:hAnsi="Calibri" w:cs="Arial"/>
          <w:sz w:val="22"/>
        </w:rPr>
        <w:t xml:space="preserve">. Santa Barbara, CA: Praeger Security International. </w:t>
      </w:r>
    </w:p>
    <w:p w14:paraId="580131F4" w14:textId="77777777" w:rsidR="00B067AB" w:rsidRDefault="00B067AB" w:rsidP="00B067AB">
      <w:pPr>
        <w:widowControl w:val="0"/>
        <w:autoSpaceDE w:val="0"/>
        <w:autoSpaceDN w:val="0"/>
        <w:adjustRightInd w:val="0"/>
        <w:ind w:left="720" w:right="-720" w:hanging="720"/>
        <w:rPr>
          <w:rFonts w:ascii="Calibri" w:hAnsi="Calibri" w:cs="Arial"/>
          <w:sz w:val="22"/>
        </w:rPr>
      </w:pPr>
    </w:p>
    <w:p w14:paraId="40E643B1"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w:t>
      </w:r>
      <w:r w:rsidRPr="00515267">
        <w:rPr>
          <w:rFonts w:ascii="Calibri" w:hAnsi="Calibri" w:cs="Arial"/>
          <w:sz w:val="22"/>
        </w:rPr>
        <w:t>. 2010</w:t>
      </w:r>
      <w:r>
        <w:rPr>
          <w:rFonts w:ascii="Calibri" w:hAnsi="Calibri" w:cs="Arial"/>
          <w:sz w:val="22"/>
        </w:rPr>
        <w:t>b</w:t>
      </w:r>
      <w:r w:rsidRPr="00515267">
        <w:rPr>
          <w:rFonts w:ascii="Calibri" w:hAnsi="Calibri" w:cs="Arial"/>
          <w:sz w:val="22"/>
        </w:rPr>
        <w:t xml:space="preserve">. "Women and the Genocidal Rape of Other Women: Gendered Dynamics of Gendered War Crimes." In </w:t>
      </w:r>
      <w:r w:rsidRPr="00515267">
        <w:rPr>
          <w:rFonts w:ascii="Calibri" w:hAnsi="Calibri" w:cs="Arial"/>
          <w:i/>
          <w:iCs/>
          <w:sz w:val="22"/>
        </w:rPr>
        <w:t>Confronting Gender Justice: Women’s Lives, Human Rights</w:t>
      </w:r>
      <w:r w:rsidRPr="00515267">
        <w:rPr>
          <w:rFonts w:ascii="Calibri" w:hAnsi="Calibri" w:cs="Arial"/>
          <w:sz w:val="22"/>
        </w:rPr>
        <w:t xml:space="preserve">, ed. D. </w:t>
      </w:r>
      <w:proofErr w:type="spellStart"/>
      <w:r w:rsidRPr="00515267">
        <w:rPr>
          <w:rFonts w:ascii="Calibri" w:hAnsi="Calibri" w:cs="Arial"/>
          <w:sz w:val="22"/>
        </w:rPr>
        <w:t>Bergofen</w:t>
      </w:r>
      <w:proofErr w:type="spellEnd"/>
      <w:r w:rsidRPr="00515267">
        <w:rPr>
          <w:rFonts w:ascii="Calibri" w:hAnsi="Calibri" w:cs="Arial"/>
          <w:sz w:val="22"/>
        </w:rPr>
        <w:t>, P. R. Gilbert, T. Harvey and C. L. McNeely. New York: Routledge.</w:t>
      </w:r>
    </w:p>
    <w:p w14:paraId="5CBFC646" w14:textId="77777777" w:rsidR="00B067AB" w:rsidRDefault="00B067AB" w:rsidP="00B067AB">
      <w:pPr>
        <w:widowControl w:val="0"/>
        <w:autoSpaceDE w:val="0"/>
        <w:autoSpaceDN w:val="0"/>
        <w:adjustRightInd w:val="0"/>
        <w:ind w:left="720" w:right="-720" w:hanging="720"/>
        <w:rPr>
          <w:rFonts w:ascii="Calibri" w:hAnsi="Calibri" w:cs="Arial"/>
          <w:sz w:val="22"/>
        </w:rPr>
      </w:pPr>
    </w:p>
    <w:p w14:paraId="442657A0"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w:t>
      </w:r>
      <w:r w:rsidRPr="00515267">
        <w:rPr>
          <w:rFonts w:ascii="Calibri" w:hAnsi="Calibri" w:cs="Arial"/>
          <w:sz w:val="22"/>
        </w:rPr>
        <w:t>. 2010</w:t>
      </w:r>
      <w:r>
        <w:rPr>
          <w:rFonts w:ascii="Calibri" w:hAnsi="Calibri" w:cs="Arial"/>
          <w:sz w:val="22"/>
        </w:rPr>
        <w:t>c</w:t>
      </w:r>
      <w:r w:rsidRPr="00515267">
        <w:rPr>
          <w:rFonts w:ascii="Calibri" w:hAnsi="Calibri" w:cs="Arial"/>
          <w:sz w:val="22"/>
        </w:rPr>
        <w:t xml:space="preserve">. "Women Fighters and the ‘Beautiful Soul’ Narrative." </w:t>
      </w:r>
      <w:r w:rsidRPr="00515267">
        <w:rPr>
          <w:rFonts w:ascii="Calibri" w:hAnsi="Calibri" w:cs="Arial"/>
          <w:i/>
          <w:iCs/>
          <w:sz w:val="22"/>
        </w:rPr>
        <w:t>International Review of the Red Cross</w:t>
      </w:r>
      <w:r w:rsidRPr="00515267">
        <w:rPr>
          <w:rFonts w:ascii="Calibri" w:hAnsi="Calibri" w:cs="Arial"/>
          <w:sz w:val="22"/>
        </w:rPr>
        <w:t xml:space="preserve"> 92 (877).</w:t>
      </w:r>
    </w:p>
    <w:p w14:paraId="0DFC7A0F" w14:textId="77777777" w:rsidR="00B067AB" w:rsidRDefault="00B067AB" w:rsidP="00B067AB">
      <w:pPr>
        <w:widowControl w:val="0"/>
        <w:autoSpaceDE w:val="0"/>
        <w:autoSpaceDN w:val="0"/>
        <w:adjustRightInd w:val="0"/>
        <w:ind w:left="720" w:right="-720" w:hanging="720"/>
        <w:rPr>
          <w:rFonts w:ascii="Calibri" w:hAnsi="Calibri" w:cs="Arial"/>
          <w:sz w:val="22"/>
        </w:rPr>
      </w:pPr>
    </w:p>
    <w:p w14:paraId="29E33844" w14:textId="77777777" w:rsidR="00B067AB"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 2011a. “Women, the State, and War Redux,” </w:t>
      </w:r>
      <w:r>
        <w:rPr>
          <w:rFonts w:ascii="Calibri" w:hAnsi="Calibri" w:cs="Arial"/>
          <w:i/>
          <w:sz w:val="22"/>
        </w:rPr>
        <w:t xml:space="preserve">International Relations </w:t>
      </w:r>
      <w:r>
        <w:rPr>
          <w:rFonts w:ascii="Calibri" w:hAnsi="Calibri" w:cs="Arial"/>
          <w:sz w:val="22"/>
        </w:rPr>
        <w:t xml:space="preserve">25(1): (PAGE #s). </w:t>
      </w:r>
    </w:p>
    <w:p w14:paraId="0CF23FA1" w14:textId="77777777" w:rsidR="00B067AB" w:rsidRDefault="00B067AB" w:rsidP="00B067AB">
      <w:pPr>
        <w:widowControl w:val="0"/>
        <w:autoSpaceDE w:val="0"/>
        <w:autoSpaceDN w:val="0"/>
        <w:adjustRightInd w:val="0"/>
        <w:ind w:left="720" w:right="-720" w:hanging="720"/>
        <w:rPr>
          <w:rFonts w:ascii="Calibri" w:hAnsi="Calibri" w:cs="Arial"/>
          <w:sz w:val="22"/>
        </w:rPr>
      </w:pPr>
    </w:p>
    <w:p w14:paraId="447FBC6F" w14:textId="77777777" w:rsidR="00B067AB"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 2011b. </w:t>
      </w:r>
      <w:r>
        <w:rPr>
          <w:rFonts w:ascii="Calibri" w:hAnsi="Calibri" w:cs="Arial"/>
          <w:i/>
          <w:sz w:val="22"/>
        </w:rPr>
        <w:t xml:space="preserve">Gendering Global Conflict: Towards a Feminist Theory of War </w:t>
      </w:r>
      <w:r>
        <w:rPr>
          <w:rFonts w:ascii="Calibri" w:hAnsi="Calibri" w:cs="Arial"/>
          <w:sz w:val="22"/>
        </w:rPr>
        <w:t>(FINISH WHEN OFFICIAL)</w:t>
      </w:r>
    </w:p>
    <w:p w14:paraId="736CC9F5" w14:textId="77777777" w:rsidR="00B067AB" w:rsidRDefault="00B067AB" w:rsidP="00B067AB">
      <w:pPr>
        <w:widowControl w:val="0"/>
        <w:autoSpaceDE w:val="0"/>
        <w:autoSpaceDN w:val="0"/>
        <w:adjustRightInd w:val="0"/>
        <w:ind w:left="720" w:right="-720" w:hanging="720"/>
        <w:rPr>
          <w:rFonts w:ascii="Calibri" w:hAnsi="Calibri" w:cs="Arial"/>
          <w:sz w:val="22"/>
        </w:rPr>
      </w:pPr>
    </w:p>
    <w:p w14:paraId="2F8CC1D4" w14:textId="77777777" w:rsidR="00B067AB"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 2011c. “The Paradox of Double Effect,” </w:t>
      </w:r>
      <w:r>
        <w:rPr>
          <w:rFonts w:ascii="Calibri" w:hAnsi="Calibri" w:cs="Arial"/>
          <w:i/>
          <w:sz w:val="22"/>
        </w:rPr>
        <w:t xml:space="preserve">Women’s Policy Journal </w:t>
      </w:r>
      <w:r>
        <w:rPr>
          <w:rFonts w:ascii="Calibri" w:hAnsi="Calibri" w:cs="Arial"/>
          <w:sz w:val="22"/>
        </w:rPr>
        <w:t xml:space="preserve">7: (PAGE #s). </w:t>
      </w:r>
    </w:p>
    <w:p w14:paraId="45F4A560" w14:textId="77777777" w:rsidR="00B067AB" w:rsidRDefault="00B067AB" w:rsidP="00B067AB">
      <w:pPr>
        <w:widowControl w:val="0"/>
        <w:autoSpaceDE w:val="0"/>
        <w:autoSpaceDN w:val="0"/>
        <w:adjustRightInd w:val="0"/>
        <w:ind w:left="720" w:right="-720" w:hanging="720"/>
        <w:rPr>
          <w:rFonts w:ascii="Calibri" w:hAnsi="Calibri" w:cs="Arial"/>
          <w:sz w:val="22"/>
        </w:rPr>
      </w:pPr>
    </w:p>
    <w:p w14:paraId="55793907" w14:textId="77777777" w:rsidR="00B067AB" w:rsidRPr="00E20610"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 2011d. “Arguing Gender and IR: A Dialectical-Hermeneutic Approach,” in </w:t>
      </w:r>
      <w:r>
        <w:rPr>
          <w:rFonts w:ascii="Calibri" w:hAnsi="Calibri" w:cs="Arial"/>
          <w:i/>
          <w:sz w:val="22"/>
        </w:rPr>
        <w:t xml:space="preserve">Unbounded IR: An </w:t>
      </w:r>
      <w:proofErr w:type="spellStart"/>
      <w:r>
        <w:rPr>
          <w:rFonts w:ascii="Calibri" w:hAnsi="Calibri" w:cs="Arial"/>
          <w:i/>
          <w:sz w:val="22"/>
        </w:rPr>
        <w:t>Alkerian</w:t>
      </w:r>
      <w:proofErr w:type="spellEnd"/>
      <w:r>
        <w:rPr>
          <w:rFonts w:ascii="Calibri" w:hAnsi="Calibri" w:cs="Arial"/>
          <w:i/>
          <w:sz w:val="22"/>
        </w:rPr>
        <w:t xml:space="preserve"> </w:t>
      </w:r>
      <w:r>
        <w:rPr>
          <w:rFonts w:ascii="Calibri" w:hAnsi="Calibri" w:cs="Arial"/>
          <w:i/>
          <w:sz w:val="22"/>
        </w:rPr>
        <w:lastRenderedPageBreak/>
        <w:t>Approach to Global Studies in an Interconnected World</w:t>
      </w:r>
      <w:r>
        <w:rPr>
          <w:rFonts w:ascii="Calibri" w:hAnsi="Calibri" w:cs="Arial"/>
          <w:sz w:val="22"/>
        </w:rPr>
        <w:t>, ed. Renee Marlin-Bennett. London: Routledge.</w:t>
      </w:r>
    </w:p>
    <w:p w14:paraId="268DA3A0" w14:textId="77777777" w:rsidR="00B067AB" w:rsidRDefault="00B067AB" w:rsidP="00B067AB">
      <w:pPr>
        <w:widowControl w:val="0"/>
        <w:autoSpaceDE w:val="0"/>
        <w:autoSpaceDN w:val="0"/>
        <w:adjustRightInd w:val="0"/>
        <w:ind w:left="720" w:right="-720" w:hanging="720"/>
        <w:rPr>
          <w:rFonts w:ascii="Calibri" w:hAnsi="Calibri" w:cs="Arial"/>
          <w:sz w:val="22"/>
        </w:rPr>
      </w:pPr>
    </w:p>
    <w:p w14:paraId="22CB020D"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 xml:space="preserve">Sjoberg, Laura, and Caron Gentry. 2007. </w:t>
      </w:r>
      <w:r w:rsidRPr="00515267">
        <w:rPr>
          <w:rFonts w:ascii="Calibri" w:hAnsi="Calibri" w:cs="Arial"/>
          <w:i/>
          <w:iCs/>
          <w:sz w:val="22"/>
        </w:rPr>
        <w:t>Mothers, Monsters, Whores: Women’s Violence in Global Politics</w:t>
      </w:r>
      <w:r w:rsidRPr="00515267">
        <w:rPr>
          <w:rFonts w:ascii="Calibri" w:hAnsi="Calibri" w:cs="Arial"/>
          <w:sz w:val="22"/>
        </w:rPr>
        <w:t>. London: Zed Books.</w:t>
      </w:r>
    </w:p>
    <w:p w14:paraId="611A66CA" w14:textId="77777777" w:rsidR="00B067AB" w:rsidRDefault="00B067AB" w:rsidP="00B067AB">
      <w:pPr>
        <w:widowControl w:val="0"/>
        <w:autoSpaceDE w:val="0"/>
        <w:autoSpaceDN w:val="0"/>
        <w:adjustRightInd w:val="0"/>
        <w:ind w:left="720" w:right="-720" w:hanging="720"/>
        <w:rPr>
          <w:rFonts w:ascii="Calibri" w:hAnsi="Calibri" w:cs="Arial"/>
          <w:sz w:val="22"/>
        </w:rPr>
      </w:pPr>
    </w:p>
    <w:p w14:paraId="4CE64AD1" w14:textId="77777777" w:rsidR="00B067AB"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w:t>
      </w:r>
      <w:r w:rsidRPr="00515267">
        <w:rPr>
          <w:rFonts w:ascii="Calibri" w:hAnsi="Calibri" w:cs="Arial"/>
          <w:sz w:val="22"/>
        </w:rPr>
        <w:t>. 2008</w:t>
      </w:r>
      <w:r>
        <w:rPr>
          <w:rFonts w:ascii="Calibri" w:hAnsi="Calibri" w:cs="Arial"/>
          <w:sz w:val="22"/>
        </w:rPr>
        <w:t>a</w:t>
      </w:r>
      <w:r w:rsidRPr="00515267">
        <w:rPr>
          <w:rFonts w:ascii="Calibri" w:hAnsi="Calibri" w:cs="Arial"/>
          <w:sz w:val="22"/>
        </w:rPr>
        <w:t xml:space="preserve">. "Reduced to Bad Sex: Narratives of Violent Women from the Bible to the War on Terror." </w:t>
      </w:r>
      <w:r w:rsidRPr="00515267">
        <w:rPr>
          <w:rFonts w:ascii="Calibri" w:hAnsi="Calibri" w:cs="Arial"/>
          <w:i/>
          <w:iCs/>
          <w:sz w:val="22"/>
        </w:rPr>
        <w:t>International Relations</w:t>
      </w:r>
      <w:r w:rsidRPr="00515267">
        <w:rPr>
          <w:rFonts w:ascii="Calibri" w:hAnsi="Calibri" w:cs="Arial"/>
          <w:sz w:val="22"/>
        </w:rPr>
        <w:t xml:space="preserve"> 22 (1):5-23.</w:t>
      </w:r>
    </w:p>
    <w:p w14:paraId="39D1224C" w14:textId="77777777" w:rsidR="00B067AB" w:rsidRDefault="00B067AB" w:rsidP="00B067AB">
      <w:pPr>
        <w:widowControl w:val="0"/>
        <w:autoSpaceDE w:val="0"/>
        <w:autoSpaceDN w:val="0"/>
        <w:adjustRightInd w:val="0"/>
        <w:ind w:left="720" w:right="-720" w:hanging="720"/>
        <w:rPr>
          <w:rFonts w:ascii="Calibri" w:hAnsi="Calibri" w:cs="Arial"/>
          <w:sz w:val="22"/>
        </w:rPr>
      </w:pPr>
    </w:p>
    <w:p w14:paraId="271D8671" w14:textId="77777777" w:rsidR="00B067AB" w:rsidRPr="004A6823"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 eds. 2011. </w:t>
      </w:r>
      <w:r>
        <w:rPr>
          <w:rFonts w:ascii="Calibri" w:hAnsi="Calibri" w:cs="Arial"/>
          <w:i/>
          <w:sz w:val="22"/>
        </w:rPr>
        <w:t>Women, Gender, and 21</w:t>
      </w:r>
      <w:r w:rsidRPr="004A6823">
        <w:rPr>
          <w:rFonts w:ascii="Calibri" w:hAnsi="Calibri" w:cs="Arial"/>
          <w:i/>
          <w:sz w:val="22"/>
          <w:vertAlign w:val="superscript"/>
        </w:rPr>
        <w:t>st</w:t>
      </w:r>
      <w:r>
        <w:rPr>
          <w:rFonts w:ascii="Calibri" w:hAnsi="Calibri" w:cs="Arial"/>
          <w:i/>
          <w:sz w:val="22"/>
        </w:rPr>
        <w:t xml:space="preserve"> Century Terrorism</w:t>
      </w:r>
      <w:r>
        <w:rPr>
          <w:rFonts w:ascii="Calibri" w:hAnsi="Calibri" w:cs="Arial"/>
          <w:sz w:val="22"/>
        </w:rPr>
        <w:t>. Athens: University of Georgia Press.</w:t>
      </w:r>
    </w:p>
    <w:p w14:paraId="32BB65CF" w14:textId="77777777" w:rsidR="00B067AB" w:rsidRDefault="00B067AB" w:rsidP="00B067AB">
      <w:pPr>
        <w:widowControl w:val="0"/>
        <w:autoSpaceDE w:val="0"/>
        <w:autoSpaceDN w:val="0"/>
        <w:adjustRightInd w:val="0"/>
        <w:ind w:left="720" w:right="-720" w:hanging="720"/>
        <w:rPr>
          <w:rFonts w:ascii="Calibri" w:hAnsi="Calibri" w:cs="Arial"/>
          <w:sz w:val="22"/>
        </w:rPr>
      </w:pPr>
    </w:p>
    <w:p w14:paraId="5A3D77FC" w14:textId="77777777" w:rsidR="00B067AB"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 xml:space="preserve">Sjoberg, Laura, and Jillian Martin. 2010. "Feminist Security Theorizing." In </w:t>
      </w:r>
      <w:r w:rsidRPr="00515267">
        <w:rPr>
          <w:rFonts w:ascii="Calibri" w:hAnsi="Calibri" w:cs="Arial"/>
          <w:i/>
          <w:iCs/>
          <w:sz w:val="22"/>
        </w:rPr>
        <w:t>International Studies Encyclopedia</w:t>
      </w:r>
      <w:r w:rsidRPr="00515267">
        <w:rPr>
          <w:rFonts w:ascii="Calibri" w:hAnsi="Calibri" w:cs="Arial"/>
          <w:sz w:val="22"/>
        </w:rPr>
        <w:t xml:space="preserve">, ed. R. </w:t>
      </w:r>
      <w:proofErr w:type="spellStart"/>
      <w:r w:rsidRPr="00515267">
        <w:rPr>
          <w:rFonts w:ascii="Calibri" w:hAnsi="Calibri" w:cs="Arial"/>
          <w:sz w:val="22"/>
        </w:rPr>
        <w:t>Denemark</w:t>
      </w:r>
      <w:proofErr w:type="spellEnd"/>
      <w:r w:rsidRPr="00515267">
        <w:rPr>
          <w:rFonts w:ascii="Calibri" w:hAnsi="Calibri" w:cs="Arial"/>
          <w:sz w:val="22"/>
        </w:rPr>
        <w:t>. London: Wiley-Blackwell.</w:t>
      </w:r>
    </w:p>
    <w:p w14:paraId="0330EAD3" w14:textId="77777777" w:rsidR="00B067AB" w:rsidRDefault="00B067AB" w:rsidP="00B067AB">
      <w:pPr>
        <w:widowControl w:val="0"/>
        <w:autoSpaceDE w:val="0"/>
        <w:autoSpaceDN w:val="0"/>
        <w:adjustRightInd w:val="0"/>
        <w:ind w:left="720" w:right="-720" w:hanging="720"/>
        <w:rPr>
          <w:rFonts w:ascii="Calibri" w:hAnsi="Calibri" w:cs="Arial"/>
          <w:sz w:val="22"/>
        </w:rPr>
      </w:pPr>
    </w:p>
    <w:p w14:paraId="06AD3FD4" w14:textId="77777777" w:rsidR="00B067AB" w:rsidRPr="00200537"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Sjoberg, Laura, and Laura Shepherd. 2011. “Trans Bodies in/of War.” FINISH WHEN OFFICIAL. </w:t>
      </w:r>
    </w:p>
    <w:p w14:paraId="3F764AB6" w14:textId="77777777" w:rsidR="00B067AB" w:rsidRDefault="00B067AB" w:rsidP="00B067AB">
      <w:pPr>
        <w:widowControl w:val="0"/>
        <w:autoSpaceDE w:val="0"/>
        <w:autoSpaceDN w:val="0"/>
        <w:adjustRightInd w:val="0"/>
        <w:ind w:left="720" w:right="-720" w:hanging="720"/>
        <w:rPr>
          <w:rFonts w:ascii="Calibri" w:hAnsi="Calibri" w:cs="Arial"/>
          <w:sz w:val="22"/>
        </w:rPr>
      </w:pPr>
    </w:p>
    <w:p w14:paraId="381CF669"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 xml:space="preserve">Sjoberg, Laura, and Sandra Via, eds. 2010. </w:t>
      </w:r>
      <w:r w:rsidRPr="00515267">
        <w:rPr>
          <w:rFonts w:ascii="Calibri" w:hAnsi="Calibri" w:cs="Arial"/>
          <w:i/>
          <w:iCs/>
          <w:sz w:val="22"/>
        </w:rPr>
        <w:t xml:space="preserve">Gender, War, and Militarism: Feminist Perspectives </w:t>
      </w:r>
      <w:r>
        <w:rPr>
          <w:rFonts w:ascii="Calibri" w:hAnsi="Calibri" w:cs="Arial"/>
          <w:sz w:val="22"/>
        </w:rPr>
        <w:t>Santa Barbara, CA</w:t>
      </w:r>
      <w:r w:rsidRPr="00515267">
        <w:rPr>
          <w:rFonts w:ascii="Calibri" w:hAnsi="Calibri" w:cs="Arial"/>
          <w:sz w:val="22"/>
        </w:rPr>
        <w:t>: Praeger Security International.</w:t>
      </w:r>
    </w:p>
    <w:p w14:paraId="4A25DD94" w14:textId="77777777" w:rsidR="00B067AB" w:rsidRDefault="00B067AB" w:rsidP="00B067AB">
      <w:pPr>
        <w:widowControl w:val="0"/>
        <w:autoSpaceDE w:val="0"/>
        <w:autoSpaceDN w:val="0"/>
        <w:adjustRightInd w:val="0"/>
        <w:ind w:left="720" w:right="-720" w:hanging="720"/>
        <w:rPr>
          <w:rFonts w:ascii="Calibri" w:hAnsi="Calibri" w:cs="Arial"/>
          <w:sz w:val="22"/>
        </w:rPr>
      </w:pPr>
    </w:p>
    <w:p w14:paraId="29B262E4" w14:textId="77777777" w:rsidR="00B067AB"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Tickner, J.</w:t>
      </w:r>
      <w:r>
        <w:rPr>
          <w:rFonts w:ascii="Calibri" w:hAnsi="Calibri" w:cs="Arial"/>
          <w:sz w:val="22"/>
        </w:rPr>
        <w:t xml:space="preserve"> </w:t>
      </w:r>
      <w:r w:rsidRPr="00515267">
        <w:rPr>
          <w:rFonts w:ascii="Calibri" w:hAnsi="Calibri" w:cs="Arial"/>
          <w:sz w:val="22"/>
        </w:rPr>
        <w:t>A</w:t>
      </w:r>
      <w:r>
        <w:rPr>
          <w:rFonts w:ascii="Calibri" w:hAnsi="Calibri" w:cs="Arial"/>
          <w:sz w:val="22"/>
        </w:rPr>
        <w:t>nn</w:t>
      </w:r>
      <w:r w:rsidRPr="00515267">
        <w:rPr>
          <w:rFonts w:ascii="Calibri" w:hAnsi="Calibri" w:cs="Arial"/>
          <w:sz w:val="22"/>
        </w:rPr>
        <w:t xml:space="preserve">., and Laura Sjoberg. 2010. "Feminism." In </w:t>
      </w:r>
      <w:r w:rsidRPr="00515267">
        <w:rPr>
          <w:rFonts w:ascii="Calibri" w:hAnsi="Calibri" w:cs="Arial"/>
          <w:i/>
          <w:iCs/>
          <w:sz w:val="22"/>
        </w:rPr>
        <w:t>International Relations Theories</w:t>
      </w:r>
      <w:r w:rsidRPr="00515267">
        <w:rPr>
          <w:rFonts w:ascii="Calibri" w:hAnsi="Calibri" w:cs="Arial"/>
          <w:sz w:val="22"/>
        </w:rPr>
        <w:t xml:space="preserve">, ed. S. Smith, T. Dunne and M. </w:t>
      </w:r>
      <w:proofErr w:type="spellStart"/>
      <w:r w:rsidRPr="00515267">
        <w:rPr>
          <w:rFonts w:ascii="Calibri" w:hAnsi="Calibri" w:cs="Arial"/>
          <w:sz w:val="22"/>
        </w:rPr>
        <w:t>Kurki</w:t>
      </w:r>
      <w:proofErr w:type="spellEnd"/>
      <w:r w:rsidRPr="00515267">
        <w:rPr>
          <w:rFonts w:ascii="Calibri" w:hAnsi="Calibri" w:cs="Arial"/>
          <w:sz w:val="22"/>
        </w:rPr>
        <w:t>. Oxford: Oxford University Press.</w:t>
      </w:r>
    </w:p>
    <w:p w14:paraId="3B887C6D" w14:textId="77777777" w:rsidR="00B067AB" w:rsidRDefault="00B067AB" w:rsidP="00B067AB">
      <w:pPr>
        <w:widowControl w:val="0"/>
        <w:autoSpaceDE w:val="0"/>
        <w:autoSpaceDN w:val="0"/>
        <w:adjustRightInd w:val="0"/>
        <w:ind w:left="720" w:right="-720" w:hanging="720"/>
        <w:rPr>
          <w:rFonts w:ascii="Calibri" w:hAnsi="Calibri" w:cs="Arial"/>
          <w:sz w:val="22"/>
        </w:rPr>
      </w:pPr>
    </w:p>
    <w:p w14:paraId="7E1A32E4" w14:textId="77777777" w:rsidR="00B067AB" w:rsidRPr="00556C0C"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 eds. 2011. </w:t>
      </w:r>
      <w:r>
        <w:rPr>
          <w:rFonts w:ascii="Calibri" w:hAnsi="Calibri" w:cs="Arial"/>
          <w:i/>
          <w:sz w:val="22"/>
        </w:rPr>
        <w:t>Feminism and International Relations: Conversations about the Past, Present, and Future</w:t>
      </w:r>
      <w:r>
        <w:rPr>
          <w:rFonts w:ascii="Calibri" w:hAnsi="Calibri" w:cs="Arial"/>
          <w:sz w:val="22"/>
        </w:rPr>
        <w:t xml:space="preserve">. London and New York: Routledge. </w:t>
      </w:r>
    </w:p>
    <w:p w14:paraId="4E1F581A" w14:textId="77777777" w:rsidR="00B067AB" w:rsidRDefault="00B067AB" w:rsidP="00B067AB">
      <w:pPr>
        <w:widowControl w:val="0"/>
        <w:autoSpaceDE w:val="0"/>
        <w:autoSpaceDN w:val="0"/>
        <w:adjustRightInd w:val="0"/>
        <w:ind w:left="720" w:right="-720" w:hanging="720"/>
        <w:rPr>
          <w:rFonts w:ascii="Calibri" w:hAnsi="Calibri" w:cs="Arial"/>
          <w:sz w:val="22"/>
        </w:rPr>
      </w:pPr>
    </w:p>
    <w:p w14:paraId="2383C047" w14:textId="77777777" w:rsidR="00B067AB" w:rsidRPr="00404FED" w:rsidRDefault="00B067AB" w:rsidP="00B067AB">
      <w:pPr>
        <w:widowControl w:val="0"/>
        <w:autoSpaceDE w:val="0"/>
        <w:autoSpaceDN w:val="0"/>
        <w:adjustRightInd w:val="0"/>
        <w:ind w:left="720" w:right="-720" w:hanging="720"/>
        <w:rPr>
          <w:rFonts w:ascii="Calibri" w:hAnsi="Calibri" w:cs="Arial"/>
          <w:sz w:val="22"/>
        </w:rPr>
      </w:pPr>
      <w:r>
        <w:rPr>
          <w:rFonts w:ascii="Calibri" w:hAnsi="Calibri" w:cs="Arial"/>
          <w:sz w:val="22"/>
        </w:rPr>
        <w:t xml:space="preserve">Waltz, Kenneth. 1979. </w:t>
      </w:r>
      <w:r>
        <w:rPr>
          <w:rFonts w:ascii="Calibri" w:hAnsi="Calibri" w:cs="Arial"/>
          <w:i/>
          <w:sz w:val="22"/>
        </w:rPr>
        <w:t>Man, the State, and War</w:t>
      </w:r>
      <w:r>
        <w:rPr>
          <w:rFonts w:ascii="Calibri" w:hAnsi="Calibri" w:cs="Arial"/>
          <w:sz w:val="22"/>
        </w:rPr>
        <w:t xml:space="preserve">. New York: Columbia </w:t>
      </w:r>
      <w:proofErr w:type="spellStart"/>
      <w:r>
        <w:rPr>
          <w:rFonts w:ascii="Calibri" w:hAnsi="Calibri" w:cs="Arial"/>
          <w:sz w:val="22"/>
        </w:rPr>
        <w:t>Univerrsity</w:t>
      </w:r>
      <w:proofErr w:type="spellEnd"/>
      <w:r>
        <w:rPr>
          <w:rFonts w:ascii="Calibri" w:hAnsi="Calibri" w:cs="Arial"/>
          <w:sz w:val="22"/>
        </w:rPr>
        <w:t xml:space="preserve"> Press.</w:t>
      </w:r>
    </w:p>
    <w:p w14:paraId="10742DAD" w14:textId="77777777" w:rsidR="00B067AB" w:rsidRDefault="00B067AB" w:rsidP="00B067AB">
      <w:pPr>
        <w:widowControl w:val="0"/>
        <w:autoSpaceDE w:val="0"/>
        <w:autoSpaceDN w:val="0"/>
        <w:adjustRightInd w:val="0"/>
        <w:ind w:left="720" w:right="-720" w:hanging="720"/>
        <w:rPr>
          <w:rFonts w:ascii="Calibri" w:hAnsi="Calibri" w:cs="Arial"/>
          <w:sz w:val="22"/>
        </w:rPr>
      </w:pPr>
    </w:p>
    <w:p w14:paraId="5408FD12" w14:textId="77777777" w:rsidR="00B067AB" w:rsidRPr="00515267" w:rsidRDefault="00B067AB" w:rsidP="00B067AB">
      <w:pPr>
        <w:widowControl w:val="0"/>
        <w:autoSpaceDE w:val="0"/>
        <w:autoSpaceDN w:val="0"/>
        <w:adjustRightInd w:val="0"/>
        <w:ind w:left="720" w:right="-720" w:hanging="720"/>
        <w:rPr>
          <w:rFonts w:ascii="Calibri" w:hAnsi="Calibri" w:cs="Arial"/>
          <w:sz w:val="22"/>
        </w:rPr>
      </w:pPr>
      <w:r w:rsidRPr="00515267">
        <w:rPr>
          <w:rFonts w:ascii="Calibri" w:hAnsi="Calibri" w:cs="Arial"/>
          <w:sz w:val="22"/>
        </w:rPr>
        <w:t xml:space="preserve">White, Stephen. 2000. </w:t>
      </w:r>
      <w:r w:rsidRPr="00515267">
        <w:rPr>
          <w:rFonts w:ascii="Calibri" w:hAnsi="Calibri" w:cs="Arial"/>
          <w:i/>
          <w:iCs/>
          <w:sz w:val="22"/>
        </w:rPr>
        <w:t xml:space="preserve">Sustaining Affirmation: </w:t>
      </w:r>
      <w:proofErr w:type="gramStart"/>
      <w:r w:rsidRPr="00515267">
        <w:rPr>
          <w:rFonts w:ascii="Calibri" w:hAnsi="Calibri" w:cs="Arial"/>
          <w:i/>
          <w:iCs/>
          <w:sz w:val="22"/>
        </w:rPr>
        <w:t>the</w:t>
      </w:r>
      <w:proofErr w:type="gramEnd"/>
      <w:r w:rsidRPr="00515267">
        <w:rPr>
          <w:rFonts w:ascii="Calibri" w:hAnsi="Calibri" w:cs="Arial"/>
          <w:i/>
          <w:iCs/>
          <w:sz w:val="22"/>
        </w:rPr>
        <w:t xml:space="preserve"> Strengths of Weak Ontology in Political Theory </w:t>
      </w:r>
      <w:r w:rsidRPr="00515267">
        <w:rPr>
          <w:rFonts w:ascii="Calibri" w:hAnsi="Calibri" w:cs="Arial"/>
          <w:sz w:val="22"/>
        </w:rPr>
        <w:t>Princeton: Princeton University Press.</w:t>
      </w:r>
    </w:p>
    <w:p w14:paraId="5676CB86" w14:textId="77777777" w:rsidR="0011550B" w:rsidRDefault="0011550B">
      <w:bookmarkStart w:id="0" w:name="_GoBack"/>
      <w:bookmarkEnd w:id="0"/>
    </w:p>
    <w:sectPr w:rsidR="0011550B" w:rsidSect="0031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B"/>
    <w:rsid w:val="0011550B"/>
    <w:rsid w:val="00316EB5"/>
    <w:rsid w:val="00B0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86E83"/>
  <w15:chartTrackingRefBased/>
  <w15:docId w15:val="{F5AB3434-5D7A-8645-86E6-BBD01DC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A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 Laura</dc:creator>
  <cp:keywords/>
  <dc:description/>
  <cp:lastModifiedBy>Sjoberg, Laura</cp:lastModifiedBy>
  <cp:revision>1</cp:revision>
  <dcterms:created xsi:type="dcterms:W3CDTF">2020-01-28T14:14:00Z</dcterms:created>
  <dcterms:modified xsi:type="dcterms:W3CDTF">2020-01-28T14:15:00Z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2020-01-28T14:14:19Z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9901c04d-7d25-4450-be8e-0000558ac7dd</vt:lpwstr>
  </property>
  <property fmtid="{D5CDD505-2E9C-101B-9397-08002B2CF9AE}" pid="8" name="MSIP_Label_c4496a64-e0e3-4038-91bc-493f618853ad_ContentBits">
    <vt:lpwstr>0</vt:lpwstr>
  </property>
</Properties>
</file>