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2481" w14:textId="77777777" w:rsidR="004C328D" w:rsidRDefault="004C328D" w:rsidP="004C328D">
      <w:pPr>
        <w:spacing w:line="480" w:lineRule="auto"/>
        <w:rPr>
          <w:rFonts w:ascii="Times New Roman" w:hAnsi="Times New Roman"/>
          <w:b/>
          <w:sz w:val="24"/>
          <w:szCs w:val="24"/>
        </w:rPr>
      </w:pPr>
      <w:r w:rsidRPr="00FF1608">
        <w:rPr>
          <w:rFonts w:ascii="Times New Roman" w:hAnsi="Times New Roman"/>
          <w:b/>
          <w:sz w:val="24"/>
          <w:szCs w:val="24"/>
        </w:rPr>
        <w:t>War/Rape/Porn</w:t>
      </w:r>
    </w:p>
    <w:p w14:paraId="3DB71658" w14:textId="77777777" w:rsidR="004C328D" w:rsidRPr="00FF1608" w:rsidRDefault="004C328D" w:rsidP="004C328D">
      <w:pPr>
        <w:spacing w:line="480" w:lineRule="auto"/>
        <w:rPr>
          <w:rFonts w:ascii="Times New Roman" w:hAnsi="Times New Roman"/>
          <w:b/>
          <w:sz w:val="24"/>
          <w:szCs w:val="24"/>
        </w:rPr>
      </w:pPr>
    </w:p>
    <w:p w14:paraId="33E111A0" w14:textId="77777777" w:rsidR="004C328D" w:rsidRPr="00FF1608" w:rsidRDefault="004C328D" w:rsidP="004C328D">
      <w:pPr>
        <w:spacing w:line="480" w:lineRule="auto"/>
        <w:rPr>
          <w:rFonts w:ascii="Times New Roman" w:hAnsi="Times New Roman"/>
          <w:b/>
          <w:sz w:val="24"/>
          <w:szCs w:val="24"/>
        </w:rPr>
      </w:pPr>
      <w:r w:rsidRPr="00FF1608">
        <w:rPr>
          <w:rFonts w:ascii="Times New Roman" w:hAnsi="Times New Roman"/>
          <w:b/>
          <w:sz w:val="24"/>
          <w:szCs w:val="24"/>
        </w:rPr>
        <w:t>Laura Sjoberg</w:t>
      </w:r>
    </w:p>
    <w:p w14:paraId="5C6DF0EE" w14:textId="77777777" w:rsidR="004C328D" w:rsidRPr="00FF1608" w:rsidRDefault="004C328D" w:rsidP="004C328D">
      <w:pPr>
        <w:spacing w:line="480" w:lineRule="auto"/>
        <w:ind w:left="720"/>
        <w:rPr>
          <w:rFonts w:ascii="Times New Roman" w:hAnsi="Times New Roman"/>
          <w:sz w:val="24"/>
          <w:szCs w:val="24"/>
        </w:rPr>
      </w:pPr>
      <w:r w:rsidRPr="00FF1608">
        <w:rPr>
          <w:rFonts w:ascii="Times New Roman" w:hAnsi="Times New Roman"/>
          <w:sz w:val="24"/>
          <w:szCs w:val="24"/>
        </w:rPr>
        <w:t>[Woman’s name] penetrated [pregnant woman’s name], first with her fingers, then with a stick. She whipped her naked body, leaving small lashes as [pregnant woman’s name] moaned and protested. Then [woman’s name] shoved a machete up the vagina of [pregnant woman’s name], instantly killing the fetus and leaving the mother to bleed to death.</w:t>
      </w:r>
    </w:p>
    <w:p w14:paraId="00C0B115" w14:textId="77777777" w:rsidR="004C328D" w:rsidRPr="00FF1608" w:rsidRDefault="004C328D" w:rsidP="004C328D">
      <w:pPr>
        <w:spacing w:line="480" w:lineRule="auto"/>
        <w:jc w:val="right"/>
        <w:rPr>
          <w:rFonts w:ascii="Times New Roman" w:hAnsi="Times New Roman"/>
          <w:sz w:val="24"/>
          <w:szCs w:val="24"/>
        </w:rPr>
      </w:pPr>
      <w:r w:rsidRPr="00FF1608">
        <w:rPr>
          <w:rFonts w:ascii="Times New Roman" w:hAnsi="Times New Roman"/>
          <w:sz w:val="24"/>
          <w:szCs w:val="24"/>
        </w:rPr>
        <w:t xml:space="preserve">(African Rights 1995) </w:t>
      </w:r>
    </w:p>
    <w:p w14:paraId="7B562534"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I was reading this account of a woman’s perpetration of conflict sexual violence against another woman, considering including the passage in my forthcoming book, </w:t>
      </w:r>
      <w:r w:rsidRPr="00FF1608">
        <w:rPr>
          <w:rFonts w:ascii="Times New Roman" w:hAnsi="Times New Roman"/>
          <w:i/>
          <w:sz w:val="24"/>
          <w:szCs w:val="24"/>
        </w:rPr>
        <w:t>Rape Among Women</w:t>
      </w:r>
      <w:r w:rsidRPr="00FF1608">
        <w:rPr>
          <w:rFonts w:ascii="Times New Roman" w:hAnsi="Times New Roman"/>
          <w:sz w:val="24"/>
          <w:szCs w:val="24"/>
        </w:rPr>
        <w:t xml:space="preserve">, on a </w:t>
      </w:r>
      <w:proofErr w:type="gramStart"/>
      <w:r w:rsidRPr="00FF1608">
        <w:rPr>
          <w:rFonts w:ascii="Times New Roman" w:hAnsi="Times New Roman"/>
          <w:sz w:val="24"/>
          <w:szCs w:val="24"/>
        </w:rPr>
        <w:t>long haul</w:t>
      </w:r>
      <w:proofErr w:type="gramEnd"/>
      <w:r w:rsidRPr="00FF1608">
        <w:rPr>
          <w:rFonts w:ascii="Times New Roman" w:hAnsi="Times New Roman"/>
          <w:sz w:val="24"/>
          <w:szCs w:val="24"/>
        </w:rPr>
        <w:t xml:space="preserve"> flight across the Atlantic. As I thought about the passage, I noticed the man next to me reading over my shoulder. Since this happens fairly frequently, I went about my business.</w:t>
      </w:r>
    </w:p>
    <w:p w14:paraId="32DE2D09" w14:textId="77777777" w:rsidR="004C328D" w:rsidRPr="00FF1608" w:rsidRDefault="004C328D" w:rsidP="004C328D">
      <w:pPr>
        <w:spacing w:line="480" w:lineRule="auto"/>
        <w:ind w:left="720"/>
        <w:rPr>
          <w:rFonts w:ascii="Times New Roman" w:hAnsi="Times New Roman"/>
          <w:sz w:val="24"/>
          <w:szCs w:val="24"/>
        </w:rPr>
      </w:pPr>
      <w:r w:rsidRPr="00FF1608">
        <w:rPr>
          <w:rFonts w:ascii="Times New Roman" w:hAnsi="Times New Roman"/>
          <w:sz w:val="24"/>
          <w:szCs w:val="24"/>
        </w:rPr>
        <w:t>[Woman’s name] commanded [man’s name] to rape [second woman’s name] in front of her husband, and then to let as many soldiers as he could find fuck her in front of her husband while he begged for both of their lives.</w:t>
      </w:r>
    </w:p>
    <w:p w14:paraId="10727BED" w14:textId="77777777" w:rsidR="004C328D" w:rsidRPr="00FF1608" w:rsidRDefault="004C328D" w:rsidP="004C328D">
      <w:pPr>
        <w:spacing w:line="480" w:lineRule="auto"/>
        <w:ind w:left="720"/>
        <w:jc w:val="right"/>
        <w:rPr>
          <w:rFonts w:ascii="Times New Roman" w:hAnsi="Times New Roman"/>
          <w:sz w:val="24"/>
          <w:szCs w:val="24"/>
        </w:rPr>
      </w:pPr>
      <w:r w:rsidRPr="00FF1608">
        <w:rPr>
          <w:rFonts w:ascii="Times New Roman" w:hAnsi="Times New Roman"/>
          <w:sz w:val="24"/>
          <w:szCs w:val="24"/>
        </w:rPr>
        <w:t>(African Rights 1995)</w:t>
      </w:r>
    </w:p>
    <w:p w14:paraId="1308FBC8"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Then I noticed it. The man next to me, still reading over my shoulder, was visibly aroused, and appeared to be touching himself as he adjusted his blanket to try to hide it. He noticed I noticed, excused himself, and returned about ten minutes later. He </w:t>
      </w:r>
      <w:r w:rsidRPr="00FF1608">
        <w:rPr>
          <w:rFonts w:ascii="Times New Roman" w:hAnsi="Times New Roman"/>
          <w:i/>
          <w:sz w:val="24"/>
          <w:szCs w:val="24"/>
        </w:rPr>
        <w:t>got off on</w:t>
      </w:r>
      <w:r w:rsidRPr="00FF1608">
        <w:rPr>
          <w:rFonts w:ascii="Times New Roman" w:hAnsi="Times New Roman"/>
          <w:sz w:val="24"/>
          <w:szCs w:val="24"/>
        </w:rPr>
        <w:t xml:space="preserve"> the horrors of conflict sexual violence. </w:t>
      </w:r>
    </w:p>
    <w:p w14:paraId="5AAFE279"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lastRenderedPageBreak/>
        <w:t xml:space="preserve">That is actually crazy. Conflict sexual violence is one of the most brutal forms of </w:t>
      </w:r>
      <w:r w:rsidRPr="00FF1608">
        <w:rPr>
          <w:rFonts w:ascii="Times New Roman" w:hAnsi="Times New Roman"/>
          <w:i/>
          <w:sz w:val="24"/>
          <w:szCs w:val="24"/>
        </w:rPr>
        <w:t xml:space="preserve">both </w:t>
      </w:r>
      <w:r w:rsidRPr="00FF1608">
        <w:rPr>
          <w:rFonts w:ascii="Times New Roman" w:hAnsi="Times New Roman"/>
          <w:sz w:val="24"/>
          <w:szCs w:val="24"/>
        </w:rPr>
        <w:t xml:space="preserve">conflict violence and gender repression. And the man next to me found it </w:t>
      </w:r>
      <w:r w:rsidRPr="00FF1608">
        <w:rPr>
          <w:rFonts w:ascii="Times New Roman" w:hAnsi="Times New Roman"/>
          <w:i/>
          <w:sz w:val="24"/>
          <w:szCs w:val="24"/>
        </w:rPr>
        <w:t xml:space="preserve">desirable and sexy. </w:t>
      </w:r>
      <w:r w:rsidRPr="00FF1608">
        <w:rPr>
          <w:rFonts w:ascii="Times New Roman" w:hAnsi="Times New Roman"/>
          <w:sz w:val="24"/>
          <w:szCs w:val="24"/>
        </w:rPr>
        <w:t xml:space="preserve">I can think of very few things I would find more grotesque. </w:t>
      </w:r>
    </w:p>
    <w:p w14:paraId="28902C5A"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That grotesque, though, is everyday. There is an industry in rape porn (e.g., Boeringer 1994), and in war porn – both literally (e.g., Shawver 1995; Healey 2010) and in terms of the glorification of militarization, brutality, and killing (e.g., Baudrillard 2004). The man next to be being (quietly) aroused by what he read to be war rape porn is a strikingly </w:t>
      </w:r>
      <w:r w:rsidRPr="00FF1608">
        <w:rPr>
          <w:rFonts w:ascii="Times New Roman" w:hAnsi="Times New Roman"/>
          <w:i/>
          <w:sz w:val="24"/>
          <w:szCs w:val="24"/>
        </w:rPr>
        <w:t>normal</w:t>
      </w:r>
      <w:r w:rsidRPr="00FF1608">
        <w:rPr>
          <w:rFonts w:ascii="Times New Roman" w:hAnsi="Times New Roman"/>
          <w:sz w:val="24"/>
          <w:szCs w:val="24"/>
        </w:rPr>
        <w:t xml:space="preserve"> undertone, and an expected result of the sexualization of war and the violence of sexualization in (American) militarized culture (e.g., Schott 1996; Sjoberg and Gentry 2008). </w:t>
      </w:r>
    </w:p>
    <w:p w14:paraId="3E023DDB"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The war rape porn </w:t>
      </w:r>
      <w:r w:rsidRPr="00FF1608">
        <w:rPr>
          <w:rFonts w:ascii="Times New Roman" w:hAnsi="Times New Roman"/>
          <w:i/>
          <w:sz w:val="24"/>
          <w:szCs w:val="24"/>
        </w:rPr>
        <w:t xml:space="preserve">undertone </w:t>
      </w:r>
      <w:proofErr w:type="gramStart"/>
      <w:r w:rsidRPr="00FF1608">
        <w:rPr>
          <w:rFonts w:ascii="Times New Roman" w:hAnsi="Times New Roman"/>
          <w:sz w:val="24"/>
          <w:szCs w:val="24"/>
        </w:rPr>
        <w:t>In</w:t>
      </w:r>
      <w:proofErr w:type="gramEnd"/>
      <w:r w:rsidRPr="00FF1608">
        <w:rPr>
          <w:rFonts w:ascii="Times New Roman" w:hAnsi="Times New Roman"/>
          <w:sz w:val="24"/>
          <w:szCs w:val="24"/>
        </w:rPr>
        <w:t xml:space="preserve"> my unpleasant airplane encounter is invisible in public discourses of war, sex, and sexual violence. But what if I could have recorded it, and broadcast it? What if people who are either aroused by or insensitive to conflict sexual violence had to see, to watch, to gaze on the awful reality of the fetishization of abuse? If I could </w:t>
      </w:r>
      <w:r w:rsidRPr="00FF1608">
        <w:rPr>
          <w:rFonts w:ascii="Times New Roman" w:hAnsi="Times New Roman"/>
          <w:i/>
          <w:sz w:val="24"/>
          <w:szCs w:val="24"/>
        </w:rPr>
        <w:t xml:space="preserve">show </w:t>
      </w:r>
      <w:r w:rsidRPr="00FF1608">
        <w:rPr>
          <w:rFonts w:ascii="Times New Roman" w:hAnsi="Times New Roman"/>
          <w:sz w:val="24"/>
          <w:szCs w:val="24"/>
        </w:rPr>
        <w:t xml:space="preserve">people the grotesque nature of getting off on abuse, gender subordination, humiliation, and killing? </w:t>
      </w:r>
    </w:p>
    <w:p w14:paraId="770BC722"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It was </w:t>
      </w:r>
      <w:r w:rsidRPr="00FF1608">
        <w:rPr>
          <w:rFonts w:ascii="Times New Roman" w:hAnsi="Times New Roman"/>
          <w:i/>
          <w:sz w:val="24"/>
          <w:szCs w:val="24"/>
        </w:rPr>
        <w:t xml:space="preserve">performing </w:t>
      </w:r>
      <w:r w:rsidRPr="00FF1608">
        <w:rPr>
          <w:rFonts w:ascii="Times New Roman" w:hAnsi="Times New Roman"/>
          <w:sz w:val="24"/>
          <w:szCs w:val="24"/>
        </w:rPr>
        <w:t xml:space="preserve">the fetish of conflict sexual violence that I thought of when I read Jack Halberstam’s (2011) suggestion that Gaga feminism uses the speculative as a way back into confrontational realness. It is the very silence around the existence and even quiet enjoyment of conflict sexual violence that is a constitutive condition of its possibility – the idea that </w:t>
      </w:r>
      <w:r w:rsidRPr="00FF1608">
        <w:rPr>
          <w:rFonts w:ascii="Times New Roman" w:hAnsi="Times New Roman"/>
          <w:i/>
          <w:sz w:val="24"/>
          <w:szCs w:val="24"/>
        </w:rPr>
        <w:t xml:space="preserve">rape is hot </w:t>
      </w:r>
      <w:r w:rsidRPr="00FF1608">
        <w:rPr>
          <w:rFonts w:ascii="Times New Roman" w:hAnsi="Times New Roman"/>
          <w:sz w:val="24"/>
          <w:szCs w:val="24"/>
        </w:rPr>
        <w:t xml:space="preserve">is complicit in the commission of conflict sexual violence (Ravenstone 2005; Strassberg and Locker 1998). </w:t>
      </w:r>
    </w:p>
    <w:p w14:paraId="19E3559F"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Google “war rape.” Imagine masturbating to those pictures. Imagine finding the abuse of those women so sexy that you could not help yourself. </w:t>
      </w:r>
    </w:p>
    <w:p w14:paraId="41586863"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lastRenderedPageBreak/>
        <w:t xml:space="preserve">That image is, in Halberstam’s terms – an engagement of ‘performance of excess” which can be characterized as “crazy; unreadable’ (2011: 74). It is meant to inspire discomfort through confrontational realness – on the one hand, it is unimaginable; on the other hand, it is tangibly possible and even desirable. It is both impossible and present in the consideration of its impossibility. </w:t>
      </w:r>
    </w:p>
    <w:p w14:paraId="77A97D92"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Halberstam’s Gaga feminism suggests that the new feminist should ‘be a fly in the ointment, a wrench in the machinery, an obstacle to the smooth, the seamless, and the quiet extension of the status quo’ (2011: 142). Reading that, I wondered what it would mean to be a fly in the ointment </w:t>
      </w:r>
      <w:r w:rsidRPr="00FF1608">
        <w:rPr>
          <w:rFonts w:ascii="Times New Roman" w:hAnsi="Times New Roman"/>
          <w:i/>
          <w:sz w:val="24"/>
          <w:szCs w:val="24"/>
        </w:rPr>
        <w:t>of war</w:t>
      </w:r>
      <w:r w:rsidRPr="00FF1608">
        <w:rPr>
          <w:rFonts w:ascii="Times New Roman" w:hAnsi="Times New Roman"/>
          <w:sz w:val="24"/>
          <w:szCs w:val="24"/>
        </w:rPr>
        <w:t xml:space="preserve">; to be a wrench in the machinery </w:t>
      </w:r>
      <w:r w:rsidRPr="00FF1608">
        <w:rPr>
          <w:rFonts w:ascii="Times New Roman" w:hAnsi="Times New Roman"/>
          <w:i/>
          <w:sz w:val="24"/>
          <w:szCs w:val="24"/>
        </w:rPr>
        <w:t>of rape culture</w:t>
      </w:r>
      <w:r w:rsidRPr="00FF1608">
        <w:rPr>
          <w:rFonts w:ascii="Times New Roman" w:hAnsi="Times New Roman"/>
          <w:sz w:val="24"/>
          <w:szCs w:val="24"/>
        </w:rPr>
        <w:t xml:space="preserve">; and to be an obstacle to the smooth, the seamless, and the quiet extension of the status quo </w:t>
      </w:r>
      <w:r w:rsidRPr="00FF1608">
        <w:rPr>
          <w:rFonts w:ascii="Times New Roman" w:hAnsi="Times New Roman"/>
          <w:i/>
          <w:sz w:val="24"/>
          <w:szCs w:val="24"/>
        </w:rPr>
        <w:t xml:space="preserve">normalization of militarization. </w:t>
      </w:r>
      <w:r w:rsidRPr="00FF1608">
        <w:rPr>
          <w:rFonts w:ascii="Times New Roman" w:hAnsi="Times New Roman"/>
          <w:sz w:val="24"/>
          <w:szCs w:val="24"/>
        </w:rPr>
        <w:t xml:space="preserve">Talking about traditional gender orders, Halberstam (2011) suggests that ‘it is not that other ways of being do not exist, it is that we lack the imagination to see and comprehend them’. I thought something similar of militarism – that it is not that the deconstruction of militarism is impossible, it is that we lack the imagination to see, comprehend, and reach for them – especially with the limitations of traditional (gendered) political discourses about war and militarism (see, e.g., Young 2003; Sjoberg 2013). </w:t>
      </w:r>
    </w:p>
    <w:p w14:paraId="3C43418D"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The shock of thinking about conflict sexual violence </w:t>
      </w:r>
      <w:r w:rsidRPr="00FF1608">
        <w:rPr>
          <w:rFonts w:ascii="Times New Roman" w:hAnsi="Times New Roman"/>
          <w:i/>
          <w:sz w:val="24"/>
          <w:szCs w:val="24"/>
        </w:rPr>
        <w:t xml:space="preserve">as erotic </w:t>
      </w:r>
      <w:r w:rsidRPr="00FF1608">
        <w:rPr>
          <w:rFonts w:ascii="Times New Roman" w:hAnsi="Times New Roman"/>
          <w:sz w:val="24"/>
          <w:szCs w:val="24"/>
        </w:rPr>
        <w:t xml:space="preserve">next to thinking of conflict sexual violence </w:t>
      </w:r>
      <w:r w:rsidRPr="00FF1608">
        <w:rPr>
          <w:rFonts w:ascii="Times New Roman" w:hAnsi="Times New Roman"/>
          <w:i/>
          <w:sz w:val="24"/>
          <w:szCs w:val="24"/>
        </w:rPr>
        <w:t xml:space="preserve">as disgusting </w:t>
      </w:r>
      <w:r w:rsidRPr="00FF1608">
        <w:rPr>
          <w:rFonts w:ascii="Times New Roman" w:hAnsi="Times New Roman"/>
          <w:sz w:val="24"/>
          <w:szCs w:val="24"/>
        </w:rPr>
        <w:t xml:space="preserve">is meant to interrupt the normalcy of war, of rape culture, and of the war/rape culture in militarization (e.g., Enloe 2000; Baaz and Stern 2009). The glorification/sexualization of conflict/sex/violence, whether in the encounter I had on the airplane, in internet porn, in video games, or among soldiers actually fighting in a war is at once the everyday and the unimaginable, when it should only be the unimaginable. It will, however, as Halberstam suggests, be the everyday until our capacity for imagination make it visible, and </w:t>
      </w:r>
      <w:r w:rsidRPr="00FF1608">
        <w:rPr>
          <w:rFonts w:ascii="Times New Roman" w:hAnsi="Times New Roman"/>
          <w:sz w:val="24"/>
          <w:szCs w:val="24"/>
        </w:rPr>
        <w:lastRenderedPageBreak/>
        <w:t xml:space="preserve">therefore available for confrontation, access, reinterpretation, and deconstruction. The sexualization of conflict/conflict sexual violence/sexual violence is ever-present – the </w:t>
      </w:r>
      <w:r w:rsidRPr="00FF1608">
        <w:rPr>
          <w:rFonts w:ascii="Times New Roman" w:hAnsi="Times New Roman"/>
          <w:i/>
          <w:sz w:val="24"/>
          <w:szCs w:val="24"/>
        </w:rPr>
        <w:t xml:space="preserve">discussion, showing, and outing </w:t>
      </w:r>
      <w:r w:rsidRPr="00FF1608">
        <w:rPr>
          <w:rFonts w:ascii="Times New Roman" w:hAnsi="Times New Roman"/>
          <w:sz w:val="24"/>
          <w:szCs w:val="24"/>
        </w:rPr>
        <w:t xml:space="preserve">of that eroticism may seem, as Halberstam (2011) suggests, to be ‘naïve nonsense’, but it instead (like other Gaga excesses) “actually participates in big and meaningful forms of critique.”  </w:t>
      </w:r>
    </w:p>
    <w:p w14:paraId="7B368D45"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The critique here is the exposure of the normal </w:t>
      </w:r>
      <w:r w:rsidRPr="00FF1608">
        <w:rPr>
          <w:rFonts w:ascii="Times New Roman" w:hAnsi="Times New Roman"/>
          <w:i/>
          <w:sz w:val="24"/>
          <w:szCs w:val="24"/>
        </w:rPr>
        <w:t xml:space="preserve">as grotesque </w:t>
      </w:r>
      <w:r w:rsidRPr="00FF1608">
        <w:rPr>
          <w:rFonts w:ascii="Times New Roman" w:hAnsi="Times New Roman"/>
          <w:sz w:val="24"/>
          <w:szCs w:val="24"/>
        </w:rPr>
        <w:t xml:space="preserve">and the grotesque (war/rape) </w:t>
      </w:r>
      <w:r w:rsidRPr="00FF1608">
        <w:rPr>
          <w:rFonts w:ascii="Times New Roman" w:hAnsi="Times New Roman"/>
          <w:i/>
          <w:sz w:val="24"/>
          <w:szCs w:val="24"/>
        </w:rPr>
        <w:t>as normal</w:t>
      </w:r>
      <w:r w:rsidRPr="00FF1608">
        <w:rPr>
          <w:rFonts w:ascii="Times New Roman" w:hAnsi="Times New Roman"/>
          <w:sz w:val="24"/>
          <w:szCs w:val="24"/>
        </w:rPr>
        <w:t xml:space="preserve">, where ‘our understanding of the normal gets manufactured, repurposed, recirculated, and then leveraged for the purposes of control’ (Halberstam 2011). Discussing norms of heterosexuality, Halberstam (2011) suggests that ‘compulsory heterosexuality is a system that makes it seem as if heterosexuality, with all of its imperfections and flaws and glitches, is the only game in town’. </w:t>
      </w:r>
    </w:p>
    <w:p w14:paraId="76D6821B"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Going ‘gaga’ in analyzing war suggests that compulsory </w:t>
      </w:r>
      <w:r w:rsidRPr="00FF1608">
        <w:rPr>
          <w:rFonts w:ascii="Times New Roman" w:hAnsi="Times New Roman"/>
          <w:i/>
          <w:sz w:val="24"/>
          <w:szCs w:val="24"/>
        </w:rPr>
        <w:t>militarism</w:t>
      </w:r>
      <w:r w:rsidRPr="00FF1608">
        <w:rPr>
          <w:rFonts w:ascii="Times New Roman" w:hAnsi="Times New Roman"/>
          <w:sz w:val="24"/>
          <w:szCs w:val="24"/>
        </w:rPr>
        <w:t xml:space="preserve"> is a system that makes it seem as if </w:t>
      </w:r>
      <w:r w:rsidRPr="00FF1608">
        <w:rPr>
          <w:rFonts w:ascii="Times New Roman" w:hAnsi="Times New Roman"/>
          <w:i/>
          <w:sz w:val="24"/>
          <w:szCs w:val="24"/>
        </w:rPr>
        <w:t>militarism</w:t>
      </w:r>
      <w:r w:rsidRPr="00FF1608">
        <w:rPr>
          <w:rFonts w:ascii="Times New Roman" w:hAnsi="Times New Roman"/>
          <w:sz w:val="24"/>
          <w:szCs w:val="24"/>
        </w:rPr>
        <w:t xml:space="preserve">, with all its imperfections and flaws and glitches, is the only game in town.  The </w:t>
      </w:r>
      <w:r w:rsidRPr="00FF1608">
        <w:rPr>
          <w:rFonts w:ascii="Times New Roman" w:hAnsi="Times New Roman"/>
          <w:i/>
          <w:sz w:val="24"/>
          <w:szCs w:val="24"/>
        </w:rPr>
        <w:t xml:space="preserve">normalization </w:t>
      </w:r>
      <w:r w:rsidRPr="00FF1608">
        <w:rPr>
          <w:rFonts w:ascii="Times New Roman" w:hAnsi="Times New Roman"/>
          <w:sz w:val="24"/>
          <w:szCs w:val="24"/>
        </w:rPr>
        <w:t xml:space="preserve">of militarization is manufactured, repurposed, recirculated, and leveraged to replicate and reify war/rape/porn, while making its normalization invisible. </w:t>
      </w:r>
    </w:p>
    <w:p w14:paraId="1E4A3155" w14:textId="77777777" w:rsidR="004C328D"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“Going gaga” about war – by revealing the war/rape/porn nexus or otherwise – uses shock and speculation as a way into confrontational realness about the horrors of war. In so doing, I contend that it could provide a way into inciting war theorizing from a hallucinatory intellectual position – one of excess, masquerade, and promiscuous borrowing. Such an approach has the potential to expose both war and </w:t>
      </w:r>
      <w:proofErr w:type="gramStart"/>
      <w:r w:rsidRPr="00FF1608">
        <w:rPr>
          <w:rFonts w:ascii="Times New Roman" w:hAnsi="Times New Roman"/>
          <w:sz w:val="24"/>
          <w:szCs w:val="24"/>
        </w:rPr>
        <w:t>itself</w:t>
      </w:r>
      <w:proofErr w:type="gramEnd"/>
      <w:r w:rsidRPr="00FF1608">
        <w:rPr>
          <w:rFonts w:ascii="Times New Roman" w:hAnsi="Times New Roman"/>
          <w:sz w:val="24"/>
          <w:szCs w:val="24"/>
        </w:rPr>
        <w:t xml:space="preserve"> – a rawness that might break the cycle of normalization of the grotesque </w:t>
      </w:r>
      <w:r w:rsidRPr="00FF1608">
        <w:rPr>
          <w:rFonts w:ascii="Times New Roman" w:hAnsi="Times New Roman"/>
          <w:i/>
          <w:sz w:val="24"/>
          <w:szCs w:val="24"/>
        </w:rPr>
        <w:t xml:space="preserve">by recognizing the grotesque in self. </w:t>
      </w:r>
      <w:r w:rsidRPr="00FF1608">
        <w:rPr>
          <w:rFonts w:ascii="Times New Roman" w:hAnsi="Times New Roman"/>
          <w:sz w:val="24"/>
          <w:szCs w:val="24"/>
        </w:rPr>
        <w:t xml:space="preserve"> In this way, “going gaga” about war has the </w:t>
      </w:r>
      <w:r w:rsidRPr="00FF1608">
        <w:rPr>
          <w:rFonts w:ascii="Times New Roman" w:hAnsi="Times New Roman"/>
          <w:sz w:val="24"/>
          <w:szCs w:val="24"/>
        </w:rPr>
        <w:lastRenderedPageBreak/>
        <w:t xml:space="preserve">possibility to ‘make big moves, bold moves, aggressive moves’ and to ‘do damage’ to inherited notions and enduring conceptions of war/rape/porn (Halberstam 2011). </w:t>
      </w:r>
    </w:p>
    <w:p w14:paraId="1F535688" w14:textId="77777777" w:rsidR="004C328D" w:rsidRPr="00FF1608" w:rsidRDefault="004C328D" w:rsidP="004C328D">
      <w:pPr>
        <w:spacing w:line="480" w:lineRule="auto"/>
        <w:rPr>
          <w:rFonts w:ascii="Times New Roman" w:hAnsi="Times New Roman"/>
          <w:sz w:val="24"/>
          <w:szCs w:val="24"/>
        </w:rPr>
      </w:pPr>
    </w:p>
    <w:p w14:paraId="5B2B7247" w14:textId="77777777" w:rsidR="004C328D" w:rsidRPr="00FF1608" w:rsidRDefault="004C328D" w:rsidP="004C328D">
      <w:pPr>
        <w:spacing w:line="480" w:lineRule="auto"/>
        <w:rPr>
          <w:rFonts w:ascii="Times New Roman" w:hAnsi="Times New Roman"/>
          <w:b/>
          <w:sz w:val="24"/>
          <w:szCs w:val="24"/>
        </w:rPr>
      </w:pPr>
      <w:r>
        <w:rPr>
          <w:rFonts w:ascii="Times New Roman" w:hAnsi="Times New Roman"/>
          <w:b/>
          <w:sz w:val="24"/>
          <w:szCs w:val="24"/>
        </w:rPr>
        <w:t>References</w:t>
      </w:r>
    </w:p>
    <w:p w14:paraId="2CCBE396"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African Rights. 1995.  </w:t>
      </w:r>
      <w:r w:rsidRPr="00FF1608">
        <w:rPr>
          <w:rFonts w:ascii="Times New Roman" w:hAnsi="Times New Roman"/>
          <w:i/>
          <w:sz w:val="24"/>
          <w:szCs w:val="24"/>
        </w:rPr>
        <w:t>Rwanda, Not So Innocent: When Women Become Killers</w:t>
      </w:r>
      <w:r w:rsidRPr="00FF1608">
        <w:rPr>
          <w:rFonts w:ascii="Times New Roman" w:hAnsi="Times New Roman"/>
          <w:sz w:val="24"/>
          <w:szCs w:val="24"/>
        </w:rPr>
        <w:t>. Kigali: African Rights.</w:t>
      </w:r>
    </w:p>
    <w:p w14:paraId="24E6CA82"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Baaz, Maria Erikccon and Maria Stern. 2009. “Why Do Soldiers Rape Masculinity, Violence, and Sexuality in the Armed Forces in the Congo (DRC),” </w:t>
      </w:r>
      <w:r w:rsidRPr="00FF1608">
        <w:rPr>
          <w:rFonts w:ascii="Times New Roman" w:hAnsi="Times New Roman"/>
          <w:i/>
          <w:sz w:val="24"/>
          <w:szCs w:val="24"/>
        </w:rPr>
        <w:t xml:space="preserve">International Studies Quarterly </w:t>
      </w:r>
      <w:r w:rsidRPr="00FF1608">
        <w:rPr>
          <w:rFonts w:ascii="Times New Roman" w:hAnsi="Times New Roman"/>
          <w:sz w:val="24"/>
          <w:szCs w:val="24"/>
        </w:rPr>
        <w:t xml:space="preserve">53(2): 498-518. </w:t>
      </w:r>
    </w:p>
    <w:p w14:paraId="44F3AEF9"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Baudrillard, Jean. 2004. “Pornographie de la Guerre,” </w:t>
      </w:r>
      <w:r w:rsidRPr="00FF1608">
        <w:rPr>
          <w:rFonts w:ascii="Times New Roman" w:hAnsi="Times New Roman"/>
          <w:i/>
          <w:sz w:val="24"/>
          <w:szCs w:val="24"/>
        </w:rPr>
        <w:t xml:space="preserve">Liberation </w:t>
      </w:r>
      <w:r w:rsidRPr="00FF1608">
        <w:rPr>
          <w:rFonts w:ascii="Times New Roman" w:hAnsi="Times New Roman"/>
          <w:sz w:val="24"/>
          <w:szCs w:val="24"/>
        </w:rPr>
        <w:t xml:space="preserve">19 May.  </w:t>
      </w:r>
    </w:p>
    <w:p w14:paraId="538C66D0"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Boeringer, Scot B. 1994. “Pornography and Sexual Aggression: Associations of Violent and Nonviolent Depictions of Rape and Rape Proclivity,” </w:t>
      </w:r>
      <w:r w:rsidRPr="00FF1608">
        <w:rPr>
          <w:rFonts w:ascii="Times New Roman" w:hAnsi="Times New Roman"/>
          <w:i/>
          <w:sz w:val="24"/>
          <w:szCs w:val="24"/>
        </w:rPr>
        <w:t xml:space="preserve">Deviant Behavior </w:t>
      </w:r>
      <w:r w:rsidRPr="00FF1608">
        <w:rPr>
          <w:rFonts w:ascii="Times New Roman" w:hAnsi="Times New Roman"/>
          <w:sz w:val="24"/>
          <w:szCs w:val="24"/>
        </w:rPr>
        <w:t xml:space="preserve">15(2): 289-304. </w:t>
      </w:r>
    </w:p>
    <w:p w14:paraId="4C512A08"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Enloe, Cynthia. 2000. </w:t>
      </w:r>
      <w:r w:rsidRPr="00FF1608">
        <w:rPr>
          <w:rFonts w:ascii="Times New Roman" w:hAnsi="Times New Roman"/>
          <w:i/>
          <w:sz w:val="24"/>
          <w:szCs w:val="24"/>
        </w:rPr>
        <w:t xml:space="preserve">Manuevers: The International Politics of Militarizing Women’s Lives. </w:t>
      </w:r>
      <w:r w:rsidRPr="00FF1608">
        <w:rPr>
          <w:rFonts w:ascii="Times New Roman" w:hAnsi="Times New Roman"/>
          <w:sz w:val="24"/>
          <w:szCs w:val="24"/>
        </w:rPr>
        <w:t xml:space="preserve">Berkeley: University of California Press. </w:t>
      </w:r>
    </w:p>
    <w:p w14:paraId="60C64108"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Halberstam, Jack. 2011. </w:t>
      </w:r>
      <w:r w:rsidRPr="00FF1608">
        <w:rPr>
          <w:rFonts w:ascii="Times New Roman" w:hAnsi="Times New Roman"/>
          <w:i/>
          <w:sz w:val="24"/>
          <w:szCs w:val="24"/>
        </w:rPr>
        <w:t xml:space="preserve">Gaga Feminism: Sex, Gender, and the End of Normal. </w:t>
      </w:r>
      <w:r w:rsidRPr="00FF1608">
        <w:rPr>
          <w:rFonts w:ascii="Times New Roman" w:hAnsi="Times New Roman"/>
          <w:sz w:val="24"/>
          <w:szCs w:val="24"/>
        </w:rPr>
        <w:t>Boston: Beacon Press.</w:t>
      </w:r>
    </w:p>
    <w:p w14:paraId="30B9BEBA"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Healey, Dan. 2010. “Active, Passive, and Russian: The National Idea in Gay Men’s Pornography,” </w:t>
      </w:r>
      <w:r w:rsidRPr="00FF1608">
        <w:rPr>
          <w:rFonts w:ascii="Times New Roman" w:hAnsi="Times New Roman"/>
          <w:i/>
          <w:sz w:val="24"/>
          <w:szCs w:val="24"/>
        </w:rPr>
        <w:t xml:space="preserve">The Russian Review </w:t>
      </w:r>
      <w:r w:rsidRPr="00FF1608">
        <w:rPr>
          <w:rFonts w:ascii="Times New Roman" w:hAnsi="Times New Roman"/>
          <w:sz w:val="24"/>
          <w:szCs w:val="24"/>
        </w:rPr>
        <w:t xml:space="preserve">69(2): 210-230. </w:t>
      </w:r>
    </w:p>
    <w:p w14:paraId="60D6B1D8"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Ravenstone, Desmond. 2005. </w:t>
      </w:r>
      <w:r w:rsidRPr="00FF1608">
        <w:rPr>
          <w:rFonts w:ascii="Times New Roman" w:hAnsi="Times New Roman"/>
          <w:i/>
          <w:sz w:val="24"/>
          <w:szCs w:val="24"/>
        </w:rPr>
        <w:t xml:space="preserve">Ravishment: The Dark Side of Erotic Fantasy. </w:t>
      </w:r>
      <w:r w:rsidRPr="00FF1608">
        <w:rPr>
          <w:rFonts w:ascii="Times New Roman" w:hAnsi="Times New Roman"/>
          <w:sz w:val="24"/>
          <w:szCs w:val="24"/>
        </w:rPr>
        <w:t xml:space="preserve">Online: Lulu.com [trigger warning]. </w:t>
      </w:r>
    </w:p>
    <w:p w14:paraId="2771A83A"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lastRenderedPageBreak/>
        <w:t xml:space="preserve">Schott, Robin May.  1996. “Gender and ‘Postmodern War’” </w:t>
      </w:r>
      <w:r w:rsidRPr="00FF1608">
        <w:rPr>
          <w:rFonts w:ascii="Times New Roman" w:hAnsi="Times New Roman"/>
          <w:i/>
          <w:sz w:val="24"/>
          <w:szCs w:val="24"/>
        </w:rPr>
        <w:t xml:space="preserve">Hypatia </w:t>
      </w:r>
      <w:r w:rsidRPr="00FF1608">
        <w:rPr>
          <w:rFonts w:ascii="Times New Roman" w:hAnsi="Times New Roman"/>
          <w:sz w:val="24"/>
          <w:szCs w:val="24"/>
        </w:rPr>
        <w:t xml:space="preserve">11(4): 19-29. </w:t>
      </w:r>
    </w:p>
    <w:p w14:paraId="4E4F7D1B"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Shawver, Lois. 1995. </w:t>
      </w:r>
      <w:r w:rsidRPr="00FF1608">
        <w:rPr>
          <w:rFonts w:ascii="Times New Roman" w:hAnsi="Times New Roman"/>
          <w:i/>
          <w:sz w:val="24"/>
          <w:szCs w:val="24"/>
        </w:rPr>
        <w:t xml:space="preserve">And the Flag Was Still There: Straight People, Gay People, and Sexuality in the US Military. </w:t>
      </w:r>
      <w:r w:rsidRPr="00FF1608">
        <w:rPr>
          <w:rFonts w:ascii="Times New Roman" w:hAnsi="Times New Roman"/>
          <w:sz w:val="24"/>
          <w:szCs w:val="24"/>
        </w:rPr>
        <w:t xml:space="preserve">New York: Psychology Press. </w:t>
      </w:r>
    </w:p>
    <w:p w14:paraId="5A7F4BF3"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Sjoberg, Laura. 2013. </w:t>
      </w:r>
      <w:r w:rsidRPr="00FF1608">
        <w:rPr>
          <w:rFonts w:ascii="Times New Roman" w:hAnsi="Times New Roman"/>
          <w:i/>
          <w:sz w:val="24"/>
          <w:szCs w:val="24"/>
        </w:rPr>
        <w:t xml:space="preserve">Gendering Global Conflict: Toward a Feminist Theory of War. </w:t>
      </w:r>
      <w:r w:rsidRPr="00FF1608">
        <w:rPr>
          <w:rFonts w:ascii="Times New Roman" w:hAnsi="Times New Roman"/>
          <w:sz w:val="24"/>
          <w:szCs w:val="24"/>
        </w:rPr>
        <w:t xml:space="preserve">New York: Columbia University Press. </w:t>
      </w:r>
    </w:p>
    <w:p w14:paraId="60918CA1"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Sjoberg, Laura and Caron E. Gentry. 2008. “Reduced to Bad Sex: Narratives of Violent Women from the Bible to the War on Terror.” </w:t>
      </w:r>
      <w:r w:rsidRPr="00FF1608">
        <w:rPr>
          <w:rFonts w:ascii="Times New Roman" w:hAnsi="Times New Roman"/>
          <w:i/>
          <w:sz w:val="24"/>
          <w:szCs w:val="24"/>
        </w:rPr>
        <w:t xml:space="preserve">International Relations </w:t>
      </w:r>
      <w:r w:rsidRPr="00FF1608">
        <w:rPr>
          <w:rFonts w:ascii="Times New Roman" w:hAnsi="Times New Roman"/>
          <w:sz w:val="24"/>
          <w:szCs w:val="24"/>
        </w:rPr>
        <w:t xml:space="preserve">22(1): 5-23. </w:t>
      </w:r>
    </w:p>
    <w:p w14:paraId="4ACCF725"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Strassberg, Donald S. and Lisa K. Locker, “Force in Women’s Sexual Fantasies,” </w:t>
      </w:r>
      <w:r w:rsidRPr="00FF1608">
        <w:rPr>
          <w:rFonts w:ascii="Times New Roman" w:hAnsi="Times New Roman"/>
          <w:i/>
          <w:sz w:val="24"/>
          <w:szCs w:val="24"/>
        </w:rPr>
        <w:t xml:space="preserve">Archives of Sexual Behavior </w:t>
      </w:r>
      <w:r w:rsidRPr="00FF1608">
        <w:rPr>
          <w:rFonts w:ascii="Times New Roman" w:hAnsi="Times New Roman"/>
          <w:sz w:val="24"/>
          <w:szCs w:val="24"/>
        </w:rPr>
        <w:t xml:space="preserve">27(4): 403-414. </w:t>
      </w:r>
    </w:p>
    <w:p w14:paraId="34322D8B" w14:textId="77777777" w:rsidR="004C328D" w:rsidRPr="00FF1608" w:rsidRDefault="004C328D" w:rsidP="004C328D">
      <w:pPr>
        <w:spacing w:line="480" w:lineRule="auto"/>
        <w:rPr>
          <w:rFonts w:ascii="Times New Roman" w:hAnsi="Times New Roman"/>
          <w:sz w:val="24"/>
          <w:szCs w:val="24"/>
        </w:rPr>
      </w:pPr>
      <w:r w:rsidRPr="00FF1608">
        <w:rPr>
          <w:rFonts w:ascii="Times New Roman" w:hAnsi="Times New Roman"/>
          <w:sz w:val="24"/>
          <w:szCs w:val="24"/>
        </w:rPr>
        <w:t xml:space="preserve">Young, Iris Marion. “The Logic of Masculinist Protection: Reflections on the Current Security State,” </w:t>
      </w:r>
      <w:r w:rsidRPr="00FF1608">
        <w:rPr>
          <w:rFonts w:ascii="Times New Roman" w:hAnsi="Times New Roman"/>
          <w:i/>
          <w:sz w:val="24"/>
          <w:szCs w:val="24"/>
        </w:rPr>
        <w:t xml:space="preserve">Signs: Journal of Women in Culture and Society </w:t>
      </w:r>
      <w:r w:rsidRPr="00FF1608">
        <w:rPr>
          <w:rFonts w:ascii="Times New Roman" w:hAnsi="Times New Roman"/>
          <w:sz w:val="24"/>
          <w:szCs w:val="24"/>
        </w:rPr>
        <w:t xml:space="preserve">29(1) (2003): 1-25. </w:t>
      </w:r>
    </w:p>
    <w:p w14:paraId="0522994E" w14:textId="477B90E5" w:rsidR="0011550B" w:rsidRPr="004C328D" w:rsidRDefault="0011550B" w:rsidP="004C328D">
      <w:pPr>
        <w:spacing w:after="0" w:line="480" w:lineRule="auto"/>
        <w:rPr>
          <w:rFonts w:ascii="Times New Roman" w:hAnsi="Times New Roman"/>
          <w:b/>
          <w:sz w:val="24"/>
          <w:szCs w:val="24"/>
          <w:lang w:val="en-GB"/>
        </w:rPr>
      </w:pPr>
      <w:bookmarkStart w:id="0" w:name="_GoBack"/>
      <w:bookmarkEnd w:id="0"/>
    </w:p>
    <w:sectPr w:rsidR="0011550B" w:rsidRPr="004C328D" w:rsidSect="0031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8D"/>
    <w:rsid w:val="0011550B"/>
    <w:rsid w:val="00316EB5"/>
    <w:rsid w:val="004C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277B1"/>
  <w15:chartTrackingRefBased/>
  <w15:docId w15:val="{922EC246-0B5B-D748-A025-0CE88557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8D"/>
    <w:pPr>
      <w:spacing w:after="200" w:line="276" w:lineRule="auto"/>
    </w:pPr>
    <w:rPr>
      <w:rFonts w:ascii="Calibri" w:eastAsia="Calibri"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Laura</dc:creator>
  <cp:keywords/>
  <dc:description/>
  <cp:lastModifiedBy>Sjoberg, Laura</cp:lastModifiedBy>
  <cp:revision>1</cp:revision>
  <dcterms:created xsi:type="dcterms:W3CDTF">2020-01-27T20:33:00Z</dcterms:created>
  <dcterms:modified xsi:type="dcterms:W3CDTF">2020-01-27T20:33:00Z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2020-01-27T20:33:32Z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b8740c6f-89df-4884-bae3-0000d68a4a33</vt:lpwstr>
  </property>
  <property fmtid="{D5CDD505-2E9C-101B-9397-08002B2CF9AE}" pid="8" name="MSIP_Label_c4496a64-e0e3-4038-91bc-493f618853ad_ContentBits">
    <vt:lpwstr>0</vt:lpwstr>
  </property>
</Properties>
</file>